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EF" w:rsidRPr="00247465" w:rsidRDefault="001273EF" w:rsidP="001273EF">
      <w:pPr>
        <w:pStyle w:val="MIRHeading3"/>
        <w:ind w:hanging="1"/>
        <w:jc w:val="center"/>
        <w:rPr>
          <w:rFonts w:ascii="Times New Roman" w:hAnsi="Times New Roman" w:cs="Times New Roman"/>
          <w:bCs/>
        </w:rPr>
      </w:pPr>
      <w:r w:rsidRPr="00247465">
        <w:rPr>
          <w:rFonts w:ascii="Times New Roman" w:hAnsi="Times New Roman" w:cs="Times New Roman"/>
          <w:bCs/>
        </w:rPr>
        <w:t>Australian Securities and Investments Commission</w:t>
      </w:r>
    </w:p>
    <w:p w:rsidR="001273EF" w:rsidRPr="00247465" w:rsidRDefault="001273EF" w:rsidP="001273EF">
      <w:pPr>
        <w:pStyle w:val="MIRHeading3"/>
        <w:ind w:hanging="1"/>
        <w:jc w:val="center"/>
        <w:rPr>
          <w:rFonts w:ascii="Times New Roman" w:hAnsi="Times New Roman" w:cs="Times New Roman"/>
        </w:rPr>
      </w:pPr>
      <w:r w:rsidRPr="00247465">
        <w:rPr>
          <w:rFonts w:ascii="Times New Roman" w:hAnsi="Times New Roman" w:cs="Times New Roman"/>
          <w:bCs/>
          <w:i/>
        </w:rPr>
        <w:t>Corporations Act 2001</w:t>
      </w:r>
      <w:r w:rsidRPr="00247465">
        <w:rPr>
          <w:rFonts w:ascii="Times New Roman" w:hAnsi="Times New Roman" w:cs="Times New Roman"/>
          <w:bCs/>
        </w:rPr>
        <w:t xml:space="preserve"> — Subsection 798G(1) — Variation</w:t>
      </w:r>
    </w:p>
    <w:p w:rsidR="001273EF" w:rsidRPr="00247465" w:rsidRDefault="001273EF" w:rsidP="001273EF">
      <w:pPr>
        <w:pStyle w:val="MIRHeading3"/>
      </w:pPr>
      <w:r w:rsidRPr="00247465">
        <w:t>1.</w:t>
      </w:r>
      <w:r w:rsidRPr="00247465">
        <w:tab/>
        <w:t>Enabling legislation</w:t>
      </w:r>
    </w:p>
    <w:p w:rsidR="001273EF" w:rsidRPr="00247465" w:rsidRDefault="001273EF" w:rsidP="001273EF">
      <w:pPr>
        <w:pStyle w:val="MIRBodyText"/>
      </w:pPr>
      <w:r w:rsidRPr="00247465">
        <w:t xml:space="preserve">I, </w:t>
      </w:r>
      <w:r w:rsidR="007D7574">
        <w:t>Oliver Harvey</w:t>
      </w:r>
      <w:r w:rsidRPr="00247465">
        <w:t xml:space="preserve">, with the written consent of the Minister, make the following instrument under subsection </w:t>
      </w:r>
      <w:proofErr w:type="gramStart"/>
      <w:r w:rsidRPr="00247465">
        <w:t>798G(</w:t>
      </w:r>
      <w:proofErr w:type="gramEnd"/>
      <w:r w:rsidRPr="00247465">
        <w:t xml:space="preserve">1) of the </w:t>
      </w:r>
      <w:r w:rsidRPr="00247465">
        <w:rPr>
          <w:i/>
        </w:rPr>
        <w:t>Corporations Act 2001</w:t>
      </w:r>
      <w:r w:rsidRPr="00247465">
        <w:t>.</w:t>
      </w:r>
    </w:p>
    <w:p w:rsidR="001273EF" w:rsidRPr="00247465" w:rsidRDefault="001273EF" w:rsidP="001273EF">
      <w:pPr>
        <w:pStyle w:val="MIRBodyText"/>
      </w:pPr>
    </w:p>
    <w:p w:rsidR="001273EF" w:rsidRPr="007D7574" w:rsidRDefault="001273EF" w:rsidP="001273EF">
      <w:pPr>
        <w:pStyle w:val="MIRBodyText"/>
      </w:pPr>
      <w:r w:rsidRPr="007D7574">
        <w:t>Dated this</w:t>
      </w:r>
      <w:r w:rsidR="007D7574" w:rsidRPr="007D7574">
        <w:t xml:space="preserve"> thirteenth</w:t>
      </w:r>
      <w:r w:rsidRPr="007D7574">
        <w:t xml:space="preserve"> day of </w:t>
      </w:r>
      <w:r w:rsidR="007D7574" w:rsidRPr="007D7574">
        <w:t>March</w:t>
      </w:r>
      <w:r w:rsidRPr="007D7574">
        <w:t xml:space="preserve"> 201</w:t>
      </w:r>
      <w:r w:rsidR="00447CBF" w:rsidRPr="007D7574">
        <w:t>3</w:t>
      </w:r>
    </w:p>
    <w:p w:rsidR="001273EF" w:rsidRPr="00247465" w:rsidRDefault="001273EF" w:rsidP="001273EF">
      <w:pPr>
        <w:pStyle w:val="MIRBodyText"/>
      </w:pPr>
    </w:p>
    <w:p w:rsidR="00791ACD" w:rsidRPr="00247465" w:rsidRDefault="00791ACD" w:rsidP="001273EF">
      <w:pPr>
        <w:pStyle w:val="MIRBodyText"/>
      </w:pPr>
    </w:p>
    <w:p w:rsidR="001273EF" w:rsidRPr="00247465" w:rsidRDefault="007D7574" w:rsidP="001273EF">
      <w:pPr>
        <w:pStyle w:val="MIRBodyText"/>
      </w:pPr>
      <w:r>
        <w:t>Signed by Oliver Harvey</w:t>
      </w:r>
    </w:p>
    <w:p w:rsidR="001273EF" w:rsidRPr="00247465" w:rsidRDefault="001273EF" w:rsidP="001273EF">
      <w:pPr>
        <w:pStyle w:val="MIRBodyText"/>
      </w:pPr>
      <w:proofErr w:type="gramStart"/>
      <w:r w:rsidRPr="00247465">
        <w:t>as</w:t>
      </w:r>
      <w:proofErr w:type="gramEnd"/>
      <w:r w:rsidRPr="00247465">
        <w:t xml:space="preserve"> a delegate of the Australian Securities and Investments Commission</w:t>
      </w:r>
      <w:r w:rsidR="00DB22D2" w:rsidRPr="00247465">
        <w:t>.</w:t>
      </w:r>
    </w:p>
    <w:p w:rsidR="001273EF" w:rsidRPr="00247465" w:rsidRDefault="001273EF" w:rsidP="001273EF">
      <w:pPr>
        <w:pStyle w:val="MIRHeading3"/>
      </w:pPr>
      <w:r w:rsidRPr="00247465">
        <w:t>2.</w:t>
      </w:r>
      <w:r w:rsidRPr="00247465">
        <w:tab/>
        <w:t>Title</w:t>
      </w:r>
    </w:p>
    <w:p w:rsidR="001273EF" w:rsidRPr="00247465" w:rsidRDefault="001273EF" w:rsidP="001273EF">
      <w:pPr>
        <w:pStyle w:val="MIRBodyText"/>
      </w:pPr>
      <w:r w:rsidRPr="00247465">
        <w:t xml:space="preserve">This instrument is </w:t>
      </w:r>
      <w:r w:rsidRPr="00247465">
        <w:rPr>
          <w:i/>
        </w:rPr>
        <w:t>ASIC Market Integrity Rules (</w:t>
      </w:r>
      <w:r w:rsidR="00C64D2F" w:rsidRPr="00247465">
        <w:rPr>
          <w:i/>
        </w:rPr>
        <w:t>Competition in Exchange Markets</w:t>
      </w:r>
      <w:r w:rsidRPr="00247465">
        <w:rPr>
          <w:i/>
        </w:rPr>
        <w:t xml:space="preserve">) </w:t>
      </w:r>
      <w:r w:rsidRPr="00970325">
        <w:rPr>
          <w:i/>
        </w:rPr>
        <w:t>Amendment 201</w:t>
      </w:r>
      <w:r w:rsidR="00970325" w:rsidRPr="00970325">
        <w:rPr>
          <w:i/>
        </w:rPr>
        <w:t>3</w:t>
      </w:r>
      <w:r w:rsidRPr="00970325">
        <w:rPr>
          <w:i/>
        </w:rPr>
        <w:t xml:space="preserve"> (No.</w:t>
      </w:r>
      <w:r w:rsidR="00970325" w:rsidRPr="00970325">
        <w:rPr>
          <w:i/>
        </w:rPr>
        <w:t>1</w:t>
      </w:r>
      <w:r w:rsidRPr="00970325">
        <w:rPr>
          <w:i/>
        </w:rPr>
        <w:t>)</w:t>
      </w:r>
      <w:r w:rsidRPr="00247465">
        <w:t>.</w:t>
      </w:r>
    </w:p>
    <w:p w:rsidR="001273EF" w:rsidRPr="00247465" w:rsidRDefault="001273EF" w:rsidP="001273EF">
      <w:pPr>
        <w:pStyle w:val="MIRHeading3"/>
      </w:pPr>
      <w:r w:rsidRPr="00247465">
        <w:t>3</w:t>
      </w:r>
      <w:r w:rsidR="001328ED" w:rsidRPr="00247465">
        <w:t>.</w:t>
      </w:r>
      <w:r w:rsidRPr="00247465">
        <w:tab/>
        <w:t>Commencement</w:t>
      </w:r>
    </w:p>
    <w:p w:rsidR="004D64D0" w:rsidRPr="00247465" w:rsidRDefault="0010122F" w:rsidP="00624FB0">
      <w:pPr>
        <w:pStyle w:val="MIRBodyText"/>
      </w:pPr>
      <w:r>
        <w:t xml:space="preserve">This instrument commences on the day after the </w:t>
      </w:r>
      <w:r w:rsidR="002D03F4">
        <w:t>day</w:t>
      </w:r>
      <w:r w:rsidR="002D03F4" w:rsidRPr="002D03F4">
        <w:rPr>
          <w:szCs w:val="20"/>
          <w:lang w:val="en-GB"/>
        </w:rPr>
        <w:t xml:space="preserve"> </w:t>
      </w:r>
      <w:r w:rsidR="002D03F4" w:rsidRPr="002D03F4">
        <w:rPr>
          <w:lang w:val="en-GB"/>
        </w:rPr>
        <w:t xml:space="preserve">on which this instrument is registered under the </w:t>
      </w:r>
      <w:r w:rsidR="002D03F4" w:rsidRPr="002D03F4">
        <w:rPr>
          <w:i/>
          <w:lang w:val="en-GB"/>
        </w:rPr>
        <w:t>Legislative Instruments Act 2003</w:t>
      </w:r>
      <w:r w:rsidR="00624FB0" w:rsidRPr="00247465">
        <w:t xml:space="preserve">. </w:t>
      </w:r>
    </w:p>
    <w:p w:rsidR="001273EF" w:rsidRPr="00247465" w:rsidRDefault="001273EF" w:rsidP="00091B15">
      <w:pPr>
        <w:pStyle w:val="MIRNote"/>
      </w:pPr>
      <w:r w:rsidRPr="00247465">
        <w:t xml:space="preserve">Note: An instrument is registered when it is recorded on the Federal Register of Legislative Instruments (FRLI) in electronic form: see </w:t>
      </w:r>
      <w:r w:rsidRPr="00247465">
        <w:rPr>
          <w:i/>
        </w:rPr>
        <w:t>Legislative Instruments Act 2003</w:t>
      </w:r>
      <w:r w:rsidRPr="00247465">
        <w:t xml:space="preserve">, s 4 (definition of register). The FRLI may be accessed at </w:t>
      </w:r>
      <w:hyperlink r:id="rId8" w:history="1">
        <w:r w:rsidRPr="00247465">
          <w:rPr>
            <w:rStyle w:val="Hyperlink"/>
          </w:rPr>
          <w:t>http://www.frli.gov.au/</w:t>
        </w:r>
      </w:hyperlink>
      <w:r w:rsidRPr="00247465">
        <w:t>.</w:t>
      </w:r>
    </w:p>
    <w:p w:rsidR="001273EF" w:rsidRPr="00247465" w:rsidRDefault="001273EF" w:rsidP="001273EF">
      <w:pPr>
        <w:pStyle w:val="MIRHeading3"/>
      </w:pPr>
      <w:r w:rsidRPr="00247465">
        <w:t>4.</w:t>
      </w:r>
      <w:r w:rsidRPr="00247465">
        <w:tab/>
        <w:t>Amendments</w:t>
      </w:r>
    </w:p>
    <w:p w:rsidR="001273EF" w:rsidRDefault="00A5314D" w:rsidP="001273EF">
      <w:pPr>
        <w:pStyle w:val="MIRBodyText"/>
      </w:pPr>
      <w:r>
        <w:t xml:space="preserve">(1) </w:t>
      </w:r>
      <w:r w:rsidR="00A20994" w:rsidRPr="00247465">
        <w:t xml:space="preserve">Schedule 1 amends the </w:t>
      </w:r>
      <w:r w:rsidR="001273EF" w:rsidRPr="00247465">
        <w:rPr>
          <w:i/>
        </w:rPr>
        <w:t>ASIC Market Integrity Rules (</w:t>
      </w:r>
      <w:r w:rsidR="00C64D2F" w:rsidRPr="00247465">
        <w:rPr>
          <w:i/>
        </w:rPr>
        <w:t>Competition in Exchange Markets) 2011</w:t>
      </w:r>
      <w:r w:rsidR="00A20994" w:rsidRPr="00247465">
        <w:t>.</w:t>
      </w:r>
    </w:p>
    <w:p w:rsidR="00A5314D" w:rsidRPr="00247465" w:rsidRDefault="00A5314D" w:rsidP="001273EF">
      <w:pPr>
        <w:pStyle w:val="MIRBodyText"/>
      </w:pPr>
      <w:r>
        <w:t>(2) Schedule 2 amends</w:t>
      </w:r>
      <w:r w:rsidR="00F8442A">
        <w:t xml:space="preserve"> Schedule 1 of</w:t>
      </w:r>
      <w:r>
        <w:t xml:space="preserve"> the </w:t>
      </w:r>
      <w:r w:rsidRPr="00A5314D">
        <w:rPr>
          <w:i/>
        </w:rPr>
        <w:t xml:space="preserve">ASIC Market Integrity Rules (Competition in Exchange Markets) Amendment 2012 (No. </w:t>
      </w:r>
      <w:r>
        <w:rPr>
          <w:i/>
        </w:rPr>
        <w:t>1)</w:t>
      </w:r>
      <w:r w:rsidRPr="00A5314D">
        <w:t>.</w:t>
      </w:r>
    </w:p>
    <w:p w:rsidR="00A20994" w:rsidRPr="00247465" w:rsidRDefault="00A20994" w:rsidP="00005C6A">
      <w:pPr>
        <w:pStyle w:val="MIRHeading3"/>
        <w:ind w:left="1695" w:hanging="1695"/>
      </w:pPr>
      <w:r w:rsidRPr="00247465">
        <w:lastRenderedPageBreak/>
        <w:t>Schedule 1</w:t>
      </w:r>
      <w:r w:rsidRPr="00247465">
        <w:tab/>
      </w:r>
      <w:r w:rsidRPr="00247465">
        <w:tab/>
        <w:t>Amendments</w:t>
      </w:r>
      <w:r w:rsidR="00005C6A">
        <w:t xml:space="preserve"> to the </w:t>
      </w:r>
      <w:r w:rsidR="00005C6A" w:rsidRPr="00005C6A">
        <w:rPr>
          <w:i/>
        </w:rPr>
        <w:t>ASIC Market Integrity Rules (Competition in Exchange Markets) 2011</w:t>
      </w:r>
    </w:p>
    <w:p w:rsidR="00A20994" w:rsidRPr="00247465" w:rsidRDefault="00A20994" w:rsidP="00E72631">
      <w:pPr>
        <w:pStyle w:val="MIRHeading3"/>
      </w:pPr>
      <w:r w:rsidRPr="00247465">
        <w:t>[</w:t>
      </w:r>
      <w:r w:rsidR="00DB67A0">
        <w:t>1</w:t>
      </w:r>
      <w:r w:rsidRPr="00247465">
        <w:t>]</w:t>
      </w:r>
      <w:r w:rsidRPr="00247465">
        <w:tab/>
        <w:t xml:space="preserve">Rule 1.4.3, definition of </w:t>
      </w:r>
      <w:r w:rsidR="00941103" w:rsidRPr="00247465">
        <w:t>“</w:t>
      </w:r>
      <w:r w:rsidR="00B5099F" w:rsidRPr="00247465">
        <w:t>Anomalous Order</w:t>
      </w:r>
      <w:r w:rsidR="00941103" w:rsidRPr="00247465">
        <w:t>”</w:t>
      </w:r>
    </w:p>
    <w:p w:rsidR="00DB67A0" w:rsidRPr="00DB3C5A" w:rsidRDefault="00DB3C5A" w:rsidP="00A20994">
      <w:pPr>
        <w:pStyle w:val="MIRBodyText"/>
        <w:rPr>
          <w:i/>
        </w:rPr>
      </w:pPr>
      <w:r w:rsidRPr="00DB3C5A">
        <w:rPr>
          <w:i/>
        </w:rPr>
        <w:t>after “</w:t>
      </w:r>
      <w:r w:rsidR="00DB67A0" w:rsidRPr="00DB3C5A">
        <w:rPr>
          <w:i/>
        </w:rPr>
        <w:t>Equity Market Product</w:t>
      </w:r>
      <w:r w:rsidRPr="00DB3C5A">
        <w:rPr>
          <w:i/>
        </w:rPr>
        <w:t xml:space="preserve">”, </w:t>
      </w:r>
      <w:r>
        <w:rPr>
          <w:i/>
        </w:rPr>
        <w:t xml:space="preserve">(wherever occurring) </w:t>
      </w:r>
      <w:r w:rsidRPr="00DB3C5A">
        <w:rPr>
          <w:i/>
        </w:rPr>
        <w:t>insert</w:t>
      </w:r>
    </w:p>
    <w:p w:rsidR="00DB67A0" w:rsidRPr="00247465" w:rsidRDefault="00DB3C5A" w:rsidP="00A20994">
      <w:pPr>
        <w:pStyle w:val="MIRBodyText"/>
        <w:rPr>
          <w:i/>
        </w:rPr>
      </w:pPr>
      <w:r w:rsidRPr="00DB3C5A">
        <w:t>, CGS Depository Interest</w:t>
      </w:r>
      <w:r>
        <w:t xml:space="preserve"> </w:t>
      </w:r>
    </w:p>
    <w:p w:rsidR="00820501" w:rsidRPr="00247465" w:rsidRDefault="008F21EF" w:rsidP="00820501">
      <w:pPr>
        <w:pStyle w:val="MIRHeading3"/>
      </w:pPr>
      <w:r w:rsidRPr="00247465">
        <w:t>[</w:t>
      </w:r>
      <w:r w:rsidR="008D468E">
        <w:t>2</w:t>
      </w:r>
      <w:r w:rsidR="00820501" w:rsidRPr="00247465">
        <w:t>]</w:t>
      </w:r>
      <w:r w:rsidR="00820501" w:rsidRPr="00247465">
        <w:tab/>
        <w:t>Rule 1.4.3, definition of “Anomalous Order Threshold”</w:t>
      </w:r>
    </w:p>
    <w:p w:rsidR="00CE5B56" w:rsidRPr="00DB3C5A" w:rsidRDefault="00CE5B56" w:rsidP="00CE5B56">
      <w:pPr>
        <w:pStyle w:val="MIRBodyText"/>
        <w:rPr>
          <w:i/>
        </w:rPr>
      </w:pPr>
      <w:r w:rsidRPr="00DB3C5A">
        <w:rPr>
          <w:i/>
        </w:rPr>
        <w:t xml:space="preserve">after “Equity Market Product”, </w:t>
      </w:r>
      <w:r>
        <w:rPr>
          <w:i/>
        </w:rPr>
        <w:t xml:space="preserve"> </w:t>
      </w:r>
      <w:r w:rsidRPr="00DB3C5A">
        <w:rPr>
          <w:i/>
        </w:rPr>
        <w:t>insert</w:t>
      </w:r>
    </w:p>
    <w:p w:rsidR="00CE5B56" w:rsidRPr="00247465" w:rsidRDefault="00CE5B56" w:rsidP="00CE5B56">
      <w:pPr>
        <w:pStyle w:val="MIRBodyText"/>
        <w:rPr>
          <w:i/>
        </w:rPr>
      </w:pPr>
      <w:r w:rsidRPr="00DB3C5A">
        <w:t>, CGS Depository Interest</w:t>
      </w:r>
      <w:r>
        <w:t xml:space="preserve"> </w:t>
      </w:r>
    </w:p>
    <w:p w:rsidR="00670BFA" w:rsidRPr="00247465" w:rsidRDefault="008F21EF" w:rsidP="00670BFA">
      <w:pPr>
        <w:pStyle w:val="MIRHeading3"/>
      </w:pPr>
      <w:r w:rsidRPr="00247465">
        <w:t>[</w:t>
      </w:r>
      <w:r w:rsidR="001326DA">
        <w:t>3]</w:t>
      </w:r>
      <w:r w:rsidR="001326DA">
        <w:tab/>
        <w:t>Rule 1.4.3, d</w:t>
      </w:r>
      <w:r w:rsidR="00670BFA" w:rsidRPr="00247465">
        <w:t>efinition of “</w:t>
      </w:r>
      <w:r w:rsidR="001326DA">
        <w:t>Auction</w:t>
      </w:r>
      <w:r w:rsidR="00670BFA" w:rsidRPr="00247465">
        <w:t>”</w:t>
      </w:r>
      <w:r w:rsidR="001326DA">
        <w:t>, paragraph (a)</w:t>
      </w:r>
    </w:p>
    <w:p w:rsidR="001326DA" w:rsidRDefault="001326DA" w:rsidP="00670BFA">
      <w:pPr>
        <w:pStyle w:val="MIRBodyText"/>
        <w:rPr>
          <w:i/>
        </w:rPr>
      </w:pPr>
      <w:r>
        <w:rPr>
          <w:i/>
        </w:rPr>
        <w:t>omit</w:t>
      </w:r>
    </w:p>
    <w:p w:rsidR="001326DA" w:rsidRPr="001326DA" w:rsidRDefault="001326DA" w:rsidP="00670BFA">
      <w:pPr>
        <w:pStyle w:val="MIRBodyText"/>
        <w:rPr>
          <w:i/>
        </w:rPr>
      </w:pPr>
      <w:r>
        <w:t>and</w:t>
      </w:r>
    </w:p>
    <w:p w:rsidR="001326DA" w:rsidRPr="001326DA" w:rsidRDefault="008F21EF" w:rsidP="001326DA">
      <w:pPr>
        <w:pStyle w:val="MIRHeading3"/>
      </w:pPr>
      <w:r w:rsidRPr="00247465">
        <w:t>[</w:t>
      </w:r>
      <w:r w:rsidR="001326DA">
        <w:t>4</w:t>
      </w:r>
      <w:r w:rsidR="00E73AE7" w:rsidRPr="00247465">
        <w:t>]</w:t>
      </w:r>
      <w:r w:rsidR="00E73AE7" w:rsidRPr="00247465">
        <w:tab/>
        <w:t xml:space="preserve">Rule 1.4.3, </w:t>
      </w:r>
      <w:r w:rsidR="001326DA" w:rsidRPr="001326DA">
        <w:t>definition of “Auction”, paragraph (</w:t>
      </w:r>
      <w:r w:rsidR="001326DA">
        <w:t>b</w:t>
      </w:r>
      <w:r w:rsidR="001326DA" w:rsidRPr="001326DA">
        <w:t>)</w:t>
      </w:r>
    </w:p>
    <w:p w:rsidR="00E73AE7" w:rsidRDefault="001326DA" w:rsidP="00E73AE7">
      <w:pPr>
        <w:pStyle w:val="MIRBodyText"/>
        <w:rPr>
          <w:i/>
        </w:rPr>
      </w:pPr>
      <w:r>
        <w:rPr>
          <w:i/>
        </w:rPr>
        <w:t>omit</w:t>
      </w:r>
    </w:p>
    <w:p w:rsidR="001326DA" w:rsidRPr="001326DA" w:rsidRDefault="001326DA" w:rsidP="00E73AE7">
      <w:pPr>
        <w:pStyle w:val="MIRBodyText"/>
        <w:rPr>
          <w:i/>
        </w:rPr>
      </w:pPr>
      <w:r>
        <w:t>.</w:t>
      </w:r>
    </w:p>
    <w:p w:rsidR="001326DA" w:rsidRDefault="001326DA" w:rsidP="00E73AE7">
      <w:pPr>
        <w:pStyle w:val="MIRBodyText"/>
        <w:rPr>
          <w:i/>
        </w:rPr>
      </w:pPr>
      <w:r>
        <w:rPr>
          <w:i/>
        </w:rPr>
        <w:t>substitute</w:t>
      </w:r>
    </w:p>
    <w:p w:rsidR="001326DA" w:rsidRPr="001326DA" w:rsidRDefault="001326DA" w:rsidP="00E73AE7">
      <w:pPr>
        <w:pStyle w:val="MIRBodyText"/>
        <w:rPr>
          <w:i/>
        </w:rPr>
      </w:pPr>
      <w:r>
        <w:t>; and</w:t>
      </w:r>
    </w:p>
    <w:p w:rsidR="00941103" w:rsidRPr="00247465" w:rsidRDefault="00941103" w:rsidP="00820501">
      <w:pPr>
        <w:pStyle w:val="MIRHeading3"/>
      </w:pPr>
      <w:r w:rsidRPr="00247465">
        <w:t>[</w:t>
      </w:r>
      <w:r w:rsidR="001326DA">
        <w:t>5</w:t>
      </w:r>
      <w:r w:rsidRPr="00247465">
        <w:t>]</w:t>
      </w:r>
      <w:r w:rsidRPr="00247465">
        <w:tab/>
        <w:t>Rule 1.4.3, definition of “</w:t>
      </w:r>
      <w:r w:rsidR="001326DA">
        <w:t>Auction</w:t>
      </w:r>
      <w:r w:rsidRPr="00247465">
        <w:t>”</w:t>
      </w:r>
      <w:r w:rsidR="00381C22">
        <w:t>, after paragraph (b)</w:t>
      </w:r>
    </w:p>
    <w:p w:rsidR="00EF7198" w:rsidRPr="00EF7198" w:rsidRDefault="00EF7198" w:rsidP="00A20994">
      <w:pPr>
        <w:pStyle w:val="MIRBodyText"/>
        <w:rPr>
          <w:i/>
        </w:rPr>
      </w:pPr>
      <w:r w:rsidRPr="00EF7198">
        <w:rPr>
          <w:i/>
        </w:rPr>
        <w:t>insert</w:t>
      </w:r>
    </w:p>
    <w:p w:rsidR="00EF7198" w:rsidRPr="00006ABF" w:rsidRDefault="00EF7198" w:rsidP="008F11E0">
      <w:pPr>
        <w:pStyle w:val="MIRSubpara"/>
        <w:numPr>
          <w:ilvl w:val="1"/>
          <w:numId w:val="14"/>
        </w:numPr>
      </w:pPr>
      <w:r w:rsidRPr="00006ABF">
        <w:t>in relation to CGS Depository Interests, an auction in the CGS Depository Interest on the central Order Book of the Responsible Market Operator for CGS Depository Interests.</w:t>
      </w:r>
    </w:p>
    <w:p w:rsidR="00635654" w:rsidRPr="00247465" w:rsidRDefault="00635654" w:rsidP="00635654">
      <w:pPr>
        <w:pStyle w:val="MIRHeading3"/>
      </w:pPr>
      <w:r w:rsidRPr="00247465">
        <w:t>[</w:t>
      </w:r>
      <w:r w:rsidR="009B5CD4">
        <w:t>6</w:t>
      </w:r>
      <w:r w:rsidRPr="00247465">
        <w:t>]</w:t>
      </w:r>
      <w:r w:rsidRPr="00247465">
        <w:tab/>
        <w:t xml:space="preserve">Rule 1.4.3, definition of “Best Available </w:t>
      </w:r>
      <w:r w:rsidR="00E03EA6">
        <w:t>Bid</w:t>
      </w:r>
      <w:r w:rsidRPr="00247465">
        <w:t>”</w:t>
      </w:r>
    </w:p>
    <w:p w:rsidR="00E03EA6" w:rsidRPr="00E03EA6" w:rsidRDefault="00035CCF" w:rsidP="00E03EA6">
      <w:pPr>
        <w:pStyle w:val="MIRBodyText"/>
        <w:rPr>
          <w:i/>
        </w:rPr>
      </w:pPr>
      <w:r>
        <w:rPr>
          <w:i/>
        </w:rPr>
        <w:t>after “</w:t>
      </w:r>
      <w:r w:rsidRPr="00035CCF">
        <w:rPr>
          <w:i/>
        </w:rPr>
        <w:t>Equity Market Products</w:t>
      </w:r>
      <w:r>
        <w:rPr>
          <w:i/>
        </w:rPr>
        <w:t>”</w:t>
      </w:r>
      <w:r w:rsidR="00E03EA6" w:rsidRPr="00E03EA6">
        <w:rPr>
          <w:i/>
        </w:rPr>
        <w:t xml:space="preserve"> (wherever occurring)</w:t>
      </w:r>
      <w:r>
        <w:rPr>
          <w:i/>
        </w:rPr>
        <w:t>, insert</w:t>
      </w:r>
    </w:p>
    <w:p w:rsidR="00E03EA6" w:rsidRDefault="00035CCF" w:rsidP="00737399">
      <w:pPr>
        <w:pStyle w:val="MIRBodyText"/>
      </w:pPr>
      <w:r w:rsidRPr="00035CCF">
        <w:t>or CGS Depository Interests</w:t>
      </w:r>
    </w:p>
    <w:p w:rsidR="005C4566" w:rsidRPr="00247465" w:rsidRDefault="005C4566" w:rsidP="00737399">
      <w:pPr>
        <w:pStyle w:val="MIRBodyText"/>
      </w:pPr>
    </w:p>
    <w:p w:rsidR="00E03EA6" w:rsidRPr="00247465" w:rsidRDefault="00E03EA6" w:rsidP="00E03EA6">
      <w:pPr>
        <w:pStyle w:val="MIRHeading3"/>
      </w:pPr>
      <w:r w:rsidRPr="00247465">
        <w:lastRenderedPageBreak/>
        <w:t>[</w:t>
      </w:r>
      <w:r>
        <w:t>7</w:t>
      </w:r>
      <w:r w:rsidRPr="00247465">
        <w:t>]</w:t>
      </w:r>
      <w:r w:rsidRPr="00247465">
        <w:tab/>
        <w:t xml:space="preserve">Rule 1.4.3, definition of “Best Available </w:t>
      </w:r>
      <w:r>
        <w:t>Offer</w:t>
      </w:r>
      <w:r w:rsidRPr="00247465">
        <w:t>”</w:t>
      </w:r>
    </w:p>
    <w:p w:rsidR="00DF3625" w:rsidRPr="00E03EA6" w:rsidRDefault="00DF3625" w:rsidP="003A67FA">
      <w:pPr>
        <w:pStyle w:val="MIRBodyText"/>
        <w:keepNext/>
        <w:rPr>
          <w:i/>
        </w:rPr>
      </w:pPr>
      <w:r>
        <w:rPr>
          <w:i/>
        </w:rPr>
        <w:t>after “</w:t>
      </w:r>
      <w:r w:rsidRPr="00035CCF">
        <w:rPr>
          <w:i/>
        </w:rPr>
        <w:t>Equity Market Products</w:t>
      </w:r>
      <w:r>
        <w:rPr>
          <w:i/>
        </w:rPr>
        <w:t>”</w:t>
      </w:r>
      <w:r w:rsidRPr="00E03EA6">
        <w:rPr>
          <w:i/>
        </w:rPr>
        <w:t xml:space="preserve"> (wherever occurring)</w:t>
      </w:r>
      <w:r>
        <w:rPr>
          <w:i/>
        </w:rPr>
        <w:t>, insert</w:t>
      </w:r>
    </w:p>
    <w:p w:rsidR="009F3972" w:rsidRPr="00247465" w:rsidRDefault="00DF3625" w:rsidP="00DF3625">
      <w:pPr>
        <w:pStyle w:val="MIRBodyText"/>
      </w:pPr>
      <w:r w:rsidRPr="00035CCF">
        <w:t>or CGS Depository Interests</w:t>
      </w:r>
    </w:p>
    <w:p w:rsidR="0000469A" w:rsidRPr="00247465" w:rsidRDefault="0000469A" w:rsidP="00DF3625">
      <w:pPr>
        <w:pStyle w:val="MIRHeading3"/>
      </w:pPr>
      <w:r w:rsidRPr="00247465">
        <w:t>[</w:t>
      </w:r>
      <w:r w:rsidR="00E03EA6">
        <w:t>8</w:t>
      </w:r>
      <w:r w:rsidRPr="00247465">
        <w:t>]</w:t>
      </w:r>
      <w:r w:rsidRPr="00247465">
        <w:tab/>
        <w:t xml:space="preserve">Rule 1.4.3, </w:t>
      </w:r>
      <w:r w:rsidR="00E03EA6">
        <w:t xml:space="preserve">after </w:t>
      </w:r>
      <w:r w:rsidRPr="00247465">
        <w:t>definition of “</w:t>
      </w:r>
      <w:r w:rsidR="00E03EA6">
        <w:t>Category D Equity Market Product</w:t>
      </w:r>
      <w:r w:rsidRPr="00247465">
        <w:t>”</w:t>
      </w:r>
    </w:p>
    <w:p w:rsidR="00635654" w:rsidRPr="00247465" w:rsidRDefault="00E03EA6" w:rsidP="0000469A">
      <w:pPr>
        <w:pStyle w:val="MIRBodyText"/>
        <w:rPr>
          <w:i/>
        </w:rPr>
      </w:pPr>
      <w:r>
        <w:rPr>
          <w:i/>
        </w:rPr>
        <w:t>insert</w:t>
      </w:r>
    </w:p>
    <w:p w:rsidR="00E03EA6" w:rsidRPr="00E03EA6" w:rsidRDefault="00E03EA6" w:rsidP="00E03EA6">
      <w:pPr>
        <w:pStyle w:val="MIRBodyText"/>
      </w:pPr>
      <w:r w:rsidRPr="00E03EA6">
        <w:rPr>
          <w:b/>
          <w:i/>
        </w:rPr>
        <w:t>CGS Depository Interest</w:t>
      </w:r>
      <w:r w:rsidRPr="00E03EA6">
        <w:t xml:space="preserve"> has the meaning given by section 761A of the Act.</w:t>
      </w:r>
    </w:p>
    <w:p w:rsidR="00E03EA6" w:rsidRPr="00E03EA6" w:rsidRDefault="00E03EA6" w:rsidP="00E03EA6">
      <w:pPr>
        <w:pStyle w:val="MIRBodyText"/>
      </w:pPr>
      <w:r w:rsidRPr="00E03EA6">
        <w:rPr>
          <w:b/>
          <w:i/>
        </w:rPr>
        <w:t>CGS Market</w:t>
      </w:r>
      <w:r w:rsidRPr="00E03EA6">
        <w:t xml:space="preserve"> means a Financial Market, on or through which offers to acquire or dispose of CGS Depository Interests are made or accepted, the operator of which is licensed under subsection 795B(1) of the Act.</w:t>
      </w:r>
    </w:p>
    <w:p w:rsidR="00E03EA6" w:rsidRPr="00E03EA6" w:rsidRDefault="00E03EA6" w:rsidP="00E03EA6">
      <w:pPr>
        <w:pStyle w:val="MIRBodyText"/>
      </w:pPr>
      <w:r w:rsidRPr="00E03EA6">
        <w:rPr>
          <w:b/>
          <w:i/>
        </w:rPr>
        <w:t>CGS Market Operator</w:t>
      </w:r>
      <w:r w:rsidRPr="00E03EA6">
        <w:t xml:space="preserve"> means an entity that is licensed under subsection 795B(1) of the Act to operate a CGS Market, and that has entered into contractual arrangements with the Australian Office of Financial Management to offer trading services in CGS Depository Interests.</w:t>
      </w:r>
    </w:p>
    <w:p w:rsidR="00E03EA6" w:rsidRPr="00E03EA6" w:rsidRDefault="00E03EA6" w:rsidP="00E03EA6">
      <w:pPr>
        <w:pStyle w:val="MIRBodyText"/>
      </w:pPr>
      <w:r w:rsidRPr="00E03EA6">
        <w:rPr>
          <w:b/>
          <w:i/>
        </w:rPr>
        <w:t xml:space="preserve">CGS Market Participant </w:t>
      </w:r>
      <w:r w:rsidRPr="00E03EA6">
        <w:t>means a person that is a Participant of a CGS Market.</w:t>
      </w:r>
    </w:p>
    <w:p w:rsidR="00635654" w:rsidRPr="00247465" w:rsidRDefault="00D54426" w:rsidP="00635654">
      <w:pPr>
        <w:pStyle w:val="MIRHeading3"/>
      </w:pPr>
      <w:r>
        <w:t>[9</w:t>
      </w:r>
      <w:r w:rsidR="00635654" w:rsidRPr="00247465">
        <w:t>]</w:t>
      </w:r>
      <w:r w:rsidR="00635654" w:rsidRPr="00247465">
        <w:tab/>
        <w:t>Rule 1.4.3, definition of “</w:t>
      </w:r>
      <w:r>
        <w:t>Disclosed</w:t>
      </w:r>
      <w:r w:rsidR="00635654" w:rsidRPr="00247465">
        <w:t>”</w:t>
      </w:r>
    </w:p>
    <w:p w:rsidR="00D54426" w:rsidRDefault="00D54426" w:rsidP="001C1F7B">
      <w:pPr>
        <w:pStyle w:val="MIRBodyText"/>
      </w:pPr>
      <w:r>
        <w:rPr>
          <w:i/>
        </w:rPr>
        <w:t>after “Rule 4.1.4”, insert</w:t>
      </w:r>
    </w:p>
    <w:p w:rsidR="00635654" w:rsidRPr="00247465" w:rsidRDefault="00D54426" w:rsidP="001C1F7B">
      <w:pPr>
        <w:pStyle w:val="MIRBodyText"/>
      </w:pPr>
      <w:r w:rsidRPr="00D54426">
        <w:t>(in the case of Equity Market Products) or Rule 4.1.4A (in the case of CGS Depository Interests)</w:t>
      </w:r>
    </w:p>
    <w:p w:rsidR="002E1E0B" w:rsidRPr="00247465" w:rsidRDefault="002E1E0B" w:rsidP="00C17443">
      <w:pPr>
        <w:pStyle w:val="MIRHeading3"/>
      </w:pPr>
      <w:r w:rsidRPr="00247465">
        <w:t>[1</w:t>
      </w:r>
      <w:r w:rsidR="00E23EA4">
        <w:t>0</w:t>
      </w:r>
      <w:r w:rsidRPr="00247465">
        <w:t>]</w:t>
      </w:r>
      <w:r w:rsidRPr="00247465">
        <w:tab/>
        <w:t>Rule 1.4.3, definition of “</w:t>
      </w:r>
      <w:r w:rsidR="00E23EA4">
        <w:t>Equity Market Product</w:t>
      </w:r>
      <w:r w:rsidRPr="00247465">
        <w:t>”</w:t>
      </w:r>
    </w:p>
    <w:p w:rsidR="002E1E0B" w:rsidRPr="00247465" w:rsidRDefault="00E23EA4" w:rsidP="002E1E0B">
      <w:pPr>
        <w:pStyle w:val="MIRBodyText"/>
        <w:rPr>
          <w:i/>
        </w:rPr>
      </w:pPr>
      <w:r>
        <w:rPr>
          <w:i/>
        </w:rPr>
        <w:t>after “</w:t>
      </w:r>
      <w:r w:rsidR="00C934AA">
        <w:rPr>
          <w:i/>
        </w:rPr>
        <w:t>ASX Market</w:t>
      </w:r>
      <w:r w:rsidR="00543180">
        <w:rPr>
          <w:i/>
        </w:rPr>
        <w:t>,</w:t>
      </w:r>
      <w:r>
        <w:rPr>
          <w:i/>
        </w:rPr>
        <w:t>”, insert</w:t>
      </w:r>
    </w:p>
    <w:p w:rsidR="00E23EA4" w:rsidRPr="00C934AA" w:rsidRDefault="00C934AA" w:rsidP="002E1E0B">
      <w:pPr>
        <w:pStyle w:val="MIRBodyText"/>
      </w:pPr>
      <w:r w:rsidRPr="00C934AA">
        <w:t>, but does not include a CGS Depository Interest</w:t>
      </w:r>
    </w:p>
    <w:p w:rsidR="00C77D9A" w:rsidRPr="00247465" w:rsidRDefault="00C17443" w:rsidP="00C17443">
      <w:pPr>
        <w:pStyle w:val="MIRHeading3"/>
      </w:pPr>
      <w:r w:rsidRPr="00247465">
        <w:t>[</w:t>
      </w:r>
      <w:r w:rsidR="00A94E6D" w:rsidRPr="00247465">
        <w:t>1</w:t>
      </w:r>
      <w:r w:rsidR="00543180">
        <w:t>1</w:t>
      </w:r>
      <w:r w:rsidR="00A20994" w:rsidRPr="00247465">
        <w:t>]</w:t>
      </w:r>
      <w:r w:rsidR="00A20994" w:rsidRPr="00247465">
        <w:tab/>
      </w:r>
      <w:r w:rsidR="00941103" w:rsidRPr="00247465">
        <w:t>Rule 1.4.3, definition of “</w:t>
      </w:r>
      <w:r w:rsidR="00A94E6D" w:rsidRPr="00247465">
        <w:t>E</w:t>
      </w:r>
      <w:r w:rsidR="00187530">
        <w:t>TR Event</w:t>
      </w:r>
      <w:r w:rsidR="00941103" w:rsidRPr="00247465">
        <w:t>”</w:t>
      </w:r>
    </w:p>
    <w:p w:rsidR="00111AFF" w:rsidRPr="00111AFF" w:rsidRDefault="00823243" w:rsidP="002A26AA">
      <w:pPr>
        <w:pStyle w:val="MIRBodyText"/>
      </w:pPr>
      <w:r>
        <w:rPr>
          <w:i/>
        </w:rPr>
        <w:t>after “</w:t>
      </w:r>
      <w:r w:rsidRPr="00823243">
        <w:rPr>
          <w:i/>
        </w:rPr>
        <w:t>an Equity Market Product</w:t>
      </w:r>
      <w:r>
        <w:rPr>
          <w:i/>
        </w:rPr>
        <w:t xml:space="preserve">” </w:t>
      </w:r>
      <w:r w:rsidR="00111AFF">
        <w:rPr>
          <w:i/>
        </w:rPr>
        <w:t>(wherever occurring)</w:t>
      </w:r>
      <w:r>
        <w:rPr>
          <w:i/>
        </w:rPr>
        <w:t>, insert</w:t>
      </w:r>
    </w:p>
    <w:p w:rsidR="00BF494A" w:rsidRPr="00247465" w:rsidRDefault="006C0387" w:rsidP="00982CAD">
      <w:pPr>
        <w:pStyle w:val="MIRBodyText"/>
      </w:pPr>
      <w:r>
        <w:t xml:space="preserve">, </w:t>
      </w:r>
      <w:r w:rsidR="00823243">
        <w:t>a CGS Depository Interest</w:t>
      </w:r>
      <w:r w:rsidR="00A94E6D" w:rsidRPr="00247465">
        <w:t xml:space="preserve"> </w:t>
      </w:r>
    </w:p>
    <w:p w:rsidR="003A2E5B" w:rsidRPr="00247465" w:rsidRDefault="003A2E5B" w:rsidP="003A2E5B">
      <w:pPr>
        <w:pStyle w:val="MIRHeading3"/>
      </w:pPr>
      <w:r w:rsidRPr="00247465">
        <w:t>[1</w:t>
      </w:r>
      <w:r>
        <w:t>2</w:t>
      </w:r>
      <w:r w:rsidRPr="00247465">
        <w:t>]</w:t>
      </w:r>
      <w:r w:rsidRPr="00247465">
        <w:tab/>
        <w:t>Rule 1.4.3, definition of “E</w:t>
      </w:r>
      <w:r>
        <w:t>TR Event</w:t>
      </w:r>
      <w:r w:rsidRPr="00247465">
        <w:t>”</w:t>
      </w:r>
    </w:p>
    <w:p w:rsidR="009B5D1A" w:rsidRPr="00111AFF" w:rsidRDefault="009B5D1A" w:rsidP="009B5D1A">
      <w:pPr>
        <w:pStyle w:val="MIRBodyText"/>
      </w:pPr>
      <w:r>
        <w:rPr>
          <w:i/>
        </w:rPr>
        <w:t>after “the</w:t>
      </w:r>
      <w:r w:rsidRPr="00823243">
        <w:rPr>
          <w:i/>
        </w:rPr>
        <w:t xml:space="preserve"> Equity Market Product</w:t>
      </w:r>
      <w:r>
        <w:rPr>
          <w:i/>
        </w:rPr>
        <w:t>” (wherever occurring), insert</w:t>
      </w:r>
    </w:p>
    <w:p w:rsidR="009B5D1A" w:rsidRDefault="006C0387" w:rsidP="009B5D1A">
      <w:pPr>
        <w:pStyle w:val="MIRBodyText"/>
      </w:pPr>
      <w:r>
        <w:t xml:space="preserve">, </w:t>
      </w:r>
      <w:r w:rsidR="009B5D1A">
        <w:t>CGS Depository Interest</w:t>
      </w:r>
      <w:r w:rsidR="009B5D1A" w:rsidRPr="00247465">
        <w:t xml:space="preserve"> </w:t>
      </w:r>
    </w:p>
    <w:p w:rsidR="00982CAD" w:rsidRPr="00247465" w:rsidRDefault="00982CAD" w:rsidP="00982CAD">
      <w:pPr>
        <w:pStyle w:val="MIRHeading3"/>
      </w:pPr>
      <w:r w:rsidRPr="00247465">
        <w:lastRenderedPageBreak/>
        <w:t>[1</w:t>
      </w:r>
      <w:r>
        <w:t>2A</w:t>
      </w:r>
      <w:r w:rsidRPr="00247465">
        <w:t>]</w:t>
      </w:r>
      <w:r w:rsidRPr="00247465">
        <w:tab/>
        <w:t>Rule 1.4.3, definition of “E</w:t>
      </w:r>
      <w:r>
        <w:t>TR Event</w:t>
      </w:r>
      <w:r w:rsidRPr="00247465">
        <w:t>”</w:t>
      </w:r>
      <w:r w:rsidR="00BF2AFF">
        <w:t xml:space="preserve">, </w:t>
      </w:r>
      <w:r w:rsidR="00BF2AFF" w:rsidRPr="00BF2AFF">
        <w:t>paragraph (a)</w:t>
      </w:r>
    </w:p>
    <w:p w:rsidR="00982CAD" w:rsidRPr="00111AFF" w:rsidRDefault="00982CAD" w:rsidP="00982CAD">
      <w:pPr>
        <w:pStyle w:val="MIRBodyText"/>
      </w:pPr>
      <w:r>
        <w:rPr>
          <w:i/>
        </w:rPr>
        <w:t xml:space="preserve">after “ASX SPI 200 Future" </w:t>
      </w:r>
      <w:r w:rsidR="00782102">
        <w:rPr>
          <w:i/>
        </w:rPr>
        <w:t>(</w:t>
      </w:r>
      <w:r>
        <w:rPr>
          <w:i/>
        </w:rPr>
        <w:t>last occurring</w:t>
      </w:r>
      <w:r w:rsidR="00782102">
        <w:rPr>
          <w:i/>
        </w:rPr>
        <w:t>)</w:t>
      </w:r>
      <w:r w:rsidR="00F07093">
        <w:rPr>
          <w:i/>
        </w:rPr>
        <w:t>,</w:t>
      </w:r>
      <w:r>
        <w:rPr>
          <w:i/>
        </w:rPr>
        <w:t xml:space="preserve"> insert</w:t>
      </w:r>
    </w:p>
    <w:p w:rsidR="00982CAD" w:rsidRDefault="00982CAD" w:rsidP="00982CAD">
      <w:pPr>
        <w:pStyle w:val="MIRBodyText"/>
      </w:pPr>
      <w:r>
        <w:t>(as applicable)</w:t>
      </w:r>
      <w:r w:rsidRPr="00247465">
        <w:t xml:space="preserve"> </w:t>
      </w:r>
    </w:p>
    <w:p w:rsidR="00982CAD" w:rsidRPr="00247465" w:rsidRDefault="00982CAD" w:rsidP="00982CAD">
      <w:pPr>
        <w:pStyle w:val="MIRHeading3"/>
      </w:pPr>
      <w:r w:rsidRPr="00247465">
        <w:t>[1</w:t>
      </w:r>
      <w:r>
        <w:t>2B</w:t>
      </w:r>
      <w:r w:rsidRPr="00247465">
        <w:t>]</w:t>
      </w:r>
      <w:r w:rsidRPr="00247465">
        <w:tab/>
        <w:t>Rule 1.4.3, definition of “E</w:t>
      </w:r>
      <w:r>
        <w:t>TR Event</w:t>
      </w:r>
      <w:r w:rsidRPr="00247465">
        <w:t>”</w:t>
      </w:r>
      <w:r w:rsidR="002E183D">
        <w:t>,</w:t>
      </w:r>
      <w:r w:rsidR="002E183D" w:rsidRPr="002E183D">
        <w:rPr>
          <w:rFonts w:ascii="Times New Roman" w:hAnsi="Times New Roman" w:cs="Times New Roman"/>
          <w:b w:val="0"/>
          <w:sz w:val="22"/>
          <w:szCs w:val="22"/>
        </w:rPr>
        <w:t xml:space="preserve"> </w:t>
      </w:r>
      <w:r w:rsidR="002E183D" w:rsidRPr="002E183D">
        <w:t>paragraph (b)</w:t>
      </w:r>
    </w:p>
    <w:p w:rsidR="00982CAD" w:rsidRPr="00111AFF" w:rsidRDefault="00982CAD" w:rsidP="00982CAD">
      <w:pPr>
        <w:pStyle w:val="MIRBodyText"/>
      </w:pPr>
      <w:r>
        <w:rPr>
          <w:i/>
        </w:rPr>
        <w:t>after “ASX SPI 200 Future”</w:t>
      </w:r>
      <w:r w:rsidR="002E183D">
        <w:rPr>
          <w:i/>
        </w:rPr>
        <w:t>(</w:t>
      </w:r>
      <w:r>
        <w:rPr>
          <w:i/>
        </w:rPr>
        <w:t xml:space="preserve"> last  occurring</w:t>
      </w:r>
      <w:r w:rsidR="002E183D">
        <w:rPr>
          <w:i/>
        </w:rPr>
        <w:t>)</w:t>
      </w:r>
      <w:r>
        <w:rPr>
          <w:i/>
        </w:rPr>
        <w:t>, insert</w:t>
      </w:r>
    </w:p>
    <w:p w:rsidR="00982CAD" w:rsidRPr="00247465" w:rsidRDefault="00982CAD" w:rsidP="00982CAD">
      <w:pPr>
        <w:pStyle w:val="MIRBodyText"/>
      </w:pPr>
      <w:r>
        <w:t>(as applicable)</w:t>
      </w:r>
    </w:p>
    <w:p w:rsidR="00FC2C09" w:rsidRPr="00247465" w:rsidRDefault="00FC2C09" w:rsidP="003A2E5B">
      <w:pPr>
        <w:pStyle w:val="MIRHeading3"/>
      </w:pPr>
      <w:r w:rsidRPr="00247465">
        <w:t>[</w:t>
      </w:r>
      <w:r w:rsidR="00A94E6D" w:rsidRPr="00247465">
        <w:t>1</w:t>
      </w:r>
      <w:r w:rsidR="00FF639D">
        <w:t>3</w:t>
      </w:r>
      <w:r w:rsidRPr="00247465">
        <w:t>]</w:t>
      </w:r>
      <w:r w:rsidRPr="00247465">
        <w:tab/>
        <w:t>Rule 1.4.3, definition of “</w:t>
      </w:r>
      <w:r w:rsidR="00FF639D">
        <w:t>Extreme Trade Range</w:t>
      </w:r>
      <w:r w:rsidRPr="00247465">
        <w:t>”</w:t>
      </w:r>
      <w:r w:rsidR="00570691" w:rsidRPr="00247465">
        <w:t>, paragraph (</w:t>
      </w:r>
      <w:r w:rsidR="00FF639D">
        <w:t>a</w:t>
      </w:r>
      <w:r w:rsidR="00570691" w:rsidRPr="00247465">
        <w:t>)</w:t>
      </w:r>
    </w:p>
    <w:p w:rsidR="00570691" w:rsidRPr="00247465" w:rsidRDefault="00570691" w:rsidP="00570691">
      <w:pPr>
        <w:pStyle w:val="MIRBodyText"/>
        <w:rPr>
          <w:i/>
        </w:rPr>
      </w:pPr>
      <w:r w:rsidRPr="00247465">
        <w:rPr>
          <w:i/>
        </w:rPr>
        <w:t>omit</w:t>
      </w:r>
    </w:p>
    <w:p w:rsidR="00A94E6D" w:rsidRPr="00FF639D" w:rsidRDefault="00FF639D" w:rsidP="00570691">
      <w:pPr>
        <w:pStyle w:val="MIRBodyText"/>
      </w:pPr>
      <w:r w:rsidRPr="00FF639D">
        <w:t>and</w:t>
      </w:r>
    </w:p>
    <w:p w:rsidR="00FF639D" w:rsidRPr="00247465" w:rsidRDefault="00FF639D" w:rsidP="00FF639D">
      <w:pPr>
        <w:pStyle w:val="MIRHeading3"/>
      </w:pPr>
      <w:r w:rsidRPr="00247465">
        <w:t>[1</w:t>
      </w:r>
      <w:r>
        <w:t>4</w:t>
      </w:r>
      <w:r w:rsidRPr="00247465">
        <w:t>]</w:t>
      </w:r>
      <w:r w:rsidRPr="00247465">
        <w:tab/>
        <w:t>Rule 1.4.3, definition of “</w:t>
      </w:r>
      <w:r>
        <w:t>Extreme Trade Range</w:t>
      </w:r>
      <w:r w:rsidRPr="00247465">
        <w:t>”, paragraph (</w:t>
      </w:r>
      <w:r>
        <w:t>b</w:t>
      </w:r>
      <w:r w:rsidRPr="00247465">
        <w:t>)</w:t>
      </w:r>
    </w:p>
    <w:p w:rsidR="00FF639D" w:rsidRPr="00247465" w:rsidRDefault="00FF639D" w:rsidP="00FF639D">
      <w:pPr>
        <w:pStyle w:val="MIRBodyText"/>
        <w:rPr>
          <w:i/>
        </w:rPr>
      </w:pPr>
      <w:r w:rsidRPr="00247465">
        <w:rPr>
          <w:i/>
        </w:rPr>
        <w:t>omit</w:t>
      </w:r>
    </w:p>
    <w:p w:rsidR="00FF639D" w:rsidRDefault="00FF639D" w:rsidP="00FF639D">
      <w:pPr>
        <w:pStyle w:val="MIRBodyText"/>
      </w:pPr>
      <w:r>
        <w:t>.</w:t>
      </w:r>
    </w:p>
    <w:p w:rsidR="00FF639D" w:rsidRPr="00FF639D" w:rsidRDefault="00FF639D" w:rsidP="00FF639D">
      <w:pPr>
        <w:pStyle w:val="MIRBodyText"/>
      </w:pPr>
      <w:r>
        <w:rPr>
          <w:i/>
        </w:rPr>
        <w:t>substitute</w:t>
      </w:r>
    </w:p>
    <w:p w:rsidR="00FF639D" w:rsidRDefault="00FF639D" w:rsidP="00FF639D">
      <w:pPr>
        <w:pStyle w:val="MIRBodyText"/>
      </w:pPr>
      <w:r>
        <w:t>; and</w:t>
      </w:r>
    </w:p>
    <w:p w:rsidR="004F6C48" w:rsidRPr="00247465" w:rsidRDefault="004F6C48" w:rsidP="004F6C48">
      <w:pPr>
        <w:pStyle w:val="MIRHeading3"/>
      </w:pPr>
      <w:r w:rsidRPr="00247465">
        <w:t>[1</w:t>
      </w:r>
      <w:r>
        <w:t>5</w:t>
      </w:r>
      <w:r w:rsidRPr="00247465">
        <w:t>]</w:t>
      </w:r>
      <w:r w:rsidRPr="00247465">
        <w:tab/>
        <w:t>Rule 1.4.3, definition of “</w:t>
      </w:r>
      <w:r>
        <w:t>Extreme Trade Range</w:t>
      </w:r>
      <w:r w:rsidRPr="00247465">
        <w:t>”</w:t>
      </w:r>
      <w:r w:rsidR="00381C22">
        <w:t>, after paragraph (b)</w:t>
      </w:r>
    </w:p>
    <w:p w:rsidR="004F6C48" w:rsidRPr="00247465" w:rsidRDefault="004F6C48" w:rsidP="004F6C48">
      <w:pPr>
        <w:pStyle w:val="MIRBodyText"/>
        <w:rPr>
          <w:i/>
        </w:rPr>
      </w:pPr>
      <w:r>
        <w:rPr>
          <w:i/>
        </w:rPr>
        <w:t>add</w:t>
      </w:r>
    </w:p>
    <w:p w:rsidR="004F6C48" w:rsidRPr="00006ABF" w:rsidRDefault="004F6C48" w:rsidP="008F11E0">
      <w:pPr>
        <w:pStyle w:val="MIRSubpara"/>
        <w:numPr>
          <w:ilvl w:val="1"/>
          <w:numId w:val="15"/>
        </w:numPr>
      </w:pPr>
      <w:r w:rsidRPr="00006ABF">
        <w:t>in relation to CGS Depository Interests, has the meaning given by subrule 2.2.1(3).</w:t>
      </w:r>
    </w:p>
    <w:p w:rsidR="00A94E6D" w:rsidRPr="00247465" w:rsidRDefault="00A94E6D" w:rsidP="00FF639D">
      <w:pPr>
        <w:pStyle w:val="MIRHeading3"/>
      </w:pPr>
      <w:r w:rsidRPr="00247465">
        <w:t>[1</w:t>
      </w:r>
      <w:r w:rsidR="00DF21D2">
        <w:t>6</w:t>
      </w:r>
      <w:r w:rsidRPr="00247465">
        <w:t>]</w:t>
      </w:r>
      <w:r w:rsidRPr="00247465">
        <w:tab/>
        <w:t>Rule 1.4.3, definition of “</w:t>
      </w:r>
      <w:r w:rsidR="00DF21D2">
        <w:t>Hidden</w:t>
      </w:r>
      <w:r w:rsidRPr="00247465">
        <w:t>”</w:t>
      </w:r>
    </w:p>
    <w:p w:rsidR="00DF21D2" w:rsidRPr="00DF21D2" w:rsidRDefault="00DF21D2" w:rsidP="00A94E6D">
      <w:pPr>
        <w:pStyle w:val="MIRBodyText"/>
        <w:rPr>
          <w:i/>
        </w:rPr>
      </w:pPr>
      <w:r>
        <w:rPr>
          <w:i/>
        </w:rPr>
        <w:t>after “Rule 4.1.4”</w:t>
      </w:r>
      <w:r w:rsidRPr="00DF21D2">
        <w:rPr>
          <w:i/>
        </w:rPr>
        <w:t>, add</w:t>
      </w:r>
    </w:p>
    <w:p w:rsidR="00A94E6D" w:rsidRPr="00DF21D2" w:rsidRDefault="00DF21D2" w:rsidP="00A94E6D">
      <w:pPr>
        <w:pStyle w:val="MIRBodyText"/>
      </w:pPr>
      <w:r w:rsidRPr="00DF21D2">
        <w:t>(in the case of Equity Market Products) or Rule 4.1.4A (in the case of CGS Depository Interests)</w:t>
      </w:r>
    </w:p>
    <w:p w:rsidR="00A8331C" w:rsidRPr="00247465" w:rsidRDefault="00A8331C" w:rsidP="00A8331C">
      <w:pPr>
        <w:pStyle w:val="MIRHeading3"/>
      </w:pPr>
      <w:r w:rsidRPr="00247465">
        <w:t>[1</w:t>
      </w:r>
      <w:r w:rsidR="002924B8">
        <w:t>7</w:t>
      </w:r>
      <w:r w:rsidRPr="00247465">
        <w:t>]</w:t>
      </w:r>
      <w:r w:rsidRPr="00247465">
        <w:tab/>
        <w:t>Rule 1.4.3, d</w:t>
      </w:r>
      <w:r w:rsidR="002924B8">
        <w:t>efinition of “Invalid</w:t>
      </w:r>
      <w:r w:rsidRPr="00247465">
        <w:t>”</w:t>
      </w:r>
    </w:p>
    <w:p w:rsidR="00A8331C" w:rsidRPr="005239DF" w:rsidRDefault="005239DF" w:rsidP="00A8331C">
      <w:pPr>
        <w:pStyle w:val="MIRBodyText"/>
        <w:rPr>
          <w:i/>
        </w:rPr>
      </w:pPr>
      <w:r w:rsidRPr="005239DF">
        <w:rPr>
          <w:i/>
        </w:rPr>
        <w:t xml:space="preserve">after </w:t>
      </w:r>
      <w:r>
        <w:rPr>
          <w:i/>
        </w:rPr>
        <w:t>“</w:t>
      </w:r>
      <w:r w:rsidR="001D4271" w:rsidRPr="005239DF">
        <w:rPr>
          <w:i/>
        </w:rPr>
        <w:t>Equity Market Product</w:t>
      </w:r>
      <w:r>
        <w:rPr>
          <w:i/>
        </w:rPr>
        <w:t>”, insert</w:t>
      </w:r>
    </w:p>
    <w:p w:rsidR="005239DF" w:rsidRPr="00247465" w:rsidRDefault="005239DF" w:rsidP="005239DF">
      <w:pPr>
        <w:pStyle w:val="MIRBodyText"/>
        <w:rPr>
          <w:i/>
        </w:rPr>
      </w:pPr>
      <w:r w:rsidRPr="005239DF">
        <w:t xml:space="preserve">, CGS Depository Interest </w:t>
      </w:r>
    </w:p>
    <w:p w:rsidR="00017C1B" w:rsidRPr="00247465" w:rsidRDefault="00017C1B" w:rsidP="00017C1B">
      <w:pPr>
        <w:pStyle w:val="MIRHeading3"/>
      </w:pPr>
      <w:r w:rsidRPr="00247465">
        <w:t>[1</w:t>
      </w:r>
      <w:r w:rsidR="00AA40B2">
        <w:t>8</w:t>
      </w:r>
      <w:r w:rsidRPr="00247465">
        <w:t>]</w:t>
      </w:r>
      <w:r w:rsidRPr="00247465">
        <w:tab/>
        <w:t>Rule 1.4.3, d</w:t>
      </w:r>
      <w:r>
        <w:t>efinition of “Opening Transaction</w:t>
      </w:r>
      <w:r w:rsidRPr="00247465">
        <w:t>”</w:t>
      </w:r>
    </w:p>
    <w:p w:rsidR="00017C1B" w:rsidRPr="006B0340" w:rsidRDefault="00537C0F" w:rsidP="00017C1B">
      <w:pPr>
        <w:pStyle w:val="MIRBodyText"/>
        <w:rPr>
          <w:i/>
        </w:rPr>
      </w:pPr>
      <w:r w:rsidRPr="006B0340">
        <w:rPr>
          <w:i/>
        </w:rPr>
        <w:t>after “</w:t>
      </w:r>
      <w:r w:rsidR="00017C1B" w:rsidRPr="006B0340">
        <w:rPr>
          <w:i/>
        </w:rPr>
        <w:t>Equity Market Product</w:t>
      </w:r>
      <w:r w:rsidRPr="006B0340">
        <w:rPr>
          <w:i/>
        </w:rPr>
        <w:t>” (wherever occurring), insert</w:t>
      </w:r>
    </w:p>
    <w:p w:rsidR="00017C1B" w:rsidRPr="00247465" w:rsidRDefault="00537C0F" w:rsidP="00017C1B">
      <w:pPr>
        <w:pStyle w:val="MIRBodyText"/>
        <w:rPr>
          <w:i/>
        </w:rPr>
      </w:pPr>
      <w:r w:rsidRPr="00537C0F">
        <w:lastRenderedPageBreak/>
        <w:t>, CGS Depository Interest</w:t>
      </w:r>
    </w:p>
    <w:p w:rsidR="009C5853" w:rsidRPr="00247465" w:rsidRDefault="009C5853" w:rsidP="00017C1B">
      <w:pPr>
        <w:pStyle w:val="MIRHeading3"/>
      </w:pPr>
      <w:r w:rsidRPr="00247465">
        <w:t>[</w:t>
      </w:r>
      <w:r w:rsidR="00ED2FE4">
        <w:t>19</w:t>
      </w:r>
      <w:r w:rsidRPr="00247465">
        <w:t>]</w:t>
      </w:r>
      <w:r w:rsidRPr="00247465">
        <w:tab/>
        <w:t xml:space="preserve">Rule 1.4.3, </w:t>
      </w:r>
      <w:r w:rsidR="00BE3CB0" w:rsidRPr="00247465">
        <w:t>definition</w:t>
      </w:r>
      <w:r w:rsidRPr="00247465">
        <w:t xml:space="preserve"> of “</w:t>
      </w:r>
      <w:r w:rsidR="00EA1378">
        <w:t>Post-Trade Information</w:t>
      </w:r>
      <w:r w:rsidRPr="00247465">
        <w:t>”</w:t>
      </w:r>
    </w:p>
    <w:p w:rsidR="003228B6" w:rsidRDefault="00EA1378" w:rsidP="003228B6">
      <w:pPr>
        <w:pStyle w:val="MIRBodyText"/>
        <w:rPr>
          <w:i/>
        </w:rPr>
      </w:pPr>
      <w:r>
        <w:rPr>
          <w:i/>
        </w:rPr>
        <w:t>omit the definition, substitute</w:t>
      </w:r>
    </w:p>
    <w:p w:rsidR="00EA1378" w:rsidRPr="00EA1378" w:rsidRDefault="00EA1378" w:rsidP="00EA1378">
      <w:pPr>
        <w:tabs>
          <w:tab w:val="left" w:pos="851"/>
        </w:tabs>
        <w:spacing w:before="200" w:after="0" w:line="300" w:lineRule="atLeast"/>
        <w:ind w:left="851"/>
        <w:rPr>
          <w:szCs w:val="22"/>
        </w:rPr>
      </w:pPr>
      <w:r w:rsidRPr="00EA1378">
        <w:rPr>
          <w:b/>
          <w:i/>
          <w:szCs w:val="22"/>
        </w:rPr>
        <w:t>Post-Trade Information</w:t>
      </w:r>
      <w:r w:rsidRPr="00EA1378">
        <w:rPr>
          <w:szCs w:val="22"/>
        </w:rPr>
        <w:t>:</w:t>
      </w:r>
    </w:p>
    <w:p w:rsidR="00EA1378" w:rsidRPr="00EA1378" w:rsidRDefault="00EA1378" w:rsidP="00EA1378">
      <w:pPr>
        <w:pStyle w:val="MIRSubpara"/>
      </w:pPr>
      <w:r w:rsidRPr="00EA1378">
        <w:t>in relation to Transactions in Equity Market Products,</w:t>
      </w:r>
      <w:r w:rsidRPr="00EA1378">
        <w:rPr>
          <w:b/>
          <w:i/>
        </w:rPr>
        <w:t xml:space="preserve"> </w:t>
      </w:r>
      <w:r w:rsidRPr="00EA1378">
        <w:t>has the meaning given by Rule</w:t>
      </w:r>
      <w:r w:rsidR="00A87540">
        <w:t> </w:t>
      </w:r>
      <w:r w:rsidRPr="00EA1378">
        <w:t>5.1.7; and</w:t>
      </w:r>
    </w:p>
    <w:p w:rsidR="00EA1378" w:rsidRPr="00EA1378" w:rsidRDefault="00EA1378" w:rsidP="00EA1378">
      <w:pPr>
        <w:pStyle w:val="MIRSubpara"/>
      </w:pPr>
      <w:r w:rsidRPr="00EA1378">
        <w:t>in relation to Transactions in CGS Depository Interests, has the meaning given by Rule</w:t>
      </w:r>
      <w:r w:rsidR="00A87540">
        <w:t> </w:t>
      </w:r>
      <w:r w:rsidRPr="00EA1378">
        <w:t>5.1.7A.</w:t>
      </w:r>
    </w:p>
    <w:p w:rsidR="00F07F1E" w:rsidRPr="00247465" w:rsidRDefault="00F07F1E" w:rsidP="00F07F1E">
      <w:pPr>
        <w:pStyle w:val="MIRHeading3"/>
      </w:pPr>
      <w:r w:rsidRPr="00247465">
        <w:t>[</w:t>
      </w:r>
      <w:r w:rsidR="000529D2">
        <w:t>2</w:t>
      </w:r>
      <w:r w:rsidR="00A32E96">
        <w:t>0</w:t>
      </w:r>
      <w:r w:rsidRPr="00247465">
        <w:t>]</w:t>
      </w:r>
      <w:r w:rsidRPr="00247465">
        <w:tab/>
        <w:t>Rule 1.4.3, definition of “</w:t>
      </w:r>
      <w:r w:rsidR="000529D2">
        <w:t>Post-Trading Hours Period</w:t>
      </w:r>
      <w:r w:rsidRPr="00247465">
        <w:t>”</w:t>
      </w:r>
    </w:p>
    <w:p w:rsidR="00F07F1E" w:rsidRPr="00247465" w:rsidRDefault="000529D2" w:rsidP="003228B6">
      <w:pPr>
        <w:pStyle w:val="MIRBodyText"/>
        <w:numPr>
          <w:ilvl w:val="0"/>
          <w:numId w:val="0"/>
        </w:numPr>
        <w:ind w:left="851"/>
        <w:rPr>
          <w:i/>
        </w:rPr>
      </w:pPr>
      <w:r>
        <w:rPr>
          <w:i/>
        </w:rPr>
        <w:t>after “means”, insert</w:t>
      </w:r>
    </w:p>
    <w:p w:rsidR="000529D2" w:rsidRDefault="000529D2" w:rsidP="005724FE">
      <w:pPr>
        <w:pStyle w:val="MIRBodyText"/>
      </w:pPr>
      <w:r>
        <w:t>, in relation to a</w:t>
      </w:r>
      <w:r w:rsidR="00A32E96">
        <w:t>n</w:t>
      </w:r>
      <w:r w:rsidR="00797ABE">
        <w:t xml:space="preserve"> Equity Market Product or CGS Depository Interest</w:t>
      </w:r>
    </w:p>
    <w:p w:rsidR="000529D2" w:rsidRPr="00247465" w:rsidRDefault="000529D2" w:rsidP="000529D2">
      <w:pPr>
        <w:pStyle w:val="MIRHeading3"/>
      </w:pPr>
      <w:r w:rsidRPr="00247465">
        <w:t>[</w:t>
      </w:r>
      <w:r w:rsidR="00BD0ACD">
        <w:t>21</w:t>
      </w:r>
      <w:r w:rsidRPr="00247465">
        <w:t>]</w:t>
      </w:r>
      <w:r w:rsidRPr="00247465">
        <w:tab/>
        <w:t>Rule 1.4.3, definition of “</w:t>
      </w:r>
      <w:r>
        <w:t>Post-Trading Hours Period</w:t>
      </w:r>
      <w:r w:rsidRPr="00247465">
        <w:t>”</w:t>
      </w:r>
      <w:r>
        <w:t>, paragraph (a)</w:t>
      </w:r>
    </w:p>
    <w:p w:rsidR="000529D2" w:rsidRPr="00247465" w:rsidRDefault="000529D2" w:rsidP="000529D2">
      <w:pPr>
        <w:pStyle w:val="MIRBodyText"/>
        <w:numPr>
          <w:ilvl w:val="0"/>
          <w:numId w:val="0"/>
        </w:numPr>
        <w:ind w:left="851"/>
        <w:rPr>
          <w:i/>
        </w:rPr>
      </w:pPr>
      <w:r>
        <w:rPr>
          <w:i/>
        </w:rPr>
        <w:t>after “Markets”, insert</w:t>
      </w:r>
    </w:p>
    <w:p w:rsidR="000529D2" w:rsidRDefault="000529D2" w:rsidP="000529D2">
      <w:pPr>
        <w:pStyle w:val="MIRBodyText"/>
      </w:pPr>
      <w:r>
        <w:t>on which th</w:t>
      </w:r>
      <w:r w:rsidR="003907BA">
        <w:t>at</w:t>
      </w:r>
      <w:r>
        <w:t xml:space="preserve"> </w:t>
      </w:r>
      <w:r w:rsidR="00BD0ACD" w:rsidRPr="00BD0ACD">
        <w:t xml:space="preserve">Equity Market Product or CGS Depository Interest </w:t>
      </w:r>
      <w:r>
        <w:t>is quoted</w:t>
      </w:r>
    </w:p>
    <w:p w:rsidR="00B16767" w:rsidRPr="00247465" w:rsidRDefault="00B16767" w:rsidP="00B16767">
      <w:pPr>
        <w:pStyle w:val="MIRHeading3"/>
      </w:pPr>
      <w:r w:rsidRPr="00247465">
        <w:t>[</w:t>
      </w:r>
      <w:r>
        <w:t>2</w:t>
      </w:r>
      <w:r w:rsidR="00B57A77">
        <w:t>2</w:t>
      </w:r>
      <w:r w:rsidRPr="00247465">
        <w:t>]</w:t>
      </w:r>
      <w:r w:rsidRPr="00247465">
        <w:tab/>
        <w:t>Rule 1.4.3, definition of “</w:t>
      </w:r>
      <w:r>
        <w:t>Post-Trading Hours Period</w:t>
      </w:r>
      <w:r w:rsidRPr="00247465">
        <w:t>”</w:t>
      </w:r>
      <w:r>
        <w:t>, paragraph (b)</w:t>
      </w:r>
    </w:p>
    <w:p w:rsidR="00B16767" w:rsidRPr="00247465" w:rsidRDefault="00B16767" w:rsidP="00B16767">
      <w:pPr>
        <w:pStyle w:val="MIRBodyText"/>
        <w:numPr>
          <w:ilvl w:val="0"/>
          <w:numId w:val="0"/>
        </w:numPr>
        <w:ind w:left="851"/>
        <w:rPr>
          <w:i/>
        </w:rPr>
      </w:pPr>
      <w:r>
        <w:rPr>
          <w:i/>
        </w:rPr>
        <w:t>after “Market”(wherever occurring),  insert</w:t>
      </w:r>
    </w:p>
    <w:p w:rsidR="00B16767" w:rsidRDefault="003907BA" w:rsidP="00B16767">
      <w:pPr>
        <w:pStyle w:val="MIRBodyText"/>
      </w:pPr>
      <w:r>
        <w:t>on which that</w:t>
      </w:r>
      <w:r w:rsidR="00B16767">
        <w:t xml:space="preserve"> </w:t>
      </w:r>
      <w:r w:rsidR="00B57A77" w:rsidRPr="00B57A77">
        <w:t>Equity Market Product or CGS Depository Interest</w:t>
      </w:r>
      <w:r w:rsidR="00B16767">
        <w:t xml:space="preserve"> is quoted</w:t>
      </w:r>
    </w:p>
    <w:p w:rsidR="00C73085" w:rsidRPr="00247465" w:rsidRDefault="00C73085" w:rsidP="00C73085">
      <w:pPr>
        <w:pStyle w:val="MIRHeading3"/>
      </w:pPr>
      <w:r w:rsidRPr="00247465">
        <w:t>[</w:t>
      </w:r>
      <w:r w:rsidR="004E13E9" w:rsidRPr="00247465">
        <w:t>2</w:t>
      </w:r>
      <w:r w:rsidR="00D34F05">
        <w:t>3</w:t>
      </w:r>
      <w:r w:rsidRPr="00247465">
        <w:t>]</w:t>
      </w:r>
      <w:r w:rsidRPr="00247465">
        <w:tab/>
        <w:t>Rule 1.4.3, definition of “</w:t>
      </w:r>
      <w:r w:rsidR="00072841">
        <w:t>Pre-Trade Information</w:t>
      </w:r>
      <w:r w:rsidRPr="00247465">
        <w:t>”</w:t>
      </w:r>
    </w:p>
    <w:p w:rsidR="00064274" w:rsidRPr="00247465" w:rsidRDefault="00234711" w:rsidP="00C73085">
      <w:pPr>
        <w:pStyle w:val="MIRBodyText"/>
      </w:pPr>
      <w:r w:rsidRPr="00247465">
        <w:rPr>
          <w:i/>
        </w:rPr>
        <w:t xml:space="preserve">omit the definition, </w:t>
      </w:r>
      <w:r w:rsidR="00064274" w:rsidRPr="00247465">
        <w:rPr>
          <w:i/>
        </w:rPr>
        <w:t xml:space="preserve">substitute </w:t>
      </w:r>
    </w:p>
    <w:p w:rsidR="00072841" w:rsidRPr="00072841" w:rsidRDefault="00072841" w:rsidP="00072841">
      <w:pPr>
        <w:tabs>
          <w:tab w:val="left" w:pos="851"/>
        </w:tabs>
        <w:spacing w:before="200" w:after="0" w:line="300" w:lineRule="atLeast"/>
        <w:ind w:left="851"/>
        <w:rPr>
          <w:szCs w:val="22"/>
        </w:rPr>
      </w:pPr>
      <w:r w:rsidRPr="00072841">
        <w:rPr>
          <w:b/>
          <w:i/>
          <w:szCs w:val="22"/>
        </w:rPr>
        <w:t>Pre-Trade Information</w:t>
      </w:r>
      <w:r w:rsidRPr="00072841">
        <w:rPr>
          <w:szCs w:val="22"/>
        </w:rPr>
        <w:t>:</w:t>
      </w:r>
    </w:p>
    <w:p w:rsidR="00072841" w:rsidRPr="00072841" w:rsidRDefault="00072841" w:rsidP="008F11E0">
      <w:pPr>
        <w:pStyle w:val="MIRSubpara"/>
        <w:numPr>
          <w:ilvl w:val="0"/>
          <w:numId w:val="16"/>
        </w:numPr>
      </w:pPr>
      <w:r w:rsidRPr="00072841">
        <w:t>in</w:t>
      </w:r>
      <w:r w:rsidRPr="00072841">
        <w:rPr>
          <w:b/>
        </w:rPr>
        <w:t xml:space="preserve"> </w:t>
      </w:r>
      <w:r w:rsidRPr="00072841">
        <w:t>relation to Orders in Equity Market Products,</w:t>
      </w:r>
      <w:r w:rsidRPr="00072841">
        <w:rPr>
          <w:b/>
          <w:i/>
        </w:rPr>
        <w:t xml:space="preserve"> </w:t>
      </w:r>
      <w:r w:rsidRPr="00072841">
        <w:t>has the meaning given by Rule 4.1.4; and</w:t>
      </w:r>
    </w:p>
    <w:p w:rsidR="00072841" w:rsidRPr="00072841" w:rsidRDefault="00072841" w:rsidP="00072841">
      <w:pPr>
        <w:pStyle w:val="MIRSubpara"/>
      </w:pPr>
      <w:r w:rsidRPr="00072841">
        <w:t>in relation to Orders in CGS Depository Interests, has the meaning given by Rule</w:t>
      </w:r>
      <w:r w:rsidR="00A87540">
        <w:t> </w:t>
      </w:r>
      <w:r w:rsidRPr="00072841">
        <w:t>4.1.4A.</w:t>
      </w:r>
    </w:p>
    <w:p w:rsidR="004A71B5" w:rsidRPr="00247465" w:rsidRDefault="004A71B5" w:rsidP="00A2325A">
      <w:pPr>
        <w:pStyle w:val="MIRHeading3"/>
      </w:pPr>
      <w:r w:rsidRPr="00247465">
        <w:t>[</w:t>
      </w:r>
      <w:r w:rsidR="00F3672F">
        <w:t>2</w:t>
      </w:r>
      <w:r w:rsidR="00D34F05">
        <w:t>4</w:t>
      </w:r>
      <w:r w:rsidRPr="00247465">
        <w:t>]</w:t>
      </w:r>
      <w:r w:rsidRPr="00247465">
        <w:tab/>
        <w:t xml:space="preserve">Rule 1.4.3, definition of </w:t>
      </w:r>
      <w:r w:rsidR="00F3672F">
        <w:t>“Pre-Trade Transparent</w:t>
      </w:r>
      <w:r w:rsidRPr="00247465">
        <w:t>”</w:t>
      </w:r>
      <w:r w:rsidR="00F3672F">
        <w:t>, paragraph (b)</w:t>
      </w:r>
    </w:p>
    <w:p w:rsidR="004051D3" w:rsidRPr="00247465" w:rsidRDefault="000E5521" w:rsidP="004051D3">
      <w:pPr>
        <w:pStyle w:val="MIRBodyText"/>
        <w:numPr>
          <w:ilvl w:val="0"/>
          <w:numId w:val="0"/>
        </w:numPr>
        <w:ind w:left="851"/>
        <w:rPr>
          <w:i/>
        </w:rPr>
      </w:pPr>
      <w:r>
        <w:rPr>
          <w:i/>
        </w:rPr>
        <w:t xml:space="preserve">after “Rule 4.1.4”, </w:t>
      </w:r>
      <w:r w:rsidR="00BE68C6" w:rsidRPr="00247465">
        <w:rPr>
          <w:i/>
        </w:rPr>
        <w:t>insert</w:t>
      </w:r>
    </w:p>
    <w:p w:rsidR="004051D3" w:rsidRPr="00247465" w:rsidRDefault="000E5521" w:rsidP="004051D3">
      <w:pPr>
        <w:pStyle w:val="MIRBodyText"/>
        <w:rPr>
          <w:noProof/>
        </w:rPr>
      </w:pPr>
      <w:r w:rsidRPr="00D82874">
        <w:t>(in the case of Equity Market Products) or Rule 4.1.4A (in the case of CGS Depository Interests)</w:t>
      </w:r>
      <w:r w:rsidR="004051D3" w:rsidRPr="00247465">
        <w:rPr>
          <w:noProof/>
        </w:rPr>
        <w:t xml:space="preserve"> </w:t>
      </w:r>
    </w:p>
    <w:p w:rsidR="00CF308B" w:rsidRPr="00247465" w:rsidRDefault="00CF308B" w:rsidP="00CF308B">
      <w:pPr>
        <w:pStyle w:val="MIRHeading3"/>
      </w:pPr>
      <w:r w:rsidRPr="00247465">
        <w:lastRenderedPageBreak/>
        <w:t>[</w:t>
      </w:r>
      <w:r w:rsidR="009F55EF" w:rsidRPr="00247465">
        <w:t>2</w:t>
      </w:r>
      <w:r w:rsidR="00B45214">
        <w:t>5</w:t>
      </w:r>
      <w:r w:rsidRPr="00247465">
        <w:t>]</w:t>
      </w:r>
      <w:r w:rsidRPr="00247465">
        <w:tab/>
        <w:t>Rule 1.4.3, definition of “</w:t>
      </w:r>
      <w:r w:rsidR="008051B3">
        <w:t>Pre-Trading Hours Period</w:t>
      </w:r>
      <w:r w:rsidRPr="00247465">
        <w:t>”</w:t>
      </w:r>
    </w:p>
    <w:p w:rsidR="00165C41" w:rsidRPr="00165C41" w:rsidRDefault="00165C41" w:rsidP="008051B3">
      <w:pPr>
        <w:tabs>
          <w:tab w:val="left" w:pos="851"/>
        </w:tabs>
        <w:spacing w:before="200" w:after="0" w:line="300" w:lineRule="atLeast"/>
        <w:ind w:left="851"/>
        <w:rPr>
          <w:i/>
          <w:szCs w:val="22"/>
        </w:rPr>
      </w:pPr>
      <w:r>
        <w:rPr>
          <w:i/>
          <w:szCs w:val="22"/>
        </w:rPr>
        <w:t>omit the definition, substitute</w:t>
      </w:r>
    </w:p>
    <w:p w:rsidR="008051B3" w:rsidRPr="008051B3" w:rsidRDefault="008051B3" w:rsidP="008051B3">
      <w:pPr>
        <w:tabs>
          <w:tab w:val="left" w:pos="851"/>
        </w:tabs>
        <w:spacing w:before="200" w:after="0" w:line="300" w:lineRule="atLeast"/>
        <w:ind w:left="851"/>
        <w:rPr>
          <w:szCs w:val="22"/>
        </w:rPr>
      </w:pPr>
      <w:r w:rsidRPr="008051B3">
        <w:rPr>
          <w:b/>
          <w:i/>
          <w:szCs w:val="22"/>
        </w:rPr>
        <w:t>Pre-Trading Hours Period</w:t>
      </w:r>
      <w:r w:rsidRPr="008051B3">
        <w:rPr>
          <w:szCs w:val="22"/>
        </w:rPr>
        <w:t xml:space="preserve"> means:</w:t>
      </w:r>
    </w:p>
    <w:p w:rsidR="008051B3" w:rsidRPr="008051B3" w:rsidRDefault="008051B3" w:rsidP="008F11E0">
      <w:pPr>
        <w:pStyle w:val="MIRSubpara"/>
        <w:numPr>
          <w:ilvl w:val="0"/>
          <w:numId w:val="17"/>
        </w:numPr>
      </w:pPr>
      <w:r w:rsidRPr="008051B3">
        <w:t>in the case of an Equity Market Product, the period on a Trading Day from three hours before the start of Trading Hours for ASX TradeMatch to 15 minutes before the start of Trading Hours for ASX TradeMatch; and</w:t>
      </w:r>
    </w:p>
    <w:p w:rsidR="008051B3" w:rsidRDefault="008051B3" w:rsidP="008051B3">
      <w:pPr>
        <w:pStyle w:val="MIRSubpara"/>
      </w:pPr>
      <w:r w:rsidRPr="008051B3">
        <w:t>in the case of a CGS Depository Interest, the period on a Trading Day from three hours before the start of Trading Hours for the Market of the Responsible Market Operator for CGS Depository Interests to 15 minutes before the start of Trading Hours for that Market.</w:t>
      </w:r>
    </w:p>
    <w:p w:rsidR="00CF308B" w:rsidRPr="00247465" w:rsidRDefault="00693084" w:rsidP="00CF308B">
      <w:pPr>
        <w:pStyle w:val="MIRHeading3"/>
      </w:pPr>
      <w:bookmarkStart w:id="0" w:name="_Hlk334026445"/>
      <w:r w:rsidRPr="00247465">
        <w:t>[2</w:t>
      </w:r>
      <w:r w:rsidR="00B45214">
        <w:t>6</w:t>
      </w:r>
      <w:r w:rsidR="00CF308B" w:rsidRPr="00247465">
        <w:t>]</w:t>
      </w:r>
      <w:r w:rsidR="00CF308B" w:rsidRPr="00247465">
        <w:tab/>
        <w:t>Rule 1.4.3, definition of “</w:t>
      </w:r>
      <w:r w:rsidR="00BE4064">
        <w:t>Reference Bid</w:t>
      </w:r>
      <w:r w:rsidR="00CF308B" w:rsidRPr="00247465">
        <w:t>”</w:t>
      </w:r>
    </w:p>
    <w:p w:rsidR="00CF1B40" w:rsidRDefault="00B45214" w:rsidP="00CF308B">
      <w:pPr>
        <w:pStyle w:val="MIRBodyText"/>
        <w:numPr>
          <w:ilvl w:val="0"/>
          <w:numId w:val="0"/>
        </w:numPr>
        <w:ind w:left="851"/>
        <w:rPr>
          <w:i/>
        </w:rPr>
      </w:pPr>
      <w:r>
        <w:rPr>
          <w:i/>
        </w:rPr>
        <w:t>after “</w:t>
      </w:r>
      <w:r w:rsidRPr="00B45214">
        <w:rPr>
          <w:i/>
        </w:rPr>
        <w:t>Equity Market Products</w:t>
      </w:r>
      <w:r>
        <w:rPr>
          <w:i/>
        </w:rPr>
        <w:t>”</w:t>
      </w:r>
      <w:r w:rsidR="00300281">
        <w:rPr>
          <w:i/>
        </w:rPr>
        <w:t xml:space="preserve"> </w:t>
      </w:r>
      <w:r w:rsidR="00CF1B40" w:rsidRPr="00CF1B40">
        <w:rPr>
          <w:i/>
        </w:rPr>
        <w:t>(wherever occurring)</w:t>
      </w:r>
      <w:r>
        <w:rPr>
          <w:i/>
        </w:rPr>
        <w:t>, insert</w:t>
      </w:r>
    </w:p>
    <w:p w:rsidR="00227FB1" w:rsidRPr="00227FB1" w:rsidRDefault="00B45214" w:rsidP="00CF308B">
      <w:pPr>
        <w:pStyle w:val="MIRBodyText"/>
        <w:numPr>
          <w:ilvl w:val="0"/>
          <w:numId w:val="0"/>
        </w:numPr>
        <w:ind w:left="851"/>
      </w:pPr>
      <w:r>
        <w:t>or CGS Depository Interests</w:t>
      </w:r>
    </w:p>
    <w:bookmarkEnd w:id="0"/>
    <w:p w:rsidR="006568AC" w:rsidRPr="00247465" w:rsidRDefault="006568AC" w:rsidP="006568AC">
      <w:pPr>
        <w:pStyle w:val="MIRHeading3"/>
      </w:pPr>
      <w:r w:rsidRPr="00247465">
        <w:t>[2</w:t>
      </w:r>
      <w:r w:rsidR="003A6DC9">
        <w:t>7</w:t>
      </w:r>
      <w:r w:rsidRPr="00247465">
        <w:t>]</w:t>
      </w:r>
      <w:r w:rsidRPr="00247465">
        <w:tab/>
        <w:t>Rule 1.4.3, definition of “</w:t>
      </w:r>
      <w:r>
        <w:t>Reference Offer</w:t>
      </w:r>
      <w:r w:rsidRPr="00247465">
        <w:t>”</w:t>
      </w:r>
    </w:p>
    <w:p w:rsidR="00B45214" w:rsidRPr="00B45214" w:rsidRDefault="00B45214" w:rsidP="00B45214">
      <w:pPr>
        <w:pStyle w:val="MIRBodyText"/>
        <w:rPr>
          <w:i/>
        </w:rPr>
      </w:pPr>
      <w:r w:rsidRPr="00B45214">
        <w:rPr>
          <w:i/>
        </w:rPr>
        <w:t>after “Equity Market Products” (wherever occurring), insert</w:t>
      </w:r>
    </w:p>
    <w:p w:rsidR="00B45214" w:rsidRPr="00B45214" w:rsidRDefault="00B45214" w:rsidP="00B45214">
      <w:pPr>
        <w:pStyle w:val="MIRBodyText"/>
      </w:pPr>
      <w:r w:rsidRPr="00B45214">
        <w:t>or CGS Depository Interests</w:t>
      </w:r>
    </w:p>
    <w:p w:rsidR="00AD18E4" w:rsidRPr="00247465" w:rsidRDefault="00AD18E4" w:rsidP="006568AC">
      <w:pPr>
        <w:pStyle w:val="MIRHeading3"/>
      </w:pPr>
      <w:r w:rsidRPr="00247465">
        <w:t>[2</w:t>
      </w:r>
      <w:r w:rsidR="003A6DC9">
        <w:t>8</w:t>
      </w:r>
      <w:r w:rsidRPr="00247465">
        <w:t>]</w:t>
      </w:r>
      <w:r w:rsidRPr="00247465">
        <w:tab/>
        <w:t>Rule 1.4.</w:t>
      </w:r>
      <w:r w:rsidR="0061312B">
        <w:t>3, definition of “Responsible Market Operator</w:t>
      </w:r>
      <w:r w:rsidRPr="00247465">
        <w:t>”</w:t>
      </w:r>
      <w:r w:rsidR="00B534DC">
        <w:t>, paragraph (a)</w:t>
      </w:r>
    </w:p>
    <w:p w:rsidR="00B534DC" w:rsidRDefault="002F122C" w:rsidP="00AD18E4">
      <w:pPr>
        <w:pStyle w:val="MIRBodyText"/>
        <w:numPr>
          <w:ilvl w:val="0"/>
          <w:numId w:val="0"/>
        </w:numPr>
        <w:ind w:left="851"/>
        <w:rPr>
          <w:i/>
        </w:rPr>
      </w:pPr>
      <w:r>
        <w:rPr>
          <w:i/>
        </w:rPr>
        <w:t>o</w:t>
      </w:r>
      <w:r w:rsidR="00AD18E4" w:rsidRPr="00247465">
        <w:rPr>
          <w:i/>
        </w:rPr>
        <w:t>mit</w:t>
      </w:r>
    </w:p>
    <w:p w:rsidR="00B534DC" w:rsidRDefault="00B534DC" w:rsidP="00AD18E4">
      <w:pPr>
        <w:pStyle w:val="MIRBodyText"/>
        <w:numPr>
          <w:ilvl w:val="0"/>
          <w:numId w:val="0"/>
        </w:numPr>
        <w:ind w:left="851"/>
      </w:pPr>
      <w:r>
        <w:t>and</w:t>
      </w:r>
    </w:p>
    <w:p w:rsidR="002F122C" w:rsidRPr="00247465" w:rsidRDefault="002F122C" w:rsidP="002F122C">
      <w:pPr>
        <w:pStyle w:val="MIRHeading3"/>
      </w:pPr>
      <w:r w:rsidRPr="00247465">
        <w:t>[</w:t>
      </w:r>
      <w:r w:rsidR="003A6DC9">
        <w:t>29</w:t>
      </w:r>
      <w:r w:rsidRPr="00247465">
        <w:t>]</w:t>
      </w:r>
      <w:r w:rsidRPr="00247465">
        <w:tab/>
        <w:t>Rule 1.4.</w:t>
      </w:r>
      <w:r>
        <w:t>3, definition of “Responsible Market Operator</w:t>
      </w:r>
      <w:r w:rsidRPr="00247465">
        <w:t>”</w:t>
      </w:r>
      <w:r>
        <w:t>, paragraph (b)</w:t>
      </w:r>
    </w:p>
    <w:p w:rsidR="002F122C" w:rsidRDefault="002F122C" w:rsidP="002F122C">
      <w:pPr>
        <w:pStyle w:val="MIRBodyText"/>
        <w:numPr>
          <w:ilvl w:val="0"/>
          <w:numId w:val="0"/>
        </w:numPr>
        <w:ind w:left="851"/>
        <w:rPr>
          <w:i/>
        </w:rPr>
      </w:pPr>
      <w:r>
        <w:rPr>
          <w:i/>
        </w:rPr>
        <w:t>omit</w:t>
      </w:r>
    </w:p>
    <w:p w:rsidR="002F122C" w:rsidRDefault="002F122C" w:rsidP="002F122C">
      <w:pPr>
        <w:pStyle w:val="MIRBodyText"/>
        <w:numPr>
          <w:ilvl w:val="0"/>
          <w:numId w:val="0"/>
        </w:numPr>
        <w:ind w:left="851"/>
      </w:pPr>
      <w:r>
        <w:t>.</w:t>
      </w:r>
    </w:p>
    <w:p w:rsidR="002F122C" w:rsidRDefault="002F122C" w:rsidP="002F122C">
      <w:pPr>
        <w:pStyle w:val="MIRBodyText"/>
        <w:numPr>
          <w:ilvl w:val="0"/>
          <w:numId w:val="0"/>
        </w:numPr>
        <w:ind w:left="851"/>
        <w:rPr>
          <w:i/>
        </w:rPr>
      </w:pPr>
      <w:r>
        <w:rPr>
          <w:i/>
        </w:rPr>
        <w:t>substitute</w:t>
      </w:r>
    </w:p>
    <w:p w:rsidR="002F122C" w:rsidRPr="002F122C" w:rsidRDefault="002F122C" w:rsidP="002F122C">
      <w:pPr>
        <w:pStyle w:val="MIRBodyText"/>
        <w:numPr>
          <w:ilvl w:val="0"/>
          <w:numId w:val="0"/>
        </w:numPr>
        <w:ind w:left="851"/>
      </w:pPr>
      <w:r>
        <w:t>; and</w:t>
      </w:r>
    </w:p>
    <w:p w:rsidR="00344355" w:rsidRPr="00247465" w:rsidRDefault="00344355" w:rsidP="00344355">
      <w:pPr>
        <w:pStyle w:val="MIRHeading3"/>
      </w:pPr>
      <w:r w:rsidRPr="00247465">
        <w:t>[</w:t>
      </w:r>
      <w:r>
        <w:t>3</w:t>
      </w:r>
      <w:r w:rsidR="003A6DC9">
        <w:t>0</w:t>
      </w:r>
      <w:r w:rsidRPr="00247465">
        <w:t>]</w:t>
      </w:r>
      <w:r w:rsidRPr="00247465">
        <w:tab/>
        <w:t>Rule 1.4.</w:t>
      </w:r>
      <w:r>
        <w:t>3, definition of “Responsible Market Operator</w:t>
      </w:r>
      <w:r w:rsidRPr="00247465">
        <w:t>”</w:t>
      </w:r>
      <w:r w:rsidR="007C775F">
        <w:t>, after paragraph (b)</w:t>
      </w:r>
    </w:p>
    <w:p w:rsidR="00344355" w:rsidRDefault="00344355" w:rsidP="00344355">
      <w:pPr>
        <w:pStyle w:val="MIRBodyText"/>
        <w:numPr>
          <w:ilvl w:val="0"/>
          <w:numId w:val="0"/>
        </w:numPr>
        <w:ind w:left="851"/>
        <w:rPr>
          <w:i/>
        </w:rPr>
      </w:pPr>
      <w:r>
        <w:rPr>
          <w:i/>
        </w:rPr>
        <w:t>add</w:t>
      </w:r>
    </w:p>
    <w:p w:rsidR="00344355" w:rsidRDefault="003E3B16" w:rsidP="006A758D">
      <w:pPr>
        <w:pStyle w:val="MIRSubpara"/>
      </w:pPr>
      <w:r w:rsidRPr="003E3B16">
        <w:t>in relation to CGS Depository Interests, the Market Operator determined in accordance with Rule 1.4.4.</w:t>
      </w:r>
    </w:p>
    <w:p w:rsidR="00AD18E4" w:rsidRPr="00247465" w:rsidRDefault="00AD18E4" w:rsidP="00344355">
      <w:pPr>
        <w:pStyle w:val="MIRHeading3"/>
      </w:pPr>
      <w:r w:rsidRPr="00247465">
        <w:lastRenderedPageBreak/>
        <w:t>[</w:t>
      </w:r>
      <w:r w:rsidR="003B3B9D">
        <w:t>3</w:t>
      </w:r>
      <w:r w:rsidR="001B6988">
        <w:t>1</w:t>
      </w:r>
      <w:r w:rsidRPr="00247465">
        <w:t>]</w:t>
      </w:r>
      <w:r w:rsidRPr="00247465">
        <w:tab/>
        <w:t>Rule 1.4.3, definition of “</w:t>
      </w:r>
      <w:r w:rsidR="003B3B9D">
        <w:t>Tick Size</w:t>
      </w:r>
      <w:r w:rsidRPr="00247465">
        <w:t>”</w:t>
      </w:r>
      <w:r w:rsidR="00FF75CD">
        <w:t>, paragraph (a)</w:t>
      </w:r>
    </w:p>
    <w:p w:rsidR="00FF75CD" w:rsidRDefault="00FF75CD" w:rsidP="00AD18E4">
      <w:pPr>
        <w:pStyle w:val="MIRBodyText"/>
        <w:numPr>
          <w:ilvl w:val="0"/>
          <w:numId w:val="0"/>
        </w:numPr>
        <w:ind w:left="851"/>
        <w:rPr>
          <w:i/>
        </w:rPr>
      </w:pPr>
      <w:r>
        <w:rPr>
          <w:i/>
        </w:rPr>
        <w:t>after “Equity Market Product” (wherever occurring), insert</w:t>
      </w:r>
    </w:p>
    <w:p w:rsidR="00AD18E4" w:rsidRPr="00FF75CD" w:rsidRDefault="00FF75CD" w:rsidP="00AD18E4">
      <w:pPr>
        <w:pStyle w:val="MIRBodyText"/>
        <w:numPr>
          <w:ilvl w:val="0"/>
          <w:numId w:val="0"/>
        </w:numPr>
        <w:ind w:left="851"/>
      </w:pPr>
      <w:r w:rsidRPr="00FF75CD">
        <w:t>or CGS Depository Interest</w:t>
      </w:r>
    </w:p>
    <w:p w:rsidR="00EA011C" w:rsidRPr="00247465" w:rsidRDefault="00EA011C" w:rsidP="00EA011C">
      <w:pPr>
        <w:pStyle w:val="MIRHeading3"/>
      </w:pPr>
      <w:r w:rsidRPr="00247465">
        <w:t>[</w:t>
      </w:r>
      <w:r w:rsidR="00250D6E">
        <w:t>3</w:t>
      </w:r>
      <w:r w:rsidR="001B6988">
        <w:t>2</w:t>
      </w:r>
      <w:r w:rsidRPr="00247465">
        <w:t>]</w:t>
      </w:r>
      <w:r w:rsidRPr="00247465">
        <w:tab/>
        <w:t>Rule 1.4.3, definition of “</w:t>
      </w:r>
      <w:r w:rsidR="00517698">
        <w:t>Time Priority</w:t>
      </w:r>
      <w:r w:rsidRPr="00247465">
        <w:t>”</w:t>
      </w:r>
    </w:p>
    <w:p w:rsidR="00AD18E4" w:rsidRPr="00247465" w:rsidRDefault="001B6988" w:rsidP="00AD18E4">
      <w:pPr>
        <w:pStyle w:val="MIRBodyText"/>
        <w:numPr>
          <w:ilvl w:val="0"/>
          <w:numId w:val="0"/>
        </w:numPr>
        <w:ind w:left="851"/>
      </w:pPr>
      <w:r>
        <w:t>after “</w:t>
      </w:r>
      <w:r w:rsidR="00EA011C" w:rsidRPr="00247465">
        <w:t>Equity Market Products</w:t>
      </w:r>
      <w:r>
        <w:t>”, insert</w:t>
      </w:r>
    </w:p>
    <w:p w:rsidR="00EA011C" w:rsidRPr="00247465" w:rsidRDefault="001B6988" w:rsidP="00AD18E4">
      <w:pPr>
        <w:pStyle w:val="MIRBodyText"/>
      </w:pPr>
      <w:r>
        <w:t xml:space="preserve">or CGS Depository Interests </w:t>
      </w:r>
    </w:p>
    <w:p w:rsidR="00FC1157" w:rsidRPr="00247465" w:rsidRDefault="00FC1157" w:rsidP="00FC1157">
      <w:pPr>
        <w:pStyle w:val="MIRHeading3"/>
      </w:pPr>
      <w:r w:rsidRPr="00247465">
        <w:t>[</w:t>
      </w:r>
      <w:r w:rsidR="00CB0C91">
        <w:t>3</w:t>
      </w:r>
      <w:r w:rsidR="00E256EC">
        <w:t>3</w:t>
      </w:r>
      <w:r w:rsidRPr="00247465">
        <w:t>]</w:t>
      </w:r>
      <w:r w:rsidRPr="00247465">
        <w:tab/>
        <w:t>Rule 1.4.3, definition of “</w:t>
      </w:r>
      <w:r w:rsidR="00CB0C91">
        <w:t>Trade Report</w:t>
      </w:r>
      <w:r w:rsidRPr="00247465">
        <w:t>”</w:t>
      </w:r>
      <w:r w:rsidR="00CB0C91">
        <w:t>, paragraph (a)</w:t>
      </w:r>
    </w:p>
    <w:p w:rsidR="00FC1157" w:rsidRPr="0087648B" w:rsidRDefault="004747E0" w:rsidP="00FC1157">
      <w:pPr>
        <w:pStyle w:val="MIRBodyText"/>
        <w:numPr>
          <w:ilvl w:val="0"/>
          <w:numId w:val="0"/>
        </w:numPr>
        <w:ind w:left="851"/>
        <w:rPr>
          <w:i/>
        </w:rPr>
      </w:pPr>
      <w:r w:rsidRPr="0087648B">
        <w:rPr>
          <w:i/>
        </w:rPr>
        <w:t>after “</w:t>
      </w:r>
      <w:r w:rsidR="00FC1157" w:rsidRPr="0087648B">
        <w:rPr>
          <w:i/>
        </w:rPr>
        <w:t>Equity Market Product</w:t>
      </w:r>
      <w:r w:rsidRPr="0087648B">
        <w:rPr>
          <w:i/>
        </w:rPr>
        <w:t>”, insert</w:t>
      </w:r>
    </w:p>
    <w:p w:rsidR="00FC1157" w:rsidRPr="00247465" w:rsidRDefault="004747E0" w:rsidP="00FC1157">
      <w:pPr>
        <w:pStyle w:val="MIRBodyText"/>
      </w:pPr>
      <w:r>
        <w:t>or CGS Depository Interest</w:t>
      </w:r>
    </w:p>
    <w:p w:rsidR="00D546C9" w:rsidRPr="00247465" w:rsidRDefault="00D546C9" w:rsidP="00D546C9">
      <w:pPr>
        <w:pStyle w:val="MIRHeading3"/>
      </w:pPr>
      <w:r w:rsidRPr="00247465">
        <w:t>[</w:t>
      </w:r>
      <w:r w:rsidR="005B7768">
        <w:t>3</w:t>
      </w:r>
      <w:r w:rsidR="00E256EC">
        <w:t>4</w:t>
      </w:r>
      <w:r w:rsidRPr="00247465">
        <w:t>]</w:t>
      </w:r>
      <w:r w:rsidRPr="00247465">
        <w:tab/>
        <w:t>Rule 1.4.3, definition of “</w:t>
      </w:r>
      <w:r>
        <w:t>Trade Report</w:t>
      </w:r>
      <w:r w:rsidRPr="00247465">
        <w:t>”</w:t>
      </w:r>
      <w:r>
        <w:t>, paragraph (b)</w:t>
      </w:r>
    </w:p>
    <w:p w:rsidR="00E256EC" w:rsidRPr="0087648B" w:rsidRDefault="00E256EC" w:rsidP="00E256EC">
      <w:pPr>
        <w:pStyle w:val="MIRBodyText"/>
        <w:numPr>
          <w:ilvl w:val="0"/>
          <w:numId w:val="0"/>
        </w:numPr>
        <w:ind w:left="851"/>
        <w:rPr>
          <w:i/>
        </w:rPr>
      </w:pPr>
      <w:r w:rsidRPr="0087648B">
        <w:rPr>
          <w:i/>
        </w:rPr>
        <w:t>after “Equity Market Product</w:t>
      </w:r>
      <w:r>
        <w:rPr>
          <w:i/>
        </w:rPr>
        <w:t>,</w:t>
      </w:r>
      <w:r w:rsidRPr="0087648B">
        <w:rPr>
          <w:i/>
        </w:rPr>
        <w:t>”, insert</w:t>
      </w:r>
    </w:p>
    <w:p w:rsidR="00E256EC" w:rsidRPr="00247465" w:rsidRDefault="00E256EC" w:rsidP="00E256EC">
      <w:pPr>
        <w:pStyle w:val="MIRBodyText"/>
      </w:pPr>
      <w:r>
        <w:t>a CGS Depository Interest,</w:t>
      </w:r>
    </w:p>
    <w:p w:rsidR="005F67CA" w:rsidRPr="00247465" w:rsidRDefault="005F67CA" w:rsidP="005F67CA">
      <w:pPr>
        <w:pStyle w:val="MIRHeading3"/>
      </w:pPr>
      <w:r w:rsidRPr="00247465">
        <w:t>[</w:t>
      </w:r>
      <w:r>
        <w:t>35</w:t>
      </w:r>
      <w:r w:rsidRPr="00247465">
        <w:t>]</w:t>
      </w:r>
      <w:r w:rsidRPr="00247465">
        <w:tab/>
        <w:t>Rule 1.4.3, definition of “</w:t>
      </w:r>
      <w:r>
        <w:t>Trading Information</w:t>
      </w:r>
      <w:r w:rsidRPr="00247465">
        <w:t>”</w:t>
      </w:r>
    </w:p>
    <w:p w:rsidR="005F67CA" w:rsidRPr="0087648B" w:rsidRDefault="005F67CA" w:rsidP="005F67CA">
      <w:pPr>
        <w:pStyle w:val="MIRBodyText"/>
        <w:numPr>
          <w:ilvl w:val="0"/>
          <w:numId w:val="0"/>
        </w:numPr>
        <w:ind w:left="851"/>
        <w:rPr>
          <w:i/>
        </w:rPr>
      </w:pPr>
      <w:r>
        <w:rPr>
          <w:i/>
        </w:rPr>
        <w:t>omit the definition, substitute</w:t>
      </w:r>
    </w:p>
    <w:p w:rsidR="005F67CA" w:rsidRPr="005F67CA" w:rsidRDefault="005F67CA" w:rsidP="005F67CA">
      <w:pPr>
        <w:tabs>
          <w:tab w:val="left" w:pos="851"/>
        </w:tabs>
        <w:spacing w:before="200" w:after="0" w:line="300" w:lineRule="atLeast"/>
        <w:ind w:left="851"/>
        <w:rPr>
          <w:szCs w:val="22"/>
        </w:rPr>
      </w:pPr>
      <w:r w:rsidRPr="005F67CA">
        <w:rPr>
          <w:b/>
          <w:i/>
          <w:szCs w:val="22"/>
        </w:rPr>
        <w:t>Trading Information</w:t>
      </w:r>
      <w:r w:rsidRPr="005F67CA">
        <w:rPr>
          <w:szCs w:val="22"/>
        </w:rPr>
        <w:t xml:space="preserve"> means:</w:t>
      </w:r>
    </w:p>
    <w:p w:rsidR="005F67CA" w:rsidRPr="005F67CA" w:rsidRDefault="005F67CA" w:rsidP="005F67CA">
      <w:pPr>
        <w:pStyle w:val="MIRSubpara"/>
        <w:numPr>
          <w:ilvl w:val="0"/>
          <w:numId w:val="24"/>
        </w:numPr>
      </w:pPr>
      <w:r w:rsidRPr="005F67CA">
        <w:t>in</w:t>
      </w:r>
      <w:r w:rsidRPr="005F67CA">
        <w:rPr>
          <w:b/>
        </w:rPr>
        <w:t xml:space="preserve"> </w:t>
      </w:r>
      <w:r w:rsidRPr="005F67CA">
        <w:t>relation to Equity Market Products,</w:t>
      </w:r>
      <w:r w:rsidRPr="005F67CA">
        <w:rPr>
          <w:b/>
          <w:i/>
        </w:rPr>
        <w:t xml:space="preserve"> </w:t>
      </w:r>
      <w:r w:rsidRPr="005F67CA">
        <w:t>has the meaning given by subrule 5.1.6(2); and</w:t>
      </w:r>
    </w:p>
    <w:p w:rsidR="005F67CA" w:rsidRPr="005F67CA" w:rsidRDefault="005F67CA" w:rsidP="005F67CA">
      <w:pPr>
        <w:pStyle w:val="MIRSubpara"/>
      </w:pPr>
      <w:r w:rsidRPr="005F67CA">
        <w:t>in relation to CGS Depository Interests, has the meaning given by subrule 5.1.6(3).</w:t>
      </w:r>
    </w:p>
    <w:p w:rsidR="00FC1157" w:rsidRPr="00247465" w:rsidRDefault="00FC1157" w:rsidP="00D546C9">
      <w:pPr>
        <w:pStyle w:val="MIRHeading3"/>
      </w:pPr>
      <w:r w:rsidRPr="00247465">
        <w:t>[</w:t>
      </w:r>
      <w:r w:rsidR="009D462C">
        <w:t>36</w:t>
      </w:r>
      <w:r w:rsidRPr="00247465">
        <w:t>]</w:t>
      </w:r>
      <w:r w:rsidRPr="00247465">
        <w:tab/>
        <w:t>Rule 1.4.3, definition of “</w:t>
      </w:r>
      <w:r w:rsidR="009D462C">
        <w:t>Trading Pause</w:t>
      </w:r>
      <w:r w:rsidRPr="00247465">
        <w:t>”</w:t>
      </w:r>
    </w:p>
    <w:p w:rsidR="00FC1157" w:rsidRPr="0035343C" w:rsidRDefault="0035343C" w:rsidP="00FC1157">
      <w:pPr>
        <w:pStyle w:val="MIRBodyText"/>
        <w:numPr>
          <w:ilvl w:val="0"/>
          <w:numId w:val="0"/>
        </w:numPr>
        <w:ind w:left="851"/>
        <w:rPr>
          <w:i/>
        </w:rPr>
      </w:pPr>
      <w:r w:rsidRPr="0035343C">
        <w:rPr>
          <w:i/>
        </w:rPr>
        <w:t>after “</w:t>
      </w:r>
      <w:r w:rsidR="00FC1157" w:rsidRPr="0035343C">
        <w:rPr>
          <w:i/>
        </w:rPr>
        <w:t>Equity Market Product</w:t>
      </w:r>
      <w:r w:rsidRPr="0035343C">
        <w:rPr>
          <w:i/>
        </w:rPr>
        <w:t>” (wherever occurring), insert</w:t>
      </w:r>
    </w:p>
    <w:p w:rsidR="00FC1157" w:rsidRPr="00247465" w:rsidRDefault="0035343C" w:rsidP="00FC1157">
      <w:pPr>
        <w:pStyle w:val="MIRBodyText"/>
      </w:pPr>
      <w:r>
        <w:t>, CGS Depository Interest</w:t>
      </w:r>
    </w:p>
    <w:p w:rsidR="00FC1157" w:rsidRPr="00247465" w:rsidRDefault="00FC1157" w:rsidP="008060FE">
      <w:pPr>
        <w:pStyle w:val="MIRHeading3"/>
      </w:pPr>
      <w:r w:rsidRPr="00247465">
        <w:t>[</w:t>
      </w:r>
      <w:r w:rsidR="00693084" w:rsidRPr="00247465">
        <w:t>3</w:t>
      </w:r>
      <w:r w:rsidR="00805475">
        <w:t>7</w:t>
      </w:r>
      <w:r w:rsidRPr="00247465">
        <w:t>]</w:t>
      </w:r>
      <w:r w:rsidRPr="00247465">
        <w:tab/>
        <w:t>Rule 1.4.3, definition of “</w:t>
      </w:r>
      <w:r w:rsidR="002E7B53">
        <w:t>Trading Reset</w:t>
      </w:r>
      <w:r w:rsidRPr="00247465">
        <w:t>”</w:t>
      </w:r>
    </w:p>
    <w:p w:rsidR="00C40F05" w:rsidRPr="00C40F05" w:rsidRDefault="00C40F05" w:rsidP="00C40F05">
      <w:pPr>
        <w:pStyle w:val="MIRBodyText"/>
        <w:rPr>
          <w:i/>
        </w:rPr>
      </w:pPr>
      <w:r w:rsidRPr="00C40F05">
        <w:rPr>
          <w:i/>
        </w:rPr>
        <w:t>after “Equity Market Product” (wherever occurring), insert</w:t>
      </w:r>
    </w:p>
    <w:p w:rsidR="00C40F05" w:rsidRPr="00C40F05" w:rsidRDefault="00C40F05" w:rsidP="00C40F05">
      <w:pPr>
        <w:pStyle w:val="MIRBodyText"/>
      </w:pPr>
      <w:r w:rsidRPr="00C40F05">
        <w:t>, CGS Depository Interest</w:t>
      </w:r>
    </w:p>
    <w:p w:rsidR="00693084" w:rsidRPr="00247465" w:rsidRDefault="00B2587C" w:rsidP="00693084">
      <w:pPr>
        <w:pStyle w:val="MIRHeading3"/>
      </w:pPr>
      <w:r>
        <w:t>[38</w:t>
      </w:r>
      <w:r w:rsidR="00693084" w:rsidRPr="00247465">
        <w:t>]</w:t>
      </w:r>
      <w:r w:rsidR="00693084" w:rsidRPr="00247465">
        <w:tab/>
        <w:t>Rule 1.4.3, definition of</w:t>
      </w:r>
      <w:r w:rsidR="005F70AE">
        <w:t xml:space="preserve"> “Under the Rules of a Market</w:t>
      </w:r>
      <w:r w:rsidR="00693084" w:rsidRPr="00247465">
        <w:t>”</w:t>
      </w:r>
    </w:p>
    <w:p w:rsidR="00164CFF" w:rsidRDefault="00164CFF" w:rsidP="00693084">
      <w:pPr>
        <w:pStyle w:val="MIRBodyText"/>
        <w:numPr>
          <w:ilvl w:val="0"/>
          <w:numId w:val="0"/>
        </w:numPr>
        <w:ind w:left="851"/>
        <w:rPr>
          <w:i/>
        </w:rPr>
      </w:pPr>
      <w:r>
        <w:rPr>
          <w:i/>
        </w:rPr>
        <w:t>omit</w:t>
      </w:r>
    </w:p>
    <w:p w:rsidR="00164CFF" w:rsidRPr="00C35FE7" w:rsidRDefault="00164CFF" w:rsidP="00693084">
      <w:pPr>
        <w:pStyle w:val="MIRBodyText"/>
        <w:numPr>
          <w:ilvl w:val="0"/>
          <w:numId w:val="0"/>
        </w:numPr>
        <w:ind w:left="851"/>
        <w:rPr>
          <w:b/>
          <w:i/>
        </w:rPr>
      </w:pPr>
      <w:r w:rsidRPr="00C35FE7">
        <w:rPr>
          <w:b/>
          <w:i/>
        </w:rPr>
        <w:lastRenderedPageBreak/>
        <w:t>Under the Rules of a Market</w:t>
      </w:r>
    </w:p>
    <w:p w:rsidR="00693084" w:rsidRDefault="00164CFF" w:rsidP="00693084">
      <w:pPr>
        <w:pStyle w:val="MIRBodyText"/>
        <w:numPr>
          <w:ilvl w:val="0"/>
          <w:numId w:val="0"/>
        </w:numPr>
        <w:ind w:left="851"/>
        <w:rPr>
          <w:i/>
        </w:rPr>
      </w:pPr>
      <w:r>
        <w:rPr>
          <w:i/>
        </w:rPr>
        <w:t>substitute</w:t>
      </w:r>
    </w:p>
    <w:p w:rsidR="00164CFF" w:rsidRPr="00164CFF" w:rsidRDefault="00164CFF" w:rsidP="00693084">
      <w:pPr>
        <w:pStyle w:val="MIRBodyText"/>
        <w:numPr>
          <w:ilvl w:val="0"/>
          <w:numId w:val="0"/>
        </w:numPr>
        <w:ind w:left="851"/>
      </w:pPr>
      <w:r w:rsidRPr="00137849">
        <w:rPr>
          <w:b/>
          <w:i/>
        </w:rPr>
        <w:t>Under the Rules of</w:t>
      </w:r>
      <w:r>
        <w:t>, in relation to a Market</w:t>
      </w:r>
      <w:r w:rsidR="006E7431">
        <w:t>,</w:t>
      </w:r>
    </w:p>
    <w:p w:rsidR="00693084" w:rsidRDefault="00693084" w:rsidP="00693084">
      <w:pPr>
        <w:pStyle w:val="MIRHeading3"/>
      </w:pPr>
      <w:r w:rsidRPr="00247465">
        <w:t>[</w:t>
      </w:r>
      <w:r w:rsidR="00333D40">
        <w:t>39]</w:t>
      </w:r>
      <w:r w:rsidRPr="00247465">
        <w:tab/>
      </w:r>
      <w:r w:rsidR="005417AC">
        <w:t xml:space="preserve">After </w:t>
      </w:r>
      <w:r w:rsidRPr="00247465">
        <w:t>Rule 1.4.3</w:t>
      </w:r>
    </w:p>
    <w:p w:rsidR="001247F2" w:rsidRPr="00247465" w:rsidRDefault="001247F2" w:rsidP="001247F2">
      <w:pPr>
        <w:pStyle w:val="MIRBodyText"/>
        <w:numPr>
          <w:ilvl w:val="0"/>
          <w:numId w:val="0"/>
        </w:numPr>
        <w:ind w:left="851"/>
        <w:rPr>
          <w:i/>
        </w:rPr>
      </w:pPr>
      <w:r w:rsidRPr="00247465">
        <w:rPr>
          <w:i/>
        </w:rPr>
        <w:t>insert</w:t>
      </w:r>
    </w:p>
    <w:p w:rsidR="005417AC" w:rsidRPr="005417AC" w:rsidRDefault="005417AC" w:rsidP="00BA7CDC">
      <w:pPr>
        <w:pStyle w:val="MIRHeading3Rule"/>
        <w:ind w:hanging="1"/>
      </w:pPr>
      <w:r w:rsidRPr="005417AC">
        <w:t>1.4.4</w:t>
      </w:r>
      <w:r w:rsidRPr="005417AC">
        <w:tab/>
        <w:t>Responsible Market Operator for CGS Depository Interests</w:t>
      </w:r>
    </w:p>
    <w:p w:rsidR="005417AC" w:rsidRPr="005417AC" w:rsidRDefault="005417AC" w:rsidP="00B06E5D">
      <w:pPr>
        <w:pStyle w:val="MIRBodyText"/>
      </w:pPr>
      <w:r w:rsidRPr="005417AC">
        <w:t xml:space="preserve">(1) Subject to subrule (2), the </w:t>
      </w:r>
      <w:r w:rsidRPr="005417AC">
        <w:rPr>
          <w:b/>
          <w:i/>
        </w:rPr>
        <w:t>Responsible Market Operator</w:t>
      </w:r>
      <w:r w:rsidRPr="005417AC">
        <w:t xml:space="preserve"> in relation to CGS Depository Interests is the CGS Market Operator.</w:t>
      </w:r>
    </w:p>
    <w:p w:rsidR="005417AC" w:rsidRPr="005417AC" w:rsidRDefault="005417AC" w:rsidP="00B06E5D">
      <w:pPr>
        <w:pStyle w:val="MIRBodyText"/>
      </w:pPr>
      <w:r w:rsidRPr="005417AC">
        <w:t xml:space="preserve">(2) Where there is more than one CGS Market, the </w:t>
      </w:r>
      <w:r w:rsidRPr="005417AC">
        <w:rPr>
          <w:b/>
          <w:i/>
        </w:rPr>
        <w:t>Responsible Market Operator</w:t>
      </w:r>
      <w:r w:rsidRPr="005417AC">
        <w:t xml:space="preserve"> </w:t>
      </w:r>
      <w:r w:rsidR="003F364E">
        <w:t xml:space="preserve">for </w:t>
      </w:r>
      <w:r w:rsidRPr="005417AC">
        <w:t>CGS Depository Interests is the CGS Market Operator determined in writing by ASIC and notified on its website.</w:t>
      </w:r>
    </w:p>
    <w:p w:rsidR="005417AC" w:rsidRPr="005417AC" w:rsidRDefault="005417AC" w:rsidP="00B06E5D">
      <w:pPr>
        <w:pStyle w:val="MIRBodyText"/>
      </w:pPr>
      <w:r w:rsidRPr="005417AC">
        <w:t>(3) A notification referred to in subrule (2) takes effect on the later of the date specified in the notification or 60 business days after the notification is made.</w:t>
      </w:r>
    </w:p>
    <w:p w:rsidR="00323C3C" w:rsidRPr="00247465" w:rsidRDefault="00323C3C" w:rsidP="00CF308B">
      <w:pPr>
        <w:pStyle w:val="MIRHeading3"/>
      </w:pPr>
      <w:r w:rsidRPr="00247465">
        <w:t>[</w:t>
      </w:r>
      <w:r w:rsidR="004E60CE">
        <w:t>40</w:t>
      </w:r>
      <w:r w:rsidRPr="00247465">
        <w:t>]</w:t>
      </w:r>
      <w:r w:rsidRPr="00247465">
        <w:tab/>
      </w:r>
      <w:r w:rsidR="00FE3584">
        <w:t>Paragraph 2.1A.1(1)(a)</w:t>
      </w:r>
      <w:r w:rsidR="00216CEC" w:rsidRPr="00247465">
        <w:t xml:space="preserve"> </w:t>
      </w:r>
    </w:p>
    <w:p w:rsidR="000F15BA" w:rsidRDefault="00E03D53" w:rsidP="003228B6">
      <w:pPr>
        <w:pStyle w:val="MIRBodyText"/>
        <w:numPr>
          <w:ilvl w:val="0"/>
          <w:numId w:val="0"/>
        </w:numPr>
        <w:ind w:left="851"/>
        <w:rPr>
          <w:i/>
        </w:rPr>
      </w:pPr>
      <w:r>
        <w:rPr>
          <w:i/>
        </w:rPr>
        <w:t xml:space="preserve">after “Equity Market Operators”, </w:t>
      </w:r>
      <w:r w:rsidR="00BA0CB6" w:rsidRPr="00247465">
        <w:rPr>
          <w:i/>
        </w:rPr>
        <w:t>i</w:t>
      </w:r>
      <w:r w:rsidR="009C4F58" w:rsidRPr="00247465">
        <w:rPr>
          <w:i/>
        </w:rPr>
        <w:t>nsert</w:t>
      </w:r>
    </w:p>
    <w:p w:rsidR="00E03D53" w:rsidRPr="00E03D53" w:rsidRDefault="00E43250" w:rsidP="003228B6">
      <w:pPr>
        <w:pStyle w:val="MIRBodyText"/>
        <w:numPr>
          <w:ilvl w:val="0"/>
          <w:numId w:val="0"/>
        </w:numPr>
        <w:ind w:left="851"/>
      </w:pPr>
      <w:r>
        <w:t xml:space="preserve">and </w:t>
      </w:r>
      <w:r w:rsidR="00E03D53">
        <w:t>CGS Market Operators</w:t>
      </w:r>
    </w:p>
    <w:p w:rsidR="00DD6E88" w:rsidRPr="00247465" w:rsidRDefault="00DD6E88" w:rsidP="00DD6E88">
      <w:pPr>
        <w:pStyle w:val="MIRHeading3"/>
      </w:pPr>
      <w:r w:rsidRPr="00247465">
        <w:t>[</w:t>
      </w:r>
      <w:r>
        <w:t>4</w:t>
      </w:r>
      <w:r w:rsidR="004E60CE">
        <w:t>1</w:t>
      </w:r>
      <w:r w:rsidRPr="00247465">
        <w:t>]</w:t>
      </w:r>
      <w:r w:rsidRPr="00247465">
        <w:tab/>
      </w:r>
      <w:r>
        <w:t>Subrule 2.1A.1(2)</w:t>
      </w:r>
      <w:r w:rsidRPr="00247465">
        <w:t xml:space="preserve"> </w:t>
      </w:r>
    </w:p>
    <w:p w:rsidR="004E60CE" w:rsidRDefault="004E60CE" w:rsidP="004E60CE">
      <w:pPr>
        <w:pStyle w:val="MIRBodyText"/>
        <w:rPr>
          <w:i/>
        </w:rPr>
      </w:pPr>
      <w:r w:rsidRPr="004E60CE">
        <w:rPr>
          <w:i/>
        </w:rPr>
        <w:t xml:space="preserve">after “Equity Market </w:t>
      </w:r>
      <w:r>
        <w:rPr>
          <w:i/>
        </w:rPr>
        <w:t>Products</w:t>
      </w:r>
      <w:r w:rsidRPr="004E60CE">
        <w:rPr>
          <w:i/>
        </w:rPr>
        <w:t>”, insert</w:t>
      </w:r>
    </w:p>
    <w:p w:rsidR="004E60CE" w:rsidRPr="004E60CE" w:rsidRDefault="004E60CE" w:rsidP="004E60CE">
      <w:pPr>
        <w:pStyle w:val="MIRBodyText"/>
        <w:rPr>
          <w:i/>
        </w:rPr>
      </w:pPr>
      <w:r>
        <w:t>, CGS Depository Interests</w:t>
      </w:r>
    </w:p>
    <w:p w:rsidR="007B4677" w:rsidRPr="00247465" w:rsidRDefault="007B4677" w:rsidP="00172A35">
      <w:pPr>
        <w:pStyle w:val="MIRHeading3"/>
      </w:pPr>
      <w:r w:rsidRPr="00247465">
        <w:t>[</w:t>
      </w:r>
      <w:r w:rsidR="00401FCF">
        <w:t>4</w:t>
      </w:r>
      <w:r w:rsidR="00BD00CE">
        <w:t>2</w:t>
      </w:r>
      <w:r w:rsidRPr="00247465">
        <w:t>]</w:t>
      </w:r>
      <w:r w:rsidRPr="00247465">
        <w:tab/>
      </w:r>
      <w:r w:rsidR="00D049EF">
        <w:t xml:space="preserve">Subparagraph </w:t>
      </w:r>
      <w:r w:rsidRPr="00247465">
        <w:t>2.1.1(</w:t>
      </w:r>
      <w:r w:rsidR="00D049EF">
        <w:t>5</w:t>
      </w:r>
      <w:r w:rsidRPr="00247465">
        <w:t>)</w:t>
      </w:r>
      <w:r w:rsidR="00D049EF">
        <w:t>(b)(i)</w:t>
      </w:r>
    </w:p>
    <w:p w:rsidR="007B4677" w:rsidRPr="002E278A" w:rsidRDefault="002E278A" w:rsidP="007B4677">
      <w:pPr>
        <w:pStyle w:val="MIRBodyText"/>
        <w:rPr>
          <w:i/>
        </w:rPr>
      </w:pPr>
      <w:r w:rsidRPr="002E278A">
        <w:rPr>
          <w:i/>
        </w:rPr>
        <w:t>after</w:t>
      </w:r>
      <w:r>
        <w:rPr>
          <w:i/>
        </w:rPr>
        <w:t xml:space="preserve"> “</w:t>
      </w:r>
      <w:r w:rsidR="007B4677" w:rsidRPr="002E278A">
        <w:rPr>
          <w:i/>
        </w:rPr>
        <w:t>Equity Market Product</w:t>
      </w:r>
      <w:r>
        <w:rPr>
          <w:i/>
        </w:rPr>
        <w:t>” (wherever occurring), insert</w:t>
      </w:r>
    </w:p>
    <w:p w:rsidR="007B4677" w:rsidRPr="002E278A" w:rsidRDefault="002E278A" w:rsidP="007B4677">
      <w:pPr>
        <w:pStyle w:val="MIRBodyText"/>
      </w:pPr>
      <w:r w:rsidRPr="002E278A">
        <w:t xml:space="preserve">or </w:t>
      </w:r>
      <w:r>
        <w:t>CGS Depository Interest</w:t>
      </w:r>
    </w:p>
    <w:p w:rsidR="00144FF0" w:rsidRPr="00247465" w:rsidRDefault="00144FF0" w:rsidP="00144FF0">
      <w:pPr>
        <w:pStyle w:val="MIRHeading3"/>
      </w:pPr>
      <w:bookmarkStart w:id="1" w:name="_Hlk334027782"/>
      <w:r w:rsidRPr="00247465">
        <w:t>[</w:t>
      </w:r>
      <w:r w:rsidR="0041511F">
        <w:t>4</w:t>
      </w:r>
      <w:r w:rsidR="00BD00CE">
        <w:t>3</w:t>
      </w:r>
      <w:r w:rsidRPr="00247465">
        <w:t>]</w:t>
      </w:r>
      <w:r w:rsidRPr="00247465">
        <w:tab/>
      </w:r>
      <w:r w:rsidR="0041511F">
        <w:t>After subrule 2.2.1(2)</w:t>
      </w:r>
    </w:p>
    <w:p w:rsidR="0041511F" w:rsidRDefault="0041511F" w:rsidP="00144FF0">
      <w:pPr>
        <w:pStyle w:val="MIRBodyText"/>
        <w:rPr>
          <w:i/>
        </w:rPr>
      </w:pPr>
      <w:r>
        <w:rPr>
          <w:i/>
        </w:rPr>
        <w:t>add</w:t>
      </w:r>
    </w:p>
    <w:p w:rsidR="0041511F" w:rsidRPr="0041511F" w:rsidRDefault="0041511F" w:rsidP="0041511F">
      <w:pPr>
        <w:tabs>
          <w:tab w:val="left" w:pos="851"/>
        </w:tabs>
        <w:spacing w:before="200" w:after="0" w:line="300" w:lineRule="atLeast"/>
        <w:ind w:left="851"/>
        <w:rPr>
          <w:szCs w:val="22"/>
        </w:rPr>
      </w:pPr>
      <w:r w:rsidRPr="0041511F">
        <w:rPr>
          <w:szCs w:val="22"/>
        </w:rPr>
        <w:t xml:space="preserve">(3) The </w:t>
      </w:r>
      <w:r w:rsidRPr="0041511F">
        <w:rPr>
          <w:b/>
          <w:i/>
          <w:szCs w:val="22"/>
        </w:rPr>
        <w:t>Extreme Trade Range</w:t>
      </w:r>
      <w:r w:rsidRPr="0041511F">
        <w:rPr>
          <w:szCs w:val="22"/>
        </w:rPr>
        <w:t xml:space="preserve"> for </w:t>
      </w:r>
      <w:r w:rsidR="00B53B26">
        <w:rPr>
          <w:szCs w:val="22"/>
        </w:rPr>
        <w:t xml:space="preserve">a </w:t>
      </w:r>
      <w:r w:rsidRPr="0041511F">
        <w:rPr>
          <w:szCs w:val="22"/>
        </w:rPr>
        <w:t xml:space="preserve">CGS Depository Interest means all prices which are greater than 20% away from the Reference Price for the CGS Depository Interest on the CGS Market. </w:t>
      </w:r>
    </w:p>
    <w:bookmarkEnd w:id="1"/>
    <w:p w:rsidR="00144FF0" w:rsidRPr="00247465" w:rsidRDefault="00144FF0" w:rsidP="00144FF0">
      <w:pPr>
        <w:pStyle w:val="MIRHeading3"/>
      </w:pPr>
      <w:r w:rsidRPr="00247465">
        <w:lastRenderedPageBreak/>
        <w:t>[</w:t>
      </w:r>
      <w:r w:rsidR="00CE64DE">
        <w:t>4</w:t>
      </w:r>
      <w:r w:rsidR="0001107A">
        <w:t>4</w:t>
      </w:r>
      <w:r w:rsidRPr="00247465">
        <w:t>]</w:t>
      </w:r>
      <w:r w:rsidRPr="00247465">
        <w:tab/>
        <w:t>Subrule 2.</w:t>
      </w:r>
      <w:r w:rsidR="001B206E">
        <w:t>2</w:t>
      </w:r>
      <w:r w:rsidRPr="00247465">
        <w:t>.</w:t>
      </w:r>
      <w:r w:rsidR="001B206E">
        <w:t>2</w:t>
      </w:r>
      <w:r w:rsidRPr="00247465">
        <w:t>(</w:t>
      </w:r>
      <w:r w:rsidR="001B206E">
        <w:t>4</w:t>
      </w:r>
      <w:r w:rsidRPr="00247465">
        <w:t>)</w:t>
      </w:r>
    </w:p>
    <w:p w:rsidR="00144FF0" w:rsidRPr="00201C51" w:rsidRDefault="001B206E" w:rsidP="00144FF0">
      <w:pPr>
        <w:pStyle w:val="MIRBodyText"/>
        <w:rPr>
          <w:i/>
        </w:rPr>
      </w:pPr>
      <w:r w:rsidRPr="00201C51">
        <w:rPr>
          <w:i/>
        </w:rPr>
        <w:t>omi</w:t>
      </w:r>
      <w:r w:rsidR="00144FF0" w:rsidRPr="00201C51">
        <w:rPr>
          <w:i/>
        </w:rPr>
        <w:t>t</w:t>
      </w:r>
      <w:r w:rsidR="00201C51" w:rsidRPr="00201C51">
        <w:rPr>
          <w:i/>
        </w:rPr>
        <w:t xml:space="preserve"> the subrule</w:t>
      </w:r>
      <w:r w:rsidR="0025214C">
        <w:rPr>
          <w:i/>
        </w:rPr>
        <w:t xml:space="preserve"> (</w:t>
      </w:r>
      <w:r w:rsidR="00655BCE">
        <w:rPr>
          <w:i/>
        </w:rPr>
        <w:t>other than</w:t>
      </w:r>
      <w:r w:rsidR="0025214C">
        <w:rPr>
          <w:i/>
        </w:rPr>
        <w:t xml:space="preserve"> the Note)</w:t>
      </w:r>
      <w:r w:rsidR="00201C51" w:rsidRPr="00201C51">
        <w:rPr>
          <w:i/>
        </w:rPr>
        <w:t xml:space="preserve">, </w:t>
      </w:r>
      <w:r w:rsidR="00201C51">
        <w:rPr>
          <w:i/>
        </w:rPr>
        <w:t>s</w:t>
      </w:r>
      <w:r w:rsidR="00144FF0" w:rsidRPr="00201C51">
        <w:rPr>
          <w:i/>
        </w:rPr>
        <w:t>ubstitute</w:t>
      </w:r>
    </w:p>
    <w:p w:rsidR="00141E88" w:rsidRPr="00141E88" w:rsidRDefault="00141E88" w:rsidP="00141E88">
      <w:pPr>
        <w:tabs>
          <w:tab w:val="left" w:pos="851"/>
        </w:tabs>
        <w:spacing w:before="200" w:after="0" w:line="300" w:lineRule="atLeast"/>
        <w:ind w:left="851"/>
        <w:rPr>
          <w:szCs w:val="22"/>
        </w:rPr>
      </w:pPr>
      <w:r w:rsidRPr="00141E88">
        <w:rPr>
          <w:szCs w:val="22"/>
        </w:rPr>
        <w:t>(4) A Market Operator that operates an Order Book for Relevant Products other than:</w:t>
      </w:r>
    </w:p>
    <w:p w:rsidR="00141E88" w:rsidRPr="00141E88" w:rsidRDefault="00141E88" w:rsidP="008F11E0">
      <w:pPr>
        <w:pStyle w:val="MIRSubpara"/>
        <w:numPr>
          <w:ilvl w:val="0"/>
          <w:numId w:val="18"/>
        </w:numPr>
      </w:pPr>
      <w:r w:rsidRPr="00141E88">
        <w:t xml:space="preserve">ASX TradeMatch (in the case of Equity Market Products); </w:t>
      </w:r>
    </w:p>
    <w:p w:rsidR="00141E88" w:rsidRPr="00141E88" w:rsidRDefault="00141E88" w:rsidP="00141E88">
      <w:pPr>
        <w:pStyle w:val="MIRSubpara"/>
      </w:pPr>
      <w:r w:rsidRPr="00141E88">
        <w:t>ASX Trade 24 (in the case of ASX SPI 200 Futures); or</w:t>
      </w:r>
    </w:p>
    <w:p w:rsidR="00141E88" w:rsidRPr="00141E88" w:rsidRDefault="00141E88" w:rsidP="00141E88">
      <w:pPr>
        <w:pStyle w:val="MIRSubpara"/>
      </w:pPr>
      <w:r w:rsidRPr="00141E88">
        <w:t xml:space="preserve">the central Order Book of the Responsible Market Operator for CGS Depository Interests (in the case of CGS Depository Interests), </w:t>
      </w:r>
    </w:p>
    <w:p w:rsidR="00141E88" w:rsidRPr="00141E88" w:rsidRDefault="00141E88" w:rsidP="00141E88">
      <w:pPr>
        <w:tabs>
          <w:tab w:val="left" w:pos="851"/>
        </w:tabs>
        <w:spacing w:before="200" w:after="0" w:line="300" w:lineRule="atLeast"/>
        <w:ind w:left="851"/>
        <w:rPr>
          <w:szCs w:val="22"/>
        </w:rPr>
      </w:pPr>
      <w:r w:rsidRPr="00141E88">
        <w:rPr>
          <w:szCs w:val="22"/>
        </w:rPr>
        <w:t xml:space="preserve">must determine the Reference Price for each Relevant Product for that Order Book after each Trading Reset on that Order Book, as: </w:t>
      </w:r>
    </w:p>
    <w:p w:rsidR="00141E88" w:rsidRPr="00141E88" w:rsidRDefault="00141E88" w:rsidP="00141E88">
      <w:pPr>
        <w:pStyle w:val="MIRSubpara"/>
      </w:pPr>
      <w:r w:rsidRPr="00141E88">
        <w:t xml:space="preserve">the price of the Opening Transaction; or </w:t>
      </w:r>
    </w:p>
    <w:p w:rsidR="00141E88" w:rsidRPr="00141E88" w:rsidRDefault="00141E88" w:rsidP="00141E88">
      <w:pPr>
        <w:pStyle w:val="MIRSubpara"/>
      </w:pPr>
      <w:r w:rsidRPr="00141E88">
        <w:t>if paragraph (</w:t>
      </w:r>
      <w:r w:rsidR="003F364E">
        <w:t>d</w:t>
      </w:r>
      <w:r w:rsidRPr="00141E88">
        <w:t xml:space="preserve">) applies and the price of the Opening Transaction is Invalid, a price determined by the Market Operator, acting reasonably, to be not Invalid, </w:t>
      </w:r>
    </w:p>
    <w:p w:rsidR="00141E88" w:rsidRPr="00141E88" w:rsidRDefault="00141E88" w:rsidP="00141E88">
      <w:pPr>
        <w:tabs>
          <w:tab w:val="left" w:pos="851"/>
        </w:tabs>
        <w:spacing w:before="200" w:after="0" w:line="300" w:lineRule="atLeast"/>
        <w:ind w:left="851"/>
        <w:rPr>
          <w:szCs w:val="22"/>
        </w:rPr>
      </w:pPr>
      <w:r w:rsidRPr="00141E88">
        <w:rPr>
          <w:szCs w:val="22"/>
        </w:rPr>
        <w:t xml:space="preserve">until the Market Operator receives a notification of the Reference Price for the Relevant Product under paragraph (2)(b). </w:t>
      </w:r>
    </w:p>
    <w:p w:rsidR="00144FF0" w:rsidRPr="00247465" w:rsidRDefault="00144FF0" w:rsidP="00144FF0">
      <w:pPr>
        <w:pStyle w:val="MIRHeading3"/>
      </w:pPr>
      <w:r w:rsidRPr="00247465">
        <w:t>[</w:t>
      </w:r>
      <w:r w:rsidR="006F2F10">
        <w:t>4</w:t>
      </w:r>
      <w:r w:rsidR="0001107A">
        <w:t>5</w:t>
      </w:r>
      <w:r w:rsidR="006F2F10">
        <w:t>]</w:t>
      </w:r>
      <w:r w:rsidRPr="00247465">
        <w:tab/>
      </w:r>
      <w:r w:rsidR="006F2F10">
        <w:t>Paragraph 3.1A.1(a)</w:t>
      </w:r>
    </w:p>
    <w:p w:rsidR="00144FF0" w:rsidRPr="00247465" w:rsidRDefault="00D77D47" w:rsidP="00144FF0">
      <w:pPr>
        <w:pStyle w:val="MIRBodyText"/>
        <w:rPr>
          <w:i/>
        </w:rPr>
      </w:pPr>
      <w:r w:rsidRPr="00247465">
        <w:rPr>
          <w:i/>
        </w:rPr>
        <w:t>after</w:t>
      </w:r>
      <w:r w:rsidR="00F2365E" w:rsidRPr="00247465">
        <w:rPr>
          <w:i/>
        </w:rPr>
        <w:t xml:space="preserve"> “</w:t>
      </w:r>
      <w:r w:rsidR="006F2F10">
        <w:rPr>
          <w:i/>
        </w:rPr>
        <w:t>Equity Market Participants</w:t>
      </w:r>
      <w:r w:rsidR="00F2365E" w:rsidRPr="00247465">
        <w:rPr>
          <w:i/>
        </w:rPr>
        <w:t xml:space="preserve">”, </w:t>
      </w:r>
      <w:r w:rsidRPr="00247465">
        <w:rPr>
          <w:i/>
        </w:rPr>
        <w:t>insert</w:t>
      </w:r>
    </w:p>
    <w:p w:rsidR="00144FF0" w:rsidRPr="00247465" w:rsidRDefault="006F2F10" w:rsidP="00144FF0">
      <w:pPr>
        <w:pStyle w:val="MIRBodyText"/>
        <w:rPr>
          <w:i/>
        </w:rPr>
      </w:pPr>
      <w:r w:rsidRPr="006F2F10">
        <w:t>and CGS Market Participants</w:t>
      </w:r>
    </w:p>
    <w:p w:rsidR="00E37C1B" w:rsidRPr="00247465" w:rsidRDefault="00E37C1B" w:rsidP="00E37C1B">
      <w:pPr>
        <w:pStyle w:val="MIRHeading3"/>
      </w:pPr>
      <w:r w:rsidRPr="00247465">
        <w:t>[</w:t>
      </w:r>
      <w:r w:rsidR="00CE64DE">
        <w:t>4</w:t>
      </w:r>
      <w:r w:rsidR="00777879">
        <w:t>6</w:t>
      </w:r>
      <w:r w:rsidRPr="00247465">
        <w:t>]</w:t>
      </w:r>
      <w:r w:rsidRPr="00247465">
        <w:tab/>
      </w:r>
      <w:r w:rsidR="00DB7693" w:rsidRPr="00DB7693">
        <w:t>Paragraph 3.1A.1(</w:t>
      </w:r>
      <w:r w:rsidR="00DB7693">
        <w:t>b</w:t>
      </w:r>
      <w:r w:rsidR="00DB7693" w:rsidRPr="00DB7693">
        <w:t>)</w:t>
      </w:r>
    </w:p>
    <w:p w:rsidR="00E37C1B" w:rsidRPr="00247465" w:rsidRDefault="00AE7AD5" w:rsidP="00E37C1B">
      <w:pPr>
        <w:pStyle w:val="MIRBodyText"/>
        <w:rPr>
          <w:i/>
        </w:rPr>
      </w:pPr>
      <w:r>
        <w:rPr>
          <w:i/>
        </w:rPr>
        <w:t>after “Equity Market Products”, insert</w:t>
      </w:r>
    </w:p>
    <w:p w:rsidR="00E37C1B" w:rsidRPr="00247465" w:rsidRDefault="00AE7AD5" w:rsidP="00E37C1B">
      <w:pPr>
        <w:pStyle w:val="MIRBodyText"/>
        <w:rPr>
          <w:i/>
        </w:rPr>
      </w:pPr>
      <w:r>
        <w:t>and CGS Depository Interests</w:t>
      </w:r>
    </w:p>
    <w:p w:rsidR="00144FF0" w:rsidRPr="00247465" w:rsidRDefault="00144FF0" w:rsidP="00E37C1B">
      <w:pPr>
        <w:pStyle w:val="MIRHeading3"/>
      </w:pPr>
      <w:r w:rsidRPr="00247465">
        <w:t>[</w:t>
      </w:r>
      <w:r w:rsidR="00DE0D07">
        <w:t>47</w:t>
      </w:r>
      <w:r w:rsidRPr="00247465">
        <w:t>]</w:t>
      </w:r>
      <w:r w:rsidRPr="00247465">
        <w:tab/>
        <w:t xml:space="preserve">Subrule </w:t>
      </w:r>
      <w:r w:rsidR="00703DE9">
        <w:t>3</w:t>
      </w:r>
      <w:r w:rsidRPr="00247465">
        <w:t>.1.1(</w:t>
      </w:r>
      <w:r w:rsidR="00703DE9">
        <w:t>6</w:t>
      </w:r>
      <w:r w:rsidRPr="00247465">
        <w:t>)</w:t>
      </w:r>
    </w:p>
    <w:p w:rsidR="00703DE9" w:rsidRDefault="00703DE9" w:rsidP="00144FF0">
      <w:pPr>
        <w:pStyle w:val="MIRBodyText"/>
        <w:rPr>
          <w:i/>
        </w:rPr>
      </w:pPr>
      <w:r>
        <w:rPr>
          <w:i/>
        </w:rPr>
        <w:t>after “Orders” (wherever occurring), insert</w:t>
      </w:r>
    </w:p>
    <w:p w:rsidR="00144FF0" w:rsidRPr="00247465" w:rsidRDefault="00703DE9" w:rsidP="00144FF0">
      <w:pPr>
        <w:pStyle w:val="MIRBodyText"/>
        <w:rPr>
          <w:i/>
        </w:rPr>
      </w:pPr>
      <w:r>
        <w:t>in</w:t>
      </w:r>
      <w:r w:rsidR="00C82F86" w:rsidRPr="00247465">
        <w:t xml:space="preserve"> </w:t>
      </w:r>
      <w:r w:rsidR="00144FF0" w:rsidRPr="00247465">
        <w:t>Equity Market Product</w:t>
      </w:r>
      <w:r>
        <w:t>s</w:t>
      </w:r>
    </w:p>
    <w:p w:rsidR="00E56F37" w:rsidRPr="00247465" w:rsidRDefault="00E56F37" w:rsidP="00E56F37">
      <w:pPr>
        <w:pStyle w:val="MIRHeading3"/>
      </w:pPr>
      <w:r w:rsidRPr="00247465">
        <w:t>[</w:t>
      </w:r>
      <w:r w:rsidR="00DE0D07">
        <w:t>48</w:t>
      </w:r>
      <w:r w:rsidRPr="00247465">
        <w:t>]</w:t>
      </w:r>
      <w:r w:rsidRPr="00247465">
        <w:tab/>
        <w:t xml:space="preserve">Subrule </w:t>
      </w:r>
      <w:r>
        <w:t>3</w:t>
      </w:r>
      <w:r w:rsidRPr="00247465">
        <w:t>.</w:t>
      </w:r>
      <w:r>
        <w:t>2.3</w:t>
      </w:r>
      <w:r w:rsidRPr="00247465">
        <w:t>(</w:t>
      </w:r>
      <w:r>
        <w:t>2</w:t>
      </w:r>
      <w:r w:rsidRPr="00247465">
        <w:t>)</w:t>
      </w:r>
    </w:p>
    <w:p w:rsidR="00E56F37" w:rsidRDefault="00E56F37" w:rsidP="00E56F37">
      <w:pPr>
        <w:pStyle w:val="MIRBodyText"/>
        <w:rPr>
          <w:i/>
        </w:rPr>
      </w:pPr>
      <w:r>
        <w:rPr>
          <w:i/>
        </w:rPr>
        <w:t>after “Orders”, insert</w:t>
      </w:r>
    </w:p>
    <w:p w:rsidR="00E56F37" w:rsidRPr="00247465" w:rsidRDefault="00E56F37" w:rsidP="00E56F37">
      <w:pPr>
        <w:pStyle w:val="MIRBodyText"/>
        <w:rPr>
          <w:i/>
        </w:rPr>
      </w:pPr>
      <w:r>
        <w:t>in</w:t>
      </w:r>
      <w:r w:rsidRPr="00247465">
        <w:t xml:space="preserve"> Equity Market Product</w:t>
      </w:r>
      <w:r>
        <w:t>s</w:t>
      </w:r>
    </w:p>
    <w:p w:rsidR="00E25812" w:rsidRPr="00247465" w:rsidRDefault="00E25812" w:rsidP="00E56F37">
      <w:pPr>
        <w:pStyle w:val="MIRHeading3"/>
      </w:pPr>
      <w:r w:rsidRPr="00247465">
        <w:t>[</w:t>
      </w:r>
      <w:r w:rsidR="0049348F">
        <w:t>49</w:t>
      </w:r>
      <w:r w:rsidRPr="00247465">
        <w:t>]</w:t>
      </w:r>
      <w:r w:rsidRPr="00247465">
        <w:tab/>
      </w:r>
      <w:r w:rsidR="00C476EA">
        <w:t>Rule 4.1A.1</w:t>
      </w:r>
    </w:p>
    <w:p w:rsidR="00C476EA" w:rsidRPr="00C476EA" w:rsidRDefault="00C476EA" w:rsidP="00E25812">
      <w:pPr>
        <w:pStyle w:val="MIRBodyText"/>
        <w:rPr>
          <w:i/>
        </w:rPr>
      </w:pPr>
      <w:r>
        <w:rPr>
          <w:i/>
        </w:rPr>
        <w:t>before “This Chapter”, insert</w:t>
      </w:r>
    </w:p>
    <w:p w:rsidR="00C476EA" w:rsidRDefault="00C476EA" w:rsidP="00E25812">
      <w:pPr>
        <w:pStyle w:val="MIRBodyText"/>
        <w:rPr>
          <w:i/>
        </w:rPr>
      </w:pPr>
      <w:r>
        <w:lastRenderedPageBreak/>
        <w:t>(1)</w:t>
      </w:r>
    </w:p>
    <w:p w:rsidR="005243CB" w:rsidRPr="00247465" w:rsidRDefault="005243CB" w:rsidP="005243CB">
      <w:pPr>
        <w:pStyle w:val="MIRHeading3"/>
      </w:pPr>
      <w:r w:rsidRPr="00247465">
        <w:t>[</w:t>
      </w:r>
      <w:r w:rsidR="0049348F">
        <w:t>50</w:t>
      </w:r>
      <w:r w:rsidRPr="00247465">
        <w:t>]</w:t>
      </w:r>
      <w:r w:rsidRPr="00247465">
        <w:tab/>
      </w:r>
      <w:r w:rsidR="00040574" w:rsidRPr="00247465">
        <w:t>P</w:t>
      </w:r>
      <w:r w:rsidRPr="00247465">
        <w:t xml:space="preserve">aragraph </w:t>
      </w:r>
      <w:r w:rsidR="00BC7963">
        <w:t>4.1A.1</w:t>
      </w:r>
      <w:r w:rsidRPr="00247465">
        <w:t>(</w:t>
      </w:r>
      <w:r w:rsidR="00BC7963">
        <w:t>a</w:t>
      </w:r>
      <w:r w:rsidRPr="00247465">
        <w:t>)</w:t>
      </w:r>
    </w:p>
    <w:p w:rsidR="00BC7963" w:rsidRDefault="00BC7963" w:rsidP="005243CB">
      <w:pPr>
        <w:pStyle w:val="MIRBodyText"/>
        <w:rPr>
          <w:i/>
        </w:rPr>
      </w:pPr>
      <w:r>
        <w:rPr>
          <w:i/>
        </w:rPr>
        <w:t>after “Equity Market Operators”, insert</w:t>
      </w:r>
    </w:p>
    <w:p w:rsidR="00BC7963" w:rsidRDefault="00502DB8" w:rsidP="005243CB">
      <w:pPr>
        <w:pStyle w:val="MIRBodyText"/>
        <w:rPr>
          <w:i/>
        </w:rPr>
      </w:pPr>
      <w:r>
        <w:t xml:space="preserve">and </w:t>
      </w:r>
      <w:r w:rsidR="00BC7963">
        <w:t>CGS Market Operators</w:t>
      </w:r>
    </w:p>
    <w:p w:rsidR="00502DB8" w:rsidRDefault="0082726E" w:rsidP="0082726E">
      <w:pPr>
        <w:pStyle w:val="MIRHeading3"/>
      </w:pPr>
      <w:r w:rsidRPr="00247465">
        <w:t>[</w:t>
      </w:r>
      <w:r w:rsidR="00502DB8">
        <w:t>5</w:t>
      </w:r>
      <w:r w:rsidR="0049348F">
        <w:t>1</w:t>
      </w:r>
      <w:r w:rsidRPr="00247465">
        <w:t>]</w:t>
      </w:r>
      <w:r w:rsidRPr="00247465">
        <w:tab/>
      </w:r>
      <w:r w:rsidR="00502DB8" w:rsidRPr="00502DB8">
        <w:t>Paragraph 4.1A.1(</w:t>
      </w:r>
      <w:r w:rsidR="00502DB8">
        <w:t>b</w:t>
      </w:r>
      <w:r w:rsidR="00502DB8" w:rsidRPr="00502DB8">
        <w:t>)</w:t>
      </w:r>
    </w:p>
    <w:p w:rsidR="00B23339" w:rsidRPr="00247465" w:rsidRDefault="00B23339" w:rsidP="00B23339">
      <w:pPr>
        <w:pStyle w:val="MIRBodyText"/>
        <w:rPr>
          <w:i/>
        </w:rPr>
      </w:pPr>
      <w:r w:rsidRPr="00247465">
        <w:rPr>
          <w:i/>
        </w:rPr>
        <w:t>after</w:t>
      </w:r>
      <w:r w:rsidR="00F2365E" w:rsidRPr="00247465">
        <w:rPr>
          <w:i/>
        </w:rPr>
        <w:t xml:space="preserve"> “</w:t>
      </w:r>
      <w:r w:rsidR="00502DB8">
        <w:rPr>
          <w:i/>
        </w:rPr>
        <w:t>Equity Market Participants</w:t>
      </w:r>
      <w:r w:rsidR="00F2365E" w:rsidRPr="00247465">
        <w:t xml:space="preserve">”, </w:t>
      </w:r>
      <w:r w:rsidRPr="00247465">
        <w:rPr>
          <w:i/>
        </w:rPr>
        <w:t>insert</w:t>
      </w:r>
    </w:p>
    <w:p w:rsidR="00B23339" w:rsidRPr="00247465" w:rsidRDefault="00502DB8" w:rsidP="00B23339">
      <w:pPr>
        <w:pStyle w:val="MIRBodyText"/>
      </w:pPr>
      <w:r>
        <w:t>and CGS Market Participants</w:t>
      </w:r>
    </w:p>
    <w:p w:rsidR="00502DB8" w:rsidRDefault="00502DB8" w:rsidP="00502DB8">
      <w:pPr>
        <w:pStyle w:val="MIRHeading3"/>
      </w:pPr>
      <w:r w:rsidRPr="00247465">
        <w:t>[</w:t>
      </w:r>
      <w:r>
        <w:t>5</w:t>
      </w:r>
      <w:r w:rsidR="0049348F">
        <w:t>2</w:t>
      </w:r>
      <w:r w:rsidRPr="00247465">
        <w:t>]</w:t>
      </w:r>
      <w:r w:rsidRPr="00247465">
        <w:tab/>
      </w:r>
      <w:r w:rsidRPr="00502DB8">
        <w:t>Paragraph 4.1A.1(</w:t>
      </w:r>
      <w:r>
        <w:t>c</w:t>
      </w:r>
      <w:r w:rsidRPr="00502DB8">
        <w:t>)</w:t>
      </w:r>
    </w:p>
    <w:p w:rsidR="00502DB8" w:rsidRPr="00247465" w:rsidRDefault="00502DB8" w:rsidP="00502DB8">
      <w:pPr>
        <w:pStyle w:val="MIRBodyText"/>
        <w:rPr>
          <w:i/>
        </w:rPr>
      </w:pPr>
      <w:r w:rsidRPr="00247465">
        <w:rPr>
          <w:i/>
        </w:rPr>
        <w:t>after “</w:t>
      </w:r>
      <w:r>
        <w:rPr>
          <w:i/>
        </w:rPr>
        <w:t>Equity Market Products</w:t>
      </w:r>
      <w:r w:rsidRPr="00247465">
        <w:t xml:space="preserve">”, </w:t>
      </w:r>
      <w:r w:rsidRPr="00247465">
        <w:rPr>
          <w:i/>
        </w:rPr>
        <w:t>insert</w:t>
      </w:r>
    </w:p>
    <w:p w:rsidR="00502DB8" w:rsidRPr="00247465" w:rsidRDefault="00502DB8" w:rsidP="00502DB8">
      <w:pPr>
        <w:pStyle w:val="MIRBodyText"/>
      </w:pPr>
      <w:r>
        <w:t>and CGS Depository Interests</w:t>
      </w:r>
    </w:p>
    <w:p w:rsidR="00B23339" w:rsidRPr="00247465" w:rsidRDefault="0024387E" w:rsidP="00502DB8">
      <w:pPr>
        <w:pStyle w:val="MIRHeading3"/>
      </w:pPr>
      <w:r>
        <w:t>[5</w:t>
      </w:r>
      <w:r w:rsidR="0049348F">
        <w:t>3</w:t>
      </w:r>
      <w:r w:rsidR="00B23339" w:rsidRPr="00247465">
        <w:t>]</w:t>
      </w:r>
      <w:r w:rsidR="00B23339" w:rsidRPr="00247465">
        <w:tab/>
      </w:r>
      <w:r>
        <w:t>At the end of Rule 4.1A.1</w:t>
      </w:r>
    </w:p>
    <w:p w:rsidR="007312FD" w:rsidRPr="00DA0020" w:rsidRDefault="007312FD" w:rsidP="00B23339">
      <w:pPr>
        <w:pStyle w:val="MIRBodyText"/>
      </w:pPr>
      <w:r>
        <w:rPr>
          <w:i/>
        </w:rPr>
        <w:t>add</w:t>
      </w:r>
    </w:p>
    <w:p w:rsidR="00DA0020" w:rsidRPr="00DA0020" w:rsidRDefault="00DA0020" w:rsidP="00DA0020">
      <w:pPr>
        <w:pStyle w:val="MIRBodyText"/>
      </w:pPr>
      <w:r w:rsidRPr="00DA0020">
        <w:t xml:space="preserve">(2) In this Chapter, </w:t>
      </w:r>
      <w:r w:rsidRPr="00DA0020">
        <w:rPr>
          <w:b/>
          <w:bCs/>
          <w:i/>
          <w:iCs/>
        </w:rPr>
        <w:t xml:space="preserve">Relevant Products </w:t>
      </w:r>
      <w:r w:rsidRPr="00DA0020">
        <w:t xml:space="preserve">means Equity Market Products and CGS Depository Interests. </w:t>
      </w:r>
    </w:p>
    <w:p w:rsidR="006E62B2" w:rsidRPr="00247465" w:rsidRDefault="006E62B2" w:rsidP="006E62B2">
      <w:pPr>
        <w:pStyle w:val="MIRHeading3"/>
      </w:pPr>
      <w:r w:rsidRPr="00247465">
        <w:t>[</w:t>
      </w:r>
      <w:r w:rsidR="0054531E">
        <w:t>5</w:t>
      </w:r>
      <w:r w:rsidR="00784CA1">
        <w:t>4</w:t>
      </w:r>
      <w:r w:rsidRPr="00247465">
        <w:t>]</w:t>
      </w:r>
      <w:r w:rsidRPr="00247465">
        <w:tab/>
      </w:r>
      <w:r w:rsidR="0054531E">
        <w:t>Rule 4.1.4 (heading)</w:t>
      </w:r>
    </w:p>
    <w:p w:rsidR="006E62B2" w:rsidRDefault="0054531E" w:rsidP="006E62B2">
      <w:pPr>
        <w:pStyle w:val="MIRBodyText"/>
        <w:rPr>
          <w:i/>
        </w:rPr>
      </w:pPr>
      <w:r>
        <w:rPr>
          <w:i/>
        </w:rPr>
        <w:t>after “Pre-Trade Information”, insert</w:t>
      </w:r>
    </w:p>
    <w:p w:rsidR="0054531E" w:rsidRPr="0054531E" w:rsidRDefault="0054531E" w:rsidP="006E62B2">
      <w:pPr>
        <w:pStyle w:val="MIRBodyText"/>
        <w:rPr>
          <w:i/>
        </w:rPr>
      </w:pPr>
      <w:r w:rsidRPr="00580E1B">
        <w:t>—Equity Market Products</w:t>
      </w:r>
    </w:p>
    <w:p w:rsidR="0054531E" w:rsidRPr="00247465" w:rsidRDefault="0054531E" w:rsidP="0054531E">
      <w:pPr>
        <w:pStyle w:val="MIRHeading3"/>
      </w:pPr>
      <w:r w:rsidRPr="00247465">
        <w:t>[</w:t>
      </w:r>
      <w:r>
        <w:t>5</w:t>
      </w:r>
      <w:r w:rsidR="00784CA1">
        <w:t>5</w:t>
      </w:r>
      <w:r w:rsidRPr="00247465">
        <w:t>]</w:t>
      </w:r>
      <w:r w:rsidRPr="00247465">
        <w:tab/>
      </w:r>
      <w:r>
        <w:t>Rule 4.1.4</w:t>
      </w:r>
    </w:p>
    <w:p w:rsidR="0054531E" w:rsidRPr="00247465" w:rsidRDefault="0054531E" w:rsidP="006E62B2">
      <w:pPr>
        <w:pStyle w:val="MIRBodyText"/>
        <w:rPr>
          <w:i/>
        </w:rPr>
      </w:pPr>
      <w:r>
        <w:rPr>
          <w:i/>
        </w:rPr>
        <w:t>after “Order” (first occurring), insert</w:t>
      </w:r>
    </w:p>
    <w:p w:rsidR="006E62B2" w:rsidRDefault="0054531E" w:rsidP="006E62B2">
      <w:pPr>
        <w:pStyle w:val="MIRBodyText"/>
      </w:pPr>
      <w:r>
        <w:t xml:space="preserve">for an </w:t>
      </w:r>
      <w:r w:rsidR="00B06D25" w:rsidRPr="00247465">
        <w:t>Equity Market Product</w:t>
      </w:r>
    </w:p>
    <w:p w:rsidR="002441C7" w:rsidRDefault="002441C7" w:rsidP="002441C7">
      <w:pPr>
        <w:pStyle w:val="MIRHeading3"/>
      </w:pPr>
      <w:r w:rsidRPr="00247465">
        <w:t>[</w:t>
      </w:r>
      <w:r w:rsidR="00B068B9">
        <w:t>5</w:t>
      </w:r>
      <w:r w:rsidR="00784CA1">
        <w:t>6</w:t>
      </w:r>
      <w:r w:rsidRPr="00247465">
        <w:t>]</w:t>
      </w:r>
      <w:r w:rsidRPr="00247465">
        <w:tab/>
      </w:r>
      <w:r w:rsidR="003232C8">
        <w:t>After Rule 4.1.4</w:t>
      </w:r>
    </w:p>
    <w:p w:rsidR="00C02A42" w:rsidRPr="00247465" w:rsidRDefault="00C02A42" w:rsidP="00C02A42">
      <w:pPr>
        <w:pStyle w:val="MIRBodyText"/>
        <w:rPr>
          <w:i/>
        </w:rPr>
      </w:pPr>
      <w:r>
        <w:rPr>
          <w:i/>
        </w:rPr>
        <w:t>insert</w:t>
      </w:r>
    </w:p>
    <w:p w:rsidR="003232C8" w:rsidRPr="003232C8" w:rsidRDefault="003232C8" w:rsidP="00BA7CDC">
      <w:pPr>
        <w:pStyle w:val="MIRHeading3Rule"/>
        <w:ind w:hanging="1"/>
      </w:pPr>
      <w:r w:rsidRPr="003232C8">
        <w:t>4.1.4A</w:t>
      </w:r>
      <w:r w:rsidRPr="003232C8">
        <w:tab/>
        <w:t>Pre-Trade Information—CGS Depository Interests</w:t>
      </w:r>
    </w:p>
    <w:p w:rsidR="003232C8" w:rsidRPr="003232C8" w:rsidRDefault="003232C8" w:rsidP="008B75A8">
      <w:pPr>
        <w:pStyle w:val="MIRBodyText"/>
      </w:pPr>
      <w:r w:rsidRPr="003232C8">
        <w:t xml:space="preserve">For the purposes of these Rules, </w:t>
      </w:r>
      <w:r w:rsidRPr="003232C8">
        <w:rPr>
          <w:b/>
          <w:i/>
        </w:rPr>
        <w:t>Pre-Trade Information</w:t>
      </w:r>
      <w:r w:rsidRPr="003232C8">
        <w:t>, in relation to an Order for a CGS Depository Interest, means the information set out in the following Table in relation to that Order.</w:t>
      </w:r>
    </w:p>
    <w:p w:rsidR="003232C8" w:rsidRPr="003232C8" w:rsidRDefault="003232C8" w:rsidP="003232C8">
      <w:pPr>
        <w:tabs>
          <w:tab w:val="left" w:pos="851"/>
        </w:tabs>
        <w:spacing w:before="200" w:after="0" w:line="300" w:lineRule="atLeast"/>
        <w:ind w:left="851"/>
        <w:rPr>
          <w:szCs w:val="22"/>
        </w:rPr>
      </w:pP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1984"/>
        <w:gridCol w:w="5635"/>
      </w:tblGrid>
      <w:tr w:rsidR="003232C8" w:rsidRPr="003232C8" w:rsidTr="00E42723">
        <w:trPr>
          <w:cantSplit/>
          <w:tblHeader/>
        </w:trPr>
        <w:tc>
          <w:tcPr>
            <w:tcW w:w="426" w:type="pct"/>
            <w:shd w:val="clear" w:color="auto" w:fill="C2E3FA"/>
          </w:tcPr>
          <w:p w:rsidR="003232C8" w:rsidRPr="003232C8" w:rsidRDefault="003232C8" w:rsidP="003232C8">
            <w:pPr>
              <w:keepNext/>
              <w:spacing w:before="120" w:after="0" w:line="240" w:lineRule="atLeast"/>
              <w:rPr>
                <w:rFonts w:ascii="Arial" w:hAnsi="Arial" w:cs="Arial"/>
                <w:b/>
                <w:sz w:val="18"/>
                <w:szCs w:val="18"/>
              </w:rPr>
            </w:pPr>
            <w:r w:rsidRPr="003232C8">
              <w:rPr>
                <w:rFonts w:ascii="Arial" w:hAnsi="Arial" w:cs="Arial"/>
                <w:b/>
                <w:sz w:val="18"/>
                <w:szCs w:val="18"/>
              </w:rPr>
              <w:t>Item</w:t>
            </w:r>
          </w:p>
        </w:tc>
        <w:tc>
          <w:tcPr>
            <w:tcW w:w="1191" w:type="pct"/>
            <w:shd w:val="clear" w:color="auto" w:fill="C2E3FA"/>
          </w:tcPr>
          <w:p w:rsidR="003232C8" w:rsidRPr="003232C8" w:rsidRDefault="003232C8" w:rsidP="003232C8">
            <w:pPr>
              <w:keepNext/>
              <w:spacing w:before="120" w:after="0" w:line="240" w:lineRule="atLeast"/>
              <w:rPr>
                <w:rFonts w:ascii="Arial" w:hAnsi="Arial" w:cs="Arial"/>
                <w:b/>
                <w:sz w:val="18"/>
                <w:szCs w:val="18"/>
              </w:rPr>
            </w:pPr>
            <w:r w:rsidRPr="003232C8">
              <w:rPr>
                <w:rFonts w:ascii="Arial" w:hAnsi="Arial" w:cs="Arial"/>
                <w:b/>
                <w:sz w:val="18"/>
                <w:szCs w:val="18"/>
              </w:rPr>
              <w:t>Label</w:t>
            </w:r>
          </w:p>
        </w:tc>
        <w:tc>
          <w:tcPr>
            <w:tcW w:w="3383" w:type="pct"/>
            <w:shd w:val="clear" w:color="auto" w:fill="C2E3FA"/>
          </w:tcPr>
          <w:p w:rsidR="003232C8" w:rsidRPr="003232C8" w:rsidRDefault="003232C8" w:rsidP="003232C8">
            <w:pPr>
              <w:keepNext/>
              <w:spacing w:before="120" w:after="0" w:line="240" w:lineRule="atLeast"/>
              <w:rPr>
                <w:rFonts w:ascii="Arial" w:hAnsi="Arial" w:cs="Arial"/>
                <w:b/>
                <w:sz w:val="18"/>
                <w:szCs w:val="18"/>
              </w:rPr>
            </w:pPr>
            <w:r w:rsidRPr="003232C8">
              <w:rPr>
                <w:rFonts w:ascii="Arial" w:hAnsi="Arial" w:cs="Arial"/>
                <w:b/>
                <w:sz w:val="18"/>
                <w:szCs w:val="18"/>
              </w:rPr>
              <w:t>Pre-Trade Information</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1</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 xml:space="preserve">Order date </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The date on which the Order was received by the Market Operator</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2</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Order time</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The time at which the Order was received by the Market Operator</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3</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Product identification</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The symbol, assigned in accordance with Rule 6.2.3, that identifies the CGS Depository Interest the subject of the Order</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4</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Volume</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The number of CGS Depository Interests the subject of the Order</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5</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Order side</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Whether the Order is a Buy Order or Sell Order</w:t>
            </w:r>
          </w:p>
        </w:tc>
      </w:tr>
      <w:tr w:rsidR="003232C8" w:rsidRPr="003232C8" w:rsidTr="00E42723">
        <w:trPr>
          <w:cantSplit/>
        </w:trPr>
        <w:tc>
          <w:tcPr>
            <w:tcW w:w="426"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6</w:t>
            </w:r>
          </w:p>
        </w:tc>
        <w:tc>
          <w:tcPr>
            <w:tcW w:w="1191"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Price</w:t>
            </w:r>
          </w:p>
        </w:tc>
        <w:tc>
          <w:tcPr>
            <w:tcW w:w="3383" w:type="pct"/>
          </w:tcPr>
          <w:p w:rsidR="003232C8" w:rsidRPr="003232C8" w:rsidRDefault="003232C8" w:rsidP="003232C8">
            <w:pPr>
              <w:widowControl w:val="0"/>
              <w:spacing w:before="120" w:after="0" w:line="240" w:lineRule="atLeast"/>
              <w:rPr>
                <w:rFonts w:ascii="Arial" w:hAnsi="Arial" w:cs="Arial"/>
                <w:sz w:val="18"/>
                <w:szCs w:val="18"/>
              </w:rPr>
            </w:pPr>
            <w:r w:rsidRPr="003232C8">
              <w:rPr>
                <w:rFonts w:ascii="Arial" w:hAnsi="Arial" w:cs="Arial"/>
                <w:sz w:val="18"/>
                <w:szCs w:val="18"/>
              </w:rPr>
              <w:t>The price per CGS Depository Interest of the Order. The price entered should be price per $100 nominal, inclusive of interest.</w:t>
            </w:r>
          </w:p>
        </w:tc>
      </w:tr>
    </w:tbl>
    <w:p w:rsidR="003232C8" w:rsidRPr="003232C8" w:rsidRDefault="003232C8" w:rsidP="004C1B2A">
      <w:pPr>
        <w:pStyle w:val="MIRNote"/>
      </w:pPr>
      <w:r w:rsidRPr="003232C8">
        <w:t>Note: There is no penalty for this Rule.</w:t>
      </w:r>
    </w:p>
    <w:p w:rsidR="001873BC" w:rsidRPr="00247465" w:rsidRDefault="001873BC" w:rsidP="001873BC">
      <w:pPr>
        <w:pStyle w:val="MIRHeading3"/>
      </w:pPr>
      <w:bookmarkStart w:id="2" w:name="_Hlk334028495"/>
      <w:r w:rsidRPr="00247465">
        <w:t>[</w:t>
      </w:r>
      <w:r w:rsidR="00784CA1">
        <w:t>57</w:t>
      </w:r>
      <w:r w:rsidR="004C1B2A">
        <w:t>]</w:t>
      </w:r>
      <w:r w:rsidR="004C1B2A">
        <w:tab/>
        <w:t>Paragraph 4.1.5(1)(a)</w:t>
      </w:r>
    </w:p>
    <w:p w:rsidR="00244618" w:rsidRPr="00247465" w:rsidRDefault="00244618" w:rsidP="001873BC">
      <w:pPr>
        <w:pStyle w:val="MIRBodyText"/>
        <w:rPr>
          <w:i/>
        </w:rPr>
      </w:pPr>
      <w:r w:rsidRPr="00247465">
        <w:rPr>
          <w:i/>
        </w:rPr>
        <w:t xml:space="preserve">after </w:t>
      </w:r>
      <w:r w:rsidR="00F2365E" w:rsidRPr="00247465">
        <w:rPr>
          <w:i/>
        </w:rPr>
        <w:t>“</w:t>
      </w:r>
      <w:r w:rsidR="004C1B2A">
        <w:rPr>
          <w:i/>
        </w:rPr>
        <w:t>Rule 4.1.4</w:t>
      </w:r>
      <w:r w:rsidR="00F2365E" w:rsidRPr="00247465">
        <w:rPr>
          <w:i/>
        </w:rPr>
        <w:t xml:space="preserve">”, </w:t>
      </w:r>
      <w:r w:rsidRPr="00247465">
        <w:rPr>
          <w:i/>
        </w:rPr>
        <w:t>insert</w:t>
      </w:r>
    </w:p>
    <w:p w:rsidR="00244618" w:rsidRPr="00247465" w:rsidRDefault="004C1B2A" w:rsidP="00244618">
      <w:pPr>
        <w:pStyle w:val="MIRBodyText"/>
      </w:pPr>
      <w:r w:rsidRPr="00FC0575">
        <w:t>(in the case of Equity Market Products) or Rule 4.1.4A (in the case of CGS Depository Interests)</w:t>
      </w:r>
      <w:r w:rsidR="00244618" w:rsidRPr="00247465">
        <w:t xml:space="preserve"> </w:t>
      </w:r>
    </w:p>
    <w:bookmarkEnd w:id="2"/>
    <w:p w:rsidR="003E3AD3" w:rsidRPr="00247465" w:rsidRDefault="003E3AD3" w:rsidP="003E3AD3">
      <w:pPr>
        <w:pStyle w:val="MIRHeading3"/>
      </w:pPr>
      <w:r w:rsidRPr="00247465">
        <w:t>[</w:t>
      </w:r>
      <w:r w:rsidR="00784CA1">
        <w:t>58</w:t>
      </w:r>
      <w:r w:rsidR="004B4233">
        <w:t>]</w:t>
      </w:r>
      <w:r w:rsidR="004B4233">
        <w:tab/>
        <w:t>Rule 4.1.7</w:t>
      </w:r>
    </w:p>
    <w:p w:rsidR="003E3AD3" w:rsidRPr="00247465" w:rsidRDefault="00FB7D47" w:rsidP="003E3AD3">
      <w:pPr>
        <w:pStyle w:val="MIRBodyText"/>
        <w:rPr>
          <w:i/>
        </w:rPr>
      </w:pPr>
      <w:r>
        <w:rPr>
          <w:i/>
        </w:rPr>
        <w:t>after “Hidden Order” (first occurring), insert</w:t>
      </w:r>
    </w:p>
    <w:p w:rsidR="003E3AD3" w:rsidRPr="00247465" w:rsidRDefault="00FB7D47" w:rsidP="003E3AD3">
      <w:pPr>
        <w:pStyle w:val="MIRBodyText"/>
      </w:pPr>
      <w:r>
        <w:t>in a Relevant Product</w:t>
      </w:r>
    </w:p>
    <w:p w:rsidR="003E3AD3" w:rsidRPr="00247465" w:rsidRDefault="003E3AD3" w:rsidP="003E3AD3">
      <w:pPr>
        <w:pStyle w:val="MIRHeading3"/>
      </w:pPr>
      <w:r w:rsidRPr="00247465">
        <w:t>[</w:t>
      </w:r>
      <w:r w:rsidR="00784CA1">
        <w:t>59</w:t>
      </w:r>
      <w:r w:rsidR="00063DA6">
        <w:t>]</w:t>
      </w:r>
      <w:r w:rsidR="00063DA6">
        <w:tab/>
        <w:t>Rule 4.1.7</w:t>
      </w:r>
    </w:p>
    <w:p w:rsidR="00D50333" w:rsidRDefault="00D50333" w:rsidP="003E3AD3">
      <w:pPr>
        <w:pStyle w:val="MIRBodyText"/>
        <w:rPr>
          <w:i/>
        </w:rPr>
      </w:pPr>
      <w:r>
        <w:rPr>
          <w:i/>
        </w:rPr>
        <w:t>omit</w:t>
      </w:r>
    </w:p>
    <w:p w:rsidR="00D50333" w:rsidRPr="00D50333" w:rsidRDefault="00D50333" w:rsidP="003E3AD3">
      <w:pPr>
        <w:pStyle w:val="MIRBodyText"/>
        <w:rPr>
          <w:i/>
        </w:rPr>
      </w:pPr>
      <w:r>
        <w:t>Equity Market Products</w:t>
      </w:r>
    </w:p>
    <w:p w:rsidR="00D50333" w:rsidRDefault="00D50333" w:rsidP="003E3AD3">
      <w:pPr>
        <w:pStyle w:val="MIRBodyText"/>
        <w:rPr>
          <w:i/>
        </w:rPr>
      </w:pPr>
      <w:r>
        <w:rPr>
          <w:i/>
        </w:rPr>
        <w:t>substitute</w:t>
      </w:r>
    </w:p>
    <w:p w:rsidR="00D50333" w:rsidRPr="00D50333" w:rsidRDefault="00D50333" w:rsidP="003E3AD3">
      <w:pPr>
        <w:pStyle w:val="MIRBodyText"/>
        <w:rPr>
          <w:i/>
        </w:rPr>
      </w:pPr>
      <w:r>
        <w:t>Relevant Products</w:t>
      </w:r>
    </w:p>
    <w:p w:rsidR="00633ECA" w:rsidRPr="00247465" w:rsidRDefault="00633ECA" w:rsidP="00633ECA">
      <w:pPr>
        <w:pStyle w:val="MIRHeading3"/>
      </w:pPr>
      <w:r w:rsidRPr="00247465">
        <w:t>[6</w:t>
      </w:r>
      <w:r w:rsidR="00177899">
        <w:t>0</w:t>
      </w:r>
      <w:r w:rsidRPr="00247465">
        <w:t>]</w:t>
      </w:r>
      <w:r w:rsidRPr="00247465">
        <w:tab/>
      </w:r>
      <w:r w:rsidR="00C43FEC">
        <w:t>Rule 4.1.8</w:t>
      </w:r>
    </w:p>
    <w:p w:rsidR="00633ECA" w:rsidRPr="00247465" w:rsidRDefault="002A325C" w:rsidP="00633ECA">
      <w:pPr>
        <w:pStyle w:val="MIRBodyText"/>
        <w:rPr>
          <w:i/>
        </w:rPr>
      </w:pPr>
      <w:r w:rsidRPr="00247465">
        <w:rPr>
          <w:i/>
        </w:rPr>
        <w:t>omit</w:t>
      </w:r>
      <w:r w:rsidR="00C43FEC">
        <w:rPr>
          <w:i/>
        </w:rPr>
        <w:t xml:space="preserve"> (wherever occurring)</w:t>
      </w:r>
    </w:p>
    <w:p w:rsidR="002A325C" w:rsidRPr="00247465" w:rsidRDefault="00C43FEC" w:rsidP="00633ECA">
      <w:pPr>
        <w:pStyle w:val="MIRBodyText"/>
      </w:pPr>
      <w:r>
        <w:t>an Equity Market Product</w:t>
      </w:r>
    </w:p>
    <w:p w:rsidR="002A325C" w:rsidRPr="00247465" w:rsidRDefault="002A325C" w:rsidP="00633ECA">
      <w:pPr>
        <w:pStyle w:val="MIRBodyText"/>
        <w:rPr>
          <w:i/>
        </w:rPr>
      </w:pPr>
      <w:r w:rsidRPr="00247465">
        <w:rPr>
          <w:i/>
        </w:rPr>
        <w:t>substitute</w:t>
      </w:r>
    </w:p>
    <w:p w:rsidR="00633ECA" w:rsidRPr="00247465" w:rsidRDefault="00C43FEC" w:rsidP="00C43FEC">
      <w:pPr>
        <w:pStyle w:val="MIRBodyText"/>
        <w:numPr>
          <w:ilvl w:val="0"/>
          <w:numId w:val="0"/>
        </w:numPr>
        <w:ind w:left="851"/>
        <w:rPr>
          <w:i/>
        </w:rPr>
      </w:pPr>
      <w:r>
        <w:t>a Relevant Product</w:t>
      </w:r>
    </w:p>
    <w:p w:rsidR="005023FE" w:rsidRPr="00247465" w:rsidRDefault="005023FE" w:rsidP="005023FE">
      <w:pPr>
        <w:pStyle w:val="MIRHeading3"/>
      </w:pPr>
      <w:r w:rsidRPr="00247465">
        <w:lastRenderedPageBreak/>
        <w:t>[6</w:t>
      </w:r>
      <w:r w:rsidR="00177899">
        <w:t>1</w:t>
      </w:r>
      <w:r w:rsidRPr="00247465">
        <w:t>]</w:t>
      </w:r>
      <w:r w:rsidRPr="00247465">
        <w:tab/>
      </w:r>
      <w:r w:rsidR="00AD0644">
        <w:t>Paragraph 4.2.1(1)(b)</w:t>
      </w:r>
    </w:p>
    <w:p w:rsidR="005023FE" w:rsidRPr="00247465" w:rsidRDefault="005023FE" w:rsidP="005023FE">
      <w:pPr>
        <w:pStyle w:val="MIRBodyText"/>
        <w:rPr>
          <w:i/>
        </w:rPr>
      </w:pPr>
      <w:r w:rsidRPr="00247465">
        <w:rPr>
          <w:i/>
        </w:rPr>
        <w:t>omit</w:t>
      </w:r>
    </w:p>
    <w:p w:rsidR="005023FE" w:rsidRPr="006F5D6A" w:rsidRDefault="005023FE" w:rsidP="005023FE">
      <w:pPr>
        <w:pStyle w:val="MIRBodyText"/>
        <w:rPr>
          <w:i/>
        </w:rPr>
      </w:pPr>
      <w:r w:rsidRPr="00247465">
        <w:t>Equity Market Product</w:t>
      </w:r>
      <w:r w:rsidR="006F5D6A">
        <w:t>s are</w:t>
      </w:r>
    </w:p>
    <w:p w:rsidR="006F5D6A" w:rsidRDefault="006F5D6A" w:rsidP="005023FE">
      <w:pPr>
        <w:pStyle w:val="MIRBodyText"/>
        <w:rPr>
          <w:i/>
        </w:rPr>
      </w:pPr>
      <w:r>
        <w:rPr>
          <w:i/>
        </w:rPr>
        <w:t>substitute</w:t>
      </w:r>
    </w:p>
    <w:p w:rsidR="006F5D6A" w:rsidRPr="005832C9" w:rsidRDefault="006F5D6A" w:rsidP="005023FE">
      <w:pPr>
        <w:pStyle w:val="MIRBodyText"/>
        <w:rPr>
          <w:i/>
        </w:rPr>
      </w:pPr>
      <w:r>
        <w:t>Relevant Product is</w:t>
      </w:r>
    </w:p>
    <w:p w:rsidR="005832C9" w:rsidRPr="00247465" w:rsidRDefault="005832C9" w:rsidP="005832C9">
      <w:pPr>
        <w:pStyle w:val="MIRHeading3"/>
      </w:pPr>
      <w:r w:rsidRPr="00247465">
        <w:t>[6</w:t>
      </w:r>
      <w:r w:rsidR="00177899">
        <w:t>2</w:t>
      </w:r>
      <w:r w:rsidRPr="00247465">
        <w:t>]</w:t>
      </w:r>
      <w:r w:rsidRPr="00247465">
        <w:tab/>
      </w:r>
      <w:r>
        <w:t>Paragraph 4.2.1(1)(c)</w:t>
      </w:r>
    </w:p>
    <w:p w:rsidR="005832C9" w:rsidRPr="005832C9" w:rsidRDefault="005832C9" w:rsidP="005832C9">
      <w:pPr>
        <w:pStyle w:val="MIRBodyText"/>
        <w:rPr>
          <w:i/>
        </w:rPr>
      </w:pPr>
      <w:r w:rsidRPr="005832C9">
        <w:rPr>
          <w:i/>
        </w:rPr>
        <w:t>after “$1,000,000”, insert</w:t>
      </w:r>
    </w:p>
    <w:p w:rsidR="00B73DAB" w:rsidRPr="00B73DAB" w:rsidRDefault="005832C9" w:rsidP="005832C9">
      <w:pPr>
        <w:pStyle w:val="MIRBodyText"/>
        <w:rPr>
          <w:i/>
        </w:rPr>
      </w:pPr>
      <w:r w:rsidRPr="005832C9">
        <w:t>(in the case of Equity Market Products) or $200,000 (in the case of CGS Depository Interests)</w:t>
      </w:r>
    </w:p>
    <w:p w:rsidR="001E0C56" w:rsidRPr="00247465" w:rsidRDefault="001E0C56" w:rsidP="001E0C56">
      <w:pPr>
        <w:pStyle w:val="MIRHeading3"/>
      </w:pPr>
      <w:r w:rsidRPr="00247465">
        <w:t>[</w:t>
      </w:r>
      <w:r w:rsidR="000D1521">
        <w:t>6</w:t>
      </w:r>
      <w:r w:rsidR="00177899">
        <w:t>3</w:t>
      </w:r>
      <w:r w:rsidR="004E7447">
        <w:t>]</w:t>
      </w:r>
      <w:r w:rsidR="004E7447">
        <w:tab/>
        <w:t>Subrule 4.2.1(2)</w:t>
      </w:r>
    </w:p>
    <w:p w:rsidR="001E0C56" w:rsidRDefault="001E0C56" w:rsidP="001E0C56">
      <w:pPr>
        <w:pStyle w:val="MIRBodyText"/>
        <w:rPr>
          <w:i/>
        </w:rPr>
      </w:pPr>
      <w:r w:rsidRPr="00247465">
        <w:rPr>
          <w:i/>
        </w:rPr>
        <w:t>omit</w:t>
      </w:r>
      <w:r w:rsidR="00382C49">
        <w:rPr>
          <w:i/>
        </w:rPr>
        <w:t xml:space="preserve"> </w:t>
      </w:r>
    </w:p>
    <w:p w:rsidR="00382C49" w:rsidRPr="00382C49" w:rsidRDefault="00382C49" w:rsidP="001E0C56">
      <w:pPr>
        <w:pStyle w:val="MIRBodyText"/>
        <w:rPr>
          <w:i/>
        </w:rPr>
      </w:pPr>
      <w:r>
        <w:t>Equity Market Products</w:t>
      </w:r>
    </w:p>
    <w:p w:rsidR="00382C49" w:rsidRDefault="00382C49" w:rsidP="001E0C56">
      <w:pPr>
        <w:pStyle w:val="MIRBodyText"/>
        <w:rPr>
          <w:i/>
        </w:rPr>
      </w:pPr>
      <w:r>
        <w:rPr>
          <w:i/>
        </w:rPr>
        <w:t>substitute</w:t>
      </w:r>
    </w:p>
    <w:p w:rsidR="00382C49" w:rsidRPr="00247465" w:rsidRDefault="00382C49" w:rsidP="001E0C56">
      <w:pPr>
        <w:pStyle w:val="MIRBodyText"/>
        <w:rPr>
          <w:i/>
        </w:rPr>
      </w:pPr>
      <w:r>
        <w:t>Relevant Products</w:t>
      </w:r>
    </w:p>
    <w:p w:rsidR="00456CDD" w:rsidRPr="00247465" w:rsidRDefault="00456CDD" w:rsidP="00456CDD">
      <w:pPr>
        <w:pStyle w:val="MIRHeading3"/>
      </w:pPr>
      <w:r w:rsidRPr="00247465">
        <w:t>[</w:t>
      </w:r>
      <w:r w:rsidR="003A2034">
        <w:t>6</w:t>
      </w:r>
      <w:r w:rsidR="00144396">
        <w:t>4</w:t>
      </w:r>
      <w:r w:rsidRPr="00247465">
        <w:t>]</w:t>
      </w:r>
      <w:r w:rsidRPr="00247465">
        <w:tab/>
        <w:t xml:space="preserve">Paragraph </w:t>
      </w:r>
      <w:r w:rsidR="00945AAB">
        <w:t>4.2.2(1)(c)</w:t>
      </w:r>
    </w:p>
    <w:p w:rsidR="00456CDD" w:rsidRPr="00247465" w:rsidRDefault="00456CDD" w:rsidP="00456CDD">
      <w:pPr>
        <w:pStyle w:val="MIRBodyText"/>
        <w:rPr>
          <w:i/>
        </w:rPr>
      </w:pPr>
      <w:r w:rsidRPr="00247465">
        <w:rPr>
          <w:i/>
        </w:rPr>
        <w:t>omit</w:t>
      </w:r>
    </w:p>
    <w:p w:rsidR="00945AAB" w:rsidRPr="00945AAB" w:rsidRDefault="00945AAB" w:rsidP="00B23339">
      <w:pPr>
        <w:pStyle w:val="MIRBodyText"/>
      </w:pPr>
      <w:r w:rsidRPr="00945AAB">
        <w:t>Equity Market Products</w:t>
      </w:r>
    </w:p>
    <w:p w:rsidR="000E68F0" w:rsidRPr="00247465" w:rsidRDefault="000E68F0" w:rsidP="00B23339">
      <w:pPr>
        <w:pStyle w:val="MIRBodyText"/>
      </w:pPr>
      <w:r w:rsidRPr="00247465">
        <w:rPr>
          <w:i/>
        </w:rPr>
        <w:t>substitute</w:t>
      </w:r>
    </w:p>
    <w:p w:rsidR="000E68F0" w:rsidRPr="00247465" w:rsidRDefault="0093499C" w:rsidP="00B23339">
      <w:pPr>
        <w:pStyle w:val="MIRBodyText"/>
      </w:pPr>
      <w:r>
        <w:t>Relevant Products</w:t>
      </w:r>
    </w:p>
    <w:p w:rsidR="00556657" w:rsidRPr="00247465" w:rsidRDefault="00556657" w:rsidP="00556657">
      <w:pPr>
        <w:pStyle w:val="MIRHeading3"/>
      </w:pPr>
      <w:r w:rsidRPr="00247465">
        <w:t>[</w:t>
      </w:r>
      <w:r w:rsidR="00144396">
        <w:t>65</w:t>
      </w:r>
      <w:r w:rsidRPr="00247465">
        <w:t>]</w:t>
      </w:r>
      <w:r w:rsidRPr="00247465">
        <w:tab/>
        <w:t xml:space="preserve">Rule </w:t>
      </w:r>
      <w:r w:rsidR="00707677">
        <w:t>4.2.3</w:t>
      </w:r>
    </w:p>
    <w:p w:rsidR="00981CEF" w:rsidRDefault="00556657" w:rsidP="00556657">
      <w:pPr>
        <w:pStyle w:val="MIRBodyText"/>
        <w:rPr>
          <w:i/>
        </w:rPr>
      </w:pPr>
      <w:r w:rsidRPr="00247465">
        <w:rPr>
          <w:i/>
        </w:rPr>
        <w:t>omit</w:t>
      </w:r>
      <w:r w:rsidR="00981CEF" w:rsidRPr="00981CEF">
        <w:rPr>
          <w:i/>
        </w:rPr>
        <w:t xml:space="preserve"> (wherever occurring)</w:t>
      </w:r>
    </w:p>
    <w:p w:rsidR="00981CEF" w:rsidRPr="00981CEF" w:rsidRDefault="00981CEF" w:rsidP="00556657">
      <w:pPr>
        <w:pStyle w:val="MIRBodyText"/>
        <w:rPr>
          <w:i/>
        </w:rPr>
      </w:pPr>
      <w:r w:rsidRPr="00981CEF">
        <w:t>Equity Market Product</w:t>
      </w:r>
    </w:p>
    <w:p w:rsidR="00981CEF" w:rsidRPr="00981CEF" w:rsidRDefault="00981CEF" w:rsidP="00556657">
      <w:pPr>
        <w:pStyle w:val="MIRBodyText"/>
        <w:rPr>
          <w:i/>
        </w:rPr>
      </w:pPr>
      <w:r w:rsidRPr="00981CEF">
        <w:rPr>
          <w:i/>
        </w:rPr>
        <w:t>substitute</w:t>
      </w:r>
    </w:p>
    <w:p w:rsidR="00981CEF" w:rsidRDefault="00981CEF" w:rsidP="00556657">
      <w:pPr>
        <w:pStyle w:val="MIRBodyText"/>
        <w:rPr>
          <w:i/>
        </w:rPr>
      </w:pPr>
      <w:r>
        <w:t>Relevant Product</w:t>
      </w:r>
    </w:p>
    <w:p w:rsidR="000E68F0" w:rsidRPr="00247465" w:rsidRDefault="000E68F0" w:rsidP="00302B59">
      <w:pPr>
        <w:pStyle w:val="MIRHeading3"/>
      </w:pPr>
      <w:r w:rsidRPr="00247465">
        <w:lastRenderedPageBreak/>
        <w:t>[</w:t>
      </w:r>
      <w:r w:rsidR="00221D2F">
        <w:t>6</w:t>
      </w:r>
      <w:r w:rsidR="00144396">
        <w:t>6</w:t>
      </w:r>
      <w:r w:rsidRPr="00247465">
        <w:t>]</w:t>
      </w:r>
      <w:r w:rsidRPr="00247465">
        <w:tab/>
        <w:t xml:space="preserve">Rule </w:t>
      </w:r>
      <w:r w:rsidR="003915E7">
        <w:t>4.2.4</w:t>
      </w:r>
    </w:p>
    <w:p w:rsidR="000E68F0" w:rsidRDefault="003915E7" w:rsidP="003A67FA">
      <w:pPr>
        <w:pStyle w:val="MIRBodyText"/>
        <w:keepNext/>
        <w:rPr>
          <w:i/>
        </w:rPr>
      </w:pPr>
      <w:r>
        <w:rPr>
          <w:i/>
        </w:rPr>
        <w:t>after “Transaction” (first occurring), insert</w:t>
      </w:r>
    </w:p>
    <w:p w:rsidR="003915E7" w:rsidRPr="003915E7" w:rsidRDefault="003915E7" w:rsidP="000E68F0">
      <w:pPr>
        <w:pStyle w:val="MIRBodyText"/>
        <w:rPr>
          <w:i/>
        </w:rPr>
      </w:pPr>
      <w:r>
        <w:t>in a Relevant Product</w:t>
      </w:r>
    </w:p>
    <w:p w:rsidR="006D204B" w:rsidRPr="00247465" w:rsidRDefault="006D204B" w:rsidP="006D204B">
      <w:pPr>
        <w:pStyle w:val="MIRHeading3"/>
      </w:pPr>
      <w:r w:rsidRPr="00247465">
        <w:t>[</w:t>
      </w:r>
      <w:r w:rsidR="00144396">
        <w:t>67</w:t>
      </w:r>
      <w:r w:rsidRPr="00247465">
        <w:t>]</w:t>
      </w:r>
      <w:r w:rsidRPr="00247465">
        <w:tab/>
        <w:t xml:space="preserve">Rule </w:t>
      </w:r>
      <w:r w:rsidR="0097186E">
        <w:t>4.2.4</w:t>
      </w:r>
    </w:p>
    <w:p w:rsidR="006D204B" w:rsidRPr="00247465" w:rsidRDefault="00881461" w:rsidP="006D204B">
      <w:pPr>
        <w:pStyle w:val="MIRBodyText"/>
        <w:rPr>
          <w:i/>
        </w:rPr>
      </w:pPr>
      <w:r>
        <w:rPr>
          <w:i/>
        </w:rPr>
        <w:t>after “Post-Trading Hours Period” (second occurring), insert</w:t>
      </w:r>
    </w:p>
    <w:p w:rsidR="006D204B" w:rsidRPr="00247465" w:rsidRDefault="00881461" w:rsidP="006D204B">
      <w:pPr>
        <w:pStyle w:val="MIRBodyText"/>
      </w:pPr>
      <w:r>
        <w:t>in relation to that Relevant Product</w:t>
      </w:r>
    </w:p>
    <w:p w:rsidR="006D204B" w:rsidRPr="00247465" w:rsidRDefault="006D204B" w:rsidP="006D204B">
      <w:pPr>
        <w:pStyle w:val="MIRHeading3"/>
      </w:pPr>
      <w:r w:rsidRPr="00247465">
        <w:t>[</w:t>
      </w:r>
      <w:r w:rsidR="00144396">
        <w:t>68</w:t>
      </w:r>
      <w:r w:rsidRPr="00247465">
        <w:t>]</w:t>
      </w:r>
      <w:r w:rsidRPr="00247465">
        <w:tab/>
      </w:r>
      <w:r w:rsidR="00CE0F16">
        <w:t>Paragraph</w:t>
      </w:r>
      <w:r w:rsidRPr="00247465">
        <w:t xml:space="preserve"> </w:t>
      </w:r>
      <w:r w:rsidR="00CE0F16">
        <w:t>4.2.4(e)</w:t>
      </w:r>
    </w:p>
    <w:p w:rsidR="006D204B" w:rsidRDefault="006D204B" w:rsidP="006D204B">
      <w:pPr>
        <w:pStyle w:val="MIRBodyText"/>
        <w:rPr>
          <w:i/>
        </w:rPr>
      </w:pPr>
      <w:r w:rsidRPr="00247465">
        <w:rPr>
          <w:i/>
        </w:rPr>
        <w:t>omit</w:t>
      </w:r>
      <w:r w:rsidR="00070996">
        <w:rPr>
          <w:i/>
        </w:rPr>
        <w:t xml:space="preserve"> (wherever occurring)</w:t>
      </w:r>
    </w:p>
    <w:p w:rsidR="00070996" w:rsidRPr="00070996" w:rsidRDefault="00070996" w:rsidP="006D204B">
      <w:pPr>
        <w:pStyle w:val="MIRBodyText"/>
        <w:rPr>
          <w:i/>
        </w:rPr>
      </w:pPr>
      <w:r>
        <w:t>Equity Market Products</w:t>
      </w:r>
    </w:p>
    <w:p w:rsidR="00070996" w:rsidRDefault="00070996" w:rsidP="006D204B">
      <w:pPr>
        <w:pStyle w:val="MIRBodyText"/>
        <w:rPr>
          <w:i/>
        </w:rPr>
      </w:pPr>
      <w:r>
        <w:rPr>
          <w:i/>
        </w:rPr>
        <w:t>substitute</w:t>
      </w:r>
    </w:p>
    <w:p w:rsidR="00070996" w:rsidRPr="00247465" w:rsidRDefault="00070996" w:rsidP="006D204B">
      <w:pPr>
        <w:pStyle w:val="MIRBodyText"/>
        <w:rPr>
          <w:i/>
        </w:rPr>
      </w:pPr>
      <w:r>
        <w:t>Relevant Products</w:t>
      </w:r>
    </w:p>
    <w:p w:rsidR="00AA133B" w:rsidRPr="00247465" w:rsidRDefault="00AA133B" w:rsidP="00AA133B">
      <w:pPr>
        <w:pStyle w:val="MIRHeading3"/>
      </w:pPr>
      <w:r w:rsidRPr="00247465">
        <w:t>[</w:t>
      </w:r>
      <w:r w:rsidR="00144396">
        <w:t>69</w:t>
      </w:r>
      <w:r w:rsidRPr="00247465">
        <w:t>]</w:t>
      </w:r>
      <w:r w:rsidRPr="00247465">
        <w:tab/>
        <w:t xml:space="preserve">Rule </w:t>
      </w:r>
      <w:r>
        <w:t>4.2.5</w:t>
      </w:r>
    </w:p>
    <w:p w:rsidR="00AA133B" w:rsidRDefault="00AA133B" w:rsidP="00AA133B">
      <w:pPr>
        <w:pStyle w:val="MIRBodyText"/>
        <w:rPr>
          <w:i/>
        </w:rPr>
      </w:pPr>
      <w:r>
        <w:rPr>
          <w:i/>
        </w:rPr>
        <w:t>after “Transaction” (first occurring), insert</w:t>
      </w:r>
    </w:p>
    <w:p w:rsidR="00AA133B" w:rsidRPr="003915E7" w:rsidRDefault="00AA133B" w:rsidP="00AA133B">
      <w:pPr>
        <w:pStyle w:val="MIRBodyText"/>
        <w:rPr>
          <w:i/>
        </w:rPr>
      </w:pPr>
      <w:r>
        <w:t>in a Relevant Product</w:t>
      </w:r>
    </w:p>
    <w:p w:rsidR="00AA133B" w:rsidRPr="00247465" w:rsidRDefault="00AA133B" w:rsidP="00AA133B">
      <w:pPr>
        <w:pStyle w:val="MIRHeading3"/>
      </w:pPr>
      <w:r w:rsidRPr="00247465">
        <w:t>[</w:t>
      </w:r>
      <w:r w:rsidR="00144396">
        <w:t>70</w:t>
      </w:r>
      <w:r w:rsidRPr="00247465">
        <w:t>]</w:t>
      </w:r>
      <w:r w:rsidRPr="00247465">
        <w:tab/>
        <w:t xml:space="preserve">Rule </w:t>
      </w:r>
      <w:r>
        <w:t>4.2.5</w:t>
      </w:r>
    </w:p>
    <w:p w:rsidR="00AA133B" w:rsidRPr="00247465" w:rsidRDefault="00AA133B" w:rsidP="00AA133B">
      <w:pPr>
        <w:pStyle w:val="MIRBodyText"/>
        <w:rPr>
          <w:i/>
        </w:rPr>
      </w:pPr>
      <w:r>
        <w:rPr>
          <w:i/>
        </w:rPr>
        <w:t>after “Pre-Trading Hours Period” (second occurring), insert</w:t>
      </w:r>
    </w:p>
    <w:p w:rsidR="00AA133B" w:rsidRPr="00247465" w:rsidRDefault="00AA133B" w:rsidP="00AA133B">
      <w:pPr>
        <w:pStyle w:val="MIRBodyText"/>
      </w:pPr>
      <w:r>
        <w:t>in relation to that Relevant Product</w:t>
      </w:r>
    </w:p>
    <w:p w:rsidR="006D204B" w:rsidRPr="00247465" w:rsidRDefault="006D204B" w:rsidP="00AA133B">
      <w:pPr>
        <w:pStyle w:val="MIRHeading3"/>
      </w:pPr>
      <w:r w:rsidRPr="00247465">
        <w:t>[7</w:t>
      </w:r>
      <w:r w:rsidR="00144396">
        <w:t>1</w:t>
      </w:r>
      <w:r w:rsidRPr="00247465">
        <w:t>]</w:t>
      </w:r>
      <w:r w:rsidRPr="00247465">
        <w:tab/>
        <w:t xml:space="preserve">Rule </w:t>
      </w:r>
      <w:r w:rsidR="002D5A7E">
        <w:t>4.2.6</w:t>
      </w:r>
    </w:p>
    <w:p w:rsidR="002D5A7E" w:rsidRDefault="002D5A7E" w:rsidP="002D5A7E">
      <w:pPr>
        <w:pStyle w:val="MIRBodyText"/>
        <w:rPr>
          <w:i/>
        </w:rPr>
      </w:pPr>
      <w:r>
        <w:rPr>
          <w:i/>
        </w:rPr>
        <w:t>after “Transaction” (first occurring), insert</w:t>
      </w:r>
    </w:p>
    <w:p w:rsidR="006D204B" w:rsidRPr="00247465" w:rsidRDefault="002D5A7E" w:rsidP="002D5A7E">
      <w:pPr>
        <w:pStyle w:val="MIRBodyText"/>
        <w:rPr>
          <w:i/>
        </w:rPr>
      </w:pPr>
      <w:r>
        <w:t>in a Relevant Product</w:t>
      </w:r>
      <w:r w:rsidRPr="00247465">
        <w:rPr>
          <w:i/>
        </w:rPr>
        <w:t xml:space="preserve"> </w:t>
      </w:r>
    </w:p>
    <w:p w:rsidR="00A84A2F" w:rsidRPr="00247465" w:rsidRDefault="00A84A2F" w:rsidP="00A84A2F">
      <w:pPr>
        <w:pStyle w:val="MIRHeading3"/>
      </w:pPr>
      <w:r w:rsidRPr="00247465">
        <w:t>[</w:t>
      </w:r>
      <w:r w:rsidR="00144396">
        <w:t>72</w:t>
      </w:r>
      <w:r w:rsidRPr="00247465">
        <w:t>]</w:t>
      </w:r>
      <w:r w:rsidRPr="00247465">
        <w:tab/>
      </w:r>
      <w:r w:rsidR="002D5A7E">
        <w:t>Paragraph</w:t>
      </w:r>
      <w:r w:rsidRPr="00247465">
        <w:t xml:space="preserve"> </w:t>
      </w:r>
      <w:r w:rsidR="002D5A7E">
        <w:t>4.2.6(a)</w:t>
      </w:r>
    </w:p>
    <w:p w:rsidR="00174AEB" w:rsidRDefault="00174AEB" w:rsidP="00A84A2F">
      <w:pPr>
        <w:pStyle w:val="MIRBodyText"/>
        <w:rPr>
          <w:i/>
        </w:rPr>
      </w:pPr>
      <w:r>
        <w:rPr>
          <w:i/>
        </w:rPr>
        <w:t>after “</w:t>
      </w:r>
      <w:r w:rsidRPr="00174AEB">
        <w:rPr>
          <w:i/>
        </w:rPr>
        <w:t>Post-Trading Hours Period</w:t>
      </w:r>
      <w:r>
        <w:rPr>
          <w:i/>
        </w:rPr>
        <w:t>”, insert</w:t>
      </w:r>
    </w:p>
    <w:p w:rsidR="00174AEB" w:rsidRDefault="00174AEB" w:rsidP="00A84A2F">
      <w:pPr>
        <w:pStyle w:val="MIRBodyText"/>
        <w:rPr>
          <w:i/>
        </w:rPr>
      </w:pPr>
      <w:r w:rsidRPr="00174AEB">
        <w:t xml:space="preserve"> in relation to that Relevant Product</w:t>
      </w:r>
    </w:p>
    <w:p w:rsidR="00A84A2F" w:rsidRPr="00247465" w:rsidRDefault="00A84A2F" w:rsidP="00A84A2F">
      <w:pPr>
        <w:pStyle w:val="MIRHeading3"/>
      </w:pPr>
      <w:r w:rsidRPr="00247465">
        <w:lastRenderedPageBreak/>
        <w:t>[7</w:t>
      </w:r>
      <w:r w:rsidR="00144396">
        <w:t>3</w:t>
      </w:r>
      <w:r w:rsidRPr="00247465">
        <w:t>]</w:t>
      </w:r>
      <w:r w:rsidRPr="00247465">
        <w:tab/>
      </w:r>
      <w:r w:rsidR="00EC3D35">
        <w:t>Paragraph 4.2.6(a)</w:t>
      </w:r>
    </w:p>
    <w:p w:rsidR="00EC3D35" w:rsidRDefault="00EC3D35" w:rsidP="003A67FA">
      <w:pPr>
        <w:pStyle w:val="MIRBodyText"/>
        <w:keepNext/>
        <w:rPr>
          <w:i/>
        </w:rPr>
      </w:pPr>
      <w:r>
        <w:rPr>
          <w:i/>
        </w:rPr>
        <w:t>after “</w:t>
      </w:r>
      <w:r w:rsidRPr="00EC3D35">
        <w:rPr>
          <w:i/>
        </w:rPr>
        <w:t>Pre-Trading Hours Period</w:t>
      </w:r>
      <w:r>
        <w:rPr>
          <w:i/>
        </w:rPr>
        <w:t>”, insert</w:t>
      </w:r>
    </w:p>
    <w:p w:rsidR="00EC3D35" w:rsidRPr="00EC3D35" w:rsidRDefault="00EC3D35" w:rsidP="00EC3D35">
      <w:pPr>
        <w:pStyle w:val="MIRBodyText"/>
        <w:rPr>
          <w:i/>
        </w:rPr>
      </w:pPr>
      <w:r w:rsidRPr="00EC3D35">
        <w:t>in relation to that Relevant Product</w:t>
      </w:r>
    </w:p>
    <w:p w:rsidR="006D204B" w:rsidRPr="00247465" w:rsidRDefault="006D204B" w:rsidP="00A84A2F">
      <w:pPr>
        <w:pStyle w:val="MIRHeading3"/>
      </w:pPr>
      <w:r w:rsidRPr="00247465">
        <w:t>[7</w:t>
      </w:r>
      <w:r w:rsidR="00144396">
        <w:t>4</w:t>
      </w:r>
      <w:r w:rsidRPr="00247465">
        <w:t>]</w:t>
      </w:r>
      <w:r w:rsidRPr="00247465">
        <w:tab/>
      </w:r>
      <w:r w:rsidR="00E74132">
        <w:t>Subparagraph</w:t>
      </w:r>
      <w:r w:rsidRPr="00247465">
        <w:t xml:space="preserve"> </w:t>
      </w:r>
      <w:r w:rsidR="00D37695">
        <w:t>4.3.2</w:t>
      </w:r>
      <w:r w:rsidR="00E74132">
        <w:t>(a)(ii)</w:t>
      </w:r>
    </w:p>
    <w:p w:rsidR="006D204B" w:rsidRPr="00247465" w:rsidRDefault="006D204B" w:rsidP="006D204B">
      <w:pPr>
        <w:pStyle w:val="MIRBodyText"/>
        <w:rPr>
          <w:i/>
        </w:rPr>
      </w:pPr>
      <w:r w:rsidRPr="00247465">
        <w:rPr>
          <w:i/>
        </w:rPr>
        <w:t>omit</w:t>
      </w:r>
    </w:p>
    <w:p w:rsidR="006D204B" w:rsidRPr="00247465" w:rsidRDefault="00E74132" w:rsidP="006D204B">
      <w:pPr>
        <w:pStyle w:val="MIRBodyText"/>
      </w:pPr>
      <w:r>
        <w:t>relevant Equity Market Product</w:t>
      </w:r>
    </w:p>
    <w:p w:rsidR="006D204B" w:rsidRPr="00247465" w:rsidRDefault="006D204B" w:rsidP="006D204B">
      <w:pPr>
        <w:pStyle w:val="MIRBodyText"/>
      </w:pPr>
      <w:r w:rsidRPr="00247465">
        <w:rPr>
          <w:i/>
        </w:rPr>
        <w:t>substitute</w:t>
      </w:r>
    </w:p>
    <w:p w:rsidR="006D204B" w:rsidRPr="00247465" w:rsidRDefault="00E74132" w:rsidP="006D204B">
      <w:pPr>
        <w:pStyle w:val="MIRBodyText"/>
      </w:pPr>
      <w:r>
        <w:t>Relevant Product</w:t>
      </w:r>
    </w:p>
    <w:p w:rsidR="006D204B" w:rsidRPr="00247465" w:rsidRDefault="006D204B" w:rsidP="006D204B">
      <w:pPr>
        <w:pStyle w:val="MIRHeading3"/>
      </w:pPr>
      <w:r w:rsidRPr="00247465">
        <w:t>[</w:t>
      </w:r>
      <w:r w:rsidR="00E74132">
        <w:t>7</w:t>
      </w:r>
      <w:r w:rsidR="00144396">
        <w:t>5</w:t>
      </w:r>
      <w:r w:rsidRPr="00247465">
        <w:t>]</w:t>
      </w:r>
      <w:r w:rsidRPr="00247465">
        <w:tab/>
        <w:t xml:space="preserve">Rule </w:t>
      </w:r>
      <w:r w:rsidR="0062629B">
        <w:t>4.3.3</w:t>
      </w:r>
      <w:r w:rsidRPr="00247465">
        <w:t xml:space="preserve"> (table)</w:t>
      </w:r>
    </w:p>
    <w:p w:rsidR="006D204B" w:rsidRPr="00247465" w:rsidRDefault="006D204B" w:rsidP="006D204B">
      <w:pPr>
        <w:pStyle w:val="MIRBodyText"/>
        <w:rPr>
          <w:i/>
        </w:rPr>
      </w:pPr>
      <w:r w:rsidRPr="00247465">
        <w:rPr>
          <w:i/>
        </w:rPr>
        <w:t>omit</w:t>
      </w:r>
      <w:r w:rsidR="0062629B">
        <w:rPr>
          <w:i/>
        </w:rPr>
        <w:t xml:space="preserve"> (wherever occurring)</w:t>
      </w:r>
    </w:p>
    <w:p w:rsidR="006D204B" w:rsidRPr="00247465" w:rsidRDefault="0062629B" w:rsidP="006D204B">
      <w:pPr>
        <w:pStyle w:val="MIRBodyText"/>
      </w:pPr>
      <w:r>
        <w:t>Equity Market Product</w:t>
      </w:r>
    </w:p>
    <w:p w:rsidR="006D204B" w:rsidRPr="00247465" w:rsidRDefault="006D204B" w:rsidP="006D204B">
      <w:pPr>
        <w:pStyle w:val="MIRBodyText"/>
      </w:pPr>
      <w:r w:rsidRPr="00247465">
        <w:rPr>
          <w:i/>
        </w:rPr>
        <w:t>substitute</w:t>
      </w:r>
    </w:p>
    <w:p w:rsidR="006D204B" w:rsidRPr="00247465" w:rsidRDefault="0062629B" w:rsidP="006D204B">
      <w:pPr>
        <w:pStyle w:val="MIRBodyText"/>
      </w:pPr>
      <w:r>
        <w:t>Relevant Product</w:t>
      </w:r>
    </w:p>
    <w:p w:rsidR="0063737C" w:rsidRPr="00247465" w:rsidRDefault="0063737C" w:rsidP="0063737C">
      <w:pPr>
        <w:pStyle w:val="MIRHeading3"/>
      </w:pPr>
      <w:r w:rsidRPr="00247465">
        <w:t>[</w:t>
      </w:r>
      <w:r>
        <w:t>7</w:t>
      </w:r>
      <w:r w:rsidR="00144396">
        <w:t>6</w:t>
      </w:r>
      <w:r w:rsidRPr="00247465">
        <w:t>]</w:t>
      </w:r>
      <w:r w:rsidRPr="00247465">
        <w:tab/>
      </w:r>
      <w:r>
        <w:t>Rule 5.1A.1</w:t>
      </w:r>
    </w:p>
    <w:p w:rsidR="0063737C" w:rsidRPr="00C476EA" w:rsidRDefault="0063737C" w:rsidP="0063737C">
      <w:pPr>
        <w:pStyle w:val="MIRBodyText"/>
        <w:rPr>
          <w:i/>
        </w:rPr>
      </w:pPr>
      <w:r>
        <w:rPr>
          <w:i/>
        </w:rPr>
        <w:t>before “This Chapter”, insert</w:t>
      </w:r>
    </w:p>
    <w:p w:rsidR="0063737C" w:rsidRDefault="0063737C" w:rsidP="0063737C">
      <w:pPr>
        <w:pStyle w:val="MIRBodyText"/>
        <w:rPr>
          <w:i/>
        </w:rPr>
      </w:pPr>
      <w:r>
        <w:t>(1)</w:t>
      </w:r>
    </w:p>
    <w:p w:rsidR="0063737C" w:rsidRPr="00247465" w:rsidRDefault="0063737C" w:rsidP="0063737C">
      <w:pPr>
        <w:pStyle w:val="MIRHeading3"/>
      </w:pPr>
      <w:r w:rsidRPr="00247465">
        <w:t>[</w:t>
      </w:r>
      <w:r w:rsidR="00144396">
        <w:t>77</w:t>
      </w:r>
      <w:r w:rsidRPr="00247465">
        <w:t>]</w:t>
      </w:r>
      <w:r w:rsidRPr="00247465">
        <w:tab/>
        <w:t xml:space="preserve">Paragraph </w:t>
      </w:r>
      <w:r>
        <w:t>5.1A.1</w:t>
      </w:r>
      <w:r w:rsidRPr="00247465">
        <w:t>(</w:t>
      </w:r>
      <w:r>
        <w:t>a</w:t>
      </w:r>
      <w:r w:rsidRPr="00247465">
        <w:t>)</w:t>
      </w:r>
    </w:p>
    <w:p w:rsidR="0063737C" w:rsidRDefault="0063737C" w:rsidP="0063737C">
      <w:pPr>
        <w:pStyle w:val="MIRBodyText"/>
        <w:rPr>
          <w:i/>
        </w:rPr>
      </w:pPr>
      <w:r>
        <w:rPr>
          <w:i/>
        </w:rPr>
        <w:t>after “Equity Market Operators”, insert</w:t>
      </w:r>
    </w:p>
    <w:p w:rsidR="0063737C" w:rsidRDefault="0063737C" w:rsidP="0063737C">
      <w:pPr>
        <w:pStyle w:val="MIRBodyText"/>
        <w:rPr>
          <w:i/>
        </w:rPr>
      </w:pPr>
      <w:r>
        <w:t>and CGS Market Operators</w:t>
      </w:r>
    </w:p>
    <w:p w:rsidR="0063737C" w:rsidRDefault="0063737C" w:rsidP="0063737C">
      <w:pPr>
        <w:pStyle w:val="MIRHeading3"/>
      </w:pPr>
      <w:r w:rsidRPr="00247465">
        <w:t>[</w:t>
      </w:r>
      <w:r w:rsidR="00144396">
        <w:t>78</w:t>
      </w:r>
      <w:r w:rsidRPr="00247465">
        <w:t>]</w:t>
      </w:r>
      <w:r w:rsidRPr="00247465">
        <w:tab/>
      </w:r>
      <w:r w:rsidRPr="00502DB8">
        <w:t xml:space="preserve">Paragraph </w:t>
      </w:r>
      <w:r>
        <w:t>5</w:t>
      </w:r>
      <w:r w:rsidRPr="00502DB8">
        <w:t>.1A.1(</w:t>
      </w:r>
      <w:r>
        <w:t>b</w:t>
      </w:r>
      <w:r w:rsidRPr="00502DB8">
        <w:t>)</w:t>
      </w:r>
    </w:p>
    <w:p w:rsidR="0063737C" w:rsidRPr="00247465" w:rsidRDefault="0063737C" w:rsidP="0063737C">
      <w:pPr>
        <w:pStyle w:val="MIRBodyText"/>
        <w:rPr>
          <w:i/>
        </w:rPr>
      </w:pPr>
      <w:r w:rsidRPr="00247465">
        <w:rPr>
          <w:i/>
        </w:rPr>
        <w:t>after “</w:t>
      </w:r>
      <w:r>
        <w:rPr>
          <w:i/>
        </w:rPr>
        <w:t>Equity Market Participants</w:t>
      </w:r>
      <w:r w:rsidRPr="00247465">
        <w:t xml:space="preserve">”, </w:t>
      </w:r>
      <w:r w:rsidRPr="00247465">
        <w:rPr>
          <w:i/>
        </w:rPr>
        <w:t>insert</w:t>
      </w:r>
    </w:p>
    <w:p w:rsidR="0063737C" w:rsidRPr="00247465" w:rsidRDefault="0063737C" w:rsidP="0063737C">
      <w:pPr>
        <w:pStyle w:val="MIRBodyText"/>
      </w:pPr>
      <w:r>
        <w:t>and CGS Market Participants</w:t>
      </w:r>
    </w:p>
    <w:p w:rsidR="0063737C" w:rsidRDefault="0063737C" w:rsidP="0063737C">
      <w:pPr>
        <w:pStyle w:val="MIRHeading3"/>
      </w:pPr>
      <w:r w:rsidRPr="00247465">
        <w:t>[</w:t>
      </w:r>
      <w:r w:rsidR="00144396">
        <w:t>79</w:t>
      </w:r>
      <w:r w:rsidRPr="00247465">
        <w:t>]</w:t>
      </w:r>
      <w:r w:rsidRPr="00247465">
        <w:tab/>
      </w:r>
      <w:r w:rsidRPr="00502DB8">
        <w:t xml:space="preserve">Paragraph </w:t>
      </w:r>
      <w:r>
        <w:t>5</w:t>
      </w:r>
      <w:r w:rsidRPr="00502DB8">
        <w:t>.1A.1(</w:t>
      </w:r>
      <w:r>
        <w:t>c</w:t>
      </w:r>
      <w:r w:rsidRPr="00502DB8">
        <w:t>)</w:t>
      </w:r>
    </w:p>
    <w:p w:rsidR="0063737C" w:rsidRPr="00247465" w:rsidRDefault="0063737C" w:rsidP="0063737C">
      <w:pPr>
        <w:pStyle w:val="MIRBodyText"/>
        <w:rPr>
          <w:i/>
        </w:rPr>
      </w:pPr>
      <w:r w:rsidRPr="00247465">
        <w:rPr>
          <w:i/>
        </w:rPr>
        <w:t>after “</w:t>
      </w:r>
      <w:r>
        <w:rPr>
          <w:i/>
        </w:rPr>
        <w:t>Equity Market Products</w:t>
      </w:r>
      <w:r w:rsidRPr="00247465">
        <w:t xml:space="preserve">”, </w:t>
      </w:r>
      <w:r w:rsidRPr="00247465">
        <w:rPr>
          <w:i/>
        </w:rPr>
        <w:t>insert</w:t>
      </w:r>
    </w:p>
    <w:p w:rsidR="0063737C" w:rsidRPr="00247465" w:rsidRDefault="0063737C" w:rsidP="0063737C">
      <w:pPr>
        <w:pStyle w:val="MIRBodyText"/>
      </w:pPr>
      <w:r>
        <w:t>and CGS Depository Interests</w:t>
      </w:r>
    </w:p>
    <w:p w:rsidR="0063737C" w:rsidRPr="00247465" w:rsidRDefault="0063737C" w:rsidP="0063737C">
      <w:pPr>
        <w:pStyle w:val="MIRHeading3"/>
      </w:pPr>
      <w:r>
        <w:lastRenderedPageBreak/>
        <w:t>[</w:t>
      </w:r>
      <w:r w:rsidR="00B40FAC">
        <w:t>8</w:t>
      </w:r>
      <w:r w:rsidR="00144396">
        <w:t>0</w:t>
      </w:r>
      <w:r w:rsidRPr="00247465">
        <w:t>]</w:t>
      </w:r>
      <w:r w:rsidRPr="00247465">
        <w:tab/>
      </w:r>
      <w:r>
        <w:t xml:space="preserve">At the end of Rule </w:t>
      </w:r>
      <w:r w:rsidR="00B40FAC">
        <w:t>5</w:t>
      </w:r>
      <w:r>
        <w:t>.1A.1</w:t>
      </w:r>
    </w:p>
    <w:p w:rsidR="0063737C" w:rsidRPr="00DA0020" w:rsidRDefault="0063737C" w:rsidP="0063737C">
      <w:pPr>
        <w:pStyle w:val="MIRBodyText"/>
      </w:pPr>
      <w:r>
        <w:rPr>
          <w:i/>
        </w:rPr>
        <w:t>add</w:t>
      </w:r>
    </w:p>
    <w:p w:rsidR="0063737C" w:rsidRPr="00DA0020" w:rsidRDefault="0063737C" w:rsidP="0063737C">
      <w:pPr>
        <w:pStyle w:val="MIRBodyText"/>
      </w:pPr>
      <w:r w:rsidRPr="00DA0020">
        <w:t xml:space="preserve">(2) In this Chapter, </w:t>
      </w:r>
      <w:r w:rsidRPr="00DA0020">
        <w:rPr>
          <w:b/>
          <w:bCs/>
          <w:i/>
          <w:iCs/>
        </w:rPr>
        <w:t xml:space="preserve">Relevant Products </w:t>
      </w:r>
      <w:r w:rsidRPr="00DA0020">
        <w:t xml:space="preserve">means Equity Market Products and CGS Depository Interests. </w:t>
      </w:r>
    </w:p>
    <w:p w:rsidR="006D204B" w:rsidRPr="00247465" w:rsidRDefault="006D204B" w:rsidP="0063737C">
      <w:pPr>
        <w:pStyle w:val="MIRHeading3"/>
      </w:pPr>
      <w:r w:rsidRPr="00247465">
        <w:t>[</w:t>
      </w:r>
      <w:r w:rsidR="00C21F87">
        <w:t>8</w:t>
      </w:r>
      <w:r w:rsidR="00B8778D">
        <w:t>1</w:t>
      </w:r>
      <w:r w:rsidR="00C21F87">
        <w:t>]</w:t>
      </w:r>
      <w:r w:rsidR="00C21F87">
        <w:tab/>
        <w:t>Subrule 5.1.1(5)</w:t>
      </w:r>
    </w:p>
    <w:p w:rsidR="006D204B" w:rsidRPr="00247465" w:rsidRDefault="006D204B" w:rsidP="006D204B">
      <w:pPr>
        <w:pStyle w:val="MIRBodyText"/>
        <w:rPr>
          <w:i/>
        </w:rPr>
      </w:pPr>
      <w:r w:rsidRPr="00247465">
        <w:rPr>
          <w:i/>
        </w:rPr>
        <w:t>omit</w:t>
      </w:r>
    </w:p>
    <w:p w:rsidR="006D204B" w:rsidRPr="00247465" w:rsidRDefault="00C21F87" w:rsidP="006D204B">
      <w:pPr>
        <w:pStyle w:val="MIRBodyText"/>
      </w:pPr>
      <w:r>
        <w:t>Equity Market Products</w:t>
      </w:r>
    </w:p>
    <w:p w:rsidR="006D204B" w:rsidRPr="00247465" w:rsidRDefault="006D204B" w:rsidP="006D204B">
      <w:pPr>
        <w:pStyle w:val="MIRBodyText"/>
      </w:pPr>
      <w:r w:rsidRPr="00247465">
        <w:rPr>
          <w:i/>
        </w:rPr>
        <w:t>substitute</w:t>
      </w:r>
    </w:p>
    <w:p w:rsidR="006D204B" w:rsidRPr="00247465" w:rsidRDefault="00C21F87" w:rsidP="006D204B">
      <w:pPr>
        <w:pStyle w:val="MIRBodyText"/>
      </w:pPr>
      <w:r>
        <w:t>Relevant Products</w:t>
      </w:r>
    </w:p>
    <w:p w:rsidR="00B65668" w:rsidRPr="00247465" w:rsidRDefault="00B65668" w:rsidP="00B65668">
      <w:pPr>
        <w:pStyle w:val="MIRHeading3"/>
      </w:pPr>
      <w:r w:rsidRPr="00247465">
        <w:t>[</w:t>
      </w:r>
      <w:r>
        <w:t>8</w:t>
      </w:r>
      <w:r w:rsidR="00490FE0">
        <w:t>2</w:t>
      </w:r>
      <w:r>
        <w:t>]</w:t>
      </w:r>
      <w:r>
        <w:tab/>
        <w:t>Rule 5.1.3</w:t>
      </w:r>
    </w:p>
    <w:p w:rsidR="00B65668" w:rsidRPr="00247465" w:rsidRDefault="00B65668" w:rsidP="00B65668">
      <w:pPr>
        <w:pStyle w:val="MIRBodyText"/>
        <w:rPr>
          <w:i/>
        </w:rPr>
      </w:pPr>
      <w:r w:rsidRPr="00247465">
        <w:rPr>
          <w:i/>
        </w:rPr>
        <w:t>omit</w:t>
      </w:r>
      <w:r w:rsidR="00A51FC4">
        <w:rPr>
          <w:i/>
        </w:rPr>
        <w:t xml:space="preserve"> (wherever occurring)</w:t>
      </w:r>
    </w:p>
    <w:p w:rsidR="00B65668" w:rsidRPr="00247465" w:rsidRDefault="00B65668" w:rsidP="00B65668">
      <w:pPr>
        <w:pStyle w:val="MIRBodyText"/>
      </w:pPr>
      <w:r>
        <w:t>Equity Market Products</w:t>
      </w:r>
    </w:p>
    <w:p w:rsidR="00B65668" w:rsidRPr="00247465" w:rsidRDefault="00B65668" w:rsidP="00B65668">
      <w:pPr>
        <w:pStyle w:val="MIRBodyText"/>
      </w:pPr>
      <w:r w:rsidRPr="00247465">
        <w:rPr>
          <w:i/>
        </w:rPr>
        <w:t>substitute</w:t>
      </w:r>
    </w:p>
    <w:p w:rsidR="00B65668" w:rsidRPr="00247465" w:rsidRDefault="00B65668" w:rsidP="00B65668">
      <w:pPr>
        <w:pStyle w:val="MIRBodyText"/>
      </w:pPr>
      <w:r>
        <w:t>Relevant Products</w:t>
      </w:r>
    </w:p>
    <w:p w:rsidR="006D204B" w:rsidRPr="00247465" w:rsidRDefault="006D204B" w:rsidP="00B65668">
      <w:pPr>
        <w:pStyle w:val="MIRHeading3"/>
      </w:pPr>
      <w:r w:rsidRPr="00247465">
        <w:t>[</w:t>
      </w:r>
      <w:r w:rsidR="007B037E" w:rsidRPr="00247465">
        <w:t>8</w:t>
      </w:r>
      <w:r w:rsidR="00490FE0">
        <w:t>3</w:t>
      </w:r>
      <w:r w:rsidRPr="00247465">
        <w:t>]</w:t>
      </w:r>
      <w:r w:rsidRPr="00247465">
        <w:tab/>
      </w:r>
      <w:r w:rsidR="003C308F">
        <w:t>Rule 5.1.4A (table</w:t>
      </w:r>
      <w:r w:rsidR="00673435">
        <w:t xml:space="preserve"> items 2, 5 and 12</w:t>
      </w:r>
      <w:r w:rsidR="003C308F">
        <w:t>)</w:t>
      </w:r>
    </w:p>
    <w:p w:rsidR="00A74AB3" w:rsidRDefault="00A74AB3" w:rsidP="006D204B">
      <w:pPr>
        <w:pStyle w:val="MIRBodyText"/>
        <w:rPr>
          <w:i/>
        </w:rPr>
      </w:pPr>
      <w:r>
        <w:rPr>
          <w:i/>
        </w:rPr>
        <w:t xml:space="preserve">omit </w:t>
      </w:r>
    </w:p>
    <w:p w:rsidR="00A74AB3" w:rsidRDefault="00A74AB3" w:rsidP="00864B4C">
      <w:pPr>
        <w:pStyle w:val="MIRBodyText"/>
      </w:pPr>
      <w:r>
        <w:t>relevant Equity Market Product</w:t>
      </w:r>
    </w:p>
    <w:p w:rsidR="00A74AB3" w:rsidRPr="00A74AB3" w:rsidRDefault="00A74AB3" w:rsidP="00864B4C">
      <w:pPr>
        <w:pStyle w:val="MIRBodyText"/>
      </w:pPr>
      <w:r>
        <w:rPr>
          <w:i/>
        </w:rPr>
        <w:t>substitute</w:t>
      </w:r>
    </w:p>
    <w:p w:rsidR="00864B4C" w:rsidRPr="00247465" w:rsidRDefault="00A74AB3" w:rsidP="00864B4C">
      <w:pPr>
        <w:pStyle w:val="MIRBodyText"/>
      </w:pPr>
      <w:r>
        <w:t>Relevant Product</w:t>
      </w:r>
      <w:r w:rsidR="00864B4C" w:rsidRPr="00247465">
        <w:t xml:space="preserve"> </w:t>
      </w:r>
    </w:p>
    <w:p w:rsidR="00673435" w:rsidRPr="00247465" w:rsidRDefault="00673435" w:rsidP="00673435">
      <w:pPr>
        <w:pStyle w:val="MIRHeading3"/>
      </w:pPr>
      <w:r w:rsidRPr="00247465">
        <w:t>[8</w:t>
      </w:r>
      <w:r w:rsidR="00AD702D">
        <w:t>4</w:t>
      </w:r>
      <w:r w:rsidRPr="00247465">
        <w:t>]</w:t>
      </w:r>
      <w:r w:rsidRPr="00247465">
        <w:tab/>
      </w:r>
      <w:r>
        <w:t>Rule 5.1.4A (table item 6)</w:t>
      </w:r>
    </w:p>
    <w:p w:rsidR="00673435" w:rsidRDefault="00673435" w:rsidP="00673435">
      <w:pPr>
        <w:pStyle w:val="MIRBodyText"/>
        <w:rPr>
          <w:i/>
        </w:rPr>
      </w:pPr>
      <w:r>
        <w:rPr>
          <w:i/>
        </w:rPr>
        <w:t xml:space="preserve">omit </w:t>
      </w:r>
    </w:p>
    <w:p w:rsidR="00673435" w:rsidRDefault="00673435" w:rsidP="00673435">
      <w:pPr>
        <w:pStyle w:val="MIRBodyText"/>
      </w:pPr>
      <w:r>
        <w:t>Equity Market Product</w:t>
      </w:r>
    </w:p>
    <w:p w:rsidR="00673435" w:rsidRPr="00A74AB3" w:rsidRDefault="00673435" w:rsidP="00673435">
      <w:pPr>
        <w:pStyle w:val="MIRBodyText"/>
      </w:pPr>
      <w:r>
        <w:rPr>
          <w:i/>
        </w:rPr>
        <w:t>substitute</w:t>
      </w:r>
    </w:p>
    <w:p w:rsidR="00673435" w:rsidRPr="00247465" w:rsidRDefault="00673435" w:rsidP="00673435">
      <w:pPr>
        <w:pStyle w:val="MIRBodyText"/>
      </w:pPr>
      <w:r>
        <w:t>Relevant Product</w:t>
      </w:r>
      <w:r w:rsidRPr="00247465">
        <w:t xml:space="preserve"> </w:t>
      </w:r>
    </w:p>
    <w:p w:rsidR="00A03E6A" w:rsidRDefault="00A03E6A" w:rsidP="00A03E6A">
      <w:pPr>
        <w:pStyle w:val="MIRHeading3"/>
      </w:pPr>
      <w:r>
        <w:lastRenderedPageBreak/>
        <w:t>[8</w:t>
      </w:r>
      <w:r w:rsidR="00AD702D">
        <w:t>5</w:t>
      </w:r>
      <w:r>
        <w:t>]</w:t>
      </w:r>
      <w:r>
        <w:tab/>
        <w:t>Subrule 5.1.6(2) (table item 2</w:t>
      </w:r>
      <w:r w:rsidR="00FF0602">
        <w:t>)</w:t>
      </w:r>
      <w:r w:rsidR="00AD702D">
        <w:t xml:space="preserve"> </w:t>
      </w:r>
    </w:p>
    <w:p w:rsidR="0000238A" w:rsidRDefault="00FF0602" w:rsidP="003A67FA">
      <w:pPr>
        <w:pStyle w:val="MIRBodyText"/>
        <w:keepNext/>
        <w:rPr>
          <w:i/>
        </w:rPr>
      </w:pPr>
      <w:r>
        <w:rPr>
          <w:i/>
        </w:rPr>
        <w:t>omit</w:t>
      </w:r>
    </w:p>
    <w:p w:rsidR="0000238A" w:rsidRPr="0000238A" w:rsidRDefault="00422D00" w:rsidP="003A67FA">
      <w:pPr>
        <w:pStyle w:val="MIRBodyText"/>
        <w:keepNext/>
      </w:pPr>
      <w:r w:rsidRPr="00422D00">
        <w:t>on an Order Book on the relevant Market</w:t>
      </w:r>
    </w:p>
    <w:p w:rsidR="00A03E6A" w:rsidRDefault="00FF0602" w:rsidP="003A67FA">
      <w:pPr>
        <w:pStyle w:val="MIRBodyText"/>
        <w:keepNext/>
        <w:rPr>
          <w:i/>
        </w:rPr>
      </w:pPr>
      <w:r>
        <w:rPr>
          <w:i/>
        </w:rPr>
        <w:t>substitute</w:t>
      </w:r>
    </w:p>
    <w:p w:rsidR="00A03E6A" w:rsidRPr="00FF0602" w:rsidRDefault="00FF0602" w:rsidP="00A03E6A">
      <w:pPr>
        <w:pStyle w:val="MIRBodyText"/>
        <w:rPr>
          <w:i/>
        </w:rPr>
      </w:pPr>
      <w:r>
        <w:t xml:space="preserve">whether on an Order Book of the relevant Market </w:t>
      </w:r>
      <w:r w:rsidR="00893046" w:rsidRPr="00893046">
        <w:t>or reported to the relevant Market as a Trade at or Within the Spread or a Trade with Price Improvement</w:t>
      </w:r>
    </w:p>
    <w:p w:rsidR="00FF0602" w:rsidRDefault="00FF0602" w:rsidP="00FF0602">
      <w:pPr>
        <w:pStyle w:val="MIRHeading3"/>
      </w:pPr>
      <w:r>
        <w:t>[85A]</w:t>
      </w:r>
      <w:r>
        <w:tab/>
        <w:t>Subrule 5.1.6(2) (table items 5 and 6)</w:t>
      </w:r>
    </w:p>
    <w:p w:rsidR="0000238A" w:rsidRDefault="00FF0602" w:rsidP="00FF0602">
      <w:pPr>
        <w:pStyle w:val="MIRBodyText"/>
        <w:keepNext/>
        <w:rPr>
          <w:i/>
        </w:rPr>
      </w:pPr>
      <w:r>
        <w:rPr>
          <w:i/>
        </w:rPr>
        <w:t>omit</w:t>
      </w:r>
    </w:p>
    <w:p w:rsidR="0000238A" w:rsidRDefault="00422D00" w:rsidP="00FF0602">
      <w:pPr>
        <w:pStyle w:val="MIRBodyText"/>
        <w:keepNext/>
        <w:rPr>
          <w:i/>
        </w:rPr>
      </w:pPr>
      <w:r w:rsidRPr="00422D00">
        <w:t>on an Order Book of the relevant Market</w:t>
      </w:r>
    </w:p>
    <w:p w:rsidR="00FF0602" w:rsidRDefault="00FF0602" w:rsidP="00FF0602">
      <w:pPr>
        <w:pStyle w:val="MIRBodyText"/>
        <w:keepNext/>
        <w:rPr>
          <w:i/>
        </w:rPr>
      </w:pPr>
      <w:r>
        <w:rPr>
          <w:i/>
        </w:rPr>
        <w:t>substitute</w:t>
      </w:r>
    </w:p>
    <w:p w:rsidR="00FF0602" w:rsidRPr="00FF0602" w:rsidRDefault="00FF0602" w:rsidP="00FF0602">
      <w:pPr>
        <w:pStyle w:val="MIRBodyText"/>
        <w:rPr>
          <w:i/>
        </w:rPr>
      </w:pPr>
      <w:r>
        <w:t xml:space="preserve">whether on an Order Book of the relevant Market </w:t>
      </w:r>
      <w:r w:rsidRPr="00893046">
        <w:t>or reported to the relevant Market as a Trade at or Within the Spread or a Trade with Price Improvement</w:t>
      </w:r>
    </w:p>
    <w:p w:rsidR="007D4EDE" w:rsidRDefault="007D4EDE" w:rsidP="00A03E6A">
      <w:pPr>
        <w:pStyle w:val="MIRHeading3"/>
      </w:pPr>
      <w:r>
        <w:t>[8</w:t>
      </w:r>
      <w:r w:rsidR="00D04465">
        <w:t>6</w:t>
      </w:r>
      <w:r>
        <w:t>]</w:t>
      </w:r>
      <w:r>
        <w:tab/>
        <w:t>Subrule 5.1.6(2)</w:t>
      </w:r>
      <w:r w:rsidR="00A569F3">
        <w:t xml:space="preserve"> (</w:t>
      </w:r>
      <w:r w:rsidR="00B038A6">
        <w:t>n</w:t>
      </w:r>
      <w:r w:rsidR="00A569F3">
        <w:t xml:space="preserve">ote to </w:t>
      </w:r>
      <w:r w:rsidR="00B038A6">
        <w:t>t</w:t>
      </w:r>
      <w:r w:rsidR="00A569F3">
        <w:t>able)</w:t>
      </w:r>
    </w:p>
    <w:p w:rsidR="00A569F3" w:rsidRDefault="00A569F3" w:rsidP="00A569F3">
      <w:pPr>
        <w:pStyle w:val="MIRBodyText"/>
        <w:rPr>
          <w:i/>
        </w:rPr>
      </w:pPr>
      <w:r>
        <w:rPr>
          <w:i/>
        </w:rPr>
        <w:t>after “</w:t>
      </w:r>
      <w:r w:rsidR="00B038A6">
        <w:rPr>
          <w:i/>
        </w:rPr>
        <w:t>Note</w:t>
      </w:r>
      <w:r>
        <w:rPr>
          <w:i/>
        </w:rPr>
        <w:t>” insert</w:t>
      </w:r>
    </w:p>
    <w:p w:rsidR="00A569F3" w:rsidRDefault="00A569F3" w:rsidP="00A569F3">
      <w:pPr>
        <w:pStyle w:val="MIRBodyText"/>
        <w:rPr>
          <w:i/>
        </w:rPr>
      </w:pPr>
      <w:r>
        <w:t>1</w:t>
      </w:r>
    </w:p>
    <w:p w:rsidR="008A1EC4" w:rsidRDefault="008A1EC4" w:rsidP="008A1EC4">
      <w:pPr>
        <w:pStyle w:val="MIRHeading3"/>
      </w:pPr>
      <w:r>
        <w:t>[87]</w:t>
      </w:r>
      <w:r>
        <w:tab/>
        <w:t>Subrule 5.1.6(2) (note to table)</w:t>
      </w:r>
    </w:p>
    <w:p w:rsidR="008A1EC4" w:rsidRDefault="00044E4A" w:rsidP="008A1EC4">
      <w:pPr>
        <w:pStyle w:val="MIRBodyText"/>
        <w:rPr>
          <w:i/>
        </w:rPr>
      </w:pPr>
      <w:r>
        <w:rPr>
          <w:i/>
        </w:rPr>
        <w:t>omit (wherever occurring)</w:t>
      </w:r>
    </w:p>
    <w:p w:rsidR="008A1EC4" w:rsidRPr="00044E4A" w:rsidRDefault="00044E4A" w:rsidP="008A1EC4">
      <w:pPr>
        <w:pStyle w:val="MIRBodyText"/>
        <w:rPr>
          <w:i/>
        </w:rPr>
      </w:pPr>
      <w:r>
        <w:t>2 to 6</w:t>
      </w:r>
    </w:p>
    <w:p w:rsidR="00044E4A" w:rsidRDefault="00044E4A" w:rsidP="008A1EC4">
      <w:pPr>
        <w:pStyle w:val="MIRBodyText"/>
        <w:rPr>
          <w:i/>
        </w:rPr>
      </w:pPr>
      <w:r>
        <w:rPr>
          <w:i/>
        </w:rPr>
        <w:t>substitute</w:t>
      </w:r>
    </w:p>
    <w:p w:rsidR="00044E4A" w:rsidRDefault="00044E4A" w:rsidP="008A1EC4">
      <w:pPr>
        <w:pStyle w:val="MIRBodyText"/>
        <w:rPr>
          <w:i/>
        </w:rPr>
      </w:pPr>
      <w:r>
        <w:t>3 and 4</w:t>
      </w:r>
    </w:p>
    <w:p w:rsidR="008A1EC4" w:rsidRDefault="008A1EC4" w:rsidP="008A1EC4">
      <w:pPr>
        <w:pStyle w:val="MIRHeading3"/>
      </w:pPr>
      <w:r>
        <w:t>[88]</w:t>
      </w:r>
      <w:r>
        <w:tab/>
        <w:t>Subrule 5.1.6(2) (note to table)</w:t>
      </w:r>
    </w:p>
    <w:p w:rsidR="008A1EC4" w:rsidRDefault="00E6401A" w:rsidP="008A1EC4">
      <w:pPr>
        <w:pStyle w:val="MIRBodyText"/>
        <w:rPr>
          <w:i/>
        </w:rPr>
      </w:pPr>
      <w:r>
        <w:rPr>
          <w:i/>
        </w:rPr>
        <w:t>omit</w:t>
      </w:r>
    </w:p>
    <w:p w:rsidR="008A1EC4" w:rsidRDefault="00E6401A" w:rsidP="008A1EC4">
      <w:pPr>
        <w:pStyle w:val="MIRBodyText"/>
        <w:rPr>
          <w:i/>
        </w:rPr>
      </w:pPr>
      <w:r>
        <w:t>prices,</w:t>
      </w:r>
    </w:p>
    <w:p w:rsidR="00474CFB" w:rsidRDefault="00474CFB" w:rsidP="008A1EC4">
      <w:pPr>
        <w:pStyle w:val="MIRHeading3"/>
      </w:pPr>
      <w:r>
        <w:t>[</w:t>
      </w:r>
      <w:r w:rsidR="00E6401A">
        <w:t>89</w:t>
      </w:r>
      <w:r>
        <w:t>]</w:t>
      </w:r>
      <w:r>
        <w:tab/>
        <w:t xml:space="preserve">Subrule 5.1.6(2), after the </w:t>
      </w:r>
      <w:r w:rsidR="00B038A6">
        <w:t>n</w:t>
      </w:r>
      <w:r>
        <w:t xml:space="preserve">ote to </w:t>
      </w:r>
      <w:r w:rsidR="00B038A6">
        <w:t>t</w:t>
      </w:r>
      <w:r>
        <w:t>able</w:t>
      </w:r>
    </w:p>
    <w:p w:rsidR="00474CFB" w:rsidRDefault="00474CFB" w:rsidP="00474CFB">
      <w:pPr>
        <w:pStyle w:val="MIRBodyText"/>
        <w:rPr>
          <w:i/>
        </w:rPr>
      </w:pPr>
      <w:r>
        <w:rPr>
          <w:i/>
        </w:rPr>
        <w:t>insert</w:t>
      </w:r>
    </w:p>
    <w:p w:rsidR="00474CFB" w:rsidRPr="00474CFB" w:rsidRDefault="001F61D7" w:rsidP="00D37D40">
      <w:pPr>
        <w:pStyle w:val="MIRNote"/>
        <w:rPr>
          <w:i/>
        </w:rPr>
      </w:pPr>
      <w:r w:rsidRPr="001F61D7">
        <w:t xml:space="preserve">Note 2: Items 2, 5 and 6 of this Table refer to information in relation to prices on an Order Book and also to information in relation to Trades at or Within the Spread and Trades with Price Improvement. The Trading Information made available by a Market Operator under items 2, 5 and 6 of this Table </w:t>
      </w:r>
      <w:r w:rsidRPr="001F61D7">
        <w:lastRenderedPageBreak/>
        <w:t>must not include Transactions in Equity Market Products reported to the Market Operator under Rule 5.1.1 (Participants to report Transactions done other than on an Order Book of a Market), other than Transactions reported as a Trade at or Within the Spread or a Trade with Price Improvement</w:t>
      </w:r>
      <w:r w:rsidR="00474CFB" w:rsidRPr="0075760C">
        <w:t xml:space="preserve">  </w:t>
      </w:r>
    </w:p>
    <w:p w:rsidR="006D204B" w:rsidRPr="00247465" w:rsidRDefault="006D204B" w:rsidP="00474CFB">
      <w:pPr>
        <w:pStyle w:val="MIRHeading3"/>
      </w:pPr>
      <w:r w:rsidRPr="00247465">
        <w:t>[</w:t>
      </w:r>
      <w:r w:rsidR="00417141">
        <w:t>90</w:t>
      </w:r>
      <w:r w:rsidRPr="00247465">
        <w:t>]</w:t>
      </w:r>
      <w:r w:rsidRPr="00247465">
        <w:tab/>
      </w:r>
      <w:r w:rsidR="00155329">
        <w:t>After subrule 5.1.6(2)</w:t>
      </w:r>
      <w:r w:rsidRPr="00247465">
        <w:t xml:space="preserve"> </w:t>
      </w:r>
    </w:p>
    <w:p w:rsidR="00155329" w:rsidRDefault="00155329" w:rsidP="006D204B">
      <w:pPr>
        <w:pStyle w:val="MIRBodyText"/>
        <w:rPr>
          <w:i/>
        </w:rPr>
      </w:pPr>
      <w:r>
        <w:rPr>
          <w:i/>
        </w:rPr>
        <w:t>insert</w:t>
      </w:r>
    </w:p>
    <w:p w:rsidR="00155329" w:rsidRPr="00006ABF" w:rsidRDefault="00155329" w:rsidP="00155329">
      <w:pPr>
        <w:pStyle w:val="MIRSubpara"/>
        <w:numPr>
          <w:ilvl w:val="0"/>
          <w:numId w:val="0"/>
        </w:numPr>
        <w:spacing w:after="240"/>
        <w:ind w:left="851"/>
      </w:pPr>
      <w:r w:rsidRPr="00006ABF">
        <w:t xml:space="preserve">(3) For the purposes of subrule (1), </w:t>
      </w:r>
      <w:r w:rsidRPr="00006ABF">
        <w:rPr>
          <w:b/>
          <w:i/>
        </w:rPr>
        <w:t xml:space="preserve">Trading Information </w:t>
      </w:r>
      <w:r w:rsidRPr="00006ABF">
        <w:t>means, for each CGS Depository Interest that is quoted on the Market, the information set out in column 3 of the following 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10"/>
        <w:gridCol w:w="1559"/>
        <w:gridCol w:w="6059"/>
      </w:tblGrid>
      <w:tr w:rsidR="00155329" w:rsidRPr="00006ABF" w:rsidTr="00E42723">
        <w:trPr>
          <w:cantSplit/>
          <w:tblHeader/>
        </w:trPr>
        <w:tc>
          <w:tcPr>
            <w:tcW w:w="426" w:type="pct"/>
            <w:shd w:val="clear" w:color="auto" w:fill="C2E3FA"/>
          </w:tcPr>
          <w:p w:rsidR="00155329" w:rsidRPr="00006ABF" w:rsidRDefault="00155329" w:rsidP="00E42723">
            <w:pPr>
              <w:pStyle w:val="tablehead"/>
            </w:pPr>
            <w:r w:rsidRPr="00006ABF">
              <w:t>Item</w:t>
            </w:r>
          </w:p>
        </w:tc>
        <w:tc>
          <w:tcPr>
            <w:tcW w:w="936" w:type="pct"/>
            <w:shd w:val="clear" w:color="auto" w:fill="C2E3FA"/>
          </w:tcPr>
          <w:p w:rsidR="00155329" w:rsidRPr="00006ABF" w:rsidRDefault="00155329" w:rsidP="00E42723">
            <w:pPr>
              <w:pStyle w:val="tablehead"/>
            </w:pPr>
            <w:r w:rsidRPr="00006ABF">
              <w:t>Label</w:t>
            </w:r>
          </w:p>
        </w:tc>
        <w:tc>
          <w:tcPr>
            <w:tcW w:w="3638" w:type="pct"/>
            <w:shd w:val="clear" w:color="auto" w:fill="C2E3FA"/>
          </w:tcPr>
          <w:p w:rsidR="00155329" w:rsidRPr="00006ABF" w:rsidRDefault="00155329" w:rsidP="00E42723">
            <w:pPr>
              <w:pStyle w:val="tablehead"/>
            </w:pPr>
            <w:r w:rsidRPr="00006ABF">
              <w:t>Post-Trade Information</w:t>
            </w:r>
          </w:p>
        </w:tc>
      </w:tr>
      <w:tr w:rsidR="00155329" w:rsidRPr="00006ABF" w:rsidTr="00E42723">
        <w:trPr>
          <w:cantSplit/>
        </w:trPr>
        <w:tc>
          <w:tcPr>
            <w:tcW w:w="426" w:type="pct"/>
          </w:tcPr>
          <w:p w:rsidR="00155329" w:rsidRPr="00006ABF" w:rsidRDefault="00155329" w:rsidP="00E42723">
            <w:pPr>
              <w:pStyle w:val="tbltext"/>
            </w:pPr>
            <w:r w:rsidRPr="00006ABF">
              <w:t>1</w:t>
            </w:r>
          </w:p>
        </w:tc>
        <w:tc>
          <w:tcPr>
            <w:tcW w:w="936" w:type="pct"/>
          </w:tcPr>
          <w:p w:rsidR="00155329" w:rsidRPr="00006ABF" w:rsidRDefault="00155329" w:rsidP="00E42723">
            <w:pPr>
              <w:pStyle w:val="tbltext"/>
            </w:pPr>
            <w:r w:rsidRPr="00006ABF">
              <w:t>Product identification</w:t>
            </w:r>
          </w:p>
        </w:tc>
        <w:tc>
          <w:tcPr>
            <w:tcW w:w="3638" w:type="pct"/>
          </w:tcPr>
          <w:p w:rsidR="00155329" w:rsidRPr="00006ABF" w:rsidRDefault="00155329" w:rsidP="00E42723">
            <w:pPr>
              <w:pStyle w:val="tbltext"/>
            </w:pPr>
            <w:r w:rsidRPr="00006ABF">
              <w:t>The symbol, assigned in accordance with Rule 6.2.3, that identifies the CGS Depository Interest to which the information referred to in items 2 to 8 of this Table relates</w:t>
            </w:r>
          </w:p>
        </w:tc>
      </w:tr>
      <w:tr w:rsidR="00155329" w:rsidRPr="00006ABF" w:rsidTr="00E42723">
        <w:trPr>
          <w:cantSplit/>
        </w:trPr>
        <w:tc>
          <w:tcPr>
            <w:tcW w:w="426" w:type="pct"/>
          </w:tcPr>
          <w:p w:rsidR="00155329" w:rsidRPr="00006ABF" w:rsidRDefault="00155329" w:rsidP="00E42723">
            <w:pPr>
              <w:pStyle w:val="tbltext"/>
            </w:pPr>
            <w:r w:rsidRPr="00006ABF">
              <w:t>2</w:t>
            </w:r>
          </w:p>
        </w:tc>
        <w:tc>
          <w:tcPr>
            <w:tcW w:w="936" w:type="pct"/>
          </w:tcPr>
          <w:p w:rsidR="00155329" w:rsidRPr="00006ABF" w:rsidRDefault="00155329" w:rsidP="00E42723">
            <w:pPr>
              <w:pStyle w:val="tbltext"/>
            </w:pPr>
            <w:r w:rsidRPr="00006ABF">
              <w:t>Last traded price</w:t>
            </w:r>
          </w:p>
        </w:tc>
        <w:tc>
          <w:tcPr>
            <w:tcW w:w="3638" w:type="pct"/>
          </w:tcPr>
          <w:p w:rsidR="00155329" w:rsidRPr="00006ABF" w:rsidRDefault="00155329" w:rsidP="002261B2">
            <w:pPr>
              <w:pStyle w:val="tbltext"/>
            </w:pPr>
            <w:r w:rsidRPr="00006ABF">
              <w:t xml:space="preserve">The price per CGS Depository Interest of the last Transaction in the CGS Depository Interest </w:t>
            </w:r>
            <w:r w:rsidR="002261B2">
              <w:t xml:space="preserve">whether </w:t>
            </w:r>
            <w:r w:rsidRPr="00006ABF">
              <w:t>on an Order Book o</w:t>
            </w:r>
            <w:r w:rsidR="002261B2">
              <w:t>f</w:t>
            </w:r>
            <w:r w:rsidRPr="00006ABF">
              <w:t xml:space="preserve"> the relevant Market</w:t>
            </w:r>
            <w:r w:rsidR="007E13E1" w:rsidRPr="007E13E1">
              <w:t xml:space="preserve"> or reported to the relevant Market as a </w:t>
            </w:r>
            <w:r w:rsidR="00AC0420">
              <w:t xml:space="preserve">Trade at or Within the Spread or a </w:t>
            </w:r>
            <w:r w:rsidR="007E13E1">
              <w:t>T</w:t>
            </w:r>
            <w:r w:rsidR="007E13E1" w:rsidRPr="007E13E1">
              <w:t xml:space="preserve">rade with </w:t>
            </w:r>
            <w:r w:rsidR="007E13E1">
              <w:t>Price I</w:t>
            </w:r>
            <w:r w:rsidR="007E13E1" w:rsidRPr="007E13E1">
              <w:t>mprovement</w:t>
            </w:r>
          </w:p>
        </w:tc>
      </w:tr>
      <w:tr w:rsidR="00155329" w:rsidRPr="00006ABF" w:rsidTr="00E42723">
        <w:trPr>
          <w:cantSplit/>
        </w:trPr>
        <w:tc>
          <w:tcPr>
            <w:tcW w:w="426" w:type="pct"/>
          </w:tcPr>
          <w:p w:rsidR="00155329" w:rsidRPr="00006ABF" w:rsidRDefault="00155329" w:rsidP="00E42723">
            <w:pPr>
              <w:pStyle w:val="tbltext"/>
            </w:pPr>
            <w:r w:rsidRPr="00006ABF">
              <w:t>3</w:t>
            </w:r>
          </w:p>
        </w:tc>
        <w:tc>
          <w:tcPr>
            <w:tcW w:w="936" w:type="pct"/>
          </w:tcPr>
          <w:p w:rsidR="00155329" w:rsidRPr="00006ABF" w:rsidRDefault="00155329" w:rsidP="00E42723">
            <w:pPr>
              <w:pStyle w:val="tbltext"/>
            </w:pPr>
            <w:r w:rsidRPr="00006ABF">
              <w:t>Bid</w:t>
            </w:r>
          </w:p>
        </w:tc>
        <w:tc>
          <w:tcPr>
            <w:tcW w:w="3638" w:type="pct"/>
          </w:tcPr>
          <w:p w:rsidR="00155329" w:rsidRPr="00006ABF" w:rsidRDefault="00155329" w:rsidP="00E42723">
            <w:pPr>
              <w:pStyle w:val="tbltext"/>
            </w:pPr>
            <w:r w:rsidRPr="00006ABF">
              <w:t>The highest Bid for the CGS Depository Interest on</w:t>
            </w:r>
            <w:r>
              <w:t xml:space="preserve"> an Order Book of</w:t>
            </w:r>
            <w:r w:rsidRPr="00006ABF">
              <w:t xml:space="preserve"> the relevant Market</w:t>
            </w:r>
          </w:p>
        </w:tc>
      </w:tr>
      <w:tr w:rsidR="00155329" w:rsidRPr="00006ABF" w:rsidTr="00E42723">
        <w:trPr>
          <w:cantSplit/>
        </w:trPr>
        <w:tc>
          <w:tcPr>
            <w:tcW w:w="426" w:type="pct"/>
          </w:tcPr>
          <w:p w:rsidR="00155329" w:rsidRPr="00006ABF" w:rsidRDefault="00155329" w:rsidP="00E42723">
            <w:pPr>
              <w:pStyle w:val="tbltext"/>
            </w:pPr>
            <w:r w:rsidRPr="00006ABF">
              <w:t>4</w:t>
            </w:r>
          </w:p>
        </w:tc>
        <w:tc>
          <w:tcPr>
            <w:tcW w:w="936" w:type="pct"/>
          </w:tcPr>
          <w:p w:rsidR="00155329" w:rsidRPr="00006ABF" w:rsidRDefault="00155329" w:rsidP="00E42723">
            <w:pPr>
              <w:pStyle w:val="tbltext"/>
            </w:pPr>
            <w:r w:rsidRPr="00006ABF">
              <w:t>Offer</w:t>
            </w:r>
          </w:p>
        </w:tc>
        <w:tc>
          <w:tcPr>
            <w:tcW w:w="3638" w:type="pct"/>
          </w:tcPr>
          <w:p w:rsidR="00155329" w:rsidRPr="00006ABF" w:rsidRDefault="00155329" w:rsidP="00E42723">
            <w:pPr>
              <w:pStyle w:val="tbltext"/>
            </w:pPr>
            <w:r w:rsidRPr="00006ABF">
              <w:t xml:space="preserve">The lowest Offer for the CGS Depository Interest on </w:t>
            </w:r>
            <w:r>
              <w:t xml:space="preserve">an Order Book of </w:t>
            </w:r>
            <w:r w:rsidRPr="00006ABF">
              <w:t>the relevant Market</w:t>
            </w:r>
          </w:p>
        </w:tc>
      </w:tr>
      <w:tr w:rsidR="00155329" w:rsidRPr="00006ABF" w:rsidTr="00E42723">
        <w:trPr>
          <w:cantSplit/>
        </w:trPr>
        <w:tc>
          <w:tcPr>
            <w:tcW w:w="426" w:type="pct"/>
          </w:tcPr>
          <w:p w:rsidR="00155329" w:rsidRPr="00006ABF" w:rsidRDefault="00155329" w:rsidP="00E42723">
            <w:pPr>
              <w:pStyle w:val="tbltext"/>
            </w:pPr>
            <w:r w:rsidRPr="00006ABF">
              <w:t>5</w:t>
            </w:r>
          </w:p>
        </w:tc>
        <w:tc>
          <w:tcPr>
            <w:tcW w:w="936" w:type="pct"/>
          </w:tcPr>
          <w:p w:rsidR="00155329" w:rsidRPr="00006ABF" w:rsidRDefault="00155329" w:rsidP="00E42723">
            <w:pPr>
              <w:pStyle w:val="tbltext"/>
            </w:pPr>
            <w:r w:rsidRPr="00006ABF">
              <w:t>High</w:t>
            </w:r>
          </w:p>
        </w:tc>
        <w:tc>
          <w:tcPr>
            <w:tcW w:w="3638" w:type="pct"/>
          </w:tcPr>
          <w:p w:rsidR="00155329" w:rsidRPr="00006ABF" w:rsidRDefault="00155329" w:rsidP="003571BA">
            <w:pPr>
              <w:pStyle w:val="tbltext"/>
            </w:pPr>
            <w:r w:rsidRPr="00006ABF">
              <w:t xml:space="preserve">The highest price at which a Transaction in the CGS Depository Interest has been executed </w:t>
            </w:r>
            <w:r w:rsidR="002261B2">
              <w:t xml:space="preserve">whether </w:t>
            </w:r>
            <w:r w:rsidRPr="00006ABF">
              <w:t>on</w:t>
            </w:r>
            <w:r>
              <w:t xml:space="preserve"> an Order Book o</w:t>
            </w:r>
            <w:r w:rsidR="002261B2">
              <w:t>f</w:t>
            </w:r>
            <w:r w:rsidRPr="00006ABF">
              <w:t xml:space="preserve"> the relevant Market </w:t>
            </w:r>
            <w:r w:rsidR="00A91292" w:rsidRPr="00A91292">
              <w:t xml:space="preserve">or reported to the relevant Market as a </w:t>
            </w:r>
            <w:r w:rsidR="00AC0420" w:rsidRPr="00AC0420">
              <w:t xml:space="preserve">Trade at or Within the Spread or a </w:t>
            </w:r>
            <w:r w:rsidR="00A91292" w:rsidRPr="00A91292">
              <w:t>Trade with Price Improvement</w:t>
            </w:r>
            <w:r w:rsidR="003571BA">
              <w:t xml:space="preserve"> </w:t>
            </w:r>
            <w:r w:rsidRPr="00006ABF">
              <w:t>on the Trading Day to which the information relates</w:t>
            </w:r>
          </w:p>
        </w:tc>
      </w:tr>
      <w:tr w:rsidR="00155329" w:rsidRPr="00006ABF" w:rsidTr="00E42723">
        <w:trPr>
          <w:cantSplit/>
        </w:trPr>
        <w:tc>
          <w:tcPr>
            <w:tcW w:w="426" w:type="pct"/>
          </w:tcPr>
          <w:p w:rsidR="00155329" w:rsidRPr="00006ABF" w:rsidRDefault="00155329" w:rsidP="00E42723">
            <w:pPr>
              <w:pStyle w:val="tbltext"/>
            </w:pPr>
            <w:r w:rsidRPr="00006ABF">
              <w:t>6</w:t>
            </w:r>
          </w:p>
        </w:tc>
        <w:tc>
          <w:tcPr>
            <w:tcW w:w="936" w:type="pct"/>
          </w:tcPr>
          <w:p w:rsidR="00155329" w:rsidRPr="00006ABF" w:rsidRDefault="00155329" w:rsidP="00E42723">
            <w:pPr>
              <w:pStyle w:val="tbltext"/>
            </w:pPr>
            <w:r w:rsidRPr="00006ABF">
              <w:t>Low</w:t>
            </w:r>
          </w:p>
        </w:tc>
        <w:tc>
          <w:tcPr>
            <w:tcW w:w="3638" w:type="pct"/>
          </w:tcPr>
          <w:p w:rsidR="00155329" w:rsidRPr="00006ABF" w:rsidRDefault="00155329" w:rsidP="00E42723">
            <w:pPr>
              <w:pStyle w:val="tbltext"/>
            </w:pPr>
            <w:r w:rsidRPr="00006ABF">
              <w:t xml:space="preserve">The lowest price at which a Transaction in the CGS Depository Interest has been executed </w:t>
            </w:r>
            <w:r w:rsidR="002261B2">
              <w:t xml:space="preserve">whether </w:t>
            </w:r>
            <w:r w:rsidRPr="00006ABF">
              <w:t xml:space="preserve">on </w:t>
            </w:r>
            <w:r>
              <w:t>an Order Book o</w:t>
            </w:r>
            <w:r w:rsidR="002261B2">
              <w:t>f</w:t>
            </w:r>
            <w:r>
              <w:t xml:space="preserve"> </w:t>
            </w:r>
            <w:r w:rsidRPr="00006ABF">
              <w:t xml:space="preserve">the relevant Market </w:t>
            </w:r>
            <w:r w:rsidR="00B55EE3" w:rsidRPr="00B55EE3">
              <w:t xml:space="preserve">or reported to the relevant Market as a </w:t>
            </w:r>
            <w:r w:rsidR="00AC0420" w:rsidRPr="00AC0420">
              <w:t xml:space="preserve">Trade at or Within the Spread or a </w:t>
            </w:r>
            <w:r w:rsidR="00B55EE3" w:rsidRPr="00B55EE3">
              <w:t xml:space="preserve">Trade with Price Improvement </w:t>
            </w:r>
            <w:r w:rsidRPr="00006ABF">
              <w:t>on the Trading Day to which the information relates</w:t>
            </w:r>
          </w:p>
        </w:tc>
      </w:tr>
      <w:tr w:rsidR="00155329" w:rsidRPr="00006ABF" w:rsidTr="00E42723">
        <w:trPr>
          <w:cantSplit/>
        </w:trPr>
        <w:tc>
          <w:tcPr>
            <w:tcW w:w="426" w:type="pct"/>
          </w:tcPr>
          <w:p w:rsidR="00155329" w:rsidRPr="00006ABF" w:rsidRDefault="00155329" w:rsidP="00E42723">
            <w:pPr>
              <w:pStyle w:val="tbltext"/>
            </w:pPr>
            <w:r>
              <w:t>7</w:t>
            </w:r>
          </w:p>
        </w:tc>
        <w:tc>
          <w:tcPr>
            <w:tcW w:w="936" w:type="pct"/>
          </w:tcPr>
          <w:p w:rsidR="00155329" w:rsidRPr="00006ABF" w:rsidRDefault="00155329" w:rsidP="00E42723">
            <w:pPr>
              <w:pStyle w:val="tbltext"/>
            </w:pPr>
            <w:r w:rsidRPr="00006ABF">
              <w:t>Number of Trades</w:t>
            </w:r>
          </w:p>
        </w:tc>
        <w:tc>
          <w:tcPr>
            <w:tcW w:w="3638" w:type="pct"/>
          </w:tcPr>
          <w:p w:rsidR="00155329" w:rsidRPr="00006ABF" w:rsidRDefault="00155329" w:rsidP="00EB5D0F">
            <w:pPr>
              <w:pStyle w:val="tbltext"/>
            </w:pPr>
            <w:r w:rsidRPr="00006ABF">
              <w:t xml:space="preserve">The number of Transactions in the CGS Depository Interest </w:t>
            </w:r>
            <w:r>
              <w:t xml:space="preserve">executed </w:t>
            </w:r>
            <w:r w:rsidRPr="00006ABF">
              <w:t xml:space="preserve">on </w:t>
            </w:r>
            <w:r>
              <w:t xml:space="preserve">an Order Book of, </w:t>
            </w:r>
            <w:r w:rsidR="00E51EC4">
              <w:t>and</w:t>
            </w:r>
            <w:r>
              <w:t xml:space="preserve"> reported to, </w:t>
            </w:r>
            <w:r w:rsidRPr="00006ABF">
              <w:t>the relevant Market on the Trading Day to which the information relates</w:t>
            </w:r>
          </w:p>
        </w:tc>
      </w:tr>
      <w:tr w:rsidR="00155329" w:rsidRPr="00006ABF" w:rsidTr="00E42723">
        <w:trPr>
          <w:cantSplit/>
        </w:trPr>
        <w:tc>
          <w:tcPr>
            <w:tcW w:w="426" w:type="pct"/>
          </w:tcPr>
          <w:p w:rsidR="00155329" w:rsidRPr="00006ABF" w:rsidRDefault="00155329" w:rsidP="00E42723">
            <w:pPr>
              <w:pStyle w:val="tbltext"/>
            </w:pPr>
            <w:r>
              <w:t>8</w:t>
            </w:r>
          </w:p>
        </w:tc>
        <w:tc>
          <w:tcPr>
            <w:tcW w:w="936" w:type="pct"/>
          </w:tcPr>
          <w:p w:rsidR="00155329" w:rsidRPr="00006ABF" w:rsidRDefault="00155329" w:rsidP="00E42723">
            <w:pPr>
              <w:pStyle w:val="tbltext"/>
            </w:pPr>
            <w:r w:rsidRPr="00006ABF">
              <w:t>Value</w:t>
            </w:r>
          </w:p>
        </w:tc>
        <w:tc>
          <w:tcPr>
            <w:tcW w:w="3638" w:type="pct"/>
          </w:tcPr>
          <w:p w:rsidR="00155329" w:rsidRPr="00006ABF" w:rsidRDefault="00155329" w:rsidP="00E42723">
            <w:pPr>
              <w:pStyle w:val="tbltext"/>
            </w:pPr>
            <w:r w:rsidRPr="00006ABF">
              <w:t>The total value of all Transactions in the CGS Depository Interest</w:t>
            </w:r>
            <w:r>
              <w:t xml:space="preserve"> executed</w:t>
            </w:r>
            <w:r w:rsidRPr="00006ABF">
              <w:t xml:space="preserve"> on</w:t>
            </w:r>
            <w:r>
              <w:t xml:space="preserve"> an Order Book of, or reported to,</w:t>
            </w:r>
            <w:r w:rsidRPr="00006ABF">
              <w:t xml:space="preserve"> the relevant Market, for the Trading Day to which the information relates</w:t>
            </w:r>
          </w:p>
        </w:tc>
      </w:tr>
      <w:tr w:rsidR="00155329" w:rsidRPr="00006ABF" w:rsidTr="00E42723">
        <w:trPr>
          <w:cantSplit/>
        </w:trPr>
        <w:tc>
          <w:tcPr>
            <w:tcW w:w="426" w:type="pct"/>
          </w:tcPr>
          <w:p w:rsidR="00155329" w:rsidRPr="00006ABF" w:rsidRDefault="00155329" w:rsidP="00E42723">
            <w:pPr>
              <w:pStyle w:val="tbltext"/>
            </w:pPr>
            <w:r>
              <w:t>9</w:t>
            </w:r>
          </w:p>
        </w:tc>
        <w:tc>
          <w:tcPr>
            <w:tcW w:w="936" w:type="pct"/>
          </w:tcPr>
          <w:p w:rsidR="00155329" w:rsidRPr="00006ABF" w:rsidRDefault="00155329" w:rsidP="00E42723">
            <w:pPr>
              <w:pStyle w:val="tbltext"/>
            </w:pPr>
            <w:r w:rsidRPr="00006ABF">
              <w:t>Trading Status</w:t>
            </w:r>
          </w:p>
        </w:tc>
        <w:tc>
          <w:tcPr>
            <w:tcW w:w="3638" w:type="pct"/>
          </w:tcPr>
          <w:p w:rsidR="00155329" w:rsidRPr="00006ABF" w:rsidRDefault="00155329" w:rsidP="00E42723">
            <w:pPr>
              <w:pStyle w:val="tbltext"/>
            </w:pPr>
            <w:r w:rsidRPr="00006ABF">
              <w:t>The trading status for the CGS Depository Interest</w:t>
            </w:r>
          </w:p>
        </w:tc>
      </w:tr>
      <w:tr w:rsidR="00155329" w:rsidRPr="00006ABF" w:rsidTr="00E42723">
        <w:trPr>
          <w:cantSplit/>
        </w:trPr>
        <w:tc>
          <w:tcPr>
            <w:tcW w:w="426" w:type="pct"/>
          </w:tcPr>
          <w:p w:rsidR="00155329" w:rsidRPr="00006ABF" w:rsidRDefault="00155329" w:rsidP="00E42723">
            <w:pPr>
              <w:pStyle w:val="tbltext"/>
            </w:pPr>
            <w:r>
              <w:t>10</w:t>
            </w:r>
          </w:p>
        </w:tc>
        <w:tc>
          <w:tcPr>
            <w:tcW w:w="936" w:type="pct"/>
          </w:tcPr>
          <w:p w:rsidR="00155329" w:rsidRPr="00006ABF" w:rsidRDefault="00155329" w:rsidP="00E42723">
            <w:pPr>
              <w:pStyle w:val="tbltext"/>
            </w:pPr>
            <w:r w:rsidRPr="00006ABF">
              <w:t>Coupon</w:t>
            </w:r>
          </w:p>
        </w:tc>
        <w:tc>
          <w:tcPr>
            <w:tcW w:w="3638" w:type="pct"/>
          </w:tcPr>
          <w:p w:rsidR="00155329" w:rsidRPr="00006ABF" w:rsidRDefault="00155329" w:rsidP="00E42723">
            <w:pPr>
              <w:pStyle w:val="tbltext"/>
            </w:pPr>
            <w:r w:rsidRPr="00006ABF">
              <w:t>For the CGS Depository Interest, the fixed interest amount paid at regular intervals</w:t>
            </w:r>
          </w:p>
        </w:tc>
      </w:tr>
      <w:tr w:rsidR="00155329" w:rsidRPr="00006ABF" w:rsidTr="00E42723">
        <w:trPr>
          <w:cantSplit/>
        </w:trPr>
        <w:tc>
          <w:tcPr>
            <w:tcW w:w="426" w:type="pct"/>
          </w:tcPr>
          <w:p w:rsidR="00155329" w:rsidRPr="00006ABF" w:rsidRDefault="00155329" w:rsidP="00E42723">
            <w:pPr>
              <w:pStyle w:val="tbltext"/>
            </w:pPr>
            <w:r>
              <w:lastRenderedPageBreak/>
              <w:t>11</w:t>
            </w:r>
          </w:p>
        </w:tc>
        <w:tc>
          <w:tcPr>
            <w:tcW w:w="936" w:type="pct"/>
          </w:tcPr>
          <w:p w:rsidR="00155329" w:rsidRPr="00006ABF" w:rsidRDefault="00155329" w:rsidP="00E42723">
            <w:pPr>
              <w:pStyle w:val="tbltext"/>
            </w:pPr>
            <w:r w:rsidRPr="00006ABF">
              <w:t>Maturity Date</w:t>
            </w:r>
          </w:p>
        </w:tc>
        <w:tc>
          <w:tcPr>
            <w:tcW w:w="3638" w:type="pct"/>
          </w:tcPr>
          <w:p w:rsidR="00155329" w:rsidRPr="00006ABF" w:rsidRDefault="00155329" w:rsidP="00E42723">
            <w:pPr>
              <w:pStyle w:val="tbltext"/>
            </w:pPr>
            <w:r w:rsidRPr="00006ABF">
              <w:t>For the CGS Depository Interest, the date on which the principal will be repaid</w:t>
            </w:r>
          </w:p>
        </w:tc>
      </w:tr>
      <w:tr w:rsidR="00155329" w:rsidRPr="00006ABF" w:rsidTr="00E42723">
        <w:trPr>
          <w:cantSplit/>
        </w:trPr>
        <w:tc>
          <w:tcPr>
            <w:tcW w:w="426" w:type="pct"/>
          </w:tcPr>
          <w:p w:rsidR="00155329" w:rsidRPr="00006ABF" w:rsidRDefault="00155329" w:rsidP="00E42723">
            <w:pPr>
              <w:pStyle w:val="tbltext"/>
            </w:pPr>
            <w:r>
              <w:t>12</w:t>
            </w:r>
          </w:p>
        </w:tc>
        <w:tc>
          <w:tcPr>
            <w:tcW w:w="936" w:type="pct"/>
          </w:tcPr>
          <w:p w:rsidR="00155329" w:rsidRPr="00006ABF" w:rsidRDefault="00155329" w:rsidP="00E42723">
            <w:pPr>
              <w:pStyle w:val="tbltext"/>
            </w:pPr>
            <w:r w:rsidRPr="00006ABF">
              <w:t>Face Value</w:t>
            </w:r>
          </w:p>
        </w:tc>
        <w:tc>
          <w:tcPr>
            <w:tcW w:w="3638" w:type="pct"/>
          </w:tcPr>
          <w:p w:rsidR="00155329" w:rsidRPr="00006ABF" w:rsidRDefault="00155329" w:rsidP="00E42723">
            <w:pPr>
              <w:pStyle w:val="tbltext"/>
            </w:pPr>
            <w:r w:rsidRPr="00006ABF">
              <w:t>For the CGS Depository Interest, the principal or redemption value</w:t>
            </w:r>
          </w:p>
        </w:tc>
      </w:tr>
      <w:tr w:rsidR="00155329" w:rsidRPr="00006ABF" w:rsidTr="00E42723">
        <w:trPr>
          <w:cantSplit/>
        </w:trPr>
        <w:tc>
          <w:tcPr>
            <w:tcW w:w="426" w:type="pct"/>
          </w:tcPr>
          <w:p w:rsidR="00155329" w:rsidRPr="00006ABF" w:rsidRDefault="00155329" w:rsidP="00E42723">
            <w:pPr>
              <w:pStyle w:val="tbltext"/>
            </w:pPr>
            <w:r>
              <w:t>13</w:t>
            </w:r>
          </w:p>
        </w:tc>
        <w:tc>
          <w:tcPr>
            <w:tcW w:w="936" w:type="pct"/>
          </w:tcPr>
          <w:p w:rsidR="00155329" w:rsidRPr="00006ABF" w:rsidRDefault="00155329" w:rsidP="00E42723">
            <w:pPr>
              <w:pStyle w:val="tbltext"/>
            </w:pPr>
            <w:r w:rsidRPr="00006ABF">
              <w:t>Delay</w:t>
            </w:r>
          </w:p>
        </w:tc>
        <w:tc>
          <w:tcPr>
            <w:tcW w:w="3638" w:type="pct"/>
          </w:tcPr>
          <w:p w:rsidR="00155329" w:rsidRPr="00006ABF" w:rsidRDefault="00155329" w:rsidP="00E42723">
            <w:pPr>
              <w:pStyle w:val="tbltext"/>
            </w:pPr>
            <w:r w:rsidRPr="00006ABF">
              <w:t>If the information in items 1 to 1</w:t>
            </w:r>
            <w:r w:rsidR="00E51EC4">
              <w:t>2</w:t>
            </w:r>
            <w:r w:rsidRPr="00006ABF">
              <w:t xml:space="preserve"> of this Table is made available on a delayed basis, the delay, in minutes</w:t>
            </w:r>
          </w:p>
        </w:tc>
      </w:tr>
    </w:tbl>
    <w:p w:rsidR="00155329" w:rsidRDefault="00155329" w:rsidP="00155329">
      <w:pPr>
        <w:pStyle w:val="MIRNote"/>
      </w:pPr>
      <w:r w:rsidRPr="005E6B80">
        <w:t>Note</w:t>
      </w:r>
      <w:r w:rsidR="008450BE">
        <w:t xml:space="preserve"> 1</w:t>
      </w:r>
      <w:r w:rsidRPr="005E6B80">
        <w:t xml:space="preserve">: Items </w:t>
      </w:r>
      <w:r w:rsidR="008450BE">
        <w:t xml:space="preserve">3 </w:t>
      </w:r>
      <w:r w:rsidR="00417141">
        <w:t>and</w:t>
      </w:r>
      <w:r w:rsidR="008450BE">
        <w:t xml:space="preserve"> 4 </w:t>
      </w:r>
      <w:r w:rsidRPr="005E6B80">
        <w:t xml:space="preserve">of this Table refer to information in relation to bids and offers on an Order Book. Accordingly, the Trading Information made available by a Market Operator under items </w:t>
      </w:r>
      <w:r w:rsidR="00417141">
        <w:t>3 and 4</w:t>
      </w:r>
      <w:r w:rsidRPr="005E6B80">
        <w:t xml:space="preserve"> of this Table must not include Transactions in </w:t>
      </w:r>
      <w:r>
        <w:t>CGS Depository Interests</w:t>
      </w:r>
      <w:r w:rsidRPr="005E6B80">
        <w:t xml:space="preserve"> reported to the Market Operator under Rule 5.1.1 (Participants to report Transactions done other than on an Order Book of a Market)</w:t>
      </w:r>
      <w:r w:rsidR="00F54DE7">
        <w:t>, other than a Transaction reported as a Trade with Price Improvement</w:t>
      </w:r>
      <w:r w:rsidRPr="005E6B80">
        <w:t>.</w:t>
      </w:r>
    </w:p>
    <w:p w:rsidR="008450BE" w:rsidRPr="008450BE" w:rsidRDefault="008450BE" w:rsidP="008450BE">
      <w:pPr>
        <w:pStyle w:val="MIRNote"/>
      </w:pPr>
      <w:r w:rsidRPr="008450BE">
        <w:t xml:space="preserve">Note 2: Items 2, 5 and 6 of this Table refer to information in relation to prices on an Order Book and also to information in relation to </w:t>
      </w:r>
      <w:r w:rsidR="00AC0420">
        <w:t xml:space="preserve">Trades at or Within the Spread and </w:t>
      </w:r>
      <w:r w:rsidRPr="008450BE">
        <w:t>Trades with Price Improvement. The Trading Information made available by a Market Operator under items 2, 5 and 6 of this Table must not include Transactions in CGS Depository Interests reported to the Market Operator under Rule 5.1.1 (Participants to report Transactions done other than on an Order Book of a Market), other than Transaction</w:t>
      </w:r>
      <w:r w:rsidR="00BC16CC">
        <w:t>s</w:t>
      </w:r>
      <w:r w:rsidRPr="008450BE">
        <w:t xml:space="preserve"> reported as a </w:t>
      </w:r>
      <w:r w:rsidR="00AC0420">
        <w:t xml:space="preserve">Trade at or Within the Spread or a </w:t>
      </w:r>
      <w:r w:rsidRPr="008450BE">
        <w:t xml:space="preserve">Trade with Price Improvement.  </w:t>
      </w:r>
    </w:p>
    <w:p w:rsidR="00050329" w:rsidRPr="00247465" w:rsidRDefault="00050329" w:rsidP="00050329">
      <w:pPr>
        <w:pStyle w:val="MIRHeading3"/>
      </w:pPr>
      <w:r w:rsidRPr="00247465">
        <w:t>[</w:t>
      </w:r>
      <w:r w:rsidR="004D0A98">
        <w:t>9</w:t>
      </w:r>
      <w:r w:rsidR="00A228FE">
        <w:t>1</w:t>
      </w:r>
      <w:r w:rsidRPr="00247465">
        <w:t>]</w:t>
      </w:r>
      <w:r w:rsidRPr="00247465">
        <w:tab/>
        <w:t xml:space="preserve">Rule </w:t>
      </w:r>
      <w:r w:rsidR="00B975B3">
        <w:t>5.1.7</w:t>
      </w:r>
      <w:r w:rsidR="00633213" w:rsidRPr="00247465">
        <w:t xml:space="preserve"> (heading)</w:t>
      </w:r>
    </w:p>
    <w:p w:rsidR="002A241B" w:rsidRDefault="002A241B" w:rsidP="00050329">
      <w:pPr>
        <w:pStyle w:val="MIRBodyText"/>
        <w:rPr>
          <w:i/>
        </w:rPr>
      </w:pPr>
      <w:r>
        <w:rPr>
          <w:i/>
        </w:rPr>
        <w:t>after “Post-Trade Information”, insert</w:t>
      </w:r>
    </w:p>
    <w:p w:rsidR="002A241B" w:rsidRDefault="002A241B" w:rsidP="00050329">
      <w:pPr>
        <w:pStyle w:val="MIRBodyText"/>
        <w:rPr>
          <w:i/>
        </w:rPr>
      </w:pPr>
      <w:r w:rsidRPr="002A241B">
        <w:t xml:space="preserve">—Equity Market Products </w:t>
      </w:r>
    </w:p>
    <w:p w:rsidR="00C108B1" w:rsidRPr="00247465" w:rsidRDefault="002A241B" w:rsidP="00C108B1">
      <w:pPr>
        <w:pStyle w:val="MIRHeading3"/>
      </w:pPr>
      <w:r>
        <w:t>[9</w:t>
      </w:r>
      <w:r w:rsidR="00A228FE">
        <w:t>2</w:t>
      </w:r>
      <w:r w:rsidR="00C108B1" w:rsidRPr="00247465">
        <w:t>]</w:t>
      </w:r>
      <w:r w:rsidR="00C108B1" w:rsidRPr="00247465">
        <w:tab/>
      </w:r>
      <w:r w:rsidR="001658FA">
        <w:t>Paragraphs 5.1.7(a), (b) and (c)</w:t>
      </w:r>
    </w:p>
    <w:p w:rsidR="00C108B1" w:rsidRPr="00247465" w:rsidRDefault="001658FA" w:rsidP="00C108B1">
      <w:pPr>
        <w:pStyle w:val="MIRBodyText"/>
      </w:pPr>
      <w:r w:rsidRPr="001658FA">
        <w:rPr>
          <w:i/>
        </w:rPr>
        <w:t xml:space="preserve">after “Transaction” </w:t>
      </w:r>
      <w:r w:rsidR="00C108B1" w:rsidRPr="001658FA">
        <w:rPr>
          <w:i/>
        </w:rPr>
        <w:t>(wherever occurring)</w:t>
      </w:r>
      <w:r>
        <w:rPr>
          <w:i/>
        </w:rPr>
        <w:t>, insert</w:t>
      </w:r>
    </w:p>
    <w:p w:rsidR="00C108B1" w:rsidRPr="00247465" w:rsidRDefault="001658FA" w:rsidP="00C108B1">
      <w:pPr>
        <w:pStyle w:val="MIRBodyText"/>
      </w:pPr>
      <w:r>
        <w:t>in Equity Market Products</w:t>
      </w:r>
    </w:p>
    <w:p w:rsidR="00AA548E" w:rsidRPr="00247465" w:rsidRDefault="00AA548E" w:rsidP="00C108B1">
      <w:pPr>
        <w:pStyle w:val="MIRHeading3"/>
      </w:pPr>
      <w:r w:rsidRPr="00247465">
        <w:t>[</w:t>
      </w:r>
      <w:r w:rsidR="0083267F">
        <w:t>9</w:t>
      </w:r>
      <w:r w:rsidR="00A155FA">
        <w:t>3</w:t>
      </w:r>
      <w:r w:rsidR="001C32F8">
        <w:t>]</w:t>
      </w:r>
      <w:r w:rsidR="001C32F8">
        <w:tab/>
        <w:t>After Rule 5.1.7</w:t>
      </w:r>
    </w:p>
    <w:p w:rsidR="00307955" w:rsidRDefault="00307955" w:rsidP="00050329">
      <w:pPr>
        <w:pStyle w:val="MIRBodyText"/>
        <w:rPr>
          <w:i/>
        </w:rPr>
      </w:pPr>
      <w:r>
        <w:rPr>
          <w:i/>
        </w:rPr>
        <w:t>insert</w:t>
      </w:r>
    </w:p>
    <w:p w:rsidR="00307955" w:rsidRPr="00307955" w:rsidRDefault="00307955" w:rsidP="00BA7CDC">
      <w:pPr>
        <w:pStyle w:val="MIRHeading3Rule"/>
        <w:ind w:hanging="1"/>
      </w:pPr>
      <w:r w:rsidRPr="00307955">
        <w:t>5.1.7A</w:t>
      </w:r>
      <w:r w:rsidRPr="00307955">
        <w:tab/>
        <w:t>Post-Trade Information—CGS Depository Interests</w:t>
      </w:r>
    </w:p>
    <w:p w:rsidR="00307955" w:rsidRPr="00307955" w:rsidRDefault="00307955" w:rsidP="00307955">
      <w:pPr>
        <w:tabs>
          <w:tab w:val="left" w:pos="851"/>
        </w:tabs>
        <w:spacing w:before="200" w:after="0" w:line="300" w:lineRule="atLeast"/>
        <w:ind w:left="851"/>
        <w:rPr>
          <w:szCs w:val="22"/>
        </w:rPr>
      </w:pPr>
      <w:r w:rsidRPr="00307955">
        <w:rPr>
          <w:szCs w:val="22"/>
        </w:rPr>
        <w:t xml:space="preserve">In these Rules, </w:t>
      </w:r>
      <w:r w:rsidRPr="00307955">
        <w:rPr>
          <w:b/>
          <w:i/>
          <w:szCs w:val="22"/>
        </w:rPr>
        <w:t>Post-Trade Information</w:t>
      </w:r>
      <w:r w:rsidRPr="00307955">
        <w:rPr>
          <w:szCs w:val="22"/>
        </w:rPr>
        <w:t xml:space="preserve"> means:</w:t>
      </w:r>
    </w:p>
    <w:p w:rsidR="00307955" w:rsidRPr="00307955" w:rsidRDefault="00307955" w:rsidP="008F11E0">
      <w:pPr>
        <w:pStyle w:val="MIRSubpara"/>
        <w:numPr>
          <w:ilvl w:val="0"/>
          <w:numId w:val="20"/>
        </w:numPr>
      </w:pPr>
      <w:r w:rsidRPr="00307955">
        <w:t xml:space="preserve">in relation to a Transaction in CGS Depository Interests, the information set out in items 1 to </w:t>
      </w:r>
      <w:r w:rsidR="00607E73">
        <w:t>5</w:t>
      </w:r>
      <w:r w:rsidRPr="00307955">
        <w:t xml:space="preserve"> and </w:t>
      </w:r>
      <w:r w:rsidR="00607E73">
        <w:t>8</w:t>
      </w:r>
      <w:r w:rsidRPr="00307955">
        <w:t xml:space="preserve"> of the following Table; and</w:t>
      </w:r>
    </w:p>
    <w:p w:rsidR="00307955" w:rsidRPr="00307955" w:rsidRDefault="00307955" w:rsidP="00307955">
      <w:pPr>
        <w:pStyle w:val="MIRSubpara"/>
      </w:pPr>
      <w:r w:rsidRPr="00307955">
        <w:t xml:space="preserve">in relation to a Transaction referred to in paragraph (a) that is cancelled, the information set out in items </w:t>
      </w:r>
      <w:r w:rsidR="00607E73">
        <w:t>6</w:t>
      </w:r>
      <w:r w:rsidRPr="00307955">
        <w:t xml:space="preserve"> and </w:t>
      </w:r>
      <w:r w:rsidR="00607E73">
        <w:t>7</w:t>
      </w:r>
      <w:r w:rsidRPr="00307955">
        <w:t xml:space="preserve"> of the following 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2267"/>
        <w:gridCol w:w="5352"/>
      </w:tblGrid>
      <w:tr w:rsidR="00307955" w:rsidRPr="00307955" w:rsidTr="00E42723">
        <w:trPr>
          <w:cantSplit/>
          <w:tblHeader/>
        </w:trPr>
        <w:tc>
          <w:tcPr>
            <w:tcW w:w="426" w:type="pct"/>
            <w:shd w:val="clear" w:color="auto" w:fill="C2E3FA"/>
          </w:tcPr>
          <w:p w:rsidR="00307955" w:rsidRPr="00307955" w:rsidRDefault="00307955" w:rsidP="00307955">
            <w:pPr>
              <w:keepNext/>
              <w:spacing w:before="120" w:after="0" w:line="240" w:lineRule="atLeast"/>
              <w:rPr>
                <w:rFonts w:ascii="Arial" w:hAnsi="Arial" w:cs="Arial"/>
                <w:b/>
                <w:sz w:val="18"/>
                <w:szCs w:val="18"/>
              </w:rPr>
            </w:pPr>
            <w:r w:rsidRPr="00307955">
              <w:rPr>
                <w:rFonts w:ascii="Arial" w:hAnsi="Arial" w:cs="Arial"/>
                <w:b/>
                <w:sz w:val="18"/>
                <w:szCs w:val="18"/>
              </w:rPr>
              <w:t>Item</w:t>
            </w:r>
          </w:p>
        </w:tc>
        <w:tc>
          <w:tcPr>
            <w:tcW w:w="1361" w:type="pct"/>
            <w:shd w:val="clear" w:color="auto" w:fill="C2E3FA"/>
          </w:tcPr>
          <w:p w:rsidR="00307955" w:rsidRPr="00307955" w:rsidRDefault="00307955" w:rsidP="00307955">
            <w:pPr>
              <w:keepNext/>
              <w:spacing w:before="120" w:after="0" w:line="240" w:lineRule="atLeast"/>
              <w:rPr>
                <w:rFonts w:ascii="Arial" w:hAnsi="Arial" w:cs="Arial"/>
                <w:b/>
                <w:sz w:val="18"/>
                <w:szCs w:val="18"/>
              </w:rPr>
            </w:pPr>
            <w:r w:rsidRPr="00307955">
              <w:rPr>
                <w:rFonts w:ascii="Arial" w:hAnsi="Arial" w:cs="Arial"/>
                <w:b/>
                <w:sz w:val="18"/>
                <w:szCs w:val="18"/>
              </w:rPr>
              <w:t>Label</w:t>
            </w:r>
          </w:p>
        </w:tc>
        <w:tc>
          <w:tcPr>
            <w:tcW w:w="3213" w:type="pct"/>
            <w:shd w:val="clear" w:color="auto" w:fill="C2E3FA"/>
          </w:tcPr>
          <w:p w:rsidR="00307955" w:rsidRPr="00307955" w:rsidRDefault="00307955" w:rsidP="00307955">
            <w:pPr>
              <w:keepNext/>
              <w:spacing w:before="120" w:after="0" w:line="240" w:lineRule="atLeast"/>
              <w:rPr>
                <w:rFonts w:ascii="Arial" w:hAnsi="Arial" w:cs="Arial"/>
                <w:b/>
                <w:sz w:val="18"/>
                <w:szCs w:val="18"/>
              </w:rPr>
            </w:pPr>
            <w:r w:rsidRPr="00307955">
              <w:rPr>
                <w:rFonts w:ascii="Arial" w:hAnsi="Arial" w:cs="Arial"/>
                <w:b/>
                <w:sz w:val="18"/>
                <w:szCs w:val="18"/>
              </w:rPr>
              <w:t>Post-Trade Information</w:t>
            </w:r>
          </w:p>
        </w:tc>
      </w:tr>
      <w:tr w:rsidR="00307955" w:rsidRPr="00307955" w:rsidTr="00E42723">
        <w:trPr>
          <w:cantSplit/>
        </w:trPr>
        <w:tc>
          <w:tcPr>
            <w:tcW w:w="426"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1</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Trade execution date (as at date)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The date on which the Transaction is executed, unless the Transaction is reported on the same day it is executed</w:t>
            </w:r>
          </w:p>
        </w:tc>
      </w:tr>
      <w:tr w:rsidR="00307955" w:rsidRPr="00307955" w:rsidTr="00E42723">
        <w:trPr>
          <w:cantSplit/>
        </w:trPr>
        <w:tc>
          <w:tcPr>
            <w:tcW w:w="426"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lastRenderedPageBreak/>
              <w:t>2</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Trading time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The time at which the Transaction was executed</w:t>
            </w:r>
          </w:p>
        </w:tc>
      </w:tr>
      <w:tr w:rsidR="00307955" w:rsidRPr="00307955" w:rsidTr="00E42723">
        <w:trPr>
          <w:cantSplit/>
        </w:trPr>
        <w:tc>
          <w:tcPr>
            <w:tcW w:w="426"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3</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Product identification</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The symbol, assigned in accordance with Rule 6.2.3, that identifies the CGS Depository Interest the subject of the Transaction</w:t>
            </w:r>
          </w:p>
        </w:tc>
      </w:tr>
      <w:tr w:rsidR="00307955" w:rsidRPr="00307955" w:rsidTr="00E42723">
        <w:trPr>
          <w:cantSplit/>
        </w:trPr>
        <w:tc>
          <w:tcPr>
            <w:tcW w:w="426" w:type="pct"/>
          </w:tcPr>
          <w:p w:rsidR="00307955" w:rsidRPr="00307955" w:rsidRDefault="00607E73" w:rsidP="00307955">
            <w:pPr>
              <w:widowControl w:val="0"/>
              <w:spacing w:before="120" w:after="0" w:line="240" w:lineRule="atLeast"/>
              <w:rPr>
                <w:rFonts w:ascii="Arial" w:hAnsi="Arial" w:cs="Arial"/>
                <w:sz w:val="18"/>
                <w:szCs w:val="18"/>
              </w:rPr>
            </w:pPr>
            <w:r>
              <w:rPr>
                <w:rFonts w:ascii="Arial" w:hAnsi="Arial" w:cs="Arial"/>
                <w:sz w:val="18"/>
                <w:szCs w:val="18"/>
              </w:rPr>
              <w:t>4</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Volume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The number of CGS Depository Interests the subject of the Transaction</w:t>
            </w:r>
          </w:p>
        </w:tc>
      </w:tr>
      <w:tr w:rsidR="00307955" w:rsidRPr="00307955" w:rsidTr="00E42723">
        <w:trPr>
          <w:cantSplit/>
        </w:trPr>
        <w:tc>
          <w:tcPr>
            <w:tcW w:w="426" w:type="pct"/>
          </w:tcPr>
          <w:p w:rsidR="00307955" w:rsidRPr="00307955" w:rsidRDefault="00607E73" w:rsidP="00307955">
            <w:pPr>
              <w:widowControl w:val="0"/>
              <w:spacing w:before="120" w:after="0" w:line="240" w:lineRule="atLeast"/>
              <w:rPr>
                <w:rFonts w:ascii="Arial" w:hAnsi="Arial" w:cs="Arial"/>
                <w:sz w:val="18"/>
                <w:szCs w:val="18"/>
              </w:rPr>
            </w:pPr>
            <w:r>
              <w:rPr>
                <w:rFonts w:ascii="Arial" w:hAnsi="Arial" w:cs="Arial"/>
                <w:sz w:val="18"/>
                <w:szCs w:val="18"/>
              </w:rPr>
              <w:t>5</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Price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The price per CGS Depository Interest of the Transaction</w:t>
            </w:r>
          </w:p>
        </w:tc>
      </w:tr>
      <w:tr w:rsidR="00307955" w:rsidRPr="00307955" w:rsidTr="00E42723">
        <w:trPr>
          <w:cantSplit/>
        </w:trPr>
        <w:tc>
          <w:tcPr>
            <w:tcW w:w="426" w:type="pct"/>
          </w:tcPr>
          <w:p w:rsidR="00307955" w:rsidRPr="00307955" w:rsidRDefault="00607E73" w:rsidP="00307955">
            <w:pPr>
              <w:widowControl w:val="0"/>
              <w:spacing w:before="120" w:after="0" w:line="240" w:lineRule="atLeast"/>
              <w:rPr>
                <w:rFonts w:ascii="Arial" w:hAnsi="Arial" w:cs="Arial"/>
                <w:bCs/>
                <w:sz w:val="18"/>
                <w:szCs w:val="18"/>
              </w:rPr>
            </w:pPr>
            <w:r>
              <w:rPr>
                <w:rFonts w:ascii="Arial" w:hAnsi="Arial" w:cs="Arial"/>
                <w:bCs/>
                <w:sz w:val="18"/>
                <w:szCs w:val="18"/>
              </w:rPr>
              <w:t>6</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bCs/>
                <w:sz w:val="18"/>
                <w:szCs w:val="18"/>
              </w:rPr>
              <w:t>Trade cancellation indicator</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If the Transaction is cancelled, a notation or code to identify that the Transaction is cancelled</w:t>
            </w:r>
          </w:p>
        </w:tc>
      </w:tr>
      <w:tr w:rsidR="00307955" w:rsidRPr="00307955" w:rsidTr="00E42723">
        <w:trPr>
          <w:cantSplit/>
        </w:trPr>
        <w:tc>
          <w:tcPr>
            <w:tcW w:w="426" w:type="pct"/>
          </w:tcPr>
          <w:p w:rsidR="00307955" w:rsidRPr="00307955" w:rsidRDefault="00607E73" w:rsidP="00307955">
            <w:pPr>
              <w:widowControl w:val="0"/>
              <w:spacing w:before="120" w:after="0" w:line="240" w:lineRule="atLeast"/>
              <w:rPr>
                <w:rFonts w:ascii="Arial" w:hAnsi="Arial" w:cs="Arial"/>
                <w:bCs/>
                <w:sz w:val="18"/>
                <w:szCs w:val="18"/>
              </w:rPr>
            </w:pPr>
            <w:r>
              <w:rPr>
                <w:rFonts w:ascii="Arial" w:hAnsi="Arial" w:cs="Arial"/>
                <w:bCs/>
                <w:sz w:val="18"/>
                <w:szCs w:val="18"/>
              </w:rPr>
              <w:t>7</w:t>
            </w:r>
          </w:p>
        </w:tc>
        <w:tc>
          <w:tcPr>
            <w:tcW w:w="1361"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bCs/>
                <w:sz w:val="18"/>
                <w:szCs w:val="18"/>
              </w:rPr>
              <w:t>Original trade date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If the Transaction is cancelled, the information in item 1 of this Table</w:t>
            </w:r>
          </w:p>
        </w:tc>
      </w:tr>
      <w:tr w:rsidR="00307955" w:rsidRPr="00307955" w:rsidTr="00E42723">
        <w:trPr>
          <w:cantSplit/>
        </w:trPr>
        <w:tc>
          <w:tcPr>
            <w:tcW w:w="426" w:type="pct"/>
          </w:tcPr>
          <w:p w:rsidR="00307955" w:rsidRPr="00307955" w:rsidRDefault="00607E73" w:rsidP="00307955">
            <w:pPr>
              <w:widowControl w:val="0"/>
              <w:spacing w:before="120" w:after="0" w:line="240" w:lineRule="atLeast"/>
              <w:rPr>
                <w:rFonts w:ascii="Arial" w:hAnsi="Arial" w:cs="Arial"/>
                <w:bCs/>
                <w:sz w:val="18"/>
                <w:szCs w:val="18"/>
              </w:rPr>
            </w:pPr>
            <w:r>
              <w:rPr>
                <w:rFonts w:ascii="Arial" w:hAnsi="Arial" w:cs="Arial"/>
                <w:sz w:val="18"/>
                <w:szCs w:val="18"/>
              </w:rPr>
              <w:t>8</w:t>
            </w:r>
          </w:p>
        </w:tc>
        <w:tc>
          <w:tcPr>
            <w:tcW w:w="1361" w:type="pct"/>
          </w:tcPr>
          <w:p w:rsidR="00307955" w:rsidRPr="00307955" w:rsidRDefault="00307955" w:rsidP="00307955">
            <w:pPr>
              <w:widowControl w:val="0"/>
              <w:spacing w:before="120" w:after="0" w:line="240" w:lineRule="atLeast"/>
              <w:rPr>
                <w:rFonts w:ascii="Arial" w:hAnsi="Arial" w:cs="Arial"/>
                <w:bCs/>
                <w:sz w:val="18"/>
                <w:szCs w:val="18"/>
              </w:rPr>
            </w:pPr>
            <w:r w:rsidRPr="00307955">
              <w:rPr>
                <w:rFonts w:ascii="Arial" w:hAnsi="Arial" w:cs="Arial"/>
                <w:sz w:val="18"/>
                <w:szCs w:val="18"/>
              </w:rPr>
              <w:t>Exception code</w:t>
            </w:r>
          </w:p>
        </w:tc>
        <w:tc>
          <w:tcPr>
            <w:tcW w:w="3213" w:type="pct"/>
          </w:tcPr>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If the Transaction was executed:</w:t>
            </w:r>
          </w:p>
          <w:p w:rsidR="00307955" w:rsidRPr="00307955" w:rsidRDefault="00307955" w:rsidP="00307955">
            <w:pPr>
              <w:widowControl w:val="0"/>
              <w:numPr>
                <w:ilvl w:val="0"/>
                <w:numId w:val="2"/>
              </w:numPr>
              <w:spacing w:before="60" w:after="0" w:line="240" w:lineRule="atLeast"/>
              <w:rPr>
                <w:rFonts w:ascii="Arial" w:hAnsi="Arial" w:cs="Arial"/>
                <w:sz w:val="18"/>
                <w:szCs w:val="18"/>
              </w:rPr>
            </w:pPr>
            <w:r w:rsidRPr="00307955">
              <w:rPr>
                <w:rFonts w:ascii="Arial" w:hAnsi="Arial" w:cs="Arial"/>
                <w:sz w:val="18"/>
                <w:szCs w:val="18"/>
              </w:rPr>
              <w:t>otherwise than by matching of Orders on an Order Book; or</w:t>
            </w:r>
          </w:p>
          <w:p w:rsidR="00307955" w:rsidRPr="00307955" w:rsidRDefault="00307955" w:rsidP="00307955">
            <w:pPr>
              <w:widowControl w:val="0"/>
              <w:numPr>
                <w:ilvl w:val="0"/>
                <w:numId w:val="2"/>
              </w:numPr>
              <w:spacing w:before="60" w:after="0" w:line="240" w:lineRule="atLeast"/>
              <w:rPr>
                <w:rFonts w:ascii="Arial" w:hAnsi="Arial" w:cs="Arial"/>
                <w:sz w:val="18"/>
                <w:szCs w:val="18"/>
              </w:rPr>
            </w:pPr>
            <w:r w:rsidRPr="00307955">
              <w:rPr>
                <w:rFonts w:ascii="Arial" w:hAnsi="Arial" w:cs="Arial"/>
                <w:sz w:val="18"/>
                <w:szCs w:val="18"/>
              </w:rPr>
              <w:t>without Pre-Trade Information in relation to the Order being made available,</w:t>
            </w:r>
          </w:p>
          <w:p w:rsidR="00307955" w:rsidRPr="00307955" w:rsidRDefault="00307955" w:rsidP="00307955">
            <w:pPr>
              <w:widowControl w:val="0"/>
              <w:spacing w:before="120" w:after="0" w:line="240" w:lineRule="atLeast"/>
              <w:rPr>
                <w:rFonts w:ascii="Arial" w:hAnsi="Arial" w:cs="Arial"/>
                <w:sz w:val="18"/>
                <w:szCs w:val="18"/>
              </w:rPr>
            </w:pPr>
            <w:r w:rsidRPr="00307955">
              <w:rPr>
                <w:rFonts w:ascii="Arial" w:hAnsi="Arial" w:cs="Arial"/>
                <w:sz w:val="18"/>
                <w:szCs w:val="18"/>
              </w:rPr>
              <w:t>a unique code that identifies the exception in subrule 4.1.1(2) or 4.1.2(2) relied upon</w:t>
            </w:r>
          </w:p>
        </w:tc>
      </w:tr>
    </w:tbl>
    <w:p w:rsidR="00307955" w:rsidRPr="00307955" w:rsidRDefault="00307955" w:rsidP="001769FF">
      <w:pPr>
        <w:pStyle w:val="MIRNote"/>
      </w:pPr>
      <w:r w:rsidRPr="00307955">
        <w:t>Note: There is no penalty for this Rule.</w:t>
      </w:r>
    </w:p>
    <w:p w:rsidR="00C61D89" w:rsidRPr="00247465" w:rsidRDefault="00C61D89" w:rsidP="00C61D89">
      <w:pPr>
        <w:pStyle w:val="MIRHeading3"/>
      </w:pPr>
      <w:r w:rsidRPr="00247465">
        <w:t>[</w:t>
      </w:r>
      <w:r w:rsidR="001769FF">
        <w:t>9</w:t>
      </w:r>
      <w:r w:rsidR="00393965">
        <w:t>4</w:t>
      </w:r>
      <w:r w:rsidRPr="00247465">
        <w:t>]</w:t>
      </w:r>
      <w:r w:rsidRPr="00247465">
        <w:tab/>
      </w:r>
      <w:r w:rsidR="00B477A4">
        <w:t>Subp</w:t>
      </w:r>
      <w:r w:rsidR="00C0097D" w:rsidRPr="00247465">
        <w:t xml:space="preserve">aragraph </w:t>
      </w:r>
      <w:r w:rsidR="00B477A4">
        <w:t>5.2.1(1)(b)(iv)</w:t>
      </w:r>
    </w:p>
    <w:p w:rsidR="00C61D89" w:rsidRPr="00AF68EC" w:rsidRDefault="00AF68EC" w:rsidP="00050329">
      <w:pPr>
        <w:pStyle w:val="MIRBodyText"/>
        <w:rPr>
          <w:i/>
        </w:rPr>
      </w:pPr>
      <w:r w:rsidRPr="00AF68EC">
        <w:rPr>
          <w:i/>
        </w:rPr>
        <w:t xml:space="preserve">after </w:t>
      </w:r>
      <w:r>
        <w:rPr>
          <w:i/>
        </w:rPr>
        <w:t>“</w:t>
      </w:r>
      <w:r w:rsidR="00C61D89" w:rsidRPr="00AF68EC">
        <w:rPr>
          <w:i/>
        </w:rPr>
        <w:t>Equity Market Product</w:t>
      </w:r>
      <w:r>
        <w:rPr>
          <w:i/>
        </w:rPr>
        <w:t>s”, insert</w:t>
      </w:r>
    </w:p>
    <w:p w:rsidR="00C61D89" w:rsidRPr="00247465" w:rsidRDefault="00AF68EC" w:rsidP="00050329">
      <w:pPr>
        <w:pStyle w:val="MIRBodyText"/>
      </w:pPr>
      <w:r>
        <w:t>or CGS Depository Interest</w:t>
      </w:r>
      <w:r w:rsidR="00A74BF0">
        <w:t>s</w:t>
      </w:r>
    </w:p>
    <w:p w:rsidR="0031205C" w:rsidRPr="00247465" w:rsidRDefault="00E16D85" w:rsidP="0031205C">
      <w:pPr>
        <w:pStyle w:val="MIRHeading3"/>
      </w:pPr>
      <w:r>
        <w:t>[9</w:t>
      </w:r>
      <w:r w:rsidR="00C120B0">
        <w:t>5</w:t>
      </w:r>
      <w:r w:rsidR="0031205C" w:rsidRPr="00247465">
        <w:t>]</w:t>
      </w:r>
      <w:r w:rsidR="0031205C" w:rsidRPr="00247465">
        <w:tab/>
      </w:r>
      <w:r w:rsidR="005646F2">
        <w:t xml:space="preserve">Rule </w:t>
      </w:r>
      <w:r w:rsidR="008065C9">
        <w:t>5.2.2</w:t>
      </w:r>
    </w:p>
    <w:p w:rsidR="0031205C" w:rsidRPr="00247465" w:rsidRDefault="0031205C" w:rsidP="0031205C">
      <w:pPr>
        <w:pStyle w:val="MIRBodyText"/>
        <w:rPr>
          <w:i/>
        </w:rPr>
      </w:pPr>
      <w:r w:rsidRPr="00247465">
        <w:rPr>
          <w:i/>
        </w:rPr>
        <w:t>omit</w:t>
      </w:r>
      <w:r w:rsidR="008065C9">
        <w:rPr>
          <w:i/>
        </w:rPr>
        <w:t xml:space="preserve"> (wherever occurring)</w:t>
      </w:r>
    </w:p>
    <w:p w:rsidR="0031205C" w:rsidRPr="00247465" w:rsidRDefault="008065C9" w:rsidP="0031205C">
      <w:pPr>
        <w:pStyle w:val="MIRBodyText"/>
      </w:pPr>
      <w:r>
        <w:t xml:space="preserve">an </w:t>
      </w:r>
      <w:r w:rsidR="0031205C" w:rsidRPr="00247465">
        <w:t>Equity Market Product</w:t>
      </w:r>
    </w:p>
    <w:p w:rsidR="0031205C" w:rsidRPr="00247465" w:rsidRDefault="0031205C" w:rsidP="0031205C">
      <w:pPr>
        <w:pStyle w:val="MIRBodyText"/>
      </w:pPr>
      <w:r w:rsidRPr="00247465">
        <w:rPr>
          <w:i/>
        </w:rPr>
        <w:t>substitute</w:t>
      </w:r>
    </w:p>
    <w:p w:rsidR="0031205C" w:rsidRPr="00247465" w:rsidRDefault="0042546F" w:rsidP="0031205C">
      <w:pPr>
        <w:pStyle w:val="MIRBodyText"/>
      </w:pPr>
      <w:r>
        <w:t xml:space="preserve">a </w:t>
      </w:r>
      <w:r w:rsidR="0031205C" w:rsidRPr="00247465">
        <w:t>Relevant Product</w:t>
      </w:r>
    </w:p>
    <w:p w:rsidR="000A256A" w:rsidRPr="00247465" w:rsidRDefault="000A256A" w:rsidP="000A256A">
      <w:pPr>
        <w:pStyle w:val="MIRHeading3"/>
      </w:pPr>
      <w:r w:rsidRPr="00247465">
        <w:t>[</w:t>
      </w:r>
      <w:r w:rsidR="001B22D7">
        <w:t>9</w:t>
      </w:r>
      <w:r w:rsidR="00B17766">
        <w:t>6</w:t>
      </w:r>
      <w:r w:rsidRPr="00247465">
        <w:t>]</w:t>
      </w:r>
      <w:r w:rsidRPr="00247465">
        <w:tab/>
      </w:r>
      <w:r w:rsidR="001B22D7">
        <w:t>Paragraph</w:t>
      </w:r>
      <w:r w:rsidRPr="00247465">
        <w:t xml:space="preserve"> </w:t>
      </w:r>
      <w:r w:rsidR="001B22D7">
        <w:t>5A.1.1(1)(a)</w:t>
      </w:r>
    </w:p>
    <w:p w:rsidR="00E55982" w:rsidRPr="00E55982" w:rsidRDefault="00E55982" w:rsidP="000A256A">
      <w:pPr>
        <w:pStyle w:val="MIRBodyText"/>
        <w:rPr>
          <w:i/>
        </w:rPr>
      </w:pPr>
      <w:r w:rsidRPr="00E55982">
        <w:rPr>
          <w:i/>
        </w:rPr>
        <w:t>after “Equity Market Operators”, insert</w:t>
      </w:r>
    </w:p>
    <w:p w:rsidR="000A256A" w:rsidRDefault="00E55982" w:rsidP="000A256A">
      <w:pPr>
        <w:pStyle w:val="MIRBodyText"/>
      </w:pPr>
      <w:r>
        <w:t>and CGS Market Operators</w:t>
      </w:r>
    </w:p>
    <w:p w:rsidR="00242F95" w:rsidRPr="00247465" w:rsidRDefault="00242F95" w:rsidP="00242F95">
      <w:pPr>
        <w:pStyle w:val="MIRHeading3"/>
      </w:pPr>
      <w:r w:rsidRPr="00247465">
        <w:lastRenderedPageBreak/>
        <w:t>[</w:t>
      </w:r>
      <w:r w:rsidR="009F6296" w:rsidRPr="00247465">
        <w:t>9</w:t>
      </w:r>
      <w:r w:rsidR="00B17766">
        <w:t>7</w:t>
      </w:r>
      <w:r w:rsidRPr="00247465">
        <w:t>]</w:t>
      </w:r>
      <w:r w:rsidRPr="00247465">
        <w:tab/>
      </w:r>
      <w:r w:rsidR="00E55982">
        <w:t>Paragraph 5A.1.1(1)(b)</w:t>
      </w:r>
    </w:p>
    <w:p w:rsidR="00E55982" w:rsidRDefault="00E55982" w:rsidP="00242F95">
      <w:pPr>
        <w:pStyle w:val="MIRBodyText"/>
        <w:rPr>
          <w:i/>
        </w:rPr>
      </w:pPr>
      <w:r>
        <w:rPr>
          <w:i/>
        </w:rPr>
        <w:t>after “Equity Market Participants”, insert</w:t>
      </w:r>
    </w:p>
    <w:p w:rsidR="00E55982" w:rsidRDefault="00E55982" w:rsidP="00242F95">
      <w:pPr>
        <w:pStyle w:val="MIRBodyText"/>
      </w:pPr>
      <w:r>
        <w:t>and CGS Market Participants</w:t>
      </w:r>
    </w:p>
    <w:p w:rsidR="001A2A9C" w:rsidRPr="00247465" w:rsidRDefault="001A2A9C" w:rsidP="001A2A9C">
      <w:pPr>
        <w:pStyle w:val="MIRHeading3"/>
      </w:pPr>
      <w:r w:rsidRPr="00247465">
        <w:t>[</w:t>
      </w:r>
      <w:r w:rsidR="009F6296" w:rsidRPr="00247465">
        <w:t>9</w:t>
      </w:r>
      <w:r w:rsidR="00B17766">
        <w:t>8</w:t>
      </w:r>
      <w:r w:rsidRPr="00247465">
        <w:t>]</w:t>
      </w:r>
      <w:r w:rsidRPr="00247465">
        <w:tab/>
        <w:t xml:space="preserve">Subrule </w:t>
      </w:r>
      <w:r w:rsidR="00464AB8">
        <w:t>5A.1.1(2)</w:t>
      </w:r>
    </w:p>
    <w:p w:rsidR="00464AB8" w:rsidRDefault="00464AB8" w:rsidP="001A2A9C">
      <w:pPr>
        <w:pStyle w:val="MIRBodyText"/>
        <w:rPr>
          <w:i/>
        </w:rPr>
      </w:pPr>
      <w:r>
        <w:rPr>
          <w:i/>
        </w:rPr>
        <w:t>omit the subrule, substitute</w:t>
      </w:r>
    </w:p>
    <w:p w:rsidR="00464AB8" w:rsidRDefault="00464AB8" w:rsidP="001A2A9C">
      <w:pPr>
        <w:pStyle w:val="MIRBodyText"/>
        <w:rPr>
          <w:i/>
        </w:rPr>
      </w:pPr>
      <w:r>
        <w:t>(2) This Chapter applies to Orders and Transactions in:</w:t>
      </w:r>
    </w:p>
    <w:p w:rsidR="00464AB8" w:rsidRDefault="00464AB8" w:rsidP="00464AB8">
      <w:pPr>
        <w:pStyle w:val="MIRSubpara"/>
        <w:numPr>
          <w:ilvl w:val="1"/>
          <w:numId w:val="12"/>
        </w:numPr>
      </w:pPr>
      <w:r w:rsidRPr="00247465">
        <w:t>Financial Products admitted to quotation on the ASX Market, other than Futures Market Contracts or Options Market Contracts</w:t>
      </w:r>
      <w:r>
        <w:t>; and</w:t>
      </w:r>
    </w:p>
    <w:p w:rsidR="00464AB8" w:rsidRPr="00247465" w:rsidRDefault="00464AB8" w:rsidP="00464AB8">
      <w:pPr>
        <w:pStyle w:val="MIRSubpara"/>
        <w:numPr>
          <w:ilvl w:val="1"/>
          <w:numId w:val="12"/>
        </w:numPr>
      </w:pPr>
      <w:r>
        <w:t>CGS Depository Interests</w:t>
      </w:r>
      <w:r w:rsidR="002E3547">
        <w:t>.</w:t>
      </w:r>
      <w:r w:rsidRPr="00247465">
        <w:t xml:space="preserve"> </w:t>
      </w:r>
    </w:p>
    <w:p w:rsidR="00C0097D" w:rsidRPr="00247465" w:rsidRDefault="00C0097D" w:rsidP="00C0097D">
      <w:pPr>
        <w:pStyle w:val="MIRHeading3"/>
      </w:pPr>
      <w:r w:rsidRPr="00247465">
        <w:t>[</w:t>
      </w:r>
      <w:r w:rsidR="00824DAD" w:rsidRPr="00247465">
        <w:t>9</w:t>
      </w:r>
      <w:r w:rsidR="00AA2E72">
        <w:t>9</w:t>
      </w:r>
      <w:r w:rsidRPr="00247465">
        <w:t>]</w:t>
      </w:r>
      <w:r w:rsidRPr="00247465">
        <w:tab/>
      </w:r>
      <w:r w:rsidR="00933792">
        <w:t>Subrule 5A.2.2(2)</w:t>
      </w:r>
    </w:p>
    <w:p w:rsidR="00933792" w:rsidRDefault="00933792" w:rsidP="00C0097D">
      <w:pPr>
        <w:pStyle w:val="MIRBodyText"/>
        <w:rPr>
          <w:i/>
        </w:rPr>
      </w:pPr>
      <w:r>
        <w:rPr>
          <w:i/>
        </w:rPr>
        <w:t>before “in accordance with”, insert</w:t>
      </w:r>
    </w:p>
    <w:p w:rsidR="008300D2" w:rsidRPr="00F54790" w:rsidRDefault="00933792" w:rsidP="00F54790">
      <w:pPr>
        <w:pStyle w:val="MIRBodyText"/>
        <w:rPr>
          <w:i/>
        </w:rPr>
      </w:pPr>
      <w:r>
        <w:t>than</w:t>
      </w:r>
      <w:r w:rsidR="008300D2" w:rsidRPr="00247465">
        <w:t xml:space="preserve"> </w:t>
      </w:r>
    </w:p>
    <w:p w:rsidR="00F01867" w:rsidRPr="00247465" w:rsidRDefault="00F01867" w:rsidP="00F01867">
      <w:pPr>
        <w:pStyle w:val="MIRHeading3"/>
      </w:pPr>
      <w:r w:rsidRPr="00247465">
        <w:t>[</w:t>
      </w:r>
      <w:r w:rsidR="00AA2E72">
        <w:t>100</w:t>
      </w:r>
      <w:r w:rsidRPr="00247465">
        <w:t>]</w:t>
      </w:r>
      <w:r w:rsidRPr="00247465">
        <w:tab/>
      </w:r>
      <w:r>
        <w:t>Rule 5A.2.</w:t>
      </w:r>
      <w:r w:rsidR="0010466E">
        <w:t>3</w:t>
      </w:r>
      <w:r>
        <w:t xml:space="preserve"> (table item 2)</w:t>
      </w:r>
    </w:p>
    <w:p w:rsidR="00F01867" w:rsidRDefault="00F01867" w:rsidP="00F01867">
      <w:pPr>
        <w:pStyle w:val="MIRBodyText"/>
        <w:rPr>
          <w:i/>
        </w:rPr>
      </w:pPr>
      <w:r>
        <w:rPr>
          <w:i/>
        </w:rPr>
        <w:t>omit (first occurring)</w:t>
      </w:r>
    </w:p>
    <w:p w:rsidR="00F01867" w:rsidRPr="00F01867" w:rsidRDefault="00F01867" w:rsidP="00F01867">
      <w:pPr>
        <w:pStyle w:val="MIRBodyText"/>
        <w:rPr>
          <w:i/>
        </w:rPr>
      </w:pPr>
      <w:r>
        <w:t>as</w:t>
      </w:r>
    </w:p>
    <w:p w:rsidR="00CC5C5D" w:rsidRPr="00247465" w:rsidRDefault="00CC5C5D" w:rsidP="00CC5C5D">
      <w:pPr>
        <w:pStyle w:val="MIRHeading3"/>
      </w:pPr>
      <w:r w:rsidRPr="00247465">
        <w:t>[</w:t>
      </w:r>
      <w:r w:rsidR="00F27073">
        <w:t>101</w:t>
      </w:r>
      <w:r w:rsidRPr="00247465">
        <w:t>]</w:t>
      </w:r>
      <w:r w:rsidRPr="00247465">
        <w:tab/>
      </w:r>
      <w:r>
        <w:t>Rule 6.1A.1</w:t>
      </w:r>
    </w:p>
    <w:p w:rsidR="00CC5C5D" w:rsidRPr="00C476EA" w:rsidRDefault="00CC5C5D" w:rsidP="00CC5C5D">
      <w:pPr>
        <w:pStyle w:val="MIRBodyText"/>
        <w:rPr>
          <w:i/>
        </w:rPr>
      </w:pPr>
      <w:r>
        <w:rPr>
          <w:i/>
        </w:rPr>
        <w:t>before “This Chapter”, insert</w:t>
      </w:r>
    </w:p>
    <w:p w:rsidR="00CC5C5D" w:rsidRDefault="00CC5C5D" w:rsidP="00CC5C5D">
      <w:pPr>
        <w:pStyle w:val="MIRBodyText"/>
        <w:rPr>
          <w:i/>
        </w:rPr>
      </w:pPr>
      <w:r>
        <w:t>(1)</w:t>
      </w:r>
    </w:p>
    <w:p w:rsidR="00CC5C5D" w:rsidRPr="00247465" w:rsidRDefault="00CC5C5D" w:rsidP="00CC5C5D">
      <w:pPr>
        <w:pStyle w:val="MIRHeading3"/>
      </w:pPr>
      <w:r w:rsidRPr="00247465">
        <w:t>[</w:t>
      </w:r>
      <w:r w:rsidR="006646DA">
        <w:t>10</w:t>
      </w:r>
      <w:r w:rsidR="00AE22BB">
        <w:t>2</w:t>
      </w:r>
      <w:r w:rsidRPr="00247465">
        <w:t>]</w:t>
      </w:r>
      <w:r w:rsidRPr="00247465">
        <w:tab/>
        <w:t xml:space="preserve">Paragraph </w:t>
      </w:r>
      <w:r>
        <w:t>6.1A.1</w:t>
      </w:r>
      <w:r w:rsidRPr="00247465">
        <w:t>(</w:t>
      </w:r>
      <w:r>
        <w:t>a</w:t>
      </w:r>
      <w:r w:rsidRPr="00247465">
        <w:t>)</w:t>
      </w:r>
    </w:p>
    <w:p w:rsidR="00CC5C5D" w:rsidRDefault="00CC5C5D" w:rsidP="00CC5C5D">
      <w:pPr>
        <w:pStyle w:val="MIRBodyText"/>
        <w:rPr>
          <w:i/>
        </w:rPr>
      </w:pPr>
      <w:r>
        <w:rPr>
          <w:i/>
        </w:rPr>
        <w:t>after “Equity Market Operators”, insert</w:t>
      </w:r>
    </w:p>
    <w:p w:rsidR="00CC5C5D" w:rsidRDefault="00CC5C5D" w:rsidP="00CC5C5D">
      <w:pPr>
        <w:pStyle w:val="MIRBodyText"/>
        <w:rPr>
          <w:i/>
        </w:rPr>
      </w:pPr>
      <w:r>
        <w:t>and CGS Market Operators</w:t>
      </w:r>
    </w:p>
    <w:p w:rsidR="00CC5C5D" w:rsidRDefault="00CC5C5D" w:rsidP="00CC5C5D">
      <w:pPr>
        <w:pStyle w:val="MIRHeading3"/>
      </w:pPr>
      <w:r w:rsidRPr="00247465">
        <w:t>[</w:t>
      </w:r>
      <w:r>
        <w:t>10</w:t>
      </w:r>
      <w:r w:rsidR="00AE22BB">
        <w:t>3</w:t>
      </w:r>
      <w:r w:rsidRPr="00247465">
        <w:t>]</w:t>
      </w:r>
      <w:r w:rsidRPr="00247465">
        <w:tab/>
      </w:r>
      <w:r w:rsidRPr="00502DB8">
        <w:t xml:space="preserve">Paragraph </w:t>
      </w:r>
      <w:r>
        <w:t>6</w:t>
      </w:r>
      <w:r w:rsidRPr="00502DB8">
        <w:t>.1A.1(</w:t>
      </w:r>
      <w:r>
        <w:t>b</w:t>
      </w:r>
      <w:r w:rsidRPr="00502DB8">
        <w:t>)</w:t>
      </w:r>
    </w:p>
    <w:p w:rsidR="00CC5C5D" w:rsidRPr="00247465" w:rsidRDefault="00CC5C5D" w:rsidP="00CC5C5D">
      <w:pPr>
        <w:pStyle w:val="MIRBodyText"/>
        <w:rPr>
          <w:i/>
        </w:rPr>
      </w:pPr>
      <w:r w:rsidRPr="00247465">
        <w:rPr>
          <w:i/>
        </w:rPr>
        <w:t>after “</w:t>
      </w:r>
      <w:r>
        <w:rPr>
          <w:i/>
        </w:rPr>
        <w:t>Equity Market Participants</w:t>
      </w:r>
      <w:r w:rsidRPr="00247465">
        <w:t xml:space="preserve">”, </w:t>
      </w:r>
      <w:r w:rsidRPr="00247465">
        <w:rPr>
          <w:i/>
        </w:rPr>
        <w:t>insert</w:t>
      </w:r>
    </w:p>
    <w:p w:rsidR="00CC5C5D" w:rsidRPr="00247465" w:rsidRDefault="00CC5C5D" w:rsidP="00CC5C5D">
      <w:pPr>
        <w:pStyle w:val="MIRBodyText"/>
      </w:pPr>
      <w:r>
        <w:t>and CGS Market Participants</w:t>
      </w:r>
    </w:p>
    <w:p w:rsidR="00CC5C5D" w:rsidRDefault="00CC5C5D" w:rsidP="00CC5C5D">
      <w:pPr>
        <w:pStyle w:val="MIRHeading3"/>
      </w:pPr>
      <w:r w:rsidRPr="00247465">
        <w:t>[</w:t>
      </w:r>
      <w:r>
        <w:t>10</w:t>
      </w:r>
      <w:r w:rsidR="00AE22BB">
        <w:t>4</w:t>
      </w:r>
      <w:r w:rsidRPr="00247465">
        <w:t>]</w:t>
      </w:r>
      <w:r w:rsidRPr="00247465">
        <w:tab/>
      </w:r>
      <w:r w:rsidRPr="00502DB8">
        <w:t xml:space="preserve">Paragraph </w:t>
      </w:r>
      <w:r>
        <w:t>6</w:t>
      </w:r>
      <w:r w:rsidRPr="00502DB8">
        <w:t>.1A.1(</w:t>
      </w:r>
      <w:r>
        <w:t>c</w:t>
      </w:r>
      <w:r w:rsidRPr="00502DB8">
        <w:t>)</w:t>
      </w:r>
    </w:p>
    <w:p w:rsidR="00CC5C5D" w:rsidRPr="00247465" w:rsidRDefault="00CC5C5D" w:rsidP="00CC5C5D">
      <w:pPr>
        <w:pStyle w:val="MIRBodyText"/>
        <w:rPr>
          <w:i/>
        </w:rPr>
      </w:pPr>
      <w:r w:rsidRPr="00247465">
        <w:rPr>
          <w:i/>
        </w:rPr>
        <w:t>after “</w:t>
      </w:r>
      <w:r>
        <w:rPr>
          <w:i/>
        </w:rPr>
        <w:t>Equity Market Products</w:t>
      </w:r>
      <w:r w:rsidRPr="00247465">
        <w:t xml:space="preserve">”, </w:t>
      </w:r>
      <w:r w:rsidRPr="00247465">
        <w:rPr>
          <w:i/>
        </w:rPr>
        <w:t>insert</w:t>
      </w:r>
    </w:p>
    <w:p w:rsidR="00CC5C5D" w:rsidRPr="00247465" w:rsidRDefault="00CC5C5D" w:rsidP="00CC5C5D">
      <w:pPr>
        <w:pStyle w:val="MIRBodyText"/>
      </w:pPr>
      <w:r>
        <w:lastRenderedPageBreak/>
        <w:t>and CGS Depository Interests</w:t>
      </w:r>
    </w:p>
    <w:p w:rsidR="00CC5C5D" w:rsidRPr="00247465" w:rsidRDefault="00CC5C5D" w:rsidP="00CC5C5D">
      <w:pPr>
        <w:pStyle w:val="MIRHeading3"/>
      </w:pPr>
      <w:r>
        <w:t>[10</w:t>
      </w:r>
      <w:r w:rsidR="00AE22BB">
        <w:t>5</w:t>
      </w:r>
      <w:r w:rsidRPr="00247465">
        <w:t>]</w:t>
      </w:r>
      <w:r w:rsidRPr="00247465">
        <w:tab/>
      </w:r>
      <w:r>
        <w:t>At the end of Rule 6.1A.1</w:t>
      </w:r>
    </w:p>
    <w:p w:rsidR="00CC5C5D" w:rsidRPr="00DA0020" w:rsidRDefault="00CC5C5D" w:rsidP="00CC5C5D">
      <w:pPr>
        <w:pStyle w:val="MIRBodyText"/>
      </w:pPr>
      <w:r>
        <w:rPr>
          <w:i/>
        </w:rPr>
        <w:t>add</w:t>
      </w:r>
      <w:r w:rsidR="00FB6463">
        <w:rPr>
          <w:i/>
        </w:rPr>
        <w:t xml:space="preserve"> (before the note)</w:t>
      </w:r>
    </w:p>
    <w:p w:rsidR="00CC5C5D" w:rsidRDefault="00CC5C5D" w:rsidP="00CC5C5D">
      <w:pPr>
        <w:pStyle w:val="MIRBodyText"/>
      </w:pPr>
      <w:r w:rsidRPr="00DA0020">
        <w:t xml:space="preserve">(2) In this Chapter, </w:t>
      </w:r>
      <w:r w:rsidRPr="00DA0020">
        <w:rPr>
          <w:b/>
          <w:bCs/>
          <w:i/>
          <w:iCs/>
        </w:rPr>
        <w:t xml:space="preserve">Relevant Products </w:t>
      </w:r>
      <w:r w:rsidRPr="00DA0020">
        <w:t xml:space="preserve">means Equity Market Products and CGS Depository Interests. </w:t>
      </w:r>
    </w:p>
    <w:p w:rsidR="00FB6463" w:rsidRPr="00FB6463" w:rsidRDefault="00FB6463" w:rsidP="00FB6463">
      <w:pPr>
        <w:tabs>
          <w:tab w:val="left" w:pos="851"/>
        </w:tabs>
        <w:spacing w:before="200" w:after="0" w:line="300" w:lineRule="atLeast"/>
        <w:ind w:left="851"/>
        <w:rPr>
          <w:rFonts w:eastAsia="Calibri"/>
          <w:noProof/>
          <w:szCs w:val="22"/>
        </w:rPr>
      </w:pPr>
      <w:r w:rsidRPr="00FB6463">
        <w:rPr>
          <w:rFonts w:eastAsia="Calibri"/>
          <w:noProof/>
          <w:szCs w:val="22"/>
        </w:rPr>
        <w:t xml:space="preserve">(3) In this Chapter, </w:t>
      </w:r>
      <w:r w:rsidRPr="00FB6463">
        <w:rPr>
          <w:rFonts w:eastAsia="Calibri"/>
          <w:b/>
          <w:i/>
          <w:noProof/>
          <w:szCs w:val="22"/>
        </w:rPr>
        <w:t>other Market Operator</w:t>
      </w:r>
      <w:r w:rsidRPr="00FB6463">
        <w:rPr>
          <w:rFonts w:eastAsia="Calibri"/>
          <w:noProof/>
          <w:szCs w:val="22"/>
        </w:rPr>
        <w:t xml:space="preserve"> means:</w:t>
      </w:r>
    </w:p>
    <w:p w:rsidR="00FB6463" w:rsidRPr="00FB6463" w:rsidRDefault="00FB6463" w:rsidP="00FB6463">
      <w:pPr>
        <w:pStyle w:val="MIRSubpara"/>
        <w:numPr>
          <w:ilvl w:val="0"/>
          <w:numId w:val="30"/>
        </w:numPr>
        <w:rPr>
          <w:rFonts w:eastAsia="Calibri"/>
        </w:rPr>
      </w:pPr>
      <w:r w:rsidRPr="00FB6463">
        <w:rPr>
          <w:rFonts w:eastAsia="Calibri"/>
        </w:rPr>
        <w:t>in relation to an Equity Market Operator, each other Equity Market Operator;</w:t>
      </w:r>
    </w:p>
    <w:p w:rsidR="00FB6463" w:rsidRPr="00FB6463" w:rsidRDefault="00FB6463" w:rsidP="00FB6463">
      <w:pPr>
        <w:pStyle w:val="MIRSubpara"/>
        <w:rPr>
          <w:rFonts w:eastAsia="Calibri"/>
        </w:rPr>
      </w:pPr>
      <w:r w:rsidRPr="00FB6463">
        <w:rPr>
          <w:rFonts w:eastAsia="Calibri"/>
        </w:rPr>
        <w:t>in relation to a CGS Market Operator, each other CGS Market Operator;</w:t>
      </w:r>
    </w:p>
    <w:p w:rsidR="00FB6463" w:rsidRPr="00DA0020" w:rsidRDefault="00FB6463" w:rsidP="00CC5C5D">
      <w:pPr>
        <w:pStyle w:val="MIRSubpara"/>
      </w:pPr>
      <w:r w:rsidRPr="00FB6463">
        <w:rPr>
          <w:rFonts w:eastAsia="Calibri"/>
        </w:rPr>
        <w:t>in relation to a Relevant Product, the Market Operator of each other Market on which the Relevant Product is quoted.</w:t>
      </w:r>
    </w:p>
    <w:p w:rsidR="008300D2" w:rsidRPr="00247465" w:rsidRDefault="008300D2" w:rsidP="00F01867">
      <w:pPr>
        <w:pStyle w:val="MIRHeading3"/>
      </w:pPr>
      <w:r w:rsidRPr="00247465">
        <w:t>[</w:t>
      </w:r>
      <w:r w:rsidR="00701B47">
        <w:t>10</w:t>
      </w:r>
      <w:r w:rsidR="0054544E">
        <w:t>6</w:t>
      </w:r>
      <w:r w:rsidRPr="00247465">
        <w:t>]</w:t>
      </w:r>
      <w:r w:rsidRPr="00247465">
        <w:tab/>
      </w:r>
      <w:r w:rsidR="00701B47">
        <w:t>Subrule 6.1.1(1)</w:t>
      </w:r>
    </w:p>
    <w:p w:rsidR="00701B47" w:rsidRDefault="00701B47" w:rsidP="008300D2">
      <w:pPr>
        <w:pStyle w:val="MIRBodyText"/>
        <w:rPr>
          <w:i/>
        </w:rPr>
      </w:pPr>
      <w:r>
        <w:rPr>
          <w:i/>
        </w:rPr>
        <w:t>omit</w:t>
      </w:r>
    </w:p>
    <w:p w:rsidR="00701B47" w:rsidRPr="00701B47" w:rsidRDefault="00701B47" w:rsidP="008300D2">
      <w:pPr>
        <w:pStyle w:val="MIRBodyText"/>
        <w:rPr>
          <w:i/>
        </w:rPr>
      </w:pPr>
      <w:r>
        <w:t>subrule (2)</w:t>
      </w:r>
    </w:p>
    <w:p w:rsidR="00701B47" w:rsidRDefault="00701B47" w:rsidP="008300D2">
      <w:pPr>
        <w:pStyle w:val="MIRBodyText"/>
        <w:rPr>
          <w:i/>
        </w:rPr>
      </w:pPr>
      <w:r>
        <w:rPr>
          <w:i/>
        </w:rPr>
        <w:t>substitute</w:t>
      </w:r>
    </w:p>
    <w:p w:rsidR="00701B47" w:rsidRPr="00701B47" w:rsidRDefault="00701B47" w:rsidP="008300D2">
      <w:pPr>
        <w:pStyle w:val="MIRBodyText"/>
        <w:rPr>
          <w:i/>
        </w:rPr>
      </w:pPr>
      <w:r>
        <w:t>subrules (2) and (3)</w:t>
      </w:r>
    </w:p>
    <w:p w:rsidR="00B43571" w:rsidRPr="00247465" w:rsidRDefault="00B43571" w:rsidP="00B43571">
      <w:pPr>
        <w:pStyle w:val="MIRHeading3"/>
      </w:pPr>
      <w:r w:rsidRPr="00247465">
        <w:t>[</w:t>
      </w:r>
      <w:r>
        <w:t>107]</w:t>
      </w:r>
      <w:r>
        <w:tab/>
        <w:t>Subrule 6.1.1(1)</w:t>
      </w:r>
    </w:p>
    <w:p w:rsidR="00B43571" w:rsidRPr="00247465" w:rsidRDefault="00B43571" w:rsidP="00B43571">
      <w:pPr>
        <w:pStyle w:val="MIRBodyText"/>
        <w:rPr>
          <w:i/>
        </w:rPr>
      </w:pPr>
      <w:r w:rsidRPr="00247465">
        <w:rPr>
          <w:i/>
        </w:rPr>
        <w:t>omit</w:t>
      </w:r>
    </w:p>
    <w:p w:rsidR="00B43571" w:rsidRPr="00701B47" w:rsidRDefault="00B43571" w:rsidP="00B43571">
      <w:pPr>
        <w:pStyle w:val="MIRBodyText"/>
      </w:pPr>
      <w:r>
        <w:t>(</w:t>
      </w:r>
      <w:r>
        <w:rPr>
          <w:b/>
          <w:i/>
        </w:rPr>
        <w:t>other Market</w:t>
      </w:r>
      <w:r w:rsidRPr="00B43571">
        <w:rPr>
          <w:b/>
          <w:i/>
        </w:rPr>
        <w:t xml:space="preserve"> Operator</w:t>
      </w:r>
      <w:r>
        <w:t>)</w:t>
      </w:r>
    </w:p>
    <w:p w:rsidR="00C7520B" w:rsidRPr="00247465" w:rsidRDefault="00C7520B" w:rsidP="00B43571">
      <w:pPr>
        <w:pStyle w:val="MIRHeading3"/>
      </w:pPr>
      <w:r w:rsidRPr="00247465">
        <w:t>[</w:t>
      </w:r>
      <w:r w:rsidR="00701B47">
        <w:t>10</w:t>
      </w:r>
      <w:r w:rsidR="003270F3">
        <w:t>8</w:t>
      </w:r>
      <w:r w:rsidR="00701B47">
        <w:t>]</w:t>
      </w:r>
      <w:r w:rsidR="00701B47">
        <w:tab/>
        <w:t>Paragraphs 6.1.1(1)(a) and (b)</w:t>
      </w:r>
    </w:p>
    <w:p w:rsidR="00C7520B" w:rsidRPr="00247465" w:rsidRDefault="00C7520B" w:rsidP="00C7520B">
      <w:pPr>
        <w:pStyle w:val="MIRBodyText"/>
        <w:rPr>
          <w:i/>
        </w:rPr>
      </w:pPr>
      <w:r w:rsidRPr="00247465">
        <w:rPr>
          <w:i/>
        </w:rPr>
        <w:t>omit</w:t>
      </w:r>
      <w:r w:rsidR="00701B47">
        <w:rPr>
          <w:i/>
        </w:rPr>
        <w:t xml:space="preserve"> (wherever occurring)</w:t>
      </w:r>
    </w:p>
    <w:p w:rsidR="00701B47" w:rsidRPr="00701B47" w:rsidRDefault="00701B47" w:rsidP="00C7520B">
      <w:pPr>
        <w:pStyle w:val="MIRBodyText"/>
      </w:pPr>
      <w:r w:rsidRPr="00701B47">
        <w:t>an</w:t>
      </w:r>
      <w:r>
        <w:t xml:space="preserve"> Equity Market Product</w:t>
      </w:r>
    </w:p>
    <w:p w:rsidR="00C7520B" w:rsidRPr="00247465" w:rsidRDefault="00C7520B" w:rsidP="00C7520B">
      <w:pPr>
        <w:pStyle w:val="MIRBodyText"/>
        <w:rPr>
          <w:i/>
        </w:rPr>
      </w:pPr>
      <w:r w:rsidRPr="00247465">
        <w:rPr>
          <w:i/>
        </w:rPr>
        <w:t>substitute</w:t>
      </w:r>
    </w:p>
    <w:p w:rsidR="00C7520B" w:rsidRPr="00247465" w:rsidRDefault="00701B47" w:rsidP="00C7520B">
      <w:pPr>
        <w:pStyle w:val="MIRBodyText"/>
        <w:rPr>
          <w:i/>
        </w:rPr>
      </w:pPr>
      <w:r>
        <w:t>a Relevant Product</w:t>
      </w:r>
    </w:p>
    <w:p w:rsidR="00C7520B" w:rsidRPr="00247465" w:rsidRDefault="00C7520B" w:rsidP="00C7520B">
      <w:pPr>
        <w:pStyle w:val="MIRHeading3"/>
      </w:pPr>
      <w:r w:rsidRPr="00247465">
        <w:t>[</w:t>
      </w:r>
      <w:r w:rsidR="00254A90">
        <w:t>10</w:t>
      </w:r>
      <w:r w:rsidR="003270F3">
        <w:t>9</w:t>
      </w:r>
      <w:r w:rsidRPr="00247465">
        <w:t>]</w:t>
      </w:r>
      <w:r w:rsidRPr="00247465">
        <w:tab/>
      </w:r>
      <w:r w:rsidR="00254A90">
        <w:t>After subrule 6.1.1(2)</w:t>
      </w:r>
    </w:p>
    <w:p w:rsidR="00254A90" w:rsidRDefault="00254A90" w:rsidP="00254A90">
      <w:pPr>
        <w:pStyle w:val="MIRBodyText"/>
        <w:rPr>
          <w:i/>
        </w:rPr>
      </w:pPr>
      <w:r>
        <w:rPr>
          <w:i/>
        </w:rPr>
        <w:t>insert</w:t>
      </w:r>
    </w:p>
    <w:p w:rsidR="00254A90" w:rsidRPr="00254A90" w:rsidRDefault="00254A90" w:rsidP="00254A90">
      <w:pPr>
        <w:pStyle w:val="MIRBodyText"/>
      </w:pPr>
      <w:r w:rsidRPr="00254A90">
        <w:t xml:space="preserve">(3) The first Market Operator is not required to comply with subrule (1) if the first Market Operator has placed the Relevant Product into a Trading Suspension, or lifted or removed the </w:t>
      </w:r>
      <w:r w:rsidRPr="00254A90">
        <w:lastRenderedPageBreak/>
        <w:t xml:space="preserve">Trading Suspension, as a result of a notification </w:t>
      </w:r>
      <w:r w:rsidR="00A151F0">
        <w:t xml:space="preserve">from </w:t>
      </w:r>
      <w:r w:rsidRPr="00254A90">
        <w:t>a Market Operator under paragraphs</w:t>
      </w:r>
      <w:r w:rsidR="009D6F3F">
        <w:t> </w:t>
      </w:r>
      <w:r w:rsidRPr="00254A90">
        <w:t>(1)(a) or (b).</w:t>
      </w:r>
    </w:p>
    <w:p w:rsidR="00BB732A" w:rsidRPr="00247465" w:rsidRDefault="00BB732A" w:rsidP="00C7520B">
      <w:pPr>
        <w:pStyle w:val="MIRHeading3"/>
      </w:pPr>
      <w:r w:rsidRPr="00247465">
        <w:t>[</w:t>
      </w:r>
      <w:r w:rsidR="0040660D">
        <w:t>1</w:t>
      </w:r>
      <w:r w:rsidR="003270F3">
        <w:t>10</w:t>
      </w:r>
      <w:r w:rsidRPr="00247465">
        <w:t>]</w:t>
      </w:r>
      <w:r w:rsidRPr="00247465">
        <w:tab/>
      </w:r>
      <w:r w:rsidR="0040660D">
        <w:t>Rule 6.1.2 (heading)</w:t>
      </w:r>
    </w:p>
    <w:p w:rsidR="00BB732A" w:rsidRPr="00247465" w:rsidRDefault="00712B3C" w:rsidP="00BB732A">
      <w:pPr>
        <w:pStyle w:val="MIRBodyText"/>
        <w:rPr>
          <w:i/>
        </w:rPr>
      </w:pPr>
      <w:r w:rsidRPr="00247465">
        <w:rPr>
          <w:i/>
        </w:rPr>
        <w:t>omit</w:t>
      </w:r>
      <w:r w:rsidR="00BB732A" w:rsidRPr="00247465">
        <w:rPr>
          <w:i/>
        </w:rPr>
        <w:t xml:space="preserve"> </w:t>
      </w:r>
    </w:p>
    <w:p w:rsidR="0040660D" w:rsidRPr="0040660D" w:rsidRDefault="0040660D" w:rsidP="00BB732A">
      <w:pPr>
        <w:pStyle w:val="MIRBodyText"/>
      </w:pPr>
      <w:r w:rsidRPr="0040660D">
        <w:t>Equity Market Products</w:t>
      </w:r>
    </w:p>
    <w:p w:rsidR="00BB732A" w:rsidRPr="00247465" w:rsidRDefault="00824DAD" w:rsidP="00BB732A">
      <w:pPr>
        <w:pStyle w:val="MIRBodyText"/>
        <w:rPr>
          <w:i/>
        </w:rPr>
      </w:pPr>
      <w:r w:rsidRPr="00247465">
        <w:rPr>
          <w:i/>
        </w:rPr>
        <w:t>substitute</w:t>
      </w:r>
    </w:p>
    <w:p w:rsidR="00BB732A" w:rsidRPr="00247465" w:rsidRDefault="0040660D" w:rsidP="00BB732A">
      <w:pPr>
        <w:pStyle w:val="MIRBodyText"/>
      </w:pPr>
      <w:r>
        <w:t>Relevant Products</w:t>
      </w:r>
    </w:p>
    <w:p w:rsidR="00E3638F" w:rsidRPr="00247465" w:rsidRDefault="00E3638F" w:rsidP="00E3638F">
      <w:pPr>
        <w:pStyle w:val="MIRHeading3"/>
      </w:pPr>
      <w:r w:rsidRPr="00247465">
        <w:t>[</w:t>
      </w:r>
      <w:r>
        <w:t>1</w:t>
      </w:r>
      <w:r w:rsidR="0054544E">
        <w:t>1</w:t>
      </w:r>
      <w:r w:rsidR="003270F3">
        <w:t>1</w:t>
      </w:r>
      <w:r w:rsidRPr="00247465">
        <w:t>]</w:t>
      </w:r>
      <w:r w:rsidRPr="00247465">
        <w:tab/>
      </w:r>
      <w:r>
        <w:t>Subrule 6.1.2(1)</w:t>
      </w:r>
    </w:p>
    <w:p w:rsidR="00E3638F" w:rsidRPr="00247465" w:rsidRDefault="00E3638F" w:rsidP="00E3638F">
      <w:pPr>
        <w:pStyle w:val="MIRBodyText"/>
        <w:rPr>
          <w:i/>
        </w:rPr>
      </w:pPr>
      <w:r w:rsidRPr="00247465">
        <w:rPr>
          <w:i/>
        </w:rPr>
        <w:t xml:space="preserve">omit </w:t>
      </w:r>
    </w:p>
    <w:p w:rsidR="00E3638F" w:rsidRPr="0040660D" w:rsidRDefault="00E3638F" w:rsidP="00E3638F">
      <w:pPr>
        <w:pStyle w:val="MIRBodyText"/>
      </w:pPr>
      <w:r w:rsidRPr="0040660D">
        <w:t>Equity Market Product</w:t>
      </w:r>
    </w:p>
    <w:p w:rsidR="00E3638F" w:rsidRPr="00247465" w:rsidRDefault="00E3638F" w:rsidP="00E3638F">
      <w:pPr>
        <w:pStyle w:val="MIRBodyText"/>
        <w:rPr>
          <w:i/>
        </w:rPr>
      </w:pPr>
      <w:r w:rsidRPr="00247465">
        <w:rPr>
          <w:i/>
        </w:rPr>
        <w:t>substitute</w:t>
      </w:r>
    </w:p>
    <w:p w:rsidR="00E3638F" w:rsidRPr="00247465" w:rsidRDefault="00E3638F" w:rsidP="00E3638F">
      <w:pPr>
        <w:pStyle w:val="MIRBodyText"/>
      </w:pPr>
      <w:r>
        <w:t>Relevant Product</w:t>
      </w:r>
    </w:p>
    <w:p w:rsidR="00962CD2" w:rsidRPr="00247465" w:rsidRDefault="00962CD2" w:rsidP="00962CD2">
      <w:pPr>
        <w:pStyle w:val="MIRHeading3"/>
      </w:pPr>
      <w:r w:rsidRPr="00247465">
        <w:t>[</w:t>
      </w:r>
      <w:r>
        <w:t>1</w:t>
      </w:r>
      <w:r w:rsidR="003270F3">
        <w:t>12</w:t>
      </w:r>
      <w:r w:rsidRPr="00247465">
        <w:t>]</w:t>
      </w:r>
      <w:r w:rsidRPr="00247465">
        <w:tab/>
      </w:r>
      <w:r>
        <w:t>Subrule 6.1.2(2)</w:t>
      </w:r>
    </w:p>
    <w:p w:rsidR="00962CD2" w:rsidRPr="00247465" w:rsidRDefault="00962CD2" w:rsidP="00962CD2">
      <w:pPr>
        <w:pStyle w:val="MIRBodyText"/>
        <w:rPr>
          <w:i/>
        </w:rPr>
      </w:pPr>
      <w:r w:rsidRPr="00247465">
        <w:rPr>
          <w:i/>
        </w:rPr>
        <w:t xml:space="preserve">omit </w:t>
      </w:r>
    </w:p>
    <w:p w:rsidR="00962CD2" w:rsidRPr="0040660D" w:rsidRDefault="00962CD2" w:rsidP="00962CD2">
      <w:pPr>
        <w:pStyle w:val="MIRBodyText"/>
      </w:pPr>
      <w:r>
        <w:t xml:space="preserve">an </w:t>
      </w:r>
      <w:r w:rsidRPr="0040660D">
        <w:t>Equity Market Product</w:t>
      </w:r>
    </w:p>
    <w:p w:rsidR="00962CD2" w:rsidRPr="00247465" w:rsidRDefault="00962CD2" w:rsidP="00962CD2">
      <w:pPr>
        <w:pStyle w:val="MIRBodyText"/>
        <w:rPr>
          <w:i/>
        </w:rPr>
      </w:pPr>
      <w:r w:rsidRPr="00247465">
        <w:rPr>
          <w:i/>
        </w:rPr>
        <w:t>substitute</w:t>
      </w:r>
    </w:p>
    <w:p w:rsidR="00962CD2" w:rsidRPr="00247465" w:rsidRDefault="00962CD2" w:rsidP="00962CD2">
      <w:pPr>
        <w:pStyle w:val="MIRBodyText"/>
      </w:pPr>
      <w:r>
        <w:t>a Relevant Product</w:t>
      </w:r>
    </w:p>
    <w:p w:rsidR="00962CD2" w:rsidRPr="00247465" w:rsidRDefault="00962CD2" w:rsidP="00962CD2">
      <w:pPr>
        <w:pStyle w:val="MIRHeading3"/>
      </w:pPr>
      <w:r w:rsidRPr="00247465">
        <w:t>[</w:t>
      </w:r>
      <w:r>
        <w:t>1</w:t>
      </w:r>
      <w:r w:rsidR="00076119">
        <w:t>1</w:t>
      </w:r>
      <w:r w:rsidR="003270F3">
        <w:t>3</w:t>
      </w:r>
      <w:r w:rsidRPr="00247465">
        <w:t>]</w:t>
      </w:r>
      <w:r w:rsidRPr="00247465">
        <w:tab/>
      </w:r>
      <w:r>
        <w:t>Subrule 6.1.2(</w:t>
      </w:r>
      <w:r w:rsidR="00783BB0">
        <w:t>2</w:t>
      </w:r>
      <w:r>
        <w:t>)</w:t>
      </w:r>
    </w:p>
    <w:p w:rsidR="00962CD2" w:rsidRPr="00247465" w:rsidRDefault="00962CD2" w:rsidP="00962CD2">
      <w:pPr>
        <w:pStyle w:val="MIRBodyText"/>
        <w:rPr>
          <w:i/>
        </w:rPr>
      </w:pPr>
      <w:r w:rsidRPr="00247465">
        <w:rPr>
          <w:i/>
        </w:rPr>
        <w:t xml:space="preserve">omit </w:t>
      </w:r>
    </w:p>
    <w:p w:rsidR="00962CD2" w:rsidRPr="0040660D" w:rsidRDefault="006F4E6E" w:rsidP="00962CD2">
      <w:pPr>
        <w:pStyle w:val="MIRBodyText"/>
      </w:pPr>
      <w:r>
        <w:t xml:space="preserve">same </w:t>
      </w:r>
      <w:r w:rsidR="00962CD2" w:rsidRPr="0040660D">
        <w:t>Equity Market Product</w:t>
      </w:r>
    </w:p>
    <w:p w:rsidR="00962CD2" w:rsidRPr="00247465" w:rsidRDefault="00962CD2" w:rsidP="00962CD2">
      <w:pPr>
        <w:pStyle w:val="MIRBodyText"/>
        <w:rPr>
          <w:i/>
        </w:rPr>
      </w:pPr>
      <w:r w:rsidRPr="00247465">
        <w:rPr>
          <w:i/>
        </w:rPr>
        <w:t>substitute</w:t>
      </w:r>
    </w:p>
    <w:p w:rsidR="00962CD2" w:rsidRPr="00247465" w:rsidRDefault="006F4E6E" w:rsidP="00962CD2">
      <w:pPr>
        <w:pStyle w:val="MIRBodyText"/>
      </w:pPr>
      <w:r>
        <w:t xml:space="preserve">same </w:t>
      </w:r>
      <w:r w:rsidR="00962CD2">
        <w:t>Relevant Product</w:t>
      </w:r>
    </w:p>
    <w:p w:rsidR="003270F3" w:rsidRPr="00247465" w:rsidRDefault="003270F3" w:rsidP="003270F3">
      <w:pPr>
        <w:pStyle w:val="MIRHeading3"/>
      </w:pPr>
      <w:r w:rsidRPr="00247465">
        <w:t>[</w:t>
      </w:r>
      <w:r>
        <w:t>114]</w:t>
      </w:r>
      <w:r>
        <w:tab/>
        <w:t>Subrule 6.</w:t>
      </w:r>
      <w:r w:rsidR="00492F9C">
        <w:t>2</w:t>
      </w:r>
      <w:r>
        <w:t>.1(1)</w:t>
      </w:r>
    </w:p>
    <w:p w:rsidR="003270F3" w:rsidRPr="00247465" w:rsidRDefault="003270F3" w:rsidP="003270F3">
      <w:pPr>
        <w:pStyle w:val="MIRBodyText"/>
        <w:rPr>
          <w:i/>
        </w:rPr>
      </w:pPr>
      <w:r w:rsidRPr="00247465">
        <w:rPr>
          <w:i/>
        </w:rPr>
        <w:t>omit</w:t>
      </w:r>
    </w:p>
    <w:p w:rsidR="003270F3" w:rsidRPr="00701B47" w:rsidRDefault="003270F3" w:rsidP="003270F3">
      <w:pPr>
        <w:pStyle w:val="MIRBodyText"/>
      </w:pPr>
      <w:r>
        <w:t>(</w:t>
      </w:r>
      <w:r>
        <w:rPr>
          <w:b/>
          <w:i/>
        </w:rPr>
        <w:t>other Market</w:t>
      </w:r>
      <w:r w:rsidRPr="00B43571">
        <w:rPr>
          <w:b/>
          <w:i/>
        </w:rPr>
        <w:t xml:space="preserve"> Operator</w:t>
      </w:r>
      <w:r>
        <w:t>)</w:t>
      </w:r>
    </w:p>
    <w:p w:rsidR="00DF1A62" w:rsidRPr="00247465" w:rsidRDefault="00DF1A62" w:rsidP="003270F3">
      <w:pPr>
        <w:pStyle w:val="MIRHeading3"/>
      </w:pPr>
      <w:r w:rsidRPr="00247465">
        <w:lastRenderedPageBreak/>
        <w:t>[</w:t>
      </w:r>
      <w:r>
        <w:t>11</w:t>
      </w:r>
      <w:r w:rsidR="003270F3">
        <w:t>5</w:t>
      </w:r>
      <w:r w:rsidRPr="00247465">
        <w:t>]</w:t>
      </w:r>
      <w:r w:rsidRPr="00247465">
        <w:tab/>
      </w:r>
      <w:r>
        <w:t>Paragraph 6.2.1(1)(e)</w:t>
      </w:r>
    </w:p>
    <w:p w:rsidR="00DF1A62" w:rsidRPr="00247465" w:rsidRDefault="00DF1A62" w:rsidP="00DF1A62">
      <w:pPr>
        <w:pStyle w:val="MIRBodyText"/>
        <w:rPr>
          <w:i/>
        </w:rPr>
      </w:pPr>
      <w:r w:rsidRPr="00247465">
        <w:rPr>
          <w:i/>
        </w:rPr>
        <w:t xml:space="preserve">omit </w:t>
      </w:r>
    </w:p>
    <w:p w:rsidR="00DF1A62" w:rsidRPr="0040660D" w:rsidRDefault="00DF1A62" w:rsidP="00DF1A62">
      <w:pPr>
        <w:pStyle w:val="MIRBodyText"/>
      </w:pPr>
      <w:r w:rsidRPr="0040660D">
        <w:t>Equity Market Product</w:t>
      </w:r>
    </w:p>
    <w:p w:rsidR="00DF1A62" w:rsidRPr="00247465" w:rsidRDefault="00DF1A62" w:rsidP="00DF1A62">
      <w:pPr>
        <w:pStyle w:val="MIRBodyText"/>
        <w:rPr>
          <w:i/>
        </w:rPr>
      </w:pPr>
      <w:r w:rsidRPr="00247465">
        <w:rPr>
          <w:i/>
        </w:rPr>
        <w:t>substitute</w:t>
      </w:r>
    </w:p>
    <w:p w:rsidR="00DF1A62" w:rsidRPr="00247465" w:rsidRDefault="00DF1A62" w:rsidP="00DF1A62">
      <w:pPr>
        <w:pStyle w:val="MIRBodyText"/>
      </w:pPr>
      <w:r>
        <w:t>Relevant Product</w:t>
      </w:r>
    </w:p>
    <w:p w:rsidR="00CB3B67" w:rsidRPr="00247465" w:rsidRDefault="00CB3B67" w:rsidP="00E3638F">
      <w:pPr>
        <w:pStyle w:val="MIRHeading3"/>
      </w:pPr>
      <w:r w:rsidRPr="00247465">
        <w:t>[</w:t>
      </w:r>
      <w:r w:rsidR="00492C61">
        <w:t>11</w:t>
      </w:r>
      <w:r w:rsidR="003270F3">
        <w:t>6</w:t>
      </w:r>
      <w:r w:rsidR="00492C61">
        <w:t>]</w:t>
      </w:r>
      <w:r w:rsidR="00492C61">
        <w:tab/>
      </w:r>
      <w:r w:rsidR="00670C5E">
        <w:t>Subrule 6.2.1(3)</w:t>
      </w:r>
    </w:p>
    <w:p w:rsidR="00CB3B67" w:rsidRPr="00247465" w:rsidRDefault="00CB3B67" w:rsidP="00CB3B67">
      <w:pPr>
        <w:pStyle w:val="MIRBodyText"/>
        <w:rPr>
          <w:i/>
        </w:rPr>
      </w:pPr>
      <w:r w:rsidRPr="00247465">
        <w:rPr>
          <w:i/>
        </w:rPr>
        <w:t xml:space="preserve">omit </w:t>
      </w:r>
      <w:r w:rsidR="002957FC">
        <w:rPr>
          <w:i/>
        </w:rPr>
        <w:t>(wherever occurring)</w:t>
      </w:r>
    </w:p>
    <w:p w:rsidR="00492C61" w:rsidRPr="00492C61" w:rsidRDefault="00492C61" w:rsidP="00CB3B67">
      <w:pPr>
        <w:pStyle w:val="MIRBodyText"/>
        <w:rPr>
          <w:i/>
        </w:rPr>
      </w:pPr>
      <w:r>
        <w:t>an Equity Market Product</w:t>
      </w:r>
    </w:p>
    <w:p w:rsidR="00CB3B67" w:rsidRPr="00247465" w:rsidRDefault="005234FE" w:rsidP="00CB3B67">
      <w:pPr>
        <w:pStyle w:val="MIRBodyText"/>
        <w:rPr>
          <w:i/>
        </w:rPr>
      </w:pPr>
      <w:r w:rsidRPr="00247465">
        <w:rPr>
          <w:i/>
        </w:rPr>
        <w:t>substitute</w:t>
      </w:r>
    </w:p>
    <w:p w:rsidR="00CB3B67" w:rsidRPr="00247465" w:rsidRDefault="00492C61" w:rsidP="00BB732A">
      <w:pPr>
        <w:pStyle w:val="MIRBodyText"/>
      </w:pPr>
      <w:r>
        <w:t>a Relevant Product</w:t>
      </w:r>
    </w:p>
    <w:p w:rsidR="00C507DF" w:rsidRPr="00247465" w:rsidRDefault="00AF0FB2" w:rsidP="00C507DF">
      <w:pPr>
        <w:pStyle w:val="MIRHeading3"/>
      </w:pPr>
      <w:r w:rsidRPr="00247465">
        <w:t>[</w:t>
      </w:r>
      <w:r w:rsidR="005044CA">
        <w:t>11</w:t>
      </w:r>
      <w:r w:rsidR="003270F3">
        <w:t>7</w:t>
      </w:r>
      <w:r w:rsidR="00C507DF" w:rsidRPr="00247465">
        <w:t>]</w:t>
      </w:r>
      <w:r w:rsidR="00C507DF" w:rsidRPr="00247465">
        <w:tab/>
      </w:r>
      <w:r w:rsidR="007B2832">
        <w:t>Subrule 6.2.1(4)</w:t>
      </w:r>
    </w:p>
    <w:p w:rsidR="007B2832" w:rsidRDefault="007B2832" w:rsidP="00C507DF">
      <w:pPr>
        <w:pStyle w:val="MIRBodyText"/>
        <w:rPr>
          <w:i/>
        </w:rPr>
      </w:pPr>
      <w:r>
        <w:rPr>
          <w:i/>
        </w:rPr>
        <w:t>omit</w:t>
      </w:r>
    </w:p>
    <w:p w:rsidR="007B2832" w:rsidRPr="007B2832" w:rsidRDefault="007B2832" w:rsidP="00C507DF">
      <w:pPr>
        <w:pStyle w:val="MIRBodyText"/>
        <w:rPr>
          <w:i/>
        </w:rPr>
      </w:pPr>
      <w:r>
        <w:t>an Equity Market Product</w:t>
      </w:r>
    </w:p>
    <w:p w:rsidR="007B2832" w:rsidRDefault="007B2832" w:rsidP="00C507DF">
      <w:pPr>
        <w:pStyle w:val="MIRBodyText"/>
        <w:rPr>
          <w:i/>
        </w:rPr>
      </w:pPr>
      <w:r>
        <w:rPr>
          <w:i/>
        </w:rPr>
        <w:t>substitute</w:t>
      </w:r>
    </w:p>
    <w:p w:rsidR="00C507DF" w:rsidRPr="00247465" w:rsidRDefault="007B2832" w:rsidP="00DF4619">
      <w:pPr>
        <w:pStyle w:val="MIRBodyText"/>
        <w:numPr>
          <w:ilvl w:val="0"/>
          <w:numId w:val="0"/>
        </w:numPr>
        <w:ind w:left="851"/>
      </w:pPr>
      <w:r>
        <w:t xml:space="preserve">a </w:t>
      </w:r>
      <w:r w:rsidR="00DF4619" w:rsidRPr="00247465">
        <w:t>Relevant Product</w:t>
      </w:r>
    </w:p>
    <w:p w:rsidR="00F835B7" w:rsidRPr="00247465" w:rsidRDefault="00F835B7" w:rsidP="00F835B7">
      <w:pPr>
        <w:pStyle w:val="MIRHeading3"/>
      </w:pPr>
      <w:r w:rsidRPr="00247465">
        <w:t>[</w:t>
      </w:r>
      <w:r>
        <w:t>11</w:t>
      </w:r>
      <w:r w:rsidR="003270F3">
        <w:t>8</w:t>
      </w:r>
      <w:r w:rsidRPr="00247465">
        <w:t>]</w:t>
      </w:r>
      <w:r w:rsidRPr="00247465">
        <w:tab/>
      </w:r>
      <w:r>
        <w:t>Subrule 6.2.1(4)</w:t>
      </w:r>
    </w:p>
    <w:p w:rsidR="00F835B7" w:rsidRDefault="00F835B7" w:rsidP="00F835B7">
      <w:pPr>
        <w:pStyle w:val="MIRBodyText"/>
        <w:rPr>
          <w:i/>
        </w:rPr>
      </w:pPr>
      <w:r>
        <w:rPr>
          <w:i/>
        </w:rPr>
        <w:t>omit</w:t>
      </w:r>
    </w:p>
    <w:p w:rsidR="00F835B7" w:rsidRPr="007B2832" w:rsidRDefault="0060356E" w:rsidP="00F835B7">
      <w:pPr>
        <w:pStyle w:val="MIRBodyText"/>
        <w:rPr>
          <w:i/>
        </w:rPr>
      </w:pPr>
      <w:r>
        <w:t xml:space="preserve">that Equity Market </w:t>
      </w:r>
      <w:r w:rsidR="00F835B7">
        <w:t>Product</w:t>
      </w:r>
    </w:p>
    <w:p w:rsidR="00F835B7" w:rsidRDefault="00F835B7" w:rsidP="00F835B7">
      <w:pPr>
        <w:pStyle w:val="MIRBodyText"/>
        <w:rPr>
          <w:i/>
        </w:rPr>
      </w:pPr>
      <w:r>
        <w:rPr>
          <w:i/>
        </w:rPr>
        <w:t>substitute</w:t>
      </w:r>
    </w:p>
    <w:p w:rsidR="00F835B7" w:rsidRPr="00247465" w:rsidRDefault="0060356E" w:rsidP="00F835B7">
      <w:pPr>
        <w:pStyle w:val="MIRBodyText"/>
        <w:numPr>
          <w:ilvl w:val="0"/>
          <w:numId w:val="0"/>
        </w:numPr>
        <w:ind w:left="851"/>
      </w:pPr>
      <w:r>
        <w:t>that</w:t>
      </w:r>
      <w:r w:rsidR="00F835B7">
        <w:t xml:space="preserve"> </w:t>
      </w:r>
      <w:r w:rsidR="00F835B7" w:rsidRPr="00247465">
        <w:t>Relevant Product</w:t>
      </w:r>
    </w:p>
    <w:p w:rsidR="004A7252" w:rsidRPr="00247465" w:rsidRDefault="004A7252" w:rsidP="004A7252">
      <w:pPr>
        <w:pStyle w:val="MIRHeading3"/>
      </w:pPr>
      <w:r w:rsidRPr="00247465">
        <w:t>[</w:t>
      </w:r>
      <w:r>
        <w:t>11</w:t>
      </w:r>
      <w:r w:rsidR="003270F3">
        <w:t>9</w:t>
      </w:r>
      <w:r w:rsidRPr="00247465">
        <w:t>]</w:t>
      </w:r>
      <w:r w:rsidRPr="00247465">
        <w:tab/>
      </w:r>
      <w:r>
        <w:t>Subrule 6.2.1(</w:t>
      </w:r>
      <w:r w:rsidR="00DA5B93">
        <w:t>5</w:t>
      </w:r>
      <w:r>
        <w:t>)</w:t>
      </w:r>
    </w:p>
    <w:p w:rsidR="004A7252" w:rsidRDefault="004A7252" w:rsidP="004A7252">
      <w:pPr>
        <w:pStyle w:val="MIRBodyText"/>
        <w:rPr>
          <w:i/>
        </w:rPr>
      </w:pPr>
      <w:r>
        <w:rPr>
          <w:i/>
        </w:rPr>
        <w:t>omit</w:t>
      </w:r>
    </w:p>
    <w:p w:rsidR="004A7252" w:rsidRPr="007B2832" w:rsidRDefault="004A7252" w:rsidP="004A7252">
      <w:pPr>
        <w:pStyle w:val="MIRBodyText"/>
        <w:rPr>
          <w:i/>
        </w:rPr>
      </w:pPr>
      <w:r>
        <w:t>an Equity Market Product</w:t>
      </w:r>
    </w:p>
    <w:p w:rsidR="004A7252" w:rsidRDefault="004A7252" w:rsidP="004A7252">
      <w:pPr>
        <w:pStyle w:val="MIRBodyText"/>
        <w:rPr>
          <w:i/>
        </w:rPr>
      </w:pPr>
      <w:r>
        <w:rPr>
          <w:i/>
        </w:rPr>
        <w:t>substitute</w:t>
      </w:r>
    </w:p>
    <w:p w:rsidR="004A7252" w:rsidRPr="00247465" w:rsidRDefault="004A7252" w:rsidP="004A7252">
      <w:pPr>
        <w:pStyle w:val="MIRBodyText"/>
        <w:numPr>
          <w:ilvl w:val="0"/>
          <w:numId w:val="0"/>
        </w:numPr>
        <w:ind w:left="851"/>
      </w:pPr>
      <w:r>
        <w:t xml:space="preserve">a </w:t>
      </w:r>
      <w:r w:rsidRPr="00247465">
        <w:t>Relevant Product</w:t>
      </w:r>
    </w:p>
    <w:p w:rsidR="002074D6" w:rsidRPr="00247465" w:rsidRDefault="002074D6" w:rsidP="00F835B7">
      <w:pPr>
        <w:pStyle w:val="MIRHeading3"/>
      </w:pPr>
      <w:r w:rsidRPr="00247465">
        <w:lastRenderedPageBreak/>
        <w:t>[</w:t>
      </w:r>
      <w:r w:rsidR="00AF0B1A">
        <w:t>1</w:t>
      </w:r>
      <w:r w:rsidR="003270F3">
        <w:t>20</w:t>
      </w:r>
      <w:r w:rsidRPr="00247465">
        <w:t>]</w:t>
      </w:r>
      <w:r w:rsidRPr="00247465">
        <w:tab/>
      </w:r>
      <w:r w:rsidR="00AF0B1A">
        <w:t>Subrule 6.2.2(1)</w:t>
      </w:r>
    </w:p>
    <w:p w:rsidR="00AF0B1A" w:rsidRDefault="007D526C" w:rsidP="002074D6">
      <w:pPr>
        <w:pStyle w:val="MIRBodyText"/>
        <w:rPr>
          <w:i/>
        </w:rPr>
      </w:pPr>
      <w:r w:rsidRPr="00247465">
        <w:rPr>
          <w:i/>
        </w:rPr>
        <w:t>omit</w:t>
      </w:r>
    </w:p>
    <w:p w:rsidR="00AF0B1A" w:rsidRPr="00AF0B1A" w:rsidRDefault="00AF0B1A" w:rsidP="002074D6">
      <w:pPr>
        <w:pStyle w:val="MIRBodyText"/>
        <w:rPr>
          <w:i/>
        </w:rPr>
      </w:pPr>
      <w:r>
        <w:t>Equity Market Products</w:t>
      </w:r>
    </w:p>
    <w:p w:rsidR="002074D6" w:rsidRDefault="007D526C" w:rsidP="002074D6">
      <w:pPr>
        <w:pStyle w:val="MIRBodyText"/>
        <w:rPr>
          <w:i/>
        </w:rPr>
      </w:pPr>
      <w:r w:rsidRPr="00247465">
        <w:rPr>
          <w:i/>
        </w:rPr>
        <w:t>substitute</w:t>
      </w:r>
    </w:p>
    <w:p w:rsidR="00AF0B1A" w:rsidRPr="00247465" w:rsidRDefault="00AF0B1A" w:rsidP="002074D6">
      <w:pPr>
        <w:pStyle w:val="MIRBodyText"/>
        <w:rPr>
          <w:i/>
        </w:rPr>
      </w:pPr>
      <w:r>
        <w:t>Relevant Products</w:t>
      </w:r>
    </w:p>
    <w:p w:rsidR="00585602" w:rsidRPr="00247465" w:rsidRDefault="00585602" w:rsidP="00585602">
      <w:pPr>
        <w:pStyle w:val="MIRHeading3"/>
      </w:pPr>
      <w:r w:rsidRPr="00247465">
        <w:t>[</w:t>
      </w:r>
      <w:r w:rsidR="00632E21" w:rsidRPr="00247465">
        <w:t>1</w:t>
      </w:r>
      <w:r w:rsidR="003270F3">
        <w:t>21</w:t>
      </w:r>
      <w:r w:rsidRPr="00247465">
        <w:t>]</w:t>
      </w:r>
      <w:r w:rsidRPr="00247465">
        <w:tab/>
      </w:r>
      <w:r w:rsidR="00C51DDD">
        <w:t>Rule 6.2.3 (heading)</w:t>
      </w:r>
    </w:p>
    <w:p w:rsidR="00C51DDD" w:rsidRDefault="00C51DDD" w:rsidP="00585602">
      <w:pPr>
        <w:pStyle w:val="MIRBodyText"/>
        <w:rPr>
          <w:i/>
        </w:rPr>
      </w:pPr>
      <w:r>
        <w:rPr>
          <w:i/>
        </w:rPr>
        <w:t>omit</w:t>
      </w:r>
    </w:p>
    <w:p w:rsidR="00C51DDD" w:rsidRPr="00C51DDD" w:rsidRDefault="00C51DDD" w:rsidP="00585602">
      <w:pPr>
        <w:pStyle w:val="MIRBodyText"/>
        <w:rPr>
          <w:i/>
        </w:rPr>
      </w:pPr>
      <w:r>
        <w:t>Equity Market Products</w:t>
      </w:r>
    </w:p>
    <w:p w:rsidR="00C51DDD" w:rsidRDefault="00C51DDD" w:rsidP="00585602">
      <w:pPr>
        <w:pStyle w:val="MIRBodyText"/>
        <w:rPr>
          <w:i/>
        </w:rPr>
      </w:pPr>
      <w:r>
        <w:rPr>
          <w:i/>
        </w:rPr>
        <w:t>substitute</w:t>
      </w:r>
    </w:p>
    <w:p w:rsidR="00585602" w:rsidRPr="00247465" w:rsidRDefault="00585602" w:rsidP="00585602">
      <w:pPr>
        <w:pStyle w:val="MIRBodyText"/>
        <w:rPr>
          <w:i/>
        </w:rPr>
      </w:pPr>
      <w:r w:rsidRPr="00247465">
        <w:t>Relevant Products</w:t>
      </w:r>
    </w:p>
    <w:p w:rsidR="00165521" w:rsidRPr="00247465" w:rsidRDefault="00165521" w:rsidP="00165521">
      <w:pPr>
        <w:pStyle w:val="MIRHeading3"/>
      </w:pPr>
      <w:r w:rsidRPr="00247465">
        <w:t>[</w:t>
      </w:r>
      <w:r w:rsidR="00632E21" w:rsidRPr="00247465">
        <w:t>1</w:t>
      </w:r>
      <w:r w:rsidR="0075267A">
        <w:t>2</w:t>
      </w:r>
      <w:r w:rsidR="003270F3">
        <w:t>2</w:t>
      </w:r>
      <w:r w:rsidRPr="00247465">
        <w:t>]</w:t>
      </w:r>
      <w:r w:rsidRPr="00247465">
        <w:tab/>
      </w:r>
      <w:r w:rsidR="006E0F78">
        <w:t>After subrule 6.2.3(2)</w:t>
      </w:r>
    </w:p>
    <w:p w:rsidR="00316191" w:rsidRPr="00BE191C" w:rsidRDefault="00316191" w:rsidP="00165521">
      <w:pPr>
        <w:pStyle w:val="MIRBodyText"/>
        <w:rPr>
          <w:i/>
        </w:rPr>
      </w:pPr>
      <w:r>
        <w:rPr>
          <w:i/>
        </w:rPr>
        <w:t>insert</w:t>
      </w:r>
    </w:p>
    <w:p w:rsidR="001C60BB" w:rsidRPr="001C60BB" w:rsidRDefault="001C60BB" w:rsidP="001C60BB">
      <w:pPr>
        <w:tabs>
          <w:tab w:val="left" w:pos="851"/>
        </w:tabs>
        <w:spacing w:before="200" w:after="0" w:line="300" w:lineRule="atLeast"/>
        <w:ind w:left="851"/>
        <w:rPr>
          <w:szCs w:val="22"/>
        </w:rPr>
      </w:pPr>
      <w:r w:rsidRPr="001C60BB">
        <w:rPr>
          <w:szCs w:val="22"/>
        </w:rPr>
        <w:t>(3) The Responsible Market Operator for CGS Depository Interests must assign each CGS Depository Interest a unique symbol for the purposes of identifying that CGS Depository Interest in records of Orders, Transactions and other Trading Messages on its Market.</w:t>
      </w:r>
    </w:p>
    <w:p w:rsidR="00BE191C" w:rsidRDefault="001C60BB" w:rsidP="00E70F02">
      <w:pPr>
        <w:tabs>
          <w:tab w:val="left" w:pos="851"/>
        </w:tabs>
        <w:spacing w:before="200" w:after="0" w:line="300" w:lineRule="atLeast"/>
        <w:ind w:left="851"/>
        <w:rPr>
          <w:i/>
        </w:rPr>
      </w:pPr>
      <w:r w:rsidRPr="001C60BB">
        <w:rPr>
          <w:szCs w:val="22"/>
        </w:rPr>
        <w:t>(4) A CGS Market Operator other than the Responsible Market Operator for CGS Depository Interests must assign the same unique symbol assigned by the Responsible Market Operator under subrule (3) to that CGS Depository Interest for the purposes of identifying that CGS Depository Interest in records of Orders, Transactions and other Trading Messages on its Market.</w:t>
      </w:r>
    </w:p>
    <w:p w:rsidR="006632BD" w:rsidRDefault="006632BD" w:rsidP="006632BD">
      <w:pPr>
        <w:pStyle w:val="MIRHeading3"/>
      </w:pPr>
      <w:r w:rsidRPr="00247465">
        <w:t>[</w:t>
      </w:r>
      <w:r w:rsidR="00815731" w:rsidRPr="00247465">
        <w:t>1</w:t>
      </w:r>
      <w:r w:rsidR="0075267A">
        <w:t>2</w:t>
      </w:r>
      <w:r w:rsidR="003270F3">
        <w:t>3</w:t>
      </w:r>
      <w:r w:rsidRPr="00247465">
        <w:t>]</w:t>
      </w:r>
      <w:r w:rsidRPr="00247465">
        <w:tab/>
      </w:r>
      <w:r w:rsidR="002044B7">
        <w:t>Paragraph 6.4.1(1)(b)</w:t>
      </w:r>
    </w:p>
    <w:p w:rsidR="006632BD" w:rsidRDefault="002044B7" w:rsidP="006632BD">
      <w:pPr>
        <w:pStyle w:val="MIRBodyText"/>
        <w:rPr>
          <w:i/>
        </w:rPr>
      </w:pPr>
      <w:r>
        <w:rPr>
          <w:i/>
        </w:rPr>
        <w:t>omit</w:t>
      </w:r>
    </w:p>
    <w:p w:rsidR="002044B7" w:rsidRPr="002044B7" w:rsidRDefault="002044B7" w:rsidP="006632BD">
      <w:pPr>
        <w:pStyle w:val="MIRBodyText"/>
      </w:pPr>
      <w:r w:rsidRPr="002044B7">
        <w:t>and</w:t>
      </w:r>
    </w:p>
    <w:p w:rsidR="003D2F44" w:rsidRDefault="003D2F44" w:rsidP="003D2F44">
      <w:pPr>
        <w:pStyle w:val="MIRHeading3"/>
      </w:pPr>
      <w:r w:rsidRPr="00247465">
        <w:t>[1</w:t>
      </w:r>
      <w:r w:rsidR="00C534A0">
        <w:t>2</w:t>
      </w:r>
      <w:r w:rsidR="003270F3">
        <w:t>4</w:t>
      </w:r>
      <w:r w:rsidRPr="00247465">
        <w:t>]</w:t>
      </w:r>
      <w:r w:rsidRPr="00247465">
        <w:tab/>
      </w:r>
      <w:r>
        <w:t>Paragraph 6.4.1(1)(c)</w:t>
      </w:r>
    </w:p>
    <w:p w:rsidR="003D2F44" w:rsidRDefault="003D2F44" w:rsidP="003D2F44">
      <w:pPr>
        <w:pStyle w:val="MIRBodyText"/>
        <w:rPr>
          <w:i/>
        </w:rPr>
      </w:pPr>
      <w:r>
        <w:rPr>
          <w:i/>
        </w:rPr>
        <w:t>omit</w:t>
      </w:r>
    </w:p>
    <w:p w:rsidR="003D2F44" w:rsidRDefault="003D2F44" w:rsidP="003D2F44">
      <w:pPr>
        <w:pStyle w:val="MIRBodyText"/>
      </w:pPr>
      <w:r>
        <w:t>.</w:t>
      </w:r>
    </w:p>
    <w:p w:rsidR="003D2F44" w:rsidRPr="003D2F44" w:rsidRDefault="003D2F44" w:rsidP="003D2F44">
      <w:pPr>
        <w:pStyle w:val="MIRBodyText"/>
        <w:rPr>
          <w:i/>
        </w:rPr>
      </w:pPr>
      <w:r w:rsidRPr="003D2F44">
        <w:rPr>
          <w:i/>
        </w:rPr>
        <w:t>substitute</w:t>
      </w:r>
    </w:p>
    <w:p w:rsidR="003D2F44" w:rsidRPr="002044B7" w:rsidRDefault="003D2F44" w:rsidP="003D2F44">
      <w:pPr>
        <w:pStyle w:val="MIRBodyText"/>
      </w:pPr>
      <w:r>
        <w:t>; and</w:t>
      </w:r>
    </w:p>
    <w:p w:rsidR="00B92BA4" w:rsidRDefault="00B92BA4" w:rsidP="00B92BA4">
      <w:pPr>
        <w:pStyle w:val="MIRHeading3"/>
      </w:pPr>
      <w:r w:rsidRPr="00247465">
        <w:lastRenderedPageBreak/>
        <w:t>[1</w:t>
      </w:r>
      <w:r>
        <w:t>2</w:t>
      </w:r>
      <w:r w:rsidR="003270F3">
        <w:t>5</w:t>
      </w:r>
      <w:r w:rsidRPr="00247465">
        <w:t>]</w:t>
      </w:r>
      <w:r w:rsidRPr="00247465">
        <w:tab/>
      </w:r>
      <w:r>
        <w:t>After paragraph 6.4.1(1)(c)</w:t>
      </w:r>
    </w:p>
    <w:p w:rsidR="00B92BA4" w:rsidRDefault="00B92BA4" w:rsidP="00B92BA4">
      <w:pPr>
        <w:pStyle w:val="MIRBodyText"/>
        <w:rPr>
          <w:i/>
        </w:rPr>
      </w:pPr>
      <w:r>
        <w:rPr>
          <w:i/>
        </w:rPr>
        <w:t>insert</w:t>
      </w:r>
    </w:p>
    <w:p w:rsidR="003E2EE8" w:rsidRDefault="003E2EE8" w:rsidP="008F11E0">
      <w:pPr>
        <w:pStyle w:val="MIRSubpara"/>
        <w:numPr>
          <w:ilvl w:val="1"/>
          <w:numId w:val="21"/>
        </w:numPr>
      </w:pPr>
      <w:r>
        <w:t>$0.001 for a CGS Depository Interest.</w:t>
      </w:r>
    </w:p>
    <w:p w:rsidR="0014139B" w:rsidRPr="00247465" w:rsidRDefault="0014139B" w:rsidP="0014139B">
      <w:pPr>
        <w:pStyle w:val="MIRHeading3"/>
      </w:pPr>
      <w:r w:rsidRPr="00247465">
        <w:t>[</w:t>
      </w:r>
      <w:r>
        <w:t>12</w:t>
      </w:r>
      <w:r w:rsidR="003270F3">
        <w:t>6</w:t>
      </w:r>
      <w:r w:rsidRPr="00247465">
        <w:t>]</w:t>
      </w:r>
      <w:r w:rsidRPr="00247465">
        <w:tab/>
      </w:r>
      <w:r>
        <w:t>Rule 7.1A.1</w:t>
      </w:r>
    </w:p>
    <w:p w:rsidR="0014139B" w:rsidRPr="00C476EA" w:rsidRDefault="0014139B" w:rsidP="0014139B">
      <w:pPr>
        <w:pStyle w:val="MIRBodyText"/>
        <w:rPr>
          <w:i/>
        </w:rPr>
      </w:pPr>
      <w:r>
        <w:rPr>
          <w:i/>
        </w:rPr>
        <w:t>before “This Chapter”, insert</w:t>
      </w:r>
    </w:p>
    <w:p w:rsidR="0014139B" w:rsidRDefault="0014139B" w:rsidP="0014139B">
      <w:pPr>
        <w:pStyle w:val="MIRBodyText"/>
        <w:rPr>
          <w:i/>
        </w:rPr>
      </w:pPr>
      <w:r>
        <w:t>(1)</w:t>
      </w:r>
    </w:p>
    <w:p w:rsidR="0014139B" w:rsidRPr="00247465" w:rsidRDefault="0014139B" w:rsidP="0014139B">
      <w:pPr>
        <w:pStyle w:val="MIRHeading3"/>
      </w:pPr>
      <w:r w:rsidRPr="00247465">
        <w:t>[</w:t>
      </w:r>
      <w:r>
        <w:t>12</w:t>
      </w:r>
      <w:r w:rsidR="00685827">
        <w:t>7</w:t>
      </w:r>
      <w:r w:rsidRPr="00247465">
        <w:t>]</w:t>
      </w:r>
      <w:r w:rsidRPr="00247465">
        <w:tab/>
        <w:t xml:space="preserve">Paragraph </w:t>
      </w:r>
      <w:r w:rsidR="0075267A">
        <w:t>7</w:t>
      </w:r>
      <w:r>
        <w:t>.1A.1</w:t>
      </w:r>
      <w:r w:rsidRPr="00247465">
        <w:t>(</w:t>
      </w:r>
      <w:r>
        <w:t>a</w:t>
      </w:r>
      <w:r w:rsidRPr="00247465">
        <w:t>)</w:t>
      </w:r>
    </w:p>
    <w:p w:rsidR="0014139B" w:rsidRDefault="0014139B" w:rsidP="0014139B">
      <w:pPr>
        <w:pStyle w:val="MIRBodyText"/>
        <w:rPr>
          <w:i/>
        </w:rPr>
      </w:pPr>
      <w:r>
        <w:rPr>
          <w:i/>
        </w:rPr>
        <w:t>after “Equity Markets”, insert</w:t>
      </w:r>
    </w:p>
    <w:p w:rsidR="0014139B" w:rsidRDefault="0014139B" w:rsidP="0014139B">
      <w:pPr>
        <w:pStyle w:val="MIRBodyText"/>
        <w:rPr>
          <w:i/>
        </w:rPr>
      </w:pPr>
      <w:r>
        <w:t>and CGS Markets</w:t>
      </w:r>
    </w:p>
    <w:p w:rsidR="0014139B" w:rsidRDefault="0014139B" w:rsidP="0014139B">
      <w:pPr>
        <w:pStyle w:val="MIRHeading3"/>
      </w:pPr>
      <w:r w:rsidRPr="00247465">
        <w:t>[</w:t>
      </w:r>
      <w:r>
        <w:t>1</w:t>
      </w:r>
      <w:r w:rsidR="0062792D">
        <w:t>2</w:t>
      </w:r>
      <w:r w:rsidR="00685827">
        <w:t>8</w:t>
      </w:r>
      <w:r w:rsidRPr="00247465">
        <w:t>]</w:t>
      </w:r>
      <w:r w:rsidRPr="00247465">
        <w:tab/>
      </w:r>
      <w:r w:rsidRPr="00502DB8">
        <w:t xml:space="preserve">Paragraph </w:t>
      </w:r>
      <w:r w:rsidR="00E04539">
        <w:t>7</w:t>
      </w:r>
      <w:r w:rsidRPr="00502DB8">
        <w:t>.1A.1(</w:t>
      </w:r>
      <w:r>
        <w:t>b</w:t>
      </w:r>
      <w:r w:rsidRPr="00502DB8">
        <w:t>)</w:t>
      </w:r>
    </w:p>
    <w:p w:rsidR="0014139B" w:rsidRPr="00247465" w:rsidRDefault="0014139B" w:rsidP="0014139B">
      <w:pPr>
        <w:pStyle w:val="MIRBodyText"/>
        <w:rPr>
          <w:i/>
        </w:rPr>
      </w:pPr>
      <w:r w:rsidRPr="00247465">
        <w:rPr>
          <w:i/>
        </w:rPr>
        <w:t>after “</w:t>
      </w:r>
      <w:r>
        <w:rPr>
          <w:i/>
        </w:rPr>
        <w:t>Equity Market Participants</w:t>
      </w:r>
      <w:r w:rsidRPr="00247465">
        <w:t xml:space="preserve">”, </w:t>
      </w:r>
      <w:r w:rsidRPr="00247465">
        <w:rPr>
          <w:i/>
        </w:rPr>
        <w:t>insert</w:t>
      </w:r>
    </w:p>
    <w:p w:rsidR="0014139B" w:rsidRPr="00247465" w:rsidRDefault="0014139B" w:rsidP="0014139B">
      <w:pPr>
        <w:pStyle w:val="MIRBodyText"/>
      </w:pPr>
      <w:r>
        <w:t>and CGS Market Participants</w:t>
      </w:r>
    </w:p>
    <w:p w:rsidR="0014139B" w:rsidRDefault="0014139B" w:rsidP="0014139B">
      <w:pPr>
        <w:pStyle w:val="MIRHeading3"/>
      </w:pPr>
      <w:r w:rsidRPr="00247465">
        <w:t>[</w:t>
      </w:r>
      <w:r>
        <w:t>1</w:t>
      </w:r>
      <w:r w:rsidR="00804F28">
        <w:t>2</w:t>
      </w:r>
      <w:r w:rsidR="00685827">
        <w:t>9</w:t>
      </w:r>
      <w:r w:rsidRPr="00247465">
        <w:t>]</w:t>
      </w:r>
      <w:r w:rsidRPr="00247465">
        <w:tab/>
      </w:r>
      <w:r w:rsidRPr="00502DB8">
        <w:t xml:space="preserve">Paragraph </w:t>
      </w:r>
      <w:r w:rsidR="00E04539">
        <w:t>7</w:t>
      </w:r>
      <w:r w:rsidRPr="00502DB8">
        <w:t>.1A.1(</w:t>
      </w:r>
      <w:r>
        <w:t>c</w:t>
      </w:r>
      <w:r w:rsidRPr="00502DB8">
        <w:t>)</w:t>
      </w:r>
    </w:p>
    <w:p w:rsidR="0014139B" w:rsidRPr="00247465" w:rsidRDefault="0014139B" w:rsidP="0014139B">
      <w:pPr>
        <w:pStyle w:val="MIRBodyText"/>
        <w:rPr>
          <w:i/>
        </w:rPr>
      </w:pPr>
      <w:r w:rsidRPr="00247465">
        <w:rPr>
          <w:i/>
        </w:rPr>
        <w:t>after “</w:t>
      </w:r>
      <w:r>
        <w:rPr>
          <w:i/>
        </w:rPr>
        <w:t>Equity Market Products</w:t>
      </w:r>
      <w:r w:rsidRPr="00247465">
        <w:t xml:space="preserve">”, </w:t>
      </w:r>
      <w:r w:rsidRPr="00247465">
        <w:rPr>
          <w:i/>
        </w:rPr>
        <w:t>insert</w:t>
      </w:r>
    </w:p>
    <w:p w:rsidR="0014139B" w:rsidRPr="00247465" w:rsidRDefault="0014139B" w:rsidP="0014139B">
      <w:pPr>
        <w:pStyle w:val="MIRBodyText"/>
      </w:pPr>
      <w:r>
        <w:t>and CGS Depository Interests</w:t>
      </w:r>
    </w:p>
    <w:p w:rsidR="0014139B" w:rsidRPr="00247465" w:rsidRDefault="0014139B" w:rsidP="0014139B">
      <w:pPr>
        <w:pStyle w:val="MIRHeading3"/>
      </w:pPr>
      <w:r>
        <w:t>[1</w:t>
      </w:r>
      <w:r w:rsidR="00685827">
        <w:t>30</w:t>
      </w:r>
      <w:r w:rsidRPr="00247465">
        <w:t>]</w:t>
      </w:r>
      <w:r w:rsidRPr="00247465">
        <w:tab/>
      </w:r>
      <w:r>
        <w:t xml:space="preserve">At the end of Rule </w:t>
      </w:r>
      <w:r w:rsidR="00E04539">
        <w:t>7</w:t>
      </w:r>
      <w:r>
        <w:t>.1A.1</w:t>
      </w:r>
    </w:p>
    <w:p w:rsidR="0014139B" w:rsidRPr="00DA0020" w:rsidRDefault="0014139B" w:rsidP="0014139B">
      <w:pPr>
        <w:pStyle w:val="MIRBodyText"/>
      </w:pPr>
      <w:r>
        <w:rPr>
          <w:i/>
        </w:rPr>
        <w:t>add</w:t>
      </w:r>
    </w:p>
    <w:p w:rsidR="0014139B" w:rsidRPr="00DA0020" w:rsidRDefault="0014139B" w:rsidP="0014139B">
      <w:pPr>
        <w:pStyle w:val="MIRBodyText"/>
      </w:pPr>
      <w:r w:rsidRPr="00DA0020">
        <w:t xml:space="preserve">(2) In this Chapter, </w:t>
      </w:r>
      <w:r w:rsidRPr="00DA0020">
        <w:rPr>
          <w:b/>
          <w:bCs/>
          <w:i/>
          <w:iCs/>
        </w:rPr>
        <w:t xml:space="preserve">Relevant Products </w:t>
      </w:r>
      <w:r w:rsidRPr="00DA0020">
        <w:t xml:space="preserve">means Equity Market Products and CGS Depository Interests. </w:t>
      </w:r>
    </w:p>
    <w:p w:rsidR="00804F28" w:rsidRDefault="00FE43CA" w:rsidP="00FE43CA">
      <w:pPr>
        <w:pStyle w:val="MIRHeading3"/>
      </w:pPr>
      <w:r w:rsidRPr="00247465">
        <w:t>[</w:t>
      </w:r>
      <w:r w:rsidR="00815731" w:rsidRPr="00247465">
        <w:t>1</w:t>
      </w:r>
      <w:r w:rsidR="00685827">
        <w:t>31</w:t>
      </w:r>
      <w:r w:rsidRPr="00247465">
        <w:t>]</w:t>
      </w:r>
      <w:r w:rsidRPr="00247465">
        <w:tab/>
      </w:r>
      <w:r w:rsidR="00804F28">
        <w:t>Rule 7.1.1</w:t>
      </w:r>
    </w:p>
    <w:p w:rsidR="00FE43CA" w:rsidRDefault="00257B5A" w:rsidP="00FE43CA">
      <w:pPr>
        <w:pStyle w:val="MIRBodyText"/>
        <w:rPr>
          <w:i/>
        </w:rPr>
      </w:pPr>
      <w:r w:rsidRPr="00247465">
        <w:rPr>
          <w:i/>
        </w:rPr>
        <w:t>omit</w:t>
      </w:r>
      <w:r w:rsidR="00804F28">
        <w:rPr>
          <w:i/>
        </w:rPr>
        <w:t xml:space="preserve"> the rule, substitute</w:t>
      </w:r>
    </w:p>
    <w:p w:rsidR="00804F28" w:rsidRPr="00804F28" w:rsidRDefault="00804F28" w:rsidP="00BA7CDC">
      <w:pPr>
        <w:keepNext/>
        <w:spacing w:before="400" w:after="0" w:line="280" w:lineRule="atLeast"/>
        <w:ind w:left="851" w:hanging="1"/>
        <w:outlineLvl w:val="2"/>
        <w:rPr>
          <w:rFonts w:ascii="Arial" w:hAnsi="Arial" w:cs="Arial"/>
          <w:b/>
          <w:sz w:val="24"/>
          <w:szCs w:val="24"/>
        </w:rPr>
      </w:pPr>
      <w:r w:rsidRPr="00804F28">
        <w:rPr>
          <w:rFonts w:ascii="Arial" w:hAnsi="Arial" w:cs="Arial"/>
          <w:b/>
          <w:sz w:val="24"/>
          <w:szCs w:val="24"/>
        </w:rPr>
        <w:t>7.1.1</w:t>
      </w:r>
      <w:r w:rsidRPr="00804F28">
        <w:rPr>
          <w:rFonts w:ascii="Arial" w:hAnsi="Arial" w:cs="Arial"/>
          <w:b/>
          <w:sz w:val="24"/>
          <w:szCs w:val="24"/>
        </w:rPr>
        <w:tab/>
        <w:t>Transactions to be under the Operating Rules of a Market Operator</w:t>
      </w:r>
    </w:p>
    <w:p w:rsidR="00804F28" w:rsidRPr="00804F28" w:rsidRDefault="00804F28" w:rsidP="00804F28">
      <w:pPr>
        <w:tabs>
          <w:tab w:val="left" w:pos="851"/>
        </w:tabs>
        <w:spacing w:before="200" w:after="0" w:line="300" w:lineRule="atLeast"/>
        <w:ind w:left="851"/>
        <w:rPr>
          <w:szCs w:val="22"/>
        </w:rPr>
      </w:pPr>
      <w:r w:rsidRPr="00804F28">
        <w:rPr>
          <w:szCs w:val="22"/>
        </w:rPr>
        <w:t>A Participant must not enter into a Transaction in:</w:t>
      </w:r>
    </w:p>
    <w:p w:rsidR="00804F28" w:rsidRPr="00804F28" w:rsidRDefault="00804F28" w:rsidP="008F11E0">
      <w:pPr>
        <w:pStyle w:val="MIRSubpara"/>
        <w:numPr>
          <w:ilvl w:val="0"/>
          <w:numId w:val="22"/>
        </w:numPr>
      </w:pPr>
      <w:r w:rsidRPr="00804F28">
        <w:t>an Equity Market Product other than Under the Rules of an Equity Market;</w:t>
      </w:r>
    </w:p>
    <w:p w:rsidR="00804F28" w:rsidRPr="00804F28" w:rsidRDefault="00804F28" w:rsidP="00666967">
      <w:pPr>
        <w:pStyle w:val="MIRSubpara"/>
      </w:pPr>
      <w:r w:rsidRPr="00804F28">
        <w:t>a CGS Depository Interest other than Under the Rules of a CGS Market,</w:t>
      </w:r>
    </w:p>
    <w:p w:rsidR="00804F28" w:rsidRPr="00804F28" w:rsidRDefault="00804F28" w:rsidP="00804F28">
      <w:pPr>
        <w:spacing w:before="100" w:after="0" w:line="300" w:lineRule="atLeast"/>
        <w:ind w:left="851"/>
        <w:rPr>
          <w:noProof/>
          <w:szCs w:val="22"/>
        </w:rPr>
      </w:pPr>
      <w:r w:rsidRPr="00804F28">
        <w:rPr>
          <w:noProof/>
          <w:szCs w:val="22"/>
        </w:rPr>
        <w:t>unless the Transaction is entered into pursuant to:</w:t>
      </w:r>
    </w:p>
    <w:p w:rsidR="00804F28" w:rsidRPr="00804F28" w:rsidRDefault="00804F28" w:rsidP="00666967">
      <w:pPr>
        <w:pStyle w:val="MIRSubpara"/>
      </w:pPr>
      <w:r w:rsidRPr="00804F28">
        <w:lastRenderedPageBreak/>
        <w:t>the terms of the Relevant Product, including a redemption; or</w:t>
      </w:r>
    </w:p>
    <w:p w:rsidR="00804F28" w:rsidRPr="00804F28" w:rsidRDefault="00804F28" w:rsidP="00666967">
      <w:pPr>
        <w:pStyle w:val="MIRSubpara"/>
      </w:pPr>
      <w:r w:rsidRPr="00804F28">
        <w:t>a primary market action, including an Off-Market Bid for Relevant Products or an issue, allotment or subscription of new Relevant Products.</w:t>
      </w:r>
    </w:p>
    <w:p w:rsidR="002120BA" w:rsidRPr="003F51A4" w:rsidRDefault="002120BA" w:rsidP="002120BA">
      <w:pPr>
        <w:pStyle w:val="MIRPenalty"/>
      </w:pPr>
      <w:r w:rsidRPr="003F51A4">
        <w:t>Maximum penalty: $1,000,000</w:t>
      </w:r>
    </w:p>
    <w:p w:rsidR="00443BE3" w:rsidRPr="00247465" w:rsidRDefault="001F6898" w:rsidP="00443BE3">
      <w:pPr>
        <w:pStyle w:val="MIRHeading3"/>
      </w:pPr>
      <w:r>
        <w:t>[1</w:t>
      </w:r>
      <w:r w:rsidR="0075267A">
        <w:t>3</w:t>
      </w:r>
      <w:r w:rsidR="00685827">
        <w:t>2</w:t>
      </w:r>
      <w:r w:rsidR="00443BE3" w:rsidRPr="00247465">
        <w:t>]</w:t>
      </w:r>
      <w:r w:rsidR="00443BE3" w:rsidRPr="00247465">
        <w:tab/>
      </w:r>
      <w:r w:rsidR="008042AE">
        <w:t>Rule 7.2.1</w:t>
      </w:r>
    </w:p>
    <w:p w:rsidR="008042AE" w:rsidRDefault="008042AE" w:rsidP="00443BE3">
      <w:pPr>
        <w:pStyle w:val="MIRBodyText"/>
        <w:rPr>
          <w:i/>
        </w:rPr>
      </w:pPr>
      <w:r>
        <w:rPr>
          <w:i/>
        </w:rPr>
        <w:t>after “Transaction”, insert</w:t>
      </w:r>
    </w:p>
    <w:p w:rsidR="00443BE3" w:rsidRDefault="008042AE" w:rsidP="00443BE3">
      <w:pPr>
        <w:pStyle w:val="MIRBodyText"/>
        <w:rPr>
          <w:i/>
        </w:rPr>
      </w:pPr>
      <w:r>
        <w:t>in a Relevant Product</w:t>
      </w:r>
    </w:p>
    <w:p w:rsidR="005B7DAB" w:rsidRPr="00247465" w:rsidRDefault="005B7DAB" w:rsidP="005B7DAB">
      <w:pPr>
        <w:pStyle w:val="MIRHeading3"/>
      </w:pPr>
      <w:r w:rsidRPr="00247465">
        <w:t>[1</w:t>
      </w:r>
      <w:r w:rsidR="0075267A">
        <w:t>3</w:t>
      </w:r>
      <w:r w:rsidR="00685827">
        <w:t>3</w:t>
      </w:r>
      <w:r w:rsidRPr="00247465">
        <w:t>]</w:t>
      </w:r>
      <w:r w:rsidRPr="00247465">
        <w:tab/>
      </w:r>
      <w:r w:rsidR="00A270A6">
        <w:t>Rule 7.2.1</w:t>
      </w:r>
    </w:p>
    <w:p w:rsidR="005B7DAB" w:rsidRPr="00247465" w:rsidRDefault="005B7DAB" w:rsidP="00BA7CDC">
      <w:pPr>
        <w:pStyle w:val="MIRBodyText"/>
        <w:keepNext/>
        <w:rPr>
          <w:i/>
        </w:rPr>
      </w:pPr>
      <w:r w:rsidRPr="00247465">
        <w:rPr>
          <w:i/>
        </w:rPr>
        <w:t>omit</w:t>
      </w:r>
    </w:p>
    <w:p w:rsidR="005B7DAB" w:rsidRPr="00247465" w:rsidRDefault="00A270A6" w:rsidP="005B7DAB">
      <w:pPr>
        <w:pStyle w:val="MIRBodyText"/>
      </w:pPr>
      <w:r>
        <w:t>relevant Equity Market Product</w:t>
      </w:r>
    </w:p>
    <w:p w:rsidR="005B7DAB" w:rsidRPr="00247465" w:rsidRDefault="005B7DAB" w:rsidP="005B7DAB">
      <w:pPr>
        <w:pStyle w:val="MIRBodyText"/>
        <w:rPr>
          <w:i/>
        </w:rPr>
      </w:pPr>
      <w:r w:rsidRPr="00247465">
        <w:rPr>
          <w:i/>
        </w:rPr>
        <w:t>substitute</w:t>
      </w:r>
    </w:p>
    <w:p w:rsidR="005B7DAB" w:rsidRPr="00247465" w:rsidRDefault="00B34607" w:rsidP="005B7DAB">
      <w:pPr>
        <w:pStyle w:val="MIRBodyText"/>
      </w:pPr>
      <w:r>
        <w:t>Relevant Product</w:t>
      </w:r>
    </w:p>
    <w:p w:rsidR="00FB2B60" w:rsidRPr="00247465" w:rsidRDefault="007242B2" w:rsidP="00FB2B60">
      <w:pPr>
        <w:pStyle w:val="MIRHeading3"/>
      </w:pPr>
      <w:r w:rsidRPr="00247465">
        <w:t>[1</w:t>
      </w:r>
      <w:r w:rsidR="0075267A">
        <w:t>3</w:t>
      </w:r>
      <w:r w:rsidR="00685827">
        <w:t>4</w:t>
      </w:r>
      <w:r w:rsidR="00FB2B60" w:rsidRPr="00247465">
        <w:t>]</w:t>
      </w:r>
      <w:r w:rsidR="00FB2B60" w:rsidRPr="00247465">
        <w:tab/>
      </w:r>
      <w:r w:rsidR="00CD2D39">
        <w:t>Rule 7.2.1</w:t>
      </w:r>
    </w:p>
    <w:p w:rsidR="00FB2B60" w:rsidRPr="00247465" w:rsidRDefault="00FB2B60" w:rsidP="00FB2B60">
      <w:pPr>
        <w:pStyle w:val="MIRBodyText"/>
        <w:rPr>
          <w:i/>
        </w:rPr>
      </w:pPr>
      <w:r w:rsidRPr="00247465">
        <w:rPr>
          <w:i/>
        </w:rPr>
        <w:t>omit</w:t>
      </w:r>
    </w:p>
    <w:p w:rsidR="00FB2B60" w:rsidRPr="00247465" w:rsidRDefault="00CD2D39" w:rsidP="00FB2B60">
      <w:pPr>
        <w:pStyle w:val="MIRBodyText"/>
      </w:pPr>
      <w:r>
        <w:t>that Equity Market Product</w:t>
      </w:r>
    </w:p>
    <w:p w:rsidR="00FB2B60" w:rsidRPr="00247465" w:rsidRDefault="00FB2B60" w:rsidP="00FB2B60">
      <w:pPr>
        <w:pStyle w:val="MIRBodyText"/>
        <w:rPr>
          <w:i/>
        </w:rPr>
      </w:pPr>
      <w:r w:rsidRPr="00247465">
        <w:rPr>
          <w:i/>
        </w:rPr>
        <w:t>substitute</w:t>
      </w:r>
    </w:p>
    <w:p w:rsidR="00FB2B60" w:rsidRPr="00247465" w:rsidRDefault="00CD2D39" w:rsidP="00FB2B60">
      <w:pPr>
        <w:pStyle w:val="MIRBodyText"/>
      </w:pPr>
      <w:r>
        <w:t>that Relevant Product</w:t>
      </w:r>
    </w:p>
    <w:p w:rsidR="00A32363" w:rsidRPr="00247465" w:rsidRDefault="00A32363" w:rsidP="00A32363">
      <w:pPr>
        <w:pStyle w:val="MIRHeading3"/>
      </w:pPr>
      <w:r w:rsidRPr="00247465">
        <w:t>[1</w:t>
      </w:r>
      <w:r w:rsidR="00091E1E">
        <w:t>3</w:t>
      </w:r>
      <w:r w:rsidR="00685827">
        <w:t>5</w:t>
      </w:r>
      <w:r w:rsidRPr="00247465">
        <w:t>]</w:t>
      </w:r>
      <w:r w:rsidRPr="00247465">
        <w:tab/>
      </w:r>
      <w:r w:rsidR="00667AB0">
        <w:t>Rule 7.3.1(b)</w:t>
      </w:r>
    </w:p>
    <w:p w:rsidR="00A32363" w:rsidRPr="00247465" w:rsidRDefault="00A32363" w:rsidP="00A32363">
      <w:pPr>
        <w:pStyle w:val="MIRBodyText"/>
        <w:rPr>
          <w:i/>
        </w:rPr>
      </w:pPr>
      <w:r w:rsidRPr="00247465">
        <w:rPr>
          <w:i/>
        </w:rPr>
        <w:t>omit</w:t>
      </w:r>
    </w:p>
    <w:p w:rsidR="00A32363" w:rsidRDefault="00667AB0" w:rsidP="00A32363">
      <w:pPr>
        <w:pStyle w:val="MIRBodyText"/>
      </w:pPr>
      <w:r>
        <w:t>Equity Market Products</w:t>
      </w:r>
    </w:p>
    <w:p w:rsidR="00A32363" w:rsidRPr="00247465" w:rsidRDefault="00A32363" w:rsidP="00A32363">
      <w:pPr>
        <w:pStyle w:val="MIRBodyText"/>
        <w:rPr>
          <w:i/>
        </w:rPr>
      </w:pPr>
      <w:r w:rsidRPr="00247465">
        <w:rPr>
          <w:i/>
        </w:rPr>
        <w:t>substitute</w:t>
      </w:r>
    </w:p>
    <w:p w:rsidR="00585602" w:rsidRDefault="00667AB0" w:rsidP="00585602">
      <w:pPr>
        <w:pStyle w:val="MIRBodyText"/>
      </w:pPr>
      <w:r>
        <w:t>Relevant Products</w:t>
      </w:r>
    </w:p>
    <w:p w:rsidR="00005C6A" w:rsidRPr="00247465" w:rsidRDefault="00005C6A" w:rsidP="00005C6A">
      <w:pPr>
        <w:pStyle w:val="MIRHeading3"/>
        <w:ind w:left="1695" w:hanging="1695"/>
      </w:pPr>
      <w:r w:rsidRPr="00247465">
        <w:t xml:space="preserve">Schedule </w:t>
      </w:r>
      <w:r>
        <w:t>2</w:t>
      </w:r>
      <w:r w:rsidRPr="00247465">
        <w:tab/>
      </w:r>
      <w:r w:rsidRPr="00247465">
        <w:tab/>
        <w:t>Amendments</w:t>
      </w:r>
      <w:r>
        <w:t xml:space="preserve"> to</w:t>
      </w:r>
      <w:r w:rsidR="00F8442A">
        <w:t xml:space="preserve"> Schedule 1 of</w:t>
      </w:r>
      <w:r>
        <w:t xml:space="preserve"> the </w:t>
      </w:r>
      <w:r w:rsidRPr="00005C6A">
        <w:rPr>
          <w:i/>
        </w:rPr>
        <w:t xml:space="preserve">ASIC Market Integrity Rules (Competition in Exchange Markets) </w:t>
      </w:r>
      <w:r>
        <w:rPr>
          <w:i/>
        </w:rPr>
        <w:t>Amendment 2012 (No. 1)</w:t>
      </w:r>
    </w:p>
    <w:p w:rsidR="00F8442A" w:rsidRDefault="00F8442A" w:rsidP="00F8442A">
      <w:pPr>
        <w:pStyle w:val="MIRHeading3"/>
      </w:pPr>
      <w:r w:rsidRPr="001D2F20">
        <w:t>[1]</w:t>
      </w:r>
      <w:r w:rsidRPr="001D2F20">
        <w:tab/>
        <w:t xml:space="preserve">Item [115] </w:t>
      </w:r>
    </w:p>
    <w:p w:rsidR="00F223F2" w:rsidRDefault="00332764" w:rsidP="00F8442A">
      <w:pPr>
        <w:pStyle w:val="MIRBodyText"/>
        <w:rPr>
          <w:i/>
        </w:rPr>
      </w:pPr>
      <w:r>
        <w:rPr>
          <w:i/>
        </w:rPr>
        <w:t xml:space="preserve">omit the Item, </w:t>
      </w:r>
      <w:r w:rsidR="00F223F2">
        <w:rPr>
          <w:i/>
        </w:rPr>
        <w:t>substitute</w:t>
      </w:r>
    </w:p>
    <w:p w:rsidR="00F223F2" w:rsidRPr="00F223F2" w:rsidRDefault="00F223F2" w:rsidP="00BA7CDC">
      <w:pPr>
        <w:pStyle w:val="MIRHeading3Rule"/>
        <w:ind w:hanging="1"/>
      </w:pPr>
      <w:r w:rsidRPr="00F223F2">
        <w:lastRenderedPageBreak/>
        <w:t>[115]</w:t>
      </w:r>
      <w:r w:rsidRPr="00F223F2">
        <w:tab/>
        <w:t>Paragraph 4.2.1(1)(c)</w:t>
      </w:r>
    </w:p>
    <w:p w:rsidR="00805D51" w:rsidRPr="00805D51" w:rsidRDefault="00F223F2" w:rsidP="00805D51">
      <w:pPr>
        <w:pStyle w:val="MIRBodyText"/>
        <w:rPr>
          <w:noProof/>
        </w:rPr>
      </w:pPr>
      <w:r w:rsidRPr="00805D51">
        <w:rPr>
          <w:i/>
        </w:rPr>
        <w:t>omit the paragraph, substitute</w:t>
      </w:r>
    </w:p>
    <w:p w:rsidR="00F223F2" w:rsidRPr="00805D51" w:rsidRDefault="00F223F2" w:rsidP="00805D51">
      <w:pPr>
        <w:pStyle w:val="MIRBodyText"/>
        <w:numPr>
          <w:ilvl w:val="1"/>
          <w:numId w:val="33"/>
        </w:numPr>
        <w:rPr>
          <w:noProof/>
        </w:rPr>
      </w:pPr>
      <w:r w:rsidRPr="00805D51">
        <w:rPr>
          <w:noProof/>
        </w:rPr>
        <w:t xml:space="preserve">the consideration for the Transaction is not less than: </w:t>
      </w:r>
    </w:p>
    <w:p w:rsidR="00F223F2" w:rsidRPr="00F223F2" w:rsidRDefault="00F223F2" w:rsidP="00F223F2">
      <w:pPr>
        <w:numPr>
          <w:ilvl w:val="2"/>
          <w:numId w:val="12"/>
        </w:numPr>
        <w:spacing w:before="100" w:after="0" w:line="300" w:lineRule="atLeast"/>
        <w:rPr>
          <w:szCs w:val="22"/>
        </w:rPr>
      </w:pPr>
      <w:r w:rsidRPr="00F223F2">
        <w:rPr>
          <w:szCs w:val="22"/>
        </w:rPr>
        <w:t xml:space="preserve">$1,000,000 or more for Tier 1 Equity Market Products; </w:t>
      </w:r>
    </w:p>
    <w:p w:rsidR="00F223F2" w:rsidRPr="00F223F2" w:rsidRDefault="00F223F2" w:rsidP="00F223F2">
      <w:pPr>
        <w:numPr>
          <w:ilvl w:val="2"/>
          <w:numId w:val="12"/>
        </w:numPr>
        <w:spacing w:before="100" w:after="0" w:line="300" w:lineRule="atLeast"/>
        <w:rPr>
          <w:szCs w:val="22"/>
        </w:rPr>
      </w:pPr>
      <w:r w:rsidRPr="00F223F2">
        <w:rPr>
          <w:szCs w:val="22"/>
        </w:rPr>
        <w:t xml:space="preserve">$500,000 or more for Tier 2 Equity Market Products; and </w:t>
      </w:r>
    </w:p>
    <w:p w:rsidR="00F223F2" w:rsidRDefault="00F223F2" w:rsidP="00F223F2">
      <w:pPr>
        <w:numPr>
          <w:ilvl w:val="2"/>
          <w:numId w:val="12"/>
        </w:numPr>
        <w:spacing w:before="100" w:after="0" w:line="300" w:lineRule="atLeast"/>
        <w:rPr>
          <w:szCs w:val="22"/>
        </w:rPr>
      </w:pPr>
      <w:r w:rsidRPr="00F223F2">
        <w:rPr>
          <w:szCs w:val="22"/>
        </w:rPr>
        <w:t>$200,000 or more for Tier 3 Equity Market Products</w:t>
      </w:r>
      <w:r>
        <w:rPr>
          <w:szCs w:val="22"/>
        </w:rPr>
        <w:t>; and</w:t>
      </w:r>
    </w:p>
    <w:p w:rsidR="00F223F2" w:rsidRPr="00F223F2" w:rsidRDefault="00F223F2" w:rsidP="00F223F2">
      <w:pPr>
        <w:numPr>
          <w:ilvl w:val="2"/>
          <w:numId w:val="12"/>
        </w:numPr>
        <w:spacing w:before="100" w:after="0" w:line="300" w:lineRule="atLeast"/>
        <w:rPr>
          <w:szCs w:val="22"/>
        </w:rPr>
      </w:pPr>
      <w:r w:rsidRPr="00F223F2">
        <w:rPr>
          <w:szCs w:val="22"/>
        </w:rPr>
        <w:t>$200,000 or more for CGS Depository Interests.</w:t>
      </w:r>
    </w:p>
    <w:p w:rsidR="002336F6" w:rsidRPr="003244AE" w:rsidRDefault="002336F6" w:rsidP="002336F6">
      <w:pPr>
        <w:pStyle w:val="MIRHeading3"/>
      </w:pPr>
      <w:r w:rsidRPr="003244AE">
        <w:t>[</w:t>
      </w:r>
      <w:r w:rsidR="00F223F2">
        <w:t>2</w:t>
      </w:r>
      <w:r w:rsidRPr="003244AE">
        <w:t>]</w:t>
      </w:r>
      <w:r w:rsidRPr="003244AE">
        <w:tab/>
        <w:t>Item [118]</w:t>
      </w:r>
    </w:p>
    <w:p w:rsidR="00BC446B" w:rsidRDefault="00332764" w:rsidP="003A67FA">
      <w:pPr>
        <w:pStyle w:val="MIRBodyText"/>
        <w:keepNext/>
        <w:rPr>
          <w:i/>
        </w:rPr>
      </w:pPr>
      <w:r>
        <w:rPr>
          <w:i/>
        </w:rPr>
        <w:t xml:space="preserve">omit the Item, </w:t>
      </w:r>
      <w:r w:rsidR="00BC446B">
        <w:rPr>
          <w:i/>
        </w:rPr>
        <w:t>substitute</w:t>
      </w:r>
    </w:p>
    <w:p w:rsidR="00BC446B" w:rsidRPr="003244AE" w:rsidRDefault="00BC446B" w:rsidP="00BA7CDC">
      <w:pPr>
        <w:pStyle w:val="MIRHeading3Rule"/>
        <w:ind w:hanging="1"/>
      </w:pPr>
      <w:r w:rsidRPr="003244AE">
        <w:t>[</w:t>
      </w:r>
      <w:r>
        <w:t>118</w:t>
      </w:r>
      <w:r w:rsidRPr="003244AE">
        <w:t>]</w:t>
      </w:r>
      <w:r w:rsidRPr="003244AE">
        <w:tab/>
        <w:t>Rule 4.2.3</w:t>
      </w:r>
    </w:p>
    <w:p w:rsidR="002336F6" w:rsidRDefault="008A6B51" w:rsidP="002336F6">
      <w:pPr>
        <w:pStyle w:val="MIRBodyText"/>
        <w:rPr>
          <w:i/>
        </w:rPr>
      </w:pPr>
      <w:r>
        <w:rPr>
          <w:i/>
        </w:rPr>
        <w:t>substitute</w:t>
      </w:r>
    </w:p>
    <w:p w:rsidR="008A6B51" w:rsidRDefault="008A6B51" w:rsidP="008A6B51">
      <w:pPr>
        <w:pStyle w:val="MIRHeading3"/>
        <w:ind w:hanging="1"/>
      </w:pPr>
      <w:r>
        <w:t xml:space="preserve">4.2.3 Exception—Trades with Price Improvement </w:t>
      </w:r>
    </w:p>
    <w:p w:rsidR="00A87540" w:rsidRDefault="008A6B51" w:rsidP="00A87540">
      <w:pPr>
        <w:pStyle w:val="MIRBodyText"/>
      </w:pPr>
      <w:r>
        <w:t xml:space="preserve">(1) In these Rules, a </w:t>
      </w:r>
      <w:r w:rsidRPr="00A87540">
        <w:t>Transaction</w:t>
      </w:r>
      <w:r>
        <w:t xml:space="preserve"> is a </w:t>
      </w:r>
      <w:r w:rsidRPr="00D602B6">
        <w:rPr>
          <w:b/>
          <w:i/>
        </w:rPr>
        <w:t>Trade with Price Improvement</w:t>
      </w:r>
      <w:r w:rsidRPr="00A87540">
        <w:t xml:space="preserve"> </w:t>
      </w:r>
      <w:r>
        <w:t xml:space="preserve">where: </w:t>
      </w:r>
    </w:p>
    <w:p w:rsidR="00A87540" w:rsidRDefault="008A6B51" w:rsidP="00A87540">
      <w:pPr>
        <w:pStyle w:val="MIRSubsubpara"/>
        <w:numPr>
          <w:ilvl w:val="1"/>
          <w:numId w:val="12"/>
        </w:numPr>
      </w:pPr>
      <w:r w:rsidRPr="008A6B51">
        <w:t xml:space="preserve">the Transaction is executed at a price per </w:t>
      </w:r>
      <w:r w:rsidR="009F5247">
        <w:t xml:space="preserve">Relevant </w:t>
      </w:r>
      <w:r w:rsidRPr="008A6B51">
        <w:t xml:space="preserve">Product which is: </w:t>
      </w:r>
    </w:p>
    <w:p w:rsidR="008A6B51" w:rsidRPr="00A87540" w:rsidRDefault="008A6B51" w:rsidP="00A87540">
      <w:pPr>
        <w:pStyle w:val="MIRSubsubpara"/>
      </w:pPr>
      <w:r w:rsidRPr="00A87540">
        <w:t xml:space="preserve">higher than the Best Available Bid and lower than the Best Available Offer </w:t>
      </w:r>
      <w:r w:rsidR="009F5247" w:rsidRPr="00A87540">
        <w:t xml:space="preserve">for the Relevant Product </w:t>
      </w:r>
      <w:r w:rsidRPr="00A87540">
        <w:t xml:space="preserve">by one or more Price Steps; or </w:t>
      </w:r>
    </w:p>
    <w:p w:rsidR="00A87540" w:rsidRPr="00A87540" w:rsidRDefault="008A6B51" w:rsidP="00A87540">
      <w:pPr>
        <w:pStyle w:val="MIRSubsubpara"/>
      </w:pPr>
      <w:r w:rsidRPr="00A87540">
        <w:t xml:space="preserve">at the Best Mid-Point; </w:t>
      </w:r>
    </w:p>
    <w:p w:rsidR="008A6B51" w:rsidRPr="008A6B51" w:rsidRDefault="008A6B51" w:rsidP="00A87540">
      <w:pPr>
        <w:pStyle w:val="MIRSubsubpara"/>
        <w:numPr>
          <w:ilvl w:val="1"/>
          <w:numId w:val="12"/>
        </w:numPr>
      </w:pPr>
      <w:r w:rsidRPr="008A6B51">
        <w:t xml:space="preserve">if the Transaction is entered into other than by matching of Orders on an Order Book, the Participant acts: </w:t>
      </w:r>
    </w:p>
    <w:p w:rsidR="008A6B51" w:rsidRPr="00F94AAA" w:rsidRDefault="008A6B51" w:rsidP="00A87540">
      <w:pPr>
        <w:pStyle w:val="MIRSubsubpara"/>
      </w:pPr>
      <w:r w:rsidRPr="00F94AAA">
        <w:t xml:space="preserve">on behalf of both buying and selling clients to that Transaction; or </w:t>
      </w:r>
    </w:p>
    <w:p w:rsidR="009F5247" w:rsidRDefault="008A6B51" w:rsidP="00A87540">
      <w:pPr>
        <w:pStyle w:val="MIRSubsubpara"/>
      </w:pPr>
      <w:r w:rsidRPr="00F94AAA">
        <w:t>on behalf of a buying or selling client on one side of that Transaction and as Principal on the other side</w:t>
      </w:r>
      <w:r w:rsidR="009F5247">
        <w:t>; and</w:t>
      </w:r>
    </w:p>
    <w:p w:rsidR="008A6B51" w:rsidRPr="00F94AAA" w:rsidRDefault="009F5247" w:rsidP="009F5247">
      <w:pPr>
        <w:pStyle w:val="MIRSubsubpara"/>
        <w:numPr>
          <w:ilvl w:val="1"/>
          <w:numId w:val="12"/>
        </w:numPr>
      </w:pPr>
      <w:r>
        <w:t>the consideration for the Transaction is greater than $0.</w:t>
      </w:r>
    </w:p>
    <w:p w:rsidR="008A6B51" w:rsidRDefault="008A6B51" w:rsidP="008A6B51">
      <w:pPr>
        <w:pStyle w:val="MIRBodyText"/>
      </w:pPr>
      <w:r>
        <w:t>(2) For the purposes of this Rule, the Best Mid-Point is not limited to standard Price Steps for the</w:t>
      </w:r>
      <w:r w:rsidR="00546ACE" w:rsidRPr="00546ACE">
        <w:rPr>
          <w:szCs w:val="20"/>
        </w:rPr>
        <w:t xml:space="preserve"> </w:t>
      </w:r>
      <w:r w:rsidR="00546ACE" w:rsidRPr="00546ACE">
        <w:t xml:space="preserve">Relevant </w:t>
      </w:r>
      <w:r w:rsidRPr="00546ACE">
        <w:t>Product</w:t>
      </w:r>
      <w:r>
        <w:t xml:space="preserve">. </w:t>
      </w:r>
    </w:p>
    <w:p w:rsidR="008A6B51" w:rsidRDefault="008A6B51" w:rsidP="008A6B51">
      <w:pPr>
        <w:pStyle w:val="MIRNote"/>
      </w:pPr>
      <w:r>
        <w:t xml:space="preserve">Note: There is no penalty for this Rule. </w:t>
      </w:r>
    </w:p>
    <w:sectPr w:rsidR="008A6B51" w:rsidSect="00DB22D2">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43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74F" w:rsidRDefault="0038474F">
      <w:r>
        <w:separator/>
      </w:r>
    </w:p>
  </w:endnote>
  <w:endnote w:type="continuationSeparator" w:id="0">
    <w:p w:rsidR="0038474F" w:rsidRDefault="003847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Default="00111EB1">
    <w:pPr>
      <w:pStyle w:val="Footer"/>
      <w:framePr w:wrap="around" w:vAnchor="text" w:hAnchor="margin" w:xAlign="right" w:y="1"/>
      <w:rPr>
        <w:rStyle w:val="PageNumber"/>
      </w:rPr>
    </w:pPr>
    <w:r>
      <w:rPr>
        <w:rStyle w:val="PageNumber"/>
      </w:rPr>
      <w:fldChar w:fldCharType="begin"/>
    </w:r>
    <w:r w:rsidR="00FF0602">
      <w:rPr>
        <w:rStyle w:val="PageNumber"/>
      </w:rPr>
      <w:instrText xml:space="preserve">PAGE  </w:instrText>
    </w:r>
    <w:r>
      <w:rPr>
        <w:rStyle w:val="PageNumber"/>
      </w:rPr>
      <w:fldChar w:fldCharType="separate"/>
    </w:r>
    <w:r w:rsidR="00FF0602">
      <w:rPr>
        <w:rStyle w:val="PageNumber"/>
        <w:noProof/>
      </w:rPr>
      <w:t>38</w:t>
    </w:r>
    <w:r>
      <w:rPr>
        <w:rStyle w:val="PageNumber"/>
      </w:rPr>
      <w:fldChar w:fldCharType="end"/>
    </w:r>
  </w:p>
  <w:p w:rsidR="00FF0602" w:rsidRDefault="00FF0602"/>
  <w:p w:rsidR="00FF0602" w:rsidRDefault="00FF0602"/>
  <w:p w:rsidR="00FF0602" w:rsidRDefault="00FF06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Pr="002D0882" w:rsidRDefault="00FF0602" w:rsidP="002D0882">
    <w:pPr>
      <w:pStyle w:val="Footer"/>
      <w:pBdr>
        <w:top w:val="single" w:sz="4" w:space="1" w:color="auto"/>
      </w:pBdr>
      <w:tabs>
        <w:tab w:val="clear" w:pos="9070"/>
        <w:tab w:val="right" w:pos="9072"/>
      </w:tabs>
      <w:rPr>
        <w:b/>
      </w:rPr>
    </w:pPr>
    <w:r>
      <w:tab/>
    </w:r>
    <w:r w:rsidRPr="002D0882">
      <w:t xml:space="preserve"> Page </w:t>
    </w:r>
    <w:r w:rsidR="00111EB1" w:rsidRPr="002D0882">
      <w:rPr>
        <w:rStyle w:val="PageNumber"/>
        <w:sz w:val="16"/>
      </w:rPr>
      <w:fldChar w:fldCharType="begin"/>
    </w:r>
    <w:r w:rsidRPr="002D0882">
      <w:rPr>
        <w:rStyle w:val="PageNumber"/>
        <w:sz w:val="16"/>
      </w:rPr>
      <w:instrText xml:space="preserve"> PAGE </w:instrText>
    </w:r>
    <w:r w:rsidR="00111EB1" w:rsidRPr="002D0882">
      <w:rPr>
        <w:rStyle w:val="PageNumber"/>
        <w:sz w:val="16"/>
      </w:rPr>
      <w:fldChar w:fldCharType="separate"/>
    </w:r>
    <w:r w:rsidR="00D81642">
      <w:rPr>
        <w:rStyle w:val="PageNumber"/>
        <w:noProof/>
        <w:sz w:val="16"/>
      </w:rPr>
      <w:t>27</w:t>
    </w:r>
    <w:r w:rsidR="00111EB1" w:rsidRPr="002D0882">
      <w:rPr>
        <w:rStyle w:val="PageNumbe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Pr="00FF707D" w:rsidRDefault="00FF0602" w:rsidP="00851E1A">
    <w:pPr>
      <w:pStyle w:val="Footer"/>
      <w:pBdr>
        <w:top w:val="single" w:sz="4" w:space="1" w:color="117DC7"/>
      </w:pBdr>
      <w:rPr>
        <w:b/>
        <w:color w:val="117DC7"/>
      </w:rPr>
    </w:pPr>
    <w:r>
      <w:rPr>
        <w:color w:val="117DC7"/>
      </w:rPr>
      <w:tab/>
    </w:r>
    <w:r w:rsidRPr="00FF707D">
      <w:rPr>
        <w:b/>
        <w:color w:val="117DC7"/>
      </w:rPr>
      <w:t xml:space="preserve">Page </w:t>
    </w:r>
    <w:r w:rsidR="00111EB1" w:rsidRPr="00FF707D">
      <w:rPr>
        <w:rStyle w:val="PageNumber"/>
        <w:b w:val="0"/>
        <w:color w:val="117DC7"/>
        <w:sz w:val="16"/>
      </w:rPr>
      <w:fldChar w:fldCharType="begin"/>
    </w:r>
    <w:r w:rsidRPr="00FF707D">
      <w:rPr>
        <w:rStyle w:val="PageNumber"/>
        <w:b w:val="0"/>
        <w:color w:val="117DC7"/>
        <w:sz w:val="16"/>
      </w:rPr>
      <w:instrText xml:space="preserve"> PAGE </w:instrText>
    </w:r>
    <w:r w:rsidR="00111EB1" w:rsidRPr="00FF707D">
      <w:rPr>
        <w:rStyle w:val="PageNumber"/>
        <w:b w:val="0"/>
        <w:color w:val="117DC7"/>
        <w:sz w:val="16"/>
      </w:rPr>
      <w:fldChar w:fldCharType="separate"/>
    </w:r>
    <w:r>
      <w:rPr>
        <w:rStyle w:val="PageNumber"/>
        <w:b w:val="0"/>
        <w:noProof/>
        <w:color w:val="117DC7"/>
        <w:sz w:val="16"/>
      </w:rPr>
      <w:t>1</w:t>
    </w:r>
    <w:r w:rsidR="00111EB1" w:rsidRPr="00FF707D">
      <w:rPr>
        <w:rStyle w:val="PageNumber"/>
        <w:b w:val="0"/>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74F" w:rsidRDefault="0038474F">
      <w:r>
        <w:separator/>
      </w:r>
    </w:p>
  </w:footnote>
  <w:footnote w:type="continuationSeparator" w:id="0">
    <w:p w:rsidR="0038474F" w:rsidRDefault="00384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Default="00FF0602"/>
  <w:p w:rsidR="00FF0602" w:rsidRDefault="00FF060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Pr="007F42C2" w:rsidRDefault="00111EB1" w:rsidP="00DB22D2">
    <w:pPr>
      <w:pStyle w:val="Footer"/>
      <w:pBdr>
        <w:bottom w:val="single" w:sz="4" w:space="1" w:color="auto"/>
      </w:pBdr>
      <w:rPr>
        <w:color w:val="117DC7"/>
        <w:spacing w:val="-2"/>
      </w:rPr>
    </w:pPr>
    <w:fldSimple w:instr=" DOCPROPERTY  &quot;Document title&quot;  \* MERGEFORMAT ">
      <w:r w:rsidR="0086330D">
        <w:t>ASIC Market integrity Rules (Competition in Exchange Markets) Amendment 2013 (No. 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02" w:rsidRPr="00280D22" w:rsidRDefault="00FF0602" w:rsidP="00280D2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05D43"/>
    <w:multiLevelType w:val="multilevel"/>
    <w:tmpl w:val="426A642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E0C6808"/>
    <w:multiLevelType w:val="multilevel"/>
    <w:tmpl w:val="6B32FC2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22832DA5"/>
    <w:multiLevelType w:val="multilevel"/>
    <w:tmpl w:val="592C4D0C"/>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041993"/>
    <w:multiLevelType w:val="multilevel"/>
    <w:tmpl w:val="4680F51A"/>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1A16DCD"/>
    <w:multiLevelType w:val="multilevel"/>
    <w:tmpl w:val="633A2134"/>
    <w:lvl w:ilvl="0">
      <w:start w:val="1"/>
      <w:numFmt w:val="lowerLetter"/>
      <w:pStyle w:val="MIRSubpara"/>
      <w:lvlText w:val="(%1)"/>
      <w:lvlJc w:val="left"/>
      <w:pPr>
        <w:ind w:left="1276" w:hanging="425"/>
      </w:pPr>
      <w:rPr>
        <w:rFonts w:hint="default"/>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nsid w:val="7A04370D"/>
    <w:multiLevelType w:val="hybridMultilevel"/>
    <w:tmpl w:val="94749C48"/>
    <w:lvl w:ilvl="0" w:tplc="F8E06F9A">
      <w:start w:val="1"/>
      <w:numFmt w:val="bullet"/>
      <w:pStyle w:val="Listdash"/>
      <w:lvlText w:val=""/>
      <w:lvlJc w:val="left"/>
      <w:pPr>
        <w:tabs>
          <w:tab w:val="num" w:pos="3119"/>
        </w:tabs>
        <w:ind w:left="3119" w:hanging="426"/>
      </w:pPr>
      <w:rPr>
        <w:rFonts w:ascii="Symbol" w:hAnsi="Symbol" w:hint="default"/>
      </w:rPr>
    </w:lvl>
    <w:lvl w:ilvl="1" w:tplc="E92248F6" w:tentative="1">
      <w:start w:val="1"/>
      <w:numFmt w:val="bullet"/>
      <w:lvlText w:val="o"/>
      <w:lvlJc w:val="left"/>
      <w:pPr>
        <w:tabs>
          <w:tab w:val="num" w:pos="1440"/>
        </w:tabs>
        <w:ind w:left="1440" w:hanging="360"/>
      </w:pPr>
      <w:rPr>
        <w:rFonts w:ascii="Courier New" w:hAnsi="Courier New" w:cs="Courier New" w:hint="default"/>
      </w:rPr>
    </w:lvl>
    <w:lvl w:ilvl="2" w:tplc="72C67084" w:tentative="1">
      <w:start w:val="1"/>
      <w:numFmt w:val="bullet"/>
      <w:lvlText w:val=""/>
      <w:lvlJc w:val="left"/>
      <w:pPr>
        <w:tabs>
          <w:tab w:val="num" w:pos="2160"/>
        </w:tabs>
        <w:ind w:left="2160" w:hanging="360"/>
      </w:pPr>
      <w:rPr>
        <w:rFonts w:ascii="Wingdings" w:hAnsi="Wingdings" w:hint="default"/>
      </w:rPr>
    </w:lvl>
    <w:lvl w:ilvl="3" w:tplc="D23499BC" w:tentative="1">
      <w:start w:val="1"/>
      <w:numFmt w:val="bullet"/>
      <w:lvlText w:val=""/>
      <w:lvlJc w:val="left"/>
      <w:pPr>
        <w:tabs>
          <w:tab w:val="num" w:pos="2880"/>
        </w:tabs>
        <w:ind w:left="2880" w:hanging="360"/>
      </w:pPr>
      <w:rPr>
        <w:rFonts w:ascii="Symbol" w:hAnsi="Symbol" w:hint="default"/>
      </w:rPr>
    </w:lvl>
    <w:lvl w:ilvl="4" w:tplc="63A66CFC" w:tentative="1">
      <w:start w:val="1"/>
      <w:numFmt w:val="bullet"/>
      <w:lvlText w:val="o"/>
      <w:lvlJc w:val="left"/>
      <w:pPr>
        <w:tabs>
          <w:tab w:val="num" w:pos="3600"/>
        </w:tabs>
        <w:ind w:left="3600" w:hanging="360"/>
      </w:pPr>
      <w:rPr>
        <w:rFonts w:ascii="Courier New" w:hAnsi="Courier New" w:cs="Courier New" w:hint="default"/>
      </w:rPr>
    </w:lvl>
    <w:lvl w:ilvl="5" w:tplc="6180E888" w:tentative="1">
      <w:start w:val="1"/>
      <w:numFmt w:val="bullet"/>
      <w:lvlText w:val=""/>
      <w:lvlJc w:val="left"/>
      <w:pPr>
        <w:tabs>
          <w:tab w:val="num" w:pos="4320"/>
        </w:tabs>
        <w:ind w:left="4320" w:hanging="360"/>
      </w:pPr>
      <w:rPr>
        <w:rFonts w:ascii="Wingdings" w:hAnsi="Wingdings" w:hint="default"/>
      </w:rPr>
    </w:lvl>
    <w:lvl w:ilvl="6" w:tplc="3FD2DED8" w:tentative="1">
      <w:start w:val="1"/>
      <w:numFmt w:val="bullet"/>
      <w:lvlText w:val=""/>
      <w:lvlJc w:val="left"/>
      <w:pPr>
        <w:tabs>
          <w:tab w:val="num" w:pos="5040"/>
        </w:tabs>
        <w:ind w:left="5040" w:hanging="360"/>
      </w:pPr>
      <w:rPr>
        <w:rFonts w:ascii="Symbol" w:hAnsi="Symbol" w:hint="default"/>
      </w:rPr>
    </w:lvl>
    <w:lvl w:ilvl="7" w:tplc="C4B03C36" w:tentative="1">
      <w:start w:val="1"/>
      <w:numFmt w:val="bullet"/>
      <w:lvlText w:val="o"/>
      <w:lvlJc w:val="left"/>
      <w:pPr>
        <w:tabs>
          <w:tab w:val="num" w:pos="5760"/>
        </w:tabs>
        <w:ind w:left="5760" w:hanging="360"/>
      </w:pPr>
      <w:rPr>
        <w:rFonts w:ascii="Courier New" w:hAnsi="Courier New" w:cs="Courier New" w:hint="default"/>
      </w:rPr>
    </w:lvl>
    <w:lvl w:ilvl="8" w:tplc="30A6A53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10"/>
  </w:num>
  <w:num w:numId="6">
    <w:abstractNumId w:val="5"/>
  </w:num>
  <w:num w:numId="7">
    <w:abstractNumId w:val="3"/>
  </w:num>
  <w:num w:numId="8">
    <w:abstractNumId w:val="14"/>
  </w:num>
  <w:num w:numId="9">
    <w:abstractNumId w:val="8"/>
  </w:num>
  <w:num w:numId="10">
    <w:abstractNumId w:val="9"/>
  </w:num>
  <w:num w:numId="11">
    <w:abstractNumId w:val="0"/>
  </w:num>
  <w:num w:numId="12">
    <w:abstractNumId w:val="4"/>
  </w:num>
  <w:num w:numId="13">
    <w:abstractNumId w:val="13"/>
  </w:num>
  <w:num w:numId="14">
    <w:abstractNumId w:val="4"/>
    <w:lvlOverride w:ilvl="0">
      <w:startOverride w:val="2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3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30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num>
  <w:num w:numId="33">
    <w:abstractNumId w:val="4"/>
    <w:lvlOverride w:ilvl="0">
      <w:startOverride w:val="3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468994">
      <o:colormru v:ext="edit" colors="#00a8d0,#008eb0,#1492e8,#1287d6,#117dc7,#c2e3fa"/>
      <o:colormenu v:ext="edit" fillcolor="none" strokecolor="none"/>
    </o:shapedefaults>
  </w:hdrShapeDefaults>
  <w:footnotePr>
    <w:footnote w:id="-1"/>
    <w:footnote w:id="0"/>
  </w:footnotePr>
  <w:endnotePr>
    <w:endnote w:id="-1"/>
    <w:endnote w:id="0"/>
  </w:endnotePr>
  <w:compat/>
  <w:rsids>
    <w:rsidRoot w:val="00FF6928"/>
    <w:rsid w:val="0000024D"/>
    <w:rsid w:val="00000EA6"/>
    <w:rsid w:val="0000238A"/>
    <w:rsid w:val="00003127"/>
    <w:rsid w:val="00003E12"/>
    <w:rsid w:val="0000469A"/>
    <w:rsid w:val="00004971"/>
    <w:rsid w:val="00005C6A"/>
    <w:rsid w:val="00006D48"/>
    <w:rsid w:val="000107CB"/>
    <w:rsid w:val="00010C1B"/>
    <w:rsid w:val="00010DA1"/>
    <w:rsid w:val="00010ECE"/>
    <w:rsid w:val="0001107A"/>
    <w:rsid w:val="00011F33"/>
    <w:rsid w:val="00012B7D"/>
    <w:rsid w:val="000131C6"/>
    <w:rsid w:val="00013DCD"/>
    <w:rsid w:val="00013F30"/>
    <w:rsid w:val="00014E58"/>
    <w:rsid w:val="00015821"/>
    <w:rsid w:val="00015F44"/>
    <w:rsid w:val="000161CA"/>
    <w:rsid w:val="00016529"/>
    <w:rsid w:val="00016F53"/>
    <w:rsid w:val="00017C1B"/>
    <w:rsid w:val="00017F8B"/>
    <w:rsid w:val="00020843"/>
    <w:rsid w:val="00020D9D"/>
    <w:rsid w:val="000224EA"/>
    <w:rsid w:val="0002469D"/>
    <w:rsid w:val="000246FA"/>
    <w:rsid w:val="00024AFA"/>
    <w:rsid w:val="00024F9A"/>
    <w:rsid w:val="00024FCD"/>
    <w:rsid w:val="00025408"/>
    <w:rsid w:val="000274CF"/>
    <w:rsid w:val="00027575"/>
    <w:rsid w:val="0003048F"/>
    <w:rsid w:val="000308C1"/>
    <w:rsid w:val="000309B6"/>
    <w:rsid w:val="000313DD"/>
    <w:rsid w:val="00031EAE"/>
    <w:rsid w:val="00032B25"/>
    <w:rsid w:val="00033407"/>
    <w:rsid w:val="00034081"/>
    <w:rsid w:val="00035CCF"/>
    <w:rsid w:val="000361FE"/>
    <w:rsid w:val="00036925"/>
    <w:rsid w:val="00036AFE"/>
    <w:rsid w:val="00036D43"/>
    <w:rsid w:val="000371B4"/>
    <w:rsid w:val="00040574"/>
    <w:rsid w:val="00040B94"/>
    <w:rsid w:val="000413F9"/>
    <w:rsid w:val="0004333A"/>
    <w:rsid w:val="00043955"/>
    <w:rsid w:val="0004445D"/>
    <w:rsid w:val="00044607"/>
    <w:rsid w:val="00044618"/>
    <w:rsid w:val="00044E4A"/>
    <w:rsid w:val="00046D3C"/>
    <w:rsid w:val="00050329"/>
    <w:rsid w:val="00051223"/>
    <w:rsid w:val="000522E2"/>
    <w:rsid w:val="000529D2"/>
    <w:rsid w:val="00054732"/>
    <w:rsid w:val="00054F95"/>
    <w:rsid w:val="00057513"/>
    <w:rsid w:val="00057B46"/>
    <w:rsid w:val="00060D32"/>
    <w:rsid w:val="000627CC"/>
    <w:rsid w:val="000627F7"/>
    <w:rsid w:val="00062A2B"/>
    <w:rsid w:val="00063406"/>
    <w:rsid w:val="00063D59"/>
    <w:rsid w:val="00063DA6"/>
    <w:rsid w:val="00064274"/>
    <w:rsid w:val="000647B4"/>
    <w:rsid w:val="000666BA"/>
    <w:rsid w:val="000667D5"/>
    <w:rsid w:val="00066B3A"/>
    <w:rsid w:val="00067627"/>
    <w:rsid w:val="000703E8"/>
    <w:rsid w:val="00070996"/>
    <w:rsid w:val="000709CF"/>
    <w:rsid w:val="00070B11"/>
    <w:rsid w:val="00070B8F"/>
    <w:rsid w:val="00070E20"/>
    <w:rsid w:val="0007105D"/>
    <w:rsid w:val="000717B9"/>
    <w:rsid w:val="00072664"/>
    <w:rsid w:val="0007283D"/>
    <w:rsid w:val="00072841"/>
    <w:rsid w:val="0007285E"/>
    <w:rsid w:val="00074196"/>
    <w:rsid w:val="0007519C"/>
    <w:rsid w:val="000751E0"/>
    <w:rsid w:val="000755B8"/>
    <w:rsid w:val="00075A77"/>
    <w:rsid w:val="00075DEE"/>
    <w:rsid w:val="00076060"/>
    <w:rsid w:val="00076119"/>
    <w:rsid w:val="000818FB"/>
    <w:rsid w:val="00081DF3"/>
    <w:rsid w:val="0008272C"/>
    <w:rsid w:val="00082B2E"/>
    <w:rsid w:val="00084371"/>
    <w:rsid w:val="0008450F"/>
    <w:rsid w:val="000849A6"/>
    <w:rsid w:val="00086D4F"/>
    <w:rsid w:val="000872C7"/>
    <w:rsid w:val="0008774F"/>
    <w:rsid w:val="00091B15"/>
    <w:rsid w:val="00091E1E"/>
    <w:rsid w:val="00092EFE"/>
    <w:rsid w:val="00093ACD"/>
    <w:rsid w:val="00094116"/>
    <w:rsid w:val="00096097"/>
    <w:rsid w:val="00096A92"/>
    <w:rsid w:val="00096C41"/>
    <w:rsid w:val="000A0519"/>
    <w:rsid w:val="000A0637"/>
    <w:rsid w:val="000A0719"/>
    <w:rsid w:val="000A076D"/>
    <w:rsid w:val="000A256A"/>
    <w:rsid w:val="000A5AAE"/>
    <w:rsid w:val="000A5C6B"/>
    <w:rsid w:val="000A64BD"/>
    <w:rsid w:val="000A6908"/>
    <w:rsid w:val="000A6966"/>
    <w:rsid w:val="000B062C"/>
    <w:rsid w:val="000B09D4"/>
    <w:rsid w:val="000B0C37"/>
    <w:rsid w:val="000B1BCC"/>
    <w:rsid w:val="000B1F5D"/>
    <w:rsid w:val="000B4123"/>
    <w:rsid w:val="000B5E5D"/>
    <w:rsid w:val="000B618D"/>
    <w:rsid w:val="000B65DC"/>
    <w:rsid w:val="000B70CE"/>
    <w:rsid w:val="000B739D"/>
    <w:rsid w:val="000B7A61"/>
    <w:rsid w:val="000C087E"/>
    <w:rsid w:val="000C1B15"/>
    <w:rsid w:val="000C1D07"/>
    <w:rsid w:val="000C1F5E"/>
    <w:rsid w:val="000C449D"/>
    <w:rsid w:val="000C6B75"/>
    <w:rsid w:val="000C7B9D"/>
    <w:rsid w:val="000D1430"/>
    <w:rsid w:val="000D1521"/>
    <w:rsid w:val="000D19E0"/>
    <w:rsid w:val="000D1A7B"/>
    <w:rsid w:val="000D2E3F"/>
    <w:rsid w:val="000D2F41"/>
    <w:rsid w:val="000D429C"/>
    <w:rsid w:val="000D42C0"/>
    <w:rsid w:val="000D6059"/>
    <w:rsid w:val="000D6DEF"/>
    <w:rsid w:val="000D72F9"/>
    <w:rsid w:val="000E0AC0"/>
    <w:rsid w:val="000E0BD1"/>
    <w:rsid w:val="000E1BE3"/>
    <w:rsid w:val="000E23DD"/>
    <w:rsid w:val="000E25E0"/>
    <w:rsid w:val="000E31AA"/>
    <w:rsid w:val="000E4144"/>
    <w:rsid w:val="000E4D03"/>
    <w:rsid w:val="000E51DD"/>
    <w:rsid w:val="000E5521"/>
    <w:rsid w:val="000E5966"/>
    <w:rsid w:val="000E6590"/>
    <w:rsid w:val="000E68F0"/>
    <w:rsid w:val="000E70CF"/>
    <w:rsid w:val="000F073B"/>
    <w:rsid w:val="000F15BA"/>
    <w:rsid w:val="000F1DF2"/>
    <w:rsid w:val="000F24CA"/>
    <w:rsid w:val="000F2674"/>
    <w:rsid w:val="000F51C1"/>
    <w:rsid w:val="000F6EE3"/>
    <w:rsid w:val="000F71B6"/>
    <w:rsid w:val="001008C6"/>
    <w:rsid w:val="00100FE7"/>
    <w:rsid w:val="0010122F"/>
    <w:rsid w:val="0010466E"/>
    <w:rsid w:val="00105B9F"/>
    <w:rsid w:val="00106069"/>
    <w:rsid w:val="001064EC"/>
    <w:rsid w:val="00106E2A"/>
    <w:rsid w:val="00107DC4"/>
    <w:rsid w:val="0011001A"/>
    <w:rsid w:val="00110DE9"/>
    <w:rsid w:val="00110F27"/>
    <w:rsid w:val="00111AFF"/>
    <w:rsid w:val="00111EB1"/>
    <w:rsid w:val="00111EE8"/>
    <w:rsid w:val="0011593C"/>
    <w:rsid w:val="001163E0"/>
    <w:rsid w:val="001172AD"/>
    <w:rsid w:val="00117B89"/>
    <w:rsid w:val="00120F66"/>
    <w:rsid w:val="00123B94"/>
    <w:rsid w:val="001247F2"/>
    <w:rsid w:val="001258BA"/>
    <w:rsid w:val="00126B5D"/>
    <w:rsid w:val="001273EF"/>
    <w:rsid w:val="00130BA7"/>
    <w:rsid w:val="0013109F"/>
    <w:rsid w:val="00131579"/>
    <w:rsid w:val="001326DA"/>
    <w:rsid w:val="001328ED"/>
    <w:rsid w:val="00132C84"/>
    <w:rsid w:val="00132E31"/>
    <w:rsid w:val="00133650"/>
    <w:rsid w:val="001340B0"/>
    <w:rsid w:val="001366A8"/>
    <w:rsid w:val="00136A75"/>
    <w:rsid w:val="001370E7"/>
    <w:rsid w:val="00137849"/>
    <w:rsid w:val="001404DA"/>
    <w:rsid w:val="00140E0D"/>
    <w:rsid w:val="0014139B"/>
    <w:rsid w:val="00141641"/>
    <w:rsid w:val="00141E88"/>
    <w:rsid w:val="00142639"/>
    <w:rsid w:val="0014270C"/>
    <w:rsid w:val="00142D89"/>
    <w:rsid w:val="00143C4A"/>
    <w:rsid w:val="00144396"/>
    <w:rsid w:val="001446F2"/>
    <w:rsid w:val="00144FF0"/>
    <w:rsid w:val="001452BF"/>
    <w:rsid w:val="00147DCB"/>
    <w:rsid w:val="00151963"/>
    <w:rsid w:val="00151D20"/>
    <w:rsid w:val="0015270E"/>
    <w:rsid w:val="00152B1B"/>
    <w:rsid w:val="00154D5D"/>
    <w:rsid w:val="00154F00"/>
    <w:rsid w:val="00155329"/>
    <w:rsid w:val="001558C0"/>
    <w:rsid w:val="00155DAE"/>
    <w:rsid w:val="001564C9"/>
    <w:rsid w:val="00157078"/>
    <w:rsid w:val="0015773C"/>
    <w:rsid w:val="0016069F"/>
    <w:rsid w:val="001613BA"/>
    <w:rsid w:val="00162BC3"/>
    <w:rsid w:val="00164CFF"/>
    <w:rsid w:val="00165521"/>
    <w:rsid w:val="001658FA"/>
    <w:rsid w:val="0016596D"/>
    <w:rsid w:val="00165C41"/>
    <w:rsid w:val="001679FD"/>
    <w:rsid w:val="00167BDF"/>
    <w:rsid w:val="00172916"/>
    <w:rsid w:val="00172A35"/>
    <w:rsid w:val="00173307"/>
    <w:rsid w:val="001739E5"/>
    <w:rsid w:val="00174AEB"/>
    <w:rsid w:val="001769FF"/>
    <w:rsid w:val="0017727F"/>
    <w:rsid w:val="001772B7"/>
    <w:rsid w:val="00177523"/>
    <w:rsid w:val="00177899"/>
    <w:rsid w:val="001809B0"/>
    <w:rsid w:val="001818ED"/>
    <w:rsid w:val="00181FF1"/>
    <w:rsid w:val="00182C0E"/>
    <w:rsid w:val="00183138"/>
    <w:rsid w:val="00183B9E"/>
    <w:rsid w:val="00184A1E"/>
    <w:rsid w:val="00185769"/>
    <w:rsid w:val="0018619A"/>
    <w:rsid w:val="00186266"/>
    <w:rsid w:val="00186C42"/>
    <w:rsid w:val="00186C53"/>
    <w:rsid w:val="001873BC"/>
    <w:rsid w:val="00187530"/>
    <w:rsid w:val="001875AA"/>
    <w:rsid w:val="00190150"/>
    <w:rsid w:val="00190B8E"/>
    <w:rsid w:val="00192411"/>
    <w:rsid w:val="00193134"/>
    <w:rsid w:val="001935FC"/>
    <w:rsid w:val="001941E3"/>
    <w:rsid w:val="001957BA"/>
    <w:rsid w:val="00197B81"/>
    <w:rsid w:val="001A0E7D"/>
    <w:rsid w:val="001A13D6"/>
    <w:rsid w:val="001A255D"/>
    <w:rsid w:val="001A27C7"/>
    <w:rsid w:val="001A2A9C"/>
    <w:rsid w:val="001A403D"/>
    <w:rsid w:val="001B00CE"/>
    <w:rsid w:val="001B0E98"/>
    <w:rsid w:val="001B167A"/>
    <w:rsid w:val="001B206E"/>
    <w:rsid w:val="001B22D7"/>
    <w:rsid w:val="001B2B81"/>
    <w:rsid w:val="001B309C"/>
    <w:rsid w:val="001B3569"/>
    <w:rsid w:val="001B37F5"/>
    <w:rsid w:val="001B3F7A"/>
    <w:rsid w:val="001B410F"/>
    <w:rsid w:val="001B4303"/>
    <w:rsid w:val="001B4BBE"/>
    <w:rsid w:val="001B56AF"/>
    <w:rsid w:val="001B614B"/>
    <w:rsid w:val="001B6698"/>
    <w:rsid w:val="001B6988"/>
    <w:rsid w:val="001B7C47"/>
    <w:rsid w:val="001C01BF"/>
    <w:rsid w:val="001C0595"/>
    <w:rsid w:val="001C1168"/>
    <w:rsid w:val="001C13AD"/>
    <w:rsid w:val="001C1BC4"/>
    <w:rsid w:val="001C1F7B"/>
    <w:rsid w:val="001C2A76"/>
    <w:rsid w:val="001C32F8"/>
    <w:rsid w:val="001C3511"/>
    <w:rsid w:val="001C355E"/>
    <w:rsid w:val="001C459F"/>
    <w:rsid w:val="001C4ABF"/>
    <w:rsid w:val="001C5C25"/>
    <w:rsid w:val="001C60BB"/>
    <w:rsid w:val="001C71FA"/>
    <w:rsid w:val="001C7B9C"/>
    <w:rsid w:val="001D0387"/>
    <w:rsid w:val="001D2F20"/>
    <w:rsid w:val="001D32E3"/>
    <w:rsid w:val="001D3A19"/>
    <w:rsid w:val="001D4271"/>
    <w:rsid w:val="001D4C90"/>
    <w:rsid w:val="001D7177"/>
    <w:rsid w:val="001D72C4"/>
    <w:rsid w:val="001D79A1"/>
    <w:rsid w:val="001E09F8"/>
    <w:rsid w:val="001E0C56"/>
    <w:rsid w:val="001E1599"/>
    <w:rsid w:val="001E21A6"/>
    <w:rsid w:val="001E2811"/>
    <w:rsid w:val="001E3075"/>
    <w:rsid w:val="001E34B8"/>
    <w:rsid w:val="001E5A31"/>
    <w:rsid w:val="001E62CC"/>
    <w:rsid w:val="001E642C"/>
    <w:rsid w:val="001E6E2C"/>
    <w:rsid w:val="001E7208"/>
    <w:rsid w:val="001E7780"/>
    <w:rsid w:val="001E7C80"/>
    <w:rsid w:val="001F0383"/>
    <w:rsid w:val="001F065D"/>
    <w:rsid w:val="001F24F3"/>
    <w:rsid w:val="001F3F20"/>
    <w:rsid w:val="001F5CC8"/>
    <w:rsid w:val="001F5E9A"/>
    <w:rsid w:val="001F61D7"/>
    <w:rsid w:val="001F66FD"/>
    <w:rsid w:val="001F67F0"/>
    <w:rsid w:val="001F6898"/>
    <w:rsid w:val="001F7EB8"/>
    <w:rsid w:val="00200884"/>
    <w:rsid w:val="00200E6B"/>
    <w:rsid w:val="00201526"/>
    <w:rsid w:val="002015CA"/>
    <w:rsid w:val="002018E6"/>
    <w:rsid w:val="00201C51"/>
    <w:rsid w:val="00203A34"/>
    <w:rsid w:val="002044B7"/>
    <w:rsid w:val="002063D0"/>
    <w:rsid w:val="002074D6"/>
    <w:rsid w:val="00207632"/>
    <w:rsid w:val="0021194F"/>
    <w:rsid w:val="00212048"/>
    <w:rsid w:val="00212084"/>
    <w:rsid w:val="002120BA"/>
    <w:rsid w:val="00213355"/>
    <w:rsid w:val="00214516"/>
    <w:rsid w:val="002148BC"/>
    <w:rsid w:val="00214C17"/>
    <w:rsid w:val="002153A0"/>
    <w:rsid w:val="00216A51"/>
    <w:rsid w:val="00216CEC"/>
    <w:rsid w:val="00217BDC"/>
    <w:rsid w:val="00221D2F"/>
    <w:rsid w:val="00222484"/>
    <w:rsid w:val="00222ED9"/>
    <w:rsid w:val="00223206"/>
    <w:rsid w:val="00223795"/>
    <w:rsid w:val="002257FA"/>
    <w:rsid w:val="002261B2"/>
    <w:rsid w:val="00226592"/>
    <w:rsid w:val="00226D62"/>
    <w:rsid w:val="00227656"/>
    <w:rsid w:val="00227FB1"/>
    <w:rsid w:val="0023057E"/>
    <w:rsid w:val="00230608"/>
    <w:rsid w:val="002323A4"/>
    <w:rsid w:val="002336F6"/>
    <w:rsid w:val="00234711"/>
    <w:rsid w:val="00235619"/>
    <w:rsid w:val="00236FDA"/>
    <w:rsid w:val="00237072"/>
    <w:rsid w:val="00237437"/>
    <w:rsid w:val="002411F9"/>
    <w:rsid w:val="0024183E"/>
    <w:rsid w:val="00242A7D"/>
    <w:rsid w:val="00242DE5"/>
    <w:rsid w:val="00242F95"/>
    <w:rsid w:val="002432B3"/>
    <w:rsid w:val="00243449"/>
    <w:rsid w:val="0024387E"/>
    <w:rsid w:val="002441C7"/>
    <w:rsid w:val="00244618"/>
    <w:rsid w:val="002452A7"/>
    <w:rsid w:val="002455B2"/>
    <w:rsid w:val="0024647F"/>
    <w:rsid w:val="00247465"/>
    <w:rsid w:val="00247AAB"/>
    <w:rsid w:val="00250D6E"/>
    <w:rsid w:val="00251960"/>
    <w:rsid w:val="0025214C"/>
    <w:rsid w:val="002536A4"/>
    <w:rsid w:val="00253CF7"/>
    <w:rsid w:val="00254A90"/>
    <w:rsid w:val="00255CE0"/>
    <w:rsid w:val="00255E41"/>
    <w:rsid w:val="00256F83"/>
    <w:rsid w:val="00257902"/>
    <w:rsid w:val="00257B5A"/>
    <w:rsid w:val="00260CCB"/>
    <w:rsid w:val="002619E5"/>
    <w:rsid w:val="00261CD2"/>
    <w:rsid w:val="002620E7"/>
    <w:rsid w:val="00264887"/>
    <w:rsid w:val="0026521F"/>
    <w:rsid w:val="0026592B"/>
    <w:rsid w:val="0027002F"/>
    <w:rsid w:val="0027083E"/>
    <w:rsid w:val="00271782"/>
    <w:rsid w:val="00271EF1"/>
    <w:rsid w:val="0027225A"/>
    <w:rsid w:val="002722DE"/>
    <w:rsid w:val="00272301"/>
    <w:rsid w:val="00273765"/>
    <w:rsid w:val="00274605"/>
    <w:rsid w:val="00274BBD"/>
    <w:rsid w:val="00274E0C"/>
    <w:rsid w:val="002804A2"/>
    <w:rsid w:val="00280D22"/>
    <w:rsid w:val="002852E6"/>
    <w:rsid w:val="00285C6C"/>
    <w:rsid w:val="00286655"/>
    <w:rsid w:val="00287030"/>
    <w:rsid w:val="00287D95"/>
    <w:rsid w:val="0029037C"/>
    <w:rsid w:val="002905A9"/>
    <w:rsid w:val="00291441"/>
    <w:rsid w:val="002924B8"/>
    <w:rsid w:val="0029284D"/>
    <w:rsid w:val="0029291D"/>
    <w:rsid w:val="002938B9"/>
    <w:rsid w:val="00293D63"/>
    <w:rsid w:val="00294C14"/>
    <w:rsid w:val="002957FC"/>
    <w:rsid w:val="002A055F"/>
    <w:rsid w:val="002A0AAD"/>
    <w:rsid w:val="002A1152"/>
    <w:rsid w:val="002A1922"/>
    <w:rsid w:val="002A241B"/>
    <w:rsid w:val="002A26AA"/>
    <w:rsid w:val="002A325C"/>
    <w:rsid w:val="002A3288"/>
    <w:rsid w:val="002A5328"/>
    <w:rsid w:val="002A6BC8"/>
    <w:rsid w:val="002A75E7"/>
    <w:rsid w:val="002A7820"/>
    <w:rsid w:val="002A79EE"/>
    <w:rsid w:val="002B0298"/>
    <w:rsid w:val="002B09AA"/>
    <w:rsid w:val="002B0D22"/>
    <w:rsid w:val="002B1D5E"/>
    <w:rsid w:val="002B2C6A"/>
    <w:rsid w:val="002B3D69"/>
    <w:rsid w:val="002B3E9F"/>
    <w:rsid w:val="002B48E0"/>
    <w:rsid w:val="002B5527"/>
    <w:rsid w:val="002B613B"/>
    <w:rsid w:val="002B6552"/>
    <w:rsid w:val="002B6FCC"/>
    <w:rsid w:val="002C2A97"/>
    <w:rsid w:val="002C55B7"/>
    <w:rsid w:val="002C7C7E"/>
    <w:rsid w:val="002C7D5F"/>
    <w:rsid w:val="002D03F4"/>
    <w:rsid w:val="002D0882"/>
    <w:rsid w:val="002D1DA5"/>
    <w:rsid w:val="002D2CC3"/>
    <w:rsid w:val="002D306F"/>
    <w:rsid w:val="002D50AB"/>
    <w:rsid w:val="002D523E"/>
    <w:rsid w:val="002D5A7E"/>
    <w:rsid w:val="002D7908"/>
    <w:rsid w:val="002E183D"/>
    <w:rsid w:val="002E1E0B"/>
    <w:rsid w:val="002E278A"/>
    <w:rsid w:val="002E2995"/>
    <w:rsid w:val="002E3547"/>
    <w:rsid w:val="002E375B"/>
    <w:rsid w:val="002E3E22"/>
    <w:rsid w:val="002E43F5"/>
    <w:rsid w:val="002E5103"/>
    <w:rsid w:val="002E530B"/>
    <w:rsid w:val="002E5F67"/>
    <w:rsid w:val="002E7B53"/>
    <w:rsid w:val="002F04F4"/>
    <w:rsid w:val="002F122C"/>
    <w:rsid w:val="002F1715"/>
    <w:rsid w:val="002F2FC3"/>
    <w:rsid w:val="002F3990"/>
    <w:rsid w:val="002F3D79"/>
    <w:rsid w:val="002F49B5"/>
    <w:rsid w:val="002F62D2"/>
    <w:rsid w:val="002F697E"/>
    <w:rsid w:val="002F7DA0"/>
    <w:rsid w:val="00300281"/>
    <w:rsid w:val="00301397"/>
    <w:rsid w:val="00302B59"/>
    <w:rsid w:val="00302CB6"/>
    <w:rsid w:val="00304426"/>
    <w:rsid w:val="00305121"/>
    <w:rsid w:val="00305EC4"/>
    <w:rsid w:val="00306B26"/>
    <w:rsid w:val="00306E1A"/>
    <w:rsid w:val="00307536"/>
    <w:rsid w:val="00307955"/>
    <w:rsid w:val="00307B73"/>
    <w:rsid w:val="00310169"/>
    <w:rsid w:val="003105FD"/>
    <w:rsid w:val="00311EFF"/>
    <w:rsid w:val="0031205C"/>
    <w:rsid w:val="00312963"/>
    <w:rsid w:val="00313CFE"/>
    <w:rsid w:val="00314069"/>
    <w:rsid w:val="003148B9"/>
    <w:rsid w:val="003159DE"/>
    <w:rsid w:val="00316191"/>
    <w:rsid w:val="00316E33"/>
    <w:rsid w:val="00317231"/>
    <w:rsid w:val="00320A83"/>
    <w:rsid w:val="00321125"/>
    <w:rsid w:val="00322744"/>
    <w:rsid w:val="00322822"/>
    <w:rsid w:val="003228B6"/>
    <w:rsid w:val="003232C8"/>
    <w:rsid w:val="0032376B"/>
    <w:rsid w:val="00323C3C"/>
    <w:rsid w:val="00324231"/>
    <w:rsid w:val="003244AE"/>
    <w:rsid w:val="003249DD"/>
    <w:rsid w:val="0032554C"/>
    <w:rsid w:val="003270F3"/>
    <w:rsid w:val="00327695"/>
    <w:rsid w:val="003300A5"/>
    <w:rsid w:val="003324BC"/>
    <w:rsid w:val="00332764"/>
    <w:rsid w:val="00332961"/>
    <w:rsid w:val="00332A81"/>
    <w:rsid w:val="00332D4B"/>
    <w:rsid w:val="003335A3"/>
    <w:rsid w:val="00333CB4"/>
    <w:rsid w:val="00333D40"/>
    <w:rsid w:val="00334046"/>
    <w:rsid w:val="00335146"/>
    <w:rsid w:val="00336231"/>
    <w:rsid w:val="00337646"/>
    <w:rsid w:val="00340B55"/>
    <w:rsid w:val="003413E4"/>
    <w:rsid w:val="00341BA2"/>
    <w:rsid w:val="00341D34"/>
    <w:rsid w:val="00341FF0"/>
    <w:rsid w:val="0034279E"/>
    <w:rsid w:val="00344355"/>
    <w:rsid w:val="003449AC"/>
    <w:rsid w:val="00344DB4"/>
    <w:rsid w:val="003461B5"/>
    <w:rsid w:val="00346C58"/>
    <w:rsid w:val="00347A2C"/>
    <w:rsid w:val="00350EA8"/>
    <w:rsid w:val="00352F88"/>
    <w:rsid w:val="0035343C"/>
    <w:rsid w:val="00353CD0"/>
    <w:rsid w:val="003557AB"/>
    <w:rsid w:val="00355957"/>
    <w:rsid w:val="003560E3"/>
    <w:rsid w:val="00356779"/>
    <w:rsid w:val="003571BA"/>
    <w:rsid w:val="003575FE"/>
    <w:rsid w:val="00360C5D"/>
    <w:rsid w:val="00362180"/>
    <w:rsid w:val="00362CBB"/>
    <w:rsid w:val="00363E6F"/>
    <w:rsid w:val="00364503"/>
    <w:rsid w:val="0036541E"/>
    <w:rsid w:val="003707F1"/>
    <w:rsid w:val="00371D53"/>
    <w:rsid w:val="00372F1A"/>
    <w:rsid w:val="00372FF6"/>
    <w:rsid w:val="00374029"/>
    <w:rsid w:val="00375619"/>
    <w:rsid w:val="003758B2"/>
    <w:rsid w:val="00380C90"/>
    <w:rsid w:val="0038145F"/>
    <w:rsid w:val="00381C22"/>
    <w:rsid w:val="00381D5F"/>
    <w:rsid w:val="00382C49"/>
    <w:rsid w:val="003834FD"/>
    <w:rsid w:val="00383506"/>
    <w:rsid w:val="003837F9"/>
    <w:rsid w:val="00383D35"/>
    <w:rsid w:val="00383DF8"/>
    <w:rsid w:val="0038474F"/>
    <w:rsid w:val="00384FDA"/>
    <w:rsid w:val="00385BDB"/>
    <w:rsid w:val="00385E9A"/>
    <w:rsid w:val="0038667D"/>
    <w:rsid w:val="00386CD6"/>
    <w:rsid w:val="003871A5"/>
    <w:rsid w:val="003871B9"/>
    <w:rsid w:val="00387268"/>
    <w:rsid w:val="00387371"/>
    <w:rsid w:val="003873C4"/>
    <w:rsid w:val="0039069A"/>
    <w:rsid w:val="003907BA"/>
    <w:rsid w:val="00390F03"/>
    <w:rsid w:val="003915E7"/>
    <w:rsid w:val="00392685"/>
    <w:rsid w:val="0039311C"/>
    <w:rsid w:val="00393965"/>
    <w:rsid w:val="00394BD7"/>
    <w:rsid w:val="003952DB"/>
    <w:rsid w:val="00395D95"/>
    <w:rsid w:val="00396227"/>
    <w:rsid w:val="003969C1"/>
    <w:rsid w:val="00397750"/>
    <w:rsid w:val="003A0A93"/>
    <w:rsid w:val="003A0BB4"/>
    <w:rsid w:val="003A16AE"/>
    <w:rsid w:val="003A2034"/>
    <w:rsid w:val="003A2706"/>
    <w:rsid w:val="003A2E5B"/>
    <w:rsid w:val="003A2F9E"/>
    <w:rsid w:val="003A4610"/>
    <w:rsid w:val="003A4FEC"/>
    <w:rsid w:val="003A67FA"/>
    <w:rsid w:val="003A6DC9"/>
    <w:rsid w:val="003B1255"/>
    <w:rsid w:val="003B159F"/>
    <w:rsid w:val="003B1B97"/>
    <w:rsid w:val="003B3B9D"/>
    <w:rsid w:val="003B3F0B"/>
    <w:rsid w:val="003B45C1"/>
    <w:rsid w:val="003B6740"/>
    <w:rsid w:val="003C256F"/>
    <w:rsid w:val="003C308F"/>
    <w:rsid w:val="003C3680"/>
    <w:rsid w:val="003C3E7D"/>
    <w:rsid w:val="003C5CD7"/>
    <w:rsid w:val="003C6546"/>
    <w:rsid w:val="003D0F46"/>
    <w:rsid w:val="003D2978"/>
    <w:rsid w:val="003D2CBF"/>
    <w:rsid w:val="003D2F44"/>
    <w:rsid w:val="003D3B28"/>
    <w:rsid w:val="003D4593"/>
    <w:rsid w:val="003D4700"/>
    <w:rsid w:val="003D6401"/>
    <w:rsid w:val="003D7B29"/>
    <w:rsid w:val="003E05A1"/>
    <w:rsid w:val="003E0983"/>
    <w:rsid w:val="003E0B7E"/>
    <w:rsid w:val="003E1C2D"/>
    <w:rsid w:val="003E2975"/>
    <w:rsid w:val="003E2EE8"/>
    <w:rsid w:val="003E394B"/>
    <w:rsid w:val="003E3AD3"/>
    <w:rsid w:val="003E3B16"/>
    <w:rsid w:val="003E3D43"/>
    <w:rsid w:val="003E40AC"/>
    <w:rsid w:val="003E4D43"/>
    <w:rsid w:val="003E4F74"/>
    <w:rsid w:val="003E54A9"/>
    <w:rsid w:val="003E57A3"/>
    <w:rsid w:val="003E651C"/>
    <w:rsid w:val="003F06BB"/>
    <w:rsid w:val="003F1A3F"/>
    <w:rsid w:val="003F30AC"/>
    <w:rsid w:val="003F364E"/>
    <w:rsid w:val="003F3E8E"/>
    <w:rsid w:val="003F4D68"/>
    <w:rsid w:val="003F78D2"/>
    <w:rsid w:val="00400BC9"/>
    <w:rsid w:val="00400C54"/>
    <w:rsid w:val="00400F74"/>
    <w:rsid w:val="00401D06"/>
    <w:rsid w:val="00401FCF"/>
    <w:rsid w:val="004033B0"/>
    <w:rsid w:val="004034FE"/>
    <w:rsid w:val="00403599"/>
    <w:rsid w:val="00404D4D"/>
    <w:rsid w:val="004051D3"/>
    <w:rsid w:val="00406208"/>
    <w:rsid w:val="00406349"/>
    <w:rsid w:val="0040660D"/>
    <w:rsid w:val="0040748C"/>
    <w:rsid w:val="004075C9"/>
    <w:rsid w:val="004119BD"/>
    <w:rsid w:val="00412892"/>
    <w:rsid w:val="00412A6D"/>
    <w:rsid w:val="0041300B"/>
    <w:rsid w:val="0041511F"/>
    <w:rsid w:val="00415BB7"/>
    <w:rsid w:val="00416038"/>
    <w:rsid w:val="00416508"/>
    <w:rsid w:val="0041687E"/>
    <w:rsid w:val="00417141"/>
    <w:rsid w:val="00421001"/>
    <w:rsid w:val="004223B0"/>
    <w:rsid w:val="00422D00"/>
    <w:rsid w:val="004239E8"/>
    <w:rsid w:val="00423D36"/>
    <w:rsid w:val="004243BA"/>
    <w:rsid w:val="004247C2"/>
    <w:rsid w:val="00424868"/>
    <w:rsid w:val="0042546F"/>
    <w:rsid w:val="00425B6F"/>
    <w:rsid w:val="00426589"/>
    <w:rsid w:val="00426E9A"/>
    <w:rsid w:val="004275CC"/>
    <w:rsid w:val="00427775"/>
    <w:rsid w:val="0043025B"/>
    <w:rsid w:val="0043293B"/>
    <w:rsid w:val="004334BE"/>
    <w:rsid w:val="00434F28"/>
    <w:rsid w:val="00437900"/>
    <w:rsid w:val="00437BF3"/>
    <w:rsid w:val="00437EB7"/>
    <w:rsid w:val="004404FF"/>
    <w:rsid w:val="004432C6"/>
    <w:rsid w:val="004437C1"/>
    <w:rsid w:val="00443BE3"/>
    <w:rsid w:val="00444B84"/>
    <w:rsid w:val="004465D6"/>
    <w:rsid w:val="00446B77"/>
    <w:rsid w:val="004473B2"/>
    <w:rsid w:val="00447CBF"/>
    <w:rsid w:val="004509B4"/>
    <w:rsid w:val="00450CEC"/>
    <w:rsid w:val="0045283C"/>
    <w:rsid w:val="00455442"/>
    <w:rsid w:val="00456CDD"/>
    <w:rsid w:val="00456FC6"/>
    <w:rsid w:val="00457CF6"/>
    <w:rsid w:val="004604B3"/>
    <w:rsid w:val="00460BB2"/>
    <w:rsid w:val="00461DCE"/>
    <w:rsid w:val="00462880"/>
    <w:rsid w:val="00463022"/>
    <w:rsid w:val="00463CA4"/>
    <w:rsid w:val="004640F2"/>
    <w:rsid w:val="00464AB8"/>
    <w:rsid w:val="00464B17"/>
    <w:rsid w:val="00464C29"/>
    <w:rsid w:val="00465EBA"/>
    <w:rsid w:val="0046623C"/>
    <w:rsid w:val="004720EB"/>
    <w:rsid w:val="004734C9"/>
    <w:rsid w:val="00473D62"/>
    <w:rsid w:val="004747E0"/>
    <w:rsid w:val="00474CFB"/>
    <w:rsid w:val="00475A3E"/>
    <w:rsid w:val="00475CFA"/>
    <w:rsid w:val="00476AB4"/>
    <w:rsid w:val="00476ECE"/>
    <w:rsid w:val="00477322"/>
    <w:rsid w:val="0047784C"/>
    <w:rsid w:val="00477FFA"/>
    <w:rsid w:val="0048110D"/>
    <w:rsid w:val="004817F9"/>
    <w:rsid w:val="00482B79"/>
    <w:rsid w:val="00482C93"/>
    <w:rsid w:val="00483914"/>
    <w:rsid w:val="00485E6B"/>
    <w:rsid w:val="0048644C"/>
    <w:rsid w:val="0048734E"/>
    <w:rsid w:val="004878D6"/>
    <w:rsid w:val="0049032A"/>
    <w:rsid w:val="00490A8B"/>
    <w:rsid w:val="00490C47"/>
    <w:rsid w:val="00490FE0"/>
    <w:rsid w:val="0049119C"/>
    <w:rsid w:val="00492475"/>
    <w:rsid w:val="00492C61"/>
    <w:rsid w:val="00492F9C"/>
    <w:rsid w:val="0049348F"/>
    <w:rsid w:val="004934AA"/>
    <w:rsid w:val="0049642D"/>
    <w:rsid w:val="00496AEE"/>
    <w:rsid w:val="004970E9"/>
    <w:rsid w:val="004972C7"/>
    <w:rsid w:val="00497A4E"/>
    <w:rsid w:val="004A033D"/>
    <w:rsid w:val="004A456F"/>
    <w:rsid w:val="004A5844"/>
    <w:rsid w:val="004A64DC"/>
    <w:rsid w:val="004A6B00"/>
    <w:rsid w:val="004A71B5"/>
    <w:rsid w:val="004A7252"/>
    <w:rsid w:val="004A7AF0"/>
    <w:rsid w:val="004B03F4"/>
    <w:rsid w:val="004B4233"/>
    <w:rsid w:val="004B5164"/>
    <w:rsid w:val="004B7936"/>
    <w:rsid w:val="004C0AF3"/>
    <w:rsid w:val="004C1B2A"/>
    <w:rsid w:val="004C218E"/>
    <w:rsid w:val="004C2601"/>
    <w:rsid w:val="004C361A"/>
    <w:rsid w:val="004C3F57"/>
    <w:rsid w:val="004C4166"/>
    <w:rsid w:val="004C4DDB"/>
    <w:rsid w:val="004C5430"/>
    <w:rsid w:val="004C5758"/>
    <w:rsid w:val="004C6145"/>
    <w:rsid w:val="004C68F2"/>
    <w:rsid w:val="004C720E"/>
    <w:rsid w:val="004C73D6"/>
    <w:rsid w:val="004D007F"/>
    <w:rsid w:val="004D0A98"/>
    <w:rsid w:val="004D1179"/>
    <w:rsid w:val="004D2A10"/>
    <w:rsid w:val="004D4658"/>
    <w:rsid w:val="004D560B"/>
    <w:rsid w:val="004D5687"/>
    <w:rsid w:val="004D5B64"/>
    <w:rsid w:val="004D5B75"/>
    <w:rsid w:val="004D6459"/>
    <w:rsid w:val="004D64D0"/>
    <w:rsid w:val="004D6713"/>
    <w:rsid w:val="004E10B6"/>
    <w:rsid w:val="004E13E9"/>
    <w:rsid w:val="004E1797"/>
    <w:rsid w:val="004E33EC"/>
    <w:rsid w:val="004E3F6E"/>
    <w:rsid w:val="004E4143"/>
    <w:rsid w:val="004E5383"/>
    <w:rsid w:val="004E5B54"/>
    <w:rsid w:val="004E60CE"/>
    <w:rsid w:val="004E7447"/>
    <w:rsid w:val="004F0B5C"/>
    <w:rsid w:val="004F3363"/>
    <w:rsid w:val="004F35F8"/>
    <w:rsid w:val="004F3C56"/>
    <w:rsid w:val="004F3EDF"/>
    <w:rsid w:val="004F46A4"/>
    <w:rsid w:val="004F4B98"/>
    <w:rsid w:val="004F4BF7"/>
    <w:rsid w:val="004F51D4"/>
    <w:rsid w:val="004F5A85"/>
    <w:rsid w:val="004F6C48"/>
    <w:rsid w:val="004F7D74"/>
    <w:rsid w:val="005006E0"/>
    <w:rsid w:val="005023FE"/>
    <w:rsid w:val="00502DB8"/>
    <w:rsid w:val="005039FE"/>
    <w:rsid w:val="00503BA9"/>
    <w:rsid w:val="0050418B"/>
    <w:rsid w:val="005044CA"/>
    <w:rsid w:val="00505F99"/>
    <w:rsid w:val="00507B0A"/>
    <w:rsid w:val="00507BEA"/>
    <w:rsid w:val="00507D9D"/>
    <w:rsid w:val="005109A3"/>
    <w:rsid w:val="00511384"/>
    <w:rsid w:val="0051149B"/>
    <w:rsid w:val="0051373A"/>
    <w:rsid w:val="00513A77"/>
    <w:rsid w:val="00513B23"/>
    <w:rsid w:val="005145D0"/>
    <w:rsid w:val="00515E7D"/>
    <w:rsid w:val="005160DD"/>
    <w:rsid w:val="00516F67"/>
    <w:rsid w:val="00517698"/>
    <w:rsid w:val="00517C69"/>
    <w:rsid w:val="00520399"/>
    <w:rsid w:val="0052172C"/>
    <w:rsid w:val="00522493"/>
    <w:rsid w:val="005229AC"/>
    <w:rsid w:val="005234FE"/>
    <w:rsid w:val="005239DF"/>
    <w:rsid w:val="005243CB"/>
    <w:rsid w:val="0052636C"/>
    <w:rsid w:val="00527D12"/>
    <w:rsid w:val="00530410"/>
    <w:rsid w:val="00532810"/>
    <w:rsid w:val="00534328"/>
    <w:rsid w:val="0053526A"/>
    <w:rsid w:val="0053776C"/>
    <w:rsid w:val="00537C0F"/>
    <w:rsid w:val="005417AC"/>
    <w:rsid w:val="005422E8"/>
    <w:rsid w:val="00542AB0"/>
    <w:rsid w:val="00542C54"/>
    <w:rsid w:val="00543180"/>
    <w:rsid w:val="0054531E"/>
    <w:rsid w:val="0054544E"/>
    <w:rsid w:val="00546ACE"/>
    <w:rsid w:val="00546E76"/>
    <w:rsid w:val="00546ECD"/>
    <w:rsid w:val="00547496"/>
    <w:rsid w:val="005514A0"/>
    <w:rsid w:val="00552E83"/>
    <w:rsid w:val="00553A1E"/>
    <w:rsid w:val="00553B8E"/>
    <w:rsid w:val="005559DD"/>
    <w:rsid w:val="005565FF"/>
    <w:rsid w:val="00556657"/>
    <w:rsid w:val="005567EA"/>
    <w:rsid w:val="00556A8A"/>
    <w:rsid w:val="005572AA"/>
    <w:rsid w:val="0055742E"/>
    <w:rsid w:val="005575B8"/>
    <w:rsid w:val="005600A1"/>
    <w:rsid w:val="005609D4"/>
    <w:rsid w:val="005646F2"/>
    <w:rsid w:val="00564A53"/>
    <w:rsid w:val="005655C3"/>
    <w:rsid w:val="00570691"/>
    <w:rsid w:val="00571A3D"/>
    <w:rsid w:val="0057204F"/>
    <w:rsid w:val="00572119"/>
    <w:rsid w:val="005724FE"/>
    <w:rsid w:val="00572EC6"/>
    <w:rsid w:val="00574371"/>
    <w:rsid w:val="005767FF"/>
    <w:rsid w:val="00577E83"/>
    <w:rsid w:val="00580B5D"/>
    <w:rsid w:val="005821AD"/>
    <w:rsid w:val="005832C9"/>
    <w:rsid w:val="00583F6A"/>
    <w:rsid w:val="005845D8"/>
    <w:rsid w:val="005846A1"/>
    <w:rsid w:val="00584AAA"/>
    <w:rsid w:val="00585602"/>
    <w:rsid w:val="00586C00"/>
    <w:rsid w:val="00590B37"/>
    <w:rsid w:val="00591692"/>
    <w:rsid w:val="00592BE2"/>
    <w:rsid w:val="00592DB5"/>
    <w:rsid w:val="005931DC"/>
    <w:rsid w:val="00594084"/>
    <w:rsid w:val="005941E9"/>
    <w:rsid w:val="00594264"/>
    <w:rsid w:val="00594EEA"/>
    <w:rsid w:val="00596416"/>
    <w:rsid w:val="005A06C5"/>
    <w:rsid w:val="005A0CCE"/>
    <w:rsid w:val="005A4C9E"/>
    <w:rsid w:val="005A56DE"/>
    <w:rsid w:val="005A6A44"/>
    <w:rsid w:val="005A7267"/>
    <w:rsid w:val="005A739D"/>
    <w:rsid w:val="005B0AE0"/>
    <w:rsid w:val="005B0B8E"/>
    <w:rsid w:val="005B2454"/>
    <w:rsid w:val="005B30EE"/>
    <w:rsid w:val="005B4441"/>
    <w:rsid w:val="005B487D"/>
    <w:rsid w:val="005B4EF1"/>
    <w:rsid w:val="005B532C"/>
    <w:rsid w:val="005B533E"/>
    <w:rsid w:val="005B6AED"/>
    <w:rsid w:val="005B7768"/>
    <w:rsid w:val="005B7DAB"/>
    <w:rsid w:val="005C08A1"/>
    <w:rsid w:val="005C08F2"/>
    <w:rsid w:val="005C3FED"/>
    <w:rsid w:val="005C4134"/>
    <w:rsid w:val="005C4496"/>
    <w:rsid w:val="005C4566"/>
    <w:rsid w:val="005C5BB7"/>
    <w:rsid w:val="005C5F0B"/>
    <w:rsid w:val="005D0BF4"/>
    <w:rsid w:val="005D281B"/>
    <w:rsid w:val="005D3EC6"/>
    <w:rsid w:val="005D47E4"/>
    <w:rsid w:val="005D4992"/>
    <w:rsid w:val="005D5B78"/>
    <w:rsid w:val="005D6006"/>
    <w:rsid w:val="005D60E5"/>
    <w:rsid w:val="005D6B6C"/>
    <w:rsid w:val="005D7E0E"/>
    <w:rsid w:val="005D7FAA"/>
    <w:rsid w:val="005E05F8"/>
    <w:rsid w:val="005E1103"/>
    <w:rsid w:val="005E1926"/>
    <w:rsid w:val="005E1AB4"/>
    <w:rsid w:val="005E1AEF"/>
    <w:rsid w:val="005E368E"/>
    <w:rsid w:val="005E445D"/>
    <w:rsid w:val="005E6313"/>
    <w:rsid w:val="005E69A5"/>
    <w:rsid w:val="005E7141"/>
    <w:rsid w:val="005E723F"/>
    <w:rsid w:val="005E7D2E"/>
    <w:rsid w:val="005F042D"/>
    <w:rsid w:val="005F1782"/>
    <w:rsid w:val="005F21AD"/>
    <w:rsid w:val="005F22F2"/>
    <w:rsid w:val="005F3C47"/>
    <w:rsid w:val="005F4F48"/>
    <w:rsid w:val="005F5671"/>
    <w:rsid w:val="005F67CA"/>
    <w:rsid w:val="005F70AE"/>
    <w:rsid w:val="0060037B"/>
    <w:rsid w:val="006008C6"/>
    <w:rsid w:val="0060134F"/>
    <w:rsid w:val="00601C56"/>
    <w:rsid w:val="00602455"/>
    <w:rsid w:val="00602F59"/>
    <w:rsid w:val="0060356E"/>
    <w:rsid w:val="00603718"/>
    <w:rsid w:val="00603CFE"/>
    <w:rsid w:val="0060404C"/>
    <w:rsid w:val="00605B01"/>
    <w:rsid w:val="00606E3D"/>
    <w:rsid w:val="00607030"/>
    <w:rsid w:val="00607382"/>
    <w:rsid w:val="00607E73"/>
    <w:rsid w:val="00610184"/>
    <w:rsid w:val="00610A84"/>
    <w:rsid w:val="00610BE5"/>
    <w:rsid w:val="00610CA3"/>
    <w:rsid w:val="00611E6F"/>
    <w:rsid w:val="006125BE"/>
    <w:rsid w:val="0061312B"/>
    <w:rsid w:val="00615171"/>
    <w:rsid w:val="00616159"/>
    <w:rsid w:val="00616F89"/>
    <w:rsid w:val="00617D3E"/>
    <w:rsid w:val="00617FDA"/>
    <w:rsid w:val="0062091C"/>
    <w:rsid w:val="00624604"/>
    <w:rsid w:val="00624FB0"/>
    <w:rsid w:val="0062629B"/>
    <w:rsid w:val="00626550"/>
    <w:rsid w:val="00626C16"/>
    <w:rsid w:val="00627476"/>
    <w:rsid w:val="00627830"/>
    <w:rsid w:val="0062792D"/>
    <w:rsid w:val="006304B9"/>
    <w:rsid w:val="00630C79"/>
    <w:rsid w:val="00631B53"/>
    <w:rsid w:val="00632E21"/>
    <w:rsid w:val="00633213"/>
    <w:rsid w:val="00633268"/>
    <w:rsid w:val="00633ECA"/>
    <w:rsid w:val="00634FC3"/>
    <w:rsid w:val="00635654"/>
    <w:rsid w:val="00636962"/>
    <w:rsid w:val="0063737C"/>
    <w:rsid w:val="00642DCA"/>
    <w:rsid w:val="006449A2"/>
    <w:rsid w:val="006469E4"/>
    <w:rsid w:val="006472E9"/>
    <w:rsid w:val="00647808"/>
    <w:rsid w:val="00647D9E"/>
    <w:rsid w:val="006512A0"/>
    <w:rsid w:val="0065180D"/>
    <w:rsid w:val="00651A9F"/>
    <w:rsid w:val="0065256D"/>
    <w:rsid w:val="00653777"/>
    <w:rsid w:val="006546B0"/>
    <w:rsid w:val="006555B7"/>
    <w:rsid w:val="00655BCE"/>
    <w:rsid w:val="006568AC"/>
    <w:rsid w:val="00657590"/>
    <w:rsid w:val="00660F30"/>
    <w:rsid w:val="0066145F"/>
    <w:rsid w:val="00661802"/>
    <w:rsid w:val="00663007"/>
    <w:rsid w:val="006632BD"/>
    <w:rsid w:val="0066403F"/>
    <w:rsid w:val="006646DA"/>
    <w:rsid w:val="00666967"/>
    <w:rsid w:val="00667AB0"/>
    <w:rsid w:val="0067000A"/>
    <w:rsid w:val="00670AB6"/>
    <w:rsid w:val="00670BFA"/>
    <w:rsid w:val="00670C5E"/>
    <w:rsid w:val="0067104C"/>
    <w:rsid w:val="006718D8"/>
    <w:rsid w:val="006726CF"/>
    <w:rsid w:val="00673435"/>
    <w:rsid w:val="006749AD"/>
    <w:rsid w:val="00674A2C"/>
    <w:rsid w:val="006767D0"/>
    <w:rsid w:val="0068048E"/>
    <w:rsid w:val="00681068"/>
    <w:rsid w:val="00681B00"/>
    <w:rsid w:val="0068396B"/>
    <w:rsid w:val="00684D8D"/>
    <w:rsid w:val="00685827"/>
    <w:rsid w:val="00685FA3"/>
    <w:rsid w:val="00690E69"/>
    <w:rsid w:val="00691925"/>
    <w:rsid w:val="0069193C"/>
    <w:rsid w:val="00692E9F"/>
    <w:rsid w:val="00693084"/>
    <w:rsid w:val="006935A7"/>
    <w:rsid w:val="006950E7"/>
    <w:rsid w:val="00696DAC"/>
    <w:rsid w:val="006973DD"/>
    <w:rsid w:val="0069783E"/>
    <w:rsid w:val="00697A57"/>
    <w:rsid w:val="006A00CB"/>
    <w:rsid w:val="006A02D2"/>
    <w:rsid w:val="006A11BD"/>
    <w:rsid w:val="006A19E0"/>
    <w:rsid w:val="006A1A45"/>
    <w:rsid w:val="006A488A"/>
    <w:rsid w:val="006A504C"/>
    <w:rsid w:val="006A5099"/>
    <w:rsid w:val="006A5266"/>
    <w:rsid w:val="006A52F4"/>
    <w:rsid w:val="006A758D"/>
    <w:rsid w:val="006B010C"/>
    <w:rsid w:val="006B0340"/>
    <w:rsid w:val="006B1E3F"/>
    <w:rsid w:val="006B5A15"/>
    <w:rsid w:val="006B65D8"/>
    <w:rsid w:val="006C00D7"/>
    <w:rsid w:val="006C0387"/>
    <w:rsid w:val="006C0E73"/>
    <w:rsid w:val="006C27C5"/>
    <w:rsid w:val="006C2B9B"/>
    <w:rsid w:val="006C346B"/>
    <w:rsid w:val="006C47B9"/>
    <w:rsid w:val="006C4C46"/>
    <w:rsid w:val="006C5768"/>
    <w:rsid w:val="006C6385"/>
    <w:rsid w:val="006C6BD5"/>
    <w:rsid w:val="006D1BF3"/>
    <w:rsid w:val="006D204B"/>
    <w:rsid w:val="006D25F0"/>
    <w:rsid w:val="006D3395"/>
    <w:rsid w:val="006D3F6A"/>
    <w:rsid w:val="006D41B7"/>
    <w:rsid w:val="006D5A19"/>
    <w:rsid w:val="006D5C53"/>
    <w:rsid w:val="006D60A9"/>
    <w:rsid w:val="006D6477"/>
    <w:rsid w:val="006D6BCD"/>
    <w:rsid w:val="006D7E7C"/>
    <w:rsid w:val="006D7F07"/>
    <w:rsid w:val="006E04B2"/>
    <w:rsid w:val="006E0F78"/>
    <w:rsid w:val="006E254A"/>
    <w:rsid w:val="006E38D0"/>
    <w:rsid w:val="006E3B88"/>
    <w:rsid w:val="006E5B04"/>
    <w:rsid w:val="006E607B"/>
    <w:rsid w:val="006E62B2"/>
    <w:rsid w:val="006E7431"/>
    <w:rsid w:val="006E7640"/>
    <w:rsid w:val="006E7B09"/>
    <w:rsid w:val="006F22A7"/>
    <w:rsid w:val="006F2AFA"/>
    <w:rsid w:val="006F2F10"/>
    <w:rsid w:val="006F34AC"/>
    <w:rsid w:val="006F462D"/>
    <w:rsid w:val="006F4B84"/>
    <w:rsid w:val="006F4E6E"/>
    <w:rsid w:val="006F5D6A"/>
    <w:rsid w:val="00700068"/>
    <w:rsid w:val="00700315"/>
    <w:rsid w:val="00701590"/>
    <w:rsid w:val="00701A1C"/>
    <w:rsid w:val="00701B47"/>
    <w:rsid w:val="00702A41"/>
    <w:rsid w:val="00702BF7"/>
    <w:rsid w:val="00703407"/>
    <w:rsid w:val="00703DE9"/>
    <w:rsid w:val="00705411"/>
    <w:rsid w:val="0070619E"/>
    <w:rsid w:val="00707401"/>
    <w:rsid w:val="00707677"/>
    <w:rsid w:val="0071133F"/>
    <w:rsid w:val="0071199C"/>
    <w:rsid w:val="00711C2B"/>
    <w:rsid w:val="00712B3C"/>
    <w:rsid w:val="00713178"/>
    <w:rsid w:val="00714216"/>
    <w:rsid w:val="00714955"/>
    <w:rsid w:val="007154E0"/>
    <w:rsid w:val="00715BE7"/>
    <w:rsid w:val="00716283"/>
    <w:rsid w:val="007165D9"/>
    <w:rsid w:val="00716F99"/>
    <w:rsid w:val="00717069"/>
    <w:rsid w:val="00717DC7"/>
    <w:rsid w:val="007209C6"/>
    <w:rsid w:val="00720BBA"/>
    <w:rsid w:val="00721658"/>
    <w:rsid w:val="00722055"/>
    <w:rsid w:val="007242B2"/>
    <w:rsid w:val="007255CE"/>
    <w:rsid w:val="007256CC"/>
    <w:rsid w:val="00725B3C"/>
    <w:rsid w:val="00725CEC"/>
    <w:rsid w:val="00726C7E"/>
    <w:rsid w:val="007312FD"/>
    <w:rsid w:val="0073233C"/>
    <w:rsid w:val="0073402F"/>
    <w:rsid w:val="00734963"/>
    <w:rsid w:val="00734AD3"/>
    <w:rsid w:val="00734F65"/>
    <w:rsid w:val="0073500D"/>
    <w:rsid w:val="00737399"/>
    <w:rsid w:val="00737596"/>
    <w:rsid w:val="00737FE1"/>
    <w:rsid w:val="00742279"/>
    <w:rsid w:val="00742A70"/>
    <w:rsid w:val="0074313C"/>
    <w:rsid w:val="00743873"/>
    <w:rsid w:val="00743BF5"/>
    <w:rsid w:val="007460B1"/>
    <w:rsid w:val="007475C8"/>
    <w:rsid w:val="00747A6C"/>
    <w:rsid w:val="00747E55"/>
    <w:rsid w:val="0075267A"/>
    <w:rsid w:val="007537F2"/>
    <w:rsid w:val="0075480D"/>
    <w:rsid w:val="007558A0"/>
    <w:rsid w:val="00756C69"/>
    <w:rsid w:val="00762BC0"/>
    <w:rsid w:val="00762E00"/>
    <w:rsid w:val="00763189"/>
    <w:rsid w:val="007646CA"/>
    <w:rsid w:val="00764B4E"/>
    <w:rsid w:val="00764BAF"/>
    <w:rsid w:val="00765D9A"/>
    <w:rsid w:val="00766360"/>
    <w:rsid w:val="00766839"/>
    <w:rsid w:val="00766AC6"/>
    <w:rsid w:val="00766D4B"/>
    <w:rsid w:val="00767179"/>
    <w:rsid w:val="00770F10"/>
    <w:rsid w:val="00771036"/>
    <w:rsid w:val="00771599"/>
    <w:rsid w:val="00771BC1"/>
    <w:rsid w:val="00771E9F"/>
    <w:rsid w:val="00773055"/>
    <w:rsid w:val="00773AD2"/>
    <w:rsid w:val="00774825"/>
    <w:rsid w:val="00774860"/>
    <w:rsid w:val="00774902"/>
    <w:rsid w:val="007754DA"/>
    <w:rsid w:val="00777879"/>
    <w:rsid w:val="00777AF8"/>
    <w:rsid w:val="00782102"/>
    <w:rsid w:val="00782482"/>
    <w:rsid w:val="00782A3C"/>
    <w:rsid w:val="0078346D"/>
    <w:rsid w:val="00783BB0"/>
    <w:rsid w:val="00783F82"/>
    <w:rsid w:val="0078462C"/>
    <w:rsid w:val="007847FC"/>
    <w:rsid w:val="00784CA1"/>
    <w:rsid w:val="00784FFA"/>
    <w:rsid w:val="00786A03"/>
    <w:rsid w:val="00787455"/>
    <w:rsid w:val="00787CB3"/>
    <w:rsid w:val="00790665"/>
    <w:rsid w:val="00790728"/>
    <w:rsid w:val="007909F8"/>
    <w:rsid w:val="00791ACD"/>
    <w:rsid w:val="0079270A"/>
    <w:rsid w:val="007952F4"/>
    <w:rsid w:val="00795F33"/>
    <w:rsid w:val="00796134"/>
    <w:rsid w:val="0079657F"/>
    <w:rsid w:val="0079718D"/>
    <w:rsid w:val="00797308"/>
    <w:rsid w:val="00797533"/>
    <w:rsid w:val="00797ABE"/>
    <w:rsid w:val="007A0D0E"/>
    <w:rsid w:val="007A16ED"/>
    <w:rsid w:val="007A1923"/>
    <w:rsid w:val="007A3B60"/>
    <w:rsid w:val="007A40F1"/>
    <w:rsid w:val="007A62FF"/>
    <w:rsid w:val="007A7106"/>
    <w:rsid w:val="007B037E"/>
    <w:rsid w:val="007B0AB1"/>
    <w:rsid w:val="007B1445"/>
    <w:rsid w:val="007B1E50"/>
    <w:rsid w:val="007B2832"/>
    <w:rsid w:val="007B2972"/>
    <w:rsid w:val="007B29F5"/>
    <w:rsid w:val="007B4677"/>
    <w:rsid w:val="007B64F0"/>
    <w:rsid w:val="007B7B1D"/>
    <w:rsid w:val="007C0A47"/>
    <w:rsid w:val="007C1550"/>
    <w:rsid w:val="007C1FC1"/>
    <w:rsid w:val="007C3C1E"/>
    <w:rsid w:val="007C3F04"/>
    <w:rsid w:val="007C48AD"/>
    <w:rsid w:val="007C4CDA"/>
    <w:rsid w:val="007C502E"/>
    <w:rsid w:val="007C55E6"/>
    <w:rsid w:val="007C55EB"/>
    <w:rsid w:val="007C587C"/>
    <w:rsid w:val="007C6B21"/>
    <w:rsid w:val="007C775F"/>
    <w:rsid w:val="007D0B8A"/>
    <w:rsid w:val="007D0F84"/>
    <w:rsid w:val="007D33DA"/>
    <w:rsid w:val="007D34FD"/>
    <w:rsid w:val="007D39C3"/>
    <w:rsid w:val="007D3EA9"/>
    <w:rsid w:val="007D456E"/>
    <w:rsid w:val="007D4DCF"/>
    <w:rsid w:val="007D4EDE"/>
    <w:rsid w:val="007D526C"/>
    <w:rsid w:val="007D5395"/>
    <w:rsid w:val="007D5F07"/>
    <w:rsid w:val="007D683D"/>
    <w:rsid w:val="007D70CD"/>
    <w:rsid w:val="007D7574"/>
    <w:rsid w:val="007D75DF"/>
    <w:rsid w:val="007D7C85"/>
    <w:rsid w:val="007E0502"/>
    <w:rsid w:val="007E112E"/>
    <w:rsid w:val="007E13E1"/>
    <w:rsid w:val="007E17EF"/>
    <w:rsid w:val="007E21C2"/>
    <w:rsid w:val="007E33D5"/>
    <w:rsid w:val="007E357C"/>
    <w:rsid w:val="007E4BE9"/>
    <w:rsid w:val="007E4C0C"/>
    <w:rsid w:val="007E614F"/>
    <w:rsid w:val="007E66B9"/>
    <w:rsid w:val="007E7213"/>
    <w:rsid w:val="007F0089"/>
    <w:rsid w:val="007F28FD"/>
    <w:rsid w:val="007F3667"/>
    <w:rsid w:val="007F36F5"/>
    <w:rsid w:val="007F42C2"/>
    <w:rsid w:val="007F5FDD"/>
    <w:rsid w:val="007F7870"/>
    <w:rsid w:val="008015EC"/>
    <w:rsid w:val="00801C8A"/>
    <w:rsid w:val="00803C74"/>
    <w:rsid w:val="00804042"/>
    <w:rsid w:val="008042AE"/>
    <w:rsid w:val="00804451"/>
    <w:rsid w:val="00804C57"/>
    <w:rsid w:val="00804D70"/>
    <w:rsid w:val="00804F28"/>
    <w:rsid w:val="008051B3"/>
    <w:rsid w:val="00805475"/>
    <w:rsid w:val="00805D51"/>
    <w:rsid w:val="00805EC6"/>
    <w:rsid w:val="008060FE"/>
    <w:rsid w:val="0080617B"/>
    <w:rsid w:val="008065C9"/>
    <w:rsid w:val="0080673F"/>
    <w:rsid w:val="008071A7"/>
    <w:rsid w:val="00807D8F"/>
    <w:rsid w:val="00807ED8"/>
    <w:rsid w:val="008106C0"/>
    <w:rsid w:val="008108D2"/>
    <w:rsid w:val="0081096B"/>
    <w:rsid w:val="00811AF2"/>
    <w:rsid w:val="008121F6"/>
    <w:rsid w:val="0081317F"/>
    <w:rsid w:val="0081324D"/>
    <w:rsid w:val="008140ED"/>
    <w:rsid w:val="008148D8"/>
    <w:rsid w:val="00815731"/>
    <w:rsid w:val="00817201"/>
    <w:rsid w:val="00820102"/>
    <w:rsid w:val="0082046C"/>
    <w:rsid w:val="00820501"/>
    <w:rsid w:val="0082236A"/>
    <w:rsid w:val="00823143"/>
    <w:rsid w:val="00823243"/>
    <w:rsid w:val="008237BE"/>
    <w:rsid w:val="00823C58"/>
    <w:rsid w:val="00823D26"/>
    <w:rsid w:val="00824DAD"/>
    <w:rsid w:val="008264D0"/>
    <w:rsid w:val="00826DF8"/>
    <w:rsid w:val="0082726E"/>
    <w:rsid w:val="008300D2"/>
    <w:rsid w:val="00830428"/>
    <w:rsid w:val="0083097A"/>
    <w:rsid w:val="00830A88"/>
    <w:rsid w:val="00831EE6"/>
    <w:rsid w:val="00832250"/>
    <w:rsid w:val="0083267F"/>
    <w:rsid w:val="008348EF"/>
    <w:rsid w:val="0083502B"/>
    <w:rsid w:val="00836389"/>
    <w:rsid w:val="00837320"/>
    <w:rsid w:val="0084065C"/>
    <w:rsid w:val="00841041"/>
    <w:rsid w:val="00841493"/>
    <w:rsid w:val="0084199E"/>
    <w:rsid w:val="0084243A"/>
    <w:rsid w:val="00842F3F"/>
    <w:rsid w:val="00844948"/>
    <w:rsid w:val="00845097"/>
    <w:rsid w:val="008450BE"/>
    <w:rsid w:val="00845993"/>
    <w:rsid w:val="0084697B"/>
    <w:rsid w:val="00847708"/>
    <w:rsid w:val="00850C6D"/>
    <w:rsid w:val="008511D4"/>
    <w:rsid w:val="00851AA9"/>
    <w:rsid w:val="00851E1A"/>
    <w:rsid w:val="0085324D"/>
    <w:rsid w:val="00853ACE"/>
    <w:rsid w:val="00854829"/>
    <w:rsid w:val="00854D35"/>
    <w:rsid w:val="00857F69"/>
    <w:rsid w:val="008607D9"/>
    <w:rsid w:val="00862688"/>
    <w:rsid w:val="0086330D"/>
    <w:rsid w:val="00863ABF"/>
    <w:rsid w:val="008646A8"/>
    <w:rsid w:val="00864B4C"/>
    <w:rsid w:val="00866573"/>
    <w:rsid w:val="008678C6"/>
    <w:rsid w:val="008678FC"/>
    <w:rsid w:val="00867EC5"/>
    <w:rsid w:val="00871558"/>
    <w:rsid w:val="008721F1"/>
    <w:rsid w:val="00872CA9"/>
    <w:rsid w:val="00872CEF"/>
    <w:rsid w:val="00873B14"/>
    <w:rsid w:val="00874EB4"/>
    <w:rsid w:val="00875098"/>
    <w:rsid w:val="008758CA"/>
    <w:rsid w:val="00876111"/>
    <w:rsid w:val="0087648B"/>
    <w:rsid w:val="008773DB"/>
    <w:rsid w:val="00881461"/>
    <w:rsid w:val="00881DE7"/>
    <w:rsid w:val="00881EE8"/>
    <w:rsid w:val="00882DE3"/>
    <w:rsid w:val="00883000"/>
    <w:rsid w:val="00884064"/>
    <w:rsid w:val="00885832"/>
    <w:rsid w:val="0088703F"/>
    <w:rsid w:val="008876DF"/>
    <w:rsid w:val="00891206"/>
    <w:rsid w:val="00893046"/>
    <w:rsid w:val="0089338D"/>
    <w:rsid w:val="0089439C"/>
    <w:rsid w:val="00896610"/>
    <w:rsid w:val="008979BE"/>
    <w:rsid w:val="008A0192"/>
    <w:rsid w:val="008A05F9"/>
    <w:rsid w:val="008A1CD8"/>
    <w:rsid w:val="008A1EC4"/>
    <w:rsid w:val="008A2A2F"/>
    <w:rsid w:val="008A30F8"/>
    <w:rsid w:val="008A3B04"/>
    <w:rsid w:val="008A4EB4"/>
    <w:rsid w:val="008A5316"/>
    <w:rsid w:val="008A5F3D"/>
    <w:rsid w:val="008A6B51"/>
    <w:rsid w:val="008A750E"/>
    <w:rsid w:val="008B0AFC"/>
    <w:rsid w:val="008B118D"/>
    <w:rsid w:val="008B197A"/>
    <w:rsid w:val="008B2D36"/>
    <w:rsid w:val="008B307B"/>
    <w:rsid w:val="008B310C"/>
    <w:rsid w:val="008B39C8"/>
    <w:rsid w:val="008B39E8"/>
    <w:rsid w:val="008B4058"/>
    <w:rsid w:val="008B4080"/>
    <w:rsid w:val="008B6942"/>
    <w:rsid w:val="008B6D79"/>
    <w:rsid w:val="008B7183"/>
    <w:rsid w:val="008B75A8"/>
    <w:rsid w:val="008B76EB"/>
    <w:rsid w:val="008C0D4A"/>
    <w:rsid w:val="008C19CC"/>
    <w:rsid w:val="008C21F5"/>
    <w:rsid w:val="008C3AC4"/>
    <w:rsid w:val="008C59AA"/>
    <w:rsid w:val="008C5E05"/>
    <w:rsid w:val="008C73AC"/>
    <w:rsid w:val="008D050E"/>
    <w:rsid w:val="008D4383"/>
    <w:rsid w:val="008D468E"/>
    <w:rsid w:val="008D4FD4"/>
    <w:rsid w:val="008D6F4F"/>
    <w:rsid w:val="008E026A"/>
    <w:rsid w:val="008E1A17"/>
    <w:rsid w:val="008E1BD9"/>
    <w:rsid w:val="008E2184"/>
    <w:rsid w:val="008E30DE"/>
    <w:rsid w:val="008E3C9C"/>
    <w:rsid w:val="008E412B"/>
    <w:rsid w:val="008E4444"/>
    <w:rsid w:val="008E464D"/>
    <w:rsid w:val="008E5A6C"/>
    <w:rsid w:val="008E5DEE"/>
    <w:rsid w:val="008E708E"/>
    <w:rsid w:val="008E7A43"/>
    <w:rsid w:val="008F034C"/>
    <w:rsid w:val="008F0C45"/>
    <w:rsid w:val="008F0ED8"/>
    <w:rsid w:val="008F11E0"/>
    <w:rsid w:val="008F1586"/>
    <w:rsid w:val="008F1826"/>
    <w:rsid w:val="008F21EF"/>
    <w:rsid w:val="008F263B"/>
    <w:rsid w:val="008F277D"/>
    <w:rsid w:val="008F2D38"/>
    <w:rsid w:val="008F3099"/>
    <w:rsid w:val="008F3638"/>
    <w:rsid w:val="008F43FF"/>
    <w:rsid w:val="008F6A20"/>
    <w:rsid w:val="00900E39"/>
    <w:rsid w:val="0090599F"/>
    <w:rsid w:val="0090712B"/>
    <w:rsid w:val="009117F9"/>
    <w:rsid w:val="00913AFE"/>
    <w:rsid w:val="00913C79"/>
    <w:rsid w:val="00915542"/>
    <w:rsid w:val="00915A3B"/>
    <w:rsid w:val="00915CB7"/>
    <w:rsid w:val="009176F2"/>
    <w:rsid w:val="00917ECC"/>
    <w:rsid w:val="00921506"/>
    <w:rsid w:val="00922A92"/>
    <w:rsid w:val="00922F97"/>
    <w:rsid w:val="00924130"/>
    <w:rsid w:val="00925E49"/>
    <w:rsid w:val="00927379"/>
    <w:rsid w:val="00927FF9"/>
    <w:rsid w:val="00930056"/>
    <w:rsid w:val="00930675"/>
    <w:rsid w:val="009306EF"/>
    <w:rsid w:val="009316C4"/>
    <w:rsid w:val="00933028"/>
    <w:rsid w:val="00933792"/>
    <w:rsid w:val="009342BC"/>
    <w:rsid w:val="0093499C"/>
    <w:rsid w:val="009351EF"/>
    <w:rsid w:val="0093658E"/>
    <w:rsid w:val="0094032C"/>
    <w:rsid w:val="00940787"/>
    <w:rsid w:val="009409B3"/>
    <w:rsid w:val="00940E5C"/>
    <w:rsid w:val="00941103"/>
    <w:rsid w:val="0094128D"/>
    <w:rsid w:val="00941DD6"/>
    <w:rsid w:val="00941F0D"/>
    <w:rsid w:val="009424A9"/>
    <w:rsid w:val="00944141"/>
    <w:rsid w:val="00944E5D"/>
    <w:rsid w:val="00945AAB"/>
    <w:rsid w:val="00945BEF"/>
    <w:rsid w:val="009464AC"/>
    <w:rsid w:val="00947195"/>
    <w:rsid w:val="00947754"/>
    <w:rsid w:val="00950302"/>
    <w:rsid w:val="00951DE0"/>
    <w:rsid w:val="00953B15"/>
    <w:rsid w:val="0095425D"/>
    <w:rsid w:val="00954BAB"/>
    <w:rsid w:val="00956711"/>
    <w:rsid w:val="00957EBF"/>
    <w:rsid w:val="00961260"/>
    <w:rsid w:val="00961611"/>
    <w:rsid w:val="009627FF"/>
    <w:rsid w:val="00962CD2"/>
    <w:rsid w:val="009644C7"/>
    <w:rsid w:val="00965940"/>
    <w:rsid w:val="0096615D"/>
    <w:rsid w:val="00966BEE"/>
    <w:rsid w:val="00970325"/>
    <w:rsid w:val="0097042E"/>
    <w:rsid w:val="00970E35"/>
    <w:rsid w:val="0097130A"/>
    <w:rsid w:val="0097186E"/>
    <w:rsid w:val="009738DB"/>
    <w:rsid w:val="009739C9"/>
    <w:rsid w:val="00973B1B"/>
    <w:rsid w:val="00974AB0"/>
    <w:rsid w:val="009755EC"/>
    <w:rsid w:val="00976234"/>
    <w:rsid w:val="0097623F"/>
    <w:rsid w:val="009764C0"/>
    <w:rsid w:val="00977685"/>
    <w:rsid w:val="0097789F"/>
    <w:rsid w:val="009803F7"/>
    <w:rsid w:val="0098045F"/>
    <w:rsid w:val="009809CB"/>
    <w:rsid w:val="00981189"/>
    <w:rsid w:val="00981B3A"/>
    <w:rsid w:val="00981CEF"/>
    <w:rsid w:val="0098206F"/>
    <w:rsid w:val="00982CAD"/>
    <w:rsid w:val="00982DD3"/>
    <w:rsid w:val="00983198"/>
    <w:rsid w:val="0098584A"/>
    <w:rsid w:val="00985C0C"/>
    <w:rsid w:val="009862D9"/>
    <w:rsid w:val="009865CB"/>
    <w:rsid w:val="009866AE"/>
    <w:rsid w:val="00987EC7"/>
    <w:rsid w:val="00990698"/>
    <w:rsid w:val="00991DA0"/>
    <w:rsid w:val="009920E6"/>
    <w:rsid w:val="00992C1C"/>
    <w:rsid w:val="00993E93"/>
    <w:rsid w:val="00994688"/>
    <w:rsid w:val="0099532B"/>
    <w:rsid w:val="009953FA"/>
    <w:rsid w:val="00995F7C"/>
    <w:rsid w:val="00996C7C"/>
    <w:rsid w:val="009A16C3"/>
    <w:rsid w:val="009A46D3"/>
    <w:rsid w:val="009A49B1"/>
    <w:rsid w:val="009A65ED"/>
    <w:rsid w:val="009A7343"/>
    <w:rsid w:val="009B1206"/>
    <w:rsid w:val="009B1F21"/>
    <w:rsid w:val="009B1FE0"/>
    <w:rsid w:val="009B2481"/>
    <w:rsid w:val="009B2945"/>
    <w:rsid w:val="009B3202"/>
    <w:rsid w:val="009B48C7"/>
    <w:rsid w:val="009B5CD4"/>
    <w:rsid w:val="009B5D1A"/>
    <w:rsid w:val="009B5D77"/>
    <w:rsid w:val="009B5D91"/>
    <w:rsid w:val="009B606C"/>
    <w:rsid w:val="009C0442"/>
    <w:rsid w:val="009C08FC"/>
    <w:rsid w:val="009C0CE8"/>
    <w:rsid w:val="009C168B"/>
    <w:rsid w:val="009C2814"/>
    <w:rsid w:val="009C40F3"/>
    <w:rsid w:val="009C4F58"/>
    <w:rsid w:val="009C5853"/>
    <w:rsid w:val="009C6A91"/>
    <w:rsid w:val="009C72BF"/>
    <w:rsid w:val="009D2E05"/>
    <w:rsid w:val="009D2F60"/>
    <w:rsid w:val="009D3F4F"/>
    <w:rsid w:val="009D462C"/>
    <w:rsid w:val="009D46DE"/>
    <w:rsid w:val="009D6F3F"/>
    <w:rsid w:val="009E0932"/>
    <w:rsid w:val="009E2ADB"/>
    <w:rsid w:val="009E3D8F"/>
    <w:rsid w:val="009E4CB5"/>
    <w:rsid w:val="009E5181"/>
    <w:rsid w:val="009E5ADA"/>
    <w:rsid w:val="009E5BF6"/>
    <w:rsid w:val="009E632E"/>
    <w:rsid w:val="009E6701"/>
    <w:rsid w:val="009E6714"/>
    <w:rsid w:val="009E6A05"/>
    <w:rsid w:val="009F011F"/>
    <w:rsid w:val="009F0FF9"/>
    <w:rsid w:val="009F130D"/>
    <w:rsid w:val="009F15FD"/>
    <w:rsid w:val="009F1F9C"/>
    <w:rsid w:val="009F232C"/>
    <w:rsid w:val="009F2D5C"/>
    <w:rsid w:val="009F33C7"/>
    <w:rsid w:val="009F3972"/>
    <w:rsid w:val="009F42C6"/>
    <w:rsid w:val="009F4ABE"/>
    <w:rsid w:val="009F5247"/>
    <w:rsid w:val="009F55EF"/>
    <w:rsid w:val="009F5AED"/>
    <w:rsid w:val="009F5CB3"/>
    <w:rsid w:val="009F6296"/>
    <w:rsid w:val="009F7A0F"/>
    <w:rsid w:val="00A01026"/>
    <w:rsid w:val="00A013BD"/>
    <w:rsid w:val="00A01E3B"/>
    <w:rsid w:val="00A02800"/>
    <w:rsid w:val="00A03E6A"/>
    <w:rsid w:val="00A03F3D"/>
    <w:rsid w:val="00A06277"/>
    <w:rsid w:val="00A06A6E"/>
    <w:rsid w:val="00A10355"/>
    <w:rsid w:val="00A109E9"/>
    <w:rsid w:val="00A12AAA"/>
    <w:rsid w:val="00A136D7"/>
    <w:rsid w:val="00A14043"/>
    <w:rsid w:val="00A14E8A"/>
    <w:rsid w:val="00A151F0"/>
    <w:rsid w:val="00A155FA"/>
    <w:rsid w:val="00A15DCF"/>
    <w:rsid w:val="00A168EE"/>
    <w:rsid w:val="00A16C12"/>
    <w:rsid w:val="00A17CDC"/>
    <w:rsid w:val="00A20077"/>
    <w:rsid w:val="00A20994"/>
    <w:rsid w:val="00A228FE"/>
    <w:rsid w:val="00A22FBE"/>
    <w:rsid w:val="00A2325A"/>
    <w:rsid w:val="00A23419"/>
    <w:rsid w:val="00A25628"/>
    <w:rsid w:val="00A25CEA"/>
    <w:rsid w:val="00A2667A"/>
    <w:rsid w:val="00A26911"/>
    <w:rsid w:val="00A26F09"/>
    <w:rsid w:val="00A270A6"/>
    <w:rsid w:val="00A303C0"/>
    <w:rsid w:val="00A30880"/>
    <w:rsid w:val="00A31399"/>
    <w:rsid w:val="00A316AA"/>
    <w:rsid w:val="00A32346"/>
    <w:rsid w:val="00A32363"/>
    <w:rsid w:val="00A32A98"/>
    <w:rsid w:val="00A32DB9"/>
    <w:rsid w:val="00A32E96"/>
    <w:rsid w:val="00A32EFE"/>
    <w:rsid w:val="00A3375A"/>
    <w:rsid w:val="00A35D66"/>
    <w:rsid w:val="00A363DB"/>
    <w:rsid w:val="00A3731E"/>
    <w:rsid w:val="00A37630"/>
    <w:rsid w:val="00A40A07"/>
    <w:rsid w:val="00A40DD9"/>
    <w:rsid w:val="00A40ED4"/>
    <w:rsid w:val="00A435F7"/>
    <w:rsid w:val="00A43FEB"/>
    <w:rsid w:val="00A44B7C"/>
    <w:rsid w:val="00A44D5F"/>
    <w:rsid w:val="00A450A5"/>
    <w:rsid w:val="00A4682E"/>
    <w:rsid w:val="00A47A5D"/>
    <w:rsid w:val="00A47F47"/>
    <w:rsid w:val="00A50721"/>
    <w:rsid w:val="00A51A01"/>
    <w:rsid w:val="00A51F91"/>
    <w:rsid w:val="00A51FC4"/>
    <w:rsid w:val="00A52F33"/>
    <w:rsid w:val="00A5314D"/>
    <w:rsid w:val="00A53334"/>
    <w:rsid w:val="00A55171"/>
    <w:rsid w:val="00A5519D"/>
    <w:rsid w:val="00A556D1"/>
    <w:rsid w:val="00A56591"/>
    <w:rsid w:val="00A569F3"/>
    <w:rsid w:val="00A60190"/>
    <w:rsid w:val="00A6098A"/>
    <w:rsid w:val="00A60FB5"/>
    <w:rsid w:val="00A614BD"/>
    <w:rsid w:val="00A636FF"/>
    <w:rsid w:val="00A66243"/>
    <w:rsid w:val="00A665A0"/>
    <w:rsid w:val="00A673AA"/>
    <w:rsid w:val="00A67EB0"/>
    <w:rsid w:val="00A702D9"/>
    <w:rsid w:val="00A703F4"/>
    <w:rsid w:val="00A72520"/>
    <w:rsid w:val="00A726F5"/>
    <w:rsid w:val="00A72DE9"/>
    <w:rsid w:val="00A74AB3"/>
    <w:rsid w:val="00A74BF0"/>
    <w:rsid w:val="00A754D5"/>
    <w:rsid w:val="00A80433"/>
    <w:rsid w:val="00A80BC0"/>
    <w:rsid w:val="00A81425"/>
    <w:rsid w:val="00A82175"/>
    <w:rsid w:val="00A82A47"/>
    <w:rsid w:val="00A8331C"/>
    <w:rsid w:val="00A84A2F"/>
    <w:rsid w:val="00A8500A"/>
    <w:rsid w:val="00A854C8"/>
    <w:rsid w:val="00A8586F"/>
    <w:rsid w:val="00A862A0"/>
    <w:rsid w:val="00A86308"/>
    <w:rsid w:val="00A86910"/>
    <w:rsid w:val="00A86AB8"/>
    <w:rsid w:val="00A86B4D"/>
    <w:rsid w:val="00A87540"/>
    <w:rsid w:val="00A91100"/>
    <w:rsid w:val="00A91292"/>
    <w:rsid w:val="00A94E6D"/>
    <w:rsid w:val="00A9615D"/>
    <w:rsid w:val="00A96302"/>
    <w:rsid w:val="00A97FC0"/>
    <w:rsid w:val="00AA133B"/>
    <w:rsid w:val="00AA1E68"/>
    <w:rsid w:val="00AA2E72"/>
    <w:rsid w:val="00AA34EC"/>
    <w:rsid w:val="00AA385E"/>
    <w:rsid w:val="00AA40B2"/>
    <w:rsid w:val="00AA4DCF"/>
    <w:rsid w:val="00AA521F"/>
    <w:rsid w:val="00AA548E"/>
    <w:rsid w:val="00AA6BFC"/>
    <w:rsid w:val="00AA6C86"/>
    <w:rsid w:val="00AA7C56"/>
    <w:rsid w:val="00AB142A"/>
    <w:rsid w:val="00AB1631"/>
    <w:rsid w:val="00AB22DF"/>
    <w:rsid w:val="00AB23D3"/>
    <w:rsid w:val="00AB27AE"/>
    <w:rsid w:val="00AB2BB7"/>
    <w:rsid w:val="00AB2E52"/>
    <w:rsid w:val="00AB3297"/>
    <w:rsid w:val="00AB333F"/>
    <w:rsid w:val="00AB3B9B"/>
    <w:rsid w:val="00AB514D"/>
    <w:rsid w:val="00AB52F6"/>
    <w:rsid w:val="00AB61FB"/>
    <w:rsid w:val="00AB69E5"/>
    <w:rsid w:val="00AB71E7"/>
    <w:rsid w:val="00AC0420"/>
    <w:rsid w:val="00AC0762"/>
    <w:rsid w:val="00AC12E0"/>
    <w:rsid w:val="00AC3B1F"/>
    <w:rsid w:val="00AC3CBF"/>
    <w:rsid w:val="00AC4759"/>
    <w:rsid w:val="00AC490F"/>
    <w:rsid w:val="00AC5FF3"/>
    <w:rsid w:val="00AC6E26"/>
    <w:rsid w:val="00AD0018"/>
    <w:rsid w:val="00AD049D"/>
    <w:rsid w:val="00AD0644"/>
    <w:rsid w:val="00AD0DEC"/>
    <w:rsid w:val="00AD1053"/>
    <w:rsid w:val="00AD18E4"/>
    <w:rsid w:val="00AD1C90"/>
    <w:rsid w:val="00AD3664"/>
    <w:rsid w:val="00AD5CBD"/>
    <w:rsid w:val="00AD67F2"/>
    <w:rsid w:val="00AD6D19"/>
    <w:rsid w:val="00AD702D"/>
    <w:rsid w:val="00AE22BB"/>
    <w:rsid w:val="00AE2657"/>
    <w:rsid w:val="00AE2D12"/>
    <w:rsid w:val="00AE4496"/>
    <w:rsid w:val="00AE4DC0"/>
    <w:rsid w:val="00AE5073"/>
    <w:rsid w:val="00AE5AD8"/>
    <w:rsid w:val="00AE7A45"/>
    <w:rsid w:val="00AE7AD5"/>
    <w:rsid w:val="00AF079D"/>
    <w:rsid w:val="00AF0B1A"/>
    <w:rsid w:val="00AF0F42"/>
    <w:rsid w:val="00AF0FB2"/>
    <w:rsid w:val="00AF2112"/>
    <w:rsid w:val="00AF3A0E"/>
    <w:rsid w:val="00AF60D6"/>
    <w:rsid w:val="00AF68EC"/>
    <w:rsid w:val="00AF6E1F"/>
    <w:rsid w:val="00AF743E"/>
    <w:rsid w:val="00B00033"/>
    <w:rsid w:val="00B00B04"/>
    <w:rsid w:val="00B020FC"/>
    <w:rsid w:val="00B038A6"/>
    <w:rsid w:val="00B04F98"/>
    <w:rsid w:val="00B068B9"/>
    <w:rsid w:val="00B06B67"/>
    <w:rsid w:val="00B06D25"/>
    <w:rsid w:val="00B06E5D"/>
    <w:rsid w:val="00B070DC"/>
    <w:rsid w:val="00B0793A"/>
    <w:rsid w:val="00B10B48"/>
    <w:rsid w:val="00B10CE3"/>
    <w:rsid w:val="00B10DF7"/>
    <w:rsid w:val="00B11148"/>
    <w:rsid w:val="00B112FF"/>
    <w:rsid w:val="00B12223"/>
    <w:rsid w:val="00B13A3C"/>
    <w:rsid w:val="00B13E84"/>
    <w:rsid w:val="00B1489F"/>
    <w:rsid w:val="00B16767"/>
    <w:rsid w:val="00B16ED2"/>
    <w:rsid w:val="00B175EE"/>
    <w:rsid w:val="00B17766"/>
    <w:rsid w:val="00B177D2"/>
    <w:rsid w:val="00B17FCE"/>
    <w:rsid w:val="00B2134D"/>
    <w:rsid w:val="00B21B83"/>
    <w:rsid w:val="00B21DC8"/>
    <w:rsid w:val="00B22185"/>
    <w:rsid w:val="00B22A53"/>
    <w:rsid w:val="00B22F27"/>
    <w:rsid w:val="00B23040"/>
    <w:rsid w:val="00B2312D"/>
    <w:rsid w:val="00B23339"/>
    <w:rsid w:val="00B2336D"/>
    <w:rsid w:val="00B2587C"/>
    <w:rsid w:val="00B25DC7"/>
    <w:rsid w:val="00B26113"/>
    <w:rsid w:val="00B264F4"/>
    <w:rsid w:val="00B30209"/>
    <w:rsid w:val="00B30391"/>
    <w:rsid w:val="00B30BE9"/>
    <w:rsid w:val="00B31C2D"/>
    <w:rsid w:val="00B3268C"/>
    <w:rsid w:val="00B32BFE"/>
    <w:rsid w:val="00B32FF7"/>
    <w:rsid w:val="00B33125"/>
    <w:rsid w:val="00B33BC6"/>
    <w:rsid w:val="00B34607"/>
    <w:rsid w:val="00B359B5"/>
    <w:rsid w:val="00B36186"/>
    <w:rsid w:val="00B361D7"/>
    <w:rsid w:val="00B36732"/>
    <w:rsid w:val="00B36E19"/>
    <w:rsid w:val="00B37A46"/>
    <w:rsid w:val="00B40FAC"/>
    <w:rsid w:val="00B410D6"/>
    <w:rsid w:val="00B411E0"/>
    <w:rsid w:val="00B4277E"/>
    <w:rsid w:val="00B43361"/>
    <w:rsid w:val="00B43571"/>
    <w:rsid w:val="00B43CBD"/>
    <w:rsid w:val="00B4415A"/>
    <w:rsid w:val="00B45214"/>
    <w:rsid w:val="00B457F9"/>
    <w:rsid w:val="00B461B2"/>
    <w:rsid w:val="00B46430"/>
    <w:rsid w:val="00B46431"/>
    <w:rsid w:val="00B46B1D"/>
    <w:rsid w:val="00B4718C"/>
    <w:rsid w:val="00B47194"/>
    <w:rsid w:val="00B471FF"/>
    <w:rsid w:val="00B4738C"/>
    <w:rsid w:val="00B477A4"/>
    <w:rsid w:val="00B47A11"/>
    <w:rsid w:val="00B5099F"/>
    <w:rsid w:val="00B52F26"/>
    <w:rsid w:val="00B530B6"/>
    <w:rsid w:val="00B53327"/>
    <w:rsid w:val="00B534DC"/>
    <w:rsid w:val="00B53B26"/>
    <w:rsid w:val="00B55EE3"/>
    <w:rsid w:val="00B56285"/>
    <w:rsid w:val="00B57A77"/>
    <w:rsid w:val="00B601E0"/>
    <w:rsid w:val="00B65668"/>
    <w:rsid w:val="00B70FC5"/>
    <w:rsid w:val="00B71041"/>
    <w:rsid w:val="00B712F4"/>
    <w:rsid w:val="00B71E19"/>
    <w:rsid w:val="00B72B7D"/>
    <w:rsid w:val="00B72F46"/>
    <w:rsid w:val="00B7310F"/>
    <w:rsid w:val="00B735F1"/>
    <w:rsid w:val="00B739E4"/>
    <w:rsid w:val="00B73DAB"/>
    <w:rsid w:val="00B74C44"/>
    <w:rsid w:val="00B74D30"/>
    <w:rsid w:val="00B75FAD"/>
    <w:rsid w:val="00B770B1"/>
    <w:rsid w:val="00B774A2"/>
    <w:rsid w:val="00B77CE6"/>
    <w:rsid w:val="00B8060E"/>
    <w:rsid w:val="00B806CE"/>
    <w:rsid w:val="00B80AFF"/>
    <w:rsid w:val="00B80C90"/>
    <w:rsid w:val="00B8100A"/>
    <w:rsid w:val="00B81586"/>
    <w:rsid w:val="00B82B92"/>
    <w:rsid w:val="00B83D3D"/>
    <w:rsid w:val="00B8552B"/>
    <w:rsid w:val="00B85673"/>
    <w:rsid w:val="00B8778D"/>
    <w:rsid w:val="00B87A77"/>
    <w:rsid w:val="00B9294D"/>
    <w:rsid w:val="00B92A1E"/>
    <w:rsid w:val="00B92BA4"/>
    <w:rsid w:val="00B944CA"/>
    <w:rsid w:val="00B94FCF"/>
    <w:rsid w:val="00B95FC6"/>
    <w:rsid w:val="00B965D3"/>
    <w:rsid w:val="00B9678D"/>
    <w:rsid w:val="00B975B3"/>
    <w:rsid w:val="00BA0CB6"/>
    <w:rsid w:val="00BA1E78"/>
    <w:rsid w:val="00BA23FB"/>
    <w:rsid w:val="00BA3785"/>
    <w:rsid w:val="00BA3E38"/>
    <w:rsid w:val="00BA56B8"/>
    <w:rsid w:val="00BA657D"/>
    <w:rsid w:val="00BA65D6"/>
    <w:rsid w:val="00BA7585"/>
    <w:rsid w:val="00BA7BC8"/>
    <w:rsid w:val="00BA7CDC"/>
    <w:rsid w:val="00BB018C"/>
    <w:rsid w:val="00BB1FED"/>
    <w:rsid w:val="00BB5155"/>
    <w:rsid w:val="00BB6216"/>
    <w:rsid w:val="00BB70AA"/>
    <w:rsid w:val="00BB71C0"/>
    <w:rsid w:val="00BB732A"/>
    <w:rsid w:val="00BB7EAB"/>
    <w:rsid w:val="00BC077D"/>
    <w:rsid w:val="00BC0867"/>
    <w:rsid w:val="00BC16C0"/>
    <w:rsid w:val="00BC16CC"/>
    <w:rsid w:val="00BC18A4"/>
    <w:rsid w:val="00BC23E0"/>
    <w:rsid w:val="00BC3DE4"/>
    <w:rsid w:val="00BC446B"/>
    <w:rsid w:val="00BC47C2"/>
    <w:rsid w:val="00BC49CA"/>
    <w:rsid w:val="00BC6130"/>
    <w:rsid w:val="00BC69D3"/>
    <w:rsid w:val="00BC6FEF"/>
    <w:rsid w:val="00BC7963"/>
    <w:rsid w:val="00BD00CE"/>
    <w:rsid w:val="00BD0ACD"/>
    <w:rsid w:val="00BD145D"/>
    <w:rsid w:val="00BD20FF"/>
    <w:rsid w:val="00BD27A1"/>
    <w:rsid w:val="00BD2AF9"/>
    <w:rsid w:val="00BD2DF4"/>
    <w:rsid w:val="00BD6366"/>
    <w:rsid w:val="00BE0945"/>
    <w:rsid w:val="00BE0E67"/>
    <w:rsid w:val="00BE191C"/>
    <w:rsid w:val="00BE1952"/>
    <w:rsid w:val="00BE2E03"/>
    <w:rsid w:val="00BE3217"/>
    <w:rsid w:val="00BE3942"/>
    <w:rsid w:val="00BE3CB0"/>
    <w:rsid w:val="00BE3E7D"/>
    <w:rsid w:val="00BE4064"/>
    <w:rsid w:val="00BE43E3"/>
    <w:rsid w:val="00BE4DB8"/>
    <w:rsid w:val="00BE68C6"/>
    <w:rsid w:val="00BE69CF"/>
    <w:rsid w:val="00BF03CD"/>
    <w:rsid w:val="00BF1553"/>
    <w:rsid w:val="00BF2781"/>
    <w:rsid w:val="00BF28C9"/>
    <w:rsid w:val="00BF2AFF"/>
    <w:rsid w:val="00BF2C91"/>
    <w:rsid w:val="00BF450E"/>
    <w:rsid w:val="00BF494A"/>
    <w:rsid w:val="00BF52CE"/>
    <w:rsid w:val="00BF5FAF"/>
    <w:rsid w:val="00BF723D"/>
    <w:rsid w:val="00BF7893"/>
    <w:rsid w:val="00BF7D01"/>
    <w:rsid w:val="00C00849"/>
    <w:rsid w:val="00C0097D"/>
    <w:rsid w:val="00C01B61"/>
    <w:rsid w:val="00C025B3"/>
    <w:rsid w:val="00C028B9"/>
    <w:rsid w:val="00C02938"/>
    <w:rsid w:val="00C02A42"/>
    <w:rsid w:val="00C031AB"/>
    <w:rsid w:val="00C039D9"/>
    <w:rsid w:val="00C03F26"/>
    <w:rsid w:val="00C056CE"/>
    <w:rsid w:val="00C057E2"/>
    <w:rsid w:val="00C05951"/>
    <w:rsid w:val="00C0696A"/>
    <w:rsid w:val="00C101D2"/>
    <w:rsid w:val="00C108B1"/>
    <w:rsid w:val="00C114A7"/>
    <w:rsid w:val="00C120B0"/>
    <w:rsid w:val="00C138EC"/>
    <w:rsid w:val="00C13EE6"/>
    <w:rsid w:val="00C149FB"/>
    <w:rsid w:val="00C15A13"/>
    <w:rsid w:val="00C1633E"/>
    <w:rsid w:val="00C17443"/>
    <w:rsid w:val="00C175B8"/>
    <w:rsid w:val="00C179C3"/>
    <w:rsid w:val="00C17C12"/>
    <w:rsid w:val="00C21E45"/>
    <w:rsid w:val="00C21F87"/>
    <w:rsid w:val="00C22918"/>
    <w:rsid w:val="00C22DA6"/>
    <w:rsid w:val="00C237B0"/>
    <w:rsid w:val="00C23985"/>
    <w:rsid w:val="00C23BAA"/>
    <w:rsid w:val="00C2691D"/>
    <w:rsid w:val="00C26A63"/>
    <w:rsid w:val="00C27435"/>
    <w:rsid w:val="00C27F21"/>
    <w:rsid w:val="00C30F1F"/>
    <w:rsid w:val="00C3261C"/>
    <w:rsid w:val="00C356A5"/>
    <w:rsid w:val="00C35FE7"/>
    <w:rsid w:val="00C40754"/>
    <w:rsid w:val="00C40F05"/>
    <w:rsid w:val="00C41822"/>
    <w:rsid w:val="00C42055"/>
    <w:rsid w:val="00C426A1"/>
    <w:rsid w:val="00C42E2D"/>
    <w:rsid w:val="00C42EC4"/>
    <w:rsid w:val="00C43FEC"/>
    <w:rsid w:val="00C44ADD"/>
    <w:rsid w:val="00C45131"/>
    <w:rsid w:val="00C476EA"/>
    <w:rsid w:val="00C47994"/>
    <w:rsid w:val="00C50387"/>
    <w:rsid w:val="00C507DF"/>
    <w:rsid w:val="00C50BA8"/>
    <w:rsid w:val="00C51DDD"/>
    <w:rsid w:val="00C51F06"/>
    <w:rsid w:val="00C534A0"/>
    <w:rsid w:val="00C53874"/>
    <w:rsid w:val="00C539EB"/>
    <w:rsid w:val="00C53C59"/>
    <w:rsid w:val="00C5434F"/>
    <w:rsid w:val="00C55E97"/>
    <w:rsid w:val="00C5759B"/>
    <w:rsid w:val="00C57B4E"/>
    <w:rsid w:val="00C6043B"/>
    <w:rsid w:val="00C6180D"/>
    <w:rsid w:val="00C61D89"/>
    <w:rsid w:val="00C62432"/>
    <w:rsid w:val="00C62460"/>
    <w:rsid w:val="00C64322"/>
    <w:rsid w:val="00C643A1"/>
    <w:rsid w:val="00C64505"/>
    <w:rsid w:val="00C64B0C"/>
    <w:rsid w:val="00C64D2F"/>
    <w:rsid w:val="00C65AC8"/>
    <w:rsid w:val="00C660EA"/>
    <w:rsid w:val="00C665E2"/>
    <w:rsid w:val="00C66D83"/>
    <w:rsid w:val="00C67B68"/>
    <w:rsid w:val="00C67B9B"/>
    <w:rsid w:val="00C70711"/>
    <w:rsid w:val="00C715C8"/>
    <w:rsid w:val="00C72EC8"/>
    <w:rsid w:val="00C73085"/>
    <w:rsid w:val="00C73699"/>
    <w:rsid w:val="00C74A72"/>
    <w:rsid w:val="00C7520B"/>
    <w:rsid w:val="00C7562A"/>
    <w:rsid w:val="00C7616A"/>
    <w:rsid w:val="00C77D9A"/>
    <w:rsid w:val="00C80E65"/>
    <w:rsid w:val="00C826D2"/>
    <w:rsid w:val="00C82F86"/>
    <w:rsid w:val="00C86DFB"/>
    <w:rsid w:val="00C9047C"/>
    <w:rsid w:val="00C9148D"/>
    <w:rsid w:val="00C91C06"/>
    <w:rsid w:val="00C92B8D"/>
    <w:rsid w:val="00C92C8C"/>
    <w:rsid w:val="00C934AA"/>
    <w:rsid w:val="00C945F0"/>
    <w:rsid w:val="00C94ECD"/>
    <w:rsid w:val="00C96237"/>
    <w:rsid w:val="00C96527"/>
    <w:rsid w:val="00C965FD"/>
    <w:rsid w:val="00C96F02"/>
    <w:rsid w:val="00CA00CA"/>
    <w:rsid w:val="00CA14F7"/>
    <w:rsid w:val="00CA5DB6"/>
    <w:rsid w:val="00CA5F6D"/>
    <w:rsid w:val="00CA5F77"/>
    <w:rsid w:val="00CA6803"/>
    <w:rsid w:val="00CA788A"/>
    <w:rsid w:val="00CB003C"/>
    <w:rsid w:val="00CB0C91"/>
    <w:rsid w:val="00CB12E0"/>
    <w:rsid w:val="00CB16B0"/>
    <w:rsid w:val="00CB1C3E"/>
    <w:rsid w:val="00CB256A"/>
    <w:rsid w:val="00CB2A24"/>
    <w:rsid w:val="00CB2B37"/>
    <w:rsid w:val="00CB2BFC"/>
    <w:rsid w:val="00CB3694"/>
    <w:rsid w:val="00CB3A93"/>
    <w:rsid w:val="00CB3B67"/>
    <w:rsid w:val="00CB3E1B"/>
    <w:rsid w:val="00CB4B8D"/>
    <w:rsid w:val="00CB5579"/>
    <w:rsid w:val="00CB5F94"/>
    <w:rsid w:val="00CC18BD"/>
    <w:rsid w:val="00CC1CB6"/>
    <w:rsid w:val="00CC29D7"/>
    <w:rsid w:val="00CC3DB2"/>
    <w:rsid w:val="00CC42DC"/>
    <w:rsid w:val="00CC560A"/>
    <w:rsid w:val="00CC5C5D"/>
    <w:rsid w:val="00CC5DCE"/>
    <w:rsid w:val="00CC5E86"/>
    <w:rsid w:val="00CC688D"/>
    <w:rsid w:val="00CD04BC"/>
    <w:rsid w:val="00CD133F"/>
    <w:rsid w:val="00CD170B"/>
    <w:rsid w:val="00CD186F"/>
    <w:rsid w:val="00CD2D39"/>
    <w:rsid w:val="00CD371D"/>
    <w:rsid w:val="00CD3D5B"/>
    <w:rsid w:val="00CD52C0"/>
    <w:rsid w:val="00CD5BEF"/>
    <w:rsid w:val="00CD7281"/>
    <w:rsid w:val="00CE0F16"/>
    <w:rsid w:val="00CE1CB7"/>
    <w:rsid w:val="00CE5AD9"/>
    <w:rsid w:val="00CE5B56"/>
    <w:rsid w:val="00CE64DE"/>
    <w:rsid w:val="00CE7265"/>
    <w:rsid w:val="00CE72DF"/>
    <w:rsid w:val="00CF056E"/>
    <w:rsid w:val="00CF1B40"/>
    <w:rsid w:val="00CF1E65"/>
    <w:rsid w:val="00CF2995"/>
    <w:rsid w:val="00CF2A96"/>
    <w:rsid w:val="00CF2D88"/>
    <w:rsid w:val="00CF308B"/>
    <w:rsid w:val="00CF36D0"/>
    <w:rsid w:val="00CF3FE5"/>
    <w:rsid w:val="00CF5650"/>
    <w:rsid w:val="00CF58F4"/>
    <w:rsid w:val="00CF67E3"/>
    <w:rsid w:val="00D02735"/>
    <w:rsid w:val="00D02F08"/>
    <w:rsid w:val="00D04465"/>
    <w:rsid w:val="00D049EF"/>
    <w:rsid w:val="00D065CA"/>
    <w:rsid w:val="00D11D7A"/>
    <w:rsid w:val="00D13FE1"/>
    <w:rsid w:val="00D147ED"/>
    <w:rsid w:val="00D149A9"/>
    <w:rsid w:val="00D15DCF"/>
    <w:rsid w:val="00D1658F"/>
    <w:rsid w:val="00D17567"/>
    <w:rsid w:val="00D17BF9"/>
    <w:rsid w:val="00D20BC7"/>
    <w:rsid w:val="00D21739"/>
    <w:rsid w:val="00D26AB0"/>
    <w:rsid w:val="00D26C9C"/>
    <w:rsid w:val="00D27DC1"/>
    <w:rsid w:val="00D30722"/>
    <w:rsid w:val="00D31510"/>
    <w:rsid w:val="00D31A49"/>
    <w:rsid w:val="00D32E89"/>
    <w:rsid w:val="00D32F76"/>
    <w:rsid w:val="00D331DE"/>
    <w:rsid w:val="00D33672"/>
    <w:rsid w:val="00D3466A"/>
    <w:rsid w:val="00D34849"/>
    <w:rsid w:val="00D34F05"/>
    <w:rsid w:val="00D34F3D"/>
    <w:rsid w:val="00D351E7"/>
    <w:rsid w:val="00D353C7"/>
    <w:rsid w:val="00D35443"/>
    <w:rsid w:val="00D36A23"/>
    <w:rsid w:val="00D37516"/>
    <w:rsid w:val="00D37695"/>
    <w:rsid w:val="00D37D40"/>
    <w:rsid w:val="00D40F0C"/>
    <w:rsid w:val="00D4153E"/>
    <w:rsid w:val="00D41710"/>
    <w:rsid w:val="00D4212A"/>
    <w:rsid w:val="00D42B65"/>
    <w:rsid w:val="00D4408D"/>
    <w:rsid w:val="00D45901"/>
    <w:rsid w:val="00D46765"/>
    <w:rsid w:val="00D47D31"/>
    <w:rsid w:val="00D50333"/>
    <w:rsid w:val="00D506AF"/>
    <w:rsid w:val="00D51628"/>
    <w:rsid w:val="00D522E8"/>
    <w:rsid w:val="00D53BCA"/>
    <w:rsid w:val="00D54426"/>
    <w:rsid w:val="00D546C9"/>
    <w:rsid w:val="00D55586"/>
    <w:rsid w:val="00D5565A"/>
    <w:rsid w:val="00D55CA8"/>
    <w:rsid w:val="00D602B6"/>
    <w:rsid w:val="00D60863"/>
    <w:rsid w:val="00D61B5D"/>
    <w:rsid w:val="00D63E8B"/>
    <w:rsid w:val="00D653C0"/>
    <w:rsid w:val="00D65680"/>
    <w:rsid w:val="00D66285"/>
    <w:rsid w:val="00D673F7"/>
    <w:rsid w:val="00D678FD"/>
    <w:rsid w:val="00D67CA2"/>
    <w:rsid w:val="00D71390"/>
    <w:rsid w:val="00D72E23"/>
    <w:rsid w:val="00D7523F"/>
    <w:rsid w:val="00D7637F"/>
    <w:rsid w:val="00D76727"/>
    <w:rsid w:val="00D7716C"/>
    <w:rsid w:val="00D77D47"/>
    <w:rsid w:val="00D77E0F"/>
    <w:rsid w:val="00D804EB"/>
    <w:rsid w:val="00D80D96"/>
    <w:rsid w:val="00D80EC7"/>
    <w:rsid w:val="00D81642"/>
    <w:rsid w:val="00D843D8"/>
    <w:rsid w:val="00D84EED"/>
    <w:rsid w:val="00D87963"/>
    <w:rsid w:val="00D92685"/>
    <w:rsid w:val="00D94059"/>
    <w:rsid w:val="00D943A6"/>
    <w:rsid w:val="00D95100"/>
    <w:rsid w:val="00D961B7"/>
    <w:rsid w:val="00DA0020"/>
    <w:rsid w:val="00DA070C"/>
    <w:rsid w:val="00DA0E1B"/>
    <w:rsid w:val="00DA19A2"/>
    <w:rsid w:val="00DA1AB1"/>
    <w:rsid w:val="00DA1C34"/>
    <w:rsid w:val="00DA385D"/>
    <w:rsid w:val="00DA5B93"/>
    <w:rsid w:val="00DA6A30"/>
    <w:rsid w:val="00DA7A6B"/>
    <w:rsid w:val="00DB0722"/>
    <w:rsid w:val="00DB1F18"/>
    <w:rsid w:val="00DB22D2"/>
    <w:rsid w:val="00DB2E23"/>
    <w:rsid w:val="00DB3023"/>
    <w:rsid w:val="00DB328A"/>
    <w:rsid w:val="00DB32B7"/>
    <w:rsid w:val="00DB34B6"/>
    <w:rsid w:val="00DB3C5A"/>
    <w:rsid w:val="00DB45B2"/>
    <w:rsid w:val="00DB4B5A"/>
    <w:rsid w:val="00DB4ED8"/>
    <w:rsid w:val="00DB67A0"/>
    <w:rsid w:val="00DB6EF6"/>
    <w:rsid w:val="00DB740B"/>
    <w:rsid w:val="00DB7693"/>
    <w:rsid w:val="00DC01A6"/>
    <w:rsid w:val="00DC0F5C"/>
    <w:rsid w:val="00DC2289"/>
    <w:rsid w:val="00DC6A25"/>
    <w:rsid w:val="00DC6C88"/>
    <w:rsid w:val="00DC6CE7"/>
    <w:rsid w:val="00DC71EF"/>
    <w:rsid w:val="00DC7EE0"/>
    <w:rsid w:val="00DD2C32"/>
    <w:rsid w:val="00DD317D"/>
    <w:rsid w:val="00DD38CA"/>
    <w:rsid w:val="00DD6B2D"/>
    <w:rsid w:val="00DD6E05"/>
    <w:rsid w:val="00DD6E88"/>
    <w:rsid w:val="00DE0167"/>
    <w:rsid w:val="00DE09D7"/>
    <w:rsid w:val="00DE0D07"/>
    <w:rsid w:val="00DE1001"/>
    <w:rsid w:val="00DE2642"/>
    <w:rsid w:val="00DE31E6"/>
    <w:rsid w:val="00DE3A89"/>
    <w:rsid w:val="00DE3D5C"/>
    <w:rsid w:val="00DE42B4"/>
    <w:rsid w:val="00DE43B4"/>
    <w:rsid w:val="00DE4DAC"/>
    <w:rsid w:val="00DE5746"/>
    <w:rsid w:val="00DE5B9F"/>
    <w:rsid w:val="00DE6460"/>
    <w:rsid w:val="00DE6883"/>
    <w:rsid w:val="00DE72EF"/>
    <w:rsid w:val="00DF0E19"/>
    <w:rsid w:val="00DF1A62"/>
    <w:rsid w:val="00DF21D2"/>
    <w:rsid w:val="00DF2E0D"/>
    <w:rsid w:val="00DF3030"/>
    <w:rsid w:val="00DF3625"/>
    <w:rsid w:val="00DF4619"/>
    <w:rsid w:val="00DF47D4"/>
    <w:rsid w:val="00DF4FA4"/>
    <w:rsid w:val="00DF78D4"/>
    <w:rsid w:val="00E01DA0"/>
    <w:rsid w:val="00E02E90"/>
    <w:rsid w:val="00E02EB1"/>
    <w:rsid w:val="00E03540"/>
    <w:rsid w:val="00E03D53"/>
    <w:rsid w:val="00E03EA6"/>
    <w:rsid w:val="00E04539"/>
    <w:rsid w:val="00E057D3"/>
    <w:rsid w:val="00E066F1"/>
    <w:rsid w:val="00E07796"/>
    <w:rsid w:val="00E10942"/>
    <w:rsid w:val="00E114A2"/>
    <w:rsid w:val="00E11E5E"/>
    <w:rsid w:val="00E12340"/>
    <w:rsid w:val="00E12CD0"/>
    <w:rsid w:val="00E13111"/>
    <w:rsid w:val="00E14990"/>
    <w:rsid w:val="00E157FA"/>
    <w:rsid w:val="00E16552"/>
    <w:rsid w:val="00E16CB2"/>
    <w:rsid w:val="00E16D85"/>
    <w:rsid w:val="00E17321"/>
    <w:rsid w:val="00E17797"/>
    <w:rsid w:val="00E2127F"/>
    <w:rsid w:val="00E21BA2"/>
    <w:rsid w:val="00E222F7"/>
    <w:rsid w:val="00E229C5"/>
    <w:rsid w:val="00E22AC8"/>
    <w:rsid w:val="00E23EA4"/>
    <w:rsid w:val="00E24ABB"/>
    <w:rsid w:val="00E25292"/>
    <w:rsid w:val="00E256EC"/>
    <w:rsid w:val="00E25812"/>
    <w:rsid w:val="00E264C7"/>
    <w:rsid w:val="00E27ED9"/>
    <w:rsid w:val="00E27F48"/>
    <w:rsid w:val="00E318F1"/>
    <w:rsid w:val="00E3257A"/>
    <w:rsid w:val="00E32774"/>
    <w:rsid w:val="00E32BEF"/>
    <w:rsid w:val="00E360B8"/>
    <w:rsid w:val="00E3638F"/>
    <w:rsid w:val="00E37C1B"/>
    <w:rsid w:val="00E40541"/>
    <w:rsid w:val="00E40C63"/>
    <w:rsid w:val="00E40D1B"/>
    <w:rsid w:val="00E40E21"/>
    <w:rsid w:val="00E4174C"/>
    <w:rsid w:val="00E41C4B"/>
    <w:rsid w:val="00E42723"/>
    <w:rsid w:val="00E42B17"/>
    <w:rsid w:val="00E42E26"/>
    <w:rsid w:val="00E43250"/>
    <w:rsid w:val="00E438F5"/>
    <w:rsid w:val="00E442F4"/>
    <w:rsid w:val="00E4511D"/>
    <w:rsid w:val="00E4519B"/>
    <w:rsid w:val="00E45EA3"/>
    <w:rsid w:val="00E463BB"/>
    <w:rsid w:val="00E46C83"/>
    <w:rsid w:val="00E46D62"/>
    <w:rsid w:val="00E4706E"/>
    <w:rsid w:val="00E50EF2"/>
    <w:rsid w:val="00E51397"/>
    <w:rsid w:val="00E51EC4"/>
    <w:rsid w:val="00E52378"/>
    <w:rsid w:val="00E52D85"/>
    <w:rsid w:val="00E54429"/>
    <w:rsid w:val="00E5453E"/>
    <w:rsid w:val="00E54D3B"/>
    <w:rsid w:val="00E55982"/>
    <w:rsid w:val="00E569A6"/>
    <w:rsid w:val="00E56F37"/>
    <w:rsid w:val="00E574CD"/>
    <w:rsid w:val="00E577E7"/>
    <w:rsid w:val="00E57EB4"/>
    <w:rsid w:val="00E60244"/>
    <w:rsid w:val="00E604C9"/>
    <w:rsid w:val="00E6121C"/>
    <w:rsid w:val="00E61BA6"/>
    <w:rsid w:val="00E6261E"/>
    <w:rsid w:val="00E63006"/>
    <w:rsid w:val="00E6391D"/>
    <w:rsid w:val="00E6401A"/>
    <w:rsid w:val="00E6459A"/>
    <w:rsid w:val="00E64875"/>
    <w:rsid w:val="00E64F1A"/>
    <w:rsid w:val="00E65F27"/>
    <w:rsid w:val="00E66230"/>
    <w:rsid w:val="00E70C52"/>
    <w:rsid w:val="00E70CFD"/>
    <w:rsid w:val="00E70F02"/>
    <w:rsid w:val="00E725F0"/>
    <w:rsid w:val="00E72631"/>
    <w:rsid w:val="00E73AE7"/>
    <w:rsid w:val="00E74132"/>
    <w:rsid w:val="00E759A8"/>
    <w:rsid w:val="00E76733"/>
    <w:rsid w:val="00E76D77"/>
    <w:rsid w:val="00E778A5"/>
    <w:rsid w:val="00E77A54"/>
    <w:rsid w:val="00E8510E"/>
    <w:rsid w:val="00E85CDB"/>
    <w:rsid w:val="00E87B43"/>
    <w:rsid w:val="00E92528"/>
    <w:rsid w:val="00E92C76"/>
    <w:rsid w:val="00E93480"/>
    <w:rsid w:val="00E9391A"/>
    <w:rsid w:val="00E93EA6"/>
    <w:rsid w:val="00E94676"/>
    <w:rsid w:val="00E949AC"/>
    <w:rsid w:val="00E94C01"/>
    <w:rsid w:val="00E95658"/>
    <w:rsid w:val="00EA011C"/>
    <w:rsid w:val="00EA1378"/>
    <w:rsid w:val="00EA3CF2"/>
    <w:rsid w:val="00EA52D9"/>
    <w:rsid w:val="00EA5E27"/>
    <w:rsid w:val="00EA67EE"/>
    <w:rsid w:val="00EB0AA3"/>
    <w:rsid w:val="00EB112F"/>
    <w:rsid w:val="00EB1793"/>
    <w:rsid w:val="00EB194F"/>
    <w:rsid w:val="00EB1958"/>
    <w:rsid w:val="00EB3EA8"/>
    <w:rsid w:val="00EB4B6B"/>
    <w:rsid w:val="00EB54FF"/>
    <w:rsid w:val="00EB5D0F"/>
    <w:rsid w:val="00EB60E7"/>
    <w:rsid w:val="00EB67FB"/>
    <w:rsid w:val="00EC0261"/>
    <w:rsid w:val="00EC0AE3"/>
    <w:rsid w:val="00EC1100"/>
    <w:rsid w:val="00EC2400"/>
    <w:rsid w:val="00EC2AF4"/>
    <w:rsid w:val="00EC36C4"/>
    <w:rsid w:val="00EC3D35"/>
    <w:rsid w:val="00EC4B8A"/>
    <w:rsid w:val="00EC51F6"/>
    <w:rsid w:val="00EC661C"/>
    <w:rsid w:val="00ED0DA0"/>
    <w:rsid w:val="00ED1944"/>
    <w:rsid w:val="00ED1BA4"/>
    <w:rsid w:val="00ED291D"/>
    <w:rsid w:val="00ED2FE4"/>
    <w:rsid w:val="00ED4176"/>
    <w:rsid w:val="00ED48FF"/>
    <w:rsid w:val="00ED65F8"/>
    <w:rsid w:val="00ED71AA"/>
    <w:rsid w:val="00EE031B"/>
    <w:rsid w:val="00EE084C"/>
    <w:rsid w:val="00EE1080"/>
    <w:rsid w:val="00EE1425"/>
    <w:rsid w:val="00EE15C8"/>
    <w:rsid w:val="00EE22CD"/>
    <w:rsid w:val="00EE2A86"/>
    <w:rsid w:val="00EE2E3B"/>
    <w:rsid w:val="00EE402D"/>
    <w:rsid w:val="00EE670B"/>
    <w:rsid w:val="00EE6BF0"/>
    <w:rsid w:val="00EE6C3A"/>
    <w:rsid w:val="00EE6F3A"/>
    <w:rsid w:val="00EE75AA"/>
    <w:rsid w:val="00EF0E60"/>
    <w:rsid w:val="00EF1B5B"/>
    <w:rsid w:val="00EF1BE2"/>
    <w:rsid w:val="00EF29AE"/>
    <w:rsid w:val="00EF3988"/>
    <w:rsid w:val="00EF45AA"/>
    <w:rsid w:val="00EF5800"/>
    <w:rsid w:val="00EF593D"/>
    <w:rsid w:val="00EF631E"/>
    <w:rsid w:val="00EF7198"/>
    <w:rsid w:val="00F01867"/>
    <w:rsid w:val="00F02018"/>
    <w:rsid w:val="00F020E9"/>
    <w:rsid w:val="00F03BDF"/>
    <w:rsid w:val="00F07093"/>
    <w:rsid w:val="00F07F1E"/>
    <w:rsid w:val="00F10A1E"/>
    <w:rsid w:val="00F113A9"/>
    <w:rsid w:val="00F1249B"/>
    <w:rsid w:val="00F124A4"/>
    <w:rsid w:val="00F13912"/>
    <w:rsid w:val="00F13BE3"/>
    <w:rsid w:val="00F14170"/>
    <w:rsid w:val="00F14220"/>
    <w:rsid w:val="00F14A12"/>
    <w:rsid w:val="00F14B94"/>
    <w:rsid w:val="00F15A06"/>
    <w:rsid w:val="00F16F36"/>
    <w:rsid w:val="00F20651"/>
    <w:rsid w:val="00F223F2"/>
    <w:rsid w:val="00F22D90"/>
    <w:rsid w:val="00F2365E"/>
    <w:rsid w:val="00F2383C"/>
    <w:rsid w:val="00F24BCF"/>
    <w:rsid w:val="00F24FD4"/>
    <w:rsid w:val="00F252F1"/>
    <w:rsid w:val="00F2541D"/>
    <w:rsid w:val="00F26010"/>
    <w:rsid w:val="00F27073"/>
    <w:rsid w:val="00F27919"/>
    <w:rsid w:val="00F27A86"/>
    <w:rsid w:val="00F301F2"/>
    <w:rsid w:val="00F3033F"/>
    <w:rsid w:val="00F30864"/>
    <w:rsid w:val="00F30C00"/>
    <w:rsid w:val="00F3672F"/>
    <w:rsid w:val="00F37A38"/>
    <w:rsid w:val="00F37EED"/>
    <w:rsid w:val="00F40A92"/>
    <w:rsid w:val="00F4277E"/>
    <w:rsid w:val="00F4458F"/>
    <w:rsid w:val="00F44EAC"/>
    <w:rsid w:val="00F458E6"/>
    <w:rsid w:val="00F45A75"/>
    <w:rsid w:val="00F4722A"/>
    <w:rsid w:val="00F51246"/>
    <w:rsid w:val="00F524C7"/>
    <w:rsid w:val="00F526F6"/>
    <w:rsid w:val="00F52A76"/>
    <w:rsid w:val="00F54790"/>
    <w:rsid w:val="00F54DE7"/>
    <w:rsid w:val="00F553AC"/>
    <w:rsid w:val="00F55A51"/>
    <w:rsid w:val="00F568BD"/>
    <w:rsid w:val="00F56B5E"/>
    <w:rsid w:val="00F57717"/>
    <w:rsid w:val="00F60834"/>
    <w:rsid w:val="00F60999"/>
    <w:rsid w:val="00F60C37"/>
    <w:rsid w:val="00F618C2"/>
    <w:rsid w:val="00F645C4"/>
    <w:rsid w:val="00F6475F"/>
    <w:rsid w:val="00F64F3E"/>
    <w:rsid w:val="00F65691"/>
    <w:rsid w:val="00F65A3F"/>
    <w:rsid w:val="00F65B59"/>
    <w:rsid w:val="00F66943"/>
    <w:rsid w:val="00F66F2A"/>
    <w:rsid w:val="00F674E3"/>
    <w:rsid w:val="00F70106"/>
    <w:rsid w:val="00F720DF"/>
    <w:rsid w:val="00F7230E"/>
    <w:rsid w:val="00F72A78"/>
    <w:rsid w:val="00F73B45"/>
    <w:rsid w:val="00F74325"/>
    <w:rsid w:val="00F779D1"/>
    <w:rsid w:val="00F822A3"/>
    <w:rsid w:val="00F835B7"/>
    <w:rsid w:val="00F83861"/>
    <w:rsid w:val="00F84424"/>
    <w:rsid w:val="00F8442A"/>
    <w:rsid w:val="00F875B9"/>
    <w:rsid w:val="00F8783E"/>
    <w:rsid w:val="00F90952"/>
    <w:rsid w:val="00F93BFB"/>
    <w:rsid w:val="00F9426E"/>
    <w:rsid w:val="00F94AAA"/>
    <w:rsid w:val="00F974F7"/>
    <w:rsid w:val="00F97649"/>
    <w:rsid w:val="00F9796C"/>
    <w:rsid w:val="00FA02E9"/>
    <w:rsid w:val="00FA16F0"/>
    <w:rsid w:val="00FA2239"/>
    <w:rsid w:val="00FA258F"/>
    <w:rsid w:val="00FA2BE6"/>
    <w:rsid w:val="00FA2DC8"/>
    <w:rsid w:val="00FA3B0B"/>
    <w:rsid w:val="00FA3F34"/>
    <w:rsid w:val="00FA67DE"/>
    <w:rsid w:val="00FA6A14"/>
    <w:rsid w:val="00FA72A3"/>
    <w:rsid w:val="00FB1247"/>
    <w:rsid w:val="00FB2B60"/>
    <w:rsid w:val="00FB2D1F"/>
    <w:rsid w:val="00FB3A76"/>
    <w:rsid w:val="00FB541D"/>
    <w:rsid w:val="00FB643E"/>
    <w:rsid w:val="00FB6463"/>
    <w:rsid w:val="00FB7D47"/>
    <w:rsid w:val="00FC0AEA"/>
    <w:rsid w:val="00FC1157"/>
    <w:rsid w:val="00FC22AF"/>
    <w:rsid w:val="00FC2C09"/>
    <w:rsid w:val="00FC3B89"/>
    <w:rsid w:val="00FC54CA"/>
    <w:rsid w:val="00FC6499"/>
    <w:rsid w:val="00FC68CA"/>
    <w:rsid w:val="00FC6A83"/>
    <w:rsid w:val="00FC7699"/>
    <w:rsid w:val="00FD0B91"/>
    <w:rsid w:val="00FD18D1"/>
    <w:rsid w:val="00FD3D2E"/>
    <w:rsid w:val="00FD41D3"/>
    <w:rsid w:val="00FD47F4"/>
    <w:rsid w:val="00FD6091"/>
    <w:rsid w:val="00FD6405"/>
    <w:rsid w:val="00FD766E"/>
    <w:rsid w:val="00FE0DCD"/>
    <w:rsid w:val="00FE104C"/>
    <w:rsid w:val="00FE2E7A"/>
    <w:rsid w:val="00FE3584"/>
    <w:rsid w:val="00FE3C62"/>
    <w:rsid w:val="00FE43CA"/>
    <w:rsid w:val="00FE4C62"/>
    <w:rsid w:val="00FE5264"/>
    <w:rsid w:val="00FE5FA1"/>
    <w:rsid w:val="00FE7317"/>
    <w:rsid w:val="00FF0602"/>
    <w:rsid w:val="00FF0A3D"/>
    <w:rsid w:val="00FF184F"/>
    <w:rsid w:val="00FF2A4A"/>
    <w:rsid w:val="00FF34AC"/>
    <w:rsid w:val="00FF3730"/>
    <w:rsid w:val="00FF41D0"/>
    <w:rsid w:val="00FF4A9C"/>
    <w:rsid w:val="00FF4DAF"/>
    <w:rsid w:val="00FF5A06"/>
    <w:rsid w:val="00FF5FE7"/>
    <w:rsid w:val="00FF639D"/>
    <w:rsid w:val="00FF672F"/>
    <w:rsid w:val="00FF6928"/>
    <w:rsid w:val="00FF6C7B"/>
    <w:rsid w:val="00FF701E"/>
    <w:rsid w:val="00FF707D"/>
    <w:rsid w:val="00FF75CD"/>
    <w:rsid w:val="00FF7B35"/>
    <w:rsid w:val="00FF7B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8994">
      <o:colormru v:ext="edit" colors="#00a8d0,#008eb0,#1492e8,#1287d6,#117dc7,#c2e3fa"/>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18"/>
    <w:pPr>
      <w:spacing w:after="240"/>
    </w:pPr>
    <w:rPr>
      <w:sz w:val="22"/>
    </w:rPr>
  </w:style>
  <w:style w:type="paragraph" w:styleId="Heading1">
    <w:name w:val="heading 1"/>
    <w:basedOn w:val="Normal"/>
    <w:next w:val="BodyText"/>
    <w:qFormat/>
    <w:rsid w:val="00F02018"/>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F02018"/>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F02018"/>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F02018"/>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02018"/>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F02018"/>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semiHidden/>
    <w:rsid w:val="00F02018"/>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F02018"/>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F02018"/>
    <w:pPr>
      <w:numPr>
        <w:ilvl w:val="1"/>
      </w:numPr>
    </w:pPr>
  </w:style>
  <w:style w:type="paragraph" w:customStyle="1" w:styleId="Listnumber">
    <w:name w:val="List number"/>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rsid w:val="00F02018"/>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semiHidden/>
    <w:rsid w:val="00F02018"/>
    <w:rPr>
      <w:sz w:val="16"/>
      <w:szCs w:val="16"/>
    </w:rPr>
  </w:style>
  <w:style w:type="paragraph" w:styleId="CommentText">
    <w:name w:val="annotation text"/>
    <w:basedOn w:val="Normal"/>
    <w:link w:val="CommentTextChar"/>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F02018"/>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E51DD"/>
    <w:rPr>
      <w:b/>
      <w:bCs/>
    </w:rPr>
  </w:style>
  <w:style w:type="character" w:customStyle="1" w:styleId="CommentTextChar">
    <w:name w:val="Comment Text Char"/>
    <w:basedOn w:val="DefaultParagraphFont"/>
    <w:link w:val="CommentText"/>
    <w:semiHidden/>
    <w:rsid w:val="000E51DD"/>
  </w:style>
  <w:style w:type="character" w:customStyle="1" w:styleId="CommentSubjectChar">
    <w:name w:val="Comment Subject Char"/>
    <w:basedOn w:val="CommentTextChar"/>
    <w:link w:val="CommentSubject"/>
    <w:rsid w:val="000E51DD"/>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8646A8"/>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110DE9"/>
    <w:pPr>
      <w:numPr>
        <w:numId w:val="13"/>
      </w:numPr>
      <w:spacing w:before="100"/>
    </w:pPr>
    <w:rPr>
      <w:noProof/>
    </w:rPr>
  </w:style>
  <w:style w:type="character" w:customStyle="1" w:styleId="MIRSubparaChar">
    <w:name w:val="MIR Subpara Char"/>
    <w:basedOn w:val="DefaultParagraphFont"/>
    <w:link w:val="MIRSubpara"/>
    <w:rsid w:val="00110DE9"/>
    <w:rPr>
      <w:noProof/>
      <w:sz w:val="22"/>
      <w:szCs w:val="22"/>
    </w:rPr>
  </w:style>
  <w:style w:type="paragraph" w:customStyle="1" w:styleId="MIRSubsubpara">
    <w:name w:val="MIR Subsubpara"/>
    <w:basedOn w:val="subsubparai"/>
    <w:link w:val="MIRSubsubparaChar"/>
    <w:qFormat/>
    <w:rsid w:val="008B310C"/>
    <w:pPr>
      <w:numPr>
        <w:numId w:val="12"/>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0"/>
        <w:numId w:val="0"/>
      </w:numPr>
      <w:tabs>
        <w:tab w:val="num" w:pos="2126"/>
      </w:tabs>
      <w:ind w:left="2126" w:hanging="425"/>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 w:type="paragraph" w:customStyle="1" w:styleId="tabletext0">
    <w:name w:val="tabletext"/>
    <w:basedOn w:val="Normal"/>
    <w:rsid w:val="006A52F4"/>
    <w:pPr>
      <w:spacing w:before="100" w:beforeAutospacing="1" w:after="100" w:afterAutospacing="1"/>
    </w:pPr>
    <w:rPr>
      <w:sz w:val="24"/>
      <w:szCs w:val="24"/>
    </w:rPr>
  </w:style>
  <w:style w:type="paragraph" w:customStyle="1" w:styleId="notetext">
    <w:name w:val="notetext"/>
    <w:basedOn w:val="Normal"/>
    <w:rsid w:val="006A52F4"/>
    <w:pPr>
      <w:spacing w:before="100" w:beforeAutospacing="1" w:after="100" w:afterAutospacing="1"/>
    </w:pPr>
    <w:rPr>
      <w:sz w:val="24"/>
      <w:szCs w:val="24"/>
    </w:rPr>
  </w:style>
  <w:style w:type="paragraph" w:customStyle="1" w:styleId="mirheading30">
    <w:name w:val="mirheading3"/>
    <w:basedOn w:val="Normal"/>
    <w:rsid w:val="008A6B51"/>
    <w:pPr>
      <w:spacing w:before="100" w:beforeAutospacing="1" w:after="100" w:afterAutospacing="1"/>
    </w:pPr>
    <w:rPr>
      <w:sz w:val="24"/>
      <w:szCs w:val="24"/>
    </w:rPr>
  </w:style>
  <w:style w:type="paragraph" w:customStyle="1" w:styleId="mirbodytext0">
    <w:name w:val="mirbodytext"/>
    <w:basedOn w:val="Normal"/>
    <w:rsid w:val="008A6B51"/>
    <w:pPr>
      <w:spacing w:before="100" w:beforeAutospacing="1" w:after="100" w:afterAutospacing="1"/>
    </w:pPr>
    <w:rPr>
      <w:sz w:val="24"/>
      <w:szCs w:val="24"/>
    </w:rPr>
  </w:style>
  <w:style w:type="paragraph" w:customStyle="1" w:styleId="mirsubpara0">
    <w:name w:val="mirsubpara"/>
    <w:basedOn w:val="Normal"/>
    <w:rsid w:val="008A6B51"/>
    <w:pPr>
      <w:spacing w:before="100" w:beforeAutospacing="1" w:after="100" w:afterAutospacing="1"/>
    </w:pPr>
    <w:rPr>
      <w:sz w:val="24"/>
      <w:szCs w:val="24"/>
    </w:rPr>
  </w:style>
  <w:style w:type="paragraph" w:customStyle="1" w:styleId="mirsubsubpara0">
    <w:name w:val="mirsubsubpara"/>
    <w:basedOn w:val="Normal"/>
    <w:rsid w:val="008A6B51"/>
    <w:pPr>
      <w:spacing w:before="100" w:beforeAutospacing="1" w:after="100" w:afterAutospacing="1"/>
    </w:pPr>
    <w:rPr>
      <w:sz w:val="24"/>
      <w:szCs w:val="24"/>
    </w:rPr>
  </w:style>
  <w:style w:type="paragraph" w:customStyle="1" w:styleId="mirnote0">
    <w:name w:val="mirnote"/>
    <w:basedOn w:val="Normal"/>
    <w:rsid w:val="008A6B5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5483484">
      <w:bodyDiv w:val="1"/>
      <w:marLeft w:val="0"/>
      <w:marRight w:val="0"/>
      <w:marTop w:val="0"/>
      <w:marBottom w:val="0"/>
      <w:divBdr>
        <w:top w:val="none" w:sz="0" w:space="0" w:color="auto"/>
        <w:left w:val="none" w:sz="0" w:space="0" w:color="auto"/>
        <w:bottom w:val="none" w:sz="0" w:space="0" w:color="auto"/>
        <w:right w:val="none" w:sz="0" w:space="0" w:color="auto"/>
      </w:divBdr>
      <w:divsChild>
        <w:div w:id="677000960">
          <w:marLeft w:val="0"/>
          <w:marRight w:val="0"/>
          <w:marTop w:val="0"/>
          <w:marBottom w:val="0"/>
          <w:divBdr>
            <w:top w:val="none" w:sz="0" w:space="0" w:color="auto"/>
            <w:left w:val="none" w:sz="0" w:space="0" w:color="auto"/>
            <w:bottom w:val="none" w:sz="0" w:space="0" w:color="auto"/>
            <w:right w:val="none" w:sz="0" w:space="0" w:color="auto"/>
          </w:divBdr>
          <w:divsChild>
            <w:div w:id="1007250961">
              <w:marLeft w:val="0"/>
              <w:marRight w:val="0"/>
              <w:marTop w:val="0"/>
              <w:marBottom w:val="0"/>
              <w:divBdr>
                <w:top w:val="none" w:sz="0" w:space="0" w:color="auto"/>
                <w:left w:val="none" w:sz="0" w:space="0" w:color="auto"/>
                <w:bottom w:val="none" w:sz="0" w:space="0" w:color="auto"/>
                <w:right w:val="none" w:sz="0" w:space="0" w:color="auto"/>
              </w:divBdr>
              <w:divsChild>
                <w:div w:id="1353922922">
                  <w:marLeft w:val="0"/>
                  <w:marRight w:val="0"/>
                  <w:marTop w:val="0"/>
                  <w:marBottom w:val="0"/>
                  <w:divBdr>
                    <w:top w:val="none" w:sz="0" w:space="0" w:color="auto"/>
                    <w:left w:val="none" w:sz="0" w:space="0" w:color="auto"/>
                    <w:bottom w:val="none" w:sz="0" w:space="0" w:color="auto"/>
                    <w:right w:val="none" w:sz="0" w:space="0" w:color="auto"/>
                  </w:divBdr>
                  <w:divsChild>
                    <w:div w:id="1620529200">
                      <w:marLeft w:val="0"/>
                      <w:marRight w:val="0"/>
                      <w:marTop w:val="0"/>
                      <w:marBottom w:val="0"/>
                      <w:divBdr>
                        <w:top w:val="none" w:sz="0" w:space="0" w:color="auto"/>
                        <w:left w:val="none" w:sz="0" w:space="0" w:color="auto"/>
                        <w:bottom w:val="none" w:sz="0" w:space="0" w:color="auto"/>
                        <w:right w:val="none" w:sz="0" w:space="0" w:color="auto"/>
                      </w:divBdr>
                      <w:divsChild>
                        <w:div w:id="778256704">
                          <w:marLeft w:val="0"/>
                          <w:marRight w:val="0"/>
                          <w:marTop w:val="0"/>
                          <w:marBottom w:val="0"/>
                          <w:divBdr>
                            <w:top w:val="single" w:sz="6" w:space="0" w:color="828282"/>
                            <w:left w:val="single" w:sz="6" w:space="0" w:color="828282"/>
                            <w:bottom w:val="single" w:sz="6" w:space="0" w:color="828282"/>
                            <w:right w:val="single" w:sz="6" w:space="0" w:color="828282"/>
                          </w:divBdr>
                          <w:divsChild>
                            <w:div w:id="146023101">
                              <w:marLeft w:val="0"/>
                              <w:marRight w:val="0"/>
                              <w:marTop w:val="0"/>
                              <w:marBottom w:val="0"/>
                              <w:divBdr>
                                <w:top w:val="none" w:sz="0" w:space="0" w:color="auto"/>
                                <w:left w:val="none" w:sz="0" w:space="0" w:color="auto"/>
                                <w:bottom w:val="none" w:sz="0" w:space="0" w:color="auto"/>
                                <w:right w:val="none" w:sz="0" w:space="0" w:color="auto"/>
                              </w:divBdr>
                              <w:divsChild>
                                <w:div w:id="167641852">
                                  <w:marLeft w:val="0"/>
                                  <w:marRight w:val="0"/>
                                  <w:marTop w:val="0"/>
                                  <w:marBottom w:val="0"/>
                                  <w:divBdr>
                                    <w:top w:val="none" w:sz="0" w:space="0" w:color="auto"/>
                                    <w:left w:val="none" w:sz="0" w:space="0" w:color="auto"/>
                                    <w:bottom w:val="none" w:sz="0" w:space="0" w:color="auto"/>
                                    <w:right w:val="none" w:sz="0" w:space="0" w:color="auto"/>
                                  </w:divBdr>
                                  <w:divsChild>
                                    <w:div w:id="469901952">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none" w:sz="0" w:space="0" w:color="auto"/>
                                            <w:left w:val="none" w:sz="0" w:space="0" w:color="auto"/>
                                            <w:bottom w:val="none" w:sz="0" w:space="0" w:color="auto"/>
                                            <w:right w:val="none" w:sz="0" w:space="0" w:color="auto"/>
                                          </w:divBdr>
                                          <w:divsChild>
                                            <w:div w:id="272247174">
                                              <w:marLeft w:val="0"/>
                                              <w:marRight w:val="0"/>
                                              <w:marTop w:val="0"/>
                                              <w:marBottom w:val="0"/>
                                              <w:divBdr>
                                                <w:top w:val="none" w:sz="0" w:space="0" w:color="auto"/>
                                                <w:left w:val="none" w:sz="0" w:space="0" w:color="auto"/>
                                                <w:bottom w:val="none" w:sz="0" w:space="0" w:color="auto"/>
                                                <w:right w:val="none" w:sz="0" w:space="0" w:color="auto"/>
                                              </w:divBdr>
                                              <w:divsChild>
                                                <w:div w:id="1350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672028">
      <w:bodyDiv w:val="1"/>
      <w:marLeft w:val="0"/>
      <w:marRight w:val="0"/>
      <w:marTop w:val="0"/>
      <w:marBottom w:val="0"/>
      <w:divBdr>
        <w:top w:val="none" w:sz="0" w:space="0" w:color="auto"/>
        <w:left w:val="none" w:sz="0" w:space="0" w:color="auto"/>
        <w:bottom w:val="none" w:sz="0" w:space="0" w:color="auto"/>
        <w:right w:val="none" w:sz="0" w:space="0" w:color="auto"/>
      </w:divBdr>
      <w:divsChild>
        <w:div w:id="1307319858">
          <w:marLeft w:val="0"/>
          <w:marRight w:val="0"/>
          <w:marTop w:val="0"/>
          <w:marBottom w:val="0"/>
          <w:divBdr>
            <w:top w:val="none" w:sz="0" w:space="0" w:color="auto"/>
            <w:left w:val="none" w:sz="0" w:space="0" w:color="auto"/>
            <w:bottom w:val="none" w:sz="0" w:space="0" w:color="auto"/>
            <w:right w:val="none" w:sz="0" w:space="0" w:color="auto"/>
          </w:divBdr>
          <w:divsChild>
            <w:div w:id="1150712038">
              <w:marLeft w:val="0"/>
              <w:marRight w:val="0"/>
              <w:marTop w:val="0"/>
              <w:marBottom w:val="0"/>
              <w:divBdr>
                <w:top w:val="none" w:sz="0" w:space="0" w:color="auto"/>
                <w:left w:val="none" w:sz="0" w:space="0" w:color="auto"/>
                <w:bottom w:val="none" w:sz="0" w:space="0" w:color="auto"/>
                <w:right w:val="none" w:sz="0" w:space="0" w:color="auto"/>
              </w:divBdr>
              <w:divsChild>
                <w:div w:id="1896620436">
                  <w:marLeft w:val="0"/>
                  <w:marRight w:val="0"/>
                  <w:marTop w:val="0"/>
                  <w:marBottom w:val="0"/>
                  <w:divBdr>
                    <w:top w:val="none" w:sz="0" w:space="0" w:color="auto"/>
                    <w:left w:val="none" w:sz="0" w:space="0" w:color="auto"/>
                    <w:bottom w:val="none" w:sz="0" w:space="0" w:color="auto"/>
                    <w:right w:val="none" w:sz="0" w:space="0" w:color="auto"/>
                  </w:divBdr>
                  <w:divsChild>
                    <w:div w:id="1624575480">
                      <w:marLeft w:val="0"/>
                      <w:marRight w:val="0"/>
                      <w:marTop w:val="0"/>
                      <w:marBottom w:val="0"/>
                      <w:divBdr>
                        <w:top w:val="none" w:sz="0" w:space="0" w:color="auto"/>
                        <w:left w:val="none" w:sz="0" w:space="0" w:color="auto"/>
                        <w:bottom w:val="none" w:sz="0" w:space="0" w:color="auto"/>
                        <w:right w:val="none" w:sz="0" w:space="0" w:color="auto"/>
                      </w:divBdr>
                      <w:divsChild>
                        <w:div w:id="806701737">
                          <w:marLeft w:val="0"/>
                          <w:marRight w:val="0"/>
                          <w:marTop w:val="0"/>
                          <w:marBottom w:val="0"/>
                          <w:divBdr>
                            <w:top w:val="single" w:sz="6" w:space="0" w:color="828282"/>
                            <w:left w:val="single" w:sz="6" w:space="0" w:color="828282"/>
                            <w:bottom w:val="single" w:sz="6" w:space="0" w:color="828282"/>
                            <w:right w:val="single" w:sz="6" w:space="0" w:color="828282"/>
                          </w:divBdr>
                          <w:divsChild>
                            <w:div w:id="989938947">
                              <w:marLeft w:val="0"/>
                              <w:marRight w:val="0"/>
                              <w:marTop w:val="0"/>
                              <w:marBottom w:val="0"/>
                              <w:divBdr>
                                <w:top w:val="none" w:sz="0" w:space="0" w:color="auto"/>
                                <w:left w:val="none" w:sz="0" w:space="0" w:color="auto"/>
                                <w:bottom w:val="none" w:sz="0" w:space="0" w:color="auto"/>
                                <w:right w:val="none" w:sz="0" w:space="0" w:color="auto"/>
                              </w:divBdr>
                              <w:divsChild>
                                <w:div w:id="1210844856">
                                  <w:marLeft w:val="0"/>
                                  <w:marRight w:val="0"/>
                                  <w:marTop w:val="0"/>
                                  <w:marBottom w:val="0"/>
                                  <w:divBdr>
                                    <w:top w:val="none" w:sz="0" w:space="0" w:color="auto"/>
                                    <w:left w:val="none" w:sz="0" w:space="0" w:color="auto"/>
                                    <w:bottom w:val="none" w:sz="0" w:space="0" w:color="auto"/>
                                    <w:right w:val="none" w:sz="0" w:space="0" w:color="auto"/>
                                  </w:divBdr>
                                  <w:divsChild>
                                    <w:div w:id="1406486632">
                                      <w:marLeft w:val="0"/>
                                      <w:marRight w:val="0"/>
                                      <w:marTop w:val="0"/>
                                      <w:marBottom w:val="0"/>
                                      <w:divBdr>
                                        <w:top w:val="none" w:sz="0" w:space="0" w:color="auto"/>
                                        <w:left w:val="none" w:sz="0" w:space="0" w:color="auto"/>
                                        <w:bottom w:val="none" w:sz="0" w:space="0" w:color="auto"/>
                                        <w:right w:val="none" w:sz="0" w:space="0" w:color="auto"/>
                                      </w:divBdr>
                                      <w:divsChild>
                                        <w:div w:id="1258516473">
                                          <w:marLeft w:val="0"/>
                                          <w:marRight w:val="0"/>
                                          <w:marTop w:val="0"/>
                                          <w:marBottom w:val="0"/>
                                          <w:divBdr>
                                            <w:top w:val="none" w:sz="0" w:space="0" w:color="auto"/>
                                            <w:left w:val="none" w:sz="0" w:space="0" w:color="auto"/>
                                            <w:bottom w:val="none" w:sz="0" w:space="0" w:color="auto"/>
                                            <w:right w:val="none" w:sz="0" w:space="0" w:color="auto"/>
                                          </w:divBdr>
                                          <w:divsChild>
                                            <w:div w:id="1321687939">
                                              <w:marLeft w:val="0"/>
                                              <w:marRight w:val="0"/>
                                              <w:marTop w:val="0"/>
                                              <w:marBottom w:val="0"/>
                                              <w:divBdr>
                                                <w:top w:val="none" w:sz="0" w:space="0" w:color="auto"/>
                                                <w:left w:val="none" w:sz="0" w:space="0" w:color="auto"/>
                                                <w:bottom w:val="none" w:sz="0" w:space="0" w:color="auto"/>
                                                <w:right w:val="none" w:sz="0" w:space="0" w:color="auto"/>
                                              </w:divBdr>
                                              <w:divsChild>
                                                <w:div w:id="7995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686-2D72-4E25-8503-3A87B02B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27</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Consultation Paper CP 161 Proposed ASIC market integrity rules: Capital, reporting and margins (ASX 24 market): Appendix 2</vt:lpstr>
    </vt:vector>
  </TitlesOfParts>
  <Company/>
  <LinksUpToDate>false</LinksUpToDate>
  <CharactersWithSpaces>28007</CharactersWithSpaces>
  <SharedDoc>false</SharedDoc>
  <HyperlinkBase/>
  <HLinks>
    <vt:vector size="6" baseType="variant">
      <vt:variant>
        <vt:i4>3145825</vt:i4>
      </vt:variant>
      <vt:variant>
        <vt:i4>0</vt:i4>
      </vt:variant>
      <vt:variant>
        <vt:i4>0</vt:i4>
      </vt:variant>
      <vt:variant>
        <vt:i4>5</vt:i4>
      </vt:variant>
      <vt:variant>
        <vt:lpwstr>http://www.asic.gov.au/markets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CP 161 Proposed ASIC market integrity rules: Capital, reporting and margins (ASX 24 market): Appendix 2</dc:title>
  <dc:subject>Consultation Paper CP 161 Proposed ASIC market integrity rules: Capital, reporting and margins (ASX 24 market): Appendix 2</dc:subject>
  <dc:creator>ASIC</dc:creator>
  <cp:keywords>Consultation Paper CP 161 Proposed ASIC market integrity rules: Capital, reporting and margins (ASX 24 market): Appendix 2</cp:keywords>
  <dc:description/>
  <cp:lastModifiedBy>Andivina Uy</cp:lastModifiedBy>
  <cp:revision>2</cp:revision>
  <cp:lastPrinted>2013-03-13T01:01:00Z</cp:lastPrinted>
  <dcterms:created xsi:type="dcterms:W3CDTF">2013-03-13T01:37:00Z</dcterms:created>
  <dcterms:modified xsi:type="dcterms:W3CDTF">2013-03-13T01:37:00Z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CONSULTATION PAPER</vt:lpwstr>
  </property>
  <property fmtid="{D5CDD505-2E9C-101B-9397-08002B2CF9AE}" pid="3" name="Document title">
    <vt:lpwstr>ASIC Market integrity Rules (Competition in Exchange Markets) Amendment 2013 (No. 1)</vt:lpwstr>
  </property>
  <property fmtid="{D5CDD505-2E9C-101B-9397-08002B2CF9AE}" pid="4" name="Document num">
    <vt:lpwstr>000</vt:lpwstr>
  </property>
  <property fmtid="{D5CDD505-2E9C-101B-9397-08002B2CF9AE}" pid="5" name="Issue date">
    <vt:lpwstr>February 2013</vt:lpwstr>
  </property>
  <property fmtid="{D5CDD505-2E9C-101B-9397-08002B2CF9AE}" pid="6" name="Source file type">
    <vt:lpwstr>CP</vt:lpwstr>
  </property>
  <property fmtid="{D5CDD505-2E9C-101B-9397-08002B2CF9AE}" pid="7" name="Objective-Id">
    <vt:lpwstr>A3749675</vt:lpwstr>
  </property>
  <property fmtid="{D5CDD505-2E9C-101B-9397-08002B2CF9AE}" pid="8" name="Objective-Title">
    <vt:lpwstr>2. ASIC Market Integrity Rules (Competition in Exchange Markets) Amendment 2013 (No.1) 20130313</vt:lpwstr>
  </property>
  <property fmtid="{D5CDD505-2E9C-101B-9397-08002B2CF9AE}" pid="9" name="Objective-Comment">
    <vt:lpwstr/>
  </property>
  <property fmtid="{D5CDD505-2E9C-101B-9397-08002B2CF9AE}" pid="10" name="Objective-CreationStamp">
    <vt:filetime>2013-02-06T04:45:57Z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2013-03-13T01:09:35Z</vt:filetime>
  </property>
  <property fmtid="{D5CDD505-2E9C-101B-9397-08002B2CF9AE}" pid="14" name="Objective-ModificationStamp">
    <vt:filetime>2013-03-13T01:11:15Z</vt:filetime>
  </property>
  <property fmtid="{D5CDD505-2E9C-101B-9397-08002B2CF9AE}" pid="15" name="Objective-Owner">
    <vt:lpwstr>Jennifer Dolphin</vt:lpwstr>
  </property>
  <property fmtid="{D5CDD505-2E9C-101B-9397-08002B2CF9AE}" pid="16" name="Objective-Path">
    <vt:lpwstr>ASIC BCS:POLICY &amp; REGULATORY FRAMEWORK:Policy Development:Markets:Retail Market For Commonwealth Government Bonds:Competition MIRs:Competition MIRs - Final:</vt:lpwstr>
  </property>
  <property fmtid="{D5CDD505-2E9C-101B-9397-08002B2CF9AE}" pid="17" name="Objective-Parent">
    <vt:lpwstr>Competition MIRs - Final</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11</vt:i4>
  </property>
  <property fmtid="{D5CDD505-2E9C-101B-9397-08002B2CF9AE}" pid="21" name="Objective-VersionComment">
    <vt:lpwstr/>
  </property>
  <property fmtid="{D5CDD505-2E9C-101B-9397-08002B2CF9AE}" pid="22" name="Objective-FileNumber">
    <vt:lpwstr>2011 - 005999</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