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D8" w:rsidRP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lang w:val="en-US"/>
        </w:rPr>
      </w:pPr>
    </w:p>
    <w:p w:rsidR="000725D8" w:rsidRPr="000725D8" w:rsidRDefault="000725D8" w:rsidP="000725D8">
      <w:pPr>
        <w:widowControl w:val="0"/>
        <w:tabs>
          <w:tab w:val="left" w:pos="1440"/>
        </w:tabs>
        <w:spacing w:after="0" w:line="240" w:lineRule="auto"/>
        <w:jc w:val="center"/>
        <w:rPr>
          <w:rFonts w:eastAsia="Times New Roman" w:cs="Times New Roman"/>
          <w:snapToGrid w:val="0"/>
          <w:szCs w:val="24"/>
        </w:rPr>
      </w:pPr>
    </w:p>
    <w:p w:rsidR="000725D8" w:rsidRPr="000725D8" w:rsidRDefault="000725D8" w:rsidP="000725D8">
      <w:pPr>
        <w:widowControl w:val="0"/>
        <w:tabs>
          <w:tab w:val="left" w:pos="1440"/>
        </w:tabs>
        <w:spacing w:after="0" w:line="240" w:lineRule="auto"/>
        <w:jc w:val="center"/>
        <w:rPr>
          <w:rFonts w:eastAsia="Times New Roman" w:cs="Times New Roman"/>
          <w:snapToGrid w:val="0"/>
          <w:szCs w:val="24"/>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r>
        <w:rPr>
          <w:rFonts w:eastAsia="Times New Roman" w:cs="Times New Roman"/>
          <w:noProof/>
          <w:szCs w:val="24"/>
          <w:lang w:eastAsia="en-AU"/>
        </w:rPr>
        <w:drawing>
          <wp:inline distT="0" distB="0" distL="0" distR="0">
            <wp:extent cx="2520315" cy="1510665"/>
            <wp:effectExtent l="0" t="0" r="0" b="0"/>
            <wp:docPr id="1" name="Picture 1" descr="H&amp;A TGA vert blackBO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TGA vert blackBOLD 7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0315" cy="1510665"/>
                    </a:xfrm>
                    <a:prstGeom prst="rect">
                      <a:avLst/>
                    </a:prstGeom>
                    <a:noFill/>
                    <a:ln>
                      <a:noFill/>
                    </a:ln>
                  </pic:spPr>
                </pic:pic>
              </a:graphicData>
            </a:graphic>
          </wp:inline>
        </w:drawing>
      </w: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tabs>
          <w:tab w:val="left" w:pos="1440"/>
        </w:tabs>
        <w:spacing w:after="0" w:line="240" w:lineRule="auto"/>
        <w:ind w:right="135"/>
        <w:jc w:val="center"/>
        <w:rPr>
          <w:rFonts w:eastAsia="Times New Roman" w:cs="Times New Roman"/>
          <w:b/>
          <w:szCs w:val="24"/>
          <w:lang w:eastAsia="en-AU"/>
        </w:rPr>
      </w:pPr>
      <w:r>
        <w:rPr>
          <w:rFonts w:eastAsia="Times New Roman" w:cs="Times New Roman"/>
          <w:b/>
          <w:szCs w:val="24"/>
          <w:lang w:eastAsia="en-AU"/>
        </w:rPr>
        <w:t xml:space="preserve">POISONS STANDARD AMENDMENT No. </w:t>
      </w:r>
      <w:r w:rsidR="00702963">
        <w:rPr>
          <w:rFonts w:eastAsia="Times New Roman" w:cs="Times New Roman"/>
          <w:b/>
          <w:szCs w:val="24"/>
          <w:lang w:eastAsia="en-AU"/>
        </w:rPr>
        <w:t>1 OF 2013</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 xml:space="preserve">I, ANTHONY GILL, a delegate of the Secretary to the Department of Health and Ageing for the purposes of paragraph 52D(2)(a) of the </w:t>
      </w:r>
      <w:r w:rsidRPr="000725D8">
        <w:rPr>
          <w:rFonts w:eastAsia="Times New Roman" w:cs="Times New Roman"/>
          <w:i/>
          <w:szCs w:val="24"/>
          <w:lang w:eastAsia="en-AU"/>
        </w:rPr>
        <w:t>Therapeutic Goods Act 1989</w:t>
      </w:r>
      <w:r w:rsidRPr="000725D8">
        <w:rPr>
          <w:rFonts w:eastAsia="Times New Roman" w:cs="Times New Roman"/>
          <w:szCs w:val="24"/>
          <w:lang w:eastAsia="en-AU"/>
        </w:rPr>
        <w:t xml:space="preserve"> (the Act) and acting in accordance with the Secretary’s power under that paragraph of the Act, hereby</w:t>
      </w:r>
      <w:r w:rsidR="009F6902">
        <w:rPr>
          <w:rFonts w:eastAsia="Times New Roman" w:cs="Times New Roman"/>
          <w:szCs w:val="24"/>
          <w:lang w:eastAsia="en-AU"/>
        </w:rPr>
        <w:t xml:space="preserve"> amend the Poisons Standard 201</w:t>
      </w:r>
      <w:r w:rsidR="000D195F">
        <w:rPr>
          <w:rFonts w:eastAsia="Times New Roman" w:cs="Times New Roman"/>
          <w:szCs w:val="24"/>
          <w:lang w:eastAsia="en-AU"/>
        </w:rPr>
        <w:t>2</w:t>
      </w:r>
      <w:r w:rsidRPr="000725D8">
        <w:rPr>
          <w:rFonts w:eastAsia="Times New Roman" w:cs="Times New Roman"/>
          <w:szCs w:val="24"/>
          <w:lang w:eastAsia="en-AU"/>
        </w:rPr>
        <w:t xml:space="preserve"> in the manner set out in Schedule 1.</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The amendments to the Poisons Standard 201</w:t>
      </w:r>
      <w:r w:rsidR="000D195F">
        <w:rPr>
          <w:rFonts w:eastAsia="Times New Roman" w:cs="Times New Roman"/>
          <w:szCs w:val="24"/>
          <w:lang w:eastAsia="en-AU"/>
        </w:rPr>
        <w:t>2</w:t>
      </w:r>
      <w:r w:rsidRPr="000725D8">
        <w:rPr>
          <w:rFonts w:eastAsia="Times New Roman" w:cs="Times New Roman"/>
          <w:szCs w:val="24"/>
          <w:lang w:eastAsia="en-AU"/>
        </w:rPr>
        <w:t xml:space="preserve"> as set out</w:t>
      </w:r>
      <w:r>
        <w:rPr>
          <w:rFonts w:eastAsia="Times New Roman" w:cs="Times New Roman"/>
          <w:szCs w:val="24"/>
          <w:lang w:eastAsia="en-AU"/>
        </w:rPr>
        <w:t xml:space="preserve"> in Schedule 1 commence on 1 </w:t>
      </w:r>
      <w:r w:rsidR="00702963">
        <w:rPr>
          <w:rFonts w:eastAsia="Times New Roman" w:cs="Times New Roman"/>
          <w:szCs w:val="24"/>
          <w:lang w:eastAsia="en-AU"/>
        </w:rPr>
        <w:t>May</w:t>
      </w:r>
      <w:r w:rsidRPr="000725D8">
        <w:rPr>
          <w:rFonts w:eastAsia="Times New Roman" w:cs="Times New Roman"/>
          <w:szCs w:val="24"/>
          <w:lang w:eastAsia="en-AU"/>
        </w:rPr>
        <w:t xml:space="preserve"> 201</w:t>
      </w:r>
      <w:r>
        <w:rPr>
          <w:rFonts w:eastAsia="Times New Roman" w:cs="Times New Roman"/>
          <w:szCs w:val="24"/>
          <w:lang w:eastAsia="en-AU"/>
        </w:rPr>
        <w:t>3</w:t>
      </w:r>
      <w:r w:rsidRPr="000725D8">
        <w:rPr>
          <w:rFonts w:eastAsia="Times New Roman" w:cs="Times New Roman"/>
          <w:szCs w:val="24"/>
          <w:lang w:eastAsia="en-AU"/>
        </w:rPr>
        <w:t>.</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911516" w:rsidP="000725D8">
      <w:pPr>
        <w:tabs>
          <w:tab w:val="left" w:pos="1440"/>
        </w:tabs>
        <w:spacing w:after="0" w:line="240" w:lineRule="auto"/>
        <w:ind w:right="135"/>
        <w:rPr>
          <w:rFonts w:eastAsia="Times New Roman" w:cs="Times New Roman"/>
          <w:szCs w:val="24"/>
          <w:lang w:eastAsia="en-AU"/>
        </w:rPr>
      </w:pPr>
      <w:r>
        <w:rPr>
          <w:rFonts w:eastAsia="Times New Roman" w:cs="Times New Roman"/>
          <w:szCs w:val="24"/>
          <w:lang w:eastAsia="en-AU"/>
        </w:rPr>
        <w:t>(Signed by)</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ANTHONY GILL</w:t>
      </w: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Delegate of the Secretary to the Department of Health and Ageing</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911516" w:rsidP="000725D8">
      <w:pPr>
        <w:tabs>
          <w:tab w:val="left" w:pos="1440"/>
        </w:tabs>
        <w:spacing w:after="0" w:line="240" w:lineRule="auto"/>
        <w:ind w:right="1273"/>
        <w:rPr>
          <w:rFonts w:eastAsia="Times New Roman" w:cs="Times New Roman"/>
          <w:szCs w:val="24"/>
          <w:lang w:eastAsia="en-AU"/>
        </w:rPr>
      </w:pPr>
      <w:r>
        <w:rPr>
          <w:rFonts w:eastAsia="Times New Roman" w:cs="Times New Roman"/>
          <w:szCs w:val="24"/>
          <w:lang w:eastAsia="en-AU"/>
        </w:rPr>
        <w:t xml:space="preserve">Dated this </w:t>
      </w:r>
      <w:r w:rsidR="0036120A">
        <w:rPr>
          <w:rFonts w:eastAsia="Times New Roman" w:cs="Times New Roman"/>
          <w:szCs w:val="24"/>
          <w:lang w:eastAsia="en-AU"/>
        </w:rPr>
        <w:t>14</w:t>
      </w:r>
      <w:r w:rsidR="0036120A" w:rsidRPr="0036120A">
        <w:rPr>
          <w:rFonts w:eastAsia="Times New Roman" w:cs="Times New Roman"/>
          <w:szCs w:val="24"/>
          <w:vertAlign w:val="superscript"/>
          <w:lang w:eastAsia="en-AU"/>
        </w:rPr>
        <w:t>th</w:t>
      </w:r>
      <w:r w:rsidR="0036120A">
        <w:rPr>
          <w:rFonts w:eastAsia="Times New Roman" w:cs="Times New Roman"/>
          <w:szCs w:val="24"/>
          <w:lang w:eastAsia="en-AU"/>
        </w:rPr>
        <w:tab/>
      </w:r>
      <w:r w:rsidRPr="000725D8">
        <w:rPr>
          <w:rFonts w:eastAsia="Times New Roman" w:cs="Times New Roman"/>
          <w:szCs w:val="24"/>
          <w:lang w:eastAsia="en-AU"/>
        </w:rPr>
        <w:t xml:space="preserve"> day</w:t>
      </w:r>
      <w:r>
        <w:rPr>
          <w:rFonts w:eastAsia="Times New Roman" w:cs="Times New Roman"/>
          <w:szCs w:val="24"/>
          <w:lang w:eastAsia="en-AU"/>
        </w:rPr>
        <w:t xml:space="preserve"> </w:t>
      </w:r>
      <w:r w:rsidR="0036120A">
        <w:rPr>
          <w:rFonts w:eastAsia="Times New Roman" w:cs="Times New Roman"/>
          <w:szCs w:val="24"/>
          <w:lang w:eastAsia="en-AU"/>
        </w:rPr>
        <w:t>of March 2013</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lang w:val="en-US"/>
        </w:rPr>
      </w:pPr>
      <w:r w:rsidRPr="000725D8">
        <w:rPr>
          <w:rFonts w:ascii="Courier New" w:eastAsia="Times New Roman" w:hAnsi="Courier New" w:cs="Courier New"/>
          <w:snapToGrid w:val="0"/>
          <w:szCs w:val="24"/>
          <w:lang w:val="en-US"/>
        </w:rPr>
        <w:br w:type="page"/>
      </w:r>
    </w:p>
    <w:p w:rsidR="000725D8" w:rsidRPr="000725D8" w:rsidRDefault="000725D8" w:rsidP="000725D8">
      <w:pPr>
        <w:widowControl w:val="0"/>
        <w:tabs>
          <w:tab w:val="left" w:pos="1440"/>
        </w:tabs>
        <w:spacing w:after="0" w:line="240" w:lineRule="auto"/>
        <w:rPr>
          <w:rFonts w:eastAsia="Times New Roman" w:cs="Times New Roman"/>
          <w:b/>
          <w:snapToGrid w:val="0"/>
          <w:sz w:val="96"/>
          <w:szCs w:val="96"/>
        </w:rPr>
      </w:pPr>
      <w:r w:rsidRPr="000725D8">
        <w:rPr>
          <w:rFonts w:eastAsia="Times New Roman" w:cs="Times New Roman"/>
          <w:b/>
          <w:snapToGrid w:val="0"/>
          <w:sz w:val="96"/>
          <w:szCs w:val="96"/>
        </w:rPr>
        <w:lastRenderedPageBreak/>
        <w:t xml:space="preserve">Schedule 1-Amendments to the Poisons Standard </w:t>
      </w:r>
      <w:r w:rsidR="00DB0079">
        <w:rPr>
          <w:rFonts w:eastAsia="Times New Roman" w:cs="Times New Roman"/>
          <w:b/>
          <w:snapToGrid w:val="0"/>
          <w:sz w:val="96"/>
          <w:szCs w:val="96"/>
        </w:rPr>
        <w:t>2012</w:t>
      </w:r>
    </w:p>
    <w:p w:rsid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rPr>
      </w:pPr>
    </w:p>
    <w:p w:rsidR="00351933" w:rsidRDefault="00351933" w:rsidP="000725D8">
      <w:pPr>
        <w:widowControl w:val="0"/>
        <w:tabs>
          <w:tab w:val="left" w:pos="1440"/>
        </w:tabs>
        <w:spacing w:after="0" w:line="240" w:lineRule="auto"/>
        <w:jc w:val="center"/>
        <w:rPr>
          <w:rFonts w:ascii="Courier New" w:eastAsia="Times New Roman" w:hAnsi="Courier New" w:cs="Courier New"/>
          <w:snapToGrid w:val="0"/>
          <w:szCs w:val="24"/>
        </w:rPr>
      </w:pPr>
    </w:p>
    <w:p w:rsidR="00351933" w:rsidRDefault="00351933" w:rsidP="000725D8">
      <w:pPr>
        <w:widowControl w:val="0"/>
        <w:tabs>
          <w:tab w:val="left" w:pos="1440"/>
        </w:tabs>
        <w:spacing w:after="0" w:line="240" w:lineRule="auto"/>
        <w:jc w:val="center"/>
        <w:rPr>
          <w:rFonts w:ascii="Courier New" w:eastAsia="Times New Roman" w:hAnsi="Courier New" w:cs="Courier New"/>
          <w:snapToGrid w:val="0"/>
          <w:szCs w:val="24"/>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 xml:space="preserve">STANDARD </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 xml:space="preserve">FOR THE </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UNIFORM SCHEDULING</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OF</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MEDICINES AND POISONS</w:t>
      </w:r>
    </w:p>
    <w:p w:rsidR="000725D8" w:rsidRPr="000725D8" w:rsidRDefault="000725D8" w:rsidP="000725D8">
      <w:pPr>
        <w:widowControl w:val="0"/>
        <w:tabs>
          <w:tab w:val="left" w:pos="1440"/>
        </w:tabs>
        <w:spacing w:after="0" w:line="240" w:lineRule="auto"/>
        <w:jc w:val="center"/>
        <w:rPr>
          <w:rFonts w:eastAsia="Times New Roman" w:cs="Times New Roman"/>
          <w:b/>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r w:rsidRPr="000725D8">
        <w:rPr>
          <w:rFonts w:eastAsia="Times New Roman" w:cs="Times New Roman"/>
          <w:bCs/>
          <w:snapToGrid w:val="0"/>
          <w:sz w:val="48"/>
          <w:szCs w:val="48"/>
        </w:rPr>
        <w:t xml:space="preserve">No. </w:t>
      </w:r>
      <w:r>
        <w:rPr>
          <w:rFonts w:eastAsia="Times New Roman" w:cs="Times New Roman"/>
          <w:bCs/>
          <w:snapToGrid w:val="0"/>
          <w:sz w:val="48"/>
          <w:szCs w:val="48"/>
        </w:rPr>
        <w:t>3</w:t>
      </w: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36"/>
          <w:szCs w:val="36"/>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36"/>
          <w:szCs w:val="36"/>
        </w:rPr>
      </w:pPr>
      <w:r w:rsidRPr="000725D8">
        <w:rPr>
          <w:rFonts w:eastAsia="Times New Roman" w:cs="Times New Roman"/>
          <w:bCs/>
          <w:snapToGrid w:val="0"/>
          <w:sz w:val="36"/>
          <w:szCs w:val="36"/>
        </w:rPr>
        <w:t xml:space="preserve">AMENDMENT No. </w:t>
      </w:r>
      <w:r w:rsidR="00702963">
        <w:rPr>
          <w:rFonts w:eastAsia="Times New Roman" w:cs="Times New Roman"/>
          <w:bCs/>
          <w:snapToGrid w:val="0"/>
          <w:sz w:val="36"/>
          <w:szCs w:val="36"/>
        </w:rPr>
        <w:t>5</w:t>
      </w:r>
    </w:p>
    <w:p w:rsidR="000725D8" w:rsidRPr="000725D8" w:rsidRDefault="000725D8" w:rsidP="000725D8">
      <w:pPr>
        <w:widowControl w:val="0"/>
        <w:tabs>
          <w:tab w:val="left" w:pos="1440"/>
        </w:tabs>
        <w:spacing w:after="0" w:line="240" w:lineRule="auto"/>
        <w:jc w:val="center"/>
        <w:rPr>
          <w:rFonts w:eastAsia="Times New Roman" w:cs="Times New Roman"/>
          <w:b/>
          <w:bCs/>
          <w:snapToGrid w:val="0"/>
          <w:sz w:val="36"/>
          <w:szCs w:val="36"/>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28"/>
          <w:szCs w:val="28"/>
        </w:rPr>
      </w:pPr>
      <w:r w:rsidRPr="000725D8">
        <w:rPr>
          <w:rFonts w:eastAsia="Times New Roman" w:cs="Times New Roman"/>
          <w:snapToGrid w:val="0"/>
          <w:sz w:val="28"/>
          <w:szCs w:val="28"/>
        </w:rPr>
        <w:t xml:space="preserve">Effective Date – 1 </w:t>
      </w:r>
      <w:r w:rsidR="00702963">
        <w:rPr>
          <w:rFonts w:eastAsia="Times New Roman" w:cs="Times New Roman"/>
          <w:snapToGrid w:val="0"/>
          <w:sz w:val="28"/>
          <w:szCs w:val="28"/>
        </w:rPr>
        <w:t>May</w:t>
      </w:r>
      <w:r w:rsidRPr="000725D8">
        <w:rPr>
          <w:rFonts w:eastAsia="Times New Roman" w:cs="Times New Roman"/>
          <w:snapToGrid w:val="0"/>
          <w:sz w:val="28"/>
          <w:szCs w:val="28"/>
        </w:rPr>
        <w:t xml:space="preserve"> 201</w:t>
      </w:r>
      <w:r>
        <w:rPr>
          <w:rFonts w:eastAsia="Times New Roman" w:cs="Times New Roman"/>
          <w:snapToGrid w:val="0"/>
          <w:sz w:val="28"/>
          <w:szCs w:val="28"/>
        </w:rPr>
        <w:t>3</w:t>
      </w:r>
    </w:p>
    <w:p w:rsidR="000725D8" w:rsidRPr="000725D8" w:rsidRDefault="000725D8" w:rsidP="000725D8">
      <w:pPr>
        <w:widowControl w:val="0"/>
        <w:tabs>
          <w:tab w:val="left" w:pos="1440"/>
        </w:tabs>
        <w:spacing w:after="0" w:line="240" w:lineRule="auto"/>
        <w:jc w:val="center"/>
        <w:rPr>
          <w:rFonts w:eastAsia="Times New Roman" w:cs="Times New Roman"/>
          <w:snapToGrid w:val="0"/>
          <w:sz w:val="28"/>
          <w:szCs w:val="28"/>
        </w:rPr>
        <w:sectPr w:rsidR="000725D8" w:rsidRPr="000725D8">
          <w:pgSz w:w="12240" w:h="15840"/>
          <w:pgMar w:top="1440" w:right="1800" w:bottom="1440" w:left="1800" w:header="720" w:footer="720" w:gutter="0"/>
          <w:cols w:space="720"/>
        </w:sectPr>
      </w:pP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sidRPr="001D1299">
        <w:rPr>
          <w:rFonts w:asciiTheme="minorHAnsi" w:eastAsia="Times New Roman" w:hAnsiTheme="minorHAnsi" w:cstheme="minorHAnsi"/>
          <w:color w:val="000000"/>
          <w:szCs w:val="24"/>
          <w:lang w:val="en-US"/>
        </w:rPr>
        <w:lastRenderedPageBreak/>
        <w:t xml:space="preserve">ISBN: </w:t>
      </w:r>
      <w:r w:rsidR="009906EF" w:rsidRPr="00A11261">
        <w:rPr>
          <w:rFonts w:ascii="Arial" w:hAnsi="Arial" w:cs="Arial"/>
        </w:rPr>
        <w:t>978-1-74241-893-3</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1D1299" w:rsidRPr="001D1299" w:rsidRDefault="00702963"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Pr>
          <w:rFonts w:asciiTheme="minorHAnsi" w:eastAsia="Times New Roman" w:hAnsiTheme="minorHAnsi" w:cstheme="minorHAnsi"/>
          <w:color w:val="000000"/>
          <w:szCs w:val="24"/>
          <w:lang w:val="en-US"/>
        </w:rPr>
        <w:t>© Commonwealth of Australia 2013</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1D1299" w:rsidRPr="001D1299" w:rsidRDefault="00DB007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sidRPr="00A66C1B">
        <w:rPr>
          <w:snapToGrid w:val="0"/>
          <w:sz w:val="22"/>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752BF8">
        <w:rPr>
          <w:i/>
          <w:snapToGrid w:val="0"/>
          <w:sz w:val="22"/>
        </w:rPr>
        <w:t>Copyright Act</w:t>
      </w:r>
      <w:r w:rsidRPr="00A66C1B">
        <w:rPr>
          <w:snapToGrid w:val="0"/>
          <w:sz w:val="22"/>
        </w:rPr>
        <w:t xml:space="preserve"> </w:t>
      </w:r>
      <w:r w:rsidRPr="00EF2230">
        <w:rPr>
          <w:i/>
          <w:snapToGrid w:val="0"/>
          <w:sz w:val="22"/>
        </w:rPr>
        <w:t>1968</w:t>
      </w:r>
      <w:r w:rsidRPr="00A66C1B">
        <w:rPr>
          <w:snapToGrid w:val="0"/>
          <w:sz w:val="22"/>
        </w:rPr>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copyright@health.gov.au.</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Published by the Australian Government</w:t>
      </w:r>
      <w:r w:rsidR="00DB0079">
        <w:rPr>
          <w:rFonts w:asciiTheme="minorHAnsi" w:eastAsia="Times New Roman" w:hAnsiTheme="minorHAnsi" w:cstheme="minorHAnsi"/>
          <w:snapToGrid w:val="0"/>
          <w:szCs w:val="24"/>
        </w:rPr>
        <w:t>.</w:t>
      </w:r>
    </w:p>
    <w:p w:rsidR="000725D8"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Pr="001D1299" w:rsidRDefault="0048687B" w:rsidP="0048687B">
      <w:pPr>
        <w:autoSpaceDE w:val="0"/>
        <w:autoSpaceDN w:val="0"/>
        <w:adjustRightInd w:val="0"/>
        <w:spacing w:after="0" w:line="240" w:lineRule="auto"/>
        <w:rPr>
          <w:rFonts w:asciiTheme="minorHAnsi" w:eastAsia="Times New Roman" w:hAnsiTheme="minorHAnsi" w:cstheme="minorHAnsi"/>
          <w:szCs w:val="24"/>
          <w:lang w:val="en-US"/>
        </w:rPr>
      </w:pPr>
      <w:r w:rsidRPr="001D1299">
        <w:rPr>
          <w:rFonts w:asciiTheme="minorHAnsi" w:eastAsia="Times New Roman" w:hAnsiTheme="minorHAnsi" w:cstheme="minorHAnsi"/>
          <w:szCs w:val="24"/>
          <w:lang w:val="en-US"/>
        </w:rPr>
        <w:t xml:space="preserve">Publications approval number: </w:t>
      </w:r>
      <w:r w:rsidR="009906EF">
        <w:t>10085</w:t>
      </w: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Pr="001238DC"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color w:val="0000FF"/>
          <w:szCs w:val="24"/>
          <w:u w:val="single"/>
          <w:lang w:eastAsia="en-AU"/>
        </w:rPr>
      </w:pPr>
      <w:r w:rsidRPr="001238DC">
        <w:rPr>
          <w:rFonts w:asciiTheme="minorHAnsi" w:eastAsia="Times New Roman" w:hAnsiTheme="minorHAnsi" w:cstheme="minorHAnsi"/>
          <w:snapToGrid w:val="0"/>
          <w:szCs w:val="24"/>
        </w:rPr>
        <w:t xml:space="preserve">The amendments listed in this document are a result of decisions made by </w:t>
      </w:r>
      <w:r w:rsidR="00DB0079">
        <w:rPr>
          <w:rFonts w:asciiTheme="minorHAnsi" w:eastAsia="Times New Roman" w:hAnsiTheme="minorHAnsi" w:cstheme="minorHAnsi"/>
          <w:snapToGrid w:val="0"/>
          <w:szCs w:val="24"/>
        </w:rPr>
        <w:t>a delegate</w:t>
      </w:r>
      <w:r w:rsidRPr="001238DC">
        <w:rPr>
          <w:rFonts w:asciiTheme="minorHAnsi" w:eastAsia="Times New Roman" w:hAnsiTheme="minorHAnsi" w:cstheme="minorHAnsi"/>
          <w:snapToGrid w:val="0"/>
          <w:szCs w:val="24"/>
        </w:rPr>
        <w:t xml:space="preserve"> of the Department of Health and Ageing in </w:t>
      </w:r>
      <w:r w:rsidR="00740039">
        <w:rPr>
          <w:rFonts w:asciiTheme="minorHAnsi" w:eastAsia="Times New Roman" w:hAnsiTheme="minorHAnsi" w:cstheme="minorHAnsi"/>
          <w:snapToGrid w:val="0"/>
          <w:szCs w:val="24"/>
        </w:rPr>
        <w:t>November 2012 and in February and March </w:t>
      </w:r>
      <w:r w:rsidR="00702963">
        <w:rPr>
          <w:rFonts w:asciiTheme="minorHAnsi" w:eastAsia="Times New Roman" w:hAnsiTheme="minorHAnsi" w:cstheme="minorHAnsi"/>
          <w:snapToGrid w:val="0"/>
          <w:szCs w:val="24"/>
        </w:rPr>
        <w:t>2013</w:t>
      </w:r>
      <w:r w:rsidRPr="001238DC">
        <w:rPr>
          <w:rFonts w:asciiTheme="minorHAnsi" w:eastAsia="Times New Roman" w:hAnsiTheme="minorHAnsi" w:cstheme="minorHAnsi"/>
          <w:snapToGrid w:val="0"/>
          <w:szCs w:val="24"/>
        </w:rPr>
        <w:t xml:space="preserve">.  The basis of these amendments can be found in the ‘Reasons for scheduling delegate’s final decisions’, which can be accessed from the TGA website at </w:t>
      </w:r>
      <w:r w:rsidRPr="001238DC">
        <w:rPr>
          <w:rFonts w:asciiTheme="minorHAnsi" w:eastAsia="Times New Roman" w:hAnsiTheme="minorHAnsi" w:cstheme="minorHAnsi"/>
          <w:color w:val="0000FF"/>
          <w:szCs w:val="24"/>
          <w:u w:val="single"/>
          <w:lang w:eastAsia="en-AU"/>
        </w:rPr>
        <w:t>www.tga.gov.au/industry/scheduling-decisions.htm.</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Further inquiries should be directed to:</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The Secretary</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Medicines and Poisons Scheduling Secretariat (MDP88)</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Office of Health Protection</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Department of Health and Ageing</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GPO Box 9848</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CANBERRA  ACT  2601</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bookmarkStart w:id="0" w:name="_Hlt12845988"/>
      <w:r w:rsidRPr="001238DC">
        <w:rPr>
          <w:rFonts w:asciiTheme="minorHAnsi" w:eastAsia="Times New Roman" w:hAnsiTheme="minorHAnsi" w:cstheme="minorHAnsi"/>
          <w:snapToGrid w:val="0"/>
          <w:szCs w:val="24"/>
        </w:rPr>
        <w:t xml:space="preserve">or by email:  </w:t>
      </w:r>
      <w:hyperlink r:id="rId9" w:history="1">
        <w:r w:rsidRPr="001238DC">
          <w:rPr>
            <w:rFonts w:asciiTheme="minorHAnsi" w:eastAsia="Times New Roman" w:hAnsiTheme="minorHAnsi" w:cstheme="minorHAnsi"/>
            <w:color w:val="0000FF"/>
            <w:szCs w:val="24"/>
            <w:u w:val="single"/>
            <w:lang w:eastAsia="en-AU"/>
          </w:rPr>
          <w:t>SMP@health.gov.au</w:t>
        </w:r>
      </w:hyperlink>
      <w:bookmarkEnd w:id="0"/>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Media Liaison Unit</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Australian Government Department of Health and Ageing</w:t>
      </w:r>
    </w:p>
    <w:p w:rsidR="000725D8" w:rsidRPr="000725D8" w:rsidRDefault="000725D8" w:rsidP="00E743A1">
      <w:pPr>
        <w:widowControl w:val="0"/>
        <w:tabs>
          <w:tab w:val="left" w:pos="1440"/>
        </w:tabs>
        <w:spacing w:after="0" w:line="240" w:lineRule="auto"/>
        <w:jc w:val="center"/>
        <w:rPr>
          <w:rFonts w:eastAsia="Times New Roman" w:cs="Times New Roman"/>
          <w:snapToGrid w:val="0"/>
          <w:szCs w:val="24"/>
        </w:rPr>
      </w:pPr>
      <w:r w:rsidRPr="000725D8">
        <w:rPr>
          <w:rFonts w:eastAsia="Times New Roman" w:cs="Times New Roman"/>
          <w:snapToGrid w:val="0"/>
          <w:szCs w:val="24"/>
        </w:rPr>
        <w:br w:type="page"/>
      </w:r>
    </w:p>
    <w:p w:rsidR="000725D8" w:rsidRPr="000725D8" w:rsidRDefault="000725D8" w:rsidP="000725D8">
      <w:pPr>
        <w:widowControl w:val="0"/>
        <w:tabs>
          <w:tab w:val="left" w:pos="1440"/>
        </w:tabs>
        <w:spacing w:after="0" w:line="240" w:lineRule="auto"/>
        <w:rPr>
          <w:rFonts w:eastAsia="Times New Roman" w:cs="Times New Roman"/>
          <w:b/>
          <w:bCs/>
          <w:snapToGrid w:val="0"/>
          <w:szCs w:val="24"/>
        </w:rPr>
        <w:sectPr w:rsidR="000725D8" w:rsidRPr="000725D8">
          <w:headerReference w:type="even" r:id="rId10"/>
          <w:headerReference w:type="default" r:id="rId11"/>
          <w:headerReference w:type="first" r:id="rId12"/>
          <w:pgSz w:w="12240" w:h="15840"/>
          <w:pgMar w:top="1440" w:right="1800" w:bottom="1440" w:left="1800" w:header="720" w:footer="720" w:gutter="0"/>
          <w:pgNumType w:fmt="lowerRoman" w:start="1"/>
          <w:cols w:space="720"/>
        </w:sectPr>
      </w:pPr>
    </w:p>
    <w:p w:rsidR="000725D8" w:rsidRPr="000725D8" w:rsidRDefault="000725D8" w:rsidP="00D144A5">
      <w:pPr>
        <w:widowControl w:val="0"/>
        <w:tabs>
          <w:tab w:val="left" w:pos="1440"/>
        </w:tabs>
        <w:spacing w:after="0" w:line="240" w:lineRule="auto"/>
        <w:rPr>
          <w:rFonts w:eastAsia="Times New Roman" w:cs="Times New Roman"/>
          <w:b/>
          <w:bCs/>
          <w:snapToGrid w:val="0"/>
          <w:szCs w:val="24"/>
        </w:rPr>
      </w:pPr>
      <w:r w:rsidRPr="000725D8">
        <w:rPr>
          <w:rFonts w:eastAsia="Times New Roman" w:cs="Times New Roman"/>
          <w:b/>
          <w:bCs/>
          <w:snapToGrid w:val="0"/>
          <w:szCs w:val="24"/>
        </w:rPr>
        <w:lastRenderedPageBreak/>
        <w:t>Amendments to the Standard for the Uniform Scheduling of Medicines and Poisons</w:t>
      </w:r>
    </w:p>
    <w:p w:rsidR="000725D8" w:rsidRDefault="000725D8" w:rsidP="00D144A5">
      <w:pPr>
        <w:tabs>
          <w:tab w:val="left" w:pos="1440"/>
        </w:tabs>
        <w:spacing w:after="0" w:line="240" w:lineRule="auto"/>
        <w:rPr>
          <w:rFonts w:eastAsia="Times New Roman" w:cs="Times New Roman"/>
          <w:snapToGrid w:val="0"/>
          <w:szCs w:val="24"/>
        </w:rPr>
      </w:pPr>
      <w:r w:rsidRPr="001B04E2">
        <w:rPr>
          <w:rFonts w:eastAsia="Times New Roman" w:cs="Times New Roman"/>
          <w:snapToGrid w:val="0"/>
          <w:szCs w:val="24"/>
        </w:rPr>
        <w:t xml:space="preserve">The Secretary </w:t>
      </w:r>
      <w:r w:rsidR="00E352BA">
        <w:rPr>
          <w:rFonts w:eastAsia="Times New Roman" w:cs="Times New Roman"/>
          <w:snapToGrid w:val="0"/>
          <w:szCs w:val="24"/>
        </w:rPr>
        <w:t>to</w:t>
      </w:r>
      <w:r w:rsidRPr="001B04E2">
        <w:rPr>
          <w:rFonts w:eastAsia="Times New Roman" w:cs="Times New Roman"/>
          <w:snapToGrid w:val="0"/>
          <w:szCs w:val="24"/>
        </w:rPr>
        <w:t xml:space="preserve"> the Department of Health and Ageing directs that the amendments below be applied to the Standard for the Uniform Scheduling of Medicines and Poisons No. 3 (SUSMP 3) and recommends that these amendments be adopted by the states and territories with effect from 1 </w:t>
      </w:r>
      <w:r w:rsidR="00702963">
        <w:rPr>
          <w:rFonts w:eastAsia="Times New Roman" w:cs="Times New Roman"/>
          <w:snapToGrid w:val="0"/>
          <w:szCs w:val="24"/>
        </w:rPr>
        <w:t>May</w:t>
      </w:r>
      <w:r w:rsidRPr="001B04E2">
        <w:rPr>
          <w:rFonts w:eastAsia="Times New Roman" w:cs="Times New Roman"/>
          <w:snapToGrid w:val="0"/>
          <w:szCs w:val="24"/>
        </w:rPr>
        <w:t xml:space="preserve"> 2013.  </w:t>
      </w:r>
    </w:p>
    <w:p w:rsidR="0056326C" w:rsidRPr="001B04E2" w:rsidRDefault="0056326C" w:rsidP="00D144A5">
      <w:pPr>
        <w:tabs>
          <w:tab w:val="left" w:pos="1440"/>
        </w:tabs>
        <w:spacing w:after="0" w:line="240" w:lineRule="auto"/>
        <w:rPr>
          <w:rFonts w:eastAsia="Times New Roman" w:cs="Times New Roman"/>
          <w:snapToGrid w:val="0"/>
          <w:szCs w:val="24"/>
        </w:rPr>
      </w:pPr>
    </w:p>
    <w:p w:rsidR="00A1381D" w:rsidRDefault="00A1381D" w:rsidP="00D144A5">
      <w:pPr>
        <w:pStyle w:val="Heading1"/>
        <w:spacing w:before="0" w:line="240" w:lineRule="auto"/>
        <w:rPr>
          <w:rFonts w:asciiTheme="minorHAnsi" w:eastAsia="Times New Roman" w:hAnsiTheme="minorHAnsi" w:cstheme="minorHAnsi"/>
          <w:szCs w:val="24"/>
          <w:lang w:eastAsia="en-AU"/>
        </w:rPr>
      </w:pPr>
      <w:bookmarkStart w:id="1" w:name="_Toc340593192"/>
      <w:bookmarkStart w:id="2" w:name="_Toc341522755"/>
      <w:r w:rsidRPr="00861E47">
        <w:rPr>
          <w:rFonts w:asciiTheme="minorHAnsi" w:eastAsia="Times New Roman" w:hAnsiTheme="minorHAnsi" w:cstheme="minorHAnsi"/>
          <w:szCs w:val="24"/>
          <w:lang w:eastAsia="en-AU"/>
        </w:rPr>
        <w:t>PART 4 – THE SCHEDULES</w:t>
      </w:r>
      <w:bookmarkEnd w:id="1"/>
      <w:bookmarkEnd w:id="2"/>
      <w:r w:rsidRPr="00861E47">
        <w:rPr>
          <w:rFonts w:asciiTheme="minorHAnsi" w:eastAsia="Times New Roman" w:hAnsiTheme="minorHAnsi" w:cstheme="minorHAnsi"/>
          <w:szCs w:val="24"/>
          <w:lang w:eastAsia="en-AU"/>
        </w:rPr>
        <w:t xml:space="preserve"> </w:t>
      </w:r>
    </w:p>
    <w:p w:rsidR="00003501" w:rsidRPr="00003501" w:rsidRDefault="00003501" w:rsidP="00D144A5">
      <w:pPr>
        <w:pStyle w:val="Heading2"/>
        <w:spacing w:before="0" w:line="240" w:lineRule="auto"/>
        <w:rPr>
          <w:lang w:eastAsia="en-AU"/>
        </w:rPr>
      </w:pPr>
    </w:p>
    <w:p w:rsidR="00A1381D" w:rsidRPr="00861E47" w:rsidRDefault="00A1381D" w:rsidP="00D144A5">
      <w:pPr>
        <w:pStyle w:val="Heading2"/>
        <w:spacing w:before="0" w:line="240" w:lineRule="auto"/>
        <w:rPr>
          <w:rFonts w:asciiTheme="minorHAnsi" w:eastAsia="Times New Roman" w:hAnsiTheme="minorHAnsi" w:cstheme="minorHAnsi"/>
          <w:szCs w:val="24"/>
          <w:lang w:eastAsia="en-AU"/>
        </w:rPr>
      </w:pPr>
      <w:bookmarkStart w:id="3" w:name="_Toc340593193"/>
      <w:bookmarkStart w:id="4" w:name="_Toc341522756"/>
      <w:r w:rsidRPr="00861E47">
        <w:rPr>
          <w:rFonts w:asciiTheme="minorHAnsi" w:eastAsia="Times New Roman" w:hAnsiTheme="minorHAnsi" w:cstheme="minorHAnsi"/>
          <w:szCs w:val="24"/>
          <w:lang w:eastAsia="en-AU"/>
        </w:rPr>
        <w:t>SCHEDULE 2 – AMENDMENT</w:t>
      </w:r>
      <w:bookmarkEnd w:id="3"/>
      <w:bookmarkEnd w:id="4"/>
    </w:p>
    <w:p w:rsidR="00421565" w:rsidRDefault="00421565" w:rsidP="00D144A5">
      <w:pPr>
        <w:tabs>
          <w:tab w:val="left" w:pos="1440"/>
        </w:tabs>
        <w:spacing w:after="0" w:line="240" w:lineRule="auto"/>
        <w:rPr>
          <w:rFonts w:eastAsia="Times New Roman" w:cs="Times New Roman"/>
          <w:iCs/>
          <w:sz w:val="23"/>
          <w:szCs w:val="23"/>
          <w:lang w:eastAsia="en-AU"/>
        </w:rPr>
      </w:pPr>
    </w:p>
    <w:p w:rsidR="00921797" w:rsidRDefault="00F70934" w:rsidP="00D144A5">
      <w:pPr>
        <w:tabs>
          <w:tab w:val="left" w:pos="720"/>
          <w:tab w:val="left" w:pos="1440"/>
        </w:tabs>
        <w:spacing w:after="0" w:line="240" w:lineRule="auto"/>
        <w:contextualSpacing/>
        <w:rPr>
          <w:rFonts w:eastAsia="Calibri" w:cs="Times New Roman"/>
          <w:lang w:eastAsia="en-AU"/>
        </w:rPr>
      </w:pPr>
      <w:r>
        <w:rPr>
          <w:rFonts w:eastAsia="Calibri" w:cs="Times New Roman"/>
          <w:lang w:eastAsia="en-AU"/>
        </w:rPr>
        <w:t>DICLOFENAC – Amend entry to read:</w:t>
      </w:r>
    </w:p>
    <w:p w:rsidR="00F70934" w:rsidRDefault="00F70934" w:rsidP="00D144A5">
      <w:pPr>
        <w:tabs>
          <w:tab w:val="left" w:pos="720"/>
          <w:tab w:val="left" w:pos="1440"/>
        </w:tabs>
        <w:spacing w:after="0" w:line="240" w:lineRule="auto"/>
        <w:contextualSpacing/>
        <w:rPr>
          <w:rFonts w:eastAsia="Calibri" w:cs="Times New Roman"/>
          <w:lang w:eastAsia="en-AU"/>
        </w:rPr>
      </w:pPr>
    </w:p>
    <w:p w:rsidR="00F70934" w:rsidRDefault="00F70934" w:rsidP="00D144A5">
      <w:pPr>
        <w:spacing w:after="0" w:line="240" w:lineRule="auto"/>
      </w:pPr>
      <w:r w:rsidRPr="00083D25">
        <w:t xml:space="preserve">DICLOFENAC </w:t>
      </w:r>
      <w:r w:rsidRPr="001368F1">
        <w:t>when:</w:t>
      </w:r>
    </w:p>
    <w:p w:rsidR="00F70934" w:rsidRPr="001368F1" w:rsidRDefault="00F70934" w:rsidP="00D144A5">
      <w:pPr>
        <w:spacing w:after="0" w:line="240" w:lineRule="auto"/>
      </w:pPr>
    </w:p>
    <w:p w:rsidR="00F70934" w:rsidRPr="00F70934" w:rsidRDefault="00F70934" w:rsidP="00D144A5">
      <w:pPr>
        <w:pStyle w:val="ListParagraph"/>
        <w:numPr>
          <w:ilvl w:val="0"/>
          <w:numId w:val="14"/>
        </w:numPr>
        <w:spacing w:after="0" w:line="240" w:lineRule="auto"/>
        <w:ind w:left="1440" w:hanging="731"/>
      </w:pPr>
      <w:r w:rsidRPr="00F70934">
        <w:t xml:space="preserve">in divided preparations for oral use containing 12.5 mg or less of </w:t>
      </w:r>
      <w:proofErr w:type="spellStart"/>
      <w:r w:rsidRPr="00F70934">
        <w:t>diclofenac</w:t>
      </w:r>
      <w:proofErr w:type="spellEnd"/>
      <w:r w:rsidRPr="00F70934">
        <w:t xml:space="preserve"> per dosage unit in a pack containing 20 or less dosage units and labelled with a recommended daily dose of 75 mg or less of </w:t>
      </w:r>
      <w:proofErr w:type="spellStart"/>
      <w:r w:rsidRPr="00F70934">
        <w:t>diclofenac</w:t>
      </w:r>
      <w:proofErr w:type="spellEnd"/>
      <w:r w:rsidRPr="00F70934">
        <w:t xml:space="preserve">; </w:t>
      </w:r>
    </w:p>
    <w:p w:rsidR="00F70934" w:rsidRPr="00F70934" w:rsidRDefault="00F70934" w:rsidP="00D144A5">
      <w:pPr>
        <w:pStyle w:val="ListParagraph"/>
        <w:spacing w:after="0" w:line="240" w:lineRule="auto"/>
        <w:ind w:left="1440" w:hanging="731"/>
      </w:pPr>
    </w:p>
    <w:p w:rsidR="00F70934" w:rsidRPr="00F70934" w:rsidRDefault="00F70934" w:rsidP="00D144A5">
      <w:pPr>
        <w:pStyle w:val="ListParagraph"/>
        <w:numPr>
          <w:ilvl w:val="0"/>
          <w:numId w:val="14"/>
        </w:numPr>
        <w:spacing w:after="0" w:line="240" w:lineRule="auto"/>
        <w:ind w:left="1440" w:hanging="731"/>
      </w:pPr>
      <w:r w:rsidRPr="00F70934">
        <w:t xml:space="preserve">in preparations for dermal use containing </w:t>
      </w:r>
      <w:r w:rsidRPr="00203CC3">
        <w:t>4 per cent</w:t>
      </w:r>
      <w:r w:rsidRPr="00F70934">
        <w:t xml:space="preserve"> </w:t>
      </w:r>
      <w:r w:rsidR="00203CC3">
        <w:t xml:space="preserve">or less </w:t>
      </w:r>
      <w:r w:rsidRPr="00F70934">
        <w:t xml:space="preserve">of </w:t>
      </w:r>
      <w:proofErr w:type="spellStart"/>
      <w:r w:rsidRPr="00F70934">
        <w:t>diclofenac</w:t>
      </w:r>
      <w:proofErr w:type="spellEnd"/>
      <w:r w:rsidRPr="00F70934">
        <w:t xml:space="preserve"> </w:t>
      </w:r>
      <w:r w:rsidRPr="00A4153D">
        <w:rPr>
          <w:b/>
        </w:rPr>
        <w:t>except</w:t>
      </w:r>
      <w:r w:rsidRPr="00F70934">
        <w:t xml:space="preserve"> in preparations for dermal use containing 1 per cent or less of </w:t>
      </w:r>
      <w:proofErr w:type="spellStart"/>
      <w:r w:rsidRPr="00F70934">
        <w:t>diclofenac</w:t>
      </w:r>
      <w:proofErr w:type="spellEnd"/>
      <w:r w:rsidRPr="00F70934">
        <w:t xml:space="preserve"> or for the treatment of solar keratosis; or</w:t>
      </w:r>
    </w:p>
    <w:p w:rsidR="00F70934" w:rsidRPr="00F70934" w:rsidRDefault="00F70934" w:rsidP="00D144A5">
      <w:pPr>
        <w:spacing w:after="0" w:line="240" w:lineRule="auto"/>
        <w:ind w:left="1440" w:hanging="731"/>
      </w:pPr>
    </w:p>
    <w:p w:rsidR="00F70934" w:rsidRPr="00A4153D" w:rsidRDefault="00F70934" w:rsidP="00D144A5">
      <w:pPr>
        <w:pStyle w:val="ListParagraph"/>
        <w:numPr>
          <w:ilvl w:val="0"/>
          <w:numId w:val="14"/>
        </w:numPr>
        <w:spacing w:after="0" w:line="240" w:lineRule="auto"/>
        <w:ind w:left="1418" w:hanging="709"/>
      </w:pPr>
      <w:r w:rsidRPr="00A4153D">
        <w:t xml:space="preserve">in transdermal preparations for topical use containing 140 mg or less of </w:t>
      </w:r>
      <w:proofErr w:type="spellStart"/>
      <w:r w:rsidRPr="00A4153D">
        <w:t>diclofenac</w:t>
      </w:r>
      <w:proofErr w:type="spellEnd"/>
      <w:r w:rsidRPr="00A4153D">
        <w:t>.</w:t>
      </w:r>
    </w:p>
    <w:p w:rsidR="00A4153D" w:rsidRPr="00A4153D" w:rsidRDefault="00A4153D" w:rsidP="00D144A5">
      <w:pPr>
        <w:pStyle w:val="ListParagraph"/>
        <w:spacing w:after="0" w:line="240" w:lineRule="auto"/>
      </w:pPr>
    </w:p>
    <w:p w:rsidR="00157BC1" w:rsidRPr="00861E47" w:rsidRDefault="00157BC1" w:rsidP="00D144A5">
      <w:pPr>
        <w:pStyle w:val="Heading2"/>
        <w:spacing w:before="0" w:line="240" w:lineRule="auto"/>
        <w:rPr>
          <w:rFonts w:asciiTheme="minorHAnsi" w:eastAsia="Times New Roman" w:hAnsiTheme="minorHAnsi" w:cstheme="minorHAnsi"/>
          <w:szCs w:val="24"/>
          <w:lang w:eastAsia="en-AU"/>
        </w:rPr>
      </w:pPr>
      <w:r w:rsidRPr="00861E47">
        <w:rPr>
          <w:rFonts w:asciiTheme="minorHAnsi" w:eastAsia="Times New Roman" w:hAnsiTheme="minorHAnsi" w:cstheme="minorHAnsi"/>
          <w:szCs w:val="24"/>
          <w:lang w:eastAsia="en-AU"/>
        </w:rPr>
        <w:t xml:space="preserve">SCHEDULE </w:t>
      </w:r>
      <w:r>
        <w:rPr>
          <w:rFonts w:asciiTheme="minorHAnsi" w:eastAsia="Times New Roman" w:hAnsiTheme="minorHAnsi" w:cstheme="minorHAnsi"/>
          <w:szCs w:val="24"/>
          <w:lang w:eastAsia="en-AU"/>
        </w:rPr>
        <w:t>3</w:t>
      </w:r>
      <w:r w:rsidRPr="00861E47">
        <w:rPr>
          <w:rFonts w:asciiTheme="minorHAnsi" w:eastAsia="Times New Roman" w:hAnsiTheme="minorHAnsi" w:cstheme="minorHAnsi"/>
          <w:szCs w:val="24"/>
          <w:lang w:eastAsia="en-AU"/>
        </w:rPr>
        <w:t xml:space="preserve"> – </w:t>
      </w:r>
      <w:r>
        <w:rPr>
          <w:rFonts w:asciiTheme="minorHAnsi" w:eastAsia="Times New Roman" w:hAnsiTheme="minorHAnsi" w:cstheme="minorHAnsi"/>
          <w:szCs w:val="24"/>
          <w:lang w:eastAsia="en-AU"/>
        </w:rPr>
        <w:t>NEW ENTRY</w:t>
      </w:r>
    </w:p>
    <w:p w:rsidR="00157BC1" w:rsidRDefault="00157BC1" w:rsidP="00D144A5">
      <w:pPr>
        <w:tabs>
          <w:tab w:val="left" w:pos="1440"/>
        </w:tabs>
        <w:spacing w:after="0" w:line="240" w:lineRule="auto"/>
        <w:rPr>
          <w:rFonts w:eastAsia="Times New Roman" w:cs="Times New Roman"/>
          <w:iCs/>
          <w:sz w:val="23"/>
          <w:szCs w:val="23"/>
          <w:lang w:eastAsia="en-AU"/>
        </w:rPr>
      </w:pPr>
    </w:p>
    <w:p w:rsidR="00157BC1" w:rsidRDefault="00157BC1" w:rsidP="00D144A5">
      <w:pPr>
        <w:spacing w:after="0" w:line="240" w:lineRule="auto"/>
        <w:ind w:left="709" w:hanging="709"/>
      </w:pPr>
      <w:r w:rsidRPr="00083D25">
        <w:t xml:space="preserve">VITAMIN </w:t>
      </w:r>
      <w:r w:rsidRPr="006E7A2B">
        <w:t>D for human internal therapeutic use</w:t>
      </w:r>
      <w:r w:rsidR="00003501">
        <w:t xml:space="preserve"> in preparations containing 175 </w:t>
      </w:r>
      <w:r w:rsidRPr="006E7A2B">
        <w:t xml:space="preserve">micrograms or less of vitamin D per recommended </w:t>
      </w:r>
      <w:r>
        <w:t xml:space="preserve">single </w:t>
      </w:r>
      <w:r w:rsidRPr="006E7A2B">
        <w:t xml:space="preserve">weekly dose </w:t>
      </w:r>
      <w:r w:rsidRPr="00003501">
        <w:rPr>
          <w:b/>
        </w:rPr>
        <w:t>except</w:t>
      </w:r>
      <w:r w:rsidRPr="006E7A2B">
        <w:t xml:space="preserve"> </w:t>
      </w:r>
      <w:r>
        <w:t>in preparations containing 25 </w:t>
      </w:r>
      <w:r w:rsidRPr="006E7A2B">
        <w:t>micrograms or les</w:t>
      </w:r>
      <w:r>
        <w:t xml:space="preserve">s of vitamin D per recommended </w:t>
      </w:r>
      <w:r w:rsidRPr="006E7A2B">
        <w:t xml:space="preserve">daily dose.  </w:t>
      </w:r>
    </w:p>
    <w:p w:rsidR="00802C9F" w:rsidRPr="00157BC1" w:rsidRDefault="00802C9F" w:rsidP="00D144A5">
      <w:pPr>
        <w:tabs>
          <w:tab w:val="left" w:pos="1440"/>
        </w:tabs>
        <w:spacing w:after="0" w:line="240" w:lineRule="auto"/>
        <w:rPr>
          <w:rFonts w:eastAsia="Times New Roman" w:cs="Times New Roman"/>
          <w:iCs/>
          <w:sz w:val="23"/>
          <w:szCs w:val="23"/>
          <w:lang w:eastAsia="en-AU"/>
        </w:rPr>
      </w:pPr>
    </w:p>
    <w:p w:rsidR="00802C9F" w:rsidRDefault="00802C9F" w:rsidP="00D144A5">
      <w:pPr>
        <w:pStyle w:val="Heading2"/>
        <w:spacing w:before="0" w:line="240" w:lineRule="auto"/>
        <w:rPr>
          <w:rFonts w:asciiTheme="minorHAnsi" w:eastAsia="Times New Roman" w:hAnsiTheme="minorHAnsi" w:cstheme="minorHAnsi"/>
          <w:szCs w:val="24"/>
          <w:lang w:eastAsia="en-AU"/>
        </w:rPr>
      </w:pPr>
      <w:bookmarkStart w:id="5" w:name="_Toc341522757"/>
      <w:r w:rsidRPr="00421565">
        <w:rPr>
          <w:rFonts w:asciiTheme="minorHAnsi" w:eastAsia="Times New Roman" w:hAnsiTheme="minorHAnsi" w:cstheme="minorHAnsi"/>
          <w:szCs w:val="24"/>
          <w:lang w:eastAsia="en-AU"/>
        </w:rPr>
        <w:t xml:space="preserve">SCHEDULE 4 – </w:t>
      </w:r>
      <w:r>
        <w:rPr>
          <w:rFonts w:asciiTheme="minorHAnsi" w:eastAsia="Times New Roman" w:hAnsiTheme="minorHAnsi" w:cstheme="minorHAnsi"/>
          <w:szCs w:val="24"/>
          <w:lang w:eastAsia="en-AU"/>
        </w:rPr>
        <w:t>NEW ENTRIES</w:t>
      </w:r>
      <w:bookmarkEnd w:id="5"/>
    </w:p>
    <w:p w:rsidR="00802C9F" w:rsidRDefault="00802C9F"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ALOGLIPTIN</w:t>
      </w:r>
      <w:r>
        <w:rPr>
          <w:lang w:eastAsia="en-AU"/>
        </w:rPr>
        <w:t>.</w:t>
      </w:r>
    </w:p>
    <w:p w:rsidR="00157BC1" w:rsidRDefault="00157BC1" w:rsidP="00D144A5">
      <w:pPr>
        <w:pStyle w:val="BodyText"/>
        <w:spacing w:after="0" w:line="240" w:lineRule="auto"/>
        <w:rPr>
          <w:lang w:eastAsia="en-AU"/>
        </w:rPr>
      </w:pPr>
    </w:p>
    <w:p w:rsidR="00802C9F" w:rsidRDefault="00F70934" w:rsidP="00D144A5">
      <w:pPr>
        <w:pStyle w:val="BodyText"/>
        <w:spacing w:after="0" w:line="240" w:lineRule="auto"/>
        <w:rPr>
          <w:lang w:eastAsia="en-AU"/>
        </w:rPr>
      </w:pPr>
      <w:r>
        <w:rPr>
          <w:lang w:eastAsia="en-AU"/>
        </w:rPr>
        <w:t>BESIFLOXACIN HYDROCHLORIDE.</w:t>
      </w:r>
    </w:p>
    <w:p w:rsidR="00F70934" w:rsidRDefault="00F70934"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CANAGLIFLOZIN</w:t>
      </w:r>
      <w:r>
        <w:rPr>
          <w:lang w:eastAsia="en-AU"/>
        </w:rPr>
        <w:t>.</w:t>
      </w:r>
    </w:p>
    <w:p w:rsidR="00157BC1" w:rsidRDefault="00157BC1"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CROFELEMER</w:t>
      </w:r>
      <w:r>
        <w:rPr>
          <w:lang w:eastAsia="en-AU"/>
        </w:rPr>
        <w:t>.</w:t>
      </w:r>
    </w:p>
    <w:p w:rsidR="00157BC1" w:rsidRDefault="00157BC1"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 xml:space="preserve">DIMETHYL </w:t>
      </w:r>
      <w:r>
        <w:rPr>
          <w:lang w:eastAsia="en-AU"/>
        </w:rPr>
        <w:t>FUMARATE.</w:t>
      </w:r>
    </w:p>
    <w:p w:rsidR="00157BC1" w:rsidRDefault="00157BC1" w:rsidP="00D144A5">
      <w:pPr>
        <w:pStyle w:val="BodyText"/>
        <w:spacing w:after="0" w:line="240" w:lineRule="auto"/>
        <w:rPr>
          <w:lang w:eastAsia="en-AU"/>
        </w:rPr>
      </w:pPr>
    </w:p>
    <w:p w:rsidR="00F70934" w:rsidRDefault="00F70934" w:rsidP="00D144A5">
      <w:pPr>
        <w:pStyle w:val="BodyText"/>
        <w:spacing w:after="0" w:line="240" w:lineRule="auto"/>
        <w:rPr>
          <w:lang w:eastAsia="en-AU"/>
        </w:rPr>
      </w:pPr>
      <w:r>
        <w:rPr>
          <w:lang w:eastAsia="en-AU"/>
        </w:rPr>
        <w:t>ENOBOSARM.</w:t>
      </w:r>
    </w:p>
    <w:p w:rsidR="00F70934" w:rsidRDefault="00F70934"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IVACAFTOR</w:t>
      </w:r>
      <w:r>
        <w:rPr>
          <w:lang w:eastAsia="en-AU"/>
        </w:rPr>
        <w:t>.</w:t>
      </w:r>
    </w:p>
    <w:p w:rsidR="00157BC1" w:rsidRDefault="00157BC1" w:rsidP="00D144A5">
      <w:pPr>
        <w:pStyle w:val="BodyText"/>
        <w:spacing w:after="0" w:line="240" w:lineRule="auto"/>
        <w:rPr>
          <w:lang w:eastAsia="en-AU"/>
        </w:rPr>
      </w:pPr>
      <w:r w:rsidRPr="00083D25">
        <w:rPr>
          <w:lang w:eastAsia="en-AU"/>
        </w:rPr>
        <w:lastRenderedPageBreak/>
        <w:t>MICAFUNGIN</w:t>
      </w:r>
      <w:r>
        <w:rPr>
          <w:lang w:eastAsia="en-AU"/>
        </w:rPr>
        <w:t>.</w:t>
      </w:r>
    </w:p>
    <w:p w:rsidR="00157BC1" w:rsidRDefault="00157BC1"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OLODATEROL</w:t>
      </w:r>
      <w:r>
        <w:rPr>
          <w:lang w:eastAsia="en-AU"/>
        </w:rPr>
        <w:t>.</w:t>
      </w:r>
    </w:p>
    <w:p w:rsidR="00157BC1" w:rsidRDefault="00157BC1"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PASIREOTIDE</w:t>
      </w:r>
      <w:r>
        <w:rPr>
          <w:lang w:eastAsia="en-AU"/>
        </w:rPr>
        <w:t>.</w:t>
      </w:r>
    </w:p>
    <w:p w:rsidR="00157BC1" w:rsidRDefault="00157BC1"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 xml:space="preserve">PASIREOTIDE </w:t>
      </w:r>
      <w:r>
        <w:rPr>
          <w:lang w:eastAsia="en-AU"/>
        </w:rPr>
        <w:t>DIASPARTATE.</w:t>
      </w:r>
    </w:p>
    <w:p w:rsidR="00157BC1" w:rsidRDefault="00157BC1" w:rsidP="00D144A5">
      <w:pPr>
        <w:pStyle w:val="BodyText"/>
        <w:spacing w:after="0" w:line="240" w:lineRule="auto"/>
        <w:rPr>
          <w:lang w:eastAsia="en-AU"/>
        </w:rPr>
      </w:pPr>
    </w:p>
    <w:p w:rsidR="00F70934" w:rsidRDefault="00F70934" w:rsidP="00D144A5">
      <w:pPr>
        <w:pStyle w:val="BodyText"/>
        <w:spacing w:after="0" w:line="240" w:lineRule="auto"/>
        <w:rPr>
          <w:lang w:eastAsia="en-AU"/>
        </w:rPr>
      </w:pPr>
      <w:r>
        <w:rPr>
          <w:lang w:eastAsia="en-AU"/>
        </w:rPr>
        <w:t>PRUCALOPRIDE.</w:t>
      </w:r>
    </w:p>
    <w:p w:rsidR="00F70934" w:rsidRDefault="00F70934" w:rsidP="00D144A5">
      <w:pPr>
        <w:pStyle w:val="BodyText"/>
        <w:spacing w:after="0" w:line="240" w:lineRule="auto"/>
        <w:rPr>
          <w:lang w:eastAsia="en-AU"/>
        </w:rPr>
      </w:pPr>
    </w:p>
    <w:p w:rsidR="00157BC1" w:rsidRDefault="00157BC1" w:rsidP="00D144A5">
      <w:pPr>
        <w:pStyle w:val="BodyText"/>
        <w:spacing w:after="0" w:line="240" w:lineRule="auto"/>
        <w:rPr>
          <w:lang w:eastAsia="en-AU"/>
        </w:rPr>
      </w:pPr>
      <w:r w:rsidRPr="00083D25">
        <w:rPr>
          <w:lang w:eastAsia="en-AU"/>
        </w:rPr>
        <w:t>RETAPAMULIN</w:t>
      </w:r>
      <w:r>
        <w:rPr>
          <w:lang w:eastAsia="en-AU"/>
        </w:rPr>
        <w:t>.</w:t>
      </w:r>
    </w:p>
    <w:p w:rsidR="00157BC1" w:rsidRDefault="00157BC1" w:rsidP="00D144A5">
      <w:pPr>
        <w:pStyle w:val="BodyText"/>
        <w:spacing w:after="0" w:line="240" w:lineRule="auto"/>
        <w:rPr>
          <w:lang w:eastAsia="en-AU"/>
        </w:rPr>
      </w:pPr>
    </w:p>
    <w:p w:rsidR="00F70934" w:rsidRDefault="00F70934" w:rsidP="00D144A5">
      <w:pPr>
        <w:pStyle w:val="BodyText"/>
        <w:spacing w:after="0" w:line="240" w:lineRule="auto"/>
        <w:rPr>
          <w:lang w:eastAsia="en-AU"/>
        </w:rPr>
      </w:pPr>
      <w:r>
        <w:rPr>
          <w:lang w:eastAsia="en-AU"/>
        </w:rPr>
        <w:t>RETIGABINE.</w:t>
      </w:r>
    </w:p>
    <w:p w:rsidR="00F70934" w:rsidRDefault="00F70934" w:rsidP="00D144A5">
      <w:pPr>
        <w:pStyle w:val="BodyText"/>
        <w:spacing w:after="0" w:line="240" w:lineRule="auto"/>
        <w:rPr>
          <w:lang w:eastAsia="en-AU"/>
        </w:rPr>
      </w:pPr>
    </w:p>
    <w:p w:rsidR="00F70934" w:rsidRDefault="007609FC" w:rsidP="00D144A5">
      <w:pPr>
        <w:pStyle w:val="BodyText"/>
        <w:spacing w:after="0" w:line="240" w:lineRule="auto"/>
        <w:ind w:left="720" w:hanging="720"/>
        <w:rPr>
          <w:lang w:eastAsia="en-AU"/>
        </w:rPr>
      </w:pPr>
      <w:r>
        <w:rPr>
          <w:lang w:eastAsia="en-AU"/>
        </w:rPr>
        <w:t>#</w:t>
      </w:r>
      <w:r w:rsidR="00F70934">
        <w:rPr>
          <w:lang w:eastAsia="en-AU"/>
        </w:rPr>
        <w:t xml:space="preserve">SELECTIVE ANDROGEN RECEPTOR </w:t>
      </w:r>
      <w:r w:rsidR="00116B07">
        <w:rPr>
          <w:lang w:eastAsia="en-AU"/>
        </w:rPr>
        <w:t>MODULATORS (SARM).</w:t>
      </w:r>
    </w:p>
    <w:p w:rsidR="00116B07" w:rsidRDefault="00116B07" w:rsidP="00D144A5">
      <w:pPr>
        <w:pStyle w:val="BodyText"/>
        <w:spacing w:after="0" w:line="240" w:lineRule="auto"/>
        <w:ind w:left="720" w:hanging="720"/>
        <w:rPr>
          <w:lang w:eastAsia="en-AU"/>
        </w:rPr>
      </w:pPr>
    </w:p>
    <w:p w:rsidR="00F70934" w:rsidRDefault="00F70934" w:rsidP="00D144A5">
      <w:pPr>
        <w:pStyle w:val="BodyText"/>
        <w:spacing w:after="0" w:line="240" w:lineRule="auto"/>
        <w:ind w:left="720" w:hanging="720"/>
        <w:rPr>
          <w:lang w:eastAsia="en-AU"/>
        </w:rPr>
      </w:pPr>
      <w:r>
        <w:rPr>
          <w:lang w:eastAsia="en-AU"/>
        </w:rPr>
        <w:t>TERIFLUNOMIDE.</w:t>
      </w:r>
    </w:p>
    <w:p w:rsidR="00157BC1" w:rsidRDefault="00157BC1" w:rsidP="00D144A5">
      <w:pPr>
        <w:pStyle w:val="BodyText"/>
        <w:spacing w:after="0" w:line="240" w:lineRule="auto"/>
        <w:ind w:left="720" w:hanging="720"/>
        <w:rPr>
          <w:lang w:eastAsia="en-AU"/>
        </w:rPr>
      </w:pPr>
    </w:p>
    <w:p w:rsidR="00157BC1" w:rsidRDefault="00157BC1" w:rsidP="00D144A5">
      <w:pPr>
        <w:pStyle w:val="BodyText"/>
        <w:spacing w:after="0" w:line="240" w:lineRule="auto"/>
        <w:ind w:left="720" w:hanging="720"/>
        <w:rPr>
          <w:lang w:eastAsia="en-AU"/>
        </w:rPr>
      </w:pPr>
      <w:r w:rsidRPr="00083D25">
        <w:rPr>
          <w:lang w:eastAsia="en-AU"/>
        </w:rPr>
        <w:t>TILDIPIROSIN</w:t>
      </w:r>
      <w:r>
        <w:rPr>
          <w:lang w:eastAsia="en-AU"/>
        </w:rPr>
        <w:t>.</w:t>
      </w:r>
    </w:p>
    <w:p w:rsidR="00157BC1" w:rsidRDefault="00157BC1" w:rsidP="00D144A5">
      <w:pPr>
        <w:pStyle w:val="BodyText"/>
        <w:spacing w:after="0" w:line="240" w:lineRule="auto"/>
        <w:ind w:left="720" w:hanging="720"/>
        <w:rPr>
          <w:lang w:eastAsia="en-AU"/>
        </w:rPr>
      </w:pPr>
    </w:p>
    <w:p w:rsidR="00157BC1" w:rsidRDefault="00157BC1" w:rsidP="00D144A5">
      <w:pPr>
        <w:pStyle w:val="BodyText"/>
        <w:spacing w:after="0" w:line="240" w:lineRule="auto"/>
        <w:ind w:left="720" w:hanging="720"/>
        <w:rPr>
          <w:lang w:eastAsia="en-AU"/>
        </w:rPr>
      </w:pPr>
      <w:r w:rsidRPr="00083D25">
        <w:rPr>
          <w:lang w:eastAsia="en-AU"/>
        </w:rPr>
        <w:t>VILANTEROL</w:t>
      </w:r>
      <w:r>
        <w:rPr>
          <w:lang w:eastAsia="en-AU"/>
        </w:rPr>
        <w:t>.</w:t>
      </w:r>
    </w:p>
    <w:p w:rsidR="00157BC1" w:rsidRDefault="00157BC1" w:rsidP="00D144A5">
      <w:pPr>
        <w:pStyle w:val="BodyText"/>
        <w:spacing w:after="0" w:line="240" w:lineRule="auto"/>
        <w:ind w:left="720" w:hanging="720"/>
        <w:rPr>
          <w:lang w:eastAsia="en-AU"/>
        </w:rPr>
      </w:pPr>
    </w:p>
    <w:p w:rsidR="00157BC1" w:rsidRDefault="00157BC1" w:rsidP="00D144A5">
      <w:pPr>
        <w:pStyle w:val="BodyText"/>
        <w:spacing w:after="0" w:line="240" w:lineRule="auto"/>
        <w:ind w:left="720" w:hanging="720"/>
        <w:rPr>
          <w:lang w:eastAsia="en-AU"/>
        </w:rPr>
      </w:pPr>
      <w:r w:rsidRPr="00083D25">
        <w:rPr>
          <w:lang w:eastAsia="en-AU"/>
        </w:rPr>
        <w:t xml:space="preserve">VILANTEROL </w:t>
      </w:r>
      <w:r>
        <w:rPr>
          <w:lang w:eastAsia="en-AU"/>
        </w:rPr>
        <w:t>TRIFENATATE.</w:t>
      </w:r>
    </w:p>
    <w:p w:rsidR="00921797" w:rsidRPr="00921797" w:rsidRDefault="00921797" w:rsidP="00D144A5">
      <w:pPr>
        <w:tabs>
          <w:tab w:val="left" w:pos="1440"/>
        </w:tabs>
        <w:spacing w:after="0" w:line="240" w:lineRule="auto"/>
        <w:rPr>
          <w:rFonts w:eastAsia="Times New Roman" w:cs="Times New Roman"/>
          <w:b/>
          <w:szCs w:val="20"/>
          <w:lang w:val="en-GB" w:eastAsia="en-AU"/>
        </w:rPr>
      </w:pPr>
    </w:p>
    <w:p w:rsidR="000725D8" w:rsidRPr="00421565" w:rsidRDefault="000725D8" w:rsidP="00D144A5">
      <w:pPr>
        <w:pStyle w:val="Heading2"/>
        <w:spacing w:before="0" w:line="240" w:lineRule="auto"/>
        <w:rPr>
          <w:rFonts w:asciiTheme="minorHAnsi" w:eastAsia="Times New Roman" w:hAnsiTheme="minorHAnsi" w:cstheme="minorHAnsi"/>
          <w:szCs w:val="24"/>
          <w:lang w:eastAsia="en-AU"/>
        </w:rPr>
      </w:pPr>
      <w:bookmarkStart w:id="6" w:name="_Toc341522758"/>
      <w:r w:rsidRPr="00421565">
        <w:rPr>
          <w:rFonts w:asciiTheme="minorHAnsi" w:eastAsia="Times New Roman" w:hAnsiTheme="minorHAnsi" w:cstheme="minorHAnsi"/>
          <w:szCs w:val="24"/>
          <w:lang w:eastAsia="en-AU"/>
        </w:rPr>
        <w:t>SCHEDULE 4 – AMENDMENT</w:t>
      </w:r>
      <w:bookmarkEnd w:id="6"/>
    </w:p>
    <w:p w:rsidR="008A6FF3" w:rsidRDefault="008A6FF3" w:rsidP="00D144A5">
      <w:pPr>
        <w:tabs>
          <w:tab w:val="left" w:pos="1440"/>
        </w:tabs>
        <w:spacing w:after="0" w:line="240" w:lineRule="auto"/>
        <w:rPr>
          <w:rFonts w:eastAsia="Times New Roman" w:cs="Times New Roman"/>
          <w:snapToGrid w:val="0"/>
          <w:sz w:val="23"/>
          <w:szCs w:val="24"/>
        </w:rPr>
      </w:pPr>
    </w:p>
    <w:p w:rsidR="00157BC1" w:rsidRDefault="00157BC1" w:rsidP="00D144A5">
      <w:pPr>
        <w:spacing w:after="0" w:line="240" w:lineRule="auto"/>
        <w:ind w:left="720" w:hanging="720"/>
      </w:pPr>
      <w:r w:rsidRPr="0092584A">
        <w:t>VITAMIN D – Amend entry to read:</w:t>
      </w:r>
    </w:p>
    <w:p w:rsidR="00003501" w:rsidRPr="0092584A" w:rsidRDefault="00003501" w:rsidP="00D144A5">
      <w:pPr>
        <w:spacing w:after="0" w:line="240" w:lineRule="auto"/>
        <w:ind w:left="720" w:hanging="720"/>
      </w:pPr>
    </w:p>
    <w:p w:rsidR="00157BC1" w:rsidRDefault="00157BC1" w:rsidP="00D144A5">
      <w:pPr>
        <w:spacing w:after="0" w:line="240" w:lineRule="auto"/>
        <w:ind w:left="720" w:hanging="720"/>
        <w:rPr>
          <w:b/>
        </w:rPr>
      </w:pPr>
      <w:r w:rsidRPr="00083D25">
        <w:t xml:space="preserve">VITAMIN </w:t>
      </w:r>
      <w:r w:rsidRPr="006E7A2B">
        <w:t xml:space="preserve">D for human internal therapeutic use </w:t>
      </w:r>
      <w:r w:rsidRPr="006E7A2B">
        <w:rPr>
          <w:b/>
        </w:rPr>
        <w:t>except:</w:t>
      </w:r>
    </w:p>
    <w:p w:rsidR="00003501" w:rsidRDefault="00003501" w:rsidP="00D144A5">
      <w:pPr>
        <w:spacing w:after="0" w:line="240" w:lineRule="auto"/>
        <w:ind w:left="720" w:hanging="720"/>
        <w:rPr>
          <w:b/>
        </w:rPr>
      </w:pPr>
    </w:p>
    <w:p w:rsidR="00157BC1" w:rsidRPr="00157BC1" w:rsidRDefault="00157BC1" w:rsidP="00D144A5">
      <w:pPr>
        <w:pStyle w:val="ListParagraph"/>
        <w:numPr>
          <w:ilvl w:val="0"/>
          <w:numId w:val="15"/>
        </w:numPr>
        <w:spacing w:after="0" w:line="240" w:lineRule="auto"/>
        <w:ind w:left="1440" w:hanging="731"/>
      </w:pPr>
      <w:r w:rsidRPr="00157BC1">
        <w:t xml:space="preserve">in preparations containing 25 micrograms or less </w:t>
      </w:r>
      <w:r w:rsidR="00F420D0">
        <w:t>o</w:t>
      </w:r>
      <w:bookmarkStart w:id="7" w:name="_GoBack"/>
      <w:bookmarkEnd w:id="7"/>
      <w:r w:rsidR="00F420D0">
        <w:t xml:space="preserve">f </w:t>
      </w:r>
      <w:r w:rsidRPr="00157BC1">
        <w:t>vitamin D per recommended daily dose ; or</w:t>
      </w:r>
    </w:p>
    <w:p w:rsidR="00157BC1" w:rsidRPr="00157BC1" w:rsidRDefault="00157BC1" w:rsidP="00D144A5">
      <w:pPr>
        <w:spacing w:after="0" w:line="240" w:lineRule="auto"/>
        <w:ind w:left="709"/>
      </w:pPr>
    </w:p>
    <w:p w:rsidR="00157BC1" w:rsidRPr="00175EF4" w:rsidRDefault="00157BC1" w:rsidP="00D144A5">
      <w:pPr>
        <w:tabs>
          <w:tab w:val="left" w:pos="1418"/>
        </w:tabs>
        <w:spacing w:after="0" w:line="240" w:lineRule="auto"/>
        <w:ind w:left="1418" w:hanging="709"/>
      </w:pPr>
      <w:r>
        <w:t>(b)</w:t>
      </w:r>
      <w:r>
        <w:tab/>
      </w:r>
      <w:r w:rsidRPr="00175EF4">
        <w:t>when included in Schedule 3.</w:t>
      </w:r>
    </w:p>
    <w:p w:rsidR="00921797" w:rsidRPr="00921797" w:rsidRDefault="00921797" w:rsidP="00D144A5">
      <w:pPr>
        <w:tabs>
          <w:tab w:val="left" w:pos="1440"/>
        </w:tabs>
        <w:spacing w:after="0" w:line="240" w:lineRule="auto"/>
        <w:rPr>
          <w:rFonts w:eastAsia="Times New Roman" w:cs="Times New Roman"/>
          <w:szCs w:val="20"/>
          <w:lang w:eastAsia="en-AU"/>
        </w:rPr>
      </w:pPr>
    </w:p>
    <w:p w:rsidR="000725D8" w:rsidRPr="00421565" w:rsidRDefault="000725D8" w:rsidP="00D144A5">
      <w:pPr>
        <w:pStyle w:val="Heading2"/>
        <w:spacing w:before="0" w:line="240" w:lineRule="auto"/>
        <w:rPr>
          <w:rFonts w:asciiTheme="minorHAnsi" w:eastAsia="Times New Roman" w:hAnsiTheme="minorHAnsi" w:cstheme="minorHAnsi"/>
          <w:szCs w:val="24"/>
          <w:lang w:eastAsia="en-AU"/>
        </w:rPr>
      </w:pPr>
      <w:bookmarkStart w:id="8" w:name="_Toc341522759"/>
      <w:r w:rsidRPr="00421565">
        <w:rPr>
          <w:rFonts w:asciiTheme="minorHAnsi" w:eastAsia="Times New Roman" w:hAnsiTheme="minorHAnsi" w:cstheme="minorHAnsi"/>
          <w:szCs w:val="24"/>
          <w:lang w:eastAsia="en-AU"/>
        </w:rPr>
        <w:t>SCHEDULE 5 – NEW ENTR</w:t>
      </w:r>
      <w:bookmarkEnd w:id="8"/>
      <w:r w:rsidR="00003501">
        <w:rPr>
          <w:rFonts w:asciiTheme="minorHAnsi" w:eastAsia="Times New Roman" w:hAnsiTheme="minorHAnsi" w:cstheme="minorHAnsi"/>
          <w:szCs w:val="24"/>
          <w:lang w:eastAsia="en-AU"/>
        </w:rPr>
        <w:t>Y</w:t>
      </w:r>
    </w:p>
    <w:p w:rsidR="002B7E9E" w:rsidRDefault="002B7E9E" w:rsidP="00D144A5">
      <w:pPr>
        <w:tabs>
          <w:tab w:val="left" w:pos="284"/>
        </w:tabs>
        <w:spacing w:after="0" w:line="240" w:lineRule="auto"/>
        <w:rPr>
          <w:rFonts w:eastAsia="Calibri"/>
        </w:rPr>
      </w:pPr>
    </w:p>
    <w:p w:rsidR="00706E61" w:rsidRDefault="00157BC1" w:rsidP="00D144A5">
      <w:pPr>
        <w:tabs>
          <w:tab w:val="left" w:pos="1440"/>
        </w:tabs>
        <w:spacing w:after="0" w:line="240" w:lineRule="auto"/>
        <w:rPr>
          <w:szCs w:val="24"/>
        </w:rPr>
      </w:pPr>
      <w:r w:rsidRPr="00083D25">
        <w:rPr>
          <w:szCs w:val="24"/>
        </w:rPr>
        <w:t>CYANTRANILIPROLE</w:t>
      </w:r>
      <w:r>
        <w:rPr>
          <w:szCs w:val="24"/>
        </w:rPr>
        <w:t>.</w:t>
      </w:r>
    </w:p>
    <w:p w:rsidR="00F70934" w:rsidRDefault="00F70934" w:rsidP="00D144A5">
      <w:pPr>
        <w:tabs>
          <w:tab w:val="left" w:pos="1440"/>
        </w:tabs>
        <w:spacing w:after="0" w:line="240" w:lineRule="auto"/>
        <w:rPr>
          <w:szCs w:val="24"/>
        </w:rPr>
      </w:pPr>
    </w:p>
    <w:p w:rsidR="00F70934" w:rsidRPr="00421565" w:rsidRDefault="00F70934" w:rsidP="00D144A5">
      <w:pPr>
        <w:pStyle w:val="Heading2"/>
        <w:spacing w:before="0" w:line="240" w:lineRule="auto"/>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SCHEDULE 6</w:t>
      </w:r>
      <w:r w:rsidR="00003501">
        <w:rPr>
          <w:rFonts w:asciiTheme="minorHAnsi" w:eastAsia="Times New Roman" w:hAnsiTheme="minorHAnsi" w:cstheme="minorHAnsi"/>
          <w:szCs w:val="24"/>
          <w:lang w:eastAsia="en-AU"/>
        </w:rPr>
        <w:t xml:space="preserve"> – NEW ENTRY</w:t>
      </w:r>
    </w:p>
    <w:p w:rsidR="00F70934" w:rsidRDefault="00F70934" w:rsidP="00D144A5">
      <w:pPr>
        <w:tabs>
          <w:tab w:val="left" w:pos="1440"/>
        </w:tabs>
        <w:spacing w:after="0" w:line="240" w:lineRule="auto"/>
        <w:rPr>
          <w:szCs w:val="24"/>
        </w:rPr>
      </w:pPr>
    </w:p>
    <w:p w:rsidR="003018D8" w:rsidRDefault="00F70934" w:rsidP="00D144A5">
      <w:pPr>
        <w:tabs>
          <w:tab w:val="left" w:pos="1440"/>
        </w:tabs>
        <w:spacing w:after="0" w:line="240" w:lineRule="auto"/>
        <w:rPr>
          <w:szCs w:val="24"/>
        </w:rPr>
      </w:pPr>
      <w:r w:rsidRPr="00083D25">
        <w:rPr>
          <w:szCs w:val="24"/>
        </w:rPr>
        <w:t xml:space="preserve">THYMOL </w:t>
      </w:r>
      <w:r>
        <w:rPr>
          <w:szCs w:val="24"/>
        </w:rPr>
        <w:t xml:space="preserve">when packed and labelled for the control of </w:t>
      </w:r>
      <w:proofErr w:type="spellStart"/>
      <w:r>
        <w:rPr>
          <w:i/>
          <w:szCs w:val="24"/>
        </w:rPr>
        <w:t>Varroa</w:t>
      </w:r>
      <w:proofErr w:type="spellEnd"/>
      <w:r>
        <w:rPr>
          <w:szCs w:val="24"/>
        </w:rPr>
        <w:t xml:space="preserve"> mites in bee hives.</w:t>
      </w:r>
    </w:p>
    <w:p w:rsidR="003018D8" w:rsidRDefault="003018D8">
      <w:pPr>
        <w:rPr>
          <w:szCs w:val="24"/>
        </w:rPr>
      </w:pPr>
      <w:r>
        <w:rPr>
          <w:szCs w:val="24"/>
        </w:rPr>
        <w:br w:type="page"/>
      </w:r>
    </w:p>
    <w:p w:rsidR="00802C9F" w:rsidRPr="00073EEF" w:rsidRDefault="00802C9F" w:rsidP="00D144A5">
      <w:pPr>
        <w:pStyle w:val="Heading1"/>
        <w:spacing w:before="0" w:line="240" w:lineRule="auto"/>
        <w:rPr>
          <w:rFonts w:asciiTheme="minorHAnsi" w:eastAsia="Times New Roman" w:hAnsiTheme="minorHAnsi" w:cstheme="minorHAnsi"/>
          <w:szCs w:val="24"/>
          <w:lang w:eastAsia="en-AU"/>
        </w:rPr>
      </w:pPr>
      <w:bookmarkStart w:id="9" w:name="_Toc341522760"/>
      <w:r w:rsidRPr="00073EEF">
        <w:rPr>
          <w:rFonts w:asciiTheme="minorHAnsi" w:eastAsia="Times New Roman" w:hAnsiTheme="minorHAnsi" w:cstheme="minorHAnsi"/>
          <w:szCs w:val="24"/>
          <w:lang w:eastAsia="en-AU"/>
        </w:rPr>
        <w:lastRenderedPageBreak/>
        <w:t>PART 5 – THE APPENDICES</w:t>
      </w:r>
      <w:bookmarkEnd w:id="9"/>
      <w:r w:rsidRPr="00073EEF">
        <w:rPr>
          <w:rFonts w:asciiTheme="minorHAnsi" w:eastAsia="Times New Roman" w:hAnsiTheme="minorHAnsi" w:cstheme="minorHAnsi"/>
          <w:szCs w:val="24"/>
          <w:lang w:eastAsia="en-AU"/>
        </w:rPr>
        <w:t xml:space="preserve"> </w:t>
      </w:r>
    </w:p>
    <w:p w:rsidR="00802C9F" w:rsidRDefault="00802C9F" w:rsidP="00D144A5">
      <w:pPr>
        <w:pStyle w:val="BodyText"/>
        <w:spacing w:after="0" w:line="240" w:lineRule="auto"/>
        <w:rPr>
          <w:rFonts w:asciiTheme="minorHAnsi" w:eastAsia="Times New Roman" w:hAnsiTheme="minorHAnsi" w:cstheme="minorHAnsi"/>
          <w:b/>
          <w:bCs/>
          <w:caps/>
          <w:szCs w:val="24"/>
          <w:lang w:eastAsia="en-AU"/>
        </w:rPr>
      </w:pPr>
    </w:p>
    <w:p w:rsidR="00157BC1" w:rsidRDefault="00157BC1" w:rsidP="00D144A5">
      <w:pPr>
        <w:pStyle w:val="Heading2"/>
        <w:spacing w:before="0" w:line="240" w:lineRule="auto"/>
        <w:rPr>
          <w:rFonts w:asciiTheme="minorHAnsi" w:eastAsia="Times New Roman" w:hAnsiTheme="minorHAnsi" w:cstheme="minorHAnsi"/>
          <w:szCs w:val="24"/>
          <w:lang w:eastAsia="en-AU"/>
        </w:rPr>
      </w:pPr>
      <w:r w:rsidRPr="00157BC1">
        <w:rPr>
          <w:rFonts w:asciiTheme="minorHAnsi" w:eastAsia="Times New Roman" w:hAnsiTheme="minorHAnsi" w:cstheme="minorHAnsi"/>
          <w:szCs w:val="24"/>
          <w:lang w:eastAsia="en-AU"/>
        </w:rPr>
        <w:t>Appendix C – New entries</w:t>
      </w:r>
    </w:p>
    <w:p w:rsidR="00003501" w:rsidRPr="00003501" w:rsidRDefault="00003501" w:rsidP="00D144A5">
      <w:pPr>
        <w:pStyle w:val="BodyText"/>
        <w:spacing w:after="0" w:line="240" w:lineRule="auto"/>
        <w:rPr>
          <w:lang w:eastAsia="en-AU"/>
        </w:rPr>
      </w:pPr>
    </w:p>
    <w:p w:rsidR="00157BC1" w:rsidRDefault="00157BC1" w:rsidP="00D144A5">
      <w:pPr>
        <w:tabs>
          <w:tab w:val="left" w:pos="1440"/>
        </w:tabs>
        <w:spacing w:after="0" w:line="240" w:lineRule="auto"/>
        <w:ind w:left="851" w:hanging="851"/>
        <w:rPr>
          <w:rFonts w:eastAsia="Times New Roman"/>
          <w:szCs w:val="24"/>
          <w:lang w:eastAsia="en-AU"/>
        </w:rPr>
      </w:pPr>
      <w:r w:rsidRPr="00083D25">
        <w:rPr>
          <w:rFonts w:eastAsia="Times New Roman"/>
          <w:szCs w:val="24"/>
          <w:lang w:eastAsia="en-AU"/>
        </w:rPr>
        <w:t xml:space="preserve">CARBAMIDE </w:t>
      </w:r>
      <w:r w:rsidRPr="008F5C67">
        <w:rPr>
          <w:rFonts w:eastAsia="Times New Roman"/>
          <w:szCs w:val="24"/>
          <w:lang w:eastAsia="en-AU"/>
        </w:rPr>
        <w:t xml:space="preserve">PEROXIDE (excluding its salts and derivatives) in teeth whitening preparations containing more than 18 per cent of </w:t>
      </w:r>
      <w:proofErr w:type="spellStart"/>
      <w:r w:rsidRPr="008F5C67">
        <w:rPr>
          <w:rFonts w:eastAsia="Times New Roman"/>
          <w:szCs w:val="24"/>
          <w:lang w:eastAsia="en-AU"/>
        </w:rPr>
        <w:t>carbamide</w:t>
      </w:r>
      <w:proofErr w:type="spellEnd"/>
      <w:r w:rsidRPr="008F5C67">
        <w:rPr>
          <w:rFonts w:eastAsia="Times New Roman"/>
          <w:szCs w:val="24"/>
          <w:lang w:eastAsia="en-AU"/>
        </w:rPr>
        <w:t xml:space="preserve"> peroxide </w:t>
      </w:r>
      <w:r w:rsidRPr="008F5C67">
        <w:rPr>
          <w:rFonts w:eastAsia="Times New Roman"/>
          <w:b/>
          <w:bCs/>
          <w:szCs w:val="24"/>
          <w:lang w:eastAsia="en-AU"/>
        </w:rPr>
        <w:t>except</w:t>
      </w:r>
      <w:r w:rsidRPr="008F5C67">
        <w:rPr>
          <w:rFonts w:eastAsia="Times New Roman"/>
          <w:szCs w:val="24"/>
          <w:lang w:eastAsia="en-AU"/>
        </w:rPr>
        <w:t xml:space="preserve"> in preparations manufactured for</w:t>
      </w:r>
      <w:r w:rsidR="00937240">
        <w:rPr>
          <w:rFonts w:eastAsia="Times New Roman"/>
          <w:szCs w:val="24"/>
          <w:lang w:eastAsia="en-AU"/>
        </w:rPr>
        <w:t>,</w:t>
      </w:r>
      <w:r w:rsidRPr="008F5C67">
        <w:rPr>
          <w:rFonts w:eastAsia="Times New Roman"/>
          <w:szCs w:val="24"/>
          <w:lang w:eastAsia="en-AU"/>
        </w:rPr>
        <w:t xml:space="preserve"> and supplied solely by</w:t>
      </w:r>
      <w:r w:rsidR="00937240">
        <w:rPr>
          <w:rFonts w:eastAsia="Times New Roman"/>
          <w:szCs w:val="24"/>
          <w:lang w:eastAsia="en-AU"/>
        </w:rPr>
        <w:t>,</w:t>
      </w:r>
      <w:r w:rsidRPr="008F5C67">
        <w:rPr>
          <w:rFonts w:eastAsia="Times New Roman"/>
          <w:szCs w:val="24"/>
          <w:lang w:eastAsia="en-AU"/>
        </w:rPr>
        <w:t xml:space="preserve"> registered dental practitioners as part of their dental practice. </w:t>
      </w:r>
    </w:p>
    <w:p w:rsidR="00003501" w:rsidRPr="008F5C67" w:rsidRDefault="00003501" w:rsidP="00D144A5">
      <w:pPr>
        <w:tabs>
          <w:tab w:val="left" w:pos="1440"/>
        </w:tabs>
        <w:spacing w:after="0" w:line="240" w:lineRule="auto"/>
        <w:ind w:left="851" w:hanging="851"/>
        <w:rPr>
          <w:rFonts w:eastAsia="Times New Roman"/>
          <w:szCs w:val="24"/>
          <w:lang w:eastAsia="en-AU"/>
        </w:rPr>
      </w:pPr>
    </w:p>
    <w:p w:rsidR="00157BC1" w:rsidRPr="00906956" w:rsidRDefault="00157BC1" w:rsidP="00D144A5">
      <w:pPr>
        <w:spacing w:after="0" w:line="240" w:lineRule="auto"/>
        <w:ind w:left="851" w:hanging="851"/>
      </w:pPr>
      <w:r w:rsidRPr="00083D25">
        <w:rPr>
          <w:rFonts w:eastAsia="Times New Roman"/>
          <w:szCs w:val="24"/>
          <w:lang w:eastAsia="en-AU"/>
        </w:rPr>
        <w:t xml:space="preserve">HYDROGEN </w:t>
      </w:r>
      <w:r w:rsidRPr="008F5C67">
        <w:rPr>
          <w:rFonts w:eastAsia="Times New Roman"/>
          <w:szCs w:val="24"/>
          <w:lang w:eastAsia="en-AU"/>
        </w:rPr>
        <w:t xml:space="preserve">PEROXIDE (excluding its salts and derivatives) in teeth whitening preparations containing more than 6 per cent (20 volume) of hydrogen peroxide </w:t>
      </w:r>
      <w:r w:rsidRPr="008F5C67">
        <w:rPr>
          <w:rFonts w:eastAsia="Times New Roman"/>
          <w:b/>
          <w:bCs/>
          <w:szCs w:val="24"/>
          <w:lang w:eastAsia="en-AU"/>
        </w:rPr>
        <w:t>except</w:t>
      </w:r>
      <w:r w:rsidRPr="008F5C67">
        <w:rPr>
          <w:rFonts w:eastAsia="Times New Roman"/>
          <w:szCs w:val="24"/>
          <w:lang w:eastAsia="en-AU"/>
        </w:rPr>
        <w:t xml:space="preserve"> in preparations manufactured for and supplied solely by registered dental practitioners as part of their dental practice.</w:t>
      </w:r>
    </w:p>
    <w:p w:rsidR="00157BC1" w:rsidRDefault="00157BC1" w:rsidP="00D144A5">
      <w:pPr>
        <w:pStyle w:val="Heading2"/>
        <w:spacing w:before="0" w:line="240" w:lineRule="auto"/>
        <w:rPr>
          <w:rFonts w:asciiTheme="minorHAnsi" w:eastAsia="Times New Roman" w:hAnsiTheme="minorHAnsi" w:cstheme="minorHAnsi"/>
          <w:szCs w:val="24"/>
          <w:lang w:eastAsia="en-AU"/>
        </w:rPr>
      </w:pPr>
    </w:p>
    <w:p w:rsidR="007609FC" w:rsidRDefault="007609FC" w:rsidP="00D144A5">
      <w:pPr>
        <w:pStyle w:val="Heading2"/>
        <w:spacing w:before="0" w:line="240" w:lineRule="auto"/>
        <w:rPr>
          <w:rFonts w:asciiTheme="minorHAnsi" w:eastAsia="Times New Roman" w:hAnsiTheme="minorHAnsi" w:cstheme="minorHAnsi"/>
          <w:szCs w:val="24"/>
          <w:lang w:eastAsia="en-AU"/>
        </w:rPr>
      </w:pPr>
      <w:r w:rsidRPr="00157BC1">
        <w:rPr>
          <w:rFonts w:asciiTheme="minorHAnsi" w:eastAsia="Times New Roman" w:hAnsiTheme="minorHAnsi" w:cstheme="minorHAnsi"/>
          <w:szCs w:val="24"/>
          <w:lang w:eastAsia="en-AU"/>
        </w:rPr>
        <w:t xml:space="preserve">Appendix </w:t>
      </w:r>
      <w:r>
        <w:rPr>
          <w:rFonts w:asciiTheme="minorHAnsi" w:eastAsia="Times New Roman" w:hAnsiTheme="minorHAnsi" w:cstheme="minorHAnsi"/>
          <w:szCs w:val="24"/>
          <w:lang w:eastAsia="en-AU"/>
        </w:rPr>
        <w:t>D, PARAGRAPH 5 – New entrY</w:t>
      </w:r>
    </w:p>
    <w:p w:rsidR="007609FC" w:rsidRDefault="007609FC" w:rsidP="00D144A5">
      <w:pPr>
        <w:pStyle w:val="BodyText"/>
        <w:spacing w:after="0" w:line="240" w:lineRule="auto"/>
        <w:rPr>
          <w:lang w:eastAsia="en-AU"/>
        </w:rPr>
      </w:pPr>
    </w:p>
    <w:p w:rsidR="007609FC" w:rsidRDefault="007609FC" w:rsidP="00D144A5">
      <w:pPr>
        <w:pStyle w:val="BodyText"/>
        <w:spacing w:after="0" w:line="240" w:lineRule="auto"/>
        <w:ind w:left="851" w:hanging="851"/>
        <w:rPr>
          <w:lang w:eastAsia="en-AU"/>
        </w:rPr>
      </w:pPr>
      <w:r w:rsidRPr="00083D25">
        <w:rPr>
          <w:lang w:eastAsia="en-AU"/>
        </w:rPr>
        <w:t xml:space="preserve">SELECTIVE </w:t>
      </w:r>
      <w:r>
        <w:rPr>
          <w:lang w:eastAsia="en-AU"/>
        </w:rPr>
        <w:t>ANDROGEN RECEPTOR MODULATORS (SARM), including those separately specified in Schedule 4.</w:t>
      </w:r>
    </w:p>
    <w:p w:rsidR="007609FC" w:rsidRPr="007609FC" w:rsidRDefault="007609FC" w:rsidP="00D144A5">
      <w:pPr>
        <w:pStyle w:val="BodyText"/>
        <w:spacing w:after="0" w:line="240" w:lineRule="auto"/>
        <w:rPr>
          <w:lang w:eastAsia="en-AU"/>
        </w:rPr>
      </w:pPr>
    </w:p>
    <w:p w:rsidR="00F70934" w:rsidRPr="00421565" w:rsidRDefault="00F70934" w:rsidP="00D144A5">
      <w:pPr>
        <w:pStyle w:val="Heading2"/>
        <w:spacing w:before="0" w:line="240" w:lineRule="auto"/>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APPENDIX F, PART 3 – NEW ENTRY</w:t>
      </w:r>
    </w:p>
    <w:p w:rsidR="00F70934" w:rsidRPr="00F70934" w:rsidRDefault="00F70934" w:rsidP="00D144A5">
      <w:pPr>
        <w:pStyle w:val="BodyText"/>
        <w:spacing w:after="0" w:line="240" w:lineRule="auto"/>
        <w:rPr>
          <w:szCs w:val="24"/>
        </w:rPr>
      </w:pPr>
    </w:p>
    <w:p w:rsidR="00157BC1" w:rsidRPr="00157BC1" w:rsidRDefault="00157BC1" w:rsidP="00D144A5">
      <w:pPr>
        <w:pStyle w:val="BodyText"/>
        <w:tabs>
          <w:tab w:val="left" w:pos="4320"/>
        </w:tabs>
        <w:spacing w:line="240" w:lineRule="auto"/>
        <w:rPr>
          <w:b/>
          <w:szCs w:val="24"/>
        </w:rPr>
      </w:pPr>
      <w:r>
        <w:rPr>
          <w:b/>
          <w:szCs w:val="24"/>
        </w:rPr>
        <w:t>Poison</w:t>
      </w:r>
      <w:r>
        <w:rPr>
          <w:b/>
          <w:szCs w:val="24"/>
        </w:rPr>
        <w:tab/>
        <w:t>Warning statement</w:t>
      </w:r>
    </w:p>
    <w:p w:rsidR="00F70934" w:rsidRDefault="00F70934" w:rsidP="00D144A5">
      <w:pPr>
        <w:pStyle w:val="BodyText"/>
        <w:tabs>
          <w:tab w:val="left" w:pos="4320"/>
        </w:tabs>
        <w:spacing w:after="0" w:line="240" w:lineRule="auto"/>
        <w:rPr>
          <w:szCs w:val="24"/>
        </w:rPr>
      </w:pPr>
      <w:proofErr w:type="spellStart"/>
      <w:r w:rsidRPr="00083D25">
        <w:rPr>
          <w:szCs w:val="24"/>
        </w:rPr>
        <w:t>Teriflunomide</w:t>
      </w:r>
      <w:proofErr w:type="spellEnd"/>
      <w:r w:rsidR="00157BC1">
        <w:rPr>
          <w:szCs w:val="24"/>
        </w:rPr>
        <w:tab/>
        <w:t>7, 62, 87</w:t>
      </w:r>
    </w:p>
    <w:p w:rsidR="001F690A" w:rsidRPr="00F70934" w:rsidRDefault="001F690A" w:rsidP="00D144A5">
      <w:pPr>
        <w:pStyle w:val="BodyText"/>
        <w:tabs>
          <w:tab w:val="left" w:pos="4320"/>
        </w:tabs>
        <w:spacing w:after="0" w:line="240" w:lineRule="auto"/>
        <w:rPr>
          <w:szCs w:val="24"/>
        </w:rPr>
      </w:pPr>
    </w:p>
    <w:p w:rsidR="00F70934" w:rsidRPr="00421565" w:rsidRDefault="00F70934" w:rsidP="00D144A5">
      <w:pPr>
        <w:pStyle w:val="Heading2"/>
        <w:spacing w:before="0" w:line="240" w:lineRule="auto"/>
        <w:rPr>
          <w:rFonts w:asciiTheme="minorHAnsi" w:eastAsia="Times New Roman" w:hAnsiTheme="minorHAnsi" w:cstheme="minorHAnsi"/>
          <w:szCs w:val="24"/>
          <w:lang w:eastAsia="en-AU"/>
        </w:rPr>
      </w:pPr>
      <w:bookmarkStart w:id="10" w:name="_Toc341522761"/>
      <w:r>
        <w:rPr>
          <w:rFonts w:asciiTheme="minorHAnsi" w:eastAsia="Times New Roman" w:hAnsiTheme="minorHAnsi" w:cstheme="minorHAnsi"/>
          <w:szCs w:val="24"/>
          <w:lang w:eastAsia="en-AU"/>
        </w:rPr>
        <w:t>APPENDIX K – NEW ENTRY</w:t>
      </w:r>
    </w:p>
    <w:p w:rsidR="00F70934" w:rsidRPr="00F70934" w:rsidRDefault="00F70934" w:rsidP="00D144A5">
      <w:pPr>
        <w:pStyle w:val="BodyText"/>
        <w:spacing w:after="0" w:line="240" w:lineRule="auto"/>
        <w:rPr>
          <w:szCs w:val="24"/>
        </w:rPr>
      </w:pPr>
    </w:p>
    <w:p w:rsidR="00F70934" w:rsidRPr="001F690A" w:rsidRDefault="00F70934" w:rsidP="00D144A5">
      <w:pPr>
        <w:pStyle w:val="BodyText"/>
        <w:spacing w:after="0" w:line="240" w:lineRule="auto"/>
        <w:rPr>
          <w:rFonts w:asciiTheme="minorHAnsi" w:eastAsia="Times New Roman" w:hAnsiTheme="minorHAnsi" w:cstheme="minorHAnsi"/>
          <w:bCs/>
          <w:caps/>
          <w:szCs w:val="24"/>
          <w:lang w:eastAsia="en-AU"/>
        </w:rPr>
      </w:pPr>
      <w:r w:rsidRPr="001F690A">
        <w:rPr>
          <w:rFonts w:asciiTheme="minorHAnsi" w:eastAsia="Times New Roman" w:hAnsiTheme="minorHAnsi" w:cstheme="minorHAnsi"/>
          <w:bCs/>
          <w:caps/>
          <w:szCs w:val="24"/>
          <w:lang w:eastAsia="en-AU"/>
        </w:rPr>
        <w:t>RETIGABINE</w:t>
      </w:r>
    </w:p>
    <w:p w:rsidR="00F70934" w:rsidRPr="001F690A" w:rsidRDefault="00F70934" w:rsidP="00D144A5">
      <w:pPr>
        <w:pStyle w:val="BodyText"/>
        <w:spacing w:after="0" w:line="240" w:lineRule="auto"/>
        <w:rPr>
          <w:szCs w:val="24"/>
        </w:rPr>
      </w:pPr>
    </w:p>
    <w:p w:rsidR="00FF5D33" w:rsidRPr="001F690A" w:rsidRDefault="00FF5D33" w:rsidP="00D144A5">
      <w:pPr>
        <w:pStyle w:val="Heading2"/>
        <w:spacing w:before="0" w:line="240" w:lineRule="auto"/>
        <w:rPr>
          <w:rFonts w:asciiTheme="minorHAnsi" w:eastAsia="Times New Roman" w:hAnsiTheme="minorHAnsi" w:cstheme="minorHAnsi"/>
          <w:szCs w:val="24"/>
          <w:lang w:eastAsia="en-AU"/>
        </w:rPr>
      </w:pPr>
      <w:r w:rsidRPr="001F690A">
        <w:rPr>
          <w:rFonts w:asciiTheme="minorHAnsi" w:eastAsia="Times New Roman" w:hAnsiTheme="minorHAnsi" w:cstheme="minorHAnsi"/>
          <w:szCs w:val="24"/>
          <w:lang w:eastAsia="en-AU"/>
        </w:rPr>
        <w:t>APPENDIX L – NEW ENTRY</w:t>
      </w:r>
      <w:bookmarkEnd w:id="10"/>
    </w:p>
    <w:p w:rsidR="00802C9F" w:rsidRPr="001F690A" w:rsidRDefault="00802C9F" w:rsidP="00D144A5">
      <w:pPr>
        <w:pStyle w:val="BodyText"/>
        <w:spacing w:after="0" w:line="240" w:lineRule="auto"/>
        <w:rPr>
          <w:szCs w:val="24"/>
        </w:rPr>
      </w:pPr>
    </w:p>
    <w:p w:rsidR="00157BC1" w:rsidRPr="001F690A" w:rsidRDefault="00157BC1" w:rsidP="00D144A5">
      <w:pPr>
        <w:pStyle w:val="BodyText"/>
        <w:tabs>
          <w:tab w:val="left" w:pos="4320"/>
        </w:tabs>
        <w:spacing w:after="0" w:line="240" w:lineRule="auto"/>
        <w:rPr>
          <w:b/>
          <w:szCs w:val="24"/>
        </w:rPr>
      </w:pPr>
      <w:r w:rsidRPr="001F690A">
        <w:rPr>
          <w:b/>
          <w:szCs w:val="24"/>
        </w:rPr>
        <w:t>Column 1</w:t>
      </w:r>
      <w:r w:rsidRPr="001F690A">
        <w:rPr>
          <w:b/>
          <w:szCs w:val="24"/>
        </w:rPr>
        <w:tab/>
        <w:t>Column 2</w:t>
      </w:r>
    </w:p>
    <w:p w:rsidR="00157BC1" w:rsidRPr="001F690A" w:rsidRDefault="00157BC1" w:rsidP="00D144A5">
      <w:pPr>
        <w:pStyle w:val="BodyText"/>
        <w:tabs>
          <w:tab w:val="left" w:pos="4320"/>
        </w:tabs>
        <w:spacing w:line="240" w:lineRule="auto"/>
        <w:rPr>
          <w:b/>
          <w:szCs w:val="24"/>
        </w:rPr>
      </w:pPr>
      <w:r w:rsidRPr="001F690A">
        <w:rPr>
          <w:b/>
          <w:szCs w:val="24"/>
        </w:rPr>
        <w:t>Substance</w:t>
      </w:r>
      <w:r w:rsidRPr="001F690A">
        <w:rPr>
          <w:b/>
          <w:szCs w:val="24"/>
        </w:rPr>
        <w:tab/>
        <w:t>Warning statement</w:t>
      </w:r>
    </w:p>
    <w:p w:rsidR="00157BC1" w:rsidRPr="001F690A" w:rsidRDefault="00157BC1" w:rsidP="00D144A5">
      <w:pPr>
        <w:pStyle w:val="BodyText"/>
        <w:tabs>
          <w:tab w:val="left" w:pos="4320"/>
        </w:tabs>
        <w:spacing w:after="0" w:line="240" w:lineRule="auto"/>
        <w:rPr>
          <w:szCs w:val="24"/>
        </w:rPr>
      </w:pPr>
      <w:proofErr w:type="spellStart"/>
      <w:r w:rsidRPr="001F690A">
        <w:rPr>
          <w:szCs w:val="24"/>
        </w:rPr>
        <w:t>Teriflunomide</w:t>
      </w:r>
      <w:proofErr w:type="spellEnd"/>
      <w:r w:rsidR="00003501" w:rsidRPr="001F690A">
        <w:rPr>
          <w:szCs w:val="24"/>
        </w:rPr>
        <w:t>.</w:t>
      </w:r>
      <w:r w:rsidR="00D144A5" w:rsidRPr="001F690A">
        <w:rPr>
          <w:szCs w:val="24"/>
        </w:rPr>
        <w:tab/>
        <w:t>7, 62 and</w:t>
      </w:r>
      <w:r w:rsidRPr="001F690A">
        <w:rPr>
          <w:szCs w:val="24"/>
        </w:rPr>
        <w:t xml:space="preserve"> 87</w:t>
      </w:r>
    </w:p>
    <w:p w:rsidR="003018D8" w:rsidRDefault="003018D8">
      <w:pPr>
        <w:rPr>
          <w:szCs w:val="24"/>
        </w:rPr>
      </w:pPr>
      <w:r>
        <w:rPr>
          <w:szCs w:val="24"/>
        </w:rPr>
        <w:br w:type="page"/>
      </w:r>
    </w:p>
    <w:p w:rsidR="0022096F" w:rsidRPr="001F690A" w:rsidRDefault="0022096F" w:rsidP="00D144A5">
      <w:pPr>
        <w:pStyle w:val="Heading1"/>
        <w:spacing w:before="0" w:line="240" w:lineRule="auto"/>
        <w:jc w:val="center"/>
        <w:rPr>
          <w:rFonts w:asciiTheme="minorHAnsi" w:eastAsia="Times New Roman" w:hAnsiTheme="minorHAnsi" w:cstheme="minorHAnsi"/>
          <w:szCs w:val="24"/>
          <w:lang w:eastAsia="en-AU"/>
        </w:rPr>
      </w:pPr>
      <w:bookmarkStart w:id="11" w:name="_Toc341522762"/>
      <w:r w:rsidRPr="001F690A">
        <w:rPr>
          <w:rFonts w:asciiTheme="minorHAnsi" w:eastAsia="Times New Roman" w:hAnsiTheme="minorHAnsi" w:cstheme="minorHAnsi"/>
          <w:szCs w:val="24"/>
          <w:lang w:eastAsia="en-AU"/>
        </w:rPr>
        <w:lastRenderedPageBreak/>
        <w:t>EDITORIAL AMENDMENTS AND ERRATA</w:t>
      </w:r>
      <w:bookmarkEnd w:id="11"/>
    </w:p>
    <w:p w:rsidR="006F68D3" w:rsidRPr="001F690A" w:rsidRDefault="006F68D3" w:rsidP="00D144A5">
      <w:pPr>
        <w:tabs>
          <w:tab w:val="left" w:pos="1440"/>
        </w:tabs>
        <w:spacing w:after="0" w:line="240" w:lineRule="auto"/>
        <w:rPr>
          <w:rFonts w:eastAsia="Times New Roman" w:cs="Times New Roman"/>
          <w:snapToGrid w:val="0"/>
          <w:sz w:val="23"/>
          <w:szCs w:val="24"/>
        </w:rPr>
      </w:pPr>
    </w:p>
    <w:p w:rsidR="00893F8A" w:rsidRPr="001F690A" w:rsidRDefault="00893F8A" w:rsidP="00D144A5">
      <w:pPr>
        <w:pStyle w:val="Heading1"/>
        <w:spacing w:before="0" w:line="240" w:lineRule="auto"/>
        <w:rPr>
          <w:rFonts w:asciiTheme="minorHAnsi" w:eastAsia="Times New Roman" w:hAnsiTheme="minorHAnsi" w:cstheme="minorHAnsi"/>
          <w:szCs w:val="24"/>
          <w:lang w:eastAsia="en-AU"/>
        </w:rPr>
      </w:pPr>
      <w:bookmarkStart w:id="12" w:name="_Toc341522763"/>
      <w:bookmarkStart w:id="13" w:name="_Toc316547885"/>
      <w:r w:rsidRPr="001F690A">
        <w:rPr>
          <w:rFonts w:asciiTheme="minorHAnsi" w:eastAsia="Times New Roman" w:hAnsiTheme="minorHAnsi" w:cstheme="minorHAnsi"/>
          <w:szCs w:val="24"/>
          <w:lang w:eastAsia="en-AU"/>
        </w:rPr>
        <w:t>PART 4 – THE SCHEDULES</w:t>
      </w:r>
      <w:bookmarkEnd w:id="12"/>
      <w:r w:rsidRPr="001F690A">
        <w:rPr>
          <w:rFonts w:asciiTheme="minorHAnsi" w:eastAsia="Times New Roman" w:hAnsiTheme="minorHAnsi" w:cstheme="minorHAnsi"/>
          <w:szCs w:val="24"/>
          <w:lang w:eastAsia="en-AU"/>
        </w:rPr>
        <w:t xml:space="preserve"> </w:t>
      </w:r>
    </w:p>
    <w:bookmarkEnd w:id="13"/>
    <w:p w:rsidR="000110A0" w:rsidRDefault="000110A0" w:rsidP="00D144A5">
      <w:pPr>
        <w:pStyle w:val="BodyText"/>
        <w:spacing w:after="0" w:line="240" w:lineRule="auto"/>
        <w:rPr>
          <w:lang w:eastAsia="en-AU"/>
        </w:rPr>
      </w:pPr>
    </w:p>
    <w:p w:rsidR="009B309B" w:rsidRPr="001F690A" w:rsidRDefault="009B309B" w:rsidP="009B309B">
      <w:pPr>
        <w:pStyle w:val="Heading2"/>
        <w:spacing w:before="0" w:line="240" w:lineRule="auto"/>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SCHEDULE 2</w:t>
      </w:r>
      <w:r w:rsidRPr="001F690A">
        <w:rPr>
          <w:rFonts w:asciiTheme="minorHAnsi" w:eastAsia="Times New Roman" w:hAnsiTheme="minorHAnsi" w:cstheme="minorHAnsi"/>
          <w:szCs w:val="24"/>
          <w:lang w:eastAsia="en-AU"/>
        </w:rPr>
        <w:t xml:space="preserve"> - AMENDMENT</w:t>
      </w:r>
    </w:p>
    <w:p w:rsidR="009B309B" w:rsidRDefault="009B309B" w:rsidP="009B309B">
      <w:pPr>
        <w:autoSpaceDE w:val="0"/>
        <w:autoSpaceDN w:val="0"/>
        <w:adjustRightInd w:val="0"/>
        <w:spacing w:after="0" w:line="240" w:lineRule="auto"/>
        <w:ind w:left="709" w:hanging="709"/>
        <w:rPr>
          <w:bCs/>
          <w:szCs w:val="24"/>
        </w:rPr>
      </w:pPr>
    </w:p>
    <w:p w:rsidR="009B309B" w:rsidRDefault="009B309B" w:rsidP="009B309B">
      <w:pPr>
        <w:autoSpaceDE w:val="0"/>
        <w:autoSpaceDN w:val="0"/>
        <w:adjustRightInd w:val="0"/>
        <w:spacing w:after="0" w:line="240" w:lineRule="auto"/>
        <w:ind w:left="709" w:hanging="709"/>
        <w:rPr>
          <w:bCs/>
          <w:szCs w:val="24"/>
        </w:rPr>
      </w:pPr>
      <w:r w:rsidRPr="00083D25">
        <w:rPr>
          <w:bCs/>
          <w:szCs w:val="24"/>
        </w:rPr>
        <w:t>FEXOFENADINE</w:t>
      </w:r>
      <w:r>
        <w:rPr>
          <w:bCs/>
          <w:szCs w:val="24"/>
        </w:rPr>
        <w:t xml:space="preserve"> – Amend entry to read:</w:t>
      </w:r>
    </w:p>
    <w:p w:rsidR="009B309B" w:rsidRDefault="009B309B" w:rsidP="009B309B">
      <w:pPr>
        <w:autoSpaceDE w:val="0"/>
        <w:autoSpaceDN w:val="0"/>
        <w:adjustRightInd w:val="0"/>
        <w:spacing w:after="0" w:line="240" w:lineRule="auto"/>
        <w:ind w:left="709" w:hanging="709"/>
        <w:rPr>
          <w:bCs/>
          <w:szCs w:val="24"/>
        </w:rPr>
      </w:pPr>
    </w:p>
    <w:p w:rsidR="009B309B" w:rsidRDefault="009B309B" w:rsidP="009B309B">
      <w:pPr>
        <w:autoSpaceDE w:val="0"/>
        <w:autoSpaceDN w:val="0"/>
        <w:adjustRightInd w:val="0"/>
        <w:spacing w:after="0" w:line="240" w:lineRule="auto"/>
        <w:ind w:left="709" w:hanging="709"/>
        <w:rPr>
          <w:bCs/>
          <w:szCs w:val="24"/>
        </w:rPr>
      </w:pPr>
      <w:r w:rsidRPr="00083D25">
        <w:rPr>
          <w:bCs/>
          <w:szCs w:val="24"/>
        </w:rPr>
        <w:t xml:space="preserve">FEXOFENADINE </w:t>
      </w:r>
      <w:r w:rsidRPr="004246A2">
        <w:rPr>
          <w:bCs/>
          <w:szCs w:val="24"/>
        </w:rPr>
        <w:t xml:space="preserve">in preparations for oral use </w:t>
      </w:r>
      <w:r w:rsidRPr="00A67200">
        <w:rPr>
          <w:b/>
          <w:bCs/>
          <w:szCs w:val="24"/>
        </w:rPr>
        <w:t>except</w:t>
      </w:r>
      <w:r w:rsidRPr="004246A2">
        <w:rPr>
          <w:bCs/>
          <w:szCs w:val="24"/>
        </w:rPr>
        <w:t xml:space="preserve"> in divided preparations for the treatment of seasonal allergic rhinitis in adults and children 12 years of age and over when: </w:t>
      </w:r>
    </w:p>
    <w:p w:rsidR="009B309B" w:rsidRDefault="009B309B" w:rsidP="009B309B">
      <w:pPr>
        <w:autoSpaceDE w:val="0"/>
        <w:autoSpaceDN w:val="0"/>
        <w:adjustRightInd w:val="0"/>
        <w:spacing w:after="0" w:line="240" w:lineRule="auto"/>
        <w:ind w:left="709" w:hanging="709"/>
        <w:rPr>
          <w:bCs/>
          <w:szCs w:val="24"/>
        </w:rPr>
      </w:pPr>
    </w:p>
    <w:p w:rsidR="009B309B" w:rsidRDefault="009B309B" w:rsidP="009B309B">
      <w:pPr>
        <w:numPr>
          <w:ilvl w:val="0"/>
          <w:numId w:val="28"/>
        </w:numPr>
        <w:autoSpaceDE w:val="0"/>
        <w:autoSpaceDN w:val="0"/>
        <w:adjustRightInd w:val="0"/>
        <w:spacing w:after="0" w:line="240" w:lineRule="auto"/>
        <w:ind w:left="1440" w:hanging="731"/>
        <w:rPr>
          <w:bCs/>
          <w:szCs w:val="24"/>
        </w:rPr>
      </w:pPr>
      <w:r w:rsidRPr="004246A2">
        <w:rPr>
          <w:bCs/>
          <w:szCs w:val="24"/>
        </w:rPr>
        <w:t xml:space="preserve">in a primary pack containing 10 dosage units or less and not more than 5 days’ supply; and </w:t>
      </w:r>
    </w:p>
    <w:p w:rsidR="009B309B" w:rsidRPr="004246A2" w:rsidRDefault="009B309B" w:rsidP="009B309B">
      <w:pPr>
        <w:autoSpaceDE w:val="0"/>
        <w:autoSpaceDN w:val="0"/>
        <w:adjustRightInd w:val="0"/>
        <w:spacing w:after="0" w:line="240" w:lineRule="auto"/>
        <w:ind w:left="1440" w:hanging="731"/>
        <w:rPr>
          <w:bCs/>
          <w:szCs w:val="24"/>
        </w:rPr>
      </w:pPr>
    </w:p>
    <w:p w:rsidR="009B309B" w:rsidRPr="004246A2" w:rsidRDefault="009B309B" w:rsidP="009B309B">
      <w:pPr>
        <w:numPr>
          <w:ilvl w:val="0"/>
          <w:numId w:val="28"/>
        </w:numPr>
        <w:autoSpaceDE w:val="0"/>
        <w:autoSpaceDN w:val="0"/>
        <w:adjustRightInd w:val="0"/>
        <w:spacing w:after="0" w:line="240" w:lineRule="auto"/>
        <w:ind w:left="1440" w:hanging="731"/>
        <w:rPr>
          <w:bCs/>
          <w:szCs w:val="24"/>
        </w:rPr>
      </w:pPr>
      <w:r w:rsidRPr="004246A2">
        <w:rPr>
          <w:bCs/>
          <w:szCs w:val="24"/>
        </w:rPr>
        <w:t xml:space="preserve">labelled with a recommended daily dose not exceeding 120 mg of fexofenadine. </w:t>
      </w:r>
    </w:p>
    <w:p w:rsidR="009B309B" w:rsidRDefault="009B309B" w:rsidP="009B309B">
      <w:pPr>
        <w:tabs>
          <w:tab w:val="left" w:pos="720"/>
          <w:tab w:val="left" w:pos="1440"/>
        </w:tabs>
        <w:spacing w:after="0" w:line="240" w:lineRule="auto"/>
        <w:contextualSpacing/>
        <w:rPr>
          <w:rFonts w:eastAsia="Calibri" w:cs="Times New Roman"/>
          <w:lang w:eastAsia="en-AU"/>
        </w:rPr>
      </w:pPr>
    </w:p>
    <w:p w:rsidR="00893F8A" w:rsidRPr="001F690A" w:rsidRDefault="00157BC1" w:rsidP="00D144A5">
      <w:pPr>
        <w:pStyle w:val="Heading2"/>
        <w:spacing w:before="0" w:line="240" w:lineRule="auto"/>
        <w:rPr>
          <w:rFonts w:asciiTheme="minorHAnsi" w:eastAsia="Times New Roman" w:hAnsiTheme="minorHAnsi" w:cstheme="minorHAnsi"/>
          <w:szCs w:val="24"/>
          <w:lang w:eastAsia="en-AU"/>
        </w:rPr>
      </w:pPr>
      <w:bookmarkStart w:id="14" w:name="_Toc341522764"/>
      <w:bookmarkStart w:id="15" w:name="_Toc316547886"/>
      <w:r w:rsidRPr="001F690A">
        <w:rPr>
          <w:rFonts w:asciiTheme="minorHAnsi" w:eastAsia="Times New Roman" w:hAnsiTheme="minorHAnsi" w:cstheme="minorHAnsi"/>
          <w:szCs w:val="24"/>
          <w:lang w:eastAsia="en-AU"/>
        </w:rPr>
        <w:t>SCHEDULE 4</w:t>
      </w:r>
      <w:r w:rsidR="00893F8A" w:rsidRPr="001F690A">
        <w:rPr>
          <w:rFonts w:asciiTheme="minorHAnsi" w:eastAsia="Times New Roman" w:hAnsiTheme="minorHAnsi" w:cstheme="minorHAnsi"/>
          <w:szCs w:val="24"/>
          <w:lang w:eastAsia="en-AU"/>
        </w:rPr>
        <w:t xml:space="preserve"> - AMENDMENT</w:t>
      </w:r>
      <w:bookmarkEnd w:id="14"/>
      <w:r w:rsidR="003018D8">
        <w:rPr>
          <w:rFonts w:asciiTheme="minorHAnsi" w:eastAsia="Times New Roman" w:hAnsiTheme="minorHAnsi" w:cstheme="minorHAnsi"/>
          <w:szCs w:val="24"/>
          <w:lang w:eastAsia="en-AU"/>
        </w:rPr>
        <w:t>S</w:t>
      </w:r>
    </w:p>
    <w:bookmarkEnd w:id="15"/>
    <w:p w:rsidR="001D11AB" w:rsidRPr="00D907E1" w:rsidRDefault="001D11AB" w:rsidP="00D144A5">
      <w:pPr>
        <w:tabs>
          <w:tab w:val="left" w:pos="1440"/>
        </w:tabs>
        <w:spacing w:after="0" w:line="240" w:lineRule="auto"/>
        <w:rPr>
          <w:rFonts w:eastAsia="Times New Roman" w:cs="Times New Roman"/>
          <w:snapToGrid w:val="0"/>
          <w:szCs w:val="24"/>
        </w:rPr>
      </w:pPr>
    </w:p>
    <w:p w:rsidR="00D907E1" w:rsidRPr="00D907E1" w:rsidRDefault="00D907E1" w:rsidP="00D144A5">
      <w:pPr>
        <w:tabs>
          <w:tab w:val="left" w:pos="1440"/>
        </w:tabs>
        <w:spacing w:after="0" w:line="240" w:lineRule="auto"/>
        <w:rPr>
          <w:rFonts w:eastAsia="Times New Roman" w:cs="Times New Roman"/>
          <w:snapToGrid w:val="0"/>
          <w:szCs w:val="24"/>
        </w:rPr>
      </w:pPr>
      <w:r w:rsidRPr="00D907E1">
        <w:rPr>
          <w:rFonts w:eastAsia="Times New Roman" w:cs="Times New Roman"/>
          <w:snapToGrid w:val="0"/>
          <w:szCs w:val="24"/>
        </w:rPr>
        <w:t>FEXOFENADINE – Amend entry to read:</w:t>
      </w:r>
    </w:p>
    <w:p w:rsidR="00D907E1" w:rsidRPr="00D907E1" w:rsidRDefault="00D907E1" w:rsidP="00D144A5">
      <w:pPr>
        <w:tabs>
          <w:tab w:val="left" w:pos="1440"/>
        </w:tabs>
        <w:spacing w:after="0" w:line="240" w:lineRule="auto"/>
        <w:rPr>
          <w:rFonts w:eastAsia="Times New Roman" w:cs="Times New Roman"/>
          <w:snapToGrid w:val="0"/>
          <w:szCs w:val="24"/>
        </w:rPr>
      </w:pPr>
    </w:p>
    <w:p w:rsidR="00D907E1" w:rsidRPr="00D907E1" w:rsidRDefault="00D907E1" w:rsidP="00D907E1">
      <w:pPr>
        <w:tabs>
          <w:tab w:val="left" w:pos="1440"/>
        </w:tabs>
        <w:spacing w:after="0" w:line="240" w:lineRule="auto"/>
        <w:rPr>
          <w:rFonts w:eastAsia="Times New Roman" w:cs="Times New Roman"/>
          <w:snapToGrid w:val="0"/>
          <w:szCs w:val="24"/>
        </w:rPr>
      </w:pPr>
      <w:r w:rsidRPr="00D907E1">
        <w:rPr>
          <w:rFonts w:eastAsia="Times New Roman" w:cs="Times New Roman"/>
          <w:snapToGrid w:val="0"/>
          <w:szCs w:val="24"/>
        </w:rPr>
        <w:t xml:space="preserve">FEXOFENADINE </w:t>
      </w:r>
      <w:r w:rsidRPr="00D907E1">
        <w:rPr>
          <w:rFonts w:eastAsia="Times New Roman" w:cs="Times New Roman"/>
          <w:b/>
          <w:snapToGrid w:val="0"/>
          <w:szCs w:val="24"/>
        </w:rPr>
        <w:t>except</w:t>
      </w:r>
      <w:r w:rsidRPr="00D907E1">
        <w:rPr>
          <w:rFonts w:eastAsia="Times New Roman" w:cs="Times New Roman"/>
          <w:snapToGrid w:val="0"/>
          <w:szCs w:val="24"/>
        </w:rPr>
        <w:t xml:space="preserve">: </w:t>
      </w:r>
    </w:p>
    <w:p w:rsidR="00D907E1" w:rsidRPr="00D907E1" w:rsidRDefault="00D907E1" w:rsidP="00D907E1">
      <w:pPr>
        <w:tabs>
          <w:tab w:val="left" w:pos="1440"/>
        </w:tabs>
        <w:spacing w:after="0" w:line="240" w:lineRule="auto"/>
        <w:rPr>
          <w:rFonts w:eastAsia="Times New Roman" w:cs="Times New Roman"/>
          <w:snapToGrid w:val="0"/>
          <w:szCs w:val="24"/>
        </w:rPr>
      </w:pPr>
    </w:p>
    <w:p w:rsidR="00D907E1" w:rsidRPr="00D907E1" w:rsidRDefault="00D907E1" w:rsidP="00D907E1">
      <w:pPr>
        <w:tabs>
          <w:tab w:val="left" w:pos="1440"/>
        </w:tabs>
        <w:spacing w:after="0" w:line="240" w:lineRule="auto"/>
        <w:ind w:left="1418" w:hanging="709"/>
        <w:rPr>
          <w:rFonts w:eastAsia="Times New Roman" w:cs="Times New Roman"/>
          <w:snapToGrid w:val="0"/>
          <w:szCs w:val="24"/>
        </w:rPr>
      </w:pPr>
      <w:r w:rsidRPr="00D907E1">
        <w:rPr>
          <w:rFonts w:eastAsia="Times New Roman" w:cs="Times New Roman"/>
          <w:snapToGrid w:val="0"/>
          <w:szCs w:val="24"/>
        </w:rPr>
        <w:t>(a)</w:t>
      </w:r>
      <w:r w:rsidRPr="00D907E1">
        <w:rPr>
          <w:rFonts w:eastAsia="Times New Roman" w:cs="Times New Roman"/>
          <w:snapToGrid w:val="0"/>
          <w:szCs w:val="24"/>
        </w:rPr>
        <w:tab/>
        <w:t xml:space="preserve">when included in Schedule 2; or </w:t>
      </w:r>
    </w:p>
    <w:p w:rsidR="00D907E1" w:rsidRPr="00D907E1" w:rsidRDefault="00D907E1" w:rsidP="00D907E1">
      <w:pPr>
        <w:tabs>
          <w:tab w:val="left" w:pos="1440"/>
        </w:tabs>
        <w:spacing w:after="0" w:line="240" w:lineRule="auto"/>
        <w:ind w:left="1418" w:hanging="709"/>
        <w:rPr>
          <w:rFonts w:eastAsia="Times New Roman" w:cs="Times New Roman"/>
          <w:snapToGrid w:val="0"/>
          <w:szCs w:val="24"/>
        </w:rPr>
      </w:pPr>
    </w:p>
    <w:p w:rsidR="00D907E1" w:rsidRPr="00D907E1" w:rsidRDefault="00D907E1" w:rsidP="00D907E1">
      <w:pPr>
        <w:tabs>
          <w:tab w:val="left" w:pos="1440"/>
        </w:tabs>
        <w:spacing w:after="0" w:line="240" w:lineRule="auto"/>
        <w:ind w:left="1418" w:hanging="709"/>
        <w:rPr>
          <w:rFonts w:eastAsia="Times New Roman" w:cs="Times New Roman"/>
          <w:snapToGrid w:val="0"/>
          <w:szCs w:val="24"/>
        </w:rPr>
      </w:pPr>
      <w:r w:rsidRPr="00D907E1">
        <w:rPr>
          <w:rFonts w:eastAsia="Times New Roman" w:cs="Times New Roman"/>
          <w:snapToGrid w:val="0"/>
          <w:szCs w:val="24"/>
        </w:rPr>
        <w:t>(b)</w:t>
      </w:r>
      <w:r w:rsidRPr="00D907E1">
        <w:rPr>
          <w:rFonts w:eastAsia="Times New Roman" w:cs="Times New Roman"/>
          <w:snapToGrid w:val="0"/>
          <w:szCs w:val="24"/>
        </w:rPr>
        <w:tab/>
        <w:t xml:space="preserve">in divided preparations for oral use for the treatment of seasonal allergic rhinitis in adults and children 12 years of age and over when: </w:t>
      </w:r>
    </w:p>
    <w:p w:rsidR="00D907E1" w:rsidRPr="00D907E1" w:rsidRDefault="00D907E1" w:rsidP="00D907E1">
      <w:pPr>
        <w:tabs>
          <w:tab w:val="left" w:pos="1440"/>
        </w:tabs>
        <w:spacing w:after="0" w:line="240" w:lineRule="auto"/>
        <w:ind w:left="1418" w:hanging="709"/>
        <w:rPr>
          <w:rFonts w:eastAsia="Times New Roman" w:cs="Times New Roman"/>
          <w:snapToGrid w:val="0"/>
          <w:szCs w:val="24"/>
        </w:rPr>
      </w:pPr>
    </w:p>
    <w:p w:rsidR="00D907E1" w:rsidRPr="00D907E1" w:rsidRDefault="00D907E1" w:rsidP="00D907E1">
      <w:pPr>
        <w:spacing w:after="0" w:line="240" w:lineRule="auto"/>
        <w:ind w:left="2127" w:hanging="709"/>
        <w:rPr>
          <w:rFonts w:eastAsia="Times New Roman" w:cs="Times New Roman"/>
          <w:snapToGrid w:val="0"/>
          <w:szCs w:val="24"/>
        </w:rPr>
      </w:pPr>
      <w:r w:rsidRPr="00D907E1">
        <w:rPr>
          <w:rFonts w:eastAsia="Times New Roman" w:cs="Times New Roman"/>
          <w:snapToGrid w:val="0"/>
          <w:szCs w:val="24"/>
        </w:rPr>
        <w:t>(</w:t>
      </w:r>
      <w:proofErr w:type="spellStart"/>
      <w:r w:rsidRPr="00D907E1">
        <w:rPr>
          <w:rFonts w:eastAsia="Times New Roman" w:cs="Times New Roman"/>
          <w:snapToGrid w:val="0"/>
          <w:szCs w:val="24"/>
        </w:rPr>
        <w:t>i</w:t>
      </w:r>
      <w:proofErr w:type="spellEnd"/>
      <w:r w:rsidRPr="00D907E1">
        <w:rPr>
          <w:rFonts w:eastAsia="Times New Roman" w:cs="Times New Roman"/>
          <w:snapToGrid w:val="0"/>
          <w:szCs w:val="24"/>
        </w:rPr>
        <w:t>)</w:t>
      </w:r>
      <w:r w:rsidRPr="00D907E1">
        <w:rPr>
          <w:rFonts w:eastAsia="Times New Roman" w:cs="Times New Roman"/>
          <w:snapToGrid w:val="0"/>
          <w:szCs w:val="24"/>
        </w:rPr>
        <w:tab/>
        <w:t xml:space="preserve">in a primary pack containing 10 dosage units or less and not more than 5 days’ supply; and </w:t>
      </w:r>
    </w:p>
    <w:p w:rsidR="00D907E1" w:rsidRPr="00D907E1" w:rsidRDefault="00D907E1" w:rsidP="00D907E1">
      <w:pPr>
        <w:spacing w:after="0" w:line="240" w:lineRule="auto"/>
        <w:ind w:left="2127" w:hanging="709"/>
        <w:rPr>
          <w:rFonts w:eastAsia="Times New Roman" w:cs="Times New Roman"/>
          <w:snapToGrid w:val="0"/>
          <w:szCs w:val="24"/>
        </w:rPr>
      </w:pPr>
    </w:p>
    <w:p w:rsidR="00D907E1" w:rsidRPr="00D907E1" w:rsidRDefault="00D907E1" w:rsidP="00D907E1">
      <w:pPr>
        <w:spacing w:after="0" w:line="240" w:lineRule="auto"/>
        <w:ind w:left="2127" w:hanging="709"/>
        <w:rPr>
          <w:rFonts w:eastAsia="Times New Roman" w:cs="Times New Roman"/>
          <w:snapToGrid w:val="0"/>
          <w:szCs w:val="24"/>
        </w:rPr>
      </w:pPr>
      <w:r w:rsidRPr="00D907E1">
        <w:rPr>
          <w:rFonts w:eastAsia="Times New Roman" w:cs="Times New Roman"/>
          <w:snapToGrid w:val="0"/>
          <w:szCs w:val="24"/>
        </w:rPr>
        <w:t>(ii)</w:t>
      </w:r>
      <w:r w:rsidRPr="00D907E1">
        <w:rPr>
          <w:rFonts w:eastAsia="Times New Roman" w:cs="Times New Roman"/>
          <w:snapToGrid w:val="0"/>
          <w:szCs w:val="24"/>
        </w:rPr>
        <w:tab/>
        <w:t>labelled with a recommended daily dose not exceeding 120 mg of fexofenadine.</w:t>
      </w:r>
    </w:p>
    <w:p w:rsidR="00D907E1" w:rsidRPr="001F690A" w:rsidRDefault="00D907E1" w:rsidP="00D144A5">
      <w:pPr>
        <w:tabs>
          <w:tab w:val="left" w:pos="1440"/>
        </w:tabs>
        <w:spacing w:after="0" w:line="240" w:lineRule="auto"/>
        <w:rPr>
          <w:rFonts w:eastAsia="Times New Roman" w:cs="Times New Roman"/>
          <w:snapToGrid w:val="0"/>
          <w:sz w:val="23"/>
          <w:szCs w:val="24"/>
        </w:rPr>
      </w:pPr>
    </w:p>
    <w:p w:rsidR="00157BC1" w:rsidRPr="001F690A" w:rsidRDefault="00157BC1" w:rsidP="00D144A5">
      <w:pPr>
        <w:tabs>
          <w:tab w:val="left" w:pos="1440"/>
        </w:tabs>
        <w:spacing w:after="0" w:line="240" w:lineRule="auto"/>
        <w:rPr>
          <w:lang w:eastAsia="en-AU"/>
        </w:rPr>
      </w:pPr>
      <w:r w:rsidRPr="001F690A">
        <w:rPr>
          <w:lang w:eastAsia="en-AU"/>
        </w:rPr>
        <w:t>FORMOTEROL – Amend entry to read:</w:t>
      </w:r>
    </w:p>
    <w:p w:rsidR="00157BC1" w:rsidRPr="001F690A" w:rsidRDefault="00157BC1" w:rsidP="00D144A5">
      <w:pPr>
        <w:tabs>
          <w:tab w:val="left" w:pos="1440"/>
        </w:tabs>
        <w:spacing w:after="0" w:line="240" w:lineRule="auto"/>
        <w:rPr>
          <w:lang w:eastAsia="en-AU"/>
        </w:rPr>
      </w:pPr>
    </w:p>
    <w:p w:rsidR="00157BC1" w:rsidRPr="00157BC1" w:rsidRDefault="00157BC1" w:rsidP="00D144A5">
      <w:pPr>
        <w:tabs>
          <w:tab w:val="left" w:pos="1440"/>
        </w:tabs>
        <w:spacing w:after="0" w:line="240" w:lineRule="auto"/>
        <w:rPr>
          <w:lang w:eastAsia="en-AU"/>
        </w:rPr>
      </w:pPr>
      <w:r w:rsidRPr="001F690A">
        <w:rPr>
          <w:lang w:eastAsia="en-AU"/>
        </w:rPr>
        <w:t>EFORMOTEROL.</w:t>
      </w:r>
    </w:p>
    <w:p w:rsidR="00157BC1" w:rsidRDefault="00157BC1" w:rsidP="00D144A5">
      <w:pPr>
        <w:tabs>
          <w:tab w:val="left" w:pos="1440"/>
        </w:tabs>
        <w:spacing w:after="0" w:line="240" w:lineRule="auto"/>
        <w:rPr>
          <w:rFonts w:eastAsia="Times New Roman" w:cs="Times New Roman"/>
          <w:snapToGrid w:val="0"/>
          <w:sz w:val="23"/>
          <w:szCs w:val="24"/>
        </w:rPr>
      </w:pPr>
    </w:p>
    <w:p w:rsidR="003018D8" w:rsidRDefault="003018D8">
      <w:pPr>
        <w:rPr>
          <w:rFonts w:asciiTheme="minorHAnsi" w:eastAsia="Times New Roman" w:hAnsiTheme="minorHAnsi" w:cstheme="minorHAnsi"/>
          <w:b/>
          <w:bCs/>
          <w:caps/>
          <w:szCs w:val="24"/>
          <w:lang w:eastAsia="en-AU"/>
        </w:rPr>
      </w:pPr>
      <w:r>
        <w:rPr>
          <w:rFonts w:asciiTheme="minorHAnsi" w:eastAsia="Times New Roman" w:hAnsiTheme="minorHAnsi" w:cstheme="minorHAnsi"/>
          <w:szCs w:val="24"/>
          <w:lang w:eastAsia="en-AU"/>
        </w:rPr>
        <w:br w:type="page"/>
      </w:r>
    </w:p>
    <w:p w:rsidR="00003501" w:rsidRPr="00073EEF" w:rsidRDefault="00003501" w:rsidP="00D144A5">
      <w:pPr>
        <w:pStyle w:val="Heading1"/>
        <w:spacing w:before="0" w:line="240" w:lineRule="auto"/>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lastRenderedPageBreak/>
        <w:t>PART 5</w:t>
      </w:r>
      <w:r w:rsidRPr="00073EEF">
        <w:rPr>
          <w:rFonts w:asciiTheme="minorHAnsi" w:eastAsia="Times New Roman" w:hAnsiTheme="minorHAnsi" w:cstheme="minorHAnsi"/>
          <w:szCs w:val="24"/>
          <w:lang w:eastAsia="en-AU"/>
        </w:rPr>
        <w:t xml:space="preserve"> – THE </w:t>
      </w:r>
      <w:r>
        <w:rPr>
          <w:rFonts w:asciiTheme="minorHAnsi" w:eastAsia="Times New Roman" w:hAnsiTheme="minorHAnsi" w:cstheme="minorHAnsi"/>
          <w:szCs w:val="24"/>
          <w:lang w:eastAsia="en-AU"/>
        </w:rPr>
        <w:t>APPENDICES</w:t>
      </w:r>
    </w:p>
    <w:p w:rsidR="00003501" w:rsidRDefault="00003501" w:rsidP="00D144A5">
      <w:pPr>
        <w:pStyle w:val="Heading2"/>
        <w:spacing w:before="0" w:line="240" w:lineRule="auto"/>
        <w:rPr>
          <w:rFonts w:asciiTheme="minorHAnsi" w:eastAsia="Times New Roman" w:hAnsiTheme="minorHAnsi" w:cstheme="minorHAnsi"/>
          <w:szCs w:val="24"/>
          <w:lang w:eastAsia="en-AU"/>
        </w:rPr>
      </w:pPr>
    </w:p>
    <w:p w:rsidR="00157BC1" w:rsidRPr="00421565" w:rsidRDefault="00157BC1" w:rsidP="00D144A5">
      <w:pPr>
        <w:pStyle w:val="Heading2"/>
        <w:spacing w:before="0" w:line="240" w:lineRule="auto"/>
        <w:rPr>
          <w:rFonts w:asciiTheme="minorHAnsi" w:eastAsia="Times New Roman" w:hAnsiTheme="minorHAnsi" w:cstheme="minorHAnsi"/>
          <w:szCs w:val="24"/>
          <w:lang w:eastAsia="en-AU"/>
        </w:rPr>
      </w:pPr>
      <w:r>
        <w:rPr>
          <w:rFonts w:asciiTheme="minorHAnsi" w:eastAsia="Times New Roman" w:hAnsiTheme="minorHAnsi" w:cstheme="minorHAnsi"/>
          <w:szCs w:val="24"/>
          <w:lang w:eastAsia="en-AU"/>
        </w:rPr>
        <w:t>APPENDIX L – amendments</w:t>
      </w:r>
    </w:p>
    <w:p w:rsidR="00157BC1" w:rsidRPr="00F70934" w:rsidRDefault="00157BC1" w:rsidP="00003501">
      <w:pPr>
        <w:pStyle w:val="BodyText"/>
        <w:spacing w:after="0"/>
        <w:rPr>
          <w:szCs w:val="24"/>
        </w:rPr>
      </w:pPr>
    </w:p>
    <w:p w:rsidR="00157BC1" w:rsidRDefault="00157BC1" w:rsidP="00157BC1">
      <w:pPr>
        <w:pStyle w:val="BodyText"/>
        <w:tabs>
          <w:tab w:val="left" w:pos="4320"/>
        </w:tabs>
        <w:spacing w:after="0"/>
        <w:rPr>
          <w:b/>
          <w:szCs w:val="24"/>
        </w:rPr>
      </w:pPr>
      <w:r>
        <w:rPr>
          <w:b/>
          <w:szCs w:val="24"/>
        </w:rPr>
        <w:t>Column 1</w:t>
      </w:r>
      <w:r>
        <w:rPr>
          <w:b/>
          <w:szCs w:val="24"/>
        </w:rPr>
        <w:tab/>
        <w:t>Column 2</w:t>
      </w:r>
    </w:p>
    <w:p w:rsidR="00157BC1" w:rsidRDefault="00157BC1" w:rsidP="00157BC1">
      <w:pPr>
        <w:pStyle w:val="BodyText"/>
        <w:tabs>
          <w:tab w:val="left" w:pos="4320"/>
        </w:tabs>
        <w:spacing w:after="0"/>
        <w:rPr>
          <w:b/>
          <w:szCs w:val="24"/>
        </w:rPr>
      </w:pPr>
      <w:r>
        <w:rPr>
          <w:b/>
          <w:szCs w:val="24"/>
        </w:rPr>
        <w:t>Substance</w:t>
      </w:r>
      <w:r w:rsidR="00B779CC">
        <w:rPr>
          <w:b/>
          <w:szCs w:val="24"/>
        </w:rPr>
        <w:t xml:space="preserve"> </w:t>
      </w:r>
      <w:r>
        <w:rPr>
          <w:b/>
          <w:szCs w:val="24"/>
        </w:rPr>
        <w:tab/>
        <w:t>Warning statement</w:t>
      </w:r>
    </w:p>
    <w:p w:rsidR="00157BC1" w:rsidRPr="00157BC1" w:rsidRDefault="00157BC1" w:rsidP="00157BC1">
      <w:pPr>
        <w:pStyle w:val="BodyText"/>
        <w:tabs>
          <w:tab w:val="left" w:pos="4320"/>
        </w:tabs>
        <w:spacing w:after="0"/>
        <w:rPr>
          <w:b/>
          <w:szCs w:val="24"/>
        </w:rPr>
      </w:pPr>
    </w:p>
    <w:p w:rsidR="00157BC1" w:rsidRDefault="00157BC1" w:rsidP="00157BC1">
      <w:pPr>
        <w:pStyle w:val="BodyText"/>
        <w:tabs>
          <w:tab w:val="left" w:pos="4320"/>
        </w:tabs>
        <w:rPr>
          <w:szCs w:val="24"/>
        </w:rPr>
      </w:pPr>
      <w:proofErr w:type="spellStart"/>
      <w:r>
        <w:rPr>
          <w:szCs w:val="24"/>
        </w:rPr>
        <w:t>Acitretin</w:t>
      </w:r>
      <w:proofErr w:type="spellEnd"/>
      <w:r>
        <w:rPr>
          <w:szCs w:val="24"/>
        </w:rPr>
        <w:t xml:space="preserve"> – Amend entry to read:</w:t>
      </w:r>
    </w:p>
    <w:p w:rsidR="00157BC1" w:rsidRDefault="00157BC1" w:rsidP="00157BC1">
      <w:pPr>
        <w:pStyle w:val="BodyText"/>
        <w:tabs>
          <w:tab w:val="left" w:pos="4320"/>
        </w:tabs>
        <w:rPr>
          <w:szCs w:val="24"/>
        </w:rPr>
      </w:pPr>
      <w:proofErr w:type="spellStart"/>
      <w:r>
        <w:rPr>
          <w:szCs w:val="24"/>
        </w:rPr>
        <w:t>Acitretin</w:t>
      </w:r>
      <w:proofErr w:type="spellEnd"/>
      <w:r>
        <w:rPr>
          <w:szCs w:val="24"/>
        </w:rPr>
        <w:t>:</w:t>
      </w:r>
    </w:p>
    <w:p w:rsidR="00157BC1" w:rsidRDefault="00157BC1" w:rsidP="00157BC1">
      <w:pPr>
        <w:pStyle w:val="BodyText"/>
        <w:numPr>
          <w:ilvl w:val="0"/>
          <w:numId w:val="16"/>
        </w:numPr>
        <w:tabs>
          <w:tab w:val="left" w:pos="4320"/>
        </w:tabs>
        <w:rPr>
          <w:szCs w:val="24"/>
        </w:rPr>
      </w:pPr>
      <w:r>
        <w:rPr>
          <w:szCs w:val="24"/>
        </w:rPr>
        <w:t>for oral use.</w:t>
      </w:r>
      <w:r>
        <w:rPr>
          <w:szCs w:val="24"/>
        </w:rPr>
        <w:tab/>
      </w:r>
      <w:r w:rsidR="00B779CC">
        <w:rPr>
          <w:szCs w:val="24"/>
        </w:rPr>
        <w:t>7, 62 and 76</w:t>
      </w:r>
    </w:p>
    <w:p w:rsidR="00157BC1" w:rsidRDefault="00157BC1" w:rsidP="00157BC1">
      <w:pPr>
        <w:pStyle w:val="BodyText"/>
        <w:numPr>
          <w:ilvl w:val="0"/>
          <w:numId w:val="16"/>
        </w:numPr>
        <w:tabs>
          <w:tab w:val="left" w:pos="4320"/>
        </w:tabs>
        <w:spacing w:after="0"/>
        <w:rPr>
          <w:szCs w:val="24"/>
        </w:rPr>
      </w:pPr>
      <w:r>
        <w:rPr>
          <w:szCs w:val="24"/>
        </w:rPr>
        <w:t>for topical use.</w:t>
      </w:r>
      <w:r>
        <w:rPr>
          <w:szCs w:val="24"/>
        </w:rPr>
        <w:tab/>
        <w:t>62 and 77</w:t>
      </w:r>
    </w:p>
    <w:p w:rsidR="00157BC1" w:rsidRDefault="00157BC1" w:rsidP="00157BC1">
      <w:pPr>
        <w:pStyle w:val="BodyText"/>
        <w:tabs>
          <w:tab w:val="left" w:pos="4320"/>
        </w:tabs>
        <w:spacing w:after="0"/>
        <w:rPr>
          <w:szCs w:val="24"/>
        </w:rPr>
      </w:pPr>
    </w:p>
    <w:p w:rsidR="00157BC1" w:rsidRDefault="00157BC1" w:rsidP="00157BC1">
      <w:pPr>
        <w:pStyle w:val="BodyText"/>
        <w:tabs>
          <w:tab w:val="left" w:pos="4320"/>
        </w:tabs>
        <w:rPr>
          <w:szCs w:val="24"/>
        </w:rPr>
      </w:pPr>
      <w:proofErr w:type="spellStart"/>
      <w:r>
        <w:rPr>
          <w:szCs w:val="24"/>
        </w:rPr>
        <w:t>Adapalene</w:t>
      </w:r>
      <w:proofErr w:type="spellEnd"/>
      <w:r>
        <w:rPr>
          <w:szCs w:val="24"/>
        </w:rPr>
        <w:t xml:space="preserve"> – Amend entry to read:</w:t>
      </w:r>
    </w:p>
    <w:p w:rsidR="00157BC1" w:rsidRDefault="00157BC1" w:rsidP="00157BC1">
      <w:pPr>
        <w:pStyle w:val="BodyText"/>
        <w:tabs>
          <w:tab w:val="left" w:pos="4320"/>
        </w:tabs>
        <w:rPr>
          <w:szCs w:val="24"/>
        </w:rPr>
      </w:pPr>
      <w:proofErr w:type="spellStart"/>
      <w:r>
        <w:rPr>
          <w:szCs w:val="24"/>
        </w:rPr>
        <w:t>Adapalene</w:t>
      </w:r>
      <w:proofErr w:type="spellEnd"/>
      <w:r>
        <w:rPr>
          <w:szCs w:val="24"/>
        </w:rPr>
        <w:t>:</w:t>
      </w:r>
    </w:p>
    <w:p w:rsidR="00157BC1" w:rsidRDefault="00157BC1" w:rsidP="00157BC1">
      <w:pPr>
        <w:pStyle w:val="BodyText"/>
        <w:numPr>
          <w:ilvl w:val="0"/>
          <w:numId w:val="18"/>
        </w:numPr>
        <w:tabs>
          <w:tab w:val="left" w:pos="4320"/>
        </w:tabs>
        <w:rPr>
          <w:szCs w:val="24"/>
        </w:rPr>
      </w:pPr>
      <w:r>
        <w:rPr>
          <w:szCs w:val="24"/>
        </w:rPr>
        <w:t>for oral use.</w:t>
      </w:r>
      <w:r>
        <w:rPr>
          <w:szCs w:val="24"/>
        </w:rPr>
        <w:tab/>
      </w:r>
      <w:r w:rsidR="00B779CC">
        <w:rPr>
          <w:szCs w:val="24"/>
        </w:rPr>
        <w:t>7, 62 and 76</w:t>
      </w:r>
    </w:p>
    <w:p w:rsidR="00157BC1" w:rsidRDefault="00157BC1" w:rsidP="00157BC1">
      <w:pPr>
        <w:pStyle w:val="BodyText"/>
        <w:numPr>
          <w:ilvl w:val="0"/>
          <w:numId w:val="18"/>
        </w:numPr>
        <w:tabs>
          <w:tab w:val="left" w:pos="4320"/>
        </w:tabs>
        <w:spacing w:after="0"/>
        <w:rPr>
          <w:szCs w:val="24"/>
        </w:rPr>
      </w:pPr>
      <w:r>
        <w:rPr>
          <w:szCs w:val="24"/>
        </w:rPr>
        <w:t>for topical use.</w:t>
      </w:r>
      <w:r>
        <w:rPr>
          <w:szCs w:val="24"/>
        </w:rPr>
        <w:tab/>
        <w:t>62 and 77</w:t>
      </w:r>
    </w:p>
    <w:p w:rsidR="00157BC1" w:rsidRDefault="00157BC1" w:rsidP="00157BC1">
      <w:pPr>
        <w:pStyle w:val="BodyText"/>
        <w:tabs>
          <w:tab w:val="left" w:pos="4320"/>
        </w:tabs>
        <w:spacing w:after="0"/>
        <w:ind w:left="1080"/>
        <w:rPr>
          <w:szCs w:val="24"/>
        </w:rPr>
      </w:pPr>
    </w:p>
    <w:p w:rsidR="00157BC1" w:rsidRDefault="00157BC1" w:rsidP="00157BC1">
      <w:pPr>
        <w:pStyle w:val="BodyText"/>
        <w:tabs>
          <w:tab w:val="left" w:pos="4320"/>
        </w:tabs>
        <w:rPr>
          <w:szCs w:val="24"/>
        </w:rPr>
      </w:pPr>
      <w:proofErr w:type="spellStart"/>
      <w:r>
        <w:rPr>
          <w:szCs w:val="24"/>
        </w:rPr>
        <w:t>Ambrisentan</w:t>
      </w:r>
      <w:proofErr w:type="spellEnd"/>
      <w:r>
        <w:rPr>
          <w:szCs w:val="24"/>
        </w:rPr>
        <w:t xml:space="preserve"> – Amend entry to read:</w:t>
      </w:r>
    </w:p>
    <w:p w:rsidR="00157BC1" w:rsidRDefault="00157BC1" w:rsidP="00003501">
      <w:pPr>
        <w:pStyle w:val="BodyText"/>
        <w:tabs>
          <w:tab w:val="left" w:pos="4320"/>
        </w:tabs>
        <w:spacing w:after="0"/>
        <w:rPr>
          <w:szCs w:val="24"/>
        </w:rPr>
      </w:pPr>
      <w:proofErr w:type="spellStart"/>
      <w:r>
        <w:rPr>
          <w:szCs w:val="24"/>
        </w:rPr>
        <w:t>Ambrisentan</w:t>
      </w:r>
      <w:proofErr w:type="spellEnd"/>
      <w:r>
        <w:rPr>
          <w:szCs w:val="24"/>
        </w:rPr>
        <w:tab/>
      </w:r>
      <w:r w:rsidR="00B779CC">
        <w:rPr>
          <w:szCs w:val="24"/>
        </w:rPr>
        <w:t>7, 62 and 76</w:t>
      </w:r>
    </w:p>
    <w:p w:rsidR="00003501" w:rsidRDefault="00003501" w:rsidP="00003501">
      <w:pPr>
        <w:pStyle w:val="BodyText"/>
        <w:tabs>
          <w:tab w:val="left" w:pos="4320"/>
        </w:tabs>
        <w:spacing w:after="0"/>
        <w:rPr>
          <w:szCs w:val="24"/>
        </w:rPr>
      </w:pPr>
    </w:p>
    <w:p w:rsidR="00157BC1" w:rsidRDefault="00003501" w:rsidP="00157BC1">
      <w:pPr>
        <w:pStyle w:val="BodyText"/>
        <w:tabs>
          <w:tab w:val="left" w:pos="4320"/>
        </w:tabs>
        <w:rPr>
          <w:szCs w:val="24"/>
        </w:rPr>
      </w:pPr>
      <w:proofErr w:type="spellStart"/>
      <w:r>
        <w:rPr>
          <w:szCs w:val="24"/>
        </w:rPr>
        <w:t>Bexarotene</w:t>
      </w:r>
      <w:proofErr w:type="spellEnd"/>
      <w:r w:rsidR="00157BC1">
        <w:rPr>
          <w:szCs w:val="24"/>
        </w:rPr>
        <w:t xml:space="preserve"> – Amend entry to read:</w:t>
      </w:r>
    </w:p>
    <w:p w:rsidR="00157BC1" w:rsidRDefault="00003501" w:rsidP="00157BC1">
      <w:pPr>
        <w:pStyle w:val="BodyText"/>
        <w:tabs>
          <w:tab w:val="left" w:pos="4320"/>
        </w:tabs>
        <w:rPr>
          <w:szCs w:val="24"/>
        </w:rPr>
      </w:pPr>
      <w:proofErr w:type="spellStart"/>
      <w:r>
        <w:rPr>
          <w:szCs w:val="24"/>
        </w:rPr>
        <w:t>Bexarotene</w:t>
      </w:r>
      <w:proofErr w:type="spellEnd"/>
      <w:r w:rsidR="00157BC1">
        <w:rPr>
          <w:szCs w:val="24"/>
        </w:rPr>
        <w:t>:</w:t>
      </w:r>
    </w:p>
    <w:p w:rsidR="00157BC1" w:rsidRDefault="00157BC1" w:rsidP="00157BC1">
      <w:pPr>
        <w:pStyle w:val="BodyText"/>
        <w:numPr>
          <w:ilvl w:val="0"/>
          <w:numId w:val="20"/>
        </w:numPr>
        <w:tabs>
          <w:tab w:val="left" w:pos="4320"/>
        </w:tabs>
        <w:rPr>
          <w:szCs w:val="24"/>
        </w:rPr>
      </w:pPr>
      <w:r>
        <w:rPr>
          <w:szCs w:val="24"/>
        </w:rPr>
        <w:t>for oral use.</w:t>
      </w:r>
      <w:r>
        <w:rPr>
          <w:szCs w:val="24"/>
        </w:rPr>
        <w:tab/>
      </w:r>
      <w:r w:rsidR="00B779CC">
        <w:rPr>
          <w:szCs w:val="24"/>
        </w:rPr>
        <w:t>7, 62 and 76</w:t>
      </w:r>
    </w:p>
    <w:p w:rsidR="00157BC1" w:rsidRDefault="00157BC1" w:rsidP="00157BC1">
      <w:pPr>
        <w:pStyle w:val="BodyText"/>
        <w:numPr>
          <w:ilvl w:val="0"/>
          <w:numId w:val="20"/>
        </w:numPr>
        <w:tabs>
          <w:tab w:val="left" w:pos="4320"/>
        </w:tabs>
        <w:spacing w:after="0"/>
        <w:rPr>
          <w:szCs w:val="24"/>
        </w:rPr>
      </w:pPr>
      <w:r>
        <w:rPr>
          <w:szCs w:val="24"/>
        </w:rPr>
        <w:t>for topical use.</w:t>
      </w:r>
      <w:r>
        <w:rPr>
          <w:szCs w:val="24"/>
        </w:rPr>
        <w:tab/>
        <w:t>62 and 77</w:t>
      </w:r>
    </w:p>
    <w:p w:rsidR="00157BC1" w:rsidRDefault="00157BC1" w:rsidP="00157BC1">
      <w:pPr>
        <w:pStyle w:val="BodyText"/>
        <w:tabs>
          <w:tab w:val="left" w:pos="4320"/>
        </w:tabs>
        <w:spacing w:after="0"/>
        <w:ind w:left="1080"/>
        <w:rPr>
          <w:szCs w:val="24"/>
        </w:rPr>
      </w:pPr>
    </w:p>
    <w:p w:rsidR="00157BC1" w:rsidRDefault="00003501" w:rsidP="00157BC1">
      <w:pPr>
        <w:pStyle w:val="BodyText"/>
        <w:tabs>
          <w:tab w:val="left" w:pos="4320"/>
        </w:tabs>
        <w:rPr>
          <w:szCs w:val="24"/>
        </w:rPr>
      </w:pPr>
      <w:proofErr w:type="spellStart"/>
      <w:r>
        <w:rPr>
          <w:szCs w:val="24"/>
        </w:rPr>
        <w:t>Bosentan</w:t>
      </w:r>
      <w:proofErr w:type="spellEnd"/>
      <w:r>
        <w:rPr>
          <w:szCs w:val="24"/>
        </w:rPr>
        <w:t xml:space="preserve"> </w:t>
      </w:r>
      <w:r w:rsidR="00157BC1">
        <w:rPr>
          <w:szCs w:val="24"/>
        </w:rPr>
        <w:t>– Amend entry to read:</w:t>
      </w:r>
    </w:p>
    <w:p w:rsidR="00157BC1" w:rsidRDefault="00003501" w:rsidP="00003501">
      <w:pPr>
        <w:pStyle w:val="BodyText"/>
        <w:tabs>
          <w:tab w:val="left" w:pos="4320"/>
        </w:tabs>
        <w:spacing w:after="0"/>
        <w:rPr>
          <w:szCs w:val="24"/>
        </w:rPr>
      </w:pPr>
      <w:proofErr w:type="spellStart"/>
      <w:r>
        <w:rPr>
          <w:szCs w:val="24"/>
        </w:rPr>
        <w:t>Bosentan</w:t>
      </w:r>
      <w:proofErr w:type="spellEnd"/>
      <w:r>
        <w:rPr>
          <w:szCs w:val="24"/>
        </w:rPr>
        <w:tab/>
      </w:r>
      <w:r w:rsidR="00B779CC">
        <w:rPr>
          <w:szCs w:val="24"/>
        </w:rPr>
        <w:t>7, 62 and 76</w:t>
      </w:r>
    </w:p>
    <w:p w:rsidR="00157BC1" w:rsidRDefault="00157BC1" w:rsidP="00157BC1">
      <w:pPr>
        <w:pStyle w:val="BodyText"/>
        <w:tabs>
          <w:tab w:val="left" w:pos="4320"/>
        </w:tabs>
        <w:spacing w:after="0"/>
        <w:ind w:left="1080"/>
        <w:rPr>
          <w:szCs w:val="24"/>
        </w:rPr>
      </w:pPr>
    </w:p>
    <w:p w:rsidR="00157BC1" w:rsidRDefault="00003501" w:rsidP="00157BC1">
      <w:pPr>
        <w:pStyle w:val="BodyText"/>
        <w:tabs>
          <w:tab w:val="left" w:pos="4320"/>
        </w:tabs>
        <w:rPr>
          <w:szCs w:val="24"/>
        </w:rPr>
      </w:pPr>
      <w:proofErr w:type="spellStart"/>
      <w:r>
        <w:rPr>
          <w:szCs w:val="24"/>
        </w:rPr>
        <w:t>Etretinate</w:t>
      </w:r>
      <w:proofErr w:type="spellEnd"/>
      <w:r w:rsidR="00157BC1">
        <w:rPr>
          <w:szCs w:val="24"/>
        </w:rPr>
        <w:t xml:space="preserve"> – Amend entry to read:</w:t>
      </w:r>
    </w:p>
    <w:p w:rsidR="00157BC1" w:rsidRDefault="00003501" w:rsidP="00157BC1">
      <w:pPr>
        <w:pStyle w:val="BodyText"/>
        <w:tabs>
          <w:tab w:val="left" w:pos="4320"/>
        </w:tabs>
        <w:rPr>
          <w:szCs w:val="24"/>
        </w:rPr>
      </w:pPr>
      <w:proofErr w:type="spellStart"/>
      <w:r>
        <w:rPr>
          <w:szCs w:val="24"/>
        </w:rPr>
        <w:t>Etretinate</w:t>
      </w:r>
      <w:proofErr w:type="spellEnd"/>
      <w:r w:rsidR="00157BC1">
        <w:rPr>
          <w:szCs w:val="24"/>
        </w:rPr>
        <w:t>:</w:t>
      </w:r>
    </w:p>
    <w:p w:rsidR="00157BC1" w:rsidRDefault="00157BC1" w:rsidP="00157BC1">
      <w:pPr>
        <w:pStyle w:val="BodyText"/>
        <w:numPr>
          <w:ilvl w:val="0"/>
          <w:numId w:val="22"/>
        </w:numPr>
        <w:tabs>
          <w:tab w:val="left" w:pos="4320"/>
        </w:tabs>
        <w:rPr>
          <w:szCs w:val="24"/>
        </w:rPr>
      </w:pPr>
      <w:r>
        <w:rPr>
          <w:szCs w:val="24"/>
        </w:rPr>
        <w:t>for oral use.</w:t>
      </w:r>
      <w:r>
        <w:rPr>
          <w:szCs w:val="24"/>
        </w:rPr>
        <w:tab/>
      </w:r>
      <w:r w:rsidR="00B779CC">
        <w:rPr>
          <w:szCs w:val="24"/>
        </w:rPr>
        <w:t>7, 62 and 76</w:t>
      </w:r>
    </w:p>
    <w:p w:rsidR="00157BC1" w:rsidRDefault="00157BC1" w:rsidP="00157BC1">
      <w:pPr>
        <w:pStyle w:val="BodyText"/>
        <w:numPr>
          <w:ilvl w:val="0"/>
          <w:numId w:val="22"/>
        </w:numPr>
        <w:tabs>
          <w:tab w:val="left" w:pos="4320"/>
        </w:tabs>
        <w:spacing w:after="0"/>
        <w:rPr>
          <w:szCs w:val="24"/>
        </w:rPr>
      </w:pPr>
      <w:r>
        <w:rPr>
          <w:szCs w:val="24"/>
        </w:rPr>
        <w:t>for topical use.</w:t>
      </w:r>
      <w:r>
        <w:rPr>
          <w:szCs w:val="24"/>
        </w:rPr>
        <w:tab/>
        <w:t>62 and 77</w:t>
      </w:r>
    </w:p>
    <w:p w:rsidR="00157BC1" w:rsidRDefault="00157BC1" w:rsidP="00157BC1">
      <w:pPr>
        <w:pStyle w:val="BodyText"/>
        <w:tabs>
          <w:tab w:val="left" w:pos="4320"/>
        </w:tabs>
        <w:spacing w:after="0"/>
        <w:ind w:left="1080"/>
        <w:rPr>
          <w:szCs w:val="24"/>
        </w:rPr>
      </w:pPr>
    </w:p>
    <w:p w:rsidR="003018D8" w:rsidRDefault="003018D8">
      <w:r>
        <w:br w:type="page"/>
      </w:r>
    </w:p>
    <w:p w:rsidR="003018D8" w:rsidRPr="009B70E7" w:rsidRDefault="003018D8" w:rsidP="003018D8">
      <w:pPr>
        <w:pStyle w:val="Heading2"/>
        <w:spacing w:before="0" w:line="240" w:lineRule="auto"/>
        <w:rPr>
          <w:rFonts w:ascii="Times New Roman" w:eastAsiaTheme="minorHAnsi" w:hAnsi="Times New Roman" w:cstheme="minorBidi"/>
          <w:bCs w:val="0"/>
          <w:caps w:val="0"/>
          <w:szCs w:val="24"/>
        </w:rPr>
      </w:pPr>
      <w:r w:rsidRPr="009B70E7">
        <w:rPr>
          <w:rFonts w:ascii="Times New Roman" w:eastAsiaTheme="minorHAnsi" w:hAnsi="Times New Roman" w:cstheme="minorBidi"/>
          <w:bCs w:val="0"/>
          <w:caps w:val="0"/>
          <w:szCs w:val="24"/>
        </w:rPr>
        <w:lastRenderedPageBreak/>
        <w:t xml:space="preserve">Appendix L – </w:t>
      </w:r>
      <w:r>
        <w:rPr>
          <w:rFonts w:ascii="Times New Roman" w:eastAsiaTheme="minorHAnsi" w:hAnsi="Times New Roman" w:cstheme="minorBidi"/>
          <w:bCs w:val="0"/>
          <w:caps w:val="0"/>
          <w:szCs w:val="24"/>
        </w:rPr>
        <w:t>Amendments</w:t>
      </w:r>
      <w:r w:rsidRPr="009B70E7">
        <w:rPr>
          <w:rFonts w:ascii="Times New Roman" w:eastAsiaTheme="minorHAnsi" w:hAnsi="Times New Roman" w:cstheme="minorBidi"/>
          <w:bCs w:val="0"/>
          <w:caps w:val="0"/>
          <w:szCs w:val="24"/>
        </w:rPr>
        <w:t xml:space="preserve"> (continued)</w:t>
      </w:r>
    </w:p>
    <w:p w:rsidR="003018D8" w:rsidRDefault="003018D8" w:rsidP="003018D8">
      <w:pPr>
        <w:pStyle w:val="BodyText"/>
        <w:tabs>
          <w:tab w:val="left" w:pos="4320"/>
        </w:tabs>
        <w:spacing w:after="0"/>
        <w:rPr>
          <w:b/>
          <w:szCs w:val="24"/>
        </w:rPr>
      </w:pPr>
      <w:r>
        <w:rPr>
          <w:b/>
          <w:szCs w:val="24"/>
        </w:rPr>
        <w:t>Column 1</w:t>
      </w:r>
      <w:r>
        <w:rPr>
          <w:b/>
          <w:szCs w:val="24"/>
        </w:rPr>
        <w:tab/>
        <w:t>Column 2</w:t>
      </w:r>
    </w:p>
    <w:p w:rsidR="003018D8" w:rsidRDefault="003018D8" w:rsidP="003018D8">
      <w:pPr>
        <w:pStyle w:val="BodyText"/>
        <w:tabs>
          <w:tab w:val="left" w:pos="4320"/>
        </w:tabs>
        <w:rPr>
          <w:b/>
          <w:szCs w:val="24"/>
        </w:rPr>
      </w:pPr>
      <w:r>
        <w:rPr>
          <w:b/>
          <w:szCs w:val="24"/>
        </w:rPr>
        <w:t>Substance</w:t>
      </w:r>
      <w:r>
        <w:rPr>
          <w:b/>
          <w:szCs w:val="24"/>
        </w:rPr>
        <w:tab/>
        <w:t>Warning statement</w:t>
      </w:r>
    </w:p>
    <w:p w:rsidR="00157BC1" w:rsidRDefault="00003501" w:rsidP="00157BC1">
      <w:pPr>
        <w:pStyle w:val="BodyText"/>
        <w:tabs>
          <w:tab w:val="left" w:pos="4320"/>
        </w:tabs>
        <w:rPr>
          <w:szCs w:val="24"/>
        </w:rPr>
      </w:pPr>
      <w:proofErr w:type="spellStart"/>
      <w:r>
        <w:t>Isotretinoin</w:t>
      </w:r>
      <w:proofErr w:type="spellEnd"/>
      <w:r>
        <w:t xml:space="preserve"> </w:t>
      </w:r>
      <w:r w:rsidR="00157BC1">
        <w:rPr>
          <w:szCs w:val="24"/>
        </w:rPr>
        <w:t>– Amend entry to read:</w:t>
      </w:r>
    </w:p>
    <w:p w:rsidR="00157BC1" w:rsidRDefault="00003501" w:rsidP="00157BC1">
      <w:pPr>
        <w:pStyle w:val="BodyText"/>
        <w:tabs>
          <w:tab w:val="left" w:pos="4320"/>
        </w:tabs>
        <w:rPr>
          <w:szCs w:val="24"/>
        </w:rPr>
      </w:pPr>
      <w:proofErr w:type="spellStart"/>
      <w:r>
        <w:t>Isotretinoin</w:t>
      </w:r>
      <w:proofErr w:type="spellEnd"/>
      <w:r w:rsidR="00157BC1">
        <w:rPr>
          <w:szCs w:val="24"/>
        </w:rPr>
        <w:t>:</w:t>
      </w:r>
    </w:p>
    <w:p w:rsidR="00157BC1" w:rsidRDefault="00157BC1" w:rsidP="00157BC1">
      <w:pPr>
        <w:pStyle w:val="BodyText"/>
        <w:numPr>
          <w:ilvl w:val="0"/>
          <w:numId w:val="23"/>
        </w:numPr>
        <w:tabs>
          <w:tab w:val="left" w:pos="4320"/>
        </w:tabs>
        <w:rPr>
          <w:szCs w:val="24"/>
        </w:rPr>
      </w:pPr>
      <w:r>
        <w:rPr>
          <w:szCs w:val="24"/>
        </w:rPr>
        <w:t>for oral use.</w:t>
      </w:r>
      <w:r>
        <w:rPr>
          <w:szCs w:val="24"/>
        </w:rPr>
        <w:tab/>
      </w:r>
      <w:r w:rsidR="00B779CC">
        <w:rPr>
          <w:szCs w:val="24"/>
        </w:rPr>
        <w:t>7, 62 and 76</w:t>
      </w:r>
    </w:p>
    <w:p w:rsidR="00157BC1" w:rsidRDefault="00157BC1" w:rsidP="00157BC1">
      <w:pPr>
        <w:pStyle w:val="BodyText"/>
        <w:numPr>
          <w:ilvl w:val="0"/>
          <w:numId w:val="23"/>
        </w:numPr>
        <w:tabs>
          <w:tab w:val="left" w:pos="4320"/>
        </w:tabs>
        <w:spacing w:after="0"/>
        <w:rPr>
          <w:szCs w:val="24"/>
        </w:rPr>
      </w:pPr>
      <w:r>
        <w:rPr>
          <w:szCs w:val="24"/>
        </w:rPr>
        <w:t>for topical use.</w:t>
      </w:r>
      <w:r>
        <w:rPr>
          <w:szCs w:val="24"/>
        </w:rPr>
        <w:tab/>
        <w:t>62 and 77</w:t>
      </w:r>
    </w:p>
    <w:p w:rsidR="00157BC1" w:rsidRDefault="00157BC1" w:rsidP="00157BC1">
      <w:pPr>
        <w:pStyle w:val="BodyText"/>
        <w:tabs>
          <w:tab w:val="left" w:pos="4320"/>
        </w:tabs>
        <w:spacing w:after="0"/>
        <w:ind w:left="1080"/>
        <w:rPr>
          <w:szCs w:val="24"/>
        </w:rPr>
      </w:pPr>
    </w:p>
    <w:p w:rsidR="00157BC1" w:rsidRDefault="00003501" w:rsidP="00157BC1">
      <w:pPr>
        <w:pStyle w:val="BodyText"/>
        <w:tabs>
          <w:tab w:val="left" w:pos="4320"/>
        </w:tabs>
        <w:rPr>
          <w:szCs w:val="24"/>
        </w:rPr>
      </w:pPr>
      <w:proofErr w:type="spellStart"/>
      <w:r w:rsidRPr="00D417CD">
        <w:t>Leflunomide</w:t>
      </w:r>
      <w:proofErr w:type="spellEnd"/>
      <w:r>
        <w:t xml:space="preserve"> </w:t>
      </w:r>
      <w:r w:rsidR="00157BC1">
        <w:rPr>
          <w:szCs w:val="24"/>
        </w:rPr>
        <w:t>– Amend entry to read:</w:t>
      </w:r>
    </w:p>
    <w:p w:rsidR="00157BC1" w:rsidRDefault="00003501" w:rsidP="00003501">
      <w:pPr>
        <w:pStyle w:val="BodyText"/>
        <w:tabs>
          <w:tab w:val="left" w:pos="4320"/>
        </w:tabs>
        <w:spacing w:after="0"/>
        <w:rPr>
          <w:szCs w:val="24"/>
        </w:rPr>
      </w:pPr>
      <w:proofErr w:type="spellStart"/>
      <w:r w:rsidRPr="00D417CD">
        <w:t>Leflunomide</w:t>
      </w:r>
      <w:proofErr w:type="spellEnd"/>
      <w:r>
        <w:tab/>
      </w:r>
      <w:r w:rsidR="00B779CC">
        <w:rPr>
          <w:szCs w:val="24"/>
        </w:rPr>
        <w:t>7, 62 and 76</w:t>
      </w:r>
    </w:p>
    <w:p w:rsidR="00003501" w:rsidRDefault="00003501" w:rsidP="00003501">
      <w:pPr>
        <w:pStyle w:val="BodyText"/>
        <w:tabs>
          <w:tab w:val="left" w:pos="4320"/>
        </w:tabs>
        <w:spacing w:after="0"/>
        <w:rPr>
          <w:szCs w:val="24"/>
        </w:rPr>
      </w:pPr>
    </w:p>
    <w:p w:rsidR="00157BC1" w:rsidRDefault="00003501" w:rsidP="00157BC1">
      <w:pPr>
        <w:pStyle w:val="BodyText"/>
        <w:tabs>
          <w:tab w:val="left" w:pos="4320"/>
        </w:tabs>
        <w:rPr>
          <w:szCs w:val="24"/>
        </w:rPr>
      </w:pPr>
      <w:proofErr w:type="spellStart"/>
      <w:r>
        <w:rPr>
          <w:szCs w:val="24"/>
        </w:rPr>
        <w:t>Lenalidomide</w:t>
      </w:r>
      <w:proofErr w:type="spellEnd"/>
      <w:r w:rsidR="00157BC1">
        <w:rPr>
          <w:szCs w:val="24"/>
        </w:rPr>
        <w:t xml:space="preserve"> – Amend entry to read:</w:t>
      </w:r>
    </w:p>
    <w:p w:rsidR="00157BC1" w:rsidRDefault="00003501" w:rsidP="00157BC1">
      <w:pPr>
        <w:pStyle w:val="BodyText"/>
        <w:tabs>
          <w:tab w:val="left" w:pos="4320"/>
        </w:tabs>
        <w:rPr>
          <w:szCs w:val="24"/>
        </w:rPr>
      </w:pPr>
      <w:proofErr w:type="spellStart"/>
      <w:r>
        <w:rPr>
          <w:szCs w:val="24"/>
        </w:rPr>
        <w:t>Lenalidomide</w:t>
      </w:r>
      <w:proofErr w:type="spellEnd"/>
      <w:r w:rsidR="00157BC1">
        <w:rPr>
          <w:szCs w:val="24"/>
        </w:rPr>
        <w:t>:</w:t>
      </w:r>
    </w:p>
    <w:p w:rsidR="00157BC1" w:rsidRDefault="00157BC1" w:rsidP="00157BC1">
      <w:pPr>
        <w:pStyle w:val="BodyText"/>
        <w:numPr>
          <w:ilvl w:val="0"/>
          <w:numId w:val="25"/>
        </w:numPr>
        <w:tabs>
          <w:tab w:val="left" w:pos="4320"/>
        </w:tabs>
        <w:rPr>
          <w:szCs w:val="24"/>
        </w:rPr>
      </w:pPr>
      <w:r>
        <w:rPr>
          <w:szCs w:val="24"/>
        </w:rPr>
        <w:t>for oral use.</w:t>
      </w:r>
      <w:r>
        <w:rPr>
          <w:szCs w:val="24"/>
        </w:rPr>
        <w:tab/>
      </w:r>
      <w:r w:rsidR="00B779CC">
        <w:rPr>
          <w:szCs w:val="24"/>
        </w:rPr>
        <w:t>7, 62 and 76</w:t>
      </w:r>
    </w:p>
    <w:p w:rsidR="00157BC1" w:rsidRDefault="00157BC1" w:rsidP="00157BC1">
      <w:pPr>
        <w:pStyle w:val="BodyText"/>
        <w:numPr>
          <w:ilvl w:val="0"/>
          <w:numId w:val="25"/>
        </w:numPr>
        <w:tabs>
          <w:tab w:val="left" w:pos="4320"/>
        </w:tabs>
        <w:spacing w:after="0"/>
        <w:rPr>
          <w:szCs w:val="24"/>
        </w:rPr>
      </w:pPr>
      <w:r>
        <w:rPr>
          <w:szCs w:val="24"/>
        </w:rPr>
        <w:t>for topical use.</w:t>
      </w:r>
      <w:r>
        <w:rPr>
          <w:szCs w:val="24"/>
        </w:rPr>
        <w:tab/>
        <w:t>62 and 77</w:t>
      </w:r>
    </w:p>
    <w:p w:rsidR="00157BC1" w:rsidRDefault="00157BC1" w:rsidP="00157BC1">
      <w:pPr>
        <w:pStyle w:val="BodyText"/>
        <w:tabs>
          <w:tab w:val="left" w:pos="4320"/>
        </w:tabs>
        <w:spacing w:after="0"/>
        <w:ind w:left="1080"/>
        <w:rPr>
          <w:szCs w:val="24"/>
        </w:rPr>
      </w:pPr>
    </w:p>
    <w:p w:rsidR="00003501" w:rsidRDefault="00003501" w:rsidP="00003501">
      <w:pPr>
        <w:pStyle w:val="BodyText"/>
        <w:tabs>
          <w:tab w:val="left" w:pos="4320"/>
        </w:tabs>
        <w:rPr>
          <w:szCs w:val="24"/>
        </w:rPr>
      </w:pPr>
      <w:proofErr w:type="spellStart"/>
      <w:r>
        <w:t>Sitaxentan</w:t>
      </w:r>
      <w:proofErr w:type="spellEnd"/>
      <w:r>
        <w:t xml:space="preserve"> </w:t>
      </w:r>
      <w:r>
        <w:rPr>
          <w:szCs w:val="24"/>
        </w:rPr>
        <w:t>– Amend entry to read:</w:t>
      </w:r>
    </w:p>
    <w:p w:rsidR="00003501" w:rsidRDefault="00003501" w:rsidP="00003501">
      <w:pPr>
        <w:pStyle w:val="BodyText"/>
        <w:tabs>
          <w:tab w:val="left" w:pos="4320"/>
        </w:tabs>
        <w:spacing w:after="0"/>
        <w:rPr>
          <w:szCs w:val="24"/>
        </w:rPr>
      </w:pPr>
      <w:proofErr w:type="spellStart"/>
      <w:r>
        <w:t>Sitaxentan</w:t>
      </w:r>
      <w:proofErr w:type="spellEnd"/>
      <w:r>
        <w:tab/>
      </w:r>
      <w:r w:rsidR="00B779CC">
        <w:rPr>
          <w:szCs w:val="24"/>
        </w:rPr>
        <w:t>7, 62 and 76</w:t>
      </w:r>
    </w:p>
    <w:p w:rsidR="00003501" w:rsidRDefault="00003501" w:rsidP="00003501">
      <w:pPr>
        <w:pStyle w:val="BodyText"/>
        <w:tabs>
          <w:tab w:val="left" w:pos="4320"/>
        </w:tabs>
        <w:spacing w:after="0"/>
        <w:rPr>
          <w:szCs w:val="24"/>
        </w:rPr>
      </w:pPr>
    </w:p>
    <w:p w:rsidR="00157BC1" w:rsidRDefault="00003501" w:rsidP="00157BC1">
      <w:pPr>
        <w:pStyle w:val="BodyText"/>
        <w:tabs>
          <w:tab w:val="left" w:pos="4320"/>
        </w:tabs>
        <w:rPr>
          <w:szCs w:val="24"/>
        </w:rPr>
      </w:pPr>
      <w:r>
        <w:rPr>
          <w:szCs w:val="24"/>
        </w:rPr>
        <w:t>Thalidomide</w:t>
      </w:r>
      <w:r w:rsidR="00157BC1">
        <w:rPr>
          <w:szCs w:val="24"/>
        </w:rPr>
        <w:t xml:space="preserve"> – Amend entry to read:</w:t>
      </w:r>
    </w:p>
    <w:p w:rsidR="00157BC1" w:rsidRDefault="00003501" w:rsidP="00157BC1">
      <w:pPr>
        <w:pStyle w:val="BodyText"/>
        <w:tabs>
          <w:tab w:val="left" w:pos="4320"/>
        </w:tabs>
        <w:rPr>
          <w:szCs w:val="24"/>
        </w:rPr>
      </w:pPr>
      <w:r>
        <w:rPr>
          <w:szCs w:val="24"/>
        </w:rPr>
        <w:t>Thalidomide</w:t>
      </w:r>
      <w:r w:rsidR="00157BC1">
        <w:rPr>
          <w:szCs w:val="24"/>
        </w:rPr>
        <w:t>:</w:t>
      </w:r>
    </w:p>
    <w:p w:rsidR="00157BC1" w:rsidRDefault="00157BC1" w:rsidP="00157BC1">
      <w:pPr>
        <w:pStyle w:val="BodyText"/>
        <w:numPr>
          <w:ilvl w:val="0"/>
          <w:numId w:val="26"/>
        </w:numPr>
        <w:tabs>
          <w:tab w:val="left" w:pos="4320"/>
        </w:tabs>
        <w:rPr>
          <w:szCs w:val="24"/>
        </w:rPr>
      </w:pPr>
      <w:r>
        <w:rPr>
          <w:szCs w:val="24"/>
        </w:rPr>
        <w:t>for oral use.</w:t>
      </w:r>
      <w:r>
        <w:rPr>
          <w:szCs w:val="24"/>
        </w:rPr>
        <w:tab/>
      </w:r>
      <w:r w:rsidR="00B779CC">
        <w:rPr>
          <w:szCs w:val="24"/>
        </w:rPr>
        <w:t>7, 62 and 76</w:t>
      </w:r>
    </w:p>
    <w:p w:rsidR="00157BC1" w:rsidRDefault="00157BC1" w:rsidP="00157BC1">
      <w:pPr>
        <w:pStyle w:val="BodyText"/>
        <w:numPr>
          <w:ilvl w:val="0"/>
          <w:numId w:val="26"/>
        </w:numPr>
        <w:tabs>
          <w:tab w:val="left" w:pos="4320"/>
        </w:tabs>
        <w:spacing w:after="0"/>
        <w:rPr>
          <w:szCs w:val="24"/>
        </w:rPr>
      </w:pPr>
      <w:r>
        <w:rPr>
          <w:szCs w:val="24"/>
        </w:rPr>
        <w:t>for topical use.</w:t>
      </w:r>
      <w:r>
        <w:rPr>
          <w:szCs w:val="24"/>
        </w:rPr>
        <w:tab/>
        <w:t>62 and 77</w:t>
      </w:r>
    </w:p>
    <w:p w:rsidR="00157BC1" w:rsidRDefault="00157BC1" w:rsidP="00157BC1">
      <w:pPr>
        <w:pStyle w:val="BodyText"/>
        <w:tabs>
          <w:tab w:val="left" w:pos="4320"/>
        </w:tabs>
        <w:spacing w:after="0"/>
        <w:ind w:left="1080"/>
        <w:rPr>
          <w:szCs w:val="24"/>
        </w:rPr>
      </w:pPr>
    </w:p>
    <w:p w:rsidR="00157BC1" w:rsidRDefault="00003501" w:rsidP="00157BC1">
      <w:pPr>
        <w:pStyle w:val="BodyText"/>
        <w:tabs>
          <w:tab w:val="left" w:pos="4320"/>
        </w:tabs>
        <w:rPr>
          <w:szCs w:val="24"/>
        </w:rPr>
      </w:pPr>
      <w:proofErr w:type="spellStart"/>
      <w:r>
        <w:rPr>
          <w:szCs w:val="24"/>
        </w:rPr>
        <w:t>Tretinoin</w:t>
      </w:r>
      <w:proofErr w:type="spellEnd"/>
      <w:r w:rsidR="00157BC1">
        <w:rPr>
          <w:szCs w:val="24"/>
        </w:rPr>
        <w:t xml:space="preserve"> – Amend entry to read:</w:t>
      </w:r>
    </w:p>
    <w:p w:rsidR="00157BC1" w:rsidRDefault="00003501" w:rsidP="00157BC1">
      <w:pPr>
        <w:pStyle w:val="BodyText"/>
        <w:tabs>
          <w:tab w:val="left" w:pos="4320"/>
        </w:tabs>
        <w:rPr>
          <w:szCs w:val="24"/>
        </w:rPr>
      </w:pPr>
      <w:proofErr w:type="spellStart"/>
      <w:r>
        <w:rPr>
          <w:szCs w:val="24"/>
        </w:rPr>
        <w:t>Tretinoin</w:t>
      </w:r>
      <w:proofErr w:type="spellEnd"/>
      <w:r w:rsidR="00157BC1">
        <w:rPr>
          <w:szCs w:val="24"/>
        </w:rPr>
        <w:t>:</w:t>
      </w:r>
    </w:p>
    <w:p w:rsidR="00157BC1" w:rsidRDefault="00B779CC" w:rsidP="00157BC1">
      <w:pPr>
        <w:pStyle w:val="BodyText"/>
        <w:numPr>
          <w:ilvl w:val="0"/>
          <w:numId w:val="27"/>
        </w:numPr>
        <w:tabs>
          <w:tab w:val="left" w:pos="4320"/>
        </w:tabs>
        <w:rPr>
          <w:szCs w:val="24"/>
        </w:rPr>
      </w:pPr>
      <w:r>
        <w:rPr>
          <w:szCs w:val="24"/>
        </w:rPr>
        <w:t>for oral use.</w:t>
      </w:r>
      <w:r>
        <w:rPr>
          <w:szCs w:val="24"/>
        </w:rPr>
        <w:tab/>
        <w:t>7, 62 and</w:t>
      </w:r>
      <w:r w:rsidR="00157BC1">
        <w:rPr>
          <w:szCs w:val="24"/>
        </w:rPr>
        <w:t xml:space="preserve"> 76</w:t>
      </w:r>
    </w:p>
    <w:p w:rsidR="00157BC1" w:rsidRPr="009B70E7" w:rsidRDefault="00157BC1" w:rsidP="009B70E7">
      <w:pPr>
        <w:pStyle w:val="BodyText"/>
        <w:numPr>
          <w:ilvl w:val="0"/>
          <w:numId w:val="27"/>
        </w:numPr>
        <w:tabs>
          <w:tab w:val="left" w:pos="4320"/>
        </w:tabs>
        <w:spacing w:after="0"/>
        <w:rPr>
          <w:szCs w:val="24"/>
        </w:rPr>
      </w:pPr>
      <w:r>
        <w:rPr>
          <w:szCs w:val="24"/>
        </w:rPr>
        <w:t>for topical use.</w:t>
      </w:r>
      <w:r>
        <w:rPr>
          <w:szCs w:val="24"/>
        </w:rPr>
        <w:tab/>
        <w:t>62 and 77</w:t>
      </w:r>
    </w:p>
    <w:sectPr w:rsidR="00157BC1" w:rsidRPr="009B70E7" w:rsidSect="004D2B73">
      <w:headerReference w:type="even" r:id="rId13"/>
      <w:headerReference w:type="default" r:id="rId14"/>
      <w:headerReference w:type="first" r:id="rId15"/>
      <w:pgSz w:w="12240" w:h="15840"/>
      <w:pgMar w:top="1440" w:right="1797" w:bottom="1440" w:left="179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ED7" w:rsidRDefault="00FE4ED7">
      <w:pPr>
        <w:spacing w:after="0" w:line="240" w:lineRule="auto"/>
      </w:pPr>
      <w:r>
        <w:separator/>
      </w:r>
    </w:p>
  </w:endnote>
  <w:endnote w:type="continuationSeparator" w:id="0">
    <w:p w:rsidR="00FE4ED7" w:rsidRDefault="00FE4ED7">
      <w:pPr>
        <w:spacing w:after="0" w:line="240" w:lineRule="auto"/>
      </w:pPr>
      <w:r>
        <w:continuationSeparator/>
      </w:r>
    </w:p>
  </w:endnote>
  <w:endnote w:type="continuationNotice" w:id="1">
    <w:p w:rsidR="00FE4ED7" w:rsidRDefault="00FE4ED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ED7" w:rsidRDefault="00FE4ED7">
      <w:pPr>
        <w:spacing w:after="0" w:line="240" w:lineRule="auto"/>
      </w:pPr>
      <w:r>
        <w:separator/>
      </w:r>
    </w:p>
  </w:footnote>
  <w:footnote w:type="continuationSeparator" w:id="0">
    <w:p w:rsidR="00FE4ED7" w:rsidRDefault="00FE4ED7">
      <w:pPr>
        <w:spacing w:after="0" w:line="240" w:lineRule="auto"/>
      </w:pPr>
      <w:r>
        <w:continuationSeparator/>
      </w:r>
    </w:p>
  </w:footnote>
  <w:footnote w:type="continuationNotice" w:id="1">
    <w:p w:rsidR="00FE4ED7" w:rsidRDefault="00FE4ED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6122AE">
    <w:pPr>
      <w:pStyle w:val="Header"/>
      <w:jc w:val="center"/>
    </w:pPr>
    <w:r>
      <w:rPr>
        <w:rStyle w:val="PageNumber"/>
      </w:rPr>
      <w:fldChar w:fldCharType="begin"/>
    </w:r>
    <w:r w:rsidR="00FE350D">
      <w:rPr>
        <w:rStyle w:val="PageNumber"/>
      </w:rPr>
      <w:instrText xml:space="preserve"> PAGE </w:instrText>
    </w:r>
    <w:r>
      <w:rPr>
        <w:rStyle w:val="PageNumber"/>
      </w:rPr>
      <w:fldChar w:fldCharType="separate"/>
    </w:r>
    <w:r w:rsidR="0036120A">
      <w:rPr>
        <w:rStyle w:val="PageNumber"/>
        <w:noProof/>
      </w:rPr>
      <w:t>i</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6122AE">
    <w:pPr>
      <w:pStyle w:val="Header"/>
      <w:jc w:val="center"/>
      <w:rPr>
        <w:rStyle w:val="PageNumber"/>
      </w:rPr>
    </w:pPr>
    <w:r>
      <w:rPr>
        <w:rStyle w:val="PageNumber"/>
      </w:rPr>
      <w:fldChar w:fldCharType="begin"/>
    </w:r>
    <w:r w:rsidR="00FE350D">
      <w:rPr>
        <w:rStyle w:val="PageNumber"/>
      </w:rPr>
      <w:instrText xml:space="preserve"> PAGE </w:instrText>
    </w:r>
    <w:r>
      <w:rPr>
        <w:rStyle w:val="PageNumber"/>
      </w:rPr>
      <w:fldChar w:fldCharType="separate"/>
    </w:r>
    <w:r w:rsidR="0036120A">
      <w:rPr>
        <w:rStyle w:val="PageNumber"/>
        <w:noProof/>
      </w:rPr>
      <w:t>6</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75E"/>
    <w:multiLevelType w:val="hybridMultilevel"/>
    <w:tmpl w:val="5D784B64"/>
    <w:lvl w:ilvl="0" w:tplc="E158723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nsid w:val="06A053A5"/>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A7094"/>
    <w:multiLevelType w:val="hybridMultilevel"/>
    <w:tmpl w:val="FE8490D6"/>
    <w:lvl w:ilvl="0" w:tplc="562662A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17FB1ED9"/>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40E9"/>
    <w:multiLevelType w:val="hybridMultilevel"/>
    <w:tmpl w:val="BD8897FC"/>
    <w:lvl w:ilvl="0" w:tplc="FEEA245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C27F0B"/>
    <w:multiLevelType w:val="hybridMultilevel"/>
    <w:tmpl w:val="25384F72"/>
    <w:lvl w:ilvl="0" w:tplc="6142AC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1516A3E"/>
    <w:multiLevelType w:val="hybridMultilevel"/>
    <w:tmpl w:val="C8A88198"/>
    <w:lvl w:ilvl="0" w:tplc="627455E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nsid w:val="24370E3C"/>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D7004"/>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7509D"/>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25213"/>
    <w:multiLevelType w:val="hybridMultilevel"/>
    <w:tmpl w:val="514075EE"/>
    <w:lvl w:ilvl="0" w:tplc="6A5E0DEC">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470704F"/>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01749"/>
    <w:multiLevelType w:val="hybridMultilevel"/>
    <w:tmpl w:val="E8280C00"/>
    <w:lvl w:ilvl="0" w:tplc="CC708222">
      <w:start w:val="3"/>
      <w:numFmt w:val="lowerRoman"/>
      <w:lvlText w:val="(%1)"/>
      <w:lvlJc w:val="left"/>
      <w:pPr>
        <w:tabs>
          <w:tab w:val="num" w:pos="2258"/>
        </w:tabs>
        <w:ind w:left="2258" w:hanging="84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3">
    <w:nsid w:val="38AA0433"/>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5379F"/>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62D49"/>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25752"/>
    <w:multiLevelType w:val="hybridMultilevel"/>
    <w:tmpl w:val="4F0C18B6"/>
    <w:lvl w:ilvl="0" w:tplc="7E2CC0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957CD7"/>
    <w:multiLevelType w:val="hybridMultilevel"/>
    <w:tmpl w:val="7082B8DA"/>
    <w:lvl w:ilvl="0" w:tplc="766A5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2B0007A"/>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82237"/>
    <w:multiLevelType w:val="hybridMultilevel"/>
    <w:tmpl w:val="38DEFC28"/>
    <w:lvl w:ilvl="0" w:tplc="3102842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55D62969"/>
    <w:multiLevelType w:val="hybridMultilevel"/>
    <w:tmpl w:val="514075EE"/>
    <w:lvl w:ilvl="0" w:tplc="6A5E0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948C3"/>
    <w:multiLevelType w:val="hybridMultilevel"/>
    <w:tmpl w:val="379CEBF4"/>
    <w:lvl w:ilvl="0" w:tplc="07E2BF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2F6158"/>
    <w:multiLevelType w:val="hybridMultilevel"/>
    <w:tmpl w:val="94FE45B0"/>
    <w:lvl w:ilvl="0" w:tplc="1E62F96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6E1612D2"/>
    <w:multiLevelType w:val="hybridMultilevel"/>
    <w:tmpl w:val="F88E0B8C"/>
    <w:lvl w:ilvl="0" w:tplc="BD0AAC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E1D2E93"/>
    <w:multiLevelType w:val="hybridMultilevel"/>
    <w:tmpl w:val="5A0A938A"/>
    <w:lvl w:ilvl="0" w:tplc="BFF22770">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EC3047D"/>
    <w:multiLevelType w:val="hybridMultilevel"/>
    <w:tmpl w:val="621C661E"/>
    <w:lvl w:ilvl="0" w:tplc="E5FC8C06">
      <w:start w:val="1"/>
      <w:numFmt w:val="lowerLetter"/>
      <w:lvlText w:val="(%1)"/>
      <w:lvlJc w:val="left"/>
      <w:pPr>
        <w:ind w:left="1437" w:hanging="360"/>
      </w:pPr>
      <w:rPr>
        <w:rFonts w:hint="default"/>
      </w:rPr>
    </w:lvl>
    <w:lvl w:ilvl="1" w:tplc="0C090019">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6">
    <w:nsid w:val="741E6665"/>
    <w:multiLevelType w:val="hybridMultilevel"/>
    <w:tmpl w:val="BA12FA52"/>
    <w:lvl w:ilvl="0" w:tplc="A2F29DEA">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ABD67AA"/>
    <w:multiLevelType w:val="hybridMultilevel"/>
    <w:tmpl w:val="EC2C0716"/>
    <w:lvl w:ilvl="0" w:tplc="4E5470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7"/>
  </w:num>
  <w:num w:numId="7">
    <w:abstractNumId w:val="19"/>
  </w:num>
  <w:num w:numId="8">
    <w:abstractNumId w:val="26"/>
  </w:num>
  <w:num w:numId="9">
    <w:abstractNumId w:val="21"/>
  </w:num>
  <w:num w:numId="10">
    <w:abstractNumId w:val="16"/>
  </w:num>
  <w:num w:numId="11">
    <w:abstractNumId w:val="17"/>
  </w:num>
  <w:num w:numId="12">
    <w:abstractNumId w:val="24"/>
  </w:num>
  <w:num w:numId="13">
    <w:abstractNumId w:val="6"/>
  </w:num>
  <w:num w:numId="14">
    <w:abstractNumId w:val="23"/>
  </w:num>
  <w:num w:numId="15">
    <w:abstractNumId w:val="5"/>
  </w:num>
  <w:num w:numId="16">
    <w:abstractNumId w:val="13"/>
  </w:num>
  <w:num w:numId="17">
    <w:abstractNumId w:val="11"/>
  </w:num>
  <w:num w:numId="18">
    <w:abstractNumId w:val="9"/>
  </w:num>
  <w:num w:numId="19">
    <w:abstractNumId w:val="10"/>
  </w:num>
  <w:num w:numId="20">
    <w:abstractNumId w:val="15"/>
  </w:num>
  <w:num w:numId="21">
    <w:abstractNumId w:val="1"/>
  </w:num>
  <w:num w:numId="22">
    <w:abstractNumId w:val="20"/>
  </w:num>
  <w:num w:numId="23">
    <w:abstractNumId w:val="3"/>
  </w:num>
  <w:num w:numId="24">
    <w:abstractNumId w:val="14"/>
  </w:num>
  <w:num w:numId="25">
    <w:abstractNumId w:val="8"/>
  </w:num>
  <w:num w:numId="26">
    <w:abstractNumId w:val="7"/>
  </w:num>
  <w:num w:numId="27">
    <w:abstractNumId w:val="1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0725D8"/>
    <w:rsid w:val="00003501"/>
    <w:rsid w:val="000075C2"/>
    <w:rsid w:val="000110A0"/>
    <w:rsid w:val="00011FC9"/>
    <w:rsid w:val="00013224"/>
    <w:rsid w:val="000253D9"/>
    <w:rsid w:val="000410E5"/>
    <w:rsid w:val="00071F8D"/>
    <w:rsid w:val="000725D8"/>
    <w:rsid w:val="00073EEF"/>
    <w:rsid w:val="00083D25"/>
    <w:rsid w:val="000C5AF0"/>
    <w:rsid w:val="000C6254"/>
    <w:rsid w:val="000D195F"/>
    <w:rsid w:val="000E426B"/>
    <w:rsid w:val="00116B07"/>
    <w:rsid w:val="001238DC"/>
    <w:rsid w:val="00147768"/>
    <w:rsid w:val="001509AE"/>
    <w:rsid w:val="00157BC1"/>
    <w:rsid w:val="001A0111"/>
    <w:rsid w:val="001A4683"/>
    <w:rsid w:val="001B04E2"/>
    <w:rsid w:val="001B79E5"/>
    <w:rsid w:val="001D11AB"/>
    <w:rsid w:val="001D1299"/>
    <w:rsid w:val="001F690A"/>
    <w:rsid w:val="00203CC3"/>
    <w:rsid w:val="0020732F"/>
    <w:rsid w:val="0022096F"/>
    <w:rsid w:val="00222331"/>
    <w:rsid w:val="00254332"/>
    <w:rsid w:val="002873BD"/>
    <w:rsid w:val="002A18F4"/>
    <w:rsid w:val="002B7E9E"/>
    <w:rsid w:val="002C1441"/>
    <w:rsid w:val="002D3AC8"/>
    <w:rsid w:val="002E5CCE"/>
    <w:rsid w:val="002F1B0F"/>
    <w:rsid w:val="003018D8"/>
    <w:rsid w:val="0031398C"/>
    <w:rsid w:val="00350A72"/>
    <w:rsid w:val="00351933"/>
    <w:rsid w:val="0036120A"/>
    <w:rsid w:val="00396285"/>
    <w:rsid w:val="003A6128"/>
    <w:rsid w:val="003B244C"/>
    <w:rsid w:val="003B51F7"/>
    <w:rsid w:val="003C06FF"/>
    <w:rsid w:val="003D4A20"/>
    <w:rsid w:val="003D7D40"/>
    <w:rsid w:val="003F288D"/>
    <w:rsid w:val="00403584"/>
    <w:rsid w:val="00421565"/>
    <w:rsid w:val="004467F1"/>
    <w:rsid w:val="0048687B"/>
    <w:rsid w:val="004921F6"/>
    <w:rsid w:val="004D2B73"/>
    <w:rsid w:val="004D3369"/>
    <w:rsid w:val="004E1738"/>
    <w:rsid w:val="004F4898"/>
    <w:rsid w:val="0051097D"/>
    <w:rsid w:val="005560B1"/>
    <w:rsid w:val="0056326C"/>
    <w:rsid w:val="0057556C"/>
    <w:rsid w:val="00596122"/>
    <w:rsid w:val="005A03C5"/>
    <w:rsid w:val="005B0280"/>
    <w:rsid w:val="005C61E2"/>
    <w:rsid w:val="005D37BA"/>
    <w:rsid w:val="005E3AEB"/>
    <w:rsid w:val="005F5EB8"/>
    <w:rsid w:val="005F6366"/>
    <w:rsid w:val="00600234"/>
    <w:rsid w:val="006034AF"/>
    <w:rsid w:val="006036B4"/>
    <w:rsid w:val="006122AE"/>
    <w:rsid w:val="00613BCC"/>
    <w:rsid w:val="00631C33"/>
    <w:rsid w:val="00641868"/>
    <w:rsid w:val="006565EF"/>
    <w:rsid w:val="00661407"/>
    <w:rsid w:val="006861B2"/>
    <w:rsid w:val="006F1D12"/>
    <w:rsid w:val="006F3CB8"/>
    <w:rsid w:val="006F46F3"/>
    <w:rsid w:val="006F68D3"/>
    <w:rsid w:val="006F6E2F"/>
    <w:rsid w:val="00702963"/>
    <w:rsid w:val="00706E61"/>
    <w:rsid w:val="00726A90"/>
    <w:rsid w:val="00740039"/>
    <w:rsid w:val="007503E1"/>
    <w:rsid w:val="007609FC"/>
    <w:rsid w:val="00775794"/>
    <w:rsid w:val="007915D8"/>
    <w:rsid w:val="007B6BA7"/>
    <w:rsid w:val="007C7E9A"/>
    <w:rsid w:val="007D68E9"/>
    <w:rsid w:val="007F4E20"/>
    <w:rsid w:val="00800D8E"/>
    <w:rsid w:val="00802C9F"/>
    <w:rsid w:val="008068F0"/>
    <w:rsid w:val="00845BA7"/>
    <w:rsid w:val="008634FE"/>
    <w:rsid w:val="00893F8A"/>
    <w:rsid w:val="008A6FF3"/>
    <w:rsid w:val="008B22B2"/>
    <w:rsid w:val="008C53D4"/>
    <w:rsid w:val="008F052E"/>
    <w:rsid w:val="00911516"/>
    <w:rsid w:val="00921797"/>
    <w:rsid w:val="00931C2A"/>
    <w:rsid w:val="00937240"/>
    <w:rsid w:val="00970007"/>
    <w:rsid w:val="009906EF"/>
    <w:rsid w:val="009A43AC"/>
    <w:rsid w:val="009A4D36"/>
    <w:rsid w:val="009B309B"/>
    <w:rsid w:val="009B7024"/>
    <w:rsid w:val="009B70E7"/>
    <w:rsid w:val="009D335A"/>
    <w:rsid w:val="009E1BAA"/>
    <w:rsid w:val="009F636F"/>
    <w:rsid w:val="009F6902"/>
    <w:rsid w:val="00A029FA"/>
    <w:rsid w:val="00A1381D"/>
    <w:rsid w:val="00A1401A"/>
    <w:rsid w:val="00A17BB2"/>
    <w:rsid w:val="00A17CCF"/>
    <w:rsid w:val="00A2007E"/>
    <w:rsid w:val="00A21C65"/>
    <w:rsid w:val="00A4153D"/>
    <w:rsid w:val="00A44C78"/>
    <w:rsid w:val="00A651CF"/>
    <w:rsid w:val="00A6795B"/>
    <w:rsid w:val="00A73EEA"/>
    <w:rsid w:val="00AE66BD"/>
    <w:rsid w:val="00AE76AA"/>
    <w:rsid w:val="00AF16CC"/>
    <w:rsid w:val="00B045CA"/>
    <w:rsid w:val="00B05F5B"/>
    <w:rsid w:val="00B5572B"/>
    <w:rsid w:val="00B779CC"/>
    <w:rsid w:val="00B9787B"/>
    <w:rsid w:val="00BF0DB8"/>
    <w:rsid w:val="00BF226D"/>
    <w:rsid w:val="00BF2882"/>
    <w:rsid w:val="00C03350"/>
    <w:rsid w:val="00C13061"/>
    <w:rsid w:val="00C27519"/>
    <w:rsid w:val="00C3127A"/>
    <w:rsid w:val="00C81010"/>
    <w:rsid w:val="00CA5324"/>
    <w:rsid w:val="00CF7865"/>
    <w:rsid w:val="00D144A5"/>
    <w:rsid w:val="00D15926"/>
    <w:rsid w:val="00D15B24"/>
    <w:rsid w:val="00D4559A"/>
    <w:rsid w:val="00D747A9"/>
    <w:rsid w:val="00D907E1"/>
    <w:rsid w:val="00DB0079"/>
    <w:rsid w:val="00DC0629"/>
    <w:rsid w:val="00DF4461"/>
    <w:rsid w:val="00E127F5"/>
    <w:rsid w:val="00E12A94"/>
    <w:rsid w:val="00E132EF"/>
    <w:rsid w:val="00E15345"/>
    <w:rsid w:val="00E162E6"/>
    <w:rsid w:val="00E20454"/>
    <w:rsid w:val="00E24F15"/>
    <w:rsid w:val="00E352BA"/>
    <w:rsid w:val="00E40DD4"/>
    <w:rsid w:val="00E517C2"/>
    <w:rsid w:val="00E743A1"/>
    <w:rsid w:val="00E8203B"/>
    <w:rsid w:val="00E8211B"/>
    <w:rsid w:val="00E96E5E"/>
    <w:rsid w:val="00EB104D"/>
    <w:rsid w:val="00EB1F26"/>
    <w:rsid w:val="00EC2289"/>
    <w:rsid w:val="00ED02DD"/>
    <w:rsid w:val="00EF2230"/>
    <w:rsid w:val="00F1202B"/>
    <w:rsid w:val="00F17DEF"/>
    <w:rsid w:val="00F420D0"/>
    <w:rsid w:val="00F521DF"/>
    <w:rsid w:val="00F61D86"/>
    <w:rsid w:val="00F67B23"/>
    <w:rsid w:val="00F70934"/>
    <w:rsid w:val="00F778F3"/>
    <w:rsid w:val="00F91BD0"/>
    <w:rsid w:val="00FA5E17"/>
    <w:rsid w:val="00FB6391"/>
    <w:rsid w:val="00FC565A"/>
    <w:rsid w:val="00FD1797"/>
    <w:rsid w:val="00FD5A5D"/>
    <w:rsid w:val="00FE350D"/>
    <w:rsid w:val="00FE4ED7"/>
    <w:rsid w:val="00FE7C7F"/>
    <w:rsid w:val="00FF485E"/>
    <w:rsid w:val="00FF5D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Heading2"/>
    <w:link w:val="Heading1Char"/>
    <w:uiPriority w:val="9"/>
    <w:qFormat/>
    <w:rsid w:val="00F521DF"/>
    <w:pPr>
      <w:keepNext/>
      <w:keepLines/>
      <w:spacing w:before="480" w:after="0"/>
      <w:outlineLvl w:val="0"/>
    </w:pPr>
    <w:rPr>
      <w:rFonts w:ascii="Times New Roman Bold" w:eastAsiaTheme="majorEastAsia" w:hAnsi="Times New Roman Bold" w:cstheme="majorBidi"/>
      <w:b/>
      <w:bCs/>
      <w:caps/>
      <w:szCs w:val="28"/>
    </w:rPr>
  </w:style>
  <w:style w:type="paragraph" w:styleId="Heading2">
    <w:name w:val="heading 2"/>
    <w:basedOn w:val="Normal"/>
    <w:next w:val="BodyText"/>
    <w:link w:val="Heading2Char"/>
    <w:uiPriority w:val="9"/>
    <w:unhideWhenUsed/>
    <w:qFormat/>
    <w:rsid w:val="00F521DF"/>
    <w:pPr>
      <w:keepNext/>
      <w:keepLines/>
      <w:spacing w:before="200" w:after="0"/>
      <w:outlineLvl w:val="1"/>
    </w:pPr>
    <w:rPr>
      <w:rFonts w:ascii="Times New Roman Bold" w:eastAsiaTheme="majorEastAsia" w:hAnsi="Times New Roman Bold" w:cstheme="majorBidi"/>
      <w:b/>
      <w:bCs/>
      <w:caps/>
      <w:szCs w:val="26"/>
    </w:rPr>
  </w:style>
  <w:style w:type="paragraph" w:styleId="Heading3">
    <w:name w:val="heading 3"/>
    <w:basedOn w:val="Normal"/>
    <w:next w:val="Normal"/>
    <w:link w:val="Heading3Char"/>
    <w:uiPriority w:val="9"/>
    <w:unhideWhenUsed/>
    <w:qFormat/>
    <w:rsid w:val="009A4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lockText"/>
    <w:link w:val="Heading4Char"/>
    <w:uiPriority w:val="9"/>
    <w:unhideWhenUsed/>
    <w:qFormat/>
    <w:rsid w:val="001A0111"/>
    <w:pPr>
      <w:keepNext/>
      <w:keepLines/>
      <w:spacing w:before="200" w:after="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DF"/>
    <w:rPr>
      <w:rFonts w:ascii="Times New Roman Bold" w:eastAsiaTheme="majorEastAsia" w:hAnsi="Times New Roman Bold" w:cstheme="majorBidi"/>
      <w:b/>
      <w:bCs/>
      <w:caps/>
      <w:szCs w:val="28"/>
    </w:rPr>
  </w:style>
  <w:style w:type="paragraph" w:styleId="Header">
    <w:name w:val="header"/>
    <w:basedOn w:val="Normal"/>
    <w:link w:val="HeaderChar"/>
    <w:uiPriority w:val="99"/>
    <w:semiHidden/>
    <w:unhideWhenUsed/>
    <w:rsid w:val="00072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5D8"/>
  </w:style>
  <w:style w:type="paragraph" w:styleId="Footer">
    <w:name w:val="footer"/>
    <w:basedOn w:val="Normal"/>
    <w:link w:val="FooterChar"/>
    <w:uiPriority w:val="99"/>
    <w:semiHidden/>
    <w:unhideWhenUsed/>
    <w:rsid w:val="00072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5D8"/>
  </w:style>
  <w:style w:type="character" w:styleId="PageNumber">
    <w:name w:val="page number"/>
    <w:basedOn w:val="DefaultParagraphFont"/>
    <w:rsid w:val="000725D8"/>
  </w:style>
  <w:style w:type="paragraph" w:styleId="BalloonText">
    <w:name w:val="Balloon Text"/>
    <w:basedOn w:val="Normal"/>
    <w:link w:val="BalloonTextChar"/>
    <w:uiPriority w:val="99"/>
    <w:semiHidden/>
    <w:unhideWhenUsed/>
    <w:rsid w:val="0007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8"/>
    <w:rPr>
      <w:rFonts w:ascii="Tahoma" w:hAnsi="Tahoma" w:cs="Tahoma"/>
      <w:sz w:val="16"/>
      <w:szCs w:val="16"/>
    </w:rPr>
  </w:style>
  <w:style w:type="character" w:customStyle="1" w:styleId="Heading2Char">
    <w:name w:val="Heading 2 Char"/>
    <w:basedOn w:val="DefaultParagraphFont"/>
    <w:link w:val="Heading2"/>
    <w:uiPriority w:val="9"/>
    <w:rsid w:val="00F521DF"/>
    <w:rPr>
      <w:rFonts w:ascii="Times New Roman Bold" w:eastAsiaTheme="majorEastAsia" w:hAnsi="Times New Roman Bold" w:cstheme="majorBidi"/>
      <w:b/>
      <w:bCs/>
      <w:caps/>
      <w:szCs w:val="26"/>
    </w:rPr>
  </w:style>
  <w:style w:type="paragraph" w:styleId="TOC1">
    <w:name w:val="toc 1"/>
    <w:basedOn w:val="Normal"/>
    <w:next w:val="Normal"/>
    <w:autoRedefine/>
    <w:uiPriority w:val="39"/>
    <w:unhideWhenUsed/>
    <w:rsid w:val="002873BD"/>
    <w:pPr>
      <w:tabs>
        <w:tab w:val="right" w:pos="8630"/>
      </w:tabs>
      <w:spacing w:after="100"/>
    </w:pPr>
    <w:rPr>
      <w:rFonts w:eastAsia="Times New Roman"/>
      <w:b/>
      <w:noProof/>
      <w:snapToGrid w:val="0"/>
    </w:rPr>
  </w:style>
  <w:style w:type="paragraph" w:styleId="TOC2">
    <w:name w:val="toc 2"/>
    <w:basedOn w:val="Normal"/>
    <w:next w:val="Normal"/>
    <w:autoRedefine/>
    <w:uiPriority w:val="39"/>
    <w:unhideWhenUsed/>
    <w:rsid w:val="00421565"/>
    <w:pPr>
      <w:spacing w:after="100"/>
      <w:ind w:left="240"/>
    </w:pPr>
  </w:style>
  <w:style w:type="paragraph" w:styleId="BodyText">
    <w:name w:val="Body Text"/>
    <w:basedOn w:val="Normal"/>
    <w:link w:val="BodyTextChar"/>
    <w:uiPriority w:val="99"/>
    <w:unhideWhenUsed/>
    <w:rsid w:val="00350A72"/>
    <w:pPr>
      <w:spacing w:after="120"/>
    </w:pPr>
  </w:style>
  <w:style w:type="character" w:customStyle="1" w:styleId="BodyTextChar">
    <w:name w:val="Body Text Char"/>
    <w:basedOn w:val="DefaultParagraphFont"/>
    <w:link w:val="BodyText"/>
    <w:uiPriority w:val="99"/>
    <w:rsid w:val="00350A72"/>
  </w:style>
  <w:style w:type="character" w:customStyle="1" w:styleId="Heading3Char">
    <w:name w:val="Heading 3 Char"/>
    <w:basedOn w:val="DefaultParagraphFont"/>
    <w:link w:val="Heading3"/>
    <w:uiPriority w:val="9"/>
    <w:rsid w:val="009A43A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A43AC"/>
    <w:pPr>
      <w:spacing w:after="100"/>
      <w:ind w:left="480"/>
    </w:pPr>
  </w:style>
  <w:style w:type="character" w:customStyle="1" w:styleId="Heading4Char">
    <w:name w:val="Heading 4 Char"/>
    <w:basedOn w:val="DefaultParagraphFont"/>
    <w:link w:val="Heading4"/>
    <w:uiPriority w:val="9"/>
    <w:rsid w:val="001A0111"/>
    <w:rPr>
      <w:rFonts w:asciiTheme="minorHAnsi" w:eastAsiaTheme="majorEastAsia" w:hAnsiTheme="minorHAnsi" w:cstheme="majorBidi"/>
      <w:b/>
      <w:bCs/>
      <w:iCs/>
    </w:rPr>
  </w:style>
  <w:style w:type="paragraph" w:styleId="ListParagraph">
    <w:name w:val="List Paragraph"/>
    <w:basedOn w:val="Normal"/>
    <w:uiPriority w:val="34"/>
    <w:qFormat/>
    <w:rsid w:val="005F6366"/>
    <w:pPr>
      <w:ind w:left="720"/>
      <w:contextualSpacing/>
    </w:pPr>
  </w:style>
  <w:style w:type="paragraph" w:styleId="BlockText">
    <w:name w:val="Block Text"/>
    <w:basedOn w:val="Normal"/>
    <w:uiPriority w:val="99"/>
    <w:semiHidden/>
    <w:unhideWhenUsed/>
    <w:rsid w:val="00FE35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OC4">
    <w:name w:val="toc 4"/>
    <w:basedOn w:val="Normal"/>
    <w:next w:val="Normal"/>
    <w:autoRedefine/>
    <w:uiPriority w:val="39"/>
    <w:unhideWhenUsed/>
    <w:rsid w:val="0031398C"/>
    <w:pPr>
      <w:spacing w:after="100"/>
      <w:ind w:left="720"/>
    </w:pPr>
  </w:style>
  <w:style w:type="character" w:styleId="CommentReference">
    <w:name w:val="annotation reference"/>
    <w:basedOn w:val="DefaultParagraphFont"/>
    <w:uiPriority w:val="99"/>
    <w:semiHidden/>
    <w:unhideWhenUsed/>
    <w:rsid w:val="00DB0079"/>
    <w:rPr>
      <w:sz w:val="16"/>
      <w:szCs w:val="16"/>
    </w:rPr>
  </w:style>
  <w:style w:type="paragraph" w:styleId="CommentText">
    <w:name w:val="annotation text"/>
    <w:basedOn w:val="Normal"/>
    <w:link w:val="CommentTextChar"/>
    <w:uiPriority w:val="99"/>
    <w:semiHidden/>
    <w:unhideWhenUsed/>
    <w:rsid w:val="00DB0079"/>
    <w:pPr>
      <w:spacing w:line="240" w:lineRule="auto"/>
    </w:pPr>
    <w:rPr>
      <w:sz w:val="20"/>
      <w:szCs w:val="20"/>
    </w:rPr>
  </w:style>
  <w:style w:type="character" w:customStyle="1" w:styleId="CommentTextChar">
    <w:name w:val="Comment Text Char"/>
    <w:basedOn w:val="DefaultParagraphFont"/>
    <w:link w:val="CommentText"/>
    <w:uiPriority w:val="99"/>
    <w:semiHidden/>
    <w:rsid w:val="00DB0079"/>
    <w:rPr>
      <w:sz w:val="20"/>
      <w:szCs w:val="20"/>
    </w:rPr>
  </w:style>
  <w:style w:type="paragraph" w:styleId="CommentSubject">
    <w:name w:val="annotation subject"/>
    <w:basedOn w:val="CommentText"/>
    <w:next w:val="CommentText"/>
    <w:link w:val="CommentSubjectChar"/>
    <w:uiPriority w:val="99"/>
    <w:semiHidden/>
    <w:unhideWhenUsed/>
    <w:rsid w:val="00DB0079"/>
    <w:rPr>
      <w:b/>
      <w:bCs/>
    </w:rPr>
  </w:style>
  <w:style w:type="character" w:customStyle="1" w:styleId="CommentSubjectChar">
    <w:name w:val="Comment Subject Char"/>
    <w:basedOn w:val="CommentTextChar"/>
    <w:link w:val="CommentSubject"/>
    <w:uiPriority w:val="99"/>
    <w:semiHidden/>
    <w:rsid w:val="00DB00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Heading2"/>
    <w:link w:val="Heading1Char"/>
    <w:uiPriority w:val="9"/>
    <w:qFormat/>
    <w:rsid w:val="00F521DF"/>
    <w:pPr>
      <w:keepNext/>
      <w:keepLines/>
      <w:spacing w:before="480" w:after="0"/>
      <w:outlineLvl w:val="0"/>
    </w:pPr>
    <w:rPr>
      <w:rFonts w:ascii="Times New Roman Bold" w:eastAsiaTheme="majorEastAsia" w:hAnsi="Times New Roman Bold" w:cstheme="majorBidi"/>
      <w:b/>
      <w:bCs/>
      <w:caps/>
      <w:szCs w:val="28"/>
    </w:rPr>
  </w:style>
  <w:style w:type="paragraph" w:styleId="Heading2">
    <w:name w:val="heading 2"/>
    <w:basedOn w:val="Normal"/>
    <w:next w:val="BodyText"/>
    <w:link w:val="Heading2Char"/>
    <w:uiPriority w:val="9"/>
    <w:unhideWhenUsed/>
    <w:qFormat/>
    <w:rsid w:val="00F521DF"/>
    <w:pPr>
      <w:keepNext/>
      <w:keepLines/>
      <w:spacing w:before="200" w:after="0"/>
      <w:outlineLvl w:val="1"/>
    </w:pPr>
    <w:rPr>
      <w:rFonts w:ascii="Times New Roman Bold" w:eastAsiaTheme="majorEastAsia" w:hAnsi="Times New Roman Bold" w:cstheme="majorBidi"/>
      <w:b/>
      <w:bCs/>
      <w:caps/>
      <w:szCs w:val="26"/>
    </w:rPr>
  </w:style>
  <w:style w:type="paragraph" w:styleId="Heading3">
    <w:name w:val="heading 3"/>
    <w:basedOn w:val="Normal"/>
    <w:next w:val="Normal"/>
    <w:link w:val="Heading3Char"/>
    <w:uiPriority w:val="9"/>
    <w:unhideWhenUsed/>
    <w:qFormat/>
    <w:rsid w:val="009A4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lockText"/>
    <w:link w:val="Heading4Char"/>
    <w:uiPriority w:val="9"/>
    <w:unhideWhenUsed/>
    <w:qFormat/>
    <w:rsid w:val="001A0111"/>
    <w:pPr>
      <w:keepNext/>
      <w:keepLines/>
      <w:spacing w:before="200" w:after="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DF"/>
    <w:rPr>
      <w:rFonts w:ascii="Times New Roman Bold" w:eastAsiaTheme="majorEastAsia" w:hAnsi="Times New Roman Bold" w:cstheme="majorBidi"/>
      <w:b/>
      <w:bCs/>
      <w:caps/>
      <w:szCs w:val="28"/>
    </w:rPr>
  </w:style>
  <w:style w:type="paragraph" w:styleId="Header">
    <w:name w:val="header"/>
    <w:basedOn w:val="Normal"/>
    <w:link w:val="HeaderChar"/>
    <w:uiPriority w:val="99"/>
    <w:semiHidden/>
    <w:unhideWhenUsed/>
    <w:rsid w:val="00072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5D8"/>
  </w:style>
  <w:style w:type="paragraph" w:styleId="Footer">
    <w:name w:val="footer"/>
    <w:basedOn w:val="Normal"/>
    <w:link w:val="FooterChar"/>
    <w:uiPriority w:val="99"/>
    <w:semiHidden/>
    <w:unhideWhenUsed/>
    <w:rsid w:val="00072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5D8"/>
  </w:style>
  <w:style w:type="character" w:styleId="PageNumber">
    <w:name w:val="page number"/>
    <w:basedOn w:val="DefaultParagraphFont"/>
    <w:rsid w:val="000725D8"/>
  </w:style>
  <w:style w:type="paragraph" w:styleId="BalloonText">
    <w:name w:val="Balloon Text"/>
    <w:basedOn w:val="Normal"/>
    <w:link w:val="BalloonTextChar"/>
    <w:uiPriority w:val="99"/>
    <w:semiHidden/>
    <w:unhideWhenUsed/>
    <w:rsid w:val="0007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8"/>
    <w:rPr>
      <w:rFonts w:ascii="Tahoma" w:hAnsi="Tahoma" w:cs="Tahoma"/>
      <w:sz w:val="16"/>
      <w:szCs w:val="16"/>
    </w:rPr>
  </w:style>
  <w:style w:type="character" w:customStyle="1" w:styleId="Heading2Char">
    <w:name w:val="Heading 2 Char"/>
    <w:basedOn w:val="DefaultParagraphFont"/>
    <w:link w:val="Heading2"/>
    <w:uiPriority w:val="9"/>
    <w:rsid w:val="00F521DF"/>
    <w:rPr>
      <w:rFonts w:ascii="Times New Roman Bold" w:eastAsiaTheme="majorEastAsia" w:hAnsi="Times New Roman Bold" w:cstheme="majorBidi"/>
      <w:b/>
      <w:bCs/>
      <w:caps/>
      <w:szCs w:val="26"/>
    </w:rPr>
  </w:style>
  <w:style w:type="paragraph" w:styleId="TOC1">
    <w:name w:val="toc 1"/>
    <w:basedOn w:val="Normal"/>
    <w:next w:val="Normal"/>
    <w:autoRedefine/>
    <w:uiPriority w:val="39"/>
    <w:unhideWhenUsed/>
    <w:rsid w:val="002873BD"/>
    <w:pPr>
      <w:tabs>
        <w:tab w:val="right" w:pos="8630"/>
      </w:tabs>
      <w:spacing w:after="100"/>
    </w:pPr>
    <w:rPr>
      <w:rFonts w:eastAsia="Times New Roman"/>
      <w:b/>
      <w:noProof/>
      <w:snapToGrid w:val="0"/>
    </w:rPr>
  </w:style>
  <w:style w:type="paragraph" w:styleId="TOC2">
    <w:name w:val="toc 2"/>
    <w:basedOn w:val="Normal"/>
    <w:next w:val="Normal"/>
    <w:autoRedefine/>
    <w:uiPriority w:val="39"/>
    <w:unhideWhenUsed/>
    <w:rsid w:val="00421565"/>
    <w:pPr>
      <w:spacing w:after="100"/>
      <w:ind w:left="240"/>
    </w:pPr>
  </w:style>
  <w:style w:type="paragraph" w:styleId="BodyText">
    <w:name w:val="Body Text"/>
    <w:basedOn w:val="Normal"/>
    <w:link w:val="BodyTextChar"/>
    <w:uiPriority w:val="99"/>
    <w:unhideWhenUsed/>
    <w:rsid w:val="00350A72"/>
    <w:pPr>
      <w:spacing w:after="120"/>
    </w:pPr>
  </w:style>
  <w:style w:type="character" w:customStyle="1" w:styleId="BodyTextChar">
    <w:name w:val="Body Text Char"/>
    <w:basedOn w:val="DefaultParagraphFont"/>
    <w:link w:val="BodyText"/>
    <w:uiPriority w:val="99"/>
    <w:rsid w:val="00350A72"/>
  </w:style>
  <w:style w:type="character" w:customStyle="1" w:styleId="Heading3Char">
    <w:name w:val="Heading 3 Char"/>
    <w:basedOn w:val="DefaultParagraphFont"/>
    <w:link w:val="Heading3"/>
    <w:uiPriority w:val="9"/>
    <w:rsid w:val="009A43A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A43AC"/>
    <w:pPr>
      <w:spacing w:after="100"/>
      <w:ind w:left="480"/>
    </w:pPr>
  </w:style>
  <w:style w:type="character" w:customStyle="1" w:styleId="Heading4Char">
    <w:name w:val="Heading 4 Char"/>
    <w:basedOn w:val="DefaultParagraphFont"/>
    <w:link w:val="Heading4"/>
    <w:uiPriority w:val="9"/>
    <w:rsid w:val="001A0111"/>
    <w:rPr>
      <w:rFonts w:asciiTheme="minorHAnsi" w:eastAsiaTheme="majorEastAsia" w:hAnsiTheme="minorHAnsi" w:cstheme="majorBidi"/>
      <w:b/>
      <w:bCs/>
      <w:iCs/>
    </w:rPr>
  </w:style>
  <w:style w:type="paragraph" w:styleId="ListParagraph">
    <w:name w:val="List Paragraph"/>
    <w:basedOn w:val="Normal"/>
    <w:uiPriority w:val="34"/>
    <w:qFormat/>
    <w:rsid w:val="005F6366"/>
    <w:pPr>
      <w:ind w:left="720"/>
      <w:contextualSpacing/>
    </w:pPr>
  </w:style>
  <w:style w:type="paragraph" w:styleId="BlockText">
    <w:name w:val="Block Text"/>
    <w:basedOn w:val="Normal"/>
    <w:uiPriority w:val="99"/>
    <w:semiHidden/>
    <w:unhideWhenUsed/>
    <w:rsid w:val="00FE35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OC4">
    <w:name w:val="toc 4"/>
    <w:basedOn w:val="Normal"/>
    <w:next w:val="Normal"/>
    <w:autoRedefine/>
    <w:uiPriority w:val="39"/>
    <w:unhideWhenUsed/>
    <w:rsid w:val="0031398C"/>
    <w:pPr>
      <w:spacing w:after="100"/>
      <w:ind w:left="720"/>
    </w:pPr>
  </w:style>
  <w:style w:type="character" w:styleId="CommentReference">
    <w:name w:val="annotation reference"/>
    <w:basedOn w:val="DefaultParagraphFont"/>
    <w:uiPriority w:val="99"/>
    <w:semiHidden/>
    <w:unhideWhenUsed/>
    <w:rsid w:val="00DB0079"/>
    <w:rPr>
      <w:sz w:val="16"/>
      <w:szCs w:val="16"/>
    </w:rPr>
  </w:style>
  <w:style w:type="paragraph" w:styleId="CommentText">
    <w:name w:val="annotation text"/>
    <w:basedOn w:val="Normal"/>
    <w:link w:val="CommentTextChar"/>
    <w:uiPriority w:val="99"/>
    <w:semiHidden/>
    <w:unhideWhenUsed/>
    <w:rsid w:val="00DB0079"/>
    <w:pPr>
      <w:spacing w:line="240" w:lineRule="auto"/>
    </w:pPr>
    <w:rPr>
      <w:sz w:val="20"/>
      <w:szCs w:val="20"/>
    </w:rPr>
  </w:style>
  <w:style w:type="character" w:customStyle="1" w:styleId="CommentTextChar">
    <w:name w:val="Comment Text Char"/>
    <w:basedOn w:val="DefaultParagraphFont"/>
    <w:link w:val="CommentText"/>
    <w:uiPriority w:val="99"/>
    <w:semiHidden/>
    <w:rsid w:val="00DB0079"/>
    <w:rPr>
      <w:sz w:val="20"/>
      <w:szCs w:val="20"/>
    </w:rPr>
  </w:style>
  <w:style w:type="paragraph" w:styleId="CommentSubject">
    <w:name w:val="annotation subject"/>
    <w:basedOn w:val="CommentText"/>
    <w:next w:val="CommentText"/>
    <w:link w:val="CommentSubjectChar"/>
    <w:uiPriority w:val="99"/>
    <w:semiHidden/>
    <w:unhideWhenUsed/>
    <w:rsid w:val="00DB0079"/>
    <w:rPr>
      <w:b/>
      <w:bCs/>
    </w:rPr>
  </w:style>
  <w:style w:type="character" w:customStyle="1" w:styleId="CommentSubjectChar">
    <w:name w:val="Comment Subject Char"/>
    <w:basedOn w:val="CommentTextChar"/>
    <w:link w:val="CommentSubject"/>
    <w:uiPriority w:val="99"/>
    <w:semiHidden/>
    <w:rsid w:val="00DB0079"/>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P@health.gov.a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168A-0694-48C5-9ED0-F932DF87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3</cp:revision>
  <cp:lastPrinted>2013-03-04T22:27:00Z</cp:lastPrinted>
  <dcterms:created xsi:type="dcterms:W3CDTF">2013-03-18T03:43:00Z</dcterms:created>
  <dcterms:modified xsi:type="dcterms:W3CDTF">2013-03-18T05:14:00Z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