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629" w:rsidRPr="003F1629" w:rsidRDefault="003F1629" w:rsidP="003F1629">
      <w:pPr>
        <w:pStyle w:val="HP"/>
        <w:keepNext w:val="0"/>
        <w:spacing w:before="0"/>
        <w:jc w:val="both"/>
        <w:rPr>
          <w:rFonts w:ascii="Times New Roman" w:hAnsi="Times New Roman"/>
          <w:szCs w:val="26"/>
          <w:u w:val="single"/>
        </w:rPr>
      </w:pPr>
    </w:p>
    <w:p w:rsidR="008E1CD6" w:rsidRPr="008E1CD6" w:rsidRDefault="008E1CD6" w:rsidP="008E1CD6">
      <w:pPr>
        <w:spacing w:after="100" w:afterAutospacing="1"/>
        <w:jc w:val="center"/>
        <w:rPr>
          <w:rFonts w:ascii="Times New Roman" w:hAnsi="Times New Roman"/>
          <w:sz w:val="24"/>
          <w:szCs w:val="24"/>
        </w:rPr>
      </w:pPr>
      <w:r w:rsidRPr="008E1CD6">
        <w:rPr>
          <w:rFonts w:ascii="Times New Roman" w:hAnsi="Times New Roman"/>
          <w:b/>
          <w:bCs/>
          <w:sz w:val="24"/>
          <w:szCs w:val="24"/>
        </w:rPr>
        <w:t xml:space="preserve">EXPLANATORY STATEMENT </w:t>
      </w:r>
    </w:p>
    <w:p w:rsidR="008E1CD6" w:rsidRPr="008E1CD6" w:rsidRDefault="008E1CD6" w:rsidP="008E1CD6">
      <w:pPr>
        <w:spacing w:before="100" w:beforeAutospacing="1" w:after="100" w:afterAutospacing="1"/>
        <w:jc w:val="center"/>
        <w:outlineLvl w:val="5"/>
        <w:rPr>
          <w:rFonts w:ascii="Arial" w:hAnsi="Arial" w:cs="Arial"/>
          <w:b/>
          <w:bCs/>
          <w:sz w:val="15"/>
          <w:szCs w:val="15"/>
        </w:rPr>
      </w:pPr>
      <w:r w:rsidRPr="008E1CD6">
        <w:rPr>
          <w:rFonts w:ascii="Times New Roman" w:hAnsi="Times New Roman"/>
          <w:b/>
          <w:bCs/>
          <w:color w:val="000000"/>
          <w:sz w:val="24"/>
          <w:szCs w:val="24"/>
        </w:rPr>
        <w:t>Australian Communications and Media Authority Act 2005</w:t>
      </w:r>
    </w:p>
    <w:p w:rsidR="008E1CD6" w:rsidRPr="001D406B" w:rsidRDefault="008E1CD6" w:rsidP="008E1CD6">
      <w:pPr>
        <w:pStyle w:val="Title"/>
        <w:spacing w:before="120"/>
        <w:rPr>
          <w:rFonts w:ascii="Times New Roman" w:hAnsi="Times New Roman"/>
          <w:sz w:val="28"/>
          <w:szCs w:val="28"/>
        </w:rPr>
      </w:pPr>
      <w:r w:rsidRPr="008E1CD6">
        <w:rPr>
          <w:rFonts w:ascii="Times New Roman" w:hAnsi="Times New Roman"/>
          <w:sz w:val="28"/>
          <w:szCs w:val="28"/>
        </w:rPr>
        <w:t> </w:t>
      </w:r>
      <w:r>
        <w:rPr>
          <w:rFonts w:ascii="Times New Roman" w:hAnsi="Times New Roman"/>
          <w:sz w:val="28"/>
          <w:szCs w:val="28"/>
        </w:rPr>
        <w:t>Australian Communications and Media Authority</w:t>
      </w:r>
      <w:r w:rsidRPr="001D406B">
        <w:rPr>
          <w:rFonts w:ascii="Times New Roman" w:hAnsi="Times New Roman"/>
          <w:sz w:val="28"/>
          <w:szCs w:val="28"/>
        </w:rPr>
        <w:t xml:space="preserve"> (</w:t>
      </w:r>
      <w:r>
        <w:rPr>
          <w:rFonts w:ascii="Times New Roman" w:hAnsi="Times New Roman"/>
          <w:sz w:val="28"/>
          <w:szCs w:val="28"/>
        </w:rPr>
        <w:t xml:space="preserve">Spectrum Licence Allocation – Combinatorial Clock Auction – </w:t>
      </w:r>
      <w:r w:rsidR="001E0D04">
        <w:rPr>
          <w:rFonts w:ascii="Times New Roman" w:hAnsi="Times New Roman"/>
          <w:sz w:val="28"/>
          <w:szCs w:val="28"/>
        </w:rPr>
        <w:t xml:space="preserve">Eligibility Deadline and </w:t>
      </w:r>
      <w:r w:rsidR="00E46AD4">
        <w:rPr>
          <w:rFonts w:ascii="Times New Roman" w:hAnsi="Times New Roman"/>
          <w:sz w:val="28"/>
          <w:szCs w:val="28"/>
        </w:rPr>
        <w:t>Payment Terms</w:t>
      </w:r>
      <w:r w:rsidRPr="001D406B">
        <w:rPr>
          <w:rFonts w:ascii="Times New Roman" w:hAnsi="Times New Roman"/>
          <w:sz w:val="28"/>
          <w:szCs w:val="28"/>
        </w:rPr>
        <w:t>)</w:t>
      </w:r>
      <w:r>
        <w:rPr>
          <w:rFonts w:ascii="Times New Roman" w:hAnsi="Times New Roman"/>
          <w:sz w:val="28"/>
          <w:szCs w:val="28"/>
        </w:rPr>
        <w:t xml:space="preserve"> Direction </w:t>
      </w:r>
      <w:r w:rsidRPr="001D406B">
        <w:rPr>
          <w:rFonts w:ascii="Times New Roman" w:hAnsi="Times New Roman"/>
          <w:sz w:val="28"/>
          <w:szCs w:val="28"/>
        </w:rPr>
        <w:t>201</w:t>
      </w:r>
      <w:r>
        <w:rPr>
          <w:rFonts w:ascii="Times New Roman" w:hAnsi="Times New Roman"/>
          <w:sz w:val="28"/>
          <w:szCs w:val="28"/>
        </w:rPr>
        <w:t>3</w:t>
      </w:r>
      <w:r w:rsidRPr="001D406B">
        <w:rPr>
          <w:rFonts w:ascii="Times New Roman" w:hAnsi="Times New Roman"/>
          <w:sz w:val="28"/>
          <w:szCs w:val="28"/>
        </w:rPr>
        <w:t xml:space="preserve"> </w:t>
      </w:r>
    </w:p>
    <w:p w:rsidR="008E1CD6" w:rsidRPr="008E1CD6" w:rsidRDefault="008E1CD6" w:rsidP="008E1CD6">
      <w:pPr>
        <w:spacing w:after="100" w:afterAutospacing="1"/>
        <w:jc w:val="center"/>
        <w:rPr>
          <w:rFonts w:ascii="Times New Roman" w:hAnsi="Times New Roman"/>
          <w:sz w:val="24"/>
          <w:szCs w:val="24"/>
        </w:rPr>
      </w:pPr>
      <w:r w:rsidRPr="008E1CD6">
        <w:rPr>
          <w:rFonts w:ascii="Times New Roman" w:hAnsi="Times New Roman"/>
          <w:b/>
          <w:bCs/>
          <w:sz w:val="24"/>
          <w:szCs w:val="24"/>
        </w:rPr>
        <w:t> </w:t>
      </w:r>
    </w:p>
    <w:p w:rsidR="008E1CD6" w:rsidRPr="008E1CD6" w:rsidRDefault="008E1CD6" w:rsidP="008E1CD6">
      <w:pPr>
        <w:spacing w:before="100" w:beforeAutospacing="1" w:after="100" w:afterAutospacing="1"/>
        <w:jc w:val="center"/>
        <w:rPr>
          <w:rFonts w:ascii="Times New Roman" w:hAnsi="Times New Roman"/>
          <w:sz w:val="24"/>
          <w:szCs w:val="24"/>
        </w:rPr>
      </w:pPr>
      <w:r w:rsidRPr="008E1CD6">
        <w:rPr>
          <w:rFonts w:ascii="Times New Roman" w:hAnsi="Times New Roman"/>
          <w:sz w:val="24"/>
          <w:szCs w:val="24"/>
        </w:rPr>
        <w:t>Issued by the authority of the Minister for Broadband, Communications and the Digital Economy</w:t>
      </w:r>
    </w:p>
    <w:p w:rsidR="008E1CD6" w:rsidRPr="008E1CD6" w:rsidRDefault="008E1CD6" w:rsidP="00BA4793">
      <w:pPr>
        <w:spacing w:after="100" w:afterAutospacing="1"/>
        <w:jc w:val="left"/>
        <w:rPr>
          <w:rFonts w:ascii="Times New Roman" w:hAnsi="Times New Roman"/>
          <w:sz w:val="24"/>
          <w:szCs w:val="24"/>
        </w:rPr>
      </w:pPr>
      <w:r w:rsidRPr="008E1CD6">
        <w:rPr>
          <w:rFonts w:ascii="Times New Roman" w:hAnsi="Times New Roman"/>
          <w:b/>
          <w:bCs/>
          <w:sz w:val="24"/>
          <w:szCs w:val="24"/>
        </w:rPr>
        <w:t xml:space="preserve"> Authority </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sz w:val="24"/>
          <w:szCs w:val="24"/>
        </w:rPr>
        <w:t xml:space="preserve">Section 14 of the </w:t>
      </w:r>
      <w:r w:rsidRPr="008E1CD6">
        <w:rPr>
          <w:rFonts w:ascii="Times New Roman" w:hAnsi="Times New Roman"/>
          <w:i/>
          <w:sz w:val="24"/>
          <w:szCs w:val="24"/>
        </w:rPr>
        <w:t>Australian Communications and Media Authority Act 2005</w:t>
      </w:r>
      <w:r w:rsidRPr="008E1CD6">
        <w:rPr>
          <w:rFonts w:ascii="Times New Roman" w:hAnsi="Times New Roman"/>
          <w:sz w:val="24"/>
          <w:szCs w:val="24"/>
        </w:rPr>
        <w:t xml:space="preserve"> provides that the Minister for Broadband, Communications and the Digital Economy (the Minister) may give written directions to the Australian Communications and Media Authority (ACMA) in relation to the performance of its functions and the exercise of its powers.  </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b/>
          <w:bCs/>
          <w:sz w:val="24"/>
          <w:szCs w:val="24"/>
        </w:rPr>
        <w:t>Purpose</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sz w:val="24"/>
          <w:szCs w:val="24"/>
        </w:rPr>
        <w:t xml:space="preserve">The purpose of this Direction is to direct the ACMA </w:t>
      </w:r>
      <w:r w:rsidR="00F27B58">
        <w:rPr>
          <w:rFonts w:ascii="Times New Roman" w:hAnsi="Times New Roman"/>
          <w:sz w:val="24"/>
          <w:szCs w:val="24"/>
        </w:rPr>
        <w:t>on</w:t>
      </w:r>
      <w:r w:rsidR="00F521F0">
        <w:rPr>
          <w:rFonts w:ascii="Times New Roman" w:hAnsi="Times New Roman"/>
          <w:sz w:val="24"/>
          <w:szCs w:val="24"/>
        </w:rPr>
        <w:t xml:space="preserve"> </w:t>
      </w:r>
      <w:r w:rsidR="00E46AD4">
        <w:rPr>
          <w:rFonts w:ascii="Times New Roman" w:hAnsi="Times New Roman"/>
          <w:sz w:val="24"/>
          <w:szCs w:val="24"/>
        </w:rPr>
        <w:t>the time for when the balance of the winning price must be paid by bidders allocated spectrum</w:t>
      </w:r>
      <w:r w:rsidR="006C23F1">
        <w:rPr>
          <w:rFonts w:ascii="Times New Roman" w:hAnsi="Times New Roman"/>
          <w:sz w:val="24"/>
          <w:szCs w:val="24"/>
        </w:rPr>
        <w:t xml:space="preserve"> as a result of the digital dividend auction and to also </w:t>
      </w:r>
      <w:r w:rsidR="003C6A1D">
        <w:rPr>
          <w:rFonts w:ascii="Times New Roman" w:hAnsi="Times New Roman"/>
          <w:sz w:val="24"/>
          <w:szCs w:val="24"/>
        </w:rPr>
        <w:t xml:space="preserve">extend the date of the Eligibility Deadline </w:t>
      </w:r>
      <w:r w:rsidR="006C23F1">
        <w:rPr>
          <w:rFonts w:ascii="Times New Roman" w:hAnsi="Times New Roman"/>
          <w:sz w:val="24"/>
          <w:szCs w:val="24"/>
        </w:rPr>
        <w:t xml:space="preserve">for the auction </w:t>
      </w:r>
      <w:r w:rsidR="003C6A1D">
        <w:rPr>
          <w:rFonts w:ascii="Times New Roman" w:hAnsi="Times New Roman"/>
          <w:sz w:val="24"/>
          <w:szCs w:val="24"/>
        </w:rPr>
        <w:t xml:space="preserve">from 21 March 2013 to </w:t>
      </w:r>
      <w:r w:rsidR="00943543">
        <w:rPr>
          <w:rFonts w:ascii="Times New Roman" w:hAnsi="Times New Roman"/>
          <w:sz w:val="24"/>
          <w:szCs w:val="24"/>
        </w:rPr>
        <w:t>28 March</w:t>
      </w:r>
      <w:r w:rsidR="003C6A1D">
        <w:rPr>
          <w:rFonts w:ascii="Times New Roman" w:hAnsi="Times New Roman"/>
          <w:sz w:val="24"/>
          <w:szCs w:val="24"/>
        </w:rPr>
        <w:t xml:space="preserve"> 2013. </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b/>
          <w:bCs/>
          <w:sz w:val="24"/>
          <w:szCs w:val="24"/>
        </w:rPr>
        <w:t>Background</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color w:val="000000"/>
          <w:sz w:val="24"/>
          <w:szCs w:val="24"/>
        </w:rPr>
        <w:t>On 1 November 2011, the Minister declared spectrum in the following bands to be re-allocated by issuing spectrum licences:</w:t>
      </w:r>
    </w:p>
    <w:p w:rsidR="008E1CD6" w:rsidRPr="008E1CD6" w:rsidRDefault="008E1CD6" w:rsidP="008E1CD6">
      <w:pPr>
        <w:spacing w:before="120"/>
        <w:ind w:left="714" w:hanging="357"/>
        <w:jc w:val="left"/>
        <w:rPr>
          <w:rFonts w:ascii="Arial" w:hAnsi="Arial" w:cs="Arial"/>
          <w:sz w:val="19"/>
          <w:szCs w:val="19"/>
        </w:rPr>
      </w:pPr>
      <w:r w:rsidRPr="008E1CD6">
        <w:rPr>
          <w:rFonts w:ascii="Symbol" w:hAnsi="Symbol" w:cs="Arial"/>
          <w:color w:val="000000"/>
          <w:sz w:val="24"/>
          <w:szCs w:val="24"/>
        </w:rPr>
        <w:t></w:t>
      </w:r>
      <w:r w:rsidRPr="008E1CD6">
        <w:rPr>
          <w:rFonts w:ascii="Times New Roman" w:hAnsi="Times New Roman"/>
          <w:color w:val="000000"/>
          <w:sz w:val="14"/>
          <w:szCs w:val="14"/>
        </w:rPr>
        <w:t xml:space="preserve">         </w:t>
      </w:r>
      <w:r w:rsidRPr="008E1CD6">
        <w:rPr>
          <w:rFonts w:ascii="Times New Roman" w:hAnsi="Times New Roman"/>
          <w:color w:val="000000"/>
          <w:sz w:val="24"/>
          <w:szCs w:val="24"/>
        </w:rPr>
        <w:t>the 700MHz band – in the ranges 703 MHz to 748 MHz and 758 MHz to 803 MHz (</w:t>
      </w:r>
      <w:r w:rsidRPr="008E1CD6">
        <w:rPr>
          <w:rFonts w:ascii="Times New Roman" w:hAnsi="Times New Roman"/>
          <w:i/>
          <w:iCs/>
          <w:color w:val="000000"/>
          <w:sz w:val="24"/>
          <w:szCs w:val="24"/>
        </w:rPr>
        <w:t>Radiocommunications (Spectrum Re-allocation) Declaration No. 1 of 2011</w:t>
      </w:r>
      <w:r w:rsidRPr="008E1CD6">
        <w:rPr>
          <w:rFonts w:ascii="Times New Roman" w:hAnsi="Times New Roman"/>
          <w:color w:val="000000"/>
          <w:sz w:val="24"/>
          <w:szCs w:val="24"/>
        </w:rPr>
        <w:t>); and</w:t>
      </w:r>
    </w:p>
    <w:p w:rsidR="008E1CD6" w:rsidRPr="008E1CD6" w:rsidRDefault="008E1CD6" w:rsidP="008E1CD6">
      <w:pPr>
        <w:spacing w:before="120"/>
        <w:ind w:left="714" w:hanging="357"/>
        <w:jc w:val="left"/>
        <w:rPr>
          <w:rFonts w:ascii="Arial" w:hAnsi="Arial" w:cs="Arial"/>
          <w:sz w:val="19"/>
          <w:szCs w:val="19"/>
        </w:rPr>
      </w:pPr>
      <w:r w:rsidRPr="008E1CD6">
        <w:rPr>
          <w:rFonts w:ascii="Symbol" w:hAnsi="Symbol" w:cs="Arial"/>
          <w:color w:val="000000"/>
          <w:sz w:val="24"/>
          <w:szCs w:val="24"/>
        </w:rPr>
        <w:t></w:t>
      </w:r>
      <w:r w:rsidRPr="008E1CD6">
        <w:rPr>
          <w:rFonts w:ascii="Times New Roman" w:hAnsi="Times New Roman"/>
          <w:color w:val="000000"/>
          <w:sz w:val="14"/>
          <w:szCs w:val="14"/>
        </w:rPr>
        <w:t xml:space="preserve">         </w:t>
      </w:r>
      <w:r w:rsidRPr="008E1CD6">
        <w:rPr>
          <w:rFonts w:ascii="Times New Roman" w:hAnsi="Times New Roman"/>
          <w:color w:val="000000"/>
          <w:sz w:val="24"/>
          <w:szCs w:val="24"/>
        </w:rPr>
        <w:t>the 2.5GHz band – in the ranges 2500 MHz to 2570 MHz and 2620 MHz to 2690 MHz (</w:t>
      </w:r>
      <w:r w:rsidRPr="008E1CD6">
        <w:rPr>
          <w:rFonts w:ascii="Times New Roman" w:hAnsi="Times New Roman"/>
          <w:i/>
          <w:iCs/>
          <w:color w:val="000000"/>
          <w:sz w:val="24"/>
          <w:szCs w:val="24"/>
        </w:rPr>
        <w:t>Radiocommunications (Spectrum Re-allocation) Declaration No. 2 of 2011</w:t>
      </w:r>
      <w:r w:rsidRPr="008E1CD6">
        <w:rPr>
          <w:rFonts w:ascii="Times New Roman" w:hAnsi="Times New Roman"/>
          <w:color w:val="000000"/>
          <w:sz w:val="24"/>
          <w:szCs w:val="24"/>
        </w:rPr>
        <w:t>).</w:t>
      </w:r>
    </w:p>
    <w:p w:rsidR="008E1CD6" w:rsidRDefault="008E1CD6" w:rsidP="008E1CD6">
      <w:pPr>
        <w:spacing w:after="100" w:afterAutospacing="1"/>
        <w:jc w:val="left"/>
        <w:rPr>
          <w:rFonts w:ascii="Times New Roman" w:hAnsi="Times New Roman"/>
          <w:color w:val="000000"/>
          <w:sz w:val="24"/>
          <w:szCs w:val="24"/>
        </w:rPr>
      </w:pPr>
    </w:p>
    <w:p w:rsidR="008E1CD6" w:rsidRPr="008E1CD6" w:rsidRDefault="008E1CD6" w:rsidP="008E1CD6">
      <w:pPr>
        <w:spacing w:after="100" w:afterAutospacing="1"/>
        <w:jc w:val="left"/>
        <w:rPr>
          <w:rFonts w:ascii="Arial" w:hAnsi="Arial" w:cs="Arial"/>
          <w:sz w:val="19"/>
          <w:szCs w:val="19"/>
        </w:rPr>
      </w:pPr>
      <w:r>
        <w:rPr>
          <w:rFonts w:ascii="Times New Roman" w:hAnsi="Times New Roman"/>
          <w:color w:val="000000"/>
          <w:sz w:val="24"/>
          <w:szCs w:val="24"/>
        </w:rPr>
        <w:t xml:space="preserve">On 19 December 2012 the ACMA made the </w:t>
      </w:r>
      <w:r w:rsidRPr="008E1CD6">
        <w:rPr>
          <w:rFonts w:ascii="Times New Roman" w:hAnsi="Times New Roman"/>
          <w:i/>
          <w:color w:val="000000"/>
          <w:sz w:val="24"/>
          <w:szCs w:val="24"/>
        </w:rPr>
        <w:t>Radiocommunications (Spectrum Lice</w:t>
      </w:r>
      <w:r w:rsidR="00F521F0">
        <w:rPr>
          <w:rFonts w:ascii="Times New Roman" w:hAnsi="Times New Roman"/>
          <w:i/>
          <w:color w:val="000000"/>
          <w:sz w:val="24"/>
          <w:szCs w:val="24"/>
        </w:rPr>
        <w:t>n</w:t>
      </w:r>
      <w:r w:rsidRPr="008E1CD6">
        <w:rPr>
          <w:rFonts w:ascii="Times New Roman" w:hAnsi="Times New Roman"/>
          <w:i/>
          <w:color w:val="000000"/>
          <w:sz w:val="24"/>
          <w:szCs w:val="24"/>
        </w:rPr>
        <w:t>ce Allocation—Combinatorial Clock Auction) Determination 2012</w:t>
      </w:r>
      <w:r>
        <w:rPr>
          <w:rFonts w:ascii="Times New Roman" w:hAnsi="Times New Roman"/>
          <w:color w:val="000000"/>
          <w:sz w:val="24"/>
          <w:szCs w:val="24"/>
        </w:rPr>
        <w:t xml:space="preserve"> (the CCA Determination), under sections 60 and 294 of the </w:t>
      </w:r>
      <w:r w:rsidRPr="008E1CD6">
        <w:rPr>
          <w:rFonts w:ascii="Times New Roman" w:hAnsi="Times New Roman"/>
          <w:i/>
          <w:color w:val="000000"/>
          <w:sz w:val="24"/>
          <w:szCs w:val="24"/>
        </w:rPr>
        <w:t>Radiocommunications Act 1992</w:t>
      </w:r>
      <w:r>
        <w:rPr>
          <w:rFonts w:ascii="Times New Roman" w:hAnsi="Times New Roman"/>
          <w:color w:val="000000"/>
          <w:sz w:val="24"/>
          <w:szCs w:val="24"/>
        </w:rPr>
        <w:t xml:space="preserve"> (the Act). The CCA Determination sets out the procedures </w:t>
      </w:r>
      <w:r w:rsidR="00F521F0">
        <w:rPr>
          <w:rFonts w:ascii="Times New Roman" w:hAnsi="Times New Roman"/>
          <w:color w:val="000000"/>
          <w:sz w:val="24"/>
          <w:szCs w:val="24"/>
        </w:rPr>
        <w:t xml:space="preserve">the ACMA must </w:t>
      </w:r>
      <w:r w:rsidRPr="008E1CD6">
        <w:rPr>
          <w:rFonts w:ascii="Times New Roman" w:hAnsi="Times New Roman"/>
          <w:color w:val="000000"/>
          <w:sz w:val="24"/>
          <w:szCs w:val="24"/>
        </w:rPr>
        <w:t xml:space="preserve">apply in </w:t>
      </w:r>
      <w:r w:rsidR="00F521F0">
        <w:rPr>
          <w:rFonts w:ascii="Times New Roman" w:hAnsi="Times New Roman"/>
          <w:color w:val="000000"/>
          <w:sz w:val="24"/>
          <w:szCs w:val="24"/>
        </w:rPr>
        <w:t>its</w:t>
      </w:r>
      <w:r>
        <w:rPr>
          <w:rFonts w:ascii="Times New Roman" w:hAnsi="Times New Roman"/>
          <w:color w:val="000000"/>
          <w:sz w:val="24"/>
          <w:szCs w:val="24"/>
        </w:rPr>
        <w:t xml:space="preserve"> allocation of</w:t>
      </w:r>
      <w:r w:rsidRPr="008E1CD6">
        <w:rPr>
          <w:rFonts w:ascii="Times New Roman" w:hAnsi="Times New Roman"/>
          <w:color w:val="000000"/>
          <w:sz w:val="24"/>
          <w:szCs w:val="24"/>
        </w:rPr>
        <w:t xml:space="preserve"> the relevant spectrum</w:t>
      </w:r>
      <w:r w:rsidR="003C6A1D">
        <w:rPr>
          <w:rFonts w:ascii="Times New Roman" w:hAnsi="Times New Roman"/>
          <w:color w:val="000000"/>
          <w:sz w:val="24"/>
          <w:szCs w:val="24"/>
        </w:rPr>
        <w:t xml:space="preserve"> and in fixing spectrum access charges payable by licensees for issuing spectrum licences</w:t>
      </w:r>
      <w:r w:rsidRPr="008E1CD6">
        <w:rPr>
          <w:rFonts w:ascii="Times New Roman" w:hAnsi="Times New Roman"/>
          <w:color w:val="000000"/>
          <w:sz w:val="24"/>
          <w:szCs w:val="24"/>
        </w:rPr>
        <w:t>.</w:t>
      </w:r>
    </w:p>
    <w:p w:rsidR="006C23F1" w:rsidRDefault="006C23F1" w:rsidP="00D808A9">
      <w:pPr>
        <w:keepNext/>
        <w:spacing w:after="100" w:afterAutospacing="1"/>
        <w:jc w:val="left"/>
        <w:rPr>
          <w:rFonts w:ascii="Times New Roman" w:hAnsi="Times New Roman"/>
          <w:i/>
          <w:iCs/>
          <w:color w:val="000000"/>
          <w:sz w:val="24"/>
          <w:szCs w:val="24"/>
        </w:rPr>
      </w:pPr>
      <w:r>
        <w:rPr>
          <w:rFonts w:ascii="Times New Roman" w:hAnsi="Times New Roman"/>
          <w:i/>
          <w:iCs/>
          <w:color w:val="000000"/>
          <w:sz w:val="24"/>
          <w:szCs w:val="24"/>
        </w:rPr>
        <w:t>Timing of payment</w:t>
      </w:r>
    </w:p>
    <w:p w:rsidR="00FE43AD" w:rsidRDefault="006C23F1" w:rsidP="00D808A9">
      <w:pPr>
        <w:keepNext/>
        <w:spacing w:after="100" w:afterAutospacing="1"/>
        <w:jc w:val="left"/>
        <w:rPr>
          <w:rFonts w:ascii="Times New Roman" w:hAnsi="Times New Roman"/>
          <w:iCs/>
          <w:color w:val="000000"/>
          <w:sz w:val="24"/>
          <w:szCs w:val="24"/>
        </w:rPr>
      </w:pPr>
      <w:r>
        <w:rPr>
          <w:rFonts w:ascii="Times New Roman" w:hAnsi="Times New Roman"/>
          <w:iCs/>
          <w:color w:val="000000"/>
          <w:sz w:val="24"/>
          <w:szCs w:val="24"/>
        </w:rPr>
        <w:t xml:space="preserve">Under subsection 6.8(1) of the CCA Determination, the ACMA is required to notify </w:t>
      </w:r>
      <w:r w:rsidR="009F31FB">
        <w:rPr>
          <w:rFonts w:ascii="Times New Roman" w:hAnsi="Times New Roman"/>
          <w:iCs/>
          <w:color w:val="000000"/>
          <w:sz w:val="24"/>
          <w:szCs w:val="24"/>
        </w:rPr>
        <w:t xml:space="preserve">a </w:t>
      </w:r>
      <w:r>
        <w:rPr>
          <w:rFonts w:ascii="Times New Roman" w:hAnsi="Times New Roman"/>
          <w:iCs/>
          <w:color w:val="000000"/>
          <w:sz w:val="24"/>
          <w:szCs w:val="24"/>
        </w:rPr>
        <w:t xml:space="preserve">winning bidder of the balance of the winning price payable by the bidder for the spectrum </w:t>
      </w:r>
      <w:r>
        <w:rPr>
          <w:rFonts w:ascii="Times New Roman" w:hAnsi="Times New Roman"/>
          <w:iCs/>
          <w:color w:val="000000"/>
          <w:sz w:val="24"/>
          <w:szCs w:val="24"/>
        </w:rPr>
        <w:lastRenderedPageBreak/>
        <w:t xml:space="preserve">allocated </w:t>
      </w:r>
      <w:r w:rsidR="009F31FB">
        <w:rPr>
          <w:rFonts w:ascii="Times New Roman" w:hAnsi="Times New Roman"/>
          <w:iCs/>
          <w:color w:val="000000"/>
          <w:sz w:val="24"/>
          <w:szCs w:val="24"/>
        </w:rPr>
        <w:t xml:space="preserve">to the person </w:t>
      </w:r>
      <w:r>
        <w:rPr>
          <w:rFonts w:ascii="Times New Roman" w:hAnsi="Times New Roman"/>
          <w:iCs/>
          <w:color w:val="000000"/>
          <w:sz w:val="24"/>
          <w:szCs w:val="24"/>
        </w:rPr>
        <w:t xml:space="preserve">as a result of the auction.  In accordance with </w:t>
      </w:r>
      <w:r w:rsidR="00FE43AD">
        <w:rPr>
          <w:rFonts w:ascii="Times New Roman" w:hAnsi="Times New Roman"/>
          <w:iCs/>
          <w:color w:val="000000"/>
          <w:sz w:val="24"/>
          <w:szCs w:val="24"/>
        </w:rPr>
        <w:t xml:space="preserve">the ACMA’s </w:t>
      </w:r>
      <w:r>
        <w:rPr>
          <w:rFonts w:ascii="Times New Roman" w:hAnsi="Times New Roman"/>
          <w:iCs/>
          <w:color w:val="000000"/>
          <w:sz w:val="24"/>
          <w:szCs w:val="24"/>
        </w:rPr>
        <w:t xml:space="preserve">usual practice, it is currently anticipated that </w:t>
      </w:r>
      <w:r w:rsidR="00D361A8">
        <w:rPr>
          <w:rFonts w:ascii="Times New Roman" w:hAnsi="Times New Roman"/>
          <w:iCs/>
          <w:color w:val="000000"/>
          <w:sz w:val="24"/>
          <w:szCs w:val="24"/>
        </w:rPr>
        <w:t xml:space="preserve">the successful bidders </w:t>
      </w:r>
      <w:r w:rsidR="00F521F0">
        <w:rPr>
          <w:rFonts w:ascii="Times New Roman" w:hAnsi="Times New Roman"/>
          <w:iCs/>
          <w:color w:val="000000"/>
          <w:sz w:val="24"/>
          <w:szCs w:val="24"/>
        </w:rPr>
        <w:t xml:space="preserve">would </w:t>
      </w:r>
      <w:r w:rsidR="00D361A8">
        <w:rPr>
          <w:rFonts w:ascii="Times New Roman" w:hAnsi="Times New Roman"/>
          <w:iCs/>
          <w:color w:val="000000"/>
          <w:sz w:val="24"/>
          <w:szCs w:val="24"/>
        </w:rPr>
        <w:t>be required to pay the balance of their respective winning price</w:t>
      </w:r>
      <w:r w:rsidR="00042960">
        <w:rPr>
          <w:rFonts w:ascii="Times New Roman" w:hAnsi="Times New Roman"/>
          <w:iCs/>
          <w:color w:val="000000"/>
          <w:sz w:val="24"/>
          <w:szCs w:val="24"/>
        </w:rPr>
        <w:t xml:space="preserve"> shortly after the auction concludes, that is,</w:t>
      </w:r>
      <w:r w:rsidR="00D361A8">
        <w:rPr>
          <w:rFonts w:ascii="Times New Roman" w:hAnsi="Times New Roman"/>
          <w:iCs/>
          <w:color w:val="000000"/>
          <w:sz w:val="24"/>
          <w:szCs w:val="24"/>
        </w:rPr>
        <w:t xml:space="preserve"> in mid-2013.  This dir</w:t>
      </w:r>
      <w:r w:rsidR="008D77E7">
        <w:rPr>
          <w:rFonts w:ascii="Times New Roman" w:hAnsi="Times New Roman"/>
          <w:iCs/>
          <w:color w:val="000000"/>
          <w:sz w:val="24"/>
          <w:szCs w:val="24"/>
        </w:rPr>
        <w:t>ection will require the ACMA to</w:t>
      </w:r>
      <w:r w:rsidR="00D361A8">
        <w:rPr>
          <w:rFonts w:ascii="Times New Roman" w:hAnsi="Times New Roman"/>
          <w:iCs/>
          <w:color w:val="000000"/>
          <w:sz w:val="24"/>
          <w:szCs w:val="24"/>
        </w:rPr>
        <w:t xml:space="preserve"> </w:t>
      </w:r>
      <w:r w:rsidR="002E22B9">
        <w:rPr>
          <w:rFonts w:ascii="Times New Roman" w:hAnsi="Times New Roman"/>
          <w:iCs/>
          <w:color w:val="000000"/>
          <w:sz w:val="24"/>
          <w:szCs w:val="24"/>
        </w:rPr>
        <w:t xml:space="preserve">not notify </w:t>
      </w:r>
      <w:r w:rsidR="00D361A8">
        <w:rPr>
          <w:rFonts w:ascii="Times New Roman" w:hAnsi="Times New Roman"/>
          <w:iCs/>
          <w:color w:val="000000"/>
          <w:sz w:val="24"/>
          <w:szCs w:val="24"/>
        </w:rPr>
        <w:t xml:space="preserve">the winning bidders under subsection 6.8(1) </w:t>
      </w:r>
      <w:r w:rsidR="008D77E7">
        <w:rPr>
          <w:rFonts w:ascii="Times New Roman" w:hAnsi="Times New Roman"/>
          <w:iCs/>
          <w:color w:val="000000"/>
          <w:sz w:val="24"/>
          <w:szCs w:val="24"/>
        </w:rPr>
        <w:t>before</w:t>
      </w:r>
      <w:r w:rsidR="00D361A8">
        <w:rPr>
          <w:rFonts w:ascii="Times New Roman" w:hAnsi="Times New Roman"/>
          <w:iCs/>
          <w:color w:val="000000"/>
          <w:sz w:val="24"/>
          <w:szCs w:val="24"/>
        </w:rPr>
        <w:t xml:space="preserve"> 1 October 2014</w:t>
      </w:r>
      <w:r w:rsidR="00FE43AD">
        <w:rPr>
          <w:rFonts w:ascii="Times New Roman" w:hAnsi="Times New Roman"/>
          <w:iCs/>
          <w:color w:val="000000"/>
          <w:sz w:val="24"/>
          <w:szCs w:val="24"/>
        </w:rPr>
        <w:t>.  An</w:t>
      </w:r>
      <w:r w:rsidR="00D361A8">
        <w:rPr>
          <w:rFonts w:ascii="Times New Roman" w:hAnsi="Times New Roman"/>
          <w:iCs/>
          <w:color w:val="000000"/>
          <w:sz w:val="24"/>
          <w:szCs w:val="24"/>
        </w:rPr>
        <w:t xml:space="preserve"> except</w:t>
      </w:r>
      <w:r w:rsidR="00FE43AD">
        <w:rPr>
          <w:rFonts w:ascii="Times New Roman" w:hAnsi="Times New Roman"/>
          <w:iCs/>
          <w:color w:val="000000"/>
          <w:sz w:val="24"/>
          <w:szCs w:val="24"/>
        </w:rPr>
        <w:t>ion to this requirement is</w:t>
      </w:r>
      <w:r w:rsidR="00D361A8">
        <w:rPr>
          <w:rFonts w:ascii="Times New Roman" w:hAnsi="Times New Roman"/>
          <w:iCs/>
          <w:color w:val="000000"/>
          <w:sz w:val="24"/>
          <w:szCs w:val="24"/>
        </w:rPr>
        <w:t xml:space="preserve"> </w:t>
      </w:r>
      <w:r w:rsidR="008D77E7">
        <w:rPr>
          <w:rFonts w:ascii="Times New Roman" w:hAnsi="Times New Roman"/>
          <w:iCs/>
          <w:color w:val="000000"/>
          <w:sz w:val="24"/>
          <w:szCs w:val="24"/>
        </w:rPr>
        <w:t>where any of the spectrum licences allocated to a particular bidder has a commencement date</w:t>
      </w:r>
      <w:r w:rsidR="00D361A8">
        <w:rPr>
          <w:rFonts w:ascii="Times New Roman" w:hAnsi="Times New Roman"/>
          <w:iCs/>
          <w:color w:val="000000"/>
          <w:sz w:val="24"/>
          <w:szCs w:val="24"/>
        </w:rPr>
        <w:t xml:space="preserve"> of 1 October 2014</w:t>
      </w:r>
      <w:r w:rsidR="00FE43AD">
        <w:rPr>
          <w:rFonts w:ascii="Times New Roman" w:hAnsi="Times New Roman"/>
          <w:iCs/>
          <w:color w:val="000000"/>
          <w:sz w:val="24"/>
          <w:szCs w:val="24"/>
        </w:rPr>
        <w:t xml:space="preserve"> – for </w:t>
      </w:r>
      <w:r w:rsidR="008D77E7">
        <w:rPr>
          <w:rFonts w:ascii="Times New Roman" w:hAnsi="Times New Roman"/>
          <w:iCs/>
          <w:color w:val="000000"/>
          <w:sz w:val="24"/>
          <w:szCs w:val="24"/>
        </w:rPr>
        <w:t xml:space="preserve">any such bidder, the direction requires the ACMA to not issue the notice under subsection 6.8(1) before </w:t>
      </w:r>
      <w:r w:rsidR="00D361A8">
        <w:rPr>
          <w:rFonts w:ascii="Times New Roman" w:hAnsi="Times New Roman"/>
          <w:iCs/>
          <w:color w:val="000000"/>
          <w:sz w:val="24"/>
          <w:szCs w:val="24"/>
        </w:rPr>
        <w:t xml:space="preserve">19 August 2014.  </w:t>
      </w:r>
    </w:p>
    <w:p w:rsidR="00DB5F16" w:rsidRDefault="00DB5F16" w:rsidP="00DB5F16">
      <w:pPr>
        <w:spacing w:after="100" w:afterAutospacing="1"/>
        <w:jc w:val="left"/>
        <w:rPr>
          <w:rFonts w:ascii="Times New Roman" w:hAnsi="Times New Roman"/>
          <w:color w:val="000000"/>
          <w:sz w:val="24"/>
          <w:szCs w:val="24"/>
        </w:rPr>
      </w:pPr>
      <w:r>
        <w:rPr>
          <w:rFonts w:ascii="Times New Roman" w:hAnsi="Times New Roman"/>
          <w:color w:val="000000"/>
          <w:sz w:val="24"/>
          <w:szCs w:val="24"/>
        </w:rPr>
        <w:t>The two different dates provided for in the direction reflect the different commencement dates of the spectrum licences.  The spectrum licences for the 700 MHz band are to commence on 1</w:t>
      </w:r>
      <w:r w:rsidR="00F27B58">
        <w:rPr>
          <w:rFonts w:ascii="Times New Roman" w:hAnsi="Times New Roman"/>
          <w:color w:val="000000"/>
          <w:sz w:val="24"/>
          <w:szCs w:val="24"/>
        </w:rPr>
        <w:t> </w:t>
      </w:r>
      <w:r>
        <w:rPr>
          <w:rFonts w:ascii="Times New Roman" w:hAnsi="Times New Roman"/>
          <w:color w:val="000000"/>
          <w:sz w:val="24"/>
          <w:szCs w:val="24"/>
        </w:rPr>
        <w:t>January 2015.  The licences for the 2.5 GHz band are to commence on 1 October 2014, except for those licences solely in the Metro Perth and/or Regional Western Australia region which are due to commence on 1 February 2016. The later time for the ACMA issuing the notice under subsection 6.8(1) of the CCA Determination will result in the balance of the licence payments being due closer to the commencement date of the spectrum licences.</w:t>
      </w:r>
    </w:p>
    <w:p w:rsidR="00F521F0" w:rsidRDefault="00F521F0" w:rsidP="00F521F0">
      <w:pPr>
        <w:spacing w:after="100" w:afterAutospacing="1"/>
        <w:jc w:val="left"/>
        <w:rPr>
          <w:rFonts w:ascii="Times New Roman" w:hAnsi="Times New Roman"/>
          <w:color w:val="000000"/>
          <w:sz w:val="24"/>
          <w:szCs w:val="24"/>
        </w:rPr>
      </w:pPr>
      <w:r>
        <w:rPr>
          <w:rFonts w:ascii="Times New Roman" w:hAnsi="Times New Roman"/>
          <w:iCs/>
          <w:color w:val="000000"/>
          <w:sz w:val="24"/>
          <w:szCs w:val="24"/>
        </w:rPr>
        <w:t xml:space="preserve">In deciding to </w:t>
      </w:r>
      <w:r w:rsidR="002E22B9">
        <w:rPr>
          <w:rFonts w:ascii="Times New Roman" w:hAnsi="Times New Roman"/>
          <w:iCs/>
          <w:color w:val="000000"/>
          <w:sz w:val="24"/>
          <w:szCs w:val="24"/>
        </w:rPr>
        <w:t>change</w:t>
      </w:r>
      <w:r>
        <w:rPr>
          <w:rFonts w:ascii="Times New Roman" w:hAnsi="Times New Roman"/>
          <w:iCs/>
          <w:color w:val="000000"/>
          <w:sz w:val="24"/>
          <w:szCs w:val="24"/>
        </w:rPr>
        <w:t xml:space="preserve"> the timing of the final payments for the spectrum allocated at the auction, the Minister was cognisant that for some licensees, payments for the reissue of expiring spectrum licences and the spectrum allocated at the digital dividend auction may both be required within a short period of time.  Prior to making the direction, the Minister consulted with the applicants in the auction </w:t>
      </w:r>
      <w:r>
        <w:rPr>
          <w:rFonts w:ascii="Times New Roman" w:hAnsi="Times New Roman"/>
          <w:color w:val="000000"/>
          <w:sz w:val="24"/>
          <w:szCs w:val="24"/>
        </w:rPr>
        <w:t xml:space="preserve">(i.e. those persons that had submitted an application to the ACMA and had paid the application fee to the ACMA </w:t>
      </w:r>
      <w:r w:rsidR="00F27B58">
        <w:rPr>
          <w:rFonts w:ascii="Times New Roman" w:hAnsi="Times New Roman"/>
          <w:color w:val="000000"/>
          <w:sz w:val="24"/>
          <w:szCs w:val="24"/>
        </w:rPr>
        <w:t>by</w:t>
      </w:r>
      <w:r>
        <w:rPr>
          <w:rFonts w:ascii="Times New Roman" w:hAnsi="Times New Roman"/>
          <w:color w:val="000000"/>
          <w:sz w:val="24"/>
          <w:szCs w:val="24"/>
        </w:rPr>
        <w:t xml:space="preserve"> the application deadline of 24 January 2013). </w:t>
      </w:r>
    </w:p>
    <w:p w:rsidR="008E1CD6" w:rsidRPr="008E1CD6" w:rsidRDefault="000B3A46" w:rsidP="00D808A9">
      <w:pPr>
        <w:keepNext/>
        <w:spacing w:after="100" w:afterAutospacing="1"/>
        <w:jc w:val="left"/>
        <w:rPr>
          <w:rFonts w:ascii="Times New Roman" w:hAnsi="Times New Roman"/>
          <w:sz w:val="24"/>
          <w:szCs w:val="24"/>
        </w:rPr>
      </w:pPr>
      <w:r>
        <w:rPr>
          <w:rFonts w:ascii="Times New Roman" w:hAnsi="Times New Roman"/>
          <w:i/>
          <w:iCs/>
          <w:color w:val="000000"/>
          <w:sz w:val="24"/>
          <w:szCs w:val="24"/>
        </w:rPr>
        <w:t>Eligibility deadline</w:t>
      </w:r>
    </w:p>
    <w:p w:rsidR="000B3A46" w:rsidRDefault="000B3A46" w:rsidP="008E1CD6">
      <w:pPr>
        <w:spacing w:after="100" w:afterAutospacing="1"/>
        <w:jc w:val="left"/>
        <w:rPr>
          <w:rFonts w:ascii="Times New Roman" w:hAnsi="Times New Roman"/>
          <w:iCs/>
          <w:color w:val="000000"/>
          <w:sz w:val="24"/>
          <w:szCs w:val="24"/>
        </w:rPr>
      </w:pPr>
      <w:r w:rsidRPr="000B3A46">
        <w:rPr>
          <w:rFonts w:ascii="Times New Roman" w:hAnsi="Times New Roman"/>
          <w:iCs/>
          <w:color w:val="000000"/>
          <w:sz w:val="24"/>
          <w:szCs w:val="24"/>
        </w:rPr>
        <w:t>Under subsection 4.4(1) of the CCA Determination, it is a requirement that the ACMA publish a notice on its website setting out various information relating to the auction process for the allocation of the relevant spectrum, including the eligibility deadline, being the date and time before which completed eligibility nomination forms must be received by the ACMA and eligibility payments must be paid to the ACMA on behalf of the Commonwealth, or deeds of financial security must be given to the ACMA.</w:t>
      </w:r>
    </w:p>
    <w:p w:rsidR="00F5205E" w:rsidRDefault="00F5205E" w:rsidP="008E1CD6">
      <w:pPr>
        <w:spacing w:after="100" w:afterAutospacing="1"/>
        <w:jc w:val="left"/>
        <w:rPr>
          <w:rFonts w:ascii="Times New Roman" w:hAnsi="Times New Roman"/>
          <w:iCs/>
          <w:color w:val="000000"/>
          <w:sz w:val="24"/>
          <w:szCs w:val="24"/>
        </w:rPr>
      </w:pPr>
      <w:r>
        <w:rPr>
          <w:rFonts w:ascii="Times New Roman" w:hAnsi="Times New Roman"/>
          <w:iCs/>
          <w:color w:val="000000"/>
          <w:sz w:val="24"/>
          <w:szCs w:val="24"/>
        </w:rPr>
        <w:t>In accordance with this requirement, the ACMA published a notice on its website on 3 January 2013, announcing, among other things, an eligibility deadline of 21 March 2013.</w:t>
      </w:r>
      <w:r>
        <w:rPr>
          <w:rStyle w:val="FootnoteReference"/>
          <w:rFonts w:ascii="Times New Roman" w:hAnsi="Times New Roman"/>
          <w:iCs/>
          <w:color w:val="000000"/>
          <w:sz w:val="24"/>
          <w:szCs w:val="24"/>
        </w:rPr>
        <w:footnoteReference w:id="1"/>
      </w:r>
    </w:p>
    <w:p w:rsidR="000B3A46" w:rsidRDefault="000B3A46" w:rsidP="008E1CD6">
      <w:pPr>
        <w:spacing w:after="100" w:afterAutospacing="1"/>
        <w:jc w:val="left"/>
        <w:rPr>
          <w:rFonts w:ascii="Times New Roman" w:hAnsi="Times New Roman"/>
          <w:iCs/>
          <w:color w:val="000000"/>
          <w:sz w:val="24"/>
          <w:szCs w:val="24"/>
        </w:rPr>
      </w:pPr>
      <w:r>
        <w:rPr>
          <w:rFonts w:ascii="Times New Roman" w:hAnsi="Times New Roman"/>
          <w:iCs/>
          <w:color w:val="000000"/>
          <w:sz w:val="24"/>
          <w:szCs w:val="24"/>
        </w:rPr>
        <w:t xml:space="preserve">The auction process that has been set up by the ACMA for the allocation of the relevant spectrum is a combinatorial clock auction. Under this auction, an applicant to the auction is required to nominate by the eligibility deadline </w:t>
      </w:r>
      <w:r w:rsidR="003C6A1D">
        <w:rPr>
          <w:rFonts w:ascii="Times New Roman" w:hAnsi="Times New Roman"/>
          <w:iCs/>
          <w:color w:val="000000"/>
          <w:sz w:val="24"/>
          <w:szCs w:val="24"/>
        </w:rPr>
        <w:t>its initial eligibility points – this is the number of points a bidder may use to bid on lots in the auction</w:t>
      </w:r>
      <w:r>
        <w:rPr>
          <w:rFonts w:ascii="Times New Roman" w:hAnsi="Times New Roman"/>
          <w:iCs/>
          <w:color w:val="000000"/>
          <w:sz w:val="24"/>
          <w:szCs w:val="24"/>
        </w:rPr>
        <w:t xml:space="preserve">. The eligibility payment required to be made by the applicant </w:t>
      </w:r>
      <w:r w:rsidR="00D808A9">
        <w:rPr>
          <w:rFonts w:ascii="Times New Roman" w:hAnsi="Times New Roman"/>
          <w:iCs/>
          <w:color w:val="000000"/>
          <w:sz w:val="24"/>
          <w:szCs w:val="24"/>
        </w:rPr>
        <w:t xml:space="preserve">by the eligibility deadline </w:t>
      </w:r>
      <w:r>
        <w:rPr>
          <w:rFonts w:ascii="Times New Roman" w:hAnsi="Times New Roman"/>
          <w:iCs/>
          <w:color w:val="000000"/>
          <w:sz w:val="24"/>
          <w:szCs w:val="24"/>
        </w:rPr>
        <w:t xml:space="preserve">is </w:t>
      </w:r>
      <w:r w:rsidR="00F5205E">
        <w:rPr>
          <w:rFonts w:ascii="Times New Roman" w:hAnsi="Times New Roman"/>
          <w:iCs/>
          <w:color w:val="000000"/>
          <w:sz w:val="24"/>
          <w:szCs w:val="24"/>
        </w:rPr>
        <w:t>calculated on the basis of</w:t>
      </w:r>
      <w:r>
        <w:rPr>
          <w:rFonts w:ascii="Times New Roman" w:hAnsi="Times New Roman"/>
          <w:iCs/>
          <w:color w:val="000000"/>
          <w:sz w:val="24"/>
          <w:szCs w:val="24"/>
        </w:rPr>
        <w:t xml:space="preserve"> the </w:t>
      </w:r>
      <w:r w:rsidR="003C6A1D">
        <w:rPr>
          <w:rFonts w:ascii="Times New Roman" w:hAnsi="Times New Roman"/>
          <w:iCs/>
          <w:color w:val="000000"/>
          <w:sz w:val="24"/>
          <w:szCs w:val="24"/>
        </w:rPr>
        <w:t>number of points nominated by the applicant</w:t>
      </w:r>
      <w:r w:rsidR="00F5205E">
        <w:rPr>
          <w:rFonts w:ascii="Times New Roman" w:hAnsi="Times New Roman"/>
          <w:iCs/>
          <w:color w:val="000000"/>
          <w:sz w:val="24"/>
          <w:szCs w:val="24"/>
        </w:rPr>
        <w:t xml:space="preserve"> (see Division 4 of Part 4 of the CCA Determination)</w:t>
      </w:r>
      <w:r>
        <w:rPr>
          <w:rFonts w:ascii="Times New Roman" w:hAnsi="Times New Roman"/>
          <w:iCs/>
          <w:color w:val="000000"/>
          <w:sz w:val="24"/>
          <w:szCs w:val="24"/>
        </w:rPr>
        <w:t>.</w:t>
      </w:r>
      <w:r w:rsidR="00BA4793">
        <w:rPr>
          <w:rFonts w:ascii="Times New Roman" w:hAnsi="Times New Roman"/>
          <w:iCs/>
          <w:color w:val="000000"/>
          <w:sz w:val="24"/>
          <w:szCs w:val="24"/>
        </w:rPr>
        <w:t xml:space="preserve"> In other words, by the eligibility deadline, an applicant is required to identify the amount of spectrum that the applicant is interested in bidding for, and to make a part payment based on that amount of spectrum.</w:t>
      </w:r>
    </w:p>
    <w:p w:rsidR="000B3A46" w:rsidRPr="000B3A46" w:rsidRDefault="000B3A46" w:rsidP="008E1CD6">
      <w:pPr>
        <w:spacing w:after="100" w:afterAutospacing="1"/>
        <w:jc w:val="left"/>
        <w:rPr>
          <w:rFonts w:ascii="Times New Roman" w:hAnsi="Times New Roman"/>
          <w:iCs/>
          <w:color w:val="000000"/>
          <w:sz w:val="24"/>
          <w:szCs w:val="24"/>
        </w:rPr>
      </w:pPr>
      <w:r>
        <w:rPr>
          <w:rFonts w:ascii="Times New Roman" w:hAnsi="Times New Roman"/>
          <w:iCs/>
          <w:color w:val="000000"/>
          <w:sz w:val="24"/>
          <w:szCs w:val="24"/>
        </w:rPr>
        <w:lastRenderedPageBreak/>
        <w:t xml:space="preserve">Subsection 4.4(2) of the CCA Determination states that if a matter mentioned in the notice published by the ACMA on its website changes, then the ACMA must publish on its website another notice giving details of the change. </w:t>
      </w:r>
    </w:p>
    <w:p w:rsidR="000B3A46" w:rsidRDefault="009F31FB" w:rsidP="0087566B">
      <w:pPr>
        <w:spacing w:after="100" w:afterAutospacing="1"/>
        <w:jc w:val="left"/>
        <w:rPr>
          <w:rFonts w:ascii="Times New Roman" w:hAnsi="Times New Roman"/>
          <w:color w:val="000000"/>
          <w:sz w:val="24"/>
          <w:szCs w:val="24"/>
        </w:rPr>
      </w:pPr>
      <w:r>
        <w:rPr>
          <w:rFonts w:ascii="Times New Roman" w:hAnsi="Times New Roman"/>
          <w:color w:val="000000"/>
          <w:sz w:val="24"/>
          <w:szCs w:val="24"/>
        </w:rPr>
        <w:t>The Minister is mindful t</w:t>
      </w:r>
      <w:r w:rsidR="0087566B">
        <w:rPr>
          <w:rFonts w:ascii="Times New Roman" w:hAnsi="Times New Roman"/>
          <w:color w:val="000000"/>
          <w:sz w:val="24"/>
          <w:szCs w:val="24"/>
        </w:rPr>
        <w:t xml:space="preserve">he </w:t>
      </w:r>
      <w:r w:rsidR="00F521F0">
        <w:rPr>
          <w:rFonts w:ascii="Times New Roman" w:hAnsi="Times New Roman"/>
          <w:color w:val="000000"/>
          <w:sz w:val="24"/>
          <w:szCs w:val="24"/>
        </w:rPr>
        <w:t xml:space="preserve">change </w:t>
      </w:r>
      <w:r w:rsidR="0087566B">
        <w:rPr>
          <w:rFonts w:ascii="Times New Roman" w:hAnsi="Times New Roman"/>
          <w:color w:val="000000"/>
          <w:sz w:val="24"/>
          <w:szCs w:val="24"/>
        </w:rPr>
        <w:t>in the timing for auction payments</w:t>
      </w:r>
      <w:r w:rsidR="00F5205E">
        <w:rPr>
          <w:rFonts w:ascii="Times New Roman" w:hAnsi="Times New Roman"/>
          <w:color w:val="000000"/>
          <w:sz w:val="24"/>
          <w:szCs w:val="24"/>
        </w:rPr>
        <w:t xml:space="preserve"> may affect the bidding strategies of </w:t>
      </w:r>
      <w:r w:rsidR="0087566B">
        <w:rPr>
          <w:rFonts w:ascii="Times New Roman" w:hAnsi="Times New Roman"/>
          <w:color w:val="000000"/>
          <w:sz w:val="24"/>
          <w:szCs w:val="24"/>
        </w:rPr>
        <w:t>the bidders</w:t>
      </w:r>
      <w:r w:rsidR="00F5205E">
        <w:rPr>
          <w:rFonts w:ascii="Times New Roman" w:hAnsi="Times New Roman"/>
          <w:color w:val="000000"/>
          <w:sz w:val="24"/>
          <w:szCs w:val="24"/>
        </w:rPr>
        <w:t xml:space="preserve"> in the auction</w:t>
      </w:r>
      <w:r w:rsidR="00BA4793">
        <w:rPr>
          <w:rFonts w:ascii="Times New Roman" w:hAnsi="Times New Roman"/>
          <w:color w:val="000000"/>
          <w:sz w:val="24"/>
          <w:szCs w:val="24"/>
        </w:rPr>
        <w:t xml:space="preserve">, and </w:t>
      </w:r>
      <w:r w:rsidR="0087566B">
        <w:rPr>
          <w:rFonts w:ascii="Times New Roman" w:hAnsi="Times New Roman"/>
          <w:color w:val="000000"/>
          <w:sz w:val="24"/>
          <w:szCs w:val="24"/>
        </w:rPr>
        <w:t xml:space="preserve">consequently </w:t>
      </w:r>
      <w:r w:rsidR="00BA4793">
        <w:rPr>
          <w:rFonts w:ascii="Times New Roman" w:hAnsi="Times New Roman"/>
          <w:color w:val="000000"/>
          <w:sz w:val="24"/>
          <w:szCs w:val="24"/>
        </w:rPr>
        <w:t>may affect the number of eligibility points that an applicant wishes to nominate</w:t>
      </w:r>
      <w:r w:rsidR="00F5205E">
        <w:rPr>
          <w:rFonts w:ascii="Times New Roman" w:hAnsi="Times New Roman"/>
          <w:color w:val="000000"/>
          <w:sz w:val="24"/>
          <w:szCs w:val="24"/>
        </w:rPr>
        <w:t xml:space="preserve">. </w:t>
      </w:r>
      <w:r w:rsidR="00D808A9">
        <w:rPr>
          <w:rFonts w:ascii="Times New Roman" w:hAnsi="Times New Roman"/>
          <w:color w:val="000000"/>
          <w:sz w:val="24"/>
          <w:szCs w:val="24"/>
        </w:rPr>
        <w:t>This D</w:t>
      </w:r>
      <w:r w:rsidR="002916AB">
        <w:rPr>
          <w:rFonts w:ascii="Times New Roman" w:hAnsi="Times New Roman"/>
          <w:color w:val="000000"/>
          <w:sz w:val="24"/>
          <w:szCs w:val="24"/>
        </w:rPr>
        <w:t xml:space="preserve">irection therefore </w:t>
      </w:r>
      <w:r w:rsidR="0087566B">
        <w:rPr>
          <w:rFonts w:ascii="Times New Roman" w:hAnsi="Times New Roman"/>
          <w:color w:val="000000"/>
          <w:sz w:val="24"/>
          <w:szCs w:val="24"/>
        </w:rPr>
        <w:t xml:space="preserve">also </w:t>
      </w:r>
      <w:r w:rsidR="002916AB">
        <w:rPr>
          <w:rFonts w:ascii="Times New Roman" w:hAnsi="Times New Roman"/>
          <w:color w:val="000000"/>
          <w:sz w:val="24"/>
          <w:szCs w:val="24"/>
        </w:rPr>
        <w:t xml:space="preserve">requires the ACMA to </w:t>
      </w:r>
      <w:r w:rsidR="007D6398">
        <w:rPr>
          <w:rFonts w:ascii="Times New Roman" w:hAnsi="Times New Roman"/>
          <w:color w:val="000000"/>
          <w:sz w:val="24"/>
          <w:szCs w:val="24"/>
        </w:rPr>
        <w:t>extend</w:t>
      </w:r>
      <w:r w:rsidR="002916AB">
        <w:rPr>
          <w:rFonts w:ascii="Times New Roman" w:hAnsi="Times New Roman"/>
          <w:color w:val="000000"/>
          <w:sz w:val="24"/>
          <w:szCs w:val="24"/>
        </w:rPr>
        <w:t xml:space="preserve"> the eligibility deadline to </w:t>
      </w:r>
      <w:r w:rsidR="007A26FA">
        <w:rPr>
          <w:rFonts w:ascii="Times New Roman" w:hAnsi="Times New Roman"/>
          <w:color w:val="000000"/>
          <w:sz w:val="24"/>
          <w:szCs w:val="24"/>
        </w:rPr>
        <w:t>28 March</w:t>
      </w:r>
      <w:r w:rsidR="002916AB">
        <w:rPr>
          <w:rFonts w:ascii="Times New Roman" w:hAnsi="Times New Roman"/>
          <w:color w:val="000000"/>
          <w:sz w:val="24"/>
          <w:szCs w:val="24"/>
        </w:rPr>
        <w:t xml:space="preserve"> 2013 – a</w:t>
      </w:r>
      <w:r w:rsidR="007D6398">
        <w:rPr>
          <w:rFonts w:ascii="Times New Roman" w:hAnsi="Times New Roman"/>
          <w:color w:val="000000"/>
          <w:sz w:val="24"/>
          <w:szCs w:val="24"/>
        </w:rPr>
        <w:t>n extension</w:t>
      </w:r>
      <w:r w:rsidR="002916AB">
        <w:rPr>
          <w:rFonts w:ascii="Times New Roman" w:hAnsi="Times New Roman"/>
          <w:color w:val="000000"/>
          <w:sz w:val="24"/>
          <w:szCs w:val="24"/>
        </w:rPr>
        <w:t xml:space="preserve"> </w:t>
      </w:r>
      <w:r w:rsidR="007A26FA">
        <w:rPr>
          <w:rFonts w:ascii="Times New Roman" w:hAnsi="Times New Roman"/>
          <w:color w:val="000000"/>
          <w:sz w:val="24"/>
          <w:szCs w:val="24"/>
        </w:rPr>
        <w:t>of one week</w:t>
      </w:r>
      <w:r w:rsidR="002916AB">
        <w:rPr>
          <w:rFonts w:ascii="Times New Roman" w:hAnsi="Times New Roman"/>
          <w:color w:val="000000"/>
          <w:sz w:val="24"/>
          <w:szCs w:val="24"/>
        </w:rPr>
        <w:t xml:space="preserve"> from the previously-announced eligibility deadline of 21 March 2013 – and to publish a notice on its website giving details of the change to the eligibility deadline. This </w:t>
      </w:r>
      <w:r w:rsidR="007D6398">
        <w:rPr>
          <w:rFonts w:ascii="Times New Roman" w:hAnsi="Times New Roman"/>
          <w:color w:val="000000"/>
          <w:sz w:val="24"/>
          <w:szCs w:val="24"/>
        </w:rPr>
        <w:t>change</w:t>
      </w:r>
      <w:r w:rsidR="002916AB">
        <w:rPr>
          <w:rFonts w:ascii="Times New Roman" w:hAnsi="Times New Roman"/>
          <w:color w:val="000000"/>
          <w:sz w:val="24"/>
          <w:szCs w:val="24"/>
        </w:rPr>
        <w:t xml:space="preserve"> in the eligibility deadline will</w:t>
      </w:r>
      <w:r w:rsidR="0087566B">
        <w:rPr>
          <w:rFonts w:ascii="Times New Roman" w:hAnsi="Times New Roman"/>
          <w:color w:val="000000"/>
          <w:sz w:val="24"/>
          <w:szCs w:val="24"/>
        </w:rPr>
        <w:t xml:space="preserve"> </w:t>
      </w:r>
      <w:r w:rsidR="002916AB" w:rsidRPr="002916AB">
        <w:rPr>
          <w:rFonts w:ascii="Times New Roman" w:hAnsi="Times New Roman"/>
          <w:color w:val="000000"/>
          <w:sz w:val="24"/>
          <w:szCs w:val="24"/>
        </w:rPr>
        <w:t xml:space="preserve">allow applicants to take account of the </w:t>
      </w:r>
      <w:r w:rsidR="007D6398">
        <w:rPr>
          <w:rFonts w:ascii="Times New Roman" w:hAnsi="Times New Roman"/>
          <w:color w:val="000000"/>
          <w:sz w:val="24"/>
          <w:szCs w:val="24"/>
        </w:rPr>
        <w:t>changed</w:t>
      </w:r>
      <w:r w:rsidR="002916AB" w:rsidRPr="002916AB">
        <w:rPr>
          <w:rFonts w:ascii="Times New Roman" w:hAnsi="Times New Roman"/>
          <w:color w:val="000000"/>
          <w:sz w:val="24"/>
          <w:szCs w:val="24"/>
        </w:rPr>
        <w:t xml:space="preserve"> payment timing in their bidding strategies. </w:t>
      </w:r>
    </w:p>
    <w:p w:rsidR="009B73F7" w:rsidRPr="009B73F7" w:rsidRDefault="009B73F7" w:rsidP="0087566B">
      <w:pPr>
        <w:spacing w:after="100" w:afterAutospacing="1"/>
        <w:jc w:val="left"/>
        <w:rPr>
          <w:rFonts w:ascii="Times New Roman" w:hAnsi="Times New Roman"/>
          <w:color w:val="000000"/>
          <w:sz w:val="24"/>
          <w:szCs w:val="24"/>
        </w:rPr>
      </w:pPr>
      <w:r>
        <w:rPr>
          <w:rFonts w:ascii="Times New Roman" w:hAnsi="Times New Roman"/>
          <w:color w:val="000000"/>
          <w:sz w:val="24"/>
          <w:szCs w:val="24"/>
        </w:rPr>
        <w:t xml:space="preserve">This Direction is a legislative instrument under the </w:t>
      </w:r>
      <w:r>
        <w:rPr>
          <w:rFonts w:ascii="Times New Roman" w:hAnsi="Times New Roman"/>
          <w:i/>
          <w:color w:val="000000"/>
          <w:sz w:val="24"/>
          <w:szCs w:val="24"/>
        </w:rPr>
        <w:t xml:space="preserve">Legislative Instruments Act 2003 </w:t>
      </w:r>
      <w:r>
        <w:rPr>
          <w:rFonts w:ascii="Times New Roman" w:hAnsi="Times New Roman"/>
          <w:color w:val="000000"/>
          <w:sz w:val="24"/>
          <w:szCs w:val="24"/>
        </w:rPr>
        <w:t>but it is not subject to disallowance: item 41 of the table in subsection 44(2) of that Act specifies that ministerial directions to any person or body are not subject to disallowance.</w:t>
      </w:r>
    </w:p>
    <w:p w:rsidR="008E1CD6" w:rsidRPr="008E1CD6" w:rsidRDefault="008E1CD6" w:rsidP="008E1CD6">
      <w:pPr>
        <w:keepNext/>
        <w:spacing w:after="200" w:line="276" w:lineRule="auto"/>
        <w:jc w:val="left"/>
        <w:rPr>
          <w:rFonts w:ascii="Times New Roman" w:hAnsi="Times New Roman"/>
          <w:sz w:val="24"/>
          <w:szCs w:val="24"/>
        </w:rPr>
      </w:pPr>
      <w:r w:rsidRPr="008E1CD6">
        <w:rPr>
          <w:rFonts w:ascii="Times New Roman" w:hAnsi="Times New Roman"/>
          <w:b/>
          <w:bCs/>
          <w:color w:val="000000"/>
          <w:sz w:val="24"/>
          <w:szCs w:val="24"/>
        </w:rPr>
        <w:t xml:space="preserve">Consultation </w:t>
      </w:r>
    </w:p>
    <w:p w:rsidR="008E1CD6" w:rsidRPr="008E1CD6" w:rsidRDefault="008E1CD6" w:rsidP="008E1CD6">
      <w:pPr>
        <w:keepNext/>
        <w:spacing w:after="100" w:afterAutospacing="1"/>
        <w:jc w:val="left"/>
        <w:rPr>
          <w:rFonts w:ascii="Times New Roman" w:hAnsi="Times New Roman"/>
          <w:sz w:val="24"/>
          <w:szCs w:val="24"/>
        </w:rPr>
      </w:pPr>
      <w:r w:rsidRPr="008E1CD6">
        <w:rPr>
          <w:rFonts w:ascii="Times New Roman" w:hAnsi="Times New Roman"/>
          <w:color w:val="000000"/>
          <w:sz w:val="24"/>
          <w:szCs w:val="24"/>
        </w:rPr>
        <w:t>The ACMA has been consulted in relation to this Direction</w:t>
      </w:r>
      <w:r w:rsidR="0087566B">
        <w:rPr>
          <w:rFonts w:ascii="Times New Roman" w:hAnsi="Times New Roman"/>
          <w:color w:val="000000"/>
          <w:sz w:val="24"/>
          <w:szCs w:val="24"/>
        </w:rPr>
        <w:t>, as well as the applicants for the digital dividend auction</w:t>
      </w:r>
      <w:r w:rsidRPr="008E1CD6">
        <w:rPr>
          <w:rFonts w:ascii="Times New Roman" w:hAnsi="Times New Roman"/>
          <w:color w:val="000000"/>
          <w:sz w:val="24"/>
          <w:szCs w:val="24"/>
        </w:rPr>
        <w:t>.   </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b/>
          <w:bCs/>
          <w:color w:val="000000"/>
          <w:sz w:val="24"/>
          <w:szCs w:val="24"/>
        </w:rPr>
        <w:t>Regulatory impact</w:t>
      </w:r>
    </w:p>
    <w:p w:rsidR="0087566B" w:rsidRDefault="008E1CD6" w:rsidP="008E1CD6">
      <w:pPr>
        <w:spacing w:after="100" w:afterAutospacing="1"/>
        <w:jc w:val="left"/>
        <w:rPr>
          <w:rFonts w:ascii="Times New Roman" w:hAnsi="Times New Roman"/>
          <w:color w:val="000000"/>
          <w:sz w:val="24"/>
          <w:szCs w:val="24"/>
        </w:rPr>
      </w:pPr>
      <w:r w:rsidRPr="0087566B">
        <w:rPr>
          <w:rFonts w:ascii="Times New Roman" w:hAnsi="Times New Roman"/>
          <w:color w:val="000000"/>
          <w:sz w:val="24"/>
          <w:szCs w:val="24"/>
        </w:rPr>
        <w:t xml:space="preserve">The Office of Best Practice Regulation has agreed that the regulatory changes arising from the instrument are minor or machinery in nature and that no further regulatory impact analysis is required. </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b/>
          <w:bCs/>
          <w:color w:val="000000"/>
          <w:sz w:val="24"/>
          <w:szCs w:val="24"/>
        </w:rPr>
        <w:t>Notes on Sections</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b/>
          <w:bCs/>
          <w:color w:val="000000"/>
          <w:sz w:val="24"/>
          <w:szCs w:val="24"/>
        </w:rPr>
        <w:t>Section 1</w:t>
      </w:r>
      <w:r w:rsidRPr="008E1CD6">
        <w:rPr>
          <w:rFonts w:ascii="Times New Roman" w:hAnsi="Times New Roman"/>
          <w:color w:val="000000"/>
          <w:sz w:val="24"/>
          <w:szCs w:val="24"/>
        </w:rPr>
        <w:t xml:space="preserve"> provides for the title of the Direction</w:t>
      </w:r>
      <w:r w:rsidRPr="008E1CD6">
        <w:rPr>
          <w:rFonts w:ascii="Times New Roman" w:hAnsi="Times New Roman"/>
          <w:sz w:val="24"/>
          <w:szCs w:val="24"/>
        </w:rPr>
        <w:t xml:space="preserve">.  </w:t>
      </w:r>
      <w:r w:rsidRPr="008E1CD6">
        <w:rPr>
          <w:rFonts w:ascii="Times New Roman" w:hAnsi="Times New Roman"/>
          <w:color w:val="000000"/>
          <w:sz w:val="24"/>
          <w:szCs w:val="24"/>
        </w:rPr>
        <w:t> </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b/>
          <w:bCs/>
          <w:color w:val="000000"/>
          <w:sz w:val="24"/>
          <w:szCs w:val="24"/>
        </w:rPr>
        <w:t>Section 2</w:t>
      </w:r>
      <w:r w:rsidRPr="008E1CD6">
        <w:rPr>
          <w:rFonts w:ascii="Times New Roman" w:hAnsi="Times New Roman"/>
          <w:color w:val="000000"/>
          <w:sz w:val="24"/>
          <w:szCs w:val="24"/>
        </w:rPr>
        <w:t xml:space="preserve"> provides that the Direction commences </w:t>
      </w:r>
      <w:r w:rsidRPr="008E1CD6">
        <w:rPr>
          <w:rFonts w:ascii="Times New Roman" w:hAnsi="Times New Roman"/>
          <w:sz w:val="24"/>
          <w:szCs w:val="24"/>
        </w:rPr>
        <w:t>on the day it is made. It is anticipated that the Direction will be issued to the ACMA on that same day.</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b/>
          <w:bCs/>
          <w:color w:val="000000"/>
          <w:sz w:val="24"/>
          <w:szCs w:val="24"/>
        </w:rPr>
        <w:t>Section 3</w:t>
      </w:r>
      <w:r w:rsidRPr="008E1CD6">
        <w:rPr>
          <w:rFonts w:ascii="Times New Roman" w:hAnsi="Times New Roman"/>
          <w:color w:val="000000"/>
          <w:sz w:val="24"/>
          <w:szCs w:val="24"/>
        </w:rPr>
        <w:t xml:space="preserve"> provides that the Direction ceases </w:t>
      </w:r>
      <w:r w:rsidR="007D6398">
        <w:rPr>
          <w:rFonts w:ascii="Times New Roman" w:hAnsi="Times New Roman"/>
          <w:color w:val="000000"/>
          <w:sz w:val="24"/>
          <w:szCs w:val="24"/>
        </w:rPr>
        <w:t>24</w:t>
      </w:r>
      <w:r w:rsidRPr="008E1CD6">
        <w:rPr>
          <w:rFonts w:ascii="Times New Roman" w:hAnsi="Times New Roman"/>
          <w:color w:val="000000"/>
          <w:sz w:val="24"/>
          <w:szCs w:val="24"/>
        </w:rPr>
        <w:t xml:space="preserve"> months after it commences.  </w:t>
      </w:r>
    </w:p>
    <w:p w:rsidR="008E1CD6" w:rsidRPr="008E1CD6" w:rsidRDefault="008E1CD6" w:rsidP="008E1CD6">
      <w:pPr>
        <w:spacing w:after="100" w:afterAutospacing="1"/>
        <w:jc w:val="left"/>
        <w:rPr>
          <w:rFonts w:ascii="Times New Roman" w:hAnsi="Times New Roman"/>
          <w:sz w:val="24"/>
          <w:szCs w:val="24"/>
        </w:rPr>
      </w:pPr>
      <w:r w:rsidRPr="008E1CD6">
        <w:rPr>
          <w:rFonts w:ascii="Times New Roman" w:hAnsi="Times New Roman"/>
          <w:b/>
          <w:bCs/>
          <w:color w:val="000000"/>
          <w:sz w:val="24"/>
          <w:szCs w:val="24"/>
        </w:rPr>
        <w:t>Section 4</w:t>
      </w:r>
      <w:r w:rsidRPr="008E1CD6">
        <w:rPr>
          <w:rFonts w:ascii="Times New Roman" w:hAnsi="Times New Roman"/>
          <w:color w:val="000000"/>
          <w:sz w:val="24"/>
          <w:szCs w:val="24"/>
        </w:rPr>
        <w:t xml:space="preserve"> defines the terms used in the Direction.</w:t>
      </w:r>
    </w:p>
    <w:p w:rsidR="0070137D" w:rsidRDefault="008E1CD6" w:rsidP="008E1CD6">
      <w:pPr>
        <w:spacing w:after="100" w:afterAutospacing="1"/>
        <w:jc w:val="left"/>
        <w:rPr>
          <w:rFonts w:ascii="Times New Roman" w:hAnsi="Times New Roman"/>
          <w:color w:val="000000"/>
          <w:sz w:val="24"/>
          <w:szCs w:val="24"/>
        </w:rPr>
      </w:pPr>
      <w:r w:rsidRPr="008E1CD6">
        <w:rPr>
          <w:rFonts w:ascii="Times New Roman" w:hAnsi="Times New Roman"/>
          <w:b/>
          <w:bCs/>
          <w:color w:val="000000"/>
          <w:sz w:val="24"/>
          <w:szCs w:val="24"/>
        </w:rPr>
        <w:t>Section </w:t>
      </w:r>
      <w:r w:rsidR="0087566B">
        <w:rPr>
          <w:rFonts w:ascii="Times New Roman" w:hAnsi="Times New Roman"/>
          <w:b/>
          <w:bCs/>
          <w:color w:val="000000"/>
          <w:sz w:val="24"/>
          <w:szCs w:val="24"/>
        </w:rPr>
        <w:t>5</w:t>
      </w:r>
      <w:r w:rsidRPr="008E1CD6">
        <w:rPr>
          <w:rFonts w:ascii="Times New Roman" w:hAnsi="Times New Roman"/>
          <w:color w:val="000000"/>
          <w:sz w:val="24"/>
          <w:szCs w:val="24"/>
        </w:rPr>
        <w:t xml:space="preserve"> specifies the direction.  </w:t>
      </w:r>
    </w:p>
    <w:p w:rsidR="0070137D" w:rsidRDefault="0087566B" w:rsidP="008E1CD6">
      <w:pPr>
        <w:spacing w:after="100" w:afterAutospacing="1"/>
        <w:jc w:val="left"/>
        <w:rPr>
          <w:rFonts w:ascii="Times New Roman" w:hAnsi="Times New Roman"/>
          <w:color w:val="000000"/>
          <w:sz w:val="24"/>
          <w:szCs w:val="24"/>
        </w:rPr>
      </w:pPr>
      <w:r>
        <w:rPr>
          <w:rFonts w:ascii="Times New Roman" w:hAnsi="Times New Roman"/>
          <w:color w:val="000000"/>
          <w:sz w:val="24"/>
          <w:szCs w:val="24"/>
        </w:rPr>
        <w:t>Subsection 5(1)</w:t>
      </w:r>
      <w:r w:rsidR="008E1CD6" w:rsidRPr="008E1CD6">
        <w:rPr>
          <w:rFonts w:ascii="Times New Roman" w:hAnsi="Times New Roman"/>
          <w:color w:val="000000"/>
          <w:sz w:val="24"/>
          <w:szCs w:val="24"/>
        </w:rPr>
        <w:t xml:space="preserve"> requires the ACMA </w:t>
      </w:r>
      <w:r>
        <w:rPr>
          <w:rFonts w:ascii="Times New Roman" w:hAnsi="Times New Roman"/>
          <w:color w:val="000000"/>
          <w:sz w:val="24"/>
          <w:szCs w:val="24"/>
        </w:rPr>
        <w:t>not to notify a winning  bidder under subsection 6.8(1) of the CCA Determination until, if any of the spectrum licences</w:t>
      </w:r>
      <w:r w:rsidR="0070137D">
        <w:rPr>
          <w:rFonts w:ascii="Times New Roman" w:hAnsi="Times New Roman"/>
          <w:color w:val="000000"/>
          <w:sz w:val="24"/>
          <w:szCs w:val="24"/>
        </w:rPr>
        <w:t xml:space="preserve"> to be issued for the spectrum allocated to the bidder has a commencement date of 1 October 2014, 19 August 2014, otherwise not until 1 October 2014.</w:t>
      </w:r>
      <w:r>
        <w:rPr>
          <w:rFonts w:ascii="Times New Roman" w:hAnsi="Times New Roman"/>
          <w:color w:val="000000"/>
          <w:sz w:val="24"/>
          <w:szCs w:val="24"/>
        </w:rPr>
        <w:t xml:space="preserve"> </w:t>
      </w:r>
    </w:p>
    <w:p w:rsidR="008E1CD6" w:rsidRPr="008E1CD6" w:rsidRDefault="0087566B" w:rsidP="008E1CD6">
      <w:pPr>
        <w:spacing w:after="100" w:afterAutospacing="1"/>
        <w:jc w:val="left"/>
        <w:rPr>
          <w:rFonts w:ascii="Times New Roman" w:hAnsi="Times New Roman"/>
          <w:sz w:val="24"/>
          <w:szCs w:val="24"/>
        </w:rPr>
      </w:pPr>
      <w:r>
        <w:rPr>
          <w:rFonts w:ascii="Times New Roman" w:hAnsi="Times New Roman"/>
          <w:color w:val="000000"/>
          <w:sz w:val="24"/>
          <w:szCs w:val="24"/>
        </w:rPr>
        <w:t xml:space="preserve">Subsection 5(2) requires the ACMA </w:t>
      </w:r>
      <w:r w:rsidR="002916AB">
        <w:rPr>
          <w:rFonts w:ascii="Times New Roman" w:hAnsi="Times New Roman"/>
          <w:color w:val="000000"/>
          <w:sz w:val="24"/>
          <w:szCs w:val="24"/>
        </w:rPr>
        <w:t xml:space="preserve">to </w:t>
      </w:r>
      <w:r w:rsidR="00B639DC">
        <w:rPr>
          <w:rFonts w:ascii="Times New Roman" w:hAnsi="Times New Roman"/>
          <w:color w:val="000000"/>
          <w:sz w:val="24"/>
          <w:szCs w:val="24"/>
        </w:rPr>
        <w:t xml:space="preserve">extend </w:t>
      </w:r>
      <w:r w:rsidR="002916AB">
        <w:rPr>
          <w:rFonts w:ascii="Times New Roman" w:hAnsi="Times New Roman"/>
          <w:color w:val="000000"/>
          <w:sz w:val="24"/>
          <w:szCs w:val="24"/>
        </w:rPr>
        <w:t xml:space="preserve">the eligibility deadline to </w:t>
      </w:r>
      <w:r w:rsidR="007A26FA">
        <w:rPr>
          <w:rFonts w:ascii="Times New Roman" w:hAnsi="Times New Roman"/>
          <w:color w:val="000000"/>
          <w:sz w:val="24"/>
          <w:szCs w:val="24"/>
        </w:rPr>
        <w:t>28 March</w:t>
      </w:r>
      <w:r w:rsidR="002916AB">
        <w:rPr>
          <w:rFonts w:ascii="Times New Roman" w:hAnsi="Times New Roman"/>
          <w:color w:val="000000"/>
          <w:sz w:val="24"/>
          <w:szCs w:val="24"/>
        </w:rPr>
        <w:t xml:space="preserve"> 2013 and, in accordance with subsection 4.4(2) of the CCA Determination, to publish a notice on its website giving details of the change to the eligibility deadline</w:t>
      </w:r>
      <w:r w:rsidR="008E1CD6" w:rsidRPr="008E1CD6">
        <w:rPr>
          <w:rFonts w:ascii="Times New Roman" w:hAnsi="Times New Roman"/>
          <w:color w:val="000000"/>
          <w:sz w:val="24"/>
          <w:szCs w:val="24"/>
        </w:rPr>
        <w:t>.</w:t>
      </w:r>
      <w:bookmarkStart w:id="0" w:name="_GoBack"/>
      <w:bookmarkEnd w:id="0"/>
    </w:p>
    <w:sectPr w:rsidR="008E1CD6" w:rsidRPr="008E1CD6" w:rsidSect="008E1CD6">
      <w:footerReference w:type="default" r:id="rId12"/>
      <w:headerReference w:type="first" r:id="rId13"/>
      <w:pgSz w:w="11901" w:h="16840"/>
      <w:pgMar w:top="1418" w:right="1418"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93E" w:rsidRDefault="008F393E" w:rsidP="00794EB0">
      <w:r>
        <w:separator/>
      </w:r>
    </w:p>
  </w:endnote>
  <w:endnote w:type="continuationSeparator" w:id="0">
    <w:p w:rsidR="008F393E" w:rsidRDefault="008F393E" w:rsidP="0079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66B" w:rsidRPr="00BB56FD" w:rsidRDefault="0087566B">
    <w:pPr>
      <w:pStyle w:val="Footer"/>
      <w:jc w:val="center"/>
      <w:rPr>
        <w:rFonts w:ascii="Times New Roman" w:hAnsi="Times New Roman"/>
        <w:sz w:val="24"/>
        <w:szCs w:val="24"/>
      </w:rPr>
    </w:pPr>
    <w:r w:rsidRPr="00BB56FD">
      <w:rPr>
        <w:rFonts w:ascii="Times New Roman" w:hAnsi="Times New Roman"/>
        <w:sz w:val="24"/>
        <w:szCs w:val="24"/>
      </w:rPr>
      <w:fldChar w:fldCharType="begin"/>
    </w:r>
    <w:r w:rsidRPr="00BB56FD">
      <w:rPr>
        <w:rFonts w:ascii="Times New Roman" w:hAnsi="Times New Roman"/>
        <w:sz w:val="24"/>
        <w:szCs w:val="24"/>
      </w:rPr>
      <w:instrText xml:space="preserve"> PAGE   \* MERGEFORMAT </w:instrText>
    </w:r>
    <w:r w:rsidRPr="00BB56FD">
      <w:rPr>
        <w:rFonts w:ascii="Times New Roman" w:hAnsi="Times New Roman"/>
        <w:sz w:val="24"/>
        <w:szCs w:val="24"/>
      </w:rPr>
      <w:fldChar w:fldCharType="separate"/>
    </w:r>
    <w:r w:rsidR="0001726F">
      <w:rPr>
        <w:rFonts w:ascii="Times New Roman" w:hAnsi="Times New Roman"/>
        <w:noProof/>
        <w:sz w:val="24"/>
        <w:szCs w:val="24"/>
      </w:rPr>
      <w:t>3</w:t>
    </w:r>
    <w:r w:rsidRPr="00BB56FD">
      <w:rPr>
        <w:rFonts w:ascii="Times New Roman" w:hAnsi="Times New Roman"/>
        <w:sz w:val="24"/>
        <w:szCs w:val="24"/>
      </w:rPr>
      <w:fldChar w:fldCharType="end"/>
    </w:r>
  </w:p>
  <w:p w:rsidR="0087566B" w:rsidRDefault="00875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93E" w:rsidRDefault="008F393E" w:rsidP="00794EB0">
      <w:r>
        <w:separator/>
      </w:r>
    </w:p>
  </w:footnote>
  <w:footnote w:type="continuationSeparator" w:id="0">
    <w:p w:rsidR="008F393E" w:rsidRDefault="008F393E" w:rsidP="00794EB0">
      <w:r>
        <w:continuationSeparator/>
      </w:r>
    </w:p>
  </w:footnote>
  <w:footnote w:id="1">
    <w:p w:rsidR="0087566B" w:rsidRDefault="0087566B">
      <w:pPr>
        <w:pStyle w:val="FootnoteText"/>
      </w:pPr>
      <w:r>
        <w:rPr>
          <w:rStyle w:val="FootnoteReference"/>
        </w:rPr>
        <w:footnoteRef/>
      </w:r>
      <w:r>
        <w:t xml:space="preserve"> </w:t>
      </w:r>
      <w:hyperlink r:id="rId1" w:history="1">
        <w:r w:rsidRPr="00696A3A">
          <w:rPr>
            <w:rStyle w:val="Hyperlink"/>
          </w:rPr>
          <w:t>http://engage.acma.gov.au/digitaldividend/notice-for-the-digital-dividend-auction/</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66B" w:rsidRDefault="008756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CBB"/>
    <w:multiLevelType w:val="hybridMultilevel"/>
    <w:tmpl w:val="CE286C66"/>
    <w:lvl w:ilvl="0" w:tplc="C39E06E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nsid w:val="0CA718CD"/>
    <w:multiLevelType w:val="hybridMultilevel"/>
    <w:tmpl w:val="9F46CEC6"/>
    <w:lvl w:ilvl="0" w:tplc="49F8160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nsid w:val="194A5F8F"/>
    <w:multiLevelType w:val="hybridMultilevel"/>
    <w:tmpl w:val="192C16F6"/>
    <w:lvl w:ilvl="0" w:tplc="B63A6B48">
      <w:start w:val="1"/>
      <w:numFmt w:val="lowerLetter"/>
      <w:lvlText w:val="(%1)"/>
      <w:lvlJc w:val="left"/>
      <w:pPr>
        <w:ind w:left="1647" w:hanging="360"/>
      </w:pPr>
      <w:rPr>
        <w:rFonts w:hint="default"/>
      </w:rPr>
    </w:lvl>
    <w:lvl w:ilvl="1" w:tplc="0C090019">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3">
    <w:nsid w:val="19CA00A8"/>
    <w:multiLevelType w:val="hybridMultilevel"/>
    <w:tmpl w:val="96BC1824"/>
    <w:lvl w:ilvl="0" w:tplc="D0D645B4">
      <w:start w:val="9"/>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4">
    <w:nsid w:val="1C907D8D"/>
    <w:multiLevelType w:val="hybridMultilevel"/>
    <w:tmpl w:val="53F8A5AA"/>
    <w:lvl w:ilvl="0" w:tplc="32625BB2">
      <w:start w:val="2"/>
      <w:numFmt w:val="lowerRoman"/>
      <w:lvlText w:val="(%1)"/>
      <w:lvlJc w:val="left"/>
      <w:pPr>
        <w:ind w:left="2705" w:hanging="72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5">
    <w:nsid w:val="1D5B5E6E"/>
    <w:multiLevelType w:val="hybridMultilevel"/>
    <w:tmpl w:val="0F28E57A"/>
    <w:lvl w:ilvl="0" w:tplc="A880CAAE">
      <w:start w:val="4"/>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D822D3D"/>
    <w:multiLevelType w:val="hybridMultilevel"/>
    <w:tmpl w:val="06486E1A"/>
    <w:lvl w:ilvl="0" w:tplc="D242BBE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7">
    <w:nsid w:val="20AB6DFB"/>
    <w:multiLevelType w:val="hybridMultilevel"/>
    <w:tmpl w:val="97EEF8F8"/>
    <w:lvl w:ilvl="0" w:tplc="411AE93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E7EE2D76">
      <w:start w:val="1"/>
      <w:numFmt w:val="lowerRoman"/>
      <w:lvlText w:val="(%3)"/>
      <w:lvlJc w:val="right"/>
      <w:pPr>
        <w:ind w:left="2520" w:hanging="180"/>
      </w:pPr>
      <w:rPr>
        <w:rFonts w:ascii="Times" w:eastAsia="Times New Roman" w:hAnsi="Times" w:cs="Times New Roman"/>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27162A0F"/>
    <w:multiLevelType w:val="hybridMultilevel"/>
    <w:tmpl w:val="5630D6C0"/>
    <w:lvl w:ilvl="0" w:tplc="411AE93C">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2E495C26"/>
    <w:multiLevelType w:val="hybridMultilevel"/>
    <w:tmpl w:val="C296A6F8"/>
    <w:lvl w:ilvl="0" w:tplc="77C2D8CA">
      <w:start w:val="3"/>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03F2E01"/>
    <w:multiLevelType w:val="hybridMultilevel"/>
    <w:tmpl w:val="AFFE5230"/>
    <w:lvl w:ilvl="0" w:tplc="91641BB0">
      <w:start w:val="1"/>
      <w:numFmt w:val="decimal"/>
      <w:lvlText w:val="(%1)"/>
      <w:lvlJc w:val="left"/>
      <w:pPr>
        <w:ind w:left="1287" w:hanging="360"/>
      </w:pPr>
      <w:rPr>
        <w:rFonts w:ascii="Times New Roman" w:hAnsi="Times New Roman" w:hint="default"/>
        <w:color w:val="000000"/>
        <w:sz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nsid w:val="31DE5068"/>
    <w:multiLevelType w:val="hybridMultilevel"/>
    <w:tmpl w:val="1338876C"/>
    <w:lvl w:ilvl="0" w:tplc="B0BEF78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A62A52"/>
    <w:multiLevelType w:val="hybridMultilevel"/>
    <w:tmpl w:val="9B324CBA"/>
    <w:lvl w:ilvl="0" w:tplc="54BADE88">
      <w:start w:val="9"/>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nsid w:val="38F01115"/>
    <w:multiLevelType w:val="hybridMultilevel"/>
    <w:tmpl w:val="2692F1C6"/>
    <w:lvl w:ilvl="0" w:tplc="041028AE">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nsid w:val="38FA1336"/>
    <w:multiLevelType w:val="hybridMultilevel"/>
    <w:tmpl w:val="42787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4BB7D9F"/>
    <w:multiLevelType w:val="hybridMultilevel"/>
    <w:tmpl w:val="3E4EA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5440886"/>
    <w:multiLevelType w:val="hybridMultilevel"/>
    <w:tmpl w:val="6C18775A"/>
    <w:lvl w:ilvl="0" w:tplc="3D2AEA34">
      <w:start w:val="2"/>
      <w:numFmt w:val="lowerRoman"/>
      <w:lvlText w:val="(%1)"/>
      <w:lvlJc w:val="left"/>
      <w:pPr>
        <w:ind w:left="2705" w:hanging="72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7">
    <w:nsid w:val="45A33B4B"/>
    <w:multiLevelType w:val="hybridMultilevel"/>
    <w:tmpl w:val="0240C784"/>
    <w:lvl w:ilvl="0" w:tplc="30CC773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nsid w:val="518B787F"/>
    <w:multiLevelType w:val="singleLevel"/>
    <w:tmpl w:val="B3344170"/>
    <w:lvl w:ilvl="0">
      <w:start w:val="1"/>
      <w:numFmt w:val="decimal"/>
      <w:lvlText w:val="%1"/>
      <w:lvlJc w:val="left"/>
      <w:pPr>
        <w:tabs>
          <w:tab w:val="num" w:pos="360"/>
        </w:tabs>
        <w:ind w:left="360" w:hanging="360"/>
      </w:pPr>
      <w:rPr>
        <w:rFonts w:hint="default"/>
      </w:rPr>
    </w:lvl>
  </w:abstractNum>
  <w:abstractNum w:abstractNumId="19">
    <w:nsid w:val="52C87E6D"/>
    <w:multiLevelType w:val="hybridMultilevel"/>
    <w:tmpl w:val="EF68FEB4"/>
    <w:lvl w:ilvl="0" w:tplc="E7EE2D76">
      <w:start w:val="1"/>
      <w:numFmt w:val="lowerRoman"/>
      <w:lvlText w:val="(%1)"/>
      <w:lvlJc w:val="right"/>
      <w:pPr>
        <w:ind w:left="2520" w:hanging="180"/>
      </w:pPr>
      <w:rPr>
        <w:rFonts w:ascii="Times" w:eastAsia="Times New Roman" w:hAnsi="Time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D6074A7"/>
    <w:multiLevelType w:val="hybridMultilevel"/>
    <w:tmpl w:val="79007666"/>
    <w:lvl w:ilvl="0" w:tplc="DABA8B4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nsid w:val="5F1C032C"/>
    <w:multiLevelType w:val="hybridMultilevel"/>
    <w:tmpl w:val="C7B29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0954CD"/>
    <w:multiLevelType w:val="hybridMultilevel"/>
    <w:tmpl w:val="0DB2A5E6"/>
    <w:lvl w:ilvl="0" w:tplc="52D2CC7A">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nsid w:val="668F4BB9"/>
    <w:multiLevelType w:val="hybridMultilevel"/>
    <w:tmpl w:val="8654B9CE"/>
    <w:lvl w:ilvl="0" w:tplc="E7EE2D76">
      <w:start w:val="1"/>
      <w:numFmt w:val="lowerRoman"/>
      <w:lvlText w:val="(%1)"/>
      <w:lvlJc w:val="right"/>
      <w:pPr>
        <w:ind w:left="2520" w:hanging="180"/>
      </w:pPr>
      <w:rPr>
        <w:rFonts w:ascii="Times" w:eastAsia="Times New Roman" w:hAnsi="Time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73C3008"/>
    <w:multiLevelType w:val="hybridMultilevel"/>
    <w:tmpl w:val="01C05D80"/>
    <w:lvl w:ilvl="0" w:tplc="50C04D70">
      <w:start w:val="1"/>
      <w:numFmt w:val="decimal"/>
      <w:lvlText w:val="(%1)"/>
      <w:lvlJc w:val="left"/>
      <w:pPr>
        <w:ind w:left="2007" w:hanging="720"/>
      </w:pPr>
      <w:rPr>
        <w:rFonts w:ascii="Times New Roman" w:eastAsia="Times New Roman" w:hAnsi="Times New Roman"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5">
    <w:nsid w:val="67AE4DB2"/>
    <w:multiLevelType w:val="hybridMultilevel"/>
    <w:tmpl w:val="5D586F30"/>
    <w:lvl w:ilvl="0" w:tplc="11FAE59A">
      <w:start w:val="1"/>
      <w:numFmt w:val="lowerLetter"/>
      <w:lvlText w:val="(%1)"/>
      <w:lvlJc w:val="left"/>
      <w:pPr>
        <w:ind w:left="2007" w:hanging="720"/>
      </w:pPr>
      <w:rPr>
        <w:rFonts w:ascii="Times New Roman" w:eastAsia="Times New Roman" w:hAnsi="Times New Roman" w:cs="Times New Roman"/>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26">
    <w:nsid w:val="74B92FD6"/>
    <w:multiLevelType w:val="hybridMultilevel"/>
    <w:tmpl w:val="AD6225D0"/>
    <w:lvl w:ilvl="0" w:tplc="5A8E696C">
      <w:start w:val="1"/>
      <w:numFmt w:val="decimal"/>
      <w:lvlText w:val="(%1)"/>
      <w:lvlJc w:val="left"/>
      <w:pPr>
        <w:ind w:left="927" w:hanging="360"/>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nsid w:val="76323099"/>
    <w:multiLevelType w:val="hybridMultilevel"/>
    <w:tmpl w:val="1EE231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665496B"/>
    <w:multiLevelType w:val="hybridMultilevel"/>
    <w:tmpl w:val="91563922"/>
    <w:lvl w:ilvl="0" w:tplc="E7EE2D76">
      <w:start w:val="1"/>
      <w:numFmt w:val="lowerRoman"/>
      <w:lvlText w:val="(%1)"/>
      <w:lvlJc w:val="right"/>
      <w:pPr>
        <w:ind w:left="2520" w:hanging="180"/>
      </w:pPr>
      <w:rPr>
        <w:rFonts w:ascii="Times" w:eastAsia="Times New Roman" w:hAnsi="Time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9F74692"/>
    <w:multiLevelType w:val="hybridMultilevel"/>
    <w:tmpl w:val="95FC8212"/>
    <w:lvl w:ilvl="0" w:tplc="3AF66052">
      <w:numFmt w:val="bullet"/>
      <w:lvlText w:val="-"/>
      <w:lvlJc w:val="left"/>
      <w:pPr>
        <w:ind w:left="720" w:hanging="360"/>
      </w:pPr>
      <w:rPr>
        <w:rFonts w:ascii="Calibri" w:eastAsia="Calibri" w:hAnsi="Calibri" w:cs="Calibr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nsid w:val="7A3E01DA"/>
    <w:multiLevelType w:val="hybridMultilevel"/>
    <w:tmpl w:val="5630D6C0"/>
    <w:lvl w:ilvl="0" w:tplc="411AE93C">
      <w:start w:val="1"/>
      <w:numFmt w:val="lowerLetter"/>
      <w:lvlText w:val="(%1)"/>
      <w:lvlJc w:val="left"/>
      <w:pPr>
        <w:ind w:left="927" w:hanging="360"/>
      </w:pPr>
      <w:rPr>
        <w:rFonts w:hint="default"/>
      </w:r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1">
    <w:nsid w:val="7DD76978"/>
    <w:multiLevelType w:val="hybridMultilevel"/>
    <w:tmpl w:val="582E7604"/>
    <w:lvl w:ilvl="0" w:tplc="D6422A4C">
      <w:start w:val="1"/>
      <w:numFmt w:val="lowerLetter"/>
      <w:lvlText w:val="(%1)"/>
      <w:lvlJc w:val="left"/>
      <w:pPr>
        <w:ind w:left="1854" w:hanging="360"/>
      </w:pPr>
      <w:rPr>
        <w:rFonts w:hint="default"/>
      </w:rPr>
    </w:lvl>
    <w:lvl w:ilvl="1" w:tplc="0F94F04C">
      <w:start w:val="1"/>
      <w:numFmt w:val="lowerRoman"/>
      <w:lvlText w:val="(%2)"/>
      <w:lvlJc w:val="right"/>
      <w:pPr>
        <w:ind w:left="2574" w:hanging="360"/>
      </w:pPr>
      <w:rPr>
        <w:rFonts w:hint="default"/>
      </w:r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32">
    <w:nsid w:val="7E1F4107"/>
    <w:multiLevelType w:val="hybridMultilevel"/>
    <w:tmpl w:val="1DA82920"/>
    <w:lvl w:ilvl="0" w:tplc="08503776">
      <w:start w:val="4"/>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EF01A27"/>
    <w:multiLevelType w:val="hybridMultilevel"/>
    <w:tmpl w:val="AAC85922"/>
    <w:lvl w:ilvl="0" w:tplc="DA044D7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F106C55"/>
    <w:multiLevelType w:val="hybridMultilevel"/>
    <w:tmpl w:val="F96E7A54"/>
    <w:lvl w:ilvl="0" w:tplc="304C2A3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5">
    <w:nsid w:val="7FC03CA9"/>
    <w:multiLevelType w:val="singleLevel"/>
    <w:tmpl w:val="B3344170"/>
    <w:lvl w:ilvl="0">
      <w:start w:val="1"/>
      <w:numFmt w:val="decimal"/>
      <w:lvlText w:val="%1"/>
      <w:lvlJc w:val="left"/>
      <w:pPr>
        <w:tabs>
          <w:tab w:val="num" w:pos="360"/>
        </w:tabs>
        <w:ind w:left="360" w:hanging="360"/>
      </w:pPr>
      <w:rPr>
        <w:rFonts w:hint="default"/>
      </w:rPr>
    </w:lvl>
  </w:abstractNum>
  <w:num w:numId="1">
    <w:abstractNumId w:val="35"/>
  </w:num>
  <w:num w:numId="2">
    <w:abstractNumId w:val="31"/>
  </w:num>
  <w:num w:numId="3">
    <w:abstractNumId w:val="0"/>
  </w:num>
  <w:num w:numId="4">
    <w:abstractNumId w:val="7"/>
  </w:num>
  <w:num w:numId="5">
    <w:abstractNumId w:val="30"/>
  </w:num>
  <w:num w:numId="6">
    <w:abstractNumId w:val="8"/>
  </w:num>
  <w:num w:numId="7">
    <w:abstractNumId w:val="23"/>
  </w:num>
  <w:num w:numId="8">
    <w:abstractNumId w:val="28"/>
  </w:num>
  <w:num w:numId="9">
    <w:abstractNumId w:val="19"/>
  </w:num>
  <w:num w:numId="10">
    <w:abstractNumId w:val="11"/>
  </w:num>
  <w:num w:numId="11">
    <w:abstractNumId w:val="5"/>
  </w:num>
  <w:num w:numId="12">
    <w:abstractNumId w:val="32"/>
  </w:num>
  <w:num w:numId="13">
    <w:abstractNumId w:val="9"/>
  </w:num>
  <w:num w:numId="14">
    <w:abstractNumId w:val="27"/>
  </w:num>
  <w:num w:numId="15">
    <w:abstractNumId w:val="14"/>
  </w:num>
  <w:num w:numId="16">
    <w:abstractNumId w:val="15"/>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6"/>
  </w:num>
  <w:num w:numId="20">
    <w:abstractNumId w:val="20"/>
  </w:num>
  <w:num w:numId="21">
    <w:abstractNumId w:val="12"/>
  </w:num>
  <w:num w:numId="22">
    <w:abstractNumId w:val="17"/>
  </w:num>
  <w:num w:numId="23">
    <w:abstractNumId w:val="25"/>
  </w:num>
  <w:num w:numId="24">
    <w:abstractNumId w:val="10"/>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
  </w:num>
  <w:num w:numId="28">
    <w:abstractNumId w:val="16"/>
  </w:num>
  <w:num w:numId="29">
    <w:abstractNumId w:val="4"/>
  </w:num>
  <w:num w:numId="30">
    <w:abstractNumId w:val="26"/>
  </w:num>
  <w:num w:numId="31">
    <w:abstractNumId w:val="1"/>
  </w:num>
  <w:num w:numId="32">
    <w:abstractNumId w:val="13"/>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8"/>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DD63FF"/>
    <w:rsid w:val="000005E9"/>
    <w:rsid w:val="00002015"/>
    <w:rsid w:val="00002C47"/>
    <w:rsid w:val="000039C5"/>
    <w:rsid w:val="00005E9A"/>
    <w:rsid w:val="0001227B"/>
    <w:rsid w:val="000137D4"/>
    <w:rsid w:val="0001726F"/>
    <w:rsid w:val="00017DF3"/>
    <w:rsid w:val="00022DB4"/>
    <w:rsid w:val="000247D2"/>
    <w:rsid w:val="000254A0"/>
    <w:rsid w:val="00034FB0"/>
    <w:rsid w:val="000355F1"/>
    <w:rsid w:val="00042960"/>
    <w:rsid w:val="00046C56"/>
    <w:rsid w:val="0004738E"/>
    <w:rsid w:val="0005021E"/>
    <w:rsid w:val="00052998"/>
    <w:rsid w:val="00052B39"/>
    <w:rsid w:val="00054F7B"/>
    <w:rsid w:val="000557BB"/>
    <w:rsid w:val="00061909"/>
    <w:rsid w:val="0006232B"/>
    <w:rsid w:val="000632FB"/>
    <w:rsid w:val="000717BF"/>
    <w:rsid w:val="000725D5"/>
    <w:rsid w:val="00076563"/>
    <w:rsid w:val="00080366"/>
    <w:rsid w:val="000836CF"/>
    <w:rsid w:val="000A09CF"/>
    <w:rsid w:val="000A4E70"/>
    <w:rsid w:val="000A5792"/>
    <w:rsid w:val="000A6A48"/>
    <w:rsid w:val="000B3A46"/>
    <w:rsid w:val="000D7FFD"/>
    <w:rsid w:val="000E0921"/>
    <w:rsid w:val="000E0D33"/>
    <w:rsid w:val="000E5161"/>
    <w:rsid w:val="000E7710"/>
    <w:rsid w:val="000F428F"/>
    <w:rsid w:val="000F5608"/>
    <w:rsid w:val="001104A4"/>
    <w:rsid w:val="00113C1C"/>
    <w:rsid w:val="00130137"/>
    <w:rsid w:val="001523B2"/>
    <w:rsid w:val="00153841"/>
    <w:rsid w:val="001546EF"/>
    <w:rsid w:val="001575A4"/>
    <w:rsid w:val="00170CCB"/>
    <w:rsid w:val="00171773"/>
    <w:rsid w:val="001976D5"/>
    <w:rsid w:val="001A289A"/>
    <w:rsid w:val="001A6BD0"/>
    <w:rsid w:val="001B64F0"/>
    <w:rsid w:val="001C0E4E"/>
    <w:rsid w:val="001D406B"/>
    <w:rsid w:val="001E0D04"/>
    <w:rsid w:val="001E1F14"/>
    <w:rsid w:val="001E3380"/>
    <w:rsid w:val="001E5BBB"/>
    <w:rsid w:val="001E666A"/>
    <w:rsid w:val="001F2CEA"/>
    <w:rsid w:val="00201FE7"/>
    <w:rsid w:val="00212F26"/>
    <w:rsid w:val="002238C9"/>
    <w:rsid w:val="002306AD"/>
    <w:rsid w:val="00243889"/>
    <w:rsid w:val="002450B8"/>
    <w:rsid w:val="00252EC8"/>
    <w:rsid w:val="00263136"/>
    <w:rsid w:val="002634CB"/>
    <w:rsid w:val="002679F5"/>
    <w:rsid w:val="00275030"/>
    <w:rsid w:val="00282262"/>
    <w:rsid w:val="00284403"/>
    <w:rsid w:val="00284FC6"/>
    <w:rsid w:val="00286389"/>
    <w:rsid w:val="00291540"/>
    <w:rsid w:val="002916AB"/>
    <w:rsid w:val="00292E9A"/>
    <w:rsid w:val="0029366E"/>
    <w:rsid w:val="00297948"/>
    <w:rsid w:val="002A2E3D"/>
    <w:rsid w:val="002A64C8"/>
    <w:rsid w:val="002B0EB3"/>
    <w:rsid w:val="002B6F7B"/>
    <w:rsid w:val="002B70CB"/>
    <w:rsid w:val="002C428A"/>
    <w:rsid w:val="002D1ADA"/>
    <w:rsid w:val="002E0047"/>
    <w:rsid w:val="002E22B9"/>
    <w:rsid w:val="002E3C2B"/>
    <w:rsid w:val="002F5AAA"/>
    <w:rsid w:val="003008B7"/>
    <w:rsid w:val="00302FBA"/>
    <w:rsid w:val="003076B4"/>
    <w:rsid w:val="00307911"/>
    <w:rsid w:val="003106B3"/>
    <w:rsid w:val="003130A3"/>
    <w:rsid w:val="00316E4F"/>
    <w:rsid w:val="00326B24"/>
    <w:rsid w:val="00376963"/>
    <w:rsid w:val="00377CE7"/>
    <w:rsid w:val="00381DDA"/>
    <w:rsid w:val="00385C3F"/>
    <w:rsid w:val="003A2013"/>
    <w:rsid w:val="003A3E00"/>
    <w:rsid w:val="003A703F"/>
    <w:rsid w:val="003B10B0"/>
    <w:rsid w:val="003C0F27"/>
    <w:rsid w:val="003C1E9C"/>
    <w:rsid w:val="003C1F35"/>
    <w:rsid w:val="003C6A1D"/>
    <w:rsid w:val="003D69C5"/>
    <w:rsid w:val="003E1C61"/>
    <w:rsid w:val="003E52D6"/>
    <w:rsid w:val="003F1629"/>
    <w:rsid w:val="003F2E77"/>
    <w:rsid w:val="003F5981"/>
    <w:rsid w:val="004025A5"/>
    <w:rsid w:val="00403688"/>
    <w:rsid w:val="004040ED"/>
    <w:rsid w:val="004052CF"/>
    <w:rsid w:val="004062DE"/>
    <w:rsid w:val="00406797"/>
    <w:rsid w:val="00406DD5"/>
    <w:rsid w:val="00411FF5"/>
    <w:rsid w:val="00425284"/>
    <w:rsid w:val="00427211"/>
    <w:rsid w:val="0042749E"/>
    <w:rsid w:val="00437B69"/>
    <w:rsid w:val="004414E0"/>
    <w:rsid w:val="0045368E"/>
    <w:rsid w:val="004543BB"/>
    <w:rsid w:val="00456287"/>
    <w:rsid w:val="00457903"/>
    <w:rsid w:val="004628B6"/>
    <w:rsid w:val="00463FDA"/>
    <w:rsid w:val="00465130"/>
    <w:rsid w:val="00465772"/>
    <w:rsid w:val="004976B3"/>
    <w:rsid w:val="004A59B8"/>
    <w:rsid w:val="004B1570"/>
    <w:rsid w:val="004C2EC4"/>
    <w:rsid w:val="004C5C18"/>
    <w:rsid w:val="004C74F4"/>
    <w:rsid w:val="004D3669"/>
    <w:rsid w:val="004E42C0"/>
    <w:rsid w:val="004F21CD"/>
    <w:rsid w:val="004F2882"/>
    <w:rsid w:val="00506316"/>
    <w:rsid w:val="00506903"/>
    <w:rsid w:val="00516032"/>
    <w:rsid w:val="00520C26"/>
    <w:rsid w:val="00521C12"/>
    <w:rsid w:val="00524516"/>
    <w:rsid w:val="00525CAB"/>
    <w:rsid w:val="00535290"/>
    <w:rsid w:val="00540DA9"/>
    <w:rsid w:val="00544049"/>
    <w:rsid w:val="00554549"/>
    <w:rsid w:val="00564C12"/>
    <w:rsid w:val="005678A7"/>
    <w:rsid w:val="00567E4F"/>
    <w:rsid w:val="005712BB"/>
    <w:rsid w:val="00577F3E"/>
    <w:rsid w:val="00582C74"/>
    <w:rsid w:val="00584554"/>
    <w:rsid w:val="0058675B"/>
    <w:rsid w:val="005879CF"/>
    <w:rsid w:val="005C1C1C"/>
    <w:rsid w:val="005C610D"/>
    <w:rsid w:val="005D5531"/>
    <w:rsid w:val="005E1CF8"/>
    <w:rsid w:val="005E1D2E"/>
    <w:rsid w:val="005E6C92"/>
    <w:rsid w:val="005F3C93"/>
    <w:rsid w:val="00604BC5"/>
    <w:rsid w:val="00610784"/>
    <w:rsid w:val="0061378A"/>
    <w:rsid w:val="006258A2"/>
    <w:rsid w:val="006263B9"/>
    <w:rsid w:val="00630BA7"/>
    <w:rsid w:val="00631DF5"/>
    <w:rsid w:val="006379E8"/>
    <w:rsid w:val="00651B5A"/>
    <w:rsid w:val="00656802"/>
    <w:rsid w:val="00657600"/>
    <w:rsid w:val="00666B9B"/>
    <w:rsid w:val="00672C3E"/>
    <w:rsid w:val="00673399"/>
    <w:rsid w:val="0067692A"/>
    <w:rsid w:val="00694710"/>
    <w:rsid w:val="00694714"/>
    <w:rsid w:val="00697F82"/>
    <w:rsid w:val="006A3C23"/>
    <w:rsid w:val="006A438E"/>
    <w:rsid w:val="006B1E6C"/>
    <w:rsid w:val="006B3059"/>
    <w:rsid w:val="006B6167"/>
    <w:rsid w:val="006B764B"/>
    <w:rsid w:val="006C1908"/>
    <w:rsid w:val="006C210B"/>
    <w:rsid w:val="006C23F1"/>
    <w:rsid w:val="006C327D"/>
    <w:rsid w:val="006C3FFD"/>
    <w:rsid w:val="006C5549"/>
    <w:rsid w:val="006E1F2A"/>
    <w:rsid w:val="006E2293"/>
    <w:rsid w:val="006F0354"/>
    <w:rsid w:val="0070137D"/>
    <w:rsid w:val="00703EFB"/>
    <w:rsid w:val="00715B95"/>
    <w:rsid w:val="007262D7"/>
    <w:rsid w:val="00740EAA"/>
    <w:rsid w:val="00771FE8"/>
    <w:rsid w:val="00774B53"/>
    <w:rsid w:val="00781BE2"/>
    <w:rsid w:val="00783E05"/>
    <w:rsid w:val="007906F0"/>
    <w:rsid w:val="00793BBA"/>
    <w:rsid w:val="00794EB0"/>
    <w:rsid w:val="007A048A"/>
    <w:rsid w:val="007A14A5"/>
    <w:rsid w:val="007A26FA"/>
    <w:rsid w:val="007A6404"/>
    <w:rsid w:val="007A75FB"/>
    <w:rsid w:val="007B350C"/>
    <w:rsid w:val="007C2DFD"/>
    <w:rsid w:val="007D6398"/>
    <w:rsid w:val="007D7DA7"/>
    <w:rsid w:val="007D7EBC"/>
    <w:rsid w:val="007E65AB"/>
    <w:rsid w:val="00810AAF"/>
    <w:rsid w:val="00814975"/>
    <w:rsid w:val="00835759"/>
    <w:rsid w:val="008461D8"/>
    <w:rsid w:val="00847D99"/>
    <w:rsid w:val="008547B8"/>
    <w:rsid w:val="00872D6E"/>
    <w:rsid w:val="0087566B"/>
    <w:rsid w:val="00882210"/>
    <w:rsid w:val="008822B1"/>
    <w:rsid w:val="00895E41"/>
    <w:rsid w:val="00897EBC"/>
    <w:rsid w:val="008A3716"/>
    <w:rsid w:val="008A596F"/>
    <w:rsid w:val="008A79C2"/>
    <w:rsid w:val="008B4803"/>
    <w:rsid w:val="008C3E01"/>
    <w:rsid w:val="008C44B5"/>
    <w:rsid w:val="008C75E9"/>
    <w:rsid w:val="008D08E3"/>
    <w:rsid w:val="008D77E7"/>
    <w:rsid w:val="008D7971"/>
    <w:rsid w:val="008E03C6"/>
    <w:rsid w:val="008E1CD6"/>
    <w:rsid w:val="008F2C39"/>
    <w:rsid w:val="008F393E"/>
    <w:rsid w:val="008F7D8A"/>
    <w:rsid w:val="00904296"/>
    <w:rsid w:val="00904E01"/>
    <w:rsid w:val="00910442"/>
    <w:rsid w:val="0091238A"/>
    <w:rsid w:val="00913F61"/>
    <w:rsid w:val="0093420A"/>
    <w:rsid w:val="00937EE9"/>
    <w:rsid w:val="009405AD"/>
    <w:rsid w:val="00941B12"/>
    <w:rsid w:val="009427FF"/>
    <w:rsid w:val="00943543"/>
    <w:rsid w:val="009555E5"/>
    <w:rsid w:val="009578C1"/>
    <w:rsid w:val="00963D28"/>
    <w:rsid w:val="00965579"/>
    <w:rsid w:val="0096597D"/>
    <w:rsid w:val="00966481"/>
    <w:rsid w:val="00967B24"/>
    <w:rsid w:val="00971A1E"/>
    <w:rsid w:val="00973981"/>
    <w:rsid w:val="009766ED"/>
    <w:rsid w:val="009807E2"/>
    <w:rsid w:val="009817D7"/>
    <w:rsid w:val="00995622"/>
    <w:rsid w:val="009A1D2B"/>
    <w:rsid w:val="009B0E59"/>
    <w:rsid w:val="009B0F5A"/>
    <w:rsid w:val="009B5803"/>
    <w:rsid w:val="009B73F7"/>
    <w:rsid w:val="009C2611"/>
    <w:rsid w:val="009D5A09"/>
    <w:rsid w:val="009F134E"/>
    <w:rsid w:val="009F31FB"/>
    <w:rsid w:val="009F6B64"/>
    <w:rsid w:val="009F7DE0"/>
    <w:rsid w:val="00A00068"/>
    <w:rsid w:val="00A014B9"/>
    <w:rsid w:val="00A127EF"/>
    <w:rsid w:val="00A43CD1"/>
    <w:rsid w:val="00A53993"/>
    <w:rsid w:val="00A5421C"/>
    <w:rsid w:val="00A614D6"/>
    <w:rsid w:val="00A638E1"/>
    <w:rsid w:val="00A7435A"/>
    <w:rsid w:val="00A8065A"/>
    <w:rsid w:val="00A91038"/>
    <w:rsid w:val="00A979FA"/>
    <w:rsid w:val="00AA43A3"/>
    <w:rsid w:val="00AB5EC0"/>
    <w:rsid w:val="00AC07F2"/>
    <w:rsid w:val="00AC443C"/>
    <w:rsid w:val="00AD1CB2"/>
    <w:rsid w:val="00AD3E36"/>
    <w:rsid w:val="00AD67DE"/>
    <w:rsid w:val="00AE040F"/>
    <w:rsid w:val="00B03535"/>
    <w:rsid w:val="00B06A1E"/>
    <w:rsid w:val="00B17FCA"/>
    <w:rsid w:val="00B346AD"/>
    <w:rsid w:val="00B45C59"/>
    <w:rsid w:val="00B4630D"/>
    <w:rsid w:val="00B53E8E"/>
    <w:rsid w:val="00B548EE"/>
    <w:rsid w:val="00B639DC"/>
    <w:rsid w:val="00B63D68"/>
    <w:rsid w:val="00B64C55"/>
    <w:rsid w:val="00B667F6"/>
    <w:rsid w:val="00B736CC"/>
    <w:rsid w:val="00B7550E"/>
    <w:rsid w:val="00B8057C"/>
    <w:rsid w:val="00B80DBA"/>
    <w:rsid w:val="00B9171D"/>
    <w:rsid w:val="00BA3DA6"/>
    <w:rsid w:val="00BA4793"/>
    <w:rsid w:val="00BB1BB0"/>
    <w:rsid w:val="00BB2E3E"/>
    <w:rsid w:val="00BB6293"/>
    <w:rsid w:val="00BC046E"/>
    <w:rsid w:val="00BC0BE4"/>
    <w:rsid w:val="00BC592E"/>
    <w:rsid w:val="00BE52BD"/>
    <w:rsid w:val="00BF42A4"/>
    <w:rsid w:val="00BF6787"/>
    <w:rsid w:val="00C10C37"/>
    <w:rsid w:val="00C16BA2"/>
    <w:rsid w:val="00C1775F"/>
    <w:rsid w:val="00C22EDC"/>
    <w:rsid w:val="00C33DA0"/>
    <w:rsid w:val="00C35A0D"/>
    <w:rsid w:val="00C460CC"/>
    <w:rsid w:val="00C50F3A"/>
    <w:rsid w:val="00C532AC"/>
    <w:rsid w:val="00C54AB5"/>
    <w:rsid w:val="00C54D3E"/>
    <w:rsid w:val="00C55FFC"/>
    <w:rsid w:val="00C57F03"/>
    <w:rsid w:val="00C63A43"/>
    <w:rsid w:val="00C659AE"/>
    <w:rsid w:val="00C73885"/>
    <w:rsid w:val="00C7392B"/>
    <w:rsid w:val="00C7563B"/>
    <w:rsid w:val="00C7697D"/>
    <w:rsid w:val="00C779EE"/>
    <w:rsid w:val="00C83B2B"/>
    <w:rsid w:val="00C9107C"/>
    <w:rsid w:val="00C9135C"/>
    <w:rsid w:val="00CB392D"/>
    <w:rsid w:val="00CC234B"/>
    <w:rsid w:val="00CC5007"/>
    <w:rsid w:val="00CE168F"/>
    <w:rsid w:val="00CE7E59"/>
    <w:rsid w:val="00CF2BB2"/>
    <w:rsid w:val="00CF5D95"/>
    <w:rsid w:val="00CF6500"/>
    <w:rsid w:val="00D07735"/>
    <w:rsid w:val="00D1130F"/>
    <w:rsid w:val="00D22D1D"/>
    <w:rsid w:val="00D34C81"/>
    <w:rsid w:val="00D35CE4"/>
    <w:rsid w:val="00D361A8"/>
    <w:rsid w:val="00D3715E"/>
    <w:rsid w:val="00D3756F"/>
    <w:rsid w:val="00D42195"/>
    <w:rsid w:val="00D42919"/>
    <w:rsid w:val="00D42CE2"/>
    <w:rsid w:val="00D5613E"/>
    <w:rsid w:val="00D808A9"/>
    <w:rsid w:val="00D86AE1"/>
    <w:rsid w:val="00D91D5B"/>
    <w:rsid w:val="00D92275"/>
    <w:rsid w:val="00D93ECA"/>
    <w:rsid w:val="00DA07CA"/>
    <w:rsid w:val="00DA0F5A"/>
    <w:rsid w:val="00DB5F16"/>
    <w:rsid w:val="00DB652E"/>
    <w:rsid w:val="00DB6DAE"/>
    <w:rsid w:val="00DB7878"/>
    <w:rsid w:val="00DC1955"/>
    <w:rsid w:val="00DC7416"/>
    <w:rsid w:val="00DD1E11"/>
    <w:rsid w:val="00DD50CA"/>
    <w:rsid w:val="00DD63FF"/>
    <w:rsid w:val="00DE18C8"/>
    <w:rsid w:val="00DE18F4"/>
    <w:rsid w:val="00DE4192"/>
    <w:rsid w:val="00DF4D3B"/>
    <w:rsid w:val="00E01B0A"/>
    <w:rsid w:val="00E023A4"/>
    <w:rsid w:val="00E05011"/>
    <w:rsid w:val="00E12D29"/>
    <w:rsid w:val="00E21767"/>
    <w:rsid w:val="00E24C81"/>
    <w:rsid w:val="00E25A5E"/>
    <w:rsid w:val="00E26398"/>
    <w:rsid w:val="00E26E5B"/>
    <w:rsid w:val="00E26F60"/>
    <w:rsid w:val="00E31F22"/>
    <w:rsid w:val="00E46AD4"/>
    <w:rsid w:val="00E46AE2"/>
    <w:rsid w:val="00E71908"/>
    <w:rsid w:val="00E80FE8"/>
    <w:rsid w:val="00E84FF1"/>
    <w:rsid w:val="00E90DD6"/>
    <w:rsid w:val="00E91FB4"/>
    <w:rsid w:val="00EA2CFA"/>
    <w:rsid w:val="00EA57C5"/>
    <w:rsid w:val="00EA5D56"/>
    <w:rsid w:val="00EB0947"/>
    <w:rsid w:val="00EC6B97"/>
    <w:rsid w:val="00ED7176"/>
    <w:rsid w:val="00EF1222"/>
    <w:rsid w:val="00EF2903"/>
    <w:rsid w:val="00F001AA"/>
    <w:rsid w:val="00F10645"/>
    <w:rsid w:val="00F21986"/>
    <w:rsid w:val="00F23384"/>
    <w:rsid w:val="00F27B58"/>
    <w:rsid w:val="00F43710"/>
    <w:rsid w:val="00F5105D"/>
    <w:rsid w:val="00F5205E"/>
    <w:rsid w:val="00F521F0"/>
    <w:rsid w:val="00F53664"/>
    <w:rsid w:val="00F56A06"/>
    <w:rsid w:val="00F60265"/>
    <w:rsid w:val="00F628F7"/>
    <w:rsid w:val="00F64217"/>
    <w:rsid w:val="00F64E3B"/>
    <w:rsid w:val="00F733A3"/>
    <w:rsid w:val="00F87D51"/>
    <w:rsid w:val="00F92B4E"/>
    <w:rsid w:val="00F94B6C"/>
    <w:rsid w:val="00F97C30"/>
    <w:rsid w:val="00FA0234"/>
    <w:rsid w:val="00FA194F"/>
    <w:rsid w:val="00FA5DD3"/>
    <w:rsid w:val="00FB1E0C"/>
    <w:rsid w:val="00FD06E1"/>
    <w:rsid w:val="00FD3343"/>
    <w:rsid w:val="00FE43AD"/>
    <w:rsid w:val="00FE5571"/>
    <w:rsid w:val="00FF6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3FF"/>
    <w:pPr>
      <w:spacing w:after="0" w:line="240" w:lineRule="auto"/>
      <w:jc w:val="both"/>
    </w:pPr>
    <w:rPr>
      <w:rFonts w:ascii="Times" w:eastAsia="Times New Roman" w:hAnsi="Times" w:cs="Times New Roman"/>
      <w:sz w:val="26"/>
      <w:szCs w:val="20"/>
      <w:lang w:eastAsia="en-AU"/>
    </w:rPr>
  </w:style>
  <w:style w:type="paragraph" w:styleId="Heading6">
    <w:name w:val="heading 6"/>
    <w:basedOn w:val="Normal"/>
    <w:link w:val="Heading6Char"/>
    <w:uiPriority w:val="9"/>
    <w:qFormat/>
    <w:rsid w:val="008E1CD6"/>
    <w:pPr>
      <w:spacing w:before="100" w:beforeAutospacing="1" w:after="100" w:afterAutospacing="1"/>
      <w:jc w:val="left"/>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rsid w:val="00DD63FF"/>
    <w:pPr>
      <w:tabs>
        <w:tab w:val="center" w:pos="3600"/>
        <w:tab w:val="right" w:pos="7200"/>
      </w:tabs>
      <w:spacing w:after="0" w:line="240" w:lineRule="auto"/>
      <w:jc w:val="both"/>
    </w:pPr>
    <w:rPr>
      <w:rFonts w:ascii="Helvetica" w:eastAsia="Times New Roman" w:hAnsi="Helvetica" w:cs="Times New Roman"/>
      <w:sz w:val="12"/>
      <w:szCs w:val="20"/>
      <w:lang w:eastAsia="en-AU"/>
    </w:rPr>
  </w:style>
  <w:style w:type="character" w:customStyle="1" w:styleId="FooterChar">
    <w:name w:val="Footer Char"/>
    <w:basedOn w:val="DefaultParagraphFont"/>
    <w:link w:val="Footer"/>
    <w:uiPriority w:val="99"/>
    <w:rsid w:val="00DD63FF"/>
    <w:rPr>
      <w:rFonts w:ascii="Helvetica" w:eastAsia="Times New Roman" w:hAnsi="Helvetica" w:cs="Times New Roman"/>
      <w:sz w:val="12"/>
      <w:szCs w:val="20"/>
      <w:lang w:eastAsia="en-AU"/>
    </w:rPr>
  </w:style>
  <w:style w:type="paragraph" w:customStyle="1" w:styleId="HR">
    <w:name w:val="HR"/>
    <w:aliases w:val="Regulation Heading"/>
    <w:basedOn w:val="Normal"/>
    <w:next w:val="R1"/>
    <w:rsid w:val="00DD63FF"/>
    <w:pPr>
      <w:keepNext/>
      <w:tabs>
        <w:tab w:val="left" w:pos="540"/>
      </w:tabs>
      <w:spacing w:before="480" w:line="240" w:lineRule="atLeast"/>
    </w:pPr>
    <w:rPr>
      <w:b/>
    </w:rPr>
  </w:style>
  <w:style w:type="paragraph" w:customStyle="1" w:styleId="R1">
    <w:name w:val="R1"/>
    <w:aliases w:val="1. or 1.(1)"/>
    <w:basedOn w:val="Normal"/>
    <w:next w:val="P1"/>
    <w:rsid w:val="00DD63FF"/>
    <w:pPr>
      <w:tabs>
        <w:tab w:val="right" w:pos="1080"/>
        <w:tab w:val="left" w:pos="1260"/>
        <w:tab w:val="left" w:pos="1800"/>
      </w:tabs>
      <w:spacing w:before="120"/>
    </w:pPr>
  </w:style>
  <w:style w:type="paragraph" w:customStyle="1" w:styleId="P1">
    <w:name w:val="P1"/>
    <w:aliases w:val="(a)"/>
    <w:basedOn w:val="Normal"/>
    <w:rsid w:val="00DD63FF"/>
    <w:pPr>
      <w:tabs>
        <w:tab w:val="right" w:pos="1080"/>
      </w:tabs>
      <w:spacing w:before="40" w:line="260" w:lineRule="atLeast"/>
      <w:ind w:left="1276" w:hanging="1280"/>
    </w:pPr>
  </w:style>
  <w:style w:type="paragraph" w:customStyle="1" w:styleId="R2">
    <w:name w:val="R2"/>
    <w:aliases w:val="(2)"/>
    <w:basedOn w:val="R1"/>
    <w:next w:val="P1"/>
    <w:rsid w:val="00DD63FF"/>
    <w:pPr>
      <w:spacing w:before="240"/>
    </w:pPr>
  </w:style>
  <w:style w:type="paragraph" w:styleId="Title">
    <w:name w:val="Title"/>
    <w:basedOn w:val="Normal"/>
    <w:next w:val="Normal"/>
    <w:link w:val="TitleChar"/>
    <w:uiPriority w:val="10"/>
    <w:qFormat/>
    <w:rsid w:val="00DD63FF"/>
    <w:pPr>
      <w:spacing w:before="480"/>
      <w:jc w:val="center"/>
    </w:pPr>
    <w:rPr>
      <w:b/>
      <w:sz w:val="36"/>
    </w:rPr>
  </w:style>
  <w:style w:type="character" w:customStyle="1" w:styleId="TitleChar">
    <w:name w:val="Title Char"/>
    <w:basedOn w:val="DefaultParagraphFont"/>
    <w:link w:val="Title"/>
    <w:uiPriority w:val="10"/>
    <w:rsid w:val="00DD63FF"/>
    <w:rPr>
      <w:rFonts w:ascii="Times" w:eastAsia="Times New Roman" w:hAnsi="Times" w:cs="Times New Roman"/>
      <w:b/>
      <w:sz w:val="36"/>
      <w:szCs w:val="20"/>
      <w:lang w:eastAsia="en-AU"/>
    </w:rPr>
  </w:style>
  <w:style w:type="paragraph" w:customStyle="1" w:styleId="HP">
    <w:name w:val="HP"/>
    <w:aliases w:val="Part Heading"/>
    <w:basedOn w:val="Normal"/>
    <w:next w:val="Normal"/>
    <w:rsid w:val="00DD63FF"/>
    <w:pPr>
      <w:keepNext/>
      <w:spacing w:before="480"/>
      <w:jc w:val="center"/>
    </w:pPr>
    <w:rPr>
      <w:b/>
    </w:rPr>
  </w:style>
  <w:style w:type="paragraph" w:customStyle="1" w:styleId="definition">
    <w:name w:val="definition"/>
    <w:basedOn w:val="Normal"/>
    <w:rsid w:val="00DD63FF"/>
    <w:pPr>
      <w:tabs>
        <w:tab w:val="right" w:pos="1080"/>
        <w:tab w:val="left" w:pos="1260"/>
        <w:tab w:val="left" w:pos="1800"/>
      </w:tabs>
      <w:spacing w:before="40"/>
    </w:pPr>
  </w:style>
  <w:style w:type="paragraph" w:customStyle="1" w:styleId="TextWOutChapSectionBreak">
    <w:name w:val="TextW/OutChapSectionBreak"/>
    <w:basedOn w:val="Normal"/>
    <w:next w:val="Normal"/>
    <w:rsid w:val="00DD63FF"/>
    <w:pPr>
      <w:jc w:val="center"/>
    </w:pPr>
    <w:rPr>
      <w:rFonts w:ascii="Times New Roman" w:hAnsi="Times New Roman"/>
      <w:sz w:val="24"/>
    </w:rPr>
  </w:style>
  <w:style w:type="paragraph" w:styleId="BalloonText">
    <w:name w:val="Balloon Text"/>
    <w:basedOn w:val="Normal"/>
    <w:link w:val="BalloonTextChar"/>
    <w:uiPriority w:val="99"/>
    <w:semiHidden/>
    <w:unhideWhenUsed/>
    <w:rsid w:val="00DD63FF"/>
    <w:rPr>
      <w:rFonts w:ascii="Tahoma" w:hAnsi="Tahoma" w:cs="Tahoma"/>
      <w:sz w:val="16"/>
      <w:szCs w:val="16"/>
    </w:rPr>
  </w:style>
  <w:style w:type="character" w:customStyle="1" w:styleId="BalloonTextChar">
    <w:name w:val="Balloon Text Char"/>
    <w:basedOn w:val="DefaultParagraphFont"/>
    <w:link w:val="BalloonText"/>
    <w:uiPriority w:val="99"/>
    <w:semiHidden/>
    <w:rsid w:val="00DD63FF"/>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56802"/>
    <w:rPr>
      <w:sz w:val="16"/>
      <w:szCs w:val="16"/>
    </w:rPr>
  </w:style>
  <w:style w:type="paragraph" w:styleId="CommentText">
    <w:name w:val="annotation text"/>
    <w:basedOn w:val="Normal"/>
    <w:link w:val="CommentTextChar"/>
    <w:uiPriority w:val="99"/>
    <w:unhideWhenUsed/>
    <w:rsid w:val="00656802"/>
    <w:rPr>
      <w:sz w:val="20"/>
    </w:rPr>
  </w:style>
  <w:style w:type="character" w:customStyle="1" w:styleId="CommentTextChar">
    <w:name w:val="Comment Text Char"/>
    <w:basedOn w:val="DefaultParagraphFont"/>
    <w:link w:val="CommentText"/>
    <w:uiPriority w:val="99"/>
    <w:rsid w:val="00656802"/>
    <w:rPr>
      <w:rFonts w:ascii="Times" w:eastAsia="Times New Roman" w:hAnsi="Time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56802"/>
    <w:rPr>
      <w:b/>
      <w:bCs/>
    </w:rPr>
  </w:style>
  <w:style w:type="character" w:customStyle="1" w:styleId="CommentSubjectChar">
    <w:name w:val="Comment Subject Char"/>
    <w:basedOn w:val="CommentTextChar"/>
    <w:link w:val="CommentSubject"/>
    <w:uiPriority w:val="99"/>
    <w:semiHidden/>
    <w:rsid w:val="00656802"/>
    <w:rPr>
      <w:rFonts w:ascii="Times" w:eastAsia="Times New Roman" w:hAnsi="Times" w:cs="Times New Roman"/>
      <w:b/>
      <w:bCs/>
      <w:sz w:val="20"/>
      <w:szCs w:val="20"/>
      <w:lang w:eastAsia="en-AU"/>
    </w:rPr>
  </w:style>
  <w:style w:type="paragraph" w:customStyle="1" w:styleId="paragraph">
    <w:name w:val="paragraph"/>
    <w:basedOn w:val="Normal"/>
    <w:rsid w:val="00F94B6C"/>
    <w:pPr>
      <w:spacing w:before="100" w:beforeAutospacing="1" w:after="100" w:afterAutospacing="1"/>
      <w:jc w:val="left"/>
    </w:pPr>
    <w:rPr>
      <w:rFonts w:ascii="Times New Roman" w:hAnsi="Times New Roman"/>
      <w:sz w:val="24"/>
      <w:szCs w:val="24"/>
    </w:rPr>
  </w:style>
  <w:style w:type="paragraph" w:customStyle="1" w:styleId="NoteBody2">
    <w:name w:val="Note Body 2"/>
    <w:basedOn w:val="Normal"/>
    <w:rsid w:val="00034FB0"/>
    <w:pPr>
      <w:autoSpaceDE w:val="0"/>
      <w:autoSpaceDN w:val="0"/>
      <w:spacing w:before="120" w:after="120" w:line="260" w:lineRule="atLeast"/>
    </w:pPr>
    <w:rPr>
      <w:rFonts w:cs="Times"/>
      <w:sz w:val="22"/>
      <w:szCs w:val="22"/>
    </w:rPr>
  </w:style>
  <w:style w:type="character" w:styleId="Hyperlink">
    <w:name w:val="Hyperlink"/>
    <w:basedOn w:val="DefaultParagraphFont"/>
    <w:uiPriority w:val="99"/>
    <w:unhideWhenUsed/>
    <w:rsid w:val="00AA43A3"/>
    <w:rPr>
      <w:color w:val="0000FF" w:themeColor="hyperlink"/>
      <w:u w:val="single"/>
    </w:rPr>
  </w:style>
  <w:style w:type="paragraph" w:styleId="NormalWeb">
    <w:name w:val="Normal (Web)"/>
    <w:basedOn w:val="Normal"/>
    <w:uiPriority w:val="99"/>
    <w:semiHidden/>
    <w:unhideWhenUsed/>
    <w:rsid w:val="00AA43A3"/>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91238A"/>
    <w:pPr>
      <w:spacing w:after="0" w:line="240" w:lineRule="auto"/>
    </w:pPr>
    <w:rPr>
      <w:rFonts w:ascii="Times" w:eastAsia="Times New Roman" w:hAnsi="Times" w:cs="Times New Roman"/>
      <w:sz w:val="26"/>
      <w:szCs w:val="20"/>
      <w:lang w:eastAsia="en-AU"/>
    </w:rPr>
  </w:style>
  <w:style w:type="paragraph" w:customStyle="1" w:styleId="Default">
    <w:name w:val="Default"/>
    <w:rsid w:val="00C10C37"/>
    <w:pPr>
      <w:autoSpaceDE w:val="0"/>
      <w:autoSpaceDN w:val="0"/>
      <w:adjustRightInd w:val="0"/>
      <w:spacing w:after="0" w:line="240" w:lineRule="auto"/>
    </w:pPr>
    <w:rPr>
      <w:rFonts w:ascii="Helvetica" w:hAnsi="Helvetica" w:cs="Helvetica"/>
      <w:color w:val="000000"/>
      <w:sz w:val="24"/>
      <w:szCs w:val="24"/>
    </w:rPr>
  </w:style>
  <w:style w:type="paragraph" w:customStyle="1" w:styleId="CM68">
    <w:name w:val="CM68"/>
    <w:basedOn w:val="Default"/>
    <w:next w:val="Default"/>
    <w:uiPriority w:val="99"/>
    <w:rsid w:val="00C10C37"/>
    <w:rPr>
      <w:color w:val="auto"/>
    </w:rPr>
  </w:style>
  <w:style w:type="paragraph" w:styleId="ListParagraph">
    <w:name w:val="List Paragraph"/>
    <w:basedOn w:val="Normal"/>
    <w:uiPriority w:val="34"/>
    <w:qFormat/>
    <w:rsid w:val="00C10C37"/>
    <w:pPr>
      <w:ind w:left="720"/>
      <w:jc w:val="left"/>
    </w:pPr>
    <w:rPr>
      <w:rFonts w:ascii="Calibri" w:eastAsiaTheme="minorHAnsi" w:hAnsi="Calibri" w:cs="Calibri"/>
      <w:sz w:val="22"/>
      <w:szCs w:val="22"/>
    </w:rPr>
  </w:style>
  <w:style w:type="paragraph" w:customStyle="1" w:styleId="CM13">
    <w:name w:val="CM13"/>
    <w:basedOn w:val="Default"/>
    <w:next w:val="Default"/>
    <w:uiPriority w:val="99"/>
    <w:rsid w:val="008B4803"/>
    <w:pPr>
      <w:spacing w:line="298" w:lineRule="atLeast"/>
    </w:pPr>
    <w:rPr>
      <w:rFonts w:ascii="Times" w:hAnsi="Times" w:cs="Times"/>
      <w:color w:val="auto"/>
    </w:rPr>
  </w:style>
  <w:style w:type="paragraph" w:styleId="Header">
    <w:name w:val="header"/>
    <w:basedOn w:val="Normal"/>
    <w:link w:val="HeaderChar"/>
    <w:uiPriority w:val="99"/>
    <w:unhideWhenUsed/>
    <w:rsid w:val="003F1629"/>
    <w:pPr>
      <w:tabs>
        <w:tab w:val="center" w:pos="4513"/>
        <w:tab w:val="right" w:pos="9026"/>
      </w:tabs>
    </w:pPr>
  </w:style>
  <w:style w:type="character" w:customStyle="1" w:styleId="HeaderChar">
    <w:name w:val="Header Char"/>
    <w:basedOn w:val="DefaultParagraphFont"/>
    <w:link w:val="Header"/>
    <w:uiPriority w:val="99"/>
    <w:rsid w:val="003F1629"/>
    <w:rPr>
      <w:rFonts w:ascii="Times" w:eastAsia="Times New Roman" w:hAnsi="Times" w:cs="Times New Roman"/>
      <w:sz w:val="26"/>
      <w:szCs w:val="20"/>
      <w:lang w:eastAsia="en-AU"/>
    </w:rPr>
  </w:style>
  <w:style w:type="character" w:customStyle="1" w:styleId="Heading6Char">
    <w:name w:val="Heading 6 Char"/>
    <w:basedOn w:val="DefaultParagraphFont"/>
    <w:link w:val="Heading6"/>
    <w:uiPriority w:val="9"/>
    <w:rsid w:val="008E1CD6"/>
    <w:rPr>
      <w:rFonts w:ascii="Times New Roman" w:eastAsia="Times New Roman" w:hAnsi="Times New Roman" w:cs="Times New Roman"/>
      <w:b/>
      <w:bCs/>
      <w:sz w:val="15"/>
      <w:szCs w:val="15"/>
      <w:lang w:eastAsia="en-AU"/>
    </w:rPr>
  </w:style>
  <w:style w:type="paragraph" w:styleId="BodyText">
    <w:name w:val="Body Text"/>
    <w:basedOn w:val="Normal"/>
    <w:link w:val="BodyTextChar"/>
    <w:uiPriority w:val="99"/>
    <w:semiHidden/>
    <w:unhideWhenUsed/>
    <w:rsid w:val="008E1CD6"/>
    <w:pPr>
      <w:spacing w:before="100" w:beforeAutospacing="1" w:after="100" w:afterAutospacing="1"/>
      <w:jc w:val="left"/>
    </w:pPr>
    <w:rPr>
      <w:rFonts w:ascii="Times New Roman" w:hAnsi="Times New Roman"/>
      <w:sz w:val="24"/>
      <w:szCs w:val="24"/>
    </w:rPr>
  </w:style>
  <w:style w:type="character" w:customStyle="1" w:styleId="BodyTextChar">
    <w:name w:val="Body Text Char"/>
    <w:basedOn w:val="DefaultParagraphFont"/>
    <w:link w:val="BodyText"/>
    <w:uiPriority w:val="99"/>
    <w:semiHidden/>
    <w:rsid w:val="008E1CD6"/>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F5205E"/>
    <w:rPr>
      <w:sz w:val="20"/>
    </w:rPr>
  </w:style>
  <w:style w:type="character" w:customStyle="1" w:styleId="FootnoteTextChar">
    <w:name w:val="Footnote Text Char"/>
    <w:basedOn w:val="DefaultParagraphFont"/>
    <w:link w:val="FootnoteText"/>
    <w:uiPriority w:val="99"/>
    <w:semiHidden/>
    <w:rsid w:val="00F5205E"/>
    <w:rPr>
      <w:rFonts w:ascii="Times" w:eastAsia="Times New Roman" w:hAnsi="Times" w:cs="Times New Roman"/>
      <w:sz w:val="20"/>
      <w:szCs w:val="20"/>
      <w:lang w:eastAsia="en-AU"/>
    </w:rPr>
  </w:style>
  <w:style w:type="character" w:styleId="FootnoteReference">
    <w:name w:val="footnote reference"/>
    <w:basedOn w:val="DefaultParagraphFont"/>
    <w:uiPriority w:val="99"/>
    <w:semiHidden/>
    <w:unhideWhenUsed/>
    <w:rsid w:val="00F520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466">
      <w:bodyDiv w:val="1"/>
      <w:marLeft w:val="0"/>
      <w:marRight w:val="0"/>
      <w:marTop w:val="0"/>
      <w:marBottom w:val="0"/>
      <w:divBdr>
        <w:top w:val="none" w:sz="0" w:space="0" w:color="auto"/>
        <w:left w:val="none" w:sz="0" w:space="0" w:color="auto"/>
        <w:bottom w:val="none" w:sz="0" w:space="0" w:color="auto"/>
        <w:right w:val="none" w:sz="0" w:space="0" w:color="auto"/>
      </w:divBdr>
    </w:div>
    <w:div w:id="123083668">
      <w:bodyDiv w:val="1"/>
      <w:marLeft w:val="0"/>
      <w:marRight w:val="0"/>
      <w:marTop w:val="0"/>
      <w:marBottom w:val="0"/>
      <w:divBdr>
        <w:top w:val="none" w:sz="0" w:space="0" w:color="auto"/>
        <w:left w:val="none" w:sz="0" w:space="0" w:color="auto"/>
        <w:bottom w:val="none" w:sz="0" w:space="0" w:color="auto"/>
        <w:right w:val="none" w:sz="0" w:space="0" w:color="auto"/>
      </w:divBdr>
      <w:divsChild>
        <w:div w:id="837162146">
          <w:marLeft w:val="0"/>
          <w:marRight w:val="0"/>
          <w:marTop w:val="0"/>
          <w:marBottom w:val="0"/>
          <w:divBdr>
            <w:top w:val="none" w:sz="0" w:space="0" w:color="auto"/>
            <w:left w:val="none" w:sz="0" w:space="0" w:color="auto"/>
            <w:bottom w:val="none" w:sz="0" w:space="0" w:color="auto"/>
            <w:right w:val="none" w:sz="0" w:space="0" w:color="auto"/>
          </w:divBdr>
          <w:divsChild>
            <w:div w:id="1892693911">
              <w:marLeft w:val="0"/>
              <w:marRight w:val="0"/>
              <w:marTop w:val="0"/>
              <w:marBottom w:val="0"/>
              <w:divBdr>
                <w:top w:val="none" w:sz="0" w:space="0" w:color="auto"/>
                <w:left w:val="none" w:sz="0" w:space="0" w:color="auto"/>
                <w:bottom w:val="none" w:sz="0" w:space="0" w:color="auto"/>
                <w:right w:val="none" w:sz="0" w:space="0" w:color="auto"/>
              </w:divBdr>
              <w:divsChild>
                <w:div w:id="106587233">
                  <w:marLeft w:val="0"/>
                  <w:marRight w:val="0"/>
                  <w:marTop w:val="0"/>
                  <w:marBottom w:val="0"/>
                  <w:divBdr>
                    <w:top w:val="none" w:sz="0" w:space="0" w:color="auto"/>
                    <w:left w:val="none" w:sz="0" w:space="0" w:color="auto"/>
                    <w:bottom w:val="none" w:sz="0" w:space="0" w:color="auto"/>
                    <w:right w:val="none" w:sz="0" w:space="0" w:color="auto"/>
                  </w:divBdr>
                  <w:divsChild>
                    <w:div w:id="997073609">
                      <w:marLeft w:val="0"/>
                      <w:marRight w:val="0"/>
                      <w:marTop w:val="0"/>
                      <w:marBottom w:val="0"/>
                      <w:divBdr>
                        <w:top w:val="none" w:sz="0" w:space="0" w:color="auto"/>
                        <w:left w:val="none" w:sz="0" w:space="0" w:color="auto"/>
                        <w:bottom w:val="none" w:sz="0" w:space="0" w:color="auto"/>
                        <w:right w:val="none" w:sz="0" w:space="0" w:color="auto"/>
                      </w:divBdr>
                      <w:divsChild>
                        <w:div w:id="163713163">
                          <w:marLeft w:val="0"/>
                          <w:marRight w:val="0"/>
                          <w:marTop w:val="0"/>
                          <w:marBottom w:val="0"/>
                          <w:divBdr>
                            <w:top w:val="single" w:sz="6" w:space="0" w:color="828282"/>
                            <w:left w:val="single" w:sz="6" w:space="0" w:color="828282"/>
                            <w:bottom w:val="single" w:sz="6" w:space="0" w:color="828282"/>
                            <w:right w:val="single" w:sz="6" w:space="0" w:color="828282"/>
                          </w:divBdr>
                          <w:divsChild>
                            <w:div w:id="1190484401">
                              <w:marLeft w:val="0"/>
                              <w:marRight w:val="0"/>
                              <w:marTop w:val="0"/>
                              <w:marBottom w:val="0"/>
                              <w:divBdr>
                                <w:top w:val="none" w:sz="0" w:space="0" w:color="auto"/>
                                <w:left w:val="none" w:sz="0" w:space="0" w:color="auto"/>
                                <w:bottom w:val="none" w:sz="0" w:space="0" w:color="auto"/>
                                <w:right w:val="none" w:sz="0" w:space="0" w:color="auto"/>
                              </w:divBdr>
                              <w:divsChild>
                                <w:div w:id="1658613816">
                                  <w:marLeft w:val="0"/>
                                  <w:marRight w:val="0"/>
                                  <w:marTop w:val="0"/>
                                  <w:marBottom w:val="0"/>
                                  <w:divBdr>
                                    <w:top w:val="none" w:sz="0" w:space="0" w:color="auto"/>
                                    <w:left w:val="none" w:sz="0" w:space="0" w:color="auto"/>
                                    <w:bottom w:val="none" w:sz="0" w:space="0" w:color="auto"/>
                                    <w:right w:val="none" w:sz="0" w:space="0" w:color="auto"/>
                                  </w:divBdr>
                                  <w:divsChild>
                                    <w:div w:id="425539135">
                                      <w:marLeft w:val="0"/>
                                      <w:marRight w:val="0"/>
                                      <w:marTop w:val="0"/>
                                      <w:marBottom w:val="0"/>
                                      <w:divBdr>
                                        <w:top w:val="none" w:sz="0" w:space="0" w:color="auto"/>
                                        <w:left w:val="none" w:sz="0" w:space="0" w:color="auto"/>
                                        <w:bottom w:val="none" w:sz="0" w:space="0" w:color="auto"/>
                                        <w:right w:val="none" w:sz="0" w:space="0" w:color="auto"/>
                                      </w:divBdr>
                                      <w:divsChild>
                                        <w:div w:id="1626887818">
                                          <w:marLeft w:val="0"/>
                                          <w:marRight w:val="0"/>
                                          <w:marTop w:val="0"/>
                                          <w:marBottom w:val="0"/>
                                          <w:divBdr>
                                            <w:top w:val="none" w:sz="0" w:space="0" w:color="auto"/>
                                            <w:left w:val="none" w:sz="0" w:space="0" w:color="auto"/>
                                            <w:bottom w:val="none" w:sz="0" w:space="0" w:color="auto"/>
                                            <w:right w:val="none" w:sz="0" w:space="0" w:color="auto"/>
                                          </w:divBdr>
                                          <w:divsChild>
                                            <w:div w:id="1230732222">
                                              <w:marLeft w:val="0"/>
                                              <w:marRight w:val="0"/>
                                              <w:marTop w:val="0"/>
                                              <w:marBottom w:val="0"/>
                                              <w:divBdr>
                                                <w:top w:val="none" w:sz="0" w:space="0" w:color="auto"/>
                                                <w:left w:val="none" w:sz="0" w:space="0" w:color="auto"/>
                                                <w:bottom w:val="none" w:sz="0" w:space="0" w:color="auto"/>
                                                <w:right w:val="none" w:sz="0" w:space="0" w:color="auto"/>
                                              </w:divBdr>
                                              <w:divsChild>
                                                <w:div w:id="73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3738572">
      <w:bodyDiv w:val="1"/>
      <w:marLeft w:val="0"/>
      <w:marRight w:val="0"/>
      <w:marTop w:val="0"/>
      <w:marBottom w:val="0"/>
      <w:divBdr>
        <w:top w:val="none" w:sz="0" w:space="0" w:color="auto"/>
        <w:left w:val="none" w:sz="0" w:space="0" w:color="auto"/>
        <w:bottom w:val="none" w:sz="0" w:space="0" w:color="auto"/>
        <w:right w:val="none" w:sz="0" w:space="0" w:color="auto"/>
      </w:divBdr>
    </w:div>
    <w:div w:id="1164204516">
      <w:bodyDiv w:val="1"/>
      <w:marLeft w:val="0"/>
      <w:marRight w:val="0"/>
      <w:marTop w:val="0"/>
      <w:marBottom w:val="0"/>
      <w:divBdr>
        <w:top w:val="none" w:sz="0" w:space="0" w:color="auto"/>
        <w:left w:val="none" w:sz="0" w:space="0" w:color="auto"/>
        <w:bottom w:val="none" w:sz="0" w:space="0" w:color="auto"/>
        <w:right w:val="none" w:sz="0" w:space="0" w:color="auto"/>
      </w:divBdr>
    </w:div>
    <w:div w:id="1433862694">
      <w:bodyDiv w:val="1"/>
      <w:marLeft w:val="0"/>
      <w:marRight w:val="0"/>
      <w:marTop w:val="0"/>
      <w:marBottom w:val="0"/>
      <w:divBdr>
        <w:top w:val="none" w:sz="0" w:space="0" w:color="auto"/>
        <w:left w:val="none" w:sz="0" w:space="0" w:color="auto"/>
        <w:bottom w:val="none" w:sz="0" w:space="0" w:color="auto"/>
        <w:right w:val="none" w:sz="0" w:space="0" w:color="auto"/>
      </w:divBdr>
      <w:divsChild>
        <w:div w:id="314842723">
          <w:marLeft w:val="0"/>
          <w:marRight w:val="0"/>
          <w:marTop w:val="0"/>
          <w:marBottom w:val="0"/>
          <w:divBdr>
            <w:top w:val="none" w:sz="0" w:space="0" w:color="auto"/>
            <w:left w:val="none" w:sz="0" w:space="0" w:color="auto"/>
            <w:bottom w:val="none" w:sz="0" w:space="0" w:color="auto"/>
            <w:right w:val="none" w:sz="0" w:space="0" w:color="auto"/>
          </w:divBdr>
          <w:divsChild>
            <w:div w:id="1600720911">
              <w:marLeft w:val="0"/>
              <w:marRight w:val="0"/>
              <w:marTop w:val="0"/>
              <w:marBottom w:val="0"/>
              <w:divBdr>
                <w:top w:val="none" w:sz="0" w:space="0" w:color="auto"/>
                <w:left w:val="none" w:sz="0" w:space="0" w:color="auto"/>
                <w:bottom w:val="none" w:sz="0" w:space="0" w:color="auto"/>
                <w:right w:val="none" w:sz="0" w:space="0" w:color="auto"/>
              </w:divBdr>
              <w:divsChild>
                <w:div w:id="136453701">
                  <w:marLeft w:val="0"/>
                  <w:marRight w:val="0"/>
                  <w:marTop w:val="0"/>
                  <w:marBottom w:val="0"/>
                  <w:divBdr>
                    <w:top w:val="none" w:sz="0" w:space="0" w:color="auto"/>
                    <w:left w:val="none" w:sz="0" w:space="0" w:color="auto"/>
                    <w:bottom w:val="none" w:sz="0" w:space="0" w:color="auto"/>
                    <w:right w:val="none" w:sz="0" w:space="0" w:color="auto"/>
                  </w:divBdr>
                  <w:divsChild>
                    <w:div w:id="966282215">
                      <w:marLeft w:val="0"/>
                      <w:marRight w:val="0"/>
                      <w:marTop w:val="0"/>
                      <w:marBottom w:val="0"/>
                      <w:divBdr>
                        <w:top w:val="none" w:sz="0" w:space="0" w:color="auto"/>
                        <w:left w:val="none" w:sz="0" w:space="0" w:color="auto"/>
                        <w:bottom w:val="none" w:sz="0" w:space="0" w:color="auto"/>
                        <w:right w:val="none" w:sz="0" w:space="0" w:color="auto"/>
                      </w:divBdr>
                      <w:divsChild>
                        <w:div w:id="278951369">
                          <w:marLeft w:val="0"/>
                          <w:marRight w:val="0"/>
                          <w:marTop w:val="0"/>
                          <w:marBottom w:val="0"/>
                          <w:divBdr>
                            <w:top w:val="single" w:sz="6" w:space="0" w:color="828282"/>
                            <w:left w:val="single" w:sz="6" w:space="0" w:color="828282"/>
                            <w:bottom w:val="single" w:sz="6" w:space="0" w:color="828282"/>
                            <w:right w:val="single" w:sz="6" w:space="0" w:color="828282"/>
                          </w:divBdr>
                          <w:divsChild>
                            <w:div w:id="1658801638">
                              <w:marLeft w:val="0"/>
                              <w:marRight w:val="0"/>
                              <w:marTop w:val="0"/>
                              <w:marBottom w:val="0"/>
                              <w:divBdr>
                                <w:top w:val="none" w:sz="0" w:space="0" w:color="auto"/>
                                <w:left w:val="none" w:sz="0" w:space="0" w:color="auto"/>
                                <w:bottom w:val="none" w:sz="0" w:space="0" w:color="auto"/>
                                <w:right w:val="none" w:sz="0" w:space="0" w:color="auto"/>
                              </w:divBdr>
                              <w:divsChild>
                                <w:div w:id="1810126179">
                                  <w:marLeft w:val="0"/>
                                  <w:marRight w:val="0"/>
                                  <w:marTop w:val="0"/>
                                  <w:marBottom w:val="0"/>
                                  <w:divBdr>
                                    <w:top w:val="none" w:sz="0" w:space="0" w:color="auto"/>
                                    <w:left w:val="none" w:sz="0" w:space="0" w:color="auto"/>
                                    <w:bottom w:val="none" w:sz="0" w:space="0" w:color="auto"/>
                                    <w:right w:val="none" w:sz="0" w:space="0" w:color="auto"/>
                                  </w:divBdr>
                                  <w:divsChild>
                                    <w:div w:id="1426339143">
                                      <w:marLeft w:val="0"/>
                                      <w:marRight w:val="0"/>
                                      <w:marTop w:val="0"/>
                                      <w:marBottom w:val="0"/>
                                      <w:divBdr>
                                        <w:top w:val="none" w:sz="0" w:space="0" w:color="auto"/>
                                        <w:left w:val="none" w:sz="0" w:space="0" w:color="auto"/>
                                        <w:bottom w:val="none" w:sz="0" w:space="0" w:color="auto"/>
                                        <w:right w:val="none" w:sz="0" w:space="0" w:color="auto"/>
                                      </w:divBdr>
                                      <w:divsChild>
                                        <w:div w:id="738137745">
                                          <w:marLeft w:val="0"/>
                                          <w:marRight w:val="0"/>
                                          <w:marTop w:val="0"/>
                                          <w:marBottom w:val="0"/>
                                          <w:divBdr>
                                            <w:top w:val="none" w:sz="0" w:space="0" w:color="auto"/>
                                            <w:left w:val="none" w:sz="0" w:space="0" w:color="auto"/>
                                            <w:bottom w:val="none" w:sz="0" w:space="0" w:color="auto"/>
                                            <w:right w:val="none" w:sz="0" w:space="0" w:color="auto"/>
                                          </w:divBdr>
                                          <w:divsChild>
                                            <w:div w:id="299959751">
                                              <w:marLeft w:val="0"/>
                                              <w:marRight w:val="0"/>
                                              <w:marTop w:val="0"/>
                                              <w:marBottom w:val="0"/>
                                              <w:divBdr>
                                                <w:top w:val="none" w:sz="0" w:space="0" w:color="auto"/>
                                                <w:left w:val="none" w:sz="0" w:space="0" w:color="auto"/>
                                                <w:bottom w:val="none" w:sz="0" w:space="0" w:color="auto"/>
                                                <w:right w:val="none" w:sz="0" w:space="0" w:color="auto"/>
                                              </w:divBdr>
                                              <w:divsChild>
                                                <w:div w:id="15901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2243244">
      <w:bodyDiv w:val="1"/>
      <w:marLeft w:val="0"/>
      <w:marRight w:val="0"/>
      <w:marTop w:val="0"/>
      <w:marBottom w:val="0"/>
      <w:divBdr>
        <w:top w:val="none" w:sz="0" w:space="0" w:color="auto"/>
        <w:left w:val="none" w:sz="0" w:space="0" w:color="auto"/>
        <w:bottom w:val="none" w:sz="0" w:space="0" w:color="auto"/>
        <w:right w:val="none" w:sz="0" w:space="0" w:color="auto"/>
      </w:divBdr>
      <w:divsChild>
        <w:div w:id="761874229">
          <w:marLeft w:val="0"/>
          <w:marRight w:val="0"/>
          <w:marTop w:val="0"/>
          <w:marBottom w:val="0"/>
          <w:divBdr>
            <w:top w:val="none" w:sz="0" w:space="0" w:color="auto"/>
            <w:left w:val="none" w:sz="0" w:space="0" w:color="auto"/>
            <w:bottom w:val="none" w:sz="0" w:space="0" w:color="auto"/>
            <w:right w:val="none" w:sz="0" w:space="0" w:color="auto"/>
          </w:divBdr>
          <w:divsChild>
            <w:div w:id="1632322569">
              <w:marLeft w:val="0"/>
              <w:marRight w:val="0"/>
              <w:marTop w:val="0"/>
              <w:marBottom w:val="0"/>
              <w:divBdr>
                <w:top w:val="none" w:sz="0" w:space="0" w:color="auto"/>
                <w:left w:val="none" w:sz="0" w:space="0" w:color="auto"/>
                <w:bottom w:val="none" w:sz="0" w:space="0" w:color="auto"/>
                <w:right w:val="none" w:sz="0" w:space="0" w:color="auto"/>
              </w:divBdr>
              <w:divsChild>
                <w:div w:id="503394600">
                  <w:marLeft w:val="0"/>
                  <w:marRight w:val="0"/>
                  <w:marTop w:val="0"/>
                  <w:marBottom w:val="0"/>
                  <w:divBdr>
                    <w:top w:val="none" w:sz="0" w:space="0" w:color="auto"/>
                    <w:left w:val="none" w:sz="0" w:space="0" w:color="auto"/>
                    <w:bottom w:val="none" w:sz="0" w:space="0" w:color="auto"/>
                    <w:right w:val="none" w:sz="0" w:space="0" w:color="auto"/>
                  </w:divBdr>
                  <w:divsChild>
                    <w:div w:id="993028991">
                      <w:marLeft w:val="0"/>
                      <w:marRight w:val="0"/>
                      <w:marTop w:val="0"/>
                      <w:marBottom w:val="0"/>
                      <w:divBdr>
                        <w:top w:val="none" w:sz="0" w:space="0" w:color="auto"/>
                        <w:left w:val="none" w:sz="0" w:space="0" w:color="auto"/>
                        <w:bottom w:val="none" w:sz="0" w:space="0" w:color="auto"/>
                        <w:right w:val="none" w:sz="0" w:space="0" w:color="auto"/>
                      </w:divBdr>
                      <w:divsChild>
                        <w:div w:id="1371102673">
                          <w:marLeft w:val="0"/>
                          <w:marRight w:val="0"/>
                          <w:marTop w:val="0"/>
                          <w:marBottom w:val="0"/>
                          <w:divBdr>
                            <w:top w:val="single" w:sz="6" w:space="0" w:color="828282"/>
                            <w:left w:val="single" w:sz="6" w:space="0" w:color="828282"/>
                            <w:bottom w:val="single" w:sz="6" w:space="0" w:color="828282"/>
                            <w:right w:val="single" w:sz="6" w:space="0" w:color="828282"/>
                          </w:divBdr>
                          <w:divsChild>
                            <w:div w:id="197279300">
                              <w:marLeft w:val="0"/>
                              <w:marRight w:val="0"/>
                              <w:marTop w:val="0"/>
                              <w:marBottom w:val="0"/>
                              <w:divBdr>
                                <w:top w:val="none" w:sz="0" w:space="0" w:color="auto"/>
                                <w:left w:val="none" w:sz="0" w:space="0" w:color="auto"/>
                                <w:bottom w:val="none" w:sz="0" w:space="0" w:color="auto"/>
                                <w:right w:val="none" w:sz="0" w:space="0" w:color="auto"/>
                              </w:divBdr>
                              <w:divsChild>
                                <w:div w:id="1966427749">
                                  <w:marLeft w:val="0"/>
                                  <w:marRight w:val="0"/>
                                  <w:marTop w:val="0"/>
                                  <w:marBottom w:val="0"/>
                                  <w:divBdr>
                                    <w:top w:val="none" w:sz="0" w:space="0" w:color="auto"/>
                                    <w:left w:val="none" w:sz="0" w:space="0" w:color="auto"/>
                                    <w:bottom w:val="none" w:sz="0" w:space="0" w:color="auto"/>
                                    <w:right w:val="none" w:sz="0" w:space="0" w:color="auto"/>
                                  </w:divBdr>
                                  <w:divsChild>
                                    <w:div w:id="1365444435">
                                      <w:marLeft w:val="0"/>
                                      <w:marRight w:val="0"/>
                                      <w:marTop w:val="0"/>
                                      <w:marBottom w:val="0"/>
                                      <w:divBdr>
                                        <w:top w:val="none" w:sz="0" w:space="0" w:color="auto"/>
                                        <w:left w:val="none" w:sz="0" w:space="0" w:color="auto"/>
                                        <w:bottom w:val="none" w:sz="0" w:space="0" w:color="auto"/>
                                        <w:right w:val="none" w:sz="0" w:space="0" w:color="auto"/>
                                      </w:divBdr>
                                      <w:divsChild>
                                        <w:div w:id="1262684479">
                                          <w:marLeft w:val="0"/>
                                          <w:marRight w:val="0"/>
                                          <w:marTop w:val="0"/>
                                          <w:marBottom w:val="0"/>
                                          <w:divBdr>
                                            <w:top w:val="none" w:sz="0" w:space="0" w:color="auto"/>
                                            <w:left w:val="none" w:sz="0" w:space="0" w:color="auto"/>
                                            <w:bottom w:val="none" w:sz="0" w:space="0" w:color="auto"/>
                                            <w:right w:val="none" w:sz="0" w:space="0" w:color="auto"/>
                                          </w:divBdr>
                                          <w:divsChild>
                                            <w:div w:id="1690063609">
                                              <w:marLeft w:val="0"/>
                                              <w:marRight w:val="0"/>
                                              <w:marTop w:val="0"/>
                                              <w:marBottom w:val="0"/>
                                              <w:divBdr>
                                                <w:top w:val="none" w:sz="0" w:space="0" w:color="auto"/>
                                                <w:left w:val="none" w:sz="0" w:space="0" w:color="auto"/>
                                                <w:bottom w:val="none" w:sz="0" w:space="0" w:color="auto"/>
                                                <w:right w:val="none" w:sz="0" w:space="0" w:color="auto"/>
                                              </w:divBdr>
                                              <w:divsChild>
                                                <w:div w:id="202902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5023114">
      <w:bodyDiv w:val="1"/>
      <w:marLeft w:val="0"/>
      <w:marRight w:val="0"/>
      <w:marTop w:val="0"/>
      <w:marBottom w:val="0"/>
      <w:divBdr>
        <w:top w:val="none" w:sz="0" w:space="0" w:color="auto"/>
        <w:left w:val="none" w:sz="0" w:space="0" w:color="auto"/>
        <w:bottom w:val="none" w:sz="0" w:space="0" w:color="auto"/>
        <w:right w:val="none" w:sz="0" w:space="0" w:color="auto"/>
      </w:divBdr>
    </w:div>
    <w:div w:id="1791821221">
      <w:bodyDiv w:val="1"/>
      <w:marLeft w:val="0"/>
      <w:marRight w:val="0"/>
      <w:marTop w:val="0"/>
      <w:marBottom w:val="0"/>
      <w:divBdr>
        <w:top w:val="none" w:sz="0" w:space="0" w:color="auto"/>
        <w:left w:val="none" w:sz="0" w:space="0" w:color="auto"/>
        <w:bottom w:val="none" w:sz="0" w:space="0" w:color="auto"/>
        <w:right w:val="none" w:sz="0" w:space="0" w:color="auto"/>
      </w:divBdr>
      <w:divsChild>
        <w:div w:id="2082167503">
          <w:marLeft w:val="0"/>
          <w:marRight w:val="0"/>
          <w:marTop w:val="0"/>
          <w:marBottom w:val="0"/>
          <w:divBdr>
            <w:top w:val="none" w:sz="0" w:space="0" w:color="auto"/>
            <w:left w:val="none" w:sz="0" w:space="0" w:color="auto"/>
            <w:bottom w:val="none" w:sz="0" w:space="0" w:color="auto"/>
            <w:right w:val="none" w:sz="0" w:space="0" w:color="auto"/>
          </w:divBdr>
          <w:divsChild>
            <w:div w:id="655646153">
              <w:marLeft w:val="0"/>
              <w:marRight w:val="0"/>
              <w:marTop w:val="0"/>
              <w:marBottom w:val="0"/>
              <w:divBdr>
                <w:top w:val="none" w:sz="0" w:space="0" w:color="auto"/>
                <w:left w:val="none" w:sz="0" w:space="0" w:color="auto"/>
                <w:bottom w:val="none" w:sz="0" w:space="0" w:color="auto"/>
                <w:right w:val="none" w:sz="0" w:space="0" w:color="auto"/>
              </w:divBdr>
              <w:divsChild>
                <w:div w:id="1164276408">
                  <w:marLeft w:val="0"/>
                  <w:marRight w:val="0"/>
                  <w:marTop w:val="0"/>
                  <w:marBottom w:val="0"/>
                  <w:divBdr>
                    <w:top w:val="none" w:sz="0" w:space="0" w:color="auto"/>
                    <w:left w:val="none" w:sz="0" w:space="0" w:color="auto"/>
                    <w:bottom w:val="none" w:sz="0" w:space="0" w:color="auto"/>
                    <w:right w:val="none" w:sz="0" w:space="0" w:color="auto"/>
                  </w:divBdr>
                  <w:divsChild>
                    <w:div w:id="1299141019">
                      <w:marLeft w:val="0"/>
                      <w:marRight w:val="0"/>
                      <w:marTop w:val="0"/>
                      <w:marBottom w:val="0"/>
                      <w:divBdr>
                        <w:top w:val="none" w:sz="0" w:space="0" w:color="auto"/>
                        <w:left w:val="none" w:sz="0" w:space="0" w:color="auto"/>
                        <w:bottom w:val="none" w:sz="0" w:space="0" w:color="auto"/>
                        <w:right w:val="none" w:sz="0" w:space="0" w:color="auto"/>
                      </w:divBdr>
                      <w:divsChild>
                        <w:div w:id="19663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312774">
      <w:bodyDiv w:val="1"/>
      <w:marLeft w:val="0"/>
      <w:marRight w:val="0"/>
      <w:marTop w:val="0"/>
      <w:marBottom w:val="0"/>
      <w:divBdr>
        <w:top w:val="none" w:sz="0" w:space="0" w:color="auto"/>
        <w:left w:val="none" w:sz="0" w:space="0" w:color="auto"/>
        <w:bottom w:val="none" w:sz="0" w:space="0" w:color="auto"/>
        <w:right w:val="none" w:sz="0" w:space="0" w:color="auto"/>
      </w:divBdr>
      <w:divsChild>
        <w:div w:id="81491546">
          <w:marLeft w:val="0"/>
          <w:marRight w:val="0"/>
          <w:marTop w:val="0"/>
          <w:marBottom w:val="0"/>
          <w:divBdr>
            <w:top w:val="none" w:sz="0" w:space="0" w:color="auto"/>
            <w:left w:val="none" w:sz="0" w:space="0" w:color="auto"/>
            <w:bottom w:val="none" w:sz="0" w:space="0" w:color="auto"/>
            <w:right w:val="none" w:sz="0" w:space="0" w:color="auto"/>
          </w:divBdr>
          <w:divsChild>
            <w:div w:id="1484811395">
              <w:marLeft w:val="0"/>
              <w:marRight w:val="0"/>
              <w:marTop w:val="0"/>
              <w:marBottom w:val="0"/>
              <w:divBdr>
                <w:top w:val="none" w:sz="0" w:space="0" w:color="auto"/>
                <w:left w:val="none" w:sz="0" w:space="0" w:color="auto"/>
                <w:bottom w:val="none" w:sz="0" w:space="0" w:color="auto"/>
                <w:right w:val="none" w:sz="0" w:space="0" w:color="auto"/>
              </w:divBdr>
              <w:divsChild>
                <w:div w:id="785544382">
                  <w:marLeft w:val="0"/>
                  <w:marRight w:val="0"/>
                  <w:marTop w:val="0"/>
                  <w:marBottom w:val="0"/>
                  <w:divBdr>
                    <w:top w:val="none" w:sz="0" w:space="0" w:color="auto"/>
                    <w:left w:val="none" w:sz="0" w:space="0" w:color="auto"/>
                    <w:bottom w:val="none" w:sz="0" w:space="0" w:color="auto"/>
                    <w:right w:val="none" w:sz="0" w:space="0" w:color="auto"/>
                  </w:divBdr>
                  <w:divsChild>
                    <w:div w:id="1485195337">
                      <w:marLeft w:val="0"/>
                      <w:marRight w:val="0"/>
                      <w:marTop w:val="0"/>
                      <w:marBottom w:val="0"/>
                      <w:divBdr>
                        <w:top w:val="none" w:sz="0" w:space="0" w:color="auto"/>
                        <w:left w:val="none" w:sz="0" w:space="0" w:color="auto"/>
                        <w:bottom w:val="none" w:sz="0" w:space="0" w:color="auto"/>
                        <w:right w:val="none" w:sz="0" w:space="0" w:color="auto"/>
                      </w:divBdr>
                      <w:divsChild>
                        <w:div w:id="1379433149">
                          <w:marLeft w:val="0"/>
                          <w:marRight w:val="0"/>
                          <w:marTop w:val="0"/>
                          <w:marBottom w:val="0"/>
                          <w:divBdr>
                            <w:top w:val="single" w:sz="6" w:space="0" w:color="828282"/>
                            <w:left w:val="single" w:sz="6" w:space="0" w:color="828282"/>
                            <w:bottom w:val="single" w:sz="6" w:space="0" w:color="828282"/>
                            <w:right w:val="single" w:sz="6" w:space="0" w:color="828282"/>
                          </w:divBdr>
                          <w:divsChild>
                            <w:div w:id="1058187">
                              <w:marLeft w:val="0"/>
                              <w:marRight w:val="0"/>
                              <w:marTop w:val="0"/>
                              <w:marBottom w:val="0"/>
                              <w:divBdr>
                                <w:top w:val="none" w:sz="0" w:space="0" w:color="auto"/>
                                <w:left w:val="none" w:sz="0" w:space="0" w:color="auto"/>
                                <w:bottom w:val="none" w:sz="0" w:space="0" w:color="auto"/>
                                <w:right w:val="none" w:sz="0" w:space="0" w:color="auto"/>
                              </w:divBdr>
                              <w:divsChild>
                                <w:div w:id="556208843">
                                  <w:marLeft w:val="0"/>
                                  <w:marRight w:val="0"/>
                                  <w:marTop w:val="0"/>
                                  <w:marBottom w:val="0"/>
                                  <w:divBdr>
                                    <w:top w:val="none" w:sz="0" w:space="0" w:color="auto"/>
                                    <w:left w:val="none" w:sz="0" w:space="0" w:color="auto"/>
                                    <w:bottom w:val="none" w:sz="0" w:space="0" w:color="auto"/>
                                    <w:right w:val="none" w:sz="0" w:space="0" w:color="auto"/>
                                  </w:divBdr>
                                  <w:divsChild>
                                    <w:div w:id="228460068">
                                      <w:marLeft w:val="0"/>
                                      <w:marRight w:val="0"/>
                                      <w:marTop w:val="0"/>
                                      <w:marBottom w:val="0"/>
                                      <w:divBdr>
                                        <w:top w:val="none" w:sz="0" w:space="0" w:color="auto"/>
                                        <w:left w:val="none" w:sz="0" w:space="0" w:color="auto"/>
                                        <w:bottom w:val="none" w:sz="0" w:space="0" w:color="auto"/>
                                        <w:right w:val="none" w:sz="0" w:space="0" w:color="auto"/>
                                      </w:divBdr>
                                      <w:divsChild>
                                        <w:div w:id="1698047052">
                                          <w:marLeft w:val="0"/>
                                          <w:marRight w:val="0"/>
                                          <w:marTop w:val="0"/>
                                          <w:marBottom w:val="0"/>
                                          <w:divBdr>
                                            <w:top w:val="none" w:sz="0" w:space="0" w:color="auto"/>
                                            <w:left w:val="none" w:sz="0" w:space="0" w:color="auto"/>
                                            <w:bottom w:val="none" w:sz="0" w:space="0" w:color="auto"/>
                                            <w:right w:val="none" w:sz="0" w:space="0" w:color="auto"/>
                                          </w:divBdr>
                                          <w:divsChild>
                                            <w:div w:id="1832135325">
                                              <w:marLeft w:val="0"/>
                                              <w:marRight w:val="0"/>
                                              <w:marTop w:val="0"/>
                                              <w:marBottom w:val="0"/>
                                              <w:divBdr>
                                                <w:top w:val="none" w:sz="0" w:space="0" w:color="auto"/>
                                                <w:left w:val="none" w:sz="0" w:space="0" w:color="auto"/>
                                                <w:bottom w:val="none" w:sz="0" w:space="0" w:color="auto"/>
                                                <w:right w:val="none" w:sz="0" w:space="0" w:color="auto"/>
                                              </w:divBdr>
                                              <w:divsChild>
                                                <w:div w:id="155893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gage.acma.gov.au/digitaldividend/notice-for-the-digital-dividend-a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egalPoint Blank Document" ma:contentTypeID="0x0101007F14BAF55DFB4E6381D4178E259E3EA40066E86025BF6FA0499C3F8E86C8E63468" ma:contentTypeVersion="1" ma:contentTypeDescription="Create a blank document" ma:contentTypeScope="" ma:versionID="1eedaeec2ff7e50ad9016196a92a1b49">
  <xsd:schema xmlns:xsd="http://www.w3.org/2001/XMLSchema" xmlns:xs="http://www.w3.org/2001/XMLSchema" xmlns:p="http://schemas.microsoft.com/office/2006/metadata/properties" xmlns:ns2="0d6bab15-32b2-482f-9d32-d1d4c802fe8a" targetNamespace="http://schemas.microsoft.com/office/2006/metadata/properties" ma:root="true" ma:fieldsID="d3364a9c063e77621f74a6736c9ed1ab" ns2:_="">
    <xsd:import namespace="0d6bab15-32b2-482f-9d32-d1d4c802fe8a"/>
    <xsd:element name="properties">
      <xsd:complexType>
        <xsd:sequence>
          <xsd:element name="documentManagement">
            <xsd:complexType>
              <xsd:all>
                <xsd:element ref="ns2:LPDocu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bab15-32b2-482f-9d32-d1d4c802fe8a" elementFormDefault="qualified">
    <xsd:import namespace="http://schemas.microsoft.com/office/2006/documentManagement/types"/>
    <xsd:import namespace="http://schemas.microsoft.com/office/infopath/2007/PartnerControls"/>
    <xsd:element name="LPDocumentType" ma:index="8" ma:displayName="Document Type" ma:list="{D1E78D4B-6B05-4362-8385-84435DC237BC}" ma:internalName="LPDocumentType" ma:showField="Title" ma:web="0d6bab15-32b2-482f-9d32-d1d4c802fe8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PDocumentType xmlns="0d6bab15-32b2-482f-9d32-d1d4c802fe8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F5504-6BF7-4D03-B0A3-184AC7700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bab15-32b2-482f-9d32-d1d4c802f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0A2CC-7927-40E9-82ED-ABEB7F02124B}">
  <ds:schemaRefs>
    <ds:schemaRef ds:uri="0d6bab15-32b2-482f-9d32-d1d4c802fe8a"/>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C4608B9-922A-4212-8CCD-5D7A77E4D1C2}">
  <ds:schemaRefs>
    <ds:schemaRef ds:uri="http://schemas.microsoft.com/sharepoint/v3/contenttype/forms"/>
  </ds:schemaRefs>
</ds:datastoreItem>
</file>

<file path=customXml/itemProps4.xml><?xml version="1.0" encoding="utf-8"?>
<ds:datastoreItem xmlns:ds="http://schemas.openxmlformats.org/officeDocument/2006/customXml" ds:itemID="{532A3A94-8204-473A-9170-18147C8E9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Spectrum Re-allocation Declaration - 2.5GHz bands</vt:lpstr>
    </vt:vector>
  </TitlesOfParts>
  <Company>DBCDE</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Spectrum Re-allocation Declaration - 2.5GHz bands</dc:title>
  <dc:creator>jaustin1</dc:creator>
  <cp:lastModifiedBy>Douglas, Justin</cp:lastModifiedBy>
  <cp:revision>3</cp:revision>
  <cp:lastPrinted>2013-03-18T21:33:00Z</cp:lastPrinted>
  <dcterms:created xsi:type="dcterms:W3CDTF">2013-03-19T05:24:00Z</dcterms:created>
  <dcterms:modified xsi:type="dcterms:W3CDTF">2013-03-19T06:34:00Z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0x0101007F14BAF55DFB4E6381D4178E259E3EA40066E86025BF6FA0499C3F8E86C8E63468</vt:lpwstr>
  </property>
</Properties>
</file>