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A5" w:rsidRPr="00FF1850" w:rsidRDefault="00A648A5" w:rsidP="004E1F46">
      <w:pPr>
        <w:spacing w:before="120" w:after="120" w:line="240" w:lineRule="auto"/>
        <w:jc w:val="center"/>
        <w:rPr>
          <w:rFonts w:ascii="Times New Roman" w:hAnsi="Times New Roman"/>
          <w:b/>
          <w:sz w:val="24"/>
          <w:szCs w:val="24"/>
          <w:u w:val="single"/>
        </w:rPr>
      </w:pPr>
      <w:bookmarkStart w:id="0" w:name="_GoBack"/>
      <w:bookmarkEnd w:id="0"/>
      <w:r w:rsidRPr="00FF1850">
        <w:rPr>
          <w:rFonts w:ascii="Times New Roman" w:hAnsi="Times New Roman"/>
          <w:b/>
          <w:sz w:val="24"/>
          <w:szCs w:val="24"/>
          <w:u w:val="single"/>
        </w:rPr>
        <w:t>EXPLANATORY STATEMENT</w:t>
      </w:r>
    </w:p>
    <w:p w:rsidR="00A648A5" w:rsidRPr="00FF1850" w:rsidRDefault="00A648A5" w:rsidP="004E1F46">
      <w:pPr>
        <w:spacing w:before="120" w:after="120" w:line="240" w:lineRule="auto"/>
        <w:rPr>
          <w:rFonts w:ascii="Times New Roman" w:hAnsi="Times New Roman"/>
          <w:b/>
          <w:sz w:val="24"/>
          <w:szCs w:val="24"/>
          <w:u w:val="single"/>
        </w:rPr>
      </w:pPr>
    </w:p>
    <w:p w:rsidR="00A648A5" w:rsidRPr="00FF1850" w:rsidRDefault="00A648A5" w:rsidP="004E1F46">
      <w:pPr>
        <w:spacing w:before="120" w:after="120" w:line="240" w:lineRule="auto"/>
        <w:jc w:val="center"/>
        <w:rPr>
          <w:rFonts w:ascii="Times New Roman" w:hAnsi="Times New Roman"/>
          <w:sz w:val="24"/>
          <w:szCs w:val="24"/>
          <w:u w:val="single"/>
        </w:rPr>
      </w:pPr>
      <w:r w:rsidRPr="00FF1850">
        <w:rPr>
          <w:rFonts w:ascii="Times New Roman" w:hAnsi="Times New Roman"/>
          <w:sz w:val="24"/>
          <w:szCs w:val="24"/>
          <w:u w:val="single"/>
        </w:rPr>
        <w:t>Issued by the Authority of the Parliamentary Secretary for Climate Change and</w:t>
      </w:r>
    </w:p>
    <w:p w:rsidR="00A648A5" w:rsidRPr="00FF1850" w:rsidRDefault="00A648A5" w:rsidP="004E1F46">
      <w:pPr>
        <w:spacing w:before="120" w:after="120" w:line="240" w:lineRule="auto"/>
        <w:jc w:val="center"/>
        <w:rPr>
          <w:rFonts w:ascii="Times New Roman" w:hAnsi="Times New Roman"/>
          <w:sz w:val="24"/>
          <w:szCs w:val="24"/>
          <w:u w:val="single"/>
        </w:rPr>
      </w:pPr>
      <w:r w:rsidRPr="00FF1850">
        <w:rPr>
          <w:rFonts w:ascii="Times New Roman" w:hAnsi="Times New Roman"/>
          <w:sz w:val="24"/>
          <w:szCs w:val="24"/>
          <w:u w:val="single"/>
        </w:rPr>
        <w:t>Energy Efficiency</w:t>
      </w:r>
    </w:p>
    <w:p w:rsidR="00A648A5" w:rsidRPr="00FF1850" w:rsidRDefault="00A648A5" w:rsidP="004E1F46">
      <w:pPr>
        <w:pStyle w:val="Heading1"/>
        <w:spacing w:before="120" w:after="120"/>
        <w:jc w:val="center"/>
        <w:rPr>
          <w:b w:val="0"/>
          <w:i/>
          <w:color w:val="auto"/>
          <w:sz w:val="24"/>
          <w:szCs w:val="24"/>
        </w:rPr>
      </w:pPr>
      <w:r w:rsidRPr="00FF1850">
        <w:rPr>
          <w:b w:val="0"/>
          <w:i/>
          <w:color w:val="auto"/>
          <w:sz w:val="24"/>
          <w:szCs w:val="24"/>
        </w:rPr>
        <w:t>Carbon Credits (Carbon Farming Initiative) Act 2011</w:t>
      </w:r>
    </w:p>
    <w:p w:rsidR="00A648A5" w:rsidRPr="0054325E" w:rsidRDefault="004D0619" w:rsidP="004E1F46">
      <w:pPr>
        <w:spacing w:before="120" w:after="120" w:line="240" w:lineRule="auto"/>
        <w:jc w:val="center"/>
        <w:rPr>
          <w:rFonts w:ascii="Times New Roman" w:hAnsi="Times New Roman"/>
          <w:i/>
          <w:sz w:val="24"/>
          <w:szCs w:val="24"/>
        </w:rPr>
      </w:pPr>
      <w:r w:rsidRPr="0054325E">
        <w:rPr>
          <w:rFonts w:ascii="Times New Roman" w:hAnsi="Times New Roman"/>
          <w:i/>
          <w:sz w:val="24"/>
          <w:szCs w:val="24"/>
        </w:rPr>
        <w:t>Carbon Credits (Carbon Farming Initiative) (Avoided Emissions from Diverting Legacy Waste through a Composting Alternative Waste Technology) Methodology Determination 2013</w:t>
      </w:r>
      <w:r w:rsidR="00A648A5" w:rsidRPr="0054325E">
        <w:rPr>
          <w:rFonts w:ascii="Times New Roman" w:hAnsi="Times New Roman"/>
          <w:i/>
          <w:sz w:val="24"/>
          <w:szCs w:val="24"/>
        </w:rPr>
        <w:br/>
      </w:r>
    </w:p>
    <w:p w:rsidR="00A648A5" w:rsidRPr="00FF1850" w:rsidRDefault="00A648A5" w:rsidP="004E1F46">
      <w:pPr>
        <w:spacing w:before="120" w:after="120" w:line="240" w:lineRule="auto"/>
        <w:rPr>
          <w:rFonts w:ascii="Times New Roman" w:hAnsi="Times New Roman"/>
          <w:b/>
          <w:sz w:val="24"/>
          <w:szCs w:val="24"/>
        </w:rPr>
      </w:pPr>
      <w:r w:rsidRPr="00FF1850">
        <w:rPr>
          <w:rFonts w:ascii="Times New Roman" w:hAnsi="Times New Roman"/>
          <w:b/>
          <w:sz w:val="24"/>
          <w:szCs w:val="24"/>
        </w:rPr>
        <w:t>Background</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w:t>
      </w:r>
      <w:r w:rsidRPr="000743BB">
        <w:rPr>
          <w:rFonts w:ascii="Times New Roman" w:hAnsi="Times New Roman"/>
          <w:i/>
          <w:sz w:val="24"/>
          <w:szCs w:val="24"/>
        </w:rPr>
        <w:t>Carbon Credits (Carbon Farming Initiative) Act 2011</w:t>
      </w:r>
      <w:r w:rsidRPr="000743BB">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Abatement activities are undertaken as offsets projects. The process involved in establishing an offsets project is set out in Part 3 of the Act. An offsets project must be covered by and undertaken in accordance with a methodology determination.</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Subsection 106 (1) of the Act empowers the Minister, by legislative instrument, to make a methodology determination. The purpose of a methodology determination is to establish procedures for estimating abatement (emissions reductions and sequestration) and project rules for monitoring, record keeping and reporting on abatement. </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A methodology determination must meet the offsets integrity standards set out in section 133 of the Act and the eligibility criteria set out in section 106 of the Act. The Minister cannot make a methodology determination unless the Domestic Offsets Integrity Committee (DOIC) has endorsed the proposal under section 112 of the Act and advised the Minister of the endorsement under section 113 of the Act. The DOIC is an independent expert panel established to evaluate and endorse methodology proposals.</w:t>
      </w:r>
    </w:p>
    <w:p w:rsidR="00A648A5" w:rsidRPr="000743BB" w:rsidRDefault="00A648A5" w:rsidP="004E1F46">
      <w:pPr>
        <w:spacing w:before="120" w:after="120" w:line="240" w:lineRule="auto"/>
        <w:rPr>
          <w:rFonts w:ascii="Times New Roman" w:hAnsi="Times New Roman"/>
          <w:b/>
          <w:sz w:val="24"/>
          <w:szCs w:val="24"/>
        </w:rPr>
      </w:pPr>
    </w:p>
    <w:p w:rsidR="00A648A5" w:rsidRPr="000743BB" w:rsidRDefault="00A648A5" w:rsidP="004E1F46">
      <w:pPr>
        <w:spacing w:before="120" w:after="120" w:line="240" w:lineRule="auto"/>
        <w:rPr>
          <w:rFonts w:ascii="Times New Roman" w:hAnsi="Times New Roman"/>
          <w:b/>
          <w:sz w:val="24"/>
          <w:szCs w:val="24"/>
        </w:rPr>
      </w:pPr>
      <w:r w:rsidRPr="000743BB">
        <w:rPr>
          <w:rFonts w:ascii="Times New Roman" w:hAnsi="Times New Roman"/>
          <w:b/>
          <w:sz w:val="24"/>
          <w:szCs w:val="24"/>
        </w:rPr>
        <w:t>Application of the Methodology Determination</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w:t>
      </w:r>
      <w:r w:rsidR="004D0619" w:rsidRPr="000743BB">
        <w:rPr>
          <w:rFonts w:ascii="Times New Roman" w:hAnsi="Times New Roman"/>
          <w:i/>
          <w:sz w:val="24"/>
          <w:szCs w:val="24"/>
        </w:rPr>
        <w:t>Carbon Credits (Carbon Farming Initiative) (Avoided Emissions from Diverting Legacy Waste through a Composting Alternative Waste Technology) Methodology Determination 2013</w:t>
      </w:r>
      <w:r w:rsidR="004D0619" w:rsidRPr="000743BB">
        <w:rPr>
          <w:rFonts w:ascii="Times New Roman" w:hAnsi="Times New Roman"/>
          <w:sz w:val="24"/>
          <w:szCs w:val="24"/>
        </w:rPr>
        <w:t xml:space="preserve"> </w:t>
      </w:r>
      <w:r w:rsidRPr="000743BB">
        <w:rPr>
          <w:rFonts w:ascii="Times New Roman" w:hAnsi="Times New Roman"/>
          <w:sz w:val="24"/>
          <w:szCs w:val="24"/>
        </w:rPr>
        <w:t xml:space="preserve">(the Determination) sets out the detailed rules for implementing and monitoring legacy waste diversion projects </w:t>
      </w:r>
      <w:r w:rsidR="006D0EF3" w:rsidRPr="000743BB">
        <w:rPr>
          <w:rFonts w:ascii="Times New Roman" w:hAnsi="Times New Roman"/>
          <w:sz w:val="24"/>
          <w:szCs w:val="24"/>
        </w:rPr>
        <w:t>that process waste to manufacture a range of fit for purpose products.</w:t>
      </w:r>
    </w:p>
    <w:p w:rsidR="00A648A5" w:rsidRPr="000743BB" w:rsidRDefault="00A648A5" w:rsidP="004E1F46">
      <w:pPr>
        <w:keepNext/>
        <w:keepLines/>
        <w:spacing w:before="120" w:after="120" w:line="240" w:lineRule="auto"/>
        <w:rPr>
          <w:rFonts w:ascii="Times New Roman" w:hAnsi="Times New Roman"/>
          <w:sz w:val="24"/>
          <w:szCs w:val="24"/>
        </w:rPr>
      </w:pPr>
      <w:r w:rsidRPr="000743BB">
        <w:rPr>
          <w:rFonts w:ascii="Times New Roman" w:hAnsi="Times New Roman"/>
          <w:sz w:val="24"/>
          <w:szCs w:val="24"/>
        </w:rPr>
        <w:t xml:space="preserve">Project proponents wanting to implement the Determination must make an application to the Clean Energy Regulator (the Regulator) and meet the eligibility requirements for an offsets project set out in subsection 27 (4) of the Act. These requirements include compliance with the rules set out in this Determination.  </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Offsets projects that are undertaken in accordance with the Determination and approved by the Regulator can generate Australian carbon credit units (ACCUs) that can be sold to:</w:t>
      </w:r>
    </w:p>
    <w:p w:rsidR="00A648A5" w:rsidRPr="000743BB" w:rsidRDefault="00A648A5" w:rsidP="00BC5914">
      <w:pPr>
        <w:pStyle w:val="ListParagraph"/>
        <w:keepNext/>
        <w:numPr>
          <w:ilvl w:val="0"/>
          <w:numId w:val="21"/>
        </w:numPr>
        <w:spacing w:before="120" w:after="120" w:line="240" w:lineRule="auto"/>
        <w:rPr>
          <w:rFonts w:ascii="Times New Roman" w:hAnsi="Times New Roman"/>
          <w:sz w:val="24"/>
          <w:szCs w:val="24"/>
        </w:rPr>
      </w:pPr>
      <w:r w:rsidRPr="000743BB">
        <w:rPr>
          <w:rFonts w:ascii="Times New Roman" w:hAnsi="Times New Roman"/>
          <w:sz w:val="24"/>
          <w:szCs w:val="24"/>
        </w:rPr>
        <w:lastRenderedPageBreak/>
        <w:t xml:space="preserve">Australian companies that pay the carbon price established under the </w:t>
      </w:r>
      <w:r w:rsidRPr="000743BB">
        <w:rPr>
          <w:rFonts w:ascii="Times New Roman" w:hAnsi="Times New Roman"/>
          <w:i/>
          <w:sz w:val="24"/>
          <w:szCs w:val="24"/>
        </w:rPr>
        <w:t>Clean Energy Act 2011</w:t>
      </w:r>
      <w:r w:rsidRPr="000743BB">
        <w:rPr>
          <w:rFonts w:ascii="Times New Roman" w:hAnsi="Times New Roman"/>
          <w:sz w:val="24"/>
          <w:szCs w:val="24"/>
        </w:rPr>
        <w:t>; and</w:t>
      </w:r>
    </w:p>
    <w:p w:rsidR="00A648A5" w:rsidRPr="000743BB" w:rsidRDefault="00A648A5" w:rsidP="00BC5914">
      <w:pPr>
        <w:pStyle w:val="ListParagraph"/>
        <w:keepNext/>
        <w:numPr>
          <w:ilvl w:val="0"/>
          <w:numId w:val="21"/>
        </w:numPr>
        <w:spacing w:before="120" w:after="120" w:line="240" w:lineRule="auto"/>
        <w:rPr>
          <w:rFonts w:ascii="Times New Roman" w:hAnsi="Times New Roman"/>
          <w:sz w:val="24"/>
          <w:szCs w:val="24"/>
        </w:rPr>
      </w:pPr>
      <w:proofErr w:type="gramStart"/>
      <w:r w:rsidRPr="000743BB">
        <w:rPr>
          <w:rFonts w:ascii="Times New Roman" w:hAnsi="Times New Roman"/>
          <w:sz w:val="24"/>
          <w:szCs w:val="24"/>
        </w:rPr>
        <w:t>businesses</w:t>
      </w:r>
      <w:proofErr w:type="gramEnd"/>
      <w:r w:rsidRPr="000743BB">
        <w:rPr>
          <w:rFonts w:ascii="Times New Roman" w:hAnsi="Times New Roman"/>
          <w:sz w:val="24"/>
          <w:szCs w:val="24"/>
        </w:rPr>
        <w:t xml:space="preserve"> in Australia wanting to offset their own carbon pollution. </w:t>
      </w:r>
    </w:p>
    <w:p w:rsidR="00A648A5" w:rsidRPr="000743BB" w:rsidRDefault="00A648A5" w:rsidP="004E1F46">
      <w:pPr>
        <w:spacing w:before="120" w:after="120" w:line="240" w:lineRule="auto"/>
        <w:rPr>
          <w:rFonts w:ascii="Times New Roman" w:hAnsi="Times New Roman"/>
          <w:b/>
          <w:sz w:val="24"/>
          <w:szCs w:val="24"/>
        </w:rPr>
      </w:pPr>
    </w:p>
    <w:p w:rsidR="00A648A5" w:rsidRPr="000743BB" w:rsidRDefault="00A648A5" w:rsidP="004E1F46">
      <w:pPr>
        <w:spacing w:before="120" w:after="120" w:line="240" w:lineRule="auto"/>
        <w:rPr>
          <w:rFonts w:ascii="Times New Roman" w:hAnsi="Times New Roman"/>
          <w:b/>
          <w:sz w:val="24"/>
          <w:szCs w:val="24"/>
        </w:rPr>
      </w:pPr>
      <w:r w:rsidRPr="000743BB">
        <w:rPr>
          <w:rFonts w:ascii="Times New Roman" w:hAnsi="Times New Roman"/>
          <w:b/>
          <w:sz w:val="24"/>
          <w:szCs w:val="24"/>
        </w:rPr>
        <w:t>Public Consultation</w:t>
      </w:r>
    </w:p>
    <w:p w:rsidR="00A648A5" w:rsidRPr="000743BB" w:rsidRDefault="00A648A5" w:rsidP="004E1F46">
      <w:pPr>
        <w:keepNext/>
        <w:spacing w:before="120" w:after="120" w:line="240" w:lineRule="auto"/>
        <w:rPr>
          <w:rFonts w:ascii="Times New Roman" w:hAnsi="Times New Roman"/>
          <w:sz w:val="24"/>
          <w:szCs w:val="24"/>
        </w:rPr>
      </w:pPr>
      <w:r w:rsidRPr="000743BB">
        <w:rPr>
          <w:rFonts w:ascii="Times New Roman" w:hAnsi="Times New Roman"/>
          <w:sz w:val="24"/>
          <w:szCs w:val="24"/>
        </w:rPr>
        <w:t xml:space="preserve">The methodology proposal for </w:t>
      </w:r>
      <w:r w:rsidR="004D0619" w:rsidRPr="009E3A97">
        <w:rPr>
          <w:rFonts w:ascii="Times New Roman" w:hAnsi="Times New Roman"/>
          <w:i/>
          <w:sz w:val="24"/>
          <w:szCs w:val="24"/>
        </w:rPr>
        <w:t>Avoided Emissions from Diverting Legacy Waste through a Composting Alternative Waste Technology</w:t>
      </w:r>
      <w:r w:rsidR="004D0619" w:rsidRPr="000743BB">
        <w:rPr>
          <w:rFonts w:ascii="Times New Roman" w:hAnsi="Times New Roman"/>
          <w:i/>
        </w:rPr>
        <w:t xml:space="preserve"> </w:t>
      </w:r>
      <w:r w:rsidRPr="000743BB">
        <w:rPr>
          <w:rFonts w:ascii="Times New Roman" w:hAnsi="Times New Roman"/>
          <w:sz w:val="24"/>
          <w:szCs w:val="24"/>
        </w:rPr>
        <w:t xml:space="preserve">was published on the Department’s website from </w:t>
      </w:r>
      <w:r w:rsidR="0003519C" w:rsidRPr="000743BB">
        <w:rPr>
          <w:rFonts w:ascii="Times New Roman" w:hAnsi="Times New Roman"/>
          <w:sz w:val="24"/>
          <w:szCs w:val="24"/>
        </w:rPr>
        <w:t xml:space="preserve">23 April 2012 </w:t>
      </w:r>
      <w:r w:rsidRPr="000743BB">
        <w:rPr>
          <w:rFonts w:ascii="Times New Roman" w:hAnsi="Times New Roman"/>
          <w:sz w:val="24"/>
          <w:szCs w:val="24"/>
        </w:rPr>
        <w:t xml:space="preserve">to </w:t>
      </w:r>
      <w:r w:rsidR="0003519C" w:rsidRPr="000743BB">
        <w:rPr>
          <w:rFonts w:ascii="Times New Roman" w:hAnsi="Times New Roman"/>
          <w:sz w:val="24"/>
          <w:szCs w:val="24"/>
        </w:rPr>
        <w:t>2</w:t>
      </w:r>
      <w:r w:rsidR="00E510D9" w:rsidRPr="000743BB">
        <w:rPr>
          <w:rFonts w:ascii="Times New Roman" w:hAnsi="Times New Roman"/>
          <w:sz w:val="24"/>
          <w:szCs w:val="24"/>
        </w:rPr>
        <w:t> </w:t>
      </w:r>
      <w:r w:rsidR="0003519C" w:rsidRPr="000743BB">
        <w:rPr>
          <w:rFonts w:ascii="Times New Roman" w:hAnsi="Times New Roman"/>
          <w:sz w:val="24"/>
          <w:szCs w:val="24"/>
        </w:rPr>
        <w:t>June</w:t>
      </w:r>
      <w:r w:rsidR="00E510D9" w:rsidRPr="000743BB">
        <w:rPr>
          <w:rFonts w:ascii="Times New Roman" w:hAnsi="Times New Roman"/>
          <w:sz w:val="24"/>
          <w:szCs w:val="24"/>
        </w:rPr>
        <w:t> </w:t>
      </w:r>
      <w:r w:rsidR="0003519C" w:rsidRPr="000743BB">
        <w:rPr>
          <w:rFonts w:ascii="Times New Roman" w:hAnsi="Times New Roman"/>
          <w:sz w:val="24"/>
          <w:szCs w:val="24"/>
        </w:rPr>
        <w:t>2012</w:t>
      </w:r>
      <w:r w:rsidRPr="000743BB">
        <w:rPr>
          <w:rFonts w:ascii="Times New Roman" w:hAnsi="Times New Roman"/>
          <w:sz w:val="24"/>
          <w:szCs w:val="24"/>
        </w:rPr>
        <w:t xml:space="preserve">. As a result, </w:t>
      </w:r>
      <w:r w:rsidR="0003519C" w:rsidRPr="000743BB">
        <w:rPr>
          <w:rFonts w:ascii="Times New Roman" w:hAnsi="Times New Roman"/>
          <w:sz w:val="24"/>
          <w:szCs w:val="24"/>
        </w:rPr>
        <w:t>three</w:t>
      </w:r>
      <w:r w:rsidRPr="000743BB">
        <w:rPr>
          <w:rFonts w:ascii="Times New Roman" w:hAnsi="Times New Roman"/>
          <w:sz w:val="24"/>
          <w:szCs w:val="24"/>
        </w:rPr>
        <w:t xml:space="preserve"> public submissions were received. </w:t>
      </w:r>
    </w:p>
    <w:p w:rsidR="00A648A5" w:rsidRPr="000743BB" w:rsidRDefault="00A648A5" w:rsidP="004E1F46">
      <w:pPr>
        <w:keepNext/>
        <w:spacing w:before="120" w:after="120" w:line="240" w:lineRule="auto"/>
        <w:rPr>
          <w:rFonts w:ascii="Times New Roman" w:hAnsi="Times New Roman"/>
          <w:sz w:val="24"/>
          <w:szCs w:val="24"/>
        </w:rPr>
      </w:pPr>
      <w:r w:rsidRPr="000743BB">
        <w:rPr>
          <w:rFonts w:ascii="Times New Roman" w:hAnsi="Times New Roman"/>
          <w:sz w:val="24"/>
          <w:szCs w:val="24"/>
        </w:rPr>
        <w:t xml:space="preserve">The DOIC considered the issues raised in public submissions during its assessment of the proposal, as required under section 108 of the Act, and endorsed the methodology proposal on </w:t>
      </w:r>
      <w:r w:rsidR="00BE30F1" w:rsidRPr="000743BB">
        <w:rPr>
          <w:rFonts w:ascii="Times New Roman" w:hAnsi="Times New Roman"/>
          <w:sz w:val="24"/>
          <w:szCs w:val="24"/>
        </w:rPr>
        <w:t>21 January 2013</w:t>
      </w:r>
      <w:r w:rsidRPr="000743BB">
        <w:rPr>
          <w:rFonts w:ascii="Times New Roman" w:hAnsi="Times New Roman"/>
          <w:sz w:val="24"/>
          <w:szCs w:val="24"/>
        </w:rPr>
        <w:t>.</w:t>
      </w:r>
    </w:p>
    <w:p w:rsidR="00A648A5" w:rsidRPr="000743BB" w:rsidRDefault="00A648A5" w:rsidP="004E1F46">
      <w:pPr>
        <w:keepNext/>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b/>
          <w:sz w:val="24"/>
          <w:szCs w:val="24"/>
        </w:rPr>
      </w:pPr>
      <w:r w:rsidRPr="000743BB">
        <w:rPr>
          <w:rFonts w:ascii="Times New Roman" w:hAnsi="Times New Roman"/>
          <w:b/>
          <w:sz w:val="24"/>
          <w:szCs w:val="24"/>
        </w:rPr>
        <w:t>Determination Details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The Determination</w:t>
      </w:r>
      <w:r w:rsidRPr="000743BB">
        <w:rPr>
          <w:rFonts w:ascii="Times New Roman" w:hAnsi="Times New Roman"/>
          <w:i/>
          <w:sz w:val="24"/>
          <w:szCs w:val="24"/>
        </w:rPr>
        <w:t xml:space="preserve"> </w:t>
      </w:r>
      <w:r w:rsidRPr="000743BB">
        <w:rPr>
          <w:rFonts w:ascii="Times New Roman" w:hAnsi="Times New Roman"/>
          <w:sz w:val="24"/>
          <w:szCs w:val="24"/>
        </w:rPr>
        <w:t xml:space="preserve">is a legislative instrument within the meaning of the </w:t>
      </w:r>
      <w:r w:rsidRPr="000743BB">
        <w:rPr>
          <w:rFonts w:ascii="Times New Roman" w:hAnsi="Times New Roman"/>
          <w:i/>
          <w:sz w:val="24"/>
          <w:szCs w:val="24"/>
        </w:rPr>
        <w:t>Legislative Instruments Act 200</w:t>
      </w:r>
      <w:r w:rsidRPr="000743BB">
        <w:rPr>
          <w:rFonts w:ascii="Times New Roman" w:hAnsi="Times New Roman"/>
          <w:sz w:val="24"/>
          <w:szCs w:val="24"/>
        </w:rPr>
        <w:t>3.</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The Determination commences retrospectively, from 1 July 2010.  Retrospective commencement is authorised by subsection 122 (3) of the Act, which provides that a determination can be expressed to have come into force on 1 July 2010 if the determination is made on or before 30 June 2013, and the application for endorsement was made on or before 30 June 2012. Both of these conditions are satisfied in this case.</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Retrospective commencement does not adversely affect the rights of </w:t>
      </w:r>
      <w:r w:rsidRPr="000743BB">
        <w:rPr>
          <w:rFonts w:ascii="Times New Roman" w:hAnsi="Times New Roman"/>
          <w:sz w:val="24"/>
          <w:szCs w:val="24"/>
          <w:lang w:val="en-US"/>
        </w:rPr>
        <w:t xml:space="preserve">any person or impose a liability </w:t>
      </w:r>
      <w:r w:rsidRPr="000743BB">
        <w:rPr>
          <w:rFonts w:ascii="Times New Roman" w:hAnsi="Times New Roman"/>
          <w:sz w:val="24"/>
          <w:szCs w:val="24"/>
        </w:rPr>
        <w:t>on</w:t>
      </w:r>
      <w:r w:rsidRPr="000743BB">
        <w:rPr>
          <w:rFonts w:ascii="Times New Roman" w:hAnsi="Times New Roman"/>
          <w:sz w:val="24"/>
          <w:szCs w:val="24"/>
          <w:lang w:val="en-US"/>
        </w:rPr>
        <w:t xml:space="preserve"> any person in respect of anything done</w:t>
      </w:r>
      <w:r w:rsidRPr="000743BB">
        <w:rPr>
          <w:rFonts w:ascii="Times New Roman" w:hAnsi="Times New Roman"/>
          <w:sz w:val="24"/>
          <w:szCs w:val="24"/>
        </w:rPr>
        <w:t xml:space="preserve"> </w:t>
      </w:r>
      <w:r w:rsidRPr="000743BB">
        <w:rPr>
          <w:rFonts w:ascii="Times New Roman" w:hAnsi="Times New Roman"/>
          <w:sz w:val="24"/>
          <w:szCs w:val="24"/>
          <w:lang w:val="en-US"/>
        </w:rPr>
        <w:t>or not</w:t>
      </w:r>
      <w:r w:rsidRPr="000743BB">
        <w:rPr>
          <w:rFonts w:ascii="Times New Roman" w:hAnsi="Times New Roman"/>
          <w:sz w:val="24"/>
          <w:szCs w:val="24"/>
        </w:rPr>
        <w:t xml:space="preserve"> </w:t>
      </w:r>
      <w:r w:rsidRPr="000743BB">
        <w:rPr>
          <w:rFonts w:ascii="Times New Roman" w:hAnsi="Times New Roman"/>
          <w:sz w:val="24"/>
          <w:szCs w:val="24"/>
          <w:lang w:val="en-US"/>
        </w:rPr>
        <w:t>done before the date of registration on the Federal Register of Legislative Instruments. Rather, retrospective application confers a benefit in that it allows persons to apply for and generate ACCUs in circumstances where they would not normally be eligible to apply.</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Details of the Determination are at </w:t>
      </w:r>
      <w:r w:rsidRPr="000743BB">
        <w:rPr>
          <w:rFonts w:ascii="Times New Roman" w:hAnsi="Times New Roman"/>
          <w:sz w:val="24"/>
          <w:szCs w:val="24"/>
          <w:u w:val="single"/>
        </w:rPr>
        <w:t>Attachment A</w:t>
      </w:r>
      <w:r w:rsidRPr="000743BB">
        <w:rPr>
          <w:rFonts w:ascii="Times New Roman" w:hAnsi="Times New Roman"/>
          <w:sz w:val="24"/>
          <w:szCs w:val="24"/>
        </w:rPr>
        <w:t>.</w:t>
      </w:r>
    </w:p>
    <w:p w:rsidR="00FF1850" w:rsidRPr="000743BB" w:rsidRDefault="00FF1850" w:rsidP="001F4682">
      <w:pPr>
        <w:spacing w:before="120" w:after="120"/>
        <w:rPr>
          <w:rFonts w:ascii="Times New Roman" w:hAnsi="Times New Roman"/>
          <w:b/>
          <w:sz w:val="24"/>
          <w:szCs w:val="24"/>
        </w:rPr>
      </w:pPr>
    </w:p>
    <w:p w:rsidR="001F4682" w:rsidRPr="000743BB" w:rsidRDefault="001F4682" w:rsidP="001F4682">
      <w:pPr>
        <w:spacing w:before="120" w:after="120"/>
        <w:rPr>
          <w:rFonts w:ascii="Times New Roman" w:hAnsi="Times New Roman"/>
          <w:b/>
          <w:sz w:val="24"/>
          <w:szCs w:val="24"/>
        </w:rPr>
      </w:pPr>
      <w:r w:rsidRPr="000743BB">
        <w:rPr>
          <w:rFonts w:ascii="Times New Roman" w:hAnsi="Times New Roman"/>
          <w:b/>
          <w:sz w:val="24"/>
          <w:szCs w:val="24"/>
        </w:rPr>
        <w:t>Statement of compatibility prepared in accordance with Part 3 of the</w:t>
      </w:r>
      <w:r w:rsidRPr="000743BB">
        <w:rPr>
          <w:rFonts w:ascii="Times New Roman" w:hAnsi="Times New Roman"/>
          <w:b/>
          <w:i/>
          <w:sz w:val="24"/>
          <w:szCs w:val="24"/>
        </w:rPr>
        <w:t xml:space="preserve"> Human Rights (Parliamentary Scrutiny) Act 2011</w:t>
      </w:r>
    </w:p>
    <w:p w:rsidR="001F4682" w:rsidRPr="000743BB" w:rsidRDefault="001F4682" w:rsidP="001F4682">
      <w:pPr>
        <w:keepNext/>
        <w:spacing w:before="120" w:after="120"/>
        <w:rPr>
          <w:rFonts w:ascii="Times New Roman" w:hAnsi="Times New Roman"/>
          <w:sz w:val="24"/>
          <w:szCs w:val="24"/>
        </w:rPr>
      </w:pPr>
      <w:r w:rsidRPr="000743BB">
        <w:rPr>
          <w:rFonts w:ascii="Times New Roman" w:hAnsi="Times New Roman"/>
          <w:sz w:val="24"/>
          <w:szCs w:val="24"/>
        </w:rPr>
        <w:t>This legislative instrument does not engage any of the applicable rights or freedoms.</w:t>
      </w:r>
    </w:p>
    <w:p w:rsidR="001F4682" w:rsidRPr="000743BB" w:rsidRDefault="001F4682" w:rsidP="001F4682">
      <w:pPr>
        <w:spacing w:before="120" w:after="120"/>
        <w:rPr>
          <w:rFonts w:ascii="Times New Roman" w:hAnsi="Times New Roman"/>
          <w:i/>
          <w:sz w:val="24"/>
          <w:szCs w:val="24"/>
        </w:rPr>
      </w:pPr>
      <w:r w:rsidRPr="000743BB">
        <w:rPr>
          <w:rFonts w:ascii="Times New Roman" w:hAnsi="Times New Roman"/>
          <w:i/>
          <w:sz w:val="24"/>
          <w:szCs w:val="24"/>
        </w:rPr>
        <w:t>Conclusion</w:t>
      </w:r>
    </w:p>
    <w:p w:rsidR="00A648A5" w:rsidRPr="000743BB" w:rsidRDefault="001F4682" w:rsidP="001F4682">
      <w:pPr>
        <w:spacing w:before="120" w:after="120" w:line="240" w:lineRule="auto"/>
        <w:rPr>
          <w:rFonts w:ascii="Times New Roman" w:hAnsi="Times New Roman"/>
          <w:sz w:val="24"/>
          <w:szCs w:val="24"/>
        </w:rPr>
      </w:pPr>
      <w:r w:rsidRPr="000743BB">
        <w:rPr>
          <w:rFonts w:ascii="Times New Roman" w:hAnsi="Times New Roman"/>
          <w:sz w:val="24"/>
          <w:szCs w:val="24"/>
        </w:rPr>
        <w:t>This legislative instrument is compatible with human rights as it does not raise any human rights issues.</w:t>
      </w:r>
    </w:p>
    <w:p w:rsidR="00A648A5" w:rsidRPr="000743BB" w:rsidRDefault="00A648A5" w:rsidP="00C41305">
      <w:pPr>
        <w:spacing w:before="120" w:after="120" w:line="240" w:lineRule="auto"/>
        <w:jc w:val="right"/>
        <w:rPr>
          <w:rFonts w:ascii="Times New Roman" w:hAnsi="Times New Roman"/>
          <w:sz w:val="24"/>
          <w:szCs w:val="24"/>
          <w:u w:val="single"/>
        </w:rPr>
      </w:pPr>
      <w:r w:rsidRPr="000743BB">
        <w:rPr>
          <w:rFonts w:ascii="Times New Roman" w:hAnsi="Times New Roman"/>
          <w:sz w:val="24"/>
          <w:szCs w:val="24"/>
        </w:rPr>
        <w:br w:type="page"/>
      </w:r>
      <w:r w:rsidRPr="000743BB">
        <w:rPr>
          <w:rFonts w:ascii="Times New Roman" w:hAnsi="Times New Roman"/>
          <w:sz w:val="24"/>
          <w:szCs w:val="24"/>
          <w:u w:val="single"/>
        </w:rPr>
        <w:lastRenderedPageBreak/>
        <w:t>Attachment A</w:t>
      </w:r>
    </w:p>
    <w:p w:rsidR="00A648A5" w:rsidRPr="000743BB" w:rsidRDefault="00A648A5" w:rsidP="004E1F46">
      <w:pPr>
        <w:pStyle w:val="Footer"/>
        <w:spacing w:before="120" w:after="120"/>
        <w:jc w:val="center"/>
        <w:rPr>
          <w:rFonts w:ascii="Times New Roman" w:hAnsi="Times New Roman"/>
          <w:b/>
          <w:sz w:val="24"/>
          <w:szCs w:val="24"/>
        </w:rPr>
      </w:pPr>
      <w:r w:rsidRPr="000743BB">
        <w:rPr>
          <w:rFonts w:ascii="Times New Roman" w:hAnsi="Times New Roman"/>
          <w:b/>
          <w:sz w:val="24"/>
          <w:szCs w:val="24"/>
        </w:rPr>
        <w:t>Details of the Determination</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b/>
          <w:sz w:val="24"/>
          <w:szCs w:val="24"/>
        </w:rPr>
      </w:pPr>
      <w:r w:rsidRPr="000743BB">
        <w:rPr>
          <w:rFonts w:ascii="Times New Roman" w:hAnsi="Times New Roman"/>
          <w:b/>
          <w:sz w:val="24"/>
          <w:szCs w:val="24"/>
        </w:rPr>
        <w:t xml:space="preserve">Part 1 </w:t>
      </w:r>
      <w:r w:rsidRPr="000743BB">
        <w:rPr>
          <w:rFonts w:ascii="Times New Roman" w:hAnsi="Times New Roman"/>
          <w:b/>
          <w:sz w:val="24"/>
          <w:szCs w:val="24"/>
        </w:rPr>
        <w:tab/>
      </w:r>
      <w:r w:rsidRPr="000743BB">
        <w:rPr>
          <w:rFonts w:ascii="Times New Roman" w:hAnsi="Times New Roman"/>
          <w:b/>
          <w:sz w:val="24"/>
          <w:szCs w:val="24"/>
        </w:rPr>
        <w:tab/>
        <w:t>Preliminary</w:t>
      </w: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1.1</w:t>
      </w:r>
      <w:r w:rsidRPr="000743BB">
        <w:rPr>
          <w:rFonts w:ascii="Times New Roman" w:hAnsi="Times New Roman"/>
          <w:sz w:val="24"/>
          <w:szCs w:val="24"/>
          <w:u w:val="single"/>
        </w:rPr>
        <w:tab/>
        <w:t>Name of Determination</w:t>
      </w:r>
    </w:p>
    <w:p w:rsidR="00A648A5" w:rsidRPr="000743BB" w:rsidRDefault="00A648A5" w:rsidP="004E1F46">
      <w:pPr>
        <w:spacing w:before="120" w:after="120" w:line="240" w:lineRule="auto"/>
        <w:rPr>
          <w:rFonts w:ascii="Times New Roman" w:hAnsi="Times New Roman"/>
          <w:i/>
          <w:sz w:val="24"/>
          <w:szCs w:val="24"/>
        </w:rPr>
      </w:pPr>
      <w:r w:rsidRPr="000743BB">
        <w:rPr>
          <w:rFonts w:ascii="Times New Roman" w:hAnsi="Times New Roman"/>
          <w:sz w:val="24"/>
          <w:szCs w:val="24"/>
        </w:rPr>
        <w:t xml:space="preserve">This section provides that the name of the Determination is the </w:t>
      </w:r>
      <w:r w:rsidR="004D0619" w:rsidRPr="000743BB">
        <w:rPr>
          <w:rFonts w:ascii="Times New Roman" w:hAnsi="Times New Roman"/>
          <w:i/>
        </w:rPr>
        <w:t xml:space="preserve">Carbon Credits (Carbon </w:t>
      </w:r>
      <w:r w:rsidR="004D0619" w:rsidRPr="000743BB">
        <w:rPr>
          <w:rFonts w:ascii="Times New Roman" w:hAnsi="Times New Roman"/>
          <w:i/>
          <w:sz w:val="24"/>
          <w:szCs w:val="24"/>
        </w:rPr>
        <w:t>Farming Initiative) (Avoided Emissions from Diverting Legacy Waste through a Composting Alternative Waste Technology) Methodology Determination 2013</w:t>
      </w:r>
      <w:r w:rsidRPr="000743BB">
        <w:rPr>
          <w:rFonts w:ascii="Times New Roman" w:hAnsi="Times New Roman"/>
          <w:i/>
          <w:sz w:val="24"/>
          <w:szCs w:val="24"/>
        </w:rPr>
        <w:t>.</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1.2.</w:t>
      </w:r>
      <w:r w:rsidRPr="000743BB">
        <w:rPr>
          <w:rFonts w:ascii="Times New Roman" w:hAnsi="Times New Roman"/>
          <w:sz w:val="24"/>
          <w:szCs w:val="24"/>
          <w:u w:val="single"/>
        </w:rPr>
        <w:tab/>
        <w:t>Commencement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section provides that the Determination commences retrospectively, from 1 July 2010. Retrospective commencement is authorised by subsection 122 (3) of the Act.</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1.3</w:t>
      </w:r>
      <w:r w:rsidRPr="000743BB">
        <w:rPr>
          <w:rFonts w:ascii="Times New Roman" w:hAnsi="Times New Roman"/>
          <w:sz w:val="24"/>
          <w:szCs w:val="24"/>
          <w:u w:val="single"/>
        </w:rPr>
        <w:tab/>
        <w:t>Definitions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section defines a number of terms used in the Determination. Key definitions include:</w:t>
      </w:r>
    </w:p>
    <w:p w:rsidR="00A648A5" w:rsidRPr="000743BB" w:rsidRDefault="00A648A5" w:rsidP="00D3747C">
      <w:pPr>
        <w:pStyle w:val="tDefn"/>
        <w:numPr>
          <w:ilvl w:val="0"/>
          <w:numId w:val="10"/>
        </w:numPr>
        <w:spacing w:before="120" w:after="120" w:line="240" w:lineRule="auto"/>
        <w:jc w:val="left"/>
      </w:pPr>
      <w:r w:rsidRPr="000743BB">
        <w:t xml:space="preserve">'alternative waste treatment (AWT) facility', which means a facility that converts waste, that has been diverted from a landfill facility that is licensed by a State or Territory government body or by a local government authority, </w:t>
      </w:r>
      <w:r w:rsidR="00E510D9" w:rsidRPr="000743BB">
        <w:t>to energy or any other product;</w:t>
      </w:r>
    </w:p>
    <w:p w:rsidR="00A648A5" w:rsidRPr="000743BB" w:rsidRDefault="00A648A5" w:rsidP="00D3747C">
      <w:pPr>
        <w:pStyle w:val="ListParagraph"/>
        <w:numPr>
          <w:ilvl w:val="0"/>
          <w:numId w:val="10"/>
        </w:numPr>
        <w:spacing w:before="120" w:after="120" w:line="240" w:lineRule="auto"/>
        <w:rPr>
          <w:rFonts w:ascii="Times New Roman" w:hAnsi="Times New Roman"/>
          <w:sz w:val="24"/>
          <w:szCs w:val="24"/>
        </w:rPr>
      </w:pPr>
      <w:r w:rsidRPr="000743BB">
        <w:rPr>
          <w:rFonts w:ascii="Times New Roman" w:hAnsi="Times New Roman"/>
          <w:bCs/>
          <w:sz w:val="24"/>
          <w:szCs w:val="24"/>
        </w:rPr>
        <w:t xml:space="preserve">'biobased </w:t>
      </w:r>
      <w:r w:rsidR="004D0619" w:rsidRPr="000743BB">
        <w:rPr>
          <w:rFonts w:ascii="Times New Roman" w:hAnsi="Times New Roman"/>
          <w:bCs/>
          <w:sz w:val="24"/>
          <w:szCs w:val="24"/>
        </w:rPr>
        <w:t>product'</w:t>
      </w:r>
      <w:r w:rsidRPr="000743BB">
        <w:rPr>
          <w:rFonts w:ascii="Times New Roman" w:hAnsi="Times New Roman"/>
          <w:bCs/>
          <w:sz w:val="24"/>
          <w:szCs w:val="24"/>
        </w:rPr>
        <w:t xml:space="preserve">, which </w:t>
      </w:r>
      <w:r w:rsidRPr="000743BB">
        <w:rPr>
          <w:rFonts w:ascii="Times New Roman" w:hAnsi="Times New Roman"/>
          <w:sz w:val="24"/>
          <w:szCs w:val="24"/>
        </w:rPr>
        <w:t xml:space="preserve">means </w:t>
      </w:r>
      <w:r w:rsidR="004D0619" w:rsidRPr="000743BB">
        <w:rPr>
          <w:rFonts w:ascii="Times New Roman" w:hAnsi="Times New Roman"/>
          <w:sz w:val="24"/>
          <w:szCs w:val="24"/>
        </w:rPr>
        <w:t>a recovered resource product manufactured by the composting AWT facility and containing materials that were previously putrescible waste materials</w:t>
      </w:r>
      <w:r w:rsidR="00E510D9" w:rsidRPr="000743BB">
        <w:rPr>
          <w:rFonts w:ascii="Times New Roman" w:hAnsi="Times New Roman"/>
          <w:sz w:val="24"/>
          <w:szCs w:val="24"/>
        </w:rPr>
        <w:t>;</w:t>
      </w:r>
    </w:p>
    <w:p w:rsidR="00A648A5" w:rsidRPr="000743BB" w:rsidRDefault="00A648A5" w:rsidP="00D3747C">
      <w:pPr>
        <w:pStyle w:val="ListParagraph"/>
        <w:numPr>
          <w:ilvl w:val="0"/>
          <w:numId w:val="10"/>
        </w:numPr>
        <w:spacing w:before="120" w:after="120" w:line="240" w:lineRule="auto"/>
        <w:rPr>
          <w:rFonts w:ascii="Times New Roman" w:hAnsi="Times New Roman"/>
          <w:sz w:val="24"/>
          <w:szCs w:val="24"/>
        </w:rPr>
      </w:pPr>
      <w:r w:rsidRPr="000743BB">
        <w:rPr>
          <w:rFonts w:ascii="Times New Roman" w:hAnsi="Times New Roman"/>
          <w:sz w:val="24"/>
          <w:szCs w:val="24"/>
        </w:rPr>
        <w:t>‘commercial and industrial waste’, which means waste materials generated from fixed point sources related to manufacturing, wholesale, retail, professional services and administration sectors;</w:t>
      </w:r>
    </w:p>
    <w:p w:rsidR="00A648A5" w:rsidRPr="000743BB" w:rsidRDefault="00A648A5" w:rsidP="00D3747C">
      <w:pPr>
        <w:pStyle w:val="tDefn"/>
        <w:numPr>
          <w:ilvl w:val="0"/>
          <w:numId w:val="10"/>
        </w:numPr>
        <w:spacing w:before="120" w:after="120" w:line="240" w:lineRule="auto"/>
      </w:pPr>
      <w:r w:rsidRPr="000743BB">
        <w:t>'composting AWT facility', which means an AWT facility that uses a controlled and contained process to ensure that appropriate aerobic levels are maintained to produce a fit-for-purpose product from waste materials that would o</w:t>
      </w:r>
      <w:r w:rsidR="00E510D9" w:rsidRPr="000743BB">
        <w:t>therwise need to be landfilled;</w:t>
      </w:r>
    </w:p>
    <w:p w:rsidR="00A648A5" w:rsidRPr="000743BB" w:rsidRDefault="00A648A5" w:rsidP="00D3747C">
      <w:pPr>
        <w:pStyle w:val="ListParagraph"/>
        <w:numPr>
          <w:ilvl w:val="0"/>
          <w:numId w:val="10"/>
        </w:numPr>
        <w:spacing w:before="120" w:after="120" w:line="240" w:lineRule="auto"/>
        <w:rPr>
          <w:rFonts w:ascii="Times New Roman" w:hAnsi="Times New Roman"/>
          <w:sz w:val="24"/>
          <w:szCs w:val="24"/>
        </w:rPr>
      </w:pPr>
      <w:r w:rsidRPr="000743BB">
        <w:rPr>
          <w:rFonts w:ascii="Times New Roman" w:hAnsi="Times New Roman"/>
          <w:sz w:val="24"/>
          <w:szCs w:val="24"/>
        </w:rPr>
        <w:t xml:space="preserve">‘construction and demolition waste’, which means waste materials generated from construction and </w:t>
      </w:r>
      <w:r w:rsidR="002B2D91" w:rsidRPr="000743BB">
        <w:rPr>
          <w:rFonts w:ascii="Times New Roman" w:hAnsi="Times New Roman"/>
          <w:sz w:val="24"/>
          <w:szCs w:val="24"/>
        </w:rPr>
        <w:t xml:space="preserve">demolition activities on any </w:t>
      </w:r>
      <w:r w:rsidRPr="000743BB">
        <w:rPr>
          <w:rFonts w:ascii="Times New Roman" w:hAnsi="Times New Roman"/>
          <w:sz w:val="24"/>
          <w:szCs w:val="24"/>
        </w:rPr>
        <w:t>scale;</w:t>
      </w:r>
    </w:p>
    <w:p w:rsidR="00D3747C" w:rsidRPr="000743BB" w:rsidRDefault="00A648A5" w:rsidP="00D3747C">
      <w:pPr>
        <w:pStyle w:val="ListParagraph"/>
        <w:numPr>
          <w:ilvl w:val="0"/>
          <w:numId w:val="10"/>
        </w:numPr>
        <w:autoSpaceDE w:val="0"/>
        <w:autoSpaceDN w:val="0"/>
        <w:adjustRightInd w:val="0"/>
        <w:spacing w:before="120" w:after="120" w:line="240" w:lineRule="auto"/>
        <w:rPr>
          <w:rFonts w:ascii="Times New Roman" w:hAnsi="Times New Roman"/>
          <w:sz w:val="24"/>
          <w:szCs w:val="24"/>
          <w:lang w:val="en-US"/>
        </w:rPr>
      </w:pPr>
      <w:r w:rsidRPr="000743BB">
        <w:rPr>
          <w:rFonts w:ascii="Times New Roman" w:hAnsi="Times New Roman"/>
          <w:bCs/>
          <w:sz w:val="24"/>
          <w:szCs w:val="24"/>
        </w:rPr>
        <w:t xml:space="preserve">‘legacy waste’, which </w:t>
      </w:r>
      <w:r w:rsidRPr="000743BB">
        <w:rPr>
          <w:rFonts w:ascii="Times New Roman" w:hAnsi="Times New Roman"/>
          <w:sz w:val="24"/>
          <w:szCs w:val="24"/>
        </w:rPr>
        <w:t xml:space="preserve">means waste accepted by the waste diversion facility before 1 July 2012 that would otherwise have entered landfill; </w:t>
      </w:r>
    </w:p>
    <w:p w:rsidR="00D3747C" w:rsidRPr="000743BB" w:rsidRDefault="00D3747C" w:rsidP="00D3747C">
      <w:pPr>
        <w:pStyle w:val="ListParagraph"/>
        <w:numPr>
          <w:ilvl w:val="0"/>
          <w:numId w:val="10"/>
        </w:numPr>
        <w:autoSpaceDE w:val="0"/>
        <w:autoSpaceDN w:val="0"/>
        <w:adjustRightInd w:val="0"/>
        <w:spacing w:before="120" w:after="120" w:line="240" w:lineRule="auto"/>
        <w:rPr>
          <w:rFonts w:ascii="Times New Roman" w:hAnsi="Times New Roman"/>
          <w:sz w:val="24"/>
          <w:szCs w:val="24"/>
          <w:lang w:val="en-US"/>
        </w:rPr>
      </w:pPr>
      <w:r w:rsidRPr="000743BB">
        <w:rPr>
          <w:rFonts w:ascii="Times New Roman" w:hAnsi="Times New Roman"/>
          <w:sz w:val="24"/>
          <w:szCs w:val="24"/>
        </w:rPr>
        <w:t>‘mixed solid waste’, which means solid waste that:</w:t>
      </w:r>
    </w:p>
    <w:p w:rsidR="00D3747C" w:rsidRPr="000743BB" w:rsidRDefault="00D3747C" w:rsidP="00D3747C">
      <w:pPr>
        <w:pStyle w:val="tDefn"/>
        <w:numPr>
          <w:ilvl w:val="0"/>
          <w:numId w:val="19"/>
        </w:numPr>
        <w:jc w:val="left"/>
      </w:pPr>
      <w:r w:rsidRPr="000743BB">
        <w:t>contains both putrescible and non</w:t>
      </w:r>
      <w:r w:rsidRPr="000743BB">
        <w:noBreakHyphen/>
        <w:t>putrescible waste; and</w:t>
      </w:r>
    </w:p>
    <w:p w:rsidR="00D3747C" w:rsidRPr="000743BB" w:rsidRDefault="00D3747C" w:rsidP="00D3747C">
      <w:pPr>
        <w:pStyle w:val="tDefn"/>
        <w:numPr>
          <w:ilvl w:val="0"/>
          <w:numId w:val="19"/>
        </w:numPr>
        <w:jc w:val="left"/>
      </w:pPr>
      <w:r w:rsidRPr="000743BB">
        <w:t xml:space="preserve"> </w:t>
      </w:r>
      <w:proofErr w:type="gramStart"/>
      <w:r w:rsidRPr="000743BB">
        <w:t>if</w:t>
      </w:r>
      <w:proofErr w:type="gramEnd"/>
      <w:r w:rsidRPr="000743BB">
        <w:t xml:space="preserve"> the waste is separated at the point of generation to form waste of a kind mentioned in (c) (‘</w:t>
      </w:r>
      <w:r w:rsidRPr="000743BB">
        <w:rPr>
          <w:bCs/>
          <w:iCs/>
        </w:rPr>
        <w:t>non</w:t>
      </w:r>
      <w:r w:rsidRPr="000743BB">
        <w:rPr>
          <w:bCs/>
          <w:iCs/>
        </w:rPr>
        <w:noBreakHyphen/>
        <w:t>landfill waste’</w:t>
      </w:r>
      <w:r w:rsidRPr="000743BB">
        <w:t>)—comprises only waste that is residual after non</w:t>
      </w:r>
      <w:r w:rsidRPr="000743BB">
        <w:noBreakHyphen/>
        <w:t>landfill waste is removed.</w:t>
      </w:r>
    </w:p>
    <w:p w:rsidR="00D3747C" w:rsidRPr="000743BB" w:rsidRDefault="00D3747C" w:rsidP="00D3747C">
      <w:pPr>
        <w:pStyle w:val="tDefn"/>
        <w:ind w:firstLine="476"/>
        <w:jc w:val="left"/>
      </w:pPr>
      <w:r w:rsidRPr="000743BB">
        <w:t>(c) For paragraph (b), a kind of non</w:t>
      </w:r>
      <w:r w:rsidRPr="000743BB">
        <w:noBreakHyphen/>
        <w:t>landfill waste is any of the following:</w:t>
      </w:r>
    </w:p>
    <w:p w:rsidR="00D3747C" w:rsidRPr="000743BB" w:rsidRDefault="00D3747C" w:rsidP="00D3747C">
      <w:pPr>
        <w:pStyle w:val="tDefn"/>
        <w:numPr>
          <w:ilvl w:val="0"/>
          <w:numId w:val="20"/>
        </w:numPr>
        <w:jc w:val="left"/>
      </w:pPr>
      <w:r w:rsidRPr="000743BB">
        <w:t>waste comprised of recyclable plastic, glass, metal or paper;</w:t>
      </w:r>
    </w:p>
    <w:p w:rsidR="00D3747C" w:rsidRPr="000743BB" w:rsidRDefault="00D3747C" w:rsidP="00D3747C">
      <w:pPr>
        <w:pStyle w:val="tDefn"/>
        <w:numPr>
          <w:ilvl w:val="0"/>
          <w:numId w:val="20"/>
        </w:numPr>
        <w:jc w:val="left"/>
      </w:pPr>
      <w:r w:rsidRPr="000743BB">
        <w:lastRenderedPageBreak/>
        <w:t>waste known as green waste or wood waste, comprised of garden waste, timber or similar materials from the natural environment;</w:t>
      </w:r>
    </w:p>
    <w:p w:rsidR="00D3747C" w:rsidRPr="000743BB" w:rsidRDefault="00D3747C" w:rsidP="00D3747C">
      <w:pPr>
        <w:pStyle w:val="tDefn"/>
        <w:numPr>
          <w:ilvl w:val="0"/>
          <w:numId w:val="20"/>
        </w:numPr>
        <w:jc w:val="left"/>
      </w:pPr>
      <w:r w:rsidRPr="000743BB">
        <w:t>organic waste from the livestock industry, for example, straw bedding and manure mixes;</w:t>
      </w:r>
    </w:p>
    <w:p w:rsidR="00D3747C" w:rsidRPr="000743BB" w:rsidRDefault="00D3747C" w:rsidP="00D3747C">
      <w:pPr>
        <w:pStyle w:val="tDefn"/>
        <w:numPr>
          <w:ilvl w:val="0"/>
          <w:numId w:val="20"/>
        </w:numPr>
        <w:jc w:val="left"/>
      </w:pPr>
      <w:r w:rsidRPr="000743BB">
        <w:t xml:space="preserve"> </w:t>
      </w:r>
      <w:proofErr w:type="gramStart"/>
      <w:r w:rsidRPr="000743BB">
        <w:t>any</w:t>
      </w:r>
      <w:proofErr w:type="gramEnd"/>
      <w:r w:rsidRPr="000743BB">
        <w:t xml:space="preserve"> other kind of waste that is not intended for a landfill facility.</w:t>
      </w:r>
    </w:p>
    <w:p w:rsidR="00D3747C" w:rsidRPr="000743BB" w:rsidRDefault="002C729E" w:rsidP="00D3747C">
      <w:pPr>
        <w:pStyle w:val="ListParagraph"/>
        <w:numPr>
          <w:ilvl w:val="0"/>
          <w:numId w:val="10"/>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w:t>
      </w:r>
      <w:proofErr w:type="gramStart"/>
      <w:r w:rsidRPr="000743BB">
        <w:rPr>
          <w:rFonts w:ascii="Times New Roman" w:hAnsi="Times New Roman"/>
          <w:sz w:val="24"/>
          <w:szCs w:val="24"/>
        </w:rPr>
        <w:t>municipal</w:t>
      </w:r>
      <w:proofErr w:type="gramEnd"/>
      <w:r w:rsidRPr="000743BB">
        <w:rPr>
          <w:rFonts w:ascii="Times New Roman" w:hAnsi="Times New Roman"/>
          <w:sz w:val="24"/>
          <w:szCs w:val="24"/>
        </w:rPr>
        <w:t xml:space="preserve"> solid waste', which </w:t>
      </w:r>
      <w:r w:rsidR="00D3747C" w:rsidRPr="000743BB">
        <w:rPr>
          <w:rFonts w:ascii="Times New Roman" w:hAnsi="Times New Roman"/>
          <w:sz w:val="24"/>
          <w:szCs w:val="24"/>
        </w:rPr>
        <w:t>means legacy waste generated from the domestic sector which is collected in household garbage, recycling, garden organics and Council clean-up collections.</w:t>
      </w:r>
    </w:p>
    <w:p w:rsidR="00A648A5" w:rsidRPr="000743BB" w:rsidRDefault="00D3747C" w:rsidP="00D3747C">
      <w:pPr>
        <w:pStyle w:val="ListParagraph"/>
        <w:numPr>
          <w:ilvl w:val="0"/>
          <w:numId w:val="10"/>
        </w:numPr>
        <w:autoSpaceDE w:val="0"/>
        <w:autoSpaceDN w:val="0"/>
        <w:adjustRightInd w:val="0"/>
        <w:spacing w:before="120" w:after="120" w:line="240" w:lineRule="auto"/>
        <w:rPr>
          <w:rFonts w:ascii="Times New Roman" w:hAnsi="Times New Roman"/>
          <w:sz w:val="24"/>
          <w:szCs w:val="24"/>
          <w:lang w:val="en-US"/>
        </w:rPr>
      </w:pPr>
      <w:r w:rsidRPr="000743BB">
        <w:rPr>
          <w:rFonts w:ascii="Times New Roman" w:hAnsi="Times New Roman"/>
          <w:sz w:val="24"/>
          <w:szCs w:val="24"/>
        </w:rPr>
        <w:t xml:space="preserve"> </w:t>
      </w:r>
      <w:r w:rsidR="00A648A5" w:rsidRPr="000743BB">
        <w:rPr>
          <w:rFonts w:ascii="Times New Roman" w:hAnsi="Times New Roman"/>
          <w:sz w:val="24"/>
          <w:szCs w:val="24"/>
        </w:rPr>
        <w:t xml:space="preserve">‘NGER (Measurement) Determination’, which means the National Greenhouse and Energy Reporting (Measurement) Determination 2008, made under subsection 10 (3) of the </w:t>
      </w:r>
      <w:r w:rsidR="00A648A5" w:rsidRPr="000743BB">
        <w:rPr>
          <w:rFonts w:ascii="Times New Roman" w:hAnsi="Times New Roman"/>
          <w:i/>
          <w:sz w:val="24"/>
          <w:szCs w:val="24"/>
        </w:rPr>
        <w:t>National Greenhouse and Energy Reporting Act 2007</w:t>
      </w:r>
      <w:r w:rsidR="00A648A5" w:rsidRPr="000743BB">
        <w:rPr>
          <w:rFonts w:ascii="Times New Roman" w:hAnsi="Times New Roman"/>
          <w:sz w:val="24"/>
          <w:szCs w:val="24"/>
        </w:rPr>
        <w:t>, as amended from time to time;</w:t>
      </w:r>
    </w:p>
    <w:p w:rsidR="00A648A5" w:rsidRPr="000743BB" w:rsidRDefault="00A648A5" w:rsidP="00D3747C">
      <w:pPr>
        <w:pStyle w:val="ListParagraph"/>
        <w:numPr>
          <w:ilvl w:val="0"/>
          <w:numId w:val="10"/>
        </w:numPr>
        <w:autoSpaceDE w:val="0"/>
        <w:autoSpaceDN w:val="0"/>
        <w:adjustRightInd w:val="0"/>
        <w:spacing w:before="120" w:after="120" w:line="240" w:lineRule="auto"/>
        <w:rPr>
          <w:rFonts w:ascii="Times New Roman" w:hAnsi="Times New Roman"/>
          <w:sz w:val="24"/>
          <w:szCs w:val="24"/>
          <w:lang w:val="en-US"/>
        </w:rPr>
      </w:pPr>
      <w:r w:rsidRPr="000743BB">
        <w:rPr>
          <w:rFonts w:ascii="Times New Roman" w:hAnsi="Times New Roman"/>
          <w:sz w:val="24"/>
          <w:szCs w:val="24"/>
        </w:rPr>
        <w:t xml:space="preserve">‘NGER Regulations’, which means the </w:t>
      </w:r>
      <w:r w:rsidRPr="000743BB">
        <w:rPr>
          <w:rFonts w:ascii="Times New Roman" w:hAnsi="Times New Roman"/>
          <w:i/>
          <w:sz w:val="24"/>
          <w:szCs w:val="24"/>
        </w:rPr>
        <w:t>National Greenhouse and Energy Reporting Regulations 2008</w:t>
      </w:r>
      <w:r w:rsidR="00D3747C" w:rsidRPr="000743BB">
        <w:rPr>
          <w:rFonts w:ascii="Times New Roman" w:hAnsi="Times New Roman"/>
          <w:sz w:val="24"/>
          <w:szCs w:val="24"/>
        </w:rPr>
        <w:t>, as amended from time to time.</w:t>
      </w:r>
    </w:p>
    <w:p w:rsidR="00D3747C" w:rsidRPr="000743BB" w:rsidRDefault="00D3747C" w:rsidP="00D3747C">
      <w:pPr>
        <w:pStyle w:val="ListParagraph"/>
        <w:autoSpaceDE w:val="0"/>
        <w:autoSpaceDN w:val="0"/>
        <w:adjustRightInd w:val="0"/>
        <w:spacing w:before="120" w:after="120" w:line="240" w:lineRule="auto"/>
        <w:rPr>
          <w:rFonts w:ascii="Times New Roman" w:hAnsi="Times New Roman"/>
          <w:sz w:val="24"/>
          <w:szCs w:val="24"/>
          <w:lang w:val="en-US"/>
        </w:rPr>
      </w:pPr>
    </w:p>
    <w:p w:rsidR="002B2D91" w:rsidRPr="000743BB" w:rsidRDefault="00A648A5" w:rsidP="004E1F46">
      <w:pPr>
        <w:pStyle w:val="ListParagraph"/>
        <w:tabs>
          <w:tab w:val="left" w:pos="3048"/>
        </w:tabs>
        <w:spacing w:before="120" w:after="120" w:line="240" w:lineRule="auto"/>
        <w:ind w:left="360"/>
        <w:rPr>
          <w:rFonts w:ascii="Times New Roman" w:hAnsi="Times New Roman"/>
          <w:sz w:val="24"/>
          <w:szCs w:val="24"/>
        </w:rPr>
      </w:pPr>
      <w:r w:rsidRPr="000743BB">
        <w:rPr>
          <w:rFonts w:ascii="Times New Roman" w:hAnsi="Times New Roman"/>
          <w:sz w:val="24"/>
          <w:szCs w:val="24"/>
        </w:rPr>
        <w:t xml:space="preserve">Generally, where terms are not defined in the Determination, they have the meaning given by section 5 of the Act or in the Regulations. The Act and Regulations are available at </w:t>
      </w:r>
      <w:r w:rsidRPr="000743BB">
        <w:rPr>
          <w:rFonts w:ascii="Times New Roman" w:hAnsi="Times New Roman"/>
          <w:sz w:val="24"/>
          <w:szCs w:val="24"/>
          <w:u w:val="single"/>
        </w:rPr>
        <w:t>http://</w:t>
      </w:r>
      <w:hyperlink r:id="rId8" w:history="1">
        <w:r w:rsidRPr="000743BB">
          <w:rPr>
            <w:rStyle w:val="Hyperlink"/>
            <w:rFonts w:ascii="Times New Roman" w:hAnsi="Times New Roman"/>
            <w:color w:val="auto"/>
            <w:sz w:val="24"/>
            <w:szCs w:val="24"/>
          </w:rPr>
          <w:t>www.comlaw.gov.au</w:t>
        </w:r>
      </w:hyperlink>
      <w:r w:rsidRPr="000743BB">
        <w:rPr>
          <w:rFonts w:ascii="Times New Roman" w:hAnsi="Times New Roman"/>
          <w:sz w:val="24"/>
          <w:szCs w:val="24"/>
        </w:rPr>
        <w:t>.</w:t>
      </w:r>
    </w:p>
    <w:p w:rsidR="00A648A5" w:rsidRPr="000743BB" w:rsidRDefault="00A648A5" w:rsidP="004E1F46">
      <w:pPr>
        <w:pStyle w:val="R2"/>
        <w:spacing w:before="120" w:after="120" w:line="240" w:lineRule="auto"/>
        <w:rPr>
          <w:b/>
        </w:rPr>
      </w:pPr>
    </w:p>
    <w:p w:rsidR="00A648A5" w:rsidRPr="000743BB" w:rsidRDefault="00A648A5" w:rsidP="004E1F46">
      <w:pPr>
        <w:pStyle w:val="R2"/>
        <w:spacing w:before="120" w:after="120" w:line="240" w:lineRule="auto"/>
        <w:rPr>
          <w:u w:val="single"/>
        </w:rPr>
      </w:pPr>
      <w:r w:rsidRPr="000743BB">
        <w:rPr>
          <w:u w:val="single"/>
        </w:rPr>
        <w:t>1.4</w:t>
      </w:r>
      <w:r w:rsidRPr="000743BB">
        <w:rPr>
          <w:u w:val="single"/>
        </w:rPr>
        <w:tab/>
      </w:r>
      <w:r w:rsidRPr="000743BB">
        <w:rPr>
          <w:u w:val="single"/>
        </w:rPr>
        <w:tab/>
        <w:t>Kind of project to which this Determination applies</w:t>
      </w:r>
    </w:p>
    <w:p w:rsidR="00A648A5" w:rsidRPr="000743BB" w:rsidRDefault="00A648A5" w:rsidP="004E1F46">
      <w:pPr>
        <w:pStyle w:val="tMain"/>
        <w:spacing w:before="120" w:after="120" w:line="240" w:lineRule="auto"/>
        <w:ind w:left="0" w:firstLine="0"/>
        <w:jc w:val="left"/>
      </w:pPr>
      <w:r w:rsidRPr="000743BB">
        <w:t>The effect of paragraph 106 (1) (a) of the Act is that a methodology determination must be expressed to apply to a specific kind of offsets project. This section of the Determination explains that the instrument applies to a project that proposes to divert legacy waste to a composting AWT facility, in circumstances where:</w:t>
      </w:r>
    </w:p>
    <w:p w:rsidR="00A648A5" w:rsidRPr="000743BB" w:rsidRDefault="00A648A5" w:rsidP="00D3747C">
      <w:pPr>
        <w:pStyle w:val="tPara"/>
        <w:numPr>
          <w:ilvl w:val="0"/>
          <w:numId w:val="14"/>
        </w:numPr>
        <w:spacing w:before="120" w:after="120" w:line="240" w:lineRule="auto"/>
      </w:pPr>
      <w:r w:rsidRPr="000743BB">
        <w:t xml:space="preserve">the legacy waste would otherwise have </w:t>
      </w:r>
      <w:r w:rsidR="006C2ED4" w:rsidRPr="000743BB">
        <w:t>entered a landfill facility;</w:t>
      </w:r>
    </w:p>
    <w:p w:rsidR="006C2ED4" w:rsidRPr="000743BB" w:rsidRDefault="006C2ED4" w:rsidP="00D3747C">
      <w:pPr>
        <w:pStyle w:val="tPara"/>
        <w:numPr>
          <w:ilvl w:val="0"/>
          <w:numId w:val="14"/>
        </w:numPr>
        <w:spacing w:before="120" w:after="120" w:line="240" w:lineRule="auto"/>
      </w:pPr>
      <w:r w:rsidRPr="000743BB">
        <w:t>the composting AWT facility is a purpose built enclosed facility; and</w:t>
      </w:r>
    </w:p>
    <w:p w:rsidR="00A648A5" w:rsidRPr="000743BB" w:rsidRDefault="00A648A5" w:rsidP="00D3747C">
      <w:pPr>
        <w:pStyle w:val="tPara"/>
        <w:numPr>
          <w:ilvl w:val="0"/>
          <w:numId w:val="14"/>
        </w:numPr>
        <w:spacing w:before="120" w:after="120" w:line="240" w:lineRule="auto"/>
      </w:pPr>
      <w:r w:rsidRPr="000743BB">
        <w:tab/>
      </w:r>
      <w:proofErr w:type="gramStart"/>
      <w:r w:rsidRPr="000743BB">
        <w:t>the</w:t>
      </w:r>
      <w:proofErr w:type="gramEnd"/>
      <w:r w:rsidRPr="000743BB">
        <w:t xml:space="preserve"> diverted legacy waste is processed</w:t>
      </w:r>
      <w:r w:rsidR="006C2ED4" w:rsidRPr="000743BB">
        <w:t xml:space="preserve"> in the enclosed facility</w:t>
      </w:r>
      <w:r w:rsidRPr="000743BB">
        <w:t xml:space="preserve"> to manufacture </w:t>
      </w:r>
      <w:r w:rsidR="004D0619" w:rsidRPr="000743BB">
        <w:t>biobased</w:t>
      </w:r>
      <w:r w:rsidRPr="000743BB">
        <w:t xml:space="preserve"> products.</w:t>
      </w:r>
    </w:p>
    <w:p w:rsidR="002B2D91" w:rsidRPr="000743BB" w:rsidRDefault="002B2D91"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Alternative Waste Treatment (AWT) refers to a wide range of technologies which can be used to extract resources from mixed waste. In the Australian context, AWT typically refers to a combination of mechanical sorting and biological processes such as composting. </w:t>
      </w:r>
    </w:p>
    <w:p w:rsidR="002B2D91" w:rsidRPr="000743BB" w:rsidRDefault="00D3747C" w:rsidP="004E1F46">
      <w:pPr>
        <w:spacing w:before="120" w:after="120" w:line="240" w:lineRule="auto"/>
        <w:rPr>
          <w:rFonts w:ascii="Times New Roman" w:hAnsi="Times New Roman"/>
          <w:b/>
          <w:sz w:val="24"/>
          <w:szCs w:val="24"/>
        </w:rPr>
      </w:pPr>
      <w:r w:rsidRPr="000743BB">
        <w:rPr>
          <w:rFonts w:ascii="Times New Roman" w:hAnsi="Times New Roman"/>
          <w:sz w:val="24"/>
          <w:szCs w:val="24"/>
        </w:rPr>
        <w:t>In this conte</w:t>
      </w:r>
      <w:r w:rsidR="005B36E3">
        <w:rPr>
          <w:rFonts w:ascii="Times New Roman" w:hAnsi="Times New Roman"/>
          <w:sz w:val="24"/>
          <w:szCs w:val="24"/>
        </w:rPr>
        <w:t>x</w:t>
      </w:r>
      <w:r w:rsidRPr="000743BB">
        <w:rPr>
          <w:rFonts w:ascii="Times New Roman" w:hAnsi="Times New Roman"/>
          <w:sz w:val="24"/>
          <w:szCs w:val="24"/>
        </w:rPr>
        <w:t>t,</w:t>
      </w:r>
      <w:r w:rsidR="002B2D91" w:rsidRPr="000743BB">
        <w:rPr>
          <w:rFonts w:ascii="Times New Roman" w:hAnsi="Times New Roman"/>
          <w:sz w:val="24"/>
          <w:szCs w:val="24"/>
        </w:rPr>
        <w:t xml:space="preserve"> '</w:t>
      </w:r>
      <w:r w:rsidRPr="000743BB">
        <w:rPr>
          <w:rFonts w:ascii="Times New Roman" w:hAnsi="Times New Roman"/>
          <w:sz w:val="24"/>
          <w:szCs w:val="24"/>
        </w:rPr>
        <w:t>diversion' refers to</w:t>
      </w:r>
      <w:r w:rsidR="002B2D91" w:rsidRPr="000743BB">
        <w:rPr>
          <w:rFonts w:ascii="Times New Roman" w:hAnsi="Times New Roman"/>
          <w:sz w:val="24"/>
          <w:szCs w:val="24"/>
        </w:rPr>
        <w:t xml:space="preserve"> the process of recovering waste material otherwise destined for landfill disposal. Examples include composting of organic waste, and recycling of plastics, metals and paper</w:t>
      </w:r>
      <w:r w:rsidR="007976F7" w:rsidRPr="000743BB">
        <w:rPr>
          <w:rFonts w:ascii="Times New Roman" w:hAnsi="Times New Roman"/>
          <w:sz w:val="24"/>
          <w:szCs w:val="24"/>
        </w:rPr>
        <w:t>.</w:t>
      </w:r>
    </w:p>
    <w:p w:rsidR="00A648A5" w:rsidRPr="000743BB" w:rsidRDefault="00A648A5" w:rsidP="004E1F46">
      <w:pPr>
        <w:keepNext/>
        <w:spacing w:before="120" w:after="120" w:line="240" w:lineRule="auto"/>
        <w:rPr>
          <w:rFonts w:ascii="Times New Roman" w:hAnsi="Times New Roman"/>
          <w:b/>
          <w:sz w:val="24"/>
          <w:szCs w:val="24"/>
        </w:rPr>
      </w:pPr>
    </w:p>
    <w:p w:rsidR="007976F7" w:rsidRPr="000743BB" w:rsidRDefault="0051628F" w:rsidP="004E1F46">
      <w:pPr>
        <w:keepNext/>
        <w:spacing w:before="120" w:after="120" w:line="240" w:lineRule="auto"/>
        <w:ind w:left="1440" w:hanging="1440"/>
        <w:rPr>
          <w:rFonts w:ascii="Times New Roman" w:hAnsi="Times New Roman"/>
          <w:b/>
          <w:sz w:val="24"/>
          <w:szCs w:val="24"/>
        </w:rPr>
      </w:pPr>
      <w:r w:rsidRPr="000743BB">
        <w:rPr>
          <w:rFonts w:ascii="Times New Roman" w:hAnsi="Times New Roman"/>
          <w:b/>
          <w:sz w:val="24"/>
          <w:szCs w:val="24"/>
        </w:rPr>
        <w:br w:type="page"/>
      </w:r>
    </w:p>
    <w:p w:rsidR="00A648A5" w:rsidRPr="000743BB" w:rsidRDefault="00A648A5" w:rsidP="004E1F46">
      <w:pPr>
        <w:keepNext/>
        <w:spacing w:before="120" w:after="120" w:line="240" w:lineRule="auto"/>
        <w:ind w:left="1440" w:hanging="1440"/>
        <w:rPr>
          <w:rFonts w:ascii="Times New Roman" w:hAnsi="Times New Roman"/>
          <w:b/>
          <w:sz w:val="24"/>
          <w:szCs w:val="24"/>
        </w:rPr>
      </w:pPr>
      <w:r w:rsidRPr="000743BB">
        <w:rPr>
          <w:rFonts w:ascii="Times New Roman" w:hAnsi="Times New Roman"/>
          <w:b/>
          <w:sz w:val="24"/>
          <w:szCs w:val="24"/>
        </w:rPr>
        <w:lastRenderedPageBreak/>
        <w:t>Part 2</w:t>
      </w:r>
      <w:r w:rsidRPr="000743BB">
        <w:rPr>
          <w:rFonts w:ascii="Times New Roman" w:hAnsi="Times New Roman"/>
          <w:b/>
          <w:sz w:val="24"/>
          <w:szCs w:val="24"/>
        </w:rPr>
        <w:tab/>
        <w:t xml:space="preserve">Requirements </w:t>
      </w:r>
      <w:r w:rsidR="007976F7" w:rsidRPr="000743BB">
        <w:rPr>
          <w:rFonts w:ascii="Times New Roman" w:hAnsi="Times New Roman"/>
          <w:b/>
          <w:sz w:val="24"/>
          <w:szCs w:val="24"/>
        </w:rPr>
        <w:t>for declaration as eligible project</w:t>
      </w: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2.1</w:t>
      </w:r>
      <w:r w:rsidRPr="000743BB">
        <w:rPr>
          <w:rFonts w:ascii="Times New Roman" w:hAnsi="Times New Roman"/>
          <w:sz w:val="24"/>
          <w:szCs w:val="24"/>
          <w:u w:val="single"/>
        </w:rPr>
        <w:tab/>
        <w:t>Eligible projects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effect of paragraph 106 (1) (b) of the Act is that a methodology determination must set out requirements that must be met for the offsets project to be an eligible offsets project. </w:t>
      </w:r>
    </w:p>
    <w:p w:rsidR="00A648A5" w:rsidRPr="000743BB" w:rsidRDefault="00A648A5" w:rsidP="004E1F46">
      <w:pPr>
        <w:keepNext/>
        <w:spacing w:before="120" w:after="120" w:line="240" w:lineRule="auto"/>
        <w:rPr>
          <w:rFonts w:ascii="Times New Roman" w:hAnsi="Times New Roman"/>
          <w:sz w:val="24"/>
          <w:szCs w:val="24"/>
        </w:rPr>
      </w:pPr>
      <w:r w:rsidRPr="000743BB">
        <w:rPr>
          <w:rFonts w:ascii="Times New Roman" w:hAnsi="Times New Roman"/>
          <w:sz w:val="24"/>
          <w:szCs w:val="24"/>
        </w:rPr>
        <w:t xml:space="preserve">This section outlines the requirements of which the Regulator must be satisfied before approving a project as an eligible offsets project. </w:t>
      </w:r>
    </w:p>
    <w:p w:rsidR="00A648A5" w:rsidRPr="000743BB" w:rsidRDefault="00A648A5" w:rsidP="004E1F46">
      <w:pPr>
        <w:pStyle w:val="h5Section"/>
        <w:spacing w:before="120" w:after="120"/>
        <w:rPr>
          <w:rFonts w:ascii="Times New Roman" w:hAnsi="Times New Roman"/>
          <w:b w:val="0"/>
          <w:szCs w:val="24"/>
          <w:u w:val="single"/>
        </w:rPr>
      </w:pPr>
      <w:bookmarkStart w:id="1" w:name="_Toc346885387"/>
    </w:p>
    <w:p w:rsidR="00A648A5" w:rsidRPr="000743BB" w:rsidRDefault="00A648A5" w:rsidP="004E1F46">
      <w:pPr>
        <w:pStyle w:val="h5Section"/>
        <w:spacing w:before="120" w:after="120"/>
        <w:rPr>
          <w:rFonts w:ascii="Times New Roman" w:hAnsi="Times New Roman"/>
          <w:b w:val="0"/>
          <w:szCs w:val="24"/>
          <w:u w:val="single"/>
        </w:rPr>
      </w:pPr>
      <w:r w:rsidRPr="000743BB">
        <w:rPr>
          <w:rFonts w:ascii="Times New Roman" w:hAnsi="Times New Roman"/>
          <w:b w:val="0"/>
          <w:szCs w:val="24"/>
          <w:u w:val="single"/>
        </w:rPr>
        <w:t>2.2</w:t>
      </w:r>
      <w:r w:rsidRPr="000743BB">
        <w:rPr>
          <w:rFonts w:ascii="Times New Roman" w:hAnsi="Times New Roman"/>
          <w:b w:val="0"/>
          <w:szCs w:val="24"/>
          <w:u w:val="single"/>
        </w:rPr>
        <w:tab/>
        <w:t>Requirement 1—Project mechanism</w:t>
      </w:r>
      <w:bookmarkEnd w:id="1"/>
    </w:p>
    <w:p w:rsidR="00A648A5" w:rsidRPr="000743BB" w:rsidRDefault="00A648A5" w:rsidP="004E1F46">
      <w:pPr>
        <w:pStyle w:val="tMain"/>
        <w:spacing w:before="120" w:after="120" w:line="240" w:lineRule="auto"/>
        <w:ind w:left="0" w:firstLine="0"/>
      </w:pPr>
      <w:r w:rsidRPr="000743BB">
        <w:tab/>
        <w:t>This section requires that the project must divert waste to a composting AWT facility, within the meaning provided by section 1.3, in circumstances where the waste would otherwise be deposited to landfill.</w:t>
      </w:r>
    </w:p>
    <w:p w:rsidR="00A648A5" w:rsidRPr="000743BB" w:rsidRDefault="00A648A5" w:rsidP="004E1F46">
      <w:pPr>
        <w:pStyle w:val="tMain"/>
        <w:spacing w:before="120" w:after="120" w:line="240" w:lineRule="auto"/>
        <w:ind w:left="0" w:firstLine="0"/>
      </w:pPr>
      <w:r w:rsidRPr="000743BB">
        <w:t>The waste must be of the kind outlined in section 2.</w:t>
      </w:r>
      <w:r w:rsidR="004D0619" w:rsidRPr="000743BB">
        <w:t>3</w:t>
      </w:r>
      <w:r w:rsidR="006C2ED4" w:rsidRPr="000743BB">
        <w:t xml:space="preserve"> (legacy waste that is </w:t>
      </w:r>
      <w:r w:rsidR="00EB41E6" w:rsidRPr="000743BB">
        <w:t>mixed solid waste within the meaning provided in the Regulations</w:t>
      </w:r>
      <w:r w:rsidR="006C2ED4" w:rsidRPr="000743BB">
        <w:t>)</w:t>
      </w:r>
      <w:r w:rsidRPr="000743BB">
        <w:t xml:space="preserve">, and must be processed to </w:t>
      </w:r>
      <w:r w:rsidR="006C2ED4" w:rsidRPr="000743BB">
        <w:t>produce</w:t>
      </w:r>
      <w:r w:rsidRPr="000743BB">
        <w:t xml:space="preserve"> </w:t>
      </w:r>
      <w:r w:rsidR="004D0619" w:rsidRPr="000743BB">
        <w:t xml:space="preserve">biobased </w:t>
      </w:r>
      <w:r w:rsidRPr="000743BB">
        <w:t>products.</w:t>
      </w:r>
    </w:p>
    <w:p w:rsidR="00A648A5" w:rsidRPr="000743BB" w:rsidRDefault="00A648A5" w:rsidP="004E1F46">
      <w:pPr>
        <w:autoSpaceDE w:val="0"/>
        <w:autoSpaceDN w:val="0"/>
        <w:adjustRightInd w:val="0"/>
        <w:spacing w:before="120" w:after="120" w:line="240" w:lineRule="auto"/>
        <w:jc w:val="both"/>
        <w:rPr>
          <w:rFonts w:ascii="Times New Roman" w:hAnsi="Times New Roman"/>
          <w:color w:val="000000"/>
          <w:sz w:val="24"/>
          <w:szCs w:val="24"/>
        </w:rPr>
      </w:pPr>
      <w:r w:rsidRPr="000743BB">
        <w:rPr>
          <w:rFonts w:ascii="Times New Roman" w:hAnsi="Times New Roman"/>
          <w:color w:val="000000"/>
          <w:sz w:val="24"/>
          <w:szCs w:val="24"/>
        </w:rPr>
        <w:t>The resultant products from the composting AWT facility can be used as</w:t>
      </w:r>
      <w:r w:rsidR="00D3747C" w:rsidRPr="000743BB">
        <w:rPr>
          <w:rFonts w:ascii="Times New Roman" w:hAnsi="Times New Roman"/>
          <w:color w:val="000000"/>
          <w:sz w:val="24"/>
          <w:szCs w:val="24"/>
        </w:rPr>
        <w:t xml:space="preserve"> </w:t>
      </w:r>
      <w:r w:rsidRPr="000743BB">
        <w:rPr>
          <w:rFonts w:ascii="Times New Roman" w:hAnsi="Times New Roman"/>
          <w:color w:val="000000"/>
          <w:sz w:val="24"/>
          <w:szCs w:val="24"/>
        </w:rPr>
        <w:t>soil conditioner, potting mix, landscape mulch</w:t>
      </w:r>
      <w:r w:rsidR="004D0619" w:rsidRPr="000743BB">
        <w:rPr>
          <w:rFonts w:ascii="Times New Roman" w:hAnsi="Times New Roman"/>
          <w:color w:val="000000"/>
          <w:sz w:val="24"/>
          <w:szCs w:val="24"/>
        </w:rPr>
        <w:t xml:space="preserve">, </w:t>
      </w:r>
      <w:r w:rsidRPr="000743BB">
        <w:rPr>
          <w:rFonts w:ascii="Times New Roman" w:hAnsi="Times New Roman"/>
          <w:color w:val="000000"/>
          <w:sz w:val="24"/>
          <w:szCs w:val="24"/>
        </w:rPr>
        <w:t>blended top soils</w:t>
      </w:r>
      <w:r w:rsidR="004D0619" w:rsidRPr="000743BB">
        <w:rPr>
          <w:rFonts w:ascii="Times New Roman" w:hAnsi="Times New Roman"/>
          <w:color w:val="000000"/>
          <w:sz w:val="24"/>
          <w:szCs w:val="24"/>
        </w:rPr>
        <w:t xml:space="preserve"> or spill absorbents</w:t>
      </w:r>
      <w:r w:rsidR="00246B2C" w:rsidRPr="000743BB">
        <w:rPr>
          <w:rFonts w:ascii="Times New Roman" w:hAnsi="Times New Roman"/>
          <w:color w:val="000000"/>
          <w:sz w:val="24"/>
          <w:szCs w:val="24"/>
        </w:rPr>
        <w:t>.</w:t>
      </w:r>
    </w:p>
    <w:p w:rsidR="006C2ED4" w:rsidRPr="000743BB" w:rsidRDefault="006C2ED4" w:rsidP="004E1F46">
      <w:pPr>
        <w:autoSpaceDE w:val="0"/>
        <w:autoSpaceDN w:val="0"/>
        <w:adjustRightInd w:val="0"/>
        <w:spacing w:before="120" w:after="120" w:line="240" w:lineRule="auto"/>
        <w:jc w:val="both"/>
        <w:rPr>
          <w:rFonts w:ascii="Times New Roman" w:hAnsi="Times New Roman"/>
          <w:color w:val="000000"/>
          <w:sz w:val="24"/>
          <w:szCs w:val="24"/>
        </w:rPr>
      </w:pPr>
    </w:p>
    <w:p w:rsidR="006C2ED4" w:rsidRPr="000743BB" w:rsidRDefault="006C2ED4" w:rsidP="004E1F46">
      <w:pPr>
        <w:autoSpaceDE w:val="0"/>
        <w:autoSpaceDN w:val="0"/>
        <w:adjustRightInd w:val="0"/>
        <w:spacing w:before="120" w:after="120" w:line="240" w:lineRule="auto"/>
        <w:jc w:val="both"/>
        <w:rPr>
          <w:rFonts w:ascii="Times New Roman" w:hAnsi="Times New Roman"/>
          <w:color w:val="000000"/>
          <w:sz w:val="24"/>
          <w:szCs w:val="24"/>
          <w:u w:val="single"/>
        </w:rPr>
      </w:pPr>
      <w:r w:rsidRPr="000743BB">
        <w:rPr>
          <w:rFonts w:ascii="Times New Roman" w:hAnsi="Times New Roman"/>
          <w:color w:val="000000"/>
          <w:sz w:val="24"/>
          <w:szCs w:val="24"/>
          <w:u w:val="single"/>
        </w:rPr>
        <w:t>2.3</w:t>
      </w:r>
      <w:r w:rsidRPr="000743BB">
        <w:rPr>
          <w:rFonts w:ascii="Times New Roman" w:hAnsi="Times New Roman"/>
          <w:color w:val="000000"/>
          <w:sz w:val="24"/>
          <w:szCs w:val="24"/>
          <w:u w:val="single"/>
        </w:rPr>
        <w:tab/>
        <w:t>Requirement 2</w:t>
      </w:r>
      <w:r w:rsidRPr="000743BB">
        <w:rPr>
          <w:rFonts w:ascii="Times New Roman" w:hAnsi="Times New Roman"/>
          <w:sz w:val="24"/>
          <w:szCs w:val="24"/>
          <w:u w:val="single"/>
        </w:rPr>
        <w:t>—Waste characteristics</w:t>
      </w:r>
    </w:p>
    <w:p w:rsidR="006C2ED4" w:rsidRPr="000743BB" w:rsidRDefault="006C2ED4" w:rsidP="006C2ED4">
      <w:pPr>
        <w:spacing w:before="120" w:after="120" w:line="240" w:lineRule="auto"/>
        <w:rPr>
          <w:rFonts w:ascii="Times New Roman" w:hAnsi="Times New Roman"/>
          <w:sz w:val="24"/>
          <w:szCs w:val="24"/>
        </w:rPr>
      </w:pPr>
      <w:r w:rsidRPr="000743BB">
        <w:rPr>
          <w:rFonts w:ascii="Times New Roman" w:hAnsi="Times New Roman"/>
          <w:sz w:val="24"/>
          <w:szCs w:val="24"/>
        </w:rPr>
        <w:t xml:space="preserve">This section requires that the project must deal with legacy waste only, which is waste received before 1 July 2012; and the waste must be </w:t>
      </w:r>
      <w:r w:rsidR="00EB41E6" w:rsidRPr="000743BB">
        <w:rPr>
          <w:rFonts w:ascii="Times New Roman" w:hAnsi="Times New Roman"/>
          <w:sz w:val="24"/>
          <w:szCs w:val="24"/>
        </w:rPr>
        <w:t>mixed solid waste t</w:t>
      </w:r>
      <w:r w:rsidRPr="000743BB">
        <w:rPr>
          <w:rFonts w:ascii="Times New Roman" w:hAnsi="Times New Roman"/>
          <w:sz w:val="24"/>
          <w:szCs w:val="24"/>
        </w:rPr>
        <w:t xml:space="preserve">hat is </w:t>
      </w:r>
      <w:r w:rsidR="006D0EF3" w:rsidRPr="000743BB">
        <w:rPr>
          <w:rFonts w:ascii="Times New Roman" w:hAnsi="Times New Roman"/>
          <w:sz w:val="24"/>
          <w:szCs w:val="24"/>
        </w:rPr>
        <w:t>derived from one or a combination of the following waste streams</w:t>
      </w:r>
      <w:r w:rsidRPr="000743BB">
        <w:rPr>
          <w:rFonts w:ascii="Times New Roman" w:hAnsi="Times New Roman"/>
          <w:sz w:val="24"/>
          <w:szCs w:val="24"/>
        </w:rPr>
        <w:t>:</w:t>
      </w:r>
    </w:p>
    <w:p w:rsidR="006C2ED4" w:rsidRPr="000743BB" w:rsidRDefault="006C2ED4" w:rsidP="00D3747C">
      <w:pPr>
        <w:pStyle w:val="tSubpara"/>
        <w:numPr>
          <w:ilvl w:val="0"/>
          <w:numId w:val="15"/>
        </w:numPr>
        <w:spacing w:after="0" w:line="240" w:lineRule="auto"/>
      </w:pPr>
      <w:r w:rsidRPr="000743BB">
        <w:tab/>
        <w:t>municipal solid waste;</w:t>
      </w:r>
    </w:p>
    <w:p w:rsidR="006C2ED4" w:rsidRPr="000743BB" w:rsidRDefault="006C2ED4" w:rsidP="00D3747C">
      <w:pPr>
        <w:pStyle w:val="tSubpara"/>
        <w:numPr>
          <w:ilvl w:val="0"/>
          <w:numId w:val="15"/>
        </w:numPr>
        <w:spacing w:after="0" w:line="240" w:lineRule="auto"/>
      </w:pPr>
      <w:r w:rsidRPr="000743BB">
        <w:tab/>
        <w:t>commercial and industrial waste; or</w:t>
      </w:r>
    </w:p>
    <w:p w:rsidR="006C2ED4" w:rsidRPr="000743BB" w:rsidRDefault="006C2ED4" w:rsidP="00D3747C">
      <w:pPr>
        <w:pStyle w:val="tSubpara"/>
        <w:numPr>
          <w:ilvl w:val="0"/>
          <w:numId w:val="15"/>
        </w:numPr>
        <w:spacing w:after="0" w:line="240" w:lineRule="auto"/>
      </w:pPr>
      <w:r w:rsidRPr="000743BB">
        <w:tab/>
      </w:r>
      <w:proofErr w:type="gramStart"/>
      <w:r w:rsidRPr="000743BB">
        <w:t>construction</w:t>
      </w:r>
      <w:proofErr w:type="gramEnd"/>
      <w:r w:rsidRPr="000743BB">
        <w:t xml:space="preserve"> and demolition waste.</w:t>
      </w:r>
    </w:p>
    <w:p w:rsidR="00EB41E6" w:rsidRPr="000743BB" w:rsidRDefault="00EB41E6" w:rsidP="006C2ED4">
      <w:pPr>
        <w:spacing w:after="0" w:line="240" w:lineRule="auto"/>
        <w:rPr>
          <w:rFonts w:ascii="Times New Roman" w:hAnsi="Times New Roman"/>
          <w:sz w:val="24"/>
          <w:szCs w:val="24"/>
        </w:rPr>
      </w:pPr>
    </w:p>
    <w:p w:rsidR="00BC5914" w:rsidRPr="000743BB" w:rsidRDefault="00BC5914" w:rsidP="006C2ED4">
      <w:pPr>
        <w:spacing w:after="0" w:line="240" w:lineRule="auto"/>
        <w:rPr>
          <w:rFonts w:ascii="Times New Roman" w:hAnsi="Times New Roman"/>
          <w:sz w:val="24"/>
          <w:szCs w:val="24"/>
          <w:u w:val="single"/>
        </w:rPr>
      </w:pPr>
    </w:p>
    <w:p w:rsidR="006C2ED4" w:rsidRPr="000743BB" w:rsidRDefault="006C2ED4" w:rsidP="006C2ED4">
      <w:pPr>
        <w:spacing w:after="0" w:line="240" w:lineRule="auto"/>
        <w:rPr>
          <w:rFonts w:ascii="Times New Roman" w:eastAsia="Times New Roman" w:hAnsi="Times New Roman"/>
          <w:sz w:val="24"/>
          <w:szCs w:val="24"/>
          <w:u w:val="single"/>
          <w:lang w:eastAsia="en-AU"/>
        </w:rPr>
      </w:pPr>
      <w:r w:rsidRPr="000743BB">
        <w:rPr>
          <w:rFonts w:ascii="Times New Roman" w:hAnsi="Times New Roman"/>
          <w:sz w:val="24"/>
          <w:szCs w:val="24"/>
          <w:u w:val="single"/>
        </w:rPr>
        <w:t>2.4</w:t>
      </w:r>
      <w:r w:rsidRPr="000743BB">
        <w:rPr>
          <w:rFonts w:ascii="Times New Roman" w:hAnsi="Times New Roman"/>
          <w:sz w:val="24"/>
          <w:szCs w:val="24"/>
          <w:u w:val="single"/>
        </w:rPr>
        <w:tab/>
        <w:t>Requirement 3—Processing technology</w:t>
      </w:r>
    </w:p>
    <w:p w:rsidR="00E464B6" w:rsidRPr="000743BB" w:rsidRDefault="006C2ED4" w:rsidP="00E464B6">
      <w:pPr>
        <w:tabs>
          <w:tab w:val="left" w:pos="1515"/>
        </w:tabs>
        <w:spacing w:before="60" w:line="252" w:lineRule="auto"/>
        <w:rPr>
          <w:rFonts w:ascii="Times New Roman" w:hAnsi="Times New Roman"/>
          <w:sz w:val="24"/>
          <w:szCs w:val="24"/>
        </w:rPr>
      </w:pPr>
      <w:r w:rsidRPr="000743BB">
        <w:rPr>
          <w:rFonts w:ascii="Times New Roman" w:hAnsi="Times New Roman"/>
          <w:sz w:val="24"/>
          <w:szCs w:val="24"/>
        </w:rPr>
        <w:t xml:space="preserve">This section sets out the processing technology that must be used when </w:t>
      </w:r>
      <w:r w:rsidR="00E464B6" w:rsidRPr="000743BB">
        <w:rPr>
          <w:rFonts w:ascii="Times New Roman" w:hAnsi="Times New Roman"/>
          <w:sz w:val="24"/>
          <w:szCs w:val="24"/>
        </w:rPr>
        <w:t>undertaking the abatement project</w:t>
      </w:r>
      <w:r w:rsidRPr="000743BB">
        <w:rPr>
          <w:rFonts w:ascii="Times New Roman" w:hAnsi="Times New Roman"/>
          <w:sz w:val="24"/>
          <w:szCs w:val="24"/>
        </w:rPr>
        <w:t>. This</w:t>
      </w:r>
      <w:r w:rsidR="00E464B6" w:rsidRPr="000743BB">
        <w:rPr>
          <w:rFonts w:ascii="Times New Roman" w:hAnsi="Times New Roman"/>
          <w:sz w:val="24"/>
          <w:szCs w:val="24"/>
        </w:rPr>
        <w:t xml:space="preserve"> m</w:t>
      </w:r>
      <w:r w:rsidRPr="000743BB">
        <w:rPr>
          <w:rFonts w:ascii="Times New Roman" w:hAnsi="Times New Roman"/>
          <w:sz w:val="24"/>
          <w:szCs w:val="24"/>
        </w:rPr>
        <w:t>ust</w:t>
      </w:r>
      <w:r w:rsidR="00E464B6" w:rsidRPr="000743BB">
        <w:rPr>
          <w:rFonts w:ascii="Times New Roman" w:hAnsi="Times New Roman"/>
          <w:sz w:val="24"/>
          <w:szCs w:val="24"/>
        </w:rPr>
        <w:t xml:space="preserve"> include </w:t>
      </w:r>
      <w:r w:rsidR="00EB41E6" w:rsidRPr="000743BB">
        <w:rPr>
          <w:rFonts w:ascii="Times New Roman" w:hAnsi="Times New Roman"/>
          <w:sz w:val="24"/>
          <w:szCs w:val="24"/>
        </w:rPr>
        <w:t xml:space="preserve">a </w:t>
      </w:r>
      <w:r w:rsidR="00E464B6" w:rsidRPr="000743BB">
        <w:rPr>
          <w:rFonts w:ascii="Times New Roman" w:hAnsi="Times New Roman"/>
          <w:sz w:val="24"/>
          <w:szCs w:val="24"/>
        </w:rPr>
        <w:t>combination of</w:t>
      </w:r>
      <w:r w:rsidR="00EB41E6" w:rsidRPr="000743BB">
        <w:rPr>
          <w:rFonts w:ascii="Times New Roman" w:hAnsi="Times New Roman"/>
          <w:sz w:val="24"/>
          <w:szCs w:val="24"/>
        </w:rPr>
        <w:t xml:space="preserve"> any of</w:t>
      </w:r>
      <w:r w:rsidR="00E464B6" w:rsidRPr="000743BB">
        <w:rPr>
          <w:rFonts w:ascii="Times New Roman" w:hAnsi="Times New Roman"/>
          <w:sz w:val="24"/>
          <w:szCs w:val="24"/>
        </w:rPr>
        <w:t xml:space="preserve"> the following:</w:t>
      </w:r>
    </w:p>
    <w:p w:rsidR="00E464B6" w:rsidRPr="000743BB" w:rsidRDefault="006C2ED4" w:rsidP="00D3747C">
      <w:pPr>
        <w:numPr>
          <w:ilvl w:val="0"/>
          <w:numId w:val="18"/>
        </w:numPr>
        <w:tabs>
          <w:tab w:val="left" w:pos="1515"/>
        </w:tabs>
        <w:spacing w:before="60" w:after="120" w:line="252" w:lineRule="auto"/>
        <w:rPr>
          <w:rFonts w:ascii="Times New Roman" w:hAnsi="Times New Roman"/>
          <w:sz w:val="24"/>
          <w:szCs w:val="24"/>
        </w:rPr>
      </w:pPr>
      <w:r w:rsidRPr="000743BB">
        <w:rPr>
          <w:rFonts w:ascii="Times New Roman" w:hAnsi="Times New Roman"/>
          <w:sz w:val="24"/>
          <w:szCs w:val="24"/>
        </w:rPr>
        <w:t xml:space="preserve">composting digesters, where </w:t>
      </w:r>
      <w:r w:rsidR="00E464B6" w:rsidRPr="000743BB">
        <w:rPr>
          <w:rFonts w:ascii="Times New Roman" w:hAnsi="Times New Roman"/>
          <w:sz w:val="24"/>
          <w:szCs w:val="24"/>
        </w:rPr>
        <w:t>aerated revolving drums process putrescible waste by accelerating the composting process in combination with mechanical breakdown of materials through the drum prior to entering the compost maturation halls (residence time of three days)</w:t>
      </w:r>
      <w:r w:rsidRPr="000743BB">
        <w:rPr>
          <w:rFonts w:ascii="Times New Roman" w:hAnsi="Times New Roman"/>
          <w:sz w:val="24"/>
          <w:szCs w:val="24"/>
        </w:rPr>
        <w:t>;</w:t>
      </w:r>
    </w:p>
    <w:p w:rsidR="00E464B6" w:rsidRPr="000743BB" w:rsidRDefault="006C2ED4" w:rsidP="00D3747C">
      <w:pPr>
        <w:numPr>
          <w:ilvl w:val="0"/>
          <w:numId w:val="18"/>
        </w:numPr>
        <w:tabs>
          <w:tab w:val="left" w:pos="1515"/>
        </w:tabs>
        <w:spacing w:before="60" w:after="120" w:line="252" w:lineRule="auto"/>
        <w:rPr>
          <w:rFonts w:ascii="Times New Roman" w:hAnsi="Times New Roman"/>
          <w:sz w:val="24"/>
          <w:szCs w:val="24"/>
        </w:rPr>
      </w:pPr>
      <w:r w:rsidRPr="000743BB">
        <w:rPr>
          <w:rFonts w:ascii="Times New Roman" w:hAnsi="Times New Roman"/>
          <w:sz w:val="24"/>
          <w:szCs w:val="24"/>
        </w:rPr>
        <w:t>composting tunnels, where an aerated and enclosed chamber</w:t>
      </w:r>
      <w:r w:rsidR="00E464B6" w:rsidRPr="000743BB">
        <w:rPr>
          <w:rFonts w:ascii="Times New Roman" w:hAnsi="Times New Roman"/>
          <w:sz w:val="24"/>
          <w:szCs w:val="24"/>
        </w:rPr>
        <w:t xml:space="preserve"> accelerate</w:t>
      </w:r>
      <w:r w:rsidRPr="000743BB">
        <w:rPr>
          <w:rFonts w:ascii="Times New Roman" w:hAnsi="Times New Roman"/>
          <w:sz w:val="24"/>
          <w:szCs w:val="24"/>
        </w:rPr>
        <w:t>s</w:t>
      </w:r>
      <w:r w:rsidR="00E464B6" w:rsidRPr="000743BB">
        <w:rPr>
          <w:rFonts w:ascii="Times New Roman" w:hAnsi="Times New Roman"/>
          <w:sz w:val="24"/>
          <w:szCs w:val="24"/>
        </w:rPr>
        <w:t xml:space="preserve"> the compost process in combination with regular turning of materials prior to further windrow composting (residence time of approximately five weeks)</w:t>
      </w:r>
      <w:r w:rsidRPr="000743BB">
        <w:rPr>
          <w:rFonts w:ascii="Times New Roman" w:hAnsi="Times New Roman"/>
          <w:sz w:val="24"/>
          <w:szCs w:val="24"/>
        </w:rPr>
        <w:t>;</w:t>
      </w:r>
    </w:p>
    <w:p w:rsidR="00E464B6" w:rsidRPr="000743BB" w:rsidRDefault="006C2ED4" w:rsidP="00D3747C">
      <w:pPr>
        <w:numPr>
          <w:ilvl w:val="0"/>
          <w:numId w:val="18"/>
        </w:numPr>
        <w:tabs>
          <w:tab w:val="left" w:pos="1515"/>
        </w:tabs>
        <w:spacing w:before="60" w:after="120" w:line="252" w:lineRule="auto"/>
        <w:rPr>
          <w:rFonts w:ascii="Times New Roman" w:hAnsi="Times New Roman"/>
          <w:sz w:val="24"/>
          <w:szCs w:val="24"/>
        </w:rPr>
      </w:pPr>
      <w:r w:rsidRPr="000743BB">
        <w:rPr>
          <w:rFonts w:ascii="Times New Roman" w:hAnsi="Times New Roman"/>
          <w:sz w:val="24"/>
          <w:szCs w:val="24"/>
        </w:rPr>
        <w:t>size reduction and screening, where</w:t>
      </w:r>
      <w:r w:rsidR="00E464B6" w:rsidRPr="000743BB">
        <w:rPr>
          <w:rFonts w:ascii="Times New Roman" w:hAnsi="Times New Roman"/>
          <w:sz w:val="24"/>
          <w:szCs w:val="24"/>
        </w:rPr>
        <w:t xml:space="preserve"> putrescible waste materials are processed and screened into various sized fractions with various material compositions, for example, organic rich fraction</w:t>
      </w:r>
      <w:r w:rsidRPr="000743BB">
        <w:rPr>
          <w:rFonts w:ascii="Times New Roman" w:hAnsi="Times New Roman"/>
          <w:sz w:val="24"/>
          <w:szCs w:val="24"/>
        </w:rPr>
        <w:t>;</w:t>
      </w:r>
    </w:p>
    <w:p w:rsidR="00E464B6" w:rsidRPr="000743BB" w:rsidRDefault="00E464B6" w:rsidP="00D3747C">
      <w:pPr>
        <w:numPr>
          <w:ilvl w:val="0"/>
          <w:numId w:val="18"/>
        </w:numPr>
        <w:tabs>
          <w:tab w:val="left" w:pos="1515"/>
        </w:tabs>
        <w:spacing w:before="60" w:after="120" w:line="252" w:lineRule="auto"/>
        <w:rPr>
          <w:rFonts w:ascii="Times New Roman" w:hAnsi="Times New Roman"/>
          <w:sz w:val="24"/>
          <w:szCs w:val="24"/>
        </w:rPr>
      </w:pPr>
      <w:r w:rsidRPr="000743BB">
        <w:rPr>
          <w:rFonts w:ascii="Times New Roman" w:hAnsi="Times New Roman"/>
          <w:sz w:val="24"/>
          <w:szCs w:val="24"/>
        </w:rPr>
        <w:lastRenderedPageBreak/>
        <w:t>compost maturation halls: aerated and enclosed halls where compost process is completed in combination with heat and pile turning (residence time of approximately four weeks)</w:t>
      </w:r>
      <w:r w:rsidR="00EB41E6" w:rsidRPr="000743BB">
        <w:rPr>
          <w:rFonts w:ascii="Times New Roman" w:hAnsi="Times New Roman"/>
          <w:sz w:val="24"/>
          <w:szCs w:val="24"/>
        </w:rPr>
        <w:t>; and</w:t>
      </w:r>
    </w:p>
    <w:p w:rsidR="00E464B6" w:rsidRPr="000743BB" w:rsidRDefault="006C2ED4" w:rsidP="00D3747C">
      <w:pPr>
        <w:numPr>
          <w:ilvl w:val="0"/>
          <w:numId w:val="18"/>
        </w:numPr>
        <w:tabs>
          <w:tab w:val="left" w:pos="1515"/>
        </w:tabs>
        <w:spacing w:before="60" w:after="120" w:line="252" w:lineRule="auto"/>
        <w:rPr>
          <w:rFonts w:ascii="Times New Roman" w:hAnsi="Times New Roman"/>
          <w:sz w:val="24"/>
          <w:szCs w:val="24"/>
        </w:rPr>
      </w:pPr>
      <w:proofErr w:type="gramStart"/>
      <w:r w:rsidRPr="000743BB">
        <w:rPr>
          <w:rFonts w:ascii="Times New Roman" w:hAnsi="Times New Roman"/>
          <w:sz w:val="24"/>
          <w:szCs w:val="24"/>
        </w:rPr>
        <w:t>compost</w:t>
      </w:r>
      <w:proofErr w:type="gramEnd"/>
      <w:r w:rsidRPr="000743BB">
        <w:rPr>
          <w:rFonts w:ascii="Times New Roman" w:hAnsi="Times New Roman"/>
          <w:sz w:val="24"/>
          <w:szCs w:val="24"/>
        </w:rPr>
        <w:t xml:space="preserve"> windrowing, where </w:t>
      </w:r>
      <w:r w:rsidR="00E464B6" w:rsidRPr="000743BB">
        <w:rPr>
          <w:rFonts w:ascii="Times New Roman" w:hAnsi="Times New Roman"/>
          <w:sz w:val="24"/>
          <w:szCs w:val="24"/>
        </w:rPr>
        <w:t xml:space="preserve">regularly turned open air windrows </w:t>
      </w:r>
      <w:r w:rsidRPr="000743BB">
        <w:rPr>
          <w:rFonts w:ascii="Times New Roman" w:hAnsi="Times New Roman"/>
          <w:sz w:val="24"/>
          <w:szCs w:val="24"/>
        </w:rPr>
        <w:t xml:space="preserve">are </w:t>
      </w:r>
      <w:r w:rsidR="00E464B6" w:rsidRPr="000743BB">
        <w:rPr>
          <w:rFonts w:ascii="Times New Roman" w:hAnsi="Times New Roman"/>
          <w:sz w:val="24"/>
          <w:szCs w:val="24"/>
        </w:rPr>
        <w:t>used as additional conditioning of the compost if required (residence time of approximately eight weeks)</w:t>
      </w:r>
      <w:r w:rsidR="00EB41E6" w:rsidRPr="000743BB">
        <w:rPr>
          <w:rFonts w:ascii="Times New Roman" w:hAnsi="Times New Roman"/>
          <w:sz w:val="24"/>
          <w:szCs w:val="24"/>
        </w:rPr>
        <w:t>.</w:t>
      </w:r>
    </w:p>
    <w:p w:rsidR="002B2D91" w:rsidRPr="000743BB" w:rsidRDefault="002B2D91" w:rsidP="004E1F46">
      <w:pPr>
        <w:pStyle w:val="tSubpara"/>
        <w:spacing w:before="120" w:after="120" w:line="240" w:lineRule="auto"/>
        <w:ind w:left="0" w:firstLine="0"/>
      </w:pPr>
      <w:bookmarkStart w:id="2" w:name="_Toc318467873"/>
      <w:bookmarkStart w:id="3" w:name="_Toc328130882"/>
    </w:p>
    <w:p w:rsidR="002A312F" w:rsidRPr="000743BB" w:rsidRDefault="002A312F" w:rsidP="004E1F46">
      <w:pPr>
        <w:pStyle w:val="tSubpara"/>
        <w:spacing w:before="120" w:after="120" w:line="240" w:lineRule="auto"/>
        <w:ind w:left="0" w:firstLine="0"/>
      </w:pPr>
    </w:p>
    <w:p w:rsidR="00A648A5" w:rsidRPr="000743BB" w:rsidRDefault="00A648A5" w:rsidP="004E1F46">
      <w:pPr>
        <w:spacing w:before="120" w:after="120" w:line="240" w:lineRule="auto"/>
        <w:ind w:left="1440" w:hanging="1440"/>
        <w:rPr>
          <w:rFonts w:ascii="Times New Roman" w:hAnsi="Times New Roman"/>
          <w:b/>
          <w:sz w:val="24"/>
          <w:szCs w:val="24"/>
        </w:rPr>
      </w:pPr>
      <w:r w:rsidRPr="000743BB">
        <w:rPr>
          <w:rFonts w:ascii="Times New Roman" w:hAnsi="Times New Roman"/>
          <w:b/>
          <w:sz w:val="24"/>
          <w:szCs w:val="24"/>
        </w:rPr>
        <w:t>Part</w:t>
      </w:r>
      <w:r w:rsidRPr="000743BB">
        <w:rPr>
          <w:rStyle w:val="CharSectno"/>
          <w:rFonts w:ascii="Times New Roman" w:hAnsi="Times New Roman"/>
          <w:b/>
          <w:sz w:val="24"/>
          <w:szCs w:val="24"/>
        </w:rPr>
        <w:t xml:space="preserve"> 3</w:t>
      </w:r>
      <w:r w:rsidRPr="000743BB">
        <w:rPr>
          <w:rFonts w:ascii="Times New Roman" w:hAnsi="Times New Roman"/>
          <w:b/>
          <w:sz w:val="24"/>
          <w:szCs w:val="24"/>
        </w:rPr>
        <w:tab/>
      </w:r>
      <w:bookmarkEnd w:id="2"/>
      <w:bookmarkEnd w:id="3"/>
      <w:r w:rsidRPr="000743BB">
        <w:rPr>
          <w:rFonts w:ascii="Times New Roman" w:hAnsi="Times New Roman"/>
          <w:b/>
          <w:sz w:val="24"/>
          <w:szCs w:val="24"/>
        </w:rPr>
        <w:t>Requirements for operation of eligible projects</w:t>
      </w:r>
    </w:p>
    <w:p w:rsidR="00A648A5" w:rsidRPr="000743BB" w:rsidRDefault="00A648A5" w:rsidP="004E1F46">
      <w:pPr>
        <w:pStyle w:val="h5Section"/>
        <w:spacing w:before="120" w:after="120"/>
        <w:rPr>
          <w:rFonts w:ascii="Times New Roman" w:hAnsi="Times New Roman"/>
          <w:b w:val="0"/>
          <w:szCs w:val="24"/>
          <w:u w:val="single"/>
        </w:rPr>
      </w:pPr>
      <w:bookmarkStart w:id="4" w:name="_Toc346885391"/>
      <w:r w:rsidRPr="000743BB">
        <w:rPr>
          <w:rFonts w:ascii="Times New Roman" w:hAnsi="Times New Roman"/>
          <w:b w:val="0"/>
          <w:szCs w:val="24"/>
          <w:u w:val="single"/>
        </w:rPr>
        <w:t>3.1</w:t>
      </w:r>
      <w:r w:rsidRPr="000743BB">
        <w:rPr>
          <w:rFonts w:ascii="Times New Roman" w:hAnsi="Times New Roman"/>
          <w:b w:val="0"/>
          <w:szCs w:val="24"/>
          <w:u w:val="single"/>
        </w:rPr>
        <w:tab/>
        <w:t>Operation of eligible projects</w:t>
      </w:r>
      <w:bookmarkEnd w:id="4"/>
    </w:p>
    <w:p w:rsidR="00A648A5" w:rsidRPr="000743BB" w:rsidRDefault="00A648A5" w:rsidP="004E1F46">
      <w:pPr>
        <w:pStyle w:val="tMain"/>
        <w:spacing w:before="120" w:after="120" w:line="240" w:lineRule="auto"/>
        <w:ind w:left="0" w:firstLine="0"/>
      </w:pPr>
      <w:r w:rsidRPr="000743BB">
        <w:t>This section sets out the rules for operating a project that complies with the requirements in Part 2.</w:t>
      </w:r>
    </w:p>
    <w:p w:rsidR="00C41305" w:rsidRPr="000743BB" w:rsidRDefault="00C41305" w:rsidP="004E1F46">
      <w:pPr>
        <w:pStyle w:val="tMain"/>
        <w:spacing w:before="120" w:after="120" w:line="240" w:lineRule="auto"/>
        <w:ind w:left="0" w:firstLine="0"/>
      </w:pPr>
    </w:p>
    <w:p w:rsidR="00A648A5" w:rsidRPr="000743BB" w:rsidRDefault="00A648A5" w:rsidP="004E1F46">
      <w:pPr>
        <w:pStyle w:val="h5Section"/>
        <w:spacing w:before="120" w:after="120"/>
        <w:rPr>
          <w:rFonts w:ascii="Times New Roman" w:hAnsi="Times New Roman"/>
          <w:b w:val="0"/>
          <w:szCs w:val="24"/>
          <w:u w:val="single"/>
        </w:rPr>
      </w:pPr>
      <w:bookmarkStart w:id="5" w:name="_Toc346885392"/>
      <w:r w:rsidRPr="000743BB">
        <w:rPr>
          <w:rFonts w:ascii="Times New Roman" w:hAnsi="Times New Roman"/>
          <w:b w:val="0"/>
          <w:szCs w:val="24"/>
          <w:u w:val="single"/>
        </w:rPr>
        <w:t>3.2</w:t>
      </w:r>
      <w:r w:rsidRPr="000743BB">
        <w:rPr>
          <w:rFonts w:ascii="Times New Roman" w:hAnsi="Times New Roman"/>
          <w:b w:val="0"/>
          <w:szCs w:val="24"/>
          <w:u w:val="single"/>
        </w:rPr>
        <w:tab/>
        <w:t>Waste must be classified</w:t>
      </w:r>
      <w:bookmarkEnd w:id="5"/>
    </w:p>
    <w:p w:rsidR="00A648A5" w:rsidRPr="000743BB" w:rsidRDefault="00A648A5" w:rsidP="004E1F46">
      <w:pPr>
        <w:pStyle w:val="tMain"/>
        <w:spacing w:before="120" w:after="120" w:line="240" w:lineRule="auto"/>
      </w:pPr>
      <w:r w:rsidRPr="000743BB">
        <w:tab/>
        <w:t>This section requires that waste is classified into the following waste mix types:</w:t>
      </w:r>
    </w:p>
    <w:p w:rsidR="00A648A5" w:rsidRPr="000743BB" w:rsidRDefault="00A648A5" w:rsidP="00D3747C">
      <w:pPr>
        <w:pStyle w:val="tPara"/>
        <w:numPr>
          <w:ilvl w:val="0"/>
          <w:numId w:val="16"/>
        </w:numPr>
        <w:spacing w:before="120" w:after="120" w:line="240" w:lineRule="auto"/>
      </w:pPr>
      <w:r w:rsidRPr="000743BB">
        <w:t>municipal solid waste;</w:t>
      </w:r>
    </w:p>
    <w:p w:rsidR="00A648A5" w:rsidRPr="000743BB" w:rsidRDefault="00A648A5" w:rsidP="00D3747C">
      <w:pPr>
        <w:pStyle w:val="tPara"/>
        <w:numPr>
          <w:ilvl w:val="0"/>
          <w:numId w:val="16"/>
        </w:numPr>
        <w:spacing w:before="120" w:after="120" w:line="240" w:lineRule="auto"/>
      </w:pPr>
      <w:r w:rsidRPr="000743BB">
        <w:t>commercial and industrial waste; or</w:t>
      </w:r>
    </w:p>
    <w:p w:rsidR="00A648A5" w:rsidRPr="000743BB" w:rsidRDefault="00A648A5" w:rsidP="00D3747C">
      <w:pPr>
        <w:pStyle w:val="tPara"/>
        <w:numPr>
          <w:ilvl w:val="0"/>
          <w:numId w:val="16"/>
        </w:numPr>
        <w:spacing w:before="120" w:after="120" w:line="240" w:lineRule="auto"/>
      </w:pPr>
      <w:proofErr w:type="gramStart"/>
      <w:r w:rsidRPr="000743BB">
        <w:t>construction</w:t>
      </w:r>
      <w:proofErr w:type="gramEnd"/>
      <w:r w:rsidRPr="000743BB">
        <w:t xml:space="preserve"> and demolition waste.</w:t>
      </w:r>
    </w:p>
    <w:p w:rsidR="00A648A5" w:rsidRPr="000743BB" w:rsidRDefault="00065002" w:rsidP="004E1F46">
      <w:pPr>
        <w:pStyle w:val="Default"/>
        <w:spacing w:before="120" w:after="120"/>
        <w:jc w:val="both"/>
        <w:rPr>
          <w:rFonts w:ascii="Times New Roman" w:hAnsi="Times New Roman" w:cs="Times New Roman"/>
        </w:rPr>
      </w:pPr>
      <w:r w:rsidRPr="000743BB">
        <w:rPr>
          <w:rFonts w:ascii="Times New Roman" w:hAnsi="Times New Roman" w:cs="Times New Roman"/>
        </w:rPr>
        <w:t xml:space="preserve">Classification of legacy waste into these </w:t>
      </w:r>
      <w:r w:rsidR="006D0EF3" w:rsidRPr="000743BB">
        <w:rPr>
          <w:rFonts w:ascii="Times New Roman" w:hAnsi="Times New Roman" w:cs="Times New Roman"/>
        </w:rPr>
        <w:t>three</w:t>
      </w:r>
      <w:r w:rsidRPr="000743BB">
        <w:rPr>
          <w:rFonts w:ascii="Times New Roman" w:hAnsi="Times New Roman" w:cs="Times New Roman"/>
        </w:rPr>
        <w:t xml:space="preserve"> waste mix types is relevant to the net abatement amount determined in accordance with the calculations in Part 4.</w:t>
      </w:r>
    </w:p>
    <w:p w:rsidR="00BF625D" w:rsidRPr="000743BB" w:rsidRDefault="00BF625D" w:rsidP="004E1F46">
      <w:pPr>
        <w:pStyle w:val="tSubpara"/>
        <w:spacing w:before="120" w:after="120" w:line="240" w:lineRule="auto"/>
        <w:ind w:left="0" w:firstLine="0"/>
      </w:pPr>
      <w:r w:rsidRPr="000743BB">
        <w:t>AWT facilities in Australia can be divided into groups based on the waste they receive. Municipal solid waste (MSW) is the residual waste material from households, collected by or for local government authorities. In the AWT context, this excludes source-separated wastes (e.g. kerbside recycling or green waste collections).</w:t>
      </w:r>
    </w:p>
    <w:p w:rsidR="00BF625D" w:rsidRPr="000743BB" w:rsidRDefault="00BF625D" w:rsidP="004E1F46">
      <w:pPr>
        <w:pStyle w:val="Default"/>
        <w:spacing w:before="120" w:after="120"/>
        <w:jc w:val="both"/>
        <w:rPr>
          <w:rFonts w:ascii="Times New Roman" w:hAnsi="Times New Roman" w:cs="Times New Roman"/>
          <w:color w:val="auto"/>
        </w:rPr>
      </w:pPr>
      <w:r w:rsidRPr="000743BB">
        <w:rPr>
          <w:rFonts w:ascii="Times New Roman" w:hAnsi="Times New Roman" w:cs="Times New Roman"/>
        </w:rPr>
        <w:t>Commercial and industrial waste is typically generated from manufacturing, wholesale, retail, professional services and administration sectors, while construction and demolition waste is waste generated by the construction and demolition industry.</w:t>
      </w:r>
    </w:p>
    <w:p w:rsidR="00A648A5" w:rsidRPr="000743BB" w:rsidRDefault="00A648A5" w:rsidP="004E1F46">
      <w:pPr>
        <w:pStyle w:val="tMain"/>
        <w:spacing w:before="120" w:after="120" w:line="240" w:lineRule="auto"/>
        <w:ind w:left="0" w:firstLine="0"/>
      </w:pPr>
    </w:p>
    <w:p w:rsidR="00A648A5" w:rsidRPr="000743BB" w:rsidRDefault="00A648A5" w:rsidP="004E1F46">
      <w:pPr>
        <w:pStyle w:val="h3Div"/>
        <w:spacing w:before="120" w:after="120"/>
        <w:rPr>
          <w:rFonts w:ascii="Times New Roman" w:hAnsi="Times New Roman" w:cs="Times New Roman"/>
          <w:sz w:val="24"/>
          <w:szCs w:val="24"/>
        </w:rPr>
      </w:pPr>
      <w:bookmarkStart w:id="6" w:name="_Toc346885394"/>
      <w:r w:rsidRPr="000743BB">
        <w:rPr>
          <w:rFonts w:ascii="Times New Roman" w:hAnsi="Times New Roman" w:cs="Times New Roman"/>
          <w:sz w:val="24"/>
          <w:szCs w:val="24"/>
        </w:rPr>
        <w:t>Division 3.2</w:t>
      </w:r>
      <w:r w:rsidRPr="000743BB">
        <w:rPr>
          <w:rFonts w:ascii="Times New Roman" w:hAnsi="Times New Roman" w:cs="Times New Roman"/>
          <w:sz w:val="24"/>
          <w:szCs w:val="24"/>
        </w:rPr>
        <w:tab/>
        <w:t>Greenhouse gas assessment boundary</w:t>
      </w:r>
      <w:bookmarkEnd w:id="6"/>
    </w:p>
    <w:p w:rsidR="00A648A5" w:rsidRPr="000743BB" w:rsidRDefault="00A648A5" w:rsidP="004E1F46">
      <w:pPr>
        <w:pStyle w:val="h5Section"/>
        <w:spacing w:before="120" w:after="120"/>
        <w:rPr>
          <w:rFonts w:ascii="Times New Roman" w:hAnsi="Times New Roman"/>
          <w:b w:val="0"/>
          <w:szCs w:val="24"/>
          <w:u w:val="single"/>
        </w:rPr>
      </w:pPr>
      <w:bookmarkStart w:id="7" w:name="_Toc346885395"/>
      <w:r w:rsidRPr="000743BB">
        <w:rPr>
          <w:rFonts w:ascii="Times New Roman" w:hAnsi="Times New Roman"/>
          <w:b w:val="0"/>
          <w:szCs w:val="24"/>
          <w:u w:val="single"/>
        </w:rPr>
        <w:t>3.</w:t>
      </w:r>
      <w:r w:rsidR="007D109A" w:rsidRPr="000743BB">
        <w:rPr>
          <w:rFonts w:ascii="Times New Roman" w:hAnsi="Times New Roman"/>
          <w:b w:val="0"/>
          <w:szCs w:val="24"/>
          <w:u w:val="single"/>
        </w:rPr>
        <w:t>3</w:t>
      </w:r>
      <w:r w:rsidRPr="000743BB">
        <w:rPr>
          <w:rFonts w:ascii="Times New Roman" w:hAnsi="Times New Roman"/>
          <w:b w:val="0"/>
          <w:szCs w:val="24"/>
          <w:u w:val="single"/>
        </w:rPr>
        <w:tab/>
        <w:t>Greenhouse gases that must be accounted for</w:t>
      </w:r>
      <w:bookmarkEnd w:id="7"/>
    </w:p>
    <w:p w:rsidR="00A648A5" w:rsidRPr="000743BB" w:rsidRDefault="00A648A5" w:rsidP="004E1F46">
      <w:pPr>
        <w:pStyle w:val="tMain"/>
        <w:spacing w:before="120" w:after="120" w:line="240" w:lineRule="auto"/>
        <w:ind w:left="0" w:firstLine="0"/>
        <w:jc w:val="left"/>
      </w:pPr>
      <w:r w:rsidRPr="000743BB">
        <w:t>This section describes the greenhouse gases that need to be assessed in order to determine the total net change in greenhouse gas emissions resulting from a project abatem</w:t>
      </w:r>
      <w:r w:rsidR="007D109A" w:rsidRPr="000743BB">
        <w:t>ent activity. These are outlined</w:t>
      </w:r>
      <w:r w:rsidRPr="000743BB">
        <w:t xml:space="preserve"> in the diagram below:</w:t>
      </w:r>
    </w:p>
    <w:p w:rsidR="00A648A5" w:rsidRPr="000743BB" w:rsidRDefault="00A648A5" w:rsidP="004E1F46">
      <w:pPr>
        <w:pStyle w:val="tMain"/>
        <w:spacing w:before="120" w:after="120" w:line="240" w:lineRule="auto"/>
        <w:ind w:left="0" w:firstLine="0"/>
        <w:jc w:val="left"/>
      </w:pPr>
    </w:p>
    <w:p w:rsidR="00A648A5" w:rsidRPr="000743BB" w:rsidRDefault="00A648A5" w:rsidP="004E1F46">
      <w:pPr>
        <w:pStyle w:val="tMain"/>
        <w:spacing w:before="120" w:after="120" w:line="240" w:lineRule="auto"/>
        <w:ind w:left="0" w:firstLine="0"/>
        <w:jc w:val="left"/>
      </w:pPr>
    </w:p>
    <w:p w:rsidR="00A648A5" w:rsidRPr="000743BB" w:rsidRDefault="00A648A5"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2A312F" w:rsidP="004E1F46">
      <w:pPr>
        <w:pStyle w:val="Default"/>
        <w:spacing w:before="120" w:after="120"/>
        <w:rPr>
          <w:rFonts w:ascii="Times New Roman" w:hAnsi="Times New Roman" w:cs="Times New Roman"/>
          <w:color w:val="auto"/>
        </w:rPr>
      </w:pPr>
      <w:r w:rsidRPr="000743BB">
        <w:rPr>
          <w:rFonts w:ascii="Times New Roman" w:hAnsi="Times New Roman" w:cs="Times New Roman"/>
          <w:noProof/>
          <w:lang w:eastAsia="en-AU"/>
        </w:rPr>
        <w:drawing>
          <wp:anchor distT="0" distB="0" distL="114300" distR="114300" simplePos="0" relativeHeight="251660288" behindDoc="0" locked="0" layoutInCell="1" allowOverlap="1" wp14:anchorId="788D9DB1" wp14:editId="6BE79532">
            <wp:simplePos x="0" y="0"/>
            <wp:positionH relativeFrom="column">
              <wp:posOffset>133985</wp:posOffset>
            </wp:positionH>
            <wp:positionV relativeFrom="paragraph">
              <wp:posOffset>-73025</wp:posOffset>
            </wp:positionV>
            <wp:extent cx="5308600" cy="3542030"/>
            <wp:effectExtent l="0" t="0" r="6350" b="1270"/>
            <wp:wrapNone/>
            <wp:docPr id="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600" cy="3542030"/>
                    </a:xfrm>
                    <a:prstGeom prst="rect">
                      <a:avLst/>
                    </a:prstGeom>
                    <a:noFill/>
                  </pic:spPr>
                </pic:pic>
              </a:graphicData>
            </a:graphic>
          </wp:anchor>
        </w:drawing>
      </w: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8F6A66" w:rsidRPr="000743BB" w:rsidRDefault="008F6A66" w:rsidP="004E1F46">
      <w:pPr>
        <w:pStyle w:val="Default"/>
        <w:spacing w:before="120" w:after="120"/>
        <w:rPr>
          <w:rFonts w:ascii="Times New Roman" w:hAnsi="Times New Roman" w:cs="Times New Roman"/>
          <w:color w:val="auto"/>
        </w:rPr>
      </w:pPr>
    </w:p>
    <w:p w:rsidR="002A312F" w:rsidRPr="000743BB" w:rsidRDefault="002A312F" w:rsidP="004E1F46">
      <w:pPr>
        <w:pStyle w:val="Default"/>
        <w:spacing w:before="120" w:after="120"/>
        <w:rPr>
          <w:rFonts w:ascii="Times New Roman" w:hAnsi="Times New Roman" w:cs="Times New Roman"/>
          <w:color w:val="auto"/>
        </w:rPr>
      </w:pPr>
    </w:p>
    <w:p w:rsidR="002A312F" w:rsidRPr="000743BB" w:rsidRDefault="002A312F" w:rsidP="004E1F46">
      <w:pPr>
        <w:pStyle w:val="Default"/>
        <w:spacing w:before="120" w:after="120"/>
        <w:rPr>
          <w:rFonts w:ascii="Times New Roman" w:hAnsi="Times New Roman" w:cs="Times New Roman"/>
          <w:color w:val="auto"/>
        </w:rPr>
      </w:pPr>
    </w:p>
    <w:p w:rsidR="002A312F" w:rsidRPr="000743BB" w:rsidRDefault="002A312F" w:rsidP="004E1F46">
      <w:pPr>
        <w:pStyle w:val="Default"/>
        <w:spacing w:before="120" w:after="120"/>
        <w:rPr>
          <w:rFonts w:ascii="Times New Roman" w:hAnsi="Times New Roman" w:cs="Times New Roman"/>
          <w:color w:val="auto"/>
        </w:rPr>
      </w:pPr>
    </w:p>
    <w:p w:rsidR="002A312F" w:rsidRPr="000743BB" w:rsidRDefault="002A312F" w:rsidP="004E1F46">
      <w:pPr>
        <w:pStyle w:val="Default"/>
        <w:spacing w:before="120" w:after="120"/>
        <w:rPr>
          <w:rFonts w:ascii="Times New Roman" w:hAnsi="Times New Roman" w:cs="Times New Roman"/>
          <w:color w:val="auto"/>
        </w:rPr>
      </w:pPr>
    </w:p>
    <w:p w:rsidR="002A312F" w:rsidRPr="000743BB" w:rsidRDefault="002A312F" w:rsidP="004E1F46">
      <w:pPr>
        <w:pStyle w:val="Default"/>
        <w:spacing w:before="120" w:after="120"/>
        <w:rPr>
          <w:rFonts w:ascii="Times New Roman" w:hAnsi="Times New Roman" w:cs="Times New Roman"/>
          <w:color w:val="auto"/>
        </w:rPr>
      </w:pPr>
    </w:p>
    <w:p w:rsidR="002A312F" w:rsidRPr="000743BB" w:rsidRDefault="002A312F" w:rsidP="004E1F46">
      <w:pPr>
        <w:pStyle w:val="Default"/>
        <w:spacing w:before="120" w:after="120"/>
        <w:rPr>
          <w:rFonts w:ascii="Times New Roman" w:hAnsi="Times New Roman" w:cs="Times New Roman"/>
          <w:color w:val="auto"/>
        </w:rPr>
      </w:pPr>
    </w:p>
    <w:p w:rsidR="00A648A5" w:rsidRPr="000743BB" w:rsidRDefault="00A648A5" w:rsidP="004E1F46">
      <w:pPr>
        <w:pStyle w:val="Default"/>
        <w:spacing w:before="120" w:after="120"/>
        <w:rPr>
          <w:rFonts w:ascii="Times New Roman" w:hAnsi="Times New Roman" w:cs="Times New Roman"/>
          <w:color w:val="auto"/>
        </w:rPr>
      </w:pPr>
      <w:r w:rsidRPr="000743BB">
        <w:rPr>
          <w:rFonts w:ascii="Times New Roman" w:hAnsi="Times New Roman" w:cs="Times New Roman"/>
          <w:color w:val="auto"/>
        </w:rPr>
        <w:t xml:space="preserve">Emissions and sources that must be accounted for in the abatement calculations include: </w:t>
      </w:r>
    </w:p>
    <w:p w:rsidR="00A648A5" w:rsidRPr="000743BB" w:rsidRDefault="00A648A5" w:rsidP="00D3747C">
      <w:pPr>
        <w:numPr>
          <w:ilvl w:val="0"/>
          <w:numId w:val="9"/>
        </w:num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 xml:space="preserve">emissions from </w:t>
      </w:r>
      <w:r w:rsidR="008F6A66" w:rsidRPr="000743BB">
        <w:rPr>
          <w:rFonts w:ascii="Times New Roman" w:hAnsi="Times New Roman"/>
          <w:sz w:val="24"/>
          <w:szCs w:val="24"/>
        </w:rPr>
        <w:t>the decomposition of legacy waste;</w:t>
      </w:r>
    </w:p>
    <w:p w:rsidR="00A648A5" w:rsidRPr="000743BB" w:rsidRDefault="00A648A5" w:rsidP="00D3747C">
      <w:pPr>
        <w:numPr>
          <w:ilvl w:val="0"/>
          <w:numId w:val="9"/>
        </w:num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e</w:t>
      </w:r>
      <w:r w:rsidR="008F6A66" w:rsidRPr="000743BB">
        <w:rPr>
          <w:rFonts w:ascii="Times New Roman" w:hAnsi="Times New Roman"/>
          <w:sz w:val="24"/>
          <w:szCs w:val="24"/>
        </w:rPr>
        <w:t>missions from the transport of legacy waste to landfill;</w:t>
      </w:r>
    </w:p>
    <w:p w:rsidR="00A648A5" w:rsidRPr="000743BB" w:rsidRDefault="00A648A5" w:rsidP="00D3747C">
      <w:pPr>
        <w:numPr>
          <w:ilvl w:val="0"/>
          <w:numId w:val="9"/>
        </w:num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 xml:space="preserve">emissions </w:t>
      </w:r>
      <w:r w:rsidR="008F6A66" w:rsidRPr="000743BB">
        <w:rPr>
          <w:rFonts w:ascii="Times New Roman" w:hAnsi="Times New Roman"/>
          <w:sz w:val="24"/>
          <w:szCs w:val="24"/>
        </w:rPr>
        <w:t>from the composting facility;</w:t>
      </w:r>
    </w:p>
    <w:p w:rsidR="00A648A5" w:rsidRPr="000743BB" w:rsidRDefault="00A648A5" w:rsidP="00D3747C">
      <w:pPr>
        <w:numPr>
          <w:ilvl w:val="0"/>
          <w:numId w:val="9"/>
        </w:numPr>
        <w:autoSpaceDE w:val="0"/>
        <w:autoSpaceDN w:val="0"/>
        <w:adjustRightInd w:val="0"/>
        <w:spacing w:before="120" w:after="120" w:line="240" w:lineRule="auto"/>
        <w:ind w:right="393"/>
        <w:jc w:val="both"/>
        <w:rPr>
          <w:rFonts w:ascii="Times New Roman" w:hAnsi="Times New Roman"/>
          <w:sz w:val="24"/>
          <w:szCs w:val="24"/>
        </w:rPr>
      </w:pPr>
      <w:r w:rsidRPr="000743BB">
        <w:rPr>
          <w:rFonts w:ascii="Times New Roman" w:hAnsi="Times New Roman"/>
          <w:sz w:val="24"/>
          <w:szCs w:val="24"/>
        </w:rPr>
        <w:t xml:space="preserve">emissions </w:t>
      </w:r>
      <w:r w:rsidR="008F6A66" w:rsidRPr="000743BB">
        <w:rPr>
          <w:rFonts w:ascii="Times New Roman" w:hAnsi="Times New Roman"/>
          <w:sz w:val="24"/>
          <w:szCs w:val="24"/>
        </w:rPr>
        <w:t>from onsite fossil fuel consumption other than electricity generation for putrescible resource recovery</w:t>
      </w:r>
      <w:r w:rsidRPr="000743BB">
        <w:rPr>
          <w:rFonts w:ascii="Times New Roman" w:hAnsi="Times New Roman"/>
          <w:sz w:val="24"/>
          <w:szCs w:val="24"/>
        </w:rPr>
        <w:t>;</w:t>
      </w:r>
    </w:p>
    <w:p w:rsidR="00A648A5" w:rsidRPr="000743BB" w:rsidRDefault="00A648A5" w:rsidP="00D3747C">
      <w:pPr>
        <w:numPr>
          <w:ilvl w:val="0"/>
          <w:numId w:val="9"/>
        </w:num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 xml:space="preserve">emissions from </w:t>
      </w:r>
      <w:r w:rsidR="008F6A66" w:rsidRPr="000743BB">
        <w:rPr>
          <w:rFonts w:ascii="Times New Roman" w:hAnsi="Times New Roman"/>
          <w:sz w:val="24"/>
          <w:szCs w:val="24"/>
        </w:rPr>
        <w:t xml:space="preserve">on-site electricity use where they occur </w:t>
      </w:r>
      <w:r w:rsidR="00F44FF1">
        <w:rPr>
          <w:rFonts w:ascii="Times New Roman" w:hAnsi="Times New Roman"/>
          <w:sz w:val="24"/>
          <w:szCs w:val="24"/>
        </w:rPr>
        <w:t xml:space="preserve">before </w:t>
      </w:r>
      <w:r w:rsidR="008F6A66" w:rsidRPr="000743BB">
        <w:rPr>
          <w:rFonts w:ascii="Times New Roman" w:hAnsi="Times New Roman"/>
          <w:sz w:val="24"/>
          <w:szCs w:val="24"/>
        </w:rPr>
        <w:t>1 July 2012;</w:t>
      </w:r>
    </w:p>
    <w:p w:rsidR="008F6A66" w:rsidRPr="000743BB" w:rsidRDefault="008F6A66" w:rsidP="00D3747C">
      <w:pPr>
        <w:numPr>
          <w:ilvl w:val="0"/>
          <w:numId w:val="9"/>
        </w:num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emissions from transport of legacy waste to landfill where the destination is greater than 10 kilometres in distance from the facility;</w:t>
      </w:r>
    </w:p>
    <w:p w:rsidR="008F6A66" w:rsidRPr="000743BB" w:rsidRDefault="008F6A66" w:rsidP="00D3747C">
      <w:pPr>
        <w:numPr>
          <w:ilvl w:val="0"/>
          <w:numId w:val="9"/>
        </w:num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emissions from residual waste sent to landfill; and</w:t>
      </w:r>
    </w:p>
    <w:p w:rsidR="008F6A66" w:rsidRPr="000743BB" w:rsidRDefault="008F6A66" w:rsidP="00D3747C">
      <w:pPr>
        <w:numPr>
          <w:ilvl w:val="0"/>
          <w:numId w:val="9"/>
        </w:numPr>
        <w:autoSpaceDE w:val="0"/>
        <w:autoSpaceDN w:val="0"/>
        <w:adjustRightInd w:val="0"/>
        <w:spacing w:before="120" w:after="120" w:line="240" w:lineRule="auto"/>
        <w:jc w:val="both"/>
        <w:rPr>
          <w:rFonts w:ascii="Times New Roman" w:hAnsi="Times New Roman"/>
          <w:sz w:val="24"/>
          <w:szCs w:val="24"/>
        </w:rPr>
      </w:pPr>
      <w:proofErr w:type="gramStart"/>
      <w:r w:rsidRPr="000743BB">
        <w:rPr>
          <w:rFonts w:ascii="Times New Roman" w:hAnsi="Times New Roman"/>
          <w:sz w:val="24"/>
          <w:szCs w:val="24"/>
        </w:rPr>
        <w:t>emissions</w:t>
      </w:r>
      <w:proofErr w:type="gramEnd"/>
      <w:r w:rsidRPr="000743BB">
        <w:rPr>
          <w:rFonts w:ascii="Times New Roman" w:hAnsi="Times New Roman"/>
          <w:sz w:val="24"/>
          <w:szCs w:val="24"/>
        </w:rPr>
        <w:t xml:space="preserve"> arising from the composting process.</w:t>
      </w:r>
    </w:p>
    <w:p w:rsidR="002A312F" w:rsidRPr="000743BB" w:rsidRDefault="002A312F">
      <w:pPr>
        <w:spacing w:after="0" w:line="240" w:lineRule="auto"/>
        <w:rPr>
          <w:rFonts w:ascii="Times New Roman" w:hAnsi="Times New Roman"/>
          <w:sz w:val="24"/>
          <w:szCs w:val="24"/>
        </w:rPr>
      </w:pPr>
      <w:r w:rsidRPr="000743BB">
        <w:rPr>
          <w:rFonts w:ascii="Times New Roman" w:hAnsi="Times New Roman"/>
          <w:sz w:val="24"/>
          <w:szCs w:val="24"/>
        </w:rPr>
        <w:br w:type="page"/>
      </w:r>
    </w:p>
    <w:p w:rsidR="00E464B6" w:rsidRPr="000743BB" w:rsidRDefault="00E464B6" w:rsidP="00E464B6">
      <w:pPr>
        <w:autoSpaceDE w:val="0"/>
        <w:autoSpaceDN w:val="0"/>
        <w:adjustRightInd w:val="0"/>
        <w:spacing w:before="120" w:after="120" w:line="240" w:lineRule="auto"/>
        <w:jc w:val="both"/>
        <w:rPr>
          <w:rFonts w:ascii="Times New Roman" w:hAnsi="Times New Roman"/>
          <w:sz w:val="24"/>
          <w:szCs w:val="24"/>
        </w:rPr>
      </w:pPr>
    </w:p>
    <w:p w:rsidR="00E464B6" w:rsidRPr="000743BB" w:rsidRDefault="00E464B6" w:rsidP="00E464B6">
      <w:pPr>
        <w:autoSpaceDE w:val="0"/>
        <w:autoSpaceDN w:val="0"/>
        <w:adjustRightInd w:val="0"/>
        <w:spacing w:before="120" w:after="120" w:line="240" w:lineRule="auto"/>
        <w:jc w:val="both"/>
        <w:rPr>
          <w:rFonts w:ascii="Times New Roman" w:hAnsi="Times New Roman"/>
          <w:sz w:val="24"/>
          <w:szCs w:val="24"/>
        </w:rPr>
      </w:pPr>
    </w:p>
    <w:p w:rsidR="00E464B6" w:rsidRPr="000743BB" w:rsidRDefault="00E464B6" w:rsidP="00E464B6">
      <w:pPr>
        <w:autoSpaceDE w:val="0"/>
        <w:autoSpaceDN w:val="0"/>
        <w:adjustRightInd w:val="0"/>
        <w:spacing w:before="120" w:after="120" w:line="240" w:lineRule="auto"/>
        <w:jc w:val="both"/>
        <w:rPr>
          <w:rFonts w:ascii="Times New Roman" w:hAnsi="Times New Roman"/>
          <w:sz w:val="24"/>
          <w:szCs w:val="24"/>
        </w:rPr>
      </w:pPr>
      <w:r w:rsidRPr="000743BB">
        <w:rPr>
          <w:rFonts w:ascii="Times New Roman" w:hAnsi="Times New Roman"/>
          <w:sz w:val="24"/>
          <w:szCs w:val="24"/>
        </w:rPr>
        <w:t>The following diagram identifies the flow of greenhouse gases through the project, including the avoided landfill emissions.</w:t>
      </w: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2A312F" w:rsidP="004E1F46">
      <w:pPr>
        <w:pStyle w:val="Default"/>
        <w:spacing w:before="120" w:after="120"/>
        <w:rPr>
          <w:rFonts w:ascii="Times New Roman" w:hAnsi="Times New Roman" w:cs="Times New Roman"/>
          <w:i/>
          <w:color w:val="auto"/>
        </w:rPr>
      </w:pPr>
      <w:r w:rsidRPr="000743BB">
        <w:rPr>
          <w:rFonts w:ascii="Times New Roman" w:hAnsi="Times New Roman" w:cs="Times New Roman"/>
          <w:noProof/>
          <w:lang w:eastAsia="en-AU"/>
        </w:rPr>
        <w:drawing>
          <wp:anchor distT="0" distB="0" distL="114300" distR="114300" simplePos="0" relativeHeight="251662336" behindDoc="0" locked="0" layoutInCell="1" allowOverlap="1" wp14:anchorId="2E538FC8" wp14:editId="56BFC5CB">
            <wp:simplePos x="0" y="0"/>
            <wp:positionH relativeFrom="column">
              <wp:posOffset>866140</wp:posOffset>
            </wp:positionH>
            <wp:positionV relativeFrom="paragraph">
              <wp:posOffset>-75565</wp:posOffset>
            </wp:positionV>
            <wp:extent cx="3915410" cy="4429125"/>
            <wp:effectExtent l="0" t="0" r="8890" b="9525"/>
            <wp:wrapNone/>
            <wp:docPr id="1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5410" cy="4429125"/>
                    </a:xfrm>
                    <a:prstGeom prst="rect">
                      <a:avLst/>
                    </a:prstGeom>
                    <a:noFill/>
                  </pic:spPr>
                </pic:pic>
              </a:graphicData>
            </a:graphic>
          </wp:anchor>
        </w:drawing>
      </w: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E464B6" w:rsidRPr="000743BB" w:rsidRDefault="00E464B6" w:rsidP="004E1F46">
      <w:pPr>
        <w:pStyle w:val="Default"/>
        <w:spacing w:before="120" w:after="120"/>
        <w:rPr>
          <w:rFonts w:ascii="Times New Roman" w:hAnsi="Times New Roman" w:cs="Times New Roman"/>
          <w:i/>
          <w:color w:val="auto"/>
        </w:rPr>
      </w:pPr>
    </w:p>
    <w:p w:rsidR="001630FC" w:rsidRPr="000743BB" w:rsidRDefault="001630FC" w:rsidP="004E1F46">
      <w:pPr>
        <w:pStyle w:val="Default"/>
        <w:spacing w:before="120" w:after="120"/>
        <w:rPr>
          <w:rFonts w:ascii="Times New Roman" w:hAnsi="Times New Roman" w:cs="Times New Roman"/>
          <w:i/>
          <w:color w:val="auto"/>
        </w:rPr>
      </w:pPr>
    </w:p>
    <w:p w:rsidR="001630FC" w:rsidRPr="000743BB" w:rsidRDefault="001630FC" w:rsidP="004E1F46">
      <w:pPr>
        <w:pStyle w:val="Default"/>
        <w:spacing w:before="120" w:after="120"/>
        <w:rPr>
          <w:rFonts w:ascii="Times New Roman" w:hAnsi="Times New Roman" w:cs="Times New Roman"/>
          <w:i/>
          <w:color w:val="auto"/>
        </w:rPr>
      </w:pPr>
    </w:p>
    <w:p w:rsidR="001630FC" w:rsidRPr="000743BB" w:rsidRDefault="001630FC" w:rsidP="004E1F46">
      <w:pPr>
        <w:pStyle w:val="Default"/>
        <w:spacing w:before="120" w:after="120"/>
        <w:rPr>
          <w:rFonts w:ascii="Times New Roman" w:hAnsi="Times New Roman" w:cs="Times New Roman"/>
          <w:i/>
          <w:color w:val="auto"/>
        </w:rPr>
      </w:pPr>
    </w:p>
    <w:p w:rsidR="001630FC" w:rsidRPr="000743BB" w:rsidRDefault="001630FC" w:rsidP="004E1F46">
      <w:pPr>
        <w:pStyle w:val="Default"/>
        <w:spacing w:before="120" w:after="120"/>
        <w:rPr>
          <w:rFonts w:ascii="Times New Roman" w:hAnsi="Times New Roman" w:cs="Times New Roman"/>
          <w:i/>
          <w:color w:val="auto"/>
        </w:rPr>
      </w:pPr>
    </w:p>
    <w:p w:rsidR="00BF625D" w:rsidRPr="000743BB" w:rsidRDefault="00BF625D" w:rsidP="004E1F46">
      <w:pPr>
        <w:pStyle w:val="Default"/>
        <w:spacing w:before="120" w:after="120"/>
        <w:rPr>
          <w:rFonts w:ascii="Times New Roman" w:hAnsi="Times New Roman" w:cs="Times New Roman"/>
          <w:i/>
          <w:color w:val="auto"/>
        </w:rPr>
      </w:pPr>
      <w:r w:rsidRPr="000743BB">
        <w:rPr>
          <w:rFonts w:ascii="Times New Roman" w:hAnsi="Times New Roman" w:cs="Times New Roman"/>
          <w:i/>
          <w:color w:val="auto"/>
        </w:rPr>
        <w:t>Emissions from electricity</w:t>
      </w:r>
    </w:p>
    <w:p w:rsidR="00A648A5" w:rsidRPr="000743BB" w:rsidRDefault="00A648A5" w:rsidP="004E1F46">
      <w:pPr>
        <w:pStyle w:val="Default"/>
        <w:spacing w:before="120" w:after="120"/>
        <w:rPr>
          <w:rFonts w:ascii="Times New Roman" w:hAnsi="Times New Roman" w:cs="Times New Roman"/>
          <w:color w:val="auto"/>
        </w:rPr>
      </w:pPr>
      <w:r w:rsidRPr="000743BB">
        <w:rPr>
          <w:rFonts w:ascii="Times New Roman" w:hAnsi="Times New Roman" w:cs="Times New Roman"/>
          <w:color w:val="auto"/>
        </w:rPr>
        <w:t xml:space="preserve">Emissions from grid derived electricity </w:t>
      </w:r>
      <w:r w:rsidR="001630FC" w:rsidRPr="000743BB">
        <w:rPr>
          <w:rFonts w:ascii="Times New Roman" w:hAnsi="Times New Roman" w:cs="Times New Roman"/>
          <w:color w:val="auto"/>
        </w:rPr>
        <w:t>need to</w:t>
      </w:r>
      <w:r w:rsidRPr="000743BB">
        <w:rPr>
          <w:rFonts w:ascii="Times New Roman" w:hAnsi="Times New Roman" w:cs="Times New Roman"/>
          <w:color w:val="auto"/>
        </w:rPr>
        <w:t xml:space="preserve"> be calculated for </w:t>
      </w:r>
      <w:r w:rsidR="001630FC" w:rsidRPr="000743BB">
        <w:rPr>
          <w:rFonts w:ascii="Times New Roman" w:hAnsi="Times New Roman" w:cs="Times New Roman"/>
          <w:color w:val="auto"/>
        </w:rPr>
        <w:t>project activity that occurred between</w:t>
      </w:r>
      <w:r w:rsidRPr="000743BB">
        <w:rPr>
          <w:rFonts w:ascii="Times New Roman" w:hAnsi="Times New Roman" w:cs="Times New Roman"/>
          <w:color w:val="auto"/>
        </w:rPr>
        <w:t xml:space="preserve"> 1 July 2010 and 1 July 2012. </w:t>
      </w:r>
      <w:r w:rsidR="001630FC" w:rsidRPr="000743BB">
        <w:rPr>
          <w:rFonts w:ascii="Times New Roman" w:hAnsi="Times New Roman" w:cs="Times New Roman"/>
          <w:color w:val="auto"/>
        </w:rPr>
        <w:t>This</w:t>
      </w:r>
      <w:r w:rsidRPr="000743BB">
        <w:rPr>
          <w:rFonts w:ascii="Times New Roman" w:hAnsi="Times New Roman" w:cs="Times New Roman"/>
          <w:color w:val="auto"/>
        </w:rPr>
        <w:t xml:space="preserve"> is to avoid double counting of electricity; the carbon pricing mech</w:t>
      </w:r>
      <w:r w:rsidR="001D27DF">
        <w:rPr>
          <w:rFonts w:ascii="Times New Roman" w:hAnsi="Times New Roman" w:cs="Times New Roman"/>
          <w:color w:val="auto"/>
        </w:rPr>
        <w:t>anism introduced on 1 July 2012</w:t>
      </w:r>
      <w:r w:rsidRPr="000743BB">
        <w:rPr>
          <w:rFonts w:ascii="Times New Roman" w:hAnsi="Times New Roman" w:cs="Times New Roman"/>
          <w:color w:val="auto"/>
        </w:rPr>
        <w:t xml:space="preserve"> covers </w:t>
      </w:r>
      <w:r w:rsidR="001630FC" w:rsidRPr="000743BB">
        <w:rPr>
          <w:rFonts w:ascii="Times New Roman" w:hAnsi="Times New Roman" w:cs="Times New Roman"/>
          <w:color w:val="auto"/>
        </w:rPr>
        <w:t>emissions from</w:t>
      </w:r>
      <w:r w:rsidRPr="000743BB">
        <w:rPr>
          <w:rFonts w:ascii="Times New Roman" w:hAnsi="Times New Roman" w:cs="Times New Roman"/>
          <w:color w:val="auto"/>
        </w:rPr>
        <w:t xml:space="preserve"> electricity.</w:t>
      </w:r>
    </w:p>
    <w:p w:rsidR="00E464B6" w:rsidRPr="000743BB" w:rsidRDefault="00E464B6" w:rsidP="004E1F46">
      <w:pPr>
        <w:pStyle w:val="Default"/>
        <w:spacing w:before="120" w:after="120"/>
        <w:rPr>
          <w:rFonts w:ascii="Times New Roman" w:hAnsi="Times New Roman" w:cs="Times New Roman"/>
          <w:i/>
          <w:color w:val="auto"/>
        </w:rPr>
      </w:pPr>
    </w:p>
    <w:p w:rsidR="00BF625D" w:rsidRPr="000743BB" w:rsidRDefault="00BF625D" w:rsidP="004E1F46">
      <w:pPr>
        <w:pStyle w:val="Default"/>
        <w:spacing w:before="120" w:after="120"/>
        <w:rPr>
          <w:rFonts w:ascii="Times New Roman" w:hAnsi="Times New Roman" w:cs="Times New Roman"/>
          <w:i/>
          <w:color w:val="auto"/>
        </w:rPr>
      </w:pPr>
      <w:r w:rsidRPr="000743BB">
        <w:rPr>
          <w:rFonts w:ascii="Times New Roman" w:hAnsi="Times New Roman" w:cs="Times New Roman"/>
          <w:i/>
          <w:color w:val="auto"/>
        </w:rPr>
        <w:t>Emissions from transport</w:t>
      </w:r>
    </w:p>
    <w:p w:rsidR="00BF625D"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The test for determining whether emissions from transport of materials from the AWT facility would be greater than the baseline scenario is one of proximity to the end destination. </w:t>
      </w:r>
    </w:p>
    <w:p w:rsidR="00A648A5" w:rsidRPr="000743BB" w:rsidRDefault="00BF625D" w:rsidP="004E1F46">
      <w:pPr>
        <w:spacing w:before="120" w:after="120" w:line="240" w:lineRule="auto"/>
        <w:rPr>
          <w:rFonts w:ascii="Times New Roman" w:hAnsi="Times New Roman"/>
          <w:sz w:val="24"/>
          <w:szCs w:val="24"/>
        </w:rPr>
      </w:pPr>
      <w:r w:rsidRPr="000743BB">
        <w:rPr>
          <w:rFonts w:ascii="Times New Roman" w:hAnsi="Times New Roman"/>
          <w:sz w:val="24"/>
          <w:szCs w:val="24"/>
        </w:rPr>
        <w:t>Subsection 4.4 (</w:t>
      </w:r>
      <w:r w:rsidR="006D0EF3" w:rsidRPr="000743BB">
        <w:rPr>
          <w:rFonts w:ascii="Times New Roman" w:hAnsi="Times New Roman"/>
          <w:sz w:val="24"/>
          <w:szCs w:val="24"/>
        </w:rPr>
        <w:t>6</w:t>
      </w:r>
      <w:r w:rsidRPr="000743BB">
        <w:rPr>
          <w:rFonts w:ascii="Times New Roman" w:hAnsi="Times New Roman"/>
          <w:sz w:val="24"/>
          <w:szCs w:val="24"/>
        </w:rPr>
        <w:t>) provides that emissions from transport must only be calculated i</w:t>
      </w:r>
      <w:r w:rsidR="00A648A5" w:rsidRPr="000743BB">
        <w:rPr>
          <w:rFonts w:ascii="Times New Roman" w:hAnsi="Times New Roman"/>
          <w:sz w:val="24"/>
          <w:szCs w:val="24"/>
        </w:rPr>
        <w:t xml:space="preserve">f the end destination is </w:t>
      </w:r>
      <w:r w:rsidR="00C05B87">
        <w:rPr>
          <w:rFonts w:ascii="Times New Roman" w:hAnsi="Times New Roman"/>
          <w:sz w:val="24"/>
          <w:szCs w:val="24"/>
        </w:rPr>
        <w:t>outside</w:t>
      </w:r>
      <w:r w:rsidR="00A648A5" w:rsidRPr="000743BB">
        <w:rPr>
          <w:rFonts w:ascii="Times New Roman" w:hAnsi="Times New Roman"/>
          <w:sz w:val="24"/>
          <w:szCs w:val="24"/>
        </w:rPr>
        <w:t xml:space="preserve"> a 10 kilom</w:t>
      </w:r>
      <w:r w:rsidRPr="000743BB">
        <w:rPr>
          <w:rFonts w:ascii="Times New Roman" w:hAnsi="Times New Roman"/>
          <w:sz w:val="24"/>
          <w:szCs w:val="24"/>
        </w:rPr>
        <w:t>etre radius of the AWT facility. If the transport is within a 10</w:t>
      </w:r>
      <w:r w:rsidR="00F92045" w:rsidRPr="000743BB">
        <w:rPr>
          <w:rFonts w:ascii="Times New Roman" w:hAnsi="Times New Roman"/>
          <w:sz w:val="24"/>
          <w:szCs w:val="24"/>
        </w:rPr>
        <w:t> </w:t>
      </w:r>
      <w:r w:rsidRPr="000743BB">
        <w:rPr>
          <w:rFonts w:ascii="Times New Roman" w:hAnsi="Times New Roman"/>
          <w:sz w:val="24"/>
          <w:szCs w:val="24"/>
        </w:rPr>
        <w:t>kilometre radius, then transport</w:t>
      </w:r>
      <w:r w:rsidR="00A648A5" w:rsidRPr="000743BB">
        <w:rPr>
          <w:rFonts w:ascii="Times New Roman" w:hAnsi="Times New Roman"/>
          <w:sz w:val="24"/>
          <w:szCs w:val="24"/>
        </w:rPr>
        <w:t xml:space="preserve"> emissions from the project scenario are deemed to be lower than the baseline scenario.  </w:t>
      </w:r>
      <w:r w:rsidRPr="000743BB">
        <w:rPr>
          <w:rFonts w:ascii="Times New Roman" w:hAnsi="Times New Roman"/>
          <w:sz w:val="24"/>
          <w:szCs w:val="24"/>
        </w:rPr>
        <w:t>This rule includes a 20 kilometre round trip.</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pStyle w:val="h2Part"/>
        <w:spacing w:before="120" w:after="120"/>
        <w:rPr>
          <w:rFonts w:ascii="Times New Roman" w:hAnsi="Times New Roman" w:cs="Times New Roman"/>
          <w:sz w:val="24"/>
          <w:szCs w:val="24"/>
        </w:rPr>
      </w:pPr>
      <w:bookmarkStart w:id="8" w:name="_Toc346885396"/>
      <w:r w:rsidRPr="000743BB">
        <w:rPr>
          <w:rFonts w:ascii="Times New Roman" w:hAnsi="Times New Roman" w:cs="Times New Roman"/>
          <w:sz w:val="24"/>
          <w:szCs w:val="24"/>
        </w:rPr>
        <w:lastRenderedPageBreak/>
        <w:t>Part 4</w:t>
      </w:r>
      <w:r w:rsidRPr="000743BB">
        <w:rPr>
          <w:rFonts w:ascii="Times New Roman" w:hAnsi="Times New Roman" w:cs="Times New Roman"/>
          <w:sz w:val="24"/>
          <w:szCs w:val="24"/>
        </w:rPr>
        <w:tab/>
        <w:t>The net abatement amount</w:t>
      </w:r>
      <w:bookmarkEnd w:id="8"/>
    </w:p>
    <w:p w:rsidR="00A648A5" w:rsidRPr="000743BB" w:rsidRDefault="00A648A5" w:rsidP="004E1F46">
      <w:pPr>
        <w:pStyle w:val="h3Div"/>
        <w:spacing w:before="120" w:after="120"/>
        <w:rPr>
          <w:rFonts w:ascii="Times New Roman" w:hAnsi="Times New Roman" w:cs="Times New Roman"/>
          <w:sz w:val="24"/>
          <w:szCs w:val="24"/>
        </w:rPr>
      </w:pPr>
      <w:bookmarkStart w:id="9" w:name="_Toc346885397"/>
      <w:r w:rsidRPr="000743BB">
        <w:rPr>
          <w:rFonts w:ascii="Times New Roman" w:hAnsi="Times New Roman" w:cs="Times New Roman"/>
          <w:sz w:val="24"/>
          <w:szCs w:val="24"/>
        </w:rPr>
        <w:t>Division 4.1</w:t>
      </w:r>
      <w:r w:rsidRPr="000743BB">
        <w:rPr>
          <w:rFonts w:ascii="Times New Roman" w:hAnsi="Times New Roman" w:cs="Times New Roman"/>
          <w:sz w:val="24"/>
          <w:szCs w:val="24"/>
        </w:rPr>
        <w:tab/>
        <w:t>The net abatement amount</w:t>
      </w:r>
      <w:bookmarkEnd w:id="9"/>
    </w:p>
    <w:p w:rsidR="00A648A5" w:rsidRPr="000743BB" w:rsidRDefault="00A648A5" w:rsidP="004E1F46">
      <w:pPr>
        <w:pStyle w:val="h5Section"/>
        <w:spacing w:before="120" w:after="120"/>
        <w:rPr>
          <w:rFonts w:ascii="Times New Roman" w:hAnsi="Times New Roman"/>
          <w:b w:val="0"/>
          <w:szCs w:val="24"/>
          <w:u w:val="single"/>
        </w:rPr>
      </w:pPr>
      <w:bookmarkStart w:id="10" w:name="_Toc346885398"/>
      <w:r w:rsidRPr="000743BB">
        <w:rPr>
          <w:rFonts w:ascii="Times New Roman" w:hAnsi="Times New Roman"/>
          <w:b w:val="0"/>
          <w:szCs w:val="24"/>
          <w:u w:val="single"/>
        </w:rPr>
        <w:t>4.1</w:t>
      </w:r>
      <w:r w:rsidRPr="000743BB">
        <w:rPr>
          <w:rFonts w:ascii="Times New Roman" w:hAnsi="Times New Roman"/>
          <w:b w:val="0"/>
          <w:szCs w:val="24"/>
          <w:u w:val="single"/>
        </w:rPr>
        <w:tab/>
        <w:t>The net abatement amount</w:t>
      </w:r>
      <w:bookmarkEnd w:id="10"/>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Paragraph 106 (1) (c) of the Act provides that a methodology determination must specify a method for calculating the carbon dioxide equivalent (CO</w:t>
      </w:r>
      <w:r w:rsidRPr="000743BB">
        <w:rPr>
          <w:rFonts w:ascii="Times New Roman" w:hAnsi="Times New Roman"/>
          <w:sz w:val="24"/>
          <w:szCs w:val="24"/>
          <w:vertAlign w:val="subscript"/>
        </w:rPr>
        <w:t>2</w:t>
      </w:r>
      <w:r w:rsidRPr="000743BB">
        <w:rPr>
          <w:rFonts w:ascii="Times New Roman" w:hAnsi="Times New Roman"/>
          <w:sz w:val="24"/>
          <w:szCs w:val="24"/>
        </w:rPr>
        <w:t>-e) net abatement amount for the project in relation to a reporting period.</w:t>
      </w:r>
    </w:p>
    <w:p w:rsidR="00A648A5" w:rsidRPr="000743BB" w:rsidRDefault="00A648A5" w:rsidP="00F92045">
      <w:pPr>
        <w:spacing w:before="120" w:after="120" w:line="240" w:lineRule="auto"/>
        <w:ind w:left="60"/>
        <w:rPr>
          <w:rFonts w:ascii="Times New Roman" w:hAnsi="Times New Roman"/>
          <w:sz w:val="24"/>
          <w:szCs w:val="24"/>
        </w:rPr>
      </w:pPr>
      <w:r w:rsidRPr="000743BB">
        <w:rPr>
          <w:rFonts w:ascii="Times New Roman" w:hAnsi="Times New Roman"/>
          <w:sz w:val="24"/>
          <w:szCs w:val="24"/>
        </w:rPr>
        <w:t>The carbon dioxide equivalent net abatement amount for an eligible offsets pr</w:t>
      </w:r>
      <w:r w:rsidR="00F92045" w:rsidRPr="000743BB">
        <w:rPr>
          <w:rFonts w:ascii="Times New Roman" w:hAnsi="Times New Roman"/>
          <w:sz w:val="24"/>
          <w:szCs w:val="24"/>
        </w:rPr>
        <w:t>oject is set out at Equation 1</w:t>
      </w:r>
      <w:r w:rsidR="00FF4628" w:rsidRPr="000743BB">
        <w:rPr>
          <w:rFonts w:ascii="Times New Roman" w:hAnsi="Times New Roman"/>
          <w:sz w:val="24"/>
          <w:szCs w:val="24"/>
        </w:rPr>
        <w:t>1</w:t>
      </w:r>
      <w:r w:rsidR="00F92045" w:rsidRPr="000743BB">
        <w:rPr>
          <w:rFonts w:ascii="Times New Roman" w:hAnsi="Times New Roman"/>
          <w:sz w:val="24"/>
          <w:szCs w:val="24"/>
        </w:rPr>
        <w:t>, as the</w:t>
      </w:r>
      <w:r w:rsidRPr="000743BB">
        <w:rPr>
          <w:rFonts w:ascii="Times New Roman" w:hAnsi="Times New Roman"/>
          <w:sz w:val="24"/>
          <w:szCs w:val="24"/>
        </w:rPr>
        <w:t xml:space="preserve"> quantity of methane emissions avoided as a consequence of the project, minus emissions from project</w:t>
      </w:r>
      <w:r w:rsidR="00F92045" w:rsidRPr="000743BB">
        <w:rPr>
          <w:rFonts w:ascii="Times New Roman" w:hAnsi="Times New Roman"/>
          <w:sz w:val="24"/>
          <w:szCs w:val="24"/>
        </w:rPr>
        <w:t xml:space="preserve"> activities </w:t>
      </w:r>
      <w:r w:rsidRPr="000743BB">
        <w:rPr>
          <w:rFonts w:ascii="Times New Roman" w:hAnsi="Times New Roman"/>
          <w:sz w:val="24"/>
          <w:szCs w:val="24"/>
        </w:rPr>
        <w:t>where those quantities are calculated in accordance with Division 4.2.</w:t>
      </w:r>
    </w:p>
    <w:p w:rsidR="00A648A5" w:rsidRPr="000743BB" w:rsidRDefault="00A648A5" w:rsidP="004E1F46">
      <w:pPr>
        <w:spacing w:before="120" w:after="120" w:line="240" w:lineRule="auto"/>
        <w:rPr>
          <w:rFonts w:ascii="Times New Roman" w:hAnsi="Times New Roman"/>
          <w:b/>
          <w:sz w:val="24"/>
          <w:szCs w:val="24"/>
        </w:rPr>
      </w:pPr>
    </w:p>
    <w:p w:rsidR="00A648A5" w:rsidRPr="000743BB" w:rsidRDefault="00A648A5" w:rsidP="004E1F46">
      <w:pPr>
        <w:pStyle w:val="h3Div"/>
        <w:spacing w:before="120" w:after="120"/>
        <w:rPr>
          <w:rFonts w:ascii="Times New Roman" w:hAnsi="Times New Roman" w:cs="Times New Roman"/>
          <w:sz w:val="24"/>
          <w:szCs w:val="24"/>
        </w:rPr>
      </w:pPr>
      <w:bookmarkStart w:id="11" w:name="_Toc346885399"/>
      <w:bookmarkStart w:id="12" w:name="_Toc318467876"/>
      <w:bookmarkStart w:id="13" w:name="_Toc328130885"/>
      <w:r w:rsidRPr="000743BB">
        <w:rPr>
          <w:rFonts w:ascii="Times New Roman" w:hAnsi="Times New Roman" w:cs="Times New Roman"/>
          <w:sz w:val="24"/>
          <w:szCs w:val="24"/>
        </w:rPr>
        <w:t>Division 4.2</w:t>
      </w:r>
      <w:r w:rsidRPr="000743BB">
        <w:rPr>
          <w:rFonts w:ascii="Times New Roman" w:hAnsi="Times New Roman" w:cs="Times New Roman"/>
          <w:sz w:val="24"/>
          <w:szCs w:val="24"/>
        </w:rPr>
        <w:tab/>
        <w:t>Calculations</w:t>
      </w:r>
      <w:bookmarkEnd w:id="11"/>
    </w:p>
    <w:p w:rsidR="00A648A5" w:rsidRPr="000743BB" w:rsidRDefault="00A648A5" w:rsidP="004E1F46">
      <w:pPr>
        <w:pStyle w:val="h4Subdiv"/>
        <w:spacing w:before="120" w:after="120"/>
        <w:rPr>
          <w:rFonts w:ascii="Times New Roman" w:hAnsi="Times New Roman"/>
          <w:sz w:val="24"/>
          <w:szCs w:val="24"/>
        </w:rPr>
      </w:pPr>
      <w:bookmarkStart w:id="14" w:name="_Toc346885400"/>
      <w:r w:rsidRPr="000743BB">
        <w:rPr>
          <w:rFonts w:ascii="Times New Roman" w:hAnsi="Times New Roman"/>
          <w:sz w:val="24"/>
          <w:szCs w:val="24"/>
        </w:rPr>
        <w:t>Subdivision 4.2.1</w:t>
      </w:r>
      <w:r w:rsidRPr="000743BB">
        <w:rPr>
          <w:rFonts w:ascii="Times New Roman" w:hAnsi="Times New Roman"/>
          <w:sz w:val="24"/>
          <w:szCs w:val="24"/>
        </w:rPr>
        <w:tab/>
        <w:t>Preliminary</w:t>
      </w:r>
      <w:bookmarkEnd w:id="14"/>
    </w:p>
    <w:p w:rsidR="00A648A5" w:rsidRPr="000743BB" w:rsidRDefault="00A648A5" w:rsidP="004E1F46">
      <w:pPr>
        <w:pStyle w:val="h5Section"/>
        <w:spacing w:before="120" w:after="120"/>
        <w:rPr>
          <w:rFonts w:ascii="Times New Roman" w:hAnsi="Times New Roman"/>
          <w:b w:val="0"/>
          <w:szCs w:val="24"/>
          <w:u w:val="single"/>
        </w:rPr>
      </w:pPr>
      <w:bookmarkStart w:id="15" w:name="_Toc346885401"/>
      <w:r w:rsidRPr="000743BB">
        <w:rPr>
          <w:rFonts w:ascii="Times New Roman" w:hAnsi="Times New Roman"/>
          <w:b w:val="0"/>
          <w:szCs w:val="24"/>
          <w:u w:val="single"/>
        </w:rPr>
        <w:t>4.2</w:t>
      </w:r>
      <w:r w:rsidRPr="000743BB">
        <w:rPr>
          <w:rFonts w:ascii="Times New Roman" w:hAnsi="Times New Roman"/>
          <w:b w:val="0"/>
          <w:szCs w:val="24"/>
          <w:u w:val="single"/>
        </w:rPr>
        <w:tab/>
        <w:t>General</w:t>
      </w:r>
      <w:bookmarkEnd w:id="15"/>
    </w:p>
    <w:p w:rsidR="00A648A5" w:rsidRPr="000743BB" w:rsidRDefault="00A648A5" w:rsidP="004E1F46">
      <w:pPr>
        <w:keepNext/>
        <w:spacing w:before="120" w:after="120" w:line="240" w:lineRule="auto"/>
        <w:rPr>
          <w:rFonts w:ascii="Times New Roman" w:hAnsi="Times New Roman"/>
          <w:sz w:val="24"/>
          <w:szCs w:val="24"/>
        </w:rPr>
      </w:pPr>
      <w:r w:rsidRPr="000743BB">
        <w:rPr>
          <w:rFonts w:ascii="Times New Roman" w:hAnsi="Times New Roman"/>
          <w:sz w:val="24"/>
          <w:szCs w:val="24"/>
        </w:rPr>
        <w:t>This section clarifies that all calculations are in respect of activities that are undertaken during the project period, which includes activities that have been undertaken in accordance with Part 2 of the Determination, but not yet credited.</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Subsection 4.2 (c) provides that, if a calculation uses a factor or parameter that is not otherwise specified in Schedules 1 to 5, the person carrying out the calculations must apply the factor or parameter prescribed in the NGER (Measurement) Determination or the NGER Regulations in force at the time that the offsets report was required to be submitted. </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The reason for this distinction is that on 1 July 2011 the NGER (Measurement) Determination was amended. One of the amendments included removing the default value for the fraction of degradable organic carbon dissimilated (DOC</w:t>
      </w:r>
      <w:r w:rsidRPr="000743BB">
        <w:rPr>
          <w:rFonts w:ascii="Times New Roman" w:hAnsi="Times New Roman"/>
          <w:sz w:val="24"/>
          <w:szCs w:val="24"/>
          <w:vertAlign w:val="subscript"/>
        </w:rPr>
        <w:t>f</w:t>
      </w:r>
      <w:r w:rsidRPr="000743BB">
        <w:rPr>
          <w:rFonts w:ascii="Times New Roman" w:hAnsi="Times New Roman"/>
          <w:sz w:val="24"/>
          <w:szCs w:val="24"/>
        </w:rPr>
        <w:t>) for solid waste disposal, and replacing this default with individual DOC</w:t>
      </w:r>
      <w:r w:rsidRPr="000743BB">
        <w:rPr>
          <w:rFonts w:ascii="Times New Roman" w:hAnsi="Times New Roman"/>
          <w:sz w:val="24"/>
          <w:szCs w:val="24"/>
          <w:vertAlign w:val="subscript"/>
        </w:rPr>
        <w:t>f</w:t>
      </w:r>
      <w:r w:rsidRPr="000743BB">
        <w:rPr>
          <w:rFonts w:ascii="Times New Roman" w:hAnsi="Times New Roman"/>
          <w:sz w:val="24"/>
          <w:szCs w:val="24"/>
        </w:rPr>
        <w:t xml:space="preserve"> values based on each waste mix type. These changes apply to the 2011-2012 financial year.</w:t>
      </w:r>
    </w:p>
    <w:p w:rsidR="00A648A5" w:rsidRPr="000743BB" w:rsidRDefault="00A648A5" w:rsidP="004E1F46">
      <w:pPr>
        <w:pStyle w:val="P1"/>
        <w:spacing w:before="120" w:after="120" w:line="240" w:lineRule="auto"/>
        <w:ind w:left="0" w:firstLine="0"/>
        <w:jc w:val="left"/>
        <w:rPr>
          <w:u w:val="single"/>
        </w:rPr>
      </w:pPr>
    </w:p>
    <w:p w:rsidR="008F6A66" w:rsidRPr="000743BB" w:rsidRDefault="008F6A66" w:rsidP="004E1F46">
      <w:pPr>
        <w:pStyle w:val="Heading2"/>
        <w:spacing w:before="120" w:after="120" w:line="240" w:lineRule="auto"/>
        <w:rPr>
          <w:rFonts w:ascii="Times New Roman" w:hAnsi="Times New Roman"/>
          <w:color w:val="auto"/>
          <w:sz w:val="24"/>
          <w:szCs w:val="24"/>
        </w:rPr>
      </w:pPr>
      <w:bookmarkStart w:id="16" w:name="_Toc318467877"/>
      <w:bookmarkStart w:id="17" w:name="_Toc328130886"/>
      <w:bookmarkEnd w:id="12"/>
      <w:bookmarkEnd w:id="13"/>
    </w:p>
    <w:p w:rsidR="00B17D01" w:rsidRPr="000743BB" w:rsidRDefault="00B17D01" w:rsidP="004E1F46">
      <w:pPr>
        <w:pStyle w:val="Heading2"/>
        <w:spacing w:before="120" w:after="120" w:line="240" w:lineRule="auto"/>
        <w:rPr>
          <w:rFonts w:ascii="Times New Roman" w:hAnsi="Times New Roman"/>
          <w:color w:val="auto"/>
          <w:sz w:val="24"/>
          <w:szCs w:val="24"/>
        </w:rPr>
      </w:pPr>
      <w:r w:rsidRPr="000743BB">
        <w:rPr>
          <w:rFonts w:ascii="Times New Roman" w:hAnsi="Times New Roman"/>
          <w:color w:val="auto"/>
          <w:sz w:val="24"/>
          <w:szCs w:val="24"/>
        </w:rPr>
        <w:t>Subdivision 4.2.2</w:t>
      </w:r>
      <w:r w:rsidRPr="000743BB">
        <w:rPr>
          <w:rFonts w:ascii="Times New Roman" w:hAnsi="Times New Roman"/>
          <w:color w:val="auto"/>
          <w:sz w:val="24"/>
          <w:szCs w:val="24"/>
        </w:rPr>
        <w:tab/>
      </w:r>
      <w:proofErr w:type="gramStart"/>
      <w:r w:rsidRPr="000743BB">
        <w:rPr>
          <w:rFonts w:ascii="Times New Roman" w:hAnsi="Times New Roman"/>
          <w:color w:val="auto"/>
          <w:sz w:val="24"/>
          <w:szCs w:val="24"/>
        </w:rPr>
        <w:t>Calculating</w:t>
      </w:r>
      <w:proofErr w:type="gramEnd"/>
      <w:r w:rsidRPr="000743BB">
        <w:rPr>
          <w:rFonts w:ascii="Times New Roman" w:hAnsi="Times New Roman"/>
          <w:color w:val="auto"/>
          <w:sz w:val="24"/>
          <w:szCs w:val="24"/>
        </w:rPr>
        <w:t xml:space="preserve"> the baseline</w:t>
      </w:r>
    </w:p>
    <w:p w:rsidR="00A648A5" w:rsidRPr="000743BB" w:rsidRDefault="00A648A5" w:rsidP="004E1F46">
      <w:pPr>
        <w:pStyle w:val="Heading2"/>
        <w:spacing w:before="120" w:after="120" w:line="240" w:lineRule="auto"/>
        <w:rPr>
          <w:rFonts w:ascii="Times New Roman" w:hAnsi="Times New Roman"/>
          <w:b w:val="0"/>
          <w:color w:val="auto"/>
          <w:sz w:val="24"/>
          <w:szCs w:val="24"/>
          <w:u w:val="single"/>
        </w:rPr>
      </w:pPr>
      <w:r w:rsidRPr="000743BB">
        <w:rPr>
          <w:rFonts w:ascii="Times New Roman" w:hAnsi="Times New Roman"/>
          <w:b w:val="0"/>
          <w:color w:val="auto"/>
          <w:sz w:val="24"/>
          <w:szCs w:val="24"/>
          <w:u w:val="single"/>
        </w:rPr>
        <w:t>4.3</w:t>
      </w:r>
      <w:r w:rsidRPr="000743BB">
        <w:rPr>
          <w:rFonts w:ascii="Times New Roman" w:hAnsi="Times New Roman"/>
          <w:b w:val="0"/>
          <w:color w:val="auto"/>
          <w:sz w:val="24"/>
          <w:szCs w:val="24"/>
          <w:u w:val="single"/>
        </w:rPr>
        <w:tab/>
        <w:t>Calculating the baseline</w:t>
      </w:r>
      <w:bookmarkEnd w:id="16"/>
      <w:bookmarkEnd w:id="17"/>
    </w:p>
    <w:p w:rsidR="00A648A5" w:rsidRPr="000743BB" w:rsidRDefault="00A648A5" w:rsidP="004E1F46">
      <w:pPr>
        <w:spacing w:before="120" w:after="120" w:line="240" w:lineRule="auto"/>
        <w:rPr>
          <w:rFonts w:ascii="Times New Roman" w:hAnsi="Times New Roman"/>
          <w:bCs/>
          <w:sz w:val="24"/>
          <w:szCs w:val="24"/>
        </w:rPr>
      </w:pPr>
      <w:r w:rsidRPr="000743BB">
        <w:rPr>
          <w:rFonts w:ascii="Times New Roman" w:hAnsi="Times New Roman"/>
          <w:bCs/>
          <w:sz w:val="24"/>
          <w:szCs w:val="24"/>
        </w:rPr>
        <w:t>Paragraph 106</w:t>
      </w:r>
      <w:r w:rsidRPr="000743BB">
        <w:rPr>
          <w:rFonts w:ascii="Times New Roman" w:hAnsi="Times New Roman"/>
          <w:sz w:val="24"/>
          <w:szCs w:val="24"/>
        </w:rPr>
        <w:t xml:space="preserve"> (4) (f) of the Act provides that a methodology determination must specify a method for calculating the baseline for a project.</w:t>
      </w:r>
      <w:r w:rsidRPr="000743BB">
        <w:rPr>
          <w:rFonts w:ascii="Times New Roman" w:hAnsi="Times New Roman"/>
          <w:bCs/>
          <w:sz w:val="24"/>
          <w:szCs w:val="24"/>
        </w:rPr>
        <w:t xml:space="preserve"> </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section contains methods for calculating the baseline, which are set out in:</w:t>
      </w:r>
    </w:p>
    <w:p w:rsidR="00A648A5" w:rsidRPr="000743BB" w:rsidRDefault="00A648A5" w:rsidP="00D3747C">
      <w:pPr>
        <w:pStyle w:val="ListParagraph"/>
        <w:numPr>
          <w:ilvl w:val="0"/>
          <w:numId w:val="8"/>
        </w:numPr>
        <w:spacing w:before="120" w:after="120" w:line="240" w:lineRule="auto"/>
        <w:rPr>
          <w:rFonts w:ascii="Times New Roman" w:hAnsi="Times New Roman"/>
          <w:sz w:val="24"/>
          <w:szCs w:val="24"/>
        </w:rPr>
      </w:pPr>
      <w:r w:rsidRPr="000743BB">
        <w:rPr>
          <w:rFonts w:ascii="Times New Roman" w:hAnsi="Times New Roman"/>
          <w:sz w:val="24"/>
          <w:szCs w:val="24"/>
        </w:rPr>
        <w:t>Equation 1, which calculates the actual baseline emissions;</w:t>
      </w:r>
    </w:p>
    <w:p w:rsidR="00A648A5" w:rsidRPr="000743BB" w:rsidRDefault="00A648A5" w:rsidP="00D3747C">
      <w:pPr>
        <w:pStyle w:val="ListParagraph"/>
        <w:numPr>
          <w:ilvl w:val="0"/>
          <w:numId w:val="8"/>
        </w:numPr>
        <w:spacing w:before="120" w:after="120" w:line="240" w:lineRule="auto"/>
        <w:rPr>
          <w:rFonts w:ascii="Times New Roman" w:hAnsi="Times New Roman"/>
          <w:sz w:val="24"/>
          <w:szCs w:val="24"/>
        </w:rPr>
      </w:pPr>
      <w:r w:rsidRPr="000743BB">
        <w:rPr>
          <w:rFonts w:ascii="Times New Roman" w:hAnsi="Times New Roman"/>
          <w:sz w:val="24"/>
          <w:szCs w:val="24"/>
        </w:rPr>
        <w:t xml:space="preserve">Equation 2, which calculates the methane generation potential of the degradable organic carbon content of the putrescible waste diverted; </w:t>
      </w:r>
    </w:p>
    <w:p w:rsidR="00A648A5" w:rsidRPr="000743BB" w:rsidRDefault="00A648A5" w:rsidP="00D3747C">
      <w:pPr>
        <w:pStyle w:val="ListParagraph"/>
        <w:numPr>
          <w:ilvl w:val="0"/>
          <w:numId w:val="8"/>
        </w:numPr>
        <w:spacing w:before="120" w:after="120" w:line="240" w:lineRule="auto"/>
        <w:rPr>
          <w:rFonts w:ascii="Times New Roman" w:hAnsi="Times New Roman"/>
          <w:sz w:val="24"/>
          <w:szCs w:val="24"/>
        </w:rPr>
      </w:pPr>
      <w:r w:rsidRPr="000743BB">
        <w:rPr>
          <w:rFonts w:ascii="Times New Roman" w:hAnsi="Times New Roman"/>
          <w:sz w:val="24"/>
          <w:szCs w:val="24"/>
        </w:rPr>
        <w:t>Equation 3, which calculates the quantity of each waste mix type present in the putrescible waste;</w:t>
      </w:r>
    </w:p>
    <w:p w:rsidR="00A648A5" w:rsidRPr="000743BB" w:rsidRDefault="00A648A5" w:rsidP="00D3747C">
      <w:pPr>
        <w:pStyle w:val="ListParagraph"/>
        <w:numPr>
          <w:ilvl w:val="0"/>
          <w:numId w:val="8"/>
        </w:numPr>
        <w:spacing w:before="120" w:after="120" w:line="240" w:lineRule="auto"/>
        <w:rPr>
          <w:rFonts w:ascii="Times New Roman" w:hAnsi="Times New Roman"/>
          <w:sz w:val="24"/>
          <w:szCs w:val="24"/>
        </w:rPr>
      </w:pPr>
      <w:r w:rsidRPr="000743BB">
        <w:rPr>
          <w:rFonts w:ascii="Times New Roman" w:hAnsi="Times New Roman"/>
          <w:sz w:val="24"/>
          <w:szCs w:val="24"/>
        </w:rPr>
        <w:t>Equation 4, which sets out a method for adjusting default percentages for waste types; and</w:t>
      </w:r>
    </w:p>
    <w:p w:rsidR="00A648A5" w:rsidRPr="000743BB" w:rsidRDefault="00A648A5" w:rsidP="00D3747C">
      <w:pPr>
        <w:pStyle w:val="ListParagraph"/>
        <w:numPr>
          <w:ilvl w:val="0"/>
          <w:numId w:val="8"/>
        </w:numPr>
        <w:spacing w:before="120" w:after="120" w:line="240" w:lineRule="auto"/>
        <w:rPr>
          <w:rFonts w:ascii="Times New Roman" w:hAnsi="Times New Roman"/>
          <w:sz w:val="24"/>
          <w:szCs w:val="24"/>
        </w:rPr>
      </w:pPr>
      <w:r w:rsidRPr="000743BB">
        <w:rPr>
          <w:rFonts w:ascii="Times New Roman" w:hAnsi="Times New Roman"/>
          <w:sz w:val="24"/>
          <w:szCs w:val="24"/>
        </w:rPr>
        <w:lastRenderedPageBreak/>
        <w:t xml:space="preserve">Equation 5, which calculates the quantity </w:t>
      </w:r>
      <w:r w:rsidR="0081243B" w:rsidRPr="000743BB">
        <w:rPr>
          <w:rFonts w:ascii="Times New Roman" w:hAnsi="Times New Roman"/>
          <w:sz w:val="24"/>
          <w:szCs w:val="24"/>
        </w:rPr>
        <w:t>of biobased legacy waste material containing degradable organic carbon present in the biobased product</w:t>
      </w:r>
      <w:r w:rsidRPr="000743BB">
        <w:rPr>
          <w:rFonts w:ascii="Times New Roman" w:hAnsi="Times New Roman"/>
          <w:sz w:val="24"/>
          <w:szCs w:val="24"/>
        </w:rPr>
        <w:t>.</w:t>
      </w:r>
    </w:p>
    <w:p w:rsidR="00A648A5" w:rsidRPr="000743BB" w:rsidRDefault="00A648A5" w:rsidP="004E1F46">
      <w:pPr>
        <w:pStyle w:val="ListParagraph"/>
        <w:spacing w:before="120" w:after="120" w:line="240" w:lineRule="auto"/>
        <w:rPr>
          <w:rFonts w:ascii="Times New Roman" w:hAnsi="Times New Roman"/>
          <w:sz w:val="24"/>
          <w:szCs w:val="24"/>
        </w:rPr>
      </w:pPr>
    </w:p>
    <w:p w:rsidR="00A648A5" w:rsidRPr="000743BB" w:rsidRDefault="00A648A5" w:rsidP="004E1F46">
      <w:pPr>
        <w:pStyle w:val="ListParagraph"/>
        <w:spacing w:before="120" w:after="120" w:line="240" w:lineRule="auto"/>
        <w:ind w:left="0"/>
        <w:rPr>
          <w:rFonts w:ascii="Times New Roman" w:hAnsi="Times New Roman"/>
          <w:sz w:val="24"/>
          <w:szCs w:val="24"/>
        </w:rPr>
      </w:pPr>
      <w:r w:rsidRPr="000743BB">
        <w:rPr>
          <w:rFonts w:ascii="Times New Roman" w:hAnsi="Times New Roman"/>
          <w:sz w:val="24"/>
          <w:szCs w:val="24"/>
        </w:rPr>
        <w:t>Waste mix type percentages are determined by either:</w:t>
      </w:r>
    </w:p>
    <w:p w:rsidR="00A648A5" w:rsidRPr="000743BB" w:rsidRDefault="00A648A5" w:rsidP="00D3747C">
      <w:pPr>
        <w:pStyle w:val="ListParagraph"/>
        <w:numPr>
          <w:ilvl w:val="0"/>
          <w:numId w:val="11"/>
        </w:numPr>
        <w:spacing w:before="120" w:after="120" w:line="240" w:lineRule="auto"/>
        <w:rPr>
          <w:rFonts w:ascii="Times New Roman" w:hAnsi="Times New Roman"/>
          <w:sz w:val="24"/>
          <w:szCs w:val="24"/>
        </w:rPr>
      </w:pPr>
      <w:r w:rsidRPr="000743BB">
        <w:rPr>
          <w:rFonts w:ascii="Times New Roman" w:hAnsi="Times New Roman"/>
          <w:sz w:val="24"/>
          <w:szCs w:val="24"/>
        </w:rPr>
        <w:t>using the maximum permitted tonnage of the restricted waste mix type received at the waste diversion facility, where waste is a restricted waste type</w:t>
      </w:r>
      <w:r w:rsidR="00FF6FA2" w:rsidRPr="000743BB">
        <w:rPr>
          <w:rFonts w:ascii="Times New Roman" w:hAnsi="Times New Roman"/>
          <w:sz w:val="24"/>
          <w:szCs w:val="24"/>
        </w:rPr>
        <w:t xml:space="preserve"> (waste that is the subject of a restriction in accordance with a licence or other authorisation relating to the composting AWT facility)</w:t>
      </w:r>
      <w:r w:rsidRPr="000743BB">
        <w:rPr>
          <w:rFonts w:ascii="Times New Roman" w:hAnsi="Times New Roman"/>
          <w:sz w:val="24"/>
          <w:szCs w:val="24"/>
        </w:rPr>
        <w:t>; or</w:t>
      </w:r>
    </w:p>
    <w:p w:rsidR="00A648A5" w:rsidRPr="000743BB" w:rsidRDefault="00A648A5" w:rsidP="00D3747C">
      <w:pPr>
        <w:pStyle w:val="ListParagraph"/>
        <w:numPr>
          <w:ilvl w:val="0"/>
          <w:numId w:val="11"/>
        </w:numPr>
        <w:spacing w:before="120" w:after="120" w:line="240" w:lineRule="auto"/>
        <w:rPr>
          <w:rFonts w:ascii="Times New Roman" w:hAnsi="Times New Roman"/>
          <w:sz w:val="24"/>
          <w:szCs w:val="24"/>
        </w:rPr>
      </w:pPr>
      <w:proofErr w:type="gramStart"/>
      <w:r w:rsidRPr="000743BB">
        <w:rPr>
          <w:rFonts w:ascii="Times New Roman" w:hAnsi="Times New Roman"/>
          <w:sz w:val="24"/>
          <w:szCs w:val="24"/>
        </w:rPr>
        <w:t>by</w:t>
      </w:r>
      <w:proofErr w:type="gramEnd"/>
      <w:r w:rsidRPr="000743BB">
        <w:rPr>
          <w:rFonts w:ascii="Times New Roman" w:hAnsi="Times New Roman"/>
          <w:sz w:val="24"/>
          <w:szCs w:val="24"/>
        </w:rPr>
        <w:t xml:space="preserve"> adjusting the default percentages prescribed in Schedule 2 for each unrestricted waste mix type</w:t>
      </w:r>
      <w:r w:rsidR="00FF6FA2" w:rsidRPr="000743BB">
        <w:rPr>
          <w:rFonts w:ascii="Times New Roman" w:hAnsi="Times New Roman"/>
          <w:sz w:val="24"/>
          <w:szCs w:val="24"/>
        </w:rPr>
        <w:t xml:space="preserve"> (</w:t>
      </w:r>
      <w:r w:rsidR="0095672A">
        <w:rPr>
          <w:rFonts w:ascii="Times New Roman" w:hAnsi="Times New Roman"/>
          <w:sz w:val="24"/>
          <w:szCs w:val="24"/>
        </w:rPr>
        <w:t xml:space="preserve">which </w:t>
      </w:r>
      <w:r w:rsidR="00FF6FA2" w:rsidRPr="000743BB">
        <w:rPr>
          <w:rFonts w:ascii="Times New Roman" w:hAnsi="Times New Roman"/>
          <w:sz w:val="24"/>
          <w:szCs w:val="24"/>
        </w:rPr>
        <w:t>means waste that is not a restricted waste type)</w:t>
      </w:r>
      <w:r w:rsidRPr="000743BB">
        <w:rPr>
          <w:rFonts w:ascii="Times New Roman" w:hAnsi="Times New Roman"/>
          <w:sz w:val="24"/>
          <w:szCs w:val="24"/>
        </w:rPr>
        <w:t xml:space="preserve">, in accordance with Equation 4. </w:t>
      </w:r>
    </w:p>
    <w:p w:rsidR="0081243B" w:rsidRPr="000743BB" w:rsidRDefault="0081243B" w:rsidP="0081243B">
      <w:pPr>
        <w:pStyle w:val="ListParagraph"/>
        <w:spacing w:before="120" w:after="120" w:line="240" w:lineRule="auto"/>
        <w:ind w:left="768"/>
        <w:rPr>
          <w:rFonts w:ascii="Times New Roman" w:hAnsi="Times New Roman"/>
          <w:sz w:val="24"/>
          <w:szCs w:val="24"/>
        </w:rPr>
      </w:pPr>
    </w:p>
    <w:p w:rsidR="00A648A5" w:rsidRPr="000743BB" w:rsidRDefault="00A648A5" w:rsidP="004E1F46">
      <w:pPr>
        <w:pStyle w:val="Bullet"/>
        <w:numPr>
          <w:ilvl w:val="0"/>
          <w:numId w:val="0"/>
        </w:numPr>
        <w:tabs>
          <w:tab w:val="left" w:pos="720"/>
        </w:tabs>
        <w:spacing w:line="240" w:lineRule="auto"/>
        <w:rPr>
          <w:rFonts w:ascii="Times New Roman" w:hAnsi="Times New Roman"/>
          <w:sz w:val="24"/>
          <w:szCs w:val="24"/>
        </w:rPr>
      </w:pPr>
      <w:r w:rsidRPr="000743BB">
        <w:rPr>
          <w:rFonts w:ascii="Times New Roman" w:hAnsi="Times New Roman"/>
          <w:sz w:val="24"/>
          <w:szCs w:val="24"/>
        </w:rPr>
        <w:t>The project baseline is the methane that would have been emitted from a landfill if that landfill had received the putrescible waste in the absence of the project. This is demonstrated in Figure 1 below.</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12404A" w:rsidP="004E1F46">
      <w:pPr>
        <w:spacing w:before="120" w:after="120" w:line="240" w:lineRule="auto"/>
        <w:rPr>
          <w:rFonts w:ascii="Times New Roman" w:hAnsi="Times New Roman"/>
          <w:sz w:val="24"/>
          <w:szCs w:val="24"/>
        </w:rPr>
      </w:pPr>
      <w:r w:rsidRPr="000743BB">
        <w:rPr>
          <w:rFonts w:ascii="Times New Roman" w:hAnsi="Times New Roman"/>
          <w:noProof/>
          <w:sz w:val="24"/>
          <w:szCs w:val="24"/>
          <w:lang w:eastAsia="en-AU"/>
        </w:rPr>
        <w:drawing>
          <wp:anchor distT="0" distB="0" distL="114300" distR="114300" simplePos="0" relativeHeight="251658240" behindDoc="0" locked="0" layoutInCell="1" allowOverlap="1" wp14:anchorId="1613EA4B" wp14:editId="15100827">
            <wp:simplePos x="0" y="0"/>
            <wp:positionH relativeFrom="column">
              <wp:posOffset>2540</wp:posOffset>
            </wp:positionH>
            <wp:positionV relativeFrom="paragraph">
              <wp:posOffset>139065</wp:posOffset>
            </wp:positionV>
            <wp:extent cx="4185285" cy="526415"/>
            <wp:effectExtent l="0" t="0" r="5715"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5285" cy="526415"/>
                    </a:xfrm>
                    <a:prstGeom prst="rect">
                      <a:avLst/>
                    </a:prstGeom>
                    <a:noFill/>
                  </pic:spPr>
                </pic:pic>
              </a:graphicData>
            </a:graphic>
          </wp:anchor>
        </w:drawing>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sz w:val="24"/>
          <w:szCs w:val="24"/>
        </w:rPr>
      </w:pPr>
    </w:p>
    <w:p w:rsidR="008F6A66" w:rsidRPr="000743BB" w:rsidRDefault="008F6A66" w:rsidP="004E1F46">
      <w:pPr>
        <w:pStyle w:val="Bullet"/>
        <w:numPr>
          <w:ilvl w:val="0"/>
          <w:numId w:val="0"/>
        </w:numPr>
        <w:tabs>
          <w:tab w:val="left" w:pos="720"/>
        </w:tabs>
        <w:spacing w:line="240" w:lineRule="auto"/>
        <w:rPr>
          <w:rFonts w:ascii="Times New Roman" w:hAnsi="Times New Roman"/>
          <w:sz w:val="24"/>
          <w:szCs w:val="24"/>
        </w:rPr>
      </w:pPr>
    </w:p>
    <w:p w:rsidR="00A648A5" w:rsidRPr="000743BB" w:rsidRDefault="00A648A5" w:rsidP="004E1F46">
      <w:pPr>
        <w:pStyle w:val="Bullet"/>
        <w:numPr>
          <w:ilvl w:val="0"/>
          <w:numId w:val="0"/>
        </w:numPr>
        <w:tabs>
          <w:tab w:val="left" w:pos="720"/>
        </w:tabs>
        <w:spacing w:line="240" w:lineRule="auto"/>
        <w:rPr>
          <w:rFonts w:ascii="Times New Roman" w:hAnsi="Times New Roman"/>
          <w:sz w:val="24"/>
          <w:szCs w:val="24"/>
        </w:rPr>
      </w:pPr>
      <w:r w:rsidRPr="000743BB">
        <w:rPr>
          <w:rFonts w:ascii="Times New Roman" w:hAnsi="Times New Roman"/>
          <w:sz w:val="24"/>
          <w:szCs w:val="24"/>
        </w:rPr>
        <w:t>The approach to calculating greenhouse gas emissions abatement is to estimate the methane production avoided from depositing waste into landfill. Only the methane emissions that are avoided after the capture and destruction of methane at the landfill should be counted. Consequently, the abatement calculation requires an estimation of the net methane production from the landfill.</w:t>
      </w:r>
    </w:p>
    <w:p w:rsidR="00874CB0" w:rsidRPr="000743BB" w:rsidRDefault="0081243B"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Solid Waste Calculator is required to be used to determine the proportion of methane generation potential that would have </w:t>
      </w:r>
      <w:r w:rsidRPr="000743BB">
        <w:rPr>
          <w:rFonts w:ascii="Times New Roman" w:hAnsi="Times New Roman"/>
          <w:sz w:val="24"/>
          <w:szCs w:val="24"/>
        </w:rPr>
        <w:tab/>
        <w:t xml:space="preserve">been released. The Solid Waste Calculator is available </w:t>
      </w:r>
      <w:r w:rsidR="00874CB0" w:rsidRPr="000743BB">
        <w:rPr>
          <w:rFonts w:ascii="Times New Roman" w:hAnsi="Times New Roman"/>
          <w:sz w:val="24"/>
          <w:szCs w:val="24"/>
        </w:rPr>
        <w:t xml:space="preserve">on the Clean Energy Regulator website at </w:t>
      </w:r>
      <w:r w:rsidR="00874CB0" w:rsidRPr="000743BB">
        <w:rPr>
          <w:rFonts w:ascii="Times New Roman" w:hAnsi="Times New Roman"/>
          <w:sz w:val="24"/>
          <w:szCs w:val="24"/>
          <w:u w:val="single"/>
        </w:rPr>
        <w:t>http://www.cleanenergyregulator.gov.au/National-Greenhouse-and-Energy-Reporting/Forms-and-calculators/Pages/default.aspx</w:t>
      </w:r>
      <w:r w:rsidR="00874CB0" w:rsidRPr="000743BB">
        <w:rPr>
          <w:rFonts w:ascii="Times New Roman" w:hAnsi="Times New Roman"/>
          <w:sz w:val="24"/>
          <w:szCs w:val="24"/>
        </w:rPr>
        <w:t xml:space="preserve"> </w:t>
      </w:r>
    </w:p>
    <w:p w:rsidR="00874CB0" w:rsidRPr="000743BB" w:rsidRDefault="00874CB0" w:rsidP="004E1F46">
      <w:pPr>
        <w:spacing w:before="120" w:after="120" w:line="240" w:lineRule="auto"/>
        <w:rPr>
          <w:rFonts w:ascii="Times New Roman" w:hAnsi="Times New Roman"/>
          <w:sz w:val="24"/>
          <w:szCs w:val="24"/>
        </w:rPr>
      </w:pPr>
      <w:r w:rsidRPr="000743BB">
        <w:rPr>
          <w:rFonts w:ascii="Times New Roman" w:hAnsi="Times New Roman"/>
          <w:sz w:val="24"/>
          <w:szCs w:val="24"/>
        </w:rPr>
        <w:t>Instructions for using the Solid Waste Calculator are set out in Schedule 4 of the Determination.</w:t>
      </w:r>
    </w:p>
    <w:p w:rsidR="00A648A5" w:rsidRPr="000743BB" w:rsidRDefault="00874CB0" w:rsidP="004E1F46">
      <w:pPr>
        <w:spacing w:before="120" w:after="120" w:line="240" w:lineRule="auto"/>
        <w:rPr>
          <w:rFonts w:ascii="Times New Roman" w:hAnsi="Times New Roman"/>
          <w:sz w:val="24"/>
          <w:szCs w:val="24"/>
        </w:rPr>
      </w:pPr>
      <w:r w:rsidRPr="000743BB">
        <w:rPr>
          <w:rFonts w:ascii="Times New Roman" w:hAnsi="Times New Roman"/>
          <w:sz w:val="24"/>
          <w:szCs w:val="24"/>
        </w:rPr>
        <w:t>The</w:t>
      </w:r>
      <w:r w:rsidR="00A648A5" w:rsidRPr="000743BB">
        <w:rPr>
          <w:rFonts w:ascii="Times New Roman" w:hAnsi="Times New Roman"/>
          <w:sz w:val="24"/>
          <w:szCs w:val="24"/>
        </w:rPr>
        <w:t xml:space="preserve"> baseline </w:t>
      </w:r>
      <w:r w:rsidRPr="000743BB">
        <w:rPr>
          <w:rFonts w:ascii="Times New Roman" w:hAnsi="Times New Roman"/>
          <w:sz w:val="24"/>
          <w:szCs w:val="24"/>
        </w:rPr>
        <w:t xml:space="preserve">also </w:t>
      </w:r>
      <w:r w:rsidR="00A648A5" w:rsidRPr="000743BB">
        <w:rPr>
          <w:rFonts w:ascii="Times New Roman" w:hAnsi="Times New Roman"/>
          <w:sz w:val="24"/>
          <w:szCs w:val="24"/>
        </w:rPr>
        <w:t xml:space="preserve">assumes that, in the absence of the project, the waste would be transported to a nearby landfill which would comply with state average landfill performance. </w:t>
      </w:r>
      <w:r w:rsidRPr="000743BB">
        <w:rPr>
          <w:rFonts w:ascii="Times New Roman" w:hAnsi="Times New Roman"/>
          <w:sz w:val="24"/>
          <w:szCs w:val="24"/>
        </w:rPr>
        <w:t>These figures are prescribed in Schedule 1 of the Determination.</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assumptions related to waste decomposition, methane generation and oxidation are those underlying the </w:t>
      </w:r>
      <w:r w:rsidRPr="000743BB">
        <w:rPr>
          <w:rFonts w:ascii="Times New Roman" w:hAnsi="Times New Roman"/>
          <w:i/>
          <w:sz w:val="24"/>
          <w:szCs w:val="24"/>
        </w:rPr>
        <w:t>National Greenhouse and Energy Reporting (Measurement) Determination</w:t>
      </w:r>
      <w:r w:rsidR="00B17D01" w:rsidRPr="000743BB">
        <w:rPr>
          <w:rFonts w:ascii="Times New Roman" w:hAnsi="Times New Roman"/>
          <w:i/>
          <w:sz w:val="24"/>
          <w:szCs w:val="24"/>
        </w:rPr>
        <w:t> </w:t>
      </w:r>
      <w:r w:rsidRPr="000743BB">
        <w:rPr>
          <w:rFonts w:ascii="Times New Roman" w:hAnsi="Times New Roman"/>
          <w:i/>
          <w:sz w:val="24"/>
          <w:szCs w:val="24"/>
        </w:rPr>
        <w:t>2008</w:t>
      </w:r>
      <w:r w:rsidRPr="000743BB">
        <w:rPr>
          <w:rFonts w:ascii="Times New Roman" w:hAnsi="Times New Roman"/>
          <w:sz w:val="24"/>
          <w:szCs w:val="24"/>
        </w:rPr>
        <w: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baseline also assumes that the methane generation from the diverted waste materials would have otherwise migrated through the landfill profile and soil cover. To take into account the proportion of methane that would otherwise have been oxidised in the landfill and soil cover prior to being emitted to the atmosphere the amount of avoided methane generation that can be credited as abatement needs to be reduced by the oxidation factor (OF).  </w:t>
      </w:r>
    </w:p>
    <w:p w:rsidR="00DD1A0D" w:rsidRPr="000743BB" w:rsidRDefault="00DD1A0D"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i/>
          <w:sz w:val="24"/>
          <w:szCs w:val="24"/>
        </w:rPr>
      </w:pPr>
    </w:p>
    <w:p w:rsidR="00A648A5" w:rsidRPr="000743BB" w:rsidRDefault="00A648A5" w:rsidP="004E1F46">
      <w:pPr>
        <w:pStyle w:val="h4Subdiv"/>
        <w:spacing w:before="120" w:after="120"/>
        <w:rPr>
          <w:rFonts w:ascii="Times New Roman" w:hAnsi="Times New Roman"/>
          <w:sz w:val="24"/>
          <w:szCs w:val="24"/>
        </w:rPr>
      </w:pPr>
      <w:bookmarkStart w:id="18" w:name="_Toc346885404"/>
      <w:r w:rsidRPr="000743BB">
        <w:rPr>
          <w:rFonts w:ascii="Times New Roman" w:hAnsi="Times New Roman"/>
          <w:sz w:val="24"/>
          <w:szCs w:val="24"/>
        </w:rPr>
        <w:t>Subdivision 4.2.3</w:t>
      </w:r>
      <w:r w:rsidRPr="000743BB">
        <w:rPr>
          <w:rFonts w:ascii="Times New Roman" w:hAnsi="Times New Roman"/>
          <w:sz w:val="24"/>
          <w:szCs w:val="24"/>
        </w:rPr>
        <w:tab/>
        <w:t>Calculating project emissions (E</w:t>
      </w:r>
      <w:r w:rsidRPr="000743BB">
        <w:rPr>
          <w:rFonts w:ascii="Times New Roman" w:hAnsi="Times New Roman"/>
          <w:sz w:val="24"/>
          <w:szCs w:val="24"/>
          <w:vertAlign w:val="subscript"/>
        </w:rPr>
        <w:t>p</w:t>
      </w:r>
      <w:r w:rsidRPr="000743BB">
        <w:rPr>
          <w:rFonts w:ascii="Times New Roman" w:hAnsi="Times New Roman"/>
          <w:sz w:val="24"/>
          <w:szCs w:val="24"/>
        </w:rPr>
        <w:t>)</w:t>
      </w:r>
      <w:bookmarkEnd w:id="18"/>
    </w:p>
    <w:p w:rsidR="00A648A5" w:rsidRPr="000743BB" w:rsidRDefault="00A648A5" w:rsidP="004E1F46">
      <w:pPr>
        <w:pStyle w:val="h5Section"/>
        <w:spacing w:before="120" w:after="120"/>
        <w:rPr>
          <w:rFonts w:ascii="Times New Roman" w:hAnsi="Times New Roman"/>
          <w:b w:val="0"/>
          <w:szCs w:val="24"/>
          <w:u w:val="single"/>
        </w:rPr>
      </w:pPr>
      <w:bookmarkStart w:id="19" w:name="_Toc346885405"/>
      <w:r w:rsidRPr="000743BB">
        <w:rPr>
          <w:rFonts w:ascii="Times New Roman" w:hAnsi="Times New Roman"/>
          <w:b w:val="0"/>
          <w:szCs w:val="24"/>
          <w:u w:val="single"/>
        </w:rPr>
        <w:t>4.4</w:t>
      </w:r>
      <w:r w:rsidRPr="000743BB">
        <w:rPr>
          <w:rFonts w:ascii="Times New Roman" w:hAnsi="Times New Roman"/>
          <w:b w:val="0"/>
          <w:szCs w:val="24"/>
          <w:u w:val="single"/>
        </w:rPr>
        <w:tab/>
        <w:t>Calculating project emissions</w:t>
      </w:r>
      <w:r w:rsidRPr="000743BB">
        <w:rPr>
          <w:rFonts w:ascii="Times New Roman" w:hAnsi="Times New Roman"/>
          <w:b w:val="0"/>
          <w:szCs w:val="24"/>
        </w:rPr>
        <w:t xml:space="preserve"> (E</w:t>
      </w:r>
      <w:r w:rsidRPr="000743BB">
        <w:rPr>
          <w:rFonts w:ascii="Times New Roman" w:hAnsi="Times New Roman"/>
          <w:b w:val="0"/>
          <w:szCs w:val="24"/>
          <w:vertAlign w:val="subscript"/>
        </w:rPr>
        <w:t>p</w:t>
      </w:r>
      <w:r w:rsidRPr="000743BB">
        <w:rPr>
          <w:rFonts w:ascii="Times New Roman" w:hAnsi="Times New Roman"/>
          <w:b w:val="0"/>
          <w:szCs w:val="24"/>
        </w:rPr>
        <w:t>)</w:t>
      </w:r>
      <w:bookmarkEnd w:id="19"/>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Equation 6 outlines the method for calculating project emissions.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Project emissions are:</w:t>
      </w:r>
    </w:p>
    <w:p w:rsidR="00A648A5" w:rsidRPr="000743BB" w:rsidRDefault="00A648A5" w:rsidP="00D3747C">
      <w:pPr>
        <w:pStyle w:val="ListParagraph"/>
        <w:numPr>
          <w:ilvl w:val="0"/>
          <w:numId w:val="12"/>
        </w:numPr>
        <w:spacing w:before="120" w:after="120" w:line="240" w:lineRule="auto"/>
        <w:rPr>
          <w:rFonts w:ascii="Times New Roman" w:hAnsi="Times New Roman"/>
          <w:sz w:val="24"/>
          <w:szCs w:val="24"/>
        </w:rPr>
      </w:pPr>
      <w:r w:rsidRPr="000743BB">
        <w:rPr>
          <w:rFonts w:ascii="Times New Roman" w:hAnsi="Times New Roman"/>
          <w:sz w:val="24"/>
          <w:szCs w:val="24"/>
        </w:rPr>
        <w:t>emissions from the operation of the AWT facility, which are calculated in accordance with Equation 7;</w:t>
      </w:r>
    </w:p>
    <w:p w:rsidR="00A648A5" w:rsidRPr="000743BB" w:rsidRDefault="00A648A5" w:rsidP="00D3747C">
      <w:pPr>
        <w:numPr>
          <w:ilvl w:val="0"/>
          <w:numId w:val="12"/>
        </w:numPr>
        <w:spacing w:before="120" w:after="120" w:line="240" w:lineRule="auto"/>
        <w:rPr>
          <w:rFonts w:ascii="Times New Roman" w:hAnsi="Times New Roman"/>
          <w:sz w:val="24"/>
          <w:szCs w:val="24"/>
        </w:rPr>
      </w:pPr>
      <w:r w:rsidRPr="000743BB">
        <w:rPr>
          <w:rFonts w:ascii="Times New Roman" w:hAnsi="Times New Roman"/>
          <w:sz w:val="24"/>
          <w:szCs w:val="24"/>
        </w:rPr>
        <w:t>emissions from electricity used by the operation of the AWT facility, which are calculated in accordance with Equation 8 where the conditions set out in</w:t>
      </w:r>
      <w:r w:rsidR="00493785" w:rsidRPr="000743BB">
        <w:rPr>
          <w:rFonts w:ascii="Times New Roman" w:hAnsi="Times New Roman"/>
          <w:sz w:val="24"/>
          <w:szCs w:val="24"/>
        </w:rPr>
        <w:t xml:space="preserve"> </w:t>
      </w:r>
      <w:r w:rsidR="00084AA6" w:rsidRPr="000743BB">
        <w:rPr>
          <w:rFonts w:ascii="Times New Roman" w:hAnsi="Times New Roman"/>
          <w:sz w:val="24"/>
          <w:szCs w:val="24"/>
        </w:rPr>
        <w:t>subsection</w:t>
      </w:r>
      <w:r w:rsidRPr="000743BB">
        <w:rPr>
          <w:rFonts w:ascii="Times New Roman" w:hAnsi="Times New Roman"/>
          <w:sz w:val="24"/>
          <w:szCs w:val="24"/>
        </w:rPr>
        <w:t xml:space="preserve"> (3) apply;</w:t>
      </w:r>
    </w:p>
    <w:p w:rsidR="00874CB0" w:rsidRPr="000743BB" w:rsidRDefault="00874CB0" w:rsidP="00D3747C">
      <w:pPr>
        <w:numPr>
          <w:ilvl w:val="0"/>
          <w:numId w:val="12"/>
        </w:numPr>
        <w:spacing w:before="120" w:after="120" w:line="240" w:lineRule="auto"/>
        <w:rPr>
          <w:rFonts w:ascii="Times New Roman" w:hAnsi="Times New Roman"/>
          <w:sz w:val="24"/>
          <w:szCs w:val="24"/>
        </w:rPr>
      </w:pPr>
      <w:r w:rsidRPr="000743BB">
        <w:rPr>
          <w:rFonts w:ascii="Times New Roman" w:hAnsi="Times New Roman"/>
          <w:sz w:val="24"/>
          <w:szCs w:val="24"/>
        </w:rPr>
        <w:t xml:space="preserve">emissions from the composting process, which are calculated in accordance </w:t>
      </w:r>
      <w:r w:rsidR="00493785" w:rsidRPr="000743BB">
        <w:rPr>
          <w:rFonts w:ascii="Times New Roman" w:hAnsi="Times New Roman"/>
          <w:sz w:val="24"/>
          <w:szCs w:val="24"/>
        </w:rPr>
        <w:t xml:space="preserve">with </w:t>
      </w:r>
      <w:r w:rsidRPr="000743BB">
        <w:rPr>
          <w:rFonts w:ascii="Times New Roman" w:hAnsi="Times New Roman"/>
          <w:sz w:val="24"/>
          <w:szCs w:val="24"/>
        </w:rPr>
        <w:t>Equation 9; and</w:t>
      </w:r>
    </w:p>
    <w:p w:rsidR="00A648A5" w:rsidRPr="000743BB" w:rsidRDefault="00A648A5" w:rsidP="00D3747C">
      <w:pPr>
        <w:numPr>
          <w:ilvl w:val="0"/>
          <w:numId w:val="12"/>
        </w:numPr>
        <w:spacing w:before="120" w:after="120" w:line="240" w:lineRule="auto"/>
        <w:rPr>
          <w:rFonts w:ascii="Times New Roman" w:hAnsi="Times New Roman"/>
          <w:sz w:val="24"/>
          <w:szCs w:val="24"/>
        </w:rPr>
      </w:pPr>
      <w:proofErr w:type="gramStart"/>
      <w:r w:rsidRPr="000743BB">
        <w:rPr>
          <w:rFonts w:ascii="Times New Roman" w:hAnsi="Times New Roman"/>
          <w:sz w:val="24"/>
          <w:szCs w:val="24"/>
        </w:rPr>
        <w:t>emissions</w:t>
      </w:r>
      <w:proofErr w:type="gramEnd"/>
      <w:r w:rsidRPr="000743BB">
        <w:rPr>
          <w:rFonts w:ascii="Times New Roman" w:hAnsi="Times New Roman"/>
          <w:sz w:val="24"/>
          <w:szCs w:val="24"/>
        </w:rPr>
        <w:t xml:space="preserve"> from transport, which are calculated in accordance with Equation </w:t>
      </w:r>
      <w:r w:rsidR="00874CB0" w:rsidRPr="000743BB">
        <w:rPr>
          <w:rFonts w:ascii="Times New Roman" w:hAnsi="Times New Roman"/>
          <w:sz w:val="24"/>
          <w:szCs w:val="24"/>
        </w:rPr>
        <w:t>10</w:t>
      </w:r>
      <w:r w:rsidRPr="000743BB">
        <w:rPr>
          <w:rFonts w:ascii="Times New Roman" w:hAnsi="Times New Roman"/>
          <w:sz w:val="24"/>
          <w:szCs w:val="24"/>
        </w:rPr>
        <w:t xml:space="preserve"> where the conditions set out in subsection (</w:t>
      </w:r>
      <w:r w:rsidR="00874CB0" w:rsidRPr="000743BB">
        <w:rPr>
          <w:rFonts w:ascii="Times New Roman" w:hAnsi="Times New Roman"/>
          <w:sz w:val="24"/>
          <w:szCs w:val="24"/>
        </w:rPr>
        <w:t>6</w:t>
      </w:r>
      <w:r w:rsidRPr="000743BB">
        <w:rPr>
          <w:rFonts w:ascii="Times New Roman" w:hAnsi="Times New Roman"/>
          <w:sz w:val="24"/>
          <w:szCs w:val="24"/>
        </w:rPr>
        <w:t>) apply</w:t>
      </w:r>
      <w:r w:rsidR="00874CB0" w:rsidRPr="000743BB">
        <w:rPr>
          <w:rFonts w:ascii="Times New Roman" w:hAnsi="Times New Roman"/>
          <w:sz w:val="24"/>
          <w:szCs w:val="24"/>
        </w:rPr>
        <w:t>.</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pStyle w:val="HR"/>
        <w:spacing w:before="120" w:after="120"/>
        <w:ind w:left="2268" w:hanging="2268"/>
        <w:rPr>
          <w:rFonts w:ascii="Times New Roman" w:hAnsi="Times New Roman"/>
        </w:rPr>
      </w:pPr>
      <w:r w:rsidRPr="000743BB">
        <w:rPr>
          <w:rFonts w:ascii="Times New Roman" w:hAnsi="Times New Roman"/>
        </w:rPr>
        <w:t>Subdivision 4.2.4</w:t>
      </w:r>
      <w:r w:rsidRPr="000743BB">
        <w:rPr>
          <w:rFonts w:ascii="Times New Roman" w:hAnsi="Times New Roman"/>
        </w:rPr>
        <w:tab/>
        <w:t xml:space="preserve">Calculating </w:t>
      </w:r>
      <w:r w:rsidR="00B17D01" w:rsidRPr="000743BB">
        <w:rPr>
          <w:rFonts w:ascii="Times New Roman" w:hAnsi="Times New Roman"/>
        </w:rPr>
        <w:t>net greenhouse gas</w:t>
      </w:r>
      <w:r w:rsidRPr="000743BB">
        <w:rPr>
          <w:rFonts w:ascii="Times New Roman" w:hAnsi="Times New Roman"/>
        </w:rPr>
        <w:t xml:space="preserve"> abatement amount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Paragraph 106 (1) (c) of the Act provides that a methodology determination must specify a method for calculating the carbon dioxide equivalent (CO</w:t>
      </w:r>
      <w:r w:rsidRPr="000743BB">
        <w:rPr>
          <w:rFonts w:ascii="Times New Roman" w:hAnsi="Times New Roman"/>
          <w:sz w:val="24"/>
          <w:szCs w:val="24"/>
          <w:vertAlign w:val="subscript"/>
        </w:rPr>
        <w:t>2</w:t>
      </w:r>
      <w:r w:rsidRPr="000743BB">
        <w:rPr>
          <w:rFonts w:ascii="Times New Roman" w:hAnsi="Times New Roman"/>
          <w:sz w:val="24"/>
          <w:szCs w:val="24"/>
        </w:rPr>
        <w:t>-e) net abatement amount for the project in relation to a reporting period.</w:t>
      </w:r>
    </w:p>
    <w:p w:rsidR="00A648A5" w:rsidRPr="000743BB" w:rsidRDefault="00A648A5" w:rsidP="004E1F46">
      <w:pPr>
        <w:pStyle w:val="R1"/>
        <w:spacing w:after="120" w:line="240" w:lineRule="auto"/>
      </w:pPr>
    </w:p>
    <w:p w:rsidR="00A648A5" w:rsidRPr="000743BB" w:rsidRDefault="00B17D01" w:rsidP="004E1F46">
      <w:pPr>
        <w:pStyle w:val="HR"/>
        <w:spacing w:before="120" w:after="120"/>
        <w:ind w:left="0" w:firstLine="0"/>
        <w:rPr>
          <w:rFonts w:ascii="Times New Roman" w:hAnsi="Times New Roman"/>
          <w:b w:val="0"/>
        </w:rPr>
      </w:pPr>
      <w:r w:rsidRPr="000743BB">
        <w:rPr>
          <w:rFonts w:ascii="Times New Roman" w:hAnsi="Times New Roman"/>
          <w:b w:val="0"/>
          <w:u w:val="single"/>
        </w:rPr>
        <w:t>4</w:t>
      </w:r>
      <w:r w:rsidR="00A648A5" w:rsidRPr="000743BB">
        <w:rPr>
          <w:rFonts w:ascii="Times New Roman" w:hAnsi="Times New Roman"/>
          <w:b w:val="0"/>
          <w:u w:val="single"/>
        </w:rPr>
        <w:t>.5</w:t>
      </w:r>
      <w:r w:rsidR="00A648A5" w:rsidRPr="000743BB">
        <w:rPr>
          <w:rFonts w:ascii="Times New Roman" w:hAnsi="Times New Roman"/>
          <w:b w:val="0"/>
          <w:u w:val="single"/>
        </w:rPr>
        <w:tab/>
        <w:t>Calculating the net abatement</w:t>
      </w:r>
      <w:r w:rsidR="00A648A5" w:rsidRPr="000743BB">
        <w:rPr>
          <w:rFonts w:ascii="Times New Roman" w:hAnsi="Times New Roman"/>
          <w:b w:val="0"/>
        </w:rPr>
        <w:t> (A)</w:t>
      </w:r>
    </w:p>
    <w:p w:rsidR="0059649A" w:rsidRPr="000743BB" w:rsidRDefault="00A648A5" w:rsidP="004E1F46">
      <w:pPr>
        <w:pStyle w:val="R1"/>
        <w:spacing w:after="120" w:line="240" w:lineRule="auto"/>
        <w:ind w:left="0" w:firstLine="0"/>
        <w:jc w:val="left"/>
      </w:pPr>
      <w:r w:rsidRPr="000743BB">
        <w:t>This section sets out how the carbon dioxide equivalent net abatement amount for an offsets project</w:t>
      </w:r>
      <w:r w:rsidR="0059649A" w:rsidRPr="000743BB">
        <w:t xml:space="preserve"> is calculated. </w:t>
      </w:r>
    </w:p>
    <w:p w:rsidR="0059649A" w:rsidRPr="000743BB" w:rsidRDefault="0059649A" w:rsidP="004E1F46">
      <w:pPr>
        <w:pStyle w:val="R1"/>
        <w:spacing w:after="120" w:line="240" w:lineRule="auto"/>
        <w:ind w:left="0" w:firstLine="0"/>
        <w:jc w:val="left"/>
      </w:pPr>
      <w:r w:rsidRPr="000743BB">
        <w:t>Subsection (2) provides that the carbon dioxide equivalent net abatement amount for a reporting period is equal to the sum of the abatement for each year in the reporting period, in tonnes of carbon dioxide equivalence.</w:t>
      </w:r>
    </w:p>
    <w:p w:rsidR="0059649A" w:rsidRPr="000743BB" w:rsidRDefault="0059649A" w:rsidP="0059649A">
      <w:pPr>
        <w:pStyle w:val="R2"/>
        <w:ind w:left="0" w:firstLine="0"/>
      </w:pPr>
      <w:r w:rsidRPr="000743BB">
        <w:t>Once the sum of the abatement for each year is calculated, it must then be multiplied by the global warming potential of methane, and rounded to the nearest tonne of carbon dioxide equivalent.</w:t>
      </w:r>
    </w:p>
    <w:p w:rsidR="00A648A5" w:rsidRPr="000743BB" w:rsidRDefault="00C70FAE" w:rsidP="00ED5877">
      <w:pPr>
        <w:pStyle w:val="R2"/>
        <w:spacing w:before="120" w:after="120" w:line="240" w:lineRule="auto"/>
        <w:ind w:left="0" w:firstLine="0"/>
        <w:rPr>
          <w:b/>
        </w:rPr>
      </w:pPr>
      <w:r w:rsidRPr="000743BB">
        <w:t>Section 76 of the Act sets out the rules in relation to offsets reports. Paragraph 76 (1) (d) provides that the number of years in each reporting period cannot be more than 5 years.</w:t>
      </w:r>
      <w:r w:rsidR="00A648A5" w:rsidRPr="000743BB">
        <w:rPr>
          <w:b/>
        </w:rPr>
        <w:br w:type="page"/>
      </w:r>
    </w:p>
    <w:p w:rsidR="00A648A5" w:rsidRPr="000743BB" w:rsidRDefault="00A648A5" w:rsidP="004E1F46">
      <w:pPr>
        <w:spacing w:before="120" w:after="120" w:line="240" w:lineRule="auto"/>
        <w:rPr>
          <w:rFonts w:ascii="Times New Roman" w:hAnsi="Times New Roman"/>
          <w:b/>
          <w:sz w:val="24"/>
          <w:szCs w:val="24"/>
        </w:rPr>
      </w:pPr>
      <w:bookmarkStart w:id="20" w:name="_Toc346885408"/>
      <w:r w:rsidRPr="000743BB">
        <w:rPr>
          <w:rFonts w:ascii="Times New Roman" w:hAnsi="Times New Roman"/>
          <w:b/>
          <w:sz w:val="24"/>
          <w:szCs w:val="24"/>
        </w:rPr>
        <w:lastRenderedPageBreak/>
        <w:t>Part 5</w:t>
      </w:r>
      <w:r w:rsidRPr="000743BB">
        <w:rPr>
          <w:rFonts w:ascii="Times New Roman" w:hAnsi="Times New Roman"/>
          <w:b/>
          <w:sz w:val="24"/>
          <w:szCs w:val="24"/>
        </w:rPr>
        <w:tab/>
      </w:r>
      <w:r w:rsidR="001D4D82" w:rsidRPr="000743BB">
        <w:rPr>
          <w:rFonts w:ascii="Times New Roman" w:hAnsi="Times New Roman"/>
          <w:b/>
          <w:sz w:val="24"/>
          <w:szCs w:val="24"/>
        </w:rPr>
        <w:tab/>
      </w:r>
      <w:r w:rsidRPr="000743BB">
        <w:rPr>
          <w:rFonts w:ascii="Times New Roman" w:hAnsi="Times New Roman"/>
          <w:b/>
          <w:sz w:val="24"/>
          <w:szCs w:val="24"/>
        </w:rPr>
        <w:t>Monitoring, measurement, record-keeping and reporting requirements</w:t>
      </w:r>
      <w:bookmarkEnd w:id="20"/>
    </w:p>
    <w:p w:rsidR="00A648A5" w:rsidRPr="000743BB" w:rsidRDefault="00A648A5" w:rsidP="004E1F46">
      <w:pPr>
        <w:pStyle w:val="h3Div"/>
        <w:spacing w:before="120" w:after="120"/>
        <w:rPr>
          <w:rFonts w:ascii="Times New Roman" w:hAnsi="Times New Roman" w:cs="Times New Roman"/>
          <w:sz w:val="24"/>
          <w:szCs w:val="24"/>
        </w:rPr>
      </w:pPr>
      <w:bookmarkStart w:id="21" w:name="_Toc346885409"/>
      <w:r w:rsidRPr="000743BB">
        <w:rPr>
          <w:rFonts w:ascii="Times New Roman" w:hAnsi="Times New Roman" w:cs="Times New Roman"/>
          <w:sz w:val="24"/>
          <w:szCs w:val="24"/>
        </w:rPr>
        <w:t>Division 5.1</w:t>
      </w:r>
      <w:r w:rsidRPr="000743BB">
        <w:rPr>
          <w:rFonts w:ascii="Times New Roman" w:hAnsi="Times New Roman" w:cs="Times New Roman"/>
          <w:sz w:val="24"/>
          <w:szCs w:val="24"/>
        </w:rPr>
        <w:tab/>
        <w:t>General</w:t>
      </w:r>
      <w:bookmarkEnd w:id="21"/>
    </w:p>
    <w:p w:rsidR="00A648A5" w:rsidRPr="000743BB" w:rsidRDefault="00A648A5" w:rsidP="004E1F46">
      <w:pPr>
        <w:pStyle w:val="h5Section"/>
        <w:spacing w:before="120" w:after="120"/>
        <w:rPr>
          <w:rFonts w:ascii="Times New Roman" w:hAnsi="Times New Roman"/>
          <w:b w:val="0"/>
          <w:szCs w:val="24"/>
          <w:u w:val="single"/>
        </w:rPr>
      </w:pPr>
      <w:bookmarkStart w:id="22" w:name="_Toc346885410"/>
      <w:r w:rsidRPr="000743BB">
        <w:rPr>
          <w:rFonts w:ascii="Times New Roman" w:hAnsi="Times New Roman"/>
          <w:b w:val="0"/>
          <w:szCs w:val="24"/>
          <w:u w:val="single"/>
        </w:rPr>
        <w:t>5.1</w:t>
      </w:r>
      <w:r w:rsidRPr="000743BB">
        <w:rPr>
          <w:rFonts w:ascii="Times New Roman" w:hAnsi="Times New Roman"/>
          <w:b w:val="0"/>
          <w:szCs w:val="24"/>
          <w:u w:val="single"/>
        </w:rPr>
        <w:tab/>
        <w:t>General</w:t>
      </w:r>
      <w:bookmarkEnd w:id="22"/>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The effect of paragraph 106 (3) (c) of the Act is that a methodology determination may require the project proponent of an eligible offsets project to comply with specified record</w:t>
      </w:r>
      <w:r w:rsidRPr="000743BB">
        <w:rPr>
          <w:rFonts w:ascii="Times New Roman" w:hAnsi="Times New Roman"/>
          <w:sz w:val="24"/>
          <w:szCs w:val="24"/>
        </w:rPr>
        <w:noBreakHyphen/>
        <w:t>keeping requirements relating to the project. A project proponent for an eligible offsets project who fails to comply with a record-keeping requirement will have contravened a civil penalty provision (section 193 of the Act).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division contains specific monitoring, record-keeping and reporting requirements in accordance with paragraph 106 (3) (c) of the Act. A project proponent for an eligible offsets project who fails to comply with a record-keeping requirement relating to the project will have contravened a civil penalty provision (section 193 of the Act).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The monitoring, record-keeping and reporting requirements specified in this Part are in addition to any requirements specified in the Regulations.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Under the Determination, data must be collected for the following activities at the project facility:</w:t>
      </w:r>
    </w:p>
    <w:p w:rsidR="00A648A5" w:rsidRPr="000743BB" w:rsidRDefault="00A648A5" w:rsidP="00D3747C">
      <w:pPr>
        <w:numPr>
          <w:ilvl w:val="0"/>
          <w:numId w:val="6"/>
        </w:numPr>
        <w:spacing w:before="120" w:after="120" w:line="240" w:lineRule="auto"/>
        <w:rPr>
          <w:rFonts w:ascii="Times New Roman" w:hAnsi="Times New Roman"/>
          <w:sz w:val="24"/>
          <w:szCs w:val="24"/>
        </w:rPr>
      </w:pPr>
      <w:r w:rsidRPr="000743BB">
        <w:rPr>
          <w:rFonts w:ascii="Times New Roman" w:hAnsi="Times New Roman"/>
          <w:sz w:val="24"/>
          <w:szCs w:val="24"/>
        </w:rPr>
        <w:t>legacy waste accepted by the facility, demonstrated through weighbridge records in accordance with the weighbridge protocol;</w:t>
      </w:r>
    </w:p>
    <w:p w:rsidR="00A648A5" w:rsidRPr="000743BB" w:rsidRDefault="00A648A5" w:rsidP="00D3747C">
      <w:pPr>
        <w:numPr>
          <w:ilvl w:val="0"/>
          <w:numId w:val="6"/>
        </w:numPr>
        <w:spacing w:before="120" w:after="120" w:line="240" w:lineRule="auto"/>
        <w:rPr>
          <w:rFonts w:ascii="Times New Roman" w:hAnsi="Times New Roman"/>
          <w:sz w:val="24"/>
          <w:szCs w:val="24"/>
        </w:rPr>
      </w:pPr>
      <w:r w:rsidRPr="000743BB">
        <w:rPr>
          <w:rFonts w:ascii="Times New Roman" w:hAnsi="Times New Roman"/>
          <w:sz w:val="24"/>
          <w:szCs w:val="24"/>
        </w:rPr>
        <w:t>fuel usage for all plan</w:t>
      </w:r>
      <w:r w:rsidR="00C70FAE" w:rsidRPr="000743BB">
        <w:rPr>
          <w:rFonts w:ascii="Times New Roman" w:hAnsi="Times New Roman"/>
          <w:sz w:val="24"/>
          <w:szCs w:val="24"/>
        </w:rPr>
        <w:t>t and equipment at the facility</w:t>
      </w:r>
      <w:r w:rsidRPr="000743BB">
        <w:rPr>
          <w:rFonts w:ascii="Times New Roman" w:hAnsi="Times New Roman"/>
          <w:sz w:val="24"/>
          <w:szCs w:val="24"/>
        </w:rPr>
        <w:t>; and</w:t>
      </w:r>
    </w:p>
    <w:p w:rsidR="00A648A5" w:rsidRPr="000743BB" w:rsidRDefault="00A648A5" w:rsidP="00D3747C">
      <w:pPr>
        <w:numPr>
          <w:ilvl w:val="0"/>
          <w:numId w:val="6"/>
        </w:numPr>
        <w:spacing w:before="120" w:after="120" w:line="240" w:lineRule="auto"/>
        <w:rPr>
          <w:rFonts w:ascii="Times New Roman" w:hAnsi="Times New Roman"/>
          <w:sz w:val="24"/>
          <w:szCs w:val="24"/>
        </w:rPr>
      </w:pPr>
      <w:proofErr w:type="gramStart"/>
      <w:r w:rsidRPr="000743BB">
        <w:rPr>
          <w:rFonts w:ascii="Times New Roman" w:hAnsi="Times New Roman"/>
          <w:sz w:val="24"/>
          <w:szCs w:val="24"/>
        </w:rPr>
        <w:t>product</w:t>
      </w:r>
      <w:proofErr w:type="gramEnd"/>
      <w:r w:rsidRPr="000743BB">
        <w:rPr>
          <w:rFonts w:ascii="Times New Roman" w:hAnsi="Times New Roman"/>
          <w:sz w:val="24"/>
          <w:szCs w:val="24"/>
        </w:rPr>
        <w:t xml:space="preserve"> outputs (including residual waste to landfill).</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b/>
          <w:sz w:val="24"/>
          <w:szCs w:val="24"/>
        </w:rPr>
      </w:pPr>
      <w:r w:rsidRPr="000743BB">
        <w:rPr>
          <w:rFonts w:ascii="Times New Roman" w:hAnsi="Times New Roman"/>
          <w:b/>
          <w:sz w:val="24"/>
          <w:szCs w:val="24"/>
        </w:rPr>
        <w:t>Division 5.2</w:t>
      </w:r>
      <w:r w:rsidRPr="000743BB">
        <w:rPr>
          <w:rFonts w:ascii="Times New Roman" w:hAnsi="Times New Roman"/>
          <w:b/>
          <w:sz w:val="24"/>
          <w:szCs w:val="24"/>
        </w:rPr>
        <w:tab/>
        <w:t>Measuring requirements</w:t>
      </w: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5.2</w:t>
      </w:r>
      <w:r w:rsidRPr="000743BB">
        <w:rPr>
          <w:rFonts w:ascii="Times New Roman" w:hAnsi="Times New Roman"/>
          <w:sz w:val="24"/>
          <w:szCs w:val="24"/>
          <w:u w:val="single"/>
        </w:rPr>
        <w:tab/>
      </w:r>
      <w:r w:rsidR="001D4D82" w:rsidRPr="000743BB">
        <w:rPr>
          <w:rFonts w:ascii="Times New Roman" w:hAnsi="Times New Roman"/>
          <w:sz w:val="24"/>
          <w:szCs w:val="24"/>
          <w:u w:val="single"/>
        </w:rPr>
        <w:t>Project measurement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table contained in this section sets out the data collection methods for deriving the parameters used to calculate greenhouse gas emissions and project abatement. It describes the data collection method, unit of measurement, measurement procedure and measurement frequency for each parameter used in the calculations.  </w:t>
      </w:r>
    </w:p>
    <w:p w:rsidR="00A648A5" w:rsidRPr="000743BB" w:rsidRDefault="00A648A5" w:rsidP="004E1F46">
      <w:pPr>
        <w:spacing w:before="120" w:after="120" w:line="240" w:lineRule="auto"/>
        <w:rPr>
          <w:rFonts w:ascii="Times New Roman" w:hAnsi="Times New Roman"/>
          <w:b/>
          <w:sz w:val="24"/>
          <w:szCs w:val="24"/>
        </w:rPr>
      </w:pP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 xml:space="preserve">5.3 </w:t>
      </w:r>
      <w:r w:rsidRPr="000743BB">
        <w:rPr>
          <w:rFonts w:ascii="Times New Roman" w:hAnsi="Times New Roman"/>
          <w:sz w:val="24"/>
          <w:szCs w:val="24"/>
          <w:u w:val="single"/>
        </w:rPr>
        <w:tab/>
        <w:t>Using the weighbridge protocol</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This section specifies the data that must be collected by using a weighbridge. </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weighbridge used in the project is required to be regularly </w:t>
      </w:r>
      <w:r w:rsidR="002355C0" w:rsidRPr="000743BB">
        <w:rPr>
          <w:rFonts w:ascii="Times New Roman" w:hAnsi="Times New Roman"/>
          <w:sz w:val="24"/>
          <w:szCs w:val="24"/>
        </w:rPr>
        <w:t>verified</w:t>
      </w:r>
      <w:r w:rsidRPr="000743BB">
        <w:rPr>
          <w:rFonts w:ascii="Times New Roman" w:hAnsi="Times New Roman"/>
          <w:sz w:val="24"/>
          <w:szCs w:val="24"/>
        </w:rPr>
        <w:t xml:space="preserve"> in accordance with the methods prescribed in the </w:t>
      </w:r>
      <w:r w:rsidRPr="000743BB">
        <w:rPr>
          <w:rFonts w:ascii="Times New Roman" w:hAnsi="Times New Roman"/>
          <w:i/>
          <w:sz w:val="24"/>
          <w:szCs w:val="24"/>
        </w:rPr>
        <w:t>National Measurement Act 1960</w:t>
      </w:r>
      <w:r w:rsidRPr="000743BB">
        <w:rPr>
          <w:rFonts w:ascii="Times New Roman" w:hAnsi="Times New Roman"/>
          <w:sz w:val="24"/>
          <w:szCs w:val="24"/>
        </w:rPr>
        <w: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The </w:t>
      </w:r>
      <w:r w:rsidRPr="000743BB">
        <w:rPr>
          <w:rFonts w:ascii="Times New Roman" w:hAnsi="Times New Roman"/>
          <w:i/>
          <w:sz w:val="24"/>
          <w:szCs w:val="24"/>
        </w:rPr>
        <w:t>National Measurement Act 1960</w:t>
      </w:r>
      <w:r w:rsidRPr="000743BB">
        <w:rPr>
          <w:rFonts w:ascii="Times New Roman" w:hAnsi="Times New Roman"/>
          <w:sz w:val="24"/>
          <w:szCs w:val="24"/>
        </w:rPr>
        <w:t xml:space="preserve"> is available at </w:t>
      </w:r>
      <w:r w:rsidRPr="000743BB">
        <w:rPr>
          <w:rFonts w:ascii="Times New Roman" w:hAnsi="Times New Roman"/>
          <w:sz w:val="24"/>
          <w:szCs w:val="24"/>
          <w:u w:val="single"/>
        </w:rPr>
        <w:t>http://www.comlaw.gov.au</w:t>
      </w:r>
    </w:p>
    <w:p w:rsidR="001D4D82" w:rsidRPr="000743BB" w:rsidRDefault="001D4D82" w:rsidP="004E1F46">
      <w:pPr>
        <w:spacing w:before="120" w:after="120" w:line="240" w:lineRule="auto"/>
        <w:rPr>
          <w:rFonts w:ascii="Times New Roman" w:hAnsi="Times New Roman"/>
          <w:sz w:val="24"/>
          <w:szCs w:val="24"/>
          <w:u w:val="single"/>
        </w:rPr>
      </w:pPr>
    </w:p>
    <w:p w:rsidR="00A648A5" w:rsidRPr="000743BB" w:rsidRDefault="00A648A5" w:rsidP="004E1F46">
      <w:pPr>
        <w:spacing w:before="120" w:after="120" w:line="240" w:lineRule="auto"/>
        <w:rPr>
          <w:rFonts w:ascii="Times New Roman" w:hAnsi="Times New Roman"/>
          <w:sz w:val="24"/>
          <w:szCs w:val="24"/>
          <w:u w:val="single"/>
        </w:rPr>
      </w:pPr>
      <w:r w:rsidRPr="000743BB">
        <w:rPr>
          <w:rStyle w:val="CharSectno"/>
          <w:rFonts w:ascii="Times New Roman" w:eastAsia="MS Gothiw Roman" w:hAnsi="Times New Roman"/>
          <w:b/>
          <w:bCs/>
          <w:sz w:val="24"/>
          <w:szCs w:val="24"/>
        </w:rPr>
        <w:t>Division 5.3</w:t>
      </w:r>
      <w:r w:rsidRPr="000743BB">
        <w:rPr>
          <w:rStyle w:val="CharSectno"/>
          <w:rFonts w:ascii="Times New Roman" w:eastAsia="MS Gothiw Roman" w:hAnsi="Times New Roman"/>
          <w:b/>
          <w:bCs/>
          <w:sz w:val="24"/>
          <w:szCs w:val="24"/>
        </w:rPr>
        <w:tab/>
        <w:t>Monitoring and recording requirements</w:t>
      </w: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5.</w:t>
      </w:r>
      <w:r w:rsidR="00FE4238">
        <w:rPr>
          <w:rFonts w:ascii="Times New Roman" w:hAnsi="Times New Roman"/>
          <w:sz w:val="24"/>
          <w:szCs w:val="24"/>
          <w:u w:val="single"/>
        </w:rPr>
        <w:t>4</w:t>
      </w:r>
      <w:r w:rsidRPr="000743BB">
        <w:rPr>
          <w:rFonts w:ascii="Times New Roman" w:hAnsi="Times New Roman"/>
          <w:sz w:val="24"/>
          <w:szCs w:val="24"/>
          <w:u w:val="single"/>
        </w:rPr>
        <w:tab/>
        <w:t>General</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section explains that a project proponent is required to comply with the monitoring and recording provisions set out in the Division.</w:t>
      </w:r>
    </w:p>
    <w:p w:rsidR="00A648A5" w:rsidRPr="000743BB" w:rsidRDefault="00A648A5" w:rsidP="004E1F46">
      <w:pPr>
        <w:pStyle w:val="Heading2"/>
        <w:spacing w:before="120" w:after="120" w:line="240" w:lineRule="auto"/>
        <w:rPr>
          <w:rStyle w:val="CharSectno"/>
          <w:rFonts w:ascii="Times New Roman" w:hAnsi="Times New Roman"/>
          <w:color w:val="auto"/>
          <w:sz w:val="24"/>
          <w:szCs w:val="24"/>
        </w:rPr>
      </w:pP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5.</w:t>
      </w:r>
      <w:r w:rsidR="004E77AA">
        <w:rPr>
          <w:rFonts w:ascii="Times New Roman" w:hAnsi="Times New Roman"/>
          <w:sz w:val="24"/>
          <w:szCs w:val="24"/>
          <w:u w:val="single"/>
        </w:rPr>
        <w:t>5</w:t>
      </w:r>
      <w:r w:rsidRPr="000743BB">
        <w:rPr>
          <w:rFonts w:ascii="Times New Roman" w:hAnsi="Times New Roman"/>
          <w:sz w:val="24"/>
          <w:szCs w:val="24"/>
          <w:u w:val="single"/>
        </w:rPr>
        <w:tab/>
        <w:t>Monitoring requirements</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 xml:space="preserve">This section sets out the requirements relating to monitoring. It provides that a project proponent must develop a </w:t>
      </w:r>
      <w:r w:rsidR="008E18F1" w:rsidRPr="000743BB">
        <w:rPr>
          <w:rFonts w:ascii="Times New Roman" w:hAnsi="Times New Roman"/>
          <w:sz w:val="24"/>
          <w:szCs w:val="24"/>
        </w:rPr>
        <w:t>project monitoring plan that details information about the project, including a project description, details about the organisation carrying out the project, operational information including variables in the baseline and project parameters and personnel training as required in section 5.3.</w:t>
      </w:r>
    </w:p>
    <w:p w:rsidR="00A648A5" w:rsidRPr="000743BB" w:rsidRDefault="008E18F1" w:rsidP="004E1F46">
      <w:pPr>
        <w:spacing w:before="120" w:after="120" w:line="240" w:lineRule="auto"/>
        <w:rPr>
          <w:rFonts w:ascii="Times New Roman" w:hAnsi="Times New Roman"/>
          <w:sz w:val="24"/>
          <w:szCs w:val="24"/>
        </w:rPr>
      </w:pPr>
      <w:r w:rsidRPr="000743BB">
        <w:rPr>
          <w:rFonts w:ascii="Times New Roman" w:hAnsi="Times New Roman"/>
          <w:sz w:val="24"/>
          <w:szCs w:val="24"/>
        </w:rPr>
        <w:t>As part of developing and maintaining a project monitoring plan</w:t>
      </w:r>
      <w:r w:rsidR="00F02D48" w:rsidRPr="000743BB">
        <w:rPr>
          <w:rFonts w:ascii="Times New Roman" w:hAnsi="Times New Roman"/>
          <w:sz w:val="24"/>
          <w:szCs w:val="24"/>
        </w:rPr>
        <w:t>, project proponents should undertake an internal verification program.</w:t>
      </w:r>
      <w:r w:rsidRPr="000743BB">
        <w:rPr>
          <w:rFonts w:ascii="Times New Roman" w:hAnsi="Times New Roman"/>
          <w:sz w:val="24"/>
          <w:szCs w:val="24"/>
        </w:rPr>
        <w:t xml:space="preserve"> </w:t>
      </w:r>
      <w:r w:rsidR="00A648A5" w:rsidRPr="000743BB">
        <w:rPr>
          <w:rFonts w:ascii="Times New Roman" w:hAnsi="Times New Roman"/>
          <w:sz w:val="24"/>
          <w:szCs w:val="24"/>
        </w:rPr>
        <w:t xml:space="preserve">An example verification program would </w:t>
      </w:r>
      <w:r w:rsidR="00F02D48" w:rsidRPr="000743BB">
        <w:rPr>
          <w:rFonts w:ascii="Times New Roman" w:hAnsi="Times New Roman"/>
          <w:sz w:val="24"/>
          <w:szCs w:val="24"/>
        </w:rPr>
        <w:t>include</w:t>
      </w:r>
      <w:r w:rsidR="00A648A5" w:rsidRPr="000743BB">
        <w:rPr>
          <w:rFonts w:ascii="Times New Roman" w:hAnsi="Times New Roman"/>
          <w:sz w:val="24"/>
          <w:szCs w:val="24"/>
        </w:rPr>
        <w:t>:</w:t>
      </w:r>
    </w:p>
    <w:p w:rsidR="00A648A5" w:rsidRPr="000743BB" w:rsidRDefault="00B0110F" w:rsidP="00D3747C">
      <w:pPr>
        <w:numPr>
          <w:ilvl w:val="1"/>
          <w:numId w:val="13"/>
        </w:numPr>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w</w:t>
      </w:r>
      <w:r w:rsidR="00F02D48" w:rsidRPr="000743BB">
        <w:rPr>
          <w:rFonts w:ascii="Times New Roman" w:hAnsi="Times New Roman"/>
          <w:sz w:val="24"/>
          <w:szCs w:val="24"/>
        </w:rPr>
        <w:t>eighbridge data:</w:t>
      </w:r>
    </w:p>
    <w:p w:rsidR="00A648A5" w:rsidRPr="000743BB" w:rsidRDefault="00F02D48" w:rsidP="006D0EF3">
      <w:pPr>
        <w:pStyle w:val="ListParagraph"/>
        <w:numPr>
          <w:ilvl w:val="0"/>
          <w:numId w:val="22"/>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v</w:t>
      </w:r>
      <w:r w:rsidR="00A648A5" w:rsidRPr="000743BB">
        <w:rPr>
          <w:rFonts w:ascii="Times New Roman" w:hAnsi="Times New Roman"/>
          <w:sz w:val="24"/>
          <w:szCs w:val="24"/>
        </w:rPr>
        <w:t>erify two daily p</w:t>
      </w:r>
      <w:r w:rsidRPr="000743BB">
        <w:rPr>
          <w:rFonts w:ascii="Times New Roman" w:hAnsi="Times New Roman"/>
          <w:sz w:val="24"/>
          <w:szCs w:val="24"/>
        </w:rPr>
        <w:t>eriods of the weighbridge data;</w:t>
      </w:r>
    </w:p>
    <w:p w:rsidR="00A648A5" w:rsidRPr="000743BB" w:rsidRDefault="00F02D48" w:rsidP="006D0EF3">
      <w:pPr>
        <w:numPr>
          <w:ilvl w:val="2"/>
          <w:numId w:val="23"/>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v</w:t>
      </w:r>
      <w:r w:rsidR="00A648A5" w:rsidRPr="000743BB">
        <w:rPr>
          <w:rFonts w:ascii="Times New Roman" w:hAnsi="Times New Roman"/>
          <w:sz w:val="24"/>
          <w:szCs w:val="24"/>
        </w:rPr>
        <w:t>erify two month p</w:t>
      </w:r>
      <w:r w:rsidRPr="000743BB">
        <w:rPr>
          <w:rFonts w:ascii="Times New Roman" w:hAnsi="Times New Roman"/>
          <w:sz w:val="24"/>
          <w:szCs w:val="24"/>
        </w:rPr>
        <w:t>eriods of the weighbridge data;</w:t>
      </w:r>
      <w:r w:rsidR="00ED5877" w:rsidRPr="000743BB">
        <w:rPr>
          <w:rFonts w:ascii="Times New Roman" w:hAnsi="Times New Roman"/>
          <w:sz w:val="24"/>
          <w:szCs w:val="24"/>
        </w:rPr>
        <w:t xml:space="preserve"> and</w:t>
      </w:r>
    </w:p>
    <w:p w:rsidR="00A648A5" w:rsidRPr="000743BB" w:rsidRDefault="00F02D48" w:rsidP="006D0EF3">
      <w:pPr>
        <w:numPr>
          <w:ilvl w:val="2"/>
          <w:numId w:val="23"/>
        </w:numPr>
        <w:autoSpaceDE w:val="0"/>
        <w:autoSpaceDN w:val="0"/>
        <w:adjustRightInd w:val="0"/>
        <w:spacing w:before="120" w:after="120" w:line="240" w:lineRule="auto"/>
        <w:rPr>
          <w:rFonts w:ascii="Times New Roman" w:hAnsi="Times New Roman"/>
          <w:sz w:val="24"/>
          <w:szCs w:val="24"/>
        </w:rPr>
      </w:pPr>
      <w:proofErr w:type="gramStart"/>
      <w:r w:rsidRPr="000743BB">
        <w:rPr>
          <w:rFonts w:ascii="Times New Roman" w:hAnsi="Times New Roman"/>
          <w:sz w:val="24"/>
          <w:szCs w:val="24"/>
        </w:rPr>
        <w:t>v</w:t>
      </w:r>
      <w:r w:rsidR="00A648A5" w:rsidRPr="000743BB">
        <w:rPr>
          <w:rFonts w:ascii="Times New Roman" w:hAnsi="Times New Roman"/>
          <w:sz w:val="24"/>
          <w:szCs w:val="24"/>
        </w:rPr>
        <w:t>erify</w:t>
      </w:r>
      <w:proofErr w:type="gramEnd"/>
      <w:r w:rsidR="00A648A5" w:rsidRPr="000743BB">
        <w:rPr>
          <w:rFonts w:ascii="Times New Roman" w:hAnsi="Times New Roman"/>
          <w:sz w:val="24"/>
          <w:szCs w:val="24"/>
        </w:rPr>
        <w:t xml:space="preserve"> annual totals and calculation methodologies. </w:t>
      </w:r>
    </w:p>
    <w:p w:rsidR="00A648A5" w:rsidRPr="000743BB" w:rsidRDefault="00B0110F" w:rsidP="00D3747C">
      <w:pPr>
        <w:numPr>
          <w:ilvl w:val="1"/>
          <w:numId w:val="13"/>
        </w:numPr>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e</w:t>
      </w:r>
      <w:r w:rsidR="00A648A5" w:rsidRPr="000743BB">
        <w:rPr>
          <w:rFonts w:ascii="Times New Roman" w:hAnsi="Times New Roman"/>
          <w:sz w:val="24"/>
          <w:szCs w:val="24"/>
        </w:rPr>
        <w:t>lectricity consumption</w:t>
      </w:r>
      <w:r w:rsidR="00F02D48" w:rsidRPr="000743BB">
        <w:rPr>
          <w:rFonts w:ascii="Times New Roman" w:hAnsi="Times New Roman"/>
          <w:sz w:val="24"/>
          <w:szCs w:val="24"/>
        </w:rPr>
        <w:t>:</w:t>
      </w:r>
    </w:p>
    <w:p w:rsidR="00A648A5" w:rsidRPr="000743BB" w:rsidRDefault="00F02D48" w:rsidP="006D0EF3">
      <w:pPr>
        <w:numPr>
          <w:ilvl w:val="2"/>
          <w:numId w:val="24"/>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v</w:t>
      </w:r>
      <w:r w:rsidR="00A648A5" w:rsidRPr="000743BB">
        <w:rPr>
          <w:rFonts w:ascii="Times New Roman" w:hAnsi="Times New Roman"/>
          <w:sz w:val="24"/>
          <w:szCs w:val="24"/>
        </w:rPr>
        <w:t>erify calculat</w:t>
      </w:r>
      <w:r w:rsidRPr="000743BB">
        <w:rPr>
          <w:rFonts w:ascii="Times New Roman" w:hAnsi="Times New Roman"/>
          <w:sz w:val="24"/>
          <w:szCs w:val="24"/>
        </w:rPr>
        <w:t>ion methodology;</w:t>
      </w:r>
      <w:r w:rsidR="00A648A5" w:rsidRPr="000743BB">
        <w:rPr>
          <w:rFonts w:ascii="Times New Roman" w:hAnsi="Times New Roman"/>
          <w:sz w:val="24"/>
          <w:szCs w:val="24"/>
        </w:rPr>
        <w:t xml:space="preserve"> </w:t>
      </w:r>
    </w:p>
    <w:p w:rsidR="00A648A5" w:rsidRPr="000743BB" w:rsidRDefault="00F02D48" w:rsidP="006D0EF3">
      <w:pPr>
        <w:numPr>
          <w:ilvl w:val="2"/>
          <w:numId w:val="24"/>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v</w:t>
      </w:r>
      <w:r w:rsidR="00A648A5" w:rsidRPr="000743BB">
        <w:rPr>
          <w:rFonts w:ascii="Times New Roman" w:hAnsi="Times New Roman"/>
          <w:sz w:val="24"/>
          <w:szCs w:val="24"/>
        </w:rPr>
        <w:t>erify two month per</w:t>
      </w:r>
      <w:r w:rsidRPr="000743BB">
        <w:rPr>
          <w:rFonts w:ascii="Times New Roman" w:hAnsi="Times New Roman"/>
          <w:sz w:val="24"/>
          <w:szCs w:val="24"/>
        </w:rPr>
        <w:t>iods are accurate and complete;</w:t>
      </w:r>
      <w:r w:rsidR="00ED5877" w:rsidRPr="000743BB">
        <w:rPr>
          <w:rFonts w:ascii="Times New Roman" w:hAnsi="Times New Roman"/>
          <w:sz w:val="24"/>
          <w:szCs w:val="24"/>
        </w:rPr>
        <w:t xml:space="preserve"> and</w:t>
      </w:r>
    </w:p>
    <w:p w:rsidR="00A648A5" w:rsidRPr="000743BB" w:rsidRDefault="00F02D48" w:rsidP="006D0EF3">
      <w:pPr>
        <w:numPr>
          <w:ilvl w:val="2"/>
          <w:numId w:val="24"/>
        </w:numPr>
        <w:autoSpaceDE w:val="0"/>
        <w:autoSpaceDN w:val="0"/>
        <w:adjustRightInd w:val="0"/>
        <w:spacing w:before="120" w:after="120" w:line="240" w:lineRule="auto"/>
        <w:rPr>
          <w:rFonts w:ascii="Times New Roman" w:hAnsi="Times New Roman"/>
          <w:sz w:val="24"/>
          <w:szCs w:val="24"/>
        </w:rPr>
      </w:pPr>
      <w:proofErr w:type="gramStart"/>
      <w:r w:rsidRPr="000743BB">
        <w:rPr>
          <w:rFonts w:ascii="Times New Roman" w:hAnsi="Times New Roman"/>
          <w:sz w:val="24"/>
          <w:szCs w:val="24"/>
        </w:rPr>
        <w:t>v</w:t>
      </w:r>
      <w:r w:rsidR="00A648A5" w:rsidRPr="000743BB">
        <w:rPr>
          <w:rFonts w:ascii="Times New Roman" w:hAnsi="Times New Roman"/>
          <w:sz w:val="24"/>
          <w:szCs w:val="24"/>
        </w:rPr>
        <w:t>erify</w:t>
      </w:r>
      <w:proofErr w:type="gramEnd"/>
      <w:r w:rsidR="00A648A5" w:rsidRPr="000743BB">
        <w:rPr>
          <w:rFonts w:ascii="Times New Roman" w:hAnsi="Times New Roman"/>
          <w:sz w:val="24"/>
          <w:szCs w:val="24"/>
        </w:rPr>
        <w:t xml:space="preserve"> annual totals and calculation methodologies. </w:t>
      </w:r>
    </w:p>
    <w:p w:rsidR="00A648A5" w:rsidRPr="000743BB" w:rsidRDefault="00B0110F" w:rsidP="00D3747C">
      <w:pPr>
        <w:numPr>
          <w:ilvl w:val="1"/>
          <w:numId w:val="13"/>
        </w:numPr>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f</w:t>
      </w:r>
      <w:r w:rsidR="00F02D48" w:rsidRPr="000743BB">
        <w:rPr>
          <w:rFonts w:ascii="Times New Roman" w:hAnsi="Times New Roman"/>
          <w:sz w:val="24"/>
          <w:szCs w:val="24"/>
        </w:rPr>
        <w:t>uel consumption:</w:t>
      </w:r>
    </w:p>
    <w:p w:rsidR="00A648A5" w:rsidRPr="000743BB" w:rsidRDefault="00F02D48" w:rsidP="006D0EF3">
      <w:pPr>
        <w:numPr>
          <w:ilvl w:val="2"/>
          <w:numId w:val="25"/>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verify calculation methodology;</w:t>
      </w:r>
      <w:r w:rsidR="00A648A5" w:rsidRPr="000743BB">
        <w:rPr>
          <w:rFonts w:ascii="Times New Roman" w:hAnsi="Times New Roman"/>
          <w:sz w:val="24"/>
          <w:szCs w:val="24"/>
        </w:rPr>
        <w:t xml:space="preserve"> </w:t>
      </w:r>
    </w:p>
    <w:p w:rsidR="00A648A5" w:rsidRPr="000743BB" w:rsidRDefault="00F02D48" w:rsidP="006D0EF3">
      <w:pPr>
        <w:numPr>
          <w:ilvl w:val="2"/>
          <w:numId w:val="25"/>
        </w:num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v</w:t>
      </w:r>
      <w:r w:rsidR="00A648A5" w:rsidRPr="000743BB">
        <w:rPr>
          <w:rFonts w:ascii="Times New Roman" w:hAnsi="Times New Roman"/>
          <w:sz w:val="24"/>
          <w:szCs w:val="24"/>
        </w:rPr>
        <w:t>erify two month pe</w:t>
      </w:r>
      <w:r w:rsidRPr="000743BB">
        <w:rPr>
          <w:rFonts w:ascii="Times New Roman" w:hAnsi="Times New Roman"/>
          <w:sz w:val="24"/>
          <w:szCs w:val="24"/>
        </w:rPr>
        <w:t>riods are accurate and complete;</w:t>
      </w:r>
      <w:r w:rsidR="00A648A5" w:rsidRPr="000743BB">
        <w:rPr>
          <w:rFonts w:ascii="Times New Roman" w:hAnsi="Times New Roman"/>
          <w:sz w:val="24"/>
          <w:szCs w:val="24"/>
        </w:rPr>
        <w:t xml:space="preserve"> </w:t>
      </w:r>
      <w:r w:rsidR="00ED5877" w:rsidRPr="000743BB">
        <w:rPr>
          <w:rFonts w:ascii="Times New Roman" w:hAnsi="Times New Roman"/>
          <w:sz w:val="24"/>
          <w:szCs w:val="24"/>
        </w:rPr>
        <w:t>and</w:t>
      </w:r>
    </w:p>
    <w:p w:rsidR="00A648A5" w:rsidRPr="000743BB" w:rsidRDefault="00F02D48" w:rsidP="006D0EF3">
      <w:pPr>
        <w:numPr>
          <w:ilvl w:val="2"/>
          <w:numId w:val="25"/>
        </w:numPr>
        <w:autoSpaceDE w:val="0"/>
        <w:autoSpaceDN w:val="0"/>
        <w:adjustRightInd w:val="0"/>
        <w:spacing w:before="120" w:after="120" w:line="240" w:lineRule="auto"/>
        <w:rPr>
          <w:rFonts w:ascii="Times New Roman" w:hAnsi="Times New Roman"/>
          <w:sz w:val="24"/>
          <w:szCs w:val="24"/>
        </w:rPr>
      </w:pPr>
      <w:proofErr w:type="gramStart"/>
      <w:r w:rsidRPr="000743BB">
        <w:rPr>
          <w:rFonts w:ascii="Times New Roman" w:hAnsi="Times New Roman"/>
          <w:sz w:val="24"/>
          <w:szCs w:val="24"/>
        </w:rPr>
        <w:t>v</w:t>
      </w:r>
      <w:r w:rsidR="00A648A5" w:rsidRPr="000743BB">
        <w:rPr>
          <w:rFonts w:ascii="Times New Roman" w:hAnsi="Times New Roman"/>
          <w:sz w:val="24"/>
          <w:szCs w:val="24"/>
        </w:rPr>
        <w:t>erify</w:t>
      </w:r>
      <w:proofErr w:type="gramEnd"/>
      <w:r w:rsidR="00A648A5" w:rsidRPr="000743BB">
        <w:rPr>
          <w:rFonts w:ascii="Times New Roman" w:hAnsi="Times New Roman"/>
          <w:sz w:val="24"/>
          <w:szCs w:val="24"/>
        </w:rPr>
        <w:t xml:space="preserve"> annual totals and calculation methodologies. </w:t>
      </w:r>
    </w:p>
    <w:p w:rsidR="00F02D48" w:rsidRPr="000743BB" w:rsidRDefault="00F02D48" w:rsidP="004E1F46">
      <w:pPr>
        <w:autoSpaceDE w:val="0"/>
        <w:autoSpaceDN w:val="0"/>
        <w:adjustRightInd w:val="0"/>
        <w:spacing w:before="120" w:after="120" w:line="240" w:lineRule="auto"/>
        <w:ind w:left="1080"/>
        <w:rPr>
          <w:rFonts w:ascii="Times New Roman" w:hAnsi="Times New Roman"/>
          <w:sz w:val="24"/>
          <w:szCs w:val="24"/>
        </w:rPr>
      </w:pPr>
    </w:p>
    <w:p w:rsidR="00A648A5" w:rsidRPr="000743BB" w:rsidRDefault="00F02D48" w:rsidP="001D4D82">
      <w:pPr>
        <w:autoSpaceDE w:val="0"/>
        <w:autoSpaceDN w:val="0"/>
        <w:adjustRightInd w:val="0"/>
        <w:spacing w:before="120" w:after="120" w:line="240" w:lineRule="auto"/>
        <w:rPr>
          <w:rFonts w:ascii="Times New Roman" w:hAnsi="Times New Roman"/>
          <w:sz w:val="24"/>
          <w:szCs w:val="24"/>
        </w:rPr>
      </w:pPr>
      <w:r w:rsidRPr="000743BB">
        <w:rPr>
          <w:rFonts w:ascii="Times New Roman" w:hAnsi="Times New Roman"/>
          <w:sz w:val="24"/>
          <w:szCs w:val="24"/>
        </w:rPr>
        <w:t xml:space="preserve">The project monitoring plan should also undergo a review process to ensure that it is up to date and accurate. </w:t>
      </w:r>
      <w:r w:rsidR="00A648A5" w:rsidRPr="000743BB">
        <w:rPr>
          <w:rFonts w:ascii="Times New Roman" w:hAnsi="Times New Roman"/>
          <w:sz w:val="24"/>
          <w:szCs w:val="24"/>
        </w:rPr>
        <w:t>As an example, this review could include:</w:t>
      </w:r>
    </w:p>
    <w:p w:rsidR="00A648A5" w:rsidRPr="000743BB" w:rsidRDefault="00B0110F" w:rsidP="00D3747C">
      <w:pPr>
        <w:numPr>
          <w:ilvl w:val="1"/>
          <w:numId w:val="13"/>
        </w:numPr>
        <w:autoSpaceDE w:val="0"/>
        <w:autoSpaceDN w:val="0"/>
        <w:adjustRightInd w:val="0"/>
        <w:spacing w:before="120" w:after="120" w:line="240" w:lineRule="auto"/>
        <w:ind w:hanging="357"/>
        <w:jc w:val="both"/>
        <w:rPr>
          <w:rFonts w:ascii="Times New Roman" w:hAnsi="Times New Roman"/>
          <w:sz w:val="24"/>
          <w:szCs w:val="24"/>
        </w:rPr>
      </w:pPr>
      <w:r>
        <w:rPr>
          <w:rFonts w:ascii="Times New Roman" w:hAnsi="Times New Roman"/>
          <w:sz w:val="24"/>
          <w:szCs w:val="24"/>
        </w:rPr>
        <w:t>w</w:t>
      </w:r>
      <w:r w:rsidR="00F02D48" w:rsidRPr="000743BB">
        <w:rPr>
          <w:rFonts w:ascii="Times New Roman" w:hAnsi="Times New Roman"/>
          <w:sz w:val="24"/>
          <w:szCs w:val="24"/>
        </w:rPr>
        <w:t>hether t</w:t>
      </w:r>
      <w:r w:rsidR="00A648A5" w:rsidRPr="000743BB">
        <w:rPr>
          <w:rFonts w:ascii="Times New Roman" w:hAnsi="Times New Roman"/>
          <w:sz w:val="24"/>
          <w:szCs w:val="24"/>
        </w:rPr>
        <w:t xml:space="preserve">he database </w:t>
      </w:r>
      <w:r w:rsidR="00F02D48" w:rsidRPr="000743BB">
        <w:rPr>
          <w:rFonts w:ascii="Times New Roman" w:hAnsi="Times New Roman"/>
          <w:sz w:val="24"/>
          <w:szCs w:val="24"/>
        </w:rPr>
        <w:t xml:space="preserve">for aggregate inventory </w:t>
      </w:r>
      <w:r w:rsidR="00A648A5" w:rsidRPr="000743BB">
        <w:rPr>
          <w:rFonts w:ascii="Times New Roman" w:hAnsi="Times New Roman"/>
          <w:sz w:val="24"/>
          <w:szCs w:val="24"/>
        </w:rPr>
        <w:t>identifies sources (operational sites) of en</w:t>
      </w:r>
      <w:r w:rsidR="00F02D48" w:rsidRPr="000743BB">
        <w:rPr>
          <w:rFonts w:ascii="Times New Roman" w:hAnsi="Times New Roman"/>
          <w:sz w:val="24"/>
          <w:szCs w:val="24"/>
        </w:rPr>
        <w:t>ergy, waste and production data;</w:t>
      </w:r>
    </w:p>
    <w:p w:rsidR="00A648A5" w:rsidRPr="000743BB" w:rsidRDefault="00B0110F" w:rsidP="00D3747C">
      <w:pPr>
        <w:numPr>
          <w:ilvl w:val="1"/>
          <w:numId w:val="13"/>
        </w:numPr>
        <w:autoSpaceDE w:val="0"/>
        <w:autoSpaceDN w:val="0"/>
        <w:adjustRightInd w:val="0"/>
        <w:spacing w:before="120" w:after="120" w:line="240" w:lineRule="auto"/>
        <w:ind w:hanging="357"/>
        <w:jc w:val="both"/>
        <w:rPr>
          <w:rFonts w:ascii="Times New Roman" w:hAnsi="Times New Roman"/>
          <w:sz w:val="24"/>
          <w:szCs w:val="24"/>
        </w:rPr>
      </w:pPr>
      <w:r>
        <w:rPr>
          <w:rFonts w:ascii="Times New Roman" w:hAnsi="Times New Roman"/>
          <w:sz w:val="24"/>
          <w:szCs w:val="24"/>
        </w:rPr>
        <w:t>w</w:t>
      </w:r>
      <w:r w:rsidR="00F02D48" w:rsidRPr="000743BB">
        <w:rPr>
          <w:rFonts w:ascii="Times New Roman" w:hAnsi="Times New Roman"/>
          <w:sz w:val="24"/>
          <w:szCs w:val="24"/>
        </w:rPr>
        <w:t>hether d</w:t>
      </w:r>
      <w:r w:rsidR="00A648A5" w:rsidRPr="000743BB">
        <w:rPr>
          <w:rFonts w:ascii="Times New Roman" w:hAnsi="Times New Roman"/>
          <w:sz w:val="24"/>
          <w:szCs w:val="24"/>
        </w:rPr>
        <w:t xml:space="preserve">ata import from </w:t>
      </w:r>
      <w:r w:rsidR="00F02D48" w:rsidRPr="000743BB">
        <w:rPr>
          <w:rFonts w:ascii="Times New Roman" w:hAnsi="Times New Roman"/>
          <w:sz w:val="24"/>
          <w:szCs w:val="24"/>
        </w:rPr>
        <w:t>w</w:t>
      </w:r>
      <w:r w:rsidR="00A648A5" w:rsidRPr="000743BB">
        <w:rPr>
          <w:rFonts w:ascii="Times New Roman" w:hAnsi="Times New Roman"/>
          <w:sz w:val="24"/>
          <w:szCs w:val="24"/>
        </w:rPr>
        <w:t xml:space="preserve">eighbridge systems, fuel and electricity accounts match with that recorded in </w:t>
      </w:r>
      <w:r w:rsidR="00F02D48" w:rsidRPr="000743BB">
        <w:rPr>
          <w:rFonts w:ascii="Times New Roman" w:hAnsi="Times New Roman"/>
          <w:sz w:val="24"/>
          <w:szCs w:val="24"/>
        </w:rPr>
        <w:t>the d</w:t>
      </w:r>
      <w:r w:rsidR="00A648A5" w:rsidRPr="000743BB">
        <w:rPr>
          <w:rFonts w:ascii="Times New Roman" w:hAnsi="Times New Roman"/>
          <w:sz w:val="24"/>
          <w:szCs w:val="24"/>
        </w:rPr>
        <w:t xml:space="preserve">ata </w:t>
      </w:r>
      <w:r w:rsidR="00F02D48" w:rsidRPr="000743BB">
        <w:rPr>
          <w:rFonts w:ascii="Times New Roman" w:hAnsi="Times New Roman"/>
          <w:sz w:val="24"/>
          <w:szCs w:val="24"/>
        </w:rPr>
        <w:t>i</w:t>
      </w:r>
      <w:r w:rsidR="00A648A5" w:rsidRPr="000743BB">
        <w:rPr>
          <w:rFonts w:ascii="Times New Roman" w:hAnsi="Times New Roman"/>
          <w:sz w:val="24"/>
          <w:szCs w:val="24"/>
        </w:rPr>
        <w:t xml:space="preserve">nput </w:t>
      </w:r>
      <w:r w:rsidR="00F02D48" w:rsidRPr="000743BB">
        <w:rPr>
          <w:rFonts w:ascii="Times New Roman" w:hAnsi="Times New Roman"/>
          <w:sz w:val="24"/>
          <w:szCs w:val="24"/>
        </w:rPr>
        <w:t>matrix of the</w:t>
      </w:r>
      <w:r w:rsidR="00A648A5" w:rsidRPr="000743BB">
        <w:rPr>
          <w:rFonts w:ascii="Times New Roman" w:hAnsi="Times New Roman"/>
          <w:sz w:val="24"/>
          <w:szCs w:val="24"/>
        </w:rPr>
        <w:t xml:space="preserve"> spreadsheet </w:t>
      </w:r>
      <w:r w:rsidR="00F02D48" w:rsidRPr="000743BB">
        <w:rPr>
          <w:rFonts w:ascii="Times New Roman" w:hAnsi="Times New Roman"/>
          <w:sz w:val="24"/>
          <w:szCs w:val="24"/>
        </w:rPr>
        <w:t>used for each month;</w:t>
      </w:r>
    </w:p>
    <w:p w:rsidR="00A648A5" w:rsidRPr="000743BB" w:rsidRDefault="00B0110F" w:rsidP="00D3747C">
      <w:pPr>
        <w:numPr>
          <w:ilvl w:val="1"/>
          <w:numId w:val="13"/>
        </w:numPr>
        <w:autoSpaceDE w:val="0"/>
        <w:autoSpaceDN w:val="0"/>
        <w:adjustRightInd w:val="0"/>
        <w:spacing w:before="120" w:after="120" w:line="240" w:lineRule="auto"/>
        <w:ind w:hanging="357"/>
        <w:jc w:val="both"/>
        <w:rPr>
          <w:rFonts w:ascii="Times New Roman" w:hAnsi="Times New Roman"/>
          <w:sz w:val="24"/>
          <w:szCs w:val="24"/>
        </w:rPr>
      </w:pPr>
      <w:r>
        <w:rPr>
          <w:rFonts w:ascii="Times New Roman" w:hAnsi="Times New Roman"/>
          <w:sz w:val="24"/>
          <w:szCs w:val="24"/>
        </w:rPr>
        <w:t>a</w:t>
      </w:r>
      <w:r w:rsidR="00F02D48" w:rsidRPr="000743BB">
        <w:rPr>
          <w:rFonts w:ascii="Times New Roman" w:hAnsi="Times New Roman"/>
          <w:sz w:val="24"/>
          <w:szCs w:val="24"/>
        </w:rPr>
        <w:t xml:space="preserve"> r</w:t>
      </w:r>
      <w:r w:rsidR="00A648A5" w:rsidRPr="000743BB">
        <w:rPr>
          <w:rFonts w:ascii="Times New Roman" w:hAnsi="Times New Roman"/>
          <w:sz w:val="24"/>
          <w:szCs w:val="24"/>
        </w:rPr>
        <w:t xml:space="preserve">eview </w:t>
      </w:r>
      <w:r w:rsidR="00F02D48" w:rsidRPr="000743BB">
        <w:rPr>
          <w:rFonts w:ascii="Times New Roman" w:hAnsi="Times New Roman"/>
          <w:sz w:val="24"/>
          <w:szCs w:val="24"/>
        </w:rPr>
        <w:t>of</w:t>
      </w:r>
      <w:r w:rsidR="00A648A5" w:rsidRPr="000743BB">
        <w:rPr>
          <w:rFonts w:ascii="Times New Roman" w:hAnsi="Times New Roman"/>
          <w:sz w:val="24"/>
          <w:szCs w:val="24"/>
        </w:rPr>
        <w:t xml:space="preserve"> the definitions of the input and outputs of the process to ensure that</w:t>
      </w:r>
      <w:r w:rsidR="00F02D48" w:rsidRPr="000743BB">
        <w:rPr>
          <w:rFonts w:ascii="Times New Roman" w:hAnsi="Times New Roman"/>
          <w:sz w:val="24"/>
          <w:szCs w:val="24"/>
        </w:rPr>
        <w:t xml:space="preserve"> they are correct and relevant;</w:t>
      </w:r>
    </w:p>
    <w:p w:rsidR="00A648A5" w:rsidRPr="000743BB" w:rsidRDefault="00B0110F" w:rsidP="00D3747C">
      <w:pPr>
        <w:numPr>
          <w:ilvl w:val="1"/>
          <w:numId w:val="13"/>
        </w:numPr>
        <w:autoSpaceDE w:val="0"/>
        <w:autoSpaceDN w:val="0"/>
        <w:adjustRightInd w:val="0"/>
        <w:spacing w:before="120" w:after="120" w:line="240" w:lineRule="auto"/>
        <w:ind w:hanging="357"/>
        <w:jc w:val="both"/>
        <w:rPr>
          <w:rFonts w:ascii="Times New Roman" w:hAnsi="Times New Roman"/>
          <w:sz w:val="24"/>
          <w:szCs w:val="24"/>
        </w:rPr>
      </w:pPr>
      <w:r>
        <w:rPr>
          <w:rFonts w:ascii="Times New Roman" w:hAnsi="Times New Roman"/>
          <w:sz w:val="24"/>
          <w:szCs w:val="24"/>
        </w:rPr>
        <w:t>v</w:t>
      </w:r>
      <w:r w:rsidR="00F02D48" w:rsidRPr="000743BB">
        <w:rPr>
          <w:rFonts w:ascii="Times New Roman" w:hAnsi="Times New Roman"/>
          <w:sz w:val="24"/>
          <w:szCs w:val="24"/>
        </w:rPr>
        <w:t>erification,</w:t>
      </w:r>
      <w:r w:rsidR="00A648A5" w:rsidRPr="000743BB">
        <w:rPr>
          <w:rFonts w:ascii="Times New Roman" w:hAnsi="Times New Roman"/>
          <w:sz w:val="24"/>
          <w:szCs w:val="24"/>
        </w:rPr>
        <w:t xml:space="preserve"> by sample</w:t>
      </w:r>
      <w:r w:rsidR="00F02D48" w:rsidRPr="000743BB">
        <w:rPr>
          <w:rFonts w:ascii="Times New Roman" w:hAnsi="Times New Roman"/>
          <w:sz w:val="24"/>
          <w:szCs w:val="24"/>
        </w:rPr>
        <w:t>,</w:t>
      </w:r>
      <w:r w:rsidR="00A648A5" w:rsidRPr="000743BB">
        <w:rPr>
          <w:rFonts w:ascii="Times New Roman" w:hAnsi="Times New Roman"/>
          <w:sz w:val="24"/>
          <w:szCs w:val="24"/>
        </w:rPr>
        <w:t xml:space="preserve"> that measuring units for all data are cons</w:t>
      </w:r>
      <w:r w:rsidR="00F02D48" w:rsidRPr="000743BB">
        <w:rPr>
          <w:rFonts w:ascii="Times New Roman" w:hAnsi="Times New Roman"/>
          <w:sz w:val="24"/>
          <w:szCs w:val="24"/>
        </w:rPr>
        <w:t>istent and accurately compiled;</w:t>
      </w:r>
    </w:p>
    <w:p w:rsidR="00A648A5" w:rsidRPr="000743BB" w:rsidRDefault="00B0110F" w:rsidP="00D3747C">
      <w:pPr>
        <w:numPr>
          <w:ilvl w:val="1"/>
          <w:numId w:val="13"/>
        </w:numPr>
        <w:autoSpaceDE w:val="0"/>
        <w:autoSpaceDN w:val="0"/>
        <w:adjustRightInd w:val="0"/>
        <w:spacing w:before="120" w:after="120" w:line="240" w:lineRule="auto"/>
        <w:ind w:hanging="357"/>
        <w:jc w:val="both"/>
        <w:rPr>
          <w:rFonts w:ascii="Times New Roman" w:hAnsi="Times New Roman"/>
          <w:sz w:val="24"/>
          <w:szCs w:val="24"/>
        </w:rPr>
      </w:pPr>
      <w:r>
        <w:rPr>
          <w:rFonts w:ascii="Times New Roman" w:hAnsi="Times New Roman"/>
          <w:sz w:val="24"/>
          <w:szCs w:val="24"/>
        </w:rPr>
        <w:t>i</w:t>
      </w:r>
      <w:r w:rsidR="00F02D48" w:rsidRPr="000743BB">
        <w:rPr>
          <w:rFonts w:ascii="Times New Roman" w:hAnsi="Times New Roman"/>
          <w:sz w:val="24"/>
          <w:szCs w:val="24"/>
        </w:rPr>
        <w:t xml:space="preserve">dentification of </w:t>
      </w:r>
      <w:r w:rsidR="00A648A5" w:rsidRPr="000743BB">
        <w:rPr>
          <w:rFonts w:ascii="Times New Roman" w:hAnsi="Times New Roman"/>
          <w:sz w:val="24"/>
          <w:szCs w:val="24"/>
        </w:rPr>
        <w:t>two sample monthly periods and audit</w:t>
      </w:r>
      <w:r w:rsidR="00F02D48" w:rsidRPr="000743BB">
        <w:rPr>
          <w:rFonts w:ascii="Times New Roman" w:hAnsi="Times New Roman"/>
          <w:sz w:val="24"/>
          <w:szCs w:val="24"/>
        </w:rPr>
        <w:t>ing of</w:t>
      </w:r>
      <w:r w:rsidR="00A648A5" w:rsidRPr="000743BB">
        <w:rPr>
          <w:rFonts w:ascii="Times New Roman" w:hAnsi="Times New Roman"/>
          <w:sz w:val="24"/>
          <w:szCs w:val="24"/>
        </w:rPr>
        <w:t xml:space="preserve"> each step</w:t>
      </w:r>
      <w:r w:rsidR="00F02D48" w:rsidRPr="000743BB">
        <w:rPr>
          <w:rFonts w:ascii="Times New Roman" w:hAnsi="Times New Roman"/>
          <w:sz w:val="24"/>
          <w:szCs w:val="24"/>
        </w:rPr>
        <w:t>,</w:t>
      </w:r>
      <w:r w:rsidR="00A648A5" w:rsidRPr="000743BB">
        <w:rPr>
          <w:rFonts w:ascii="Times New Roman" w:hAnsi="Times New Roman"/>
          <w:sz w:val="24"/>
          <w:szCs w:val="24"/>
        </w:rPr>
        <w:t xml:space="preserve"> from initi</w:t>
      </w:r>
      <w:r w:rsidR="00F02D48" w:rsidRPr="000743BB">
        <w:rPr>
          <w:rFonts w:ascii="Times New Roman" w:hAnsi="Times New Roman"/>
          <w:sz w:val="24"/>
          <w:szCs w:val="24"/>
        </w:rPr>
        <w:t>al data collection at the weigh</w:t>
      </w:r>
      <w:r w:rsidR="00A648A5" w:rsidRPr="000743BB">
        <w:rPr>
          <w:rFonts w:ascii="Times New Roman" w:hAnsi="Times New Roman"/>
          <w:sz w:val="24"/>
          <w:szCs w:val="24"/>
        </w:rPr>
        <w:t>bridge to the</w:t>
      </w:r>
      <w:r w:rsidR="00F02D48" w:rsidRPr="000743BB">
        <w:rPr>
          <w:rFonts w:ascii="Times New Roman" w:hAnsi="Times New Roman"/>
          <w:sz w:val="24"/>
          <w:szCs w:val="24"/>
        </w:rPr>
        <w:t xml:space="preserve"> final position for each month;</w:t>
      </w:r>
    </w:p>
    <w:p w:rsidR="00A648A5" w:rsidRPr="000743BB" w:rsidRDefault="00B0110F" w:rsidP="00D3747C">
      <w:pPr>
        <w:numPr>
          <w:ilvl w:val="1"/>
          <w:numId w:val="13"/>
        </w:numPr>
        <w:autoSpaceDE w:val="0"/>
        <w:autoSpaceDN w:val="0"/>
        <w:adjustRightInd w:val="0"/>
        <w:spacing w:before="120" w:after="120" w:line="240" w:lineRule="auto"/>
        <w:ind w:hanging="357"/>
        <w:jc w:val="both"/>
        <w:rPr>
          <w:rFonts w:ascii="Times New Roman" w:hAnsi="Times New Roman"/>
          <w:sz w:val="24"/>
          <w:szCs w:val="24"/>
        </w:rPr>
      </w:pPr>
      <w:r>
        <w:rPr>
          <w:rFonts w:ascii="Times New Roman" w:hAnsi="Times New Roman"/>
          <w:sz w:val="24"/>
          <w:szCs w:val="24"/>
        </w:rPr>
        <w:t>w</w:t>
      </w:r>
      <w:r w:rsidR="00F02D48" w:rsidRPr="000743BB">
        <w:rPr>
          <w:rFonts w:ascii="Times New Roman" w:hAnsi="Times New Roman"/>
          <w:sz w:val="24"/>
          <w:szCs w:val="24"/>
        </w:rPr>
        <w:t xml:space="preserve">hether the </w:t>
      </w:r>
      <w:r w:rsidR="00A648A5" w:rsidRPr="000743BB">
        <w:rPr>
          <w:rFonts w:ascii="Times New Roman" w:hAnsi="Times New Roman"/>
          <w:sz w:val="24"/>
          <w:szCs w:val="24"/>
        </w:rPr>
        <w:t xml:space="preserve">most appropriate emission factors, energy content, and other </w:t>
      </w:r>
      <w:r w:rsidR="00F02D48" w:rsidRPr="000743BB">
        <w:rPr>
          <w:rFonts w:ascii="Times New Roman" w:hAnsi="Times New Roman"/>
          <w:sz w:val="24"/>
          <w:szCs w:val="24"/>
        </w:rPr>
        <w:t>parameters</w:t>
      </w:r>
      <w:r w:rsidR="00A648A5" w:rsidRPr="000743BB">
        <w:rPr>
          <w:rFonts w:ascii="Times New Roman" w:hAnsi="Times New Roman"/>
          <w:sz w:val="24"/>
          <w:szCs w:val="24"/>
        </w:rPr>
        <w:t xml:space="preserve"> from </w:t>
      </w:r>
      <w:r w:rsidR="00F02D48" w:rsidRPr="000743BB">
        <w:rPr>
          <w:rFonts w:ascii="Times New Roman" w:hAnsi="Times New Roman"/>
          <w:sz w:val="24"/>
          <w:szCs w:val="24"/>
        </w:rPr>
        <w:t xml:space="preserve">the </w:t>
      </w:r>
      <w:r w:rsidR="00A648A5" w:rsidRPr="000743BB">
        <w:rPr>
          <w:rFonts w:ascii="Times New Roman" w:hAnsi="Times New Roman"/>
          <w:sz w:val="24"/>
          <w:szCs w:val="24"/>
        </w:rPr>
        <w:t xml:space="preserve">NGER </w:t>
      </w:r>
      <w:r w:rsidR="00F02D48" w:rsidRPr="000743BB">
        <w:rPr>
          <w:rFonts w:ascii="Times New Roman" w:hAnsi="Times New Roman"/>
          <w:sz w:val="24"/>
          <w:szCs w:val="24"/>
        </w:rPr>
        <w:t xml:space="preserve">(Measurement) </w:t>
      </w:r>
      <w:r w:rsidR="00A648A5" w:rsidRPr="000743BB">
        <w:rPr>
          <w:rFonts w:ascii="Times New Roman" w:hAnsi="Times New Roman"/>
          <w:sz w:val="24"/>
          <w:szCs w:val="24"/>
        </w:rPr>
        <w:t xml:space="preserve">Determination are </w:t>
      </w:r>
      <w:r w:rsidR="00F02D48" w:rsidRPr="000743BB">
        <w:rPr>
          <w:rFonts w:ascii="Times New Roman" w:hAnsi="Times New Roman"/>
          <w:sz w:val="24"/>
          <w:szCs w:val="24"/>
        </w:rPr>
        <w:t>applied;</w:t>
      </w:r>
    </w:p>
    <w:p w:rsidR="00A648A5" w:rsidRPr="000743BB" w:rsidRDefault="00B0110F" w:rsidP="00D3747C">
      <w:pPr>
        <w:numPr>
          <w:ilvl w:val="1"/>
          <w:numId w:val="13"/>
        </w:numPr>
        <w:autoSpaceDE w:val="0"/>
        <w:autoSpaceDN w:val="0"/>
        <w:adjustRightInd w:val="0"/>
        <w:spacing w:before="120" w:after="120" w:line="240" w:lineRule="auto"/>
        <w:ind w:hanging="357"/>
        <w:rPr>
          <w:rFonts w:ascii="Times New Roman" w:hAnsi="Times New Roman"/>
          <w:sz w:val="24"/>
          <w:szCs w:val="24"/>
        </w:rPr>
      </w:pPr>
      <w:r>
        <w:rPr>
          <w:rFonts w:ascii="Times New Roman" w:hAnsi="Times New Roman"/>
          <w:sz w:val="24"/>
          <w:szCs w:val="24"/>
        </w:rPr>
        <w:t>v</w:t>
      </w:r>
      <w:r w:rsidR="00F02D48" w:rsidRPr="000743BB">
        <w:rPr>
          <w:rFonts w:ascii="Times New Roman" w:hAnsi="Times New Roman"/>
          <w:sz w:val="24"/>
          <w:szCs w:val="24"/>
        </w:rPr>
        <w:t>erification</w:t>
      </w:r>
      <w:r w:rsidR="00A648A5" w:rsidRPr="000743BB">
        <w:rPr>
          <w:rFonts w:ascii="Times New Roman" w:hAnsi="Times New Roman"/>
          <w:sz w:val="24"/>
          <w:szCs w:val="24"/>
        </w:rPr>
        <w:t xml:space="preserve"> that all calculations within each period are correct</w:t>
      </w:r>
      <w:r w:rsidR="00F02D48" w:rsidRPr="000743BB">
        <w:rPr>
          <w:rFonts w:ascii="Times New Roman" w:hAnsi="Times New Roman"/>
          <w:sz w:val="24"/>
          <w:szCs w:val="24"/>
        </w:rPr>
        <w:t xml:space="preserve"> and appropriate;</w:t>
      </w:r>
    </w:p>
    <w:p w:rsidR="00A648A5" w:rsidRPr="000743BB" w:rsidRDefault="00B0110F" w:rsidP="00D3747C">
      <w:pPr>
        <w:numPr>
          <w:ilvl w:val="1"/>
          <w:numId w:val="13"/>
        </w:numPr>
        <w:autoSpaceDE w:val="0"/>
        <w:autoSpaceDN w:val="0"/>
        <w:adjustRightInd w:val="0"/>
        <w:spacing w:before="120" w:after="120" w:line="240" w:lineRule="auto"/>
        <w:ind w:hanging="357"/>
        <w:rPr>
          <w:rFonts w:ascii="Times New Roman" w:hAnsi="Times New Roman"/>
          <w:sz w:val="24"/>
          <w:szCs w:val="24"/>
        </w:rPr>
      </w:pPr>
      <w:r>
        <w:rPr>
          <w:rFonts w:ascii="Times New Roman" w:hAnsi="Times New Roman"/>
          <w:sz w:val="24"/>
          <w:szCs w:val="24"/>
        </w:rPr>
        <w:t>v</w:t>
      </w:r>
      <w:r w:rsidR="00F02D48" w:rsidRPr="000743BB">
        <w:rPr>
          <w:rFonts w:ascii="Times New Roman" w:hAnsi="Times New Roman"/>
          <w:sz w:val="24"/>
          <w:szCs w:val="24"/>
        </w:rPr>
        <w:t>erification</w:t>
      </w:r>
      <w:r w:rsidR="00A648A5" w:rsidRPr="000743BB">
        <w:rPr>
          <w:rFonts w:ascii="Times New Roman" w:hAnsi="Times New Roman"/>
          <w:sz w:val="24"/>
          <w:szCs w:val="24"/>
        </w:rPr>
        <w:t xml:space="preserve"> that the summary of the per</w:t>
      </w:r>
      <w:r w:rsidR="00F02D48" w:rsidRPr="000743BB">
        <w:rPr>
          <w:rFonts w:ascii="Times New Roman" w:hAnsi="Times New Roman"/>
          <w:sz w:val="24"/>
          <w:szCs w:val="24"/>
        </w:rPr>
        <w:t>iods is correct and appropriate;</w:t>
      </w:r>
      <w:r w:rsidR="009004D4" w:rsidRPr="000743BB">
        <w:rPr>
          <w:rFonts w:ascii="Times New Roman" w:hAnsi="Times New Roman"/>
          <w:sz w:val="24"/>
          <w:szCs w:val="24"/>
        </w:rPr>
        <w:t xml:space="preserve"> and</w:t>
      </w:r>
    </w:p>
    <w:p w:rsidR="00174025" w:rsidRPr="000743BB" w:rsidRDefault="00B0110F" w:rsidP="00D3747C">
      <w:pPr>
        <w:numPr>
          <w:ilvl w:val="1"/>
          <w:numId w:val="13"/>
        </w:numPr>
        <w:autoSpaceDE w:val="0"/>
        <w:autoSpaceDN w:val="0"/>
        <w:adjustRightInd w:val="0"/>
        <w:spacing w:before="120" w:after="120" w:line="240" w:lineRule="auto"/>
        <w:rPr>
          <w:rFonts w:ascii="Times New Roman" w:hAnsi="Times New Roman"/>
          <w:sz w:val="24"/>
          <w:szCs w:val="24"/>
        </w:rPr>
      </w:pPr>
      <w:proofErr w:type="gramStart"/>
      <w:r>
        <w:rPr>
          <w:rFonts w:ascii="Times New Roman" w:hAnsi="Times New Roman"/>
          <w:sz w:val="24"/>
          <w:szCs w:val="24"/>
        </w:rPr>
        <w:lastRenderedPageBreak/>
        <w:t>i</w:t>
      </w:r>
      <w:r w:rsidR="00F02D48" w:rsidRPr="000743BB">
        <w:rPr>
          <w:rFonts w:ascii="Times New Roman" w:hAnsi="Times New Roman"/>
          <w:sz w:val="24"/>
          <w:szCs w:val="24"/>
        </w:rPr>
        <w:t>nvestigation</w:t>
      </w:r>
      <w:proofErr w:type="gramEnd"/>
      <w:r w:rsidR="00F02D48" w:rsidRPr="000743BB">
        <w:rPr>
          <w:rFonts w:ascii="Times New Roman" w:hAnsi="Times New Roman"/>
          <w:sz w:val="24"/>
          <w:szCs w:val="24"/>
        </w:rPr>
        <w:t xml:space="preserve"> of </w:t>
      </w:r>
      <w:r w:rsidR="00A648A5" w:rsidRPr="000743BB">
        <w:rPr>
          <w:rFonts w:ascii="Times New Roman" w:hAnsi="Times New Roman"/>
          <w:sz w:val="24"/>
          <w:szCs w:val="24"/>
        </w:rPr>
        <w:t>any discrepancies.</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Fonts w:ascii="Times New Roman" w:hAnsi="Times New Roman"/>
          <w:b/>
          <w:sz w:val="24"/>
          <w:szCs w:val="24"/>
        </w:rPr>
      </w:pPr>
      <w:r w:rsidRPr="000743BB">
        <w:rPr>
          <w:rFonts w:ascii="Times New Roman" w:hAnsi="Times New Roman"/>
          <w:b/>
          <w:sz w:val="24"/>
          <w:szCs w:val="24"/>
        </w:rPr>
        <w:t>Division 5.4</w:t>
      </w:r>
      <w:r w:rsidRPr="000743BB">
        <w:rPr>
          <w:rFonts w:ascii="Times New Roman" w:hAnsi="Times New Roman"/>
          <w:b/>
          <w:sz w:val="24"/>
          <w:szCs w:val="24"/>
        </w:rPr>
        <w:tab/>
        <w:t>Record-keeping requirements</w:t>
      </w:r>
    </w:p>
    <w:p w:rsidR="00A648A5" w:rsidRPr="000743BB" w:rsidRDefault="00A648A5" w:rsidP="004E1F46">
      <w:pPr>
        <w:spacing w:before="120" w:after="120" w:line="240" w:lineRule="auto"/>
        <w:rPr>
          <w:rFonts w:ascii="Times New Roman" w:hAnsi="Times New Roman"/>
          <w:sz w:val="24"/>
          <w:szCs w:val="24"/>
          <w:u w:val="single"/>
        </w:rPr>
      </w:pPr>
      <w:r w:rsidRPr="000743BB">
        <w:rPr>
          <w:rFonts w:ascii="Times New Roman" w:hAnsi="Times New Roman"/>
          <w:sz w:val="24"/>
          <w:szCs w:val="24"/>
          <w:u w:val="single"/>
        </w:rPr>
        <w:t>5.</w:t>
      </w:r>
      <w:r w:rsidR="004E77AA">
        <w:rPr>
          <w:rFonts w:ascii="Times New Roman" w:hAnsi="Times New Roman"/>
          <w:sz w:val="24"/>
          <w:szCs w:val="24"/>
          <w:u w:val="single"/>
        </w:rPr>
        <w:t>6</w:t>
      </w:r>
      <w:r w:rsidRPr="000743BB">
        <w:rPr>
          <w:rFonts w:ascii="Times New Roman" w:hAnsi="Times New Roman"/>
          <w:sz w:val="24"/>
          <w:szCs w:val="24"/>
          <w:u w:val="single"/>
        </w:rPr>
        <w:tab/>
        <w:t>Records that must be kept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section specifies the records that must be kept.</w:t>
      </w:r>
    </w:p>
    <w:p w:rsidR="00A648A5" w:rsidRPr="000743BB" w:rsidRDefault="00A648A5" w:rsidP="004E1F46">
      <w:pPr>
        <w:spacing w:before="120" w:after="120" w:line="240" w:lineRule="auto"/>
        <w:rPr>
          <w:rFonts w:ascii="Times New Roman" w:hAnsi="Times New Roman"/>
          <w:sz w:val="24"/>
          <w:szCs w:val="24"/>
        </w:rPr>
      </w:pPr>
      <w:r w:rsidRPr="000743BB">
        <w:rPr>
          <w:rFonts w:ascii="Times New Roman" w:hAnsi="Times New Roman"/>
          <w:sz w:val="24"/>
          <w:szCs w:val="24"/>
        </w:rPr>
        <w:t>This includes the project monitoring plan, as well as general information about equipment used in the project, and data relating to values and calculations performed in Part 4.</w:t>
      </w:r>
    </w:p>
    <w:p w:rsidR="00A648A5" w:rsidRPr="000743BB" w:rsidRDefault="00A648A5" w:rsidP="004E1F46">
      <w:pPr>
        <w:spacing w:before="120" w:after="120" w:line="240" w:lineRule="auto"/>
        <w:rPr>
          <w:rFonts w:ascii="Times New Roman" w:hAnsi="Times New Roman"/>
          <w:sz w:val="24"/>
          <w:szCs w:val="24"/>
        </w:rPr>
      </w:pPr>
    </w:p>
    <w:p w:rsidR="00A648A5" w:rsidRPr="000743BB" w:rsidRDefault="00A648A5" w:rsidP="004E1F46">
      <w:pPr>
        <w:spacing w:before="120" w:after="120" w:line="240" w:lineRule="auto"/>
        <w:rPr>
          <w:rStyle w:val="CharSectno"/>
          <w:rFonts w:ascii="Times New Roman" w:eastAsia="MS Gothiw Roman" w:hAnsi="Times New Roman"/>
          <w:b/>
          <w:bCs/>
          <w:sz w:val="24"/>
          <w:szCs w:val="24"/>
        </w:rPr>
      </w:pPr>
      <w:r w:rsidRPr="000743BB">
        <w:rPr>
          <w:rStyle w:val="CharSectno"/>
          <w:rFonts w:ascii="Times New Roman" w:eastAsia="MS Gothiw Roman" w:hAnsi="Times New Roman"/>
          <w:b/>
          <w:bCs/>
          <w:sz w:val="24"/>
          <w:szCs w:val="24"/>
        </w:rPr>
        <w:t>Division 5.5</w:t>
      </w:r>
      <w:r w:rsidRPr="000743BB">
        <w:rPr>
          <w:rStyle w:val="CharSectno"/>
          <w:rFonts w:ascii="Times New Roman" w:eastAsia="MS Gothiw Roman" w:hAnsi="Times New Roman"/>
          <w:b/>
          <w:bCs/>
          <w:sz w:val="24"/>
          <w:szCs w:val="24"/>
        </w:rPr>
        <w:tab/>
        <w:t>Offsets report requirements</w:t>
      </w:r>
    </w:p>
    <w:p w:rsidR="00A648A5" w:rsidRPr="000743BB" w:rsidRDefault="00A648A5" w:rsidP="004E1F46">
      <w:pPr>
        <w:spacing w:before="120" w:after="120" w:line="240" w:lineRule="auto"/>
        <w:rPr>
          <w:rFonts w:ascii="Times New Roman" w:hAnsi="Times New Roman"/>
          <w:sz w:val="24"/>
          <w:szCs w:val="24"/>
          <w:u w:val="single"/>
        </w:rPr>
      </w:pPr>
      <w:r w:rsidRPr="000743BB">
        <w:rPr>
          <w:rStyle w:val="CharSectno"/>
          <w:rFonts w:ascii="Times New Roman" w:eastAsia="MS Gothiw Roman" w:hAnsi="Times New Roman"/>
          <w:bCs/>
          <w:sz w:val="24"/>
          <w:szCs w:val="24"/>
          <w:u w:val="single"/>
        </w:rPr>
        <w:t>5.</w:t>
      </w:r>
      <w:r w:rsidR="004E77AA">
        <w:rPr>
          <w:rStyle w:val="CharSectno"/>
          <w:rFonts w:ascii="Times New Roman" w:eastAsia="MS Gothiw Roman" w:hAnsi="Times New Roman"/>
          <w:bCs/>
          <w:sz w:val="24"/>
          <w:szCs w:val="24"/>
          <w:u w:val="single"/>
        </w:rPr>
        <w:t>7</w:t>
      </w:r>
      <w:r w:rsidRPr="000743BB">
        <w:rPr>
          <w:rStyle w:val="CharSectno"/>
          <w:rFonts w:ascii="Times New Roman" w:eastAsia="MS Gothiw Roman" w:hAnsi="Times New Roman"/>
          <w:bCs/>
          <w:sz w:val="24"/>
          <w:szCs w:val="24"/>
          <w:u w:val="single"/>
        </w:rPr>
        <w:tab/>
        <w:t>Report requirements</w:t>
      </w:r>
    </w:p>
    <w:p w:rsidR="00A648A5" w:rsidRPr="000743BB" w:rsidRDefault="00A648A5" w:rsidP="004E1F46">
      <w:pPr>
        <w:pStyle w:val="R2"/>
        <w:tabs>
          <w:tab w:val="clear" w:pos="794"/>
        </w:tabs>
        <w:spacing w:before="120" w:after="120" w:line="240" w:lineRule="auto"/>
        <w:ind w:left="0" w:firstLine="0"/>
        <w:jc w:val="left"/>
      </w:pPr>
      <w:r w:rsidRPr="000743BB">
        <w:t>This section sets out th</w:t>
      </w:r>
      <w:r w:rsidR="00B44FAB" w:rsidRPr="000743BB">
        <w:t>e</w:t>
      </w:r>
      <w:r w:rsidRPr="000743BB">
        <w:t xml:space="preserve"> information that must be included in all project offsets reports that are submitted to the Regulator.</w:t>
      </w:r>
    </w:p>
    <w:p w:rsidR="00A648A5" w:rsidRPr="000743BB" w:rsidRDefault="00A648A5" w:rsidP="004E1F46">
      <w:pPr>
        <w:pStyle w:val="R2"/>
        <w:tabs>
          <w:tab w:val="clear" w:pos="794"/>
        </w:tabs>
        <w:spacing w:before="120" w:after="120" w:line="240" w:lineRule="auto"/>
        <w:ind w:left="0" w:firstLine="0"/>
        <w:jc w:val="left"/>
      </w:pPr>
      <w:r w:rsidRPr="000743BB">
        <w:t>Under the Act, a project proponent may choose when to report, provided that the period between reports is not shorter than 12 months or longer than 5 years.</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Offsets reports are the primary mechanism used by the Regulator to, among other things:</w:t>
      </w:r>
    </w:p>
    <w:p w:rsidR="00A648A5" w:rsidRPr="000743BB" w:rsidRDefault="009C0812" w:rsidP="00D3747C">
      <w:pPr>
        <w:pStyle w:val="NormalWeb"/>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t>d</w:t>
      </w:r>
      <w:r w:rsidR="00A648A5" w:rsidRPr="000743BB">
        <w:t>etermine whether or not to issue ACCUs for an eligible project; and</w:t>
      </w:r>
    </w:p>
    <w:p w:rsidR="00A648A5" w:rsidRPr="000743BB" w:rsidRDefault="009C0812" w:rsidP="00D3747C">
      <w:pPr>
        <w:pStyle w:val="NormalWeb"/>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t>t</w:t>
      </w:r>
      <w:r w:rsidR="00A648A5" w:rsidRPr="000743BB">
        <w:t>ake action to vary or revoke a project.</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Failure to provide an offsets report or taking action to avoid submitting an offsets report to the Regulator is an offence that may attract a civil penalty under section 76 of the Act.</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Under the Act, the first reporting period for an eligible offsets project begins when the project is declared eligible by the Regulator or if agreed by the proponent, at another specified date no earlier than 1 July 2010. The project proponent is required to nominate an end date for the reporting period, and must submit an offsets report within three months of the nominated end date. Under the Act, each subsequent reporting period begins immediately after the previous reporting period.</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r w:rsidRPr="000743BB">
        <w:rPr>
          <w:u w:val="single"/>
        </w:rPr>
        <w:t>Schedule 1</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Table 1 in Schedule 1 provides the average state or territory based landfill gas capture rates, which were calculated using data from the National Inventory Report 2010.</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 xml:space="preserve">The National Inventory Report can be found on the Department’s website at </w:t>
      </w:r>
      <w:r w:rsidRPr="000743BB">
        <w:rPr>
          <w:u w:val="single"/>
        </w:rPr>
        <w:t>http://www.climatechange.gov.au/publications/greenhouse-acctg/national-inventory-report-2010.aspx</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r w:rsidRPr="000743BB">
        <w:rPr>
          <w:u w:val="single"/>
        </w:rPr>
        <w:t>Schedule 2</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 xml:space="preserve">Schedule 2 provides a list of the percentage of the total waste tonnage for each waste mix type and a calculation to adjust for the limits imposed on restricted waste mix types that the waste diversion facility is subject to under licence or other conditions. </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r w:rsidRPr="000743BB">
        <w:rPr>
          <w:u w:val="single"/>
        </w:rPr>
        <w:t>Schedule 3</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lastRenderedPageBreak/>
        <w:t>Schedule 3 lists waste mix types, degradable organic carbon content and DOCF values.</w:t>
      </w: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p>
    <w:p w:rsidR="00A648A5" w:rsidRPr="000743BB" w:rsidRDefault="00A648A5"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r w:rsidRPr="000743BB">
        <w:rPr>
          <w:u w:val="single"/>
        </w:rPr>
        <w:t>Schedule 4</w:t>
      </w:r>
    </w:p>
    <w:p w:rsidR="00A648A5" w:rsidRPr="000743BB" w:rsidRDefault="005A0320" w:rsidP="004E1F4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0743BB">
        <w:t>Schedule 4 provides instructions for using the Solid Waste Calculator.</w:t>
      </w:r>
      <w:r w:rsidR="00A648A5" w:rsidRPr="000743BB">
        <w:t xml:space="preserve"> </w:t>
      </w:r>
    </w:p>
    <w:p w:rsidR="00963DA5" w:rsidRPr="00FF1850" w:rsidRDefault="00963DA5" w:rsidP="00963DA5">
      <w:pPr>
        <w:rPr>
          <w:rFonts w:ascii="Times New Roman" w:hAnsi="Times New Roman"/>
          <w:b/>
        </w:rPr>
      </w:pPr>
    </w:p>
    <w:p w:rsidR="00963DA5" w:rsidRPr="00FF1850" w:rsidRDefault="00963DA5" w:rsidP="00963DA5">
      <w:pPr>
        <w:rPr>
          <w:rFonts w:ascii="Times New Roman" w:hAnsi="Times New Roman"/>
          <w:b/>
        </w:rPr>
      </w:pPr>
    </w:p>
    <w:p w:rsidR="00963DA5" w:rsidRPr="00FF1850" w:rsidRDefault="00963DA5" w:rsidP="00963DA5">
      <w:pPr>
        <w:spacing w:before="120" w:after="120" w:line="240" w:lineRule="auto"/>
        <w:rPr>
          <w:rFonts w:ascii="Times New Roman" w:hAnsi="Times New Roman"/>
          <w:sz w:val="24"/>
          <w:szCs w:val="24"/>
        </w:rPr>
      </w:pPr>
    </w:p>
    <w:sectPr w:rsidR="00963DA5" w:rsidRPr="00FF1850" w:rsidSect="00825888">
      <w:footerReference w:type="default" r:id="rId12"/>
      <w:footerReference w:type="first" r:id="rId13"/>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40" w:rsidRDefault="00BB4A40" w:rsidP="00621DDE">
      <w:pPr>
        <w:spacing w:after="0" w:line="240" w:lineRule="auto"/>
      </w:pPr>
      <w:r>
        <w:separator/>
      </w:r>
    </w:p>
  </w:endnote>
  <w:endnote w:type="continuationSeparator" w:id="0">
    <w:p w:rsidR="00BB4A40" w:rsidRDefault="00BB4A40"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w Roman">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901793622"/>
      <w:docPartObj>
        <w:docPartGallery w:val="Page Numbers (Bottom of Page)"/>
        <w:docPartUnique/>
      </w:docPartObj>
    </w:sdtPr>
    <w:sdtEndPr>
      <w:rPr>
        <w:noProof/>
      </w:rPr>
    </w:sdtEndPr>
    <w:sdtContent>
      <w:p w:rsidR="00333FAC" w:rsidRPr="00333FAC" w:rsidRDefault="00333FAC">
        <w:pPr>
          <w:pStyle w:val="Footer"/>
          <w:jc w:val="right"/>
          <w:rPr>
            <w:rFonts w:ascii="Times New Roman" w:hAnsi="Times New Roman"/>
          </w:rPr>
        </w:pPr>
        <w:r w:rsidRPr="00333FAC">
          <w:rPr>
            <w:rFonts w:ascii="Times New Roman" w:hAnsi="Times New Roman"/>
          </w:rPr>
          <w:fldChar w:fldCharType="begin"/>
        </w:r>
        <w:r w:rsidRPr="00333FAC">
          <w:rPr>
            <w:rFonts w:ascii="Times New Roman" w:hAnsi="Times New Roman"/>
          </w:rPr>
          <w:instrText xml:space="preserve"> PAGE   \* MERGEFORMAT </w:instrText>
        </w:r>
        <w:r w:rsidRPr="00333FAC">
          <w:rPr>
            <w:rFonts w:ascii="Times New Roman" w:hAnsi="Times New Roman"/>
          </w:rPr>
          <w:fldChar w:fldCharType="separate"/>
        </w:r>
        <w:r w:rsidR="00313189">
          <w:rPr>
            <w:rFonts w:ascii="Times New Roman" w:hAnsi="Times New Roman"/>
            <w:noProof/>
          </w:rPr>
          <w:t>15</w:t>
        </w:r>
        <w:r w:rsidRPr="00333FAC">
          <w:rPr>
            <w:rFonts w:ascii="Times New Roman" w:hAnsi="Times New Roman"/>
            <w:noProof/>
          </w:rPr>
          <w:fldChar w:fldCharType="end"/>
        </w:r>
      </w:p>
    </w:sdtContent>
  </w:sdt>
  <w:p w:rsidR="00333FAC" w:rsidRDefault="00333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36" w:rsidRPr="001B5847" w:rsidRDefault="00560E36">
    <w:pPr>
      <w:pStyle w:val="Footer"/>
      <w:jc w:val="right"/>
      <w:rPr>
        <w:sz w:val="20"/>
        <w:szCs w:val="20"/>
      </w:rPr>
    </w:pPr>
    <w:r w:rsidRPr="001B5847">
      <w:rPr>
        <w:sz w:val="20"/>
        <w:szCs w:val="20"/>
      </w:rPr>
      <w:fldChar w:fldCharType="begin"/>
    </w:r>
    <w:r w:rsidRPr="001B5847">
      <w:rPr>
        <w:sz w:val="20"/>
        <w:szCs w:val="20"/>
      </w:rPr>
      <w:instrText xml:space="preserve"> PAGE   \* MERGEFORMAT </w:instrText>
    </w:r>
    <w:r w:rsidRPr="001B5847">
      <w:rPr>
        <w:sz w:val="20"/>
        <w:szCs w:val="20"/>
      </w:rPr>
      <w:fldChar w:fldCharType="separate"/>
    </w:r>
    <w:r w:rsidR="00313189">
      <w:rPr>
        <w:noProof/>
        <w:sz w:val="20"/>
        <w:szCs w:val="20"/>
      </w:rPr>
      <w:t>1</w:t>
    </w:r>
    <w:r w:rsidRPr="001B5847">
      <w:rPr>
        <w:sz w:val="20"/>
        <w:szCs w:val="20"/>
      </w:rPr>
      <w:fldChar w:fldCharType="end"/>
    </w:r>
  </w:p>
  <w:p w:rsidR="00560E36" w:rsidRPr="001B5847" w:rsidRDefault="00560E3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40" w:rsidRDefault="00BB4A40" w:rsidP="00621DDE">
      <w:pPr>
        <w:spacing w:after="0" w:line="240" w:lineRule="auto"/>
      </w:pPr>
      <w:r>
        <w:separator/>
      </w:r>
    </w:p>
  </w:footnote>
  <w:footnote w:type="continuationSeparator" w:id="0">
    <w:p w:rsidR="00BB4A40" w:rsidRDefault="00BB4A40" w:rsidP="00621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950"/>
    <w:multiLevelType w:val="hybridMultilevel"/>
    <w:tmpl w:val="488A2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EC7DC8"/>
    <w:multiLevelType w:val="multilevel"/>
    <w:tmpl w:val="5B58ABD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343AE9"/>
    <w:multiLevelType w:val="hybridMultilevel"/>
    <w:tmpl w:val="96C202E2"/>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5">
    <w:nsid w:val="14095306"/>
    <w:multiLevelType w:val="hybridMultilevel"/>
    <w:tmpl w:val="BC9EA48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9428FE"/>
    <w:multiLevelType w:val="hybridMultilevel"/>
    <w:tmpl w:val="EC46D388"/>
    <w:lvl w:ilvl="0" w:tplc="0C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5A1230"/>
    <w:multiLevelType w:val="hybridMultilevel"/>
    <w:tmpl w:val="A824DD8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nsid w:val="1D340D64"/>
    <w:multiLevelType w:val="hybridMultilevel"/>
    <w:tmpl w:val="D4822D66"/>
    <w:lvl w:ilvl="0" w:tplc="D87EEB80">
      <w:numFmt w:val="bullet"/>
      <w:lvlText w:val=""/>
      <w:lvlJc w:val="left"/>
      <w:pPr>
        <w:ind w:left="1020" w:hanging="360"/>
      </w:pPr>
      <w:rPr>
        <w:rFonts w:ascii="Symbol" w:eastAsia="Times New Roman" w:hAnsi="Symbol" w:hint="default"/>
      </w:rPr>
    </w:lvl>
    <w:lvl w:ilvl="1" w:tplc="0C090003" w:tentative="1">
      <w:start w:val="1"/>
      <w:numFmt w:val="bullet"/>
      <w:lvlText w:val="o"/>
      <w:lvlJc w:val="left"/>
      <w:pPr>
        <w:ind w:left="1740" w:hanging="360"/>
      </w:pPr>
      <w:rPr>
        <w:rFonts w:ascii="Courier New" w:hAnsi="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nsid w:val="22D27BCB"/>
    <w:multiLevelType w:val="hybridMultilevel"/>
    <w:tmpl w:val="4DC61154"/>
    <w:lvl w:ilvl="0" w:tplc="0C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9260BE"/>
    <w:multiLevelType w:val="hybridMultilevel"/>
    <w:tmpl w:val="32AA11C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nsid w:val="2AA52FCB"/>
    <w:multiLevelType w:val="hybridMultilevel"/>
    <w:tmpl w:val="71F4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2B1D06"/>
    <w:multiLevelType w:val="hybridMultilevel"/>
    <w:tmpl w:val="ACC48E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E5D6DBD"/>
    <w:multiLevelType w:val="multilevel"/>
    <w:tmpl w:val="79DA21A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1C9263C"/>
    <w:multiLevelType w:val="hybridMultilevel"/>
    <w:tmpl w:val="F930344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943E25"/>
    <w:multiLevelType w:val="multilevel"/>
    <w:tmpl w:val="A5F4146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BE4399D"/>
    <w:multiLevelType w:val="hybridMultilevel"/>
    <w:tmpl w:val="1898C15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54FB5D34"/>
    <w:multiLevelType w:val="multilevel"/>
    <w:tmpl w:val="7B2E377C"/>
    <w:name w:val="main numbering"/>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2.%3"/>
      <w:lvlJc w:val="left"/>
      <w:pPr>
        <w:ind w:left="1080" w:hanging="360"/>
      </w:pPr>
      <w:rPr>
        <w:rFonts w:cs="Times New Roman" w:hint="default"/>
      </w:rPr>
    </w:lvl>
    <w:lvl w:ilvl="3">
      <w:start w:val="1"/>
      <w:numFmt w:val="decimal"/>
      <w:lvlText w:val="%2.%3.%4"/>
      <w:lvlJc w:val="left"/>
      <w:pPr>
        <w:ind w:left="1440" w:hanging="360"/>
      </w:pPr>
      <w:rPr>
        <w:rFonts w:cs="Times New Roman" w:hint="default"/>
      </w:rPr>
    </w:lvl>
    <w:lvl w:ilvl="4">
      <w:start w:val="1"/>
      <w:numFmt w:val="decimal"/>
      <w:lvlRestart w:val="0"/>
      <w:lvlText w:val="%2.%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lowerLetter"/>
      <w:lvlText w:val="(%7)"/>
      <w:lvlJc w:val="left"/>
      <w:pPr>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upperLetter"/>
      <w:lvlText w:val="(%9)"/>
      <w:lvlJc w:val="left"/>
      <w:pPr>
        <w:ind w:left="3240" w:hanging="360"/>
      </w:pPr>
      <w:rPr>
        <w:rFonts w:cs="Times New Roman" w:hint="default"/>
      </w:rPr>
    </w:lvl>
  </w:abstractNum>
  <w:abstractNum w:abstractNumId="19">
    <w:nsid w:val="5FA1782F"/>
    <w:multiLevelType w:val="hybridMultilevel"/>
    <w:tmpl w:val="F71C89C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2">
    <w:nsid w:val="6A3D0636"/>
    <w:multiLevelType w:val="multilevel"/>
    <w:tmpl w:val="0D04A97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CAA0959"/>
    <w:multiLevelType w:val="hybridMultilevel"/>
    <w:tmpl w:val="72886EFE"/>
    <w:lvl w:ilvl="0" w:tplc="2BD62478">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pStyle w:val="Heading4"/>
      <w:lvlText w:val="(%4)"/>
      <w:lvlJc w:val="left"/>
      <w:pPr>
        <w:ind w:left="360" w:hanging="360"/>
      </w:pPr>
      <w:rPr>
        <w:rFonts w:cs="Times New Roman" w:hint="default"/>
      </w:rPr>
    </w:lvl>
    <w:lvl w:ilvl="4">
      <w:start w:val="1"/>
      <w:numFmt w:val="lowerLetter"/>
      <w:pStyle w:val="Heading5"/>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pStyle w:val="Heading7"/>
      <w:lvlText w:val="%7."/>
      <w:lvlJc w:val="left"/>
      <w:pPr>
        <w:ind w:left="3760" w:hanging="360"/>
      </w:pPr>
      <w:rPr>
        <w:rFonts w:cs="Times New Roman" w:hint="default"/>
      </w:rPr>
    </w:lvl>
    <w:lvl w:ilvl="7">
      <w:start w:val="1"/>
      <w:numFmt w:val="lowerLetter"/>
      <w:pStyle w:val="Heading8"/>
      <w:lvlText w:val="%8."/>
      <w:lvlJc w:val="left"/>
      <w:pPr>
        <w:ind w:left="4120" w:hanging="360"/>
      </w:pPr>
      <w:rPr>
        <w:rFonts w:cs="Times New Roman" w:hint="default"/>
      </w:rPr>
    </w:lvl>
    <w:lvl w:ilvl="8">
      <w:start w:val="1"/>
      <w:numFmt w:val="lowerRoman"/>
      <w:pStyle w:val="Heading9"/>
      <w:lvlText w:val="%9."/>
      <w:lvlJc w:val="left"/>
      <w:pPr>
        <w:ind w:left="4480" w:hanging="360"/>
      </w:pPr>
      <w:rPr>
        <w:rFonts w:cs="Times New Roman" w:hint="default"/>
      </w:rPr>
    </w:lvl>
  </w:abstractNum>
  <w:abstractNum w:abstractNumId="25">
    <w:nsid w:val="7876259E"/>
    <w:multiLevelType w:val="hybridMultilevel"/>
    <w:tmpl w:val="A0C05D94"/>
    <w:lvl w:ilvl="0" w:tplc="B1DE28A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1"/>
  </w:num>
  <w:num w:numId="3">
    <w:abstractNumId w:val="20"/>
  </w:num>
  <w:num w:numId="4">
    <w:abstractNumId w:val="4"/>
  </w:num>
  <w:num w:numId="5">
    <w:abstractNumId w:val="17"/>
  </w:num>
  <w:num w:numId="6">
    <w:abstractNumId w:val="6"/>
  </w:num>
  <w:num w:numId="7">
    <w:abstractNumId w:val="8"/>
  </w:num>
  <w:num w:numId="8">
    <w:abstractNumId w:val="11"/>
  </w:num>
  <w:num w:numId="9">
    <w:abstractNumId w:val="26"/>
  </w:num>
  <w:num w:numId="10">
    <w:abstractNumId w:val="0"/>
  </w:num>
  <w:num w:numId="11">
    <w:abstractNumId w:val="10"/>
  </w:num>
  <w:num w:numId="12">
    <w:abstractNumId w:val="7"/>
  </w:num>
  <w:num w:numId="13">
    <w:abstractNumId w:val="15"/>
  </w:num>
  <w:num w:numId="14">
    <w:abstractNumId w:val="16"/>
  </w:num>
  <w:num w:numId="15">
    <w:abstractNumId w:val="14"/>
  </w:num>
  <w:num w:numId="16">
    <w:abstractNumId w:val="5"/>
  </w:num>
  <w:num w:numId="17">
    <w:abstractNumId w:val="19"/>
  </w:num>
  <w:num w:numId="18">
    <w:abstractNumId w:val="9"/>
  </w:num>
  <w:num w:numId="19">
    <w:abstractNumId w:val="3"/>
  </w:num>
  <w:num w:numId="20">
    <w:abstractNumId w:val="23"/>
  </w:num>
  <w:num w:numId="21">
    <w:abstractNumId w:val="12"/>
  </w:num>
  <w:num w:numId="22">
    <w:abstractNumId w:val="25"/>
  </w:num>
  <w:num w:numId="23">
    <w:abstractNumId w:val="2"/>
  </w:num>
  <w:num w:numId="24">
    <w:abstractNumId w:val="22"/>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5399"/>
    <w:rsid w:val="00005701"/>
    <w:rsid w:val="00010366"/>
    <w:rsid w:val="0001095D"/>
    <w:rsid w:val="00011B30"/>
    <w:rsid w:val="00013368"/>
    <w:rsid w:val="0001473F"/>
    <w:rsid w:val="0001687B"/>
    <w:rsid w:val="00020055"/>
    <w:rsid w:val="00021E9F"/>
    <w:rsid w:val="00023F52"/>
    <w:rsid w:val="00024BAB"/>
    <w:rsid w:val="00025877"/>
    <w:rsid w:val="000260E7"/>
    <w:rsid w:val="0002619A"/>
    <w:rsid w:val="00026AA6"/>
    <w:rsid w:val="000326C3"/>
    <w:rsid w:val="00032C01"/>
    <w:rsid w:val="00032C86"/>
    <w:rsid w:val="0003333F"/>
    <w:rsid w:val="00034279"/>
    <w:rsid w:val="0003450D"/>
    <w:rsid w:val="0003516A"/>
    <w:rsid w:val="0003519C"/>
    <w:rsid w:val="00035A0B"/>
    <w:rsid w:val="00036128"/>
    <w:rsid w:val="00040B49"/>
    <w:rsid w:val="000419B5"/>
    <w:rsid w:val="00042435"/>
    <w:rsid w:val="0004268A"/>
    <w:rsid w:val="00042C4B"/>
    <w:rsid w:val="000435CA"/>
    <w:rsid w:val="000439A3"/>
    <w:rsid w:val="00044385"/>
    <w:rsid w:val="000443E5"/>
    <w:rsid w:val="00044454"/>
    <w:rsid w:val="0004490C"/>
    <w:rsid w:val="00046E0E"/>
    <w:rsid w:val="00047097"/>
    <w:rsid w:val="000501AE"/>
    <w:rsid w:val="00051D53"/>
    <w:rsid w:val="00051FE6"/>
    <w:rsid w:val="0005212E"/>
    <w:rsid w:val="00053937"/>
    <w:rsid w:val="00054DAF"/>
    <w:rsid w:val="00055037"/>
    <w:rsid w:val="0005585F"/>
    <w:rsid w:val="0005597C"/>
    <w:rsid w:val="000560A3"/>
    <w:rsid w:val="00057551"/>
    <w:rsid w:val="00060C30"/>
    <w:rsid w:val="00061869"/>
    <w:rsid w:val="00063614"/>
    <w:rsid w:val="0006479A"/>
    <w:rsid w:val="00064E18"/>
    <w:rsid w:val="00065002"/>
    <w:rsid w:val="00065A89"/>
    <w:rsid w:val="000667DB"/>
    <w:rsid w:val="00066BFC"/>
    <w:rsid w:val="000700F2"/>
    <w:rsid w:val="00073E3D"/>
    <w:rsid w:val="000743BB"/>
    <w:rsid w:val="000756E4"/>
    <w:rsid w:val="00077095"/>
    <w:rsid w:val="0008048E"/>
    <w:rsid w:val="00080FE9"/>
    <w:rsid w:val="000822E2"/>
    <w:rsid w:val="00084AA6"/>
    <w:rsid w:val="000853AA"/>
    <w:rsid w:val="000855F0"/>
    <w:rsid w:val="000875D5"/>
    <w:rsid w:val="00087BD5"/>
    <w:rsid w:val="0009062C"/>
    <w:rsid w:val="00093293"/>
    <w:rsid w:val="00094C2F"/>
    <w:rsid w:val="00095152"/>
    <w:rsid w:val="00095656"/>
    <w:rsid w:val="00096C07"/>
    <w:rsid w:val="00097070"/>
    <w:rsid w:val="000A4748"/>
    <w:rsid w:val="000A6CA6"/>
    <w:rsid w:val="000A7B9D"/>
    <w:rsid w:val="000B0B75"/>
    <w:rsid w:val="000B32DF"/>
    <w:rsid w:val="000B37F2"/>
    <w:rsid w:val="000B3C6C"/>
    <w:rsid w:val="000B44B5"/>
    <w:rsid w:val="000B5356"/>
    <w:rsid w:val="000B561D"/>
    <w:rsid w:val="000B63C6"/>
    <w:rsid w:val="000B648C"/>
    <w:rsid w:val="000B7C94"/>
    <w:rsid w:val="000C0FEC"/>
    <w:rsid w:val="000C1B0F"/>
    <w:rsid w:val="000C2A65"/>
    <w:rsid w:val="000C332B"/>
    <w:rsid w:val="000C403B"/>
    <w:rsid w:val="000C7BCD"/>
    <w:rsid w:val="000D0114"/>
    <w:rsid w:val="000D0A80"/>
    <w:rsid w:val="000D1A62"/>
    <w:rsid w:val="000D344E"/>
    <w:rsid w:val="000D428A"/>
    <w:rsid w:val="000D5647"/>
    <w:rsid w:val="000D5B81"/>
    <w:rsid w:val="000D6E77"/>
    <w:rsid w:val="000E0B2B"/>
    <w:rsid w:val="000E47CC"/>
    <w:rsid w:val="000E4C9E"/>
    <w:rsid w:val="000F02E5"/>
    <w:rsid w:val="000F0469"/>
    <w:rsid w:val="000F0DBA"/>
    <w:rsid w:val="000F0F7A"/>
    <w:rsid w:val="000F2F4A"/>
    <w:rsid w:val="000F340F"/>
    <w:rsid w:val="000F4AA2"/>
    <w:rsid w:val="000F5C9D"/>
    <w:rsid w:val="000F5FD7"/>
    <w:rsid w:val="00103C61"/>
    <w:rsid w:val="00106067"/>
    <w:rsid w:val="00106976"/>
    <w:rsid w:val="00110FB8"/>
    <w:rsid w:val="00111E99"/>
    <w:rsid w:val="00112AD1"/>
    <w:rsid w:val="00113A00"/>
    <w:rsid w:val="00116876"/>
    <w:rsid w:val="00117D39"/>
    <w:rsid w:val="0012081F"/>
    <w:rsid w:val="0012174D"/>
    <w:rsid w:val="0012180F"/>
    <w:rsid w:val="00121D29"/>
    <w:rsid w:val="00121E06"/>
    <w:rsid w:val="00123B7E"/>
    <w:rsid w:val="0012404A"/>
    <w:rsid w:val="0012429A"/>
    <w:rsid w:val="001250A6"/>
    <w:rsid w:val="001279C8"/>
    <w:rsid w:val="00130448"/>
    <w:rsid w:val="001308FB"/>
    <w:rsid w:val="0013107F"/>
    <w:rsid w:val="00132367"/>
    <w:rsid w:val="00133478"/>
    <w:rsid w:val="00135304"/>
    <w:rsid w:val="00135884"/>
    <w:rsid w:val="00137328"/>
    <w:rsid w:val="001375DF"/>
    <w:rsid w:val="0014075D"/>
    <w:rsid w:val="00141745"/>
    <w:rsid w:val="001422C9"/>
    <w:rsid w:val="001434BB"/>
    <w:rsid w:val="001446CE"/>
    <w:rsid w:val="0014543F"/>
    <w:rsid w:val="001503E0"/>
    <w:rsid w:val="001552BF"/>
    <w:rsid w:val="00156605"/>
    <w:rsid w:val="001570F0"/>
    <w:rsid w:val="00160264"/>
    <w:rsid w:val="00161E72"/>
    <w:rsid w:val="001628ED"/>
    <w:rsid w:val="00162C90"/>
    <w:rsid w:val="001630FC"/>
    <w:rsid w:val="0016339A"/>
    <w:rsid w:val="00163594"/>
    <w:rsid w:val="00163D7F"/>
    <w:rsid w:val="001642E7"/>
    <w:rsid w:val="001645EF"/>
    <w:rsid w:val="00164A10"/>
    <w:rsid w:val="0016703E"/>
    <w:rsid w:val="0016792D"/>
    <w:rsid w:val="00167998"/>
    <w:rsid w:val="001707AE"/>
    <w:rsid w:val="0017244B"/>
    <w:rsid w:val="001735EC"/>
    <w:rsid w:val="00173B0A"/>
    <w:rsid w:val="00174025"/>
    <w:rsid w:val="00175A80"/>
    <w:rsid w:val="001775B7"/>
    <w:rsid w:val="00180007"/>
    <w:rsid w:val="0018050D"/>
    <w:rsid w:val="001807B0"/>
    <w:rsid w:val="001810B6"/>
    <w:rsid w:val="00181262"/>
    <w:rsid w:val="00181B12"/>
    <w:rsid w:val="00183A0A"/>
    <w:rsid w:val="00183E93"/>
    <w:rsid w:val="001849F1"/>
    <w:rsid w:val="00184A83"/>
    <w:rsid w:val="0018599C"/>
    <w:rsid w:val="00186671"/>
    <w:rsid w:val="001942D8"/>
    <w:rsid w:val="00194CF4"/>
    <w:rsid w:val="001955B5"/>
    <w:rsid w:val="001961B4"/>
    <w:rsid w:val="001966E7"/>
    <w:rsid w:val="0019770A"/>
    <w:rsid w:val="001A0B36"/>
    <w:rsid w:val="001A351B"/>
    <w:rsid w:val="001A3B3E"/>
    <w:rsid w:val="001A4543"/>
    <w:rsid w:val="001A4661"/>
    <w:rsid w:val="001A49CF"/>
    <w:rsid w:val="001A4A64"/>
    <w:rsid w:val="001A5DD9"/>
    <w:rsid w:val="001B0BE6"/>
    <w:rsid w:val="001B1008"/>
    <w:rsid w:val="001B2CE1"/>
    <w:rsid w:val="001B2FBE"/>
    <w:rsid w:val="001B457F"/>
    <w:rsid w:val="001B5847"/>
    <w:rsid w:val="001B5E20"/>
    <w:rsid w:val="001C1E04"/>
    <w:rsid w:val="001C298B"/>
    <w:rsid w:val="001C3857"/>
    <w:rsid w:val="001C401C"/>
    <w:rsid w:val="001C426A"/>
    <w:rsid w:val="001C6815"/>
    <w:rsid w:val="001C695E"/>
    <w:rsid w:val="001D1969"/>
    <w:rsid w:val="001D1D96"/>
    <w:rsid w:val="001D27DF"/>
    <w:rsid w:val="001D3C0D"/>
    <w:rsid w:val="001D3E6E"/>
    <w:rsid w:val="001D4D82"/>
    <w:rsid w:val="001D4F87"/>
    <w:rsid w:val="001D5BA8"/>
    <w:rsid w:val="001D5F82"/>
    <w:rsid w:val="001D65D9"/>
    <w:rsid w:val="001D7000"/>
    <w:rsid w:val="001D72AE"/>
    <w:rsid w:val="001D77AA"/>
    <w:rsid w:val="001E0E27"/>
    <w:rsid w:val="001E1858"/>
    <w:rsid w:val="001E195D"/>
    <w:rsid w:val="001E629C"/>
    <w:rsid w:val="001E77A3"/>
    <w:rsid w:val="001E7987"/>
    <w:rsid w:val="001F1939"/>
    <w:rsid w:val="001F2062"/>
    <w:rsid w:val="001F3ED9"/>
    <w:rsid w:val="001F4682"/>
    <w:rsid w:val="001F7285"/>
    <w:rsid w:val="001F74E2"/>
    <w:rsid w:val="0020112E"/>
    <w:rsid w:val="0020201D"/>
    <w:rsid w:val="00203E0E"/>
    <w:rsid w:val="002061BE"/>
    <w:rsid w:val="00206876"/>
    <w:rsid w:val="00207251"/>
    <w:rsid w:val="00207E53"/>
    <w:rsid w:val="002106F5"/>
    <w:rsid w:val="00211AA5"/>
    <w:rsid w:val="002154A6"/>
    <w:rsid w:val="002175C6"/>
    <w:rsid w:val="00221059"/>
    <w:rsid w:val="00221407"/>
    <w:rsid w:val="00221995"/>
    <w:rsid w:val="00221A1D"/>
    <w:rsid w:val="002243D8"/>
    <w:rsid w:val="002250C9"/>
    <w:rsid w:val="002260B2"/>
    <w:rsid w:val="002262B8"/>
    <w:rsid w:val="002267CA"/>
    <w:rsid w:val="00227545"/>
    <w:rsid w:val="00230331"/>
    <w:rsid w:val="0023080C"/>
    <w:rsid w:val="002322EB"/>
    <w:rsid w:val="0023402E"/>
    <w:rsid w:val="00234ADE"/>
    <w:rsid w:val="002355C0"/>
    <w:rsid w:val="00237140"/>
    <w:rsid w:val="00240104"/>
    <w:rsid w:val="002406B7"/>
    <w:rsid w:val="0024096C"/>
    <w:rsid w:val="00241904"/>
    <w:rsid w:val="00243DEB"/>
    <w:rsid w:val="0024500C"/>
    <w:rsid w:val="00245C29"/>
    <w:rsid w:val="00246B2C"/>
    <w:rsid w:val="00246B92"/>
    <w:rsid w:val="00246F90"/>
    <w:rsid w:val="00247076"/>
    <w:rsid w:val="00247789"/>
    <w:rsid w:val="0025005E"/>
    <w:rsid w:val="00253A41"/>
    <w:rsid w:val="0025575C"/>
    <w:rsid w:val="0025688A"/>
    <w:rsid w:val="00256E1E"/>
    <w:rsid w:val="00261676"/>
    <w:rsid w:val="0026240F"/>
    <w:rsid w:val="0026394B"/>
    <w:rsid w:val="00264957"/>
    <w:rsid w:val="0026619D"/>
    <w:rsid w:val="00270506"/>
    <w:rsid w:val="002709DF"/>
    <w:rsid w:val="00270B63"/>
    <w:rsid w:val="00270DD3"/>
    <w:rsid w:val="00271B4F"/>
    <w:rsid w:val="00272A37"/>
    <w:rsid w:val="0027431D"/>
    <w:rsid w:val="00277C91"/>
    <w:rsid w:val="00280669"/>
    <w:rsid w:val="002815B3"/>
    <w:rsid w:val="00281737"/>
    <w:rsid w:val="002818ED"/>
    <w:rsid w:val="00281E82"/>
    <w:rsid w:val="00281FB5"/>
    <w:rsid w:val="0028705A"/>
    <w:rsid w:val="002917BD"/>
    <w:rsid w:val="00292DFC"/>
    <w:rsid w:val="00293CA4"/>
    <w:rsid w:val="0029550F"/>
    <w:rsid w:val="002A1044"/>
    <w:rsid w:val="002A2303"/>
    <w:rsid w:val="002A312F"/>
    <w:rsid w:val="002A3461"/>
    <w:rsid w:val="002A3B81"/>
    <w:rsid w:val="002A4BC2"/>
    <w:rsid w:val="002A602B"/>
    <w:rsid w:val="002A73A3"/>
    <w:rsid w:val="002A7B9C"/>
    <w:rsid w:val="002B14AD"/>
    <w:rsid w:val="002B17EF"/>
    <w:rsid w:val="002B18E3"/>
    <w:rsid w:val="002B1F4E"/>
    <w:rsid w:val="002B2D91"/>
    <w:rsid w:val="002B4D31"/>
    <w:rsid w:val="002B520C"/>
    <w:rsid w:val="002B640F"/>
    <w:rsid w:val="002B7E90"/>
    <w:rsid w:val="002C181D"/>
    <w:rsid w:val="002C1A0B"/>
    <w:rsid w:val="002C239E"/>
    <w:rsid w:val="002C44BA"/>
    <w:rsid w:val="002C4A9C"/>
    <w:rsid w:val="002C4EA6"/>
    <w:rsid w:val="002C51D9"/>
    <w:rsid w:val="002C69F3"/>
    <w:rsid w:val="002C712E"/>
    <w:rsid w:val="002C729E"/>
    <w:rsid w:val="002D06D5"/>
    <w:rsid w:val="002D0812"/>
    <w:rsid w:val="002D0D9D"/>
    <w:rsid w:val="002D3880"/>
    <w:rsid w:val="002D46A5"/>
    <w:rsid w:val="002D5334"/>
    <w:rsid w:val="002D6088"/>
    <w:rsid w:val="002D7347"/>
    <w:rsid w:val="002E149E"/>
    <w:rsid w:val="002E1587"/>
    <w:rsid w:val="002E19BB"/>
    <w:rsid w:val="002E24F3"/>
    <w:rsid w:val="002E2E0C"/>
    <w:rsid w:val="002F1170"/>
    <w:rsid w:val="002F1317"/>
    <w:rsid w:val="002F2A33"/>
    <w:rsid w:val="002F7165"/>
    <w:rsid w:val="002F71A7"/>
    <w:rsid w:val="002F7A31"/>
    <w:rsid w:val="00302896"/>
    <w:rsid w:val="00302B3C"/>
    <w:rsid w:val="00303120"/>
    <w:rsid w:val="00303958"/>
    <w:rsid w:val="003042BB"/>
    <w:rsid w:val="003043A7"/>
    <w:rsid w:val="003044FD"/>
    <w:rsid w:val="00304552"/>
    <w:rsid w:val="00304C24"/>
    <w:rsid w:val="00305B10"/>
    <w:rsid w:val="00306A78"/>
    <w:rsid w:val="003073EC"/>
    <w:rsid w:val="00312B8D"/>
    <w:rsid w:val="00313189"/>
    <w:rsid w:val="0031368F"/>
    <w:rsid w:val="003146C5"/>
    <w:rsid w:val="00322955"/>
    <w:rsid w:val="00323E01"/>
    <w:rsid w:val="00324B45"/>
    <w:rsid w:val="00327F6E"/>
    <w:rsid w:val="00331DFF"/>
    <w:rsid w:val="00331FC1"/>
    <w:rsid w:val="00333FAC"/>
    <w:rsid w:val="003364EE"/>
    <w:rsid w:val="00340DBF"/>
    <w:rsid w:val="00344EAD"/>
    <w:rsid w:val="003511C2"/>
    <w:rsid w:val="003542B6"/>
    <w:rsid w:val="00355107"/>
    <w:rsid w:val="003603DB"/>
    <w:rsid w:val="00360ADA"/>
    <w:rsid w:val="003620C4"/>
    <w:rsid w:val="00362E78"/>
    <w:rsid w:val="00362EB1"/>
    <w:rsid w:val="003639CB"/>
    <w:rsid w:val="003655ED"/>
    <w:rsid w:val="00371CF7"/>
    <w:rsid w:val="00372DD2"/>
    <w:rsid w:val="00373B5D"/>
    <w:rsid w:val="00374466"/>
    <w:rsid w:val="0037644A"/>
    <w:rsid w:val="00377653"/>
    <w:rsid w:val="00380BAB"/>
    <w:rsid w:val="00383AB9"/>
    <w:rsid w:val="00383B8A"/>
    <w:rsid w:val="00385515"/>
    <w:rsid w:val="00390B02"/>
    <w:rsid w:val="0039301C"/>
    <w:rsid w:val="00393999"/>
    <w:rsid w:val="00393F1E"/>
    <w:rsid w:val="003959A3"/>
    <w:rsid w:val="00395FC3"/>
    <w:rsid w:val="003A3A79"/>
    <w:rsid w:val="003A48D3"/>
    <w:rsid w:val="003A5730"/>
    <w:rsid w:val="003B224C"/>
    <w:rsid w:val="003B267B"/>
    <w:rsid w:val="003B2C27"/>
    <w:rsid w:val="003B37B0"/>
    <w:rsid w:val="003B3B50"/>
    <w:rsid w:val="003B3E1C"/>
    <w:rsid w:val="003B5202"/>
    <w:rsid w:val="003B5BFC"/>
    <w:rsid w:val="003B6072"/>
    <w:rsid w:val="003B66A8"/>
    <w:rsid w:val="003B7DA6"/>
    <w:rsid w:val="003C0531"/>
    <w:rsid w:val="003C2154"/>
    <w:rsid w:val="003C3A8B"/>
    <w:rsid w:val="003C46D1"/>
    <w:rsid w:val="003C5F80"/>
    <w:rsid w:val="003C7127"/>
    <w:rsid w:val="003D0559"/>
    <w:rsid w:val="003D08A2"/>
    <w:rsid w:val="003D16A5"/>
    <w:rsid w:val="003D46FA"/>
    <w:rsid w:val="003D6045"/>
    <w:rsid w:val="003D61DB"/>
    <w:rsid w:val="003E1C2C"/>
    <w:rsid w:val="003E1F52"/>
    <w:rsid w:val="003E234E"/>
    <w:rsid w:val="003E2565"/>
    <w:rsid w:val="003E3C92"/>
    <w:rsid w:val="003E5683"/>
    <w:rsid w:val="003E6071"/>
    <w:rsid w:val="003E6D04"/>
    <w:rsid w:val="003E6D3F"/>
    <w:rsid w:val="003F2589"/>
    <w:rsid w:val="003F408E"/>
    <w:rsid w:val="003F589E"/>
    <w:rsid w:val="003F5BF1"/>
    <w:rsid w:val="003F68B0"/>
    <w:rsid w:val="003F7AA6"/>
    <w:rsid w:val="00403629"/>
    <w:rsid w:val="0040520B"/>
    <w:rsid w:val="00405400"/>
    <w:rsid w:val="0040605E"/>
    <w:rsid w:val="00410059"/>
    <w:rsid w:val="00411711"/>
    <w:rsid w:val="00411F8A"/>
    <w:rsid w:val="00412376"/>
    <w:rsid w:val="00415402"/>
    <w:rsid w:val="004178E1"/>
    <w:rsid w:val="00417FCB"/>
    <w:rsid w:val="00421FB6"/>
    <w:rsid w:val="00423993"/>
    <w:rsid w:val="004245E5"/>
    <w:rsid w:val="0042563A"/>
    <w:rsid w:val="004259B8"/>
    <w:rsid w:val="0042634C"/>
    <w:rsid w:val="004272DF"/>
    <w:rsid w:val="004273B8"/>
    <w:rsid w:val="00427FC8"/>
    <w:rsid w:val="004304A9"/>
    <w:rsid w:val="004307E0"/>
    <w:rsid w:val="00431532"/>
    <w:rsid w:val="00432ED4"/>
    <w:rsid w:val="0043368B"/>
    <w:rsid w:val="00433CA2"/>
    <w:rsid w:val="0043431A"/>
    <w:rsid w:val="00434841"/>
    <w:rsid w:val="00434D25"/>
    <w:rsid w:val="004360B1"/>
    <w:rsid w:val="00436283"/>
    <w:rsid w:val="0043692E"/>
    <w:rsid w:val="004374CB"/>
    <w:rsid w:val="004409D3"/>
    <w:rsid w:val="004433DF"/>
    <w:rsid w:val="004452AD"/>
    <w:rsid w:val="00445A24"/>
    <w:rsid w:val="0045053F"/>
    <w:rsid w:val="004513C5"/>
    <w:rsid w:val="00452459"/>
    <w:rsid w:val="00454E83"/>
    <w:rsid w:val="00461C14"/>
    <w:rsid w:val="00465FCC"/>
    <w:rsid w:val="00466040"/>
    <w:rsid w:val="0046711C"/>
    <w:rsid w:val="0046730B"/>
    <w:rsid w:val="0047188A"/>
    <w:rsid w:val="004737AC"/>
    <w:rsid w:val="0047576B"/>
    <w:rsid w:val="00481ADB"/>
    <w:rsid w:val="00482247"/>
    <w:rsid w:val="00483595"/>
    <w:rsid w:val="00483631"/>
    <w:rsid w:val="0048382C"/>
    <w:rsid w:val="0048588F"/>
    <w:rsid w:val="00486F1F"/>
    <w:rsid w:val="00487B2C"/>
    <w:rsid w:val="00492019"/>
    <w:rsid w:val="00493697"/>
    <w:rsid w:val="00493785"/>
    <w:rsid w:val="004950D9"/>
    <w:rsid w:val="00495EDC"/>
    <w:rsid w:val="00496F1C"/>
    <w:rsid w:val="004A00B6"/>
    <w:rsid w:val="004A0D87"/>
    <w:rsid w:val="004A2E8B"/>
    <w:rsid w:val="004A314E"/>
    <w:rsid w:val="004A42E8"/>
    <w:rsid w:val="004A610B"/>
    <w:rsid w:val="004B1043"/>
    <w:rsid w:val="004B246B"/>
    <w:rsid w:val="004B2C98"/>
    <w:rsid w:val="004B3AF1"/>
    <w:rsid w:val="004B47E0"/>
    <w:rsid w:val="004B5284"/>
    <w:rsid w:val="004C044D"/>
    <w:rsid w:val="004C07B0"/>
    <w:rsid w:val="004C0AF3"/>
    <w:rsid w:val="004C0BB4"/>
    <w:rsid w:val="004C20D8"/>
    <w:rsid w:val="004C2532"/>
    <w:rsid w:val="004C3286"/>
    <w:rsid w:val="004C334F"/>
    <w:rsid w:val="004C3A56"/>
    <w:rsid w:val="004C4971"/>
    <w:rsid w:val="004C4EE8"/>
    <w:rsid w:val="004C77C6"/>
    <w:rsid w:val="004C7AA9"/>
    <w:rsid w:val="004D0619"/>
    <w:rsid w:val="004D19D0"/>
    <w:rsid w:val="004D29E5"/>
    <w:rsid w:val="004D3275"/>
    <w:rsid w:val="004D32D3"/>
    <w:rsid w:val="004D4254"/>
    <w:rsid w:val="004D5C87"/>
    <w:rsid w:val="004D6DF4"/>
    <w:rsid w:val="004D7782"/>
    <w:rsid w:val="004E0287"/>
    <w:rsid w:val="004E1F46"/>
    <w:rsid w:val="004E2E77"/>
    <w:rsid w:val="004E3657"/>
    <w:rsid w:val="004E3738"/>
    <w:rsid w:val="004E5CAF"/>
    <w:rsid w:val="004E6566"/>
    <w:rsid w:val="004E717D"/>
    <w:rsid w:val="004E77AA"/>
    <w:rsid w:val="004F07C6"/>
    <w:rsid w:val="004F3525"/>
    <w:rsid w:val="004F4DC2"/>
    <w:rsid w:val="005007D0"/>
    <w:rsid w:val="00501F95"/>
    <w:rsid w:val="00505449"/>
    <w:rsid w:val="0050567F"/>
    <w:rsid w:val="00506971"/>
    <w:rsid w:val="00511B7E"/>
    <w:rsid w:val="00512481"/>
    <w:rsid w:val="00514FE7"/>
    <w:rsid w:val="00516151"/>
    <w:rsid w:val="0051628F"/>
    <w:rsid w:val="00516D89"/>
    <w:rsid w:val="005176A5"/>
    <w:rsid w:val="005206B3"/>
    <w:rsid w:val="00521384"/>
    <w:rsid w:val="005222C7"/>
    <w:rsid w:val="00523C7C"/>
    <w:rsid w:val="00524168"/>
    <w:rsid w:val="005258A6"/>
    <w:rsid w:val="0052749F"/>
    <w:rsid w:val="00527648"/>
    <w:rsid w:val="00531A6A"/>
    <w:rsid w:val="005325AD"/>
    <w:rsid w:val="0053338E"/>
    <w:rsid w:val="005336D5"/>
    <w:rsid w:val="00533FE1"/>
    <w:rsid w:val="00534A4C"/>
    <w:rsid w:val="00535767"/>
    <w:rsid w:val="00535CC5"/>
    <w:rsid w:val="0053719D"/>
    <w:rsid w:val="00537259"/>
    <w:rsid w:val="00537FC8"/>
    <w:rsid w:val="005400A4"/>
    <w:rsid w:val="00540E1B"/>
    <w:rsid w:val="00541C83"/>
    <w:rsid w:val="0054325E"/>
    <w:rsid w:val="00543910"/>
    <w:rsid w:val="005470AF"/>
    <w:rsid w:val="00547D21"/>
    <w:rsid w:val="0055029F"/>
    <w:rsid w:val="0055051C"/>
    <w:rsid w:val="00551022"/>
    <w:rsid w:val="00551192"/>
    <w:rsid w:val="0055277E"/>
    <w:rsid w:val="005531E6"/>
    <w:rsid w:val="005539BD"/>
    <w:rsid w:val="00553F8B"/>
    <w:rsid w:val="00554627"/>
    <w:rsid w:val="00557268"/>
    <w:rsid w:val="00557818"/>
    <w:rsid w:val="00560A5B"/>
    <w:rsid w:val="00560B6F"/>
    <w:rsid w:val="00560E36"/>
    <w:rsid w:val="005615DC"/>
    <w:rsid w:val="00562158"/>
    <w:rsid w:val="005641D8"/>
    <w:rsid w:val="005643A6"/>
    <w:rsid w:val="00567A3F"/>
    <w:rsid w:val="00570214"/>
    <w:rsid w:val="00570782"/>
    <w:rsid w:val="005720B8"/>
    <w:rsid w:val="00572AF1"/>
    <w:rsid w:val="00573C2B"/>
    <w:rsid w:val="0057588D"/>
    <w:rsid w:val="00575BAB"/>
    <w:rsid w:val="00577863"/>
    <w:rsid w:val="00580BFA"/>
    <w:rsid w:val="00581697"/>
    <w:rsid w:val="00582C16"/>
    <w:rsid w:val="00582F80"/>
    <w:rsid w:val="0058553B"/>
    <w:rsid w:val="00585D52"/>
    <w:rsid w:val="00587AE7"/>
    <w:rsid w:val="00590023"/>
    <w:rsid w:val="0059156C"/>
    <w:rsid w:val="005927CF"/>
    <w:rsid w:val="005929A9"/>
    <w:rsid w:val="00592BF9"/>
    <w:rsid w:val="00594182"/>
    <w:rsid w:val="00595FA3"/>
    <w:rsid w:val="0059649A"/>
    <w:rsid w:val="005973FC"/>
    <w:rsid w:val="00597864"/>
    <w:rsid w:val="005979D4"/>
    <w:rsid w:val="005A0320"/>
    <w:rsid w:val="005A0E8F"/>
    <w:rsid w:val="005A11E2"/>
    <w:rsid w:val="005A3A87"/>
    <w:rsid w:val="005A3C1A"/>
    <w:rsid w:val="005A63C8"/>
    <w:rsid w:val="005B0400"/>
    <w:rsid w:val="005B0F2B"/>
    <w:rsid w:val="005B1716"/>
    <w:rsid w:val="005B1EC3"/>
    <w:rsid w:val="005B36E3"/>
    <w:rsid w:val="005B4588"/>
    <w:rsid w:val="005B4D4F"/>
    <w:rsid w:val="005B710D"/>
    <w:rsid w:val="005B77D0"/>
    <w:rsid w:val="005B780B"/>
    <w:rsid w:val="005B7B0D"/>
    <w:rsid w:val="005B7B59"/>
    <w:rsid w:val="005C047E"/>
    <w:rsid w:val="005C1512"/>
    <w:rsid w:val="005C1F5B"/>
    <w:rsid w:val="005C24C0"/>
    <w:rsid w:val="005C275B"/>
    <w:rsid w:val="005C51ED"/>
    <w:rsid w:val="005C55F4"/>
    <w:rsid w:val="005C562F"/>
    <w:rsid w:val="005C5B5A"/>
    <w:rsid w:val="005C7E1C"/>
    <w:rsid w:val="005D1CC0"/>
    <w:rsid w:val="005D1D67"/>
    <w:rsid w:val="005D39DB"/>
    <w:rsid w:val="005D5F11"/>
    <w:rsid w:val="005E18A9"/>
    <w:rsid w:val="005E34F3"/>
    <w:rsid w:val="005E40BB"/>
    <w:rsid w:val="005E6DA2"/>
    <w:rsid w:val="005F17AC"/>
    <w:rsid w:val="005F2077"/>
    <w:rsid w:val="005F2638"/>
    <w:rsid w:val="005F38CA"/>
    <w:rsid w:val="005F4018"/>
    <w:rsid w:val="005F75ED"/>
    <w:rsid w:val="006005B0"/>
    <w:rsid w:val="0060074B"/>
    <w:rsid w:val="00600773"/>
    <w:rsid w:val="006007F6"/>
    <w:rsid w:val="00602ED2"/>
    <w:rsid w:val="00603EA4"/>
    <w:rsid w:val="00604167"/>
    <w:rsid w:val="00606281"/>
    <w:rsid w:val="0061177F"/>
    <w:rsid w:val="0061240F"/>
    <w:rsid w:val="00613991"/>
    <w:rsid w:val="006213FF"/>
    <w:rsid w:val="00621DDE"/>
    <w:rsid w:val="00622C2D"/>
    <w:rsid w:val="00622E81"/>
    <w:rsid w:val="006235F7"/>
    <w:rsid w:val="006320D3"/>
    <w:rsid w:val="0063236F"/>
    <w:rsid w:val="006323B2"/>
    <w:rsid w:val="00634609"/>
    <w:rsid w:val="00634699"/>
    <w:rsid w:val="0063588D"/>
    <w:rsid w:val="00635FD5"/>
    <w:rsid w:val="00637157"/>
    <w:rsid w:val="00640372"/>
    <w:rsid w:val="00642340"/>
    <w:rsid w:val="00643FB5"/>
    <w:rsid w:val="00644DC0"/>
    <w:rsid w:val="00646CFD"/>
    <w:rsid w:val="00647191"/>
    <w:rsid w:val="00647245"/>
    <w:rsid w:val="006507E3"/>
    <w:rsid w:val="00650DA0"/>
    <w:rsid w:val="006514D6"/>
    <w:rsid w:val="006516FC"/>
    <w:rsid w:val="006522E9"/>
    <w:rsid w:val="0065340B"/>
    <w:rsid w:val="00653649"/>
    <w:rsid w:val="00655474"/>
    <w:rsid w:val="006567D6"/>
    <w:rsid w:val="00657CF9"/>
    <w:rsid w:val="00661953"/>
    <w:rsid w:val="00664810"/>
    <w:rsid w:val="006659FB"/>
    <w:rsid w:val="00666393"/>
    <w:rsid w:val="00666BF5"/>
    <w:rsid w:val="00667B8E"/>
    <w:rsid w:val="00671AB3"/>
    <w:rsid w:val="0067310A"/>
    <w:rsid w:val="00673172"/>
    <w:rsid w:val="00673F3B"/>
    <w:rsid w:val="00675018"/>
    <w:rsid w:val="00676680"/>
    <w:rsid w:val="006771CD"/>
    <w:rsid w:val="00680433"/>
    <w:rsid w:val="00681E1F"/>
    <w:rsid w:val="0068233A"/>
    <w:rsid w:val="00682F9E"/>
    <w:rsid w:val="0068417D"/>
    <w:rsid w:val="00686AAB"/>
    <w:rsid w:val="006911F1"/>
    <w:rsid w:val="006916C5"/>
    <w:rsid w:val="00691915"/>
    <w:rsid w:val="00693F5A"/>
    <w:rsid w:val="00693FDE"/>
    <w:rsid w:val="00696B12"/>
    <w:rsid w:val="00696FC9"/>
    <w:rsid w:val="006A0A97"/>
    <w:rsid w:val="006A0D12"/>
    <w:rsid w:val="006A1E6F"/>
    <w:rsid w:val="006A2BE9"/>
    <w:rsid w:val="006A3DD6"/>
    <w:rsid w:val="006A59C6"/>
    <w:rsid w:val="006A6042"/>
    <w:rsid w:val="006B50A3"/>
    <w:rsid w:val="006B50DA"/>
    <w:rsid w:val="006B66B2"/>
    <w:rsid w:val="006B7B14"/>
    <w:rsid w:val="006C1099"/>
    <w:rsid w:val="006C134D"/>
    <w:rsid w:val="006C2ED4"/>
    <w:rsid w:val="006C632F"/>
    <w:rsid w:val="006C63BC"/>
    <w:rsid w:val="006C6E06"/>
    <w:rsid w:val="006D064A"/>
    <w:rsid w:val="006D0EF3"/>
    <w:rsid w:val="006D25B4"/>
    <w:rsid w:val="006D2E19"/>
    <w:rsid w:val="006D547D"/>
    <w:rsid w:val="006E17B9"/>
    <w:rsid w:val="006E1C9A"/>
    <w:rsid w:val="006E2940"/>
    <w:rsid w:val="006E2D59"/>
    <w:rsid w:val="006E2F23"/>
    <w:rsid w:val="006E625B"/>
    <w:rsid w:val="006F07D3"/>
    <w:rsid w:val="006F1FC6"/>
    <w:rsid w:val="006F2496"/>
    <w:rsid w:val="006F2A0A"/>
    <w:rsid w:val="006F34A3"/>
    <w:rsid w:val="006F4C2F"/>
    <w:rsid w:val="006F6454"/>
    <w:rsid w:val="00700E8D"/>
    <w:rsid w:val="007019D4"/>
    <w:rsid w:val="00701B9D"/>
    <w:rsid w:val="00701CF3"/>
    <w:rsid w:val="00703863"/>
    <w:rsid w:val="00706B71"/>
    <w:rsid w:val="00707205"/>
    <w:rsid w:val="00707270"/>
    <w:rsid w:val="00710DC4"/>
    <w:rsid w:val="0071142E"/>
    <w:rsid w:val="0071378D"/>
    <w:rsid w:val="00714F58"/>
    <w:rsid w:val="00716D3A"/>
    <w:rsid w:val="007205D9"/>
    <w:rsid w:val="007221CD"/>
    <w:rsid w:val="0072298B"/>
    <w:rsid w:val="007245AE"/>
    <w:rsid w:val="00725D7A"/>
    <w:rsid w:val="00727716"/>
    <w:rsid w:val="00730B1E"/>
    <w:rsid w:val="00731E63"/>
    <w:rsid w:val="00732658"/>
    <w:rsid w:val="0073310D"/>
    <w:rsid w:val="00734ACE"/>
    <w:rsid w:val="00734F87"/>
    <w:rsid w:val="00735EB0"/>
    <w:rsid w:val="00736C1E"/>
    <w:rsid w:val="00736DF1"/>
    <w:rsid w:val="0073780B"/>
    <w:rsid w:val="00740DF4"/>
    <w:rsid w:val="007417B2"/>
    <w:rsid w:val="007429FB"/>
    <w:rsid w:val="00742BA5"/>
    <w:rsid w:val="007432C7"/>
    <w:rsid w:val="007463FB"/>
    <w:rsid w:val="007502FC"/>
    <w:rsid w:val="0075288E"/>
    <w:rsid w:val="00753B90"/>
    <w:rsid w:val="00753E1D"/>
    <w:rsid w:val="007559F4"/>
    <w:rsid w:val="00755D84"/>
    <w:rsid w:val="007607F2"/>
    <w:rsid w:val="007630AE"/>
    <w:rsid w:val="00765AAE"/>
    <w:rsid w:val="0077051D"/>
    <w:rsid w:val="00770FE8"/>
    <w:rsid w:val="007736E6"/>
    <w:rsid w:val="00774004"/>
    <w:rsid w:val="00777788"/>
    <w:rsid w:val="007778F0"/>
    <w:rsid w:val="0078062F"/>
    <w:rsid w:val="00782353"/>
    <w:rsid w:val="00782977"/>
    <w:rsid w:val="00783491"/>
    <w:rsid w:val="00784A58"/>
    <w:rsid w:val="00785124"/>
    <w:rsid w:val="00786956"/>
    <w:rsid w:val="00786F4C"/>
    <w:rsid w:val="00792091"/>
    <w:rsid w:val="00792C0B"/>
    <w:rsid w:val="00792E5C"/>
    <w:rsid w:val="007976F7"/>
    <w:rsid w:val="00797A3C"/>
    <w:rsid w:val="007A0280"/>
    <w:rsid w:val="007A0740"/>
    <w:rsid w:val="007A082A"/>
    <w:rsid w:val="007A2154"/>
    <w:rsid w:val="007A24D6"/>
    <w:rsid w:val="007A25EE"/>
    <w:rsid w:val="007A27DC"/>
    <w:rsid w:val="007A2EE4"/>
    <w:rsid w:val="007A62AA"/>
    <w:rsid w:val="007A6779"/>
    <w:rsid w:val="007B0770"/>
    <w:rsid w:val="007B0F5F"/>
    <w:rsid w:val="007B2D03"/>
    <w:rsid w:val="007B39FF"/>
    <w:rsid w:val="007B4852"/>
    <w:rsid w:val="007B4F90"/>
    <w:rsid w:val="007B558F"/>
    <w:rsid w:val="007B7AB9"/>
    <w:rsid w:val="007C1742"/>
    <w:rsid w:val="007C1AC8"/>
    <w:rsid w:val="007C2844"/>
    <w:rsid w:val="007C29A4"/>
    <w:rsid w:val="007C2ED3"/>
    <w:rsid w:val="007C3AD5"/>
    <w:rsid w:val="007C4203"/>
    <w:rsid w:val="007C5A78"/>
    <w:rsid w:val="007C7FAD"/>
    <w:rsid w:val="007D109A"/>
    <w:rsid w:val="007D42AD"/>
    <w:rsid w:val="007D4960"/>
    <w:rsid w:val="007D55C9"/>
    <w:rsid w:val="007D62FF"/>
    <w:rsid w:val="007D6916"/>
    <w:rsid w:val="007D6D8C"/>
    <w:rsid w:val="007D789B"/>
    <w:rsid w:val="007E0248"/>
    <w:rsid w:val="007E0631"/>
    <w:rsid w:val="007E2B47"/>
    <w:rsid w:val="007E3D27"/>
    <w:rsid w:val="007E45CF"/>
    <w:rsid w:val="007E5059"/>
    <w:rsid w:val="007E6C4B"/>
    <w:rsid w:val="007E7F9F"/>
    <w:rsid w:val="007F0626"/>
    <w:rsid w:val="007F1CDF"/>
    <w:rsid w:val="007F27D0"/>
    <w:rsid w:val="007F2EDD"/>
    <w:rsid w:val="007F42C6"/>
    <w:rsid w:val="007F4A21"/>
    <w:rsid w:val="007F4A83"/>
    <w:rsid w:val="007F7D6C"/>
    <w:rsid w:val="00805DD1"/>
    <w:rsid w:val="008062B7"/>
    <w:rsid w:val="00807287"/>
    <w:rsid w:val="00811968"/>
    <w:rsid w:val="00812339"/>
    <w:rsid w:val="0081243B"/>
    <w:rsid w:val="00812E00"/>
    <w:rsid w:val="00814598"/>
    <w:rsid w:val="00815E72"/>
    <w:rsid w:val="008172B1"/>
    <w:rsid w:val="008207C4"/>
    <w:rsid w:val="00821218"/>
    <w:rsid w:val="0082132A"/>
    <w:rsid w:val="00822C3B"/>
    <w:rsid w:val="00823BAC"/>
    <w:rsid w:val="00824D56"/>
    <w:rsid w:val="00825888"/>
    <w:rsid w:val="00825C46"/>
    <w:rsid w:val="008267A0"/>
    <w:rsid w:val="00827344"/>
    <w:rsid w:val="00827510"/>
    <w:rsid w:val="00827B56"/>
    <w:rsid w:val="00827BD2"/>
    <w:rsid w:val="0083105B"/>
    <w:rsid w:val="008339DC"/>
    <w:rsid w:val="00836322"/>
    <w:rsid w:val="00836D74"/>
    <w:rsid w:val="008378A7"/>
    <w:rsid w:val="008411A5"/>
    <w:rsid w:val="00843206"/>
    <w:rsid w:val="00843316"/>
    <w:rsid w:val="00844459"/>
    <w:rsid w:val="00844762"/>
    <w:rsid w:val="00844B61"/>
    <w:rsid w:val="00845F6B"/>
    <w:rsid w:val="00846563"/>
    <w:rsid w:val="008470D8"/>
    <w:rsid w:val="00852144"/>
    <w:rsid w:val="008578F7"/>
    <w:rsid w:val="008602A7"/>
    <w:rsid w:val="00861990"/>
    <w:rsid w:val="00861F91"/>
    <w:rsid w:val="008635FC"/>
    <w:rsid w:val="008638B6"/>
    <w:rsid w:val="00867AA1"/>
    <w:rsid w:val="00872144"/>
    <w:rsid w:val="00872A6D"/>
    <w:rsid w:val="00873EB4"/>
    <w:rsid w:val="00874260"/>
    <w:rsid w:val="008748F1"/>
    <w:rsid w:val="00874CB0"/>
    <w:rsid w:val="008756DC"/>
    <w:rsid w:val="00877D8B"/>
    <w:rsid w:val="0088198A"/>
    <w:rsid w:val="00881B9F"/>
    <w:rsid w:val="00882147"/>
    <w:rsid w:val="008825E2"/>
    <w:rsid w:val="008834E3"/>
    <w:rsid w:val="008835E2"/>
    <w:rsid w:val="00883645"/>
    <w:rsid w:val="0088608D"/>
    <w:rsid w:val="00887486"/>
    <w:rsid w:val="00887698"/>
    <w:rsid w:val="008879AC"/>
    <w:rsid w:val="008912DE"/>
    <w:rsid w:val="008915C8"/>
    <w:rsid w:val="008939C7"/>
    <w:rsid w:val="008947DC"/>
    <w:rsid w:val="008949D4"/>
    <w:rsid w:val="00895276"/>
    <w:rsid w:val="00895387"/>
    <w:rsid w:val="00895722"/>
    <w:rsid w:val="00896DE3"/>
    <w:rsid w:val="008A4381"/>
    <w:rsid w:val="008A5224"/>
    <w:rsid w:val="008A6177"/>
    <w:rsid w:val="008B00B1"/>
    <w:rsid w:val="008B0B75"/>
    <w:rsid w:val="008B3136"/>
    <w:rsid w:val="008B3535"/>
    <w:rsid w:val="008B4DA0"/>
    <w:rsid w:val="008B61D5"/>
    <w:rsid w:val="008B6241"/>
    <w:rsid w:val="008C116B"/>
    <w:rsid w:val="008C2C70"/>
    <w:rsid w:val="008C3078"/>
    <w:rsid w:val="008C48B2"/>
    <w:rsid w:val="008C5EC1"/>
    <w:rsid w:val="008C6557"/>
    <w:rsid w:val="008C7B79"/>
    <w:rsid w:val="008D2642"/>
    <w:rsid w:val="008D2B01"/>
    <w:rsid w:val="008D4AAF"/>
    <w:rsid w:val="008E18F1"/>
    <w:rsid w:val="008E19E2"/>
    <w:rsid w:val="008E1A4F"/>
    <w:rsid w:val="008E1EC1"/>
    <w:rsid w:val="008E27B9"/>
    <w:rsid w:val="008E3B83"/>
    <w:rsid w:val="008E7A72"/>
    <w:rsid w:val="008F0C52"/>
    <w:rsid w:val="008F2521"/>
    <w:rsid w:val="008F289E"/>
    <w:rsid w:val="008F2D1A"/>
    <w:rsid w:val="008F3295"/>
    <w:rsid w:val="008F58A9"/>
    <w:rsid w:val="008F64F1"/>
    <w:rsid w:val="008F675F"/>
    <w:rsid w:val="008F6A66"/>
    <w:rsid w:val="009004D4"/>
    <w:rsid w:val="00903176"/>
    <w:rsid w:val="00903AAB"/>
    <w:rsid w:val="009045B7"/>
    <w:rsid w:val="0090498F"/>
    <w:rsid w:val="00905200"/>
    <w:rsid w:val="00906682"/>
    <w:rsid w:val="00907449"/>
    <w:rsid w:val="00907B33"/>
    <w:rsid w:val="009128CB"/>
    <w:rsid w:val="00915310"/>
    <w:rsid w:val="00916006"/>
    <w:rsid w:val="0092137A"/>
    <w:rsid w:val="0092279A"/>
    <w:rsid w:val="00923822"/>
    <w:rsid w:val="00924E08"/>
    <w:rsid w:val="00925FFB"/>
    <w:rsid w:val="00926B85"/>
    <w:rsid w:val="00926F25"/>
    <w:rsid w:val="00927E5B"/>
    <w:rsid w:val="0093119D"/>
    <w:rsid w:val="00931351"/>
    <w:rsid w:val="009322A7"/>
    <w:rsid w:val="0093254D"/>
    <w:rsid w:val="00932592"/>
    <w:rsid w:val="00933708"/>
    <w:rsid w:val="00936E71"/>
    <w:rsid w:val="00937BCA"/>
    <w:rsid w:val="00940763"/>
    <w:rsid w:val="00940D80"/>
    <w:rsid w:val="009410F0"/>
    <w:rsid w:val="00941674"/>
    <w:rsid w:val="009448E8"/>
    <w:rsid w:val="00945A98"/>
    <w:rsid w:val="009471F5"/>
    <w:rsid w:val="009516C0"/>
    <w:rsid w:val="009525D0"/>
    <w:rsid w:val="00952ADE"/>
    <w:rsid w:val="00952B1C"/>
    <w:rsid w:val="00953649"/>
    <w:rsid w:val="009539B5"/>
    <w:rsid w:val="00953AD3"/>
    <w:rsid w:val="00953B8D"/>
    <w:rsid w:val="00953BA8"/>
    <w:rsid w:val="0095613C"/>
    <w:rsid w:val="009562F2"/>
    <w:rsid w:val="0095672A"/>
    <w:rsid w:val="00957332"/>
    <w:rsid w:val="00960BBF"/>
    <w:rsid w:val="009611BF"/>
    <w:rsid w:val="0096141A"/>
    <w:rsid w:val="0096288E"/>
    <w:rsid w:val="00963870"/>
    <w:rsid w:val="00963DA5"/>
    <w:rsid w:val="009648BF"/>
    <w:rsid w:val="00964E77"/>
    <w:rsid w:val="009666EE"/>
    <w:rsid w:val="00967940"/>
    <w:rsid w:val="009741D8"/>
    <w:rsid w:val="0097430A"/>
    <w:rsid w:val="009743C6"/>
    <w:rsid w:val="0097715B"/>
    <w:rsid w:val="00980A11"/>
    <w:rsid w:val="00980CE5"/>
    <w:rsid w:val="0098485A"/>
    <w:rsid w:val="00986460"/>
    <w:rsid w:val="00987E1D"/>
    <w:rsid w:val="00990B06"/>
    <w:rsid w:val="00991491"/>
    <w:rsid w:val="009928EA"/>
    <w:rsid w:val="0099472A"/>
    <w:rsid w:val="00994A11"/>
    <w:rsid w:val="00995305"/>
    <w:rsid w:val="00997336"/>
    <w:rsid w:val="009976B9"/>
    <w:rsid w:val="009A0147"/>
    <w:rsid w:val="009A1284"/>
    <w:rsid w:val="009A4494"/>
    <w:rsid w:val="009A4C3F"/>
    <w:rsid w:val="009A5244"/>
    <w:rsid w:val="009A6F03"/>
    <w:rsid w:val="009B0B38"/>
    <w:rsid w:val="009B2571"/>
    <w:rsid w:val="009B424A"/>
    <w:rsid w:val="009B48CE"/>
    <w:rsid w:val="009B5033"/>
    <w:rsid w:val="009B520E"/>
    <w:rsid w:val="009B5D23"/>
    <w:rsid w:val="009C0812"/>
    <w:rsid w:val="009C15F9"/>
    <w:rsid w:val="009C22AB"/>
    <w:rsid w:val="009C279B"/>
    <w:rsid w:val="009C4650"/>
    <w:rsid w:val="009C64CC"/>
    <w:rsid w:val="009C6FED"/>
    <w:rsid w:val="009C73C0"/>
    <w:rsid w:val="009C7C08"/>
    <w:rsid w:val="009D0825"/>
    <w:rsid w:val="009D1135"/>
    <w:rsid w:val="009D2522"/>
    <w:rsid w:val="009D5743"/>
    <w:rsid w:val="009D5E10"/>
    <w:rsid w:val="009E0658"/>
    <w:rsid w:val="009E3A97"/>
    <w:rsid w:val="009E425D"/>
    <w:rsid w:val="009E4400"/>
    <w:rsid w:val="009E4AA2"/>
    <w:rsid w:val="009E4D52"/>
    <w:rsid w:val="009E5BDE"/>
    <w:rsid w:val="009E72BB"/>
    <w:rsid w:val="009F0E5A"/>
    <w:rsid w:val="009F17B6"/>
    <w:rsid w:val="009F2EE9"/>
    <w:rsid w:val="009F5870"/>
    <w:rsid w:val="009F63BD"/>
    <w:rsid w:val="009F6FE9"/>
    <w:rsid w:val="00A007CC"/>
    <w:rsid w:val="00A027CB"/>
    <w:rsid w:val="00A028AE"/>
    <w:rsid w:val="00A05151"/>
    <w:rsid w:val="00A07AD6"/>
    <w:rsid w:val="00A12629"/>
    <w:rsid w:val="00A16689"/>
    <w:rsid w:val="00A174C5"/>
    <w:rsid w:val="00A21212"/>
    <w:rsid w:val="00A21BD8"/>
    <w:rsid w:val="00A22580"/>
    <w:rsid w:val="00A24229"/>
    <w:rsid w:val="00A244B9"/>
    <w:rsid w:val="00A307ED"/>
    <w:rsid w:val="00A320AF"/>
    <w:rsid w:val="00A360A4"/>
    <w:rsid w:val="00A3651E"/>
    <w:rsid w:val="00A3684E"/>
    <w:rsid w:val="00A369C8"/>
    <w:rsid w:val="00A36EC9"/>
    <w:rsid w:val="00A40BF1"/>
    <w:rsid w:val="00A42C57"/>
    <w:rsid w:val="00A43AF1"/>
    <w:rsid w:val="00A45468"/>
    <w:rsid w:val="00A464F0"/>
    <w:rsid w:val="00A46E06"/>
    <w:rsid w:val="00A52A2D"/>
    <w:rsid w:val="00A53437"/>
    <w:rsid w:val="00A53EDB"/>
    <w:rsid w:val="00A54C8C"/>
    <w:rsid w:val="00A54C94"/>
    <w:rsid w:val="00A57799"/>
    <w:rsid w:val="00A6080D"/>
    <w:rsid w:val="00A608B1"/>
    <w:rsid w:val="00A60C28"/>
    <w:rsid w:val="00A6267F"/>
    <w:rsid w:val="00A6318D"/>
    <w:rsid w:val="00A648A5"/>
    <w:rsid w:val="00A65769"/>
    <w:rsid w:val="00A66F07"/>
    <w:rsid w:val="00A66F13"/>
    <w:rsid w:val="00A70482"/>
    <w:rsid w:val="00A71907"/>
    <w:rsid w:val="00A73986"/>
    <w:rsid w:val="00A73BB9"/>
    <w:rsid w:val="00A73F71"/>
    <w:rsid w:val="00A746C2"/>
    <w:rsid w:val="00A8033A"/>
    <w:rsid w:val="00A81476"/>
    <w:rsid w:val="00A8350E"/>
    <w:rsid w:val="00A841BC"/>
    <w:rsid w:val="00A84C06"/>
    <w:rsid w:val="00A860CC"/>
    <w:rsid w:val="00A8668B"/>
    <w:rsid w:val="00A87B3C"/>
    <w:rsid w:val="00A90249"/>
    <w:rsid w:val="00A9033E"/>
    <w:rsid w:val="00A913EC"/>
    <w:rsid w:val="00A91710"/>
    <w:rsid w:val="00A92BD9"/>
    <w:rsid w:val="00A9501F"/>
    <w:rsid w:val="00A96890"/>
    <w:rsid w:val="00A971E2"/>
    <w:rsid w:val="00AA0A42"/>
    <w:rsid w:val="00AA0C42"/>
    <w:rsid w:val="00AA13B8"/>
    <w:rsid w:val="00AA205B"/>
    <w:rsid w:val="00AA268D"/>
    <w:rsid w:val="00AA3A8D"/>
    <w:rsid w:val="00AA4E60"/>
    <w:rsid w:val="00AA5131"/>
    <w:rsid w:val="00AA7DA6"/>
    <w:rsid w:val="00AB037E"/>
    <w:rsid w:val="00AB0618"/>
    <w:rsid w:val="00AB0DF9"/>
    <w:rsid w:val="00AB0E83"/>
    <w:rsid w:val="00AB1185"/>
    <w:rsid w:val="00AB1CE0"/>
    <w:rsid w:val="00AB2201"/>
    <w:rsid w:val="00AB2BFB"/>
    <w:rsid w:val="00AB391F"/>
    <w:rsid w:val="00AB433D"/>
    <w:rsid w:val="00AB53A7"/>
    <w:rsid w:val="00AB5F46"/>
    <w:rsid w:val="00AB61F6"/>
    <w:rsid w:val="00AB77F5"/>
    <w:rsid w:val="00AC02CD"/>
    <w:rsid w:val="00AC1866"/>
    <w:rsid w:val="00AC2EEF"/>
    <w:rsid w:val="00AC3163"/>
    <w:rsid w:val="00AC3A46"/>
    <w:rsid w:val="00AC4565"/>
    <w:rsid w:val="00AC5F79"/>
    <w:rsid w:val="00AD0BD8"/>
    <w:rsid w:val="00AD22C2"/>
    <w:rsid w:val="00AD3981"/>
    <w:rsid w:val="00AD5D7D"/>
    <w:rsid w:val="00AD6385"/>
    <w:rsid w:val="00AD688C"/>
    <w:rsid w:val="00AD6C02"/>
    <w:rsid w:val="00AE011F"/>
    <w:rsid w:val="00AE5A7C"/>
    <w:rsid w:val="00AE6FF8"/>
    <w:rsid w:val="00AE7521"/>
    <w:rsid w:val="00AF0AD9"/>
    <w:rsid w:val="00AF263F"/>
    <w:rsid w:val="00AF2917"/>
    <w:rsid w:val="00AF315A"/>
    <w:rsid w:val="00AF34C2"/>
    <w:rsid w:val="00AF53C7"/>
    <w:rsid w:val="00AF5A3F"/>
    <w:rsid w:val="00AF74E0"/>
    <w:rsid w:val="00AF7A8D"/>
    <w:rsid w:val="00B00EF2"/>
    <w:rsid w:val="00B0110F"/>
    <w:rsid w:val="00B023C2"/>
    <w:rsid w:val="00B034EB"/>
    <w:rsid w:val="00B038C9"/>
    <w:rsid w:val="00B04B32"/>
    <w:rsid w:val="00B04F7C"/>
    <w:rsid w:val="00B05714"/>
    <w:rsid w:val="00B0730E"/>
    <w:rsid w:val="00B108DD"/>
    <w:rsid w:val="00B110E3"/>
    <w:rsid w:val="00B12ACF"/>
    <w:rsid w:val="00B12D12"/>
    <w:rsid w:val="00B12D97"/>
    <w:rsid w:val="00B14FE6"/>
    <w:rsid w:val="00B162F3"/>
    <w:rsid w:val="00B16E2E"/>
    <w:rsid w:val="00B17D01"/>
    <w:rsid w:val="00B20488"/>
    <w:rsid w:val="00B21EA4"/>
    <w:rsid w:val="00B22022"/>
    <w:rsid w:val="00B22064"/>
    <w:rsid w:val="00B23982"/>
    <w:rsid w:val="00B23F8D"/>
    <w:rsid w:val="00B24297"/>
    <w:rsid w:val="00B243EF"/>
    <w:rsid w:val="00B2500E"/>
    <w:rsid w:val="00B25CE8"/>
    <w:rsid w:val="00B26B22"/>
    <w:rsid w:val="00B3184D"/>
    <w:rsid w:val="00B32569"/>
    <w:rsid w:val="00B33C39"/>
    <w:rsid w:val="00B33E59"/>
    <w:rsid w:val="00B3605D"/>
    <w:rsid w:val="00B36E5A"/>
    <w:rsid w:val="00B371AB"/>
    <w:rsid w:val="00B41590"/>
    <w:rsid w:val="00B4364B"/>
    <w:rsid w:val="00B4397B"/>
    <w:rsid w:val="00B43CBC"/>
    <w:rsid w:val="00B44566"/>
    <w:rsid w:val="00B44FAB"/>
    <w:rsid w:val="00B45755"/>
    <w:rsid w:val="00B45FDD"/>
    <w:rsid w:val="00B46021"/>
    <w:rsid w:val="00B50B33"/>
    <w:rsid w:val="00B511EC"/>
    <w:rsid w:val="00B512F8"/>
    <w:rsid w:val="00B52F43"/>
    <w:rsid w:val="00B54F24"/>
    <w:rsid w:val="00B55E68"/>
    <w:rsid w:val="00B60490"/>
    <w:rsid w:val="00B60C0B"/>
    <w:rsid w:val="00B615A2"/>
    <w:rsid w:val="00B62102"/>
    <w:rsid w:val="00B63467"/>
    <w:rsid w:val="00B634F5"/>
    <w:rsid w:val="00B66084"/>
    <w:rsid w:val="00B67043"/>
    <w:rsid w:val="00B71640"/>
    <w:rsid w:val="00B72081"/>
    <w:rsid w:val="00B7237B"/>
    <w:rsid w:val="00B72552"/>
    <w:rsid w:val="00B74B20"/>
    <w:rsid w:val="00B76508"/>
    <w:rsid w:val="00B7723D"/>
    <w:rsid w:val="00B80C1D"/>
    <w:rsid w:val="00B81157"/>
    <w:rsid w:val="00B828C3"/>
    <w:rsid w:val="00B830BA"/>
    <w:rsid w:val="00B833AA"/>
    <w:rsid w:val="00B840E9"/>
    <w:rsid w:val="00B847C1"/>
    <w:rsid w:val="00B86A5E"/>
    <w:rsid w:val="00B9046A"/>
    <w:rsid w:val="00B90BB1"/>
    <w:rsid w:val="00B911DB"/>
    <w:rsid w:val="00B9127E"/>
    <w:rsid w:val="00B91D25"/>
    <w:rsid w:val="00B94220"/>
    <w:rsid w:val="00B956FB"/>
    <w:rsid w:val="00B95871"/>
    <w:rsid w:val="00B960D4"/>
    <w:rsid w:val="00B961C6"/>
    <w:rsid w:val="00B964BB"/>
    <w:rsid w:val="00B9671F"/>
    <w:rsid w:val="00B97391"/>
    <w:rsid w:val="00BA1220"/>
    <w:rsid w:val="00BA42D7"/>
    <w:rsid w:val="00BA56D5"/>
    <w:rsid w:val="00BA789A"/>
    <w:rsid w:val="00BB144B"/>
    <w:rsid w:val="00BB183A"/>
    <w:rsid w:val="00BB271E"/>
    <w:rsid w:val="00BB2998"/>
    <w:rsid w:val="00BB49D7"/>
    <w:rsid w:val="00BB4A36"/>
    <w:rsid w:val="00BB4A40"/>
    <w:rsid w:val="00BB5F9B"/>
    <w:rsid w:val="00BB60A4"/>
    <w:rsid w:val="00BB6A6D"/>
    <w:rsid w:val="00BB6B4B"/>
    <w:rsid w:val="00BC33AF"/>
    <w:rsid w:val="00BC3894"/>
    <w:rsid w:val="00BC3DC4"/>
    <w:rsid w:val="00BC4AE6"/>
    <w:rsid w:val="00BC5676"/>
    <w:rsid w:val="00BC5914"/>
    <w:rsid w:val="00BC71EE"/>
    <w:rsid w:val="00BD03AA"/>
    <w:rsid w:val="00BD0EAC"/>
    <w:rsid w:val="00BD1EA2"/>
    <w:rsid w:val="00BE0073"/>
    <w:rsid w:val="00BE1770"/>
    <w:rsid w:val="00BE2F78"/>
    <w:rsid w:val="00BE30F1"/>
    <w:rsid w:val="00BE39A3"/>
    <w:rsid w:val="00BE4541"/>
    <w:rsid w:val="00BF1D45"/>
    <w:rsid w:val="00BF2068"/>
    <w:rsid w:val="00BF2AB3"/>
    <w:rsid w:val="00BF4933"/>
    <w:rsid w:val="00BF625D"/>
    <w:rsid w:val="00BF6FC7"/>
    <w:rsid w:val="00C012A0"/>
    <w:rsid w:val="00C0231C"/>
    <w:rsid w:val="00C04425"/>
    <w:rsid w:val="00C05B87"/>
    <w:rsid w:val="00C10668"/>
    <w:rsid w:val="00C111BA"/>
    <w:rsid w:val="00C11589"/>
    <w:rsid w:val="00C13432"/>
    <w:rsid w:val="00C143BB"/>
    <w:rsid w:val="00C153E6"/>
    <w:rsid w:val="00C20A70"/>
    <w:rsid w:val="00C21462"/>
    <w:rsid w:val="00C223CC"/>
    <w:rsid w:val="00C22509"/>
    <w:rsid w:val="00C22AEF"/>
    <w:rsid w:val="00C23209"/>
    <w:rsid w:val="00C2589D"/>
    <w:rsid w:val="00C25D8D"/>
    <w:rsid w:val="00C26A51"/>
    <w:rsid w:val="00C26FFD"/>
    <w:rsid w:val="00C27B00"/>
    <w:rsid w:val="00C30A94"/>
    <w:rsid w:val="00C30D56"/>
    <w:rsid w:val="00C31D0F"/>
    <w:rsid w:val="00C35FA4"/>
    <w:rsid w:val="00C36700"/>
    <w:rsid w:val="00C36F10"/>
    <w:rsid w:val="00C37A1A"/>
    <w:rsid w:val="00C40640"/>
    <w:rsid w:val="00C408C1"/>
    <w:rsid w:val="00C40F35"/>
    <w:rsid w:val="00C41305"/>
    <w:rsid w:val="00C450CB"/>
    <w:rsid w:val="00C455AD"/>
    <w:rsid w:val="00C465D6"/>
    <w:rsid w:val="00C512D6"/>
    <w:rsid w:val="00C53643"/>
    <w:rsid w:val="00C53D15"/>
    <w:rsid w:val="00C54093"/>
    <w:rsid w:val="00C548D5"/>
    <w:rsid w:val="00C54AE9"/>
    <w:rsid w:val="00C56C47"/>
    <w:rsid w:val="00C609DA"/>
    <w:rsid w:val="00C618D3"/>
    <w:rsid w:val="00C6344D"/>
    <w:rsid w:val="00C66008"/>
    <w:rsid w:val="00C66586"/>
    <w:rsid w:val="00C671EE"/>
    <w:rsid w:val="00C7068B"/>
    <w:rsid w:val="00C70828"/>
    <w:rsid w:val="00C70FAE"/>
    <w:rsid w:val="00C734DA"/>
    <w:rsid w:val="00C74481"/>
    <w:rsid w:val="00C74FB2"/>
    <w:rsid w:val="00C75EA3"/>
    <w:rsid w:val="00C7669A"/>
    <w:rsid w:val="00C76F0D"/>
    <w:rsid w:val="00C81A04"/>
    <w:rsid w:val="00C829A5"/>
    <w:rsid w:val="00C8325E"/>
    <w:rsid w:val="00C8328C"/>
    <w:rsid w:val="00C8441D"/>
    <w:rsid w:val="00C85537"/>
    <w:rsid w:val="00C86777"/>
    <w:rsid w:val="00C92541"/>
    <w:rsid w:val="00C93A9A"/>
    <w:rsid w:val="00C9473F"/>
    <w:rsid w:val="00C9659E"/>
    <w:rsid w:val="00C979AC"/>
    <w:rsid w:val="00CA106B"/>
    <w:rsid w:val="00CA1A34"/>
    <w:rsid w:val="00CA3263"/>
    <w:rsid w:val="00CA4EE5"/>
    <w:rsid w:val="00CA69D1"/>
    <w:rsid w:val="00CA6A1C"/>
    <w:rsid w:val="00CB1776"/>
    <w:rsid w:val="00CB19D9"/>
    <w:rsid w:val="00CB4178"/>
    <w:rsid w:val="00CB4266"/>
    <w:rsid w:val="00CB4EAC"/>
    <w:rsid w:val="00CB5C9F"/>
    <w:rsid w:val="00CB6C9E"/>
    <w:rsid w:val="00CB7451"/>
    <w:rsid w:val="00CB7C52"/>
    <w:rsid w:val="00CB7C7B"/>
    <w:rsid w:val="00CC2C3A"/>
    <w:rsid w:val="00CC32DD"/>
    <w:rsid w:val="00CC3456"/>
    <w:rsid w:val="00CC4998"/>
    <w:rsid w:val="00CC5BD5"/>
    <w:rsid w:val="00CC7FAB"/>
    <w:rsid w:val="00CD1757"/>
    <w:rsid w:val="00CD2029"/>
    <w:rsid w:val="00CD590C"/>
    <w:rsid w:val="00CD6BE3"/>
    <w:rsid w:val="00CE1878"/>
    <w:rsid w:val="00CE19C9"/>
    <w:rsid w:val="00CE218D"/>
    <w:rsid w:val="00CE3952"/>
    <w:rsid w:val="00CE3EFF"/>
    <w:rsid w:val="00CE4046"/>
    <w:rsid w:val="00CE5BE3"/>
    <w:rsid w:val="00CF0EC1"/>
    <w:rsid w:val="00CF102A"/>
    <w:rsid w:val="00CF3547"/>
    <w:rsid w:val="00CF6CDD"/>
    <w:rsid w:val="00D004C7"/>
    <w:rsid w:val="00D00FA5"/>
    <w:rsid w:val="00D01A65"/>
    <w:rsid w:val="00D035BB"/>
    <w:rsid w:val="00D11EBC"/>
    <w:rsid w:val="00D12623"/>
    <w:rsid w:val="00D1431F"/>
    <w:rsid w:val="00D1531B"/>
    <w:rsid w:val="00D17189"/>
    <w:rsid w:val="00D2153D"/>
    <w:rsid w:val="00D2207F"/>
    <w:rsid w:val="00D227DB"/>
    <w:rsid w:val="00D24AC2"/>
    <w:rsid w:val="00D26077"/>
    <w:rsid w:val="00D26367"/>
    <w:rsid w:val="00D26677"/>
    <w:rsid w:val="00D27DE2"/>
    <w:rsid w:val="00D304DF"/>
    <w:rsid w:val="00D309CA"/>
    <w:rsid w:val="00D30B44"/>
    <w:rsid w:val="00D31724"/>
    <w:rsid w:val="00D31DC2"/>
    <w:rsid w:val="00D3224C"/>
    <w:rsid w:val="00D35CA5"/>
    <w:rsid w:val="00D36167"/>
    <w:rsid w:val="00D3747C"/>
    <w:rsid w:val="00D43024"/>
    <w:rsid w:val="00D43502"/>
    <w:rsid w:val="00D452CE"/>
    <w:rsid w:val="00D4658D"/>
    <w:rsid w:val="00D531BC"/>
    <w:rsid w:val="00D53309"/>
    <w:rsid w:val="00D54F64"/>
    <w:rsid w:val="00D55284"/>
    <w:rsid w:val="00D559F3"/>
    <w:rsid w:val="00D5612F"/>
    <w:rsid w:val="00D56392"/>
    <w:rsid w:val="00D568C4"/>
    <w:rsid w:val="00D575AF"/>
    <w:rsid w:val="00D6008B"/>
    <w:rsid w:val="00D606B6"/>
    <w:rsid w:val="00D60A06"/>
    <w:rsid w:val="00D614F8"/>
    <w:rsid w:val="00D61E37"/>
    <w:rsid w:val="00D622F0"/>
    <w:rsid w:val="00D625E8"/>
    <w:rsid w:val="00D628B7"/>
    <w:rsid w:val="00D62ABA"/>
    <w:rsid w:val="00D63CAE"/>
    <w:rsid w:val="00D64247"/>
    <w:rsid w:val="00D669E4"/>
    <w:rsid w:val="00D67002"/>
    <w:rsid w:val="00D6711E"/>
    <w:rsid w:val="00D70531"/>
    <w:rsid w:val="00D738A8"/>
    <w:rsid w:val="00D75496"/>
    <w:rsid w:val="00D82891"/>
    <w:rsid w:val="00D83994"/>
    <w:rsid w:val="00D839C1"/>
    <w:rsid w:val="00D85838"/>
    <w:rsid w:val="00D860E1"/>
    <w:rsid w:val="00D865C1"/>
    <w:rsid w:val="00D92161"/>
    <w:rsid w:val="00D95A00"/>
    <w:rsid w:val="00D9620E"/>
    <w:rsid w:val="00D964F2"/>
    <w:rsid w:val="00D971C3"/>
    <w:rsid w:val="00DA1C28"/>
    <w:rsid w:val="00DA3A76"/>
    <w:rsid w:val="00DA65DF"/>
    <w:rsid w:val="00DA7404"/>
    <w:rsid w:val="00DA7A80"/>
    <w:rsid w:val="00DB2AE8"/>
    <w:rsid w:val="00DB38F8"/>
    <w:rsid w:val="00DB4EAD"/>
    <w:rsid w:val="00DB4FC7"/>
    <w:rsid w:val="00DB6141"/>
    <w:rsid w:val="00DB71DC"/>
    <w:rsid w:val="00DC46B5"/>
    <w:rsid w:val="00DC4D4E"/>
    <w:rsid w:val="00DC6AA0"/>
    <w:rsid w:val="00DD0B06"/>
    <w:rsid w:val="00DD1A0D"/>
    <w:rsid w:val="00DD1CCD"/>
    <w:rsid w:val="00DD27C7"/>
    <w:rsid w:val="00DD2BB4"/>
    <w:rsid w:val="00DD486C"/>
    <w:rsid w:val="00DD505F"/>
    <w:rsid w:val="00DD628F"/>
    <w:rsid w:val="00DD6A9D"/>
    <w:rsid w:val="00DE04A2"/>
    <w:rsid w:val="00DE0B2F"/>
    <w:rsid w:val="00DE10B3"/>
    <w:rsid w:val="00DE30B2"/>
    <w:rsid w:val="00DE3E60"/>
    <w:rsid w:val="00DE444A"/>
    <w:rsid w:val="00DE5807"/>
    <w:rsid w:val="00DE715F"/>
    <w:rsid w:val="00DF0FD1"/>
    <w:rsid w:val="00DF1188"/>
    <w:rsid w:val="00DF14D0"/>
    <w:rsid w:val="00DF1B11"/>
    <w:rsid w:val="00DF3084"/>
    <w:rsid w:val="00DF4245"/>
    <w:rsid w:val="00DF4507"/>
    <w:rsid w:val="00DF4648"/>
    <w:rsid w:val="00DF79C1"/>
    <w:rsid w:val="00DF7E41"/>
    <w:rsid w:val="00E00C0C"/>
    <w:rsid w:val="00E00D5E"/>
    <w:rsid w:val="00E03978"/>
    <w:rsid w:val="00E04186"/>
    <w:rsid w:val="00E04738"/>
    <w:rsid w:val="00E05D76"/>
    <w:rsid w:val="00E05F57"/>
    <w:rsid w:val="00E0782C"/>
    <w:rsid w:val="00E10082"/>
    <w:rsid w:val="00E10BFD"/>
    <w:rsid w:val="00E1438F"/>
    <w:rsid w:val="00E16B78"/>
    <w:rsid w:val="00E17A4A"/>
    <w:rsid w:val="00E214F8"/>
    <w:rsid w:val="00E2155F"/>
    <w:rsid w:val="00E21E06"/>
    <w:rsid w:val="00E237E9"/>
    <w:rsid w:val="00E24459"/>
    <w:rsid w:val="00E244CB"/>
    <w:rsid w:val="00E24917"/>
    <w:rsid w:val="00E25383"/>
    <w:rsid w:val="00E25CD3"/>
    <w:rsid w:val="00E26D1F"/>
    <w:rsid w:val="00E306B2"/>
    <w:rsid w:val="00E308CC"/>
    <w:rsid w:val="00E32034"/>
    <w:rsid w:val="00E34C72"/>
    <w:rsid w:val="00E36A86"/>
    <w:rsid w:val="00E37C53"/>
    <w:rsid w:val="00E41635"/>
    <w:rsid w:val="00E42E9C"/>
    <w:rsid w:val="00E453FA"/>
    <w:rsid w:val="00E454A7"/>
    <w:rsid w:val="00E45934"/>
    <w:rsid w:val="00E4608F"/>
    <w:rsid w:val="00E46146"/>
    <w:rsid w:val="00E464B6"/>
    <w:rsid w:val="00E50D7C"/>
    <w:rsid w:val="00E510D9"/>
    <w:rsid w:val="00E52286"/>
    <w:rsid w:val="00E562CF"/>
    <w:rsid w:val="00E5668F"/>
    <w:rsid w:val="00E613F4"/>
    <w:rsid w:val="00E61FF4"/>
    <w:rsid w:val="00E6382D"/>
    <w:rsid w:val="00E641B7"/>
    <w:rsid w:val="00E65A6D"/>
    <w:rsid w:val="00E67ECF"/>
    <w:rsid w:val="00E70875"/>
    <w:rsid w:val="00E712B2"/>
    <w:rsid w:val="00E71DCE"/>
    <w:rsid w:val="00E72F46"/>
    <w:rsid w:val="00E74645"/>
    <w:rsid w:val="00E75AE3"/>
    <w:rsid w:val="00E75C87"/>
    <w:rsid w:val="00E76C9F"/>
    <w:rsid w:val="00E774F1"/>
    <w:rsid w:val="00E806DB"/>
    <w:rsid w:val="00E81236"/>
    <w:rsid w:val="00E81832"/>
    <w:rsid w:val="00E829C8"/>
    <w:rsid w:val="00E86F7D"/>
    <w:rsid w:val="00E87B74"/>
    <w:rsid w:val="00E90A09"/>
    <w:rsid w:val="00E90FDD"/>
    <w:rsid w:val="00E96D42"/>
    <w:rsid w:val="00E9747F"/>
    <w:rsid w:val="00EA39C8"/>
    <w:rsid w:val="00EA4779"/>
    <w:rsid w:val="00EA5115"/>
    <w:rsid w:val="00EA60B5"/>
    <w:rsid w:val="00EA69E0"/>
    <w:rsid w:val="00EB0469"/>
    <w:rsid w:val="00EB1314"/>
    <w:rsid w:val="00EB15B0"/>
    <w:rsid w:val="00EB1730"/>
    <w:rsid w:val="00EB1CF1"/>
    <w:rsid w:val="00EB2798"/>
    <w:rsid w:val="00EB41E6"/>
    <w:rsid w:val="00EB4DB9"/>
    <w:rsid w:val="00EB5A77"/>
    <w:rsid w:val="00EB6124"/>
    <w:rsid w:val="00EB65CE"/>
    <w:rsid w:val="00EB67B9"/>
    <w:rsid w:val="00EB6C2A"/>
    <w:rsid w:val="00EB7B1A"/>
    <w:rsid w:val="00EC052D"/>
    <w:rsid w:val="00EC0A89"/>
    <w:rsid w:val="00EC12B8"/>
    <w:rsid w:val="00EC5974"/>
    <w:rsid w:val="00EC6986"/>
    <w:rsid w:val="00EC6BD5"/>
    <w:rsid w:val="00EC77E2"/>
    <w:rsid w:val="00ED0A8E"/>
    <w:rsid w:val="00ED1D90"/>
    <w:rsid w:val="00ED525B"/>
    <w:rsid w:val="00ED553A"/>
    <w:rsid w:val="00ED5728"/>
    <w:rsid w:val="00ED5877"/>
    <w:rsid w:val="00ED672D"/>
    <w:rsid w:val="00ED6E5A"/>
    <w:rsid w:val="00ED7E53"/>
    <w:rsid w:val="00ED7FA8"/>
    <w:rsid w:val="00EE0156"/>
    <w:rsid w:val="00EE0D2C"/>
    <w:rsid w:val="00EE2AEB"/>
    <w:rsid w:val="00EE3155"/>
    <w:rsid w:val="00EE3F38"/>
    <w:rsid w:val="00EE441A"/>
    <w:rsid w:val="00EE672A"/>
    <w:rsid w:val="00EE6932"/>
    <w:rsid w:val="00EE7AD2"/>
    <w:rsid w:val="00EF0791"/>
    <w:rsid w:val="00EF13C1"/>
    <w:rsid w:val="00EF37D0"/>
    <w:rsid w:val="00EF4E7B"/>
    <w:rsid w:val="00EF512B"/>
    <w:rsid w:val="00EF55AE"/>
    <w:rsid w:val="00EF74D5"/>
    <w:rsid w:val="00EF7628"/>
    <w:rsid w:val="00EF7C63"/>
    <w:rsid w:val="00F012DB"/>
    <w:rsid w:val="00F02D48"/>
    <w:rsid w:val="00F0370A"/>
    <w:rsid w:val="00F05CD7"/>
    <w:rsid w:val="00F0759E"/>
    <w:rsid w:val="00F076AB"/>
    <w:rsid w:val="00F11E4B"/>
    <w:rsid w:val="00F12201"/>
    <w:rsid w:val="00F12B92"/>
    <w:rsid w:val="00F13339"/>
    <w:rsid w:val="00F14960"/>
    <w:rsid w:val="00F14C5B"/>
    <w:rsid w:val="00F14DCD"/>
    <w:rsid w:val="00F1546B"/>
    <w:rsid w:val="00F15ADF"/>
    <w:rsid w:val="00F21410"/>
    <w:rsid w:val="00F21993"/>
    <w:rsid w:val="00F22611"/>
    <w:rsid w:val="00F244B8"/>
    <w:rsid w:val="00F25086"/>
    <w:rsid w:val="00F25839"/>
    <w:rsid w:val="00F25B57"/>
    <w:rsid w:val="00F273C7"/>
    <w:rsid w:val="00F3194F"/>
    <w:rsid w:val="00F31B89"/>
    <w:rsid w:val="00F32C15"/>
    <w:rsid w:val="00F330C7"/>
    <w:rsid w:val="00F341E6"/>
    <w:rsid w:val="00F344A2"/>
    <w:rsid w:val="00F376D0"/>
    <w:rsid w:val="00F4159C"/>
    <w:rsid w:val="00F41704"/>
    <w:rsid w:val="00F41A4F"/>
    <w:rsid w:val="00F41A8D"/>
    <w:rsid w:val="00F44FF1"/>
    <w:rsid w:val="00F471EA"/>
    <w:rsid w:val="00F51679"/>
    <w:rsid w:val="00F51C1B"/>
    <w:rsid w:val="00F5406E"/>
    <w:rsid w:val="00F54176"/>
    <w:rsid w:val="00F54C02"/>
    <w:rsid w:val="00F55ECB"/>
    <w:rsid w:val="00F560C8"/>
    <w:rsid w:val="00F573AC"/>
    <w:rsid w:val="00F606DE"/>
    <w:rsid w:val="00F60D06"/>
    <w:rsid w:val="00F6173D"/>
    <w:rsid w:val="00F61812"/>
    <w:rsid w:val="00F61AA6"/>
    <w:rsid w:val="00F62A68"/>
    <w:rsid w:val="00F62AC7"/>
    <w:rsid w:val="00F62DDC"/>
    <w:rsid w:val="00F631A1"/>
    <w:rsid w:val="00F6367B"/>
    <w:rsid w:val="00F64FE1"/>
    <w:rsid w:val="00F65ED9"/>
    <w:rsid w:val="00F666B9"/>
    <w:rsid w:val="00F7115B"/>
    <w:rsid w:val="00F731F1"/>
    <w:rsid w:val="00F75C2B"/>
    <w:rsid w:val="00F804AB"/>
    <w:rsid w:val="00F824D8"/>
    <w:rsid w:val="00F84E86"/>
    <w:rsid w:val="00F862D5"/>
    <w:rsid w:val="00F9035D"/>
    <w:rsid w:val="00F91B8E"/>
    <w:rsid w:val="00F92045"/>
    <w:rsid w:val="00F946E4"/>
    <w:rsid w:val="00F96C2C"/>
    <w:rsid w:val="00F96F65"/>
    <w:rsid w:val="00FA1386"/>
    <w:rsid w:val="00FA2343"/>
    <w:rsid w:val="00FA4F9B"/>
    <w:rsid w:val="00FA59E8"/>
    <w:rsid w:val="00FA66EF"/>
    <w:rsid w:val="00FA6713"/>
    <w:rsid w:val="00FB12F6"/>
    <w:rsid w:val="00FB28F0"/>
    <w:rsid w:val="00FB395F"/>
    <w:rsid w:val="00FB512D"/>
    <w:rsid w:val="00FB6AF1"/>
    <w:rsid w:val="00FB6F87"/>
    <w:rsid w:val="00FC085A"/>
    <w:rsid w:val="00FC0A85"/>
    <w:rsid w:val="00FC1E68"/>
    <w:rsid w:val="00FC248B"/>
    <w:rsid w:val="00FC2DE7"/>
    <w:rsid w:val="00FC5321"/>
    <w:rsid w:val="00FC5461"/>
    <w:rsid w:val="00FC7020"/>
    <w:rsid w:val="00FD1BFB"/>
    <w:rsid w:val="00FD31B3"/>
    <w:rsid w:val="00FD3901"/>
    <w:rsid w:val="00FD3B58"/>
    <w:rsid w:val="00FD3EC0"/>
    <w:rsid w:val="00FD4A5A"/>
    <w:rsid w:val="00FD58D9"/>
    <w:rsid w:val="00FD6FA1"/>
    <w:rsid w:val="00FD7827"/>
    <w:rsid w:val="00FD78C8"/>
    <w:rsid w:val="00FE076E"/>
    <w:rsid w:val="00FE2776"/>
    <w:rsid w:val="00FE3CAB"/>
    <w:rsid w:val="00FE3EC0"/>
    <w:rsid w:val="00FE4238"/>
    <w:rsid w:val="00FE4C3C"/>
    <w:rsid w:val="00FE68BE"/>
    <w:rsid w:val="00FE6E47"/>
    <w:rsid w:val="00FE71CE"/>
    <w:rsid w:val="00FE730A"/>
    <w:rsid w:val="00FF10B9"/>
    <w:rsid w:val="00FF1850"/>
    <w:rsid w:val="00FF3285"/>
    <w:rsid w:val="00FF4628"/>
    <w:rsid w:val="00FF4954"/>
    <w:rsid w:val="00FF5EE3"/>
    <w:rsid w:val="00FF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MS Gothi" w:hAnsi="Cambria"/>
      <w:b/>
      <w:bCs/>
      <w:color w:val="4F81BD"/>
      <w:sz w:val="26"/>
      <w:szCs w:val="26"/>
    </w:rPr>
  </w:style>
  <w:style w:type="paragraph" w:styleId="Heading3">
    <w:name w:val="heading 3"/>
    <w:basedOn w:val="Normal"/>
    <w:next w:val="Normal"/>
    <w:link w:val="Heading3Char"/>
    <w:uiPriority w:val="99"/>
    <w:qFormat/>
    <w:rsid w:val="001434BB"/>
    <w:pPr>
      <w:keepNext/>
      <w:tabs>
        <w:tab w:val="num" w:pos="2080"/>
      </w:tabs>
      <w:spacing w:before="120" w:after="240" w:line="240" w:lineRule="auto"/>
      <w:ind w:left="720" w:hanging="432"/>
      <w:outlineLvl w:val="2"/>
    </w:pPr>
    <w:rPr>
      <w:rFonts w:ascii="Times New Roman" w:hAnsi="Times New Roman" w:cs="Arial"/>
      <w:b/>
      <w:bCs/>
      <w:sz w:val="24"/>
      <w:szCs w:val="26"/>
    </w:rPr>
  </w:style>
  <w:style w:type="paragraph" w:styleId="Heading4">
    <w:name w:val="heading 4"/>
    <w:basedOn w:val="Normal"/>
    <w:next w:val="Normal"/>
    <w:link w:val="Heading4Char"/>
    <w:uiPriority w:val="99"/>
    <w:qFormat/>
    <w:rsid w:val="001434BB"/>
    <w:pPr>
      <w:keepNext/>
      <w:keepLines/>
      <w:numPr>
        <w:ilvl w:val="3"/>
        <w:numId w:val="1"/>
      </w:numPr>
      <w:spacing w:before="200" w:after="0"/>
      <w:ind w:left="864" w:hanging="144"/>
      <w:outlineLvl w:val="3"/>
    </w:pPr>
    <w:rPr>
      <w:rFonts w:ascii="Cambria" w:hAnsi="Cambria"/>
      <w:b/>
      <w:bCs/>
      <w:i/>
      <w:iCs/>
      <w:color w:val="4F81BD"/>
    </w:rPr>
  </w:style>
  <w:style w:type="paragraph" w:styleId="Heading5">
    <w:name w:val="heading 5"/>
    <w:basedOn w:val="Normal"/>
    <w:next w:val="Normal"/>
    <w:link w:val="Heading5Char"/>
    <w:uiPriority w:val="99"/>
    <w:qFormat/>
    <w:rsid w:val="001434BB"/>
    <w:pPr>
      <w:keepNext/>
      <w:keepLines/>
      <w:numPr>
        <w:ilvl w:val="4"/>
        <w:numId w:val="1"/>
      </w:numPr>
      <w:spacing w:before="200" w:after="0"/>
      <w:ind w:left="1008" w:hanging="432"/>
      <w:outlineLvl w:val="4"/>
    </w:pPr>
    <w:rPr>
      <w:rFonts w:ascii="Cambria"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MS Gothi" w:hAnsi="Cambria"/>
      <w:i/>
      <w:iCs/>
      <w:color w:val="243F60"/>
    </w:rPr>
  </w:style>
  <w:style w:type="paragraph" w:styleId="Heading7">
    <w:name w:val="heading 7"/>
    <w:basedOn w:val="Normal"/>
    <w:next w:val="Normal"/>
    <w:link w:val="Heading7Char"/>
    <w:uiPriority w:val="99"/>
    <w:qFormat/>
    <w:rsid w:val="001434BB"/>
    <w:pPr>
      <w:keepNext/>
      <w:keepLines/>
      <w:numPr>
        <w:ilvl w:val="6"/>
        <w:numId w:val="1"/>
      </w:numPr>
      <w:spacing w:before="200" w:after="0"/>
      <w:ind w:left="1296" w:hanging="288"/>
      <w:outlineLvl w:val="6"/>
    </w:pPr>
    <w:rPr>
      <w:rFonts w:ascii="Cambria" w:hAnsi="Cambria"/>
      <w:i/>
      <w:iCs/>
      <w:color w:val="404040"/>
    </w:rPr>
  </w:style>
  <w:style w:type="paragraph" w:styleId="Heading8">
    <w:name w:val="heading 8"/>
    <w:basedOn w:val="Normal"/>
    <w:next w:val="Normal"/>
    <w:link w:val="Heading8Char"/>
    <w:uiPriority w:val="99"/>
    <w:qFormat/>
    <w:rsid w:val="001434BB"/>
    <w:pPr>
      <w:keepNext/>
      <w:keepLines/>
      <w:numPr>
        <w:ilvl w:val="7"/>
        <w:numId w:val="1"/>
      </w:numPr>
      <w:spacing w:before="200" w:after="0"/>
      <w:ind w:left="1440" w:hanging="432"/>
      <w:outlineLvl w:val="7"/>
    </w:pPr>
    <w:rPr>
      <w:rFonts w:ascii="Cambria" w:hAnsi="Cambria"/>
      <w:color w:val="404040"/>
      <w:sz w:val="20"/>
      <w:szCs w:val="20"/>
    </w:rPr>
  </w:style>
  <w:style w:type="paragraph" w:styleId="Heading9">
    <w:name w:val="heading 9"/>
    <w:basedOn w:val="Normal"/>
    <w:next w:val="Normal"/>
    <w:link w:val="Heading9Char"/>
    <w:uiPriority w:val="99"/>
    <w:qFormat/>
    <w:rsid w:val="001434BB"/>
    <w:pPr>
      <w:keepNext/>
      <w:keepLines/>
      <w:numPr>
        <w:ilvl w:val="8"/>
        <w:numId w:val="1"/>
      </w:numPr>
      <w:spacing w:before="200" w:after="0"/>
      <w:ind w:left="1584" w:hanging="14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eastAsia="MS Gothi" w:hAnsi="Cambria" w:cs="Times New Roman"/>
      <w:b/>
      <w:bCs/>
      <w:color w:val="4F81BD"/>
      <w:sz w:val="26"/>
      <w:szCs w:val="26"/>
    </w:rPr>
  </w:style>
  <w:style w:type="character" w:customStyle="1" w:styleId="Heading3Char">
    <w:name w:val="Heading 3 Char"/>
    <w:basedOn w:val="DefaultParagraphFont"/>
    <w:link w:val="Heading3"/>
    <w:uiPriority w:val="99"/>
    <w:locked/>
    <w:rsid w:val="001434BB"/>
    <w:rPr>
      <w:rFonts w:ascii="Times New Roman" w:hAnsi="Times New Roman" w:cs="Arial"/>
      <w:b/>
      <w:bCs/>
      <w:sz w:val="26"/>
      <w:szCs w:val="26"/>
    </w:rPr>
  </w:style>
  <w:style w:type="character" w:customStyle="1" w:styleId="Heading4Char">
    <w:name w:val="Heading 4 Char"/>
    <w:basedOn w:val="DefaultParagraphFont"/>
    <w:link w:val="Heading4"/>
    <w:uiPriority w:val="99"/>
    <w:locked/>
    <w:rsid w:val="001434BB"/>
    <w:rPr>
      <w:rFonts w:ascii="Cambria" w:hAnsi="Cambria"/>
      <w:b/>
      <w:bCs/>
      <w:i/>
      <w:iCs/>
      <w:color w:val="4F81BD"/>
      <w:lang w:eastAsia="en-US"/>
    </w:rPr>
  </w:style>
  <w:style w:type="character" w:customStyle="1" w:styleId="Heading5Char">
    <w:name w:val="Heading 5 Char"/>
    <w:basedOn w:val="DefaultParagraphFont"/>
    <w:link w:val="Heading5"/>
    <w:uiPriority w:val="99"/>
    <w:locked/>
    <w:rsid w:val="001434BB"/>
    <w:rPr>
      <w:rFonts w:ascii="Cambria" w:hAnsi="Cambria"/>
      <w:color w:val="243F60"/>
      <w:lang w:eastAsia="en-US"/>
    </w:rPr>
  </w:style>
  <w:style w:type="character" w:customStyle="1" w:styleId="Heading6Char">
    <w:name w:val="Heading 6 Char"/>
    <w:basedOn w:val="DefaultParagraphFont"/>
    <w:link w:val="Heading6"/>
    <w:uiPriority w:val="99"/>
    <w:locked/>
    <w:rsid w:val="0061177F"/>
    <w:rPr>
      <w:rFonts w:ascii="Cambria" w:eastAsia="MS Gothi" w:hAnsi="Cambria" w:cs="Times New Roman"/>
      <w:i/>
      <w:iCs/>
      <w:color w:val="243F60"/>
    </w:rPr>
  </w:style>
  <w:style w:type="character" w:customStyle="1" w:styleId="Heading7Char">
    <w:name w:val="Heading 7 Char"/>
    <w:basedOn w:val="DefaultParagraphFont"/>
    <w:link w:val="Heading7"/>
    <w:uiPriority w:val="99"/>
    <w:locked/>
    <w:rsid w:val="001434BB"/>
    <w:rPr>
      <w:rFonts w:ascii="Cambria" w:hAnsi="Cambria"/>
      <w:i/>
      <w:iCs/>
      <w:color w:val="404040"/>
      <w:lang w:eastAsia="en-US"/>
    </w:rPr>
  </w:style>
  <w:style w:type="character" w:customStyle="1" w:styleId="Heading8Char">
    <w:name w:val="Heading 8 Char"/>
    <w:basedOn w:val="DefaultParagraphFont"/>
    <w:link w:val="Heading8"/>
    <w:uiPriority w:val="99"/>
    <w:locked/>
    <w:rsid w:val="001434BB"/>
    <w:rPr>
      <w:rFonts w:ascii="Cambria" w:hAnsi="Cambria"/>
      <w:color w:val="404040"/>
      <w:sz w:val="20"/>
      <w:szCs w:val="20"/>
      <w:lang w:eastAsia="en-US"/>
    </w:rPr>
  </w:style>
  <w:style w:type="character" w:customStyle="1" w:styleId="Heading9Char">
    <w:name w:val="Heading 9 Char"/>
    <w:basedOn w:val="DefaultParagraphFont"/>
    <w:link w:val="Heading9"/>
    <w:uiPriority w:val="99"/>
    <w:locked/>
    <w:rsid w:val="001434BB"/>
    <w:rPr>
      <w:rFonts w:ascii="Cambria" w:hAnsi="Cambria"/>
      <w:i/>
      <w:iCs/>
      <w:color w:val="404040"/>
      <w:sz w:val="20"/>
      <w:szCs w:val="20"/>
      <w:lang w:eastAsia="en-US"/>
    </w:rPr>
  </w:style>
  <w:style w:type="paragraph" w:customStyle="1" w:styleId="Bullet">
    <w:name w:val="Bullet"/>
    <w:aliases w:val="b"/>
    <w:basedOn w:val="Normal"/>
    <w:link w:val="BulletChar"/>
    <w:uiPriority w:val="99"/>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rsid w:val="00A57799"/>
    <w:pPr>
      <w:numPr>
        <w:ilvl w:val="1"/>
        <w:numId w:val="1"/>
      </w:numPr>
      <w:spacing w:before="120" w:after="120"/>
    </w:pPr>
    <w:rPr>
      <w:rFonts w:eastAsia="Times New Roman"/>
    </w:rPr>
  </w:style>
  <w:style w:type="paragraph" w:customStyle="1" w:styleId="DoubleDot">
    <w:name w:val="Double Dot"/>
    <w:basedOn w:val="Normal"/>
    <w:link w:val="DoubleDotChar"/>
    <w:uiPriority w:val="99"/>
    <w:rsid w:val="00A57799"/>
    <w:pPr>
      <w:numPr>
        <w:ilvl w:val="2"/>
        <w:numId w:val="1"/>
      </w:numPr>
      <w:spacing w:before="120" w:after="120"/>
    </w:pPr>
    <w:rPr>
      <w:rFonts w:eastAsia="Times New Roman"/>
      <w:sz w:val="20"/>
      <w:szCs w:val="20"/>
      <w:lang w:val="en-US"/>
    </w:rPr>
  </w:style>
  <w:style w:type="table" w:styleId="TableGrid">
    <w:name w:val="Table Grid"/>
    <w:basedOn w:val="TableNormal"/>
    <w:uiPriority w:val="9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99"/>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rsid w:val="00F560C8"/>
    <w:rPr>
      <w:rFonts w:cs="Times New Roman"/>
      <w:sz w:val="16"/>
      <w:szCs w:val="16"/>
    </w:rPr>
  </w:style>
  <w:style w:type="paragraph" w:styleId="CommentText">
    <w:name w:val="annotation text"/>
    <w:basedOn w:val="Normal"/>
    <w:link w:val="CommentTextChar"/>
    <w:rsid w:val="00F560C8"/>
    <w:pPr>
      <w:spacing w:line="240" w:lineRule="auto"/>
    </w:pPr>
    <w:rPr>
      <w:sz w:val="20"/>
      <w:szCs w:val="20"/>
    </w:rPr>
  </w:style>
  <w:style w:type="character" w:customStyle="1" w:styleId="CommentTextChar">
    <w:name w:val="Comment Text Char"/>
    <w:basedOn w:val="DefaultParagraphFont"/>
    <w:link w:val="CommentText"/>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uiPriority w:val="99"/>
    <w:rsid w:val="0040605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DoubleDotChar">
    <w:name w:val="Double Dot Char"/>
    <w:link w:val="DoubleDot"/>
    <w:uiPriority w:val="99"/>
    <w:locked/>
    <w:rsid w:val="001434BB"/>
    <w:rPr>
      <w:rFonts w:eastAsia="Times New Roman"/>
      <w:sz w:val="20"/>
      <w:szCs w:val="20"/>
      <w:lang w:val="en-US" w:eastAsia="en-US"/>
    </w:rPr>
  </w:style>
  <w:style w:type="character" w:styleId="Emphasis">
    <w:name w:val="Emphasis"/>
    <w:basedOn w:val="DefaultParagraphFont"/>
    <w:uiPriority w:val="99"/>
    <w:qFormat/>
    <w:rsid w:val="001434BB"/>
    <w:rPr>
      <w:rFonts w:cs="Times New Roman"/>
      <w:b/>
    </w:rPr>
  </w:style>
  <w:style w:type="paragraph" w:styleId="TOCHeading">
    <w:name w:val="TOC Heading"/>
    <w:basedOn w:val="Heading1"/>
    <w:next w:val="Normal"/>
    <w:uiPriority w:val="99"/>
    <w:qFormat/>
    <w:rsid w:val="001434BB"/>
    <w:pPr>
      <w:keepNext/>
      <w:keepLines/>
      <w:spacing w:before="480" w:after="0" w:line="276" w:lineRule="auto"/>
      <w:outlineLvl w:val="9"/>
    </w:pPr>
    <w:rPr>
      <w:rFonts w:ascii="Cambria" w:eastAsia="MS Gothi" w:hAnsi="Cambria"/>
      <w:color w:val="365F91"/>
      <w:kern w:val="0"/>
      <w:sz w:val="28"/>
      <w:szCs w:val="28"/>
      <w:lang w:eastAsia="en-US"/>
    </w:rPr>
  </w:style>
  <w:style w:type="paragraph" w:styleId="TOC1">
    <w:name w:val="toc 1"/>
    <w:basedOn w:val="Normal"/>
    <w:next w:val="Normal"/>
    <w:autoRedefine/>
    <w:uiPriority w:val="99"/>
    <w:semiHidden/>
    <w:rsid w:val="001434BB"/>
    <w:pPr>
      <w:tabs>
        <w:tab w:val="right" w:leader="dot" w:pos="9016"/>
      </w:tabs>
      <w:spacing w:before="120" w:after="100"/>
    </w:pPr>
    <w:rPr>
      <w:rFonts w:eastAsia="Times New Roman"/>
      <w:noProof/>
    </w:rPr>
  </w:style>
  <w:style w:type="paragraph" w:styleId="TOC2">
    <w:name w:val="toc 2"/>
    <w:basedOn w:val="Normal"/>
    <w:next w:val="Normal"/>
    <w:autoRedefine/>
    <w:uiPriority w:val="99"/>
    <w:semiHidden/>
    <w:rsid w:val="001434BB"/>
    <w:pPr>
      <w:tabs>
        <w:tab w:val="right" w:leader="dot" w:pos="9016"/>
      </w:tabs>
      <w:spacing w:before="120" w:after="100"/>
      <w:ind w:left="567"/>
    </w:pPr>
    <w:rPr>
      <w:rFonts w:eastAsia="Times New Roman"/>
      <w:noProof/>
    </w:rPr>
  </w:style>
  <w:style w:type="paragraph" w:styleId="TOC3">
    <w:name w:val="toc 3"/>
    <w:basedOn w:val="Normal"/>
    <w:next w:val="Normal"/>
    <w:autoRedefine/>
    <w:uiPriority w:val="99"/>
    <w:semiHidden/>
    <w:rsid w:val="001434BB"/>
    <w:pPr>
      <w:spacing w:before="120" w:after="100"/>
      <w:ind w:left="440"/>
    </w:pPr>
    <w:rPr>
      <w:rFonts w:eastAsia="Times New Roman"/>
    </w:rPr>
  </w:style>
  <w:style w:type="paragraph" w:customStyle="1" w:styleId="CABNETParagraph">
    <w:name w:val="CABNET Paragraph"/>
    <w:basedOn w:val="Normal"/>
    <w:link w:val="CABNETParagraphChar"/>
    <w:uiPriority w:val="99"/>
    <w:rsid w:val="001434BB"/>
    <w:pPr>
      <w:spacing w:before="120" w:after="120" w:line="240" w:lineRule="auto"/>
    </w:pPr>
    <w:rPr>
      <w:rFonts w:ascii="Verdana" w:hAnsi="Verdana"/>
      <w:sz w:val="20"/>
      <w:szCs w:val="20"/>
      <w:lang w:eastAsia="en-AU"/>
    </w:rPr>
  </w:style>
  <w:style w:type="character" w:customStyle="1" w:styleId="CABNETParagraphChar">
    <w:name w:val="CABNET Paragraph Char"/>
    <w:link w:val="CABNETParagraph"/>
    <w:uiPriority w:val="99"/>
    <w:locked/>
    <w:rsid w:val="001434BB"/>
    <w:rPr>
      <w:rFonts w:ascii="Verdana" w:hAnsi="Verdana"/>
    </w:rPr>
  </w:style>
  <w:style w:type="paragraph" w:customStyle="1" w:styleId="RegPara">
    <w:name w:val="RegPara"/>
    <w:basedOn w:val="Default"/>
    <w:next w:val="Default"/>
    <w:uiPriority w:val="99"/>
    <w:rsid w:val="001434BB"/>
    <w:rPr>
      <w:rFonts w:ascii="Times New Roman" w:eastAsia="Times New Roman" w:hAnsi="Times New Roman" w:cs="Times New Roman"/>
      <w:color w:val="auto"/>
      <w:lang w:eastAsia="en-AU"/>
    </w:rPr>
  </w:style>
  <w:style w:type="paragraph" w:styleId="TOC4">
    <w:name w:val="toc 4"/>
    <w:basedOn w:val="Normal"/>
    <w:next w:val="Normal"/>
    <w:autoRedefine/>
    <w:uiPriority w:val="99"/>
    <w:semiHidden/>
    <w:rsid w:val="001434BB"/>
    <w:pPr>
      <w:tabs>
        <w:tab w:val="right" w:leader="dot" w:pos="9016"/>
      </w:tabs>
      <w:spacing w:before="120" w:after="100"/>
    </w:pPr>
    <w:rPr>
      <w:rFonts w:eastAsia="Times New Roman"/>
    </w:rPr>
  </w:style>
  <w:style w:type="paragraph" w:customStyle="1" w:styleId="TableNormal1">
    <w:name w:val="Table Normal1"/>
    <w:basedOn w:val="Normal"/>
    <w:uiPriority w:val="99"/>
    <w:rsid w:val="001434BB"/>
    <w:pPr>
      <w:spacing w:before="40" w:after="0" w:line="240" w:lineRule="exact"/>
    </w:pPr>
    <w:rPr>
      <w:rFonts w:ascii="Arial" w:hAnsi="Arial"/>
      <w:sz w:val="20"/>
      <w:szCs w:val="24"/>
    </w:rPr>
  </w:style>
  <w:style w:type="paragraph" w:styleId="EndnoteText">
    <w:name w:val="endnote text"/>
    <w:basedOn w:val="Normal"/>
    <w:link w:val="EndnoteTextChar"/>
    <w:uiPriority w:val="99"/>
    <w:semiHidden/>
    <w:rsid w:val="001434BB"/>
    <w:pPr>
      <w:spacing w:before="120" w:after="120"/>
    </w:pPr>
    <w:rPr>
      <w:rFonts w:eastAsia="Times New Roman"/>
      <w:sz w:val="20"/>
      <w:szCs w:val="20"/>
    </w:rPr>
  </w:style>
  <w:style w:type="character" w:customStyle="1" w:styleId="EndnoteTextChar">
    <w:name w:val="Endnote Text Char"/>
    <w:basedOn w:val="DefaultParagraphFont"/>
    <w:link w:val="EndnoteText"/>
    <w:uiPriority w:val="99"/>
    <w:semiHidden/>
    <w:locked/>
    <w:rsid w:val="001434BB"/>
    <w:rPr>
      <w:rFonts w:ascii="Calibri" w:hAnsi="Calibri" w:cs="Times New Roman"/>
      <w:sz w:val="20"/>
      <w:szCs w:val="20"/>
    </w:rPr>
  </w:style>
  <w:style w:type="character" w:styleId="EndnoteReference">
    <w:name w:val="endnote reference"/>
    <w:basedOn w:val="DefaultParagraphFont"/>
    <w:uiPriority w:val="99"/>
    <w:semiHidden/>
    <w:rsid w:val="001434BB"/>
    <w:rPr>
      <w:rFonts w:cs="Times New Roman"/>
      <w:vertAlign w:val="superscript"/>
    </w:rPr>
  </w:style>
  <w:style w:type="paragraph" w:customStyle="1" w:styleId="paragraph">
    <w:name w:val="paragraph"/>
    <w:basedOn w:val="Normal"/>
    <w:uiPriority w:val="99"/>
    <w:rsid w:val="00EB65C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basedOn w:val="Normal"/>
    <w:uiPriority w:val="99"/>
    <w:rsid w:val="00EB65C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egtitle1">
    <w:name w:val="legtitle1"/>
    <w:basedOn w:val="DefaultParagraphFont"/>
    <w:uiPriority w:val="99"/>
    <w:rsid w:val="00061869"/>
    <w:rPr>
      <w:rFonts w:ascii="Helvetica Neue" w:hAnsi="Helvetica Neue" w:cs="Times New Roman"/>
      <w:b/>
      <w:bCs/>
      <w:color w:val="10418E"/>
      <w:sz w:val="40"/>
      <w:szCs w:val="40"/>
    </w:rPr>
  </w:style>
  <w:style w:type="paragraph" w:customStyle="1" w:styleId="tabletext">
    <w:name w:val="tabletext"/>
    <w:basedOn w:val="Normal"/>
    <w:uiPriority w:val="99"/>
    <w:rsid w:val="00CD175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Defn">
    <w:name w:val="t_Defn"/>
    <w:basedOn w:val="Normal"/>
    <w:uiPriority w:val="99"/>
    <w:rsid w:val="001A351B"/>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rsid w:val="00E42E9C"/>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Main">
    <w:name w:val="t_Main"/>
    <w:basedOn w:val="Normal"/>
    <w:uiPriority w:val="99"/>
    <w:rsid w:val="00E42E9C"/>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5Section">
    <w:name w:val="h5_Section"/>
    <w:basedOn w:val="Heading5"/>
    <w:next w:val="Normal"/>
    <w:uiPriority w:val="99"/>
    <w:rsid w:val="00E42E9C"/>
    <w:pPr>
      <w:numPr>
        <w:ilvl w:val="0"/>
        <w:numId w:val="0"/>
      </w:numPr>
      <w:spacing w:before="360" w:after="60" w:line="240" w:lineRule="auto"/>
      <w:ind w:left="964" w:hanging="964"/>
    </w:pPr>
    <w:rPr>
      <w:rFonts w:ascii="Arial" w:eastAsia="Times New Roman" w:hAnsi="Arial"/>
      <w:b/>
      <w:bCs/>
      <w:iCs/>
      <w:color w:val="auto"/>
      <w:sz w:val="24"/>
      <w:szCs w:val="26"/>
      <w:lang w:eastAsia="en-AU"/>
    </w:rPr>
  </w:style>
  <w:style w:type="paragraph" w:customStyle="1" w:styleId="tSubpara">
    <w:name w:val="t_Subpara"/>
    <w:basedOn w:val="Normal"/>
    <w:uiPriority w:val="99"/>
    <w:rsid w:val="00E42E9C"/>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Subsub">
    <w:name w:val="t_Subsub"/>
    <w:basedOn w:val="Normal"/>
    <w:uiPriority w:val="99"/>
    <w:rsid w:val="00E42E9C"/>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character" w:styleId="PageNumber">
    <w:name w:val="page number"/>
    <w:basedOn w:val="DefaultParagraphFont"/>
    <w:uiPriority w:val="99"/>
    <w:rsid w:val="00E42E9C"/>
    <w:rPr>
      <w:rFonts w:ascii="Arial" w:hAnsi="Arial" w:cs="Times New Roman"/>
      <w:sz w:val="22"/>
    </w:rPr>
  </w:style>
  <w:style w:type="paragraph" w:customStyle="1" w:styleId="noteMain">
    <w:name w:val="note_Main"/>
    <w:basedOn w:val="tMain"/>
    <w:uiPriority w:val="99"/>
    <w:rsid w:val="00E42E9C"/>
    <w:pPr>
      <w:spacing w:line="220" w:lineRule="exact"/>
    </w:pPr>
    <w:rPr>
      <w:sz w:val="20"/>
    </w:rPr>
  </w:style>
  <w:style w:type="paragraph" w:customStyle="1" w:styleId="h3Div">
    <w:name w:val="h3_Div"/>
    <w:basedOn w:val="Heading3"/>
    <w:next w:val="Normal"/>
    <w:uiPriority w:val="99"/>
    <w:rsid w:val="00E42E9C"/>
    <w:pPr>
      <w:keepLines/>
      <w:tabs>
        <w:tab w:val="clear" w:pos="2080"/>
      </w:tabs>
      <w:spacing w:before="360" w:after="60"/>
      <w:ind w:left="2410" w:hanging="2410"/>
    </w:pPr>
    <w:rPr>
      <w:rFonts w:ascii="Arial" w:eastAsia="Times New Roman" w:hAnsi="Arial"/>
      <w:sz w:val="28"/>
      <w:lang w:eastAsia="en-AU"/>
    </w:rPr>
  </w:style>
  <w:style w:type="paragraph" w:customStyle="1" w:styleId="h2Part">
    <w:name w:val="h2_Part"/>
    <w:basedOn w:val="Heading2"/>
    <w:next w:val="h3Div"/>
    <w:uiPriority w:val="99"/>
    <w:rsid w:val="00E42E9C"/>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h4Subdiv">
    <w:name w:val="h4_Subdiv"/>
    <w:basedOn w:val="Heading4"/>
    <w:next w:val="Normal"/>
    <w:autoRedefine/>
    <w:uiPriority w:val="99"/>
    <w:rsid w:val="00E42E9C"/>
    <w:pPr>
      <w:numPr>
        <w:ilvl w:val="0"/>
        <w:numId w:val="0"/>
      </w:numPr>
      <w:spacing w:before="360" w:after="60" w:line="240" w:lineRule="auto"/>
      <w:ind w:left="2410" w:hanging="2410"/>
    </w:pPr>
    <w:rPr>
      <w:rFonts w:ascii="Arial" w:eastAsia="Times New Roman" w:hAnsi="Arial"/>
      <w:i w:val="0"/>
      <w:iCs w:val="0"/>
      <w:color w:val="auto"/>
      <w:sz w:val="28"/>
      <w:szCs w:val="28"/>
      <w:lang w:eastAsia="en-AU"/>
    </w:rPr>
  </w:style>
  <w:style w:type="paragraph" w:customStyle="1" w:styleId="notePara">
    <w:name w:val="note_Para"/>
    <w:basedOn w:val="tPara"/>
    <w:uiPriority w:val="99"/>
    <w:rsid w:val="00DD0B06"/>
    <w:pPr>
      <w:spacing w:line="220" w:lineRule="exact"/>
    </w:pPr>
    <w:rPr>
      <w:sz w:val="20"/>
    </w:rPr>
  </w:style>
  <w:style w:type="character" w:customStyle="1" w:styleId="ListParagraphChar">
    <w:name w:val="List Paragraph Char"/>
    <w:basedOn w:val="DefaultParagraphFont"/>
    <w:link w:val="ListParagraph"/>
    <w:uiPriority w:val="99"/>
    <w:locked/>
    <w:rsid w:val="00DD0B06"/>
    <w:rPr>
      <w:rFonts w:ascii="Calibri" w:hAnsi="Calibri" w:cs="Times New Roman"/>
    </w:rPr>
  </w:style>
  <w:style w:type="numbering" w:customStyle="1" w:styleId="CABNETList">
    <w:name w:val="CABNET List"/>
    <w:rsid w:val="00E24766"/>
    <w:pPr>
      <w:numPr>
        <w:numId w:val="4"/>
      </w:numPr>
    </w:pPr>
  </w:style>
  <w:style w:type="numbering" w:styleId="ArticleSection">
    <w:name w:val="Outline List 3"/>
    <w:basedOn w:val="NoList"/>
    <w:uiPriority w:val="99"/>
    <w:semiHidden/>
    <w:unhideWhenUsed/>
    <w:locked/>
    <w:rsid w:val="00E24766"/>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MS Gothi" w:hAnsi="Cambria"/>
      <w:b/>
      <w:bCs/>
      <w:color w:val="4F81BD"/>
      <w:sz w:val="26"/>
      <w:szCs w:val="26"/>
    </w:rPr>
  </w:style>
  <w:style w:type="paragraph" w:styleId="Heading3">
    <w:name w:val="heading 3"/>
    <w:basedOn w:val="Normal"/>
    <w:next w:val="Normal"/>
    <w:link w:val="Heading3Char"/>
    <w:uiPriority w:val="99"/>
    <w:qFormat/>
    <w:rsid w:val="001434BB"/>
    <w:pPr>
      <w:keepNext/>
      <w:tabs>
        <w:tab w:val="num" w:pos="2080"/>
      </w:tabs>
      <w:spacing w:before="120" w:after="240" w:line="240" w:lineRule="auto"/>
      <w:ind w:left="720" w:hanging="432"/>
      <w:outlineLvl w:val="2"/>
    </w:pPr>
    <w:rPr>
      <w:rFonts w:ascii="Times New Roman" w:hAnsi="Times New Roman" w:cs="Arial"/>
      <w:b/>
      <w:bCs/>
      <w:sz w:val="24"/>
      <w:szCs w:val="26"/>
    </w:rPr>
  </w:style>
  <w:style w:type="paragraph" w:styleId="Heading4">
    <w:name w:val="heading 4"/>
    <w:basedOn w:val="Normal"/>
    <w:next w:val="Normal"/>
    <w:link w:val="Heading4Char"/>
    <w:uiPriority w:val="99"/>
    <w:qFormat/>
    <w:rsid w:val="001434BB"/>
    <w:pPr>
      <w:keepNext/>
      <w:keepLines/>
      <w:numPr>
        <w:ilvl w:val="3"/>
        <w:numId w:val="1"/>
      </w:numPr>
      <w:spacing w:before="200" w:after="0"/>
      <w:ind w:left="864" w:hanging="144"/>
      <w:outlineLvl w:val="3"/>
    </w:pPr>
    <w:rPr>
      <w:rFonts w:ascii="Cambria" w:hAnsi="Cambria"/>
      <w:b/>
      <w:bCs/>
      <w:i/>
      <w:iCs/>
      <w:color w:val="4F81BD"/>
    </w:rPr>
  </w:style>
  <w:style w:type="paragraph" w:styleId="Heading5">
    <w:name w:val="heading 5"/>
    <w:basedOn w:val="Normal"/>
    <w:next w:val="Normal"/>
    <w:link w:val="Heading5Char"/>
    <w:uiPriority w:val="99"/>
    <w:qFormat/>
    <w:rsid w:val="001434BB"/>
    <w:pPr>
      <w:keepNext/>
      <w:keepLines/>
      <w:numPr>
        <w:ilvl w:val="4"/>
        <w:numId w:val="1"/>
      </w:numPr>
      <w:spacing w:before="200" w:after="0"/>
      <w:ind w:left="1008" w:hanging="432"/>
      <w:outlineLvl w:val="4"/>
    </w:pPr>
    <w:rPr>
      <w:rFonts w:ascii="Cambria"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MS Gothi" w:hAnsi="Cambria"/>
      <w:i/>
      <w:iCs/>
      <w:color w:val="243F60"/>
    </w:rPr>
  </w:style>
  <w:style w:type="paragraph" w:styleId="Heading7">
    <w:name w:val="heading 7"/>
    <w:basedOn w:val="Normal"/>
    <w:next w:val="Normal"/>
    <w:link w:val="Heading7Char"/>
    <w:uiPriority w:val="99"/>
    <w:qFormat/>
    <w:rsid w:val="001434BB"/>
    <w:pPr>
      <w:keepNext/>
      <w:keepLines/>
      <w:numPr>
        <w:ilvl w:val="6"/>
        <w:numId w:val="1"/>
      </w:numPr>
      <w:spacing w:before="200" w:after="0"/>
      <w:ind w:left="1296" w:hanging="288"/>
      <w:outlineLvl w:val="6"/>
    </w:pPr>
    <w:rPr>
      <w:rFonts w:ascii="Cambria" w:hAnsi="Cambria"/>
      <w:i/>
      <w:iCs/>
      <w:color w:val="404040"/>
    </w:rPr>
  </w:style>
  <w:style w:type="paragraph" w:styleId="Heading8">
    <w:name w:val="heading 8"/>
    <w:basedOn w:val="Normal"/>
    <w:next w:val="Normal"/>
    <w:link w:val="Heading8Char"/>
    <w:uiPriority w:val="99"/>
    <w:qFormat/>
    <w:rsid w:val="001434BB"/>
    <w:pPr>
      <w:keepNext/>
      <w:keepLines/>
      <w:numPr>
        <w:ilvl w:val="7"/>
        <w:numId w:val="1"/>
      </w:numPr>
      <w:spacing w:before="200" w:after="0"/>
      <w:ind w:left="1440" w:hanging="432"/>
      <w:outlineLvl w:val="7"/>
    </w:pPr>
    <w:rPr>
      <w:rFonts w:ascii="Cambria" w:hAnsi="Cambria"/>
      <w:color w:val="404040"/>
      <w:sz w:val="20"/>
      <w:szCs w:val="20"/>
    </w:rPr>
  </w:style>
  <w:style w:type="paragraph" w:styleId="Heading9">
    <w:name w:val="heading 9"/>
    <w:basedOn w:val="Normal"/>
    <w:next w:val="Normal"/>
    <w:link w:val="Heading9Char"/>
    <w:uiPriority w:val="99"/>
    <w:qFormat/>
    <w:rsid w:val="001434BB"/>
    <w:pPr>
      <w:keepNext/>
      <w:keepLines/>
      <w:numPr>
        <w:ilvl w:val="8"/>
        <w:numId w:val="1"/>
      </w:numPr>
      <w:spacing w:before="200" w:after="0"/>
      <w:ind w:left="1584" w:hanging="14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eastAsia="MS Gothi" w:hAnsi="Cambria" w:cs="Times New Roman"/>
      <w:b/>
      <w:bCs/>
      <w:color w:val="4F81BD"/>
      <w:sz w:val="26"/>
      <w:szCs w:val="26"/>
    </w:rPr>
  </w:style>
  <w:style w:type="character" w:customStyle="1" w:styleId="Heading3Char">
    <w:name w:val="Heading 3 Char"/>
    <w:basedOn w:val="DefaultParagraphFont"/>
    <w:link w:val="Heading3"/>
    <w:uiPriority w:val="99"/>
    <w:locked/>
    <w:rsid w:val="001434BB"/>
    <w:rPr>
      <w:rFonts w:ascii="Times New Roman" w:hAnsi="Times New Roman" w:cs="Arial"/>
      <w:b/>
      <w:bCs/>
      <w:sz w:val="26"/>
      <w:szCs w:val="26"/>
    </w:rPr>
  </w:style>
  <w:style w:type="character" w:customStyle="1" w:styleId="Heading4Char">
    <w:name w:val="Heading 4 Char"/>
    <w:basedOn w:val="DefaultParagraphFont"/>
    <w:link w:val="Heading4"/>
    <w:uiPriority w:val="99"/>
    <w:locked/>
    <w:rsid w:val="001434BB"/>
    <w:rPr>
      <w:rFonts w:ascii="Cambria" w:hAnsi="Cambria"/>
      <w:b/>
      <w:bCs/>
      <w:i/>
      <w:iCs/>
      <w:color w:val="4F81BD"/>
      <w:lang w:eastAsia="en-US"/>
    </w:rPr>
  </w:style>
  <w:style w:type="character" w:customStyle="1" w:styleId="Heading5Char">
    <w:name w:val="Heading 5 Char"/>
    <w:basedOn w:val="DefaultParagraphFont"/>
    <w:link w:val="Heading5"/>
    <w:uiPriority w:val="99"/>
    <w:locked/>
    <w:rsid w:val="001434BB"/>
    <w:rPr>
      <w:rFonts w:ascii="Cambria" w:hAnsi="Cambria"/>
      <w:color w:val="243F60"/>
      <w:lang w:eastAsia="en-US"/>
    </w:rPr>
  </w:style>
  <w:style w:type="character" w:customStyle="1" w:styleId="Heading6Char">
    <w:name w:val="Heading 6 Char"/>
    <w:basedOn w:val="DefaultParagraphFont"/>
    <w:link w:val="Heading6"/>
    <w:uiPriority w:val="99"/>
    <w:locked/>
    <w:rsid w:val="0061177F"/>
    <w:rPr>
      <w:rFonts w:ascii="Cambria" w:eastAsia="MS Gothi" w:hAnsi="Cambria" w:cs="Times New Roman"/>
      <w:i/>
      <w:iCs/>
      <w:color w:val="243F60"/>
    </w:rPr>
  </w:style>
  <w:style w:type="character" w:customStyle="1" w:styleId="Heading7Char">
    <w:name w:val="Heading 7 Char"/>
    <w:basedOn w:val="DefaultParagraphFont"/>
    <w:link w:val="Heading7"/>
    <w:uiPriority w:val="99"/>
    <w:locked/>
    <w:rsid w:val="001434BB"/>
    <w:rPr>
      <w:rFonts w:ascii="Cambria" w:hAnsi="Cambria"/>
      <w:i/>
      <w:iCs/>
      <w:color w:val="404040"/>
      <w:lang w:eastAsia="en-US"/>
    </w:rPr>
  </w:style>
  <w:style w:type="character" w:customStyle="1" w:styleId="Heading8Char">
    <w:name w:val="Heading 8 Char"/>
    <w:basedOn w:val="DefaultParagraphFont"/>
    <w:link w:val="Heading8"/>
    <w:uiPriority w:val="99"/>
    <w:locked/>
    <w:rsid w:val="001434BB"/>
    <w:rPr>
      <w:rFonts w:ascii="Cambria" w:hAnsi="Cambria"/>
      <w:color w:val="404040"/>
      <w:sz w:val="20"/>
      <w:szCs w:val="20"/>
      <w:lang w:eastAsia="en-US"/>
    </w:rPr>
  </w:style>
  <w:style w:type="character" w:customStyle="1" w:styleId="Heading9Char">
    <w:name w:val="Heading 9 Char"/>
    <w:basedOn w:val="DefaultParagraphFont"/>
    <w:link w:val="Heading9"/>
    <w:uiPriority w:val="99"/>
    <w:locked/>
    <w:rsid w:val="001434BB"/>
    <w:rPr>
      <w:rFonts w:ascii="Cambria" w:hAnsi="Cambria"/>
      <w:i/>
      <w:iCs/>
      <w:color w:val="404040"/>
      <w:sz w:val="20"/>
      <w:szCs w:val="20"/>
      <w:lang w:eastAsia="en-US"/>
    </w:rPr>
  </w:style>
  <w:style w:type="paragraph" w:customStyle="1" w:styleId="Bullet">
    <w:name w:val="Bullet"/>
    <w:aliases w:val="b"/>
    <w:basedOn w:val="Normal"/>
    <w:link w:val="BulletChar"/>
    <w:uiPriority w:val="99"/>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rsid w:val="00A57799"/>
    <w:pPr>
      <w:numPr>
        <w:ilvl w:val="1"/>
        <w:numId w:val="1"/>
      </w:numPr>
      <w:spacing w:before="120" w:after="120"/>
    </w:pPr>
    <w:rPr>
      <w:rFonts w:eastAsia="Times New Roman"/>
    </w:rPr>
  </w:style>
  <w:style w:type="paragraph" w:customStyle="1" w:styleId="DoubleDot">
    <w:name w:val="Double Dot"/>
    <w:basedOn w:val="Normal"/>
    <w:link w:val="DoubleDotChar"/>
    <w:uiPriority w:val="99"/>
    <w:rsid w:val="00A57799"/>
    <w:pPr>
      <w:numPr>
        <w:ilvl w:val="2"/>
        <w:numId w:val="1"/>
      </w:numPr>
      <w:spacing w:before="120" w:after="120"/>
    </w:pPr>
    <w:rPr>
      <w:rFonts w:eastAsia="Times New Roman"/>
      <w:sz w:val="20"/>
      <w:szCs w:val="20"/>
      <w:lang w:val="en-US"/>
    </w:rPr>
  </w:style>
  <w:style w:type="table" w:styleId="TableGrid">
    <w:name w:val="Table Grid"/>
    <w:basedOn w:val="TableNormal"/>
    <w:uiPriority w:val="9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99"/>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rsid w:val="00F560C8"/>
    <w:rPr>
      <w:rFonts w:cs="Times New Roman"/>
      <w:sz w:val="16"/>
      <w:szCs w:val="16"/>
    </w:rPr>
  </w:style>
  <w:style w:type="paragraph" w:styleId="CommentText">
    <w:name w:val="annotation text"/>
    <w:basedOn w:val="Normal"/>
    <w:link w:val="CommentTextChar"/>
    <w:rsid w:val="00F560C8"/>
    <w:pPr>
      <w:spacing w:line="240" w:lineRule="auto"/>
    </w:pPr>
    <w:rPr>
      <w:sz w:val="20"/>
      <w:szCs w:val="20"/>
    </w:rPr>
  </w:style>
  <w:style w:type="character" w:customStyle="1" w:styleId="CommentTextChar">
    <w:name w:val="Comment Text Char"/>
    <w:basedOn w:val="DefaultParagraphFont"/>
    <w:link w:val="CommentText"/>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uiPriority w:val="99"/>
    <w:rsid w:val="0040605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DoubleDotChar">
    <w:name w:val="Double Dot Char"/>
    <w:link w:val="DoubleDot"/>
    <w:uiPriority w:val="99"/>
    <w:locked/>
    <w:rsid w:val="001434BB"/>
    <w:rPr>
      <w:rFonts w:eastAsia="Times New Roman"/>
      <w:sz w:val="20"/>
      <w:szCs w:val="20"/>
      <w:lang w:val="en-US" w:eastAsia="en-US"/>
    </w:rPr>
  </w:style>
  <w:style w:type="character" w:styleId="Emphasis">
    <w:name w:val="Emphasis"/>
    <w:basedOn w:val="DefaultParagraphFont"/>
    <w:uiPriority w:val="99"/>
    <w:qFormat/>
    <w:rsid w:val="001434BB"/>
    <w:rPr>
      <w:rFonts w:cs="Times New Roman"/>
      <w:b/>
    </w:rPr>
  </w:style>
  <w:style w:type="paragraph" w:styleId="TOCHeading">
    <w:name w:val="TOC Heading"/>
    <w:basedOn w:val="Heading1"/>
    <w:next w:val="Normal"/>
    <w:uiPriority w:val="99"/>
    <w:qFormat/>
    <w:rsid w:val="001434BB"/>
    <w:pPr>
      <w:keepNext/>
      <w:keepLines/>
      <w:spacing w:before="480" w:after="0" w:line="276" w:lineRule="auto"/>
      <w:outlineLvl w:val="9"/>
    </w:pPr>
    <w:rPr>
      <w:rFonts w:ascii="Cambria" w:eastAsia="MS Gothi" w:hAnsi="Cambria"/>
      <w:color w:val="365F91"/>
      <w:kern w:val="0"/>
      <w:sz w:val="28"/>
      <w:szCs w:val="28"/>
      <w:lang w:eastAsia="en-US"/>
    </w:rPr>
  </w:style>
  <w:style w:type="paragraph" w:styleId="TOC1">
    <w:name w:val="toc 1"/>
    <w:basedOn w:val="Normal"/>
    <w:next w:val="Normal"/>
    <w:autoRedefine/>
    <w:uiPriority w:val="99"/>
    <w:semiHidden/>
    <w:rsid w:val="001434BB"/>
    <w:pPr>
      <w:tabs>
        <w:tab w:val="right" w:leader="dot" w:pos="9016"/>
      </w:tabs>
      <w:spacing w:before="120" w:after="100"/>
    </w:pPr>
    <w:rPr>
      <w:rFonts w:eastAsia="Times New Roman"/>
      <w:noProof/>
    </w:rPr>
  </w:style>
  <w:style w:type="paragraph" w:styleId="TOC2">
    <w:name w:val="toc 2"/>
    <w:basedOn w:val="Normal"/>
    <w:next w:val="Normal"/>
    <w:autoRedefine/>
    <w:uiPriority w:val="99"/>
    <w:semiHidden/>
    <w:rsid w:val="001434BB"/>
    <w:pPr>
      <w:tabs>
        <w:tab w:val="right" w:leader="dot" w:pos="9016"/>
      </w:tabs>
      <w:spacing w:before="120" w:after="100"/>
      <w:ind w:left="567"/>
    </w:pPr>
    <w:rPr>
      <w:rFonts w:eastAsia="Times New Roman"/>
      <w:noProof/>
    </w:rPr>
  </w:style>
  <w:style w:type="paragraph" w:styleId="TOC3">
    <w:name w:val="toc 3"/>
    <w:basedOn w:val="Normal"/>
    <w:next w:val="Normal"/>
    <w:autoRedefine/>
    <w:uiPriority w:val="99"/>
    <w:semiHidden/>
    <w:rsid w:val="001434BB"/>
    <w:pPr>
      <w:spacing w:before="120" w:after="100"/>
      <w:ind w:left="440"/>
    </w:pPr>
    <w:rPr>
      <w:rFonts w:eastAsia="Times New Roman"/>
    </w:rPr>
  </w:style>
  <w:style w:type="paragraph" w:customStyle="1" w:styleId="CABNETParagraph">
    <w:name w:val="CABNET Paragraph"/>
    <w:basedOn w:val="Normal"/>
    <w:link w:val="CABNETParagraphChar"/>
    <w:uiPriority w:val="99"/>
    <w:rsid w:val="001434BB"/>
    <w:pPr>
      <w:spacing w:before="120" w:after="120" w:line="240" w:lineRule="auto"/>
    </w:pPr>
    <w:rPr>
      <w:rFonts w:ascii="Verdana" w:hAnsi="Verdana"/>
      <w:sz w:val="20"/>
      <w:szCs w:val="20"/>
      <w:lang w:eastAsia="en-AU"/>
    </w:rPr>
  </w:style>
  <w:style w:type="character" w:customStyle="1" w:styleId="CABNETParagraphChar">
    <w:name w:val="CABNET Paragraph Char"/>
    <w:link w:val="CABNETParagraph"/>
    <w:uiPriority w:val="99"/>
    <w:locked/>
    <w:rsid w:val="001434BB"/>
    <w:rPr>
      <w:rFonts w:ascii="Verdana" w:hAnsi="Verdana"/>
    </w:rPr>
  </w:style>
  <w:style w:type="paragraph" w:customStyle="1" w:styleId="RegPara">
    <w:name w:val="RegPara"/>
    <w:basedOn w:val="Default"/>
    <w:next w:val="Default"/>
    <w:uiPriority w:val="99"/>
    <w:rsid w:val="001434BB"/>
    <w:rPr>
      <w:rFonts w:ascii="Times New Roman" w:eastAsia="Times New Roman" w:hAnsi="Times New Roman" w:cs="Times New Roman"/>
      <w:color w:val="auto"/>
      <w:lang w:eastAsia="en-AU"/>
    </w:rPr>
  </w:style>
  <w:style w:type="paragraph" w:styleId="TOC4">
    <w:name w:val="toc 4"/>
    <w:basedOn w:val="Normal"/>
    <w:next w:val="Normal"/>
    <w:autoRedefine/>
    <w:uiPriority w:val="99"/>
    <w:semiHidden/>
    <w:rsid w:val="001434BB"/>
    <w:pPr>
      <w:tabs>
        <w:tab w:val="right" w:leader="dot" w:pos="9016"/>
      </w:tabs>
      <w:spacing w:before="120" w:after="100"/>
    </w:pPr>
    <w:rPr>
      <w:rFonts w:eastAsia="Times New Roman"/>
    </w:rPr>
  </w:style>
  <w:style w:type="paragraph" w:customStyle="1" w:styleId="TableNormal1">
    <w:name w:val="Table Normal1"/>
    <w:basedOn w:val="Normal"/>
    <w:uiPriority w:val="99"/>
    <w:rsid w:val="001434BB"/>
    <w:pPr>
      <w:spacing w:before="40" w:after="0" w:line="240" w:lineRule="exact"/>
    </w:pPr>
    <w:rPr>
      <w:rFonts w:ascii="Arial" w:hAnsi="Arial"/>
      <w:sz w:val="20"/>
      <w:szCs w:val="24"/>
    </w:rPr>
  </w:style>
  <w:style w:type="paragraph" w:styleId="EndnoteText">
    <w:name w:val="endnote text"/>
    <w:basedOn w:val="Normal"/>
    <w:link w:val="EndnoteTextChar"/>
    <w:uiPriority w:val="99"/>
    <w:semiHidden/>
    <w:rsid w:val="001434BB"/>
    <w:pPr>
      <w:spacing w:before="120" w:after="120"/>
    </w:pPr>
    <w:rPr>
      <w:rFonts w:eastAsia="Times New Roman"/>
      <w:sz w:val="20"/>
      <w:szCs w:val="20"/>
    </w:rPr>
  </w:style>
  <w:style w:type="character" w:customStyle="1" w:styleId="EndnoteTextChar">
    <w:name w:val="Endnote Text Char"/>
    <w:basedOn w:val="DefaultParagraphFont"/>
    <w:link w:val="EndnoteText"/>
    <w:uiPriority w:val="99"/>
    <w:semiHidden/>
    <w:locked/>
    <w:rsid w:val="001434BB"/>
    <w:rPr>
      <w:rFonts w:ascii="Calibri" w:hAnsi="Calibri" w:cs="Times New Roman"/>
      <w:sz w:val="20"/>
      <w:szCs w:val="20"/>
    </w:rPr>
  </w:style>
  <w:style w:type="character" w:styleId="EndnoteReference">
    <w:name w:val="endnote reference"/>
    <w:basedOn w:val="DefaultParagraphFont"/>
    <w:uiPriority w:val="99"/>
    <w:semiHidden/>
    <w:rsid w:val="001434BB"/>
    <w:rPr>
      <w:rFonts w:cs="Times New Roman"/>
      <w:vertAlign w:val="superscript"/>
    </w:rPr>
  </w:style>
  <w:style w:type="paragraph" w:customStyle="1" w:styleId="paragraph">
    <w:name w:val="paragraph"/>
    <w:basedOn w:val="Normal"/>
    <w:uiPriority w:val="99"/>
    <w:rsid w:val="00EB65C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basedOn w:val="Normal"/>
    <w:uiPriority w:val="99"/>
    <w:rsid w:val="00EB65C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egtitle1">
    <w:name w:val="legtitle1"/>
    <w:basedOn w:val="DefaultParagraphFont"/>
    <w:uiPriority w:val="99"/>
    <w:rsid w:val="00061869"/>
    <w:rPr>
      <w:rFonts w:ascii="Helvetica Neue" w:hAnsi="Helvetica Neue" w:cs="Times New Roman"/>
      <w:b/>
      <w:bCs/>
      <w:color w:val="10418E"/>
      <w:sz w:val="40"/>
      <w:szCs w:val="40"/>
    </w:rPr>
  </w:style>
  <w:style w:type="paragraph" w:customStyle="1" w:styleId="tabletext">
    <w:name w:val="tabletext"/>
    <w:basedOn w:val="Normal"/>
    <w:uiPriority w:val="99"/>
    <w:rsid w:val="00CD175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Defn">
    <w:name w:val="t_Defn"/>
    <w:basedOn w:val="Normal"/>
    <w:uiPriority w:val="99"/>
    <w:rsid w:val="001A351B"/>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rsid w:val="00E42E9C"/>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Main">
    <w:name w:val="t_Main"/>
    <w:basedOn w:val="Normal"/>
    <w:uiPriority w:val="99"/>
    <w:rsid w:val="00E42E9C"/>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5Section">
    <w:name w:val="h5_Section"/>
    <w:basedOn w:val="Heading5"/>
    <w:next w:val="Normal"/>
    <w:uiPriority w:val="99"/>
    <w:rsid w:val="00E42E9C"/>
    <w:pPr>
      <w:numPr>
        <w:ilvl w:val="0"/>
        <w:numId w:val="0"/>
      </w:numPr>
      <w:spacing w:before="360" w:after="60" w:line="240" w:lineRule="auto"/>
      <w:ind w:left="964" w:hanging="964"/>
    </w:pPr>
    <w:rPr>
      <w:rFonts w:ascii="Arial" w:eastAsia="Times New Roman" w:hAnsi="Arial"/>
      <w:b/>
      <w:bCs/>
      <w:iCs/>
      <w:color w:val="auto"/>
      <w:sz w:val="24"/>
      <w:szCs w:val="26"/>
      <w:lang w:eastAsia="en-AU"/>
    </w:rPr>
  </w:style>
  <w:style w:type="paragraph" w:customStyle="1" w:styleId="tSubpara">
    <w:name w:val="t_Subpara"/>
    <w:basedOn w:val="Normal"/>
    <w:uiPriority w:val="99"/>
    <w:rsid w:val="00E42E9C"/>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Subsub">
    <w:name w:val="t_Subsub"/>
    <w:basedOn w:val="Normal"/>
    <w:uiPriority w:val="99"/>
    <w:rsid w:val="00E42E9C"/>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character" w:styleId="PageNumber">
    <w:name w:val="page number"/>
    <w:basedOn w:val="DefaultParagraphFont"/>
    <w:uiPriority w:val="99"/>
    <w:rsid w:val="00E42E9C"/>
    <w:rPr>
      <w:rFonts w:ascii="Arial" w:hAnsi="Arial" w:cs="Times New Roman"/>
      <w:sz w:val="22"/>
    </w:rPr>
  </w:style>
  <w:style w:type="paragraph" w:customStyle="1" w:styleId="noteMain">
    <w:name w:val="note_Main"/>
    <w:basedOn w:val="tMain"/>
    <w:uiPriority w:val="99"/>
    <w:rsid w:val="00E42E9C"/>
    <w:pPr>
      <w:spacing w:line="220" w:lineRule="exact"/>
    </w:pPr>
    <w:rPr>
      <w:sz w:val="20"/>
    </w:rPr>
  </w:style>
  <w:style w:type="paragraph" w:customStyle="1" w:styleId="h3Div">
    <w:name w:val="h3_Div"/>
    <w:basedOn w:val="Heading3"/>
    <w:next w:val="Normal"/>
    <w:uiPriority w:val="99"/>
    <w:rsid w:val="00E42E9C"/>
    <w:pPr>
      <w:keepLines/>
      <w:tabs>
        <w:tab w:val="clear" w:pos="2080"/>
      </w:tabs>
      <w:spacing w:before="360" w:after="60"/>
      <w:ind w:left="2410" w:hanging="2410"/>
    </w:pPr>
    <w:rPr>
      <w:rFonts w:ascii="Arial" w:eastAsia="Times New Roman" w:hAnsi="Arial"/>
      <w:sz w:val="28"/>
      <w:lang w:eastAsia="en-AU"/>
    </w:rPr>
  </w:style>
  <w:style w:type="paragraph" w:customStyle="1" w:styleId="h2Part">
    <w:name w:val="h2_Part"/>
    <w:basedOn w:val="Heading2"/>
    <w:next w:val="h3Div"/>
    <w:uiPriority w:val="99"/>
    <w:rsid w:val="00E42E9C"/>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h4Subdiv">
    <w:name w:val="h4_Subdiv"/>
    <w:basedOn w:val="Heading4"/>
    <w:next w:val="Normal"/>
    <w:autoRedefine/>
    <w:uiPriority w:val="99"/>
    <w:rsid w:val="00E42E9C"/>
    <w:pPr>
      <w:numPr>
        <w:ilvl w:val="0"/>
        <w:numId w:val="0"/>
      </w:numPr>
      <w:spacing w:before="360" w:after="60" w:line="240" w:lineRule="auto"/>
      <w:ind w:left="2410" w:hanging="2410"/>
    </w:pPr>
    <w:rPr>
      <w:rFonts w:ascii="Arial" w:eastAsia="Times New Roman" w:hAnsi="Arial"/>
      <w:i w:val="0"/>
      <w:iCs w:val="0"/>
      <w:color w:val="auto"/>
      <w:sz w:val="28"/>
      <w:szCs w:val="28"/>
      <w:lang w:eastAsia="en-AU"/>
    </w:rPr>
  </w:style>
  <w:style w:type="paragraph" w:customStyle="1" w:styleId="notePara">
    <w:name w:val="note_Para"/>
    <w:basedOn w:val="tPara"/>
    <w:uiPriority w:val="99"/>
    <w:rsid w:val="00DD0B06"/>
    <w:pPr>
      <w:spacing w:line="220" w:lineRule="exact"/>
    </w:pPr>
    <w:rPr>
      <w:sz w:val="20"/>
    </w:rPr>
  </w:style>
  <w:style w:type="character" w:customStyle="1" w:styleId="ListParagraphChar">
    <w:name w:val="List Paragraph Char"/>
    <w:basedOn w:val="DefaultParagraphFont"/>
    <w:link w:val="ListParagraph"/>
    <w:uiPriority w:val="99"/>
    <w:locked/>
    <w:rsid w:val="00DD0B06"/>
    <w:rPr>
      <w:rFonts w:ascii="Calibri" w:hAnsi="Calibri" w:cs="Times New Roman"/>
    </w:rPr>
  </w:style>
  <w:style w:type="numbering" w:customStyle="1" w:styleId="CABNETList">
    <w:name w:val="CABNET List"/>
    <w:rsid w:val="00E24766"/>
    <w:pPr>
      <w:numPr>
        <w:numId w:val="4"/>
      </w:numPr>
    </w:pPr>
  </w:style>
  <w:style w:type="numbering" w:styleId="ArticleSection">
    <w:name w:val="Outline List 3"/>
    <w:basedOn w:val="NoList"/>
    <w:uiPriority w:val="99"/>
    <w:semiHidden/>
    <w:unhideWhenUsed/>
    <w:locked/>
    <w:rsid w:val="00E2476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646959">
      <w:bodyDiv w:val="1"/>
      <w:marLeft w:val="0"/>
      <w:marRight w:val="0"/>
      <w:marTop w:val="0"/>
      <w:marBottom w:val="0"/>
      <w:divBdr>
        <w:top w:val="none" w:sz="0" w:space="0" w:color="auto"/>
        <w:left w:val="none" w:sz="0" w:space="0" w:color="auto"/>
        <w:bottom w:val="none" w:sz="0" w:space="0" w:color="auto"/>
        <w:right w:val="none" w:sz="0" w:space="0" w:color="auto"/>
      </w:divBdr>
    </w:div>
    <w:div w:id="1654678713">
      <w:bodyDiv w:val="1"/>
      <w:marLeft w:val="0"/>
      <w:marRight w:val="0"/>
      <w:marTop w:val="0"/>
      <w:marBottom w:val="0"/>
      <w:divBdr>
        <w:top w:val="none" w:sz="0" w:space="0" w:color="auto"/>
        <w:left w:val="none" w:sz="0" w:space="0" w:color="auto"/>
        <w:bottom w:val="none" w:sz="0" w:space="0" w:color="auto"/>
        <w:right w:val="none" w:sz="0" w:space="0" w:color="auto"/>
      </w:divBdr>
    </w:div>
    <w:div w:id="1657342765">
      <w:bodyDiv w:val="1"/>
      <w:marLeft w:val="0"/>
      <w:marRight w:val="0"/>
      <w:marTop w:val="0"/>
      <w:marBottom w:val="0"/>
      <w:divBdr>
        <w:top w:val="none" w:sz="0" w:space="0" w:color="auto"/>
        <w:left w:val="none" w:sz="0" w:space="0" w:color="auto"/>
        <w:bottom w:val="none" w:sz="0" w:space="0" w:color="auto"/>
        <w:right w:val="none" w:sz="0" w:space="0" w:color="auto"/>
      </w:divBdr>
    </w:div>
    <w:div w:id="1781218175">
      <w:bodyDiv w:val="1"/>
      <w:marLeft w:val="0"/>
      <w:marRight w:val="0"/>
      <w:marTop w:val="0"/>
      <w:marBottom w:val="0"/>
      <w:divBdr>
        <w:top w:val="none" w:sz="0" w:space="0" w:color="auto"/>
        <w:left w:val="none" w:sz="0" w:space="0" w:color="auto"/>
        <w:bottom w:val="none" w:sz="0" w:space="0" w:color="auto"/>
        <w:right w:val="none" w:sz="0" w:space="0" w:color="auto"/>
      </w:divBdr>
    </w:div>
    <w:div w:id="2032146861">
      <w:marLeft w:val="0"/>
      <w:marRight w:val="0"/>
      <w:marTop w:val="0"/>
      <w:marBottom w:val="0"/>
      <w:divBdr>
        <w:top w:val="none" w:sz="0" w:space="0" w:color="auto"/>
        <w:left w:val="none" w:sz="0" w:space="0" w:color="auto"/>
        <w:bottom w:val="none" w:sz="0" w:space="0" w:color="auto"/>
        <w:right w:val="none" w:sz="0" w:space="0" w:color="auto"/>
      </w:divBdr>
    </w:div>
    <w:div w:id="2032146866">
      <w:marLeft w:val="0"/>
      <w:marRight w:val="0"/>
      <w:marTop w:val="0"/>
      <w:marBottom w:val="0"/>
      <w:divBdr>
        <w:top w:val="none" w:sz="0" w:space="0" w:color="auto"/>
        <w:left w:val="none" w:sz="0" w:space="0" w:color="auto"/>
        <w:bottom w:val="none" w:sz="0" w:space="0" w:color="auto"/>
        <w:right w:val="none" w:sz="0" w:space="0" w:color="auto"/>
      </w:divBdr>
      <w:divsChild>
        <w:div w:id="2032146921">
          <w:marLeft w:val="0"/>
          <w:marRight w:val="0"/>
          <w:marTop w:val="0"/>
          <w:marBottom w:val="0"/>
          <w:divBdr>
            <w:top w:val="none" w:sz="0" w:space="0" w:color="auto"/>
            <w:left w:val="none" w:sz="0" w:space="0" w:color="auto"/>
            <w:bottom w:val="none" w:sz="0" w:space="0" w:color="auto"/>
            <w:right w:val="none" w:sz="0" w:space="0" w:color="auto"/>
          </w:divBdr>
          <w:divsChild>
            <w:div w:id="2032146904">
              <w:marLeft w:val="0"/>
              <w:marRight w:val="0"/>
              <w:marTop w:val="0"/>
              <w:marBottom w:val="0"/>
              <w:divBdr>
                <w:top w:val="none" w:sz="0" w:space="0" w:color="auto"/>
                <w:left w:val="none" w:sz="0" w:space="0" w:color="auto"/>
                <w:bottom w:val="none" w:sz="0" w:space="0" w:color="auto"/>
                <w:right w:val="none" w:sz="0" w:space="0" w:color="auto"/>
              </w:divBdr>
              <w:divsChild>
                <w:div w:id="2032146892">
                  <w:marLeft w:val="0"/>
                  <w:marRight w:val="0"/>
                  <w:marTop w:val="0"/>
                  <w:marBottom w:val="0"/>
                  <w:divBdr>
                    <w:top w:val="none" w:sz="0" w:space="0" w:color="auto"/>
                    <w:left w:val="none" w:sz="0" w:space="0" w:color="auto"/>
                    <w:bottom w:val="none" w:sz="0" w:space="0" w:color="auto"/>
                    <w:right w:val="none" w:sz="0" w:space="0" w:color="auto"/>
                  </w:divBdr>
                  <w:divsChild>
                    <w:div w:id="2032146932">
                      <w:marLeft w:val="0"/>
                      <w:marRight w:val="0"/>
                      <w:marTop w:val="0"/>
                      <w:marBottom w:val="0"/>
                      <w:divBdr>
                        <w:top w:val="none" w:sz="0" w:space="0" w:color="auto"/>
                        <w:left w:val="none" w:sz="0" w:space="0" w:color="auto"/>
                        <w:bottom w:val="none" w:sz="0" w:space="0" w:color="auto"/>
                        <w:right w:val="none" w:sz="0" w:space="0" w:color="auto"/>
                      </w:divBdr>
                      <w:divsChild>
                        <w:div w:id="20321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870">
      <w:marLeft w:val="0"/>
      <w:marRight w:val="0"/>
      <w:marTop w:val="0"/>
      <w:marBottom w:val="0"/>
      <w:divBdr>
        <w:top w:val="none" w:sz="0" w:space="0" w:color="auto"/>
        <w:left w:val="none" w:sz="0" w:space="0" w:color="auto"/>
        <w:bottom w:val="none" w:sz="0" w:space="0" w:color="auto"/>
        <w:right w:val="none" w:sz="0" w:space="0" w:color="auto"/>
      </w:divBdr>
    </w:div>
    <w:div w:id="2032146873">
      <w:marLeft w:val="0"/>
      <w:marRight w:val="0"/>
      <w:marTop w:val="0"/>
      <w:marBottom w:val="0"/>
      <w:divBdr>
        <w:top w:val="none" w:sz="0" w:space="0" w:color="auto"/>
        <w:left w:val="none" w:sz="0" w:space="0" w:color="auto"/>
        <w:bottom w:val="none" w:sz="0" w:space="0" w:color="auto"/>
        <w:right w:val="none" w:sz="0" w:space="0" w:color="auto"/>
      </w:divBdr>
      <w:divsChild>
        <w:div w:id="2032146895">
          <w:marLeft w:val="0"/>
          <w:marRight w:val="0"/>
          <w:marTop w:val="0"/>
          <w:marBottom w:val="0"/>
          <w:divBdr>
            <w:top w:val="none" w:sz="0" w:space="0" w:color="auto"/>
            <w:left w:val="none" w:sz="0" w:space="0" w:color="auto"/>
            <w:bottom w:val="none" w:sz="0" w:space="0" w:color="auto"/>
            <w:right w:val="none" w:sz="0" w:space="0" w:color="auto"/>
          </w:divBdr>
          <w:divsChild>
            <w:div w:id="2032146865">
              <w:marLeft w:val="0"/>
              <w:marRight w:val="0"/>
              <w:marTop w:val="0"/>
              <w:marBottom w:val="0"/>
              <w:divBdr>
                <w:top w:val="none" w:sz="0" w:space="0" w:color="auto"/>
                <w:left w:val="none" w:sz="0" w:space="0" w:color="auto"/>
                <w:bottom w:val="none" w:sz="0" w:space="0" w:color="auto"/>
                <w:right w:val="none" w:sz="0" w:space="0" w:color="auto"/>
              </w:divBdr>
              <w:divsChild>
                <w:div w:id="2032146881">
                  <w:marLeft w:val="0"/>
                  <w:marRight w:val="0"/>
                  <w:marTop w:val="0"/>
                  <w:marBottom w:val="0"/>
                  <w:divBdr>
                    <w:top w:val="none" w:sz="0" w:space="0" w:color="auto"/>
                    <w:left w:val="none" w:sz="0" w:space="0" w:color="auto"/>
                    <w:bottom w:val="none" w:sz="0" w:space="0" w:color="auto"/>
                    <w:right w:val="none" w:sz="0" w:space="0" w:color="auto"/>
                  </w:divBdr>
                  <w:divsChild>
                    <w:div w:id="2032146905">
                      <w:marLeft w:val="0"/>
                      <w:marRight w:val="0"/>
                      <w:marTop w:val="0"/>
                      <w:marBottom w:val="0"/>
                      <w:divBdr>
                        <w:top w:val="none" w:sz="0" w:space="0" w:color="auto"/>
                        <w:left w:val="none" w:sz="0" w:space="0" w:color="auto"/>
                        <w:bottom w:val="none" w:sz="0" w:space="0" w:color="auto"/>
                        <w:right w:val="none" w:sz="0" w:space="0" w:color="auto"/>
                      </w:divBdr>
                      <w:divsChild>
                        <w:div w:id="2032146931">
                          <w:marLeft w:val="0"/>
                          <w:marRight w:val="0"/>
                          <w:marTop w:val="0"/>
                          <w:marBottom w:val="0"/>
                          <w:divBdr>
                            <w:top w:val="single" w:sz="6" w:space="0" w:color="828282"/>
                            <w:left w:val="single" w:sz="6" w:space="0" w:color="828282"/>
                            <w:bottom w:val="single" w:sz="6" w:space="0" w:color="828282"/>
                            <w:right w:val="single" w:sz="6" w:space="0" w:color="828282"/>
                          </w:divBdr>
                          <w:divsChild>
                            <w:div w:id="2032146938">
                              <w:marLeft w:val="0"/>
                              <w:marRight w:val="0"/>
                              <w:marTop w:val="0"/>
                              <w:marBottom w:val="0"/>
                              <w:divBdr>
                                <w:top w:val="none" w:sz="0" w:space="0" w:color="auto"/>
                                <w:left w:val="none" w:sz="0" w:space="0" w:color="auto"/>
                                <w:bottom w:val="none" w:sz="0" w:space="0" w:color="auto"/>
                                <w:right w:val="none" w:sz="0" w:space="0" w:color="auto"/>
                              </w:divBdr>
                              <w:divsChild>
                                <w:div w:id="2032146914">
                                  <w:marLeft w:val="0"/>
                                  <w:marRight w:val="0"/>
                                  <w:marTop w:val="0"/>
                                  <w:marBottom w:val="0"/>
                                  <w:divBdr>
                                    <w:top w:val="none" w:sz="0" w:space="0" w:color="auto"/>
                                    <w:left w:val="none" w:sz="0" w:space="0" w:color="auto"/>
                                    <w:bottom w:val="none" w:sz="0" w:space="0" w:color="auto"/>
                                    <w:right w:val="none" w:sz="0" w:space="0" w:color="auto"/>
                                  </w:divBdr>
                                  <w:divsChild>
                                    <w:div w:id="2032146930">
                                      <w:marLeft w:val="0"/>
                                      <w:marRight w:val="0"/>
                                      <w:marTop w:val="0"/>
                                      <w:marBottom w:val="0"/>
                                      <w:divBdr>
                                        <w:top w:val="none" w:sz="0" w:space="0" w:color="auto"/>
                                        <w:left w:val="none" w:sz="0" w:space="0" w:color="auto"/>
                                        <w:bottom w:val="none" w:sz="0" w:space="0" w:color="auto"/>
                                        <w:right w:val="none" w:sz="0" w:space="0" w:color="auto"/>
                                      </w:divBdr>
                                      <w:divsChild>
                                        <w:div w:id="2032146883">
                                          <w:marLeft w:val="0"/>
                                          <w:marRight w:val="0"/>
                                          <w:marTop w:val="0"/>
                                          <w:marBottom w:val="0"/>
                                          <w:divBdr>
                                            <w:top w:val="none" w:sz="0" w:space="0" w:color="auto"/>
                                            <w:left w:val="none" w:sz="0" w:space="0" w:color="auto"/>
                                            <w:bottom w:val="none" w:sz="0" w:space="0" w:color="auto"/>
                                            <w:right w:val="none" w:sz="0" w:space="0" w:color="auto"/>
                                          </w:divBdr>
                                          <w:divsChild>
                                            <w:div w:id="2032146907">
                                              <w:marLeft w:val="0"/>
                                              <w:marRight w:val="0"/>
                                              <w:marTop w:val="0"/>
                                              <w:marBottom w:val="0"/>
                                              <w:divBdr>
                                                <w:top w:val="none" w:sz="0" w:space="0" w:color="auto"/>
                                                <w:left w:val="none" w:sz="0" w:space="0" w:color="auto"/>
                                                <w:bottom w:val="none" w:sz="0" w:space="0" w:color="auto"/>
                                                <w:right w:val="none" w:sz="0" w:space="0" w:color="auto"/>
                                              </w:divBdr>
                                              <w:divsChild>
                                                <w:div w:id="20321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146882">
      <w:marLeft w:val="0"/>
      <w:marRight w:val="0"/>
      <w:marTop w:val="0"/>
      <w:marBottom w:val="0"/>
      <w:divBdr>
        <w:top w:val="none" w:sz="0" w:space="0" w:color="auto"/>
        <w:left w:val="none" w:sz="0" w:space="0" w:color="auto"/>
        <w:bottom w:val="none" w:sz="0" w:space="0" w:color="auto"/>
        <w:right w:val="none" w:sz="0" w:space="0" w:color="auto"/>
      </w:divBdr>
      <w:divsChild>
        <w:div w:id="2032146919">
          <w:marLeft w:val="0"/>
          <w:marRight w:val="0"/>
          <w:marTop w:val="0"/>
          <w:marBottom w:val="0"/>
          <w:divBdr>
            <w:top w:val="none" w:sz="0" w:space="0" w:color="auto"/>
            <w:left w:val="none" w:sz="0" w:space="0" w:color="auto"/>
            <w:bottom w:val="none" w:sz="0" w:space="0" w:color="auto"/>
            <w:right w:val="none" w:sz="0" w:space="0" w:color="auto"/>
          </w:divBdr>
          <w:divsChild>
            <w:div w:id="2032146928">
              <w:marLeft w:val="0"/>
              <w:marRight w:val="0"/>
              <w:marTop w:val="0"/>
              <w:marBottom w:val="300"/>
              <w:divBdr>
                <w:top w:val="none" w:sz="0" w:space="0" w:color="auto"/>
                <w:left w:val="none" w:sz="0" w:space="0" w:color="auto"/>
                <w:bottom w:val="none" w:sz="0" w:space="0" w:color="auto"/>
                <w:right w:val="none" w:sz="0" w:space="0" w:color="auto"/>
              </w:divBdr>
              <w:divsChild>
                <w:div w:id="2032146891">
                  <w:marLeft w:val="0"/>
                  <w:marRight w:val="0"/>
                  <w:marTop w:val="0"/>
                  <w:marBottom w:val="0"/>
                  <w:divBdr>
                    <w:top w:val="none" w:sz="0" w:space="0" w:color="auto"/>
                    <w:left w:val="none" w:sz="0" w:space="0" w:color="auto"/>
                    <w:bottom w:val="none" w:sz="0" w:space="0" w:color="auto"/>
                    <w:right w:val="none" w:sz="0" w:space="0" w:color="auto"/>
                  </w:divBdr>
                  <w:divsChild>
                    <w:div w:id="2032146909">
                      <w:marLeft w:val="0"/>
                      <w:marRight w:val="0"/>
                      <w:marTop w:val="0"/>
                      <w:marBottom w:val="0"/>
                      <w:divBdr>
                        <w:top w:val="none" w:sz="0" w:space="0" w:color="auto"/>
                        <w:left w:val="none" w:sz="0" w:space="0" w:color="auto"/>
                        <w:bottom w:val="none" w:sz="0" w:space="0" w:color="auto"/>
                        <w:right w:val="none" w:sz="0" w:space="0" w:color="auto"/>
                      </w:divBdr>
                      <w:divsChild>
                        <w:div w:id="2032146910">
                          <w:marLeft w:val="0"/>
                          <w:marRight w:val="0"/>
                          <w:marTop w:val="0"/>
                          <w:marBottom w:val="0"/>
                          <w:divBdr>
                            <w:top w:val="none" w:sz="0" w:space="0" w:color="auto"/>
                            <w:left w:val="none" w:sz="0" w:space="0" w:color="auto"/>
                            <w:bottom w:val="none" w:sz="0" w:space="0" w:color="auto"/>
                            <w:right w:val="none" w:sz="0" w:space="0" w:color="auto"/>
                          </w:divBdr>
                          <w:divsChild>
                            <w:div w:id="20321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6886">
      <w:marLeft w:val="0"/>
      <w:marRight w:val="0"/>
      <w:marTop w:val="0"/>
      <w:marBottom w:val="0"/>
      <w:divBdr>
        <w:top w:val="none" w:sz="0" w:space="0" w:color="auto"/>
        <w:left w:val="none" w:sz="0" w:space="0" w:color="auto"/>
        <w:bottom w:val="none" w:sz="0" w:space="0" w:color="auto"/>
        <w:right w:val="none" w:sz="0" w:space="0" w:color="auto"/>
      </w:divBdr>
    </w:div>
    <w:div w:id="2032146887">
      <w:marLeft w:val="0"/>
      <w:marRight w:val="0"/>
      <w:marTop w:val="0"/>
      <w:marBottom w:val="0"/>
      <w:divBdr>
        <w:top w:val="none" w:sz="0" w:space="0" w:color="auto"/>
        <w:left w:val="none" w:sz="0" w:space="0" w:color="auto"/>
        <w:bottom w:val="none" w:sz="0" w:space="0" w:color="auto"/>
        <w:right w:val="none" w:sz="0" w:space="0" w:color="auto"/>
      </w:divBdr>
      <w:divsChild>
        <w:div w:id="2032146929">
          <w:marLeft w:val="0"/>
          <w:marRight w:val="0"/>
          <w:marTop w:val="0"/>
          <w:marBottom w:val="0"/>
          <w:divBdr>
            <w:top w:val="none" w:sz="0" w:space="0" w:color="auto"/>
            <w:left w:val="none" w:sz="0" w:space="0" w:color="auto"/>
            <w:bottom w:val="none" w:sz="0" w:space="0" w:color="auto"/>
            <w:right w:val="none" w:sz="0" w:space="0" w:color="auto"/>
          </w:divBdr>
          <w:divsChild>
            <w:div w:id="2032146864">
              <w:marLeft w:val="0"/>
              <w:marRight w:val="0"/>
              <w:marTop w:val="0"/>
              <w:marBottom w:val="0"/>
              <w:divBdr>
                <w:top w:val="none" w:sz="0" w:space="0" w:color="auto"/>
                <w:left w:val="none" w:sz="0" w:space="0" w:color="auto"/>
                <w:bottom w:val="none" w:sz="0" w:space="0" w:color="auto"/>
                <w:right w:val="none" w:sz="0" w:space="0" w:color="auto"/>
              </w:divBdr>
              <w:divsChild>
                <w:div w:id="2032146934">
                  <w:marLeft w:val="0"/>
                  <w:marRight w:val="0"/>
                  <w:marTop w:val="0"/>
                  <w:marBottom w:val="0"/>
                  <w:divBdr>
                    <w:top w:val="none" w:sz="0" w:space="0" w:color="auto"/>
                    <w:left w:val="none" w:sz="0" w:space="0" w:color="auto"/>
                    <w:bottom w:val="none" w:sz="0" w:space="0" w:color="auto"/>
                    <w:right w:val="none" w:sz="0" w:space="0" w:color="auto"/>
                  </w:divBdr>
                  <w:divsChild>
                    <w:div w:id="2032146901">
                      <w:marLeft w:val="0"/>
                      <w:marRight w:val="0"/>
                      <w:marTop w:val="0"/>
                      <w:marBottom w:val="0"/>
                      <w:divBdr>
                        <w:top w:val="none" w:sz="0" w:space="0" w:color="auto"/>
                        <w:left w:val="none" w:sz="0" w:space="0" w:color="auto"/>
                        <w:bottom w:val="none" w:sz="0" w:space="0" w:color="auto"/>
                        <w:right w:val="none" w:sz="0" w:space="0" w:color="auto"/>
                      </w:divBdr>
                      <w:divsChild>
                        <w:div w:id="2032146884">
                          <w:marLeft w:val="0"/>
                          <w:marRight w:val="0"/>
                          <w:marTop w:val="0"/>
                          <w:marBottom w:val="0"/>
                          <w:divBdr>
                            <w:top w:val="single" w:sz="6" w:space="0" w:color="828282"/>
                            <w:left w:val="single" w:sz="6" w:space="0" w:color="828282"/>
                            <w:bottom w:val="single" w:sz="6" w:space="0" w:color="828282"/>
                            <w:right w:val="single" w:sz="6" w:space="0" w:color="828282"/>
                          </w:divBdr>
                          <w:divsChild>
                            <w:div w:id="2032146868">
                              <w:marLeft w:val="0"/>
                              <w:marRight w:val="0"/>
                              <w:marTop w:val="0"/>
                              <w:marBottom w:val="0"/>
                              <w:divBdr>
                                <w:top w:val="none" w:sz="0" w:space="0" w:color="auto"/>
                                <w:left w:val="none" w:sz="0" w:space="0" w:color="auto"/>
                                <w:bottom w:val="none" w:sz="0" w:space="0" w:color="auto"/>
                                <w:right w:val="none" w:sz="0" w:space="0" w:color="auto"/>
                              </w:divBdr>
                              <w:divsChild>
                                <w:div w:id="2032146880">
                                  <w:marLeft w:val="0"/>
                                  <w:marRight w:val="0"/>
                                  <w:marTop w:val="0"/>
                                  <w:marBottom w:val="0"/>
                                  <w:divBdr>
                                    <w:top w:val="none" w:sz="0" w:space="0" w:color="auto"/>
                                    <w:left w:val="none" w:sz="0" w:space="0" w:color="auto"/>
                                    <w:bottom w:val="none" w:sz="0" w:space="0" w:color="auto"/>
                                    <w:right w:val="none" w:sz="0" w:space="0" w:color="auto"/>
                                  </w:divBdr>
                                  <w:divsChild>
                                    <w:div w:id="2032146925">
                                      <w:marLeft w:val="0"/>
                                      <w:marRight w:val="0"/>
                                      <w:marTop w:val="0"/>
                                      <w:marBottom w:val="0"/>
                                      <w:divBdr>
                                        <w:top w:val="none" w:sz="0" w:space="0" w:color="auto"/>
                                        <w:left w:val="none" w:sz="0" w:space="0" w:color="auto"/>
                                        <w:bottom w:val="none" w:sz="0" w:space="0" w:color="auto"/>
                                        <w:right w:val="none" w:sz="0" w:space="0" w:color="auto"/>
                                      </w:divBdr>
                                      <w:divsChild>
                                        <w:div w:id="2032146933">
                                          <w:marLeft w:val="0"/>
                                          <w:marRight w:val="0"/>
                                          <w:marTop w:val="0"/>
                                          <w:marBottom w:val="0"/>
                                          <w:divBdr>
                                            <w:top w:val="none" w:sz="0" w:space="0" w:color="auto"/>
                                            <w:left w:val="none" w:sz="0" w:space="0" w:color="auto"/>
                                            <w:bottom w:val="none" w:sz="0" w:space="0" w:color="auto"/>
                                            <w:right w:val="none" w:sz="0" w:space="0" w:color="auto"/>
                                          </w:divBdr>
                                          <w:divsChild>
                                            <w:div w:id="2032146894">
                                              <w:marLeft w:val="0"/>
                                              <w:marRight w:val="0"/>
                                              <w:marTop w:val="0"/>
                                              <w:marBottom w:val="0"/>
                                              <w:divBdr>
                                                <w:top w:val="none" w:sz="0" w:space="0" w:color="auto"/>
                                                <w:left w:val="none" w:sz="0" w:space="0" w:color="auto"/>
                                                <w:bottom w:val="none" w:sz="0" w:space="0" w:color="auto"/>
                                                <w:right w:val="none" w:sz="0" w:space="0" w:color="auto"/>
                                              </w:divBdr>
                                              <w:divsChild>
                                                <w:div w:id="20321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146888">
      <w:marLeft w:val="0"/>
      <w:marRight w:val="0"/>
      <w:marTop w:val="0"/>
      <w:marBottom w:val="0"/>
      <w:divBdr>
        <w:top w:val="none" w:sz="0" w:space="0" w:color="auto"/>
        <w:left w:val="none" w:sz="0" w:space="0" w:color="auto"/>
        <w:bottom w:val="none" w:sz="0" w:space="0" w:color="auto"/>
        <w:right w:val="none" w:sz="0" w:space="0" w:color="auto"/>
      </w:divBdr>
      <w:divsChild>
        <w:div w:id="2032146922">
          <w:marLeft w:val="0"/>
          <w:marRight w:val="0"/>
          <w:marTop w:val="0"/>
          <w:marBottom w:val="0"/>
          <w:divBdr>
            <w:top w:val="none" w:sz="0" w:space="0" w:color="auto"/>
            <w:left w:val="none" w:sz="0" w:space="0" w:color="auto"/>
            <w:bottom w:val="none" w:sz="0" w:space="0" w:color="auto"/>
            <w:right w:val="none" w:sz="0" w:space="0" w:color="auto"/>
          </w:divBdr>
          <w:divsChild>
            <w:div w:id="2032146920">
              <w:marLeft w:val="0"/>
              <w:marRight w:val="0"/>
              <w:marTop w:val="0"/>
              <w:marBottom w:val="0"/>
              <w:divBdr>
                <w:top w:val="none" w:sz="0" w:space="0" w:color="auto"/>
                <w:left w:val="none" w:sz="0" w:space="0" w:color="auto"/>
                <w:bottom w:val="none" w:sz="0" w:space="0" w:color="auto"/>
                <w:right w:val="none" w:sz="0" w:space="0" w:color="auto"/>
              </w:divBdr>
              <w:divsChild>
                <w:div w:id="2032146927">
                  <w:marLeft w:val="0"/>
                  <w:marRight w:val="0"/>
                  <w:marTop w:val="0"/>
                  <w:marBottom w:val="0"/>
                  <w:divBdr>
                    <w:top w:val="none" w:sz="0" w:space="0" w:color="auto"/>
                    <w:left w:val="none" w:sz="0" w:space="0" w:color="auto"/>
                    <w:bottom w:val="none" w:sz="0" w:space="0" w:color="auto"/>
                    <w:right w:val="none" w:sz="0" w:space="0" w:color="auto"/>
                  </w:divBdr>
                  <w:divsChild>
                    <w:div w:id="2032146862">
                      <w:marLeft w:val="0"/>
                      <w:marRight w:val="0"/>
                      <w:marTop w:val="0"/>
                      <w:marBottom w:val="0"/>
                      <w:divBdr>
                        <w:top w:val="none" w:sz="0" w:space="0" w:color="auto"/>
                        <w:left w:val="none" w:sz="0" w:space="0" w:color="auto"/>
                        <w:bottom w:val="none" w:sz="0" w:space="0" w:color="auto"/>
                        <w:right w:val="none" w:sz="0" w:space="0" w:color="auto"/>
                      </w:divBdr>
                      <w:divsChild>
                        <w:div w:id="2032146908">
                          <w:marLeft w:val="0"/>
                          <w:marRight w:val="0"/>
                          <w:marTop w:val="0"/>
                          <w:marBottom w:val="0"/>
                          <w:divBdr>
                            <w:top w:val="none" w:sz="0" w:space="0" w:color="auto"/>
                            <w:left w:val="none" w:sz="0" w:space="0" w:color="auto"/>
                            <w:bottom w:val="none" w:sz="0" w:space="0" w:color="auto"/>
                            <w:right w:val="none" w:sz="0" w:space="0" w:color="auto"/>
                          </w:divBdr>
                          <w:divsChild>
                            <w:div w:id="2032146867">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2032146889">
      <w:marLeft w:val="0"/>
      <w:marRight w:val="0"/>
      <w:marTop w:val="0"/>
      <w:marBottom w:val="0"/>
      <w:divBdr>
        <w:top w:val="none" w:sz="0" w:space="0" w:color="auto"/>
        <w:left w:val="none" w:sz="0" w:space="0" w:color="auto"/>
        <w:bottom w:val="none" w:sz="0" w:space="0" w:color="auto"/>
        <w:right w:val="none" w:sz="0" w:space="0" w:color="auto"/>
      </w:divBdr>
    </w:div>
    <w:div w:id="2032146890">
      <w:marLeft w:val="0"/>
      <w:marRight w:val="0"/>
      <w:marTop w:val="0"/>
      <w:marBottom w:val="0"/>
      <w:divBdr>
        <w:top w:val="none" w:sz="0" w:space="0" w:color="auto"/>
        <w:left w:val="none" w:sz="0" w:space="0" w:color="auto"/>
        <w:bottom w:val="none" w:sz="0" w:space="0" w:color="auto"/>
        <w:right w:val="none" w:sz="0" w:space="0" w:color="auto"/>
      </w:divBdr>
    </w:div>
    <w:div w:id="2032146896">
      <w:marLeft w:val="0"/>
      <w:marRight w:val="0"/>
      <w:marTop w:val="0"/>
      <w:marBottom w:val="0"/>
      <w:divBdr>
        <w:top w:val="none" w:sz="0" w:space="0" w:color="auto"/>
        <w:left w:val="none" w:sz="0" w:space="0" w:color="auto"/>
        <w:bottom w:val="none" w:sz="0" w:space="0" w:color="auto"/>
        <w:right w:val="none" w:sz="0" w:space="0" w:color="auto"/>
      </w:divBdr>
    </w:div>
    <w:div w:id="2032146897">
      <w:marLeft w:val="0"/>
      <w:marRight w:val="0"/>
      <w:marTop w:val="0"/>
      <w:marBottom w:val="0"/>
      <w:divBdr>
        <w:top w:val="none" w:sz="0" w:space="0" w:color="auto"/>
        <w:left w:val="none" w:sz="0" w:space="0" w:color="auto"/>
        <w:bottom w:val="none" w:sz="0" w:space="0" w:color="auto"/>
        <w:right w:val="none" w:sz="0" w:space="0" w:color="auto"/>
      </w:divBdr>
      <w:divsChild>
        <w:div w:id="2032146918">
          <w:marLeft w:val="0"/>
          <w:marRight w:val="0"/>
          <w:marTop w:val="0"/>
          <w:marBottom w:val="0"/>
          <w:divBdr>
            <w:top w:val="none" w:sz="0" w:space="0" w:color="auto"/>
            <w:left w:val="none" w:sz="0" w:space="0" w:color="auto"/>
            <w:bottom w:val="none" w:sz="0" w:space="0" w:color="auto"/>
            <w:right w:val="none" w:sz="0" w:space="0" w:color="auto"/>
          </w:divBdr>
          <w:divsChild>
            <w:div w:id="2032146859">
              <w:marLeft w:val="0"/>
              <w:marRight w:val="0"/>
              <w:marTop w:val="0"/>
              <w:marBottom w:val="0"/>
              <w:divBdr>
                <w:top w:val="none" w:sz="0" w:space="0" w:color="auto"/>
                <w:left w:val="none" w:sz="0" w:space="0" w:color="auto"/>
                <w:bottom w:val="none" w:sz="0" w:space="0" w:color="auto"/>
                <w:right w:val="none" w:sz="0" w:space="0" w:color="auto"/>
              </w:divBdr>
              <w:divsChild>
                <w:div w:id="2032146923">
                  <w:marLeft w:val="0"/>
                  <w:marRight w:val="0"/>
                  <w:marTop w:val="0"/>
                  <w:marBottom w:val="0"/>
                  <w:divBdr>
                    <w:top w:val="none" w:sz="0" w:space="0" w:color="auto"/>
                    <w:left w:val="none" w:sz="0" w:space="0" w:color="auto"/>
                    <w:bottom w:val="none" w:sz="0" w:space="0" w:color="auto"/>
                    <w:right w:val="none" w:sz="0" w:space="0" w:color="auto"/>
                  </w:divBdr>
                  <w:divsChild>
                    <w:div w:id="2032146856">
                      <w:marLeft w:val="0"/>
                      <w:marRight w:val="0"/>
                      <w:marTop w:val="0"/>
                      <w:marBottom w:val="0"/>
                      <w:divBdr>
                        <w:top w:val="none" w:sz="0" w:space="0" w:color="auto"/>
                        <w:left w:val="none" w:sz="0" w:space="0" w:color="auto"/>
                        <w:bottom w:val="none" w:sz="0" w:space="0" w:color="auto"/>
                        <w:right w:val="none" w:sz="0" w:space="0" w:color="auto"/>
                      </w:divBdr>
                      <w:divsChild>
                        <w:div w:id="2032146913">
                          <w:marLeft w:val="0"/>
                          <w:marRight w:val="0"/>
                          <w:marTop w:val="0"/>
                          <w:marBottom w:val="0"/>
                          <w:divBdr>
                            <w:top w:val="none" w:sz="0" w:space="0" w:color="auto"/>
                            <w:left w:val="none" w:sz="0" w:space="0" w:color="auto"/>
                            <w:bottom w:val="none" w:sz="0" w:space="0" w:color="auto"/>
                            <w:right w:val="none" w:sz="0" w:space="0" w:color="auto"/>
                          </w:divBdr>
                          <w:divsChild>
                            <w:div w:id="20321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6899">
      <w:marLeft w:val="0"/>
      <w:marRight w:val="0"/>
      <w:marTop w:val="0"/>
      <w:marBottom w:val="0"/>
      <w:divBdr>
        <w:top w:val="none" w:sz="0" w:space="0" w:color="auto"/>
        <w:left w:val="none" w:sz="0" w:space="0" w:color="auto"/>
        <w:bottom w:val="none" w:sz="0" w:space="0" w:color="auto"/>
        <w:right w:val="none" w:sz="0" w:space="0" w:color="auto"/>
      </w:divBdr>
      <w:divsChild>
        <w:div w:id="2032146893">
          <w:marLeft w:val="0"/>
          <w:marRight w:val="0"/>
          <w:marTop w:val="0"/>
          <w:marBottom w:val="0"/>
          <w:divBdr>
            <w:top w:val="none" w:sz="0" w:space="0" w:color="auto"/>
            <w:left w:val="none" w:sz="0" w:space="0" w:color="auto"/>
            <w:bottom w:val="none" w:sz="0" w:space="0" w:color="auto"/>
            <w:right w:val="none" w:sz="0" w:space="0" w:color="auto"/>
          </w:divBdr>
          <w:divsChild>
            <w:div w:id="2032146876">
              <w:marLeft w:val="0"/>
              <w:marRight w:val="0"/>
              <w:marTop w:val="0"/>
              <w:marBottom w:val="0"/>
              <w:divBdr>
                <w:top w:val="none" w:sz="0" w:space="0" w:color="auto"/>
                <w:left w:val="none" w:sz="0" w:space="0" w:color="auto"/>
                <w:bottom w:val="none" w:sz="0" w:space="0" w:color="auto"/>
                <w:right w:val="none" w:sz="0" w:space="0" w:color="auto"/>
              </w:divBdr>
              <w:divsChild>
                <w:div w:id="2032146871">
                  <w:marLeft w:val="0"/>
                  <w:marRight w:val="0"/>
                  <w:marTop w:val="0"/>
                  <w:marBottom w:val="0"/>
                  <w:divBdr>
                    <w:top w:val="none" w:sz="0" w:space="0" w:color="auto"/>
                    <w:left w:val="none" w:sz="0" w:space="0" w:color="auto"/>
                    <w:bottom w:val="none" w:sz="0" w:space="0" w:color="auto"/>
                    <w:right w:val="none" w:sz="0" w:space="0" w:color="auto"/>
                  </w:divBdr>
                  <w:divsChild>
                    <w:div w:id="2032146911">
                      <w:marLeft w:val="0"/>
                      <w:marRight w:val="0"/>
                      <w:marTop w:val="0"/>
                      <w:marBottom w:val="0"/>
                      <w:divBdr>
                        <w:top w:val="none" w:sz="0" w:space="0" w:color="auto"/>
                        <w:left w:val="none" w:sz="0" w:space="0" w:color="auto"/>
                        <w:bottom w:val="none" w:sz="0" w:space="0" w:color="auto"/>
                        <w:right w:val="none" w:sz="0" w:space="0" w:color="auto"/>
                      </w:divBdr>
                      <w:divsChild>
                        <w:div w:id="2032146926">
                          <w:marLeft w:val="0"/>
                          <w:marRight w:val="0"/>
                          <w:marTop w:val="0"/>
                          <w:marBottom w:val="0"/>
                          <w:divBdr>
                            <w:top w:val="single" w:sz="6" w:space="0" w:color="828282"/>
                            <w:left w:val="single" w:sz="6" w:space="0" w:color="828282"/>
                            <w:bottom w:val="single" w:sz="6" w:space="0" w:color="828282"/>
                            <w:right w:val="single" w:sz="6" w:space="0" w:color="828282"/>
                          </w:divBdr>
                          <w:divsChild>
                            <w:div w:id="2032146937">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2032146860">
                                      <w:marLeft w:val="0"/>
                                      <w:marRight w:val="0"/>
                                      <w:marTop w:val="0"/>
                                      <w:marBottom w:val="0"/>
                                      <w:divBdr>
                                        <w:top w:val="none" w:sz="0" w:space="0" w:color="auto"/>
                                        <w:left w:val="none" w:sz="0" w:space="0" w:color="auto"/>
                                        <w:bottom w:val="none" w:sz="0" w:space="0" w:color="auto"/>
                                        <w:right w:val="none" w:sz="0" w:space="0" w:color="auto"/>
                                      </w:divBdr>
                                      <w:divsChild>
                                        <w:div w:id="2032146858">
                                          <w:marLeft w:val="0"/>
                                          <w:marRight w:val="0"/>
                                          <w:marTop w:val="0"/>
                                          <w:marBottom w:val="0"/>
                                          <w:divBdr>
                                            <w:top w:val="none" w:sz="0" w:space="0" w:color="auto"/>
                                            <w:left w:val="none" w:sz="0" w:space="0" w:color="auto"/>
                                            <w:bottom w:val="none" w:sz="0" w:space="0" w:color="auto"/>
                                            <w:right w:val="none" w:sz="0" w:space="0" w:color="auto"/>
                                          </w:divBdr>
                                          <w:divsChild>
                                            <w:div w:id="2032146863">
                                              <w:marLeft w:val="0"/>
                                              <w:marRight w:val="0"/>
                                              <w:marTop w:val="0"/>
                                              <w:marBottom w:val="0"/>
                                              <w:divBdr>
                                                <w:top w:val="none" w:sz="0" w:space="0" w:color="auto"/>
                                                <w:left w:val="none" w:sz="0" w:space="0" w:color="auto"/>
                                                <w:bottom w:val="none" w:sz="0" w:space="0" w:color="auto"/>
                                                <w:right w:val="none" w:sz="0" w:space="0" w:color="auto"/>
                                              </w:divBdr>
                                              <w:divsChild>
                                                <w:div w:id="203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146903">
      <w:marLeft w:val="0"/>
      <w:marRight w:val="0"/>
      <w:marTop w:val="0"/>
      <w:marBottom w:val="0"/>
      <w:divBdr>
        <w:top w:val="none" w:sz="0" w:space="0" w:color="auto"/>
        <w:left w:val="none" w:sz="0" w:space="0" w:color="auto"/>
        <w:bottom w:val="none" w:sz="0" w:space="0" w:color="auto"/>
        <w:right w:val="none" w:sz="0" w:space="0" w:color="auto"/>
      </w:divBdr>
      <w:divsChild>
        <w:div w:id="2032146936">
          <w:marLeft w:val="0"/>
          <w:marRight w:val="0"/>
          <w:marTop w:val="0"/>
          <w:marBottom w:val="0"/>
          <w:divBdr>
            <w:top w:val="none" w:sz="0" w:space="0" w:color="auto"/>
            <w:left w:val="none" w:sz="0" w:space="0" w:color="auto"/>
            <w:bottom w:val="none" w:sz="0" w:space="0" w:color="auto"/>
            <w:right w:val="none" w:sz="0" w:space="0" w:color="auto"/>
          </w:divBdr>
          <w:divsChild>
            <w:div w:id="2032146879">
              <w:marLeft w:val="0"/>
              <w:marRight w:val="0"/>
              <w:marTop w:val="0"/>
              <w:marBottom w:val="0"/>
              <w:divBdr>
                <w:top w:val="none" w:sz="0" w:space="0" w:color="auto"/>
                <w:left w:val="none" w:sz="0" w:space="0" w:color="auto"/>
                <w:bottom w:val="none" w:sz="0" w:space="0" w:color="auto"/>
                <w:right w:val="none" w:sz="0" w:space="0" w:color="auto"/>
              </w:divBdr>
              <w:divsChild>
                <w:div w:id="2032146912">
                  <w:marLeft w:val="0"/>
                  <w:marRight w:val="0"/>
                  <w:marTop w:val="0"/>
                  <w:marBottom w:val="0"/>
                  <w:divBdr>
                    <w:top w:val="none" w:sz="0" w:space="0" w:color="auto"/>
                    <w:left w:val="none" w:sz="0" w:space="0" w:color="auto"/>
                    <w:bottom w:val="none" w:sz="0" w:space="0" w:color="auto"/>
                    <w:right w:val="none" w:sz="0" w:space="0" w:color="auto"/>
                  </w:divBdr>
                  <w:divsChild>
                    <w:div w:id="2032146857">
                      <w:marLeft w:val="0"/>
                      <w:marRight w:val="0"/>
                      <w:marTop w:val="0"/>
                      <w:marBottom w:val="0"/>
                      <w:divBdr>
                        <w:top w:val="none" w:sz="0" w:space="0" w:color="auto"/>
                        <w:left w:val="none" w:sz="0" w:space="0" w:color="auto"/>
                        <w:bottom w:val="none" w:sz="0" w:space="0" w:color="auto"/>
                        <w:right w:val="none" w:sz="0" w:space="0" w:color="auto"/>
                      </w:divBdr>
                      <w:divsChild>
                        <w:div w:id="2032146935">
                          <w:marLeft w:val="0"/>
                          <w:marRight w:val="0"/>
                          <w:marTop w:val="0"/>
                          <w:marBottom w:val="0"/>
                          <w:divBdr>
                            <w:top w:val="none" w:sz="0" w:space="0" w:color="auto"/>
                            <w:left w:val="none" w:sz="0" w:space="0" w:color="auto"/>
                            <w:bottom w:val="none" w:sz="0" w:space="0" w:color="auto"/>
                            <w:right w:val="none" w:sz="0" w:space="0" w:color="auto"/>
                          </w:divBdr>
                          <w:divsChild>
                            <w:div w:id="20321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6916">
      <w:marLeft w:val="0"/>
      <w:marRight w:val="0"/>
      <w:marTop w:val="0"/>
      <w:marBottom w:val="0"/>
      <w:divBdr>
        <w:top w:val="none" w:sz="0" w:space="0" w:color="auto"/>
        <w:left w:val="none" w:sz="0" w:space="0" w:color="auto"/>
        <w:bottom w:val="none" w:sz="0" w:space="0" w:color="auto"/>
        <w:right w:val="none" w:sz="0" w:space="0" w:color="auto"/>
      </w:divBdr>
      <w:divsChild>
        <w:div w:id="2032146872">
          <w:marLeft w:val="0"/>
          <w:marRight w:val="0"/>
          <w:marTop w:val="0"/>
          <w:marBottom w:val="0"/>
          <w:divBdr>
            <w:top w:val="none" w:sz="0" w:space="0" w:color="auto"/>
            <w:left w:val="none" w:sz="0" w:space="0" w:color="auto"/>
            <w:bottom w:val="none" w:sz="0" w:space="0" w:color="auto"/>
            <w:right w:val="none" w:sz="0" w:space="0" w:color="auto"/>
          </w:divBdr>
          <w:divsChild>
            <w:div w:id="2032146917">
              <w:marLeft w:val="0"/>
              <w:marRight w:val="0"/>
              <w:marTop w:val="0"/>
              <w:marBottom w:val="300"/>
              <w:divBdr>
                <w:top w:val="none" w:sz="0" w:space="0" w:color="auto"/>
                <w:left w:val="none" w:sz="0" w:space="0" w:color="auto"/>
                <w:bottom w:val="none" w:sz="0" w:space="0" w:color="auto"/>
                <w:right w:val="none" w:sz="0" w:space="0" w:color="auto"/>
              </w:divBdr>
              <w:divsChild>
                <w:div w:id="2032146885">
                  <w:marLeft w:val="0"/>
                  <w:marRight w:val="0"/>
                  <w:marTop w:val="0"/>
                  <w:marBottom w:val="0"/>
                  <w:divBdr>
                    <w:top w:val="none" w:sz="0" w:space="0" w:color="auto"/>
                    <w:left w:val="none" w:sz="0" w:space="0" w:color="auto"/>
                    <w:bottom w:val="none" w:sz="0" w:space="0" w:color="auto"/>
                    <w:right w:val="none" w:sz="0" w:space="0" w:color="auto"/>
                  </w:divBdr>
                  <w:divsChild>
                    <w:div w:id="2032146902">
                      <w:marLeft w:val="0"/>
                      <w:marRight w:val="0"/>
                      <w:marTop w:val="0"/>
                      <w:marBottom w:val="0"/>
                      <w:divBdr>
                        <w:top w:val="none" w:sz="0" w:space="0" w:color="auto"/>
                        <w:left w:val="none" w:sz="0" w:space="0" w:color="auto"/>
                        <w:bottom w:val="none" w:sz="0" w:space="0" w:color="auto"/>
                        <w:right w:val="none" w:sz="0" w:space="0" w:color="auto"/>
                      </w:divBdr>
                      <w:divsChild>
                        <w:div w:id="2032146855">
                          <w:marLeft w:val="0"/>
                          <w:marRight w:val="0"/>
                          <w:marTop w:val="0"/>
                          <w:marBottom w:val="0"/>
                          <w:divBdr>
                            <w:top w:val="none" w:sz="0" w:space="0" w:color="auto"/>
                            <w:left w:val="none" w:sz="0" w:space="0" w:color="auto"/>
                            <w:bottom w:val="none" w:sz="0" w:space="0" w:color="auto"/>
                            <w:right w:val="none" w:sz="0" w:space="0" w:color="auto"/>
                          </w:divBdr>
                          <w:divsChild>
                            <w:div w:id="20321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6924">
      <w:marLeft w:val="0"/>
      <w:marRight w:val="0"/>
      <w:marTop w:val="0"/>
      <w:marBottom w:val="0"/>
      <w:divBdr>
        <w:top w:val="none" w:sz="0" w:space="0" w:color="auto"/>
        <w:left w:val="none" w:sz="0" w:space="0" w:color="auto"/>
        <w:bottom w:val="none" w:sz="0" w:space="0" w:color="auto"/>
        <w:right w:val="none" w:sz="0" w:space="0" w:color="auto"/>
      </w:divBdr>
    </w:div>
    <w:div w:id="20596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82F19E61</Template>
  <TotalTime>1</TotalTime>
  <Pages>15</Pages>
  <Words>4231</Words>
  <Characters>24121</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DCC2212</dc:creator>
  <cp:lastModifiedBy>Black, Linley</cp:lastModifiedBy>
  <cp:revision>2</cp:revision>
  <cp:lastPrinted>2013-02-11T04:20:00Z</cp:lastPrinted>
  <dcterms:created xsi:type="dcterms:W3CDTF">2013-03-08T03:23:00Z</dcterms:created>
  <dcterms:modified xsi:type="dcterms:W3CDTF">2013-03-08T03:23:00Z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1654621523</vt:i4>
  </property>
</Properties>
</file>