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6F" w:rsidRDefault="00107505" w:rsidP="00107505">
      <w:pPr>
        <w:spacing w:before="0" w:after="240"/>
        <w:jc w:val="center"/>
      </w:pPr>
      <w:bookmarkStart w:id="0" w:name="_GoBack"/>
      <w:bookmarkEnd w:id="0"/>
      <w:r w:rsidRPr="00107505">
        <w:rPr>
          <w:b/>
          <w:u w:val="single"/>
        </w:rPr>
        <w:t>EXPLANATORY STATEMENT</w:t>
      </w:r>
    </w:p>
    <w:p w:rsidR="00107505" w:rsidRPr="001B1680" w:rsidRDefault="00107505" w:rsidP="00107505">
      <w:pPr>
        <w:pStyle w:val="Heading6"/>
        <w:keepNext w:val="0"/>
        <w:spacing w:before="0" w:after="240"/>
        <w:jc w:val="center"/>
        <w:rPr>
          <w:i/>
          <w:u w:val="none"/>
        </w:rPr>
      </w:pPr>
      <w:r w:rsidRPr="001B1680">
        <w:rPr>
          <w:i/>
          <w:u w:val="none"/>
        </w:rPr>
        <w:t xml:space="preserve">Issued by </w:t>
      </w:r>
      <w:r>
        <w:rPr>
          <w:i/>
          <w:u w:val="none"/>
        </w:rPr>
        <w:t xml:space="preserve">authority of the Minister for </w:t>
      </w:r>
      <w:r w:rsidRPr="001B1680">
        <w:rPr>
          <w:i/>
          <w:u w:val="none"/>
        </w:rPr>
        <w:t>Finance and Deregulation</w:t>
      </w:r>
    </w:p>
    <w:p w:rsidR="000C366E" w:rsidRDefault="000C366E" w:rsidP="00107505">
      <w:pPr>
        <w:spacing w:before="0" w:after="240"/>
        <w:ind w:right="91"/>
        <w:jc w:val="center"/>
        <w:rPr>
          <w:i/>
        </w:rPr>
      </w:pPr>
      <w:r>
        <w:rPr>
          <w:i/>
        </w:rPr>
        <w:t xml:space="preserve">Judges and Governors-General </w:t>
      </w:r>
      <w:r w:rsidR="00D87DAE">
        <w:rPr>
          <w:i/>
        </w:rPr>
        <w:t>Legislation Amendment (Family Law) Act 2012</w:t>
      </w:r>
    </w:p>
    <w:p w:rsidR="00107505" w:rsidRDefault="000C366E" w:rsidP="00107505">
      <w:pPr>
        <w:spacing w:before="0" w:after="240"/>
        <w:ind w:right="91"/>
        <w:jc w:val="center"/>
        <w:rPr>
          <w:i/>
        </w:rPr>
      </w:pPr>
      <w:r>
        <w:rPr>
          <w:i/>
        </w:rPr>
        <w:t xml:space="preserve">Judges’ Pensions </w:t>
      </w:r>
      <w:r w:rsidR="00107505" w:rsidRPr="004A5732">
        <w:rPr>
          <w:i/>
        </w:rPr>
        <w:t>(</w:t>
      </w:r>
      <w:r>
        <w:rPr>
          <w:i/>
        </w:rPr>
        <w:t>Item 48</w:t>
      </w:r>
      <w:r w:rsidR="00107505" w:rsidRPr="004A5732">
        <w:rPr>
          <w:i/>
        </w:rPr>
        <w:t xml:space="preserve">) </w:t>
      </w:r>
      <w:r>
        <w:rPr>
          <w:i/>
        </w:rPr>
        <w:t>Order</w:t>
      </w:r>
      <w:r w:rsidR="00107505" w:rsidRPr="004A5732">
        <w:rPr>
          <w:i/>
        </w:rPr>
        <w:t xml:space="preserve"> 201</w:t>
      </w:r>
      <w:r>
        <w:rPr>
          <w:i/>
        </w:rPr>
        <w:t>3</w:t>
      </w:r>
    </w:p>
    <w:p w:rsidR="00324116" w:rsidRDefault="00D87DAE" w:rsidP="00F64999">
      <w:pPr>
        <w:spacing w:before="0" w:after="240"/>
      </w:pPr>
      <w:r>
        <w:t xml:space="preserve">The </w:t>
      </w:r>
      <w:r w:rsidRPr="00D87DAE">
        <w:rPr>
          <w:i/>
        </w:rPr>
        <w:t>Judges’ Pensions Act 1968</w:t>
      </w:r>
      <w:r>
        <w:t xml:space="preserve"> (Judges’ Act) provides retirement benefits to Federal Judges</w:t>
      </w:r>
      <w:r w:rsidR="00AE6FC7">
        <w:t>,</w:t>
      </w:r>
      <w:r>
        <w:t xml:space="preserve"> </w:t>
      </w:r>
      <w:r w:rsidR="00AE6FC7">
        <w:t xml:space="preserve">and </w:t>
      </w:r>
      <w:r w:rsidR="001C0B92">
        <w:t xml:space="preserve">death benefits in respect of their </w:t>
      </w:r>
      <w:r w:rsidR="003D60E1">
        <w:t xml:space="preserve">eligible </w:t>
      </w:r>
      <w:r>
        <w:t>spouses and children</w:t>
      </w:r>
      <w:r w:rsidR="00324116">
        <w:t>.</w:t>
      </w:r>
    </w:p>
    <w:p w:rsidR="00324116" w:rsidRDefault="00602438" w:rsidP="00F64999">
      <w:pPr>
        <w:spacing w:before="0" w:after="240"/>
      </w:pPr>
      <w:r>
        <w:t>Schedule 1 of the</w:t>
      </w:r>
      <w:r w:rsidR="00D87DAE">
        <w:t xml:space="preserve"> </w:t>
      </w:r>
      <w:r w:rsidR="00D87DAE" w:rsidRPr="00602438">
        <w:rPr>
          <w:i/>
        </w:rPr>
        <w:t>Judges and Governors-General Legislation Amendme</w:t>
      </w:r>
      <w:r w:rsidRPr="00602438">
        <w:rPr>
          <w:i/>
        </w:rPr>
        <w:t>nt (Family Law) Act 2012</w:t>
      </w:r>
      <w:r>
        <w:t xml:space="preserve"> (Amendment Act) makes amendments to the Judges’ Act to implement new superannuation splitting arrangements for </w:t>
      </w:r>
      <w:r w:rsidR="00691F63">
        <w:t>F</w:t>
      </w:r>
      <w:r>
        <w:t>ederal Judges</w:t>
      </w:r>
      <w:r w:rsidR="00324116">
        <w:t>.</w:t>
      </w:r>
      <w:r w:rsidR="00F36FF0">
        <w:t xml:space="preserve">  Part 2 of Schedule 1 contains transitional arrangements to cover existing splitting agreements and orders in respect of interests under the Judges’</w:t>
      </w:r>
      <w:r w:rsidR="00793C7D">
        <w:t xml:space="preserve"> Act</w:t>
      </w:r>
      <w:r w:rsidR="00F36FF0">
        <w:t>.</w:t>
      </w:r>
    </w:p>
    <w:p w:rsidR="005C5753" w:rsidRDefault="005C5753" w:rsidP="00F64999">
      <w:pPr>
        <w:spacing w:before="0" w:after="240"/>
        <w:rPr>
          <w:szCs w:val="24"/>
        </w:rPr>
      </w:pPr>
      <w:r>
        <w:rPr>
          <w:szCs w:val="24"/>
        </w:rPr>
        <w:t xml:space="preserve">The amendments </w:t>
      </w:r>
      <w:r w:rsidR="00602438">
        <w:rPr>
          <w:szCs w:val="24"/>
        </w:rPr>
        <w:t xml:space="preserve">will </w:t>
      </w:r>
      <w:r w:rsidR="00456FE2">
        <w:rPr>
          <w:szCs w:val="24"/>
        </w:rPr>
        <w:t xml:space="preserve">allow the superannuation benefits </w:t>
      </w:r>
      <w:r w:rsidR="00602438">
        <w:rPr>
          <w:szCs w:val="24"/>
        </w:rPr>
        <w:t>of</w:t>
      </w:r>
      <w:r w:rsidR="00456FE2">
        <w:rPr>
          <w:szCs w:val="24"/>
        </w:rPr>
        <w:t xml:space="preserve"> </w:t>
      </w:r>
      <w:r w:rsidR="00AE6FC7">
        <w:rPr>
          <w:szCs w:val="24"/>
        </w:rPr>
        <w:t xml:space="preserve">a </w:t>
      </w:r>
      <w:r w:rsidR="00691F63">
        <w:rPr>
          <w:szCs w:val="24"/>
        </w:rPr>
        <w:t>j</w:t>
      </w:r>
      <w:r w:rsidR="00AE6FC7">
        <w:rPr>
          <w:szCs w:val="24"/>
        </w:rPr>
        <w:t>udge</w:t>
      </w:r>
      <w:r w:rsidRPr="005C5753">
        <w:rPr>
          <w:szCs w:val="24"/>
        </w:rPr>
        <w:t xml:space="preserve"> </w:t>
      </w:r>
      <w:r w:rsidR="00456FE2">
        <w:rPr>
          <w:szCs w:val="24"/>
        </w:rPr>
        <w:t>to be split with a former spouse in the event of a marital or relationship breakdown, at a time a superannuation splitting agreement or order is made</w:t>
      </w:r>
      <w:r w:rsidRPr="005C5753">
        <w:rPr>
          <w:szCs w:val="24"/>
        </w:rPr>
        <w:t>.</w:t>
      </w:r>
      <w:r w:rsidR="00456FE2">
        <w:rPr>
          <w:szCs w:val="24"/>
        </w:rPr>
        <w:t xml:space="preserve"> </w:t>
      </w:r>
      <w:r w:rsidR="00BA45DB" w:rsidRPr="00BA45DB">
        <w:rPr>
          <w:szCs w:val="24"/>
        </w:rPr>
        <w:t xml:space="preserve">A former spouse will be able to receive his or her share of the benefit at this time, rather than payment of the benefit being linked to the retirement of the </w:t>
      </w:r>
      <w:r w:rsidR="00691F63">
        <w:rPr>
          <w:szCs w:val="24"/>
        </w:rPr>
        <w:t>j</w:t>
      </w:r>
      <w:r w:rsidR="00BA45DB" w:rsidRPr="00BA45DB">
        <w:rPr>
          <w:szCs w:val="24"/>
        </w:rPr>
        <w:t>udge and being ceased upon their death. These arrangements will give certainty to both parties in property settlement negotiations and will provide each party with their own separate benefit at the time of the split.</w:t>
      </w:r>
    </w:p>
    <w:p w:rsidR="00F36FF0" w:rsidRPr="005C5753" w:rsidRDefault="00F36FF0" w:rsidP="00F64999">
      <w:pPr>
        <w:spacing w:before="0" w:after="240"/>
        <w:rPr>
          <w:szCs w:val="24"/>
        </w:rPr>
      </w:pPr>
      <w:r>
        <w:rPr>
          <w:szCs w:val="24"/>
        </w:rPr>
        <w:t>The transitional arrangements</w:t>
      </w:r>
      <w:r w:rsidR="00793C7D">
        <w:rPr>
          <w:szCs w:val="24"/>
        </w:rPr>
        <w:t xml:space="preserve"> contained in Part 2 of Schedule 1 of the Amendment Act</w:t>
      </w:r>
      <w:r>
        <w:rPr>
          <w:szCs w:val="24"/>
        </w:rPr>
        <w:t xml:space="preserve"> create a separate benefit for relevant former spouses from the commencement time.</w:t>
      </w:r>
    </w:p>
    <w:p w:rsidR="00602438" w:rsidRDefault="00602438" w:rsidP="00F64999">
      <w:pPr>
        <w:spacing w:before="0" w:after="240"/>
        <w:rPr>
          <w:szCs w:val="24"/>
        </w:rPr>
      </w:pPr>
      <w:r>
        <w:rPr>
          <w:szCs w:val="24"/>
        </w:rPr>
        <w:t xml:space="preserve">Item 48 of the Amendment Act provides that the Minister may make </w:t>
      </w:r>
      <w:r w:rsidR="00691F63">
        <w:rPr>
          <w:szCs w:val="24"/>
        </w:rPr>
        <w:t>o</w:t>
      </w:r>
      <w:r>
        <w:rPr>
          <w:szCs w:val="24"/>
        </w:rPr>
        <w:t>rders providing for matters required or permitted by the Act to be provided</w:t>
      </w:r>
      <w:r w:rsidR="00BA3AE6">
        <w:rPr>
          <w:szCs w:val="24"/>
        </w:rPr>
        <w:t>,</w:t>
      </w:r>
      <w:r>
        <w:rPr>
          <w:szCs w:val="24"/>
        </w:rPr>
        <w:t xml:space="preserve"> or </w:t>
      </w:r>
      <w:r w:rsidR="00BA3AE6">
        <w:rPr>
          <w:szCs w:val="24"/>
        </w:rPr>
        <w:t>matters</w:t>
      </w:r>
      <w:r>
        <w:rPr>
          <w:szCs w:val="24"/>
        </w:rPr>
        <w:t xml:space="preserve"> necessary or convenient to be provided</w:t>
      </w:r>
      <w:r w:rsidR="00130642">
        <w:rPr>
          <w:szCs w:val="24"/>
        </w:rPr>
        <w:t>,</w:t>
      </w:r>
      <w:r>
        <w:rPr>
          <w:szCs w:val="24"/>
        </w:rPr>
        <w:t xml:space="preserve"> in order to carry out or give effect to the Act.</w:t>
      </w:r>
    </w:p>
    <w:p w:rsidR="00602438" w:rsidRDefault="00602438" w:rsidP="00F64999">
      <w:pPr>
        <w:spacing w:before="0" w:after="240"/>
        <w:rPr>
          <w:szCs w:val="24"/>
        </w:rPr>
      </w:pPr>
      <w:r>
        <w:rPr>
          <w:szCs w:val="24"/>
        </w:rPr>
        <w:t xml:space="preserve">The purpose of the </w:t>
      </w:r>
      <w:r w:rsidRPr="00AE6FC7">
        <w:rPr>
          <w:i/>
          <w:szCs w:val="24"/>
        </w:rPr>
        <w:t>Judges’ Pensions (Item 48) Order 2013</w:t>
      </w:r>
      <w:r>
        <w:rPr>
          <w:szCs w:val="24"/>
        </w:rPr>
        <w:t xml:space="preserve"> (Item 48 Order) is to set out the detailed methodology and factors for valuing interests covered by Pa</w:t>
      </w:r>
      <w:r w:rsidR="00793C7D">
        <w:rPr>
          <w:szCs w:val="24"/>
        </w:rPr>
        <w:t>rt 2, Schedule 1 of the Amendment</w:t>
      </w:r>
      <w:r>
        <w:rPr>
          <w:szCs w:val="24"/>
        </w:rPr>
        <w:t xml:space="preserve"> Act and </w:t>
      </w:r>
      <w:r w:rsidR="00295D69">
        <w:rPr>
          <w:szCs w:val="24"/>
        </w:rPr>
        <w:t xml:space="preserve">the steps for calculating </w:t>
      </w:r>
      <w:r>
        <w:rPr>
          <w:szCs w:val="24"/>
        </w:rPr>
        <w:t>benefits that are subject to a splitting agreement or order at the commencement time.</w:t>
      </w:r>
      <w:r w:rsidR="00295D69">
        <w:rPr>
          <w:szCs w:val="24"/>
        </w:rPr>
        <w:t xml:space="preserve">  Further detailed information on the Item 48 Order is set out in the </w:t>
      </w:r>
      <w:r w:rsidR="00295D69" w:rsidRPr="00295D69">
        <w:rPr>
          <w:szCs w:val="24"/>
          <w:u w:val="single"/>
        </w:rPr>
        <w:t>Attachment</w:t>
      </w:r>
      <w:r w:rsidR="00295D69">
        <w:rPr>
          <w:szCs w:val="24"/>
        </w:rPr>
        <w:t>.</w:t>
      </w:r>
    </w:p>
    <w:p w:rsidR="008C2085" w:rsidRDefault="00295D69" w:rsidP="00F64999">
      <w:pPr>
        <w:spacing w:before="0" w:after="240"/>
        <w:rPr>
          <w:iCs/>
          <w:szCs w:val="24"/>
        </w:rPr>
      </w:pPr>
      <w:r>
        <w:rPr>
          <w:szCs w:val="24"/>
        </w:rPr>
        <w:t>The Item 48 Order</w:t>
      </w:r>
      <w:r w:rsidR="008C2085" w:rsidRPr="0095275C">
        <w:rPr>
          <w:szCs w:val="24"/>
        </w:rPr>
        <w:t xml:space="preserve"> </w:t>
      </w:r>
      <w:r w:rsidR="00754C19">
        <w:rPr>
          <w:szCs w:val="24"/>
        </w:rPr>
        <w:t>is</w:t>
      </w:r>
      <w:r w:rsidR="008C2085" w:rsidRPr="0095275C">
        <w:rPr>
          <w:szCs w:val="24"/>
        </w:rPr>
        <w:t xml:space="preserve"> a legislative instrument for the purposes of the </w:t>
      </w:r>
      <w:r w:rsidR="008C2085" w:rsidRPr="0095275C">
        <w:rPr>
          <w:i/>
          <w:iCs/>
          <w:szCs w:val="24"/>
        </w:rPr>
        <w:t>Legislative Instruments Act 2003</w:t>
      </w:r>
      <w:r>
        <w:rPr>
          <w:i/>
          <w:iCs/>
          <w:szCs w:val="24"/>
        </w:rPr>
        <w:t xml:space="preserve"> </w:t>
      </w:r>
      <w:r>
        <w:rPr>
          <w:iCs/>
          <w:szCs w:val="24"/>
        </w:rPr>
        <w:t>(LIA)</w:t>
      </w:r>
      <w:r w:rsidR="008C2085" w:rsidRPr="0095275C">
        <w:rPr>
          <w:szCs w:val="24"/>
        </w:rPr>
        <w:t>.</w:t>
      </w:r>
      <w:r w:rsidR="008C2085" w:rsidRPr="00F02C45">
        <w:rPr>
          <w:iCs/>
          <w:szCs w:val="24"/>
        </w:rPr>
        <w:t xml:space="preserve"> </w:t>
      </w:r>
      <w:r>
        <w:rPr>
          <w:iCs/>
          <w:szCs w:val="24"/>
        </w:rPr>
        <w:t xml:space="preserve">Although section 44 of the LIA exempts superannuation instruments from disallowance, the Item 48 Order is subject to possible disallowance </w:t>
      </w:r>
      <w:r w:rsidR="002B1C74">
        <w:rPr>
          <w:iCs/>
          <w:szCs w:val="24"/>
        </w:rPr>
        <w:t xml:space="preserve">under </w:t>
      </w:r>
      <w:r w:rsidR="00793C7D">
        <w:rPr>
          <w:iCs/>
          <w:szCs w:val="24"/>
        </w:rPr>
        <w:t xml:space="preserve">Item 48 of the Amendment </w:t>
      </w:r>
      <w:r>
        <w:rPr>
          <w:iCs/>
          <w:szCs w:val="24"/>
        </w:rPr>
        <w:t>Act.</w:t>
      </w:r>
    </w:p>
    <w:p w:rsidR="00D02DEB" w:rsidRDefault="00D02DEB" w:rsidP="00D02DEB">
      <w:pPr>
        <w:spacing w:before="0" w:after="240"/>
        <w:rPr>
          <w:i/>
        </w:rPr>
      </w:pPr>
      <w:r>
        <w:t xml:space="preserve">Consistent with the Statement of Compatibility with Human Rights prepared for the Amendment Act, the </w:t>
      </w:r>
      <w:r>
        <w:rPr>
          <w:szCs w:val="24"/>
        </w:rPr>
        <w:t>GG Order</w:t>
      </w:r>
      <w:r>
        <w:t xml:space="preserve"> is compatible with the human rights and freedoms recognised or declared in the international instruments listed in section 3 of the </w:t>
      </w:r>
      <w:r>
        <w:rPr>
          <w:i/>
        </w:rPr>
        <w:t>Human Rights (Parliamentary Scrutiny) Act 2011.</w:t>
      </w:r>
    </w:p>
    <w:p w:rsidR="00F10428" w:rsidRDefault="008C2085" w:rsidP="00F64999">
      <w:pPr>
        <w:spacing w:before="0" w:after="240"/>
        <w:rPr>
          <w:iCs/>
          <w:szCs w:val="24"/>
        </w:rPr>
      </w:pPr>
      <w:r>
        <w:rPr>
          <w:iCs/>
          <w:szCs w:val="24"/>
        </w:rPr>
        <w:t xml:space="preserve">The Department of </w:t>
      </w:r>
      <w:r w:rsidR="00003FDC">
        <w:rPr>
          <w:iCs/>
          <w:szCs w:val="24"/>
        </w:rPr>
        <w:t xml:space="preserve">Finance and Deregulation </w:t>
      </w:r>
      <w:r>
        <w:rPr>
          <w:iCs/>
          <w:szCs w:val="24"/>
        </w:rPr>
        <w:t>consulted with the A</w:t>
      </w:r>
      <w:r w:rsidR="00003FDC">
        <w:rPr>
          <w:iCs/>
          <w:szCs w:val="24"/>
        </w:rPr>
        <w:t xml:space="preserve">ttorney-General’s Department </w:t>
      </w:r>
      <w:r w:rsidR="00EA320D">
        <w:rPr>
          <w:iCs/>
          <w:szCs w:val="24"/>
        </w:rPr>
        <w:t>on</w:t>
      </w:r>
      <w:r>
        <w:rPr>
          <w:iCs/>
          <w:szCs w:val="24"/>
        </w:rPr>
        <w:t xml:space="preserve"> the development of the </w:t>
      </w:r>
      <w:r w:rsidR="00793C7D">
        <w:rPr>
          <w:iCs/>
          <w:szCs w:val="24"/>
        </w:rPr>
        <w:t>Amendment</w:t>
      </w:r>
      <w:r w:rsidR="00295D69">
        <w:rPr>
          <w:iCs/>
          <w:szCs w:val="24"/>
        </w:rPr>
        <w:t xml:space="preserve"> </w:t>
      </w:r>
      <w:r>
        <w:rPr>
          <w:iCs/>
          <w:szCs w:val="24"/>
        </w:rPr>
        <w:t>Act and the</w:t>
      </w:r>
      <w:r w:rsidR="00754C19">
        <w:rPr>
          <w:iCs/>
          <w:szCs w:val="24"/>
        </w:rPr>
        <w:t xml:space="preserve"> </w:t>
      </w:r>
      <w:r w:rsidR="00295D69">
        <w:rPr>
          <w:iCs/>
          <w:szCs w:val="24"/>
        </w:rPr>
        <w:t>Item 48 Order</w:t>
      </w:r>
      <w:r>
        <w:rPr>
          <w:iCs/>
          <w:szCs w:val="24"/>
        </w:rPr>
        <w:t>.</w:t>
      </w:r>
    </w:p>
    <w:p w:rsidR="00F10428" w:rsidRDefault="00F10428">
      <w:pPr>
        <w:spacing w:before="0"/>
        <w:rPr>
          <w:iCs/>
          <w:szCs w:val="24"/>
        </w:rPr>
      </w:pPr>
      <w:r>
        <w:rPr>
          <w:iCs/>
          <w:szCs w:val="24"/>
        </w:rPr>
        <w:br w:type="page"/>
      </w:r>
    </w:p>
    <w:p w:rsidR="008C2085" w:rsidRPr="00F10428" w:rsidRDefault="00F10428" w:rsidP="00F10428">
      <w:pPr>
        <w:spacing w:before="0" w:after="240"/>
        <w:jc w:val="right"/>
        <w:rPr>
          <w:b/>
          <w:iCs/>
          <w:szCs w:val="24"/>
        </w:rPr>
      </w:pPr>
      <w:r w:rsidRPr="00F10428">
        <w:rPr>
          <w:b/>
          <w:iCs/>
          <w:szCs w:val="24"/>
        </w:rPr>
        <w:lastRenderedPageBreak/>
        <w:t>ATTACHMENT</w:t>
      </w:r>
    </w:p>
    <w:p w:rsidR="00F10428" w:rsidRDefault="00F10428" w:rsidP="00F10428">
      <w:pPr>
        <w:spacing w:before="0" w:after="240"/>
        <w:rPr>
          <w:iCs/>
          <w:szCs w:val="24"/>
        </w:rPr>
      </w:pPr>
    </w:p>
    <w:p w:rsidR="00F10428" w:rsidRPr="00F10428" w:rsidRDefault="00F10428" w:rsidP="00F10428">
      <w:pPr>
        <w:spacing w:before="0" w:after="240"/>
        <w:rPr>
          <w:b/>
          <w:iCs/>
          <w:szCs w:val="24"/>
        </w:rPr>
      </w:pPr>
      <w:r w:rsidRPr="00F10428">
        <w:rPr>
          <w:b/>
          <w:iCs/>
          <w:szCs w:val="24"/>
        </w:rPr>
        <w:t>DETAILS OF THE ITEM 48 ORDER</w:t>
      </w:r>
    </w:p>
    <w:p w:rsidR="00F10428" w:rsidRPr="00564D80" w:rsidRDefault="00564D80" w:rsidP="00F10428">
      <w:pPr>
        <w:spacing w:before="0" w:after="240"/>
        <w:rPr>
          <w:iCs/>
          <w:szCs w:val="24"/>
          <w:u w:val="single"/>
        </w:rPr>
      </w:pPr>
      <w:r w:rsidRPr="00564D80">
        <w:rPr>
          <w:iCs/>
          <w:szCs w:val="24"/>
          <w:u w:val="single"/>
        </w:rPr>
        <w:t>Section 1 – Name of Order</w:t>
      </w:r>
    </w:p>
    <w:p w:rsidR="00564D80" w:rsidRDefault="00564D80" w:rsidP="00F10428">
      <w:pPr>
        <w:spacing w:before="0" w:after="240"/>
        <w:rPr>
          <w:iCs/>
          <w:szCs w:val="24"/>
        </w:rPr>
      </w:pPr>
      <w:r>
        <w:rPr>
          <w:iCs/>
          <w:szCs w:val="24"/>
        </w:rPr>
        <w:t xml:space="preserve">This section provides that the name of the order is the </w:t>
      </w:r>
      <w:r w:rsidRPr="00C8486E">
        <w:rPr>
          <w:i/>
          <w:iCs/>
          <w:szCs w:val="24"/>
        </w:rPr>
        <w:t>Judges’ Pensions (Item 48</w:t>
      </w:r>
      <w:r w:rsidR="00BB7840">
        <w:rPr>
          <w:i/>
          <w:iCs/>
          <w:szCs w:val="24"/>
        </w:rPr>
        <w:t>)</w:t>
      </w:r>
      <w:r w:rsidRPr="00C8486E">
        <w:rPr>
          <w:i/>
          <w:iCs/>
          <w:szCs w:val="24"/>
        </w:rPr>
        <w:t xml:space="preserve"> Order </w:t>
      </w:r>
      <w:r w:rsidR="00C8486E" w:rsidRPr="00C8486E">
        <w:rPr>
          <w:i/>
          <w:iCs/>
          <w:szCs w:val="24"/>
        </w:rPr>
        <w:t>2013</w:t>
      </w:r>
      <w:r w:rsidR="00C8486E">
        <w:rPr>
          <w:iCs/>
          <w:szCs w:val="24"/>
        </w:rPr>
        <w:t>.</w:t>
      </w:r>
    </w:p>
    <w:p w:rsidR="00C8486E" w:rsidRPr="007A7941" w:rsidRDefault="00C8486E" w:rsidP="00F10428">
      <w:pPr>
        <w:spacing w:before="0" w:after="240"/>
        <w:rPr>
          <w:iCs/>
          <w:szCs w:val="24"/>
          <w:u w:val="single"/>
        </w:rPr>
      </w:pPr>
      <w:r w:rsidRPr="007A7941">
        <w:rPr>
          <w:iCs/>
          <w:szCs w:val="24"/>
          <w:u w:val="single"/>
        </w:rPr>
        <w:t>Section 2 – Commencement</w:t>
      </w:r>
    </w:p>
    <w:p w:rsidR="00C8486E" w:rsidRDefault="00C8486E" w:rsidP="00F10428">
      <w:pPr>
        <w:spacing w:before="0" w:after="240"/>
        <w:rPr>
          <w:iCs/>
          <w:szCs w:val="24"/>
        </w:rPr>
      </w:pPr>
      <w:r>
        <w:rPr>
          <w:iCs/>
          <w:szCs w:val="24"/>
        </w:rPr>
        <w:t xml:space="preserve">The section provides for the </w:t>
      </w:r>
      <w:r w:rsidR="00691F63">
        <w:rPr>
          <w:iCs/>
          <w:szCs w:val="24"/>
        </w:rPr>
        <w:t>o</w:t>
      </w:r>
      <w:r>
        <w:rPr>
          <w:iCs/>
          <w:szCs w:val="24"/>
        </w:rPr>
        <w:t>rder t</w:t>
      </w:r>
      <w:r w:rsidR="007A7941">
        <w:rPr>
          <w:iCs/>
          <w:szCs w:val="24"/>
        </w:rPr>
        <w:t>o commence on 15 March 2013.</w:t>
      </w:r>
    </w:p>
    <w:p w:rsidR="007A7941" w:rsidRPr="007A7941" w:rsidRDefault="007A7941" w:rsidP="00F10428">
      <w:pPr>
        <w:spacing w:before="0" w:after="240"/>
        <w:rPr>
          <w:iCs/>
          <w:szCs w:val="24"/>
          <w:u w:val="single"/>
        </w:rPr>
      </w:pPr>
      <w:r w:rsidRPr="007A7941">
        <w:rPr>
          <w:iCs/>
          <w:szCs w:val="24"/>
          <w:u w:val="single"/>
        </w:rPr>
        <w:t>Section 3 – Authority</w:t>
      </w:r>
    </w:p>
    <w:p w:rsidR="007A7941" w:rsidRDefault="007A7941" w:rsidP="00F10428">
      <w:pPr>
        <w:spacing w:before="0" w:after="240"/>
        <w:rPr>
          <w:iCs/>
          <w:szCs w:val="24"/>
        </w:rPr>
      </w:pPr>
      <w:r>
        <w:rPr>
          <w:iCs/>
          <w:szCs w:val="24"/>
        </w:rPr>
        <w:t xml:space="preserve">This section provides that the authority for the order is the </w:t>
      </w:r>
      <w:r w:rsidR="00691F63">
        <w:rPr>
          <w:i/>
          <w:iCs/>
          <w:szCs w:val="24"/>
        </w:rPr>
        <w:t>Judges and Governors</w:t>
      </w:r>
      <w:r w:rsidR="00691F63">
        <w:rPr>
          <w:i/>
          <w:iCs/>
          <w:szCs w:val="24"/>
        </w:rPr>
        <w:noBreakHyphen/>
      </w:r>
      <w:r w:rsidRPr="00F51A8D">
        <w:rPr>
          <w:i/>
          <w:iCs/>
          <w:szCs w:val="24"/>
        </w:rPr>
        <w:t>General Legislation Amendment (Family Law) Act 2012</w:t>
      </w:r>
      <w:r w:rsidR="001957A7">
        <w:rPr>
          <w:iCs/>
          <w:szCs w:val="24"/>
        </w:rPr>
        <w:t xml:space="preserve"> (Amendment </w:t>
      </w:r>
      <w:r>
        <w:rPr>
          <w:iCs/>
          <w:szCs w:val="24"/>
        </w:rPr>
        <w:t>Act).</w:t>
      </w:r>
    </w:p>
    <w:p w:rsidR="007A7941" w:rsidRPr="007A7941" w:rsidRDefault="007A7941" w:rsidP="00F10428">
      <w:pPr>
        <w:spacing w:before="0" w:after="240"/>
        <w:rPr>
          <w:iCs/>
          <w:szCs w:val="24"/>
          <w:u w:val="single"/>
        </w:rPr>
      </w:pPr>
      <w:r w:rsidRPr="007A7941">
        <w:rPr>
          <w:iCs/>
          <w:szCs w:val="24"/>
          <w:u w:val="single"/>
        </w:rPr>
        <w:t>Section 4 – Definitions</w:t>
      </w:r>
    </w:p>
    <w:p w:rsidR="007A7941" w:rsidRDefault="007A7941" w:rsidP="00F10428">
      <w:pPr>
        <w:spacing w:before="0" w:after="240"/>
        <w:rPr>
          <w:iCs/>
          <w:szCs w:val="24"/>
        </w:rPr>
      </w:pPr>
      <w:r>
        <w:rPr>
          <w:iCs/>
          <w:szCs w:val="24"/>
        </w:rPr>
        <w:t>This section includes definition</w:t>
      </w:r>
      <w:r w:rsidR="005F7DAA">
        <w:rPr>
          <w:iCs/>
          <w:szCs w:val="24"/>
        </w:rPr>
        <w:t>s</w:t>
      </w:r>
      <w:r>
        <w:rPr>
          <w:iCs/>
          <w:szCs w:val="24"/>
        </w:rPr>
        <w:t xml:space="preserve"> specific to the order.  A range of other terms included in the o</w:t>
      </w:r>
      <w:r w:rsidR="00B4153B">
        <w:rPr>
          <w:iCs/>
          <w:szCs w:val="24"/>
        </w:rPr>
        <w:t>rder are defined in the Amendment</w:t>
      </w:r>
      <w:r>
        <w:rPr>
          <w:iCs/>
          <w:szCs w:val="24"/>
        </w:rPr>
        <w:t xml:space="preserve"> Act.</w:t>
      </w:r>
    </w:p>
    <w:p w:rsidR="007A7941" w:rsidRPr="00F51A8D" w:rsidRDefault="007A7941" w:rsidP="00F10428">
      <w:pPr>
        <w:spacing w:before="0" w:after="240"/>
        <w:rPr>
          <w:iCs/>
          <w:szCs w:val="24"/>
          <w:u w:val="single"/>
        </w:rPr>
      </w:pPr>
      <w:r w:rsidRPr="00F51A8D">
        <w:rPr>
          <w:iCs/>
          <w:szCs w:val="24"/>
          <w:u w:val="single"/>
        </w:rPr>
        <w:t xml:space="preserve">Section 5 </w:t>
      </w:r>
      <w:r w:rsidR="00F51A8D" w:rsidRPr="00F51A8D">
        <w:rPr>
          <w:iCs/>
          <w:szCs w:val="24"/>
          <w:u w:val="single"/>
        </w:rPr>
        <w:t>–</w:t>
      </w:r>
      <w:r w:rsidRPr="00F51A8D">
        <w:rPr>
          <w:iCs/>
          <w:szCs w:val="24"/>
          <w:u w:val="single"/>
        </w:rPr>
        <w:t xml:space="preserve"> </w:t>
      </w:r>
      <w:r w:rsidR="00F51A8D" w:rsidRPr="00F51A8D">
        <w:rPr>
          <w:iCs/>
          <w:szCs w:val="24"/>
          <w:u w:val="single"/>
        </w:rPr>
        <w:t>Scheme value</w:t>
      </w:r>
    </w:p>
    <w:p w:rsidR="00F51A8D" w:rsidRDefault="001957A7" w:rsidP="00F10428">
      <w:pPr>
        <w:spacing w:before="0" w:after="240"/>
        <w:rPr>
          <w:iCs/>
          <w:szCs w:val="24"/>
        </w:rPr>
      </w:pPr>
      <w:r>
        <w:rPr>
          <w:iCs/>
          <w:szCs w:val="24"/>
        </w:rPr>
        <w:t>Under the Amendment</w:t>
      </w:r>
      <w:r w:rsidR="00F51A8D">
        <w:rPr>
          <w:iCs/>
          <w:szCs w:val="24"/>
        </w:rPr>
        <w:t xml:space="preserve"> Act, it is necessary to calculate the scheme value, in order to determine </w:t>
      </w:r>
      <w:r w:rsidR="000A443A">
        <w:rPr>
          <w:iCs/>
          <w:szCs w:val="24"/>
        </w:rPr>
        <w:t>t</w:t>
      </w:r>
      <w:r w:rsidR="00F51A8D">
        <w:rPr>
          <w:iCs/>
          <w:szCs w:val="24"/>
        </w:rPr>
        <w:t>he transfer amount.</w:t>
      </w:r>
      <w:r w:rsidR="00F36FF0">
        <w:rPr>
          <w:iCs/>
          <w:szCs w:val="24"/>
        </w:rPr>
        <w:t xml:space="preserve">  The transfer amount is the amount being transferred to the former spouse to create his or her benefit.</w:t>
      </w:r>
    </w:p>
    <w:p w:rsidR="00F51A8D" w:rsidRDefault="00F51A8D" w:rsidP="00F10428">
      <w:pPr>
        <w:spacing w:before="0" w:after="240"/>
        <w:rPr>
          <w:iCs/>
          <w:szCs w:val="24"/>
        </w:rPr>
      </w:pPr>
      <w:r>
        <w:rPr>
          <w:iCs/>
          <w:szCs w:val="24"/>
        </w:rPr>
        <w:t>Calculation of the scheme value is undertaken using the method set out in Schedule 1 of the order.</w:t>
      </w:r>
    </w:p>
    <w:p w:rsidR="00F51A8D" w:rsidRPr="0089064D" w:rsidRDefault="0089064D" w:rsidP="00F10428">
      <w:pPr>
        <w:spacing w:before="0" w:after="240"/>
        <w:rPr>
          <w:iCs/>
          <w:szCs w:val="24"/>
          <w:u w:val="single"/>
        </w:rPr>
      </w:pPr>
      <w:r w:rsidRPr="0089064D">
        <w:rPr>
          <w:iCs/>
          <w:szCs w:val="24"/>
          <w:u w:val="single"/>
        </w:rPr>
        <w:t>Section 6 – Immediate transitional pension for non-member spouse</w:t>
      </w:r>
    </w:p>
    <w:p w:rsidR="0089064D" w:rsidRDefault="0089064D" w:rsidP="00F10428">
      <w:pPr>
        <w:spacing w:before="0" w:after="240"/>
        <w:rPr>
          <w:iCs/>
          <w:szCs w:val="24"/>
        </w:rPr>
      </w:pPr>
      <w:r>
        <w:rPr>
          <w:iCs/>
          <w:szCs w:val="24"/>
        </w:rPr>
        <w:t xml:space="preserve">This section sets out the steps for calculating the pension for the non-member </w:t>
      </w:r>
      <w:r w:rsidR="00F36FF0">
        <w:rPr>
          <w:iCs/>
          <w:szCs w:val="24"/>
        </w:rPr>
        <w:t xml:space="preserve">(that is, the former) </w:t>
      </w:r>
      <w:r>
        <w:rPr>
          <w:iCs/>
          <w:szCs w:val="24"/>
        </w:rPr>
        <w:t>spouse, called an ‘immediate transitional pension’.</w:t>
      </w:r>
    </w:p>
    <w:p w:rsidR="0089064D" w:rsidRDefault="0089064D" w:rsidP="00F10428">
      <w:pPr>
        <w:spacing w:before="0" w:after="240"/>
        <w:rPr>
          <w:iCs/>
          <w:szCs w:val="24"/>
        </w:rPr>
      </w:pPr>
      <w:r>
        <w:rPr>
          <w:iCs/>
          <w:szCs w:val="24"/>
        </w:rPr>
        <w:t>The first step is to identify the transfer amount, upon which the pension will be based.  The transfer amount is calculated</w:t>
      </w:r>
      <w:r w:rsidR="001957A7">
        <w:rPr>
          <w:iCs/>
          <w:szCs w:val="24"/>
        </w:rPr>
        <w:t xml:space="preserve"> in accordance with the Amendment</w:t>
      </w:r>
      <w:r>
        <w:rPr>
          <w:iCs/>
          <w:szCs w:val="24"/>
        </w:rPr>
        <w:t xml:space="preserve"> Act by reference to the splitting percentage.  The splitting percentage is the </w:t>
      </w:r>
      <w:r w:rsidR="009F4539">
        <w:rPr>
          <w:iCs/>
          <w:szCs w:val="24"/>
        </w:rPr>
        <w:t xml:space="preserve">same </w:t>
      </w:r>
      <w:r>
        <w:rPr>
          <w:iCs/>
          <w:szCs w:val="24"/>
        </w:rPr>
        <w:t xml:space="preserve">percentage </w:t>
      </w:r>
      <w:r w:rsidR="009F4539">
        <w:rPr>
          <w:iCs/>
          <w:szCs w:val="24"/>
        </w:rPr>
        <w:t xml:space="preserve">that was </w:t>
      </w:r>
      <w:r>
        <w:rPr>
          <w:iCs/>
          <w:szCs w:val="24"/>
        </w:rPr>
        <w:t xml:space="preserve">used to </w:t>
      </w:r>
      <w:r w:rsidR="009F4539">
        <w:rPr>
          <w:iCs/>
          <w:szCs w:val="24"/>
        </w:rPr>
        <w:t>calculate</w:t>
      </w:r>
      <w:r w:rsidR="00940826">
        <w:rPr>
          <w:iCs/>
          <w:szCs w:val="24"/>
        </w:rPr>
        <w:t xml:space="preserve"> the split of</w:t>
      </w:r>
      <w:r>
        <w:rPr>
          <w:iCs/>
          <w:szCs w:val="24"/>
        </w:rPr>
        <w:t xml:space="preserve"> the last splittable payment before the commencement time.</w:t>
      </w:r>
      <w:r w:rsidR="00BA3AE6">
        <w:rPr>
          <w:iCs/>
          <w:szCs w:val="24"/>
        </w:rPr>
        <w:t xml:space="preserve">  That is, </w:t>
      </w:r>
      <w:r w:rsidR="0027721A">
        <w:rPr>
          <w:iCs/>
          <w:szCs w:val="24"/>
        </w:rPr>
        <w:t xml:space="preserve">the percentage </w:t>
      </w:r>
      <w:r w:rsidR="00BA3AE6">
        <w:rPr>
          <w:iCs/>
          <w:szCs w:val="24"/>
        </w:rPr>
        <w:t>by which the benefit is split does not change under these new arrangements.</w:t>
      </w:r>
    </w:p>
    <w:p w:rsidR="0089064D" w:rsidRDefault="00940826" w:rsidP="00F10428">
      <w:pPr>
        <w:spacing w:before="0" w:after="240"/>
        <w:rPr>
          <w:iCs/>
          <w:szCs w:val="24"/>
        </w:rPr>
      </w:pPr>
      <w:r>
        <w:rPr>
          <w:iCs/>
          <w:szCs w:val="24"/>
        </w:rPr>
        <w:t>The steps</w:t>
      </w:r>
      <w:r w:rsidR="0089064D">
        <w:rPr>
          <w:iCs/>
          <w:szCs w:val="24"/>
        </w:rPr>
        <w:t xml:space="preserve"> calculate the annual rate of the</w:t>
      </w:r>
      <w:r>
        <w:rPr>
          <w:iCs/>
          <w:szCs w:val="24"/>
        </w:rPr>
        <w:t xml:space="preserve"> non-member spouse’s</w:t>
      </w:r>
      <w:r w:rsidR="0089064D">
        <w:rPr>
          <w:iCs/>
          <w:szCs w:val="24"/>
        </w:rPr>
        <w:t xml:space="preserve"> pension by dividing the transfer amount by a factor that represents the non</w:t>
      </w:r>
      <w:r w:rsidR="00B317AA">
        <w:rPr>
          <w:iCs/>
          <w:szCs w:val="24"/>
        </w:rPr>
        <w:t>-member spouse’s age and gender in years and months</w:t>
      </w:r>
      <w:r w:rsidR="003A6B7B">
        <w:rPr>
          <w:iCs/>
          <w:szCs w:val="24"/>
        </w:rPr>
        <w:t xml:space="preserve"> (</w:t>
      </w:r>
      <w:r w:rsidR="00B317AA">
        <w:rPr>
          <w:iCs/>
          <w:szCs w:val="24"/>
        </w:rPr>
        <w:t>and thus reflects his or her life expectancy</w:t>
      </w:r>
      <w:r w:rsidR="003A6B7B">
        <w:rPr>
          <w:iCs/>
          <w:szCs w:val="24"/>
        </w:rPr>
        <w:t>)</w:t>
      </w:r>
      <w:r w:rsidR="00B317AA">
        <w:rPr>
          <w:iCs/>
          <w:szCs w:val="24"/>
        </w:rPr>
        <w:t xml:space="preserve"> </w:t>
      </w:r>
      <w:r w:rsidR="0089064D">
        <w:rPr>
          <w:iCs/>
          <w:szCs w:val="24"/>
        </w:rPr>
        <w:t>at the commencement time.</w:t>
      </w:r>
    </w:p>
    <w:p w:rsidR="00130642" w:rsidRDefault="00130642" w:rsidP="00F10428">
      <w:pPr>
        <w:spacing w:before="0" w:after="240"/>
        <w:rPr>
          <w:iCs/>
          <w:szCs w:val="24"/>
        </w:rPr>
      </w:pPr>
    </w:p>
    <w:p w:rsidR="0089064D" w:rsidRDefault="0089064D" w:rsidP="00F10428">
      <w:pPr>
        <w:spacing w:before="0" w:after="240"/>
        <w:rPr>
          <w:iCs/>
          <w:szCs w:val="24"/>
        </w:rPr>
      </w:pPr>
      <w:r>
        <w:rPr>
          <w:iCs/>
          <w:szCs w:val="24"/>
        </w:rPr>
        <w:lastRenderedPageBreak/>
        <w:t xml:space="preserve">The annual amount is turned into a percentage of </w:t>
      </w:r>
      <w:r w:rsidR="00130642">
        <w:rPr>
          <w:iCs/>
          <w:szCs w:val="24"/>
        </w:rPr>
        <w:t>the</w:t>
      </w:r>
      <w:r>
        <w:rPr>
          <w:iCs/>
          <w:szCs w:val="24"/>
        </w:rPr>
        <w:t xml:space="preserve"> Federal Court</w:t>
      </w:r>
      <w:r w:rsidR="00CC61CA">
        <w:rPr>
          <w:iCs/>
          <w:szCs w:val="24"/>
        </w:rPr>
        <w:t xml:space="preserve"> Judge</w:t>
      </w:r>
      <w:r w:rsidR="00130642">
        <w:rPr>
          <w:iCs/>
          <w:szCs w:val="24"/>
        </w:rPr>
        <w:t>’s salary at the commencement time.  The pension is indexed by applying the percentage to the Federal Court Judge’s salary</w:t>
      </w:r>
      <w:r w:rsidR="00CC61CA">
        <w:rPr>
          <w:iCs/>
          <w:szCs w:val="24"/>
        </w:rPr>
        <w:t>.  Step 5 provides for this calculation at all times after the commencement time.</w:t>
      </w:r>
    </w:p>
    <w:p w:rsidR="00CC61CA" w:rsidRPr="00CC61CA" w:rsidRDefault="00CC61CA" w:rsidP="00940826">
      <w:pPr>
        <w:keepNext/>
        <w:spacing w:before="0" w:after="240"/>
        <w:rPr>
          <w:iCs/>
          <w:szCs w:val="24"/>
          <w:u w:val="single"/>
        </w:rPr>
      </w:pPr>
      <w:r w:rsidRPr="00CC61CA">
        <w:rPr>
          <w:iCs/>
          <w:szCs w:val="24"/>
          <w:u w:val="single"/>
        </w:rPr>
        <w:t>Section 7 – Reduction of retirement pension</w:t>
      </w:r>
    </w:p>
    <w:p w:rsidR="00096284" w:rsidRDefault="00CC61CA" w:rsidP="00940826">
      <w:pPr>
        <w:keepNext/>
        <w:spacing w:before="0" w:after="240"/>
        <w:rPr>
          <w:iCs/>
          <w:szCs w:val="24"/>
        </w:rPr>
      </w:pPr>
      <w:r>
        <w:rPr>
          <w:iCs/>
          <w:szCs w:val="24"/>
        </w:rPr>
        <w:t xml:space="preserve">This section sets out the steps for calculating the </w:t>
      </w:r>
      <w:r w:rsidR="009F4539">
        <w:rPr>
          <w:iCs/>
          <w:szCs w:val="24"/>
        </w:rPr>
        <w:t>reduced jud</w:t>
      </w:r>
      <w:r w:rsidR="000A443A">
        <w:rPr>
          <w:iCs/>
          <w:szCs w:val="24"/>
        </w:rPr>
        <w:t>icial</w:t>
      </w:r>
      <w:r w:rsidR="009F4539">
        <w:rPr>
          <w:iCs/>
          <w:szCs w:val="24"/>
        </w:rPr>
        <w:t xml:space="preserve"> </w:t>
      </w:r>
      <w:r>
        <w:rPr>
          <w:iCs/>
          <w:szCs w:val="24"/>
        </w:rPr>
        <w:t>retirement pension</w:t>
      </w:r>
      <w:r w:rsidR="009F4539">
        <w:rPr>
          <w:iCs/>
          <w:szCs w:val="24"/>
        </w:rPr>
        <w:t xml:space="preserve">.  The reduction to the </w:t>
      </w:r>
      <w:r w:rsidR="000A443A">
        <w:rPr>
          <w:iCs/>
          <w:szCs w:val="24"/>
        </w:rPr>
        <w:t xml:space="preserve">retirement </w:t>
      </w:r>
      <w:r w:rsidR="009F4539">
        <w:rPr>
          <w:iCs/>
          <w:szCs w:val="24"/>
        </w:rPr>
        <w:t xml:space="preserve">pension is directly related to the transfer amount and to the splitting percentage in place before the commencement time.  </w:t>
      </w:r>
    </w:p>
    <w:p w:rsidR="00CC61CA" w:rsidRDefault="009F4539" w:rsidP="00940826">
      <w:pPr>
        <w:keepNext/>
        <w:spacing w:before="0" w:after="240"/>
        <w:rPr>
          <w:iCs/>
          <w:szCs w:val="24"/>
        </w:rPr>
      </w:pPr>
      <w:r>
        <w:rPr>
          <w:iCs/>
          <w:szCs w:val="24"/>
        </w:rPr>
        <w:t xml:space="preserve">Accordingly, the </w:t>
      </w:r>
      <w:r w:rsidR="00096284">
        <w:rPr>
          <w:iCs/>
          <w:szCs w:val="24"/>
        </w:rPr>
        <w:t xml:space="preserve">outcome is that the </w:t>
      </w:r>
      <w:r w:rsidR="000A443A">
        <w:rPr>
          <w:iCs/>
          <w:szCs w:val="24"/>
        </w:rPr>
        <w:t xml:space="preserve">same percentage reduction to the pension will apply under this calculation </w:t>
      </w:r>
      <w:r>
        <w:rPr>
          <w:iCs/>
          <w:szCs w:val="24"/>
        </w:rPr>
        <w:t xml:space="preserve">as </w:t>
      </w:r>
      <w:r w:rsidR="000A443A">
        <w:rPr>
          <w:iCs/>
          <w:szCs w:val="24"/>
        </w:rPr>
        <w:t xml:space="preserve">was </w:t>
      </w:r>
      <w:r w:rsidR="00940826">
        <w:rPr>
          <w:iCs/>
          <w:szCs w:val="24"/>
        </w:rPr>
        <w:t xml:space="preserve">applied </w:t>
      </w:r>
      <w:r>
        <w:rPr>
          <w:iCs/>
          <w:szCs w:val="24"/>
        </w:rPr>
        <w:t>under the splittable payments before the commencement time.</w:t>
      </w:r>
      <w:r w:rsidR="00BA3AE6">
        <w:rPr>
          <w:iCs/>
          <w:szCs w:val="24"/>
        </w:rPr>
        <w:t xml:space="preserve">  That is, the percentage reduction </w:t>
      </w:r>
      <w:r w:rsidR="0027721A">
        <w:rPr>
          <w:iCs/>
          <w:szCs w:val="24"/>
        </w:rPr>
        <w:t xml:space="preserve">to the judicial retirement pension </w:t>
      </w:r>
      <w:r w:rsidR="00BA3AE6">
        <w:rPr>
          <w:iCs/>
          <w:szCs w:val="24"/>
        </w:rPr>
        <w:t>will not change under these new arrangements.</w:t>
      </w:r>
    </w:p>
    <w:p w:rsidR="009F4539" w:rsidRDefault="009F4539" w:rsidP="00F10428">
      <w:pPr>
        <w:spacing w:before="0" w:after="240"/>
        <w:rPr>
          <w:iCs/>
          <w:szCs w:val="24"/>
        </w:rPr>
      </w:pPr>
      <w:r>
        <w:rPr>
          <w:iCs/>
          <w:szCs w:val="24"/>
        </w:rPr>
        <w:t>The first steps calculate a lump sum value of the pension by multiplying the annual pension amount at the commencement time, by a factor that represents the judge’s age and gender in years and months</w:t>
      </w:r>
      <w:r w:rsidR="003A6B7B">
        <w:rPr>
          <w:iCs/>
          <w:szCs w:val="24"/>
        </w:rPr>
        <w:t xml:space="preserve"> (</w:t>
      </w:r>
      <w:r w:rsidR="00B317AA">
        <w:rPr>
          <w:iCs/>
          <w:szCs w:val="24"/>
        </w:rPr>
        <w:t>and thus his or her life expectancy</w:t>
      </w:r>
      <w:r w:rsidR="003A6B7B">
        <w:rPr>
          <w:iCs/>
          <w:szCs w:val="24"/>
        </w:rPr>
        <w:t>)</w:t>
      </w:r>
      <w:r w:rsidR="00B317AA">
        <w:rPr>
          <w:iCs/>
          <w:szCs w:val="24"/>
        </w:rPr>
        <w:t xml:space="preserve"> at the commencement time</w:t>
      </w:r>
      <w:r>
        <w:rPr>
          <w:iCs/>
          <w:szCs w:val="24"/>
        </w:rPr>
        <w:t>.</w:t>
      </w:r>
    </w:p>
    <w:p w:rsidR="009F4539" w:rsidRDefault="009F4539" w:rsidP="00F10428">
      <w:pPr>
        <w:spacing w:before="0" w:after="240"/>
        <w:rPr>
          <w:iCs/>
          <w:szCs w:val="24"/>
        </w:rPr>
      </w:pPr>
      <w:r>
        <w:rPr>
          <w:iCs/>
          <w:szCs w:val="24"/>
        </w:rPr>
        <w:t>The transfer amount is subtracted from this amount before it is converted back to an annual pension amount by the same age and gender factor</w:t>
      </w:r>
      <w:r w:rsidR="00096284">
        <w:rPr>
          <w:iCs/>
          <w:szCs w:val="24"/>
        </w:rPr>
        <w:t xml:space="preserve"> relevant to the</w:t>
      </w:r>
      <w:r w:rsidR="00940826">
        <w:rPr>
          <w:iCs/>
          <w:szCs w:val="24"/>
        </w:rPr>
        <w:t xml:space="preserve"> </w:t>
      </w:r>
      <w:r w:rsidR="00691F63">
        <w:rPr>
          <w:iCs/>
          <w:szCs w:val="24"/>
        </w:rPr>
        <w:t>ju</w:t>
      </w:r>
      <w:r w:rsidR="00940826">
        <w:rPr>
          <w:iCs/>
          <w:szCs w:val="24"/>
        </w:rPr>
        <w:t>dge</w:t>
      </w:r>
      <w:r>
        <w:rPr>
          <w:iCs/>
          <w:szCs w:val="24"/>
        </w:rPr>
        <w:t>.</w:t>
      </w:r>
    </w:p>
    <w:p w:rsidR="009F4539" w:rsidRDefault="00130642" w:rsidP="00F10428">
      <w:pPr>
        <w:spacing w:before="0" w:after="240"/>
        <w:rPr>
          <w:iCs/>
          <w:szCs w:val="24"/>
        </w:rPr>
      </w:pPr>
      <w:r>
        <w:rPr>
          <w:iCs/>
          <w:szCs w:val="24"/>
        </w:rPr>
        <w:t>Similar</w:t>
      </w:r>
      <w:r w:rsidR="009F4539">
        <w:rPr>
          <w:iCs/>
          <w:szCs w:val="24"/>
        </w:rPr>
        <w:t xml:space="preserve"> the immediate transitional pension, the annual</w:t>
      </w:r>
      <w:r w:rsidR="00940826">
        <w:rPr>
          <w:iCs/>
          <w:szCs w:val="24"/>
        </w:rPr>
        <w:t xml:space="preserve"> retirement</w:t>
      </w:r>
      <w:r w:rsidR="009F4539">
        <w:rPr>
          <w:iCs/>
          <w:szCs w:val="24"/>
        </w:rPr>
        <w:t xml:space="preserve"> pension amount is turned into a percentage o</w:t>
      </w:r>
      <w:r>
        <w:rPr>
          <w:iCs/>
          <w:szCs w:val="24"/>
        </w:rPr>
        <w:t>f the applicable judicial salary (that is, the salary applicable to the judge) at the commencement time.  The pension is indexed by applying the percentage to the applicable judicial salary</w:t>
      </w:r>
      <w:r w:rsidR="00940826">
        <w:rPr>
          <w:iCs/>
          <w:szCs w:val="24"/>
        </w:rPr>
        <w:t xml:space="preserve">. </w:t>
      </w:r>
      <w:r w:rsidR="009F4539">
        <w:rPr>
          <w:iCs/>
          <w:szCs w:val="24"/>
        </w:rPr>
        <w:t xml:space="preserve"> Step </w:t>
      </w:r>
      <w:r w:rsidR="00940826">
        <w:rPr>
          <w:iCs/>
          <w:szCs w:val="24"/>
        </w:rPr>
        <w:t>7</w:t>
      </w:r>
      <w:r w:rsidR="009F4539">
        <w:rPr>
          <w:iCs/>
          <w:szCs w:val="24"/>
        </w:rPr>
        <w:t xml:space="preserve"> provides for this calculation at all times after the commencement time.</w:t>
      </w:r>
    </w:p>
    <w:p w:rsidR="00940826" w:rsidRPr="00940826" w:rsidRDefault="00940826" w:rsidP="00F10428">
      <w:pPr>
        <w:spacing w:before="0" w:after="240"/>
        <w:rPr>
          <w:b/>
          <w:iCs/>
          <w:szCs w:val="24"/>
        </w:rPr>
      </w:pPr>
      <w:r w:rsidRPr="00940826">
        <w:rPr>
          <w:b/>
          <w:iCs/>
          <w:szCs w:val="24"/>
        </w:rPr>
        <w:t>Schedule 1 – Methods and factors</w:t>
      </w:r>
    </w:p>
    <w:p w:rsidR="00F9449C" w:rsidRDefault="00F9449C" w:rsidP="00F10428">
      <w:pPr>
        <w:spacing w:before="0" w:after="240"/>
        <w:rPr>
          <w:iCs/>
          <w:szCs w:val="24"/>
        </w:rPr>
      </w:pPr>
      <w:r>
        <w:rPr>
          <w:iCs/>
          <w:szCs w:val="24"/>
        </w:rPr>
        <w:t>Schedule 1 sets out the method for calculating the scheme value</w:t>
      </w:r>
      <w:r w:rsidR="00B317AA">
        <w:rPr>
          <w:iCs/>
          <w:szCs w:val="24"/>
        </w:rPr>
        <w:t xml:space="preserve"> of the </w:t>
      </w:r>
      <w:r w:rsidR="00691F63">
        <w:rPr>
          <w:iCs/>
          <w:szCs w:val="24"/>
        </w:rPr>
        <w:t>j</w:t>
      </w:r>
      <w:r w:rsidR="00B317AA">
        <w:rPr>
          <w:iCs/>
          <w:szCs w:val="24"/>
        </w:rPr>
        <w:t>udge’s pension interest</w:t>
      </w:r>
      <w:r>
        <w:rPr>
          <w:iCs/>
          <w:szCs w:val="24"/>
        </w:rPr>
        <w:t xml:space="preserve"> as a lump sum amount.</w:t>
      </w:r>
    </w:p>
    <w:p w:rsidR="00F9449C" w:rsidRDefault="00F9449C" w:rsidP="00F10428">
      <w:pPr>
        <w:spacing w:before="0" w:after="240"/>
        <w:rPr>
          <w:iCs/>
          <w:szCs w:val="24"/>
        </w:rPr>
      </w:pPr>
      <w:r>
        <w:rPr>
          <w:iCs/>
          <w:szCs w:val="24"/>
        </w:rPr>
        <w:t>As the pension is in payment at the commencement time, the scheme value</w:t>
      </w:r>
      <w:r w:rsidR="00B317AA">
        <w:rPr>
          <w:iCs/>
          <w:szCs w:val="24"/>
        </w:rPr>
        <w:t xml:space="preserve"> is</w:t>
      </w:r>
      <w:r>
        <w:rPr>
          <w:iCs/>
          <w:szCs w:val="24"/>
        </w:rPr>
        <w:t xml:space="preserve"> calculated by multiplying the annual rate of the pension payable to the member spouse (</w:t>
      </w:r>
      <w:r w:rsidR="00664B09">
        <w:rPr>
          <w:iCs/>
          <w:szCs w:val="24"/>
        </w:rPr>
        <w:t>that is,</w:t>
      </w:r>
      <w:r>
        <w:rPr>
          <w:iCs/>
          <w:szCs w:val="24"/>
        </w:rPr>
        <w:t xml:space="preserve"> the retired judge) at the commencement time by a factor that represents the </w:t>
      </w:r>
      <w:r w:rsidR="00691F63">
        <w:rPr>
          <w:iCs/>
          <w:szCs w:val="24"/>
        </w:rPr>
        <w:t>j</w:t>
      </w:r>
      <w:r>
        <w:rPr>
          <w:iCs/>
          <w:szCs w:val="24"/>
        </w:rPr>
        <w:t xml:space="preserve">udge’s age and </w:t>
      </w:r>
      <w:r w:rsidR="003A6B7B">
        <w:rPr>
          <w:iCs/>
          <w:szCs w:val="24"/>
        </w:rPr>
        <w:t>gender (</w:t>
      </w:r>
      <w:r w:rsidR="00B317AA">
        <w:rPr>
          <w:iCs/>
          <w:szCs w:val="24"/>
        </w:rPr>
        <w:t>and thus reflects his or her life expectancy</w:t>
      </w:r>
      <w:r w:rsidR="003A6B7B">
        <w:rPr>
          <w:iCs/>
          <w:szCs w:val="24"/>
        </w:rPr>
        <w:t>)</w:t>
      </w:r>
      <w:r w:rsidR="00B317AA">
        <w:rPr>
          <w:iCs/>
          <w:szCs w:val="24"/>
        </w:rPr>
        <w:t xml:space="preserve"> at the commencement time.</w:t>
      </w:r>
    </w:p>
    <w:p w:rsidR="00F9449C" w:rsidRDefault="00F9449C" w:rsidP="00F10428">
      <w:pPr>
        <w:spacing w:before="0" w:after="240"/>
        <w:rPr>
          <w:iCs/>
          <w:szCs w:val="24"/>
        </w:rPr>
      </w:pPr>
    </w:p>
    <w:p w:rsidR="007A7941" w:rsidRDefault="007A7941" w:rsidP="00F10428">
      <w:pPr>
        <w:spacing w:before="0" w:after="240"/>
        <w:rPr>
          <w:iCs/>
          <w:szCs w:val="24"/>
        </w:rPr>
      </w:pPr>
    </w:p>
    <w:p w:rsidR="00C8486E" w:rsidRDefault="00C8486E" w:rsidP="00F10428">
      <w:pPr>
        <w:spacing w:before="0" w:after="240"/>
        <w:rPr>
          <w:iCs/>
          <w:szCs w:val="24"/>
        </w:rPr>
      </w:pPr>
    </w:p>
    <w:p w:rsidR="00F10428" w:rsidRDefault="00F10428" w:rsidP="00F10428">
      <w:pPr>
        <w:spacing w:before="0" w:after="240"/>
        <w:rPr>
          <w:iCs/>
          <w:szCs w:val="24"/>
        </w:rPr>
      </w:pPr>
    </w:p>
    <w:p w:rsidR="00754C19" w:rsidRDefault="00754C19" w:rsidP="00F64999">
      <w:pPr>
        <w:spacing w:before="0" w:after="240"/>
        <w:rPr>
          <w:iCs/>
          <w:szCs w:val="24"/>
        </w:rPr>
      </w:pPr>
    </w:p>
    <w:sectPr w:rsidR="00754C19" w:rsidSect="00630DDF">
      <w:headerReference w:type="even" r:id="rId9"/>
      <w:headerReference w:type="default" r:id="rId10"/>
      <w:footerReference w:type="first" r:id="rId11"/>
      <w:pgSz w:w="11907" w:h="16840" w:code="9"/>
      <w:pgMar w:top="1134" w:right="1797" w:bottom="1134"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A19" w:rsidRDefault="00923A19">
      <w:r>
        <w:separator/>
      </w:r>
    </w:p>
  </w:endnote>
  <w:endnote w:type="continuationSeparator" w:id="0">
    <w:p w:rsidR="00923A19" w:rsidRDefault="0092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9E5" w:rsidRDefault="00E859E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A19" w:rsidRDefault="00923A19">
      <w:r>
        <w:separator/>
      </w:r>
    </w:p>
  </w:footnote>
  <w:footnote w:type="continuationSeparator" w:id="0">
    <w:p w:rsidR="00923A19" w:rsidRDefault="00923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9E5" w:rsidRDefault="006445B6" w:rsidP="001B0F26">
    <w:pPr>
      <w:pStyle w:val="Header"/>
      <w:framePr w:wrap="around" w:vAnchor="text" w:hAnchor="margin" w:xAlign="center" w:y="1"/>
      <w:rPr>
        <w:rStyle w:val="PageNumber"/>
      </w:rPr>
    </w:pPr>
    <w:r>
      <w:rPr>
        <w:rStyle w:val="PageNumber"/>
      </w:rPr>
      <w:fldChar w:fldCharType="begin"/>
    </w:r>
    <w:r w:rsidR="00E859E5">
      <w:rPr>
        <w:rStyle w:val="PageNumber"/>
      </w:rPr>
      <w:instrText xml:space="preserve">PAGE  </w:instrText>
    </w:r>
    <w:r>
      <w:rPr>
        <w:rStyle w:val="PageNumber"/>
      </w:rPr>
      <w:fldChar w:fldCharType="end"/>
    </w:r>
  </w:p>
  <w:p w:rsidR="00E859E5" w:rsidRDefault="00E859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9E5" w:rsidRDefault="006445B6" w:rsidP="005B3103">
    <w:pPr>
      <w:pStyle w:val="Header"/>
      <w:framePr w:wrap="around" w:vAnchor="text" w:hAnchor="page" w:x="5941" w:y="-254"/>
      <w:spacing w:before="0"/>
      <w:rPr>
        <w:rStyle w:val="PageNumber"/>
      </w:rPr>
    </w:pPr>
    <w:r>
      <w:rPr>
        <w:rStyle w:val="PageNumber"/>
      </w:rPr>
      <w:fldChar w:fldCharType="begin"/>
    </w:r>
    <w:r w:rsidR="00E859E5">
      <w:rPr>
        <w:rStyle w:val="PageNumber"/>
      </w:rPr>
      <w:instrText xml:space="preserve">PAGE  </w:instrText>
    </w:r>
    <w:r>
      <w:rPr>
        <w:rStyle w:val="PageNumber"/>
      </w:rPr>
      <w:fldChar w:fldCharType="separate"/>
    </w:r>
    <w:r w:rsidR="00813253">
      <w:rPr>
        <w:rStyle w:val="PageNumber"/>
        <w:noProof/>
      </w:rPr>
      <w:t>3</w:t>
    </w:r>
    <w:r>
      <w:rPr>
        <w:rStyle w:val="PageNumber"/>
      </w:rPr>
      <w:fldChar w:fldCharType="end"/>
    </w:r>
  </w:p>
  <w:p w:rsidR="00E859E5" w:rsidRDefault="00E859E5" w:rsidP="008B5B9B">
    <w:pPr>
      <w:pStyle w:val="Header"/>
      <w:spacing w:before="120" w:after="1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7CB3"/>
    <w:multiLevelType w:val="hybridMultilevel"/>
    <w:tmpl w:val="7C0E8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0E7ECE"/>
    <w:multiLevelType w:val="hybridMultilevel"/>
    <w:tmpl w:val="F252E7CE"/>
    <w:lvl w:ilvl="0" w:tplc="4BA08CA4">
      <w:start w:val="3"/>
      <w:numFmt w:val="lowerRoman"/>
      <w:lvlText w:val="(%1)"/>
      <w:lvlJc w:val="left"/>
      <w:pPr>
        <w:tabs>
          <w:tab w:val="num" w:pos="1931"/>
        </w:tabs>
        <w:ind w:left="1931" w:hanging="72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
    <w:nsid w:val="268202CF"/>
    <w:multiLevelType w:val="hybridMultilevel"/>
    <w:tmpl w:val="EEB425EC"/>
    <w:lvl w:ilvl="0" w:tplc="5052F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E9678DD"/>
    <w:multiLevelType w:val="hybridMultilevel"/>
    <w:tmpl w:val="D90420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19A1C76"/>
    <w:multiLevelType w:val="hybridMultilevel"/>
    <w:tmpl w:val="388CC3A6"/>
    <w:lvl w:ilvl="0" w:tplc="F9C20F68">
      <w:start w:val="1"/>
      <w:numFmt w:val="bullet"/>
      <w:lvlText w:val="-"/>
      <w:lvlJc w:val="left"/>
      <w:pPr>
        <w:tabs>
          <w:tab w:val="num" w:pos="360"/>
        </w:tabs>
        <w:ind w:left="360"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6">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7">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8">
    <w:nsid w:val="4E44393E"/>
    <w:multiLevelType w:val="hybridMultilevel"/>
    <w:tmpl w:val="79F2AAE0"/>
    <w:lvl w:ilvl="0" w:tplc="1368F598">
      <w:start w:val="1"/>
      <w:numFmt w:val="lowerRoman"/>
      <w:lvlText w:val="(%1)"/>
      <w:lvlJc w:val="left"/>
      <w:pPr>
        <w:tabs>
          <w:tab w:val="num" w:pos="1636"/>
        </w:tabs>
        <w:ind w:left="1636" w:hanging="42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nsid w:val="61461599"/>
    <w:multiLevelType w:val="hybridMultilevel"/>
    <w:tmpl w:val="A588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99F5965"/>
    <w:multiLevelType w:val="hybridMultilevel"/>
    <w:tmpl w:val="6D722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2">
    <w:nsid w:val="746E7733"/>
    <w:multiLevelType w:val="hybridMultilevel"/>
    <w:tmpl w:val="B0F07FE2"/>
    <w:lvl w:ilvl="0" w:tplc="1368F598">
      <w:start w:val="1"/>
      <w:numFmt w:val="lowerRoman"/>
      <w:lvlText w:val="(%1)"/>
      <w:lvlJc w:val="left"/>
      <w:pPr>
        <w:tabs>
          <w:tab w:val="num" w:pos="1276"/>
        </w:tabs>
        <w:ind w:left="1276" w:hanging="425"/>
      </w:pPr>
      <w:rPr>
        <w:rFonts w:hint="default"/>
      </w:rPr>
    </w:lvl>
    <w:lvl w:ilvl="1" w:tplc="0C090019" w:tentative="1">
      <w:start w:val="1"/>
      <w:numFmt w:val="lowerLetter"/>
      <w:lvlText w:val="%2."/>
      <w:lvlJc w:val="left"/>
      <w:pPr>
        <w:tabs>
          <w:tab w:val="num" w:pos="900"/>
        </w:tabs>
        <w:ind w:left="900" w:hanging="360"/>
      </w:pPr>
    </w:lvl>
    <w:lvl w:ilvl="2" w:tplc="0C09001B" w:tentative="1">
      <w:start w:val="1"/>
      <w:numFmt w:val="lowerRoman"/>
      <w:lvlText w:val="%3."/>
      <w:lvlJc w:val="right"/>
      <w:pPr>
        <w:tabs>
          <w:tab w:val="num" w:pos="1620"/>
        </w:tabs>
        <w:ind w:left="1620" w:hanging="180"/>
      </w:pPr>
    </w:lvl>
    <w:lvl w:ilvl="3" w:tplc="0C09000F" w:tentative="1">
      <w:start w:val="1"/>
      <w:numFmt w:val="decimal"/>
      <w:lvlText w:val="%4."/>
      <w:lvlJc w:val="left"/>
      <w:pPr>
        <w:tabs>
          <w:tab w:val="num" w:pos="2340"/>
        </w:tabs>
        <w:ind w:left="2340" w:hanging="360"/>
      </w:pPr>
    </w:lvl>
    <w:lvl w:ilvl="4" w:tplc="0C090019" w:tentative="1">
      <w:start w:val="1"/>
      <w:numFmt w:val="lowerLetter"/>
      <w:lvlText w:val="%5."/>
      <w:lvlJc w:val="left"/>
      <w:pPr>
        <w:tabs>
          <w:tab w:val="num" w:pos="3060"/>
        </w:tabs>
        <w:ind w:left="3060" w:hanging="360"/>
      </w:pPr>
    </w:lvl>
    <w:lvl w:ilvl="5" w:tplc="0C09001B" w:tentative="1">
      <w:start w:val="1"/>
      <w:numFmt w:val="lowerRoman"/>
      <w:lvlText w:val="%6."/>
      <w:lvlJc w:val="right"/>
      <w:pPr>
        <w:tabs>
          <w:tab w:val="num" w:pos="3780"/>
        </w:tabs>
        <w:ind w:left="3780" w:hanging="180"/>
      </w:pPr>
    </w:lvl>
    <w:lvl w:ilvl="6" w:tplc="0C09000F" w:tentative="1">
      <w:start w:val="1"/>
      <w:numFmt w:val="decimal"/>
      <w:lvlText w:val="%7."/>
      <w:lvlJc w:val="left"/>
      <w:pPr>
        <w:tabs>
          <w:tab w:val="num" w:pos="4500"/>
        </w:tabs>
        <w:ind w:left="4500" w:hanging="360"/>
      </w:pPr>
    </w:lvl>
    <w:lvl w:ilvl="7" w:tplc="0C090019" w:tentative="1">
      <w:start w:val="1"/>
      <w:numFmt w:val="lowerLetter"/>
      <w:lvlText w:val="%8."/>
      <w:lvlJc w:val="left"/>
      <w:pPr>
        <w:tabs>
          <w:tab w:val="num" w:pos="5220"/>
        </w:tabs>
        <w:ind w:left="5220" w:hanging="360"/>
      </w:pPr>
    </w:lvl>
    <w:lvl w:ilvl="8" w:tplc="0C09001B" w:tentative="1">
      <w:start w:val="1"/>
      <w:numFmt w:val="lowerRoman"/>
      <w:lvlText w:val="%9."/>
      <w:lvlJc w:val="right"/>
      <w:pPr>
        <w:tabs>
          <w:tab w:val="num" w:pos="5940"/>
        </w:tabs>
        <w:ind w:left="5940" w:hanging="180"/>
      </w:pPr>
    </w:lvl>
  </w:abstractNum>
  <w:abstractNum w:abstractNumId="13">
    <w:nsid w:val="7B86259A"/>
    <w:multiLevelType w:val="hybridMultilevel"/>
    <w:tmpl w:val="65084D9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5">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1"/>
  </w:num>
  <w:num w:numId="3">
    <w:abstractNumId w:val="14"/>
  </w:num>
  <w:num w:numId="4">
    <w:abstractNumId w:val="4"/>
  </w:num>
  <w:num w:numId="5">
    <w:abstractNumId w:val="7"/>
  </w:num>
  <w:num w:numId="6">
    <w:abstractNumId w:val="12"/>
  </w:num>
  <w:num w:numId="7">
    <w:abstractNumId w:val="8"/>
  </w:num>
  <w:num w:numId="8">
    <w:abstractNumId w:val="15"/>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1"/>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5"/>
  </w:num>
  <w:num w:numId="29">
    <w:abstractNumId w:val="13"/>
  </w:num>
  <w:num w:numId="30">
    <w:abstractNumId w:val="10"/>
  </w:num>
  <w:num w:numId="31">
    <w:abstractNumId w:val="3"/>
  </w:num>
  <w:num w:numId="32">
    <w:abstractNumId w:val="2"/>
  </w:num>
  <w:num w:numId="33">
    <w:abstractNumId w:val="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63"/>
    <w:rsid w:val="00003FDC"/>
    <w:rsid w:val="00014A59"/>
    <w:rsid w:val="00032C5E"/>
    <w:rsid w:val="00042C76"/>
    <w:rsid w:val="00047070"/>
    <w:rsid w:val="00050D6F"/>
    <w:rsid w:val="00051681"/>
    <w:rsid w:val="000528ED"/>
    <w:rsid w:val="00063480"/>
    <w:rsid w:val="000736EC"/>
    <w:rsid w:val="0009362C"/>
    <w:rsid w:val="00094411"/>
    <w:rsid w:val="00096284"/>
    <w:rsid w:val="000A224D"/>
    <w:rsid w:val="000A443A"/>
    <w:rsid w:val="000B1861"/>
    <w:rsid w:val="000C099C"/>
    <w:rsid w:val="000C366E"/>
    <w:rsid w:val="000D3A8A"/>
    <w:rsid w:val="000F16B2"/>
    <w:rsid w:val="000F507F"/>
    <w:rsid w:val="00107505"/>
    <w:rsid w:val="00111EC4"/>
    <w:rsid w:val="00125DF7"/>
    <w:rsid w:val="0012684B"/>
    <w:rsid w:val="00130642"/>
    <w:rsid w:val="00134055"/>
    <w:rsid w:val="0013689B"/>
    <w:rsid w:val="00137867"/>
    <w:rsid w:val="00143CEC"/>
    <w:rsid w:val="0014704E"/>
    <w:rsid w:val="00157C35"/>
    <w:rsid w:val="00161C21"/>
    <w:rsid w:val="001641E6"/>
    <w:rsid w:val="001767BE"/>
    <w:rsid w:val="00182D6E"/>
    <w:rsid w:val="001957A7"/>
    <w:rsid w:val="00197192"/>
    <w:rsid w:val="001B0F26"/>
    <w:rsid w:val="001C0B92"/>
    <w:rsid w:val="001C3C3D"/>
    <w:rsid w:val="001E7C71"/>
    <w:rsid w:val="001F2061"/>
    <w:rsid w:val="001F6BD6"/>
    <w:rsid w:val="001F6FF6"/>
    <w:rsid w:val="00203244"/>
    <w:rsid w:val="0021621A"/>
    <w:rsid w:val="0022506D"/>
    <w:rsid w:val="002346F2"/>
    <w:rsid w:val="00267AD2"/>
    <w:rsid w:val="0027721A"/>
    <w:rsid w:val="00281B6B"/>
    <w:rsid w:val="00282430"/>
    <w:rsid w:val="00286CC6"/>
    <w:rsid w:val="00295216"/>
    <w:rsid w:val="00295D69"/>
    <w:rsid w:val="002A07CC"/>
    <w:rsid w:val="002A600B"/>
    <w:rsid w:val="002A7E65"/>
    <w:rsid w:val="002B1C74"/>
    <w:rsid w:val="002B53A5"/>
    <w:rsid w:val="002B54E0"/>
    <w:rsid w:val="002B58D7"/>
    <w:rsid w:val="002F0633"/>
    <w:rsid w:val="002F10A9"/>
    <w:rsid w:val="00300048"/>
    <w:rsid w:val="003055A7"/>
    <w:rsid w:val="0030688A"/>
    <w:rsid w:val="00313BD8"/>
    <w:rsid w:val="003204B9"/>
    <w:rsid w:val="00320B65"/>
    <w:rsid w:val="00324116"/>
    <w:rsid w:val="00325288"/>
    <w:rsid w:val="00333315"/>
    <w:rsid w:val="00344E9E"/>
    <w:rsid w:val="003526C4"/>
    <w:rsid w:val="003679C0"/>
    <w:rsid w:val="00370DC3"/>
    <w:rsid w:val="00376497"/>
    <w:rsid w:val="003A6B7B"/>
    <w:rsid w:val="003C5611"/>
    <w:rsid w:val="003D60E1"/>
    <w:rsid w:val="003E6137"/>
    <w:rsid w:val="003E6A56"/>
    <w:rsid w:val="003F391D"/>
    <w:rsid w:val="004004CB"/>
    <w:rsid w:val="00415EAD"/>
    <w:rsid w:val="0041650D"/>
    <w:rsid w:val="00416CEC"/>
    <w:rsid w:val="00436B13"/>
    <w:rsid w:val="0044206A"/>
    <w:rsid w:val="00451702"/>
    <w:rsid w:val="00456FE2"/>
    <w:rsid w:val="00461AFD"/>
    <w:rsid w:val="00465226"/>
    <w:rsid w:val="00465E95"/>
    <w:rsid w:val="0047297A"/>
    <w:rsid w:val="00475061"/>
    <w:rsid w:val="00484A83"/>
    <w:rsid w:val="0048799D"/>
    <w:rsid w:val="00497C90"/>
    <w:rsid w:val="004A5732"/>
    <w:rsid w:val="004B0B3B"/>
    <w:rsid w:val="004B2023"/>
    <w:rsid w:val="004C6E6D"/>
    <w:rsid w:val="004D55F8"/>
    <w:rsid w:val="004E0510"/>
    <w:rsid w:val="004E4BCD"/>
    <w:rsid w:val="004F51EC"/>
    <w:rsid w:val="00515834"/>
    <w:rsid w:val="005165D5"/>
    <w:rsid w:val="00522E1E"/>
    <w:rsid w:val="00535A3F"/>
    <w:rsid w:val="00541194"/>
    <w:rsid w:val="00541A5B"/>
    <w:rsid w:val="00541E25"/>
    <w:rsid w:val="0054258D"/>
    <w:rsid w:val="005444CA"/>
    <w:rsid w:val="00551321"/>
    <w:rsid w:val="005534ED"/>
    <w:rsid w:val="00564D80"/>
    <w:rsid w:val="00576DCF"/>
    <w:rsid w:val="0059393E"/>
    <w:rsid w:val="00597FFE"/>
    <w:rsid w:val="005A2D49"/>
    <w:rsid w:val="005B3103"/>
    <w:rsid w:val="005C5753"/>
    <w:rsid w:val="005C5BF6"/>
    <w:rsid w:val="005D3213"/>
    <w:rsid w:val="005E0A63"/>
    <w:rsid w:val="005F7DAA"/>
    <w:rsid w:val="00602438"/>
    <w:rsid w:val="00630DDF"/>
    <w:rsid w:val="00633BC9"/>
    <w:rsid w:val="00636C48"/>
    <w:rsid w:val="00640D6D"/>
    <w:rsid w:val="006445B6"/>
    <w:rsid w:val="00657B23"/>
    <w:rsid w:val="00664B09"/>
    <w:rsid w:val="00677064"/>
    <w:rsid w:val="00691F63"/>
    <w:rsid w:val="006A31EA"/>
    <w:rsid w:val="006A7E99"/>
    <w:rsid w:val="006B0295"/>
    <w:rsid w:val="006B1EB4"/>
    <w:rsid w:val="006D3F09"/>
    <w:rsid w:val="006D44B0"/>
    <w:rsid w:val="006E10D7"/>
    <w:rsid w:val="006E4DE8"/>
    <w:rsid w:val="006F1562"/>
    <w:rsid w:val="007035D3"/>
    <w:rsid w:val="00704FA0"/>
    <w:rsid w:val="00725C8C"/>
    <w:rsid w:val="00733B0E"/>
    <w:rsid w:val="00733F4E"/>
    <w:rsid w:val="00754C19"/>
    <w:rsid w:val="00757E89"/>
    <w:rsid w:val="00764717"/>
    <w:rsid w:val="00766CF1"/>
    <w:rsid w:val="00767E8D"/>
    <w:rsid w:val="00775E4B"/>
    <w:rsid w:val="00793C7D"/>
    <w:rsid w:val="007942A8"/>
    <w:rsid w:val="007A6329"/>
    <w:rsid w:val="007A7941"/>
    <w:rsid w:val="007D421E"/>
    <w:rsid w:val="007E052C"/>
    <w:rsid w:val="007E672E"/>
    <w:rsid w:val="007F35C5"/>
    <w:rsid w:val="007F5DB2"/>
    <w:rsid w:val="007F6173"/>
    <w:rsid w:val="00800EF4"/>
    <w:rsid w:val="008103C0"/>
    <w:rsid w:val="00813253"/>
    <w:rsid w:val="00815560"/>
    <w:rsid w:val="00817CCB"/>
    <w:rsid w:val="0083282F"/>
    <w:rsid w:val="00837D40"/>
    <w:rsid w:val="008419BD"/>
    <w:rsid w:val="00866103"/>
    <w:rsid w:val="0087142B"/>
    <w:rsid w:val="0089064D"/>
    <w:rsid w:val="00890C5D"/>
    <w:rsid w:val="00891515"/>
    <w:rsid w:val="008A1EE3"/>
    <w:rsid w:val="008A3DF5"/>
    <w:rsid w:val="008A624F"/>
    <w:rsid w:val="008B0B44"/>
    <w:rsid w:val="008B15B2"/>
    <w:rsid w:val="008B223F"/>
    <w:rsid w:val="008B5B9B"/>
    <w:rsid w:val="008C2085"/>
    <w:rsid w:val="008C5C2C"/>
    <w:rsid w:val="008C7C15"/>
    <w:rsid w:val="008F00AE"/>
    <w:rsid w:val="00915629"/>
    <w:rsid w:val="00915E8E"/>
    <w:rsid w:val="009209C7"/>
    <w:rsid w:val="00923A19"/>
    <w:rsid w:val="00940826"/>
    <w:rsid w:val="009540F9"/>
    <w:rsid w:val="00966B6F"/>
    <w:rsid w:val="00966F60"/>
    <w:rsid w:val="00970B5A"/>
    <w:rsid w:val="009A17B7"/>
    <w:rsid w:val="009A3CD3"/>
    <w:rsid w:val="009A7720"/>
    <w:rsid w:val="009C6C96"/>
    <w:rsid w:val="009D1C20"/>
    <w:rsid w:val="009D7177"/>
    <w:rsid w:val="009E14C2"/>
    <w:rsid w:val="009F15CF"/>
    <w:rsid w:val="009F1935"/>
    <w:rsid w:val="009F4539"/>
    <w:rsid w:val="00A11763"/>
    <w:rsid w:val="00A167D8"/>
    <w:rsid w:val="00A30DB2"/>
    <w:rsid w:val="00A34CE0"/>
    <w:rsid w:val="00A45E15"/>
    <w:rsid w:val="00A62810"/>
    <w:rsid w:val="00A76321"/>
    <w:rsid w:val="00A82E51"/>
    <w:rsid w:val="00A94AF5"/>
    <w:rsid w:val="00A96C71"/>
    <w:rsid w:val="00A97B05"/>
    <w:rsid w:val="00AA4EEA"/>
    <w:rsid w:val="00AA5E75"/>
    <w:rsid w:val="00AD21B8"/>
    <w:rsid w:val="00AD5A94"/>
    <w:rsid w:val="00AD6CCB"/>
    <w:rsid w:val="00AE0AE8"/>
    <w:rsid w:val="00AE3DAD"/>
    <w:rsid w:val="00AE6FC7"/>
    <w:rsid w:val="00AE7623"/>
    <w:rsid w:val="00B0493C"/>
    <w:rsid w:val="00B13FE0"/>
    <w:rsid w:val="00B21336"/>
    <w:rsid w:val="00B317AA"/>
    <w:rsid w:val="00B4153B"/>
    <w:rsid w:val="00B474BC"/>
    <w:rsid w:val="00B53185"/>
    <w:rsid w:val="00B823F5"/>
    <w:rsid w:val="00B945AC"/>
    <w:rsid w:val="00BA2AFF"/>
    <w:rsid w:val="00BA37F3"/>
    <w:rsid w:val="00BA3AE6"/>
    <w:rsid w:val="00BA45DB"/>
    <w:rsid w:val="00BB4741"/>
    <w:rsid w:val="00BB4744"/>
    <w:rsid w:val="00BB7840"/>
    <w:rsid w:val="00BC07E9"/>
    <w:rsid w:val="00BC134D"/>
    <w:rsid w:val="00BC542F"/>
    <w:rsid w:val="00BD61BB"/>
    <w:rsid w:val="00BE09BE"/>
    <w:rsid w:val="00BE0F99"/>
    <w:rsid w:val="00BF555E"/>
    <w:rsid w:val="00C05E0F"/>
    <w:rsid w:val="00C20611"/>
    <w:rsid w:val="00C25FA7"/>
    <w:rsid w:val="00C30BAA"/>
    <w:rsid w:val="00C30C31"/>
    <w:rsid w:val="00C32CE9"/>
    <w:rsid w:val="00C33FC9"/>
    <w:rsid w:val="00C4114B"/>
    <w:rsid w:val="00C41187"/>
    <w:rsid w:val="00C47318"/>
    <w:rsid w:val="00C47DE0"/>
    <w:rsid w:val="00C54B37"/>
    <w:rsid w:val="00C61BD3"/>
    <w:rsid w:val="00C6489F"/>
    <w:rsid w:val="00C732CF"/>
    <w:rsid w:val="00C81E78"/>
    <w:rsid w:val="00C829E0"/>
    <w:rsid w:val="00C8486E"/>
    <w:rsid w:val="00C86D96"/>
    <w:rsid w:val="00CB11C1"/>
    <w:rsid w:val="00CC2BA4"/>
    <w:rsid w:val="00CC36E5"/>
    <w:rsid w:val="00CC61CA"/>
    <w:rsid w:val="00CD7E5C"/>
    <w:rsid w:val="00CE4E91"/>
    <w:rsid w:val="00D023D0"/>
    <w:rsid w:val="00D02DEB"/>
    <w:rsid w:val="00D0334D"/>
    <w:rsid w:val="00D06123"/>
    <w:rsid w:val="00D10814"/>
    <w:rsid w:val="00D128BF"/>
    <w:rsid w:val="00D13034"/>
    <w:rsid w:val="00D179E3"/>
    <w:rsid w:val="00D21BF0"/>
    <w:rsid w:val="00D303ED"/>
    <w:rsid w:val="00D37BEE"/>
    <w:rsid w:val="00D41383"/>
    <w:rsid w:val="00D51A15"/>
    <w:rsid w:val="00D5246F"/>
    <w:rsid w:val="00D66112"/>
    <w:rsid w:val="00D70AF3"/>
    <w:rsid w:val="00D73D8D"/>
    <w:rsid w:val="00D74F0C"/>
    <w:rsid w:val="00D754AD"/>
    <w:rsid w:val="00D87DAE"/>
    <w:rsid w:val="00D9570C"/>
    <w:rsid w:val="00DA6B75"/>
    <w:rsid w:val="00DD2C65"/>
    <w:rsid w:val="00DD3306"/>
    <w:rsid w:val="00DD51D0"/>
    <w:rsid w:val="00DD7A7A"/>
    <w:rsid w:val="00DE134B"/>
    <w:rsid w:val="00DE6903"/>
    <w:rsid w:val="00DE6A62"/>
    <w:rsid w:val="00DF294E"/>
    <w:rsid w:val="00E01008"/>
    <w:rsid w:val="00E03913"/>
    <w:rsid w:val="00E111CF"/>
    <w:rsid w:val="00E1479A"/>
    <w:rsid w:val="00E15CA1"/>
    <w:rsid w:val="00E21789"/>
    <w:rsid w:val="00E32216"/>
    <w:rsid w:val="00E351E2"/>
    <w:rsid w:val="00E41B33"/>
    <w:rsid w:val="00E4614B"/>
    <w:rsid w:val="00E475D0"/>
    <w:rsid w:val="00E55326"/>
    <w:rsid w:val="00E55EEB"/>
    <w:rsid w:val="00E563AD"/>
    <w:rsid w:val="00E5701F"/>
    <w:rsid w:val="00E74FC5"/>
    <w:rsid w:val="00E859E5"/>
    <w:rsid w:val="00E967C1"/>
    <w:rsid w:val="00EA320D"/>
    <w:rsid w:val="00EA6BDB"/>
    <w:rsid w:val="00EB1F6B"/>
    <w:rsid w:val="00EB49B9"/>
    <w:rsid w:val="00EC32BC"/>
    <w:rsid w:val="00ED61B9"/>
    <w:rsid w:val="00EF29A5"/>
    <w:rsid w:val="00EF451F"/>
    <w:rsid w:val="00F002B8"/>
    <w:rsid w:val="00F00D4C"/>
    <w:rsid w:val="00F10428"/>
    <w:rsid w:val="00F10EA6"/>
    <w:rsid w:val="00F34EF9"/>
    <w:rsid w:val="00F36FF0"/>
    <w:rsid w:val="00F40DB1"/>
    <w:rsid w:val="00F45034"/>
    <w:rsid w:val="00F47181"/>
    <w:rsid w:val="00F47768"/>
    <w:rsid w:val="00F51A8D"/>
    <w:rsid w:val="00F64999"/>
    <w:rsid w:val="00F7435D"/>
    <w:rsid w:val="00F759FF"/>
    <w:rsid w:val="00F806EA"/>
    <w:rsid w:val="00F83604"/>
    <w:rsid w:val="00F84267"/>
    <w:rsid w:val="00F9449C"/>
    <w:rsid w:val="00FA721F"/>
    <w:rsid w:val="00FC4EE3"/>
    <w:rsid w:val="00FC5B53"/>
    <w:rsid w:val="00FC78E5"/>
    <w:rsid w:val="00FE11E0"/>
    <w:rsid w:val="00FF1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E78"/>
    <w:pPr>
      <w:spacing w:before="240"/>
    </w:pPr>
    <w:rPr>
      <w:sz w:val="24"/>
    </w:rPr>
  </w:style>
  <w:style w:type="paragraph" w:styleId="Heading1">
    <w:name w:val="heading 1"/>
    <w:basedOn w:val="Normal"/>
    <w:next w:val="Normal"/>
    <w:qFormat/>
    <w:rsid w:val="00C81E78"/>
    <w:pPr>
      <w:keepNext/>
      <w:numPr>
        <w:numId w:val="8"/>
      </w:numPr>
      <w:spacing w:before="0"/>
      <w:outlineLvl w:val="0"/>
    </w:pPr>
    <w:rPr>
      <w:b/>
      <w:caps/>
    </w:rPr>
  </w:style>
  <w:style w:type="paragraph" w:styleId="Heading2">
    <w:name w:val="heading 2"/>
    <w:basedOn w:val="Normal"/>
    <w:next w:val="Normal"/>
    <w:qFormat/>
    <w:rsid w:val="00C81E78"/>
    <w:pPr>
      <w:keepNext/>
      <w:numPr>
        <w:ilvl w:val="1"/>
        <w:numId w:val="8"/>
      </w:numPr>
      <w:spacing w:before="360" w:after="60"/>
      <w:outlineLvl w:val="1"/>
    </w:pPr>
    <w:rPr>
      <w:b/>
    </w:rPr>
  </w:style>
  <w:style w:type="paragraph" w:styleId="Heading3">
    <w:name w:val="heading 3"/>
    <w:basedOn w:val="Normal"/>
    <w:next w:val="Normal"/>
    <w:qFormat/>
    <w:rsid w:val="00C81E78"/>
    <w:pPr>
      <w:keepNext/>
      <w:tabs>
        <w:tab w:val="left" w:pos="720"/>
      </w:tabs>
      <w:spacing w:before="360" w:after="120"/>
      <w:ind w:left="720" w:hanging="720"/>
      <w:outlineLvl w:val="2"/>
    </w:pPr>
    <w:rPr>
      <w:b/>
      <w:i/>
    </w:rPr>
  </w:style>
  <w:style w:type="paragraph" w:styleId="Heading4">
    <w:name w:val="heading 4"/>
    <w:basedOn w:val="Normal"/>
    <w:next w:val="Normal"/>
    <w:qFormat/>
    <w:rsid w:val="00C81E78"/>
    <w:pPr>
      <w:keepNext/>
      <w:ind w:right="91"/>
      <w:jc w:val="right"/>
      <w:outlineLvl w:val="3"/>
    </w:pPr>
  </w:style>
  <w:style w:type="paragraph" w:styleId="Heading5">
    <w:name w:val="heading 5"/>
    <w:basedOn w:val="Normal"/>
    <w:next w:val="Normal"/>
    <w:qFormat/>
    <w:rsid w:val="00C81E78"/>
    <w:pPr>
      <w:keepNext/>
      <w:tabs>
        <w:tab w:val="left" w:pos="2018"/>
      </w:tabs>
      <w:spacing w:line="240" w:lineRule="exact"/>
      <w:ind w:left="742" w:right="91"/>
      <w:outlineLvl w:val="4"/>
    </w:pPr>
    <w:rPr>
      <w:b/>
    </w:rPr>
  </w:style>
  <w:style w:type="paragraph" w:styleId="Heading6">
    <w:name w:val="heading 6"/>
    <w:basedOn w:val="Normal"/>
    <w:next w:val="Normal"/>
    <w:qFormat/>
    <w:rsid w:val="00C81E78"/>
    <w:pPr>
      <w:keepNext/>
      <w:ind w:right="91"/>
      <w:outlineLvl w:val="5"/>
    </w:pPr>
    <w:rPr>
      <w:u w:val="single"/>
    </w:rPr>
  </w:style>
  <w:style w:type="paragraph" w:styleId="Heading7">
    <w:name w:val="heading 7"/>
    <w:basedOn w:val="Normal"/>
    <w:next w:val="Normal"/>
    <w:qFormat/>
    <w:rsid w:val="00C81E78"/>
    <w:pPr>
      <w:keepNext/>
      <w:ind w:left="176" w:firstLine="1264"/>
      <w:jc w:val="both"/>
      <w:outlineLvl w:val="6"/>
    </w:pPr>
  </w:style>
  <w:style w:type="paragraph" w:styleId="Heading8">
    <w:name w:val="heading 8"/>
    <w:basedOn w:val="Normal"/>
    <w:next w:val="Normal"/>
    <w:qFormat/>
    <w:rsid w:val="00C81E78"/>
    <w:pPr>
      <w:keepNext/>
      <w:tabs>
        <w:tab w:val="left" w:pos="4002"/>
      </w:tabs>
      <w:ind w:left="3216" w:hanging="347"/>
      <w:outlineLvl w:val="7"/>
    </w:pPr>
  </w:style>
  <w:style w:type="paragraph" w:styleId="Heading9">
    <w:name w:val="heading 9"/>
    <w:basedOn w:val="Normal"/>
    <w:next w:val="Normal"/>
    <w:qFormat/>
    <w:rsid w:val="00C81E78"/>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1E78"/>
    <w:pPr>
      <w:tabs>
        <w:tab w:val="center" w:pos="4153"/>
        <w:tab w:val="right" w:pos="8306"/>
      </w:tabs>
    </w:pPr>
  </w:style>
  <w:style w:type="paragraph" w:customStyle="1" w:styleId="HB-Table-dotpoint">
    <w:name w:val="HB - Table - dot point"/>
    <w:basedOn w:val="Normal"/>
    <w:rsid w:val="00C81E78"/>
    <w:pPr>
      <w:numPr>
        <w:numId w:val="28"/>
      </w:numPr>
      <w:tabs>
        <w:tab w:val="clear" w:pos="720"/>
        <w:tab w:val="num" w:pos="567"/>
      </w:tabs>
      <w:spacing w:before="120" w:after="120"/>
      <w:ind w:left="567" w:hanging="425"/>
    </w:pPr>
  </w:style>
  <w:style w:type="paragraph" w:customStyle="1" w:styleId="Appendix">
    <w:name w:val="Appendix"/>
    <w:basedOn w:val="Normal"/>
    <w:rsid w:val="00C81E78"/>
    <w:pPr>
      <w:spacing w:before="0"/>
      <w:jc w:val="right"/>
    </w:pPr>
    <w:rPr>
      <w:b/>
    </w:rPr>
  </w:style>
  <w:style w:type="character" w:customStyle="1" w:styleId="AppendixCharChar">
    <w:name w:val="Appendix Char Char"/>
    <w:basedOn w:val="DefaultParagraphFont"/>
    <w:rsid w:val="00C81E78"/>
    <w:rPr>
      <w:b/>
      <w:sz w:val="24"/>
      <w:lang w:val="en-AU" w:eastAsia="en-AU" w:bidi="ar-SA"/>
    </w:rPr>
  </w:style>
  <w:style w:type="paragraph" w:styleId="BlockText">
    <w:name w:val="Block Text"/>
    <w:basedOn w:val="Normal"/>
    <w:rsid w:val="00C81E78"/>
    <w:pPr>
      <w:ind w:left="1440" w:right="90" w:hanging="720"/>
    </w:pPr>
  </w:style>
  <w:style w:type="paragraph" w:customStyle="1" w:styleId="AppendixTitle">
    <w:name w:val="Appendix Title"/>
    <w:basedOn w:val="Normal"/>
    <w:rsid w:val="00C81E78"/>
    <w:pPr>
      <w:jc w:val="center"/>
    </w:pPr>
    <w:rPr>
      <w:b/>
    </w:rPr>
  </w:style>
  <w:style w:type="paragraph" w:styleId="DocumentMap">
    <w:name w:val="Document Map"/>
    <w:basedOn w:val="Normal"/>
    <w:semiHidden/>
    <w:rsid w:val="00C81E78"/>
    <w:pPr>
      <w:shd w:val="clear" w:color="auto" w:fill="000080"/>
    </w:pPr>
    <w:rPr>
      <w:rFonts w:ascii="Tahoma" w:hAnsi="Tahoma" w:cs="Tahoma"/>
      <w:sz w:val="20"/>
    </w:rPr>
  </w:style>
  <w:style w:type="paragraph" w:styleId="TOC1">
    <w:name w:val="toc 1"/>
    <w:basedOn w:val="Normal"/>
    <w:next w:val="Normal"/>
    <w:autoRedefine/>
    <w:semiHidden/>
    <w:rsid w:val="00C81E78"/>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C81E78"/>
    <w:pPr>
      <w:spacing w:before="120" w:after="120"/>
      <w:ind w:left="240"/>
    </w:pPr>
    <w:rPr>
      <w:szCs w:val="24"/>
    </w:rPr>
  </w:style>
  <w:style w:type="paragraph" w:styleId="TOC3">
    <w:name w:val="toc 3"/>
    <w:basedOn w:val="Normal"/>
    <w:next w:val="Normal"/>
    <w:semiHidden/>
    <w:rsid w:val="00C81E78"/>
    <w:pPr>
      <w:spacing w:before="120" w:after="120"/>
      <w:ind w:left="480"/>
    </w:pPr>
    <w:rPr>
      <w:i/>
    </w:rPr>
  </w:style>
  <w:style w:type="paragraph" w:styleId="TOC4">
    <w:name w:val="toc 4"/>
    <w:basedOn w:val="Normal"/>
    <w:next w:val="Normal"/>
    <w:autoRedefine/>
    <w:semiHidden/>
    <w:rsid w:val="00C81E78"/>
    <w:pPr>
      <w:ind w:left="720"/>
    </w:pPr>
    <w:rPr>
      <w:sz w:val="18"/>
    </w:rPr>
  </w:style>
  <w:style w:type="paragraph" w:styleId="TOC5">
    <w:name w:val="toc 5"/>
    <w:basedOn w:val="Normal"/>
    <w:next w:val="Normal"/>
    <w:autoRedefine/>
    <w:semiHidden/>
    <w:rsid w:val="00C81E78"/>
    <w:pPr>
      <w:ind w:left="960"/>
    </w:pPr>
    <w:rPr>
      <w:sz w:val="18"/>
    </w:rPr>
  </w:style>
  <w:style w:type="paragraph" w:styleId="TOC6">
    <w:name w:val="toc 6"/>
    <w:basedOn w:val="Normal"/>
    <w:next w:val="Normal"/>
    <w:autoRedefine/>
    <w:semiHidden/>
    <w:rsid w:val="00C81E78"/>
    <w:pPr>
      <w:ind w:left="1200"/>
    </w:pPr>
    <w:rPr>
      <w:sz w:val="18"/>
    </w:rPr>
  </w:style>
  <w:style w:type="paragraph" w:styleId="TOC7">
    <w:name w:val="toc 7"/>
    <w:basedOn w:val="Normal"/>
    <w:next w:val="Normal"/>
    <w:autoRedefine/>
    <w:semiHidden/>
    <w:rsid w:val="00C81E78"/>
    <w:pPr>
      <w:ind w:left="1440"/>
    </w:pPr>
    <w:rPr>
      <w:sz w:val="18"/>
    </w:rPr>
  </w:style>
  <w:style w:type="paragraph" w:styleId="TOC8">
    <w:name w:val="toc 8"/>
    <w:basedOn w:val="Normal"/>
    <w:next w:val="Normal"/>
    <w:autoRedefine/>
    <w:semiHidden/>
    <w:rsid w:val="00C81E78"/>
    <w:pPr>
      <w:ind w:left="1680"/>
    </w:pPr>
    <w:rPr>
      <w:sz w:val="18"/>
    </w:rPr>
  </w:style>
  <w:style w:type="paragraph" w:styleId="TOC9">
    <w:name w:val="toc 9"/>
    <w:basedOn w:val="Normal"/>
    <w:next w:val="Normal"/>
    <w:autoRedefine/>
    <w:semiHidden/>
    <w:rsid w:val="00C81E78"/>
    <w:pPr>
      <w:ind w:left="1920"/>
    </w:pPr>
    <w:rPr>
      <w:sz w:val="18"/>
    </w:rPr>
  </w:style>
  <w:style w:type="character" w:customStyle="1" w:styleId="HB-Paragraph-unnumberedCharChar">
    <w:name w:val="HB - Paragraph - unnumbered Char Char"/>
    <w:basedOn w:val="DefaultParagraphFont"/>
    <w:rsid w:val="00C81E78"/>
    <w:rPr>
      <w:sz w:val="24"/>
      <w:lang w:val="en-AU" w:eastAsia="en-AU" w:bidi="ar-SA"/>
    </w:rPr>
  </w:style>
  <w:style w:type="paragraph" w:customStyle="1" w:styleId="HB-Paragraph-unnumbered">
    <w:name w:val="HB - Paragraph - unnumbered"/>
    <w:basedOn w:val="Normal"/>
    <w:rsid w:val="00C81E78"/>
    <w:pPr>
      <w:ind w:left="851"/>
    </w:pPr>
  </w:style>
  <w:style w:type="paragraph" w:customStyle="1" w:styleId="HB-dotpoint">
    <w:name w:val="HB - dotpoint"/>
    <w:basedOn w:val="Normal"/>
    <w:rsid w:val="00C81E78"/>
    <w:pPr>
      <w:numPr>
        <w:numId w:val="1"/>
      </w:numPr>
      <w:spacing w:before="180"/>
    </w:pPr>
  </w:style>
  <w:style w:type="paragraph" w:customStyle="1" w:styleId="HBTOC1">
    <w:name w:val="HBTOC1"/>
    <w:basedOn w:val="TOC1"/>
    <w:autoRedefine/>
    <w:rsid w:val="00C81E78"/>
    <w:pPr>
      <w:tabs>
        <w:tab w:val="left" w:pos="720"/>
      </w:tabs>
      <w:spacing w:before="360"/>
      <w:ind w:left="1440" w:hanging="731"/>
    </w:pPr>
    <w:rPr>
      <w:caps/>
      <w:noProof/>
    </w:rPr>
  </w:style>
  <w:style w:type="paragraph" w:customStyle="1" w:styleId="HBTOC2">
    <w:name w:val="HBTOC2"/>
    <w:basedOn w:val="TOC2"/>
    <w:autoRedefine/>
    <w:rsid w:val="00C81E78"/>
    <w:pPr>
      <w:tabs>
        <w:tab w:val="left" w:pos="1440"/>
        <w:tab w:val="right" w:leader="dot" w:pos="8301"/>
      </w:tabs>
      <w:ind w:left="1440" w:hanging="720"/>
    </w:pPr>
    <w:rPr>
      <w:smallCaps/>
      <w:noProof/>
    </w:rPr>
  </w:style>
  <w:style w:type="paragraph" w:customStyle="1" w:styleId="HBTOC3">
    <w:name w:val="HBTOC3"/>
    <w:basedOn w:val="TOC3"/>
    <w:autoRedefine/>
    <w:rsid w:val="00C81E78"/>
    <w:pPr>
      <w:tabs>
        <w:tab w:val="right" w:pos="2268"/>
        <w:tab w:val="right" w:leader="dot" w:pos="8303"/>
      </w:tabs>
      <w:ind w:left="2160" w:hanging="720"/>
    </w:pPr>
    <w:rPr>
      <w:noProof/>
    </w:rPr>
  </w:style>
  <w:style w:type="paragraph" w:styleId="BalloonText">
    <w:name w:val="Balloon Text"/>
    <w:basedOn w:val="Normal"/>
    <w:semiHidden/>
    <w:rsid w:val="00C81E78"/>
    <w:rPr>
      <w:rFonts w:ascii="Tahoma" w:hAnsi="Tahoma" w:cs="Tahoma"/>
      <w:sz w:val="16"/>
      <w:szCs w:val="16"/>
    </w:rPr>
  </w:style>
  <w:style w:type="paragraph" w:customStyle="1" w:styleId="HB-Paragraph">
    <w:name w:val="HB - Paragraph"/>
    <w:basedOn w:val="Normal"/>
    <w:rsid w:val="00C81E78"/>
    <w:pPr>
      <w:numPr>
        <w:ilvl w:val="2"/>
        <w:numId w:val="8"/>
      </w:numPr>
      <w:spacing w:before="120" w:after="120"/>
    </w:pPr>
  </w:style>
  <w:style w:type="character" w:customStyle="1" w:styleId="HB-ParagraphCharChar">
    <w:name w:val="HB - Paragraph Char Char"/>
    <w:basedOn w:val="DefaultParagraphFont"/>
    <w:rsid w:val="00C81E78"/>
    <w:rPr>
      <w:sz w:val="24"/>
      <w:lang w:val="en-AU" w:eastAsia="en-AU" w:bidi="ar-SA"/>
    </w:rPr>
  </w:style>
  <w:style w:type="paragraph" w:customStyle="1" w:styleId="HB-Paragraph-alphpoint">
    <w:name w:val="HB - Paragraph - alph point"/>
    <w:basedOn w:val="Normal"/>
    <w:rsid w:val="00C81E78"/>
    <w:pPr>
      <w:numPr>
        <w:numId w:val="5"/>
      </w:numPr>
      <w:spacing w:before="120"/>
    </w:pPr>
  </w:style>
  <w:style w:type="paragraph" w:customStyle="1" w:styleId="Indentedtext">
    <w:name w:val="Indented text"/>
    <w:basedOn w:val="Normal"/>
    <w:rsid w:val="00C81E78"/>
    <w:pPr>
      <w:tabs>
        <w:tab w:val="left" w:pos="720"/>
      </w:tabs>
      <w:spacing w:before="0"/>
      <w:ind w:left="1440"/>
    </w:pPr>
  </w:style>
  <w:style w:type="character" w:styleId="Hyperlink">
    <w:name w:val="Hyperlink"/>
    <w:basedOn w:val="DefaultParagraphFont"/>
    <w:rsid w:val="00C81E78"/>
    <w:rPr>
      <w:color w:val="0000FF"/>
      <w:u w:val="single"/>
    </w:rPr>
  </w:style>
  <w:style w:type="paragraph" w:styleId="Title">
    <w:name w:val="Title"/>
    <w:basedOn w:val="Normal"/>
    <w:qFormat/>
    <w:rsid w:val="00C81E78"/>
    <w:pPr>
      <w:spacing w:before="0"/>
      <w:jc w:val="center"/>
    </w:pPr>
    <w:rPr>
      <w:b/>
      <w:sz w:val="36"/>
    </w:rPr>
  </w:style>
  <w:style w:type="paragraph" w:customStyle="1" w:styleId="HB-Table-Subpoint">
    <w:name w:val="HB - Table - Subpoint"/>
    <w:basedOn w:val="Normal"/>
    <w:rsid w:val="00C81E78"/>
    <w:pPr>
      <w:numPr>
        <w:numId w:val="3"/>
      </w:numPr>
      <w:tabs>
        <w:tab w:val="clear" w:pos="360"/>
        <w:tab w:val="num" w:pos="993"/>
      </w:tabs>
      <w:spacing w:before="60" w:after="60"/>
      <w:ind w:left="993" w:hanging="426"/>
    </w:pPr>
  </w:style>
  <w:style w:type="paragraph" w:styleId="Header">
    <w:name w:val="header"/>
    <w:basedOn w:val="Normal"/>
    <w:rsid w:val="00C81E78"/>
    <w:pPr>
      <w:tabs>
        <w:tab w:val="center" w:pos="4153"/>
        <w:tab w:val="right" w:pos="8306"/>
      </w:tabs>
    </w:pPr>
  </w:style>
  <w:style w:type="paragraph" w:styleId="NormalWeb">
    <w:name w:val="Normal (Web)"/>
    <w:basedOn w:val="Normal"/>
    <w:uiPriority w:val="99"/>
    <w:rsid w:val="00C81E78"/>
    <w:pPr>
      <w:spacing w:before="100" w:beforeAutospacing="1" w:after="100" w:afterAutospacing="1"/>
      <w:ind w:left="300"/>
    </w:pPr>
    <w:rPr>
      <w:szCs w:val="24"/>
    </w:rPr>
  </w:style>
  <w:style w:type="character" w:styleId="Strong">
    <w:name w:val="Strong"/>
    <w:basedOn w:val="DefaultParagraphFont"/>
    <w:qFormat/>
    <w:rsid w:val="00C81E78"/>
    <w:rPr>
      <w:b/>
      <w:bCs/>
    </w:rPr>
  </w:style>
  <w:style w:type="character" w:styleId="PageNumber">
    <w:name w:val="page number"/>
    <w:basedOn w:val="DefaultParagraphFont"/>
    <w:rsid w:val="00630DDF"/>
  </w:style>
  <w:style w:type="table" w:styleId="TableGrid">
    <w:name w:val="Table Grid"/>
    <w:basedOn w:val="TableNormal"/>
    <w:rsid w:val="004517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C542F"/>
    <w:pPr>
      <w:spacing w:before="0"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E78"/>
    <w:pPr>
      <w:spacing w:before="240"/>
    </w:pPr>
    <w:rPr>
      <w:sz w:val="24"/>
    </w:rPr>
  </w:style>
  <w:style w:type="paragraph" w:styleId="Heading1">
    <w:name w:val="heading 1"/>
    <w:basedOn w:val="Normal"/>
    <w:next w:val="Normal"/>
    <w:qFormat/>
    <w:rsid w:val="00C81E78"/>
    <w:pPr>
      <w:keepNext/>
      <w:numPr>
        <w:numId w:val="8"/>
      </w:numPr>
      <w:spacing w:before="0"/>
      <w:outlineLvl w:val="0"/>
    </w:pPr>
    <w:rPr>
      <w:b/>
      <w:caps/>
    </w:rPr>
  </w:style>
  <w:style w:type="paragraph" w:styleId="Heading2">
    <w:name w:val="heading 2"/>
    <w:basedOn w:val="Normal"/>
    <w:next w:val="Normal"/>
    <w:qFormat/>
    <w:rsid w:val="00C81E78"/>
    <w:pPr>
      <w:keepNext/>
      <w:numPr>
        <w:ilvl w:val="1"/>
        <w:numId w:val="8"/>
      </w:numPr>
      <w:spacing w:before="360" w:after="60"/>
      <w:outlineLvl w:val="1"/>
    </w:pPr>
    <w:rPr>
      <w:b/>
    </w:rPr>
  </w:style>
  <w:style w:type="paragraph" w:styleId="Heading3">
    <w:name w:val="heading 3"/>
    <w:basedOn w:val="Normal"/>
    <w:next w:val="Normal"/>
    <w:qFormat/>
    <w:rsid w:val="00C81E78"/>
    <w:pPr>
      <w:keepNext/>
      <w:tabs>
        <w:tab w:val="left" w:pos="720"/>
      </w:tabs>
      <w:spacing w:before="360" w:after="120"/>
      <w:ind w:left="720" w:hanging="720"/>
      <w:outlineLvl w:val="2"/>
    </w:pPr>
    <w:rPr>
      <w:b/>
      <w:i/>
    </w:rPr>
  </w:style>
  <w:style w:type="paragraph" w:styleId="Heading4">
    <w:name w:val="heading 4"/>
    <w:basedOn w:val="Normal"/>
    <w:next w:val="Normal"/>
    <w:qFormat/>
    <w:rsid w:val="00C81E78"/>
    <w:pPr>
      <w:keepNext/>
      <w:ind w:right="91"/>
      <w:jc w:val="right"/>
      <w:outlineLvl w:val="3"/>
    </w:pPr>
  </w:style>
  <w:style w:type="paragraph" w:styleId="Heading5">
    <w:name w:val="heading 5"/>
    <w:basedOn w:val="Normal"/>
    <w:next w:val="Normal"/>
    <w:qFormat/>
    <w:rsid w:val="00C81E78"/>
    <w:pPr>
      <w:keepNext/>
      <w:tabs>
        <w:tab w:val="left" w:pos="2018"/>
      </w:tabs>
      <w:spacing w:line="240" w:lineRule="exact"/>
      <w:ind w:left="742" w:right="91"/>
      <w:outlineLvl w:val="4"/>
    </w:pPr>
    <w:rPr>
      <w:b/>
    </w:rPr>
  </w:style>
  <w:style w:type="paragraph" w:styleId="Heading6">
    <w:name w:val="heading 6"/>
    <w:basedOn w:val="Normal"/>
    <w:next w:val="Normal"/>
    <w:qFormat/>
    <w:rsid w:val="00C81E78"/>
    <w:pPr>
      <w:keepNext/>
      <w:ind w:right="91"/>
      <w:outlineLvl w:val="5"/>
    </w:pPr>
    <w:rPr>
      <w:u w:val="single"/>
    </w:rPr>
  </w:style>
  <w:style w:type="paragraph" w:styleId="Heading7">
    <w:name w:val="heading 7"/>
    <w:basedOn w:val="Normal"/>
    <w:next w:val="Normal"/>
    <w:qFormat/>
    <w:rsid w:val="00C81E78"/>
    <w:pPr>
      <w:keepNext/>
      <w:ind w:left="176" w:firstLine="1264"/>
      <w:jc w:val="both"/>
      <w:outlineLvl w:val="6"/>
    </w:pPr>
  </w:style>
  <w:style w:type="paragraph" w:styleId="Heading8">
    <w:name w:val="heading 8"/>
    <w:basedOn w:val="Normal"/>
    <w:next w:val="Normal"/>
    <w:qFormat/>
    <w:rsid w:val="00C81E78"/>
    <w:pPr>
      <w:keepNext/>
      <w:tabs>
        <w:tab w:val="left" w:pos="4002"/>
      </w:tabs>
      <w:ind w:left="3216" w:hanging="347"/>
      <w:outlineLvl w:val="7"/>
    </w:pPr>
  </w:style>
  <w:style w:type="paragraph" w:styleId="Heading9">
    <w:name w:val="heading 9"/>
    <w:basedOn w:val="Normal"/>
    <w:next w:val="Normal"/>
    <w:qFormat/>
    <w:rsid w:val="00C81E78"/>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1E78"/>
    <w:pPr>
      <w:tabs>
        <w:tab w:val="center" w:pos="4153"/>
        <w:tab w:val="right" w:pos="8306"/>
      </w:tabs>
    </w:pPr>
  </w:style>
  <w:style w:type="paragraph" w:customStyle="1" w:styleId="HB-Table-dotpoint">
    <w:name w:val="HB - Table - dot point"/>
    <w:basedOn w:val="Normal"/>
    <w:rsid w:val="00C81E78"/>
    <w:pPr>
      <w:numPr>
        <w:numId w:val="28"/>
      </w:numPr>
      <w:tabs>
        <w:tab w:val="clear" w:pos="720"/>
        <w:tab w:val="num" w:pos="567"/>
      </w:tabs>
      <w:spacing w:before="120" w:after="120"/>
      <w:ind w:left="567" w:hanging="425"/>
    </w:pPr>
  </w:style>
  <w:style w:type="paragraph" w:customStyle="1" w:styleId="Appendix">
    <w:name w:val="Appendix"/>
    <w:basedOn w:val="Normal"/>
    <w:rsid w:val="00C81E78"/>
    <w:pPr>
      <w:spacing w:before="0"/>
      <w:jc w:val="right"/>
    </w:pPr>
    <w:rPr>
      <w:b/>
    </w:rPr>
  </w:style>
  <w:style w:type="character" w:customStyle="1" w:styleId="AppendixCharChar">
    <w:name w:val="Appendix Char Char"/>
    <w:basedOn w:val="DefaultParagraphFont"/>
    <w:rsid w:val="00C81E78"/>
    <w:rPr>
      <w:b/>
      <w:sz w:val="24"/>
      <w:lang w:val="en-AU" w:eastAsia="en-AU" w:bidi="ar-SA"/>
    </w:rPr>
  </w:style>
  <w:style w:type="paragraph" w:styleId="BlockText">
    <w:name w:val="Block Text"/>
    <w:basedOn w:val="Normal"/>
    <w:rsid w:val="00C81E78"/>
    <w:pPr>
      <w:ind w:left="1440" w:right="90" w:hanging="720"/>
    </w:pPr>
  </w:style>
  <w:style w:type="paragraph" w:customStyle="1" w:styleId="AppendixTitle">
    <w:name w:val="Appendix Title"/>
    <w:basedOn w:val="Normal"/>
    <w:rsid w:val="00C81E78"/>
    <w:pPr>
      <w:jc w:val="center"/>
    </w:pPr>
    <w:rPr>
      <w:b/>
    </w:rPr>
  </w:style>
  <w:style w:type="paragraph" w:styleId="DocumentMap">
    <w:name w:val="Document Map"/>
    <w:basedOn w:val="Normal"/>
    <w:semiHidden/>
    <w:rsid w:val="00C81E78"/>
    <w:pPr>
      <w:shd w:val="clear" w:color="auto" w:fill="000080"/>
    </w:pPr>
    <w:rPr>
      <w:rFonts w:ascii="Tahoma" w:hAnsi="Tahoma" w:cs="Tahoma"/>
      <w:sz w:val="20"/>
    </w:rPr>
  </w:style>
  <w:style w:type="paragraph" w:styleId="TOC1">
    <w:name w:val="toc 1"/>
    <w:basedOn w:val="Normal"/>
    <w:next w:val="Normal"/>
    <w:autoRedefine/>
    <w:semiHidden/>
    <w:rsid w:val="00C81E78"/>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C81E78"/>
    <w:pPr>
      <w:spacing w:before="120" w:after="120"/>
      <w:ind w:left="240"/>
    </w:pPr>
    <w:rPr>
      <w:szCs w:val="24"/>
    </w:rPr>
  </w:style>
  <w:style w:type="paragraph" w:styleId="TOC3">
    <w:name w:val="toc 3"/>
    <w:basedOn w:val="Normal"/>
    <w:next w:val="Normal"/>
    <w:semiHidden/>
    <w:rsid w:val="00C81E78"/>
    <w:pPr>
      <w:spacing w:before="120" w:after="120"/>
      <w:ind w:left="480"/>
    </w:pPr>
    <w:rPr>
      <w:i/>
    </w:rPr>
  </w:style>
  <w:style w:type="paragraph" w:styleId="TOC4">
    <w:name w:val="toc 4"/>
    <w:basedOn w:val="Normal"/>
    <w:next w:val="Normal"/>
    <w:autoRedefine/>
    <w:semiHidden/>
    <w:rsid w:val="00C81E78"/>
    <w:pPr>
      <w:ind w:left="720"/>
    </w:pPr>
    <w:rPr>
      <w:sz w:val="18"/>
    </w:rPr>
  </w:style>
  <w:style w:type="paragraph" w:styleId="TOC5">
    <w:name w:val="toc 5"/>
    <w:basedOn w:val="Normal"/>
    <w:next w:val="Normal"/>
    <w:autoRedefine/>
    <w:semiHidden/>
    <w:rsid w:val="00C81E78"/>
    <w:pPr>
      <w:ind w:left="960"/>
    </w:pPr>
    <w:rPr>
      <w:sz w:val="18"/>
    </w:rPr>
  </w:style>
  <w:style w:type="paragraph" w:styleId="TOC6">
    <w:name w:val="toc 6"/>
    <w:basedOn w:val="Normal"/>
    <w:next w:val="Normal"/>
    <w:autoRedefine/>
    <w:semiHidden/>
    <w:rsid w:val="00C81E78"/>
    <w:pPr>
      <w:ind w:left="1200"/>
    </w:pPr>
    <w:rPr>
      <w:sz w:val="18"/>
    </w:rPr>
  </w:style>
  <w:style w:type="paragraph" w:styleId="TOC7">
    <w:name w:val="toc 7"/>
    <w:basedOn w:val="Normal"/>
    <w:next w:val="Normal"/>
    <w:autoRedefine/>
    <w:semiHidden/>
    <w:rsid w:val="00C81E78"/>
    <w:pPr>
      <w:ind w:left="1440"/>
    </w:pPr>
    <w:rPr>
      <w:sz w:val="18"/>
    </w:rPr>
  </w:style>
  <w:style w:type="paragraph" w:styleId="TOC8">
    <w:name w:val="toc 8"/>
    <w:basedOn w:val="Normal"/>
    <w:next w:val="Normal"/>
    <w:autoRedefine/>
    <w:semiHidden/>
    <w:rsid w:val="00C81E78"/>
    <w:pPr>
      <w:ind w:left="1680"/>
    </w:pPr>
    <w:rPr>
      <w:sz w:val="18"/>
    </w:rPr>
  </w:style>
  <w:style w:type="paragraph" w:styleId="TOC9">
    <w:name w:val="toc 9"/>
    <w:basedOn w:val="Normal"/>
    <w:next w:val="Normal"/>
    <w:autoRedefine/>
    <w:semiHidden/>
    <w:rsid w:val="00C81E78"/>
    <w:pPr>
      <w:ind w:left="1920"/>
    </w:pPr>
    <w:rPr>
      <w:sz w:val="18"/>
    </w:rPr>
  </w:style>
  <w:style w:type="character" w:customStyle="1" w:styleId="HB-Paragraph-unnumberedCharChar">
    <w:name w:val="HB - Paragraph - unnumbered Char Char"/>
    <w:basedOn w:val="DefaultParagraphFont"/>
    <w:rsid w:val="00C81E78"/>
    <w:rPr>
      <w:sz w:val="24"/>
      <w:lang w:val="en-AU" w:eastAsia="en-AU" w:bidi="ar-SA"/>
    </w:rPr>
  </w:style>
  <w:style w:type="paragraph" w:customStyle="1" w:styleId="HB-Paragraph-unnumbered">
    <w:name w:val="HB - Paragraph - unnumbered"/>
    <w:basedOn w:val="Normal"/>
    <w:rsid w:val="00C81E78"/>
    <w:pPr>
      <w:ind w:left="851"/>
    </w:pPr>
  </w:style>
  <w:style w:type="paragraph" w:customStyle="1" w:styleId="HB-dotpoint">
    <w:name w:val="HB - dotpoint"/>
    <w:basedOn w:val="Normal"/>
    <w:rsid w:val="00C81E78"/>
    <w:pPr>
      <w:numPr>
        <w:numId w:val="1"/>
      </w:numPr>
      <w:spacing w:before="180"/>
    </w:pPr>
  </w:style>
  <w:style w:type="paragraph" w:customStyle="1" w:styleId="HBTOC1">
    <w:name w:val="HBTOC1"/>
    <w:basedOn w:val="TOC1"/>
    <w:autoRedefine/>
    <w:rsid w:val="00C81E78"/>
    <w:pPr>
      <w:tabs>
        <w:tab w:val="left" w:pos="720"/>
      </w:tabs>
      <w:spacing w:before="360"/>
      <w:ind w:left="1440" w:hanging="731"/>
    </w:pPr>
    <w:rPr>
      <w:caps/>
      <w:noProof/>
    </w:rPr>
  </w:style>
  <w:style w:type="paragraph" w:customStyle="1" w:styleId="HBTOC2">
    <w:name w:val="HBTOC2"/>
    <w:basedOn w:val="TOC2"/>
    <w:autoRedefine/>
    <w:rsid w:val="00C81E78"/>
    <w:pPr>
      <w:tabs>
        <w:tab w:val="left" w:pos="1440"/>
        <w:tab w:val="right" w:leader="dot" w:pos="8301"/>
      </w:tabs>
      <w:ind w:left="1440" w:hanging="720"/>
    </w:pPr>
    <w:rPr>
      <w:smallCaps/>
      <w:noProof/>
    </w:rPr>
  </w:style>
  <w:style w:type="paragraph" w:customStyle="1" w:styleId="HBTOC3">
    <w:name w:val="HBTOC3"/>
    <w:basedOn w:val="TOC3"/>
    <w:autoRedefine/>
    <w:rsid w:val="00C81E78"/>
    <w:pPr>
      <w:tabs>
        <w:tab w:val="right" w:pos="2268"/>
        <w:tab w:val="right" w:leader="dot" w:pos="8303"/>
      </w:tabs>
      <w:ind w:left="2160" w:hanging="720"/>
    </w:pPr>
    <w:rPr>
      <w:noProof/>
    </w:rPr>
  </w:style>
  <w:style w:type="paragraph" w:styleId="BalloonText">
    <w:name w:val="Balloon Text"/>
    <w:basedOn w:val="Normal"/>
    <w:semiHidden/>
    <w:rsid w:val="00C81E78"/>
    <w:rPr>
      <w:rFonts w:ascii="Tahoma" w:hAnsi="Tahoma" w:cs="Tahoma"/>
      <w:sz w:val="16"/>
      <w:szCs w:val="16"/>
    </w:rPr>
  </w:style>
  <w:style w:type="paragraph" w:customStyle="1" w:styleId="HB-Paragraph">
    <w:name w:val="HB - Paragraph"/>
    <w:basedOn w:val="Normal"/>
    <w:rsid w:val="00C81E78"/>
    <w:pPr>
      <w:numPr>
        <w:ilvl w:val="2"/>
        <w:numId w:val="8"/>
      </w:numPr>
      <w:spacing w:before="120" w:after="120"/>
    </w:pPr>
  </w:style>
  <w:style w:type="character" w:customStyle="1" w:styleId="HB-ParagraphCharChar">
    <w:name w:val="HB - Paragraph Char Char"/>
    <w:basedOn w:val="DefaultParagraphFont"/>
    <w:rsid w:val="00C81E78"/>
    <w:rPr>
      <w:sz w:val="24"/>
      <w:lang w:val="en-AU" w:eastAsia="en-AU" w:bidi="ar-SA"/>
    </w:rPr>
  </w:style>
  <w:style w:type="paragraph" w:customStyle="1" w:styleId="HB-Paragraph-alphpoint">
    <w:name w:val="HB - Paragraph - alph point"/>
    <w:basedOn w:val="Normal"/>
    <w:rsid w:val="00C81E78"/>
    <w:pPr>
      <w:numPr>
        <w:numId w:val="5"/>
      </w:numPr>
      <w:spacing w:before="120"/>
    </w:pPr>
  </w:style>
  <w:style w:type="paragraph" w:customStyle="1" w:styleId="Indentedtext">
    <w:name w:val="Indented text"/>
    <w:basedOn w:val="Normal"/>
    <w:rsid w:val="00C81E78"/>
    <w:pPr>
      <w:tabs>
        <w:tab w:val="left" w:pos="720"/>
      </w:tabs>
      <w:spacing w:before="0"/>
      <w:ind w:left="1440"/>
    </w:pPr>
  </w:style>
  <w:style w:type="character" w:styleId="Hyperlink">
    <w:name w:val="Hyperlink"/>
    <w:basedOn w:val="DefaultParagraphFont"/>
    <w:rsid w:val="00C81E78"/>
    <w:rPr>
      <w:color w:val="0000FF"/>
      <w:u w:val="single"/>
    </w:rPr>
  </w:style>
  <w:style w:type="paragraph" w:styleId="Title">
    <w:name w:val="Title"/>
    <w:basedOn w:val="Normal"/>
    <w:qFormat/>
    <w:rsid w:val="00C81E78"/>
    <w:pPr>
      <w:spacing w:before="0"/>
      <w:jc w:val="center"/>
    </w:pPr>
    <w:rPr>
      <w:b/>
      <w:sz w:val="36"/>
    </w:rPr>
  </w:style>
  <w:style w:type="paragraph" w:customStyle="1" w:styleId="HB-Table-Subpoint">
    <w:name w:val="HB - Table - Subpoint"/>
    <w:basedOn w:val="Normal"/>
    <w:rsid w:val="00C81E78"/>
    <w:pPr>
      <w:numPr>
        <w:numId w:val="3"/>
      </w:numPr>
      <w:tabs>
        <w:tab w:val="clear" w:pos="360"/>
        <w:tab w:val="num" w:pos="993"/>
      </w:tabs>
      <w:spacing w:before="60" w:after="60"/>
      <w:ind w:left="993" w:hanging="426"/>
    </w:pPr>
  </w:style>
  <w:style w:type="paragraph" w:styleId="Header">
    <w:name w:val="header"/>
    <w:basedOn w:val="Normal"/>
    <w:rsid w:val="00C81E78"/>
    <w:pPr>
      <w:tabs>
        <w:tab w:val="center" w:pos="4153"/>
        <w:tab w:val="right" w:pos="8306"/>
      </w:tabs>
    </w:pPr>
  </w:style>
  <w:style w:type="paragraph" w:styleId="NormalWeb">
    <w:name w:val="Normal (Web)"/>
    <w:basedOn w:val="Normal"/>
    <w:uiPriority w:val="99"/>
    <w:rsid w:val="00C81E78"/>
    <w:pPr>
      <w:spacing w:before="100" w:beforeAutospacing="1" w:after="100" w:afterAutospacing="1"/>
      <w:ind w:left="300"/>
    </w:pPr>
    <w:rPr>
      <w:szCs w:val="24"/>
    </w:rPr>
  </w:style>
  <w:style w:type="character" w:styleId="Strong">
    <w:name w:val="Strong"/>
    <w:basedOn w:val="DefaultParagraphFont"/>
    <w:qFormat/>
    <w:rsid w:val="00C81E78"/>
    <w:rPr>
      <w:b/>
      <w:bCs/>
    </w:rPr>
  </w:style>
  <w:style w:type="character" w:styleId="PageNumber">
    <w:name w:val="page number"/>
    <w:basedOn w:val="DefaultParagraphFont"/>
    <w:rsid w:val="00630DDF"/>
  </w:style>
  <w:style w:type="table" w:styleId="TableGrid">
    <w:name w:val="Table Grid"/>
    <w:basedOn w:val="TableNormal"/>
    <w:rsid w:val="004517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C542F"/>
    <w:pPr>
      <w:spacing w:before="0"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45773">
      <w:bodyDiv w:val="1"/>
      <w:marLeft w:val="0"/>
      <w:marRight w:val="0"/>
      <w:marTop w:val="0"/>
      <w:marBottom w:val="0"/>
      <w:divBdr>
        <w:top w:val="none" w:sz="0" w:space="0" w:color="auto"/>
        <w:left w:val="none" w:sz="0" w:space="0" w:color="auto"/>
        <w:bottom w:val="none" w:sz="0" w:space="0" w:color="auto"/>
        <w:right w:val="none" w:sz="0" w:space="0" w:color="auto"/>
      </w:divBdr>
      <w:divsChild>
        <w:div w:id="1256207888">
          <w:marLeft w:val="0"/>
          <w:marRight w:val="0"/>
          <w:marTop w:val="0"/>
          <w:marBottom w:val="0"/>
          <w:divBdr>
            <w:top w:val="none" w:sz="0" w:space="0" w:color="auto"/>
            <w:left w:val="none" w:sz="0" w:space="0" w:color="auto"/>
            <w:bottom w:val="none" w:sz="0" w:space="0" w:color="auto"/>
            <w:right w:val="none" w:sz="0" w:space="0" w:color="auto"/>
          </w:divBdr>
        </w:div>
      </w:divsChild>
    </w:div>
    <w:div w:id="526869024">
      <w:bodyDiv w:val="1"/>
      <w:marLeft w:val="0"/>
      <w:marRight w:val="0"/>
      <w:marTop w:val="0"/>
      <w:marBottom w:val="0"/>
      <w:divBdr>
        <w:top w:val="none" w:sz="0" w:space="0" w:color="auto"/>
        <w:left w:val="none" w:sz="0" w:space="0" w:color="auto"/>
        <w:bottom w:val="none" w:sz="0" w:space="0" w:color="auto"/>
        <w:right w:val="none" w:sz="0" w:space="0" w:color="auto"/>
      </w:divBdr>
      <w:divsChild>
        <w:div w:id="1111239780">
          <w:marLeft w:val="0"/>
          <w:marRight w:val="0"/>
          <w:marTop w:val="0"/>
          <w:marBottom w:val="0"/>
          <w:divBdr>
            <w:top w:val="none" w:sz="0" w:space="0" w:color="auto"/>
            <w:left w:val="none" w:sz="0" w:space="0" w:color="auto"/>
            <w:bottom w:val="none" w:sz="0" w:space="0" w:color="auto"/>
            <w:right w:val="none" w:sz="0" w:space="0" w:color="auto"/>
          </w:divBdr>
        </w:div>
      </w:divsChild>
    </w:div>
    <w:div w:id="775365373">
      <w:bodyDiv w:val="1"/>
      <w:marLeft w:val="0"/>
      <w:marRight w:val="0"/>
      <w:marTop w:val="0"/>
      <w:marBottom w:val="0"/>
      <w:divBdr>
        <w:top w:val="none" w:sz="0" w:space="0" w:color="auto"/>
        <w:left w:val="none" w:sz="0" w:space="0" w:color="auto"/>
        <w:bottom w:val="none" w:sz="0" w:space="0" w:color="auto"/>
        <w:right w:val="none" w:sz="0" w:space="0" w:color="auto"/>
      </w:divBdr>
    </w:div>
    <w:div w:id="827483716">
      <w:bodyDiv w:val="1"/>
      <w:marLeft w:val="0"/>
      <w:marRight w:val="0"/>
      <w:marTop w:val="0"/>
      <w:marBottom w:val="0"/>
      <w:divBdr>
        <w:top w:val="none" w:sz="0" w:space="0" w:color="auto"/>
        <w:left w:val="none" w:sz="0" w:space="0" w:color="auto"/>
        <w:bottom w:val="none" w:sz="0" w:space="0" w:color="auto"/>
        <w:right w:val="none" w:sz="0" w:space="0" w:color="auto"/>
      </w:divBdr>
    </w:div>
    <w:div w:id="1037320533">
      <w:bodyDiv w:val="1"/>
      <w:marLeft w:val="0"/>
      <w:marRight w:val="0"/>
      <w:marTop w:val="0"/>
      <w:marBottom w:val="0"/>
      <w:divBdr>
        <w:top w:val="none" w:sz="0" w:space="0" w:color="auto"/>
        <w:left w:val="none" w:sz="0" w:space="0" w:color="auto"/>
        <w:bottom w:val="none" w:sz="0" w:space="0" w:color="auto"/>
        <w:right w:val="none" w:sz="0" w:space="0" w:color="auto"/>
      </w:divBdr>
    </w:div>
    <w:div w:id="1647003693">
      <w:bodyDiv w:val="1"/>
      <w:marLeft w:val="0"/>
      <w:marRight w:val="0"/>
      <w:marTop w:val="0"/>
      <w:marBottom w:val="0"/>
      <w:divBdr>
        <w:top w:val="none" w:sz="0" w:space="0" w:color="auto"/>
        <w:left w:val="none" w:sz="0" w:space="0" w:color="auto"/>
        <w:bottom w:val="none" w:sz="0" w:space="0" w:color="auto"/>
        <w:right w:val="none" w:sz="0" w:space="0" w:color="auto"/>
      </w:divBdr>
    </w:div>
    <w:div w:id="1713536616">
      <w:bodyDiv w:val="1"/>
      <w:marLeft w:val="0"/>
      <w:marRight w:val="0"/>
      <w:marTop w:val="0"/>
      <w:marBottom w:val="0"/>
      <w:divBdr>
        <w:top w:val="none" w:sz="0" w:space="0" w:color="auto"/>
        <w:left w:val="none" w:sz="0" w:space="0" w:color="auto"/>
        <w:bottom w:val="none" w:sz="0" w:space="0" w:color="auto"/>
        <w:right w:val="none" w:sz="0" w:space="0" w:color="auto"/>
      </w:divBdr>
    </w:div>
    <w:div w:id="2128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544E4-A9CA-49A8-8C89-D9DF44EA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Dept. Prime Minister &amp; Cabinet</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Ly, Son</dc:creator>
  <cp:lastModifiedBy>Alabaster, John</cp:lastModifiedBy>
  <cp:revision>2</cp:revision>
  <cp:lastPrinted>2013-03-04T22:34:00Z</cp:lastPrinted>
  <dcterms:created xsi:type="dcterms:W3CDTF">2013-03-14T01:28:00Z</dcterms:created>
  <dcterms:modified xsi:type="dcterms:W3CDTF">2013-03-14T01:28:00Z</dcterms:modified>
</cp:coreProperties>
</file>