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4.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58B1" w:rsidRPr="001E1652" w:rsidRDefault="00FF58B1" w:rsidP="00FF58B1">
      <w:pPr>
        <w:rPr>
          <w:sz w:val="28"/>
        </w:rPr>
      </w:pPr>
      <w:r w:rsidRPr="001E1652">
        <w:rPr>
          <w:noProof/>
          <w:lang w:eastAsia="en-AU"/>
        </w:rPr>
        <w:drawing>
          <wp:inline distT="0" distB="0" distL="0" distR="0" wp14:anchorId="30F297F8" wp14:editId="65BCD09F">
            <wp:extent cx="1419225" cy="1104900"/>
            <wp:effectExtent l="0" t="0" r="9525" b="0"/>
            <wp:docPr id="1" name="Picture 1" descr="Commonwealth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19225" cy="1104900"/>
                    </a:xfrm>
                    <a:prstGeom prst="rect">
                      <a:avLst/>
                    </a:prstGeom>
                    <a:noFill/>
                    <a:ln>
                      <a:noFill/>
                    </a:ln>
                  </pic:spPr>
                </pic:pic>
              </a:graphicData>
            </a:graphic>
          </wp:inline>
        </w:drawing>
      </w:r>
    </w:p>
    <w:p w:rsidR="00FF58B1" w:rsidRPr="001E1652" w:rsidRDefault="00FF58B1" w:rsidP="00FF58B1">
      <w:pPr>
        <w:rPr>
          <w:sz w:val="19"/>
        </w:rPr>
      </w:pPr>
    </w:p>
    <w:p w:rsidR="00FF58B1" w:rsidRPr="001E1652" w:rsidRDefault="00FF58B1" w:rsidP="00FF58B1">
      <w:pPr>
        <w:rPr>
          <w:sz w:val="19"/>
        </w:rPr>
      </w:pPr>
      <w:bookmarkStart w:id="0" w:name="ConfidenceBlock"/>
      <w:bookmarkEnd w:id="0"/>
    </w:p>
    <w:p w:rsidR="00FF58B1" w:rsidRPr="001E1652" w:rsidRDefault="00FF58B1" w:rsidP="00FF58B1">
      <w:pPr>
        <w:pStyle w:val="ShortT"/>
      </w:pPr>
      <w:r w:rsidRPr="001E1652">
        <w:t>Governor</w:t>
      </w:r>
      <w:r w:rsidR="001E1652" w:rsidRPr="001E1652">
        <w:noBreakHyphen/>
      </w:r>
      <w:r w:rsidRPr="001E1652">
        <w:t>General Allowance Order</w:t>
      </w:r>
      <w:r w:rsidR="001E1652" w:rsidRPr="001E1652">
        <w:t> </w:t>
      </w:r>
      <w:r w:rsidRPr="001E1652">
        <w:t>201</w:t>
      </w:r>
      <w:r w:rsidR="00F73221" w:rsidRPr="001E1652">
        <w:t>3</w:t>
      </w:r>
    </w:p>
    <w:p w:rsidR="004C7B22" w:rsidRPr="001E1652" w:rsidRDefault="004C7B22" w:rsidP="00DF643C">
      <w:pPr>
        <w:pStyle w:val="SignCoverPageStart"/>
      </w:pPr>
      <w:r w:rsidRPr="001E1652">
        <w:t xml:space="preserve">I, Penelope Ying Yen Wong, Minister for Finance and Deregulation, make the following order under the </w:t>
      </w:r>
      <w:r w:rsidRPr="001E1652">
        <w:rPr>
          <w:i/>
        </w:rPr>
        <w:t>Governor</w:t>
      </w:r>
      <w:r w:rsidR="001E1652" w:rsidRPr="001E1652">
        <w:rPr>
          <w:i/>
        </w:rPr>
        <w:noBreakHyphen/>
      </w:r>
      <w:r w:rsidRPr="001E1652">
        <w:rPr>
          <w:i/>
        </w:rPr>
        <w:t>General Act 1974</w:t>
      </w:r>
      <w:r w:rsidRPr="001E1652">
        <w:t>.</w:t>
      </w:r>
    </w:p>
    <w:p w:rsidR="004C7B22" w:rsidRPr="001E1652" w:rsidRDefault="004C7B22" w:rsidP="00DF643C">
      <w:pPr>
        <w:keepNext/>
        <w:spacing w:before="300" w:line="240" w:lineRule="atLeast"/>
        <w:ind w:right="397"/>
        <w:jc w:val="both"/>
      </w:pPr>
      <w:r w:rsidRPr="001E1652">
        <w:t>Dated:</w:t>
      </w:r>
      <w:r w:rsidRPr="001E1652">
        <w:tab/>
      </w:r>
      <w:r w:rsidR="00D63EB8" w:rsidRPr="00C87154">
        <w:rPr>
          <w:sz w:val="24"/>
          <w:szCs w:val="24"/>
        </w:rPr>
        <w:fldChar w:fldCharType="begin"/>
      </w:r>
      <w:r w:rsidR="00D63EB8" w:rsidRPr="00C87154">
        <w:rPr>
          <w:sz w:val="24"/>
          <w:szCs w:val="24"/>
        </w:rPr>
        <w:instrText xml:space="preserve"> DOCPROPERTY  DateMade </w:instrText>
      </w:r>
      <w:r w:rsidR="00D63EB8" w:rsidRPr="00C87154">
        <w:rPr>
          <w:sz w:val="24"/>
          <w:szCs w:val="24"/>
        </w:rPr>
        <w:fldChar w:fldCharType="separate"/>
      </w:r>
      <w:r w:rsidR="00BF634A">
        <w:rPr>
          <w:sz w:val="24"/>
          <w:szCs w:val="24"/>
        </w:rPr>
        <w:t>12 March 2013</w:t>
      </w:r>
      <w:r w:rsidR="00D63EB8" w:rsidRPr="00C87154">
        <w:rPr>
          <w:sz w:val="24"/>
          <w:szCs w:val="24"/>
        </w:rPr>
        <w:fldChar w:fldCharType="end"/>
      </w:r>
    </w:p>
    <w:p w:rsidR="004C7B22" w:rsidRPr="001E1652" w:rsidRDefault="004C7B22" w:rsidP="00DF643C">
      <w:pPr>
        <w:keepNext/>
        <w:tabs>
          <w:tab w:val="left" w:pos="3402"/>
        </w:tabs>
        <w:spacing w:before="1440" w:line="300" w:lineRule="atLeast"/>
        <w:ind w:right="397"/>
      </w:pPr>
      <w:r w:rsidRPr="001E1652">
        <w:t>Penelope Ying Yen Wong</w:t>
      </w:r>
      <w:bookmarkStart w:id="1" w:name="_GoBack"/>
      <w:bookmarkEnd w:id="1"/>
    </w:p>
    <w:p w:rsidR="004C7B22" w:rsidRPr="001E1652" w:rsidRDefault="004C7B22" w:rsidP="00DF643C">
      <w:pPr>
        <w:pStyle w:val="SignCoverPageEnd"/>
      </w:pPr>
      <w:r w:rsidRPr="001E1652">
        <w:t>Minister for Finance and Deregulation</w:t>
      </w:r>
    </w:p>
    <w:p w:rsidR="004C7B22" w:rsidRPr="001E1652" w:rsidRDefault="004C7B22" w:rsidP="004C7B22"/>
    <w:p w:rsidR="00FF58B1" w:rsidRPr="001E1652" w:rsidRDefault="00FF58B1" w:rsidP="00FF58B1">
      <w:pPr>
        <w:pStyle w:val="Header"/>
        <w:tabs>
          <w:tab w:val="clear" w:pos="4150"/>
          <w:tab w:val="clear" w:pos="8307"/>
        </w:tabs>
      </w:pPr>
      <w:r w:rsidRPr="001E1652">
        <w:rPr>
          <w:rStyle w:val="CharChapNo"/>
        </w:rPr>
        <w:t xml:space="preserve"> </w:t>
      </w:r>
      <w:r w:rsidRPr="001E1652">
        <w:rPr>
          <w:rStyle w:val="CharChapText"/>
        </w:rPr>
        <w:t xml:space="preserve"> </w:t>
      </w:r>
    </w:p>
    <w:p w:rsidR="00FF58B1" w:rsidRPr="001E1652" w:rsidRDefault="00FF58B1" w:rsidP="00FF58B1">
      <w:pPr>
        <w:pStyle w:val="Header"/>
        <w:tabs>
          <w:tab w:val="clear" w:pos="4150"/>
          <w:tab w:val="clear" w:pos="8307"/>
        </w:tabs>
      </w:pPr>
      <w:r w:rsidRPr="001E1652">
        <w:rPr>
          <w:rStyle w:val="CharPartNo"/>
        </w:rPr>
        <w:t xml:space="preserve"> </w:t>
      </w:r>
      <w:r w:rsidRPr="001E1652">
        <w:rPr>
          <w:rStyle w:val="CharPartText"/>
        </w:rPr>
        <w:t xml:space="preserve"> </w:t>
      </w:r>
    </w:p>
    <w:p w:rsidR="00FF58B1" w:rsidRPr="001E1652" w:rsidRDefault="00FF58B1" w:rsidP="00FF58B1">
      <w:pPr>
        <w:pStyle w:val="Header"/>
        <w:tabs>
          <w:tab w:val="clear" w:pos="4150"/>
          <w:tab w:val="clear" w:pos="8307"/>
        </w:tabs>
      </w:pPr>
      <w:r w:rsidRPr="001E1652">
        <w:rPr>
          <w:rStyle w:val="CharDivNo"/>
        </w:rPr>
        <w:t xml:space="preserve"> </w:t>
      </w:r>
      <w:r w:rsidRPr="001E1652">
        <w:rPr>
          <w:rStyle w:val="CharDivText"/>
        </w:rPr>
        <w:t xml:space="preserve"> </w:t>
      </w:r>
    </w:p>
    <w:p w:rsidR="00FF58B1" w:rsidRPr="001E1652" w:rsidRDefault="00FF58B1" w:rsidP="00FF58B1">
      <w:pPr>
        <w:sectPr w:rsidR="00FF58B1" w:rsidRPr="001E1652" w:rsidSect="00301E23">
          <w:headerReference w:type="even" r:id="rId10"/>
          <w:headerReference w:type="default" r:id="rId11"/>
          <w:footerReference w:type="even" r:id="rId12"/>
          <w:footerReference w:type="default" r:id="rId13"/>
          <w:headerReference w:type="first" r:id="rId14"/>
          <w:footerReference w:type="first" r:id="rId15"/>
          <w:pgSz w:w="11907" w:h="16839"/>
          <w:pgMar w:top="1440" w:right="1797" w:bottom="1440" w:left="1797" w:header="720" w:footer="709" w:gutter="0"/>
          <w:cols w:space="708"/>
          <w:docGrid w:linePitch="360"/>
        </w:sectPr>
      </w:pPr>
    </w:p>
    <w:p w:rsidR="00FF58B1" w:rsidRPr="001E1652" w:rsidRDefault="00FF58B1" w:rsidP="00D046EB">
      <w:pPr>
        <w:rPr>
          <w:sz w:val="36"/>
        </w:rPr>
      </w:pPr>
      <w:r w:rsidRPr="001E1652">
        <w:rPr>
          <w:sz w:val="36"/>
        </w:rPr>
        <w:lastRenderedPageBreak/>
        <w:t>Contents</w:t>
      </w:r>
    </w:p>
    <w:bookmarkStart w:id="2" w:name="BKCheck15B_1"/>
    <w:bookmarkEnd w:id="2"/>
    <w:p w:rsidR="001E1652" w:rsidRPr="001E1652" w:rsidRDefault="001E1652">
      <w:pPr>
        <w:pStyle w:val="TOC2"/>
        <w:rPr>
          <w:rFonts w:asciiTheme="minorHAnsi" w:eastAsiaTheme="minorEastAsia" w:hAnsiTheme="minorHAnsi" w:cstheme="minorBidi"/>
          <w:b w:val="0"/>
          <w:noProof/>
          <w:kern w:val="0"/>
          <w:sz w:val="22"/>
          <w:szCs w:val="22"/>
        </w:rPr>
      </w:pPr>
      <w:r w:rsidRPr="001E1652">
        <w:fldChar w:fldCharType="begin"/>
      </w:r>
      <w:r w:rsidRPr="001E1652">
        <w:instrText xml:space="preserve"> TOC \o "1-9" </w:instrText>
      </w:r>
      <w:r w:rsidRPr="001E1652">
        <w:fldChar w:fldCharType="separate"/>
      </w:r>
      <w:r w:rsidRPr="001E1652">
        <w:rPr>
          <w:noProof/>
        </w:rPr>
        <w:t>Part 1—Preliminary</w:t>
      </w:r>
      <w:r w:rsidRPr="001E1652">
        <w:rPr>
          <w:b w:val="0"/>
          <w:noProof/>
          <w:sz w:val="18"/>
        </w:rPr>
        <w:tab/>
      </w:r>
      <w:r w:rsidRPr="001E1652">
        <w:rPr>
          <w:b w:val="0"/>
          <w:noProof/>
          <w:sz w:val="18"/>
        </w:rPr>
        <w:fldChar w:fldCharType="begin"/>
      </w:r>
      <w:r w:rsidRPr="001E1652">
        <w:rPr>
          <w:b w:val="0"/>
          <w:noProof/>
          <w:sz w:val="18"/>
        </w:rPr>
        <w:instrText xml:space="preserve"> PAGEREF _Toc350176699 \h </w:instrText>
      </w:r>
      <w:r w:rsidRPr="001E1652">
        <w:rPr>
          <w:b w:val="0"/>
          <w:noProof/>
          <w:sz w:val="18"/>
        </w:rPr>
      </w:r>
      <w:r w:rsidRPr="001E1652">
        <w:rPr>
          <w:b w:val="0"/>
          <w:noProof/>
          <w:sz w:val="18"/>
        </w:rPr>
        <w:fldChar w:fldCharType="separate"/>
      </w:r>
      <w:r w:rsidR="00BF634A">
        <w:rPr>
          <w:b w:val="0"/>
          <w:noProof/>
          <w:sz w:val="18"/>
        </w:rPr>
        <w:t>1</w:t>
      </w:r>
      <w:r w:rsidRPr="001E1652">
        <w:rPr>
          <w:b w:val="0"/>
          <w:noProof/>
          <w:sz w:val="18"/>
        </w:rPr>
        <w:fldChar w:fldCharType="end"/>
      </w:r>
    </w:p>
    <w:p w:rsidR="001E1652" w:rsidRPr="001E1652" w:rsidRDefault="001E1652">
      <w:pPr>
        <w:pStyle w:val="TOC5"/>
        <w:rPr>
          <w:rFonts w:asciiTheme="minorHAnsi" w:eastAsiaTheme="minorEastAsia" w:hAnsiTheme="minorHAnsi" w:cstheme="minorBidi"/>
          <w:noProof/>
          <w:kern w:val="0"/>
          <w:sz w:val="22"/>
          <w:szCs w:val="22"/>
        </w:rPr>
      </w:pPr>
      <w:r w:rsidRPr="001E1652">
        <w:rPr>
          <w:noProof/>
        </w:rPr>
        <w:t>1</w:t>
      </w:r>
      <w:r w:rsidRPr="001E1652">
        <w:rPr>
          <w:noProof/>
        </w:rPr>
        <w:tab/>
        <w:t>Name of order</w:t>
      </w:r>
      <w:r w:rsidRPr="001E1652">
        <w:rPr>
          <w:noProof/>
        </w:rPr>
        <w:tab/>
      </w:r>
      <w:r w:rsidRPr="001E1652">
        <w:rPr>
          <w:noProof/>
        </w:rPr>
        <w:fldChar w:fldCharType="begin"/>
      </w:r>
      <w:r w:rsidRPr="001E1652">
        <w:rPr>
          <w:noProof/>
        </w:rPr>
        <w:instrText xml:space="preserve"> PAGEREF _Toc350176700 \h </w:instrText>
      </w:r>
      <w:r w:rsidRPr="001E1652">
        <w:rPr>
          <w:noProof/>
        </w:rPr>
      </w:r>
      <w:r w:rsidRPr="001E1652">
        <w:rPr>
          <w:noProof/>
        </w:rPr>
        <w:fldChar w:fldCharType="separate"/>
      </w:r>
      <w:r w:rsidR="00BF634A">
        <w:rPr>
          <w:noProof/>
        </w:rPr>
        <w:t>1</w:t>
      </w:r>
      <w:r w:rsidRPr="001E1652">
        <w:rPr>
          <w:noProof/>
        </w:rPr>
        <w:fldChar w:fldCharType="end"/>
      </w:r>
    </w:p>
    <w:p w:rsidR="001E1652" w:rsidRPr="001E1652" w:rsidRDefault="001E1652">
      <w:pPr>
        <w:pStyle w:val="TOC5"/>
        <w:rPr>
          <w:rFonts w:asciiTheme="minorHAnsi" w:eastAsiaTheme="minorEastAsia" w:hAnsiTheme="minorHAnsi" w:cstheme="minorBidi"/>
          <w:noProof/>
          <w:kern w:val="0"/>
          <w:sz w:val="22"/>
          <w:szCs w:val="22"/>
        </w:rPr>
      </w:pPr>
      <w:r w:rsidRPr="001E1652">
        <w:rPr>
          <w:noProof/>
        </w:rPr>
        <w:t>2</w:t>
      </w:r>
      <w:r w:rsidRPr="001E1652">
        <w:rPr>
          <w:noProof/>
        </w:rPr>
        <w:tab/>
        <w:t>Commencement</w:t>
      </w:r>
      <w:r w:rsidRPr="001E1652">
        <w:rPr>
          <w:noProof/>
        </w:rPr>
        <w:tab/>
      </w:r>
      <w:r w:rsidRPr="001E1652">
        <w:rPr>
          <w:noProof/>
        </w:rPr>
        <w:fldChar w:fldCharType="begin"/>
      </w:r>
      <w:r w:rsidRPr="001E1652">
        <w:rPr>
          <w:noProof/>
        </w:rPr>
        <w:instrText xml:space="preserve"> PAGEREF _Toc350176701 \h </w:instrText>
      </w:r>
      <w:r w:rsidRPr="001E1652">
        <w:rPr>
          <w:noProof/>
        </w:rPr>
      </w:r>
      <w:r w:rsidRPr="001E1652">
        <w:rPr>
          <w:noProof/>
        </w:rPr>
        <w:fldChar w:fldCharType="separate"/>
      </w:r>
      <w:r w:rsidR="00BF634A">
        <w:rPr>
          <w:noProof/>
        </w:rPr>
        <w:t>1</w:t>
      </w:r>
      <w:r w:rsidRPr="001E1652">
        <w:rPr>
          <w:noProof/>
        </w:rPr>
        <w:fldChar w:fldCharType="end"/>
      </w:r>
    </w:p>
    <w:p w:rsidR="001E1652" w:rsidRPr="001E1652" w:rsidRDefault="001E1652">
      <w:pPr>
        <w:pStyle w:val="TOC5"/>
        <w:rPr>
          <w:rFonts w:asciiTheme="minorHAnsi" w:eastAsiaTheme="minorEastAsia" w:hAnsiTheme="minorHAnsi" w:cstheme="minorBidi"/>
          <w:noProof/>
          <w:kern w:val="0"/>
          <w:sz w:val="22"/>
          <w:szCs w:val="22"/>
        </w:rPr>
      </w:pPr>
      <w:r w:rsidRPr="001E1652">
        <w:rPr>
          <w:noProof/>
        </w:rPr>
        <w:t>3</w:t>
      </w:r>
      <w:r w:rsidRPr="001E1652">
        <w:rPr>
          <w:noProof/>
        </w:rPr>
        <w:tab/>
        <w:t>Authority</w:t>
      </w:r>
      <w:r w:rsidRPr="001E1652">
        <w:rPr>
          <w:noProof/>
        </w:rPr>
        <w:tab/>
      </w:r>
      <w:r w:rsidRPr="001E1652">
        <w:rPr>
          <w:noProof/>
        </w:rPr>
        <w:fldChar w:fldCharType="begin"/>
      </w:r>
      <w:r w:rsidRPr="001E1652">
        <w:rPr>
          <w:noProof/>
        </w:rPr>
        <w:instrText xml:space="preserve"> PAGEREF _Toc350176702 \h </w:instrText>
      </w:r>
      <w:r w:rsidRPr="001E1652">
        <w:rPr>
          <w:noProof/>
        </w:rPr>
      </w:r>
      <w:r w:rsidRPr="001E1652">
        <w:rPr>
          <w:noProof/>
        </w:rPr>
        <w:fldChar w:fldCharType="separate"/>
      </w:r>
      <w:r w:rsidR="00BF634A">
        <w:rPr>
          <w:noProof/>
        </w:rPr>
        <w:t>1</w:t>
      </w:r>
      <w:r w:rsidRPr="001E1652">
        <w:rPr>
          <w:noProof/>
        </w:rPr>
        <w:fldChar w:fldCharType="end"/>
      </w:r>
    </w:p>
    <w:p w:rsidR="001E1652" w:rsidRPr="001E1652" w:rsidRDefault="001E1652">
      <w:pPr>
        <w:pStyle w:val="TOC5"/>
        <w:rPr>
          <w:rFonts w:asciiTheme="minorHAnsi" w:eastAsiaTheme="minorEastAsia" w:hAnsiTheme="minorHAnsi" w:cstheme="minorBidi"/>
          <w:noProof/>
          <w:kern w:val="0"/>
          <w:sz w:val="22"/>
          <w:szCs w:val="22"/>
        </w:rPr>
      </w:pPr>
      <w:r w:rsidRPr="001E1652">
        <w:rPr>
          <w:noProof/>
        </w:rPr>
        <w:t>4</w:t>
      </w:r>
      <w:r w:rsidRPr="001E1652">
        <w:rPr>
          <w:noProof/>
        </w:rPr>
        <w:tab/>
        <w:t>Definitions</w:t>
      </w:r>
      <w:r w:rsidRPr="001E1652">
        <w:rPr>
          <w:noProof/>
        </w:rPr>
        <w:tab/>
      </w:r>
      <w:r w:rsidRPr="001E1652">
        <w:rPr>
          <w:noProof/>
        </w:rPr>
        <w:fldChar w:fldCharType="begin"/>
      </w:r>
      <w:r w:rsidRPr="001E1652">
        <w:rPr>
          <w:noProof/>
        </w:rPr>
        <w:instrText xml:space="preserve"> PAGEREF _Toc350176703 \h </w:instrText>
      </w:r>
      <w:r w:rsidRPr="001E1652">
        <w:rPr>
          <w:noProof/>
        </w:rPr>
      </w:r>
      <w:r w:rsidRPr="001E1652">
        <w:rPr>
          <w:noProof/>
        </w:rPr>
        <w:fldChar w:fldCharType="separate"/>
      </w:r>
      <w:r w:rsidR="00BF634A">
        <w:rPr>
          <w:noProof/>
        </w:rPr>
        <w:t>1</w:t>
      </w:r>
      <w:r w:rsidRPr="001E1652">
        <w:rPr>
          <w:noProof/>
        </w:rPr>
        <w:fldChar w:fldCharType="end"/>
      </w:r>
    </w:p>
    <w:p w:rsidR="001E1652" w:rsidRPr="001E1652" w:rsidRDefault="001E1652">
      <w:pPr>
        <w:pStyle w:val="TOC2"/>
        <w:rPr>
          <w:rFonts w:asciiTheme="minorHAnsi" w:eastAsiaTheme="minorEastAsia" w:hAnsiTheme="minorHAnsi" w:cstheme="minorBidi"/>
          <w:b w:val="0"/>
          <w:noProof/>
          <w:kern w:val="0"/>
          <w:sz w:val="22"/>
          <w:szCs w:val="22"/>
        </w:rPr>
      </w:pPr>
      <w:r w:rsidRPr="001E1652">
        <w:rPr>
          <w:noProof/>
        </w:rPr>
        <w:t>Part 2—Scheme value and allowance rates</w:t>
      </w:r>
      <w:r w:rsidRPr="001E1652">
        <w:rPr>
          <w:b w:val="0"/>
          <w:noProof/>
          <w:sz w:val="18"/>
        </w:rPr>
        <w:tab/>
      </w:r>
      <w:r w:rsidRPr="001E1652">
        <w:rPr>
          <w:b w:val="0"/>
          <w:noProof/>
          <w:sz w:val="18"/>
        </w:rPr>
        <w:fldChar w:fldCharType="begin"/>
      </w:r>
      <w:r w:rsidRPr="001E1652">
        <w:rPr>
          <w:b w:val="0"/>
          <w:noProof/>
          <w:sz w:val="18"/>
        </w:rPr>
        <w:instrText xml:space="preserve"> PAGEREF _Toc350176704 \h </w:instrText>
      </w:r>
      <w:r w:rsidRPr="001E1652">
        <w:rPr>
          <w:b w:val="0"/>
          <w:noProof/>
          <w:sz w:val="18"/>
        </w:rPr>
      </w:r>
      <w:r w:rsidRPr="001E1652">
        <w:rPr>
          <w:b w:val="0"/>
          <w:noProof/>
          <w:sz w:val="18"/>
        </w:rPr>
        <w:fldChar w:fldCharType="separate"/>
      </w:r>
      <w:r w:rsidR="00BF634A">
        <w:rPr>
          <w:b w:val="0"/>
          <w:noProof/>
          <w:sz w:val="18"/>
        </w:rPr>
        <w:t>2</w:t>
      </w:r>
      <w:r w:rsidRPr="001E1652">
        <w:rPr>
          <w:b w:val="0"/>
          <w:noProof/>
          <w:sz w:val="18"/>
        </w:rPr>
        <w:fldChar w:fldCharType="end"/>
      </w:r>
    </w:p>
    <w:p w:rsidR="001E1652" w:rsidRPr="001E1652" w:rsidRDefault="001E1652">
      <w:pPr>
        <w:pStyle w:val="TOC5"/>
        <w:rPr>
          <w:rFonts w:asciiTheme="minorHAnsi" w:eastAsiaTheme="minorEastAsia" w:hAnsiTheme="minorHAnsi" w:cstheme="minorBidi"/>
          <w:noProof/>
          <w:kern w:val="0"/>
          <w:sz w:val="22"/>
          <w:szCs w:val="22"/>
        </w:rPr>
      </w:pPr>
      <w:r w:rsidRPr="001E1652">
        <w:rPr>
          <w:noProof/>
        </w:rPr>
        <w:t>5</w:t>
      </w:r>
      <w:r w:rsidRPr="001E1652">
        <w:rPr>
          <w:noProof/>
        </w:rPr>
        <w:tab/>
        <w:t>Scheme value</w:t>
      </w:r>
      <w:r w:rsidRPr="001E1652">
        <w:rPr>
          <w:noProof/>
        </w:rPr>
        <w:tab/>
      </w:r>
      <w:r w:rsidRPr="001E1652">
        <w:rPr>
          <w:noProof/>
        </w:rPr>
        <w:fldChar w:fldCharType="begin"/>
      </w:r>
      <w:r w:rsidRPr="001E1652">
        <w:rPr>
          <w:noProof/>
        </w:rPr>
        <w:instrText xml:space="preserve"> PAGEREF _Toc350176705 \h </w:instrText>
      </w:r>
      <w:r w:rsidRPr="001E1652">
        <w:rPr>
          <w:noProof/>
        </w:rPr>
      </w:r>
      <w:r w:rsidRPr="001E1652">
        <w:rPr>
          <w:noProof/>
        </w:rPr>
        <w:fldChar w:fldCharType="separate"/>
      </w:r>
      <w:r w:rsidR="00BF634A">
        <w:rPr>
          <w:noProof/>
        </w:rPr>
        <w:t>2</w:t>
      </w:r>
      <w:r w:rsidRPr="001E1652">
        <w:rPr>
          <w:noProof/>
        </w:rPr>
        <w:fldChar w:fldCharType="end"/>
      </w:r>
    </w:p>
    <w:p w:rsidR="001E1652" w:rsidRPr="001E1652" w:rsidRDefault="001E1652">
      <w:pPr>
        <w:pStyle w:val="TOC5"/>
        <w:rPr>
          <w:rFonts w:asciiTheme="minorHAnsi" w:eastAsiaTheme="minorEastAsia" w:hAnsiTheme="minorHAnsi" w:cstheme="minorBidi"/>
          <w:noProof/>
          <w:kern w:val="0"/>
          <w:sz w:val="22"/>
          <w:szCs w:val="22"/>
        </w:rPr>
      </w:pPr>
      <w:r w:rsidRPr="001E1652">
        <w:rPr>
          <w:noProof/>
        </w:rPr>
        <w:t>6</w:t>
      </w:r>
      <w:r w:rsidRPr="001E1652">
        <w:rPr>
          <w:noProof/>
        </w:rPr>
        <w:tab/>
        <w:t>Associate immediate allowance for non</w:t>
      </w:r>
      <w:r w:rsidRPr="001E1652">
        <w:rPr>
          <w:noProof/>
        </w:rPr>
        <w:noBreakHyphen/>
        <w:t>member spouse</w:t>
      </w:r>
      <w:r w:rsidRPr="001E1652">
        <w:rPr>
          <w:noProof/>
        </w:rPr>
        <w:tab/>
      </w:r>
      <w:r w:rsidRPr="001E1652">
        <w:rPr>
          <w:noProof/>
        </w:rPr>
        <w:fldChar w:fldCharType="begin"/>
      </w:r>
      <w:r w:rsidRPr="001E1652">
        <w:rPr>
          <w:noProof/>
        </w:rPr>
        <w:instrText xml:space="preserve"> PAGEREF _Toc350176706 \h </w:instrText>
      </w:r>
      <w:r w:rsidRPr="001E1652">
        <w:rPr>
          <w:noProof/>
        </w:rPr>
      </w:r>
      <w:r w:rsidRPr="001E1652">
        <w:rPr>
          <w:noProof/>
        </w:rPr>
        <w:fldChar w:fldCharType="separate"/>
      </w:r>
      <w:r w:rsidR="00BF634A">
        <w:rPr>
          <w:noProof/>
        </w:rPr>
        <w:t>2</w:t>
      </w:r>
      <w:r w:rsidRPr="001E1652">
        <w:rPr>
          <w:noProof/>
        </w:rPr>
        <w:fldChar w:fldCharType="end"/>
      </w:r>
    </w:p>
    <w:p w:rsidR="001E1652" w:rsidRPr="001E1652" w:rsidRDefault="001E1652">
      <w:pPr>
        <w:pStyle w:val="TOC5"/>
        <w:rPr>
          <w:rFonts w:asciiTheme="minorHAnsi" w:eastAsiaTheme="minorEastAsia" w:hAnsiTheme="minorHAnsi" w:cstheme="minorBidi"/>
          <w:noProof/>
          <w:kern w:val="0"/>
          <w:sz w:val="22"/>
          <w:szCs w:val="22"/>
        </w:rPr>
      </w:pPr>
      <w:r w:rsidRPr="001E1652">
        <w:rPr>
          <w:noProof/>
        </w:rPr>
        <w:t>7</w:t>
      </w:r>
      <w:r w:rsidRPr="001E1652">
        <w:rPr>
          <w:noProof/>
        </w:rPr>
        <w:tab/>
        <w:t>Associate deferred allowance for non</w:t>
      </w:r>
      <w:r w:rsidRPr="001E1652">
        <w:rPr>
          <w:noProof/>
        </w:rPr>
        <w:noBreakHyphen/>
        <w:t>member spouse</w:t>
      </w:r>
      <w:r w:rsidRPr="001E1652">
        <w:rPr>
          <w:noProof/>
        </w:rPr>
        <w:tab/>
      </w:r>
      <w:r w:rsidRPr="001E1652">
        <w:rPr>
          <w:noProof/>
        </w:rPr>
        <w:fldChar w:fldCharType="begin"/>
      </w:r>
      <w:r w:rsidRPr="001E1652">
        <w:rPr>
          <w:noProof/>
        </w:rPr>
        <w:instrText xml:space="preserve"> PAGEREF _Toc350176707 \h </w:instrText>
      </w:r>
      <w:r w:rsidRPr="001E1652">
        <w:rPr>
          <w:noProof/>
        </w:rPr>
      </w:r>
      <w:r w:rsidRPr="001E1652">
        <w:rPr>
          <w:noProof/>
        </w:rPr>
        <w:fldChar w:fldCharType="separate"/>
      </w:r>
      <w:r w:rsidR="00BF634A">
        <w:rPr>
          <w:noProof/>
        </w:rPr>
        <w:t>3</w:t>
      </w:r>
      <w:r w:rsidRPr="001E1652">
        <w:rPr>
          <w:noProof/>
        </w:rPr>
        <w:fldChar w:fldCharType="end"/>
      </w:r>
    </w:p>
    <w:p w:rsidR="001E1652" w:rsidRPr="001E1652" w:rsidRDefault="001E1652">
      <w:pPr>
        <w:pStyle w:val="TOC5"/>
        <w:rPr>
          <w:rFonts w:asciiTheme="minorHAnsi" w:eastAsiaTheme="minorEastAsia" w:hAnsiTheme="minorHAnsi" w:cstheme="minorBidi"/>
          <w:noProof/>
          <w:kern w:val="0"/>
          <w:sz w:val="22"/>
          <w:szCs w:val="22"/>
        </w:rPr>
      </w:pPr>
      <w:r w:rsidRPr="001E1652">
        <w:rPr>
          <w:noProof/>
        </w:rPr>
        <w:t>8</w:t>
      </w:r>
      <w:r w:rsidRPr="001E1652">
        <w:rPr>
          <w:noProof/>
        </w:rPr>
        <w:tab/>
        <w:t>Associate deferred allowance—death of non</w:t>
      </w:r>
      <w:r w:rsidRPr="001E1652">
        <w:rPr>
          <w:noProof/>
        </w:rPr>
        <w:noBreakHyphen/>
        <w:t>member spouse</w:t>
      </w:r>
      <w:r w:rsidRPr="001E1652">
        <w:rPr>
          <w:noProof/>
        </w:rPr>
        <w:tab/>
      </w:r>
      <w:r w:rsidRPr="001E1652">
        <w:rPr>
          <w:noProof/>
        </w:rPr>
        <w:fldChar w:fldCharType="begin"/>
      </w:r>
      <w:r w:rsidRPr="001E1652">
        <w:rPr>
          <w:noProof/>
        </w:rPr>
        <w:instrText xml:space="preserve"> PAGEREF _Toc350176708 \h </w:instrText>
      </w:r>
      <w:r w:rsidRPr="001E1652">
        <w:rPr>
          <w:noProof/>
        </w:rPr>
      </w:r>
      <w:r w:rsidRPr="001E1652">
        <w:rPr>
          <w:noProof/>
        </w:rPr>
        <w:fldChar w:fldCharType="separate"/>
      </w:r>
      <w:r w:rsidR="00BF634A">
        <w:rPr>
          <w:noProof/>
        </w:rPr>
        <w:t>5</w:t>
      </w:r>
      <w:r w:rsidRPr="001E1652">
        <w:rPr>
          <w:noProof/>
        </w:rPr>
        <w:fldChar w:fldCharType="end"/>
      </w:r>
    </w:p>
    <w:p w:rsidR="001E1652" w:rsidRPr="001E1652" w:rsidRDefault="001E1652">
      <w:pPr>
        <w:pStyle w:val="TOC5"/>
        <w:rPr>
          <w:rFonts w:asciiTheme="minorHAnsi" w:eastAsiaTheme="minorEastAsia" w:hAnsiTheme="minorHAnsi" w:cstheme="minorBidi"/>
          <w:noProof/>
          <w:kern w:val="0"/>
          <w:sz w:val="22"/>
          <w:szCs w:val="22"/>
        </w:rPr>
      </w:pPr>
      <w:r w:rsidRPr="001E1652">
        <w:rPr>
          <w:noProof/>
        </w:rPr>
        <w:t>9</w:t>
      </w:r>
      <w:r w:rsidRPr="001E1652">
        <w:rPr>
          <w:noProof/>
        </w:rPr>
        <w:tab/>
        <w:t>Reduction of retirement allowance payable after operative time</w:t>
      </w:r>
      <w:r w:rsidRPr="001E1652">
        <w:rPr>
          <w:noProof/>
        </w:rPr>
        <w:tab/>
      </w:r>
      <w:r w:rsidRPr="001E1652">
        <w:rPr>
          <w:noProof/>
        </w:rPr>
        <w:fldChar w:fldCharType="begin"/>
      </w:r>
      <w:r w:rsidRPr="001E1652">
        <w:rPr>
          <w:noProof/>
        </w:rPr>
        <w:instrText xml:space="preserve"> PAGEREF _Toc350176709 \h </w:instrText>
      </w:r>
      <w:r w:rsidRPr="001E1652">
        <w:rPr>
          <w:noProof/>
        </w:rPr>
      </w:r>
      <w:r w:rsidRPr="001E1652">
        <w:rPr>
          <w:noProof/>
        </w:rPr>
        <w:fldChar w:fldCharType="separate"/>
      </w:r>
      <w:r w:rsidR="00BF634A">
        <w:rPr>
          <w:noProof/>
        </w:rPr>
        <w:t>5</w:t>
      </w:r>
      <w:r w:rsidRPr="001E1652">
        <w:rPr>
          <w:noProof/>
        </w:rPr>
        <w:fldChar w:fldCharType="end"/>
      </w:r>
    </w:p>
    <w:p w:rsidR="001E1652" w:rsidRPr="001E1652" w:rsidRDefault="001E1652">
      <w:pPr>
        <w:pStyle w:val="TOC5"/>
        <w:rPr>
          <w:rFonts w:asciiTheme="minorHAnsi" w:eastAsiaTheme="minorEastAsia" w:hAnsiTheme="minorHAnsi" w:cstheme="minorBidi"/>
          <w:noProof/>
          <w:kern w:val="0"/>
          <w:sz w:val="22"/>
          <w:szCs w:val="22"/>
        </w:rPr>
      </w:pPr>
      <w:r w:rsidRPr="001E1652">
        <w:rPr>
          <w:noProof/>
        </w:rPr>
        <w:t>10</w:t>
      </w:r>
      <w:r w:rsidRPr="001E1652">
        <w:rPr>
          <w:noProof/>
        </w:rPr>
        <w:tab/>
        <w:t>Reduction of spouse allowance payable after operative time</w:t>
      </w:r>
      <w:r w:rsidRPr="001E1652">
        <w:rPr>
          <w:noProof/>
        </w:rPr>
        <w:tab/>
      </w:r>
      <w:r w:rsidRPr="001E1652">
        <w:rPr>
          <w:noProof/>
        </w:rPr>
        <w:fldChar w:fldCharType="begin"/>
      </w:r>
      <w:r w:rsidRPr="001E1652">
        <w:rPr>
          <w:noProof/>
        </w:rPr>
        <w:instrText xml:space="preserve"> PAGEREF _Toc350176710 \h </w:instrText>
      </w:r>
      <w:r w:rsidRPr="001E1652">
        <w:rPr>
          <w:noProof/>
        </w:rPr>
      </w:r>
      <w:r w:rsidRPr="001E1652">
        <w:rPr>
          <w:noProof/>
        </w:rPr>
        <w:fldChar w:fldCharType="separate"/>
      </w:r>
      <w:r w:rsidR="00BF634A">
        <w:rPr>
          <w:noProof/>
        </w:rPr>
        <w:t>7</w:t>
      </w:r>
      <w:r w:rsidRPr="001E1652">
        <w:rPr>
          <w:noProof/>
        </w:rPr>
        <w:fldChar w:fldCharType="end"/>
      </w:r>
    </w:p>
    <w:p w:rsidR="001E1652" w:rsidRPr="001E1652" w:rsidRDefault="001E1652">
      <w:pPr>
        <w:pStyle w:val="TOC5"/>
        <w:rPr>
          <w:rFonts w:asciiTheme="minorHAnsi" w:eastAsiaTheme="minorEastAsia" w:hAnsiTheme="minorHAnsi" w:cstheme="minorBidi"/>
          <w:noProof/>
          <w:kern w:val="0"/>
          <w:sz w:val="22"/>
          <w:szCs w:val="22"/>
        </w:rPr>
      </w:pPr>
      <w:r w:rsidRPr="001E1652">
        <w:rPr>
          <w:noProof/>
        </w:rPr>
        <w:t>11</w:t>
      </w:r>
      <w:r w:rsidRPr="001E1652">
        <w:rPr>
          <w:noProof/>
        </w:rPr>
        <w:tab/>
        <w:t>Operative time during growth phase—reduction of associate deferred allowance</w:t>
      </w:r>
      <w:r w:rsidRPr="001E1652">
        <w:rPr>
          <w:noProof/>
        </w:rPr>
        <w:tab/>
      </w:r>
      <w:r w:rsidRPr="001E1652">
        <w:rPr>
          <w:noProof/>
        </w:rPr>
        <w:fldChar w:fldCharType="begin"/>
      </w:r>
      <w:r w:rsidRPr="001E1652">
        <w:rPr>
          <w:noProof/>
        </w:rPr>
        <w:instrText xml:space="preserve"> PAGEREF _Toc350176711 \h </w:instrText>
      </w:r>
      <w:r w:rsidRPr="001E1652">
        <w:rPr>
          <w:noProof/>
        </w:rPr>
      </w:r>
      <w:r w:rsidRPr="001E1652">
        <w:rPr>
          <w:noProof/>
        </w:rPr>
        <w:fldChar w:fldCharType="separate"/>
      </w:r>
      <w:r w:rsidR="00BF634A">
        <w:rPr>
          <w:noProof/>
        </w:rPr>
        <w:t>9</w:t>
      </w:r>
      <w:r w:rsidRPr="001E1652">
        <w:rPr>
          <w:noProof/>
        </w:rPr>
        <w:fldChar w:fldCharType="end"/>
      </w:r>
    </w:p>
    <w:p w:rsidR="001E1652" w:rsidRPr="001E1652" w:rsidRDefault="001E1652">
      <w:pPr>
        <w:pStyle w:val="TOC5"/>
        <w:rPr>
          <w:rFonts w:asciiTheme="minorHAnsi" w:eastAsiaTheme="minorEastAsia" w:hAnsiTheme="minorHAnsi" w:cstheme="minorBidi"/>
          <w:noProof/>
          <w:kern w:val="0"/>
          <w:sz w:val="22"/>
          <w:szCs w:val="22"/>
        </w:rPr>
      </w:pPr>
      <w:r w:rsidRPr="001E1652">
        <w:rPr>
          <w:noProof/>
        </w:rPr>
        <w:t>12</w:t>
      </w:r>
      <w:r w:rsidRPr="001E1652">
        <w:rPr>
          <w:noProof/>
        </w:rPr>
        <w:tab/>
        <w:t>Reduction of standard allowance payable at operative time</w:t>
      </w:r>
      <w:r w:rsidRPr="001E1652">
        <w:rPr>
          <w:noProof/>
        </w:rPr>
        <w:tab/>
      </w:r>
      <w:r w:rsidRPr="001E1652">
        <w:rPr>
          <w:noProof/>
        </w:rPr>
        <w:fldChar w:fldCharType="begin"/>
      </w:r>
      <w:r w:rsidRPr="001E1652">
        <w:rPr>
          <w:noProof/>
        </w:rPr>
        <w:instrText xml:space="preserve"> PAGEREF _Toc350176712 \h </w:instrText>
      </w:r>
      <w:r w:rsidRPr="001E1652">
        <w:rPr>
          <w:noProof/>
        </w:rPr>
      </w:r>
      <w:r w:rsidRPr="001E1652">
        <w:rPr>
          <w:noProof/>
        </w:rPr>
        <w:fldChar w:fldCharType="separate"/>
      </w:r>
      <w:r w:rsidR="00BF634A">
        <w:rPr>
          <w:noProof/>
        </w:rPr>
        <w:t>12</w:t>
      </w:r>
      <w:r w:rsidRPr="001E1652">
        <w:rPr>
          <w:noProof/>
        </w:rPr>
        <w:fldChar w:fldCharType="end"/>
      </w:r>
    </w:p>
    <w:p w:rsidR="001E1652" w:rsidRPr="001E1652" w:rsidRDefault="001E1652">
      <w:pPr>
        <w:pStyle w:val="TOC5"/>
        <w:rPr>
          <w:rFonts w:asciiTheme="minorHAnsi" w:eastAsiaTheme="minorEastAsia" w:hAnsiTheme="minorHAnsi" w:cstheme="minorBidi"/>
          <w:noProof/>
          <w:kern w:val="0"/>
          <w:sz w:val="22"/>
          <w:szCs w:val="22"/>
        </w:rPr>
      </w:pPr>
      <w:r w:rsidRPr="001E1652">
        <w:rPr>
          <w:noProof/>
        </w:rPr>
        <w:t>13</w:t>
      </w:r>
      <w:r w:rsidRPr="001E1652">
        <w:rPr>
          <w:noProof/>
        </w:rPr>
        <w:tab/>
        <w:t>Reduction of standard allowance payable at operative time if superannuation surcharge applies</w:t>
      </w:r>
      <w:r w:rsidRPr="001E1652">
        <w:rPr>
          <w:noProof/>
        </w:rPr>
        <w:tab/>
      </w:r>
      <w:r w:rsidRPr="001E1652">
        <w:rPr>
          <w:noProof/>
        </w:rPr>
        <w:fldChar w:fldCharType="begin"/>
      </w:r>
      <w:r w:rsidRPr="001E1652">
        <w:rPr>
          <w:noProof/>
        </w:rPr>
        <w:instrText xml:space="preserve"> PAGEREF _Toc350176713 \h </w:instrText>
      </w:r>
      <w:r w:rsidRPr="001E1652">
        <w:rPr>
          <w:noProof/>
        </w:rPr>
      </w:r>
      <w:r w:rsidRPr="001E1652">
        <w:rPr>
          <w:noProof/>
        </w:rPr>
        <w:fldChar w:fldCharType="separate"/>
      </w:r>
      <w:r w:rsidR="00BF634A">
        <w:rPr>
          <w:noProof/>
        </w:rPr>
        <w:t>16</w:t>
      </w:r>
      <w:r w:rsidRPr="001E1652">
        <w:rPr>
          <w:noProof/>
        </w:rPr>
        <w:fldChar w:fldCharType="end"/>
      </w:r>
    </w:p>
    <w:p w:rsidR="001E1652" w:rsidRPr="001E1652" w:rsidRDefault="001E1652">
      <w:pPr>
        <w:pStyle w:val="TOC1"/>
        <w:rPr>
          <w:rFonts w:asciiTheme="minorHAnsi" w:eastAsiaTheme="minorEastAsia" w:hAnsiTheme="minorHAnsi" w:cstheme="minorBidi"/>
          <w:b w:val="0"/>
          <w:noProof/>
          <w:kern w:val="0"/>
          <w:sz w:val="22"/>
          <w:szCs w:val="22"/>
        </w:rPr>
      </w:pPr>
      <w:r w:rsidRPr="001E1652">
        <w:rPr>
          <w:noProof/>
        </w:rPr>
        <w:t>Schedule 1—Methods and factors</w:t>
      </w:r>
      <w:r w:rsidRPr="001E1652">
        <w:rPr>
          <w:b w:val="0"/>
          <w:noProof/>
          <w:sz w:val="18"/>
        </w:rPr>
        <w:tab/>
      </w:r>
      <w:r w:rsidRPr="001E1652">
        <w:rPr>
          <w:b w:val="0"/>
          <w:noProof/>
          <w:sz w:val="18"/>
        </w:rPr>
        <w:fldChar w:fldCharType="begin"/>
      </w:r>
      <w:r w:rsidRPr="001E1652">
        <w:rPr>
          <w:b w:val="0"/>
          <w:noProof/>
          <w:sz w:val="18"/>
        </w:rPr>
        <w:instrText xml:space="preserve"> PAGEREF _Toc350176714 \h </w:instrText>
      </w:r>
      <w:r w:rsidRPr="001E1652">
        <w:rPr>
          <w:b w:val="0"/>
          <w:noProof/>
          <w:sz w:val="18"/>
        </w:rPr>
      </w:r>
      <w:r w:rsidRPr="001E1652">
        <w:rPr>
          <w:b w:val="0"/>
          <w:noProof/>
          <w:sz w:val="18"/>
        </w:rPr>
        <w:fldChar w:fldCharType="separate"/>
      </w:r>
      <w:r w:rsidR="00BF634A">
        <w:rPr>
          <w:b w:val="0"/>
          <w:noProof/>
          <w:sz w:val="18"/>
        </w:rPr>
        <w:t>19</w:t>
      </w:r>
      <w:r w:rsidRPr="001E1652">
        <w:rPr>
          <w:b w:val="0"/>
          <w:noProof/>
          <w:sz w:val="18"/>
        </w:rPr>
        <w:fldChar w:fldCharType="end"/>
      </w:r>
    </w:p>
    <w:p w:rsidR="001E1652" w:rsidRPr="001E1652" w:rsidRDefault="001E1652">
      <w:pPr>
        <w:pStyle w:val="TOC2"/>
        <w:rPr>
          <w:rFonts w:asciiTheme="minorHAnsi" w:eastAsiaTheme="minorEastAsia" w:hAnsiTheme="minorHAnsi" w:cstheme="minorBidi"/>
          <w:b w:val="0"/>
          <w:noProof/>
          <w:kern w:val="0"/>
          <w:sz w:val="22"/>
          <w:szCs w:val="22"/>
        </w:rPr>
      </w:pPr>
      <w:r w:rsidRPr="001E1652">
        <w:rPr>
          <w:noProof/>
        </w:rPr>
        <w:t>Part 1—Methods</w:t>
      </w:r>
      <w:r w:rsidRPr="001E1652">
        <w:rPr>
          <w:b w:val="0"/>
          <w:noProof/>
          <w:sz w:val="18"/>
        </w:rPr>
        <w:tab/>
      </w:r>
      <w:r w:rsidRPr="001E1652">
        <w:rPr>
          <w:b w:val="0"/>
          <w:noProof/>
          <w:sz w:val="18"/>
        </w:rPr>
        <w:fldChar w:fldCharType="begin"/>
      </w:r>
      <w:r w:rsidRPr="001E1652">
        <w:rPr>
          <w:b w:val="0"/>
          <w:noProof/>
          <w:sz w:val="18"/>
        </w:rPr>
        <w:instrText xml:space="preserve"> PAGEREF _Toc350176715 \h </w:instrText>
      </w:r>
      <w:r w:rsidRPr="001E1652">
        <w:rPr>
          <w:b w:val="0"/>
          <w:noProof/>
          <w:sz w:val="18"/>
        </w:rPr>
      </w:r>
      <w:r w:rsidRPr="001E1652">
        <w:rPr>
          <w:b w:val="0"/>
          <w:noProof/>
          <w:sz w:val="18"/>
        </w:rPr>
        <w:fldChar w:fldCharType="separate"/>
      </w:r>
      <w:r w:rsidR="00BF634A">
        <w:rPr>
          <w:b w:val="0"/>
          <w:noProof/>
          <w:sz w:val="18"/>
        </w:rPr>
        <w:t>19</w:t>
      </w:r>
      <w:r w:rsidRPr="001E1652">
        <w:rPr>
          <w:b w:val="0"/>
          <w:noProof/>
          <w:sz w:val="18"/>
        </w:rPr>
        <w:fldChar w:fldCharType="end"/>
      </w:r>
    </w:p>
    <w:p w:rsidR="001E1652" w:rsidRPr="001E1652" w:rsidRDefault="001E1652">
      <w:pPr>
        <w:pStyle w:val="TOC3"/>
        <w:rPr>
          <w:rFonts w:asciiTheme="minorHAnsi" w:eastAsiaTheme="minorEastAsia" w:hAnsiTheme="minorHAnsi" w:cstheme="minorBidi"/>
          <w:b w:val="0"/>
          <w:noProof/>
          <w:kern w:val="0"/>
          <w:szCs w:val="22"/>
        </w:rPr>
      </w:pPr>
      <w:r w:rsidRPr="001E1652">
        <w:rPr>
          <w:noProof/>
        </w:rPr>
        <w:t>Division 1.1—Interpretation</w:t>
      </w:r>
      <w:r w:rsidRPr="001E1652">
        <w:rPr>
          <w:b w:val="0"/>
          <w:noProof/>
          <w:sz w:val="18"/>
        </w:rPr>
        <w:tab/>
      </w:r>
      <w:r w:rsidRPr="001E1652">
        <w:rPr>
          <w:b w:val="0"/>
          <w:noProof/>
          <w:sz w:val="18"/>
        </w:rPr>
        <w:fldChar w:fldCharType="begin"/>
      </w:r>
      <w:r w:rsidRPr="001E1652">
        <w:rPr>
          <w:b w:val="0"/>
          <w:noProof/>
          <w:sz w:val="18"/>
        </w:rPr>
        <w:instrText xml:space="preserve"> PAGEREF _Toc350176716 \h </w:instrText>
      </w:r>
      <w:r w:rsidRPr="001E1652">
        <w:rPr>
          <w:b w:val="0"/>
          <w:noProof/>
          <w:sz w:val="18"/>
        </w:rPr>
      </w:r>
      <w:r w:rsidRPr="001E1652">
        <w:rPr>
          <w:b w:val="0"/>
          <w:noProof/>
          <w:sz w:val="18"/>
        </w:rPr>
        <w:fldChar w:fldCharType="separate"/>
      </w:r>
      <w:r w:rsidR="00BF634A">
        <w:rPr>
          <w:b w:val="0"/>
          <w:noProof/>
          <w:sz w:val="18"/>
        </w:rPr>
        <w:t>19</w:t>
      </w:r>
      <w:r w:rsidRPr="001E1652">
        <w:rPr>
          <w:b w:val="0"/>
          <w:noProof/>
          <w:sz w:val="18"/>
        </w:rPr>
        <w:fldChar w:fldCharType="end"/>
      </w:r>
    </w:p>
    <w:p w:rsidR="001E1652" w:rsidRPr="001E1652" w:rsidRDefault="001E1652">
      <w:pPr>
        <w:pStyle w:val="TOC5"/>
        <w:rPr>
          <w:rFonts w:asciiTheme="minorHAnsi" w:eastAsiaTheme="minorEastAsia" w:hAnsiTheme="minorHAnsi" w:cstheme="minorBidi"/>
          <w:noProof/>
          <w:kern w:val="0"/>
          <w:sz w:val="22"/>
          <w:szCs w:val="22"/>
        </w:rPr>
      </w:pPr>
      <w:r w:rsidRPr="001E1652">
        <w:rPr>
          <w:noProof/>
        </w:rPr>
        <w:t>1</w:t>
      </w:r>
      <w:r w:rsidRPr="001E1652">
        <w:rPr>
          <w:noProof/>
        </w:rPr>
        <w:tab/>
        <w:t>Definitions</w:t>
      </w:r>
      <w:r w:rsidRPr="001E1652">
        <w:rPr>
          <w:noProof/>
        </w:rPr>
        <w:tab/>
      </w:r>
      <w:r w:rsidRPr="001E1652">
        <w:rPr>
          <w:noProof/>
        </w:rPr>
        <w:fldChar w:fldCharType="begin"/>
      </w:r>
      <w:r w:rsidRPr="001E1652">
        <w:rPr>
          <w:noProof/>
        </w:rPr>
        <w:instrText xml:space="preserve"> PAGEREF _Toc350176717 \h </w:instrText>
      </w:r>
      <w:r w:rsidRPr="001E1652">
        <w:rPr>
          <w:noProof/>
        </w:rPr>
      </w:r>
      <w:r w:rsidRPr="001E1652">
        <w:rPr>
          <w:noProof/>
        </w:rPr>
        <w:fldChar w:fldCharType="separate"/>
      </w:r>
      <w:r w:rsidR="00BF634A">
        <w:rPr>
          <w:noProof/>
        </w:rPr>
        <w:t>19</w:t>
      </w:r>
      <w:r w:rsidRPr="001E1652">
        <w:rPr>
          <w:noProof/>
        </w:rPr>
        <w:fldChar w:fldCharType="end"/>
      </w:r>
    </w:p>
    <w:p w:rsidR="001E1652" w:rsidRPr="001E1652" w:rsidRDefault="001E1652">
      <w:pPr>
        <w:pStyle w:val="TOC3"/>
        <w:rPr>
          <w:rFonts w:asciiTheme="minorHAnsi" w:eastAsiaTheme="minorEastAsia" w:hAnsiTheme="minorHAnsi" w:cstheme="minorBidi"/>
          <w:b w:val="0"/>
          <w:noProof/>
          <w:kern w:val="0"/>
          <w:szCs w:val="22"/>
        </w:rPr>
      </w:pPr>
      <w:r w:rsidRPr="001E1652">
        <w:rPr>
          <w:noProof/>
        </w:rPr>
        <w:t>Division 1.2—Interests in the growth phase</w:t>
      </w:r>
      <w:r w:rsidRPr="001E1652">
        <w:rPr>
          <w:b w:val="0"/>
          <w:noProof/>
          <w:sz w:val="18"/>
        </w:rPr>
        <w:tab/>
      </w:r>
      <w:r w:rsidRPr="001E1652">
        <w:rPr>
          <w:b w:val="0"/>
          <w:noProof/>
          <w:sz w:val="18"/>
        </w:rPr>
        <w:fldChar w:fldCharType="begin"/>
      </w:r>
      <w:r w:rsidRPr="001E1652">
        <w:rPr>
          <w:b w:val="0"/>
          <w:noProof/>
          <w:sz w:val="18"/>
        </w:rPr>
        <w:instrText xml:space="preserve"> PAGEREF _Toc350176718 \h </w:instrText>
      </w:r>
      <w:r w:rsidRPr="001E1652">
        <w:rPr>
          <w:b w:val="0"/>
          <w:noProof/>
          <w:sz w:val="18"/>
        </w:rPr>
      </w:r>
      <w:r w:rsidRPr="001E1652">
        <w:rPr>
          <w:b w:val="0"/>
          <w:noProof/>
          <w:sz w:val="18"/>
        </w:rPr>
        <w:fldChar w:fldCharType="separate"/>
      </w:r>
      <w:r w:rsidR="00BF634A">
        <w:rPr>
          <w:b w:val="0"/>
          <w:noProof/>
          <w:sz w:val="18"/>
        </w:rPr>
        <w:t>20</w:t>
      </w:r>
      <w:r w:rsidRPr="001E1652">
        <w:rPr>
          <w:b w:val="0"/>
          <w:noProof/>
          <w:sz w:val="18"/>
        </w:rPr>
        <w:fldChar w:fldCharType="end"/>
      </w:r>
    </w:p>
    <w:p w:rsidR="001E1652" w:rsidRPr="001E1652" w:rsidRDefault="001E1652">
      <w:pPr>
        <w:pStyle w:val="TOC5"/>
        <w:rPr>
          <w:rFonts w:asciiTheme="minorHAnsi" w:eastAsiaTheme="minorEastAsia" w:hAnsiTheme="minorHAnsi" w:cstheme="minorBidi"/>
          <w:noProof/>
          <w:kern w:val="0"/>
          <w:sz w:val="22"/>
          <w:szCs w:val="22"/>
        </w:rPr>
      </w:pPr>
      <w:r w:rsidRPr="001E1652">
        <w:rPr>
          <w:noProof/>
        </w:rPr>
        <w:t>2</w:t>
      </w:r>
      <w:r w:rsidRPr="001E1652">
        <w:rPr>
          <w:noProof/>
        </w:rPr>
        <w:tab/>
        <w:t>Methods and factors for determining interest in the Scheme</w:t>
      </w:r>
      <w:r w:rsidRPr="001E1652">
        <w:rPr>
          <w:noProof/>
        </w:rPr>
        <w:tab/>
      </w:r>
      <w:r w:rsidRPr="001E1652">
        <w:rPr>
          <w:noProof/>
        </w:rPr>
        <w:fldChar w:fldCharType="begin"/>
      </w:r>
      <w:r w:rsidRPr="001E1652">
        <w:rPr>
          <w:noProof/>
        </w:rPr>
        <w:instrText xml:space="preserve"> PAGEREF _Toc350176719 \h </w:instrText>
      </w:r>
      <w:r w:rsidRPr="001E1652">
        <w:rPr>
          <w:noProof/>
        </w:rPr>
      </w:r>
      <w:r w:rsidRPr="001E1652">
        <w:rPr>
          <w:noProof/>
        </w:rPr>
        <w:fldChar w:fldCharType="separate"/>
      </w:r>
      <w:r w:rsidR="00BF634A">
        <w:rPr>
          <w:noProof/>
        </w:rPr>
        <w:t>20</w:t>
      </w:r>
      <w:r w:rsidRPr="001E1652">
        <w:rPr>
          <w:noProof/>
        </w:rPr>
        <w:fldChar w:fldCharType="end"/>
      </w:r>
    </w:p>
    <w:p w:rsidR="001E1652" w:rsidRPr="001E1652" w:rsidRDefault="001E1652">
      <w:pPr>
        <w:pStyle w:val="TOC3"/>
        <w:rPr>
          <w:rFonts w:asciiTheme="minorHAnsi" w:eastAsiaTheme="minorEastAsia" w:hAnsiTheme="minorHAnsi" w:cstheme="minorBidi"/>
          <w:b w:val="0"/>
          <w:noProof/>
          <w:kern w:val="0"/>
          <w:szCs w:val="22"/>
        </w:rPr>
      </w:pPr>
      <w:r w:rsidRPr="001E1652">
        <w:rPr>
          <w:noProof/>
        </w:rPr>
        <w:t>Division 1.3—Interests in the payment phase</w:t>
      </w:r>
      <w:r w:rsidRPr="001E1652">
        <w:rPr>
          <w:b w:val="0"/>
          <w:noProof/>
          <w:sz w:val="18"/>
        </w:rPr>
        <w:tab/>
      </w:r>
      <w:r w:rsidRPr="001E1652">
        <w:rPr>
          <w:b w:val="0"/>
          <w:noProof/>
          <w:sz w:val="18"/>
        </w:rPr>
        <w:fldChar w:fldCharType="begin"/>
      </w:r>
      <w:r w:rsidRPr="001E1652">
        <w:rPr>
          <w:b w:val="0"/>
          <w:noProof/>
          <w:sz w:val="18"/>
        </w:rPr>
        <w:instrText xml:space="preserve"> PAGEREF _Toc350176720 \h </w:instrText>
      </w:r>
      <w:r w:rsidRPr="001E1652">
        <w:rPr>
          <w:b w:val="0"/>
          <w:noProof/>
          <w:sz w:val="18"/>
        </w:rPr>
      </w:r>
      <w:r w:rsidRPr="001E1652">
        <w:rPr>
          <w:b w:val="0"/>
          <w:noProof/>
          <w:sz w:val="18"/>
        </w:rPr>
        <w:fldChar w:fldCharType="separate"/>
      </w:r>
      <w:r w:rsidR="00BF634A">
        <w:rPr>
          <w:b w:val="0"/>
          <w:noProof/>
          <w:sz w:val="18"/>
        </w:rPr>
        <w:t>22</w:t>
      </w:r>
      <w:r w:rsidRPr="001E1652">
        <w:rPr>
          <w:b w:val="0"/>
          <w:noProof/>
          <w:sz w:val="18"/>
        </w:rPr>
        <w:fldChar w:fldCharType="end"/>
      </w:r>
    </w:p>
    <w:p w:rsidR="001E1652" w:rsidRPr="001E1652" w:rsidRDefault="001E1652">
      <w:pPr>
        <w:pStyle w:val="TOC5"/>
        <w:rPr>
          <w:rFonts w:asciiTheme="minorHAnsi" w:eastAsiaTheme="minorEastAsia" w:hAnsiTheme="minorHAnsi" w:cstheme="minorBidi"/>
          <w:noProof/>
          <w:kern w:val="0"/>
          <w:sz w:val="22"/>
          <w:szCs w:val="22"/>
        </w:rPr>
      </w:pPr>
      <w:r w:rsidRPr="001E1652">
        <w:rPr>
          <w:noProof/>
        </w:rPr>
        <w:t>3</w:t>
      </w:r>
      <w:r w:rsidRPr="001E1652">
        <w:rPr>
          <w:noProof/>
        </w:rPr>
        <w:tab/>
        <w:t>Methods and factors for determining interest in the Scheme</w:t>
      </w:r>
      <w:r w:rsidRPr="001E1652">
        <w:rPr>
          <w:noProof/>
        </w:rPr>
        <w:tab/>
      </w:r>
      <w:r w:rsidRPr="001E1652">
        <w:rPr>
          <w:noProof/>
        </w:rPr>
        <w:fldChar w:fldCharType="begin"/>
      </w:r>
      <w:r w:rsidRPr="001E1652">
        <w:rPr>
          <w:noProof/>
        </w:rPr>
        <w:instrText xml:space="preserve"> PAGEREF _Toc350176721 \h </w:instrText>
      </w:r>
      <w:r w:rsidRPr="001E1652">
        <w:rPr>
          <w:noProof/>
        </w:rPr>
      </w:r>
      <w:r w:rsidRPr="001E1652">
        <w:rPr>
          <w:noProof/>
        </w:rPr>
        <w:fldChar w:fldCharType="separate"/>
      </w:r>
      <w:r w:rsidR="00BF634A">
        <w:rPr>
          <w:noProof/>
        </w:rPr>
        <w:t>22</w:t>
      </w:r>
      <w:r w:rsidRPr="001E1652">
        <w:rPr>
          <w:noProof/>
        </w:rPr>
        <w:fldChar w:fldCharType="end"/>
      </w:r>
    </w:p>
    <w:p w:rsidR="001E1652" w:rsidRPr="001E1652" w:rsidRDefault="001E1652">
      <w:pPr>
        <w:pStyle w:val="TOC3"/>
        <w:rPr>
          <w:rFonts w:asciiTheme="minorHAnsi" w:eastAsiaTheme="minorEastAsia" w:hAnsiTheme="minorHAnsi" w:cstheme="minorBidi"/>
          <w:b w:val="0"/>
          <w:noProof/>
          <w:kern w:val="0"/>
          <w:szCs w:val="22"/>
        </w:rPr>
      </w:pPr>
      <w:r w:rsidRPr="001E1652">
        <w:rPr>
          <w:noProof/>
        </w:rPr>
        <w:t>Division 1.4—Factors</w:t>
      </w:r>
      <w:r w:rsidRPr="001E1652">
        <w:rPr>
          <w:b w:val="0"/>
          <w:noProof/>
          <w:sz w:val="18"/>
        </w:rPr>
        <w:tab/>
      </w:r>
      <w:r w:rsidRPr="001E1652">
        <w:rPr>
          <w:b w:val="0"/>
          <w:noProof/>
          <w:sz w:val="18"/>
        </w:rPr>
        <w:fldChar w:fldCharType="begin"/>
      </w:r>
      <w:r w:rsidRPr="001E1652">
        <w:rPr>
          <w:b w:val="0"/>
          <w:noProof/>
          <w:sz w:val="18"/>
        </w:rPr>
        <w:instrText xml:space="preserve"> PAGEREF _Toc350176722 \h </w:instrText>
      </w:r>
      <w:r w:rsidRPr="001E1652">
        <w:rPr>
          <w:b w:val="0"/>
          <w:noProof/>
          <w:sz w:val="18"/>
        </w:rPr>
      </w:r>
      <w:r w:rsidRPr="001E1652">
        <w:rPr>
          <w:b w:val="0"/>
          <w:noProof/>
          <w:sz w:val="18"/>
        </w:rPr>
        <w:fldChar w:fldCharType="separate"/>
      </w:r>
      <w:r w:rsidR="00BF634A">
        <w:rPr>
          <w:b w:val="0"/>
          <w:noProof/>
          <w:sz w:val="18"/>
        </w:rPr>
        <w:t>23</w:t>
      </w:r>
      <w:r w:rsidRPr="001E1652">
        <w:rPr>
          <w:b w:val="0"/>
          <w:noProof/>
          <w:sz w:val="18"/>
        </w:rPr>
        <w:fldChar w:fldCharType="end"/>
      </w:r>
    </w:p>
    <w:p w:rsidR="001E1652" w:rsidRPr="001E1652" w:rsidRDefault="001E1652">
      <w:pPr>
        <w:pStyle w:val="TOC2"/>
        <w:rPr>
          <w:rFonts w:asciiTheme="minorHAnsi" w:eastAsiaTheme="minorEastAsia" w:hAnsiTheme="minorHAnsi" w:cstheme="minorBidi"/>
          <w:b w:val="0"/>
          <w:noProof/>
          <w:kern w:val="0"/>
          <w:sz w:val="22"/>
          <w:szCs w:val="22"/>
        </w:rPr>
      </w:pPr>
      <w:r w:rsidRPr="001E1652">
        <w:rPr>
          <w:noProof/>
        </w:rPr>
        <w:t>Part 2—Factors</w:t>
      </w:r>
      <w:r w:rsidRPr="001E1652">
        <w:rPr>
          <w:b w:val="0"/>
          <w:noProof/>
          <w:sz w:val="18"/>
        </w:rPr>
        <w:tab/>
      </w:r>
      <w:r w:rsidRPr="001E1652">
        <w:rPr>
          <w:b w:val="0"/>
          <w:noProof/>
          <w:sz w:val="18"/>
        </w:rPr>
        <w:fldChar w:fldCharType="begin"/>
      </w:r>
      <w:r w:rsidRPr="001E1652">
        <w:rPr>
          <w:b w:val="0"/>
          <w:noProof/>
          <w:sz w:val="18"/>
        </w:rPr>
        <w:instrText xml:space="preserve"> PAGEREF _Toc350176723 \h </w:instrText>
      </w:r>
      <w:r w:rsidRPr="001E1652">
        <w:rPr>
          <w:b w:val="0"/>
          <w:noProof/>
          <w:sz w:val="18"/>
        </w:rPr>
      </w:r>
      <w:r w:rsidRPr="001E1652">
        <w:rPr>
          <w:b w:val="0"/>
          <w:noProof/>
          <w:sz w:val="18"/>
        </w:rPr>
        <w:fldChar w:fldCharType="separate"/>
      </w:r>
      <w:r w:rsidR="00BF634A">
        <w:rPr>
          <w:b w:val="0"/>
          <w:noProof/>
          <w:sz w:val="18"/>
        </w:rPr>
        <w:t>26</w:t>
      </w:r>
      <w:r w:rsidRPr="001E1652">
        <w:rPr>
          <w:b w:val="0"/>
          <w:noProof/>
          <w:sz w:val="18"/>
        </w:rPr>
        <w:fldChar w:fldCharType="end"/>
      </w:r>
    </w:p>
    <w:p w:rsidR="00FF58B1" w:rsidRPr="001E1652" w:rsidRDefault="001E1652" w:rsidP="00FF58B1">
      <w:r w:rsidRPr="001E1652">
        <w:fldChar w:fldCharType="end"/>
      </w:r>
    </w:p>
    <w:p w:rsidR="00FF58B1" w:rsidRPr="001E1652" w:rsidRDefault="00FF58B1" w:rsidP="00FF58B1">
      <w:pPr>
        <w:sectPr w:rsidR="00FF58B1" w:rsidRPr="001E1652" w:rsidSect="00301E23">
          <w:headerReference w:type="even" r:id="rId16"/>
          <w:headerReference w:type="default" r:id="rId17"/>
          <w:footerReference w:type="even" r:id="rId18"/>
          <w:footerReference w:type="default" r:id="rId19"/>
          <w:headerReference w:type="first" r:id="rId20"/>
          <w:pgSz w:w="11907" w:h="16839"/>
          <w:pgMar w:top="2385" w:right="1797" w:bottom="1440" w:left="1797" w:header="720" w:footer="709" w:gutter="0"/>
          <w:pgNumType w:fmt="lowerRoman" w:start="1"/>
          <w:cols w:space="708"/>
          <w:docGrid w:linePitch="360"/>
        </w:sectPr>
      </w:pPr>
    </w:p>
    <w:p w:rsidR="00FF58B1" w:rsidRPr="001E1652" w:rsidRDefault="00FF58B1" w:rsidP="00FF58B1">
      <w:pPr>
        <w:pStyle w:val="ActHead2"/>
      </w:pPr>
      <w:bookmarkStart w:id="3" w:name="_Toc350176699"/>
      <w:r w:rsidRPr="001E1652">
        <w:rPr>
          <w:rStyle w:val="CharPartNo"/>
        </w:rPr>
        <w:lastRenderedPageBreak/>
        <w:t>Part</w:t>
      </w:r>
      <w:r w:rsidR="001E1652" w:rsidRPr="001E1652">
        <w:rPr>
          <w:rStyle w:val="CharPartNo"/>
        </w:rPr>
        <w:t> </w:t>
      </w:r>
      <w:r w:rsidRPr="001E1652">
        <w:rPr>
          <w:rStyle w:val="CharPartNo"/>
        </w:rPr>
        <w:t>1</w:t>
      </w:r>
      <w:r w:rsidRPr="001E1652">
        <w:t>—</w:t>
      </w:r>
      <w:r w:rsidRPr="001E1652">
        <w:rPr>
          <w:rStyle w:val="CharPartText"/>
        </w:rPr>
        <w:t>Preliminary</w:t>
      </w:r>
      <w:bookmarkEnd w:id="3"/>
    </w:p>
    <w:p w:rsidR="00FF58B1" w:rsidRPr="001E1652" w:rsidRDefault="00FF58B1" w:rsidP="00FF58B1">
      <w:pPr>
        <w:pStyle w:val="Header"/>
      </w:pPr>
      <w:r w:rsidRPr="001E1652">
        <w:rPr>
          <w:rStyle w:val="CharDivNo"/>
        </w:rPr>
        <w:t xml:space="preserve"> </w:t>
      </w:r>
      <w:r w:rsidRPr="001E1652">
        <w:rPr>
          <w:rStyle w:val="CharDivText"/>
        </w:rPr>
        <w:t xml:space="preserve"> </w:t>
      </w:r>
    </w:p>
    <w:p w:rsidR="00087712" w:rsidRPr="001E1652" w:rsidRDefault="00087712" w:rsidP="00FF58B1">
      <w:pPr>
        <w:pStyle w:val="ActHead5"/>
      </w:pPr>
      <w:bookmarkStart w:id="4" w:name="_Toc350176700"/>
      <w:r w:rsidRPr="001E1652">
        <w:rPr>
          <w:rStyle w:val="CharSectno"/>
        </w:rPr>
        <w:t>1</w:t>
      </w:r>
      <w:r w:rsidR="00FF58B1" w:rsidRPr="001E1652">
        <w:t xml:space="preserve">  </w:t>
      </w:r>
      <w:r w:rsidRPr="001E1652">
        <w:t>Name of order</w:t>
      </w:r>
      <w:bookmarkEnd w:id="4"/>
    </w:p>
    <w:p w:rsidR="00087712" w:rsidRPr="001E1652" w:rsidRDefault="00087712" w:rsidP="00FF58B1">
      <w:pPr>
        <w:pStyle w:val="subsection"/>
      </w:pPr>
      <w:r w:rsidRPr="001E1652">
        <w:tab/>
      </w:r>
      <w:r w:rsidRPr="001E1652">
        <w:tab/>
        <w:t xml:space="preserve">This order is the </w:t>
      </w:r>
      <w:r w:rsidR="007F3589" w:rsidRPr="001E1652">
        <w:rPr>
          <w:i/>
        </w:rPr>
        <w:t>Governor</w:t>
      </w:r>
      <w:r w:rsidR="001E1652" w:rsidRPr="001E1652">
        <w:rPr>
          <w:i/>
        </w:rPr>
        <w:noBreakHyphen/>
      </w:r>
      <w:r w:rsidR="007F3589" w:rsidRPr="001E1652">
        <w:rPr>
          <w:i/>
        </w:rPr>
        <w:t>General Allowance Order</w:t>
      </w:r>
      <w:r w:rsidR="001E1652" w:rsidRPr="001E1652">
        <w:rPr>
          <w:i/>
        </w:rPr>
        <w:t> </w:t>
      </w:r>
      <w:r w:rsidR="007F3589" w:rsidRPr="001E1652">
        <w:rPr>
          <w:i/>
        </w:rPr>
        <w:t>201</w:t>
      </w:r>
      <w:r w:rsidR="00ED2F22" w:rsidRPr="001E1652">
        <w:rPr>
          <w:i/>
        </w:rPr>
        <w:t>3</w:t>
      </w:r>
      <w:r w:rsidRPr="001E1652">
        <w:t>.</w:t>
      </w:r>
    </w:p>
    <w:p w:rsidR="00087712" w:rsidRPr="001E1652" w:rsidRDefault="00087712" w:rsidP="00FF58B1">
      <w:pPr>
        <w:pStyle w:val="ActHead5"/>
      </w:pPr>
      <w:bookmarkStart w:id="5" w:name="_Toc350176701"/>
      <w:r w:rsidRPr="001E1652">
        <w:rPr>
          <w:rStyle w:val="CharSectno"/>
        </w:rPr>
        <w:t>2</w:t>
      </w:r>
      <w:r w:rsidR="00FF58B1" w:rsidRPr="001E1652">
        <w:t xml:space="preserve">  </w:t>
      </w:r>
      <w:r w:rsidRPr="001E1652">
        <w:t>Commencement</w:t>
      </w:r>
      <w:bookmarkEnd w:id="5"/>
    </w:p>
    <w:p w:rsidR="00087712" w:rsidRPr="001E1652" w:rsidRDefault="00087712" w:rsidP="00FF58B1">
      <w:pPr>
        <w:pStyle w:val="subsection"/>
      </w:pPr>
      <w:r w:rsidRPr="001E1652">
        <w:tab/>
      </w:r>
      <w:r w:rsidRPr="001E1652">
        <w:tab/>
        <w:t xml:space="preserve">This order commences on </w:t>
      </w:r>
      <w:r w:rsidR="00FF58B1" w:rsidRPr="001E1652">
        <w:t>15</w:t>
      </w:r>
      <w:r w:rsidR="001E1652" w:rsidRPr="001E1652">
        <w:t> </w:t>
      </w:r>
      <w:r w:rsidR="00FF58B1" w:rsidRPr="001E1652">
        <w:t>March 2013</w:t>
      </w:r>
      <w:r w:rsidRPr="001E1652">
        <w:t>.</w:t>
      </w:r>
    </w:p>
    <w:p w:rsidR="00FF58B1" w:rsidRPr="001E1652" w:rsidRDefault="00FF58B1" w:rsidP="00FF58B1">
      <w:pPr>
        <w:pStyle w:val="ActHead5"/>
      </w:pPr>
      <w:bookmarkStart w:id="6" w:name="_Toc350176702"/>
      <w:bookmarkStart w:id="7" w:name="CB_S3P2L17C1"/>
      <w:r w:rsidRPr="001E1652">
        <w:rPr>
          <w:rStyle w:val="CharSectno"/>
        </w:rPr>
        <w:t>3</w:t>
      </w:r>
      <w:r w:rsidRPr="001E1652">
        <w:t xml:space="preserve">  Authority</w:t>
      </w:r>
      <w:bookmarkEnd w:id="6"/>
    </w:p>
    <w:p w:rsidR="00FF58B1" w:rsidRPr="001E1652" w:rsidRDefault="00FF58B1" w:rsidP="00FF58B1">
      <w:pPr>
        <w:pStyle w:val="subsection"/>
      </w:pPr>
      <w:r w:rsidRPr="001E1652">
        <w:tab/>
      </w:r>
      <w:r w:rsidRPr="001E1652">
        <w:tab/>
        <w:t xml:space="preserve">This order is made under the </w:t>
      </w:r>
      <w:r w:rsidRPr="001E1652">
        <w:rPr>
          <w:bCs/>
          <w:i/>
        </w:rPr>
        <w:t>Governor</w:t>
      </w:r>
      <w:r w:rsidR="001E1652" w:rsidRPr="001E1652">
        <w:rPr>
          <w:bCs/>
          <w:i/>
        </w:rPr>
        <w:noBreakHyphen/>
      </w:r>
      <w:r w:rsidRPr="001E1652">
        <w:rPr>
          <w:bCs/>
          <w:i/>
        </w:rPr>
        <w:t>General Act 1974</w:t>
      </w:r>
      <w:r w:rsidRPr="001E1652">
        <w:t>.</w:t>
      </w:r>
    </w:p>
    <w:p w:rsidR="00087712" w:rsidRPr="001E1652" w:rsidRDefault="00FF58B1" w:rsidP="00FF58B1">
      <w:pPr>
        <w:pStyle w:val="ActHead5"/>
      </w:pPr>
      <w:bookmarkStart w:id="8" w:name="CB_S3P2L19C1"/>
      <w:bookmarkStart w:id="9" w:name="_Toc350176703"/>
      <w:bookmarkEnd w:id="7"/>
      <w:bookmarkEnd w:id="8"/>
      <w:r w:rsidRPr="001E1652">
        <w:rPr>
          <w:rStyle w:val="CharSectno"/>
        </w:rPr>
        <w:t>4</w:t>
      </w:r>
      <w:r w:rsidRPr="001E1652">
        <w:t xml:space="preserve">  </w:t>
      </w:r>
      <w:r w:rsidR="001A1743" w:rsidRPr="001E1652">
        <w:t>Definitions</w:t>
      </w:r>
      <w:bookmarkEnd w:id="9"/>
    </w:p>
    <w:p w:rsidR="001A1743" w:rsidRPr="001E1652" w:rsidRDefault="001A1743" w:rsidP="00FF58B1">
      <w:pPr>
        <w:pStyle w:val="subsection"/>
      </w:pPr>
      <w:r w:rsidRPr="001E1652">
        <w:tab/>
      </w:r>
      <w:r w:rsidRPr="001E1652">
        <w:tab/>
        <w:t>In this order:</w:t>
      </w:r>
    </w:p>
    <w:p w:rsidR="001A1743" w:rsidRPr="001E1652" w:rsidRDefault="001A1743" w:rsidP="00FF58B1">
      <w:pPr>
        <w:pStyle w:val="Definition"/>
      </w:pPr>
      <w:r w:rsidRPr="001E1652">
        <w:rPr>
          <w:b/>
          <w:i/>
        </w:rPr>
        <w:t>Act</w:t>
      </w:r>
      <w:r w:rsidRPr="001E1652">
        <w:t xml:space="preserve"> means the </w:t>
      </w:r>
      <w:r w:rsidRPr="001E1652">
        <w:rPr>
          <w:bCs/>
          <w:i/>
        </w:rPr>
        <w:t>Governor</w:t>
      </w:r>
      <w:r w:rsidR="001E1652" w:rsidRPr="001E1652">
        <w:rPr>
          <w:bCs/>
          <w:i/>
        </w:rPr>
        <w:noBreakHyphen/>
      </w:r>
      <w:r w:rsidRPr="001E1652">
        <w:rPr>
          <w:bCs/>
          <w:i/>
        </w:rPr>
        <w:t>General Act 1974</w:t>
      </w:r>
      <w:r w:rsidRPr="001E1652">
        <w:t>.</w:t>
      </w:r>
    </w:p>
    <w:p w:rsidR="002161A2" w:rsidRPr="001E1652" w:rsidRDefault="002161A2" w:rsidP="00FF58B1">
      <w:pPr>
        <w:pStyle w:val="Definition"/>
      </w:pPr>
      <w:r w:rsidRPr="001E1652">
        <w:rPr>
          <w:b/>
          <w:i/>
        </w:rPr>
        <w:t>Chief Justice’s salary</w:t>
      </w:r>
      <w:r w:rsidRPr="001E1652">
        <w:t xml:space="preserve"> means the annual rate of the salary of the Chief Justice of the High Court of Australia.</w:t>
      </w:r>
    </w:p>
    <w:p w:rsidR="00C9540C" w:rsidRPr="001E1652" w:rsidRDefault="00C9540C" w:rsidP="00FF58B1">
      <w:pPr>
        <w:pStyle w:val="Definition"/>
      </w:pPr>
      <w:r w:rsidRPr="001E1652">
        <w:rPr>
          <w:b/>
          <w:i/>
        </w:rPr>
        <w:t>Table 1</w:t>
      </w:r>
      <w:r w:rsidRPr="001E1652">
        <w:t xml:space="preserve"> means Table 1 of </w:t>
      </w:r>
      <w:r w:rsidR="002E2835" w:rsidRPr="001E1652">
        <w:t>Part</w:t>
      </w:r>
      <w:r w:rsidR="001E1652" w:rsidRPr="001E1652">
        <w:t> </w:t>
      </w:r>
      <w:r w:rsidR="002E2835" w:rsidRPr="001E1652">
        <w:t xml:space="preserve">2 of </w:t>
      </w:r>
      <w:r w:rsidR="00FF58B1" w:rsidRPr="001E1652">
        <w:t>Schedule</w:t>
      </w:r>
      <w:r w:rsidR="001E1652" w:rsidRPr="001E1652">
        <w:t> </w:t>
      </w:r>
      <w:r w:rsidRPr="001E1652">
        <w:t>1.</w:t>
      </w:r>
    </w:p>
    <w:p w:rsidR="00C9540C" w:rsidRPr="001E1652" w:rsidRDefault="00C9540C" w:rsidP="00FF58B1">
      <w:pPr>
        <w:pStyle w:val="Definition"/>
      </w:pPr>
      <w:r w:rsidRPr="001E1652">
        <w:rPr>
          <w:b/>
          <w:i/>
        </w:rPr>
        <w:t>Table 2</w:t>
      </w:r>
      <w:r w:rsidRPr="001E1652">
        <w:t xml:space="preserve"> means Table 2 of </w:t>
      </w:r>
      <w:r w:rsidR="002E2835" w:rsidRPr="001E1652">
        <w:t>Part</w:t>
      </w:r>
      <w:r w:rsidR="001E1652" w:rsidRPr="001E1652">
        <w:t> </w:t>
      </w:r>
      <w:r w:rsidR="002E2835" w:rsidRPr="001E1652">
        <w:t xml:space="preserve">2 of </w:t>
      </w:r>
      <w:r w:rsidR="00FF58B1" w:rsidRPr="001E1652">
        <w:t>Schedule</w:t>
      </w:r>
      <w:r w:rsidR="001E1652" w:rsidRPr="001E1652">
        <w:t> </w:t>
      </w:r>
      <w:r w:rsidRPr="001E1652">
        <w:t>1.</w:t>
      </w:r>
    </w:p>
    <w:p w:rsidR="007F6919" w:rsidRPr="001E1652" w:rsidRDefault="00C004EC" w:rsidP="007F6919">
      <w:pPr>
        <w:pStyle w:val="Definition"/>
      </w:pPr>
      <w:r w:rsidRPr="001E1652">
        <w:rPr>
          <w:b/>
          <w:i/>
        </w:rPr>
        <w:t>T</w:t>
      </w:r>
      <w:r w:rsidR="007F6919" w:rsidRPr="001E1652">
        <w:rPr>
          <w:b/>
          <w:i/>
        </w:rPr>
        <w:t>reasury bond rate</w:t>
      </w:r>
      <w:r w:rsidR="007F6919" w:rsidRPr="001E1652">
        <w:t xml:space="preserve"> means:</w:t>
      </w:r>
    </w:p>
    <w:p w:rsidR="007F6919" w:rsidRPr="001E1652" w:rsidRDefault="007F6919" w:rsidP="007F6919">
      <w:pPr>
        <w:pStyle w:val="paragraph"/>
      </w:pPr>
      <w:r w:rsidRPr="001E1652">
        <w:tab/>
        <w:t>(a)</w:t>
      </w:r>
      <w:r w:rsidRPr="001E1652">
        <w:tab/>
        <w:t xml:space="preserve">if Treasury bonds with a 10 year term were issued on the last working day of the financial year ending immediately before the period for which the increase is being calculated—the annual </w:t>
      </w:r>
      <w:r w:rsidR="00041C76" w:rsidRPr="001E1652">
        <w:t>rate of return</w:t>
      </w:r>
      <w:r w:rsidRPr="001E1652">
        <w:t xml:space="preserve"> on those bonds; or</w:t>
      </w:r>
    </w:p>
    <w:p w:rsidR="007F6919" w:rsidRPr="001E1652" w:rsidRDefault="007F6919" w:rsidP="007F6919">
      <w:pPr>
        <w:pStyle w:val="paragraph"/>
      </w:pPr>
      <w:r w:rsidRPr="001E1652">
        <w:tab/>
        <w:t>(b)</w:t>
      </w:r>
      <w:r w:rsidRPr="001E1652">
        <w:tab/>
        <w:t xml:space="preserve">in any other case—the annual </w:t>
      </w:r>
      <w:r w:rsidR="00041C76" w:rsidRPr="001E1652">
        <w:t>rate of return</w:t>
      </w:r>
      <w:r w:rsidRPr="001E1652">
        <w:t xml:space="preserve"> on Treasury bonds with </w:t>
      </w:r>
      <w:r w:rsidR="00041C76" w:rsidRPr="001E1652">
        <w:t>a 10 year term</w:t>
      </w:r>
      <w:r w:rsidRPr="001E1652">
        <w:t>, as published by the Reserve Bank of Australia for that day.</w:t>
      </w:r>
    </w:p>
    <w:p w:rsidR="005A6728" w:rsidRPr="001E1652" w:rsidRDefault="00FF58B1" w:rsidP="00FF58B1">
      <w:pPr>
        <w:pStyle w:val="notetext"/>
      </w:pPr>
      <w:r w:rsidRPr="001E1652">
        <w:rPr>
          <w:iCs/>
        </w:rPr>
        <w:t>Note:</w:t>
      </w:r>
      <w:r w:rsidRPr="001E1652">
        <w:rPr>
          <w:iCs/>
        </w:rPr>
        <w:tab/>
      </w:r>
      <w:r w:rsidR="005A6728" w:rsidRPr="001E1652">
        <w:t>For the definitions of the following terms, see subsection</w:t>
      </w:r>
      <w:r w:rsidR="001E1652" w:rsidRPr="001E1652">
        <w:t> </w:t>
      </w:r>
      <w:r w:rsidR="00D90322" w:rsidRPr="001E1652">
        <w:t>2A(2)</w:t>
      </w:r>
      <w:r w:rsidR="005A6728" w:rsidRPr="001E1652">
        <w:t xml:space="preserve"> of the Act:</w:t>
      </w:r>
    </w:p>
    <w:p w:rsidR="005A6728" w:rsidRPr="001E1652" w:rsidRDefault="00715392" w:rsidP="00715392">
      <w:pPr>
        <w:pStyle w:val="notepara"/>
      </w:pPr>
      <w:r w:rsidRPr="001E1652">
        <w:t>(a)</w:t>
      </w:r>
      <w:r w:rsidR="00B32799" w:rsidRPr="001E1652">
        <w:tab/>
      </w:r>
      <w:r w:rsidR="005A6728" w:rsidRPr="001E1652">
        <w:t>associate deferred allowance</w:t>
      </w:r>
      <w:r w:rsidR="00D00F1D" w:rsidRPr="001E1652">
        <w:t>;</w:t>
      </w:r>
    </w:p>
    <w:p w:rsidR="005A6728" w:rsidRPr="001E1652" w:rsidRDefault="00715392" w:rsidP="00715392">
      <w:pPr>
        <w:pStyle w:val="notepara"/>
      </w:pPr>
      <w:r w:rsidRPr="001E1652">
        <w:t>(b)</w:t>
      </w:r>
      <w:r w:rsidR="00B32799" w:rsidRPr="001E1652">
        <w:tab/>
      </w:r>
      <w:r w:rsidR="005A6728" w:rsidRPr="001E1652">
        <w:t>associate immediate allowance</w:t>
      </w:r>
      <w:r w:rsidR="00D00F1D" w:rsidRPr="001E1652">
        <w:t>;</w:t>
      </w:r>
    </w:p>
    <w:p w:rsidR="005A6728" w:rsidRPr="001E1652" w:rsidRDefault="00715392" w:rsidP="00715392">
      <w:pPr>
        <w:pStyle w:val="notepara"/>
      </w:pPr>
      <w:r w:rsidRPr="001E1652">
        <w:t>(c)</w:t>
      </w:r>
      <w:r w:rsidR="00B32799" w:rsidRPr="001E1652">
        <w:tab/>
      </w:r>
      <w:r w:rsidR="005A6728" w:rsidRPr="001E1652">
        <w:t>member spouse</w:t>
      </w:r>
      <w:r w:rsidR="00D00F1D" w:rsidRPr="001E1652">
        <w:t>;</w:t>
      </w:r>
    </w:p>
    <w:p w:rsidR="005A6728" w:rsidRPr="001E1652" w:rsidRDefault="00715392" w:rsidP="00715392">
      <w:pPr>
        <w:pStyle w:val="notepara"/>
      </w:pPr>
      <w:r w:rsidRPr="001E1652">
        <w:t>(d)</w:t>
      </w:r>
      <w:r w:rsidR="00B32799" w:rsidRPr="001E1652">
        <w:tab/>
      </w:r>
      <w:r w:rsidR="005A6728" w:rsidRPr="001E1652">
        <w:t>operative time</w:t>
      </w:r>
      <w:r w:rsidR="00D00F1D" w:rsidRPr="001E1652">
        <w:t>;</w:t>
      </w:r>
    </w:p>
    <w:p w:rsidR="005A6728" w:rsidRPr="001E1652" w:rsidRDefault="00715392" w:rsidP="00715392">
      <w:pPr>
        <w:pStyle w:val="notepara"/>
      </w:pPr>
      <w:r w:rsidRPr="001E1652">
        <w:t>(</w:t>
      </w:r>
      <w:r w:rsidR="00D00F1D" w:rsidRPr="001E1652">
        <w:t>e</w:t>
      </w:r>
      <w:r w:rsidRPr="001E1652">
        <w:t>)</w:t>
      </w:r>
      <w:r w:rsidR="00B32799" w:rsidRPr="001E1652">
        <w:tab/>
      </w:r>
      <w:r w:rsidR="005A6728" w:rsidRPr="001E1652">
        <w:t>retirement allowance</w:t>
      </w:r>
      <w:r w:rsidR="00D00F1D" w:rsidRPr="001E1652">
        <w:t>;</w:t>
      </w:r>
    </w:p>
    <w:p w:rsidR="005A6728" w:rsidRPr="001E1652" w:rsidRDefault="00715392" w:rsidP="00715392">
      <w:pPr>
        <w:pStyle w:val="notepara"/>
      </w:pPr>
      <w:r w:rsidRPr="001E1652">
        <w:t>(</w:t>
      </w:r>
      <w:r w:rsidR="00D00F1D" w:rsidRPr="001E1652">
        <w:t>f</w:t>
      </w:r>
      <w:r w:rsidRPr="001E1652">
        <w:t>)</w:t>
      </w:r>
      <w:r w:rsidR="00B32799" w:rsidRPr="001E1652">
        <w:tab/>
      </w:r>
      <w:r w:rsidR="005A6728" w:rsidRPr="001E1652">
        <w:t>transfer amount</w:t>
      </w:r>
      <w:r w:rsidR="00D00F1D" w:rsidRPr="001E1652">
        <w:t>.</w:t>
      </w:r>
    </w:p>
    <w:p w:rsidR="0076471F" w:rsidRPr="001E1652" w:rsidRDefault="00FF58B1" w:rsidP="00172D7A">
      <w:pPr>
        <w:pStyle w:val="ActHead2"/>
        <w:pageBreakBefore/>
      </w:pPr>
      <w:bookmarkStart w:id="10" w:name="_Toc350176704"/>
      <w:r w:rsidRPr="001E1652">
        <w:rPr>
          <w:rStyle w:val="CharPartNo"/>
        </w:rPr>
        <w:lastRenderedPageBreak/>
        <w:t>Part</w:t>
      </w:r>
      <w:r w:rsidR="001E1652" w:rsidRPr="001E1652">
        <w:rPr>
          <w:rStyle w:val="CharPartNo"/>
        </w:rPr>
        <w:t> </w:t>
      </w:r>
      <w:r w:rsidR="0076471F" w:rsidRPr="001E1652">
        <w:rPr>
          <w:rStyle w:val="CharPartNo"/>
        </w:rPr>
        <w:t>2</w:t>
      </w:r>
      <w:r w:rsidRPr="001E1652">
        <w:t>—</w:t>
      </w:r>
      <w:r w:rsidR="00034990" w:rsidRPr="001E1652">
        <w:rPr>
          <w:rStyle w:val="CharPartText"/>
        </w:rPr>
        <w:t>Scheme value</w:t>
      </w:r>
      <w:r w:rsidR="0076471F" w:rsidRPr="001E1652">
        <w:rPr>
          <w:rStyle w:val="CharPartText"/>
        </w:rPr>
        <w:t xml:space="preserve"> and </w:t>
      </w:r>
      <w:r w:rsidR="00034990" w:rsidRPr="001E1652">
        <w:rPr>
          <w:rStyle w:val="CharPartText"/>
        </w:rPr>
        <w:t xml:space="preserve">allowance </w:t>
      </w:r>
      <w:r w:rsidR="0076471F" w:rsidRPr="001E1652">
        <w:rPr>
          <w:rStyle w:val="CharPartText"/>
        </w:rPr>
        <w:t>rates</w:t>
      </w:r>
      <w:bookmarkEnd w:id="10"/>
    </w:p>
    <w:p w:rsidR="00F17841" w:rsidRPr="001E1652" w:rsidRDefault="00F17841" w:rsidP="00F17841">
      <w:pPr>
        <w:pStyle w:val="Header"/>
      </w:pPr>
      <w:r w:rsidRPr="001E1652">
        <w:rPr>
          <w:rStyle w:val="CharDivNo"/>
        </w:rPr>
        <w:t xml:space="preserve"> </w:t>
      </w:r>
      <w:r w:rsidRPr="001E1652">
        <w:rPr>
          <w:rStyle w:val="CharDivText"/>
        </w:rPr>
        <w:t xml:space="preserve"> </w:t>
      </w:r>
    </w:p>
    <w:p w:rsidR="0076471F" w:rsidRPr="001E1652" w:rsidRDefault="0053054B" w:rsidP="00FF58B1">
      <w:pPr>
        <w:pStyle w:val="ActHead5"/>
      </w:pPr>
      <w:bookmarkStart w:id="11" w:name="_Toc350176705"/>
      <w:r w:rsidRPr="001E1652">
        <w:rPr>
          <w:rStyle w:val="CharSectno"/>
        </w:rPr>
        <w:t>5</w:t>
      </w:r>
      <w:r w:rsidR="00FF58B1" w:rsidRPr="001E1652">
        <w:t xml:space="preserve">  </w:t>
      </w:r>
      <w:r w:rsidR="0076471F" w:rsidRPr="001E1652">
        <w:t>Scheme value</w:t>
      </w:r>
      <w:bookmarkEnd w:id="11"/>
    </w:p>
    <w:p w:rsidR="0076471F" w:rsidRPr="001E1652" w:rsidRDefault="00FF58B1" w:rsidP="00FF58B1">
      <w:pPr>
        <w:pStyle w:val="subsection"/>
      </w:pPr>
      <w:r w:rsidRPr="001E1652">
        <w:tab/>
      </w:r>
      <w:r w:rsidR="0076471F" w:rsidRPr="001E1652">
        <w:tab/>
        <w:t xml:space="preserve">For the definition of </w:t>
      </w:r>
      <w:r w:rsidR="0076471F" w:rsidRPr="001E1652">
        <w:rPr>
          <w:b/>
          <w:bCs/>
          <w:i/>
          <w:iCs/>
        </w:rPr>
        <w:t>scheme value</w:t>
      </w:r>
      <w:r w:rsidR="0076471F" w:rsidRPr="001E1652">
        <w:t xml:space="preserve"> in subsection</w:t>
      </w:r>
      <w:r w:rsidR="001E1652" w:rsidRPr="001E1652">
        <w:t> </w:t>
      </w:r>
      <w:r w:rsidR="00D90322" w:rsidRPr="001E1652">
        <w:t>2A(2)</w:t>
      </w:r>
      <w:r w:rsidR="0076471F" w:rsidRPr="001E1652">
        <w:t xml:space="preserve"> of the Act, the scheme value in relation to the member spouse is determined using the methods and factors set out in </w:t>
      </w:r>
      <w:r w:rsidRPr="001E1652">
        <w:t>Schedule</w:t>
      </w:r>
      <w:r w:rsidR="001E1652" w:rsidRPr="001E1652">
        <w:t> </w:t>
      </w:r>
      <w:r w:rsidR="0076471F" w:rsidRPr="001E1652">
        <w:t xml:space="preserve">1 as in force </w:t>
      </w:r>
      <w:r w:rsidR="00BA531A" w:rsidRPr="001E1652">
        <w:t>at</w:t>
      </w:r>
      <w:r w:rsidR="0076471F" w:rsidRPr="001E1652">
        <w:t xml:space="preserve"> the operative time.</w:t>
      </w:r>
    </w:p>
    <w:p w:rsidR="005A6728" w:rsidRPr="001E1652" w:rsidRDefault="0053054B" w:rsidP="00FF58B1">
      <w:pPr>
        <w:pStyle w:val="ActHead5"/>
      </w:pPr>
      <w:bookmarkStart w:id="12" w:name="_Toc350176706"/>
      <w:r w:rsidRPr="001E1652">
        <w:rPr>
          <w:rStyle w:val="CharSectno"/>
        </w:rPr>
        <w:t>6</w:t>
      </w:r>
      <w:r w:rsidR="00FF58B1" w:rsidRPr="001E1652">
        <w:t xml:space="preserve">  </w:t>
      </w:r>
      <w:r w:rsidR="00110BF4" w:rsidRPr="001E1652">
        <w:t xml:space="preserve">Associate </w:t>
      </w:r>
      <w:r w:rsidR="006905C6" w:rsidRPr="001E1652">
        <w:t xml:space="preserve">immediate </w:t>
      </w:r>
      <w:r w:rsidR="00110BF4" w:rsidRPr="001E1652">
        <w:t>allowance</w:t>
      </w:r>
      <w:r w:rsidR="007A303A" w:rsidRPr="001E1652">
        <w:t xml:space="preserve"> for non</w:t>
      </w:r>
      <w:r w:rsidR="001E1652" w:rsidRPr="001E1652">
        <w:noBreakHyphen/>
      </w:r>
      <w:r w:rsidR="007A303A" w:rsidRPr="001E1652">
        <w:t>member spouse</w:t>
      </w:r>
      <w:bookmarkEnd w:id="12"/>
    </w:p>
    <w:p w:rsidR="005A6728" w:rsidRPr="001E1652" w:rsidRDefault="006905C6" w:rsidP="006905C6">
      <w:pPr>
        <w:pStyle w:val="subsection"/>
      </w:pPr>
      <w:r w:rsidRPr="001E1652">
        <w:tab/>
      </w:r>
      <w:r w:rsidR="005A6728" w:rsidRPr="001E1652">
        <w:tab/>
      </w:r>
      <w:r w:rsidRPr="001E1652">
        <w:t>F</w:t>
      </w:r>
      <w:r w:rsidR="005A6728" w:rsidRPr="001E1652">
        <w:t>or subsection</w:t>
      </w:r>
      <w:r w:rsidR="001E1652" w:rsidRPr="001E1652">
        <w:t> </w:t>
      </w:r>
      <w:r w:rsidR="005A6728" w:rsidRPr="001E1652">
        <w:t>4A</w:t>
      </w:r>
      <w:r w:rsidR="00FF58B1" w:rsidRPr="001E1652">
        <w:t>B(</w:t>
      </w:r>
      <w:r w:rsidR="005A6728" w:rsidRPr="001E1652">
        <w:t>2) of the Act</w:t>
      </w:r>
      <w:r w:rsidRPr="001E1652">
        <w:t xml:space="preserve"> the rate</w:t>
      </w:r>
      <w:r w:rsidR="005A6728" w:rsidRPr="001E1652">
        <w:t xml:space="preserve"> is calculated as follows:</w:t>
      </w:r>
    </w:p>
    <w:p w:rsidR="00D25D60" w:rsidRPr="001E1652" w:rsidRDefault="00D25D60" w:rsidP="00D25D60">
      <w:pPr>
        <w:pStyle w:val="BoxHeadItalic"/>
      </w:pPr>
      <w:r w:rsidRPr="001E1652">
        <w:t>Method statement</w:t>
      </w:r>
    </w:p>
    <w:p w:rsidR="00D25D60" w:rsidRPr="001E1652" w:rsidRDefault="00D25D60" w:rsidP="00D25D60">
      <w:pPr>
        <w:pStyle w:val="BoxStep"/>
      </w:pPr>
      <w:r w:rsidRPr="001E1652">
        <w:t>Step 1.</w:t>
      </w:r>
      <w:r w:rsidRPr="001E1652">
        <w:tab/>
        <w:t>Identify the transfer amount that was payable at the operative time.</w:t>
      </w:r>
    </w:p>
    <w:p w:rsidR="00D25D60" w:rsidRPr="001E1652" w:rsidRDefault="00D25D60" w:rsidP="00D25D60">
      <w:pPr>
        <w:pStyle w:val="BoxStep"/>
      </w:pPr>
      <w:r w:rsidRPr="001E1652">
        <w:t>Step 2.</w:t>
      </w:r>
      <w:r w:rsidRPr="001E1652">
        <w:tab/>
        <w:t>Calculate an amount using the formula:</w:t>
      </w:r>
    </w:p>
    <w:p w:rsidR="00D25D60" w:rsidRPr="001E1652" w:rsidRDefault="00D25D60" w:rsidP="00D25D60">
      <w:pPr>
        <w:pStyle w:val="BoxStep"/>
      </w:pPr>
      <w:r w:rsidRPr="001E1652">
        <w:tab/>
      </w:r>
      <w:r w:rsidRPr="001E1652">
        <w:rPr>
          <w:b/>
          <w:bCs/>
        </w:rPr>
        <w:object w:dxaOrig="2540" w:dyaOrig="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6.75pt;height:33pt" o:ole="">
            <v:imagedata r:id="rId21" o:title=""/>
          </v:shape>
          <o:OLEObject Type="Embed" ProgID="Equation.DSMT4" ShapeID="_x0000_i1025" DrawAspect="Content" ObjectID="_1424680909" r:id="rId22"/>
        </w:object>
      </w:r>
    </w:p>
    <w:p w:rsidR="00D25D60" w:rsidRPr="001E1652" w:rsidRDefault="00D25D60" w:rsidP="00D25D60">
      <w:pPr>
        <w:pStyle w:val="BoxStep"/>
      </w:pPr>
      <w:r w:rsidRPr="001E1652">
        <w:tab/>
        <w:t>where:</w:t>
      </w:r>
    </w:p>
    <w:p w:rsidR="00D25D60" w:rsidRPr="001E1652" w:rsidRDefault="00D25D60" w:rsidP="00D25D60">
      <w:pPr>
        <w:pStyle w:val="BoxStep"/>
      </w:pPr>
      <w:r w:rsidRPr="001E1652">
        <w:rPr>
          <w:b/>
          <w:bCs/>
          <w:i/>
          <w:iCs/>
        </w:rPr>
        <w:tab/>
        <w:t>F</w:t>
      </w:r>
      <w:r w:rsidRPr="001E1652">
        <w:rPr>
          <w:b/>
          <w:bCs/>
          <w:i/>
          <w:iCs/>
          <w:vertAlign w:val="subscript"/>
        </w:rPr>
        <w:t>y</w:t>
      </w:r>
      <w:r w:rsidRPr="001E1652">
        <w:rPr>
          <w:i/>
          <w:iCs/>
        </w:rPr>
        <w:t xml:space="preserve"> </w:t>
      </w:r>
      <w:r w:rsidRPr="001E1652">
        <w:t>is the number in Table 1 that applies to the non</w:t>
      </w:r>
      <w:r w:rsidR="001E1652" w:rsidRPr="001E1652">
        <w:noBreakHyphen/>
      </w:r>
      <w:r w:rsidRPr="001E1652">
        <w:t>member spouse’s gender, and age in whole years, at the operative time.</w:t>
      </w:r>
    </w:p>
    <w:p w:rsidR="00D25D60" w:rsidRPr="001E1652" w:rsidRDefault="00D25D60" w:rsidP="00D25D60">
      <w:pPr>
        <w:pStyle w:val="BoxStep"/>
      </w:pPr>
      <w:r w:rsidRPr="001E1652">
        <w:rPr>
          <w:b/>
          <w:bCs/>
          <w:i/>
          <w:iCs/>
        </w:rPr>
        <w:tab/>
        <w:t>F</w:t>
      </w:r>
      <w:r w:rsidRPr="001E1652">
        <w:rPr>
          <w:b/>
          <w:bCs/>
          <w:i/>
          <w:iCs/>
          <w:vertAlign w:val="subscript"/>
        </w:rPr>
        <w:t>y+1</w:t>
      </w:r>
      <w:r w:rsidRPr="001E1652">
        <w:rPr>
          <w:b/>
          <w:bCs/>
          <w:i/>
          <w:iCs/>
        </w:rPr>
        <w:t xml:space="preserve"> </w:t>
      </w:r>
      <w:r w:rsidRPr="001E1652">
        <w:t>is the number in Table 1 that would apply to the non</w:t>
      </w:r>
      <w:r w:rsidR="001E1652" w:rsidRPr="001E1652">
        <w:noBreakHyphen/>
      </w:r>
      <w:r w:rsidRPr="001E1652">
        <w:t>member spouse if the non</w:t>
      </w:r>
      <w:r w:rsidR="001E1652" w:rsidRPr="001E1652">
        <w:noBreakHyphen/>
      </w:r>
      <w:r w:rsidRPr="001E1652">
        <w:t>member spouse’s age in whole years was one year more than it was at the operative time.</w:t>
      </w:r>
    </w:p>
    <w:p w:rsidR="00D25D60" w:rsidRPr="001E1652" w:rsidRDefault="00D25D60" w:rsidP="00D25D60">
      <w:pPr>
        <w:pStyle w:val="BoxStep"/>
      </w:pPr>
      <w:r w:rsidRPr="001E1652">
        <w:rPr>
          <w:b/>
          <w:bCs/>
          <w:i/>
          <w:iCs/>
        </w:rPr>
        <w:tab/>
        <w:t>m</w:t>
      </w:r>
      <w:r w:rsidRPr="001E1652">
        <w:rPr>
          <w:i/>
          <w:iCs/>
        </w:rPr>
        <w:t xml:space="preserve"> </w:t>
      </w:r>
      <w:r w:rsidRPr="001E1652">
        <w:t>is the number of whole months of the non</w:t>
      </w:r>
      <w:r w:rsidR="001E1652" w:rsidRPr="001E1652">
        <w:noBreakHyphen/>
      </w:r>
      <w:r w:rsidRPr="001E1652">
        <w:t>member spouse’s age that are not included in the non</w:t>
      </w:r>
      <w:r w:rsidR="001E1652" w:rsidRPr="001E1652">
        <w:noBreakHyphen/>
      </w:r>
      <w:r w:rsidRPr="001E1652">
        <w:t>member spouse’s age in whole years at the operative time.</w:t>
      </w:r>
    </w:p>
    <w:p w:rsidR="00D25D60" w:rsidRPr="001E1652" w:rsidRDefault="00D25D60" w:rsidP="00D25D60">
      <w:pPr>
        <w:pStyle w:val="BoxStep"/>
      </w:pPr>
      <w:r w:rsidRPr="001E1652">
        <w:t>Step 3.</w:t>
      </w:r>
      <w:r w:rsidRPr="001E1652">
        <w:tab/>
        <w:t>Divide the amount identified in step 1 by the amount calculated in step 2.</w:t>
      </w:r>
    </w:p>
    <w:p w:rsidR="00D25D60" w:rsidRPr="001E1652" w:rsidRDefault="00D25D60" w:rsidP="00D25D60">
      <w:pPr>
        <w:pStyle w:val="BoxStep"/>
      </w:pPr>
      <w:r w:rsidRPr="001E1652">
        <w:t>Step 4.</w:t>
      </w:r>
      <w:r w:rsidRPr="001E1652">
        <w:tab/>
        <w:t>Divide the amount calculated in step 3 by the Chief Justice’s salary at the operative time.</w:t>
      </w:r>
    </w:p>
    <w:p w:rsidR="00D25D60" w:rsidRPr="001E1652" w:rsidRDefault="00D25D60" w:rsidP="00D25D60">
      <w:pPr>
        <w:pStyle w:val="BoxStep"/>
      </w:pPr>
      <w:r w:rsidRPr="001E1652">
        <w:tab/>
        <w:t>Round the result to 4 decimal places (rounding up if the fifth decimal place is 5 or more).</w:t>
      </w:r>
    </w:p>
    <w:p w:rsidR="00D25D60" w:rsidRPr="001E1652" w:rsidRDefault="00D25D60" w:rsidP="00D25D60">
      <w:pPr>
        <w:pStyle w:val="BoxStep"/>
      </w:pPr>
      <w:r w:rsidRPr="001E1652">
        <w:t>Step 5.</w:t>
      </w:r>
      <w:r w:rsidRPr="001E1652">
        <w:tab/>
        <w:t>Multiply the amount calculated in step 4 by the Chief Justice’s salary.</w:t>
      </w:r>
    </w:p>
    <w:p w:rsidR="002B766C" w:rsidRPr="001E1652" w:rsidRDefault="0053054B" w:rsidP="00FF58B1">
      <w:pPr>
        <w:pStyle w:val="ActHead5"/>
      </w:pPr>
      <w:bookmarkStart w:id="13" w:name="_Toc350176707"/>
      <w:r w:rsidRPr="001E1652">
        <w:rPr>
          <w:rStyle w:val="CharSectno"/>
        </w:rPr>
        <w:lastRenderedPageBreak/>
        <w:t>7</w:t>
      </w:r>
      <w:r w:rsidR="00FF58B1" w:rsidRPr="001E1652">
        <w:t xml:space="preserve">  </w:t>
      </w:r>
      <w:r w:rsidR="002B766C" w:rsidRPr="001E1652">
        <w:t xml:space="preserve">Associate deferred </w:t>
      </w:r>
      <w:r w:rsidR="00930042" w:rsidRPr="001E1652">
        <w:t>allowance</w:t>
      </w:r>
      <w:r w:rsidR="007A303A" w:rsidRPr="001E1652">
        <w:t xml:space="preserve"> for non</w:t>
      </w:r>
      <w:r w:rsidR="001E1652" w:rsidRPr="001E1652">
        <w:noBreakHyphen/>
      </w:r>
      <w:r w:rsidR="007A303A" w:rsidRPr="001E1652">
        <w:t>member spouse</w:t>
      </w:r>
      <w:bookmarkEnd w:id="13"/>
    </w:p>
    <w:p w:rsidR="002B766C" w:rsidRPr="001E1652" w:rsidRDefault="00D2562C" w:rsidP="006905C6">
      <w:pPr>
        <w:pStyle w:val="subsection"/>
      </w:pPr>
      <w:r w:rsidRPr="001E1652">
        <w:tab/>
      </w:r>
      <w:r w:rsidR="00FF7EDB" w:rsidRPr="001E1652">
        <w:tab/>
      </w:r>
      <w:r w:rsidR="006905C6" w:rsidRPr="001E1652">
        <w:t>F</w:t>
      </w:r>
      <w:r w:rsidR="00E422D3" w:rsidRPr="001E1652">
        <w:t>or subsection</w:t>
      </w:r>
      <w:r w:rsidR="001E1652" w:rsidRPr="001E1652">
        <w:t> </w:t>
      </w:r>
      <w:r w:rsidR="00E422D3" w:rsidRPr="001E1652">
        <w:t>4A</w:t>
      </w:r>
      <w:r w:rsidR="00FF58B1" w:rsidRPr="001E1652">
        <w:t>C(</w:t>
      </w:r>
      <w:r w:rsidR="00FF7EDB" w:rsidRPr="001E1652">
        <w:t>1) of the Act</w:t>
      </w:r>
      <w:r w:rsidR="007C7EC0" w:rsidRPr="001E1652">
        <w:t>,</w:t>
      </w:r>
      <w:r w:rsidR="006905C6" w:rsidRPr="001E1652">
        <w:t xml:space="preserve"> the annual rate</w:t>
      </w:r>
      <w:r w:rsidR="00CC7C20" w:rsidRPr="001E1652">
        <w:t xml:space="preserve"> </w:t>
      </w:r>
      <w:r w:rsidR="002B766C" w:rsidRPr="001E1652">
        <w:t>is calculated as follows:</w:t>
      </w:r>
    </w:p>
    <w:p w:rsidR="00D25D60" w:rsidRPr="001E1652" w:rsidRDefault="00D25D60" w:rsidP="00D25D60">
      <w:pPr>
        <w:pStyle w:val="BoxHeadItalic"/>
      </w:pPr>
      <w:r w:rsidRPr="001E1652">
        <w:t>Method statement</w:t>
      </w:r>
    </w:p>
    <w:p w:rsidR="00D25D60" w:rsidRPr="001E1652" w:rsidRDefault="00D25D60" w:rsidP="00D25D60">
      <w:pPr>
        <w:pStyle w:val="BoxStep"/>
      </w:pPr>
      <w:r w:rsidRPr="001E1652">
        <w:t>Step 1.</w:t>
      </w:r>
      <w:r w:rsidRPr="001E1652">
        <w:tab/>
        <w:t>Identify the transfer amount that was payable at the operative time.</w:t>
      </w:r>
    </w:p>
    <w:p w:rsidR="00D25D60" w:rsidRPr="001E1652" w:rsidRDefault="00D25D60" w:rsidP="00D25D60">
      <w:pPr>
        <w:pStyle w:val="BoxStep"/>
      </w:pPr>
      <w:r w:rsidRPr="001E1652">
        <w:t>Step 2A.</w:t>
      </w:r>
      <w:r w:rsidRPr="001E1652">
        <w:tab/>
        <w:t>Add the amount identified in step 1 to the increases in the transfer amount calculated in steps 2B, 2C and 2D.</w:t>
      </w:r>
    </w:p>
    <w:p w:rsidR="00D25D60" w:rsidRPr="001E1652" w:rsidRDefault="00D25D60" w:rsidP="00D25D60">
      <w:pPr>
        <w:pStyle w:val="BoxStep"/>
        <w:rPr>
          <w:i/>
          <w:iCs/>
        </w:rPr>
      </w:pPr>
      <w:r w:rsidRPr="001E1652">
        <w:t>Step 2B.</w:t>
      </w:r>
      <w:r w:rsidRPr="001E1652">
        <w:tab/>
      </w:r>
      <w:r w:rsidRPr="001E1652">
        <w:rPr>
          <w:i/>
          <w:iCs/>
        </w:rPr>
        <w:t>First period</w:t>
      </w:r>
    </w:p>
    <w:p w:rsidR="00D25D60" w:rsidRPr="001E1652" w:rsidRDefault="00D25D60" w:rsidP="00D25D60">
      <w:pPr>
        <w:pStyle w:val="BoxStep"/>
      </w:pPr>
      <w:r w:rsidRPr="001E1652">
        <w:tab/>
        <w:t>Identify the shorter of:</w:t>
      </w:r>
    </w:p>
    <w:p w:rsidR="00D25D60" w:rsidRPr="001E1652" w:rsidRDefault="00D25D60" w:rsidP="00D25D60">
      <w:pPr>
        <w:pStyle w:val="BoxPara"/>
      </w:pPr>
      <w:r w:rsidRPr="001E1652">
        <w:tab/>
        <w:t>(a)</w:t>
      </w:r>
      <w:r w:rsidRPr="001E1652">
        <w:tab/>
        <w:t>the period between the operative time and the end of the financial year in which the operative time occurs; and</w:t>
      </w:r>
    </w:p>
    <w:p w:rsidR="00D25D60" w:rsidRPr="001E1652" w:rsidRDefault="00D25D60" w:rsidP="00D25D60">
      <w:pPr>
        <w:pStyle w:val="BoxPara"/>
      </w:pPr>
      <w:r w:rsidRPr="001E1652">
        <w:tab/>
        <w:t>(b)</w:t>
      </w:r>
      <w:r w:rsidRPr="001E1652">
        <w:tab/>
        <w:t>the period between the operative time and when the associate deferred allowance becomes payable.</w:t>
      </w:r>
    </w:p>
    <w:p w:rsidR="00D25D60" w:rsidRPr="001E1652" w:rsidRDefault="00D25D60" w:rsidP="00D25D60">
      <w:pPr>
        <w:pStyle w:val="BoxStep"/>
      </w:pPr>
      <w:r w:rsidRPr="001E1652">
        <w:tab/>
        <w:t xml:space="preserve">This is the </w:t>
      </w:r>
      <w:r w:rsidRPr="001E1652">
        <w:rPr>
          <w:b/>
          <w:bCs/>
          <w:i/>
          <w:iCs/>
        </w:rPr>
        <w:t>first period</w:t>
      </w:r>
      <w:r w:rsidRPr="001E1652">
        <w:t>.</w:t>
      </w:r>
    </w:p>
    <w:p w:rsidR="00D25D60" w:rsidRPr="001E1652" w:rsidRDefault="00D25D60" w:rsidP="00D25D60">
      <w:pPr>
        <w:pStyle w:val="BoxStep"/>
      </w:pPr>
      <w:r w:rsidRPr="001E1652">
        <w:tab/>
        <w:t>Calculate the increase in the transfer amount for the first period using the formula:</w:t>
      </w:r>
    </w:p>
    <w:p w:rsidR="00D25D60" w:rsidRPr="001E1652" w:rsidRDefault="00D25D60" w:rsidP="00D25D60">
      <w:pPr>
        <w:pStyle w:val="BoxStep"/>
      </w:pPr>
      <w:r w:rsidRPr="001E1652">
        <w:tab/>
      </w:r>
      <w:r w:rsidRPr="001E1652">
        <w:object w:dxaOrig="2079" w:dyaOrig="620">
          <v:shape id="_x0000_i1026" type="#_x0000_t75" style="width:104.25pt;height:30.75pt" o:ole="">
            <v:imagedata r:id="rId23" o:title=""/>
          </v:shape>
          <o:OLEObject Type="Embed" ProgID="Equation.DSMT4" ShapeID="_x0000_i1026" DrawAspect="Content" ObjectID="_1424680910" r:id="rId24"/>
        </w:object>
      </w:r>
    </w:p>
    <w:p w:rsidR="00D25D60" w:rsidRPr="001E1652" w:rsidRDefault="00D25D60" w:rsidP="00D25D60">
      <w:pPr>
        <w:pStyle w:val="BoxStep"/>
      </w:pPr>
      <w:r w:rsidRPr="001E1652">
        <w:tab/>
        <w:t>where:</w:t>
      </w:r>
    </w:p>
    <w:p w:rsidR="00D25D60" w:rsidRPr="001E1652" w:rsidRDefault="00D25D60" w:rsidP="00D25D60">
      <w:pPr>
        <w:pStyle w:val="BoxStep"/>
      </w:pPr>
      <w:r w:rsidRPr="001E1652">
        <w:rPr>
          <w:b/>
          <w:i/>
        </w:rPr>
        <w:tab/>
        <w:t>amount</w:t>
      </w:r>
      <w:r w:rsidRPr="001E1652">
        <w:t xml:space="preserve"> is the amount identified in step 1.</w:t>
      </w:r>
    </w:p>
    <w:p w:rsidR="00D25D60" w:rsidRPr="001E1652" w:rsidRDefault="00D25D60" w:rsidP="00D25D60">
      <w:pPr>
        <w:pStyle w:val="BoxStep"/>
        <w:rPr>
          <w:b/>
          <w:i/>
        </w:rPr>
      </w:pPr>
      <w:r w:rsidRPr="001E1652">
        <w:rPr>
          <w:b/>
          <w:i/>
        </w:rPr>
        <w:tab/>
        <w:t>rate</w:t>
      </w:r>
      <w:r w:rsidRPr="001E1652">
        <w:t xml:space="preserve"> is the Treasury bond rate for the financial year in which the first period occurs.</w:t>
      </w:r>
    </w:p>
    <w:p w:rsidR="00D25D60" w:rsidRPr="001E1652" w:rsidRDefault="00D25D60" w:rsidP="00D25D60">
      <w:pPr>
        <w:pStyle w:val="BoxStep"/>
      </w:pPr>
      <w:r w:rsidRPr="001E1652">
        <w:rPr>
          <w:b/>
          <w:i/>
        </w:rPr>
        <w:tab/>
        <w:t>time</w:t>
      </w:r>
      <w:r w:rsidRPr="001E1652">
        <w:t xml:space="preserve"> is the number of days in the first period.</w:t>
      </w:r>
    </w:p>
    <w:p w:rsidR="00D25D60" w:rsidRPr="001E1652" w:rsidRDefault="00D25D60" w:rsidP="00D25D60">
      <w:pPr>
        <w:pStyle w:val="BoxStep"/>
      </w:pPr>
      <w:r w:rsidRPr="001E1652">
        <w:tab/>
        <w:t>Round the result to 2 decimal places (rounding up if the third decimal place is 5 or more).</w:t>
      </w:r>
    </w:p>
    <w:p w:rsidR="00D25D60" w:rsidRPr="001E1652" w:rsidRDefault="00D25D60" w:rsidP="00D25D60">
      <w:pPr>
        <w:pStyle w:val="BoxStep"/>
        <w:rPr>
          <w:i/>
          <w:iCs/>
        </w:rPr>
      </w:pPr>
      <w:r w:rsidRPr="001E1652">
        <w:t>Step 2C.</w:t>
      </w:r>
      <w:r w:rsidRPr="001E1652">
        <w:tab/>
      </w:r>
      <w:r w:rsidRPr="001E1652">
        <w:rPr>
          <w:i/>
          <w:iCs/>
        </w:rPr>
        <w:t>Second period (if any)</w:t>
      </w:r>
    </w:p>
    <w:p w:rsidR="00D25D60" w:rsidRPr="001E1652" w:rsidRDefault="00D25D60" w:rsidP="00D25D60">
      <w:pPr>
        <w:pStyle w:val="BoxStep"/>
      </w:pPr>
      <w:r w:rsidRPr="001E1652">
        <w:tab/>
        <w:t>Use this step if one or more full financial years occurs immediately after the end of the first period and before the associate deferred allowance becomes payable.</w:t>
      </w:r>
    </w:p>
    <w:p w:rsidR="00D25D60" w:rsidRPr="001E1652" w:rsidRDefault="00D25D60" w:rsidP="00D25D60">
      <w:pPr>
        <w:pStyle w:val="BoxStep"/>
      </w:pPr>
      <w:r w:rsidRPr="001E1652">
        <w:tab/>
        <w:t xml:space="preserve">This is the </w:t>
      </w:r>
      <w:r w:rsidRPr="001E1652">
        <w:rPr>
          <w:b/>
          <w:bCs/>
          <w:i/>
          <w:iCs/>
        </w:rPr>
        <w:t>second period</w:t>
      </w:r>
      <w:r w:rsidRPr="001E1652">
        <w:t>.</w:t>
      </w:r>
    </w:p>
    <w:p w:rsidR="00D25D60" w:rsidRPr="001E1652" w:rsidRDefault="00D25D60" w:rsidP="00D25D60">
      <w:pPr>
        <w:pStyle w:val="BoxStep"/>
      </w:pPr>
      <w:r w:rsidRPr="001E1652">
        <w:lastRenderedPageBreak/>
        <w:tab/>
        <w:t>Calculate the increase in the transfer amount for each full financial year of the second period using the formula:</w:t>
      </w:r>
    </w:p>
    <w:p w:rsidR="00D25D60" w:rsidRPr="001E1652" w:rsidRDefault="00D25D60" w:rsidP="00D25D60">
      <w:pPr>
        <w:pStyle w:val="BoxStep"/>
      </w:pPr>
      <w:r w:rsidRPr="001E1652">
        <w:tab/>
      </w:r>
      <w:r w:rsidRPr="001E1652">
        <w:object w:dxaOrig="2400" w:dyaOrig="279">
          <v:shape id="_x0000_i1027" type="#_x0000_t75" style="width:120.75pt;height:13.5pt" o:ole="">
            <v:imagedata r:id="rId25" o:title=""/>
          </v:shape>
          <o:OLEObject Type="Embed" ProgID="Equation.DSMT4" ShapeID="_x0000_i1027" DrawAspect="Content" ObjectID="_1424680911" r:id="rId26"/>
        </w:object>
      </w:r>
    </w:p>
    <w:p w:rsidR="00D25D60" w:rsidRPr="001E1652" w:rsidRDefault="00D25D60" w:rsidP="00D25D60">
      <w:pPr>
        <w:pStyle w:val="BoxStep"/>
      </w:pPr>
      <w:r w:rsidRPr="001E1652">
        <w:tab/>
        <w:t>where:</w:t>
      </w:r>
    </w:p>
    <w:p w:rsidR="00D25D60" w:rsidRPr="001E1652" w:rsidRDefault="00D25D60" w:rsidP="00D25D60">
      <w:pPr>
        <w:pStyle w:val="BoxStep"/>
      </w:pPr>
      <w:r w:rsidRPr="001E1652">
        <w:rPr>
          <w:b/>
          <w:i/>
        </w:rPr>
        <w:tab/>
        <w:t>increased amount</w:t>
      </w:r>
      <w:r w:rsidRPr="001E1652">
        <w:t xml:space="preserve"> is the amount identified in step 1, added to:</w:t>
      </w:r>
    </w:p>
    <w:p w:rsidR="00D25D60" w:rsidRPr="001E1652" w:rsidRDefault="00D25D60" w:rsidP="00D25D60">
      <w:pPr>
        <w:pStyle w:val="BoxPara"/>
      </w:pPr>
      <w:r w:rsidRPr="001E1652">
        <w:tab/>
        <w:t>(a)</w:t>
      </w:r>
      <w:r w:rsidRPr="001E1652">
        <w:tab/>
        <w:t>the increase in the transfer amount calculated in step 2B; and</w:t>
      </w:r>
    </w:p>
    <w:p w:rsidR="00D25D60" w:rsidRPr="001E1652" w:rsidRDefault="00D25D60" w:rsidP="00D25D60">
      <w:pPr>
        <w:pStyle w:val="BoxPara"/>
      </w:pPr>
      <w:r w:rsidRPr="001E1652">
        <w:tab/>
        <w:t>(b)</w:t>
      </w:r>
      <w:r w:rsidRPr="001E1652">
        <w:tab/>
        <w:t>any increases in the transfer amount calculated under this step for earlier financial years in the second period.</w:t>
      </w:r>
    </w:p>
    <w:p w:rsidR="00D25D60" w:rsidRPr="001E1652" w:rsidRDefault="00D25D60" w:rsidP="00D25D60">
      <w:pPr>
        <w:pStyle w:val="BoxStep"/>
        <w:rPr>
          <w:b/>
          <w:i/>
        </w:rPr>
      </w:pPr>
      <w:r w:rsidRPr="001E1652">
        <w:rPr>
          <w:b/>
          <w:i/>
        </w:rPr>
        <w:tab/>
        <w:t>rate</w:t>
      </w:r>
      <w:r w:rsidRPr="001E1652">
        <w:t xml:space="preserve"> is the Treasury bond rate for the financial year for which the calculation is being made.</w:t>
      </w:r>
    </w:p>
    <w:p w:rsidR="00D25D60" w:rsidRPr="001E1652" w:rsidRDefault="00D25D60" w:rsidP="00D25D60">
      <w:pPr>
        <w:pStyle w:val="BoxStep"/>
      </w:pPr>
      <w:r w:rsidRPr="001E1652">
        <w:tab/>
        <w:t>Round the amount to 2 decimal places (rounding up if the third decimal place is 5 or more).</w:t>
      </w:r>
    </w:p>
    <w:p w:rsidR="00D25D60" w:rsidRPr="001E1652" w:rsidRDefault="00D25D60" w:rsidP="00D25D60">
      <w:pPr>
        <w:pStyle w:val="BoxStep"/>
        <w:rPr>
          <w:i/>
          <w:iCs/>
        </w:rPr>
      </w:pPr>
      <w:r w:rsidRPr="001E1652">
        <w:t>Step 2D.</w:t>
      </w:r>
      <w:r w:rsidRPr="001E1652">
        <w:tab/>
      </w:r>
      <w:r w:rsidRPr="001E1652">
        <w:rPr>
          <w:i/>
          <w:iCs/>
        </w:rPr>
        <w:t>Final period (if any)</w:t>
      </w:r>
    </w:p>
    <w:p w:rsidR="00D25D60" w:rsidRPr="001E1652" w:rsidRDefault="00D25D60" w:rsidP="00D25D60">
      <w:pPr>
        <w:pStyle w:val="BoxStep"/>
      </w:pPr>
      <w:r w:rsidRPr="001E1652">
        <w:tab/>
        <w:t>Use this step if:</w:t>
      </w:r>
    </w:p>
    <w:p w:rsidR="00D25D60" w:rsidRPr="001E1652" w:rsidRDefault="00D25D60" w:rsidP="00D25D60">
      <w:pPr>
        <w:pStyle w:val="BoxPara"/>
      </w:pPr>
      <w:r w:rsidRPr="001E1652">
        <w:tab/>
        <w:t>(a)</w:t>
      </w:r>
      <w:r w:rsidRPr="001E1652">
        <w:tab/>
        <w:t>there is any period between the end of a financial year and when the associate deferred allowance becomes payable; and</w:t>
      </w:r>
    </w:p>
    <w:p w:rsidR="00D25D60" w:rsidRPr="001E1652" w:rsidRDefault="00D25D60" w:rsidP="00D25D60">
      <w:pPr>
        <w:pStyle w:val="BoxPara"/>
      </w:pPr>
      <w:r w:rsidRPr="001E1652">
        <w:tab/>
        <w:t>(b)</w:t>
      </w:r>
      <w:r w:rsidRPr="001E1652">
        <w:tab/>
        <w:t>neither step 2B nor step 2C covers that period.</w:t>
      </w:r>
    </w:p>
    <w:p w:rsidR="00D25D60" w:rsidRPr="001E1652" w:rsidRDefault="00D25D60" w:rsidP="00D25D60">
      <w:pPr>
        <w:pStyle w:val="BoxStep"/>
      </w:pPr>
      <w:r w:rsidRPr="001E1652">
        <w:tab/>
        <w:t xml:space="preserve">This is the </w:t>
      </w:r>
      <w:r w:rsidRPr="001E1652">
        <w:rPr>
          <w:b/>
          <w:bCs/>
          <w:i/>
          <w:iCs/>
        </w:rPr>
        <w:t>final period</w:t>
      </w:r>
      <w:r w:rsidRPr="001E1652">
        <w:t>.</w:t>
      </w:r>
    </w:p>
    <w:p w:rsidR="00D25D60" w:rsidRPr="001E1652" w:rsidRDefault="00D25D60" w:rsidP="00D25D60">
      <w:pPr>
        <w:pStyle w:val="BoxStep"/>
      </w:pPr>
      <w:r w:rsidRPr="001E1652">
        <w:tab/>
        <w:t>Calculate the increase in the transfer amount for the final period using the formula:</w:t>
      </w:r>
    </w:p>
    <w:p w:rsidR="00D25D60" w:rsidRPr="001E1652" w:rsidRDefault="00D25D60" w:rsidP="00D25D60">
      <w:pPr>
        <w:pStyle w:val="BoxStep"/>
      </w:pPr>
      <w:r w:rsidRPr="001E1652">
        <w:tab/>
      </w:r>
      <w:r w:rsidRPr="001E1652">
        <w:object w:dxaOrig="3080" w:dyaOrig="620">
          <v:shape id="_x0000_i1028" type="#_x0000_t75" style="width:154.5pt;height:30.75pt" o:ole="">
            <v:imagedata r:id="rId27" o:title=""/>
          </v:shape>
          <o:OLEObject Type="Embed" ProgID="Equation.DSMT4" ShapeID="_x0000_i1028" DrawAspect="Content" ObjectID="_1424680912" r:id="rId28"/>
        </w:object>
      </w:r>
    </w:p>
    <w:p w:rsidR="00D25D60" w:rsidRPr="001E1652" w:rsidRDefault="00D25D60" w:rsidP="00D25D60">
      <w:pPr>
        <w:pStyle w:val="BoxStep"/>
      </w:pPr>
      <w:r w:rsidRPr="001E1652">
        <w:tab/>
        <w:t>where:</w:t>
      </w:r>
    </w:p>
    <w:p w:rsidR="00D25D60" w:rsidRPr="001E1652" w:rsidRDefault="00D25D60" w:rsidP="00D25D60">
      <w:pPr>
        <w:pStyle w:val="BoxStep"/>
      </w:pPr>
      <w:r w:rsidRPr="001E1652">
        <w:rPr>
          <w:b/>
          <w:i/>
        </w:rPr>
        <w:tab/>
        <w:t>increased amount</w:t>
      </w:r>
      <w:r w:rsidRPr="001E1652">
        <w:t xml:space="preserve"> is the amount identified in step 1, added to:</w:t>
      </w:r>
    </w:p>
    <w:p w:rsidR="00D25D60" w:rsidRPr="001E1652" w:rsidRDefault="00D25D60" w:rsidP="00D25D60">
      <w:pPr>
        <w:pStyle w:val="BoxPara"/>
      </w:pPr>
      <w:r w:rsidRPr="001E1652">
        <w:tab/>
        <w:t>(a)</w:t>
      </w:r>
      <w:r w:rsidRPr="001E1652">
        <w:tab/>
        <w:t>the increase in the transfer amount calculated in step 2B; and</w:t>
      </w:r>
    </w:p>
    <w:p w:rsidR="00D25D60" w:rsidRPr="001E1652" w:rsidRDefault="00D25D60" w:rsidP="00D25D60">
      <w:pPr>
        <w:pStyle w:val="BoxPara"/>
      </w:pPr>
      <w:r w:rsidRPr="001E1652">
        <w:tab/>
        <w:t>(b)</w:t>
      </w:r>
      <w:r w:rsidRPr="001E1652">
        <w:tab/>
        <w:t>the increases in the transfer amount calculated in step 2C for each financial year in the second period.</w:t>
      </w:r>
    </w:p>
    <w:p w:rsidR="00D25D60" w:rsidRPr="001E1652" w:rsidRDefault="00D25D60" w:rsidP="00D25D60">
      <w:pPr>
        <w:pStyle w:val="BoxStep"/>
        <w:rPr>
          <w:b/>
          <w:i/>
        </w:rPr>
      </w:pPr>
      <w:r w:rsidRPr="001E1652">
        <w:rPr>
          <w:b/>
          <w:i/>
        </w:rPr>
        <w:tab/>
        <w:t>rate</w:t>
      </w:r>
      <w:r w:rsidRPr="001E1652">
        <w:t xml:space="preserve"> is the Treasury bond rate for the financial year in which the final period occurs.</w:t>
      </w:r>
    </w:p>
    <w:p w:rsidR="00D25D60" w:rsidRPr="001E1652" w:rsidRDefault="00D25D60" w:rsidP="00D25D60">
      <w:pPr>
        <w:pStyle w:val="BoxStep"/>
      </w:pPr>
      <w:r w:rsidRPr="001E1652">
        <w:rPr>
          <w:b/>
          <w:i/>
        </w:rPr>
        <w:lastRenderedPageBreak/>
        <w:tab/>
        <w:t>time</w:t>
      </w:r>
      <w:r w:rsidRPr="001E1652">
        <w:t xml:space="preserve"> is the number of days in the final period.</w:t>
      </w:r>
    </w:p>
    <w:p w:rsidR="00D25D60" w:rsidRPr="001E1652" w:rsidRDefault="00D25D60" w:rsidP="00D25D60">
      <w:pPr>
        <w:pStyle w:val="BoxStep"/>
      </w:pPr>
      <w:r w:rsidRPr="001E1652">
        <w:tab/>
        <w:t>Round the result to 2 decimal places (rounding up if the third decimal place is 5 or more).</w:t>
      </w:r>
    </w:p>
    <w:p w:rsidR="00D25D60" w:rsidRPr="001E1652" w:rsidRDefault="00D25D60" w:rsidP="00D25D60">
      <w:pPr>
        <w:pStyle w:val="BoxStep"/>
      </w:pPr>
      <w:r w:rsidRPr="001E1652">
        <w:t>Step 3.</w:t>
      </w:r>
      <w:r w:rsidRPr="001E1652">
        <w:tab/>
        <w:t>Calculate an amount using the formula:</w:t>
      </w:r>
    </w:p>
    <w:p w:rsidR="00D25D60" w:rsidRPr="001E1652" w:rsidRDefault="00D25D60" w:rsidP="00D25D60">
      <w:pPr>
        <w:pStyle w:val="BoxStep"/>
      </w:pPr>
      <w:r w:rsidRPr="001E1652">
        <w:tab/>
      </w:r>
      <w:r w:rsidRPr="001E1652">
        <w:rPr>
          <w:b/>
          <w:bCs/>
        </w:rPr>
        <w:object w:dxaOrig="2540" w:dyaOrig="660">
          <v:shape id="_x0000_i1029" type="#_x0000_t75" style="width:126.75pt;height:33pt" o:ole="">
            <v:imagedata r:id="rId21" o:title=""/>
          </v:shape>
          <o:OLEObject Type="Embed" ProgID="Equation.DSMT4" ShapeID="_x0000_i1029" DrawAspect="Content" ObjectID="_1424680913" r:id="rId29"/>
        </w:object>
      </w:r>
    </w:p>
    <w:p w:rsidR="00D25D60" w:rsidRPr="001E1652" w:rsidRDefault="00D25D60" w:rsidP="00D25D60">
      <w:pPr>
        <w:pStyle w:val="BoxStep"/>
      </w:pPr>
      <w:r w:rsidRPr="001E1652">
        <w:tab/>
        <w:t>where:</w:t>
      </w:r>
    </w:p>
    <w:p w:rsidR="00D25D60" w:rsidRPr="001E1652" w:rsidRDefault="00D25D60" w:rsidP="00D25D60">
      <w:pPr>
        <w:pStyle w:val="BoxStep"/>
      </w:pPr>
      <w:r w:rsidRPr="001E1652">
        <w:rPr>
          <w:b/>
          <w:bCs/>
          <w:i/>
          <w:iCs/>
        </w:rPr>
        <w:tab/>
        <w:t>F</w:t>
      </w:r>
      <w:r w:rsidRPr="001E1652">
        <w:rPr>
          <w:b/>
          <w:bCs/>
          <w:i/>
          <w:iCs/>
          <w:vertAlign w:val="subscript"/>
        </w:rPr>
        <w:t>y</w:t>
      </w:r>
      <w:r w:rsidRPr="001E1652">
        <w:rPr>
          <w:i/>
          <w:iCs/>
        </w:rPr>
        <w:t xml:space="preserve"> </w:t>
      </w:r>
      <w:r w:rsidRPr="001E1652">
        <w:t>is the number in Table 1 that applies to the non</w:t>
      </w:r>
      <w:r w:rsidR="001E1652" w:rsidRPr="001E1652">
        <w:noBreakHyphen/>
      </w:r>
      <w:r w:rsidRPr="001E1652">
        <w:t>member spouse’s gender, and age in whole years, when the associate deferred allowance becomes payable.</w:t>
      </w:r>
    </w:p>
    <w:p w:rsidR="00D25D60" w:rsidRPr="001E1652" w:rsidRDefault="00D25D60" w:rsidP="00D25D60">
      <w:pPr>
        <w:pStyle w:val="BoxStep"/>
      </w:pPr>
      <w:r w:rsidRPr="001E1652">
        <w:rPr>
          <w:b/>
          <w:bCs/>
          <w:i/>
          <w:iCs/>
        </w:rPr>
        <w:tab/>
        <w:t>F</w:t>
      </w:r>
      <w:r w:rsidRPr="001E1652">
        <w:rPr>
          <w:b/>
          <w:bCs/>
          <w:i/>
          <w:iCs/>
          <w:vertAlign w:val="subscript"/>
        </w:rPr>
        <w:t>y+1</w:t>
      </w:r>
      <w:r w:rsidRPr="001E1652">
        <w:rPr>
          <w:bCs/>
          <w:iCs/>
        </w:rPr>
        <w:t xml:space="preserve"> is the number in Table 1 that would apply to the non</w:t>
      </w:r>
      <w:r w:rsidR="001E1652" w:rsidRPr="001E1652">
        <w:rPr>
          <w:bCs/>
          <w:iCs/>
        </w:rPr>
        <w:noBreakHyphen/>
      </w:r>
      <w:r w:rsidRPr="001E1652">
        <w:rPr>
          <w:bCs/>
          <w:iCs/>
        </w:rPr>
        <w:t>member spouse if the non</w:t>
      </w:r>
      <w:r w:rsidR="001E1652" w:rsidRPr="001E1652">
        <w:rPr>
          <w:bCs/>
          <w:iCs/>
        </w:rPr>
        <w:noBreakHyphen/>
      </w:r>
      <w:r w:rsidRPr="001E1652">
        <w:rPr>
          <w:bCs/>
          <w:iCs/>
        </w:rPr>
        <w:t>member spouse’s age in whole years was one year more than it was</w:t>
      </w:r>
      <w:r w:rsidRPr="001E1652">
        <w:t xml:space="preserve"> when the associate deferred allowance becomes payable</w:t>
      </w:r>
      <w:r w:rsidRPr="001E1652">
        <w:rPr>
          <w:bCs/>
          <w:iCs/>
        </w:rPr>
        <w:t>.</w:t>
      </w:r>
    </w:p>
    <w:p w:rsidR="00D25D60" w:rsidRPr="001E1652" w:rsidRDefault="00D25D60" w:rsidP="00D25D60">
      <w:pPr>
        <w:pStyle w:val="BoxStep"/>
      </w:pPr>
      <w:r w:rsidRPr="001E1652">
        <w:rPr>
          <w:b/>
          <w:bCs/>
          <w:i/>
          <w:iCs/>
        </w:rPr>
        <w:tab/>
        <w:t xml:space="preserve">m </w:t>
      </w:r>
      <w:r w:rsidRPr="001E1652">
        <w:t>is the number of whole months of the non</w:t>
      </w:r>
      <w:r w:rsidR="001E1652" w:rsidRPr="001E1652">
        <w:noBreakHyphen/>
      </w:r>
      <w:r w:rsidRPr="001E1652">
        <w:t>member spouse’s age that are not included in the non</w:t>
      </w:r>
      <w:r w:rsidR="001E1652" w:rsidRPr="001E1652">
        <w:noBreakHyphen/>
      </w:r>
      <w:r w:rsidRPr="001E1652">
        <w:t>member spouse’s age in whole years when the associate deferred allowance becomes payable.</w:t>
      </w:r>
    </w:p>
    <w:p w:rsidR="00D25D60" w:rsidRPr="001E1652" w:rsidRDefault="00D25D60" w:rsidP="00D25D60">
      <w:pPr>
        <w:pStyle w:val="BoxStep"/>
      </w:pPr>
      <w:r w:rsidRPr="001E1652">
        <w:t>Step 4.</w:t>
      </w:r>
      <w:r w:rsidRPr="001E1652">
        <w:tab/>
        <w:t>Divide the transfer amount, as increased in step 2A, by the amount in step 3.</w:t>
      </w:r>
    </w:p>
    <w:p w:rsidR="00D25D60" w:rsidRPr="001E1652" w:rsidRDefault="00D25D60" w:rsidP="00D25D60">
      <w:pPr>
        <w:pStyle w:val="BoxStep"/>
      </w:pPr>
      <w:r w:rsidRPr="001E1652">
        <w:t>Step 5.</w:t>
      </w:r>
      <w:r w:rsidRPr="001E1652">
        <w:tab/>
        <w:t>Divide the amount calculated in step 4 by the Chief Justice’s salary when the allowance becomes payable.</w:t>
      </w:r>
    </w:p>
    <w:p w:rsidR="00D25D60" w:rsidRPr="001E1652" w:rsidRDefault="00D25D60" w:rsidP="00D25D60">
      <w:pPr>
        <w:pStyle w:val="BoxStep"/>
      </w:pPr>
      <w:r w:rsidRPr="001E1652">
        <w:tab/>
        <w:t>Round the result to 4 decimal places (rounding up if the fifth decimal place is 5 or more).</w:t>
      </w:r>
    </w:p>
    <w:p w:rsidR="00D25D60" w:rsidRPr="001E1652" w:rsidRDefault="00D25D60" w:rsidP="00D25D60">
      <w:pPr>
        <w:pStyle w:val="BoxStep"/>
      </w:pPr>
      <w:r w:rsidRPr="001E1652">
        <w:t>Step 6.</w:t>
      </w:r>
      <w:r w:rsidRPr="001E1652">
        <w:tab/>
        <w:t>Multiply the amount calculated in step 5 by the Chief Justice’s salary.</w:t>
      </w:r>
    </w:p>
    <w:p w:rsidR="00D513AE" w:rsidRPr="001E1652" w:rsidRDefault="0053054B" w:rsidP="00FF58B1">
      <w:pPr>
        <w:pStyle w:val="ActHead5"/>
      </w:pPr>
      <w:bookmarkStart w:id="14" w:name="_Toc350176708"/>
      <w:r w:rsidRPr="001E1652">
        <w:rPr>
          <w:rStyle w:val="CharSectno"/>
        </w:rPr>
        <w:t>8</w:t>
      </w:r>
      <w:r w:rsidR="00FF58B1" w:rsidRPr="001E1652">
        <w:t xml:space="preserve">  </w:t>
      </w:r>
      <w:r w:rsidR="00D513AE" w:rsidRPr="001E1652">
        <w:t>A</w:t>
      </w:r>
      <w:r w:rsidR="00110BF4" w:rsidRPr="001E1652">
        <w:t>ssociate deferred allowance</w:t>
      </w:r>
      <w:r w:rsidR="006905C6" w:rsidRPr="001E1652">
        <w:t>—death of non</w:t>
      </w:r>
      <w:r w:rsidR="001E1652" w:rsidRPr="001E1652">
        <w:noBreakHyphen/>
      </w:r>
      <w:r w:rsidR="006905C6" w:rsidRPr="001E1652">
        <w:t>member spouse</w:t>
      </w:r>
      <w:bookmarkEnd w:id="14"/>
    </w:p>
    <w:p w:rsidR="00C013B1" w:rsidRPr="001E1652" w:rsidRDefault="00C013B1" w:rsidP="00C013B1">
      <w:pPr>
        <w:pStyle w:val="subsection"/>
      </w:pPr>
      <w:r w:rsidRPr="001E1652">
        <w:tab/>
        <w:t>(1)</w:t>
      </w:r>
      <w:r w:rsidRPr="001E1652">
        <w:tab/>
        <w:t>This section is made for subsection</w:t>
      </w:r>
      <w:r w:rsidR="001E1652" w:rsidRPr="001E1652">
        <w:t> </w:t>
      </w:r>
      <w:r w:rsidRPr="001E1652">
        <w:t>4AC(6) of the Act.</w:t>
      </w:r>
    </w:p>
    <w:p w:rsidR="00290A28" w:rsidRPr="001E1652" w:rsidRDefault="00290A28" w:rsidP="00290A28">
      <w:pPr>
        <w:pStyle w:val="subsection"/>
      </w:pPr>
      <w:r w:rsidRPr="001E1652">
        <w:tab/>
        <w:t>(2)</w:t>
      </w:r>
      <w:r w:rsidRPr="001E1652">
        <w:tab/>
        <w:t>The amount payable is the transfer amount that was payable at the date of death:</w:t>
      </w:r>
    </w:p>
    <w:p w:rsidR="00290A28" w:rsidRPr="001E1652" w:rsidRDefault="00290A28" w:rsidP="00290A28">
      <w:pPr>
        <w:pStyle w:val="paragraph"/>
      </w:pPr>
      <w:r w:rsidRPr="001E1652">
        <w:tab/>
        <w:t>(a)</w:t>
      </w:r>
      <w:r w:rsidRPr="001E1652">
        <w:tab/>
        <w:t>reduced by any payment split before the date of death; and</w:t>
      </w:r>
    </w:p>
    <w:p w:rsidR="00C013B1" w:rsidRPr="001E1652" w:rsidRDefault="00290A28" w:rsidP="00290A28">
      <w:pPr>
        <w:pStyle w:val="paragraph"/>
      </w:pPr>
      <w:r w:rsidRPr="001E1652">
        <w:tab/>
        <w:t>(b)</w:t>
      </w:r>
      <w:r w:rsidRPr="001E1652">
        <w:tab/>
        <w:t>increased in the way described in step 2A in section</w:t>
      </w:r>
      <w:r w:rsidR="001E1652" w:rsidRPr="001E1652">
        <w:t> </w:t>
      </w:r>
      <w:r w:rsidRPr="001E1652">
        <w:t>7 as if an associate deferred allowance had become payable at the date of death.</w:t>
      </w:r>
    </w:p>
    <w:p w:rsidR="008D2A4A" w:rsidRPr="001E1652" w:rsidRDefault="0053054B" w:rsidP="00FF58B1">
      <w:pPr>
        <w:pStyle w:val="ActHead5"/>
      </w:pPr>
      <w:bookmarkStart w:id="15" w:name="_Toc350176709"/>
      <w:r w:rsidRPr="001E1652">
        <w:rPr>
          <w:rStyle w:val="CharSectno"/>
        </w:rPr>
        <w:lastRenderedPageBreak/>
        <w:t>9</w:t>
      </w:r>
      <w:r w:rsidR="00FF58B1" w:rsidRPr="001E1652">
        <w:t xml:space="preserve">  </w:t>
      </w:r>
      <w:r w:rsidR="00930042" w:rsidRPr="001E1652">
        <w:t xml:space="preserve">Reduction of retirement </w:t>
      </w:r>
      <w:r w:rsidR="008C2B2F" w:rsidRPr="001E1652">
        <w:t>allowance</w:t>
      </w:r>
      <w:r w:rsidR="00930042" w:rsidRPr="001E1652">
        <w:t xml:space="preserve"> payable after operative time</w:t>
      </w:r>
      <w:bookmarkEnd w:id="15"/>
    </w:p>
    <w:p w:rsidR="00930042" w:rsidRPr="001E1652" w:rsidRDefault="00930042" w:rsidP="000A28A7">
      <w:pPr>
        <w:pStyle w:val="subsection"/>
      </w:pPr>
      <w:r w:rsidRPr="001E1652">
        <w:tab/>
      </w:r>
      <w:r w:rsidR="00E477CB" w:rsidRPr="001E1652">
        <w:tab/>
      </w:r>
      <w:r w:rsidR="000A28A7" w:rsidRPr="001E1652">
        <w:t>F</w:t>
      </w:r>
      <w:r w:rsidRPr="001E1652">
        <w:t xml:space="preserve">or </w:t>
      </w:r>
      <w:r w:rsidR="00AB7101" w:rsidRPr="001E1652">
        <w:t>paragraph</w:t>
      </w:r>
      <w:r w:rsidR="001E1652" w:rsidRPr="001E1652">
        <w:t> </w:t>
      </w:r>
      <w:r w:rsidRPr="001E1652">
        <w:t>4A</w:t>
      </w:r>
      <w:r w:rsidR="00FF58B1" w:rsidRPr="001E1652">
        <w:t>E(</w:t>
      </w:r>
      <w:r w:rsidR="00AB7101" w:rsidRPr="001E1652">
        <w:t>2</w:t>
      </w:r>
      <w:r w:rsidR="00FF58B1" w:rsidRPr="001E1652">
        <w:t>)(</w:t>
      </w:r>
      <w:r w:rsidR="00AB7101" w:rsidRPr="001E1652">
        <w:t>b)</w:t>
      </w:r>
      <w:r w:rsidR="00E477CB" w:rsidRPr="001E1652">
        <w:t xml:space="preserve"> of the Act</w:t>
      </w:r>
      <w:r w:rsidR="000A28A7" w:rsidRPr="001E1652">
        <w:t>, the rate is reduced</w:t>
      </w:r>
      <w:r w:rsidRPr="001E1652">
        <w:t xml:space="preserve"> </w:t>
      </w:r>
      <w:r w:rsidR="00B64542" w:rsidRPr="001E1652">
        <w:t xml:space="preserve">to the amount calculated </w:t>
      </w:r>
      <w:r w:rsidRPr="001E1652">
        <w:t>as follows:</w:t>
      </w:r>
    </w:p>
    <w:p w:rsidR="00D25D60" w:rsidRPr="001E1652" w:rsidRDefault="00D25D60" w:rsidP="00D25D60">
      <w:pPr>
        <w:pStyle w:val="BoxHeadItalic"/>
      </w:pPr>
      <w:r w:rsidRPr="001E1652">
        <w:t>Method statement</w:t>
      </w:r>
    </w:p>
    <w:p w:rsidR="00D25D60" w:rsidRPr="001E1652" w:rsidRDefault="00D25D60" w:rsidP="00D25D60">
      <w:pPr>
        <w:pStyle w:val="BoxStep"/>
      </w:pPr>
      <w:r w:rsidRPr="001E1652">
        <w:t>Step 1.</w:t>
      </w:r>
      <w:r w:rsidRPr="001E1652">
        <w:tab/>
        <w:t>Identify the annual rate of the retirement allowance when the allowance became payable, disregarding subsection</w:t>
      </w:r>
      <w:r w:rsidR="001E1652" w:rsidRPr="001E1652">
        <w:t> </w:t>
      </w:r>
      <w:r w:rsidRPr="001E1652">
        <w:t>4(4) of the Act.</w:t>
      </w:r>
    </w:p>
    <w:p w:rsidR="00D25D60" w:rsidRPr="001E1652" w:rsidRDefault="00D25D60" w:rsidP="00D25D60">
      <w:pPr>
        <w:pStyle w:val="BoxStep"/>
      </w:pPr>
      <w:r w:rsidRPr="001E1652">
        <w:t>Step 2.</w:t>
      </w:r>
      <w:r w:rsidRPr="001E1652">
        <w:tab/>
        <w:t>Identify the annual rate of the retirement allowance that would have been payable had the Governor General retired at the operative time, disregarding subsection</w:t>
      </w:r>
      <w:r w:rsidR="001E1652" w:rsidRPr="001E1652">
        <w:t> </w:t>
      </w:r>
      <w:r w:rsidRPr="001E1652">
        <w:t>4(4) of the Act.</w:t>
      </w:r>
    </w:p>
    <w:p w:rsidR="00D25D60" w:rsidRPr="001E1652" w:rsidRDefault="00D25D60" w:rsidP="00D25D60">
      <w:pPr>
        <w:pStyle w:val="BoxStep"/>
      </w:pPr>
      <w:r w:rsidRPr="001E1652">
        <w:t>Step 3.</w:t>
      </w:r>
      <w:r w:rsidRPr="001E1652">
        <w:tab/>
        <w:t>Identify the annual rate of the retirement allowance that would have been payable had the Governor General retired at the operative time, having regard to subsection</w:t>
      </w:r>
      <w:r w:rsidR="001E1652" w:rsidRPr="001E1652">
        <w:t> </w:t>
      </w:r>
      <w:r w:rsidRPr="001E1652">
        <w:t>4(4) of the Act.</w:t>
      </w:r>
    </w:p>
    <w:p w:rsidR="00D25D60" w:rsidRPr="001E1652" w:rsidRDefault="00D25D60" w:rsidP="00D25D60">
      <w:pPr>
        <w:pStyle w:val="BoxStep"/>
      </w:pPr>
      <w:r w:rsidRPr="001E1652">
        <w:t>Step 4.</w:t>
      </w:r>
      <w:r w:rsidRPr="001E1652">
        <w:tab/>
        <w:t>Calculate an amount using the formula:</w:t>
      </w:r>
    </w:p>
    <w:p w:rsidR="00D25D60" w:rsidRPr="001E1652" w:rsidRDefault="00D25D60" w:rsidP="00D25D60">
      <w:pPr>
        <w:pStyle w:val="BoxStep"/>
      </w:pPr>
      <w:r w:rsidRPr="001E1652">
        <w:tab/>
      </w:r>
      <w:r w:rsidRPr="001E1652">
        <w:rPr>
          <w:b/>
          <w:bCs/>
        </w:rPr>
        <w:object w:dxaOrig="2540" w:dyaOrig="660">
          <v:shape id="_x0000_i1030" type="#_x0000_t75" style="width:126.75pt;height:33pt" o:ole="">
            <v:imagedata r:id="rId21" o:title=""/>
          </v:shape>
          <o:OLEObject Type="Embed" ProgID="Equation.DSMT4" ShapeID="_x0000_i1030" DrawAspect="Content" ObjectID="_1424680914" r:id="rId30"/>
        </w:object>
      </w:r>
    </w:p>
    <w:p w:rsidR="00D25D60" w:rsidRPr="001E1652" w:rsidRDefault="00D25D60" w:rsidP="00D25D60">
      <w:pPr>
        <w:pStyle w:val="BoxStep"/>
      </w:pPr>
      <w:r w:rsidRPr="001E1652">
        <w:tab/>
        <w:t>where:</w:t>
      </w:r>
    </w:p>
    <w:p w:rsidR="00D25D60" w:rsidRPr="001E1652" w:rsidRDefault="00D25D60" w:rsidP="00D25D60">
      <w:pPr>
        <w:pStyle w:val="BoxStep"/>
      </w:pPr>
      <w:r w:rsidRPr="001E1652">
        <w:rPr>
          <w:b/>
          <w:bCs/>
          <w:i/>
          <w:iCs/>
        </w:rPr>
        <w:tab/>
        <w:t>F</w:t>
      </w:r>
      <w:r w:rsidRPr="001E1652">
        <w:rPr>
          <w:b/>
          <w:bCs/>
          <w:i/>
          <w:iCs/>
          <w:vertAlign w:val="subscript"/>
        </w:rPr>
        <w:t>y</w:t>
      </w:r>
      <w:r w:rsidRPr="001E1652">
        <w:rPr>
          <w:i/>
          <w:iCs/>
        </w:rPr>
        <w:t xml:space="preserve"> </w:t>
      </w:r>
      <w:r w:rsidRPr="001E1652">
        <w:t>is the number in Table 2 that applies to the member spouse’s gender, and age in whole years, when the member spouse was expected to complete his or her term of office (based on the information available at the operative time).</w:t>
      </w:r>
    </w:p>
    <w:p w:rsidR="00D25D60" w:rsidRPr="001E1652" w:rsidRDefault="00D25D60" w:rsidP="00D25D60">
      <w:pPr>
        <w:pStyle w:val="BoxStep"/>
      </w:pPr>
      <w:r w:rsidRPr="001E1652">
        <w:rPr>
          <w:b/>
          <w:bCs/>
          <w:i/>
          <w:iCs/>
        </w:rPr>
        <w:tab/>
        <w:t>F</w:t>
      </w:r>
      <w:r w:rsidRPr="001E1652">
        <w:rPr>
          <w:b/>
          <w:bCs/>
          <w:i/>
          <w:iCs/>
          <w:vertAlign w:val="subscript"/>
        </w:rPr>
        <w:t>y+1</w:t>
      </w:r>
      <w:r w:rsidRPr="001E1652">
        <w:rPr>
          <w:b/>
          <w:bCs/>
          <w:i/>
          <w:iCs/>
        </w:rPr>
        <w:t xml:space="preserve"> </w:t>
      </w:r>
      <w:r w:rsidRPr="001E1652">
        <w:t>is the number in Table 2 that would apply to the member spouse if the member spouse’s age in whole years was one year more than it was when the member spouse is expected to complete his or her term of office.</w:t>
      </w:r>
    </w:p>
    <w:p w:rsidR="00D25D60" w:rsidRPr="001E1652" w:rsidRDefault="00D25D60" w:rsidP="00D25D60">
      <w:pPr>
        <w:pStyle w:val="BoxStep"/>
      </w:pPr>
      <w:r w:rsidRPr="001E1652">
        <w:rPr>
          <w:b/>
          <w:bCs/>
          <w:i/>
          <w:iCs/>
        </w:rPr>
        <w:tab/>
        <w:t>m</w:t>
      </w:r>
      <w:r w:rsidRPr="001E1652">
        <w:rPr>
          <w:i/>
          <w:iCs/>
        </w:rPr>
        <w:t xml:space="preserve"> </w:t>
      </w:r>
      <w:r w:rsidRPr="001E1652">
        <w:t>is the number of whole months of the member spouse’s age that are not included in the member spouse’s age in whole years when the member spouse is expected to complete his or her term of office.</w:t>
      </w:r>
    </w:p>
    <w:p w:rsidR="00D25D60" w:rsidRPr="001E1652" w:rsidRDefault="00D25D60" w:rsidP="00D25D60">
      <w:pPr>
        <w:pStyle w:val="BoxStep"/>
      </w:pPr>
      <w:r w:rsidRPr="001E1652">
        <w:t>Step 5.</w:t>
      </w:r>
      <w:r w:rsidRPr="001E1652">
        <w:tab/>
        <w:t>Multiply the amount identified in step 3 by the amount calculated in step 4.</w:t>
      </w:r>
    </w:p>
    <w:p w:rsidR="004223CB" w:rsidRPr="001E1652" w:rsidRDefault="00D25D60" w:rsidP="004223CB">
      <w:pPr>
        <w:pStyle w:val="BoxStep"/>
      </w:pPr>
      <w:r w:rsidRPr="001E1652">
        <w:t>Step 6.</w:t>
      </w:r>
      <w:r w:rsidRPr="001E1652">
        <w:tab/>
      </w:r>
      <w:r w:rsidR="004223CB" w:rsidRPr="001E1652">
        <w:t>Calculate an amount using the formula:</w:t>
      </w:r>
    </w:p>
    <w:p w:rsidR="004223CB" w:rsidRPr="001E1652" w:rsidRDefault="004223CB" w:rsidP="004223CB">
      <w:pPr>
        <w:pStyle w:val="BoxStep"/>
      </w:pPr>
      <w:r w:rsidRPr="001E1652">
        <w:tab/>
      </w:r>
      <w:r w:rsidRPr="001E1652">
        <w:object w:dxaOrig="520" w:dyaOrig="560">
          <v:shape id="_x0000_i1031" type="#_x0000_t75" style="width:26.25pt;height:27.75pt" o:ole="">
            <v:imagedata r:id="rId31" o:title=""/>
          </v:shape>
          <o:OLEObject Type="Embed" ProgID="Equation.DSMT4" ShapeID="_x0000_i1031" DrawAspect="Content" ObjectID="_1424680915" r:id="rId32"/>
        </w:object>
      </w:r>
    </w:p>
    <w:p w:rsidR="004223CB" w:rsidRPr="001E1652" w:rsidRDefault="004223CB" w:rsidP="004223CB">
      <w:pPr>
        <w:pStyle w:val="BoxStep"/>
      </w:pPr>
      <w:r w:rsidRPr="001E1652">
        <w:tab/>
        <w:t>where:</w:t>
      </w:r>
    </w:p>
    <w:p w:rsidR="004223CB" w:rsidRPr="001E1652" w:rsidRDefault="004223CB" w:rsidP="004223CB">
      <w:pPr>
        <w:pStyle w:val="BoxStep"/>
      </w:pPr>
      <w:r w:rsidRPr="001E1652">
        <w:rPr>
          <w:b/>
          <w:i/>
        </w:rPr>
        <w:lastRenderedPageBreak/>
        <w:tab/>
        <w:t>n</w:t>
      </w:r>
      <w:r w:rsidRPr="001E1652">
        <w:t xml:space="preserve"> is the number of days between the operative time and the time the member spouse was expected to complete his or her term of office (based on the information available at the operative time), divided by 365.</w:t>
      </w:r>
    </w:p>
    <w:p w:rsidR="00D25D60" w:rsidRPr="001E1652" w:rsidRDefault="004223CB" w:rsidP="004223CB">
      <w:pPr>
        <w:pStyle w:val="BoxStep"/>
      </w:pPr>
      <w:r w:rsidRPr="001E1652">
        <w:rPr>
          <w:iCs/>
        </w:rPr>
        <w:tab/>
        <w:t>Example:</w:t>
      </w:r>
      <w:r w:rsidRPr="001E1652">
        <w:rPr>
          <w:iCs/>
        </w:rPr>
        <w:tab/>
      </w:r>
      <w:r w:rsidRPr="001E1652">
        <w:t>If a payment split occurs after 2 years of an expected 5 year term, the number of days between the operative time and time the member spouse is expected to complete his or her term of office is 1095 (i.e. 3 x 365). So, n is 3 (i.e. 1093 ÷ 365).</w:t>
      </w:r>
    </w:p>
    <w:p w:rsidR="00D25D60" w:rsidRPr="001E1652" w:rsidRDefault="00D25D60" w:rsidP="00D25D60">
      <w:pPr>
        <w:pStyle w:val="BoxStep"/>
      </w:pPr>
      <w:r w:rsidRPr="001E1652">
        <w:t>Step 7.</w:t>
      </w:r>
      <w:r w:rsidRPr="001E1652">
        <w:tab/>
      </w:r>
      <w:r w:rsidR="004223CB" w:rsidRPr="001E1652">
        <w:t>Multiply the amount calculated in step 5 by the amount calculated in step 6.</w:t>
      </w:r>
    </w:p>
    <w:p w:rsidR="00D25D60" w:rsidRPr="001E1652" w:rsidRDefault="00D25D60" w:rsidP="00D25D60">
      <w:pPr>
        <w:pStyle w:val="BoxStep"/>
      </w:pPr>
      <w:r w:rsidRPr="001E1652">
        <w:t>Step 8.</w:t>
      </w:r>
      <w:r w:rsidRPr="001E1652">
        <w:tab/>
      </w:r>
      <w:r w:rsidR="004223CB" w:rsidRPr="001E1652">
        <w:t>Divide the transfer amount by the amount calculated in step 7.</w:t>
      </w:r>
    </w:p>
    <w:p w:rsidR="00D25D60" w:rsidRPr="001E1652" w:rsidRDefault="00D25D60" w:rsidP="00D25D60">
      <w:pPr>
        <w:pStyle w:val="BoxStep"/>
      </w:pPr>
      <w:r w:rsidRPr="001E1652">
        <w:t>Step 9.</w:t>
      </w:r>
      <w:r w:rsidRPr="001E1652">
        <w:tab/>
      </w:r>
      <w:r w:rsidR="004223CB" w:rsidRPr="001E1652">
        <w:t>Multiply the amount identified in step 3 by the amount calculated in step 8.</w:t>
      </w:r>
    </w:p>
    <w:p w:rsidR="00D25D60" w:rsidRPr="001E1652" w:rsidRDefault="00D25D60" w:rsidP="00D25D60">
      <w:pPr>
        <w:pStyle w:val="BoxStep"/>
      </w:pPr>
      <w:r w:rsidRPr="001E1652">
        <w:t>Step 10.</w:t>
      </w:r>
      <w:r w:rsidRPr="001E1652">
        <w:tab/>
      </w:r>
      <w:r w:rsidR="004223CB" w:rsidRPr="001E1652">
        <w:t>Divide the amount calculated in step 9 by the amount identified in step 2.</w:t>
      </w:r>
    </w:p>
    <w:p w:rsidR="00D25D60" w:rsidRPr="001E1652" w:rsidRDefault="00D25D60" w:rsidP="00D25D60">
      <w:pPr>
        <w:pStyle w:val="BoxStep"/>
      </w:pPr>
      <w:r w:rsidRPr="001E1652">
        <w:t>Step 11.</w:t>
      </w:r>
      <w:r w:rsidRPr="001E1652">
        <w:tab/>
      </w:r>
      <w:r w:rsidR="004223CB" w:rsidRPr="001E1652">
        <w:t>Multiply the amount identified in step 1 by the amount calculated in step 10.</w:t>
      </w:r>
    </w:p>
    <w:p w:rsidR="004223CB" w:rsidRPr="001E1652" w:rsidRDefault="00D25D60" w:rsidP="004223CB">
      <w:pPr>
        <w:pStyle w:val="BoxStep"/>
      </w:pPr>
      <w:r w:rsidRPr="001E1652">
        <w:t>Step 12.</w:t>
      </w:r>
      <w:r w:rsidRPr="001E1652">
        <w:tab/>
      </w:r>
      <w:r w:rsidR="004223CB" w:rsidRPr="001E1652">
        <w:t>Deduct the amount calculated in item</w:t>
      </w:r>
      <w:r w:rsidR="001E1652" w:rsidRPr="001E1652">
        <w:t> </w:t>
      </w:r>
      <w:r w:rsidR="004223CB" w:rsidRPr="001E1652">
        <w:t>11 from the amount identified in step 1.</w:t>
      </w:r>
    </w:p>
    <w:p w:rsidR="00D25D60" w:rsidRPr="001E1652" w:rsidRDefault="004223CB" w:rsidP="004223CB">
      <w:pPr>
        <w:pStyle w:val="BoxStep"/>
      </w:pPr>
      <w:r w:rsidRPr="001E1652">
        <w:tab/>
        <w:t>Note:</w:t>
      </w:r>
      <w:r w:rsidRPr="001E1652">
        <w:tab/>
        <w:t>If there has been more than one payment split, steps 1 to 11 must be repeated in the order that the splits happened from earliest to latest.</w:t>
      </w:r>
    </w:p>
    <w:p w:rsidR="004223CB" w:rsidRPr="001E1652" w:rsidRDefault="00D25D60" w:rsidP="004223CB">
      <w:pPr>
        <w:pStyle w:val="BoxStep"/>
      </w:pPr>
      <w:r w:rsidRPr="001E1652">
        <w:t>Step 13.</w:t>
      </w:r>
      <w:r w:rsidRPr="001E1652">
        <w:tab/>
      </w:r>
      <w:r w:rsidR="004223CB" w:rsidRPr="001E1652">
        <w:t>Divide the amount calculated in step 12 by the Chief Justice’s salary when the allowance became payable.</w:t>
      </w:r>
    </w:p>
    <w:p w:rsidR="00D25D60" w:rsidRPr="001E1652" w:rsidRDefault="004223CB" w:rsidP="004223CB">
      <w:pPr>
        <w:pStyle w:val="BoxStep"/>
      </w:pPr>
      <w:r w:rsidRPr="001E1652">
        <w:tab/>
        <w:t>Round the result to 4 decimal places (rounding up if the fifth decimal place is 5 or more).</w:t>
      </w:r>
    </w:p>
    <w:p w:rsidR="00D25D60" w:rsidRPr="001E1652" w:rsidRDefault="00D25D60" w:rsidP="00D25D60">
      <w:pPr>
        <w:pStyle w:val="BoxStep"/>
      </w:pPr>
      <w:r w:rsidRPr="001E1652">
        <w:t>Step 14.</w:t>
      </w:r>
      <w:r w:rsidRPr="001E1652">
        <w:tab/>
      </w:r>
      <w:r w:rsidR="004223CB" w:rsidRPr="001E1652">
        <w:t>Multiply the amount calculated in step 13 by the Chief Justice’s salary.</w:t>
      </w:r>
    </w:p>
    <w:p w:rsidR="008C2B2F" w:rsidRPr="001E1652" w:rsidRDefault="0053054B" w:rsidP="008C2B2F">
      <w:pPr>
        <w:pStyle w:val="ActHead5"/>
      </w:pPr>
      <w:bookmarkStart w:id="16" w:name="_Toc350176710"/>
      <w:r w:rsidRPr="001E1652">
        <w:rPr>
          <w:rStyle w:val="CharSectno"/>
        </w:rPr>
        <w:t>10</w:t>
      </w:r>
      <w:r w:rsidR="008C2B2F" w:rsidRPr="001E1652">
        <w:t xml:space="preserve">  Reduction of spouse allowance payable after operative time</w:t>
      </w:r>
      <w:bookmarkEnd w:id="16"/>
    </w:p>
    <w:p w:rsidR="00366EC3" w:rsidRPr="001E1652" w:rsidRDefault="00B571AE" w:rsidP="00D53E08">
      <w:pPr>
        <w:pStyle w:val="subsection"/>
      </w:pPr>
      <w:r w:rsidRPr="001E1652">
        <w:tab/>
        <w:t>(</w:t>
      </w:r>
      <w:r w:rsidR="008C2B2F" w:rsidRPr="001E1652">
        <w:t>1</w:t>
      </w:r>
      <w:r w:rsidRPr="001E1652">
        <w:t>)</w:t>
      </w:r>
      <w:r w:rsidRPr="001E1652">
        <w:tab/>
        <w:t>For subsection</w:t>
      </w:r>
      <w:r w:rsidR="001E1652" w:rsidRPr="001E1652">
        <w:t> </w:t>
      </w:r>
      <w:r w:rsidRPr="001E1652">
        <w:t>4A</w:t>
      </w:r>
      <w:r w:rsidR="00FF58B1" w:rsidRPr="001E1652">
        <w:t>E(</w:t>
      </w:r>
      <w:r w:rsidRPr="001E1652">
        <w:t xml:space="preserve">3) of the Act, the </w:t>
      </w:r>
      <w:r w:rsidR="008D3EE3" w:rsidRPr="001E1652">
        <w:t>rate applicable under paragraph</w:t>
      </w:r>
      <w:r w:rsidR="001E1652" w:rsidRPr="001E1652">
        <w:t> </w:t>
      </w:r>
      <w:r w:rsidR="00B13880" w:rsidRPr="001E1652">
        <w:t>4(3)(</w:t>
      </w:r>
      <w:r w:rsidR="00937239" w:rsidRPr="001E1652">
        <w:t>a</w:t>
      </w:r>
      <w:r w:rsidR="00B13880" w:rsidRPr="001E1652">
        <w:t>)</w:t>
      </w:r>
      <w:r w:rsidR="00366EC3" w:rsidRPr="001E1652">
        <w:t xml:space="preserve"> </w:t>
      </w:r>
      <w:r w:rsidR="00DF7263" w:rsidRPr="001E1652">
        <w:t xml:space="preserve">of the Act </w:t>
      </w:r>
      <w:r w:rsidR="00366EC3" w:rsidRPr="001E1652">
        <w:t xml:space="preserve">is reduced </w:t>
      </w:r>
      <w:r w:rsidR="00E477CB" w:rsidRPr="001E1652">
        <w:t xml:space="preserve">to the amount calculated </w:t>
      </w:r>
      <w:r w:rsidR="00366EC3" w:rsidRPr="001E1652">
        <w:t>as follows:</w:t>
      </w:r>
    </w:p>
    <w:p w:rsidR="004223CB" w:rsidRPr="001E1652" w:rsidRDefault="004223CB" w:rsidP="004223CB">
      <w:pPr>
        <w:pStyle w:val="BoxHeadItalic"/>
      </w:pPr>
      <w:r w:rsidRPr="001E1652">
        <w:t>Method statement</w:t>
      </w:r>
    </w:p>
    <w:p w:rsidR="004223CB" w:rsidRPr="001E1652" w:rsidRDefault="004223CB" w:rsidP="004223CB">
      <w:pPr>
        <w:pStyle w:val="BoxStep"/>
      </w:pPr>
      <w:r w:rsidRPr="001E1652">
        <w:t>Step 1.</w:t>
      </w:r>
      <w:r w:rsidRPr="001E1652">
        <w:tab/>
        <w:t>Identify the annual rate of the retirement allowance that would have been payable had the Governor General retired on the date of his or her death, disregarding subsection</w:t>
      </w:r>
      <w:r w:rsidR="001E1652" w:rsidRPr="001E1652">
        <w:t> </w:t>
      </w:r>
      <w:r w:rsidRPr="001E1652">
        <w:t>4(4) of the Act.</w:t>
      </w:r>
    </w:p>
    <w:p w:rsidR="004223CB" w:rsidRPr="001E1652" w:rsidRDefault="004223CB" w:rsidP="004223CB">
      <w:pPr>
        <w:pStyle w:val="BoxStep"/>
      </w:pPr>
      <w:r w:rsidRPr="001E1652">
        <w:lastRenderedPageBreak/>
        <w:t>Step 2.</w:t>
      </w:r>
      <w:r w:rsidRPr="001E1652">
        <w:tab/>
        <w:t>Identify the annual rate of the retirement allowance that would have been payable had the Governor General retired at the operative time, disregarding subsection</w:t>
      </w:r>
      <w:r w:rsidR="001E1652" w:rsidRPr="001E1652">
        <w:t> </w:t>
      </w:r>
      <w:r w:rsidRPr="001E1652">
        <w:t>4(4) of the Act.</w:t>
      </w:r>
    </w:p>
    <w:p w:rsidR="004223CB" w:rsidRPr="001E1652" w:rsidRDefault="004223CB" w:rsidP="004223CB">
      <w:pPr>
        <w:pStyle w:val="BoxStep"/>
      </w:pPr>
      <w:r w:rsidRPr="001E1652">
        <w:t>Step 3.</w:t>
      </w:r>
      <w:r w:rsidRPr="001E1652">
        <w:tab/>
        <w:t>Identify the annual rate of the retirement allowance that would have been payable had the Governor General retired at the operative time, having regard to subsection</w:t>
      </w:r>
      <w:r w:rsidR="001E1652" w:rsidRPr="001E1652">
        <w:t> </w:t>
      </w:r>
      <w:r w:rsidRPr="001E1652">
        <w:t>4(4) of the Act.</w:t>
      </w:r>
    </w:p>
    <w:p w:rsidR="004223CB" w:rsidRPr="001E1652" w:rsidRDefault="004223CB" w:rsidP="004223CB">
      <w:pPr>
        <w:pStyle w:val="BoxStep"/>
        <w:rPr>
          <w:bCs/>
        </w:rPr>
      </w:pPr>
      <w:r w:rsidRPr="001E1652">
        <w:t>Step 4.</w:t>
      </w:r>
      <w:r w:rsidRPr="001E1652">
        <w:tab/>
      </w:r>
      <w:r w:rsidRPr="001E1652">
        <w:rPr>
          <w:bCs/>
        </w:rPr>
        <w:t>Calculate an amount using the formula:</w:t>
      </w:r>
    </w:p>
    <w:p w:rsidR="004223CB" w:rsidRPr="001E1652" w:rsidRDefault="004223CB" w:rsidP="004223CB">
      <w:pPr>
        <w:pStyle w:val="BoxStep"/>
        <w:rPr>
          <w:bCs/>
        </w:rPr>
      </w:pPr>
      <w:r w:rsidRPr="001E1652">
        <w:rPr>
          <w:bCs/>
        </w:rPr>
        <w:tab/>
      </w:r>
      <w:r w:rsidRPr="001E1652">
        <w:rPr>
          <w:b/>
          <w:bCs/>
        </w:rPr>
        <w:object w:dxaOrig="2540" w:dyaOrig="660">
          <v:shape id="_x0000_i1032" type="#_x0000_t75" style="width:126.75pt;height:33pt" o:ole="">
            <v:imagedata r:id="rId21" o:title=""/>
          </v:shape>
          <o:OLEObject Type="Embed" ProgID="Equation.DSMT4" ShapeID="_x0000_i1032" DrawAspect="Content" ObjectID="_1424680916" r:id="rId33"/>
        </w:object>
      </w:r>
    </w:p>
    <w:p w:rsidR="004223CB" w:rsidRPr="001E1652" w:rsidRDefault="004223CB" w:rsidP="004223CB">
      <w:pPr>
        <w:pStyle w:val="BoxStep"/>
        <w:rPr>
          <w:bCs/>
        </w:rPr>
      </w:pPr>
      <w:r w:rsidRPr="001E1652">
        <w:rPr>
          <w:bCs/>
        </w:rPr>
        <w:tab/>
        <w:t>where:</w:t>
      </w:r>
    </w:p>
    <w:p w:rsidR="004223CB" w:rsidRPr="001E1652" w:rsidRDefault="004223CB" w:rsidP="004223CB">
      <w:pPr>
        <w:pStyle w:val="BoxStep"/>
        <w:rPr>
          <w:bCs/>
        </w:rPr>
      </w:pPr>
      <w:r w:rsidRPr="001E1652">
        <w:rPr>
          <w:b/>
          <w:bCs/>
          <w:i/>
          <w:iCs/>
        </w:rPr>
        <w:tab/>
        <w:t>F</w:t>
      </w:r>
      <w:r w:rsidRPr="001E1652">
        <w:rPr>
          <w:b/>
          <w:bCs/>
          <w:i/>
          <w:iCs/>
          <w:vertAlign w:val="subscript"/>
        </w:rPr>
        <w:t>y</w:t>
      </w:r>
      <w:r w:rsidRPr="001E1652">
        <w:rPr>
          <w:bCs/>
          <w:i/>
          <w:iCs/>
        </w:rPr>
        <w:t xml:space="preserve"> </w:t>
      </w:r>
      <w:r w:rsidRPr="001E1652">
        <w:rPr>
          <w:bCs/>
        </w:rPr>
        <w:t>is the number in Table 2 that applies to the member spouse’s gender, and age in whole years, when the member spouse would have been expected to complete his or her term of office (based on the information available at the operative time).</w:t>
      </w:r>
    </w:p>
    <w:p w:rsidR="004223CB" w:rsidRPr="001E1652" w:rsidRDefault="004223CB" w:rsidP="004223CB">
      <w:pPr>
        <w:pStyle w:val="BoxStep"/>
        <w:rPr>
          <w:bCs/>
        </w:rPr>
      </w:pPr>
      <w:r w:rsidRPr="001E1652">
        <w:rPr>
          <w:b/>
          <w:bCs/>
          <w:i/>
          <w:iCs/>
        </w:rPr>
        <w:tab/>
        <w:t>F</w:t>
      </w:r>
      <w:r w:rsidRPr="001E1652">
        <w:rPr>
          <w:b/>
          <w:bCs/>
          <w:i/>
          <w:iCs/>
          <w:vertAlign w:val="subscript"/>
        </w:rPr>
        <w:t>y+1</w:t>
      </w:r>
      <w:r w:rsidRPr="001E1652">
        <w:rPr>
          <w:bCs/>
          <w:i/>
          <w:iCs/>
        </w:rPr>
        <w:t xml:space="preserve"> </w:t>
      </w:r>
      <w:r w:rsidRPr="001E1652">
        <w:rPr>
          <w:bCs/>
        </w:rPr>
        <w:t>is the number in Table 2 that would apply to the member spouse if the member spouse’s age in whole years was one year more than it was when the member spouse would have been expected to complete his or her term of office.</w:t>
      </w:r>
    </w:p>
    <w:p w:rsidR="004223CB" w:rsidRPr="001E1652" w:rsidRDefault="004223CB" w:rsidP="004223CB">
      <w:pPr>
        <w:pStyle w:val="BoxStep"/>
      </w:pPr>
      <w:r w:rsidRPr="001E1652">
        <w:rPr>
          <w:b/>
          <w:bCs/>
          <w:i/>
          <w:iCs/>
        </w:rPr>
        <w:tab/>
        <w:t>m</w:t>
      </w:r>
      <w:r w:rsidRPr="001E1652">
        <w:rPr>
          <w:bCs/>
          <w:i/>
          <w:iCs/>
        </w:rPr>
        <w:t xml:space="preserve"> </w:t>
      </w:r>
      <w:r w:rsidRPr="001E1652">
        <w:rPr>
          <w:bCs/>
        </w:rPr>
        <w:t>is the number of whole months of the member spouse’s age that are not included in the member spouse’s age in whole years when the member spouse is expected to complete his or her term of office.</w:t>
      </w:r>
    </w:p>
    <w:p w:rsidR="004223CB" w:rsidRPr="001E1652" w:rsidRDefault="004223CB" w:rsidP="004223CB">
      <w:pPr>
        <w:pStyle w:val="BoxStep"/>
      </w:pPr>
      <w:r w:rsidRPr="001E1652">
        <w:t>Step 5.</w:t>
      </w:r>
      <w:r w:rsidRPr="001E1652">
        <w:tab/>
        <w:t>Multiply the amount calculated in step 3 by the amount calculated in step 4.</w:t>
      </w:r>
    </w:p>
    <w:p w:rsidR="004223CB" w:rsidRPr="001E1652" w:rsidRDefault="004223CB" w:rsidP="004223CB">
      <w:pPr>
        <w:pStyle w:val="BoxStep"/>
        <w:rPr>
          <w:bCs/>
        </w:rPr>
      </w:pPr>
      <w:r w:rsidRPr="001E1652">
        <w:t>Step 6.</w:t>
      </w:r>
      <w:r w:rsidRPr="001E1652">
        <w:tab/>
      </w:r>
      <w:r w:rsidRPr="001E1652">
        <w:rPr>
          <w:bCs/>
        </w:rPr>
        <w:t>Calculate an amount using the formula:</w:t>
      </w:r>
    </w:p>
    <w:p w:rsidR="004223CB" w:rsidRPr="001E1652" w:rsidRDefault="004223CB" w:rsidP="004223CB">
      <w:pPr>
        <w:pStyle w:val="BoxStep"/>
        <w:rPr>
          <w:bCs/>
        </w:rPr>
      </w:pPr>
      <w:r w:rsidRPr="001E1652">
        <w:tab/>
      </w:r>
      <w:r w:rsidRPr="001E1652">
        <w:object w:dxaOrig="520" w:dyaOrig="560">
          <v:shape id="_x0000_i1033" type="#_x0000_t75" style="width:26.25pt;height:27.75pt" o:ole="">
            <v:imagedata r:id="rId34" o:title=""/>
          </v:shape>
          <o:OLEObject Type="Embed" ProgID="Equation.DSMT4" ShapeID="_x0000_i1033" DrawAspect="Content" ObjectID="_1424680917" r:id="rId35"/>
        </w:object>
      </w:r>
    </w:p>
    <w:p w:rsidR="004223CB" w:rsidRPr="001E1652" w:rsidRDefault="004223CB" w:rsidP="004223CB">
      <w:pPr>
        <w:pStyle w:val="BoxStep"/>
        <w:rPr>
          <w:bCs/>
        </w:rPr>
      </w:pPr>
      <w:r w:rsidRPr="001E1652">
        <w:rPr>
          <w:bCs/>
        </w:rPr>
        <w:tab/>
        <w:t>where:</w:t>
      </w:r>
    </w:p>
    <w:p w:rsidR="004223CB" w:rsidRPr="001E1652" w:rsidRDefault="004223CB" w:rsidP="004223CB">
      <w:pPr>
        <w:pStyle w:val="BoxStep"/>
        <w:rPr>
          <w:bCs/>
        </w:rPr>
      </w:pPr>
      <w:r w:rsidRPr="001E1652">
        <w:rPr>
          <w:b/>
          <w:bCs/>
          <w:i/>
        </w:rPr>
        <w:tab/>
        <w:t>n</w:t>
      </w:r>
      <w:r w:rsidRPr="001E1652">
        <w:rPr>
          <w:bCs/>
        </w:rPr>
        <w:t xml:space="preserve"> is the number of days between the operative time and the time the member spouse would have been expected to complete his or her term of office (based on the information available at the operative time), divided by 365.</w:t>
      </w:r>
    </w:p>
    <w:p w:rsidR="004223CB" w:rsidRPr="001E1652" w:rsidRDefault="004223CB" w:rsidP="004223CB">
      <w:pPr>
        <w:pStyle w:val="BoxStep"/>
      </w:pPr>
      <w:r w:rsidRPr="001E1652">
        <w:rPr>
          <w:bCs/>
          <w:iCs/>
        </w:rPr>
        <w:tab/>
        <w:t>Example:</w:t>
      </w:r>
      <w:r w:rsidRPr="001E1652">
        <w:rPr>
          <w:bCs/>
          <w:iCs/>
        </w:rPr>
        <w:tab/>
      </w:r>
      <w:r w:rsidRPr="001E1652">
        <w:rPr>
          <w:bCs/>
        </w:rPr>
        <w:t>If a payment split occurs after 2 years of an expected 5 year term, the number of days between the operative time and time the member spouse would have been expected to complete his or her term of office is 1095 (i.e. 3 x 365). So, n is 3 (i.e. 1093 ÷ 365).</w:t>
      </w:r>
    </w:p>
    <w:p w:rsidR="004223CB" w:rsidRPr="001E1652" w:rsidRDefault="004223CB" w:rsidP="004223CB">
      <w:pPr>
        <w:pStyle w:val="BoxStep"/>
      </w:pPr>
      <w:r w:rsidRPr="001E1652">
        <w:lastRenderedPageBreak/>
        <w:t>Step 7.</w:t>
      </w:r>
      <w:r w:rsidRPr="001E1652">
        <w:tab/>
        <w:t>Multiply the amount calculated in step 5 by the amount calculated in step 6.</w:t>
      </w:r>
    </w:p>
    <w:p w:rsidR="004223CB" w:rsidRPr="001E1652" w:rsidRDefault="004223CB" w:rsidP="004223CB">
      <w:pPr>
        <w:pStyle w:val="BoxStep"/>
      </w:pPr>
      <w:r w:rsidRPr="001E1652">
        <w:t>Step 8.</w:t>
      </w:r>
      <w:r w:rsidRPr="001E1652">
        <w:tab/>
        <w:t>Divide the transfer amount by the amount calculated in step 7.</w:t>
      </w:r>
    </w:p>
    <w:p w:rsidR="004223CB" w:rsidRPr="001E1652" w:rsidRDefault="004223CB" w:rsidP="004223CB">
      <w:pPr>
        <w:pStyle w:val="BoxStep"/>
      </w:pPr>
      <w:r w:rsidRPr="001E1652">
        <w:t>Step 9.</w:t>
      </w:r>
      <w:r w:rsidRPr="001E1652">
        <w:tab/>
        <w:t>Multiply the amount calculated in step 3 by the amount calculated in step 8.</w:t>
      </w:r>
    </w:p>
    <w:p w:rsidR="004223CB" w:rsidRPr="001E1652" w:rsidRDefault="004223CB" w:rsidP="004223CB">
      <w:pPr>
        <w:pStyle w:val="BoxStep"/>
      </w:pPr>
      <w:r w:rsidRPr="001E1652">
        <w:t>Step 10.</w:t>
      </w:r>
      <w:r w:rsidRPr="001E1652">
        <w:tab/>
        <w:t>Divide the amount calculated in step 9 by the amount identified in step 2.</w:t>
      </w:r>
    </w:p>
    <w:p w:rsidR="004223CB" w:rsidRPr="001E1652" w:rsidRDefault="004223CB" w:rsidP="004223CB">
      <w:pPr>
        <w:pStyle w:val="BoxStep"/>
      </w:pPr>
      <w:r w:rsidRPr="001E1652">
        <w:t>Step 11.</w:t>
      </w:r>
      <w:r w:rsidRPr="001E1652">
        <w:tab/>
        <w:t>Multiply the amount identified in step 1 by the amount calculated in step 10.</w:t>
      </w:r>
    </w:p>
    <w:p w:rsidR="004223CB" w:rsidRPr="001E1652" w:rsidRDefault="004223CB" w:rsidP="004223CB">
      <w:pPr>
        <w:pStyle w:val="BoxStep"/>
      </w:pPr>
      <w:r w:rsidRPr="001E1652">
        <w:t>Step 12.</w:t>
      </w:r>
      <w:r w:rsidRPr="001E1652">
        <w:tab/>
        <w:t>Deduct the amount calculated in item</w:t>
      </w:r>
      <w:r w:rsidR="001E1652" w:rsidRPr="001E1652">
        <w:t> </w:t>
      </w:r>
      <w:r w:rsidRPr="001E1652">
        <w:t>11 from the amount identified in step 1.</w:t>
      </w:r>
    </w:p>
    <w:p w:rsidR="004223CB" w:rsidRPr="001E1652" w:rsidRDefault="004223CB" w:rsidP="004223CB">
      <w:pPr>
        <w:pStyle w:val="BoxStep"/>
      </w:pPr>
      <w:r w:rsidRPr="001E1652">
        <w:tab/>
        <w:t>Note:</w:t>
      </w:r>
      <w:r w:rsidRPr="001E1652">
        <w:tab/>
        <w:t>If there has been more than one payment split, steps 1 to 12 must be repeated in the order that the splits happened from earliest to latest.</w:t>
      </w:r>
    </w:p>
    <w:p w:rsidR="004223CB" w:rsidRPr="001E1652" w:rsidRDefault="004223CB" w:rsidP="004223CB">
      <w:pPr>
        <w:pStyle w:val="BoxStep"/>
      </w:pPr>
      <w:r w:rsidRPr="001E1652">
        <w:t>Step 13.</w:t>
      </w:r>
      <w:r w:rsidRPr="001E1652">
        <w:tab/>
        <w:t>Divide the amount calculated in step 12 by the Chief Justice’s salary when the Governor General died.</w:t>
      </w:r>
    </w:p>
    <w:p w:rsidR="004223CB" w:rsidRPr="001E1652" w:rsidRDefault="004223CB" w:rsidP="004223CB">
      <w:pPr>
        <w:pStyle w:val="BoxStep"/>
      </w:pPr>
      <w:r w:rsidRPr="001E1652">
        <w:tab/>
        <w:t>Round the result to 4 decimal places (rounding up if the fifth decimal place is 5 or more).</w:t>
      </w:r>
    </w:p>
    <w:p w:rsidR="004223CB" w:rsidRPr="001E1652" w:rsidRDefault="004223CB" w:rsidP="004223CB">
      <w:pPr>
        <w:pStyle w:val="BoxStep"/>
      </w:pPr>
      <w:r w:rsidRPr="001E1652">
        <w:t>Step 14.</w:t>
      </w:r>
      <w:r w:rsidRPr="001E1652">
        <w:tab/>
        <w:t>Multiply the amount calculated in step 13 by the Chief Justice’s salary.</w:t>
      </w:r>
    </w:p>
    <w:p w:rsidR="007E6F6F" w:rsidRPr="001E1652" w:rsidRDefault="006F3EBF" w:rsidP="00FF58B1">
      <w:pPr>
        <w:pStyle w:val="subsection"/>
      </w:pPr>
      <w:r w:rsidRPr="001E1652">
        <w:tab/>
        <w:t>(</w:t>
      </w:r>
      <w:r w:rsidR="008C2B2F" w:rsidRPr="001E1652">
        <w:t>2</w:t>
      </w:r>
      <w:r w:rsidRPr="001E1652">
        <w:t>)</w:t>
      </w:r>
      <w:r w:rsidRPr="001E1652">
        <w:tab/>
      </w:r>
      <w:r w:rsidR="00B571AE" w:rsidRPr="001E1652">
        <w:t>For subsection</w:t>
      </w:r>
      <w:r w:rsidR="001E1652" w:rsidRPr="001E1652">
        <w:t> </w:t>
      </w:r>
      <w:r w:rsidR="00B571AE" w:rsidRPr="001E1652">
        <w:t>4A</w:t>
      </w:r>
      <w:r w:rsidR="00FF58B1" w:rsidRPr="001E1652">
        <w:t>E(</w:t>
      </w:r>
      <w:r w:rsidR="00B571AE" w:rsidRPr="001E1652">
        <w:t>4</w:t>
      </w:r>
      <w:r w:rsidRPr="001E1652">
        <w:t xml:space="preserve">) of the Act, the </w:t>
      </w:r>
      <w:r w:rsidR="00A91AC1" w:rsidRPr="001E1652">
        <w:t>rate applicable under paragraph</w:t>
      </w:r>
      <w:r w:rsidR="001E1652" w:rsidRPr="001E1652">
        <w:t> </w:t>
      </w:r>
      <w:r w:rsidR="00FF58B1" w:rsidRPr="001E1652">
        <w:t>4(</w:t>
      </w:r>
      <w:r w:rsidR="00A91AC1" w:rsidRPr="001E1652">
        <w:t>3</w:t>
      </w:r>
      <w:r w:rsidR="00FF58B1" w:rsidRPr="001E1652">
        <w:t>)(</w:t>
      </w:r>
      <w:r w:rsidR="00937239" w:rsidRPr="001E1652">
        <w:t>a</w:t>
      </w:r>
      <w:r w:rsidR="00A91AC1" w:rsidRPr="001E1652">
        <w:t>) of the Act</w:t>
      </w:r>
      <w:r w:rsidRPr="001E1652">
        <w:t xml:space="preserve"> is </w:t>
      </w:r>
      <w:r w:rsidR="00E477CB" w:rsidRPr="001E1652">
        <w:t>reduced to the amount calculated as follows</w:t>
      </w:r>
      <w:r w:rsidRPr="001E1652">
        <w:t>:</w:t>
      </w:r>
    </w:p>
    <w:p w:rsidR="004223CB" w:rsidRPr="001E1652" w:rsidRDefault="004223CB" w:rsidP="004223CB">
      <w:pPr>
        <w:pStyle w:val="BoxHeadItalic"/>
      </w:pPr>
      <w:r w:rsidRPr="001E1652">
        <w:t>Method statement</w:t>
      </w:r>
    </w:p>
    <w:p w:rsidR="004223CB" w:rsidRPr="001E1652" w:rsidRDefault="004223CB" w:rsidP="004223CB">
      <w:pPr>
        <w:pStyle w:val="BoxStep"/>
      </w:pPr>
      <w:r w:rsidRPr="001E1652">
        <w:t>Step 1.</w:t>
      </w:r>
      <w:r w:rsidRPr="001E1652">
        <w:tab/>
        <w:t>Identify the annual rate of the retirement allowance that was payable when the Governor General died, disregarding subsection</w:t>
      </w:r>
      <w:r w:rsidR="001E1652" w:rsidRPr="001E1652">
        <w:t> </w:t>
      </w:r>
      <w:r w:rsidRPr="001E1652">
        <w:t>4(4) of the Act.</w:t>
      </w:r>
    </w:p>
    <w:p w:rsidR="004223CB" w:rsidRPr="001E1652" w:rsidRDefault="004223CB" w:rsidP="004223CB">
      <w:pPr>
        <w:pStyle w:val="BoxStep"/>
      </w:pPr>
      <w:r w:rsidRPr="001E1652">
        <w:t>Step 2.</w:t>
      </w:r>
      <w:r w:rsidRPr="001E1652">
        <w:tab/>
        <w:t>Divide the amount identified in step 1 by the Chief Justice’s salary when the Governor General died.</w:t>
      </w:r>
    </w:p>
    <w:p w:rsidR="004223CB" w:rsidRPr="001E1652" w:rsidRDefault="004223CB" w:rsidP="004223CB">
      <w:pPr>
        <w:pStyle w:val="BoxStep"/>
      </w:pPr>
      <w:r w:rsidRPr="001E1652">
        <w:tab/>
        <w:t>Round the result to 4 decimal places (rounding up if the fifth decimal place is 5 or more).</w:t>
      </w:r>
    </w:p>
    <w:p w:rsidR="004223CB" w:rsidRPr="001E1652" w:rsidRDefault="004223CB" w:rsidP="004223CB">
      <w:pPr>
        <w:pStyle w:val="BoxStep"/>
      </w:pPr>
      <w:r w:rsidRPr="001E1652">
        <w:t>Step 3.</w:t>
      </w:r>
      <w:r w:rsidRPr="001E1652">
        <w:tab/>
        <w:t>Multiply the amount calculated in step 2 by the Chief Justice’s salary.</w:t>
      </w:r>
    </w:p>
    <w:p w:rsidR="00D513AE" w:rsidRPr="001E1652" w:rsidRDefault="0053054B" w:rsidP="00FF58B1">
      <w:pPr>
        <w:pStyle w:val="ActHead5"/>
      </w:pPr>
      <w:bookmarkStart w:id="17" w:name="_Toc350176711"/>
      <w:r w:rsidRPr="001E1652">
        <w:rPr>
          <w:rStyle w:val="CharSectno"/>
        </w:rPr>
        <w:lastRenderedPageBreak/>
        <w:t>11</w:t>
      </w:r>
      <w:r w:rsidR="00FF58B1" w:rsidRPr="001E1652">
        <w:t xml:space="preserve">  </w:t>
      </w:r>
      <w:r w:rsidR="00290A28" w:rsidRPr="001E1652">
        <w:t>Operative time during growth phase—reduction of associate deferred allowance</w:t>
      </w:r>
      <w:bookmarkEnd w:id="17"/>
    </w:p>
    <w:p w:rsidR="00B341BA" w:rsidRPr="001E1652" w:rsidRDefault="00D513AE" w:rsidP="000A28A7">
      <w:pPr>
        <w:pStyle w:val="subsection"/>
      </w:pPr>
      <w:r w:rsidRPr="001E1652">
        <w:tab/>
      </w:r>
      <w:r w:rsidR="00FF7EDB" w:rsidRPr="001E1652">
        <w:tab/>
      </w:r>
      <w:r w:rsidR="000A28A7" w:rsidRPr="001E1652">
        <w:t>F</w:t>
      </w:r>
      <w:r w:rsidRPr="001E1652">
        <w:t>or section</w:t>
      </w:r>
      <w:r w:rsidR="001E1652" w:rsidRPr="001E1652">
        <w:t> </w:t>
      </w:r>
      <w:r w:rsidR="000A28A7" w:rsidRPr="001E1652">
        <w:t>4AF of the Act, t</w:t>
      </w:r>
      <w:r w:rsidR="00B341BA" w:rsidRPr="001E1652">
        <w:t>he annual rate of the associate deferred allowance (when it becomes payable) is reduced to the amount calculated as follows:</w:t>
      </w:r>
    </w:p>
    <w:p w:rsidR="004223CB" w:rsidRPr="001E1652" w:rsidRDefault="004223CB" w:rsidP="004223CB">
      <w:pPr>
        <w:pStyle w:val="BoxHeadItalic"/>
      </w:pPr>
      <w:r w:rsidRPr="001E1652">
        <w:t>Method statement:</w:t>
      </w:r>
    </w:p>
    <w:p w:rsidR="004223CB" w:rsidRPr="001E1652" w:rsidRDefault="004223CB" w:rsidP="004223CB">
      <w:pPr>
        <w:pStyle w:val="BoxStep"/>
      </w:pPr>
      <w:r w:rsidRPr="001E1652">
        <w:t>Step 1.</w:t>
      </w:r>
      <w:r w:rsidRPr="001E1652">
        <w:tab/>
        <w:t>Identify the transfer amount that was payable at the operative time.</w:t>
      </w:r>
    </w:p>
    <w:p w:rsidR="004223CB" w:rsidRPr="001E1652" w:rsidRDefault="004223CB" w:rsidP="004223CB">
      <w:pPr>
        <w:pStyle w:val="BoxStep"/>
      </w:pPr>
      <w:r w:rsidRPr="001E1652">
        <w:t>Step 2A.</w:t>
      </w:r>
      <w:r w:rsidRPr="001E1652">
        <w:tab/>
        <w:t>Add the amount identified in step 1 to the increases in the transfer amount calculated in steps 2B, 2C and 2D.</w:t>
      </w:r>
    </w:p>
    <w:p w:rsidR="004223CB" w:rsidRPr="001E1652" w:rsidRDefault="004223CB" w:rsidP="004223CB">
      <w:pPr>
        <w:pStyle w:val="BoxStep"/>
        <w:rPr>
          <w:i/>
          <w:iCs/>
        </w:rPr>
      </w:pPr>
      <w:r w:rsidRPr="001E1652">
        <w:t>Step 2B.</w:t>
      </w:r>
      <w:r w:rsidRPr="001E1652">
        <w:tab/>
      </w:r>
      <w:r w:rsidRPr="001E1652">
        <w:rPr>
          <w:i/>
          <w:iCs/>
        </w:rPr>
        <w:t>First period</w:t>
      </w:r>
    </w:p>
    <w:p w:rsidR="004223CB" w:rsidRPr="001E1652" w:rsidRDefault="004223CB" w:rsidP="004223CB">
      <w:pPr>
        <w:pStyle w:val="BoxStep"/>
      </w:pPr>
      <w:r w:rsidRPr="001E1652">
        <w:tab/>
        <w:t>Identify the shorter of:</w:t>
      </w:r>
    </w:p>
    <w:p w:rsidR="004223CB" w:rsidRPr="001E1652" w:rsidRDefault="004223CB" w:rsidP="004223CB">
      <w:pPr>
        <w:pStyle w:val="BoxPara"/>
      </w:pPr>
      <w:r w:rsidRPr="001E1652">
        <w:tab/>
        <w:t>(a)</w:t>
      </w:r>
      <w:r w:rsidRPr="001E1652">
        <w:tab/>
        <w:t>the period between the operative time and the end of the financial year in which the operative time occurs; and</w:t>
      </w:r>
    </w:p>
    <w:p w:rsidR="004223CB" w:rsidRPr="001E1652" w:rsidRDefault="004223CB" w:rsidP="004223CB">
      <w:pPr>
        <w:pStyle w:val="BoxPara"/>
      </w:pPr>
      <w:r w:rsidRPr="001E1652">
        <w:tab/>
        <w:t>(b)</w:t>
      </w:r>
      <w:r w:rsidRPr="001E1652">
        <w:tab/>
        <w:t>the period between the operative time and when the associate deferred allowance becomes payable.</w:t>
      </w:r>
    </w:p>
    <w:p w:rsidR="004223CB" w:rsidRPr="001E1652" w:rsidRDefault="004223CB" w:rsidP="004223CB">
      <w:pPr>
        <w:pStyle w:val="BoxStep"/>
      </w:pPr>
      <w:r w:rsidRPr="001E1652">
        <w:tab/>
        <w:t xml:space="preserve">This is the </w:t>
      </w:r>
      <w:r w:rsidRPr="001E1652">
        <w:rPr>
          <w:b/>
          <w:bCs/>
          <w:i/>
          <w:iCs/>
        </w:rPr>
        <w:t>first period</w:t>
      </w:r>
      <w:r w:rsidRPr="001E1652">
        <w:t>.</w:t>
      </w:r>
    </w:p>
    <w:p w:rsidR="004223CB" w:rsidRPr="001E1652" w:rsidRDefault="004223CB" w:rsidP="004223CB">
      <w:pPr>
        <w:pStyle w:val="BoxStep"/>
      </w:pPr>
      <w:r w:rsidRPr="001E1652">
        <w:tab/>
        <w:t>Calculate the increase in the transfer amount for the first period using the formula:</w:t>
      </w:r>
    </w:p>
    <w:p w:rsidR="004223CB" w:rsidRPr="001E1652" w:rsidRDefault="004223CB" w:rsidP="004223CB">
      <w:pPr>
        <w:pStyle w:val="BoxStep"/>
      </w:pPr>
      <w:r w:rsidRPr="001E1652">
        <w:tab/>
      </w:r>
      <w:r w:rsidRPr="001E1652">
        <w:object w:dxaOrig="2079" w:dyaOrig="620">
          <v:shape id="_x0000_i1034" type="#_x0000_t75" style="width:104.25pt;height:30.75pt" o:ole="">
            <v:imagedata r:id="rId23" o:title=""/>
          </v:shape>
          <o:OLEObject Type="Embed" ProgID="Equation.DSMT4" ShapeID="_x0000_i1034" DrawAspect="Content" ObjectID="_1424680918" r:id="rId36"/>
        </w:object>
      </w:r>
    </w:p>
    <w:p w:rsidR="004223CB" w:rsidRPr="001E1652" w:rsidRDefault="004223CB" w:rsidP="004223CB">
      <w:pPr>
        <w:pStyle w:val="BoxStep"/>
      </w:pPr>
      <w:r w:rsidRPr="001E1652">
        <w:tab/>
        <w:t>where:</w:t>
      </w:r>
    </w:p>
    <w:p w:rsidR="004223CB" w:rsidRPr="001E1652" w:rsidRDefault="004223CB" w:rsidP="004223CB">
      <w:pPr>
        <w:pStyle w:val="BoxStep"/>
      </w:pPr>
      <w:r w:rsidRPr="001E1652">
        <w:rPr>
          <w:b/>
          <w:i/>
        </w:rPr>
        <w:tab/>
        <w:t>amount</w:t>
      </w:r>
      <w:r w:rsidRPr="001E1652">
        <w:t xml:space="preserve"> is the amount identified in step 1.</w:t>
      </w:r>
    </w:p>
    <w:p w:rsidR="004223CB" w:rsidRPr="001E1652" w:rsidRDefault="004223CB" w:rsidP="004223CB">
      <w:pPr>
        <w:pStyle w:val="BoxStep"/>
        <w:rPr>
          <w:b/>
          <w:i/>
        </w:rPr>
      </w:pPr>
      <w:r w:rsidRPr="001E1652">
        <w:rPr>
          <w:b/>
          <w:i/>
        </w:rPr>
        <w:tab/>
        <w:t>rate</w:t>
      </w:r>
      <w:r w:rsidRPr="001E1652">
        <w:t xml:space="preserve"> is the Treasury bond rate for the financial year in which the first period occurs.</w:t>
      </w:r>
    </w:p>
    <w:p w:rsidR="004223CB" w:rsidRPr="001E1652" w:rsidRDefault="004223CB" w:rsidP="004223CB">
      <w:pPr>
        <w:pStyle w:val="BoxStep"/>
      </w:pPr>
      <w:r w:rsidRPr="001E1652">
        <w:rPr>
          <w:b/>
          <w:i/>
        </w:rPr>
        <w:tab/>
        <w:t>time</w:t>
      </w:r>
      <w:r w:rsidRPr="001E1652">
        <w:t xml:space="preserve"> is the number of days in the first period.</w:t>
      </w:r>
    </w:p>
    <w:p w:rsidR="004223CB" w:rsidRPr="001E1652" w:rsidRDefault="004223CB" w:rsidP="004223CB">
      <w:pPr>
        <w:pStyle w:val="BoxStep"/>
      </w:pPr>
      <w:r w:rsidRPr="001E1652">
        <w:tab/>
        <w:t>Round the result to 2 decimal places (rounding up if the third decimal place is 5 or more).</w:t>
      </w:r>
    </w:p>
    <w:p w:rsidR="004223CB" w:rsidRPr="001E1652" w:rsidRDefault="004223CB" w:rsidP="004223CB">
      <w:pPr>
        <w:pStyle w:val="BoxStep"/>
        <w:rPr>
          <w:i/>
          <w:iCs/>
        </w:rPr>
      </w:pPr>
      <w:r w:rsidRPr="001E1652">
        <w:t>Step 2C.</w:t>
      </w:r>
      <w:r w:rsidRPr="001E1652">
        <w:tab/>
      </w:r>
      <w:r w:rsidRPr="001E1652">
        <w:rPr>
          <w:i/>
          <w:iCs/>
        </w:rPr>
        <w:t>Second period (if any)</w:t>
      </w:r>
    </w:p>
    <w:p w:rsidR="004223CB" w:rsidRPr="001E1652" w:rsidRDefault="004223CB" w:rsidP="004223CB">
      <w:pPr>
        <w:pStyle w:val="BoxStep"/>
      </w:pPr>
      <w:r w:rsidRPr="001E1652">
        <w:tab/>
        <w:t>Use this step if one or more full financial years occurs immediately after the end of the first period and before the associate deferred allowance becomes payable.</w:t>
      </w:r>
    </w:p>
    <w:p w:rsidR="004223CB" w:rsidRPr="001E1652" w:rsidRDefault="004223CB" w:rsidP="004223CB">
      <w:pPr>
        <w:pStyle w:val="BoxStep"/>
      </w:pPr>
      <w:r w:rsidRPr="001E1652">
        <w:tab/>
        <w:t xml:space="preserve">This is the </w:t>
      </w:r>
      <w:r w:rsidRPr="001E1652">
        <w:rPr>
          <w:b/>
          <w:bCs/>
          <w:i/>
          <w:iCs/>
        </w:rPr>
        <w:t>second period</w:t>
      </w:r>
      <w:r w:rsidRPr="001E1652">
        <w:t>.</w:t>
      </w:r>
    </w:p>
    <w:p w:rsidR="004223CB" w:rsidRPr="001E1652" w:rsidRDefault="004223CB" w:rsidP="004223CB">
      <w:pPr>
        <w:pStyle w:val="BoxStep"/>
      </w:pPr>
      <w:r w:rsidRPr="001E1652">
        <w:lastRenderedPageBreak/>
        <w:tab/>
        <w:t>Calculate the increase in the transfer amount for each full financial year of the second period using the formula:</w:t>
      </w:r>
    </w:p>
    <w:p w:rsidR="004223CB" w:rsidRPr="001E1652" w:rsidRDefault="004223CB" w:rsidP="004223CB">
      <w:pPr>
        <w:pStyle w:val="BoxStep"/>
      </w:pPr>
      <w:r w:rsidRPr="001E1652">
        <w:tab/>
      </w:r>
      <w:r w:rsidRPr="001E1652">
        <w:object w:dxaOrig="2400" w:dyaOrig="279">
          <v:shape id="_x0000_i1035" type="#_x0000_t75" style="width:120.75pt;height:13.5pt" o:ole="">
            <v:imagedata r:id="rId25" o:title=""/>
          </v:shape>
          <o:OLEObject Type="Embed" ProgID="Equation.DSMT4" ShapeID="_x0000_i1035" DrawAspect="Content" ObjectID="_1424680919" r:id="rId37"/>
        </w:object>
      </w:r>
    </w:p>
    <w:p w:rsidR="004223CB" w:rsidRPr="001E1652" w:rsidRDefault="004223CB" w:rsidP="004223CB">
      <w:pPr>
        <w:pStyle w:val="BoxStep"/>
      </w:pPr>
      <w:r w:rsidRPr="001E1652">
        <w:tab/>
        <w:t>where:</w:t>
      </w:r>
    </w:p>
    <w:p w:rsidR="004223CB" w:rsidRPr="001E1652" w:rsidRDefault="004223CB" w:rsidP="004223CB">
      <w:pPr>
        <w:pStyle w:val="BoxStep"/>
      </w:pPr>
      <w:r w:rsidRPr="001E1652">
        <w:rPr>
          <w:b/>
          <w:i/>
        </w:rPr>
        <w:tab/>
        <w:t>increased amount</w:t>
      </w:r>
      <w:r w:rsidRPr="001E1652">
        <w:t xml:space="preserve"> is the amount identified in step 1, added to:</w:t>
      </w:r>
    </w:p>
    <w:p w:rsidR="004223CB" w:rsidRPr="001E1652" w:rsidRDefault="004223CB" w:rsidP="004223CB">
      <w:pPr>
        <w:pStyle w:val="BoxPara"/>
      </w:pPr>
      <w:r w:rsidRPr="001E1652">
        <w:tab/>
        <w:t>(a)</w:t>
      </w:r>
      <w:r w:rsidRPr="001E1652">
        <w:tab/>
        <w:t>the increase in the transfer amount calculated in step 2B; and</w:t>
      </w:r>
    </w:p>
    <w:p w:rsidR="004223CB" w:rsidRPr="001E1652" w:rsidRDefault="004223CB" w:rsidP="004223CB">
      <w:pPr>
        <w:pStyle w:val="BoxPara"/>
      </w:pPr>
      <w:r w:rsidRPr="001E1652">
        <w:tab/>
        <w:t>(b)</w:t>
      </w:r>
      <w:r w:rsidRPr="001E1652">
        <w:tab/>
        <w:t>any increases in the transfer amount calculated under this step for earlier financial years in the second period.</w:t>
      </w:r>
    </w:p>
    <w:p w:rsidR="004223CB" w:rsidRPr="001E1652" w:rsidRDefault="004223CB" w:rsidP="004223CB">
      <w:pPr>
        <w:pStyle w:val="BoxStep"/>
        <w:rPr>
          <w:b/>
          <w:i/>
        </w:rPr>
      </w:pPr>
      <w:r w:rsidRPr="001E1652">
        <w:rPr>
          <w:b/>
          <w:i/>
        </w:rPr>
        <w:tab/>
        <w:t>rate</w:t>
      </w:r>
      <w:r w:rsidRPr="001E1652">
        <w:t xml:space="preserve"> is the Treasury bond rate for the financial year for which the calculation is being made.</w:t>
      </w:r>
    </w:p>
    <w:p w:rsidR="004223CB" w:rsidRPr="001E1652" w:rsidRDefault="004223CB" w:rsidP="004223CB">
      <w:pPr>
        <w:pStyle w:val="BoxStep"/>
      </w:pPr>
      <w:r w:rsidRPr="001E1652">
        <w:tab/>
        <w:t>Round the amount to 2 decimal places (rounding up if the third decimal place is 5 or more).</w:t>
      </w:r>
    </w:p>
    <w:p w:rsidR="004223CB" w:rsidRPr="001E1652" w:rsidRDefault="004223CB" w:rsidP="004223CB">
      <w:pPr>
        <w:pStyle w:val="BoxStep"/>
        <w:rPr>
          <w:i/>
          <w:iCs/>
        </w:rPr>
      </w:pPr>
      <w:r w:rsidRPr="001E1652">
        <w:t>Step 2D.</w:t>
      </w:r>
      <w:r w:rsidRPr="001E1652">
        <w:tab/>
      </w:r>
      <w:r w:rsidRPr="001E1652">
        <w:rPr>
          <w:i/>
          <w:iCs/>
        </w:rPr>
        <w:t>Final period (if any)</w:t>
      </w:r>
    </w:p>
    <w:p w:rsidR="004223CB" w:rsidRPr="001E1652" w:rsidRDefault="004223CB" w:rsidP="004223CB">
      <w:pPr>
        <w:pStyle w:val="BoxStep"/>
      </w:pPr>
      <w:r w:rsidRPr="001E1652">
        <w:tab/>
        <w:t>Use this step if:</w:t>
      </w:r>
    </w:p>
    <w:p w:rsidR="004223CB" w:rsidRPr="001E1652" w:rsidRDefault="004223CB" w:rsidP="004223CB">
      <w:pPr>
        <w:pStyle w:val="BoxPara"/>
      </w:pPr>
      <w:r w:rsidRPr="001E1652">
        <w:tab/>
        <w:t>(a)</w:t>
      </w:r>
      <w:r w:rsidRPr="001E1652">
        <w:tab/>
        <w:t>there is any period between the end of a financial year and when the associate deferred allowance becomes payable; and</w:t>
      </w:r>
    </w:p>
    <w:p w:rsidR="004223CB" w:rsidRPr="001E1652" w:rsidRDefault="004223CB" w:rsidP="004223CB">
      <w:pPr>
        <w:pStyle w:val="BoxPara"/>
      </w:pPr>
      <w:r w:rsidRPr="001E1652">
        <w:tab/>
        <w:t>(b)</w:t>
      </w:r>
      <w:r w:rsidRPr="001E1652">
        <w:tab/>
        <w:t>neither step 2B nor step 2C covers that period.</w:t>
      </w:r>
    </w:p>
    <w:p w:rsidR="004223CB" w:rsidRPr="001E1652" w:rsidRDefault="004223CB" w:rsidP="004223CB">
      <w:pPr>
        <w:pStyle w:val="BoxStep"/>
      </w:pPr>
      <w:r w:rsidRPr="001E1652">
        <w:tab/>
        <w:t xml:space="preserve">This is the </w:t>
      </w:r>
      <w:r w:rsidRPr="001E1652">
        <w:rPr>
          <w:b/>
          <w:bCs/>
          <w:i/>
          <w:iCs/>
        </w:rPr>
        <w:t>final period</w:t>
      </w:r>
      <w:r w:rsidRPr="001E1652">
        <w:t>.</w:t>
      </w:r>
    </w:p>
    <w:p w:rsidR="004223CB" w:rsidRPr="001E1652" w:rsidRDefault="004223CB" w:rsidP="004223CB">
      <w:pPr>
        <w:pStyle w:val="BoxStep"/>
      </w:pPr>
      <w:r w:rsidRPr="001E1652">
        <w:tab/>
        <w:t>Calculate the increase in the transfer amount for the final period using the formula:</w:t>
      </w:r>
    </w:p>
    <w:p w:rsidR="004223CB" w:rsidRPr="001E1652" w:rsidRDefault="004223CB" w:rsidP="004223CB">
      <w:pPr>
        <w:pStyle w:val="BoxStep"/>
      </w:pPr>
      <w:r w:rsidRPr="001E1652">
        <w:tab/>
      </w:r>
      <w:r w:rsidRPr="001E1652">
        <w:object w:dxaOrig="3080" w:dyaOrig="620">
          <v:shape id="_x0000_i1036" type="#_x0000_t75" style="width:154.5pt;height:30.75pt" o:ole="">
            <v:imagedata r:id="rId27" o:title=""/>
          </v:shape>
          <o:OLEObject Type="Embed" ProgID="Equation.DSMT4" ShapeID="_x0000_i1036" DrawAspect="Content" ObjectID="_1424680920" r:id="rId38"/>
        </w:object>
      </w:r>
    </w:p>
    <w:p w:rsidR="004223CB" w:rsidRPr="001E1652" w:rsidRDefault="004223CB" w:rsidP="004223CB">
      <w:pPr>
        <w:pStyle w:val="BoxStep"/>
      </w:pPr>
      <w:r w:rsidRPr="001E1652">
        <w:tab/>
        <w:t>where:</w:t>
      </w:r>
    </w:p>
    <w:p w:rsidR="004223CB" w:rsidRPr="001E1652" w:rsidRDefault="004223CB" w:rsidP="004223CB">
      <w:pPr>
        <w:pStyle w:val="BoxStep"/>
      </w:pPr>
      <w:r w:rsidRPr="001E1652">
        <w:rPr>
          <w:b/>
          <w:i/>
        </w:rPr>
        <w:tab/>
        <w:t>increased amount</w:t>
      </w:r>
      <w:r w:rsidRPr="001E1652">
        <w:t xml:space="preserve"> is the amount identified in step 1, added to:</w:t>
      </w:r>
    </w:p>
    <w:p w:rsidR="004223CB" w:rsidRPr="001E1652" w:rsidRDefault="004223CB" w:rsidP="004223CB">
      <w:pPr>
        <w:pStyle w:val="BoxPara"/>
      </w:pPr>
      <w:r w:rsidRPr="001E1652">
        <w:tab/>
        <w:t>(a)</w:t>
      </w:r>
      <w:r w:rsidRPr="001E1652">
        <w:tab/>
        <w:t>the increase in the transfer amount calculated in step 2B; and</w:t>
      </w:r>
    </w:p>
    <w:p w:rsidR="004223CB" w:rsidRPr="001E1652" w:rsidRDefault="004223CB" w:rsidP="004223CB">
      <w:pPr>
        <w:pStyle w:val="BoxPara"/>
      </w:pPr>
      <w:r w:rsidRPr="001E1652">
        <w:tab/>
        <w:t>(b)</w:t>
      </w:r>
      <w:r w:rsidRPr="001E1652">
        <w:tab/>
        <w:t>the increases in the transfer amount calculated in step 2C for each financial year in the second period.</w:t>
      </w:r>
    </w:p>
    <w:p w:rsidR="004223CB" w:rsidRPr="001E1652" w:rsidRDefault="004223CB" w:rsidP="004223CB">
      <w:pPr>
        <w:pStyle w:val="BoxStep"/>
        <w:rPr>
          <w:b/>
          <w:i/>
        </w:rPr>
      </w:pPr>
      <w:r w:rsidRPr="001E1652">
        <w:rPr>
          <w:b/>
          <w:i/>
        </w:rPr>
        <w:tab/>
        <w:t>rate</w:t>
      </w:r>
      <w:r w:rsidRPr="001E1652">
        <w:t xml:space="preserve"> is the Treasury bond rate for the financial year in which the final period occurs.</w:t>
      </w:r>
    </w:p>
    <w:p w:rsidR="004223CB" w:rsidRPr="001E1652" w:rsidRDefault="004223CB" w:rsidP="004223CB">
      <w:pPr>
        <w:pStyle w:val="BoxStep"/>
      </w:pPr>
      <w:r w:rsidRPr="001E1652">
        <w:rPr>
          <w:b/>
          <w:i/>
        </w:rPr>
        <w:tab/>
        <w:t>time</w:t>
      </w:r>
      <w:r w:rsidRPr="001E1652">
        <w:t xml:space="preserve"> is the number of days in the final period.</w:t>
      </w:r>
    </w:p>
    <w:p w:rsidR="004223CB" w:rsidRPr="001E1652" w:rsidRDefault="004223CB" w:rsidP="004223CB">
      <w:pPr>
        <w:pStyle w:val="BoxStep"/>
      </w:pPr>
      <w:r w:rsidRPr="001E1652">
        <w:lastRenderedPageBreak/>
        <w:tab/>
        <w:t>Round the result to 2 decimal places (rounding up if the third decimal place is 5 or more).</w:t>
      </w:r>
    </w:p>
    <w:p w:rsidR="004223CB" w:rsidRPr="001E1652" w:rsidRDefault="004223CB" w:rsidP="004223CB">
      <w:pPr>
        <w:pStyle w:val="BoxStep"/>
      </w:pPr>
      <w:r w:rsidRPr="001E1652">
        <w:t>Step 3.</w:t>
      </w:r>
      <w:r w:rsidRPr="001E1652">
        <w:tab/>
      </w:r>
      <w:r w:rsidR="00BB7068" w:rsidRPr="001E1652">
        <w:t>Identify the associate deferred allowance, as calculated under subsection</w:t>
      </w:r>
      <w:r w:rsidR="001E1652" w:rsidRPr="001E1652">
        <w:t> </w:t>
      </w:r>
      <w:r w:rsidR="00BB7068" w:rsidRPr="001E1652">
        <w:t>4AC(1) of the Act on the date of payment, disregarding the payment split.</w:t>
      </w:r>
    </w:p>
    <w:p w:rsidR="00BB7068" w:rsidRPr="001E1652" w:rsidRDefault="004223CB" w:rsidP="00BB7068">
      <w:pPr>
        <w:pStyle w:val="BoxStep"/>
        <w:rPr>
          <w:bCs/>
        </w:rPr>
      </w:pPr>
      <w:r w:rsidRPr="001E1652">
        <w:t>Step 4.</w:t>
      </w:r>
      <w:r w:rsidRPr="001E1652">
        <w:tab/>
      </w:r>
      <w:r w:rsidR="00BB7068" w:rsidRPr="001E1652">
        <w:rPr>
          <w:bCs/>
        </w:rPr>
        <w:t>Calculate an amount using the formula:</w:t>
      </w:r>
    </w:p>
    <w:p w:rsidR="00BB7068" w:rsidRPr="001E1652" w:rsidRDefault="00BB7068" w:rsidP="00BB7068">
      <w:pPr>
        <w:pStyle w:val="BoxStep"/>
        <w:rPr>
          <w:bCs/>
        </w:rPr>
      </w:pPr>
      <w:r w:rsidRPr="001E1652">
        <w:rPr>
          <w:bCs/>
        </w:rPr>
        <w:tab/>
      </w:r>
      <w:r w:rsidRPr="001E1652">
        <w:rPr>
          <w:b/>
          <w:bCs/>
        </w:rPr>
        <w:object w:dxaOrig="2540" w:dyaOrig="660">
          <v:shape id="_x0000_i1037" type="#_x0000_t75" style="width:126.75pt;height:33pt" o:ole="">
            <v:imagedata r:id="rId21" o:title=""/>
          </v:shape>
          <o:OLEObject Type="Embed" ProgID="Equation.DSMT4" ShapeID="_x0000_i1037" DrawAspect="Content" ObjectID="_1424680921" r:id="rId39"/>
        </w:object>
      </w:r>
    </w:p>
    <w:p w:rsidR="00BB7068" w:rsidRPr="001E1652" w:rsidRDefault="00BB7068" w:rsidP="00BB7068">
      <w:pPr>
        <w:pStyle w:val="BoxStep"/>
        <w:rPr>
          <w:bCs/>
        </w:rPr>
      </w:pPr>
      <w:r w:rsidRPr="001E1652">
        <w:rPr>
          <w:bCs/>
        </w:rPr>
        <w:tab/>
        <w:t>where:</w:t>
      </w:r>
    </w:p>
    <w:p w:rsidR="00BB7068" w:rsidRPr="001E1652" w:rsidRDefault="00BB7068" w:rsidP="00BB7068">
      <w:pPr>
        <w:pStyle w:val="BoxStep"/>
        <w:rPr>
          <w:bCs/>
        </w:rPr>
      </w:pPr>
      <w:r w:rsidRPr="001E1652">
        <w:rPr>
          <w:b/>
          <w:bCs/>
          <w:i/>
          <w:iCs/>
        </w:rPr>
        <w:tab/>
        <w:t>F</w:t>
      </w:r>
      <w:r w:rsidRPr="001E1652">
        <w:rPr>
          <w:b/>
          <w:bCs/>
          <w:i/>
          <w:iCs/>
          <w:vertAlign w:val="subscript"/>
        </w:rPr>
        <w:t>y</w:t>
      </w:r>
      <w:r w:rsidRPr="001E1652">
        <w:rPr>
          <w:bCs/>
          <w:i/>
          <w:iCs/>
        </w:rPr>
        <w:t xml:space="preserve"> </w:t>
      </w:r>
      <w:r w:rsidRPr="001E1652">
        <w:rPr>
          <w:bCs/>
        </w:rPr>
        <w:t>is the number in Table 1 that applies to the member spouse’s gender, and age in whole years, when the allowance becomes payable.</w:t>
      </w:r>
    </w:p>
    <w:p w:rsidR="00BB7068" w:rsidRPr="001E1652" w:rsidRDefault="00BB7068" w:rsidP="00BB7068">
      <w:pPr>
        <w:pStyle w:val="BoxStep"/>
        <w:rPr>
          <w:bCs/>
        </w:rPr>
      </w:pPr>
      <w:r w:rsidRPr="001E1652">
        <w:rPr>
          <w:b/>
          <w:bCs/>
          <w:i/>
          <w:iCs/>
        </w:rPr>
        <w:tab/>
        <w:t>F</w:t>
      </w:r>
      <w:r w:rsidRPr="001E1652">
        <w:rPr>
          <w:b/>
          <w:bCs/>
          <w:i/>
          <w:iCs/>
          <w:vertAlign w:val="subscript"/>
        </w:rPr>
        <w:t>y+1</w:t>
      </w:r>
      <w:r w:rsidRPr="001E1652">
        <w:rPr>
          <w:bCs/>
          <w:i/>
          <w:iCs/>
        </w:rPr>
        <w:t xml:space="preserve"> </w:t>
      </w:r>
      <w:r w:rsidRPr="001E1652">
        <w:rPr>
          <w:bCs/>
        </w:rPr>
        <w:t>is the number in Table 1 that would apply to the member spouse if the member spouse’s age in whole years was one year more than it was when the allowance first became payable.</w:t>
      </w:r>
    </w:p>
    <w:p w:rsidR="004223CB" w:rsidRPr="001E1652" w:rsidRDefault="00BB7068" w:rsidP="00BB7068">
      <w:pPr>
        <w:pStyle w:val="BoxStep"/>
      </w:pPr>
      <w:r w:rsidRPr="001E1652">
        <w:rPr>
          <w:b/>
          <w:bCs/>
          <w:i/>
          <w:iCs/>
        </w:rPr>
        <w:tab/>
        <w:t>m</w:t>
      </w:r>
      <w:r w:rsidRPr="001E1652">
        <w:rPr>
          <w:bCs/>
          <w:i/>
          <w:iCs/>
        </w:rPr>
        <w:t xml:space="preserve"> </w:t>
      </w:r>
      <w:r w:rsidRPr="001E1652">
        <w:rPr>
          <w:bCs/>
        </w:rPr>
        <w:t>is the number of whole months of the member spouse’s age that are not included in the member spouse’s age in whole years when the allowance becomes payable.</w:t>
      </w:r>
    </w:p>
    <w:p w:rsidR="004223CB" w:rsidRPr="001E1652" w:rsidRDefault="004223CB" w:rsidP="004223CB">
      <w:pPr>
        <w:pStyle w:val="BoxStep"/>
      </w:pPr>
      <w:r w:rsidRPr="001E1652">
        <w:t>Step 5.</w:t>
      </w:r>
      <w:r w:rsidRPr="001E1652">
        <w:tab/>
      </w:r>
      <w:r w:rsidR="00BB7068" w:rsidRPr="001E1652">
        <w:t>Multiply the amount identified in step 3 by the amount calculated in step 4.</w:t>
      </w:r>
    </w:p>
    <w:p w:rsidR="004223CB" w:rsidRPr="001E1652" w:rsidRDefault="004223CB" w:rsidP="004223CB">
      <w:pPr>
        <w:pStyle w:val="BoxStep"/>
      </w:pPr>
      <w:r w:rsidRPr="001E1652">
        <w:t>Step 6.</w:t>
      </w:r>
      <w:r w:rsidRPr="001E1652">
        <w:tab/>
      </w:r>
      <w:r w:rsidR="00BB7068" w:rsidRPr="001E1652">
        <w:t>Reduce the amount</w:t>
      </w:r>
      <w:r w:rsidR="00BB7068" w:rsidRPr="001E1652">
        <w:rPr>
          <w:b/>
        </w:rPr>
        <w:t xml:space="preserve"> </w:t>
      </w:r>
      <w:r w:rsidR="00BB7068" w:rsidRPr="001E1652">
        <w:t>calculated in step 5 by the transfer amount, as increased in step 2A.</w:t>
      </w:r>
    </w:p>
    <w:p w:rsidR="004223CB" w:rsidRPr="001E1652" w:rsidRDefault="004223CB" w:rsidP="004223CB">
      <w:pPr>
        <w:pStyle w:val="BoxStep"/>
      </w:pPr>
      <w:r w:rsidRPr="001E1652">
        <w:t>Step 7.</w:t>
      </w:r>
      <w:r w:rsidRPr="001E1652">
        <w:tab/>
      </w:r>
      <w:r w:rsidR="00BB7068" w:rsidRPr="001E1652">
        <w:t>Divide the amount calculated in step 6 by the amount calculated in step 4.</w:t>
      </w:r>
    </w:p>
    <w:p w:rsidR="00BB7068" w:rsidRPr="001E1652" w:rsidRDefault="004223CB" w:rsidP="00BB7068">
      <w:pPr>
        <w:pStyle w:val="BoxStep"/>
      </w:pPr>
      <w:r w:rsidRPr="001E1652">
        <w:t>Step 8.</w:t>
      </w:r>
      <w:r w:rsidRPr="001E1652">
        <w:tab/>
      </w:r>
      <w:r w:rsidR="00BB7068" w:rsidRPr="001E1652">
        <w:t>Divide the amount calculated in step 7 by the Chief Justice’s salary when the associate deferred allowance becomes payable.</w:t>
      </w:r>
    </w:p>
    <w:p w:rsidR="004223CB" w:rsidRPr="001E1652" w:rsidRDefault="00BB7068" w:rsidP="00BB7068">
      <w:pPr>
        <w:pStyle w:val="BoxStep"/>
      </w:pPr>
      <w:r w:rsidRPr="001E1652">
        <w:tab/>
        <w:t>Round the result to 4 decimal places (rounding up if the fifth decimal place is 5 or more).</w:t>
      </w:r>
    </w:p>
    <w:p w:rsidR="004223CB" w:rsidRPr="001E1652" w:rsidRDefault="004223CB" w:rsidP="004223CB">
      <w:pPr>
        <w:pStyle w:val="BoxStep"/>
      </w:pPr>
      <w:r w:rsidRPr="001E1652">
        <w:t>Step 9.</w:t>
      </w:r>
      <w:r w:rsidRPr="001E1652">
        <w:tab/>
      </w:r>
      <w:r w:rsidR="00BB7068" w:rsidRPr="001E1652">
        <w:t>Multiply the amount calculated in step 8 by the Chief Justice’s salary.</w:t>
      </w:r>
    </w:p>
    <w:p w:rsidR="00D513AE" w:rsidRPr="001E1652" w:rsidRDefault="0053054B" w:rsidP="00FF58B1">
      <w:pPr>
        <w:pStyle w:val="ActHead5"/>
      </w:pPr>
      <w:bookmarkStart w:id="18" w:name="_Toc350176712"/>
      <w:r w:rsidRPr="001E1652">
        <w:rPr>
          <w:rStyle w:val="CharSectno"/>
        </w:rPr>
        <w:t>12</w:t>
      </w:r>
      <w:r w:rsidR="00FF58B1" w:rsidRPr="001E1652">
        <w:t xml:space="preserve">  </w:t>
      </w:r>
      <w:r w:rsidR="00D513AE" w:rsidRPr="001E1652">
        <w:t xml:space="preserve">Reduction of standard </w:t>
      </w:r>
      <w:r w:rsidR="00930042" w:rsidRPr="001E1652">
        <w:t>allowance payable at operative time</w:t>
      </w:r>
      <w:bookmarkEnd w:id="18"/>
    </w:p>
    <w:p w:rsidR="00D513AE" w:rsidRPr="001E1652" w:rsidRDefault="00D513AE" w:rsidP="00FF58B1">
      <w:pPr>
        <w:pStyle w:val="subsection"/>
      </w:pPr>
      <w:r w:rsidRPr="001E1652">
        <w:tab/>
        <w:t>(</w:t>
      </w:r>
      <w:r w:rsidR="002F117F" w:rsidRPr="001E1652">
        <w:t>1</w:t>
      </w:r>
      <w:r w:rsidRPr="001E1652">
        <w:t>)</w:t>
      </w:r>
      <w:r w:rsidRPr="001E1652">
        <w:tab/>
      </w:r>
      <w:r w:rsidR="002F117F" w:rsidRPr="001E1652">
        <w:t xml:space="preserve">For </w:t>
      </w:r>
      <w:r w:rsidR="005B55D6" w:rsidRPr="001E1652">
        <w:t>sub</w:t>
      </w:r>
      <w:r w:rsidR="002F117F" w:rsidRPr="001E1652">
        <w:t>section</w:t>
      </w:r>
      <w:r w:rsidR="001E1652" w:rsidRPr="001E1652">
        <w:t> </w:t>
      </w:r>
      <w:r w:rsidR="002F117F" w:rsidRPr="001E1652">
        <w:t>4AG(2) of the Act</w:t>
      </w:r>
      <w:r w:rsidR="002161A2" w:rsidRPr="001E1652">
        <w:t>,</w:t>
      </w:r>
      <w:r w:rsidRPr="001E1652">
        <w:t xml:space="preserve"> </w:t>
      </w:r>
      <w:r w:rsidR="00D515F5" w:rsidRPr="001E1652">
        <w:t>the rate of</w:t>
      </w:r>
      <w:r w:rsidR="002161A2" w:rsidRPr="001E1652">
        <w:t xml:space="preserve"> an associate immediate allowance</w:t>
      </w:r>
      <w:r w:rsidR="00D515F5" w:rsidRPr="001E1652">
        <w:t xml:space="preserve"> is reduced to the amount calculated</w:t>
      </w:r>
      <w:r w:rsidRPr="001E1652">
        <w:t xml:space="preserve"> as follows:</w:t>
      </w:r>
    </w:p>
    <w:p w:rsidR="00BB7068" w:rsidRPr="001E1652" w:rsidRDefault="00BB7068" w:rsidP="00BB7068">
      <w:pPr>
        <w:pStyle w:val="BoxHeadItalic"/>
      </w:pPr>
      <w:r w:rsidRPr="001E1652">
        <w:t>Method statement</w:t>
      </w:r>
    </w:p>
    <w:p w:rsidR="00BB7068" w:rsidRPr="001E1652" w:rsidRDefault="00BB7068" w:rsidP="00BB7068">
      <w:pPr>
        <w:pStyle w:val="BoxStep"/>
      </w:pPr>
      <w:r w:rsidRPr="001E1652">
        <w:lastRenderedPageBreak/>
        <w:t>Step 1.</w:t>
      </w:r>
      <w:r w:rsidRPr="001E1652">
        <w:tab/>
        <w:t>Identify the annual rate of the associate immediate allowance that was payable at the operative time.</w:t>
      </w:r>
    </w:p>
    <w:p w:rsidR="00BB7068" w:rsidRPr="001E1652" w:rsidRDefault="00BB7068" w:rsidP="00BB7068">
      <w:pPr>
        <w:pStyle w:val="BoxStep"/>
      </w:pPr>
      <w:r w:rsidRPr="001E1652">
        <w:t>Step 2.</w:t>
      </w:r>
      <w:r w:rsidRPr="001E1652">
        <w:tab/>
        <w:t>Calculate an amount using the formula:</w:t>
      </w:r>
    </w:p>
    <w:p w:rsidR="00BB7068" w:rsidRPr="001E1652" w:rsidRDefault="00BB7068" w:rsidP="00BB7068">
      <w:pPr>
        <w:pStyle w:val="BoxStep"/>
      </w:pPr>
      <w:r w:rsidRPr="001E1652">
        <w:tab/>
      </w:r>
      <w:r w:rsidRPr="001E1652">
        <w:rPr>
          <w:b/>
          <w:bCs/>
        </w:rPr>
        <w:object w:dxaOrig="2540" w:dyaOrig="660">
          <v:shape id="_x0000_i1038" type="#_x0000_t75" style="width:126.75pt;height:33pt" o:ole="">
            <v:imagedata r:id="rId21" o:title=""/>
          </v:shape>
          <o:OLEObject Type="Embed" ProgID="Equation.DSMT4" ShapeID="_x0000_i1038" DrawAspect="Content" ObjectID="_1424680922" r:id="rId40"/>
        </w:object>
      </w:r>
    </w:p>
    <w:p w:rsidR="00BB7068" w:rsidRPr="001E1652" w:rsidRDefault="00BB7068" w:rsidP="00BB7068">
      <w:pPr>
        <w:pStyle w:val="BoxStep"/>
      </w:pPr>
      <w:r w:rsidRPr="001E1652">
        <w:tab/>
        <w:t>where:</w:t>
      </w:r>
    </w:p>
    <w:p w:rsidR="00BB7068" w:rsidRPr="001E1652" w:rsidRDefault="00BB7068" w:rsidP="00BB7068">
      <w:pPr>
        <w:pStyle w:val="BoxStep"/>
      </w:pPr>
      <w:r w:rsidRPr="001E1652">
        <w:rPr>
          <w:b/>
          <w:bCs/>
          <w:i/>
          <w:iCs/>
        </w:rPr>
        <w:tab/>
        <w:t>F</w:t>
      </w:r>
      <w:r w:rsidRPr="001E1652">
        <w:rPr>
          <w:b/>
          <w:bCs/>
          <w:i/>
          <w:iCs/>
          <w:vertAlign w:val="subscript"/>
        </w:rPr>
        <w:t>y</w:t>
      </w:r>
      <w:r w:rsidRPr="001E1652">
        <w:rPr>
          <w:i/>
          <w:iCs/>
        </w:rPr>
        <w:t xml:space="preserve"> </w:t>
      </w:r>
      <w:r w:rsidRPr="001E1652">
        <w:t>is the number in Table 1 that applies to the member spouse’s gender, and age in whole years, at the operative time.</w:t>
      </w:r>
    </w:p>
    <w:p w:rsidR="00BB7068" w:rsidRPr="001E1652" w:rsidRDefault="00BB7068" w:rsidP="00BB7068">
      <w:pPr>
        <w:pStyle w:val="BoxStep"/>
      </w:pPr>
      <w:r w:rsidRPr="001E1652">
        <w:rPr>
          <w:b/>
          <w:bCs/>
          <w:i/>
          <w:iCs/>
        </w:rPr>
        <w:tab/>
        <w:t>F</w:t>
      </w:r>
      <w:r w:rsidRPr="001E1652">
        <w:rPr>
          <w:b/>
          <w:bCs/>
          <w:i/>
          <w:iCs/>
          <w:vertAlign w:val="subscript"/>
        </w:rPr>
        <w:t>y+1</w:t>
      </w:r>
      <w:r w:rsidRPr="001E1652">
        <w:rPr>
          <w:b/>
          <w:bCs/>
          <w:i/>
          <w:iCs/>
        </w:rPr>
        <w:t xml:space="preserve"> </w:t>
      </w:r>
      <w:r w:rsidRPr="001E1652">
        <w:t>is the number in Table 1 that would apply to the member spouse if the member spouse’s age in whole years was one year more than it was at the operative time.</w:t>
      </w:r>
    </w:p>
    <w:p w:rsidR="00BB7068" w:rsidRPr="001E1652" w:rsidRDefault="00BB7068" w:rsidP="00BB7068">
      <w:pPr>
        <w:pStyle w:val="BoxStep"/>
      </w:pPr>
      <w:r w:rsidRPr="001E1652">
        <w:rPr>
          <w:b/>
          <w:bCs/>
          <w:i/>
          <w:iCs/>
        </w:rPr>
        <w:tab/>
        <w:t>m</w:t>
      </w:r>
      <w:r w:rsidRPr="001E1652">
        <w:rPr>
          <w:i/>
          <w:iCs/>
        </w:rPr>
        <w:t xml:space="preserve"> </w:t>
      </w:r>
      <w:r w:rsidRPr="001E1652">
        <w:t>is the number of whole months of the member spouse’s age that are not included in the member spouse’s age in whole years at the operative time.</w:t>
      </w:r>
    </w:p>
    <w:p w:rsidR="00BB7068" w:rsidRPr="001E1652" w:rsidRDefault="00BB7068" w:rsidP="00BB7068">
      <w:pPr>
        <w:pStyle w:val="BoxStep"/>
      </w:pPr>
      <w:r w:rsidRPr="001E1652">
        <w:t>Step 3.</w:t>
      </w:r>
      <w:r w:rsidRPr="001E1652">
        <w:tab/>
        <w:t>Multiply the amount identified in step 1 by the amount calculated in step 2.</w:t>
      </w:r>
    </w:p>
    <w:p w:rsidR="00BB7068" w:rsidRPr="001E1652" w:rsidRDefault="00BB7068" w:rsidP="00BB7068">
      <w:pPr>
        <w:pStyle w:val="BoxStep"/>
      </w:pPr>
      <w:r w:rsidRPr="001E1652">
        <w:t>Step 4.</w:t>
      </w:r>
      <w:r w:rsidRPr="001E1652">
        <w:tab/>
        <w:t>Subtract the transfer amount from the amount calculated in step 3.</w:t>
      </w:r>
    </w:p>
    <w:p w:rsidR="00BB7068" w:rsidRPr="001E1652" w:rsidRDefault="00BB7068" w:rsidP="00BB7068">
      <w:pPr>
        <w:pStyle w:val="BoxStep"/>
      </w:pPr>
      <w:r w:rsidRPr="001E1652">
        <w:t>Step 5.</w:t>
      </w:r>
      <w:r w:rsidRPr="001E1652">
        <w:tab/>
        <w:t>Divide the amount calculated in step 4 by the amount calculated in step 2.</w:t>
      </w:r>
    </w:p>
    <w:p w:rsidR="00BB7068" w:rsidRPr="001E1652" w:rsidRDefault="00BB7068" w:rsidP="00BB7068">
      <w:pPr>
        <w:pStyle w:val="BoxStep"/>
      </w:pPr>
      <w:r w:rsidRPr="001E1652">
        <w:t>Step 6.</w:t>
      </w:r>
      <w:r w:rsidRPr="001E1652">
        <w:tab/>
        <w:t>Divide the amount calculated in step 5 by the Chief Justice’s salary at the operative time.</w:t>
      </w:r>
    </w:p>
    <w:p w:rsidR="00BB7068" w:rsidRPr="001E1652" w:rsidRDefault="00BB7068" w:rsidP="00BB7068">
      <w:pPr>
        <w:pStyle w:val="BoxStep"/>
      </w:pPr>
      <w:r w:rsidRPr="001E1652">
        <w:tab/>
        <w:t>Round the result to 4 decimal places (rounding up if the fifth decimal place is 5 or more).</w:t>
      </w:r>
    </w:p>
    <w:p w:rsidR="00BB7068" w:rsidRPr="001E1652" w:rsidRDefault="00BB7068" w:rsidP="00BB7068">
      <w:pPr>
        <w:pStyle w:val="BoxStep"/>
      </w:pPr>
      <w:r w:rsidRPr="001E1652">
        <w:t>Step 7.</w:t>
      </w:r>
      <w:r w:rsidRPr="001E1652">
        <w:tab/>
        <w:t>Multiply the amount calculated in step 6 by the Chief Justice’s salary.</w:t>
      </w:r>
    </w:p>
    <w:p w:rsidR="00D513AE" w:rsidRPr="001E1652" w:rsidRDefault="002F117F" w:rsidP="00FF58B1">
      <w:pPr>
        <w:pStyle w:val="subsection"/>
      </w:pPr>
      <w:r w:rsidRPr="001E1652">
        <w:tab/>
        <w:t>(2)</w:t>
      </w:r>
      <w:r w:rsidRPr="001E1652">
        <w:tab/>
        <w:t xml:space="preserve">For </w:t>
      </w:r>
      <w:r w:rsidR="005B55D6" w:rsidRPr="001E1652">
        <w:t>sub</w:t>
      </w:r>
      <w:r w:rsidRPr="001E1652">
        <w:t>section</w:t>
      </w:r>
      <w:r w:rsidR="001E1652" w:rsidRPr="001E1652">
        <w:t> </w:t>
      </w:r>
      <w:r w:rsidRPr="001E1652">
        <w:t xml:space="preserve">4AG(2) of the Act, </w:t>
      </w:r>
      <w:r w:rsidR="002161A2" w:rsidRPr="001E1652">
        <w:t>the rate of</w:t>
      </w:r>
      <w:r w:rsidRPr="001E1652">
        <w:t xml:space="preserve"> an associate deferred allowance is reduced to the amount calculated as follows:</w:t>
      </w:r>
    </w:p>
    <w:p w:rsidR="00BB7068" w:rsidRPr="001E1652" w:rsidRDefault="00BB7068" w:rsidP="00BB7068">
      <w:pPr>
        <w:pStyle w:val="BoxHeadItalic"/>
      </w:pPr>
      <w:r w:rsidRPr="001E1652">
        <w:t>Method statement</w:t>
      </w:r>
    </w:p>
    <w:p w:rsidR="00BB7068" w:rsidRPr="001E1652" w:rsidRDefault="00BB7068" w:rsidP="00BB7068">
      <w:pPr>
        <w:pStyle w:val="BoxStep"/>
      </w:pPr>
      <w:r w:rsidRPr="001E1652">
        <w:t>Step 1.</w:t>
      </w:r>
      <w:r w:rsidRPr="001E1652">
        <w:tab/>
        <w:t>Identify the annual rate of the associate deferred allowance that was payable at the operative time.</w:t>
      </w:r>
    </w:p>
    <w:p w:rsidR="00BB7068" w:rsidRPr="001E1652" w:rsidRDefault="00BB7068" w:rsidP="00BB7068">
      <w:pPr>
        <w:pStyle w:val="BoxStep"/>
      </w:pPr>
      <w:r w:rsidRPr="001E1652">
        <w:t>Step 2.</w:t>
      </w:r>
      <w:r w:rsidRPr="001E1652">
        <w:tab/>
        <w:t>Calculate an amount using the formula:</w:t>
      </w:r>
    </w:p>
    <w:p w:rsidR="00BB7068" w:rsidRPr="001E1652" w:rsidRDefault="00BB7068" w:rsidP="00BB7068">
      <w:pPr>
        <w:pStyle w:val="BoxStep"/>
      </w:pPr>
      <w:r w:rsidRPr="001E1652">
        <w:lastRenderedPageBreak/>
        <w:tab/>
      </w:r>
      <w:r w:rsidRPr="001E1652">
        <w:rPr>
          <w:b/>
          <w:bCs/>
        </w:rPr>
        <w:object w:dxaOrig="2540" w:dyaOrig="660">
          <v:shape id="_x0000_i1039" type="#_x0000_t75" style="width:126.75pt;height:33pt" o:ole="">
            <v:imagedata r:id="rId21" o:title=""/>
          </v:shape>
          <o:OLEObject Type="Embed" ProgID="Equation.DSMT4" ShapeID="_x0000_i1039" DrawAspect="Content" ObjectID="_1424680923" r:id="rId41"/>
        </w:object>
      </w:r>
    </w:p>
    <w:p w:rsidR="00BB7068" w:rsidRPr="001E1652" w:rsidRDefault="00BB7068" w:rsidP="00BB7068">
      <w:pPr>
        <w:pStyle w:val="BoxStep"/>
      </w:pPr>
      <w:r w:rsidRPr="001E1652">
        <w:tab/>
        <w:t>where:</w:t>
      </w:r>
    </w:p>
    <w:p w:rsidR="00BB7068" w:rsidRPr="001E1652" w:rsidRDefault="00BB7068" w:rsidP="00BB7068">
      <w:pPr>
        <w:pStyle w:val="BoxStep"/>
      </w:pPr>
      <w:r w:rsidRPr="001E1652">
        <w:rPr>
          <w:b/>
          <w:bCs/>
          <w:i/>
          <w:iCs/>
        </w:rPr>
        <w:tab/>
        <w:t>F</w:t>
      </w:r>
      <w:r w:rsidRPr="001E1652">
        <w:rPr>
          <w:b/>
          <w:bCs/>
          <w:i/>
          <w:iCs/>
          <w:vertAlign w:val="subscript"/>
        </w:rPr>
        <w:t>y</w:t>
      </w:r>
      <w:r w:rsidRPr="001E1652">
        <w:rPr>
          <w:i/>
          <w:iCs/>
        </w:rPr>
        <w:t xml:space="preserve"> </w:t>
      </w:r>
      <w:r w:rsidRPr="001E1652">
        <w:t>is the number in Table 1 that applies to the member spouse’s gender, and age in whole years, at the operative time.</w:t>
      </w:r>
    </w:p>
    <w:p w:rsidR="00BB7068" w:rsidRPr="001E1652" w:rsidRDefault="00BB7068" w:rsidP="00BB7068">
      <w:pPr>
        <w:pStyle w:val="BoxStep"/>
      </w:pPr>
      <w:r w:rsidRPr="001E1652">
        <w:rPr>
          <w:b/>
          <w:bCs/>
          <w:i/>
          <w:iCs/>
        </w:rPr>
        <w:tab/>
        <w:t>F</w:t>
      </w:r>
      <w:r w:rsidRPr="001E1652">
        <w:rPr>
          <w:b/>
          <w:bCs/>
          <w:i/>
          <w:iCs/>
          <w:vertAlign w:val="subscript"/>
        </w:rPr>
        <w:t>y+1</w:t>
      </w:r>
      <w:r w:rsidRPr="001E1652">
        <w:rPr>
          <w:bCs/>
          <w:iCs/>
        </w:rPr>
        <w:t xml:space="preserve"> is the number in Table 1 that would apply to the member spouse if the member spouse’s age in whole years was one year more than it was at the operative time.</w:t>
      </w:r>
    </w:p>
    <w:p w:rsidR="00BB7068" w:rsidRPr="001E1652" w:rsidRDefault="00BB7068" w:rsidP="00BB7068">
      <w:pPr>
        <w:pStyle w:val="BoxStep"/>
      </w:pPr>
      <w:r w:rsidRPr="001E1652">
        <w:rPr>
          <w:b/>
          <w:bCs/>
          <w:i/>
          <w:iCs/>
        </w:rPr>
        <w:tab/>
        <w:t>m</w:t>
      </w:r>
      <w:r w:rsidRPr="001E1652">
        <w:rPr>
          <w:i/>
          <w:iCs/>
        </w:rPr>
        <w:t xml:space="preserve"> </w:t>
      </w:r>
      <w:r w:rsidRPr="001E1652">
        <w:t>is the number of whole months of the member spouse’s age that are not included in the member spouse’s age in whole years at the operative time.</w:t>
      </w:r>
    </w:p>
    <w:p w:rsidR="00BB7068" w:rsidRPr="001E1652" w:rsidRDefault="00BB7068" w:rsidP="00BB7068">
      <w:pPr>
        <w:pStyle w:val="BoxStep"/>
      </w:pPr>
      <w:r w:rsidRPr="001E1652">
        <w:t>Step 3.</w:t>
      </w:r>
      <w:r w:rsidRPr="001E1652">
        <w:tab/>
        <w:t>Multiply the amount identified in step 1 by the amount calculated in step 2.</w:t>
      </w:r>
    </w:p>
    <w:p w:rsidR="00BB7068" w:rsidRPr="001E1652" w:rsidRDefault="00BB7068" w:rsidP="00BB7068">
      <w:pPr>
        <w:pStyle w:val="BoxStep"/>
      </w:pPr>
      <w:r w:rsidRPr="001E1652">
        <w:t>Step 4.</w:t>
      </w:r>
      <w:r w:rsidRPr="001E1652">
        <w:tab/>
        <w:t>Subtract the transfer amount from the amount calculated in step 3.</w:t>
      </w:r>
    </w:p>
    <w:p w:rsidR="00BB7068" w:rsidRPr="001E1652" w:rsidRDefault="00BB7068" w:rsidP="00BB7068">
      <w:pPr>
        <w:pStyle w:val="BoxStep"/>
      </w:pPr>
      <w:r w:rsidRPr="001E1652">
        <w:t>Step 5.</w:t>
      </w:r>
      <w:r w:rsidRPr="001E1652">
        <w:tab/>
        <w:t>Divide the amount calculated in step 4 by the amount calculated in step 2.</w:t>
      </w:r>
    </w:p>
    <w:p w:rsidR="00BB7068" w:rsidRPr="001E1652" w:rsidRDefault="00BB7068" w:rsidP="00BB7068">
      <w:pPr>
        <w:pStyle w:val="BoxStep"/>
      </w:pPr>
      <w:r w:rsidRPr="001E1652">
        <w:t>Step 6.</w:t>
      </w:r>
      <w:r w:rsidRPr="001E1652">
        <w:tab/>
        <w:t>Divide the amount calculated in step 5 by the Chief Justice’s salary at the operative time.</w:t>
      </w:r>
    </w:p>
    <w:p w:rsidR="00BB7068" w:rsidRPr="001E1652" w:rsidRDefault="00BB7068" w:rsidP="00BB7068">
      <w:pPr>
        <w:pStyle w:val="BoxStep"/>
      </w:pPr>
      <w:r w:rsidRPr="001E1652">
        <w:tab/>
        <w:t>Round the result to 4 decimal places (rounding up if the fifth decimal place is 5 or more).</w:t>
      </w:r>
    </w:p>
    <w:p w:rsidR="00BB7068" w:rsidRPr="001E1652" w:rsidRDefault="00BB7068" w:rsidP="00BB7068">
      <w:pPr>
        <w:pStyle w:val="BoxStep"/>
      </w:pPr>
      <w:r w:rsidRPr="001E1652">
        <w:t>Step 7.</w:t>
      </w:r>
      <w:r w:rsidRPr="001E1652">
        <w:tab/>
        <w:t>Multiply the amount calculated in step 6 by the Chief Justice’s salary.</w:t>
      </w:r>
    </w:p>
    <w:p w:rsidR="002161A2" w:rsidRPr="001E1652" w:rsidRDefault="00D513AE" w:rsidP="00FF58B1">
      <w:pPr>
        <w:pStyle w:val="subsection"/>
      </w:pPr>
      <w:r w:rsidRPr="001E1652">
        <w:tab/>
        <w:t>(</w:t>
      </w:r>
      <w:r w:rsidR="002F117F" w:rsidRPr="001E1652">
        <w:t>3</w:t>
      </w:r>
      <w:r w:rsidRPr="001E1652">
        <w:t>)</w:t>
      </w:r>
      <w:r w:rsidRPr="001E1652">
        <w:tab/>
      </w:r>
      <w:r w:rsidR="002161A2" w:rsidRPr="001E1652">
        <w:t xml:space="preserve">For </w:t>
      </w:r>
      <w:r w:rsidR="005B55D6" w:rsidRPr="001E1652">
        <w:t>sub</w:t>
      </w:r>
      <w:r w:rsidR="002161A2" w:rsidRPr="001E1652">
        <w:t>section</w:t>
      </w:r>
      <w:r w:rsidR="001E1652" w:rsidRPr="001E1652">
        <w:t> </w:t>
      </w:r>
      <w:r w:rsidR="002161A2" w:rsidRPr="001E1652">
        <w:t>4</w:t>
      </w:r>
      <w:r w:rsidR="00661DB9" w:rsidRPr="001E1652">
        <w:t>AG(2) of the Act, the rate of a spouse</w:t>
      </w:r>
      <w:r w:rsidR="002161A2" w:rsidRPr="001E1652">
        <w:t xml:space="preserve"> allowance is reduced to the amount calculated as follows:</w:t>
      </w:r>
    </w:p>
    <w:p w:rsidR="00BB7068" w:rsidRPr="001E1652" w:rsidRDefault="00BB7068" w:rsidP="00BB7068">
      <w:pPr>
        <w:pStyle w:val="BoxHeadItalic"/>
      </w:pPr>
      <w:r w:rsidRPr="001E1652">
        <w:t>Method statement</w:t>
      </w:r>
    </w:p>
    <w:p w:rsidR="00BB7068" w:rsidRPr="001E1652" w:rsidRDefault="00BB7068" w:rsidP="00BB7068">
      <w:pPr>
        <w:pStyle w:val="BoxStep"/>
      </w:pPr>
      <w:r w:rsidRPr="001E1652">
        <w:t>Step 1.</w:t>
      </w:r>
      <w:r w:rsidRPr="001E1652">
        <w:tab/>
        <w:t>Identify the annual rate of the spouse allowance that was payable at the operative time.</w:t>
      </w:r>
    </w:p>
    <w:p w:rsidR="00BB7068" w:rsidRPr="001E1652" w:rsidRDefault="00BB7068" w:rsidP="00BB7068">
      <w:pPr>
        <w:pStyle w:val="BoxStep"/>
      </w:pPr>
      <w:r w:rsidRPr="001E1652">
        <w:t>Step 2.</w:t>
      </w:r>
      <w:r w:rsidRPr="001E1652">
        <w:tab/>
        <w:t>Calculate an amount using the formula:</w:t>
      </w:r>
    </w:p>
    <w:p w:rsidR="00BB7068" w:rsidRPr="001E1652" w:rsidRDefault="00BB7068" w:rsidP="00BB7068">
      <w:pPr>
        <w:pStyle w:val="BoxStep"/>
      </w:pPr>
      <w:r w:rsidRPr="001E1652">
        <w:tab/>
      </w:r>
      <w:r w:rsidRPr="001E1652">
        <w:rPr>
          <w:b/>
          <w:bCs/>
        </w:rPr>
        <w:object w:dxaOrig="2540" w:dyaOrig="660">
          <v:shape id="_x0000_i1040" type="#_x0000_t75" style="width:126.75pt;height:33pt" o:ole="">
            <v:imagedata r:id="rId21" o:title=""/>
          </v:shape>
          <o:OLEObject Type="Embed" ProgID="Equation.DSMT4" ShapeID="_x0000_i1040" DrawAspect="Content" ObjectID="_1424680924" r:id="rId42"/>
        </w:object>
      </w:r>
    </w:p>
    <w:p w:rsidR="00BB7068" w:rsidRPr="001E1652" w:rsidRDefault="00BB7068" w:rsidP="00BB7068">
      <w:pPr>
        <w:pStyle w:val="BoxStep"/>
      </w:pPr>
      <w:r w:rsidRPr="001E1652">
        <w:tab/>
        <w:t>where:</w:t>
      </w:r>
    </w:p>
    <w:p w:rsidR="00BB7068" w:rsidRPr="001E1652" w:rsidRDefault="00BB7068" w:rsidP="00BB7068">
      <w:pPr>
        <w:pStyle w:val="BoxStep"/>
      </w:pPr>
      <w:r w:rsidRPr="001E1652">
        <w:rPr>
          <w:b/>
          <w:bCs/>
          <w:i/>
          <w:iCs/>
        </w:rPr>
        <w:lastRenderedPageBreak/>
        <w:tab/>
        <w:t>F</w:t>
      </w:r>
      <w:r w:rsidRPr="001E1652">
        <w:rPr>
          <w:b/>
          <w:bCs/>
          <w:i/>
          <w:iCs/>
          <w:vertAlign w:val="subscript"/>
        </w:rPr>
        <w:t>y</w:t>
      </w:r>
      <w:r w:rsidRPr="001E1652">
        <w:rPr>
          <w:i/>
          <w:iCs/>
        </w:rPr>
        <w:t xml:space="preserve"> </w:t>
      </w:r>
      <w:r w:rsidRPr="001E1652">
        <w:t>is the number in Table 1 that applies to the member spouse’s gender, and age in whole years, at the operative time.</w:t>
      </w:r>
    </w:p>
    <w:p w:rsidR="00BB7068" w:rsidRPr="001E1652" w:rsidRDefault="00BB7068" w:rsidP="00BB7068">
      <w:pPr>
        <w:pStyle w:val="BoxStep"/>
      </w:pPr>
      <w:r w:rsidRPr="001E1652">
        <w:rPr>
          <w:b/>
          <w:bCs/>
          <w:i/>
          <w:iCs/>
        </w:rPr>
        <w:tab/>
        <w:t>F</w:t>
      </w:r>
      <w:r w:rsidRPr="001E1652">
        <w:rPr>
          <w:b/>
          <w:bCs/>
          <w:i/>
          <w:iCs/>
          <w:vertAlign w:val="subscript"/>
        </w:rPr>
        <w:t>y+1</w:t>
      </w:r>
      <w:r w:rsidRPr="001E1652">
        <w:rPr>
          <w:bCs/>
          <w:iCs/>
        </w:rPr>
        <w:t xml:space="preserve"> is the number in Table 1 that would apply to the member spouse if the member spouse’s age in whole years was one year more than it was at the operative time.</w:t>
      </w:r>
    </w:p>
    <w:p w:rsidR="00BB7068" w:rsidRPr="001E1652" w:rsidRDefault="00BB7068" w:rsidP="00BB7068">
      <w:pPr>
        <w:pStyle w:val="BoxStep"/>
      </w:pPr>
      <w:r w:rsidRPr="001E1652">
        <w:rPr>
          <w:b/>
          <w:bCs/>
          <w:i/>
          <w:iCs/>
        </w:rPr>
        <w:tab/>
        <w:t>m</w:t>
      </w:r>
      <w:r w:rsidRPr="001E1652">
        <w:rPr>
          <w:i/>
          <w:iCs/>
        </w:rPr>
        <w:t xml:space="preserve"> </w:t>
      </w:r>
      <w:r w:rsidRPr="001E1652">
        <w:t>is the number of whole months of the member spouse’s age that are not included in the member spouse’s age in whole years at the operative time.</w:t>
      </w:r>
    </w:p>
    <w:p w:rsidR="00BB7068" w:rsidRPr="001E1652" w:rsidRDefault="00BB7068" w:rsidP="00BB7068">
      <w:pPr>
        <w:pStyle w:val="BoxStep"/>
      </w:pPr>
      <w:r w:rsidRPr="001E1652">
        <w:t>Step 3.</w:t>
      </w:r>
      <w:r w:rsidRPr="001E1652">
        <w:tab/>
        <w:t>Multiply the amount identified in step 1 by the amount calculated in step 2.</w:t>
      </w:r>
    </w:p>
    <w:p w:rsidR="00BB7068" w:rsidRPr="001E1652" w:rsidRDefault="00BB7068" w:rsidP="00BB7068">
      <w:pPr>
        <w:pStyle w:val="BoxStep"/>
      </w:pPr>
      <w:r w:rsidRPr="001E1652">
        <w:t>Step 4.</w:t>
      </w:r>
      <w:r w:rsidRPr="001E1652">
        <w:tab/>
        <w:t>Subtract the transfer amount from the amount calculated in step 3.</w:t>
      </w:r>
    </w:p>
    <w:p w:rsidR="00BB7068" w:rsidRPr="001E1652" w:rsidRDefault="00BB7068" w:rsidP="00BB7068">
      <w:pPr>
        <w:pStyle w:val="BoxStep"/>
      </w:pPr>
      <w:r w:rsidRPr="001E1652">
        <w:t>Step 5.</w:t>
      </w:r>
      <w:r w:rsidRPr="001E1652">
        <w:tab/>
        <w:t>Divide the amount calculated in step 4 by the amount calculated in step 2.</w:t>
      </w:r>
    </w:p>
    <w:p w:rsidR="00BB7068" w:rsidRPr="001E1652" w:rsidRDefault="00BB7068" w:rsidP="00BB7068">
      <w:pPr>
        <w:pStyle w:val="BoxStep"/>
      </w:pPr>
      <w:r w:rsidRPr="001E1652">
        <w:t>Step 6.</w:t>
      </w:r>
      <w:r w:rsidRPr="001E1652">
        <w:tab/>
        <w:t>Divide the amount calculated in step 5 by the Chief Justice’s salary at the operative time.</w:t>
      </w:r>
    </w:p>
    <w:p w:rsidR="00BB7068" w:rsidRPr="001E1652" w:rsidRDefault="00BB7068" w:rsidP="00BB7068">
      <w:pPr>
        <w:pStyle w:val="BoxStep"/>
      </w:pPr>
      <w:r w:rsidRPr="001E1652">
        <w:tab/>
        <w:t>Round the result to 4 decimal places (rounding up if the fifth decimal place is 5 or more).</w:t>
      </w:r>
    </w:p>
    <w:p w:rsidR="00BB7068" w:rsidRPr="001E1652" w:rsidRDefault="00BB7068" w:rsidP="00BB7068">
      <w:pPr>
        <w:pStyle w:val="BoxStep"/>
      </w:pPr>
      <w:r w:rsidRPr="001E1652">
        <w:t>Step 7.</w:t>
      </w:r>
      <w:r w:rsidRPr="001E1652">
        <w:tab/>
        <w:t>Multiply the amount calculated in step 6 by the Chief Justice’s salary.</w:t>
      </w:r>
    </w:p>
    <w:p w:rsidR="00D513AE" w:rsidRPr="001E1652" w:rsidRDefault="002161A2" w:rsidP="00FF58B1">
      <w:pPr>
        <w:pStyle w:val="subsection"/>
      </w:pPr>
      <w:r w:rsidRPr="001E1652">
        <w:tab/>
        <w:t>(4)</w:t>
      </w:r>
      <w:r w:rsidRPr="001E1652">
        <w:tab/>
      </w:r>
      <w:r w:rsidR="002F117F" w:rsidRPr="001E1652">
        <w:t xml:space="preserve">For </w:t>
      </w:r>
      <w:r w:rsidRPr="001E1652">
        <w:t>paragraph</w:t>
      </w:r>
      <w:r w:rsidR="001E1652" w:rsidRPr="001E1652">
        <w:t> </w:t>
      </w:r>
      <w:r w:rsidR="002F117F" w:rsidRPr="001E1652">
        <w:t>4AG(3)</w:t>
      </w:r>
      <w:r w:rsidRPr="001E1652">
        <w:t>(b)</w:t>
      </w:r>
      <w:r w:rsidR="002F117F" w:rsidRPr="001E1652">
        <w:t xml:space="preserve"> of the Act</w:t>
      </w:r>
      <w:r w:rsidR="00D513AE" w:rsidRPr="001E1652">
        <w:t xml:space="preserve">, </w:t>
      </w:r>
      <w:r w:rsidR="00CF681E" w:rsidRPr="001E1652">
        <w:t>if section</w:t>
      </w:r>
      <w:r w:rsidR="001E1652" w:rsidRPr="001E1652">
        <w:t> </w:t>
      </w:r>
      <w:r w:rsidR="000D208A" w:rsidRPr="001E1652">
        <w:t>13</w:t>
      </w:r>
      <w:r w:rsidR="00CF681E" w:rsidRPr="001E1652">
        <w:t xml:space="preserve"> does not apply, </w:t>
      </w:r>
      <w:r w:rsidRPr="001E1652">
        <w:t>the rate</w:t>
      </w:r>
      <w:r w:rsidR="00D515F5" w:rsidRPr="001E1652">
        <w:t xml:space="preserve"> is </w:t>
      </w:r>
      <w:r w:rsidRPr="001E1652">
        <w:t xml:space="preserve">reduced to the amount </w:t>
      </w:r>
      <w:r w:rsidR="00D515F5" w:rsidRPr="001E1652">
        <w:t>calculated as follows</w:t>
      </w:r>
      <w:r w:rsidR="00D513AE" w:rsidRPr="001E1652">
        <w:t>:</w:t>
      </w:r>
    </w:p>
    <w:p w:rsidR="00BB7068" w:rsidRPr="001E1652" w:rsidRDefault="00BB7068" w:rsidP="00BB7068">
      <w:pPr>
        <w:pStyle w:val="BoxHeadItalic"/>
      </w:pPr>
      <w:r w:rsidRPr="001E1652">
        <w:t>Method statement</w:t>
      </w:r>
    </w:p>
    <w:p w:rsidR="00BB7068" w:rsidRPr="001E1652" w:rsidRDefault="00BB7068" w:rsidP="00BB7068">
      <w:pPr>
        <w:pStyle w:val="BoxStep"/>
      </w:pPr>
      <w:r w:rsidRPr="001E1652">
        <w:t>Step 1.</w:t>
      </w:r>
      <w:r w:rsidRPr="001E1652">
        <w:tab/>
        <w:t>Identify the annual rate of the allowance that was payable at the operative time, disregarding subsection</w:t>
      </w:r>
      <w:r w:rsidR="001E1652" w:rsidRPr="001E1652">
        <w:t> </w:t>
      </w:r>
      <w:r w:rsidRPr="001E1652">
        <w:t>4(4) of the Act.</w:t>
      </w:r>
    </w:p>
    <w:p w:rsidR="00BB7068" w:rsidRPr="001E1652" w:rsidRDefault="00BB7068" w:rsidP="00BB7068">
      <w:pPr>
        <w:pStyle w:val="BoxStep"/>
      </w:pPr>
      <w:r w:rsidRPr="001E1652">
        <w:t>Step 2.</w:t>
      </w:r>
      <w:r w:rsidRPr="001E1652">
        <w:tab/>
        <w:t>Identify the annual rate of the reduction in the retirement allowance at the operative time, having regard to subsection</w:t>
      </w:r>
      <w:r w:rsidR="001E1652" w:rsidRPr="001E1652">
        <w:t> </w:t>
      </w:r>
      <w:r w:rsidRPr="001E1652">
        <w:t>4(4) of the Act.</w:t>
      </w:r>
    </w:p>
    <w:p w:rsidR="00BB7068" w:rsidRPr="001E1652" w:rsidRDefault="00BB7068" w:rsidP="00BB7068">
      <w:pPr>
        <w:pStyle w:val="BoxStep"/>
      </w:pPr>
      <w:r w:rsidRPr="001E1652">
        <w:t>Step 3.</w:t>
      </w:r>
      <w:r w:rsidRPr="001E1652">
        <w:tab/>
        <w:t>Subtract the amount identified in step 2 from the amount identified in step 1.</w:t>
      </w:r>
    </w:p>
    <w:p w:rsidR="00902773" w:rsidRPr="001E1652" w:rsidRDefault="00BB7068" w:rsidP="00902773">
      <w:pPr>
        <w:pStyle w:val="BoxStep"/>
      </w:pPr>
      <w:r w:rsidRPr="001E1652">
        <w:t>Step 4.</w:t>
      </w:r>
      <w:r w:rsidRPr="001E1652">
        <w:tab/>
      </w:r>
      <w:r w:rsidR="00902773" w:rsidRPr="001E1652">
        <w:t>Calculate an amount using the formula:</w:t>
      </w:r>
    </w:p>
    <w:p w:rsidR="00902773" w:rsidRPr="001E1652" w:rsidRDefault="00902773" w:rsidP="00902773">
      <w:pPr>
        <w:pStyle w:val="BoxStep"/>
      </w:pPr>
      <w:r w:rsidRPr="001E1652">
        <w:tab/>
      </w:r>
      <w:r w:rsidRPr="001E1652">
        <w:rPr>
          <w:b/>
          <w:bCs/>
        </w:rPr>
        <w:object w:dxaOrig="2540" w:dyaOrig="660">
          <v:shape id="_x0000_i1041" type="#_x0000_t75" style="width:126.75pt;height:33pt" o:ole="">
            <v:imagedata r:id="rId21" o:title=""/>
          </v:shape>
          <o:OLEObject Type="Embed" ProgID="Equation.DSMT4" ShapeID="_x0000_i1041" DrawAspect="Content" ObjectID="_1424680925" r:id="rId43"/>
        </w:object>
      </w:r>
    </w:p>
    <w:p w:rsidR="00902773" w:rsidRPr="001E1652" w:rsidRDefault="00902773" w:rsidP="00902773">
      <w:pPr>
        <w:pStyle w:val="BoxStep"/>
      </w:pPr>
      <w:r w:rsidRPr="001E1652">
        <w:tab/>
        <w:t>where:</w:t>
      </w:r>
    </w:p>
    <w:p w:rsidR="00902773" w:rsidRPr="001E1652" w:rsidRDefault="00902773" w:rsidP="00902773">
      <w:pPr>
        <w:pStyle w:val="BoxStep"/>
      </w:pPr>
      <w:r w:rsidRPr="001E1652">
        <w:rPr>
          <w:b/>
          <w:bCs/>
          <w:i/>
          <w:iCs/>
        </w:rPr>
        <w:lastRenderedPageBreak/>
        <w:tab/>
        <w:t>F</w:t>
      </w:r>
      <w:r w:rsidRPr="001E1652">
        <w:rPr>
          <w:b/>
          <w:bCs/>
          <w:i/>
          <w:iCs/>
          <w:vertAlign w:val="subscript"/>
        </w:rPr>
        <w:t>y</w:t>
      </w:r>
      <w:r w:rsidRPr="001E1652">
        <w:rPr>
          <w:i/>
          <w:iCs/>
        </w:rPr>
        <w:t xml:space="preserve"> </w:t>
      </w:r>
      <w:r w:rsidRPr="001E1652">
        <w:t>is the number in Table 2 that applies to the member spouse’s gender, and age in whole years, at the operative time.</w:t>
      </w:r>
    </w:p>
    <w:p w:rsidR="00902773" w:rsidRPr="001E1652" w:rsidRDefault="00902773" w:rsidP="00902773">
      <w:pPr>
        <w:pStyle w:val="BoxStep"/>
      </w:pPr>
      <w:r w:rsidRPr="001E1652">
        <w:rPr>
          <w:b/>
          <w:bCs/>
          <w:i/>
          <w:iCs/>
        </w:rPr>
        <w:tab/>
        <w:t>F</w:t>
      </w:r>
      <w:r w:rsidRPr="001E1652">
        <w:rPr>
          <w:b/>
          <w:bCs/>
          <w:i/>
          <w:iCs/>
          <w:vertAlign w:val="subscript"/>
        </w:rPr>
        <w:t>y+1</w:t>
      </w:r>
      <w:r w:rsidRPr="001E1652">
        <w:rPr>
          <w:b/>
          <w:bCs/>
          <w:i/>
          <w:iCs/>
        </w:rPr>
        <w:t xml:space="preserve"> </w:t>
      </w:r>
      <w:r w:rsidRPr="001E1652">
        <w:t>is the number in Table 2 that would apply to the member spouse if the member spouse’s age in whole years was one year more than it was at the operative time.</w:t>
      </w:r>
    </w:p>
    <w:p w:rsidR="00BB7068" w:rsidRPr="001E1652" w:rsidRDefault="00902773" w:rsidP="00902773">
      <w:pPr>
        <w:pStyle w:val="BoxStep"/>
      </w:pPr>
      <w:r w:rsidRPr="001E1652">
        <w:rPr>
          <w:b/>
          <w:bCs/>
          <w:i/>
          <w:iCs/>
        </w:rPr>
        <w:tab/>
        <w:t>m</w:t>
      </w:r>
      <w:r w:rsidRPr="001E1652">
        <w:rPr>
          <w:i/>
          <w:iCs/>
        </w:rPr>
        <w:t xml:space="preserve"> </w:t>
      </w:r>
      <w:r w:rsidRPr="001E1652">
        <w:t>is the number of whole months of the member spouse’s age that are not included in the member spouse’s age in whole years at the operative time.</w:t>
      </w:r>
    </w:p>
    <w:p w:rsidR="00BB7068" w:rsidRPr="001E1652" w:rsidRDefault="00BB7068" w:rsidP="00BB7068">
      <w:pPr>
        <w:pStyle w:val="BoxStep"/>
      </w:pPr>
      <w:r w:rsidRPr="001E1652">
        <w:t>Step 5.</w:t>
      </w:r>
      <w:r w:rsidRPr="001E1652">
        <w:tab/>
      </w:r>
      <w:r w:rsidR="00902773" w:rsidRPr="001E1652">
        <w:t>Multiply the amount calculated in step 3 by the amount calculated in step 4.</w:t>
      </w:r>
    </w:p>
    <w:p w:rsidR="00BB7068" w:rsidRPr="001E1652" w:rsidRDefault="00BB7068" w:rsidP="00BB7068">
      <w:pPr>
        <w:pStyle w:val="BoxStep"/>
      </w:pPr>
      <w:r w:rsidRPr="001E1652">
        <w:t>Step 6.</w:t>
      </w:r>
      <w:r w:rsidRPr="001E1652">
        <w:tab/>
      </w:r>
      <w:r w:rsidR="00902773" w:rsidRPr="001E1652">
        <w:t>Divide the transfer amount by the amount calculated in step 5.</w:t>
      </w:r>
    </w:p>
    <w:p w:rsidR="00BB7068" w:rsidRPr="001E1652" w:rsidRDefault="00BB7068" w:rsidP="00BB7068">
      <w:pPr>
        <w:pStyle w:val="BoxStep"/>
      </w:pPr>
      <w:r w:rsidRPr="001E1652">
        <w:t>Step 7.</w:t>
      </w:r>
      <w:r w:rsidRPr="001E1652">
        <w:tab/>
      </w:r>
      <w:r w:rsidR="00902773" w:rsidRPr="001E1652">
        <w:t>Multiply the amount calculated in step 3 by the amount calculated in step 6.</w:t>
      </w:r>
    </w:p>
    <w:p w:rsidR="00BB7068" w:rsidRPr="001E1652" w:rsidRDefault="00BB7068" w:rsidP="00BB7068">
      <w:pPr>
        <w:pStyle w:val="BoxStep"/>
      </w:pPr>
      <w:r w:rsidRPr="001E1652">
        <w:t>Step 8.</w:t>
      </w:r>
      <w:r w:rsidRPr="001E1652">
        <w:tab/>
      </w:r>
      <w:r w:rsidR="00902773" w:rsidRPr="001E1652">
        <w:t>Subtract the amount calculated in step 7 from the amount identified in step 1.</w:t>
      </w:r>
    </w:p>
    <w:p w:rsidR="00902773" w:rsidRPr="001E1652" w:rsidRDefault="00BB7068" w:rsidP="00902773">
      <w:pPr>
        <w:pStyle w:val="BoxStep"/>
      </w:pPr>
      <w:r w:rsidRPr="001E1652">
        <w:t>Step 9.</w:t>
      </w:r>
      <w:r w:rsidRPr="001E1652">
        <w:tab/>
      </w:r>
      <w:r w:rsidR="00902773" w:rsidRPr="001E1652">
        <w:t>Divide the amount calculated in step 8 by the Chief Justice’s salary at the operative time.</w:t>
      </w:r>
    </w:p>
    <w:p w:rsidR="00BB7068" w:rsidRPr="001E1652" w:rsidRDefault="00902773" w:rsidP="00902773">
      <w:pPr>
        <w:pStyle w:val="BoxStep"/>
      </w:pPr>
      <w:r w:rsidRPr="001E1652">
        <w:tab/>
        <w:t>Round the result to 4 decimal places (rounding up if the fifth decimal place is 5 or more).</w:t>
      </w:r>
    </w:p>
    <w:p w:rsidR="00BB7068" w:rsidRPr="001E1652" w:rsidRDefault="00BB7068" w:rsidP="00BB7068">
      <w:pPr>
        <w:pStyle w:val="BoxStep"/>
      </w:pPr>
      <w:r w:rsidRPr="001E1652">
        <w:t>Step 10.</w:t>
      </w:r>
      <w:r w:rsidRPr="001E1652">
        <w:tab/>
      </w:r>
      <w:r w:rsidR="00902773" w:rsidRPr="001E1652">
        <w:t>Multiply the amount calculated in step 9 multiplied by the Chief Justice’s salary.</w:t>
      </w:r>
    </w:p>
    <w:p w:rsidR="00C727C4" w:rsidRPr="001E1652" w:rsidRDefault="00C727C4" w:rsidP="00FF58B1">
      <w:pPr>
        <w:pStyle w:val="subsection"/>
      </w:pPr>
      <w:r w:rsidRPr="001E1652">
        <w:tab/>
      </w:r>
      <w:r w:rsidR="00247F4B" w:rsidRPr="001E1652">
        <w:t>(5)</w:t>
      </w:r>
      <w:r w:rsidR="00247F4B" w:rsidRPr="001E1652">
        <w:tab/>
      </w:r>
      <w:r w:rsidRPr="001E1652">
        <w:t>For subsection</w:t>
      </w:r>
      <w:r w:rsidR="001E1652" w:rsidRPr="001E1652">
        <w:t> </w:t>
      </w:r>
      <w:r w:rsidRPr="001E1652">
        <w:t>4A</w:t>
      </w:r>
      <w:r w:rsidR="00FF58B1" w:rsidRPr="001E1652">
        <w:t>G(</w:t>
      </w:r>
      <w:r w:rsidRPr="001E1652">
        <w:t xml:space="preserve">4) of the Act, </w:t>
      </w:r>
      <w:r w:rsidR="00247F4B" w:rsidRPr="001E1652">
        <w:t>if section</w:t>
      </w:r>
      <w:r w:rsidR="001E1652" w:rsidRPr="001E1652">
        <w:t> </w:t>
      </w:r>
      <w:r w:rsidR="000D208A" w:rsidRPr="001E1652">
        <w:t>13</w:t>
      </w:r>
      <w:r w:rsidR="00247F4B" w:rsidRPr="001E1652">
        <w:t xml:space="preserve"> does not apply</w:t>
      </w:r>
      <w:r w:rsidR="00CF681E" w:rsidRPr="001E1652">
        <w:t>,</w:t>
      </w:r>
      <w:r w:rsidR="00247F4B" w:rsidRPr="001E1652">
        <w:t xml:space="preserve"> </w:t>
      </w:r>
      <w:r w:rsidR="00E477CB" w:rsidRPr="001E1652">
        <w:t>the rate applicable under paragraph</w:t>
      </w:r>
      <w:r w:rsidR="001E1652" w:rsidRPr="001E1652">
        <w:t> </w:t>
      </w:r>
      <w:r w:rsidR="00E477CB" w:rsidRPr="001E1652">
        <w:t>4(3)(a) of the Act is reduced to the amount calculated</w:t>
      </w:r>
      <w:r w:rsidR="00840233" w:rsidRPr="001E1652">
        <w:t xml:space="preserve"> as follows</w:t>
      </w:r>
      <w:r w:rsidRPr="001E1652">
        <w:t>:</w:t>
      </w:r>
    </w:p>
    <w:p w:rsidR="00902773" w:rsidRPr="001E1652" w:rsidRDefault="00902773" w:rsidP="00902773">
      <w:pPr>
        <w:pStyle w:val="BoxHeadItalic"/>
      </w:pPr>
      <w:r w:rsidRPr="001E1652">
        <w:t>Method statement</w:t>
      </w:r>
    </w:p>
    <w:p w:rsidR="00902773" w:rsidRPr="001E1652" w:rsidRDefault="00902773" w:rsidP="00902773">
      <w:pPr>
        <w:pStyle w:val="BoxStep"/>
      </w:pPr>
      <w:r w:rsidRPr="001E1652">
        <w:t>Step 1.</w:t>
      </w:r>
      <w:r w:rsidRPr="001E1652">
        <w:tab/>
        <w:t>Identify the annual rate of the retirement allowance that was payable when the Governor General died, disregarding subsection</w:t>
      </w:r>
      <w:r w:rsidR="001E1652" w:rsidRPr="001E1652">
        <w:t> </w:t>
      </w:r>
      <w:r w:rsidRPr="001E1652">
        <w:t>4(4) of the Act.</w:t>
      </w:r>
    </w:p>
    <w:p w:rsidR="00902773" w:rsidRPr="001E1652" w:rsidRDefault="00902773" w:rsidP="00902773">
      <w:pPr>
        <w:pStyle w:val="BoxStep"/>
      </w:pPr>
      <w:r w:rsidRPr="001E1652">
        <w:t>Step 2.</w:t>
      </w:r>
      <w:r w:rsidRPr="001E1652">
        <w:tab/>
        <w:t>Divide the amount identified in step 1 by the Chief Justice’s salary when the Governor General died.</w:t>
      </w:r>
    </w:p>
    <w:p w:rsidR="00902773" w:rsidRPr="001E1652" w:rsidRDefault="00902773" w:rsidP="00902773">
      <w:pPr>
        <w:pStyle w:val="BoxStep"/>
      </w:pPr>
      <w:r w:rsidRPr="001E1652">
        <w:tab/>
        <w:t>Round the result to 4 decimal places (rounding up if the fifth decimal place is 5 or more).</w:t>
      </w:r>
    </w:p>
    <w:p w:rsidR="00902773" w:rsidRPr="001E1652" w:rsidRDefault="00902773" w:rsidP="00902773">
      <w:pPr>
        <w:pStyle w:val="BoxStep"/>
      </w:pPr>
      <w:r w:rsidRPr="001E1652">
        <w:t>Step 3.</w:t>
      </w:r>
      <w:r w:rsidRPr="001E1652">
        <w:tab/>
        <w:t>Multiply the amount calculated in step 2 by the Chief Justice’s salary.</w:t>
      </w:r>
    </w:p>
    <w:p w:rsidR="004C6087" w:rsidRPr="001E1652" w:rsidRDefault="0053054B" w:rsidP="004C6087">
      <w:pPr>
        <w:pStyle w:val="ActHead5"/>
      </w:pPr>
      <w:bookmarkStart w:id="19" w:name="_Toc350176713"/>
      <w:r w:rsidRPr="001E1652">
        <w:rPr>
          <w:rStyle w:val="CharSectno"/>
        </w:rPr>
        <w:lastRenderedPageBreak/>
        <w:t>13</w:t>
      </w:r>
      <w:r w:rsidR="004C6087" w:rsidRPr="001E1652">
        <w:t xml:space="preserve">  Reduction of standard allowance</w:t>
      </w:r>
      <w:r w:rsidR="003002F3" w:rsidRPr="001E1652">
        <w:t xml:space="preserve"> payable at operative time</w:t>
      </w:r>
      <w:r w:rsidR="004C6087" w:rsidRPr="001E1652">
        <w:t xml:space="preserve"> if superannuation surcharge </w:t>
      </w:r>
      <w:r w:rsidR="00FA539E" w:rsidRPr="001E1652">
        <w:t>appl</w:t>
      </w:r>
      <w:r w:rsidR="003002F3" w:rsidRPr="001E1652">
        <w:t>ies</w:t>
      </w:r>
      <w:bookmarkEnd w:id="19"/>
    </w:p>
    <w:p w:rsidR="004C6087" w:rsidRPr="001E1652" w:rsidRDefault="004C6087" w:rsidP="002F117F">
      <w:pPr>
        <w:pStyle w:val="subsection"/>
      </w:pPr>
      <w:r w:rsidRPr="001E1652">
        <w:tab/>
        <w:t>(1)</w:t>
      </w:r>
      <w:r w:rsidRPr="001E1652">
        <w:tab/>
        <w:t>This section applies</w:t>
      </w:r>
      <w:r w:rsidR="003002F3" w:rsidRPr="001E1652">
        <w:t xml:space="preserve"> </w:t>
      </w:r>
      <w:r w:rsidR="00241958" w:rsidRPr="001E1652">
        <w:t>in relation to</w:t>
      </w:r>
      <w:r w:rsidR="002F117F" w:rsidRPr="001E1652">
        <w:t xml:space="preserve"> a</w:t>
      </w:r>
      <w:r w:rsidR="003002F3" w:rsidRPr="001E1652">
        <w:t xml:space="preserve"> </w:t>
      </w:r>
      <w:r w:rsidR="00474C78" w:rsidRPr="001E1652">
        <w:t>Governor</w:t>
      </w:r>
      <w:r w:rsidR="001E1652" w:rsidRPr="001E1652">
        <w:noBreakHyphen/>
      </w:r>
      <w:r w:rsidR="00474C78" w:rsidRPr="001E1652">
        <w:t>General</w:t>
      </w:r>
      <w:r w:rsidR="003002F3" w:rsidRPr="001E1652">
        <w:t xml:space="preserve"> </w:t>
      </w:r>
      <w:r w:rsidR="00241958" w:rsidRPr="001E1652">
        <w:t xml:space="preserve">who </w:t>
      </w:r>
      <w:r w:rsidR="003002F3" w:rsidRPr="001E1652">
        <w:t xml:space="preserve">was first appointed </w:t>
      </w:r>
      <w:r w:rsidRPr="001E1652">
        <w:t xml:space="preserve">between </w:t>
      </w:r>
      <w:r w:rsidR="00493C6E" w:rsidRPr="001E1652">
        <w:t>20</w:t>
      </w:r>
      <w:r w:rsidR="001E1652" w:rsidRPr="001E1652">
        <w:t> </w:t>
      </w:r>
      <w:r w:rsidRPr="001E1652">
        <w:t>August 1996 to 1</w:t>
      </w:r>
      <w:r w:rsidR="001E1652" w:rsidRPr="001E1652">
        <w:t> </w:t>
      </w:r>
      <w:r w:rsidRPr="001E1652">
        <w:t>July 2005.</w:t>
      </w:r>
    </w:p>
    <w:p w:rsidR="00D513AE" w:rsidRPr="001E1652" w:rsidRDefault="004D42CF" w:rsidP="00FF58B1">
      <w:pPr>
        <w:pStyle w:val="subsection"/>
      </w:pPr>
      <w:r w:rsidRPr="001E1652">
        <w:tab/>
        <w:t>(</w:t>
      </w:r>
      <w:r w:rsidR="00FA539E" w:rsidRPr="001E1652">
        <w:t>2</w:t>
      </w:r>
      <w:r w:rsidRPr="001E1652">
        <w:t>)</w:t>
      </w:r>
      <w:r w:rsidRPr="001E1652">
        <w:tab/>
      </w:r>
      <w:r w:rsidR="002F117F" w:rsidRPr="001E1652">
        <w:t xml:space="preserve">For </w:t>
      </w:r>
      <w:r w:rsidR="005B55D6" w:rsidRPr="001E1652">
        <w:t>sub</w:t>
      </w:r>
      <w:r w:rsidR="002F117F" w:rsidRPr="001E1652">
        <w:t>section</w:t>
      </w:r>
      <w:r w:rsidR="001E1652" w:rsidRPr="001E1652">
        <w:t> </w:t>
      </w:r>
      <w:r w:rsidR="002F117F" w:rsidRPr="001E1652">
        <w:t>4AG(3) of the Act</w:t>
      </w:r>
      <w:r w:rsidR="003002F3" w:rsidRPr="001E1652">
        <w:t xml:space="preserve">, the </w:t>
      </w:r>
      <w:r w:rsidR="002F117F" w:rsidRPr="001E1652">
        <w:t>rate of the allowance is</w:t>
      </w:r>
      <w:r w:rsidR="003002F3" w:rsidRPr="001E1652">
        <w:t xml:space="preserve"> calculated as follows</w:t>
      </w:r>
      <w:r w:rsidRPr="001E1652">
        <w:t>:</w:t>
      </w:r>
    </w:p>
    <w:p w:rsidR="00902773" w:rsidRPr="001E1652" w:rsidRDefault="00902773" w:rsidP="00902773">
      <w:pPr>
        <w:pStyle w:val="BoxHeadItalic"/>
      </w:pPr>
      <w:r w:rsidRPr="001E1652">
        <w:t>Method statement</w:t>
      </w:r>
    </w:p>
    <w:p w:rsidR="00902773" w:rsidRPr="001E1652" w:rsidRDefault="00902773" w:rsidP="00902773">
      <w:pPr>
        <w:pStyle w:val="BoxStep"/>
      </w:pPr>
      <w:r w:rsidRPr="001E1652">
        <w:t>Step 1.</w:t>
      </w:r>
      <w:r w:rsidRPr="001E1652">
        <w:tab/>
        <w:t>Identify the annual rate of the retirement allowance that was payable at the operative time.</w:t>
      </w:r>
    </w:p>
    <w:p w:rsidR="00902773" w:rsidRPr="001E1652" w:rsidRDefault="00902773" w:rsidP="00902773">
      <w:pPr>
        <w:pStyle w:val="BoxStep"/>
      </w:pPr>
      <w:r w:rsidRPr="001E1652">
        <w:t>Step 2.</w:t>
      </w:r>
      <w:r w:rsidRPr="001E1652">
        <w:tab/>
        <w:t>Calculate an amount using the formula:</w:t>
      </w:r>
    </w:p>
    <w:p w:rsidR="00902773" w:rsidRPr="001E1652" w:rsidRDefault="00902773" w:rsidP="00902773">
      <w:pPr>
        <w:pStyle w:val="BoxStep"/>
      </w:pPr>
      <w:r w:rsidRPr="001E1652">
        <w:tab/>
      </w:r>
      <w:r w:rsidRPr="001E1652">
        <w:rPr>
          <w:b/>
          <w:bCs/>
        </w:rPr>
        <w:object w:dxaOrig="2540" w:dyaOrig="660">
          <v:shape id="_x0000_i1042" type="#_x0000_t75" style="width:126.75pt;height:33pt" o:ole="">
            <v:imagedata r:id="rId21" o:title=""/>
          </v:shape>
          <o:OLEObject Type="Embed" ProgID="Equation.DSMT4" ShapeID="_x0000_i1042" DrawAspect="Content" ObjectID="_1424680926" r:id="rId44"/>
        </w:object>
      </w:r>
    </w:p>
    <w:p w:rsidR="00902773" w:rsidRPr="001E1652" w:rsidRDefault="00902773" w:rsidP="00902773">
      <w:pPr>
        <w:pStyle w:val="BoxStep"/>
      </w:pPr>
      <w:r w:rsidRPr="001E1652">
        <w:tab/>
        <w:t>where:</w:t>
      </w:r>
    </w:p>
    <w:p w:rsidR="00902773" w:rsidRPr="001E1652" w:rsidRDefault="00902773" w:rsidP="00902773">
      <w:pPr>
        <w:pStyle w:val="BoxStep"/>
      </w:pPr>
      <w:r w:rsidRPr="001E1652">
        <w:rPr>
          <w:b/>
          <w:bCs/>
          <w:i/>
          <w:iCs/>
        </w:rPr>
        <w:tab/>
        <w:t>F</w:t>
      </w:r>
      <w:r w:rsidRPr="001E1652">
        <w:rPr>
          <w:b/>
          <w:bCs/>
          <w:i/>
          <w:iCs/>
          <w:vertAlign w:val="subscript"/>
        </w:rPr>
        <w:t>y</w:t>
      </w:r>
      <w:r w:rsidRPr="001E1652">
        <w:rPr>
          <w:i/>
          <w:iCs/>
        </w:rPr>
        <w:t xml:space="preserve"> </w:t>
      </w:r>
      <w:r w:rsidRPr="001E1652">
        <w:t>is the number in Table 2 that applies to the member spouse’s gender, and age in whole years, at the operative time.</w:t>
      </w:r>
    </w:p>
    <w:p w:rsidR="00902773" w:rsidRPr="001E1652" w:rsidRDefault="00902773" w:rsidP="00902773">
      <w:pPr>
        <w:pStyle w:val="BoxStep"/>
      </w:pPr>
      <w:r w:rsidRPr="001E1652">
        <w:rPr>
          <w:b/>
          <w:bCs/>
          <w:i/>
          <w:iCs/>
        </w:rPr>
        <w:tab/>
        <w:t>F</w:t>
      </w:r>
      <w:r w:rsidRPr="001E1652">
        <w:rPr>
          <w:b/>
          <w:bCs/>
          <w:i/>
          <w:iCs/>
          <w:vertAlign w:val="subscript"/>
        </w:rPr>
        <w:t>y+1</w:t>
      </w:r>
      <w:r w:rsidRPr="001E1652">
        <w:rPr>
          <w:b/>
          <w:bCs/>
          <w:i/>
          <w:iCs/>
        </w:rPr>
        <w:t xml:space="preserve"> </w:t>
      </w:r>
      <w:r w:rsidRPr="001E1652">
        <w:t>is the number in Table 2 that would apply to the member spouse if the member spouse’s age in whole years was one year more than it was at the operative time.</w:t>
      </w:r>
    </w:p>
    <w:p w:rsidR="00902773" w:rsidRPr="001E1652" w:rsidRDefault="00902773" w:rsidP="00902773">
      <w:pPr>
        <w:pStyle w:val="BoxStep"/>
      </w:pPr>
      <w:r w:rsidRPr="001E1652">
        <w:rPr>
          <w:b/>
          <w:bCs/>
          <w:i/>
          <w:iCs/>
        </w:rPr>
        <w:tab/>
        <w:t>m</w:t>
      </w:r>
      <w:r w:rsidRPr="001E1652">
        <w:rPr>
          <w:i/>
          <w:iCs/>
        </w:rPr>
        <w:t xml:space="preserve"> </w:t>
      </w:r>
      <w:r w:rsidRPr="001E1652">
        <w:t>is the number of whole months of the member spouse’s age that are not included in the member spouse’s age in whole years at the operative time.</w:t>
      </w:r>
    </w:p>
    <w:p w:rsidR="00902773" w:rsidRPr="001E1652" w:rsidRDefault="00902773" w:rsidP="00902773">
      <w:pPr>
        <w:pStyle w:val="BoxStep"/>
      </w:pPr>
      <w:r w:rsidRPr="001E1652">
        <w:t>Step 3.</w:t>
      </w:r>
      <w:r w:rsidRPr="001E1652">
        <w:tab/>
        <w:t>Multiply the amount calculated in step 1 by the amount calculated in step 2.</w:t>
      </w:r>
    </w:p>
    <w:p w:rsidR="00902773" w:rsidRPr="001E1652" w:rsidRDefault="00902773" w:rsidP="00902773">
      <w:pPr>
        <w:pStyle w:val="BoxStep"/>
      </w:pPr>
      <w:r w:rsidRPr="001E1652">
        <w:t>Step 4.</w:t>
      </w:r>
      <w:r w:rsidRPr="001E1652">
        <w:tab/>
        <w:t>Divide the transfer amount by the amount calculated in step 3.</w:t>
      </w:r>
    </w:p>
    <w:p w:rsidR="00902773" w:rsidRPr="001E1652" w:rsidRDefault="00902773" w:rsidP="00902773">
      <w:pPr>
        <w:pStyle w:val="BoxStep"/>
      </w:pPr>
      <w:r w:rsidRPr="001E1652">
        <w:t>Step 5.</w:t>
      </w:r>
      <w:r w:rsidRPr="001E1652">
        <w:tab/>
        <w:t>Multiply the amount identified in step 1 by the amount calculated in step 4.</w:t>
      </w:r>
    </w:p>
    <w:p w:rsidR="00902773" w:rsidRPr="001E1652" w:rsidRDefault="00902773" w:rsidP="00902773">
      <w:pPr>
        <w:pStyle w:val="BoxStep"/>
      </w:pPr>
      <w:r w:rsidRPr="001E1652">
        <w:t>Step 6.</w:t>
      </w:r>
      <w:r w:rsidRPr="001E1652">
        <w:tab/>
        <w:t>Deduct the amount calculated in step 5 from the amount identified in step 1.</w:t>
      </w:r>
    </w:p>
    <w:p w:rsidR="00902773" w:rsidRPr="001E1652" w:rsidRDefault="00902773" w:rsidP="00902773">
      <w:pPr>
        <w:pStyle w:val="BoxStep"/>
      </w:pPr>
      <w:r w:rsidRPr="001E1652">
        <w:t>Step 7.</w:t>
      </w:r>
      <w:r w:rsidRPr="001E1652">
        <w:tab/>
        <w:t>Divide the amount calculated in step 6 by the Chief Justice’s salary at the operative time.</w:t>
      </w:r>
    </w:p>
    <w:p w:rsidR="00902773" w:rsidRPr="001E1652" w:rsidRDefault="00902773" w:rsidP="00902773">
      <w:pPr>
        <w:pStyle w:val="BoxStep"/>
      </w:pPr>
      <w:r w:rsidRPr="001E1652">
        <w:tab/>
        <w:t>Round the result to 4 decimal places (rounding up if the fifth decimal place is 5 or more).</w:t>
      </w:r>
    </w:p>
    <w:p w:rsidR="00902773" w:rsidRPr="001E1652" w:rsidRDefault="00902773" w:rsidP="00902773">
      <w:pPr>
        <w:pStyle w:val="BoxStep"/>
      </w:pPr>
      <w:r w:rsidRPr="001E1652">
        <w:lastRenderedPageBreak/>
        <w:t>Step 8.</w:t>
      </w:r>
      <w:r w:rsidRPr="001E1652">
        <w:tab/>
        <w:t>Multiply the amount calculated in step 7 by the Chief Justice’s salary.</w:t>
      </w:r>
    </w:p>
    <w:p w:rsidR="004D42CF" w:rsidRPr="001E1652" w:rsidRDefault="004D42CF" w:rsidP="004D42CF">
      <w:pPr>
        <w:pStyle w:val="subsection"/>
      </w:pPr>
      <w:r w:rsidRPr="001E1652">
        <w:tab/>
        <w:t>(</w:t>
      </w:r>
      <w:r w:rsidR="00FA539E" w:rsidRPr="001E1652">
        <w:t>3</w:t>
      </w:r>
      <w:r w:rsidRPr="001E1652">
        <w:t>)</w:t>
      </w:r>
      <w:r w:rsidRPr="001E1652">
        <w:tab/>
      </w:r>
      <w:r w:rsidR="009A2CF2" w:rsidRPr="001E1652">
        <w:t>For subsection</w:t>
      </w:r>
      <w:r w:rsidR="001E1652" w:rsidRPr="001E1652">
        <w:t> </w:t>
      </w:r>
      <w:r w:rsidR="009A2CF2" w:rsidRPr="001E1652">
        <w:t xml:space="preserve">4AG(4) of the Act, </w:t>
      </w:r>
      <w:r w:rsidR="00E477CB" w:rsidRPr="001E1652">
        <w:t>the rate applicable under paragraph</w:t>
      </w:r>
      <w:r w:rsidR="001E1652" w:rsidRPr="001E1652">
        <w:t> </w:t>
      </w:r>
      <w:r w:rsidR="00E477CB" w:rsidRPr="001E1652">
        <w:t>4(3)(a) of the Act is reduced to the amount calculated</w:t>
      </w:r>
      <w:r w:rsidR="009A2CF2" w:rsidRPr="001E1652">
        <w:t xml:space="preserve"> as follows</w:t>
      </w:r>
      <w:r w:rsidRPr="001E1652">
        <w:t>:</w:t>
      </w:r>
    </w:p>
    <w:p w:rsidR="00902773" w:rsidRPr="001E1652" w:rsidRDefault="00902773" w:rsidP="00902773">
      <w:pPr>
        <w:pStyle w:val="BoxHeadItalic"/>
      </w:pPr>
      <w:r w:rsidRPr="001E1652">
        <w:t>Method statement</w:t>
      </w:r>
    </w:p>
    <w:p w:rsidR="00902773" w:rsidRPr="001E1652" w:rsidRDefault="00902773" w:rsidP="00902773">
      <w:pPr>
        <w:pStyle w:val="BoxStep"/>
      </w:pPr>
      <w:r w:rsidRPr="001E1652">
        <w:t>Step 1.</w:t>
      </w:r>
      <w:r w:rsidRPr="001E1652">
        <w:tab/>
        <w:t>Identify the annual rate of the retirement allowance that was payable when the Governor</w:t>
      </w:r>
      <w:r w:rsidR="001E1652" w:rsidRPr="001E1652">
        <w:noBreakHyphen/>
      </w:r>
      <w:r w:rsidRPr="001E1652">
        <w:t>General died.</w:t>
      </w:r>
    </w:p>
    <w:p w:rsidR="00902773" w:rsidRPr="001E1652" w:rsidRDefault="00902773" w:rsidP="00902773">
      <w:pPr>
        <w:pStyle w:val="BoxStep"/>
      </w:pPr>
      <w:r w:rsidRPr="001E1652">
        <w:t>Step 2.</w:t>
      </w:r>
      <w:r w:rsidRPr="001E1652">
        <w:tab/>
        <w:t>Divide the amount identified in step 1 by the Chief Justice’s salary when the Governor</w:t>
      </w:r>
      <w:r w:rsidR="001E1652" w:rsidRPr="001E1652">
        <w:noBreakHyphen/>
      </w:r>
      <w:r w:rsidRPr="001E1652">
        <w:t>General died.</w:t>
      </w:r>
    </w:p>
    <w:p w:rsidR="00902773" w:rsidRPr="001E1652" w:rsidRDefault="00902773" w:rsidP="00902773">
      <w:pPr>
        <w:pStyle w:val="BoxStep"/>
      </w:pPr>
      <w:r w:rsidRPr="001E1652">
        <w:tab/>
        <w:t>Round the result to 4 decimal places (rounding up if the fifth decimal place is 5 or more).</w:t>
      </w:r>
    </w:p>
    <w:p w:rsidR="00902773" w:rsidRPr="001E1652" w:rsidRDefault="00902773" w:rsidP="00902773">
      <w:pPr>
        <w:pStyle w:val="BoxStep"/>
      </w:pPr>
      <w:r w:rsidRPr="001E1652">
        <w:t>Step 3.</w:t>
      </w:r>
      <w:r w:rsidRPr="001E1652">
        <w:tab/>
        <w:t>Multiply the amount calculated in step 2 by the Chief Justice’s salary.</w:t>
      </w:r>
    </w:p>
    <w:p w:rsidR="00AB7DFA" w:rsidRPr="001E1652" w:rsidRDefault="00AB7DFA" w:rsidP="00AB7DFA">
      <w:pPr>
        <w:sectPr w:rsidR="00AB7DFA" w:rsidRPr="001E1652" w:rsidSect="00301E23">
          <w:headerReference w:type="even" r:id="rId45"/>
          <w:headerReference w:type="default" r:id="rId46"/>
          <w:footerReference w:type="even" r:id="rId47"/>
          <w:footerReference w:type="default" r:id="rId48"/>
          <w:headerReference w:type="first" r:id="rId49"/>
          <w:footerReference w:type="first" r:id="rId50"/>
          <w:pgSz w:w="11907" w:h="16839" w:code="9"/>
          <w:pgMar w:top="2380" w:right="1797" w:bottom="1440" w:left="1797" w:header="720" w:footer="709" w:gutter="0"/>
          <w:pgNumType w:start="1"/>
          <w:cols w:space="720"/>
          <w:docGrid w:linePitch="299"/>
        </w:sectPr>
      </w:pPr>
    </w:p>
    <w:p w:rsidR="00AB7DFA" w:rsidRPr="001E1652" w:rsidRDefault="00AB7DFA" w:rsidP="00AB7DFA"/>
    <w:p w:rsidR="00D513AE" w:rsidRPr="001E1652" w:rsidRDefault="00FF58B1" w:rsidP="00AB7DFA">
      <w:pPr>
        <w:pStyle w:val="ActHead1"/>
      </w:pPr>
      <w:bookmarkStart w:id="20" w:name="_Toc350176714"/>
      <w:r w:rsidRPr="001E1652">
        <w:rPr>
          <w:rStyle w:val="CharChapNo"/>
        </w:rPr>
        <w:t>Schedule</w:t>
      </w:r>
      <w:r w:rsidR="001E1652" w:rsidRPr="001E1652">
        <w:rPr>
          <w:rStyle w:val="CharChapNo"/>
        </w:rPr>
        <w:t> </w:t>
      </w:r>
      <w:r w:rsidR="00D513AE" w:rsidRPr="001E1652">
        <w:rPr>
          <w:rStyle w:val="CharChapNo"/>
        </w:rPr>
        <w:t>1</w:t>
      </w:r>
      <w:r w:rsidRPr="001E1652">
        <w:t>—</w:t>
      </w:r>
      <w:r w:rsidR="00D513AE" w:rsidRPr="001E1652">
        <w:rPr>
          <w:rStyle w:val="CharChapText"/>
        </w:rPr>
        <w:t>Methods and factors</w:t>
      </w:r>
      <w:bookmarkEnd w:id="20"/>
    </w:p>
    <w:p w:rsidR="005B225B" w:rsidRPr="001E1652" w:rsidRDefault="005B225B" w:rsidP="005B225B">
      <w:pPr>
        <w:pStyle w:val="notemargin"/>
      </w:pPr>
      <w:r w:rsidRPr="001E1652">
        <w:t>Note:</w:t>
      </w:r>
      <w:r w:rsidRPr="001E1652">
        <w:tab/>
        <w:t>See section</w:t>
      </w:r>
      <w:r w:rsidR="001E1652" w:rsidRPr="001E1652">
        <w:t> </w:t>
      </w:r>
      <w:r w:rsidR="000D208A" w:rsidRPr="001E1652">
        <w:t>5</w:t>
      </w:r>
      <w:r w:rsidR="005275E0" w:rsidRPr="001E1652">
        <w:t>.</w:t>
      </w:r>
    </w:p>
    <w:p w:rsidR="00D513AE" w:rsidRPr="001E1652" w:rsidRDefault="00FF58B1" w:rsidP="00FF58B1">
      <w:pPr>
        <w:pStyle w:val="ActHead2"/>
      </w:pPr>
      <w:bookmarkStart w:id="21" w:name="_Toc350176715"/>
      <w:r w:rsidRPr="001E1652">
        <w:rPr>
          <w:rStyle w:val="CharPartNo"/>
        </w:rPr>
        <w:t>Part</w:t>
      </w:r>
      <w:r w:rsidR="001E1652" w:rsidRPr="001E1652">
        <w:rPr>
          <w:rStyle w:val="CharPartNo"/>
        </w:rPr>
        <w:t> </w:t>
      </w:r>
      <w:r w:rsidR="00D513AE" w:rsidRPr="001E1652">
        <w:rPr>
          <w:rStyle w:val="CharPartNo"/>
        </w:rPr>
        <w:t>1</w:t>
      </w:r>
      <w:r w:rsidRPr="001E1652">
        <w:t>—</w:t>
      </w:r>
      <w:r w:rsidR="00D513AE" w:rsidRPr="001E1652">
        <w:rPr>
          <w:rStyle w:val="CharPartText"/>
        </w:rPr>
        <w:t>Methods</w:t>
      </w:r>
      <w:bookmarkEnd w:id="21"/>
    </w:p>
    <w:p w:rsidR="00180385" w:rsidRPr="001E1652" w:rsidRDefault="00180385" w:rsidP="00180385">
      <w:pPr>
        <w:pStyle w:val="ActHead3"/>
      </w:pPr>
      <w:bookmarkStart w:id="22" w:name="_Toc350176716"/>
      <w:r w:rsidRPr="001E1652">
        <w:rPr>
          <w:rStyle w:val="CharDivNo"/>
        </w:rPr>
        <w:t>Division</w:t>
      </w:r>
      <w:r w:rsidR="001E1652" w:rsidRPr="001E1652">
        <w:rPr>
          <w:rStyle w:val="CharDivNo"/>
        </w:rPr>
        <w:t> </w:t>
      </w:r>
      <w:r w:rsidR="00B0040A" w:rsidRPr="001E1652">
        <w:rPr>
          <w:rStyle w:val="CharDivNo"/>
        </w:rPr>
        <w:t>1</w:t>
      </w:r>
      <w:r w:rsidRPr="001E1652">
        <w:rPr>
          <w:rStyle w:val="CharDivNo"/>
        </w:rPr>
        <w:t>.1</w:t>
      </w:r>
      <w:r w:rsidRPr="001E1652">
        <w:t>—</w:t>
      </w:r>
      <w:r w:rsidRPr="001E1652">
        <w:rPr>
          <w:rStyle w:val="CharDivText"/>
        </w:rPr>
        <w:t>Interpretation</w:t>
      </w:r>
      <w:bookmarkEnd w:id="22"/>
    </w:p>
    <w:p w:rsidR="00180385" w:rsidRPr="001E1652" w:rsidRDefault="00180385" w:rsidP="00180385">
      <w:pPr>
        <w:pStyle w:val="ActHead5"/>
      </w:pPr>
      <w:bookmarkStart w:id="23" w:name="_Toc350176717"/>
      <w:r w:rsidRPr="001E1652">
        <w:rPr>
          <w:rStyle w:val="CharSectno"/>
        </w:rPr>
        <w:t>1</w:t>
      </w:r>
      <w:r w:rsidRPr="001E1652">
        <w:t xml:space="preserve">  Definitions</w:t>
      </w:r>
      <w:bookmarkEnd w:id="23"/>
    </w:p>
    <w:p w:rsidR="00180385" w:rsidRPr="001E1652" w:rsidRDefault="00180385" w:rsidP="00180385">
      <w:pPr>
        <w:pStyle w:val="subsection"/>
      </w:pPr>
      <w:r w:rsidRPr="001E1652">
        <w:tab/>
        <w:t>(1)</w:t>
      </w:r>
      <w:r w:rsidRPr="001E1652">
        <w:tab/>
        <w:t>In this Part:</w:t>
      </w:r>
    </w:p>
    <w:p w:rsidR="00180385" w:rsidRPr="001E1652" w:rsidRDefault="00180385" w:rsidP="00180385">
      <w:pPr>
        <w:pStyle w:val="Definition"/>
      </w:pPr>
      <w:r w:rsidRPr="001E1652">
        <w:rPr>
          <w:b/>
          <w:i/>
        </w:rPr>
        <w:t>end date</w:t>
      </w:r>
      <w:r w:rsidRPr="001E1652">
        <w:t>, in relation to a person who holds office as Governor</w:t>
      </w:r>
      <w:r w:rsidR="001E1652" w:rsidRPr="001E1652">
        <w:noBreakHyphen/>
      </w:r>
      <w:r w:rsidRPr="001E1652">
        <w:t>General, means:</w:t>
      </w:r>
    </w:p>
    <w:p w:rsidR="00180385" w:rsidRPr="001E1652" w:rsidRDefault="00180385" w:rsidP="00180385">
      <w:pPr>
        <w:pStyle w:val="paragraph"/>
      </w:pPr>
      <w:r w:rsidRPr="001E1652">
        <w:tab/>
        <w:t>(a)</w:t>
      </w:r>
      <w:r w:rsidRPr="001E1652">
        <w:tab/>
        <w:t>if the date that the person will cease to hold office as Governor</w:t>
      </w:r>
      <w:r w:rsidR="001E1652" w:rsidRPr="001E1652">
        <w:noBreakHyphen/>
      </w:r>
      <w:r w:rsidRPr="001E1652">
        <w:t>General is known—the date that the person ceases to hold office as Governor</w:t>
      </w:r>
      <w:r w:rsidR="001E1652" w:rsidRPr="001E1652">
        <w:noBreakHyphen/>
      </w:r>
      <w:r w:rsidRPr="001E1652">
        <w:t>General; or</w:t>
      </w:r>
    </w:p>
    <w:p w:rsidR="00180385" w:rsidRPr="001E1652" w:rsidRDefault="00180385" w:rsidP="00180385">
      <w:pPr>
        <w:pStyle w:val="paragraph"/>
      </w:pPr>
      <w:r w:rsidRPr="001E1652">
        <w:tab/>
        <w:t>(b)</w:t>
      </w:r>
      <w:r w:rsidRPr="001E1652">
        <w:tab/>
        <w:t>if the date that the person will cease to hold office as Governor</w:t>
      </w:r>
      <w:r w:rsidR="001E1652" w:rsidRPr="001E1652">
        <w:noBreakHyphen/>
      </w:r>
      <w:r w:rsidRPr="001E1652">
        <w:t>General is unknown and the person has held office as Governor</w:t>
      </w:r>
      <w:r w:rsidR="001E1652" w:rsidRPr="001E1652">
        <w:noBreakHyphen/>
      </w:r>
      <w:r w:rsidRPr="001E1652">
        <w:t>General for a period of less than 5 years—the date that is 5 years after the day that the person first held office as Governor</w:t>
      </w:r>
      <w:r w:rsidR="001E1652" w:rsidRPr="001E1652">
        <w:noBreakHyphen/>
      </w:r>
      <w:r w:rsidRPr="001E1652">
        <w:t>General; or</w:t>
      </w:r>
    </w:p>
    <w:p w:rsidR="00180385" w:rsidRPr="001E1652" w:rsidRDefault="00180385" w:rsidP="00180385">
      <w:pPr>
        <w:pStyle w:val="paragraph"/>
      </w:pPr>
      <w:r w:rsidRPr="001E1652">
        <w:tab/>
        <w:t>(c)</w:t>
      </w:r>
      <w:r w:rsidRPr="001E1652">
        <w:tab/>
        <w:t>if the date that the person will cease to hold office as Governor</w:t>
      </w:r>
      <w:r w:rsidR="001E1652" w:rsidRPr="001E1652">
        <w:noBreakHyphen/>
      </w:r>
      <w:r w:rsidRPr="001E1652">
        <w:t>General is unknown and the person has held office as Governor</w:t>
      </w:r>
      <w:r w:rsidR="001E1652" w:rsidRPr="001E1652">
        <w:noBreakHyphen/>
      </w:r>
      <w:r w:rsidRPr="001E1652">
        <w:t>General for a period of 5 years or more—the date that is 6 months after the day that the value of the interest is being calculated.</w:t>
      </w:r>
    </w:p>
    <w:p w:rsidR="00180385" w:rsidRPr="001E1652" w:rsidRDefault="00180385" w:rsidP="00180385">
      <w:pPr>
        <w:pStyle w:val="Definition"/>
      </w:pPr>
      <w:r w:rsidRPr="001E1652">
        <w:rPr>
          <w:b/>
          <w:i/>
        </w:rPr>
        <w:t>Scheme</w:t>
      </w:r>
      <w:r w:rsidRPr="001E1652">
        <w:rPr>
          <w:b/>
        </w:rPr>
        <w:t xml:space="preserve"> </w:t>
      </w:r>
      <w:r w:rsidRPr="001E1652">
        <w:t>means the Governors</w:t>
      </w:r>
      <w:r w:rsidR="001E1652" w:rsidRPr="001E1652">
        <w:noBreakHyphen/>
      </w:r>
      <w:r w:rsidRPr="001E1652">
        <w:t>General Pension Scheme as constituted by an allowance payable under section</w:t>
      </w:r>
      <w:r w:rsidR="001E1652" w:rsidRPr="001E1652">
        <w:t> </w:t>
      </w:r>
      <w:r w:rsidRPr="001E1652">
        <w:t>4 of the</w:t>
      </w:r>
      <w:r w:rsidR="00CC34A9" w:rsidRPr="001E1652">
        <w:t xml:space="preserve"> </w:t>
      </w:r>
      <w:r w:rsidRPr="001E1652">
        <w:t>Act.</w:t>
      </w:r>
    </w:p>
    <w:p w:rsidR="00180385" w:rsidRPr="001E1652" w:rsidRDefault="00180385" w:rsidP="00180385">
      <w:pPr>
        <w:pStyle w:val="subsection"/>
      </w:pPr>
      <w:r w:rsidRPr="001E1652">
        <w:tab/>
        <w:t>(2)</w:t>
      </w:r>
      <w:r w:rsidRPr="001E1652">
        <w:tab/>
        <w:t>An expression used in this Part and in the Act has the same meaning in this Part as it has in the Act.</w:t>
      </w:r>
    </w:p>
    <w:p w:rsidR="00180385" w:rsidRPr="001E1652" w:rsidRDefault="00180385" w:rsidP="00180385">
      <w:pPr>
        <w:pStyle w:val="ActHead3"/>
        <w:pageBreakBefore/>
      </w:pPr>
      <w:bookmarkStart w:id="24" w:name="_Toc350176718"/>
      <w:r w:rsidRPr="001E1652">
        <w:rPr>
          <w:rStyle w:val="CharDivNo"/>
        </w:rPr>
        <w:lastRenderedPageBreak/>
        <w:t>Division</w:t>
      </w:r>
      <w:r w:rsidR="001E1652" w:rsidRPr="001E1652">
        <w:rPr>
          <w:rStyle w:val="CharDivNo"/>
        </w:rPr>
        <w:t> </w:t>
      </w:r>
      <w:r w:rsidR="00B0040A" w:rsidRPr="001E1652">
        <w:rPr>
          <w:rStyle w:val="CharDivNo"/>
        </w:rPr>
        <w:t>1</w:t>
      </w:r>
      <w:r w:rsidRPr="001E1652">
        <w:rPr>
          <w:rStyle w:val="CharDivNo"/>
        </w:rPr>
        <w:t>.2</w:t>
      </w:r>
      <w:r w:rsidRPr="001E1652">
        <w:t>—</w:t>
      </w:r>
      <w:r w:rsidRPr="001E1652">
        <w:rPr>
          <w:rStyle w:val="CharDivText"/>
        </w:rPr>
        <w:t>Interests in the growth phase</w:t>
      </w:r>
      <w:bookmarkEnd w:id="24"/>
    </w:p>
    <w:p w:rsidR="00180385" w:rsidRPr="001E1652" w:rsidRDefault="00180385" w:rsidP="00180385">
      <w:pPr>
        <w:pStyle w:val="ActHead5"/>
      </w:pPr>
      <w:bookmarkStart w:id="25" w:name="_Toc350176719"/>
      <w:r w:rsidRPr="001E1652">
        <w:rPr>
          <w:rStyle w:val="CharSectno"/>
        </w:rPr>
        <w:t>2</w:t>
      </w:r>
      <w:r w:rsidRPr="001E1652">
        <w:t xml:space="preserve">  Methods and factors for determining interest in the Scheme</w:t>
      </w:r>
      <w:bookmarkEnd w:id="25"/>
    </w:p>
    <w:p w:rsidR="00180385" w:rsidRPr="001E1652" w:rsidRDefault="00180385" w:rsidP="00180385">
      <w:pPr>
        <w:pStyle w:val="subsection"/>
      </w:pPr>
      <w:r w:rsidRPr="001E1652">
        <w:tab/>
      </w:r>
      <w:r w:rsidRPr="001E1652">
        <w:tab/>
        <w:t>For an interest that is mentioned in an item in the following table, the method or factor mentioned in the item is approved for section</w:t>
      </w:r>
      <w:r w:rsidR="001E1652" w:rsidRPr="001E1652">
        <w:t> </w:t>
      </w:r>
      <w:r w:rsidRPr="001E1652">
        <w:t>5 of this instrument.</w:t>
      </w:r>
    </w:p>
    <w:p w:rsidR="00180385" w:rsidRPr="001E1652" w:rsidRDefault="00180385" w:rsidP="00180385">
      <w:pPr>
        <w:pStyle w:val="Tabletext"/>
      </w:pPr>
    </w:p>
    <w:tbl>
      <w:tblPr>
        <w:tblW w:w="8472"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828"/>
        <w:gridCol w:w="2966"/>
        <w:gridCol w:w="4678"/>
      </w:tblGrid>
      <w:tr w:rsidR="00754363" w:rsidRPr="001E1652" w:rsidTr="00D25D60">
        <w:trPr>
          <w:tblHeader/>
        </w:trPr>
        <w:tc>
          <w:tcPr>
            <w:tcW w:w="828" w:type="dxa"/>
            <w:tcBorders>
              <w:top w:val="single" w:sz="12" w:space="0" w:color="auto"/>
              <w:bottom w:val="single" w:sz="12" w:space="0" w:color="auto"/>
            </w:tcBorders>
            <w:shd w:val="clear" w:color="auto" w:fill="auto"/>
          </w:tcPr>
          <w:p w:rsidR="00180385" w:rsidRPr="001E1652" w:rsidRDefault="00180385" w:rsidP="00D25D60">
            <w:pPr>
              <w:pStyle w:val="Tabletext"/>
              <w:keepNext/>
              <w:rPr>
                <w:b/>
              </w:rPr>
            </w:pPr>
            <w:r w:rsidRPr="001E1652">
              <w:rPr>
                <w:b/>
              </w:rPr>
              <w:t>Item</w:t>
            </w:r>
          </w:p>
        </w:tc>
        <w:tc>
          <w:tcPr>
            <w:tcW w:w="2966" w:type="dxa"/>
            <w:tcBorders>
              <w:top w:val="single" w:sz="12" w:space="0" w:color="auto"/>
              <w:bottom w:val="single" w:sz="12" w:space="0" w:color="auto"/>
            </w:tcBorders>
            <w:shd w:val="clear" w:color="auto" w:fill="auto"/>
          </w:tcPr>
          <w:p w:rsidR="00180385" w:rsidRPr="001E1652" w:rsidRDefault="00180385" w:rsidP="00D25D60">
            <w:pPr>
              <w:pStyle w:val="Tabletext"/>
              <w:keepNext/>
              <w:rPr>
                <w:b/>
              </w:rPr>
            </w:pPr>
            <w:r w:rsidRPr="001E1652">
              <w:rPr>
                <w:b/>
              </w:rPr>
              <w:t>Interest in the growth phase</w:t>
            </w:r>
          </w:p>
        </w:tc>
        <w:tc>
          <w:tcPr>
            <w:tcW w:w="4678" w:type="dxa"/>
            <w:tcBorders>
              <w:top w:val="single" w:sz="12" w:space="0" w:color="auto"/>
              <w:bottom w:val="single" w:sz="12" w:space="0" w:color="auto"/>
            </w:tcBorders>
            <w:shd w:val="clear" w:color="auto" w:fill="auto"/>
          </w:tcPr>
          <w:p w:rsidR="00180385" w:rsidRPr="001E1652" w:rsidRDefault="00180385" w:rsidP="00D25D60">
            <w:pPr>
              <w:pStyle w:val="Tabletext"/>
              <w:keepNext/>
              <w:rPr>
                <w:b/>
              </w:rPr>
            </w:pPr>
            <w:r w:rsidRPr="001E1652">
              <w:rPr>
                <w:b/>
              </w:rPr>
              <w:t>Method or factor</w:t>
            </w:r>
          </w:p>
        </w:tc>
      </w:tr>
      <w:tr w:rsidR="00754363" w:rsidRPr="001E1652" w:rsidTr="00D25D60">
        <w:trPr>
          <w:trHeight w:val="423"/>
        </w:trPr>
        <w:tc>
          <w:tcPr>
            <w:tcW w:w="828" w:type="dxa"/>
            <w:tcBorders>
              <w:top w:val="single" w:sz="12" w:space="0" w:color="auto"/>
              <w:bottom w:val="single" w:sz="4" w:space="0" w:color="auto"/>
            </w:tcBorders>
            <w:shd w:val="clear" w:color="auto" w:fill="auto"/>
          </w:tcPr>
          <w:p w:rsidR="00180385" w:rsidRPr="001E1652" w:rsidRDefault="00180385" w:rsidP="00D25D60">
            <w:pPr>
              <w:pStyle w:val="Tabletext"/>
            </w:pPr>
            <w:r w:rsidRPr="001E1652">
              <w:t>1</w:t>
            </w:r>
          </w:p>
        </w:tc>
        <w:tc>
          <w:tcPr>
            <w:tcW w:w="2966" w:type="dxa"/>
            <w:tcBorders>
              <w:top w:val="single" w:sz="12" w:space="0" w:color="auto"/>
              <w:bottom w:val="single" w:sz="4" w:space="0" w:color="auto"/>
            </w:tcBorders>
            <w:shd w:val="clear" w:color="auto" w:fill="auto"/>
          </w:tcPr>
          <w:p w:rsidR="00180385" w:rsidRPr="001E1652" w:rsidRDefault="00180385" w:rsidP="00D25D60">
            <w:pPr>
              <w:pStyle w:val="Tabletext"/>
            </w:pPr>
            <w:r w:rsidRPr="001E1652">
              <w:t>An interest that a person who holds office as Governor</w:t>
            </w:r>
            <w:r w:rsidR="001E1652" w:rsidRPr="001E1652">
              <w:noBreakHyphen/>
            </w:r>
            <w:r w:rsidRPr="001E1652">
              <w:t>General has in the Scheme.</w:t>
            </w:r>
          </w:p>
        </w:tc>
        <w:tc>
          <w:tcPr>
            <w:tcW w:w="4678" w:type="dxa"/>
            <w:tcBorders>
              <w:top w:val="single" w:sz="12" w:space="0" w:color="auto"/>
              <w:bottom w:val="single" w:sz="4" w:space="0" w:color="auto"/>
            </w:tcBorders>
            <w:shd w:val="clear" w:color="auto" w:fill="auto"/>
          </w:tcPr>
          <w:p w:rsidR="00180385" w:rsidRPr="001E1652" w:rsidRDefault="00180385" w:rsidP="00D25D60">
            <w:pPr>
              <w:pStyle w:val="Tabletext"/>
            </w:pPr>
            <w:r w:rsidRPr="001E1652">
              <w:object w:dxaOrig="4500" w:dyaOrig="660">
                <v:shape id="_x0000_i1043" type="#_x0000_t75" style="width:225pt;height:33pt" o:ole="">
                  <v:imagedata r:id="rId51" o:title=""/>
                </v:shape>
                <o:OLEObject Type="Embed" ProgID="Equation.DSMT4" ShapeID="_x0000_i1043" DrawAspect="Content" ObjectID="_1424680927" r:id="rId52"/>
              </w:object>
            </w:r>
            <w:r w:rsidRPr="001E1652">
              <w:t>where:</w:t>
            </w:r>
          </w:p>
          <w:p w:rsidR="00180385" w:rsidRPr="001E1652" w:rsidRDefault="00180385" w:rsidP="00D25D60">
            <w:pPr>
              <w:pStyle w:val="Tabletext"/>
            </w:pPr>
            <w:r w:rsidRPr="001E1652">
              <w:rPr>
                <w:b/>
                <w:i/>
              </w:rPr>
              <w:t>AF</w:t>
            </w:r>
            <w:r w:rsidRPr="001E1652">
              <w:rPr>
                <w:b/>
                <w:i/>
                <w:vertAlign w:val="subscript"/>
              </w:rPr>
              <w:t>y</w:t>
            </w:r>
            <w:r w:rsidRPr="001E1652">
              <w:t xml:space="preserve"> is the allowance valuation factor mentioned in Table 1 in this Part in relation to a retirement allowance for the person’s gender and age in completed years at the end date.</w:t>
            </w:r>
          </w:p>
          <w:p w:rsidR="00180385" w:rsidRPr="001E1652" w:rsidRDefault="00180385" w:rsidP="00D25D60">
            <w:pPr>
              <w:pStyle w:val="Tabletext"/>
            </w:pPr>
            <w:r w:rsidRPr="001E1652">
              <w:rPr>
                <w:b/>
                <w:i/>
              </w:rPr>
              <w:t>AF</w:t>
            </w:r>
            <w:r w:rsidRPr="001E1652">
              <w:rPr>
                <w:b/>
                <w:i/>
                <w:vertAlign w:val="subscript"/>
              </w:rPr>
              <w:t>y+1</w:t>
            </w:r>
            <w:r w:rsidRPr="001E1652">
              <w:t xml:space="preserve"> is the allowance valuation factor mentioned in Table 1 in this Part in relation to a retirement allowance that would apply if the person’s age in completed years at the end date were 1 year more that it would be at that date.</w:t>
            </w:r>
          </w:p>
          <w:p w:rsidR="00180385" w:rsidRPr="001E1652" w:rsidRDefault="00180385" w:rsidP="00D25D60">
            <w:pPr>
              <w:pStyle w:val="Tabletext"/>
            </w:pPr>
            <w:r w:rsidRPr="001E1652">
              <w:rPr>
                <w:b/>
                <w:i/>
              </w:rPr>
              <w:t>m</w:t>
            </w:r>
            <w:r w:rsidRPr="001E1652">
              <w:t xml:space="preserve"> is the number of completed months of the person’s age, at the end date, that are not included in the completed years of age.</w:t>
            </w:r>
          </w:p>
          <w:p w:rsidR="00180385" w:rsidRPr="001E1652" w:rsidRDefault="00180385" w:rsidP="00D25D60">
            <w:pPr>
              <w:pStyle w:val="Tabletext"/>
            </w:pPr>
            <w:r w:rsidRPr="001E1652">
              <w:rPr>
                <w:b/>
                <w:i/>
              </w:rPr>
              <w:t xml:space="preserve">n </w:t>
            </w:r>
            <w:r w:rsidRPr="001E1652">
              <w:t>is:</w:t>
            </w:r>
          </w:p>
          <w:p w:rsidR="00180385" w:rsidRPr="001E1652" w:rsidRDefault="00180385" w:rsidP="00D25D60">
            <w:pPr>
              <w:pStyle w:val="Tabletext"/>
            </w:pPr>
            <w:r w:rsidRPr="001E1652">
              <w:object w:dxaOrig="2180" w:dyaOrig="740">
                <v:shape id="_x0000_i1044" type="#_x0000_t75" style="width:110.25pt;height:36.75pt" o:ole="">
                  <v:imagedata r:id="rId53" o:title=""/>
                </v:shape>
                <o:OLEObject Type="Embed" ProgID="Equation.DSMT4" ShapeID="_x0000_i1044" DrawAspect="Content" ObjectID="_1424680928" r:id="rId54"/>
              </w:object>
            </w:r>
          </w:p>
          <w:p w:rsidR="00180385" w:rsidRPr="001E1652" w:rsidRDefault="00180385" w:rsidP="00D25D60">
            <w:pPr>
              <w:pStyle w:val="Tabletext"/>
            </w:pPr>
            <w:r w:rsidRPr="001E1652">
              <w:rPr>
                <w:b/>
                <w:i/>
              </w:rPr>
              <w:t>PA</w:t>
            </w:r>
            <w:r w:rsidRPr="001E1652">
              <w:t xml:space="preserve"> is the annual rate of allowance that would be payable to the person under section</w:t>
            </w:r>
            <w:r w:rsidR="001E1652" w:rsidRPr="001E1652">
              <w:t> </w:t>
            </w:r>
            <w:r w:rsidRPr="001E1652">
              <w:t>4 of the Act if the person ceased to hold office as Governor</w:t>
            </w:r>
            <w:r w:rsidR="001E1652" w:rsidRPr="001E1652">
              <w:noBreakHyphen/>
            </w:r>
            <w:r w:rsidRPr="001E1652">
              <w:t xml:space="preserve">General on the relevant date. </w:t>
            </w:r>
          </w:p>
        </w:tc>
      </w:tr>
      <w:tr w:rsidR="00754363" w:rsidRPr="001E1652" w:rsidTr="00D25D60">
        <w:trPr>
          <w:trHeight w:val="1520"/>
        </w:trPr>
        <w:tc>
          <w:tcPr>
            <w:tcW w:w="828" w:type="dxa"/>
            <w:tcBorders>
              <w:bottom w:val="single" w:sz="12" w:space="0" w:color="auto"/>
            </w:tcBorders>
            <w:shd w:val="clear" w:color="auto" w:fill="auto"/>
          </w:tcPr>
          <w:p w:rsidR="00180385" w:rsidRPr="001E1652" w:rsidRDefault="00180385" w:rsidP="00D25D60">
            <w:pPr>
              <w:pStyle w:val="Tabletext"/>
            </w:pPr>
            <w:r w:rsidRPr="001E1652">
              <w:t>2</w:t>
            </w:r>
          </w:p>
        </w:tc>
        <w:tc>
          <w:tcPr>
            <w:tcW w:w="2966" w:type="dxa"/>
            <w:tcBorders>
              <w:bottom w:val="single" w:sz="12" w:space="0" w:color="auto"/>
            </w:tcBorders>
            <w:shd w:val="clear" w:color="auto" w:fill="auto"/>
          </w:tcPr>
          <w:p w:rsidR="00180385" w:rsidRPr="001E1652" w:rsidRDefault="00180385" w:rsidP="00D25D60">
            <w:pPr>
              <w:pStyle w:val="Tabletext"/>
            </w:pPr>
            <w:r w:rsidRPr="001E1652">
              <w:t>An interest that a person has as a result of an entitlement to an associate deferred allowance (not yet payable) in accordance with section</w:t>
            </w:r>
            <w:r w:rsidR="001E1652" w:rsidRPr="001E1652">
              <w:t> </w:t>
            </w:r>
            <w:r w:rsidRPr="001E1652">
              <w:t>4AC of the Act.</w:t>
            </w:r>
          </w:p>
        </w:tc>
        <w:tc>
          <w:tcPr>
            <w:tcW w:w="4678" w:type="dxa"/>
            <w:tcBorders>
              <w:bottom w:val="single" w:sz="12" w:space="0" w:color="auto"/>
            </w:tcBorders>
            <w:shd w:val="clear" w:color="auto" w:fill="auto"/>
          </w:tcPr>
          <w:p w:rsidR="00180385" w:rsidRPr="001E1652" w:rsidRDefault="00180385" w:rsidP="00D25D60">
            <w:pPr>
              <w:pStyle w:val="Tablea"/>
            </w:pPr>
            <w:r w:rsidRPr="001E1652">
              <w:rPr>
                <w:position w:val="-32"/>
              </w:rPr>
              <w:object w:dxaOrig="4060" w:dyaOrig="740">
                <v:shape id="_x0000_i1045" type="#_x0000_t75" style="width:203.25pt;height:36.75pt" o:ole="">
                  <v:imagedata r:id="rId55" o:title=""/>
                </v:shape>
                <o:OLEObject Type="Embed" ProgID="Equation.DSMT4" ShapeID="_x0000_i1045" DrawAspect="Content" ObjectID="_1424680929" r:id="rId56"/>
              </w:object>
            </w:r>
          </w:p>
          <w:p w:rsidR="00180385" w:rsidRPr="001E1652" w:rsidRDefault="00180385" w:rsidP="00D25D60">
            <w:pPr>
              <w:pStyle w:val="Tablea"/>
            </w:pPr>
            <w:r w:rsidRPr="001E1652">
              <w:t>where:</w:t>
            </w:r>
          </w:p>
          <w:p w:rsidR="00180385" w:rsidRPr="001E1652" w:rsidRDefault="00180385" w:rsidP="00D25D60">
            <w:pPr>
              <w:pStyle w:val="Tabletext"/>
            </w:pPr>
            <w:r w:rsidRPr="001E1652">
              <w:rPr>
                <w:b/>
                <w:i/>
              </w:rPr>
              <w:t>AF</w:t>
            </w:r>
            <w:r w:rsidRPr="001E1652">
              <w:rPr>
                <w:b/>
                <w:i/>
                <w:vertAlign w:val="subscript"/>
              </w:rPr>
              <w:t>y</w:t>
            </w:r>
            <w:r w:rsidRPr="001E1652">
              <w:t xml:space="preserve"> is the allowance valuation factor mentioned in Table 1 in this Part in relation to a spouse allowance for the person’s gender and age in completed years at the relevant date.</w:t>
            </w:r>
          </w:p>
          <w:p w:rsidR="00180385" w:rsidRPr="001E1652" w:rsidRDefault="00180385" w:rsidP="00D25D60">
            <w:pPr>
              <w:pStyle w:val="Tabletext"/>
            </w:pPr>
            <w:r w:rsidRPr="001E1652">
              <w:rPr>
                <w:b/>
                <w:i/>
              </w:rPr>
              <w:t>AF</w:t>
            </w:r>
            <w:r w:rsidRPr="001E1652">
              <w:rPr>
                <w:b/>
                <w:i/>
                <w:vertAlign w:val="subscript"/>
              </w:rPr>
              <w:t>y+1</w:t>
            </w:r>
            <w:r w:rsidRPr="001E1652">
              <w:t xml:space="preserve"> is the allowance valuation factor mentioned in Table 1 in this Part in relation to a spouse allowance that would apply if the person’s age in completed years at the relevant date were 1 year more than it is.</w:t>
            </w:r>
          </w:p>
          <w:p w:rsidR="00180385" w:rsidRPr="001E1652" w:rsidRDefault="00180385" w:rsidP="00D25D60">
            <w:pPr>
              <w:pStyle w:val="Tabletext"/>
            </w:pPr>
            <w:r w:rsidRPr="001E1652">
              <w:rPr>
                <w:b/>
                <w:i/>
              </w:rPr>
              <w:t>ATA</w:t>
            </w:r>
            <w:r w:rsidRPr="001E1652">
              <w:t xml:space="preserve"> is the amount calculated under step 2A of section</w:t>
            </w:r>
            <w:r w:rsidR="001E1652" w:rsidRPr="001E1652">
              <w:t> </w:t>
            </w:r>
            <w:r w:rsidRPr="001E1652">
              <w:t xml:space="preserve">7 of the </w:t>
            </w:r>
            <w:r w:rsidRPr="001E1652">
              <w:rPr>
                <w:i/>
              </w:rPr>
              <w:t>Governor</w:t>
            </w:r>
            <w:r w:rsidR="001E1652" w:rsidRPr="001E1652">
              <w:rPr>
                <w:i/>
              </w:rPr>
              <w:noBreakHyphen/>
            </w:r>
            <w:r w:rsidRPr="001E1652">
              <w:rPr>
                <w:i/>
              </w:rPr>
              <w:t>General Allowance Order</w:t>
            </w:r>
            <w:r w:rsidR="001E1652" w:rsidRPr="001E1652">
              <w:rPr>
                <w:i/>
              </w:rPr>
              <w:t> </w:t>
            </w:r>
            <w:r w:rsidRPr="001E1652">
              <w:rPr>
                <w:i/>
              </w:rPr>
              <w:t>2013</w:t>
            </w:r>
            <w:r w:rsidRPr="001E1652">
              <w:t xml:space="preserve">, but with the reference to the time when </w:t>
            </w:r>
            <w:r w:rsidRPr="001E1652">
              <w:lastRenderedPageBreak/>
              <w:t>the associate deferred allowance becomes payable taken to be a reference to the relevant date.</w:t>
            </w:r>
          </w:p>
          <w:p w:rsidR="00180385" w:rsidRPr="001E1652" w:rsidRDefault="00180385" w:rsidP="00D25D60">
            <w:pPr>
              <w:pStyle w:val="Tabletext"/>
            </w:pPr>
            <w:r w:rsidRPr="001E1652">
              <w:rPr>
                <w:b/>
                <w:i/>
              </w:rPr>
              <w:t>m</w:t>
            </w:r>
            <w:r w:rsidRPr="001E1652">
              <w:t xml:space="preserve"> is the number of complete months of the person’s age, at the relevant date, that are not included in the completed years of age.</w:t>
            </w:r>
          </w:p>
          <w:p w:rsidR="00180385" w:rsidRPr="001E1652" w:rsidRDefault="00180385" w:rsidP="00D25D60">
            <w:pPr>
              <w:pStyle w:val="Tabletext"/>
            </w:pPr>
            <w:r w:rsidRPr="001E1652">
              <w:rPr>
                <w:b/>
                <w:i/>
              </w:rPr>
              <w:t>SVAF</w:t>
            </w:r>
            <w:r w:rsidRPr="001E1652">
              <w:rPr>
                <w:b/>
                <w:i/>
                <w:vertAlign w:val="subscript"/>
              </w:rPr>
              <w:t>y</w:t>
            </w:r>
            <w:r w:rsidRPr="001E1652">
              <w:t xml:space="preserve"> is the scheme value allowance valuation factor mentioned in Table 2 in this Part for the person’s gender and age in completed years at the relevant date.</w:t>
            </w:r>
          </w:p>
          <w:p w:rsidR="00180385" w:rsidRPr="001E1652" w:rsidRDefault="00180385" w:rsidP="00D25D60">
            <w:pPr>
              <w:pStyle w:val="Tabletext"/>
            </w:pPr>
            <w:r w:rsidRPr="001E1652">
              <w:rPr>
                <w:b/>
                <w:i/>
              </w:rPr>
              <w:t>SVAF</w:t>
            </w:r>
            <w:r w:rsidRPr="001E1652">
              <w:rPr>
                <w:b/>
                <w:i/>
                <w:vertAlign w:val="subscript"/>
              </w:rPr>
              <w:t>y+1</w:t>
            </w:r>
            <w:r w:rsidRPr="001E1652">
              <w:t xml:space="preserve"> is the scheme value allowance valuation factor mentioned in Table 2 in this Part that would apply if the person’s age in completed years at the relevant date were 1 year more than it is. </w:t>
            </w:r>
          </w:p>
        </w:tc>
      </w:tr>
    </w:tbl>
    <w:p w:rsidR="00180385" w:rsidRPr="001E1652" w:rsidRDefault="00180385" w:rsidP="00180385">
      <w:pPr>
        <w:pStyle w:val="ActHead3"/>
        <w:pageBreakBefore/>
      </w:pPr>
      <w:bookmarkStart w:id="26" w:name="_Toc350176720"/>
      <w:r w:rsidRPr="001E1652">
        <w:rPr>
          <w:rStyle w:val="CharDivNo"/>
        </w:rPr>
        <w:lastRenderedPageBreak/>
        <w:t>Division</w:t>
      </w:r>
      <w:r w:rsidR="001E1652" w:rsidRPr="001E1652">
        <w:rPr>
          <w:rStyle w:val="CharDivNo"/>
        </w:rPr>
        <w:t> </w:t>
      </w:r>
      <w:r w:rsidR="00B0040A" w:rsidRPr="001E1652">
        <w:rPr>
          <w:rStyle w:val="CharDivNo"/>
        </w:rPr>
        <w:t>1</w:t>
      </w:r>
      <w:r w:rsidRPr="001E1652">
        <w:rPr>
          <w:rStyle w:val="CharDivNo"/>
        </w:rPr>
        <w:t>.3</w:t>
      </w:r>
      <w:r w:rsidRPr="001E1652">
        <w:t>—</w:t>
      </w:r>
      <w:r w:rsidRPr="001E1652">
        <w:rPr>
          <w:rStyle w:val="CharDivText"/>
        </w:rPr>
        <w:t>Interests in the payment phase</w:t>
      </w:r>
      <w:bookmarkEnd w:id="26"/>
    </w:p>
    <w:p w:rsidR="00180385" w:rsidRPr="001E1652" w:rsidRDefault="00180385" w:rsidP="00180385">
      <w:pPr>
        <w:pStyle w:val="ActHead5"/>
      </w:pPr>
      <w:bookmarkStart w:id="27" w:name="_Toc350176721"/>
      <w:r w:rsidRPr="001E1652">
        <w:rPr>
          <w:rStyle w:val="CharSectno"/>
        </w:rPr>
        <w:t>3</w:t>
      </w:r>
      <w:r w:rsidRPr="001E1652">
        <w:t xml:space="preserve">  Methods and factors for determining interest in the Scheme</w:t>
      </w:r>
      <w:bookmarkEnd w:id="27"/>
    </w:p>
    <w:p w:rsidR="00180385" w:rsidRPr="001E1652" w:rsidRDefault="00180385" w:rsidP="00180385">
      <w:pPr>
        <w:pStyle w:val="subsection"/>
      </w:pPr>
      <w:r w:rsidRPr="001E1652">
        <w:tab/>
      </w:r>
      <w:r w:rsidRPr="001E1652">
        <w:tab/>
        <w:t>For an interest that is mentioned in an item in the following table, the method or factor mentioned in the item is approved for section</w:t>
      </w:r>
      <w:r w:rsidR="001E1652" w:rsidRPr="001E1652">
        <w:t> </w:t>
      </w:r>
      <w:r w:rsidRPr="001E1652">
        <w:t>5 of this instrument.</w:t>
      </w:r>
    </w:p>
    <w:p w:rsidR="00180385" w:rsidRPr="001E1652" w:rsidRDefault="00180385" w:rsidP="00180385">
      <w:pPr>
        <w:pStyle w:val="Tabletext"/>
      </w:pPr>
    </w:p>
    <w:tbl>
      <w:tblPr>
        <w:tblW w:w="8472"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828"/>
        <w:gridCol w:w="2966"/>
        <w:gridCol w:w="4678"/>
      </w:tblGrid>
      <w:tr w:rsidR="00754363" w:rsidRPr="001E1652" w:rsidTr="00D25D60">
        <w:trPr>
          <w:tblHeader/>
        </w:trPr>
        <w:tc>
          <w:tcPr>
            <w:tcW w:w="828" w:type="dxa"/>
            <w:tcBorders>
              <w:top w:val="single" w:sz="12" w:space="0" w:color="auto"/>
              <w:bottom w:val="single" w:sz="12" w:space="0" w:color="auto"/>
            </w:tcBorders>
            <w:shd w:val="clear" w:color="auto" w:fill="auto"/>
          </w:tcPr>
          <w:p w:rsidR="00180385" w:rsidRPr="001E1652" w:rsidRDefault="00180385" w:rsidP="00D25D60">
            <w:pPr>
              <w:pStyle w:val="Tabletext"/>
              <w:keepNext/>
              <w:rPr>
                <w:b/>
              </w:rPr>
            </w:pPr>
            <w:r w:rsidRPr="001E1652">
              <w:rPr>
                <w:b/>
              </w:rPr>
              <w:t>Item</w:t>
            </w:r>
          </w:p>
        </w:tc>
        <w:tc>
          <w:tcPr>
            <w:tcW w:w="2966" w:type="dxa"/>
            <w:tcBorders>
              <w:top w:val="single" w:sz="12" w:space="0" w:color="auto"/>
              <w:bottom w:val="single" w:sz="12" w:space="0" w:color="auto"/>
            </w:tcBorders>
            <w:shd w:val="clear" w:color="auto" w:fill="auto"/>
          </w:tcPr>
          <w:p w:rsidR="00180385" w:rsidRPr="001E1652" w:rsidRDefault="00180385" w:rsidP="00D25D60">
            <w:pPr>
              <w:pStyle w:val="Tabletext"/>
              <w:keepNext/>
              <w:rPr>
                <w:b/>
              </w:rPr>
            </w:pPr>
            <w:r w:rsidRPr="001E1652">
              <w:rPr>
                <w:b/>
              </w:rPr>
              <w:t>Interest in the payment phase</w:t>
            </w:r>
          </w:p>
        </w:tc>
        <w:tc>
          <w:tcPr>
            <w:tcW w:w="4678" w:type="dxa"/>
            <w:tcBorders>
              <w:top w:val="single" w:sz="12" w:space="0" w:color="auto"/>
              <w:bottom w:val="single" w:sz="12" w:space="0" w:color="auto"/>
            </w:tcBorders>
            <w:shd w:val="clear" w:color="auto" w:fill="auto"/>
          </w:tcPr>
          <w:p w:rsidR="00180385" w:rsidRPr="001E1652" w:rsidRDefault="00180385" w:rsidP="00D25D60">
            <w:pPr>
              <w:pStyle w:val="Tabletext"/>
              <w:keepNext/>
              <w:rPr>
                <w:b/>
              </w:rPr>
            </w:pPr>
            <w:r w:rsidRPr="001E1652">
              <w:rPr>
                <w:b/>
              </w:rPr>
              <w:t>Method or factor</w:t>
            </w:r>
          </w:p>
        </w:tc>
      </w:tr>
      <w:tr w:rsidR="00754363" w:rsidRPr="001E1652" w:rsidTr="00D25D60">
        <w:tc>
          <w:tcPr>
            <w:tcW w:w="828" w:type="dxa"/>
            <w:tcBorders>
              <w:top w:val="single" w:sz="12" w:space="0" w:color="auto"/>
              <w:bottom w:val="single" w:sz="12" w:space="0" w:color="auto"/>
            </w:tcBorders>
            <w:shd w:val="clear" w:color="auto" w:fill="auto"/>
          </w:tcPr>
          <w:p w:rsidR="00180385" w:rsidRPr="001E1652" w:rsidRDefault="00180385" w:rsidP="00D25D60">
            <w:pPr>
              <w:pStyle w:val="Tabletext"/>
            </w:pPr>
            <w:r w:rsidRPr="001E1652">
              <w:t>1</w:t>
            </w:r>
          </w:p>
        </w:tc>
        <w:tc>
          <w:tcPr>
            <w:tcW w:w="2966" w:type="dxa"/>
            <w:tcBorders>
              <w:top w:val="single" w:sz="12" w:space="0" w:color="auto"/>
              <w:bottom w:val="single" w:sz="12" w:space="0" w:color="auto"/>
            </w:tcBorders>
            <w:shd w:val="clear" w:color="auto" w:fill="auto"/>
          </w:tcPr>
          <w:p w:rsidR="00180385" w:rsidRPr="001E1652" w:rsidRDefault="00180385" w:rsidP="00D25D60">
            <w:pPr>
              <w:pStyle w:val="Tabletext"/>
            </w:pPr>
            <w:r w:rsidRPr="001E1652">
              <w:t>An interest that a person has in the Scheme as a result of being paid an allowance under section</w:t>
            </w:r>
            <w:r w:rsidR="001E1652" w:rsidRPr="001E1652">
              <w:t> </w:t>
            </w:r>
            <w:r w:rsidRPr="001E1652">
              <w:t>4 of the Act.</w:t>
            </w:r>
          </w:p>
        </w:tc>
        <w:tc>
          <w:tcPr>
            <w:tcW w:w="4678" w:type="dxa"/>
            <w:tcBorders>
              <w:top w:val="single" w:sz="12" w:space="0" w:color="auto"/>
              <w:bottom w:val="single" w:sz="12" w:space="0" w:color="auto"/>
            </w:tcBorders>
            <w:shd w:val="clear" w:color="auto" w:fill="auto"/>
          </w:tcPr>
          <w:p w:rsidR="00180385" w:rsidRPr="001E1652" w:rsidRDefault="00180385" w:rsidP="00D25D60">
            <w:pPr>
              <w:pStyle w:val="Tabletext"/>
            </w:pPr>
            <w:r w:rsidRPr="001E1652">
              <w:rPr>
                <w:position w:val="-28"/>
              </w:rPr>
              <w:object w:dxaOrig="3580" w:dyaOrig="660">
                <v:shape id="_x0000_i1046" type="#_x0000_t75" style="width:178.5pt;height:32.25pt" o:ole="">
                  <v:imagedata r:id="rId57" o:title=""/>
                </v:shape>
                <o:OLEObject Type="Embed" ProgID="Equation.DSMT4" ShapeID="_x0000_i1046" DrawAspect="Content" ObjectID="_1424680930" r:id="rId58"/>
              </w:object>
            </w:r>
          </w:p>
          <w:p w:rsidR="00180385" w:rsidRPr="001E1652" w:rsidRDefault="00180385" w:rsidP="00D25D60">
            <w:pPr>
              <w:pStyle w:val="Tabletext"/>
            </w:pPr>
            <w:r w:rsidRPr="001E1652">
              <w:t>where:</w:t>
            </w:r>
          </w:p>
          <w:p w:rsidR="00180385" w:rsidRPr="001E1652" w:rsidRDefault="00180385" w:rsidP="00D25D60">
            <w:pPr>
              <w:pStyle w:val="Tabletext"/>
            </w:pPr>
            <w:r w:rsidRPr="001E1652">
              <w:rPr>
                <w:b/>
                <w:i/>
              </w:rPr>
              <w:t>AA</w:t>
            </w:r>
            <w:r w:rsidRPr="001E1652">
              <w:t xml:space="preserve"> is the annual rate of allowance that is or was payable to the person under section</w:t>
            </w:r>
            <w:r w:rsidR="001E1652" w:rsidRPr="001E1652">
              <w:t> </w:t>
            </w:r>
            <w:r w:rsidRPr="001E1652">
              <w:t>4 of the Act</w:t>
            </w:r>
            <w:r w:rsidRPr="001E1652">
              <w:rPr>
                <w:i/>
              </w:rPr>
              <w:t xml:space="preserve"> </w:t>
            </w:r>
            <w:r w:rsidRPr="001E1652">
              <w:t>at the relevant date.</w:t>
            </w:r>
          </w:p>
          <w:p w:rsidR="00180385" w:rsidRPr="001E1652" w:rsidRDefault="00180385" w:rsidP="00D25D60">
            <w:pPr>
              <w:pStyle w:val="Tabletext"/>
            </w:pPr>
            <w:r w:rsidRPr="001E1652">
              <w:rPr>
                <w:b/>
                <w:i/>
              </w:rPr>
              <w:t>AF</w:t>
            </w:r>
            <w:r w:rsidRPr="001E1652">
              <w:rPr>
                <w:b/>
                <w:i/>
                <w:vertAlign w:val="subscript"/>
              </w:rPr>
              <w:t>y</w:t>
            </w:r>
            <w:r w:rsidRPr="001E1652">
              <w:t xml:space="preserve"> is the allowance valuation factor mentioned in Table 1 in this Part for the person’s allowance type, gender and age in completed years at the relevant date.</w:t>
            </w:r>
          </w:p>
          <w:p w:rsidR="00180385" w:rsidRPr="001E1652" w:rsidRDefault="00180385" w:rsidP="00D25D60">
            <w:pPr>
              <w:pStyle w:val="Tabletext"/>
              <w:rPr>
                <w:b/>
                <w:i/>
              </w:rPr>
            </w:pPr>
            <w:r w:rsidRPr="001E1652">
              <w:rPr>
                <w:b/>
                <w:i/>
              </w:rPr>
              <w:t>AF</w:t>
            </w:r>
            <w:r w:rsidRPr="001E1652">
              <w:rPr>
                <w:b/>
                <w:i/>
                <w:vertAlign w:val="subscript"/>
              </w:rPr>
              <w:t>y+1</w:t>
            </w:r>
            <w:r w:rsidRPr="001E1652">
              <w:rPr>
                <w:b/>
              </w:rPr>
              <w:t xml:space="preserve"> </w:t>
            </w:r>
            <w:r w:rsidRPr="001E1652">
              <w:t>is the allowance valuation factor mentioned in Table 1 in the Part that would apply if the person’s age in completed years at the relevant date were 1 year more than it is.</w:t>
            </w:r>
          </w:p>
          <w:p w:rsidR="00180385" w:rsidRPr="001E1652" w:rsidRDefault="00180385" w:rsidP="00D25D60">
            <w:pPr>
              <w:pStyle w:val="Tabletext"/>
            </w:pPr>
            <w:r w:rsidRPr="001E1652">
              <w:rPr>
                <w:b/>
                <w:i/>
              </w:rPr>
              <w:t>m</w:t>
            </w:r>
            <w:r w:rsidRPr="001E1652">
              <w:t xml:space="preserve"> is the number of complete months of the person’s age, at the relevant date, that are not included in the completed years of age.</w:t>
            </w:r>
          </w:p>
        </w:tc>
      </w:tr>
    </w:tbl>
    <w:p w:rsidR="00180385" w:rsidRPr="001E1652" w:rsidRDefault="00180385" w:rsidP="00180385">
      <w:pPr>
        <w:pStyle w:val="ActHead3"/>
        <w:pageBreakBefore/>
      </w:pPr>
      <w:bookmarkStart w:id="28" w:name="_Toc350176722"/>
      <w:r w:rsidRPr="001E1652">
        <w:rPr>
          <w:rStyle w:val="CharDivNo"/>
        </w:rPr>
        <w:lastRenderedPageBreak/>
        <w:t>Division</w:t>
      </w:r>
      <w:r w:rsidR="001E1652" w:rsidRPr="001E1652">
        <w:rPr>
          <w:rStyle w:val="CharDivNo"/>
        </w:rPr>
        <w:t> </w:t>
      </w:r>
      <w:r w:rsidR="00B0040A" w:rsidRPr="001E1652">
        <w:rPr>
          <w:rStyle w:val="CharDivNo"/>
        </w:rPr>
        <w:t>1</w:t>
      </w:r>
      <w:r w:rsidRPr="001E1652">
        <w:rPr>
          <w:rStyle w:val="CharDivNo"/>
        </w:rPr>
        <w:t>.4</w:t>
      </w:r>
      <w:r w:rsidRPr="001E1652">
        <w:t>—</w:t>
      </w:r>
      <w:r w:rsidRPr="001E1652">
        <w:rPr>
          <w:rStyle w:val="CharDivText"/>
        </w:rPr>
        <w:t>Factors</w:t>
      </w:r>
      <w:bookmarkEnd w:id="28"/>
    </w:p>
    <w:p w:rsidR="00777F5E" w:rsidRPr="001E1652" w:rsidRDefault="00997587" w:rsidP="00E23091">
      <w:pPr>
        <w:pStyle w:val="Specials"/>
      </w:pPr>
      <w:r w:rsidRPr="001E1652">
        <w:t>Table 1  Scheme allowance valuation factors</w:t>
      </w: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14"/>
        <w:gridCol w:w="1900"/>
        <w:gridCol w:w="1543"/>
        <w:gridCol w:w="357"/>
        <w:gridCol w:w="1900"/>
        <w:gridCol w:w="1900"/>
      </w:tblGrid>
      <w:tr w:rsidR="00777F5E" w:rsidRPr="001E1652" w:rsidTr="00777F5E">
        <w:trPr>
          <w:tblHeader/>
        </w:trPr>
        <w:tc>
          <w:tcPr>
            <w:tcW w:w="4157" w:type="dxa"/>
            <w:gridSpan w:val="3"/>
            <w:tcBorders>
              <w:top w:val="single" w:sz="12" w:space="0" w:color="auto"/>
              <w:bottom w:val="single" w:sz="6" w:space="0" w:color="auto"/>
            </w:tcBorders>
            <w:shd w:val="clear" w:color="auto" w:fill="auto"/>
          </w:tcPr>
          <w:p w:rsidR="00777F5E" w:rsidRPr="001E1652" w:rsidRDefault="00777F5E" w:rsidP="00777F5E">
            <w:pPr>
              <w:pStyle w:val="TableHeading"/>
              <w:jc w:val="center"/>
            </w:pPr>
            <w:r w:rsidRPr="001E1652">
              <w:t>Male</w:t>
            </w:r>
          </w:p>
        </w:tc>
        <w:tc>
          <w:tcPr>
            <w:tcW w:w="4157" w:type="dxa"/>
            <w:gridSpan w:val="3"/>
            <w:tcBorders>
              <w:top w:val="single" w:sz="12" w:space="0" w:color="auto"/>
              <w:bottom w:val="single" w:sz="6" w:space="0" w:color="auto"/>
            </w:tcBorders>
            <w:shd w:val="clear" w:color="auto" w:fill="auto"/>
          </w:tcPr>
          <w:p w:rsidR="00777F5E" w:rsidRPr="001E1652" w:rsidRDefault="00777F5E" w:rsidP="00777F5E">
            <w:pPr>
              <w:pStyle w:val="TableHeading"/>
              <w:jc w:val="center"/>
            </w:pPr>
            <w:r w:rsidRPr="001E1652">
              <w:t>Female</w:t>
            </w:r>
          </w:p>
        </w:tc>
      </w:tr>
      <w:tr w:rsidR="00777F5E" w:rsidRPr="001E1652" w:rsidTr="00777F5E">
        <w:trPr>
          <w:tblHeader/>
        </w:trPr>
        <w:tc>
          <w:tcPr>
            <w:tcW w:w="714" w:type="dxa"/>
            <w:tcBorders>
              <w:top w:val="single" w:sz="6" w:space="0" w:color="auto"/>
              <w:bottom w:val="single" w:sz="12" w:space="0" w:color="auto"/>
            </w:tcBorders>
            <w:shd w:val="clear" w:color="auto" w:fill="auto"/>
          </w:tcPr>
          <w:p w:rsidR="00777F5E" w:rsidRPr="001E1652" w:rsidRDefault="00777F5E" w:rsidP="00777F5E">
            <w:pPr>
              <w:pStyle w:val="TableHeading"/>
            </w:pPr>
            <w:r w:rsidRPr="001E1652">
              <w:t>Age</w:t>
            </w:r>
          </w:p>
        </w:tc>
        <w:tc>
          <w:tcPr>
            <w:tcW w:w="1900" w:type="dxa"/>
            <w:tcBorders>
              <w:top w:val="single" w:sz="6" w:space="0" w:color="auto"/>
              <w:bottom w:val="single" w:sz="12" w:space="0" w:color="auto"/>
            </w:tcBorders>
            <w:shd w:val="clear" w:color="auto" w:fill="auto"/>
          </w:tcPr>
          <w:p w:rsidR="00777F5E" w:rsidRPr="001E1652" w:rsidRDefault="00777F5E" w:rsidP="00E23091">
            <w:pPr>
              <w:pStyle w:val="TableHeading"/>
              <w:jc w:val="center"/>
            </w:pPr>
            <w:r w:rsidRPr="001E1652">
              <w:t>Indexed age allowance factor</w:t>
            </w:r>
          </w:p>
        </w:tc>
        <w:tc>
          <w:tcPr>
            <w:tcW w:w="1900" w:type="dxa"/>
            <w:gridSpan w:val="2"/>
            <w:tcBorders>
              <w:top w:val="single" w:sz="6" w:space="0" w:color="auto"/>
              <w:bottom w:val="single" w:sz="12" w:space="0" w:color="auto"/>
            </w:tcBorders>
            <w:shd w:val="clear" w:color="auto" w:fill="auto"/>
          </w:tcPr>
          <w:p w:rsidR="00777F5E" w:rsidRPr="001E1652" w:rsidRDefault="00777F5E" w:rsidP="00E23091">
            <w:pPr>
              <w:pStyle w:val="TableHeading"/>
            </w:pPr>
            <w:r w:rsidRPr="001E1652">
              <w:t>Widower/Associate indexed age allowance</w:t>
            </w:r>
          </w:p>
        </w:tc>
        <w:tc>
          <w:tcPr>
            <w:tcW w:w="1900" w:type="dxa"/>
            <w:tcBorders>
              <w:top w:val="single" w:sz="6" w:space="0" w:color="auto"/>
              <w:bottom w:val="single" w:sz="12" w:space="0" w:color="auto"/>
            </w:tcBorders>
            <w:shd w:val="clear" w:color="auto" w:fill="auto"/>
          </w:tcPr>
          <w:p w:rsidR="00777F5E" w:rsidRPr="001E1652" w:rsidRDefault="00777F5E" w:rsidP="00E23091">
            <w:pPr>
              <w:pStyle w:val="TableHeading"/>
            </w:pPr>
            <w:r w:rsidRPr="001E1652">
              <w:t>Indexed age allowance factor</w:t>
            </w:r>
          </w:p>
        </w:tc>
        <w:tc>
          <w:tcPr>
            <w:tcW w:w="1900" w:type="dxa"/>
            <w:tcBorders>
              <w:top w:val="single" w:sz="6" w:space="0" w:color="auto"/>
              <w:bottom w:val="single" w:sz="12" w:space="0" w:color="auto"/>
            </w:tcBorders>
            <w:shd w:val="clear" w:color="auto" w:fill="auto"/>
          </w:tcPr>
          <w:p w:rsidR="00777F5E" w:rsidRPr="001E1652" w:rsidRDefault="00777F5E" w:rsidP="00E23091">
            <w:pPr>
              <w:pStyle w:val="TableHeading"/>
            </w:pPr>
            <w:r w:rsidRPr="001E1652">
              <w:t>Widow/Associate indexed age allowance</w:t>
            </w:r>
          </w:p>
        </w:tc>
      </w:tr>
      <w:tr w:rsidR="00777F5E" w:rsidRPr="001E1652" w:rsidTr="00777F5E">
        <w:tc>
          <w:tcPr>
            <w:tcW w:w="714" w:type="dxa"/>
            <w:tcBorders>
              <w:top w:val="single" w:sz="12" w:space="0" w:color="auto"/>
            </w:tcBorders>
            <w:shd w:val="clear" w:color="auto" w:fill="auto"/>
          </w:tcPr>
          <w:p w:rsidR="00777F5E" w:rsidRPr="001E1652" w:rsidRDefault="00777F5E" w:rsidP="00E23091">
            <w:pPr>
              <w:pStyle w:val="Tabletext"/>
            </w:pPr>
            <w:r w:rsidRPr="001E1652">
              <w:t>30</w:t>
            </w:r>
          </w:p>
        </w:tc>
        <w:tc>
          <w:tcPr>
            <w:tcW w:w="1900" w:type="dxa"/>
            <w:tcBorders>
              <w:top w:val="single" w:sz="12" w:space="0" w:color="auto"/>
            </w:tcBorders>
            <w:shd w:val="clear" w:color="auto" w:fill="auto"/>
          </w:tcPr>
          <w:p w:rsidR="00777F5E" w:rsidRPr="001E1652" w:rsidRDefault="00777F5E" w:rsidP="00E23091">
            <w:pPr>
              <w:pStyle w:val="Tabletext"/>
              <w:tabs>
                <w:tab w:val="decimal" w:pos="660"/>
              </w:tabs>
            </w:pPr>
            <w:r w:rsidRPr="001E1652">
              <w:t>35.9420</w:t>
            </w:r>
          </w:p>
        </w:tc>
        <w:tc>
          <w:tcPr>
            <w:tcW w:w="1900" w:type="dxa"/>
            <w:gridSpan w:val="2"/>
            <w:tcBorders>
              <w:top w:val="single" w:sz="12" w:space="0" w:color="auto"/>
            </w:tcBorders>
            <w:shd w:val="clear" w:color="auto" w:fill="auto"/>
          </w:tcPr>
          <w:p w:rsidR="00777F5E" w:rsidRPr="001E1652" w:rsidRDefault="00777F5E" w:rsidP="00E23091">
            <w:pPr>
              <w:pStyle w:val="Tabletext"/>
              <w:tabs>
                <w:tab w:val="decimal" w:pos="660"/>
              </w:tabs>
            </w:pPr>
            <w:r w:rsidRPr="001E1652">
              <w:t>33.2882</w:t>
            </w:r>
          </w:p>
        </w:tc>
        <w:tc>
          <w:tcPr>
            <w:tcW w:w="1900" w:type="dxa"/>
            <w:tcBorders>
              <w:top w:val="single" w:sz="12" w:space="0" w:color="auto"/>
            </w:tcBorders>
            <w:shd w:val="clear" w:color="auto" w:fill="auto"/>
          </w:tcPr>
          <w:p w:rsidR="00777F5E" w:rsidRPr="001E1652" w:rsidRDefault="00777F5E" w:rsidP="00E23091">
            <w:pPr>
              <w:pStyle w:val="Tabletext"/>
              <w:tabs>
                <w:tab w:val="decimal" w:pos="660"/>
              </w:tabs>
            </w:pPr>
            <w:r w:rsidRPr="001E1652">
              <w:t>36.0464</w:t>
            </w:r>
          </w:p>
        </w:tc>
        <w:tc>
          <w:tcPr>
            <w:tcW w:w="1900" w:type="dxa"/>
            <w:tcBorders>
              <w:top w:val="single" w:sz="12" w:space="0" w:color="auto"/>
            </w:tcBorders>
            <w:shd w:val="clear" w:color="auto" w:fill="auto"/>
          </w:tcPr>
          <w:p w:rsidR="00777F5E" w:rsidRPr="001E1652" w:rsidRDefault="00777F5E" w:rsidP="00E23091">
            <w:pPr>
              <w:pStyle w:val="Tabletext"/>
              <w:tabs>
                <w:tab w:val="decimal" w:pos="660"/>
              </w:tabs>
            </w:pPr>
            <w:r w:rsidRPr="001E1652">
              <w:t>35.2430</w:t>
            </w:r>
          </w:p>
        </w:tc>
      </w:tr>
      <w:tr w:rsidR="00777F5E" w:rsidRPr="001E1652" w:rsidTr="00777F5E">
        <w:tc>
          <w:tcPr>
            <w:tcW w:w="714" w:type="dxa"/>
            <w:shd w:val="clear" w:color="auto" w:fill="auto"/>
          </w:tcPr>
          <w:p w:rsidR="00777F5E" w:rsidRPr="001E1652" w:rsidRDefault="00777F5E" w:rsidP="00E23091">
            <w:pPr>
              <w:pStyle w:val="Tabletext"/>
            </w:pPr>
            <w:r w:rsidRPr="001E1652">
              <w:t>31</w:t>
            </w:r>
          </w:p>
        </w:tc>
        <w:tc>
          <w:tcPr>
            <w:tcW w:w="1900" w:type="dxa"/>
            <w:shd w:val="clear" w:color="auto" w:fill="auto"/>
          </w:tcPr>
          <w:p w:rsidR="00777F5E" w:rsidRPr="001E1652" w:rsidRDefault="00777F5E" w:rsidP="00E23091">
            <w:pPr>
              <w:pStyle w:val="Tabletext"/>
              <w:tabs>
                <w:tab w:val="decimal" w:pos="660"/>
              </w:tabs>
            </w:pPr>
            <w:r w:rsidRPr="001E1652">
              <w:t>35.6176</w:t>
            </w:r>
          </w:p>
        </w:tc>
        <w:tc>
          <w:tcPr>
            <w:tcW w:w="1900" w:type="dxa"/>
            <w:gridSpan w:val="2"/>
            <w:shd w:val="clear" w:color="auto" w:fill="auto"/>
          </w:tcPr>
          <w:p w:rsidR="00777F5E" w:rsidRPr="001E1652" w:rsidRDefault="00777F5E" w:rsidP="00E23091">
            <w:pPr>
              <w:pStyle w:val="Tabletext"/>
              <w:tabs>
                <w:tab w:val="decimal" w:pos="660"/>
              </w:tabs>
            </w:pPr>
            <w:r w:rsidRPr="001E1652">
              <w:t>32.9153</w:t>
            </w:r>
          </w:p>
        </w:tc>
        <w:tc>
          <w:tcPr>
            <w:tcW w:w="1900" w:type="dxa"/>
            <w:shd w:val="clear" w:color="auto" w:fill="auto"/>
          </w:tcPr>
          <w:p w:rsidR="00777F5E" w:rsidRPr="001E1652" w:rsidRDefault="00777F5E" w:rsidP="00E23091">
            <w:pPr>
              <w:pStyle w:val="Tabletext"/>
              <w:tabs>
                <w:tab w:val="decimal" w:pos="660"/>
              </w:tabs>
            </w:pPr>
            <w:r w:rsidRPr="001E1652">
              <w:t>35.7194</w:t>
            </w:r>
          </w:p>
        </w:tc>
        <w:tc>
          <w:tcPr>
            <w:tcW w:w="1900" w:type="dxa"/>
            <w:shd w:val="clear" w:color="auto" w:fill="auto"/>
          </w:tcPr>
          <w:p w:rsidR="00777F5E" w:rsidRPr="001E1652" w:rsidRDefault="00777F5E" w:rsidP="00E23091">
            <w:pPr>
              <w:pStyle w:val="Tabletext"/>
              <w:tabs>
                <w:tab w:val="decimal" w:pos="660"/>
              </w:tabs>
            </w:pPr>
            <w:r w:rsidRPr="001E1652">
              <w:t>34.8969</w:t>
            </w:r>
          </w:p>
        </w:tc>
      </w:tr>
      <w:tr w:rsidR="00777F5E" w:rsidRPr="001E1652" w:rsidTr="00777F5E">
        <w:tc>
          <w:tcPr>
            <w:tcW w:w="714" w:type="dxa"/>
            <w:shd w:val="clear" w:color="auto" w:fill="auto"/>
          </w:tcPr>
          <w:p w:rsidR="00777F5E" w:rsidRPr="001E1652" w:rsidRDefault="00777F5E" w:rsidP="00E23091">
            <w:pPr>
              <w:pStyle w:val="Tabletext"/>
            </w:pPr>
            <w:r w:rsidRPr="001E1652">
              <w:t>32</w:t>
            </w:r>
          </w:p>
        </w:tc>
        <w:tc>
          <w:tcPr>
            <w:tcW w:w="1900" w:type="dxa"/>
            <w:shd w:val="clear" w:color="auto" w:fill="auto"/>
          </w:tcPr>
          <w:p w:rsidR="00777F5E" w:rsidRPr="001E1652" w:rsidRDefault="00777F5E" w:rsidP="00E23091">
            <w:pPr>
              <w:pStyle w:val="Tabletext"/>
              <w:tabs>
                <w:tab w:val="decimal" w:pos="660"/>
              </w:tabs>
            </w:pPr>
            <w:r w:rsidRPr="001E1652">
              <w:t>35.2862</w:t>
            </w:r>
          </w:p>
        </w:tc>
        <w:tc>
          <w:tcPr>
            <w:tcW w:w="1900" w:type="dxa"/>
            <w:gridSpan w:val="2"/>
            <w:shd w:val="clear" w:color="auto" w:fill="auto"/>
          </w:tcPr>
          <w:p w:rsidR="00777F5E" w:rsidRPr="001E1652" w:rsidRDefault="00777F5E" w:rsidP="00E23091">
            <w:pPr>
              <w:pStyle w:val="Tabletext"/>
              <w:tabs>
                <w:tab w:val="decimal" w:pos="660"/>
              </w:tabs>
            </w:pPr>
            <w:r w:rsidRPr="001E1652">
              <w:t>32.5340</w:t>
            </w:r>
          </w:p>
        </w:tc>
        <w:tc>
          <w:tcPr>
            <w:tcW w:w="1900" w:type="dxa"/>
            <w:shd w:val="clear" w:color="auto" w:fill="auto"/>
          </w:tcPr>
          <w:p w:rsidR="00777F5E" w:rsidRPr="001E1652" w:rsidRDefault="00777F5E" w:rsidP="00E23091">
            <w:pPr>
              <w:pStyle w:val="Tabletext"/>
              <w:tabs>
                <w:tab w:val="decimal" w:pos="660"/>
              </w:tabs>
            </w:pPr>
            <w:r w:rsidRPr="001E1652">
              <w:t>35.3857</w:t>
            </w:r>
          </w:p>
        </w:tc>
        <w:tc>
          <w:tcPr>
            <w:tcW w:w="1900" w:type="dxa"/>
            <w:shd w:val="clear" w:color="auto" w:fill="auto"/>
          </w:tcPr>
          <w:p w:rsidR="00777F5E" w:rsidRPr="001E1652" w:rsidRDefault="00777F5E" w:rsidP="00E23091">
            <w:pPr>
              <w:pStyle w:val="Tabletext"/>
              <w:tabs>
                <w:tab w:val="decimal" w:pos="660"/>
              </w:tabs>
            </w:pPr>
            <w:r w:rsidRPr="001E1652">
              <w:t>34.5436</w:t>
            </w:r>
          </w:p>
        </w:tc>
      </w:tr>
      <w:tr w:rsidR="00777F5E" w:rsidRPr="001E1652" w:rsidTr="00777F5E">
        <w:tc>
          <w:tcPr>
            <w:tcW w:w="714" w:type="dxa"/>
            <w:shd w:val="clear" w:color="auto" w:fill="auto"/>
          </w:tcPr>
          <w:p w:rsidR="00777F5E" w:rsidRPr="001E1652" w:rsidRDefault="00777F5E" w:rsidP="00E23091">
            <w:pPr>
              <w:pStyle w:val="Tabletext"/>
            </w:pPr>
            <w:r w:rsidRPr="001E1652">
              <w:t>33</w:t>
            </w:r>
          </w:p>
        </w:tc>
        <w:tc>
          <w:tcPr>
            <w:tcW w:w="1900" w:type="dxa"/>
            <w:shd w:val="clear" w:color="auto" w:fill="auto"/>
          </w:tcPr>
          <w:p w:rsidR="00777F5E" w:rsidRPr="001E1652" w:rsidRDefault="00777F5E" w:rsidP="00E23091">
            <w:pPr>
              <w:pStyle w:val="Tabletext"/>
              <w:tabs>
                <w:tab w:val="decimal" w:pos="660"/>
              </w:tabs>
            </w:pPr>
            <w:r w:rsidRPr="001E1652">
              <w:t>34.9473</w:t>
            </w:r>
          </w:p>
        </w:tc>
        <w:tc>
          <w:tcPr>
            <w:tcW w:w="1900" w:type="dxa"/>
            <w:gridSpan w:val="2"/>
            <w:shd w:val="clear" w:color="auto" w:fill="auto"/>
          </w:tcPr>
          <w:p w:rsidR="00777F5E" w:rsidRPr="001E1652" w:rsidRDefault="00777F5E" w:rsidP="00E23091">
            <w:pPr>
              <w:pStyle w:val="Tabletext"/>
              <w:tabs>
                <w:tab w:val="decimal" w:pos="660"/>
              </w:tabs>
            </w:pPr>
            <w:r w:rsidRPr="001E1652">
              <w:t>32.1433</w:t>
            </w:r>
          </w:p>
        </w:tc>
        <w:tc>
          <w:tcPr>
            <w:tcW w:w="1900" w:type="dxa"/>
            <w:shd w:val="clear" w:color="auto" w:fill="auto"/>
          </w:tcPr>
          <w:p w:rsidR="00777F5E" w:rsidRPr="001E1652" w:rsidRDefault="00777F5E" w:rsidP="00E23091">
            <w:pPr>
              <w:pStyle w:val="Tabletext"/>
              <w:tabs>
                <w:tab w:val="decimal" w:pos="660"/>
              </w:tabs>
            </w:pPr>
            <w:r w:rsidRPr="001E1652">
              <w:t>35.0449</w:t>
            </w:r>
          </w:p>
        </w:tc>
        <w:tc>
          <w:tcPr>
            <w:tcW w:w="1900" w:type="dxa"/>
            <w:shd w:val="clear" w:color="auto" w:fill="auto"/>
          </w:tcPr>
          <w:p w:rsidR="00777F5E" w:rsidRPr="001E1652" w:rsidRDefault="00777F5E" w:rsidP="00E23091">
            <w:pPr>
              <w:pStyle w:val="Tabletext"/>
              <w:tabs>
                <w:tab w:val="decimal" w:pos="660"/>
              </w:tabs>
            </w:pPr>
            <w:r w:rsidRPr="001E1652">
              <w:t>34.1835</w:t>
            </w:r>
          </w:p>
        </w:tc>
      </w:tr>
      <w:tr w:rsidR="00777F5E" w:rsidRPr="001E1652" w:rsidTr="00777F5E">
        <w:tc>
          <w:tcPr>
            <w:tcW w:w="714" w:type="dxa"/>
            <w:shd w:val="clear" w:color="auto" w:fill="auto"/>
          </w:tcPr>
          <w:p w:rsidR="00777F5E" w:rsidRPr="001E1652" w:rsidRDefault="00777F5E" w:rsidP="00E23091">
            <w:pPr>
              <w:pStyle w:val="Tabletext"/>
            </w:pPr>
            <w:r w:rsidRPr="001E1652">
              <w:t>34</w:t>
            </w:r>
          </w:p>
        </w:tc>
        <w:tc>
          <w:tcPr>
            <w:tcW w:w="1900" w:type="dxa"/>
            <w:shd w:val="clear" w:color="auto" w:fill="auto"/>
          </w:tcPr>
          <w:p w:rsidR="00777F5E" w:rsidRPr="001E1652" w:rsidRDefault="00777F5E" w:rsidP="00E23091">
            <w:pPr>
              <w:pStyle w:val="Tabletext"/>
              <w:tabs>
                <w:tab w:val="decimal" w:pos="660"/>
              </w:tabs>
            </w:pPr>
            <w:r w:rsidRPr="001E1652">
              <w:t>34.6010</w:t>
            </w:r>
          </w:p>
        </w:tc>
        <w:tc>
          <w:tcPr>
            <w:tcW w:w="1900" w:type="dxa"/>
            <w:gridSpan w:val="2"/>
            <w:shd w:val="clear" w:color="auto" w:fill="auto"/>
          </w:tcPr>
          <w:p w:rsidR="00777F5E" w:rsidRPr="001E1652" w:rsidRDefault="00777F5E" w:rsidP="00E23091">
            <w:pPr>
              <w:pStyle w:val="Tabletext"/>
              <w:tabs>
                <w:tab w:val="decimal" w:pos="660"/>
              </w:tabs>
            </w:pPr>
            <w:r w:rsidRPr="001E1652">
              <w:t>31.7437</w:t>
            </w:r>
          </w:p>
        </w:tc>
        <w:tc>
          <w:tcPr>
            <w:tcW w:w="1900" w:type="dxa"/>
            <w:shd w:val="clear" w:color="auto" w:fill="auto"/>
          </w:tcPr>
          <w:p w:rsidR="00777F5E" w:rsidRPr="001E1652" w:rsidRDefault="00777F5E" w:rsidP="00E23091">
            <w:pPr>
              <w:pStyle w:val="Tabletext"/>
              <w:tabs>
                <w:tab w:val="decimal" w:pos="660"/>
              </w:tabs>
            </w:pPr>
            <w:r w:rsidRPr="001E1652">
              <w:t>34.6970</w:t>
            </w:r>
          </w:p>
        </w:tc>
        <w:tc>
          <w:tcPr>
            <w:tcW w:w="1900" w:type="dxa"/>
            <w:shd w:val="clear" w:color="auto" w:fill="auto"/>
          </w:tcPr>
          <w:p w:rsidR="00777F5E" w:rsidRPr="001E1652" w:rsidRDefault="00777F5E" w:rsidP="00E23091">
            <w:pPr>
              <w:pStyle w:val="Tabletext"/>
              <w:tabs>
                <w:tab w:val="decimal" w:pos="660"/>
              </w:tabs>
            </w:pPr>
            <w:r w:rsidRPr="001E1652">
              <w:t>33.8162</w:t>
            </w:r>
          </w:p>
        </w:tc>
      </w:tr>
      <w:tr w:rsidR="00777F5E" w:rsidRPr="001E1652" w:rsidTr="00777F5E">
        <w:tc>
          <w:tcPr>
            <w:tcW w:w="714" w:type="dxa"/>
            <w:shd w:val="clear" w:color="auto" w:fill="auto"/>
          </w:tcPr>
          <w:p w:rsidR="00777F5E" w:rsidRPr="001E1652" w:rsidRDefault="00777F5E" w:rsidP="00E23091">
            <w:pPr>
              <w:pStyle w:val="Tabletext"/>
            </w:pPr>
            <w:r w:rsidRPr="001E1652">
              <w:t>35</w:t>
            </w:r>
          </w:p>
        </w:tc>
        <w:tc>
          <w:tcPr>
            <w:tcW w:w="1900" w:type="dxa"/>
            <w:shd w:val="clear" w:color="auto" w:fill="auto"/>
          </w:tcPr>
          <w:p w:rsidR="00777F5E" w:rsidRPr="001E1652" w:rsidRDefault="00777F5E" w:rsidP="00E23091">
            <w:pPr>
              <w:pStyle w:val="Tabletext"/>
              <w:tabs>
                <w:tab w:val="decimal" w:pos="660"/>
              </w:tabs>
            </w:pPr>
            <w:r w:rsidRPr="001E1652">
              <w:t>34.2471</w:t>
            </w:r>
          </w:p>
        </w:tc>
        <w:tc>
          <w:tcPr>
            <w:tcW w:w="1900" w:type="dxa"/>
            <w:gridSpan w:val="2"/>
            <w:shd w:val="clear" w:color="auto" w:fill="auto"/>
          </w:tcPr>
          <w:p w:rsidR="00777F5E" w:rsidRPr="001E1652" w:rsidRDefault="00777F5E" w:rsidP="00E23091">
            <w:pPr>
              <w:pStyle w:val="Tabletext"/>
              <w:tabs>
                <w:tab w:val="decimal" w:pos="660"/>
              </w:tabs>
            </w:pPr>
            <w:r w:rsidRPr="001E1652">
              <w:t>31.3352</w:t>
            </w:r>
          </w:p>
        </w:tc>
        <w:tc>
          <w:tcPr>
            <w:tcW w:w="1900" w:type="dxa"/>
            <w:shd w:val="clear" w:color="auto" w:fill="auto"/>
          </w:tcPr>
          <w:p w:rsidR="00777F5E" w:rsidRPr="001E1652" w:rsidRDefault="00777F5E" w:rsidP="00E23091">
            <w:pPr>
              <w:pStyle w:val="Tabletext"/>
              <w:tabs>
                <w:tab w:val="decimal" w:pos="660"/>
              </w:tabs>
            </w:pPr>
            <w:r w:rsidRPr="001E1652">
              <w:t>34.3416</w:t>
            </w:r>
          </w:p>
        </w:tc>
        <w:tc>
          <w:tcPr>
            <w:tcW w:w="1900" w:type="dxa"/>
            <w:shd w:val="clear" w:color="auto" w:fill="auto"/>
          </w:tcPr>
          <w:p w:rsidR="00777F5E" w:rsidRPr="001E1652" w:rsidRDefault="00777F5E" w:rsidP="00E23091">
            <w:pPr>
              <w:pStyle w:val="Tabletext"/>
              <w:tabs>
                <w:tab w:val="decimal" w:pos="660"/>
              </w:tabs>
            </w:pPr>
            <w:r w:rsidRPr="001E1652">
              <w:t>33.4410</w:t>
            </w:r>
          </w:p>
        </w:tc>
      </w:tr>
      <w:tr w:rsidR="00777F5E" w:rsidRPr="001E1652" w:rsidTr="00777F5E">
        <w:tc>
          <w:tcPr>
            <w:tcW w:w="714" w:type="dxa"/>
            <w:shd w:val="clear" w:color="auto" w:fill="auto"/>
          </w:tcPr>
          <w:p w:rsidR="00777F5E" w:rsidRPr="001E1652" w:rsidRDefault="00777F5E" w:rsidP="00E23091">
            <w:pPr>
              <w:pStyle w:val="Tabletext"/>
            </w:pPr>
            <w:r w:rsidRPr="001E1652">
              <w:t>36</w:t>
            </w:r>
          </w:p>
        </w:tc>
        <w:tc>
          <w:tcPr>
            <w:tcW w:w="1900" w:type="dxa"/>
            <w:shd w:val="clear" w:color="auto" w:fill="auto"/>
          </w:tcPr>
          <w:p w:rsidR="00777F5E" w:rsidRPr="001E1652" w:rsidRDefault="00777F5E" w:rsidP="00E23091">
            <w:pPr>
              <w:pStyle w:val="Tabletext"/>
              <w:tabs>
                <w:tab w:val="decimal" w:pos="660"/>
              </w:tabs>
            </w:pPr>
            <w:r w:rsidRPr="001E1652">
              <w:t>33.8853</w:t>
            </w:r>
          </w:p>
        </w:tc>
        <w:tc>
          <w:tcPr>
            <w:tcW w:w="1900" w:type="dxa"/>
            <w:gridSpan w:val="2"/>
            <w:shd w:val="clear" w:color="auto" w:fill="auto"/>
          </w:tcPr>
          <w:p w:rsidR="00777F5E" w:rsidRPr="001E1652" w:rsidRDefault="00777F5E" w:rsidP="00E23091">
            <w:pPr>
              <w:pStyle w:val="Tabletext"/>
              <w:tabs>
                <w:tab w:val="decimal" w:pos="660"/>
              </w:tabs>
            </w:pPr>
            <w:r w:rsidRPr="001E1652">
              <w:t>30.9169</w:t>
            </w:r>
          </w:p>
        </w:tc>
        <w:tc>
          <w:tcPr>
            <w:tcW w:w="1900" w:type="dxa"/>
            <w:shd w:val="clear" w:color="auto" w:fill="auto"/>
          </w:tcPr>
          <w:p w:rsidR="00777F5E" w:rsidRPr="001E1652" w:rsidRDefault="00777F5E" w:rsidP="00E23091">
            <w:pPr>
              <w:pStyle w:val="Tabletext"/>
              <w:tabs>
                <w:tab w:val="decimal" w:pos="660"/>
              </w:tabs>
            </w:pPr>
            <w:r w:rsidRPr="001E1652">
              <w:t>33.9789</w:t>
            </w:r>
          </w:p>
        </w:tc>
        <w:tc>
          <w:tcPr>
            <w:tcW w:w="1900" w:type="dxa"/>
            <w:shd w:val="clear" w:color="auto" w:fill="auto"/>
          </w:tcPr>
          <w:p w:rsidR="00777F5E" w:rsidRPr="001E1652" w:rsidRDefault="00777F5E" w:rsidP="00E23091">
            <w:pPr>
              <w:pStyle w:val="Tabletext"/>
              <w:tabs>
                <w:tab w:val="decimal" w:pos="660"/>
              </w:tabs>
            </w:pPr>
            <w:r w:rsidRPr="001E1652">
              <w:t>33.0586</w:t>
            </w:r>
          </w:p>
        </w:tc>
      </w:tr>
      <w:tr w:rsidR="00777F5E" w:rsidRPr="001E1652" w:rsidTr="00777F5E">
        <w:tc>
          <w:tcPr>
            <w:tcW w:w="714" w:type="dxa"/>
            <w:shd w:val="clear" w:color="auto" w:fill="auto"/>
          </w:tcPr>
          <w:p w:rsidR="00777F5E" w:rsidRPr="001E1652" w:rsidRDefault="00777F5E" w:rsidP="00E23091">
            <w:pPr>
              <w:pStyle w:val="Tabletext"/>
            </w:pPr>
            <w:r w:rsidRPr="001E1652">
              <w:t>37</w:t>
            </w:r>
          </w:p>
        </w:tc>
        <w:tc>
          <w:tcPr>
            <w:tcW w:w="1900" w:type="dxa"/>
            <w:shd w:val="clear" w:color="auto" w:fill="auto"/>
          </w:tcPr>
          <w:p w:rsidR="00777F5E" w:rsidRPr="001E1652" w:rsidRDefault="00777F5E" w:rsidP="00E23091">
            <w:pPr>
              <w:pStyle w:val="Tabletext"/>
              <w:tabs>
                <w:tab w:val="decimal" w:pos="660"/>
              </w:tabs>
            </w:pPr>
            <w:r w:rsidRPr="001E1652">
              <w:t>33.5158</w:t>
            </w:r>
          </w:p>
        </w:tc>
        <w:tc>
          <w:tcPr>
            <w:tcW w:w="1900" w:type="dxa"/>
            <w:gridSpan w:val="2"/>
            <w:shd w:val="clear" w:color="auto" w:fill="auto"/>
          </w:tcPr>
          <w:p w:rsidR="00777F5E" w:rsidRPr="001E1652" w:rsidRDefault="00777F5E" w:rsidP="00E23091">
            <w:pPr>
              <w:pStyle w:val="Tabletext"/>
              <w:tabs>
                <w:tab w:val="decimal" w:pos="660"/>
              </w:tabs>
            </w:pPr>
            <w:r w:rsidRPr="001E1652">
              <w:t>30.4893</w:t>
            </w:r>
          </w:p>
        </w:tc>
        <w:tc>
          <w:tcPr>
            <w:tcW w:w="1900" w:type="dxa"/>
            <w:shd w:val="clear" w:color="auto" w:fill="auto"/>
          </w:tcPr>
          <w:p w:rsidR="00777F5E" w:rsidRPr="001E1652" w:rsidRDefault="00777F5E" w:rsidP="00E23091">
            <w:pPr>
              <w:pStyle w:val="Tabletext"/>
              <w:tabs>
                <w:tab w:val="decimal" w:pos="660"/>
              </w:tabs>
            </w:pPr>
            <w:r w:rsidRPr="001E1652">
              <w:t>33.6086</w:t>
            </w:r>
          </w:p>
        </w:tc>
        <w:tc>
          <w:tcPr>
            <w:tcW w:w="1900" w:type="dxa"/>
            <w:shd w:val="clear" w:color="auto" w:fill="auto"/>
          </w:tcPr>
          <w:p w:rsidR="00777F5E" w:rsidRPr="001E1652" w:rsidRDefault="00777F5E" w:rsidP="00E23091">
            <w:pPr>
              <w:pStyle w:val="Tabletext"/>
              <w:tabs>
                <w:tab w:val="decimal" w:pos="660"/>
              </w:tabs>
            </w:pPr>
            <w:r w:rsidRPr="001E1652">
              <w:t>32.6683</w:t>
            </w:r>
          </w:p>
        </w:tc>
      </w:tr>
      <w:tr w:rsidR="00777F5E" w:rsidRPr="001E1652" w:rsidTr="00777F5E">
        <w:tc>
          <w:tcPr>
            <w:tcW w:w="714" w:type="dxa"/>
            <w:shd w:val="clear" w:color="auto" w:fill="auto"/>
          </w:tcPr>
          <w:p w:rsidR="00777F5E" w:rsidRPr="001E1652" w:rsidRDefault="00777F5E" w:rsidP="00E23091">
            <w:pPr>
              <w:pStyle w:val="Tabletext"/>
            </w:pPr>
            <w:r w:rsidRPr="001E1652">
              <w:t>38</w:t>
            </w:r>
          </w:p>
        </w:tc>
        <w:tc>
          <w:tcPr>
            <w:tcW w:w="1900" w:type="dxa"/>
            <w:shd w:val="clear" w:color="auto" w:fill="auto"/>
          </w:tcPr>
          <w:p w:rsidR="00777F5E" w:rsidRPr="001E1652" w:rsidRDefault="00777F5E" w:rsidP="00E23091">
            <w:pPr>
              <w:pStyle w:val="Tabletext"/>
              <w:tabs>
                <w:tab w:val="decimal" w:pos="660"/>
              </w:tabs>
            </w:pPr>
            <w:r w:rsidRPr="001E1652">
              <w:t>33.1381</w:t>
            </w:r>
          </w:p>
        </w:tc>
        <w:tc>
          <w:tcPr>
            <w:tcW w:w="1900" w:type="dxa"/>
            <w:gridSpan w:val="2"/>
            <w:shd w:val="clear" w:color="auto" w:fill="auto"/>
          </w:tcPr>
          <w:p w:rsidR="00777F5E" w:rsidRPr="001E1652" w:rsidRDefault="00777F5E" w:rsidP="00E23091">
            <w:pPr>
              <w:pStyle w:val="Tabletext"/>
              <w:tabs>
                <w:tab w:val="decimal" w:pos="660"/>
              </w:tabs>
            </w:pPr>
            <w:r w:rsidRPr="001E1652">
              <w:t>30.0519</w:t>
            </w:r>
          </w:p>
        </w:tc>
        <w:tc>
          <w:tcPr>
            <w:tcW w:w="1900" w:type="dxa"/>
            <w:shd w:val="clear" w:color="auto" w:fill="auto"/>
          </w:tcPr>
          <w:p w:rsidR="00777F5E" w:rsidRPr="001E1652" w:rsidRDefault="00777F5E" w:rsidP="00E23091">
            <w:pPr>
              <w:pStyle w:val="Tabletext"/>
              <w:tabs>
                <w:tab w:val="decimal" w:pos="660"/>
              </w:tabs>
            </w:pPr>
            <w:r w:rsidRPr="001E1652">
              <w:t>33.2307</w:t>
            </w:r>
          </w:p>
        </w:tc>
        <w:tc>
          <w:tcPr>
            <w:tcW w:w="1900" w:type="dxa"/>
            <w:shd w:val="clear" w:color="auto" w:fill="auto"/>
          </w:tcPr>
          <w:p w:rsidR="00777F5E" w:rsidRPr="001E1652" w:rsidRDefault="00777F5E" w:rsidP="00E23091">
            <w:pPr>
              <w:pStyle w:val="Tabletext"/>
              <w:tabs>
                <w:tab w:val="decimal" w:pos="660"/>
              </w:tabs>
            </w:pPr>
            <w:r w:rsidRPr="001E1652">
              <w:t>32.2701</w:t>
            </w:r>
          </w:p>
        </w:tc>
      </w:tr>
      <w:tr w:rsidR="00777F5E" w:rsidRPr="001E1652" w:rsidTr="00777F5E">
        <w:tc>
          <w:tcPr>
            <w:tcW w:w="714" w:type="dxa"/>
            <w:shd w:val="clear" w:color="auto" w:fill="auto"/>
          </w:tcPr>
          <w:p w:rsidR="00777F5E" w:rsidRPr="001E1652" w:rsidRDefault="00777F5E" w:rsidP="00E23091">
            <w:pPr>
              <w:pStyle w:val="Tabletext"/>
            </w:pPr>
            <w:r w:rsidRPr="001E1652">
              <w:t>39</w:t>
            </w:r>
          </w:p>
        </w:tc>
        <w:tc>
          <w:tcPr>
            <w:tcW w:w="1900" w:type="dxa"/>
            <w:shd w:val="clear" w:color="auto" w:fill="auto"/>
          </w:tcPr>
          <w:p w:rsidR="00777F5E" w:rsidRPr="001E1652" w:rsidRDefault="00777F5E" w:rsidP="00E23091">
            <w:pPr>
              <w:pStyle w:val="Tabletext"/>
              <w:tabs>
                <w:tab w:val="decimal" w:pos="660"/>
              </w:tabs>
            </w:pPr>
            <w:r w:rsidRPr="001E1652">
              <w:t>32.7523</w:t>
            </w:r>
          </w:p>
        </w:tc>
        <w:tc>
          <w:tcPr>
            <w:tcW w:w="1900" w:type="dxa"/>
            <w:gridSpan w:val="2"/>
            <w:shd w:val="clear" w:color="auto" w:fill="auto"/>
          </w:tcPr>
          <w:p w:rsidR="00777F5E" w:rsidRPr="001E1652" w:rsidRDefault="00777F5E" w:rsidP="00E23091">
            <w:pPr>
              <w:pStyle w:val="Tabletext"/>
              <w:tabs>
                <w:tab w:val="decimal" w:pos="660"/>
              </w:tabs>
            </w:pPr>
            <w:r w:rsidRPr="001E1652">
              <w:t>29.6046</w:t>
            </w:r>
          </w:p>
        </w:tc>
        <w:tc>
          <w:tcPr>
            <w:tcW w:w="1900" w:type="dxa"/>
            <w:shd w:val="clear" w:color="auto" w:fill="auto"/>
          </w:tcPr>
          <w:p w:rsidR="00777F5E" w:rsidRPr="001E1652" w:rsidRDefault="00777F5E" w:rsidP="00E23091">
            <w:pPr>
              <w:pStyle w:val="Tabletext"/>
              <w:tabs>
                <w:tab w:val="decimal" w:pos="660"/>
              </w:tabs>
            </w:pPr>
            <w:r w:rsidRPr="001E1652">
              <w:t>32.8446</w:t>
            </w:r>
          </w:p>
        </w:tc>
        <w:tc>
          <w:tcPr>
            <w:tcW w:w="1900" w:type="dxa"/>
            <w:shd w:val="clear" w:color="auto" w:fill="auto"/>
          </w:tcPr>
          <w:p w:rsidR="00777F5E" w:rsidRPr="001E1652" w:rsidRDefault="00777F5E" w:rsidP="00E23091">
            <w:pPr>
              <w:pStyle w:val="Tabletext"/>
              <w:tabs>
                <w:tab w:val="decimal" w:pos="660"/>
              </w:tabs>
            </w:pPr>
            <w:r w:rsidRPr="001E1652">
              <w:t>31.8636</w:t>
            </w:r>
          </w:p>
        </w:tc>
      </w:tr>
      <w:tr w:rsidR="00777F5E" w:rsidRPr="001E1652" w:rsidTr="00777F5E">
        <w:tc>
          <w:tcPr>
            <w:tcW w:w="714" w:type="dxa"/>
            <w:shd w:val="clear" w:color="auto" w:fill="auto"/>
          </w:tcPr>
          <w:p w:rsidR="00777F5E" w:rsidRPr="001E1652" w:rsidRDefault="00777F5E" w:rsidP="00E23091">
            <w:pPr>
              <w:pStyle w:val="Tabletext"/>
            </w:pPr>
            <w:r w:rsidRPr="001E1652">
              <w:t>40</w:t>
            </w:r>
          </w:p>
        </w:tc>
        <w:tc>
          <w:tcPr>
            <w:tcW w:w="1900" w:type="dxa"/>
            <w:shd w:val="clear" w:color="auto" w:fill="auto"/>
          </w:tcPr>
          <w:p w:rsidR="00777F5E" w:rsidRPr="001E1652" w:rsidRDefault="00777F5E" w:rsidP="00E23091">
            <w:pPr>
              <w:pStyle w:val="Tabletext"/>
              <w:tabs>
                <w:tab w:val="decimal" w:pos="660"/>
              </w:tabs>
            </w:pPr>
            <w:r w:rsidRPr="001E1652">
              <w:t>32.3581</w:t>
            </w:r>
          </w:p>
        </w:tc>
        <w:tc>
          <w:tcPr>
            <w:tcW w:w="1900" w:type="dxa"/>
            <w:gridSpan w:val="2"/>
            <w:shd w:val="clear" w:color="auto" w:fill="auto"/>
          </w:tcPr>
          <w:p w:rsidR="00777F5E" w:rsidRPr="001E1652" w:rsidRDefault="00777F5E" w:rsidP="00E23091">
            <w:pPr>
              <w:pStyle w:val="Tabletext"/>
              <w:tabs>
                <w:tab w:val="decimal" w:pos="660"/>
              </w:tabs>
            </w:pPr>
            <w:r w:rsidRPr="001E1652">
              <w:t>29.1478</w:t>
            </w:r>
          </w:p>
        </w:tc>
        <w:tc>
          <w:tcPr>
            <w:tcW w:w="1900" w:type="dxa"/>
            <w:shd w:val="clear" w:color="auto" w:fill="auto"/>
          </w:tcPr>
          <w:p w:rsidR="00777F5E" w:rsidRPr="001E1652" w:rsidRDefault="00777F5E" w:rsidP="00E23091">
            <w:pPr>
              <w:pStyle w:val="Tabletext"/>
              <w:tabs>
                <w:tab w:val="decimal" w:pos="660"/>
              </w:tabs>
            </w:pPr>
            <w:r w:rsidRPr="001E1652">
              <w:t>32.4510</w:t>
            </w:r>
          </w:p>
        </w:tc>
        <w:tc>
          <w:tcPr>
            <w:tcW w:w="1900" w:type="dxa"/>
            <w:shd w:val="clear" w:color="auto" w:fill="auto"/>
          </w:tcPr>
          <w:p w:rsidR="00777F5E" w:rsidRPr="001E1652" w:rsidRDefault="00777F5E" w:rsidP="00E23091">
            <w:pPr>
              <w:pStyle w:val="Tabletext"/>
              <w:tabs>
                <w:tab w:val="decimal" w:pos="660"/>
              </w:tabs>
            </w:pPr>
            <w:r w:rsidRPr="001E1652">
              <w:t>31.4491</w:t>
            </w:r>
          </w:p>
        </w:tc>
      </w:tr>
      <w:tr w:rsidR="00777F5E" w:rsidRPr="001E1652" w:rsidTr="00777F5E">
        <w:tc>
          <w:tcPr>
            <w:tcW w:w="714" w:type="dxa"/>
            <w:shd w:val="clear" w:color="auto" w:fill="auto"/>
          </w:tcPr>
          <w:p w:rsidR="00777F5E" w:rsidRPr="001E1652" w:rsidRDefault="00777F5E" w:rsidP="00E23091">
            <w:pPr>
              <w:pStyle w:val="Tabletext"/>
            </w:pPr>
            <w:r w:rsidRPr="001E1652">
              <w:t>41</w:t>
            </w:r>
          </w:p>
        </w:tc>
        <w:tc>
          <w:tcPr>
            <w:tcW w:w="1900" w:type="dxa"/>
            <w:shd w:val="clear" w:color="auto" w:fill="auto"/>
          </w:tcPr>
          <w:p w:rsidR="00777F5E" w:rsidRPr="001E1652" w:rsidRDefault="00777F5E" w:rsidP="00E23091">
            <w:pPr>
              <w:pStyle w:val="Tabletext"/>
              <w:tabs>
                <w:tab w:val="decimal" w:pos="660"/>
              </w:tabs>
            </w:pPr>
            <w:r w:rsidRPr="001E1652">
              <w:t>31.8994</w:t>
            </w:r>
          </w:p>
        </w:tc>
        <w:tc>
          <w:tcPr>
            <w:tcW w:w="1900" w:type="dxa"/>
            <w:gridSpan w:val="2"/>
            <w:shd w:val="clear" w:color="auto" w:fill="auto"/>
          </w:tcPr>
          <w:p w:rsidR="00777F5E" w:rsidRPr="001E1652" w:rsidRDefault="00777F5E" w:rsidP="00E23091">
            <w:pPr>
              <w:pStyle w:val="Tabletext"/>
              <w:tabs>
                <w:tab w:val="decimal" w:pos="660"/>
              </w:tabs>
            </w:pPr>
            <w:r w:rsidRPr="001E1652">
              <w:t>28.6813</w:t>
            </w:r>
          </w:p>
        </w:tc>
        <w:tc>
          <w:tcPr>
            <w:tcW w:w="1900" w:type="dxa"/>
            <w:shd w:val="clear" w:color="auto" w:fill="auto"/>
          </w:tcPr>
          <w:p w:rsidR="00777F5E" w:rsidRPr="001E1652" w:rsidRDefault="00777F5E" w:rsidP="00E23091">
            <w:pPr>
              <w:pStyle w:val="Tabletext"/>
              <w:tabs>
                <w:tab w:val="decimal" w:pos="660"/>
              </w:tabs>
            </w:pPr>
            <w:r w:rsidRPr="001E1652">
              <w:t>32.0127</w:t>
            </w:r>
          </w:p>
        </w:tc>
        <w:tc>
          <w:tcPr>
            <w:tcW w:w="1900" w:type="dxa"/>
            <w:shd w:val="clear" w:color="auto" w:fill="auto"/>
          </w:tcPr>
          <w:p w:rsidR="00777F5E" w:rsidRPr="001E1652" w:rsidRDefault="00777F5E" w:rsidP="00E23091">
            <w:pPr>
              <w:pStyle w:val="Tabletext"/>
              <w:tabs>
                <w:tab w:val="decimal" w:pos="660"/>
              </w:tabs>
            </w:pPr>
            <w:r w:rsidRPr="001E1652">
              <w:t>31.0265</w:t>
            </w:r>
          </w:p>
        </w:tc>
      </w:tr>
      <w:tr w:rsidR="00777F5E" w:rsidRPr="001E1652" w:rsidTr="00777F5E">
        <w:tc>
          <w:tcPr>
            <w:tcW w:w="714" w:type="dxa"/>
            <w:shd w:val="clear" w:color="auto" w:fill="auto"/>
          </w:tcPr>
          <w:p w:rsidR="00777F5E" w:rsidRPr="001E1652" w:rsidRDefault="00777F5E" w:rsidP="00E23091">
            <w:pPr>
              <w:pStyle w:val="Tabletext"/>
            </w:pPr>
            <w:r w:rsidRPr="001E1652">
              <w:t>42</w:t>
            </w:r>
          </w:p>
        </w:tc>
        <w:tc>
          <w:tcPr>
            <w:tcW w:w="1900" w:type="dxa"/>
            <w:shd w:val="clear" w:color="auto" w:fill="auto"/>
          </w:tcPr>
          <w:p w:rsidR="00777F5E" w:rsidRPr="001E1652" w:rsidRDefault="00777F5E" w:rsidP="00E23091">
            <w:pPr>
              <w:pStyle w:val="Tabletext"/>
              <w:tabs>
                <w:tab w:val="decimal" w:pos="660"/>
              </w:tabs>
            </w:pPr>
            <w:r w:rsidRPr="001E1652">
              <w:t>31.4301</w:t>
            </w:r>
          </w:p>
        </w:tc>
        <w:tc>
          <w:tcPr>
            <w:tcW w:w="1900" w:type="dxa"/>
            <w:gridSpan w:val="2"/>
            <w:shd w:val="clear" w:color="auto" w:fill="auto"/>
          </w:tcPr>
          <w:p w:rsidR="00777F5E" w:rsidRPr="001E1652" w:rsidRDefault="00777F5E" w:rsidP="00E23091">
            <w:pPr>
              <w:pStyle w:val="Tabletext"/>
              <w:tabs>
                <w:tab w:val="decimal" w:pos="660"/>
              </w:tabs>
            </w:pPr>
            <w:r w:rsidRPr="001E1652">
              <w:t>28.2054</w:t>
            </w:r>
          </w:p>
        </w:tc>
        <w:tc>
          <w:tcPr>
            <w:tcW w:w="1900" w:type="dxa"/>
            <w:shd w:val="clear" w:color="auto" w:fill="auto"/>
          </w:tcPr>
          <w:p w:rsidR="00777F5E" w:rsidRPr="001E1652" w:rsidRDefault="00777F5E" w:rsidP="00E23091">
            <w:pPr>
              <w:pStyle w:val="Tabletext"/>
              <w:tabs>
                <w:tab w:val="decimal" w:pos="660"/>
              </w:tabs>
            </w:pPr>
            <w:r w:rsidRPr="001E1652">
              <w:t>31.5648</w:t>
            </w:r>
          </w:p>
        </w:tc>
        <w:tc>
          <w:tcPr>
            <w:tcW w:w="1900" w:type="dxa"/>
            <w:shd w:val="clear" w:color="auto" w:fill="auto"/>
          </w:tcPr>
          <w:p w:rsidR="00777F5E" w:rsidRPr="001E1652" w:rsidRDefault="00777F5E" w:rsidP="00E23091">
            <w:pPr>
              <w:pStyle w:val="Tabletext"/>
              <w:tabs>
                <w:tab w:val="decimal" w:pos="660"/>
              </w:tabs>
            </w:pPr>
            <w:r w:rsidRPr="001E1652">
              <w:t>30.5955</w:t>
            </w:r>
          </w:p>
        </w:tc>
      </w:tr>
      <w:tr w:rsidR="00777F5E" w:rsidRPr="001E1652" w:rsidTr="00777F5E">
        <w:tc>
          <w:tcPr>
            <w:tcW w:w="714" w:type="dxa"/>
            <w:shd w:val="clear" w:color="auto" w:fill="auto"/>
          </w:tcPr>
          <w:p w:rsidR="00777F5E" w:rsidRPr="001E1652" w:rsidRDefault="00777F5E" w:rsidP="00E23091">
            <w:pPr>
              <w:pStyle w:val="Tabletext"/>
            </w:pPr>
            <w:r w:rsidRPr="001E1652">
              <w:t>43</w:t>
            </w:r>
          </w:p>
        </w:tc>
        <w:tc>
          <w:tcPr>
            <w:tcW w:w="1900" w:type="dxa"/>
            <w:shd w:val="clear" w:color="auto" w:fill="auto"/>
          </w:tcPr>
          <w:p w:rsidR="00777F5E" w:rsidRPr="001E1652" w:rsidRDefault="00777F5E" w:rsidP="00E23091">
            <w:pPr>
              <w:pStyle w:val="Tabletext"/>
              <w:tabs>
                <w:tab w:val="decimal" w:pos="660"/>
              </w:tabs>
            </w:pPr>
            <w:r w:rsidRPr="001E1652">
              <w:t>30.9499</w:t>
            </w:r>
          </w:p>
        </w:tc>
        <w:tc>
          <w:tcPr>
            <w:tcW w:w="1900" w:type="dxa"/>
            <w:gridSpan w:val="2"/>
            <w:shd w:val="clear" w:color="auto" w:fill="auto"/>
          </w:tcPr>
          <w:p w:rsidR="00777F5E" w:rsidRPr="001E1652" w:rsidRDefault="00777F5E" w:rsidP="00E23091">
            <w:pPr>
              <w:pStyle w:val="Tabletext"/>
              <w:tabs>
                <w:tab w:val="decimal" w:pos="660"/>
              </w:tabs>
            </w:pPr>
            <w:r w:rsidRPr="001E1652">
              <w:t>27.7202</w:t>
            </w:r>
          </w:p>
        </w:tc>
        <w:tc>
          <w:tcPr>
            <w:tcW w:w="1900" w:type="dxa"/>
            <w:shd w:val="clear" w:color="auto" w:fill="auto"/>
          </w:tcPr>
          <w:p w:rsidR="00777F5E" w:rsidRPr="001E1652" w:rsidRDefault="00777F5E" w:rsidP="00E23091">
            <w:pPr>
              <w:pStyle w:val="Tabletext"/>
              <w:tabs>
                <w:tab w:val="decimal" w:pos="660"/>
              </w:tabs>
            </w:pPr>
            <w:r w:rsidRPr="001E1652">
              <w:t>31.1073</w:t>
            </w:r>
          </w:p>
        </w:tc>
        <w:tc>
          <w:tcPr>
            <w:tcW w:w="1900" w:type="dxa"/>
            <w:shd w:val="clear" w:color="auto" w:fill="auto"/>
          </w:tcPr>
          <w:p w:rsidR="00777F5E" w:rsidRPr="001E1652" w:rsidRDefault="00777F5E" w:rsidP="00E23091">
            <w:pPr>
              <w:pStyle w:val="Tabletext"/>
              <w:tabs>
                <w:tab w:val="decimal" w:pos="660"/>
              </w:tabs>
            </w:pPr>
            <w:r w:rsidRPr="001E1652">
              <w:t>30.1563</w:t>
            </w:r>
          </w:p>
        </w:tc>
      </w:tr>
      <w:tr w:rsidR="00777F5E" w:rsidRPr="001E1652" w:rsidTr="00777F5E">
        <w:tc>
          <w:tcPr>
            <w:tcW w:w="714" w:type="dxa"/>
            <w:shd w:val="clear" w:color="auto" w:fill="auto"/>
          </w:tcPr>
          <w:p w:rsidR="00777F5E" w:rsidRPr="001E1652" w:rsidRDefault="00777F5E" w:rsidP="00E23091">
            <w:pPr>
              <w:pStyle w:val="Tabletext"/>
            </w:pPr>
            <w:r w:rsidRPr="001E1652">
              <w:t>44</w:t>
            </w:r>
          </w:p>
        </w:tc>
        <w:tc>
          <w:tcPr>
            <w:tcW w:w="1900" w:type="dxa"/>
            <w:shd w:val="clear" w:color="auto" w:fill="auto"/>
          </w:tcPr>
          <w:p w:rsidR="00777F5E" w:rsidRPr="001E1652" w:rsidRDefault="00777F5E" w:rsidP="00E23091">
            <w:pPr>
              <w:pStyle w:val="Tabletext"/>
              <w:tabs>
                <w:tab w:val="decimal" w:pos="660"/>
              </w:tabs>
            </w:pPr>
            <w:r w:rsidRPr="001E1652">
              <w:t>30.4586</w:t>
            </w:r>
          </w:p>
        </w:tc>
        <w:tc>
          <w:tcPr>
            <w:tcW w:w="1900" w:type="dxa"/>
            <w:gridSpan w:val="2"/>
            <w:shd w:val="clear" w:color="auto" w:fill="auto"/>
          </w:tcPr>
          <w:p w:rsidR="00777F5E" w:rsidRPr="001E1652" w:rsidRDefault="00777F5E" w:rsidP="00E23091">
            <w:pPr>
              <w:pStyle w:val="Tabletext"/>
              <w:tabs>
                <w:tab w:val="decimal" w:pos="660"/>
              </w:tabs>
            </w:pPr>
            <w:r w:rsidRPr="001E1652">
              <w:t>27.2259</w:t>
            </w:r>
          </w:p>
        </w:tc>
        <w:tc>
          <w:tcPr>
            <w:tcW w:w="1900" w:type="dxa"/>
            <w:shd w:val="clear" w:color="auto" w:fill="auto"/>
          </w:tcPr>
          <w:p w:rsidR="00777F5E" w:rsidRPr="001E1652" w:rsidRDefault="00777F5E" w:rsidP="00E23091">
            <w:pPr>
              <w:pStyle w:val="Tabletext"/>
              <w:tabs>
                <w:tab w:val="decimal" w:pos="660"/>
              </w:tabs>
            </w:pPr>
            <w:r w:rsidRPr="001E1652">
              <w:t>30.6402</w:t>
            </w:r>
          </w:p>
        </w:tc>
        <w:tc>
          <w:tcPr>
            <w:tcW w:w="1900" w:type="dxa"/>
            <w:shd w:val="clear" w:color="auto" w:fill="auto"/>
          </w:tcPr>
          <w:p w:rsidR="00777F5E" w:rsidRPr="001E1652" w:rsidRDefault="00777F5E" w:rsidP="00E23091">
            <w:pPr>
              <w:pStyle w:val="Tabletext"/>
              <w:tabs>
                <w:tab w:val="decimal" w:pos="660"/>
              </w:tabs>
            </w:pPr>
            <w:r w:rsidRPr="001E1652">
              <w:t>29.7090</w:t>
            </w:r>
          </w:p>
        </w:tc>
      </w:tr>
      <w:tr w:rsidR="00777F5E" w:rsidRPr="001E1652" w:rsidTr="00777F5E">
        <w:tc>
          <w:tcPr>
            <w:tcW w:w="714" w:type="dxa"/>
            <w:shd w:val="clear" w:color="auto" w:fill="auto"/>
          </w:tcPr>
          <w:p w:rsidR="00777F5E" w:rsidRPr="001E1652" w:rsidRDefault="00777F5E" w:rsidP="00E23091">
            <w:pPr>
              <w:pStyle w:val="Tabletext"/>
            </w:pPr>
            <w:r w:rsidRPr="001E1652">
              <w:t>45</w:t>
            </w:r>
          </w:p>
        </w:tc>
        <w:tc>
          <w:tcPr>
            <w:tcW w:w="1900" w:type="dxa"/>
            <w:shd w:val="clear" w:color="auto" w:fill="auto"/>
          </w:tcPr>
          <w:p w:rsidR="00777F5E" w:rsidRPr="001E1652" w:rsidRDefault="00777F5E" w:rsidP="00E23091">
            <w:pPr>
              <w:pStyle w:val="Tabletext"/>
              <w:tabs>
                <w:tab w:val="decimal" w:pos="660"/>
              </w:tabs>
            </w:pPr>
            <w:r w:rsidRPr="001E1652">
              <w:t>29.9564</w:t>
            </w:r>
          </w:p>
        </w:tc>
        <w:tc>
          <w:tcPr>
            <w:tcW w:w="1900" w:type="dxa"/>
            <w:gridSpan w:val="2"/>
            <w:shd w:val="clear" w:color="auto" w:fill="auto"/>
          </w:tcPr>
          <w:p w:rsidR="00777F5E" w:rsidRPr="001E1652" w:rsidRDefault="00777F5E" w:rsidP="00E23091">
            <w:pPr>
              <w:pStyle w:val="Tabletext"/>
              <w:tabs>
                <w:tab w:val="decimal" w:pos="660"/>
              </w:tabs>
            </w:pPr>
            <w:r w:rsidRPr="001E1652">
              <w:t>26.7226</w:t>
            </w:r>
          </w:p>
        </w:tc>
        <w:tc>
          <w:tcPr>
            <w:tcW w:w="1900" w:type="dxa"/>
            <w:shd w:val="clear" w:color="auto" w:fill="auto"/>
          </w:tcPr>
          <w:p w:rsidR="00777F5E" w:rsidRPr="001E1652" w:rsidRDefault="00777F5E" w:rsidP="00E23091">
            <w:pPr>
              <w:pStyle w:val="Tabletext"/>
              <w:tabs>
                <w:tab w:val="decimal" w:pos="660"/>
              </w:tabs>
            </w:pPr>
            <w:r w:rsidRPr="001E1652">
              <w:t>30.1634</w:t>
            </w:r>
          </w:p>
        </w:tc>
        <w:tc>
          <w:tcPr>
            <w:tcW w:w="1900" w:type="dxa"/>
            <w:shd w:val="clear" w:color="auto" w:fill="auto"/>
          </w:tcPr>
          <w:p w:rsidR="00777F5E" w:rsidRPr="001E1652" w:rsidRDefault="00777F5E" w:rsidP="00E23091">
            <w:pPr>
              <w:pStyle w:val="Tabletext"/>
              <w:tabs>
                <w:tab w:val="decimal" w:pos="660"/>
              </w:tabs>
            </w:pPr>
            <w:r w:rsidRPr="001E1652">
              <w:t>29.2540</w:t>
            </w:r>
          </w:p>
        </w:tc>
      </w:tr>
      <w:tr w:rsidR="00777F5E" w:rsidRPr="001E1652" w:rsidTr="00777F5E">
        <w:tc>
          <w:tcPr>
            <w:tcW w:w="714" w:type="dxa"/>
            <w:shd w:val="clear" w:color="auto" w:fill="auto"/>
          </w:tcPr>
          <w:p w:rsidR="00777F5E" w:rsidRPr="001E1652" w:rsidRDefault="00777F5E" w:rsidP="00E23091">
            <w:pPr>
              <w:pStyle w:val="Tabletext"/>
            </w:pPr>
            <w:r w:rsidRPr="001E1652">
              <w:t>46</w:t>
            </w:r>
          </w:p>
        </w:tc>
        <w:tc>
          <w:tcPr>
            <w:tcW w:w="1900" w:type="dxa"/>
            <w:shd w:val="clear" w:color="auto" w:fill="auto"/>
          </w:tcPr>
          <w:p w:rsidR="00777F5E" w:rsidRPr="001E1652" w:rsidRDefault="00777F5E" w:rsidP="00E23091">
            <w:pPr>
              <w:pStyle w:val="Tabletext"/>
              <w:tabs>
                <w:tab w:val="decimal" w:pos="660"/>
              </w:tabs>
            </w:pPr>
            <w:r w:rsidRPr="001E1652">
              <w:t>29.4428</w:t>
            </w:r>
          </w:p>
        </w:tc>
        <w:tc>
          <w:tcPr>
            <w:tcW w:w="1900" w:type="dxa"/>
            <w:gridSpan w:val="2"/>
            <w:shd w:val="clear" w:color="auto" w:fill="auto"/>
          </w:tcPr>
          <w:p w:rsidR="00777F5E" w:rsidRPr="001E1652" w:rsidRDefault="00777F5E" w:rsidP="00E23091">
            <w:pPr>
              <w:pStyle w:val="Tabletext"/>
              <w:tabs>
                <w:tab w:val="decimal" w:pos="660"/>
              </w:tabs>
            </w:pPr>
            <w:r w:rsidRPr="001E1652">
              <w:t>26.2104</w:t>
            </w:r>
          </w:p>
        </w:tc>
        <w:tc>
          <w:tcPr>
            <w:tcW w:w="1900" w:type="dxa"/>
            <w:shd w:val="clear" w:color="auto" w:fill="auto"/>
          </w:tcPr>
          <w:p w:rsidR="00777F5E" w:rsidRPr="001E1652" w:rsidRDefault="00777F5E" w:rsidP="00E23091">
            <w:pPr>
              <w:pStyle w:val="Tabletext"/>
              <w:tabs>
                <w:tab w:val="decimal" w:pos="660"/>
              </w:tabs>
            </w:pPr>
            <w:r w:rsidRPr="001E1652">
              <w:t>29.6767</w:t>
            </w:r>
          </w:p>
        </w:tc>
        <w:tc>
          <w:tcPr>
            <w:tcW w:w="1900" w:type="dxa"/>
            <w:shd w:val="clear" w:color="auto" w:fill="auto"/>
          </w:tcPr>
          <w:p w:rsidR="00777F5E" w:rsidRPr="001E1652" w:rsidRDefault="00777F5E" w:rsidP="00E23091">
            <w:pPr>
              <w:pStyle w:val="Tabletext"/>
              <w:tabs>
                <w:tab w:val="decimal" w:pos="660"/>
              </w:tabs>
            </w:pPr>
            <w:r w:rsidRPr="001E1652">
              <w:t>28.7906</w:t>
            </w:r>
          </w:p>
        </w:tc>
      </w:tr>
      <w:tr w:rsidR="00777F5E" w:rsidRPr="001E1652" w:rsidTr="00777F5E">
        <w:tc>
          <w:tcPr>
            <w:tcW w:w="714" w:type="dxa"/>
            <w:shd w:val="clear" w:color="auto" w:fill="auto"/>
          </w:tcPr>
          <w:p w:rsidR="00777F5E" w:rsidRPr="001E1652" w:rsidRDefault="00777F5E" w:rsidP="00E23091">
            <w:pPr>
              <w:pStyle w:val="Tabletext"/>
            </w:pPr>
            <w:r w:rsidRPr="001E1652">
              <w:t>47</w:t>
            </w:r>
          </w:p>
        </w:tc>
        <w:tc>
          <w:tcPr>
            <w:tcW w:w="1900" w:type="dxa"/>
            <w:shd w:val="clear" w:color="auto" w:fill="auto"/>
          </w:tcPr>
          <w:p w:rsidR="00777F5E" w:rsidRPr="001E1652" w:rsidRDefault="00777F5E" w:rsidP="00E23091">
            <w:pPr>
              <w:pStyle w:val="Tabletext"/>
              <w:tabs>
                <w:tab w:val="decimal" w:pos="660"/>
              </w:tabs>
            </w:pPr>
            <w:r w:rsidRPr="001E1652">
              <w:t>28.9178</w:t>
            </w:r>
          </w:p>
        </w:tc>
        <w:tc>
          <w:tcPr>
            <w:tcW w:w="1900" w:type="dxa"/>
            <w:gridSpan w:val="2"/>
            <w:shd w:val="clear" w:color="auto" w:fill="auto"/>
          </w:tcPr>
          <w:p w:rsidR="00777F5E" w:rsidRPr="001E1652" w:rsidRDefault="00777F5E" w:rsidP="00E23091">
            <w:pPr>
              <w:pStyle w:val="Tabletext"/>
              <w:tabs>
                <w:tab w:val="decimal" w:pos="660"/>
              </w:tabs>
            </w:pPr>
            <w:r w:rsidRPr="001E1652">
              <w:t>25.6898</w:t>
            </w:r>
          </w:p>
        </w:tc>
        <w:tc>
          <w:tcPr>
            <w:tcW w:w="1900" w:type="dxa"/>
            <w:shd w:val="clear" w:color="auto" w:fill="auto"/>
          </w:tcPr>
          <w:p w:rsidR="00777F5E" w:rsidRPr="001E1652" w:rsidRDefault="00777F5E" w:rsidP="00E23091">
            <w:pPr>
              <w:pStyle w:val="Tabletext"/>
              <w:tabs>
                <w:tab w:val="decimal" w:pos="660"/>
              </w:tabs>
            </w:pPr>
            <w:r w:rsidRPr="001E1652">
              <w:t>29.1803</w:t>
            </w:r>
          </w:p>
        </w:tc>
        <w:tc>
          <w:tcPr>
            <w:tcW w:w="1900" w:type="dxa"/>
            <w:shd w:val="clear" w:color="auto" w:fill="auto"/>
          </w:tcPr>
          <w:p w:rsidR="00777F5E" w:rsidRPr="001E1652" w:rsidRDefault="00777F5E" w:rsidP="00E23091">
            <w:pPr>
              <w:pStyle w:val="Tabletext"/>
              <w:tabs>
                <w:tab w:val="decimal" w:pos="660"/>
              </w:tabs>
            </w:pPr>
            <w:r w:rsidRPr="001E1652">
              <w:t>28.3195</w:t>
            </w:r>
          </w:p>
        </w:tc>
      </w:tr>
      <w:tr w:rsidR="00777F5E" w:rsidRPr="001E1652" w:rsidTr="00777F5E">
        <w:tc>
          <w:tcPr>
            <w:tcW w:w="714" w:type="dxa"/>
            <w:shd w:val="clear" w:color="auto" w:fill="auto"/>
          </w:tcPr>
          <w:p w:rsidR="00777F5E" w:rsidRPr="001E1652" w:rsidRDefault="00777F5E" w:rsidP="00E23091">
            <w:pPr>
              <w:pStyle w:val="Tabletext"/>
            </w:pPr>
            <w:r w:rsidRPr="001E1652">
              <w:t>48</w:t>
            </w:r>
          </w:p>
        </w:tc>
        <w:tc>
          <w:tcPr>
            <w:tcW w:w="1900" w:type="dxa"/>
            <w:shd w:val="clear" w:color="auto" w:fill="auto"/>
          </w:tcPr>
          <w:p w:rsidR="00777F5E" w:rsidRPr="001E1652" w:rsidRDefault="00777F5E" w:rsidP="00E23091">
            <w:pPr>
              <w:pStyle w:val="Tabletext"/>
              <w:tabs>
                <w:tab w:val="decimal" w:pos="660"/>
              </w:tabs>
            </w:pPr>
            <w:r w:rsidRPr="001E1652">
              <w:t>28.3814</w:t>
            </w:r>
          </w:p>
        </w:tc>
        <w:tc>
          <w:tcPr>
            <w:tcW w:w="1900" w:type="dxa"/>
            <w:gridSpan w:val="2"/>
            <w:shd w:val="clear" w:color="auto" w:fill="auto"/>
          </w:tcPr>
          <w:p w:rsidR="00777F5E" w:rsidRPr="001E1652" w:rsidRDefault="00777F5E" w:rsidP="00E23091">
            <w:pPr>
              <w:pStyle w:val="Tabletext"/>
              <w:tabs>
                <w:tab w:val="decimal" w:pos="660"/>
              </w:tabs>
            </w:pPr>
            <w:r w:rsidRPr="001E1652">
              <w:t>25.1606</w:t>
            </w:r>
          </w:p>
        </w:tc>
        <w:tc>
          <w:tcPr>
            <w:tcW w:w="1900" w:type="dxa"/>
            <w:shd w:val="clear" w:color="auto" w:fill="auto"/>
          </w:tcPr>
          <w:p w:rsidR="00777F5E" w:rsidRPr="001E1652" w:rsidRDefault="00777F5E" w:rsidP="00E23091">
            <w:pPr>
              <w:pStyle w:val="Tabletext"/>
              <w:tabs>
                <w:tab w:val="decimal" w:pos="660"/>
              </w:tabs>
            </w:pPr>
            <w:r w:rsidRPr="001E1652">
              <w:t>28.6742</w:t>
            </w:r>
          </w:p>
        </w:tc>
        <w:tc>
          <w:tcPr>
            <w:tcW w:w="1900" w:type="dxa"/>
            <w:shd w:val="clear" w:color="auto" w:fill="auto"/>
          </w:tcPr>
          <w:p w:rsidR="00777F5E" w:rsidRPr="001E1652" w:rsidRDefault="00777F5E" w:rsidP="00E23091">
            <w:pPr>
              <w:pStyle w:val="Tabletext"/>
              <w:tabs>
                <w:tab w:val="decimal" w:pos="660"/>
              </w:tabs>
            </w:pPr>
            <w:r w:rsidRPr="001E1652">
              <w:t>27.8407</w:t>
            </w:r>
          </w:p>
        </w:tc>
      </w:tr>
      <w:tr w:rsidR="00777F5E" w:rsidRPr="001E1652" w:rsidTr="00777F5E">
        <w:tc>
          <w:tcPr>
            <w:tcW w:w="714" w:type="dxa"/>
            <w:shd w:val="clear" w:color="auto" w:fill="auto"/>
          </w:tcPr>
          <w:p w:rsidR="00777F5E" w:rsidRPr="001E1652" w:rsidRDefault="00777F5E" w:rsidP="00E23091">
            <w:pPr>
              <w:pStyle w:val="Tabletext"/>
            </w:pPr>
            <w:r w:rsidRPr="001E1652">
              <w:t>49</w:t>
            </w:r>
          </w:p>
        </w:tc>
        <w:tc>
          <w:tcPr>
            <w:tcW w:w="1900" w:type="dxa"/>
            <w:shd w:val="clear" w:color="auto" w:fill="auto"/>
          </w:tcPr>
          <w:p w:rsidR="00777F5E" w:rsidRPr="001E1652" w:rsidRDefault="00777F5E" w:rsidP="00E23091">
            <w:pPr>
              <w:pStyle w:val="Tabletext"/>
              <w:tabs>
                <w:tab w:val="decimal" w:pos="660"/>
              </w:tabs>
            </w:pPr>
            <w:r w:rsidRPr="001E1652">
              <w:t>27.8335</w:t>
            </w:r>
          </w:p>
        </w:tc>
        <w:tc>
          <w:tcPr>
            <w:tcW w:w="1900" w:type="dxa"/>
            <w:gridSpan w:val="2"/>
            <w:shd w:val="clear" w:color="auto" w:fill="auto"/>
          </w:tcPr>
          <w:p w:rsidR="00777F5E" w:rsidRPr="001E1652" w:rsidRDefault="00777F5E" w:rsidP="00E23091">
            <w:pPr>
              <w:pStyle w:val="Tabletext"/>
              <w:tabs>
                <w:tab w:val="decimal" w:pos="660"/>
              </w:tabs>
            </w:pPr>
            <w:r w:rsidRPr="001E1652">
              <w:t>24.6233</w:t>
            </w:r>
          </w:p>
        </w:tc>
        <w:tc>
          <w:tcPr>
            <w:tcW w:w="1900" w:type="dxa"/>
            <w:shd w:val="clear" w:color="auto" w:fill="auto"/>
          </w:tcPr>
          <w:p w:rsidR="00777F5E" w:rsidRPr="001E1652" w:rsidRDefault="00777F5E" w:rsidP="00E23091">
            <w:pPr>
              <w:pStyle w:val="Tabletext"/>
              <w:tabs>
                <w:tab w:val="decimal" w:pos="660"/>
              </w:tabs>
            </w:pPr>
            <w:r w:rsidRPr="001E1652">
              <w:t>28.1588</w:t>
            </w:r>
          </w:p>
        </w:tc>
        <w:tc>
          <w:tcPr>
            <w:tcW w:w="1900" w:type="dxa"/>
            <w:shd w:val="clear" w:color="auto" w:fill="auto"/>
          </w:tcPr>
          <w:p w:rsidR="00777F5E" w:rsidRPr="001E1652" w:rsidRDefault="00777F5E" w:rsidP="00E23091">
            <w:pPr>
              <w:pStyle w:val="Tabletext"/>
              <w:tabs>
                <w:tab w:val="decimal" w:pos="660"/>
              </w:tabs>
            </w:pPr>
            <w:r w:rsidRPr="001E1652">
              <w:t>27.3540</w:t>
            </w:r>
          </w:p>
        </w:tc>
      </w:tr>
      <w:tr w:rsidR="00777F5E" w:rsidRPr="001E1652" w:rsidTr="00777F5E">
        <w:tc>
          <w:tcPr>
            <w:tcW w:w="714" w:type="dxa"/>
            <w:shd w:val="clear" w:color="auto" w:fill="auto"/>
          </w:tcPr>
          <w:p w:rsidR="00777F5E" w:rsidRPr="001E1652" w:rsidRDefault="00777F5E" w:rsidP="00E23091">
            <w:pPr>
              <w:pStyle w:val="Tabletext"/>
            </w:pPr>
            <w:r w:rsidRPr="001E1652">
              <w:t>50</w:t>
            </w:r>
          </w:p>
        </w:tc>
        <w:tc>
          <w:tcPr>
            <w:tcW w:w="1900" w:type="dxa"/>
            <w:shd w:val="clear" w:color="auto" w:fill="auto"/>
          </w:tcPr>
          <w:p w:rsidR="00777F5E" w:rsidRPr="001E1652" w:rsidRDefault="00777F5E" w:rsidP="00E23091">
            <w:pPr>
              <w:pStyle w:val="Tabletext"/>
              <w:tabs>
                <w:tab w:val="decimal" w:pos="660"/>
              </w:tabs>
            </w:pPr>
            <w:r w:rsidRPr="001E1652">
              <w:t>27.2741</w:t>
            </w:r>
          </w:p>
        </w:tc>
        <w:tc>
          <w:tcPr>
            <w:tcW w:w="1900" w:type="dxa"/>
            <w:gridSpan w:val="2"/>
            <w:shd w:val="clear" w:color="auto" w:fill="auto"/>
          </w:tcPr>
          <w:p w:rsidR="00777F5E" w:rsidRPr="001E1652" w:rsidRDefault="00777F5E" w:rsidP="00E23091">
            <w:pPr>
              <w:pStyle w:val="Tabletext"/>
              <w:tabs>
                <w:tab w:val="decimal" w:pos="660"/>
              </w:tabs>
            </w:pPr>
            <w:r w:rsidRPr="001E1652">
              <w:t>24.0785</w:t>
            </w:r>
          </w:p>
        </w:tc>
        <w:tc>
          <w:tcPr>
            <w:tcW w:w="1900" w:type="dxa"/>
            <w:shd w:val="clear" w:color="auto" w:fill="auto"/>
          </w:tcPr>
          <w:p w:rsidR="00777F5E" w:rsidRPr="001E1652" w:rsidRDefault="00777F5E" w:rsidP="00E23091">
            <w:pPr>
              <w:pStyle w:val="Tabletext"/>
              <w:tabs>
                <w:tab w:val="decimal" w:pos="660"/>
              </w:tabs>
            </w:pPr>
            <w:r w:rsidRPr="001E1652">
              <w:t>27.6338</w:t>
            </w:r>
          </w:p>
        </w:tc>
        <w:tc>
          <w:tcPr>
            <w:tcW w:w="1900" w:type="dxa"/>
            <w:shd w:val="clear" w:color="auto" w:fill="auto"/>
          </w:tcPr>
          <w:p w:rsidR="00777F5E" w:rsidRPr="001E1652" w:rsidRDefault="00777F5E" w:rsidP="00E23091">
            <w:pPr>
              <w:pStyle w:val="Tabletext"/>
              <w:tabs>
                <w:tab w:val="decimal" w:pos="660"/>
              </w:tabs>
            </w:pPr>
            <w:r w:rsidRPr="001E1652">
              <w:t>26.8602</w:t>
            </w:r>
          </w:p>
        </w:tc>
      </w:tr>
      <w:tr w:rsidR="00777F5E" w:rsidRPr="001E1652" w:rsidTr="00777F5E">
        <w:tc>
          <w:tcPr>
            <w:tcW w:w="714" w:type="dxa"/>
            <w:shd w:val="clear" w:color="auto" w:fill="auto"/>
          </w:tcPr>
          <w:p w:rsidR="00777F5E" w:rsidRPr="001E1652" w:rsidRDefault="00777F5E" w:rsidP="00E23091">
            <w:pPr>
              <w:pStyle w:val="Tabletext"/>
            </w:pPr>
            <w:r w:rsidRPr="001E1652">
              <w:t>51</w:t>
            </w:r>
          </w:p>
        </w:tc>
        <w:tc>
          <w:tcPr>
            <w:tcW w:w="1900" w:type="dxa"/>
            <w:shd w:val="clear" w:color="auto" w:fill="auto"/>
          </w:tcPr>
          <w:p w:rsidR="00777F5E" w:rsidRPr="001E1652" w:rsidRDefault="00777F5E" w:rsidP="00E23091">
            <w:pPr>
              <w:pStyle w:val="Tabletext"/>
              <w:tabs>
                <w:tab w:val="decimal" w:pos="660"/>
              </w:tabs>
            </w:pPr>
            <w:r w:rsidRPr="001E1652">
              <w:t>26.5676</w:t>
            </w:r>
          </w:p>
        </w:tc>
        <w:tc>
          <w:tcPr>
            <w:tcW w:w="1900" w:type="dxa"/>
            <w:gridSpan w:val="2"/>
            <w:shd w:val="clear" w:color="auto" w:fill="auto"/>
          </w:tcPr>
          <w:p w:rsidR="00777F5E" w:rsidRPr="001E1652" w:rsidRDefault="00777F5E" w:rsidP="00E23091">
            <w:pPr>
              <w:pStyle w:val="Tabletext"/>
              <w:tabs>
                <w:tab w:val="decimal" w:pos="660"/>
              </w:tabs>
            </w:pPr>
            <w:r w:rsidRPr="001E1652">
              <w:t>23.5262</w:t>
            </w:r>
          </w:p>
        </w:tc>
        <w:tc>
          <w:tcPr>
            <w:tcW w:w="1900" w:type="dxa"/>
            <w:shd w:val="clear" w:color="auto" w:fill="auto"/>
          </w:tcPr>
          <w:p w:rsidR="00777F5E" w:rsidRPr="001E1652" w:rsidRDefault="00777F5E" w:rsidP="00E23091">
            <w:pPr>
              <w:pStyle w:val="Tabletext"/>
              <w:tabs>
                <w:tab w:val="decimal" w:pos="660"/>
              </w:tabs>
            </w:pPr>
            <w:r w:rsidRPr="001E1652">
              <w:t>27.0977</w:t>
            </w:r>
          </w:p>
        </w:tc>
        <w:tc>
          <w:tcPr>
            <w:tcW w:w="1900" w:type="dxa"/>
            <w:shd w:val="clear" w:color="auto" w:fill="auto"/>
          </w:tcPr>
          <w:p w:rsidR="00777F5E" w:rsidRPr="001E1652" w:rsidRDefault="00777F5E" w:rsidP="00E23091">
            <w:pPr>
              <w:pStyle w:val="Tabletext"/>
              <w:tabs>
                <w:tab w:val="decimal" w:pos="660"/>
              </w:tabs>
            </w:pPr>
            <w:r w:rsidRPr="001E1652">
              <w:t>26.3590</w:t>
            </w:r>
          </w:p>
        </w:tc>
      </w:tr>
      <w:tr w:rsidR="00777F5E" w:rsidRPr="001E1652" w:rsidTr="00777F5E">
        <w:tc>
          <w:tcPr>
            <w:tcW w:w="714" w:type="dxa"/>
            <w:shd w:val="clear" w:color="auto" w:fill="auto"/>
          </w:tcPr>
          <w:p w:rsidR="00777F5E" w:rsidRPr="001E1652" w:rsidRDefault="00777F5E" w:rsidP="00E23091">
            <w:pPr>
              <w:pStyle w:val="Tabletext"/>
            </w:pPr>
            <w:r w:rsidRPr="001E1652">
              <w:t>52</w:t>
            </w:r>
          </w:p>
        </w:tc>
        <w:tc>
          <w:tcPr>
            <w:tcW w:w="1900" w:type="dxa"/>
            <w:shd w:val="clear" w:color="auto" w:fill="auto"/>
          </w:tcPr>
          <w:p w:rsidR="00777F5E" w:rsidRPr="001E1652" w:rsidRDefault="00777F5E" w:rsidP="00E23091">
            <w:pPr>
              <w:pStyle w:val="Tabletext"/>
              <w:tabs>
                <w:tab w:val="decimal" w:pos="660"/>
              </w:tabs>
            </w:pPr>
            <w:r w:rsidRPr="001E1652">
              <w:t>25.8449</w:t>
            </w:r>
          </w:p>
        </w:tc>
        <w:tc>
          <w:tcPr>
            <w:tcW w:w="1900" w:type="dxa"/>
            <w:gridSpan w:val="2"/>
            <w:shd w:val="clear" w:color="auto" w:fill="auto"/>
          </w:tcPr>
          <w:p w:rsidR="00777F5E" w:rsidRPr="001E1652" w:rsidRDefault="00777F5E" w:rsidP="00E23091">
            <w:pPr>
              <w:pStyle w:val="Tabletext"/>
              <w:tabs>
                <w:tab w:val="decimal" w:pos="660"/>
              </w:tabs>
            </w:pPr>
            <w:r w:rsidRPr="001E1652">
              <w:t>22.9670</w:t>
            </w:r>
          </w:p>
        </w:tc>
        <w:tc>
          <w:tcPr>
            <w:tcW w:w="1900" w:type="dxa"/>
            <w:shd w:val="clear" w:color="auto" w:fill="auto"/>
          </w:tcPr>
          <w:p w:rsidR="00777F5E" w:rsidRPr="001E1652" w:rsidRDefault="00777F5E" w:rsidP="00E23091">
            <w:pPr>
              <w:pStyle w:val="Tabletext"/>
              <w:tabs>
                <w:tab w:val="decimal" w:pos="660"/>
              </w:tabs>
            </w:pPr>
            <w:r w:rsidRPr="001E1652">
              <w:t>26.5521</w:t>
            </w:r>
          </w:p>
        </w:tc>
        <w:tc>
          <w:tcPr>
            <w:tcW w:w="1900" w:type="dxa"/>
            <w:shd w:val="clear" w:color="auto" w:fill="auto"/>
          </w:tcPr>
          <w:p w:rsidR="00777F5E" w:rsidRPr="001E1652" w:rsidRDefault="00777F5E" w:rsidP="00E23091">
            <w:pPr>
              <w:pStyle w:val="Tabletext"/>
              <w:tabs>
                <w:tab w:val="decimal" w:pos="660"/>
              </w:tabs>
            </w:pPr>
            <w:r w:rsidRPr="001E1652">
              <w:t>25.8512</w:t>
            </w:r>
          </w:p>
        </w:tc>
      </w:tr>
      <w:tr w:rsidR="00777F5E" w:rsidRPr="001E1652" w:rsidTr="00777F5E">
        <w:tc>
          <w:tcPr>
            <w:tcW w:w="714" w:type="dxa"/>
            <w:shd w:val="clear" w:color="auto" w:fill="auto"/>
          </w:tcPr>
          <w:p w:rsidR="00777F5E" w:rsidRPr="001E1652" w:rsidRDefault="00777F5E" w:rsidP="00E23091">
            <w:pPr>
              <w:pStyle w:val="Tabletext"/>
            </w:pPr>
            <w:r w:rsidRPr="001E1652">
              <w:t>53</w:t>
            </w:r>
          </w:p>
        </w:tc>
        <w:tc>
          <w:tcPr>
            <w:tcW w:w="1900" w:type="dxa"/>
            <w:shd w:val="clear" w:color="auto" w:fill="auto"/>
          </w:tcPr>
          <w:p w:rsidR="00777F5E" w:rsidRPr="001E1652" w:rsidRDefault="00777F5E" w:rsidP="00E23091">
            <w:pPr>
              <w:pStyle w:val="Tabletext"/>
              <w:tabs>
                <w:tab w:val="decimal" w:pos="660"/>
              </w:tabs>
            </w:pPr>
            <w:r w:rsidRPr="001E1652">
              <w:t>25.1057</w:t>
            </w:r>
          </w:p>
        </w:tc>
        <w:tc>
          <w:tcPr>
            <w:tcW w:w="1900" w:type="dxa"/>
            <w:gridSpan w:val="2"/>
            <w:shd w:val="clear" w:color="auto" w:fill="auto"/>
          </w:tcPr>
          <w:p w:rsidR="00777F5E" w:rsidRPr="001E1652" w:rsidRDefault="00777F5E" w:rsidP="00E23091">
            <w:pPr>
              <w:pStyle w:val="Tabletext"/>
              <w:tabs>
                <w:tab w:val="decimal" w:pos="660"/>
              </w:tabs>
            </w:pPr>
            <w:r w:rsidRPr="001E1652">
              <w:t>22.4013</w:t>
            </w:r>
          </w:p>
        </w:tc>
        <w:tc>
          <w:tcPr>
            <w:tcW w:w="1900" w:type="dxa"/>
            <w:shd w:val="clear" w:color="auto" w:fill="auto"/>
          </w:tcPr>
          <w:p w:rsidR="00777F5E" w:rsidRPr="001E1652" w:rsidRDefault="00777F5E" w:rsidP="00E23091">
            <w:pPr>
              <w:pStyle w:val="Tabletext"/>
              <w:tabs>
                <w:tab w:val="decimal" w:pos="660"/>
              </w:tabs>
            </w:pPr>
            <w:r w:rsidRPr="001E1652">
              <w:t>25.9973</w:t>
            </w:r>
          </w:p>
        </w:tc>
        <w:tc>
          <w:tcPr>
            <w:tcW w:w="1900" w:type="dxa"/>
            <w:shd w:val="clear" w:color="auto" w:fill="auto"/>
          </w:tcPr>
          <w:p w:rsidR="00777F5E" w:rsidRPr="001E1652" w:rsidRDefault="00777F5E" w:rsidP="00E23091">
            <w:pPr>
              <w:pStyle w:val="Tabletext"/>
              <w:tabs>
                <w:tab w:val="decimal" w:pos="660"/>
              </w:tabs>
            </w:pPr>
            <w:r w:rsidRPr="001E1652">
              <w:t>25.3363</w:t>
            </w:r>
          </w:p>
        </w:tc>
      </w:tr>
      <w:tr w:rsidR="00777F5E" w:rsidRPr="001E1652" w:rsidTr="00777F5E">
        <w:tc>
          <w:tcPr>
            <w:tcW w:w="714" w:type="dxa"/>
            <w:shd w:val="clear" w:color="auto" w:fill="auto"/>
          </w:tcPr>
          <w:p w:rsidR="00777F5E" w:rsidRPr="001E1652" w:rsidRDefault="00777F5E" w:rsidP="00E23091">
            <w:pPr>
              <w:pStyle w:val="Tabletext"/>
            </w:pPr>
            <w:r w:rsidRPr="001E1652">
              <w:t>54</w:t>
            </w:r>
          </w:p>
        </w:tc>
        <w:tc>
          <w:tcPr>
            <w:tcW w:w="1900" w:type="dxa"/>
            <w:shd w:val="clear" w:color="auto" w:fill="auto"/>
          </w:tcPr>
          <w:p w:rsidR="00777F5E" w:rsidRPr="001E1652" w:rsidRDefault="00777F5E" w:rsidP="00E23091">
            <w:pPr>
              <w:pStyle w:val="Tabletext"/>
              <w:tabs>
                <w:tab w:val="decimal" w:pos="660"/>
              </w:tabs>
            </w:pPr>
            <w:r w:rsidRPr="001E1652">
              <w:t>24.3497</w:t>
            </w:r>
          </w:p>
        </w:tc>
        <w:tc>
          <w:tcPr>
            <w:tcW w:w="1900" w:type="dxa"/>
            <w:gridSpan w:val="2"/>
            <w:shd w:val="clear" w:color="auto" w:fill="auto"/>
          </w:tcPr>
          <w:p w:rsidR="00777F5E" w:rsidRPr="001E1652" w:rsidRDefault="00777F5E" w:rsidP="00E23091">
            <w:pPr>
              <w:pStyle w:val="Tabletext"/>
              <w:tabs>
                <w:tab w:val="decimal" w:pos="660"/>
              </w:tabs>
            </w:pPr>
            <w:r w:rsidRPr="001E1652">
              <w:t>21.8298</w:t>
            </w:r>
          </w:p>
        </w:tc>
        <w:tc>
          <w:tcPr>
            <w:tcW w:w="1900" w:type="dxa"/>
            <w:shd w:val="clear" w:color="auto" w:fill="auto"/>
          </w:tcPr>
          <w:p w:rsidR="00777F5E" w:rsidRPr="001E1652" w:rsidRDefault="00777F5E" w:rsidP="00E23091">
            <w:pPr>
              <w:pStyle w:val="Tabletext"/>
              <w:tabs>
                <w:tab w:val="decimal" w:pos="660"/>
              </w:tabs>
            </w:pPr>
            <w:r w:rsidRPr="001E1652">
              <w:t>25.4338</w:t>
            </w:r>
          </w:p>
        </w:tc>
        <w:tc>
          <w:tcPr>
            <w:tcW w:w="1900" w:type="dxa"/>
            <w:shd w:val="clear" w:color="auto" w:fill="auto"/>
          </w:tcPr>
          <w:p w:rsidR="00777F5E" w:rsidRPr="001E1652" w:rsidRDefault="00777F5E" w:rsidP="00E23091">
            <w:pPr>
              <w:pStyle w:val="Tabletext"/>
              <w:tabs>
                <w:tab w:val="decimal" w:pos="660"/>
              </w:tabs>
            </w:pPr>
            <w:r w:rsidRPr="001E1652">
              <w:t>24.8143</w:t>
            </w:r>
          </w:p>
        </w:tc>
      </w:tr>
      <w:tr w:rsidR="00777F5E" w:rsidRPr="001E1652" w:rsidTr="00777F5E">
        <w:tc>
          <w:tcPr>
            <w:tcW w:w="714" w:type="dxa"/>
            <w:shd w:val="clear" w:color="auto" w:fill="auto"/>
          </w:tcPr>
          <w:p w:rsidR="00777F5E" w:rsidRPr="001E1652" w:rsidRDefault="00777F5E" w:rsidP="00E23091">
            <w:pPr>
              <w:pStyle w:val="Tabletext"/>
            </w:pPr>
            <w:r w:rsidRPr="001E1652">
              <w:t>55</w:t>
            </w:r>
          </w:p>
        </w:tc>
        <w:tc>
          <w:tcPr>
            <w:tcW w:w="1900" w:type="dxa"/>
            <w:shd w:val="clear" w:color="auto" w:fill="auto"/>
          </w:tcPr>
          <w:p w:rsidR="00777F5E" w:rsidRPr="001E1652" w:rsidRDefault="00777F5E" w:rsidP="00E23091">
            <w:pPr>
              <w:pStyle w:val="Tabletext"/>
              <w:tabs>
                <w:tab w:val="decimal" w:pos="660"/>
              </w:tabs>
            </w:pPr>
            <w:r w:rsidRPr="001E1652">
              <w:t>23.5773</w:t>
            </w:r>
          </w:p>
        </w:tc>
        <w:tc>
          <w:tcPr>
            <w:tcW w:w="1900" w:type="dxa"/>
            <w:gridSpan w:val="2"/>
            <w:shd w:val="clear" w:color="auto" w:fill="auto"/>
          </w:tcPr>
          <w:p w:rsidR="00777F5E" w:rsidRPr="001E1652" w:rsidRDefault="00777F5E" w:rsidP="00E23091">
            <w:pPr>
              <w:pStyle w:val="Tabletext"/>
              <w:tabs>
                <w:tab w:val="decimal" w:pos="660"/>
              </w:tabs>
            </w:pPr>
            <w:r w:rsidRPr="001E1652">
              <w:t>21.2538</w:t>
            </w:r>
          </w:p>
        </w:tc>
        <w:tc>
          <w:tcPr>
            <w:tcW w:w="1900" w:type="dxa"/>
            <w:shd w:val="clear" w:color="auto" w:fill="auto"/>
          </w:tcPr>
          <w:p w:rsidR="00777F5E" w:rsidRPr="001E1652" w:rsidRDefault="00777F5E" w:rsidP="00E23091">
            <w:pPr>
              <w:pStyle w:val="Tabletext"/>
              <w:tabs>
                <w:tab w:val="decimal" w:pos="660"/>
              </w:tabs>
            </w:pPr>
            <w:r w:rsidRPr="001E1652">
              <w:t>24.8614</w:t>
            </w:r>
          </w:p>
        </w:tc>
        <w:tc>
          <w:tcPr>
            <w:tcW w:w="1900" w:type="dxa"/>
            <w:shd w:val="clear" w:color="auto" w:fill="auto"/>
          </w:tcPr>
          <w:p w:rsidR="00777F5E" w:rsidRPr="001E1652" w:rsidRDefault="00777F5E" w:rsidP="00E23091">
            <w:pPr>
              <w:pStyle w:val="Tabletext"/>
              <w:tabs>
                <w:tab w:val="decimal" w:pos="660"/>
              </w:tabs>
            </w:pPr>
            <w:r w:rsidRPr="001E1652">
              <w:t>24.2857</w:t>
            </w:r>
          </w:p>
        </w:tc>
      </w:tr>
      <w:tr w:rsidR="00777F5E" w:rsidRPr="001E1652" w:rsidTr="00777F5E">
        <w:tc>
          <w:tcPr>
            <w:tcW w:w="714" w:type="dxa"/>
            <w:shd w:val="clear" w:color="auto" w:fill="auto"/>
          </w:tcPr>
          <w:p w:rsidR="00777F5E" w:rsidRPr="001E1652" w:rsidRDefault="005E286F" w:rsidP="00E23091">
            <w:pPr>
              <w:pStyle w:val="Tabletext"/>
            </w:pPr>
            <w:r w:rsidRPr="001E1652">
              <w:t>56</w:t>
            </w:r>
          </w:p>
        </w:tc>
        <w:tc>
          <w:tcPr>
            <w:tcW w:w="1900" w:type="dxa"/>
            <w:shd w:val="clear" w:color="auto" w:fill="auto"/>
          </w:tcPr>
          <w:p w:rsidR="00777F5E" w:rsidRPr="001E1652" w:rsidRDefault="00777F5E" w:rsidP="00E23091">
            <w:pPr>
              <w:pStyle w:val="Tabletext"/>
              <w:tabs>
                <w:tab w:val="decimal" w:pos="660"/>
              </w:tabs>
            </w:pPr>
            <w:r w:rsidRPr="001E1652">
              <w:t>23.0100</w:t>
            </w:r>
          </w:p>
        </w:tc>
        <w:tc>
          <w:tcPr>
            <w:tcW w:w="1900" w:type="dxa"/>
            <w:gridSpan w:val="2"/>
            <w:shd w:val="clear" w:color="auto" w:fill="auto"/>
          </w:tcPr>
          <w:p w:rsidR="00777F5E" w:rsidRPr="001E1652" w:rsidRDefault="00777F5E" w:rsidP="00E23091">
            <w:pPr>
              <w:pStyle w:val="Tabletext"/>
              <w:tabs>
                <w:tab w:val="decimal" w:pos="660"/>
              </w:tabs>
            </w:pPr>
            <w:r w:rsidRPr="001E1652">
              <w:t>20.6735</w:t>
            </w:r>
          </w:p>
        </w:tc>
        <w:tc>
          <w:tcPr>
            <w:tcW w:w="1900" w:type="dxa"/>
            <w:shd w:val="clear" w:color="auto" w:fill="auto"/>
          </w:tcPr>
          <w:p w:rsidR="00777F5E" w:rsidRPr="001E1652" w:rsidRDefault="00777F5E" w:rsidP="00E23091">
            <w:pPr>
              <w:pStyle w:val="Tabletext"/>
              <w:tabs>
                <w:tab w:val="decimal" w:pos="660"/>
              </w:tabs>
            </w:pPr>
            <w:r w:rsidRPr="001E1652">
              <w:t>24.3248</w:t>
            </w:r>
          </w:p>
        </w:tc>
        <w:tc>
          <w:tcPr>
            <w:tcW w:w="1900" w:type="dxa"/>
            <w:shd w:val="clear" w:color="auto" w:fill="auto"/>
          </w:tcPr>
          <w:p w:rsidR="00777F5E" w:rsidRPr="001E1652" w:rsidRDefault="00777F5E" w:rsidP="00E23091">
            <w:pPr>
              <w:pStyle w:val="Tabletext"/>
              <w:tabs>
                <w:tab w:val="decimal" w:pos="660"/>
              </w:tabs>
            </w:pPr>
            <w:r w:rsidRPr="001E1652">
              <w:t>23.7500</w:t>
            </w:r>
          </w:p>
        </w:tc>
      </w:tr>
      <w:tr w:rsidR="00777F5E" w:rsidRPr="001E1652" w:rsidTr="00777F5E">
        <w:tc>
          <w:tcPr>
            <w:tcW w:w="714" w:type="dxa"/>
            <w:shd w:val="clear" w:color="auto" w:fill="auto"/>
          </w:tcPr>
          <w:p w:rsidR="00777F5E" w:rsidRPr="001E1652" w:rsidRDefault="005E286F" w:rsidP="00E23091">
            <w:pPr>
              <w:pStyle w:val="Tabletext"/>
            </w:pPr>
            <w:r w:rsidRPr="001E1652">
              <w:t>57</w:t>
            </w:r>
          </w:p>
        </w:tc>
        <w:tc>
          <w:tcPr>
            <w:tcW w:w="1900" w:type="dxa"/>
            <w:shd w:val="clear" w:color="auto" w:fill="auto"/>
          </w:tcPr>
          <w:p w:rsidR="00777F5E" w:rsidRPr="001E1652" w:rsidRDefault="00777F5E" w:rsidP="00E23091">
            <w:pPr>
              <w:pStyle w:val="Tabletext"/>
              <w:tabs>
                <w:tab w:val="decimal" w:pos="660"/>
              </w:tabs>
            </w:pPr>
            <w:r w:rsidRPr="001E1652">
              <w:t>22.4333</w:t>
            </w:r>
          </w:p>
        </w:tc>
        <w:tc>
          <w:tcPr>
            <w:tcW w:w="1900" w:type="dxa"/>
            <w:gridSpan w:val="2"/>
            <w:shd w:val="clear" w:color="auto" w:fill="auto"/>
          </w:tcPr>
          <w:p w:rsidR="00777F5E" w:rsidRPr="001E1652" w:rsidRDefault="00777F5E" w:rsidP="00E23091">
            <w:pPr>
              <w:pStyle w:val="Tabletext"/>
              <w:tabs>
                <w:tab w:val="decimal" w:pos="660"/>
              </w:tabs>
            </w:pPr>
            <w:r w:rsidRPr="001E1652">
              <w:t>20.0902</w:t>
            </w:r>
          </w:p>
        </w:tc>
        <w:tc>
          <w:tcPr>
            <w:tcW w:w="1900" w:type="dxa"/>
            <w:shd w:val="clear" w:color="auto" w:fill="auto"/>
          </w:tcPr>
          <w:p w:rsidR="00777F5E" w:rsidRPr="001E1652" w:rsidRDefault="00777F5E" w:rsidP="00E23091">
            <w:pPr>
              <w:pStyle w:val="Tabletext"/>
              <w:tabs>
                <w:tab w:val="decimal" w:pos="660"/>
              </w:tabs>
            </w:pPr>
            <w:r w:rsidRPr="001E1652">
              <w:t>23.7802</w:t>
            </w:r>
          </w:p>
        </w:tc>
        <w:tc>
          <w:tcPr>
            <w:tcW w:w="1900" w:type="dxa"/>
            <w:shd w:val="clear" w:color="auto" w:fill="auto"/>
          </w:tcPr>
          <w:p w:rsidR="00777F5E" w:rsidRPr="001E1652" w:rsidRDefault="00777F5E" w:rsidP="00E23091">
            <w:pPr>
              <w:pStyle w:val="Tabletext"/>
              <w:tabs>
                <w:tab w:val="decimal" w:pos="660"/>
              </w:tabs>
            </w:pPr>
            <w:r w:rsidRPr="001E1652">
              <w:t>23.2075</w:t>
            </w:r>
          </w:p>
        </w:tc>
      </w:tr>
      <w:tr w:rsidR="00777F5E" w:rsidRPr="001E1652" w:rsidTr="00777F5E">
        <w:tc>
          <w:tcPr>
            <w:tcW w:w="714" w:type="dxa"/>
            <w:shd w:val="clear" w:color="auto" w:fill="auto"/>
          </w:tcPr>
          <w:p w:rsidR="00777F5E" w:rsidRPr="001E1652" w:rsidRDefault="005E286F" w:rsidP="00E23091">
            <w:pPr>
              <w:pStyle w:val="Tabletext"/>
            </w:pPr>
            <w:r w:rsidRPr="001E1652">
              <w:t>58</w:t>
            </w:r>
          </w:p>
        </w:tc>
        <w:tc>
          <w:tcPr>
            <w:tcW w:w="1900" w:type="dxa"/>
            <w:shd w:val="clear" w:color="auto" w:fill="auto"/>
          </w:tcPr>
          <w:p w:rsidR="00777F5E" w:rsidRPr="001E1652" w:rsidRDefault="00777F5E" w:rsidP="00E23091">
            <w:pPr>
              <w:pStyle w:val="Tabletext"/>
              <w:tabs>
                <w:tab w:val="decimal" w:pos="660"/>
              </w:tabs>
            </w:pPr>
            <w:r w:rsidRPr="001E1652">
              <w:t>21.8478</w:t>
            </w:r>
          </w:p>
        </w:tc>
        <w:tc>
          <w:tcPr>
            <w:tcW w:w="1900" w:type="dxa"/>
            <w:gridSpan w:val="2"/>
            <w:shd w:val="clear" w:color="auto" w:fill="auto"/>
          </w:tcPr>
          <w:p w:rsidR="00777F5E" w:rsidRPr="001E1652" w:rsidRDefault="00777F5E" w:rsidP="00E23091">
            <w:pPr>
              <w:pStyle w:val="Tabletext"/>
              <w:tabs>
                <w:tab w:val="decimal" w:pos="660"/>
              </w:tabs>
            </w:pPr>
            <w:r w:rsidRPr="001E1652">
              <w:t>19.5043</w:t>
            </w:r>
          </w:p>
        </w:tc>
        <w:tc>
          <w:tcPr>
            <w:tcW w:w="1900" w:type="dxa"/>
            <w:shd w:val="clear" w:color="auto" w:fill="auto"/>
          </w:tcPr>
          <w:p w:rsidR="00777F5E" w:rsidRPr="001E1652" w:rsidRDefault="00777F5E" w:rsidP="00E23091">
            <w:pPr>
              <w:pStyle w:val="Tabletext"/>
              <w:tabs>
                <w:tab w:val="decimal" w:pos="660"/>
              </w:tabs>
            </w:pPr>
            <w:r w:rsidRPr="001E1652">
              <w:t>23.2285</w:t>
            </w:r>
          </w:p>
        </w:tc>
        <w:tc>
          <w:tcPr>
            <w:tcW w:w="1900" w:type="dxa"/>
            <w:shd w:val="clear" w:color="auto" w:fill="auto"/>
          </w:tcPr>
          <w:p w:rsidR="00777F5E" w:rsidRPr="001E1652" w:rsidRDefault="00777F5E" w:rsidP="00E23091">
            <w:pPr>
              <w:pStyle w:val="Tabletext"/>
              <w:tabs>
                <w:tab w:val="decimal" w:pos="660"/>
              </w:tabs>
            </w:pPr>
            <w:r w:rsidRPr="001E1652">
              <w:t>22.6580</w:t>
            </w:r>
          </w:p>
        </w:tc>
      </w:tr>
      <w:tr w:rsidR="00777F5E" w:rsidRPr="001E1652" w:rsidTr="00777F5E">
        <w:tc>
          <w:tcPr>
            <w:tcW w:w="714" w:type="dxa"/>
            <w:shd w:val="clear" w:color="auto" w:fill="auto"/>
          </w:tcPr>
          <w:p w:rsidR="00777F5E" w:rsidRPr="001E1652" w:rsidRDefault="005E286F" w:rsidP="00E23091">
            <w:pPr>
              <w:pStyle w:val="Tabletext"/>
            </w:pPr>
            <w:r w:rsidRPr="001E1652">
              <w:t>59</w:t>
            </w:r>
          </w:p>
        </w:tc>
        <w:tc>
          <w:tcPr>
            <w:tcW w:w="1900" w:type="dxa"/>
            <w:shd w:val="clear" w:color="auto" w:fill="auto"/>
          </w:tcPr>
          <w:p w:rsidR="00777F5E" w:rsidRPr="001E1652" w:rsidRDefault="00777F5E" w:rsidP="00E23091">
            <w:pPr>
              <w:pStyle w:val="Tabletext"/>
              <w:tabs>
                <w:tab w:val="decimal" w:pos="660"/>
              </w:tabs>
            </w:pPr>
            <w:r w:rsidRPr="001E1652">
              <w:t>21.2550</w:t>
            </w:r>
          </w:p>
        </w:tc>
        <w:tc>
          <w:tcPr>
            <w:tcW w:w="1900" w:type="dxa"/>
            <w:gridSpan w:val="2"/>
            <w:shd w:val="clear" w:color="auto" w:fill="auto"/>
          </w:tcPr>
          <w:p w:rsidR="00777F5E" w:rsidRPr="001E1652" w:rsidRDefault="00777F5E" w:rsidP="00E23091">
            <w:pPr>
              <w:pStyle w:val="Tabletext"/>
              <w:tabs>
                <w:tab w:val="decimal" w:pos="660"/>
              </w:tabs>
            </w:pPr>
            <w:r w:rsidRPr="001E1652">
              <w:t>18.9153</w:t>
            </w:r>
          </w:p>
        </w:tc>
        <w:tc>
          <w:tcPr>
            <w:tcW w:w="1900" w:type="dxa"/>
            <w:shd w:val="clear" w:color="auto" w:fill="auto"/>
          </w:tcPr>
          <w:p w:rsidR="00777F5E" w:rsidRPr="001E1652" w:rsidRDefault="00777F5E" w:rsidP="00E23091">
            <w:pPr>
              <w:pStyle w:val="Tabletext"/>
              <w:tabs>
                <w:tab w:val="decimal" w:pos="660"/>
              </w:tabs>
            </w:pPr>
            <w:r w:rsidRPr="001E1652">
              <w:t>22.6682</w:t>
            </w:r>
          </w:p>
        </w:tc>
        <w:tc>
          <w:tcPr>
            <w:tcW w:w="1900" w:type="dxa"/>
            <w:shd w:val="clear" w:color="auto" w:fill="auto"/>
          </w:tcPr>
          <w:p w:rsidR="00777F5E" w:rsidRPr="001E1652" w:rsidRDefault="00777F5E" w:rsidP="00E23091">
            <w:pPr>
              <w:pStyle w:val="Tabletext"/>
              <w:tabs>
                <w:tab w:val="decimal" w:pos="660"/>
              </w:tabs>
            </w:pPr>
            <w:r w:rsidRPr="001E1652">
              <w:t>22.1017</w:t>
            </w:r>
          </w:p>
        </w:tc>
      </w:tr>
      <w:tr w:rsidR="00E23091" w:rsidRPr="001E1652" w:rsidTr="00777F5E">
        <w:tc>
          <w:tcPr>
            <w:tcW w:w="714" w:type="dxa"/>
            <w:shd w:val="clear" w:color="auto" w:fill="auto"/>
          </w:tcPr>
          <w:p w:rsidR="00E23091" w:rsidRPr="001E1652" w:rsidRDefault="00E23091" w:rsidP="00E23091">
            <w:pPr>
              <w:pStyle w:val="Tabletext"/>
            </w:pPr>
            <w:r w:rsidRPr="001E1652">
              <w:t>60</w:t>
            </w:r>
          </w:p>
        </w:tc>
        <w:tc>
          <w:tcPr>
            <w:tcW w:w="1900" w:type="dxa"/>
            <w:shd w:val="clear" w:color="auto" w:fill="auto"/>
          </w:tcPr>
          <w:p w:rsidR="00E23091" w:rsidRPr="001E1652" w:rsidRDefault="00E23091" w:rsidP="00E23091">
            <w:pPr>
              <w:pStyle w:val="Tabletext"/>
              <w:tabs>
                <w:tab w:val="decimal" w:pos="660"/>
              </w:tabs>
            </w:pPr>
            <w:r w:rsidRPr="001E1652">
              <w:t>20.6553</w:t>
            </w:r>
          </w:p>
        </w:tc>
        <w:tc>
          <w:tcPr>
            <w:tcW w:w="1900" w:type="dxa"/>
            <w:gridSpan w:val="2"/>
            <w:shd w:val="clear" w:color="auto" w:fill="auto"/>
          </w:tcPr>
          <w:p w:rsidR="00E23091" w:rsidRPr="001E1652" w:rsidRDefault="00E23091" w:rsidP="00E23091">
            <w:pPr>
              <w:pStyle w:val="Tabletext"/>
              <w:tabs>
                <w:tab w:val="decimal" w:pos="660"/>
              </w:tabs>
            </w:pPr>
            <w:r w:rsidRPr="001E1652">
              <w:t>18.3239</w:t>
            </w:r>
          </w:p>
        </w:tc>
        <w:tc>
          <w:tcPr>
            <w:tcW w:w="1900" w:type="dxa"/>
            <w:shd w:val="clear" w:color="auto" w:fill="auto"/>
          </w:tcPr>
          <w:p w:rsidR="00E23091" w:rsidRPr="001E1652" w:rsidRDefault="00E23091" w:rsidP="00E23091">
            <w:pPr>
              <w:pStyle w:val="Tabletext"/>
              <w:tabs>
                <w:tab w:val="decimal" w:pos="660"/>
              </w:tabs>
            </w:pPr>
            <w:r w:rsidRPr="001E1652">
              <w:t>22.0992</w:t>
            </w:r>
          </w:p>
        </w:tc>
        <w:tc>
          <w:tcPr>
            <w:tcW w:w="1900" w:type="dxa"/>
            <w:shd w:val="clear" w:color="auto" w:fill="auto"/>
          </w:tcPr>
          <w:p w:rsidR="00E23091" w:rsidRPr="001E1652" w:rsidRDefault="00E23091" w:rsidP="00E23091">
            <w:pPr>
              <w:pStyle w:val="Tabletext"/>
              <w:tabs>
                <w:tab w:val="decimal" w:pos="660"/>
              </w:tabs>
            </w:pPr>
            <w:r w:rsidRPr="001E1652">
              <w:t>21.5383</w:t>
            </w:r>
          </w:p>
        </w:tc>
      </w:tr>
      <w:tr w:rsidR="00E23091" w:rsidRPr="001E1652" w:rsidTr="00777F5E">
        <w:tc>
          <w:tcPr>
            <w:tcW w:w="714" w:type="dxa"/>
            <w:shd w:val="clear" w:color="auto" w:fill="auto"/>
          </w:tcPr>
          <w:p w:rsidR="00E23091" w:rsidRPr="001E1652" w:rsidRDefault="00E23091" w:rsidP="00E23091">
            <w:pPr>
              <w:pStyle w:val="Tabletext"/>
            </w:pPr>
            <w:r w:rsidRPr="001E1652">
              <w:t>61</w:t>
            </w:r>
          </w:p>
        </w:tc>
        <w:tc>
          <w:tcPr>
            <w:tcW w:w="1900" w:type="dxa"/>
            <w:shd w:val="clear" w:color="auto" w:fill="auto"/>
          </w:tcPr>
          <w:p w:rsidR="00E23091" w:rsidRPr="001E1652" w:rsidRDefault="00E23091" w:rsidP="00E23091">
            <w:pPr>
              <w:pStyle w:val="Tabletext"/>
              <w:tabs>
                <w:tab w:val="decimal" w:pos="660"/>
              </w:tabs>
            </w:pPr>
            <w:r w:rsidRPr="001E1652">
              <w:t>20.0494</w:t>
            </w:r>
          </w:p>
        </w:tc>
        <w:tc>
          <w:tcPr>
            <w:tcW w:w="1900" w:type="dxa"/>
            <w:gridSpan w:val="2"/>
            <w:shd w:val="clear" w:color="auto" w:fill="auto"/>
          </w:tcPr>
          <w:p w:rsidR="00E23091" w:rsidRPr="001E1652" w:rsidRDefault="00E23091" w:rsidP="00E23091">
            <w:pPr>
              <w:pStyle w:val="Tabletext"/>
              <w:tabs>
                <w:tab w:val="decimal" w:pos="660"/>
              </w:tabs>
            </w:pPr>
            <w:r w:rsidRPr="001E1652">
              <w:t>17.7307</w:t>
            </w:r>
          </w:p>
        </w:tc>
        <w:tc>
          <w:tcPr>
            <w:tcW w:w="1900" w:type="dxa"/>
            <w:shd w:val="clear" w:color="auto" w:fill="auto"/>
          </w:tcPr>
          <w:p w:rsidR="00E23091" w:rsidRPr="001E1652" w:rsidRDefault="00E23091" w:rsidP="00E23091">
            <w:pPr>
              <w:pStyle w:val="Tabletext"/>
              <w:tabs>
                <w:tab w:val="decimal" w:pos="660"/>
              </w:tabs>
            </w:pPr>
            <w:r w:rsidRPr="001E1652">
              <w:t>21.5219</w:t>
            </w:r>
          </w:p>
        </w:tc>
        <w:tc>
          <w:tcPr>
            <w:tcW w:w="1900" w:type="dxa"/>
            <w:shd w:val="clear" w:color="auto" w:fill="auto"/>
          </w:tcPr>
          <w:p w:rsidR="00E23091" w:rsidRPr="001E1652" w:rsidRDefault="00E23091" w:rsidP="00E23091">
            <w:pPr>
              <w:pStyle w:val="Tabletext"/>
              <w:tabs>
                <w:tab w:val="decimal" w:pos="660"/>
              </w:tabs>
            </w:pPr>
            <w:r w:rsidRPr="001E1652">
              <w:t>20.9681</w:t>
            </w:r>
          </w:p>
        </w:tc>
      </w:tr>
      <w:tr w:rsidR="00E23091" w:rsidRPr="001E1652" w:rsidTr="00777F5E">
        <w:tc>
          <w:tcPr>
            <w:tcW w:w="714" w:type="dxa"/>
            <w:shd w:val="clear" w:color="auto" w:fill="auto"/>
          </w:tcPr>
          <w:p w:rsidR="00E23091" w:rsidRPr="001E1652" w:rsidRDefault="00E23091" w:rsidP="00E23091">
            <w:pPr>
              <w:pStyle w:val="Tabletext"/>
            </w:pPr>
            <w:r w:rsidRPr="001E1652">
              <w:t>62</w:t>
            </w:r>
          </w:p>
        </w:tc>
        <w:tc>
          <w:tcPr>
            <w:tcW w:w="1900" w:type="dxa"/>
            <w:shd w:val="clear" w:color="auto" w:fill="auto"/>
          </w:tcPr>
          <w:p w:rsidR="00E23091" w:rsidRPr="001E1652" w:rsidRDefault="00E23091" w:rsidP="00E23091">
            <w:pPr>
              <w:pStyle w:val="Tabletext"/>
              <w:tabs>
                <w:tab w:val="decimal" w:pos="660"/>
              </w:tabs>
            </w:pPr>
            <w:r w:rsidRPr="001E1652">
              <w:t>19.4383</w:t>
            </w:r>
          </w:p>
        </w:tc>
        <w:tc>
          <w:tcPr>
            <w:tcW w:w="1900" w:type="dxa"/>
            <w:gridSpan w:val="2"/>
            <w:shd w:val="clear" w:color="auto" w:fill="auto"/>
          </w:tcPr>
          <w:p w:rsidR="00E23091" w:rsidRPr="001E1652" w:rsidRDefault="00E23091" w:rsidP="00E23091">
            <w:pPr>
              <w:pStyle w:val="Tabletext"/>
              <w:tabs>
                <w:tab w:val="decimal" w:pos="660"/>
              </w:tabs>
            </w:pPr>
            <w:r w:rsidRPr="001E1652">
              <w:t>17.1358</w:t>
            </w:r>
          </w:p>
        </w:tc>
        <w:tc>
          <w:tcPr>
            <w:tcW w:w="1900" w:type="dxa"/>
            <w:shd w:val="clear" w:color="auto" w:fill="auto"/>
          </w:tcPr>
          <w:p w:rsidR="00E23091" w:rsidRPr="001E1652" w:rsidRDefault="00E23091" w:rsidP="00E23091">
            <w:pPr>
              <w:pStyle w:val="Tabletext"/>
              <w:tabs>
                <w:tab w:val="decimal" w:pos="660"/>
              </w:tabs>
            </w:pPr>
            <w:r w:rsidRPr="001E1652">
              <w:t>20.9364</w:t>
            </w:r>
          </w:p>
        </w:tc>
        <w:tc>
          <w:tcPr>
            <w:tcW w:w="1900" w:type="dxa"/>
            <w:shd w:val="clear" w:color="auto" w:fill="auto"/>
          </w:tcPr>
          <w:p w:rsidR="00E23091" w:rsidRPr="001E1652" w:rsidRDefault="00E23091" w:rsidP="00E23091">
            <w:pPr>
              <w:pStyle w:val="Tabletext"/>
              <w:tabs>
                <w:tab w:val="decimal" w:pos="660"/>
              </w:tabs>
            </w:pPr>
            <w:r w:rsidRPr="001E1652">
              <w:t>20.3913</w:t>
            </w:r>
          </w:p>
        </w:tc>
      </w:tr>
      <w:tr w:rsidR="00E23091" w:rsidRPr="001E1652" w:rsidTr="00777F5E">
        <w:tc>
          <w:tcPr>
            <w:tcW w:w="714" w:type="dxa"/>
            <w:shd w:val="clear" w:color="auto" w:fill="auto"/>
          </w:tcPr>
          <w:p w:rsidR="00E23091" w:rsidRPr="001E1652" w:rsidRDefault="00E23091" w:rsidP="00E23091">
            <w:pPr>
              <w:pStyle w:val="Tabletext"/>
            </w:pPr>
            <w:r w:rsidRPr="001E1652">
              <w:lastRenderedPageBreak/>
              <w:t>63</w:t>
            </w:r>
          </w:p>
        </w:tc>
        <w:tc>
          <w:tcPr>
            <w:tcW w:w="1900" w:type="dxa"/>
            <w:shd w:val="clear" w:color="auto" w:fill="auto"/>
          </w:tcPr>
          <w:p w:rsidR="00E23091" w:rsidRPr="001E1652" w:rsidRDefault="00E23091" w:rsidP="00E23091">
            <w:pPr>
              <w:pStyle w:val="Tabletext"/>
              <w:tabs>
                <w:tab w:val="decimal" w:pos="660"/>
              </w:tabs>
            </w:pPr>
            <w:r w:rsidRPr="001E1652">
              <w:t>18.8222</w:t>
            </w:r>
          </w:p>
        </w:tc>
        <w:tc>
          <w:tcPr>
            <w:tcW w:w="1900" w:type="dxa"/>
            <w:gridSpan w:val="2"/>
            <w:shd w:val="clear" w:color="auto" w:fill="auto"/>
          </w:tcPr>
          <w:p w:rsidR="00E23091" w:rsidRPr="001E1652" w:rsidRDefault="00E23091" w:rsidP="00E23091">
            <w:pPr>
              <w:pStyle w:val="Tabletext"/>
              <w:tabs>
                <w:tab w:val="decimal" w:pos="660"/>
              </w:tabs>
            </w:pPr>
            <w:r w:rsidRPr="001E1652">
              <w:t>16.5395</w:t>
            </w:r>
          </w:p>
        </w:tc>
        <w:tc>
          <w:tcPr>
            <w:tcW w:w="1900" w:type="dxa"/>
            <w:shd w:val="clear" w:color="auto" w:fill="auto"/>
          </w:tcPr>
          <w:p w:rsidR="00E23091" w:rsidRPr="001E1652" w:rsidRDefault="00E23091" w:rsidP="00E23091">
            <w:pPr>
              <w:pStyle w:val="Tabletext"/>
              <w:tabs>
                <w:tab w:val="decimal" w:pos="660"/>
              </w:tabs>
            </w:pPr>
            <w:r w:rsidRPr="001E1652">
              <w:t>20.3433</w:t>
            </w:r>
          </w:p>
        </w:tc>
        <w:tc>
          <w:tcPr>
            <w:tcW w:w="1900" w:type="dxa"/>
            <w:shd w:val="clear" w:color="auto" w:fill="auto"/>
          </w:tcPr>
          <w:p w:rsidR="00E23091" w:rsidRPr="001E1652" w:rsidRDefault="00E23091" w:rsidP="00E23091">
            <w:pPr>
              <w:pStyle w:val="Tabletext"/>
              <w:tabs>
                <w:tab w:val="decimal" w:pos="660"/>
              </w:tabs>
            </w:pPr>
            <w:r w:rsidRPr="001E1652">
              <w:t>19.8080</w:t>
            </w:r>
          </w:p>
        </w:tc>
      </w:tr>
      <w:tr w:rsidR="00E23091" w:rsidRPr="001E1652" w:rsidTr="00777F5E">
        <w:tc>
          <w:tcPr>
            <w:tcW w:w="714" w:type="dxa"/>
            <w:shd w:val="clear" w:color="auto" w:fill="auto"/>
          </w:tcPr>
          <w:p w:rsidR="00E23091" w:rsidRPr="001E1652" w:rsidRDefault="00E23091" w:rsidP="00E23091">
            <w:pPr>
              <w:pStyle w:val="Tabletext"/>
            </w:pPr>
            <w:r w:rsidRPr="001E1652">
              <w:t>64</w:t>
            </w:r>
          </w:p>
        </w:tc>
        <w:tc>
          <w:tcPr>
            <w:tcW w:w="1900" w:type="dxa"/>
            <w:shd w:val="clear" w:color="auto" w:fill="auto"/>
          </w:tcPr>
          <w:p w:rsidR="00E23091" w:rsidRPr="001E1652" w:rsidRDefault="00E23091" w:rsidP="00E23091">
            <w:pPr>
              <w:pStyle w:val="Tabletext"/>
              <w:tabs>
                <w:tab w:val="decimal" w:pos="660"/>
              </w:tabs>
            </w:pPr>
            <w:r w:rsidRPr="001E1652">
              <w:t>18.2031</w:t>
            </w:r>
          </w:p>
        </w:tc>
        <w:tc>
          <w:tcPr>
            <w:tcW w:w="1900" w:type="dxa"/>
            <w:gridSpan w:val="2"/>
            <w:shd w:val="clear" w:color="auto" w:fill="auto"/>
          </w:tcPr>
          <w:p w:rsidR="00E23091" w:rsidRPr="001E1652" w:rsidRDefault="00E23091" w:rsidP="00E23091">
            <w:pPr>
              <w:pStyle w:val="Tabletext"/>
              <w:tabs>
                <w:tab w:val="decimal" w:pos="660"/>
              </w:tabs>
            </w:pPr>
            <w:r w:rsidRPr="001E1652">
              <w:t>15.9459</w:t>
            </w:r>
          </w:p>
        </w:tc>
        <w:tc>
          <w:tcPr>
            <w:tcW w:w="1900" w:type="dxa"/>
            <w:shd w:val="clear" w:color="auto" w:fill="auto"/>
          </w:tcPr>
          <w:p w:rsidR="00E23091" w:rsidRPr="001E1652" w:rsidRDefault="00E23091" w:rsidP="00E23091">
            <w:pPr>
              <w:pStyle w:val="Tabletext"/>
              <w:tabs>
                <w:tab w:val="decimal" w:pos="660"/>
              </w:tabs>
            </w:pPr>
            <w:r w:rsidRPr="001E1652">
              <w:t>19.7430</w:t>
            </w:r>
          </w:p>
        </w:tc>
        <w:tc>
          <w:tcPr>
            <w:tcW w:w="1900" w:type="dxa"/>
            <w:shd w:val="clear" w:color="auto" w:fill="auto"/>
          </w:tcPr>
          <w:p w:rsidR="00E23091" w:rsidRPr="001E1652" w:rsidRDefault="00E23091" w:rsidP="00E23091">
            <w:pPr>
              <w:pStyle w:val="Tabletext"/>
              <w:tabs>
                <w:tab w:val="decimal" w:pos="660"/>
              </w:tabs>
            </w:pPr>
            <w:r w:rsidRPr="001E1652">
              <w:t>19.2187</w:t>
            </w:r>
          </w:p>
        </w:tc>
      </w:tr>
      <w:tr w:rsidR="00E23091" w:rsidRPr="001E1652" w:rsidTr="00777F5E">
        <w:tc>
          <w:tcPr>
            <w:tcW w:w="714" w:type="dxa"/>
            <w:shd w:val="clear" w:color="auto" w:fill="auto"/>
          </w:tcPr>
          <w:p w:rsidR="00E23091" w:rsidRPr="001E1652" w:rsidRDefault="00E23091" w:rsidP="00E23091">
            <w:pPr>
              <w:pStyle w:val="Tabletext"/>
            </w:pPr>
            <w:r w:rsidRPr="001E1652">
              <w:t>65</w:t>
            </w:r>
          </w:p>
        </w:tc>
        <w:tc>
          <w:tcPr>
            <w:tcW w:w="1900" w:type="dxa"/>
            <w:shd w:val="clear" w:color="auto" w:fill="auto"/>
          </w:tcPr>
          <w:p w:rsidR="00E23091" w:rsidRPr="001E1652" w:rsidRDefault="00E23091" w:rsidP="00E23091">
            <w:pPr>
              <w:pStyle w:val="Tabletext"/>
              <w:tabs>
                <w:tab w:val="decimal" w:pos="660"/>
              </w:tabs>
            </w:pPr>
            <w:r w:rsidRPr="001E1652">
              <w:t>17.5819</w:t>
            </w:r>
          </w:p>
        </w:tc>
        <w:tc>
          <w:tcPr>
            <w:tcW w:w="1900" w:type="dxa"/>
            <w:gridSpan w:val="2"/>
            <w:shd w:val="clear" w:color="auto" w:fill="auto"/>
          </w:tcPr>
          <w:p w:rsidR="00E23091" w:rsidRPr="001E1652" w:rsidRDefault="00E23091" w:rsidP="00E23091">
            <w:pPr>
              <w:pStyle w:val="Tabletext"/>
              <w:tabs>
                <w:tab w:val="decimal" w:pos="660"/>
              </w:tabs>
            </w:pPr>
            <w:r w:rsidRPr="001E1652">
              <w:t>15.3558</w:t>
            </w:r>
          </w:p>
        </w:tc>
        <w:tc>
          <w:tcPr>
            <w:tcW w:w="1900" w:type="dxa"/>
            <w:shd w:val="clear" w:color="auto" w:fill="auto"/>
          </w:tcPr>
          <w:p w:rsidR="00E23091" w:rsidRPr="001E1652" w:rsidRDefault="00E23091" w:rsidP="00E23091">
            <w:pPr>
              <w:pStyle w:val="Tabletext"/>
              <w:tabs>
                <w:tab w:val="decimal" w:pos="660"/>
              </w:tabs>
            </w:pPr>
            <w:r w:rsidRPr="001E1652">
              <w:t>19.1362</w:t>
            </w:r>
          </w:p>
        </w:tc>
        <w:tc>
          <w:tcPr>
            <w:tcW w:w="1900" w:type="dxa"/>
            <w:shd w:val="clear" w:color="auto" w:fill="auto"/>
          </w:tcPr>
          <w:p w:rsidR="00E23091" w:rsidRPr="001E1652" w:rsidRDefault="00E23091" w:rsidP="00E23091">
            <w:pPr>
              <w:pStyle w:val="Tabletext"/>
              <w:tabs>
                <w:tab w:val="decimal" w:pos="660"/>
              </w:tabs>
            </w:pPr>
            <w:r w:rsidRPr="001E1652">
              <w:t>18.6243</w:t>
            </w:r>
          </w:p>
        </w:tc>
      </w:tr>
      <w:tr w:rsidR="00E23091" w:rsidRPr="001E1652" w:rsidTr="00777F5E">
        <w:tc>
          <w:tcPr>
            <w:tcW w:w="714" w:type="dxa"/>
            <w:shd w:val="clear" w:color="auto" w:fill="auto"/>
          </w:tcPr>
          <w:p w:rsidR="00E23091" w:rsidRPr="001E1652" w:rsidRDefault="00E23091" w:rsidP="00E23091">
            <w:pPr>
              <w:pStyle w:val="Tabletext"/>
            </w:pPr>
            <w:r w:rsidRPr="001E1652">
              <w:t>66</w:t>
            </w:r>
          </w:p>
        </w:tc>
        <w:tc>
          <w:tcPr>
            <w:tcW w:w="1900" w:type="dxa"/>
            <w:shd w:val="clear" w:color="auto" w:fill="auto"/>
          </w:tcPr>
          <w:p w:rsidR="00E23091" w:rsidRPr="001E1652" w:rsidRDefault="00E23091" w:rsidP="00E23091">
            <w:pPr>
              <w:pStyle w:val="Tabletext"/>
              <w:tabs>
                <w:tab w:val="decimal" w:pos="660"/>
              </w:tabs>
            </w:pPr>
            <w:r w:rsidRPr="001E1652">
              <w:t>16.9592</w:t>
            </w:r>
          </w:p>
        </w:tc>
        <w:tc>
          <w:tcPr>
            <w:tcW w:w="1900" w:type="dxa"/>
            <w:gridSpan w:val="2"/>
            <w:shd w:val="clear" w:color="auto" w:fill="auto"/>
          </w:tcPr>
          <w:p w:rsidR="00E23091" w:rsidRPr="001E1652" w:rsidRDefault="00E23091" w:rsidP="00E23091">
            <w:pPr>
              <w:pStyle w:val="Tabletext"/>
              <w:tabs>
                <w:tab w:val="decimal" w:pos="660"/>
              </w:tabs>
            </w:pPr>
            <w:r w:rsidRPr="001E1652">
              <w:t>14.7700</w:t>
            </w:r>
          </w:p>
        </w:tc>
        <w:tc>
          <w:tcPr>
            <w:tcW w:w="1900" w:type="dxa"/>
            <w:shd w:val="clear" w:color="auto" w:fill="auto"/>
          </w:tcPr>
          <w:p w:rsidR="00E23091" w:rsidRPr="001E1652" w:rsidRDefault="00E23091" w:rsidP="00E23091">
            <w:pPr>
              <w:pStyle w:val="Tabletext"/>
              <w:tabs>
                <w:tab w:val="decimal" w:pos="660"/>
              </w:tabs>
            </w:pPr>
            <w:r w:rsidRPr="001E1652">
              <w:t>18.5233</w:t>
            </w:r>
          </w:p>
        </w:tc>
        <w:tc>
          <w:tcPr>
            <w:tcW w:w="1900" w:type="dxa"/>
            <w:shd w:val="clear" w:color="auto" w:fill="auto"/>
          </w:tcPr>
          <w:p w:rsidR="00E23091" w:rsidRPr="001E1652" w:rsidRDefault="00E23091" w:rsidP="00E23091">
            <w:pPr>
              <w:pStyle w:val="Tabletext"/>
              <w:tabs>
                <w:tab w:val="decimal" w:pos="660"/>
              </w:tabs>
            </w:pPr>
            <w:r w:rsidRPr="001E1652">
              <w:t>18.0249</w:t>
            </w:r>
          </w:p>
        </w:tc>
      </w:tr>
      <w:tr w:rsidR="00E23091" w:rsidRPr="001E1652" w:rsidTr="00777F5E">
        <w:tc>
          <w:tcPr>
            <w:tcW w:w="714" w:type="dxa"/>
            <w:shd w:val="clear" w:color="auto" w:fill="auto"/>
          </w:tcPr>
          <w:p w:rsidR="00E23091" w:rsidRPr="001E1652" w:rsidRDefault="00E23091" w:rsidP="00E23091">
            <w:pPr>
              <w:pStyle w:val="Tabletext"/>
            </w:pPr>
            <w:r w:rsidRPr="001E1652">
              <w:t>67</w:t>
            </w:r>
          </w:p>
        </w:tc>
        <w:tc>
          <w:tcPr>
            <w:tcW w:w="1900" w:type="dxa"/>
            <w:shd w:val="clear" w:color="auto" w:fill="auto"/>
          </w:tcPr>
          <w:p w:rsidR="00E23091" w:rsidRPr="001E1652" w:rsidRDefault="00E23091" w:rsidP="00E23091">
            <w:pPr>
              <w:pStyle w:val="Tabletext"/>
              <w:tabs>
                <w:tab w:val="decimal" w:pos="660"/>
              </w:tabs>
            </w:pPr>
            <w:r w:rsidRPr="001E1652">
              <w:t>16.3356</w:t>
            </w:r>
          </w:p>
        </w:tc>
        <w:tc>
          <w:tcPr>
            <w:tcW w:w="1900" w:type="dxa"/>
            <w:gridSpan w:val="2"/>
            <w:shd w:val="clear" w:color="auto" w:fill="auto"/>
          </w:tcPr>
          <w:p w:rsidR="00E23091" w:rsidRPr="001E1652" w:rsidRDefault="00E23091" w:rsidP="00E23091">
            <w:pPr>
              <w:pStyle w:val="Tabletext"/>
              <w:tabs>
                <w:tab w:val="decimal" w:pos="660"/>
              </w:tabs>
            </w:pPr>
            <w:r w:rsidRPr="001E1652">
              <w:t>14.1892</w:t>
            </w:r>
          </w:p>
        </w:tc>
        <w:tc>
          <w:tcPr>
            <w:tcW w:w="1900" w:type="dxa"/>
            <w:shd w:val="clear" w:color="auto" w:fill="auto"/>
          </w:tcPr>
          <w:p w:rsidR="00E23091" w:rsidRPr="001E1652" w:rsidRDefault="00E23091" w:rsidP="00E23091">
            <w:pPr>
              <w:pStyle w:val="Tabletext"/>
              <w:tabs>
                <w:tab w:val="decimal" w:pos="660"/>
              </w:tabs>
            </w:pPr>
            <w:r w:rsidRPr="001E1652">
              <w:t>17.9048</w:t>
            </w:r>
          </w:p>
        </w:tc>
        <w:tc>
          <w:tcPr>
            <w:tcW w:w="1900" w:type="dxa"/>
            <w:shd w:val="clear" w:color="auto" w:fill="auto"/>
          </w:tcPr>
          <w:p w:rsidR="00E23091" w:rsidRPr="001E1652" w:rsidRDefault="00E23091" w:rsidP="00E23091">
            <w:pPr>
              <w:pStyle w:val="Tabletext"/>
              <w:tabs>
                <w:tab w:val="decimal" w:pos="660"/>
              </w:tabs>
            </w:pPr>
            <w:r w:rsidRPr="001E1652">
              <w:t>17.4213</w:t>
            </w:r>
          </w:p>
        </w:tc>
      </w:tr>
      <w:tr w:rsidR="00E23091" w:rsidRPr="001E1652" w:rsidTr="00777F5E">
        <w:tc>
          <w:tcPr>
            <w:tcW w:w="714" w:type="dxa"/>
            <w:shd w:val="clear" w:color="auto" w:fill="auto"/>
          </w:tcPr>
          <w:p w:rsidR="00E23091" w:rsidRPr="001E1652" w:rsidRDefault="00E23091" w:rsidP="00E23091">
            <w:pPr>
              <w:pStyle w:val="Tabletext"/>
            </w:pPr>
            <w:r w:rsidRPr="001E1652">
              <w:t>68</w:t>
            </w:r>
          </w:p>
        </w:tc>
        <w:tc>
          <w:tcPr>
            <w:tcW w:w="1900" w:type="dxa"/>
            <w:shd w:val="clear" w:color="auto" w:fill="auto"/>
          </w:tcPr>
          <w:p w:rsidR="00E23091" w:rsidRPr="001E1652" w:rsidRDefault="00E23091" w:rsidP="00E23091">
            <w:pPr>
              <w:pStyle w:val="Tabletext"/>
              <w:tabs>
                <w:tab w:val="decimal" w:pos="660"/>
              </w:tabs>
            </w:pPr>
            <w:r w:rsidRPr="001E1652">
              <w:t>15.7121</w:t>
            </w:r>
          </w:p>
        </w:tc>
        <w:tc>
          <w:tcPr>
            <w:tcW w:w="1900" w:type="dxa"/>
            <w:gridSpan w:val="2"/>
            <w:shd w:val="clear" w:color="auto" w:fill="auto"/>
          </w:tcPr>
          <w:p w:rsidR="00E23091" w:rsidRPr="001E1652" w:rsidRDefault="00E23091" w:rsidP="00E23091">
            <w:pPr>
              <w:pStyle w:val="Tabletext"/>
              <w:tabs>
                <w:tab w:val="decimal" w:pos="660"/>
              </w:tabs>
            </w:pPr>
            <w:r w:rsidRPr="001E1652">
              <w:t>13.6142</w:t>
            </w:r>
          </w:p>
        </w:tc>
        <w:tc>
          <w:tcPr>
            <w:tcW w:w="1900" w:type="dxa"/>
            <w:shd w:val="clear" w:color="auto" w:fill="auto"/>
          </w:tcPr>
          <w:p w:rsidR="00E23091" w:rsidRPr="001E1652" w:rsidRDefault="00E23091" w:rsidP="00E23091">
            <w:pPr>
              <w:pStyle w:val="Tabletext"/>
              <w:tabs>
                <w:tab w:val="decimal" w:pos="660"/>
              </w:tabs>
            </w:pPr>
            <w:r w:rsidRPr="001E1652">
              <w:t>17.2814</w:t>
            </w:r>
          </w:p>
        </w:tc>
        <w:tc>
          <w:tcPr>
            <w:tcW w:w="1900" w:type="dxa"/>
            <w:shd w:val="clear" w:color="auto" w:fill="auto"/>
          </w:tcPr>
          <w:p w:rsidR="00E23091" w:rsidRPr="001E1652" w:rsidRDefault="00E23091" w:rsidP="00E23091">
            <w:pPr>
              <w:pStyle w:val="Tabletext"/>
              <w:tabs>
                <w:tab w:val="decimal" w:pos="660"/>
              </w:tabs>
            </w:pPr>
            <w:r w:rsidRPr="001E1652">
              <w:t>16.8133</w:t>
            </w:r>
          </w:p>
        </w:tc>
      </w:tr>
      <w:tr w:rsidR="00E23091" w:rsidRPr="001E1652" w:rsidTr="00777F5E">
        <w:tc>
          <w:tcPr>
            <w:tcW w:w="714" w:type="dxa"/>
            <w:shd w:val="clear" w:color="auto" w:fill="auto"/>
          </w:tcPr>
          <w:p w:rsidR="00E23091" w:rsidRPr="001E1652" w:rsidRDefault="00E23091" w:rsidP="00E23091">
            <w:pPr>
              <w:pStyle w:val="Tabletext"/>
            </w:pPr>
            <w:r w:rsidRPr="001E1652">
              <w:t>69</w:t>
            </w:r>
          </w:p>
        </w:tc>
        <w:tc>
          <w:tcPr>
            <w:tcW w:w="1900" w:type="dxa"/>
            <w:shd w:val="clear" w:color="auto" w:fill="auto"/>
          </w:tcPr>
          <w:p w:rsidR="00E23091" w:rsidRPr="001E1652" w:rsidRDefault="00E23091" w:rsidP="00E23091">
            <w:pPr>
              <w:pStyle w:val="Tabletext"/>
              <w:tabs>
                <w:tab w:val="decimal" w:pos="660"/>
              </w:tabs>
            </w:pPr>
            <w:r w:rsidRPr="001E1652">
              <w:t>15.0907</w:t>
            </w:r>
          </w:p>
        </w:tc>
        <w:tc>
          <w:tcPr>
            <w:tcW w:w="1900" w:type="dxa"/>
            <w:gridSpan w:val="2"/>
            <w:shd w:val="clear" w:color="auto" w:fill="auto"/>
          </w:tcPr>
          <w:p w:rsidR="00E23091" w:rsidRPr="001E1652" w:rsidRDefault="00E23091" w:rsidP="00E23091">
            <w:pPr>
              <w:pStyle w:val="Tabletext"/>
              <w:tabs>
                <w:tab w:val="decimal" w:pos="660"/>
              </w:tabs>
            </w:pPr>
            <w:r w:rsidRPr="001E1652">
              <w:t>13.0476</w:t>
            </w:r>
          </w:p>
        </w:tc>
        <w:tc>
          <w:tcPr>
            <w:tcW w:w="1900" w:type="dxa"/>
            <w:shd w:val="clear" w:color="auto" w:fill="auto"/>
          </w:tcPr>
          <w:p w:rsidR="00E23091" w:rsidRPr="001E1652" w:rsidRDefault="00E23091" w:rsidP="00E23091">
            <w:pPr>
              <w:pStyle w:val="Tabletext"/>
              <w:tabs>
                <w:tab w:val="decimal" w:pos="660"/>
              </w:tabs>
            </w:pPr>
            <w:r w:rsidRPr="001E1652">
              <w:t>16.6531</w:t>
            </w:r>
          </w:p>
        </w:tc>
        <w:tc>
          <w:tcPr>
            <w:tcW w:w="1900" w:type="dxa"/>
            <w:shd w:val="clear" w:color="auto" w:fill="auto"/>
          </w:tcPr>
          <w:p w:rsidR="00E23091" w:rsidRPr="001E1652" w:rsidRDefault="00E23091" w:rsidP="00E23091">
            <w:pPr>
              <w:pStyle w:val="Tabletext"/>
              <w:tabs>
                <w:tab w:val="decimal" w:pos="660"/>
              </w:tabs>
            </w:pPr>
            <w:r w:rsidRPr="001E1652">
              <w:t>16.2036</w:t>
            </w:r>
          </w:p>
        </w:tc>
      </w:tr>
      <w:tr w:rsidR="00E23091" w:rsidRPr="001E1652" w:rsidTr="00777F5E">
        <w:tc>
          <w:tcPr>
            <w:tcW w:w="714" w:type="dxa"/>
            <w:shd w:val="clear" w:color="auto" w:fill="auto"/>
          </w:tcPr>
          <w:p w:rsidR="00E23091" w:rsidRPr="001E1652" w:rsidRDefault="00E23091" w:rsidP="00E23091">
            <w:pPr>
              <w:pStyle w:val="Tabletext"/>
            </w:pPr>
            <w:r w:rsidRPr="001E1652">
              <w:t>70</w:t>
            </w:r>
          </w:p>
        </w:tc>
        <w:tc>
          <w:tcPr>
            <w:tcW w:w="1900" w:type="dxa"/>
            <w:shd w:val="clear" w:color="auto" w:fill="auto"/>
          </w:tcPr>
          <w:p w:rsidR="00E23091" w:rsidRPr="001E1652" w:rsidRDefault="00E23091" w:rsidP="00E23091">
            <w:pPr>
              <w:pStyle w:val="Tabletext"/>
              <w:tabs>
                <w:tab w:val="decimal" w:pos="660"/>
              </w:tabs>
            </w:pPr>
            <w:r w:rsidRPr="001E1652">
              <w:t>14.4723</w:t>
            </w:r>
          </w:p>
        </w:tc>
        <w:tc>
          <w:tcPr>
            <w:tcW w:w="1900" w:type="dxa"/>
            <w:gridSpan w:val="2"/>
            <w:shd w:val="clear" w:color="auto" w:fill="auto"/>
          </w:tcPr>
          <w:p w:rsidR="00E23091" w:rsidRPr="001E1652" w:rsidRDefault="00E23091" w:rsidP="00E23091">
            <w:pPr>
              <w:pStyle w:val="Tabletext"/>
              <w:tabs>
                <w:tab w:val="decimal" w:pos="660"/>
              </w:tabs>
            </w:pPr>
            <w:r w:rsidRPr="001E1652">
              <w:t>12.4902</w:t>
            </w:r>
          </w:p>
        </w:tc>
        <w:tc>
          <w:tcPr>
            <w:tcW w:w="1900" w:type="dxa"/>
            <w:shd w:val="clear" w:color="auto" w:fill="auto"/>
          </w:tcPr>
          <w:p w:rsidR="00E23091" w:rsidRPr="001E1652" w:rsidRDefault="00E23091" w:rsidP="00E23091">
            <w:pPr>
              <w:pStyle w:val="Tabletext"/>
              <w:tabs>
                <w:tab w:val="decimal" w:pos="660"/>
              </w:tabs>
            </w:pPr>
            <w:r w:rsidRPr="001E1652">
              <w:t>16.0201</w:t>
            </w:r>
          </w:p>
        </w:tc>
        <w:tc>
          <w:tcPr>
            <w:tcW w:w="1900" w:type="dxa"/>
            <w:shd w:val="clear" w:color="auto" w:fill="auto"/>
          </w:tcPr>
          <w:p w:rsidR="00E23091" w:rsidRPr="001E1652" w:rsidRDefault="00E23091" w:rsidP="00E23091">
            <w:pPr>
              <w:pStyle w:val="Tabletext"/>
              <w:tabs>
                <w:tab w:val="decimal" w:pos="660"/>
              </w:tabs>
            </w:pPr>
            <w:r w:rsidRPr="001E1652">
              <w:t>15.5925</w:t>
            </w:r>
          </w:p>
        </w:tc>
      </w:tr>
      <w:tr w:rsidR="00E23091" w:rsidRPr="001E1652" w:rsidTr="00777F5E">
        <w:tc>
          <w:tcPr>
            <w:tcW w:w="714" w:type="dxa"/>
            <w:shd w:val="clear" w:color="auto" w:fill="auto"/>
          </w:tcPr>
          <w:p w:rsidR="00E23091" w:rsidRPr="001E1652" w:rsidRDefault="00E23091" w:rsidP="00E23091">
            <w:pPr>
              <w:pStyle w:val="Tabletext"/>
            </w:pPr>
            <w:r w:rsidRPr="001E1652">
              <w:t>71</w:t>
            </w:r>
          </w:p>
        </w:tc>
        <w:tc>
          <w:tcPr>
            <w:tcW w:w="1900" w:type="dxa"/>
            <w:shd w:val="clear" w:color="auto" w:fill="auto"/>
          </w:tcPr>
          <w:p w:rsidR="00E23091" w:rsidRPr="001E1652" w:rsidRDefault="00E23091" w:rsidP="00E23091">
            <w:pPr>
              <w:pStyle w:val="Tabletext"/>
              <w:tabs>
                <w:tab w:val="decimal" w:pos="660"/>
              </w:tabs>
            </w:pPr>
            <w:r w:rsidRPr="001E1652">
              <w:t>13.8504</w:t>
            </w:r>
          </w:p>
        </w:tc>
        <w:tc>
          <w:tcPr>
            <w:tcW w:w="1900" w:type="dxa"/>
            <w:gridSpan w:val="2"/>
            <w:shd w:val="clear" w:color="auto" w:fill="auto"/>
          </w:tcPr>
          <w:p w:rsidR="00E23091" w:rsidRPr="001E1652" w:rsidRDefault="00E23091" w:rsidP="00E23091">
            <w:pPr>
              <w:pStyle w:val="Tabletext"/>
              <w:tabs>
                <w:tab w:val="decimal" w:pos="660"/>
              </w:tabs>
            </w:pPr>
            <w:r w:rsidRPr="001E1652">
              <w:t>11.9427</w:t>
            </w:r>
          </w:p>
        </w:tc>
        <w:tc>
          <w:tcPr>
            <w:tcW w:w="1900" w:type="dxa"/>
            <w:shd w:val="clear" w:color="auto" w:fill="auto"/>
          </w:tcPr>
          <w:p w:rsidR="00E23091" w:rsidRPr="001E1652" w:rsidRDefault="00E23091" w:rsidP="00E23091">
            <w:pPr>
              <w:pStyle w:val="Tabletext"/>
              <w:tabs>
                <w:tab w:val="decimal" w:pos="660"/>
              </w:tabs>
            </w:pPr>
            <w:r w:rsidRPr="001E1652">
              <w:t>15.3936</w:t>
            </w:r>
          </w:p>
        </w:tc>
        <w:tc>
          <w:tcPr>
            <w:tcW w:w="1900" w:type="dxa"/>
            <w:shd w:val="clear" w:color="auto" w:fill="auto"/>
          </w:tcPr>
          <w:p w:rsidR="00E23091" w:rsidRPr="001E1652" w:rsidRDefault="00E23091" w:rsidP="00E23091">
            <w:pPr>
              <w:pStyle w:val="Tabletext"/>
              <w:tabs>
                <w:tab w:val="decimal" w:pos="660"/>
              </w:tabs>
            </w:pPr>
            <w:r w:rsidRPr="001E1652">
              <w:t>14.9802</w:t>
            </w:r>
          </w:p>
        </w:tc>
      </w:tr>
      <w:tr w:rsidR="00E23091" w:rsidRPr="001E1652" w:rsidTr="00777F5E">
        <w:tc>
          <w:tcPr>
            <w:tcW w:w="714" w:type="dxa"/>
            <w:shd w:val="clear" w:color="auto" w:fill="auto"/>
          </w:tcPr>
          <w:p w:rsidR="00E23091" w:rsidRPr="001E1652" w:rsidRDefault="00E23091" w:rsidP="00E23091">
            <w:pPr>
              <w:pStyle w:val="Tabletext"/>
            </w:pPr>
            <w:r w:rsidRPr="001E1652">
              <w:t>72</w:t>
            </w:r>
          </w:p>
        </w:tc>
        <w:tc>
          <w:tcPr>
            <w:tcW w:w="1900" w:type="dxa"/>
            <w:shd w:val="clear" w:color="auto" w:fill="auto"/>
          </w:tcPr>
          <w:p w:rsidR="00E23091" w:rsidRPr="001E1652" w:rsidRDefault="00E23091" w:rsidP="00E23091">
            <w:pPr>
              <w:pStyle w:val="Tabletext"/>
              <w:tabs>
                <w:tab w:val="decimal" w:pos="660"/>
              </w:tabs>
            </w:pPr>
            <w:r w:rsidRPr="001E1652">
              <w:t>13.2320</w:t>
            </w:r>
          </w:p>
        </w:tc>
        <w:tc>
          <w:tcPr>
            <w:tcW w:w="1900" w:type="dxa"/>
            <w:gridSpan w:val="2"/>
            <w:shd w:val="clear" w:color="auto" w:fill="auto"/>
          </w:tcPr>
          <w:p w:rsidR="00E23091" w:rsidRPr="001E1652" w:rsidRDefault="00E23091" w:rsidP="00E23091">
            <w:pPr>
              <w:pStyle w:val="Tabletext"/>
              <w:tabs>
                <w:tab w:val="decimal" w:pos="660"/>
              </w:tabs>
            </w:pPr>
            <w:r w:rsidRPr="001E1652">
              <w:t>11.4062</w:t>
            </w:r>
          </w:p>
        </w:tc>
        <w:tc>
          <w:tcPr>
            <w:tcW w:w="1900" w:type="dxa"/>
            <w:shd w:val="clear" w:color="auto" w:fill="auto"/>
          </w:tcPr>
          <w:p w:rsidR="00E23091" w:rsidRPr="001E1652" w:rsidRDefault="00E23091" w:rsidP="00E23091">
            <w:pPr>
              <w:pStyle w:val="Tabletext"/>
              <w:tabs>
                <w:tab w:val="decimal" w:pos="660"/>
              </w:tabs>
            </w:pPr>
            <w:r w:rsidRPr="001E1652">
              <w:t>14.7642</w:t>
            </w:r>
          </w:p>
        </w:tc>
        <w:tc>
          <w:tcPr>
            <w:tcW w:w="1900" w:type="dxa"/>
            <w:shd w:val="clear" w:color="auto" w:fill="auto"/>
          </w:tcPr>
          <w:p w:rsidR="00E23091" w:rsidRPr="001E1652" w:rsidRDefault="00E23091" w:rsidP="00E23091">
            <w:pPr>
              <w:pStyle w:val="Tabletext"/>
              <w:tabs>
                <w:tab w:val="decimal" w:pos="660"/>
              </w:tabs>
            </w:pPr>
            <w:r w:rsidRPr="001E1652">
              <w:t>14.3676</w:t>
            </w:r>
          </w:p>
        </w:tc>
      </w:tr>
      <w:tr w:rsidR="00E23091" w:rsidRPr="001E1652" w:rsidTr="00777F5E">
        <w:tc>
          <w:tcPr>
            <w:tcW w:w="714" w:type="dxa"/>
            <w:shd w:val="clear" w:color="auto" w:fill="auto"/>
          </w:tcPr>
          <w:p w:rsidR="00E23091" w:rsidRPr="001E1652" w:rsidRDefault="00E23091" w:rsidP="00E23091">
            <w:pPr>
              <w:pStyle w:val="Tabletext"/>
            </w:pPr>
            <w:r w:rsidRPr="001E1652">
              <w:t>73</w:t>
            </w:r>
          </w:p>
        </w:tc>
        <w:tc>
          <w:tcPr>
            <w:tcW w:w="1900" w:type="dxa"/>
            <w:shd w:val="clear" w:color="auto" w:fill="auto"/>
          </w:tcPr>
          <w:p w:rsidR="00E23091" w:rsidRPr="001E1652" w:rsidRDefault="00E23091" w:rsidP="00E23091">
            <w:pPr>
              <w:pStyle w:val="Tabletext"/>
              <w:tabs>
                <w:tab w:val="decimal" w:pos="660"/>
              </w:tabs>
            </w:pPr>
            <w:r w:rsidRPr="001E1652">
              <w:t>12.6175</w:t>
            </w:r>
          </w:p>
        </w:tc>
        <w:tc>
          <w:tcPr>
            <w:tcW w:w="1900" w:type="dxa"/>
            <w:gridSpan w:val="2"/>
            <w:shd w:val="clear" w:color="auto" w:fill="auto"/>
          </w:tcPr>
          <w:p w:rsidR="00E23091" w:rsidRPr="001E1652" w:rsidRDefault="00E23091" w:rsidP="00E23091">
            <w:pPr>
              <w:pStyle w:val="Tabletext"/>
              <w:tabs>
                <w:tab w:val="decimal" w:pos="660"/>
              </w:tabs>
            </w:pPr>
            <w:r w:rsidRPr="001E1652">
              <w:t>10.8808</w:t>
            </w:r>
          </w:p>
        </w:tc>
        <w:tc>
          <w:tcPr>
            <w:tcW w:w="1900" w:type="dxa"/>
            <w:shd w:val="clear" w:color="auto" w:fill="auto"/>
          </w:tcPr>
          <w:p w:rsidR="00E23091" w:rsidRPr="001E1652" w:rsidRDefault="00E23091" w:rsidP="00E23091">
            <w:pPr>
              <w:pStyle w:val="Tabletext"/>
              <w:tabs>
                <w:tab w:val="decimal" w:pos="660"/>
              </w:tabs>
            </w:pPr>
            <w:r w:rsidRPr="001E1652">
              <w:t>14.1327</w:t>
            </w:r>
          </w:p>
        </w:tc>
        <w:tc>
          <w:tcPr>
            <w:tcW w:w="1900" w:type="dxa"/>
            <w:shd w:val="clear" w:color="auto" w:fill="auto"/>
          </w:tcPr>
          <w:p w:rsidR="00E23091" w:rsidRPr="001E1652" w:rsidRDefault="00E23091" w:rsidP="00E23091">
            <w:pPr>
              <w:pStyle w:val="Tabletext"/>
              <w:tabs>
                <w:tab w:val="decimal" w:pos="660"/>
              </w:tabs>
            </w:pPr>
            <w:r w:rsidRPr="001E1652">
              <w:t>13.7552</w:t>
            </w:r>
          </w:p>
        </w:tc>
      </w:tr>
      <w:tr w:rsidR="00E23091" w:rsidRPr="001E1652" w:rsidTr="00777F5E">
        <w:tc>
          <w:tcPr>
            <w:tcW w:w="714" w:type="dxa"/>
            <w:shd w:val="clear" w:color="auto" w:fill="auto"/>
          </w:tcPr>
          <w:p w:rsidR="00E23091" w:rsidRPr="001E1652" w:rsidRDefault="00E23091" w:rsidP="00E23091">
            <w:pPr>
              <w:pStyle w:val="Tabletext"/>
            </w:pPr>
            <w:r w:rsidRPr="001E1652">
              <w:t>74</w:t>
            </w:r>
          </w:p>
        </w:tc>
        <w:tc>
          <w:tcPr>
            <w:tcW w:w="1900" w:type="dxa"/>
            <w:shd w:val="clear" w:color="auto" w:fill="auto"/>
          </w:tcPr>
          <w:p w:rsidR="00E23091" w:rsidRPr="001E1652" w:rsidRDefault="00E23091" w:rsidP="00E23091">
            <w:pPr>
              <w:pStyle w:val="Tabletext"/>
              <w:tabs>
                <w:tab w:val="decimal" w:pos="660"/>
              </w:tabs>
            </w:pPr>
            <w:r w:rsidRPr="001E1652">
              <w:t>12.0080</w:t>
            </w:r>
          </w:p>
        </w:tc>
        <w:tc>
          <w:tcPr>
            <w:tcW w:w="1900" w:type="dxa"/>
            <w:gridSpan w:val="2"/>
            <w:shd w:val="clear" w:color="auto" w:fill="auto"/>
          </w:tcPr>
          <w:p w:rsidR="00E23091" w:rsidRPr="001E1652" w:rsidRDefault="00E23091" w:rsidP="00E23091">
            <w:pPr>
              <w:pStyle w:val="Tabletext"/>
              <w:tabs>
                <w:tab w:val="decimal" w:pos="660"/>
              </w:tabs>
            </w:pPr>
            <w:r w:rsidRPr="001E1652">
              <w:t>10.3605</w:t>
            </w:r>
          </w:p>
        </w:tc>
        <w:tc>
          <w:tcPr>
            <w:tcW w:w="1900" w:type="dxa"/>
            <w:shd w:val="clear" w:color="auto" w:fill="auto"/>
          </w:tcPr>
          <w:p w:rsidR="00E23091" w:rsidRPr="001E1652" w:rsidRDefault="00E23091" w:rsidP="00E23091">
            <w:pPr>
              <w:pStyle w:val="Tabletext"/>
              <w:tabs>
                <w:tab w:val="decimal" w:pos="660"/>
              </w:tabs>
            </w:pPr>
            <w:r w:rsidRPr="001E1652">
              <w:t>13.4985</w:t>
            </w:r>
          </w:p>
        </w:tc>
        <w:tc>
          <w:tcPr>
            <w:tcW w:w="1900" w:type="dxa"/>
            <w:shd w:val="clear" w:color="auto" w:fill="auto"/>
          </w:tcPr>
          <w:p w:rsidR="00E23091" w:rsidRPr="001E1652" w:rsidRDefault="00E23091" w:rsidP="00E23091">
            <w:pPr>
              <w:pStyle w:val="Tabletext"/>
              <w:tabs>
                <w:tab w:val="decimal" w:pos="660"/>
              </w:tabs>
            </w:pPr>
            <w:r w:rsidRPr="001E1652">
              <w:t>13.1432</w:t>
            </w:r>
          </w:p>
        </w:tc>
      </w:tr>
      <w:tr w:rsidR="00E23091" w:rsidRPr="001E1652" w:rsidTr="00777F5E">
        <w:tc>
          <w:tcPr>
            <w:tcW w:w="714" w:type="dxa"/>
            <w:shd w:val="clear" w:color="auto" w:fill="auto"/>
          </w:tcPr>
          <w:p w:rsidR="00E23091" w:rsidRPr="001E1652" w:rsidRDefault="00E23091" w:rsidP="00E23091">
            <w:pPr>
              <w:pStyle w:val="Tabletext"/>
            </w:pPr>
            <w:r w:rsidRPr="001E1652">
              <w:t>75</w:t>
            </w:r>
          </w:p>
        </w:tc>
        <w:tc>
          <w:tcPr>
            <w:tcW w:w="1900" w:type="dxa"/>
            <w:shd w:val="clear" w:color="auto" w:fill="auto"/>
          </w:tcPr>
          <w:p w:rsidR="00E23091" w:rsidRPr="001E1652" w:rsidRDefault="00E23091" w:rsidP="00E23091">
            <w:pPr>
              <w:pStyle w:val="Tabletext"/>
              <w:tabs>
                <w:tab w:val="decimal" w:pos="660"/>
              </w:tabs>
            </w:pPr>
            <w:r w:rsidRPr="001E1652">
              <w:t>11.4045</w:t>
            </w:r>
          </w:p>
        </w:tc>
        <w:tc>
          <w:tcPr>
            <w:tcW w:w="1900" w:type="dxa"/>
            <w:gridSpan w:val="2"/>
            <w:shd w:val="clear" w:color="auto" w:fill="auto"/>
          </w:tcPr>
          <w:p w:rsidR="00E23091" w:rsidRPr="001E1652" w:rsidRDefault="00E23091" w:rsidP="00E23091">
            <w:pPr>
              <w:pStyle w:val="Tabletext"/>
              <w:tabs>
                <w:tab w:val="decimal" w:pos="660"/>
              </w:tabs>
            </w:pPr>
            <w:r w:rsidRPr="001E1652">
              <w:t>9.8457</w:t>
            </w:r>
          </w:p>
        </w:tc>
        <w:tc>
          <w:tcPr>
            <w:tcW w:w="1900" w:type="dxa"/>
            <w:shd w:val="clear" w:color="auto" w:fill="auto"/>
          </w:tcPr>
          <w:p w:rsidR="00E23091" w:rsidRPr="001E1652" w:rsidRDefault="00E23091" w:rsidP="00E23091">
            <w:pPr>
              <w:pStyle w:val="Tabletext"/>
              <w:tabs>
                <w:tab w:val="decimal" w:pos="660"/>
              </w:tabs>
            </w:pPr>
            <w:r w:rsidRPr="001E1652">
              <w:t>12.8626</w:t>
            </w:r>
          </w:p>
        </w:tc>
        <w:tc>
          <w:tcPr>
            <w:tcW w:w="1900" w:type="dxa"/>
            <w:shd w:val="clear" w:color="auto" w:fill="auto"/>
          </w:tcPr>
          <w:p w:rsidR="00E23091" w:rsidRPr="001E1652" w:rsidRDefault="00E23091" w:rsidP="00E23091">
            <w:pPr>
              <w:pStyle w:val="Tabletext"/>
              <w:tabs>
                <w:tab w:val="decimal" w:pos="660"/>
              </w:tabs>
            </w:pPr>
            <w:r w:rsidRPr="001E1652">
              <w:t>12.5326</w:t>
            </w:r>
          </w:p>
        </w:tc>
      </w:tr>
      <w:tr w:rsidR="00E23091" w:rsidRPr="001E1652" w:rsidTr="00777F5E">
        <w:tc>
          <w:tcPr>
            <w:tcW w:w="714" w:type="dxa"/>
            <w:shd w:val="clear" w:color="auto" w:fill="auto"/>
          </w:tcPr>
          <w:p w:rsidR="00E23091" w:rsidRPr="001E1652" w:rsidRDefault="00E23091" w:rsidP="00E23091">
            <w:pPr>
              <w:pStyle w:val="Tabletext"/>
            </w:pPr>
            <w:r w:rsidRPr="001E1652">
              <w:t>76</w:t>
            </w:r>
          </w:p>
        </w:tc>
        <w:tc>
          <w:tcPr>
            <w:tcW w:w="1900" w:type="dxa"/>
            <w:shd w:val="clear" w:color="auto" w:fill="auto"/>
          </w:tcPr>
          <w:p w:rsidR="00E23091" w:rsidRPr="001E1652" w:rsidRDefault="00E23091" w:rsidP="00E23091">
            <w:pPr>
              <w:pStyle w:val="Tabletext"/>
              <w:tabs>
                <w:tab w:val="decimal" w:pos="660"/>
              </w:tabs>
            </w:pPr>
            <w:r w:rsidRPr="001E1652">
              <w:t>10.8094</w:t>
            </w:r>
          </w:p>
        </w:tc>
        <w:tc>
          <w:tcPr>
            <w:tcW w:w="1900" w:type="dxa"/>
            <w:gridSpan w:val="2"/>
            <w:shd w:val="clear" w:color="auto" w:fill="auto"/>
          </w:tcPr>
          <w:p w:rsidR="00E23091" w:rsidRPr="001E1652" w:rsidRDefault="00E23091" w:rsidP="00E23091">
            <w:pPr>
              <w:pStyle w:val="Tabletext"/>
              <w:tabs>
                <w:tab w:val="decimal" w:pos="660"/>
              </w:tabs>
            </w:pPr>
            <w:r w:rsidRPr="001E1652">
              <w:t>9.3377</w:t>
            </w:r>
          </w:p>
        </w:tc>
        <w:tc>
          <w:tcPr>
            <w:tcW w:w="1900" w:type="dxa"/>
            <w:shd w:val="clear" w:color="auto" w:fill="auto"/>
          </w:tcPr>
          <w:p w:rsidR="00E23091" w:rsidRPr="001E1652" w:rsidRDefault="00E23091" w:rsidP="00E23091">
            <w:pPr>
              <w:pStyle w:val="Tabletext"/>
              <w:tabs>
                <w:tab w:val="decimal" w:pos="660"/>
              </w:tabs>
            </w:pPr>
            <w:r w:rsidRPr="001E1652">
              <w:t>12.2370</w:t>
            </w:r>
          </w:p>
        </w:tc>
        <w:tc>
          <w:tcPr>
            <w:tcW w:w="1900" w:type="dxa"/>
            <w:shd w:val="clear" w:color="auto" w:fill="auto"/>
          </w:tcPr>
          <w:p w:rsidR="00E23091" w:rsidRPr="001E1652" w:rsidRDefault="00E23091" w:rsidP="00E23091">
            <w:pPr>
              <w:pStyle w:val="Tabletext"/>
              <w:tabs>
                <w:tab w:val="decimal" w:pos="660"/>
              </w:tabs>
            </w:pPr>
            <w:r w:rsidRPr="001E1652">
              <w:t>11.9249</w:t>
            </w:r>
          </w:p>
        </w:tc>
      </w:tr>
      <w:tr w:rsidR="00E23091" w:rsidRPr="001E1652" w:rsidTr="00777F5E">
        <w:tc>
          <w:tcPr>
            <w:tcW w:w="714" w:type="dxa"/>
            <w:shd w:val="clear" w:color="auto" w:fill="auto"/>
          </w:tcPr>
          <w:p w:rsidR="00E23091" w:rsidRPr="001E1652" w:rsidRDefault="00E23091" w:rsidP="00E23091">
            <w:pPr>
              <w:pStyle w:val="Tabletext"/>
            </w:pPr>
            <w:r w:rsidRPr="001E1652">
              <w:t>77</w:t>
            </w:r>
          </w:p>
        </w:tc>
        <w:tc>
          <w:tcPr>
            <w:tcW w:w="1900" w:type="dxa"/>
            <w:shd w:val="clear" w:color="auto" w:fill="auto"/>
          </w:tcPr>
          <w:p w:rsidR="00E23091" w:rsidRPr="001E1652" w:rsidRDefault="00E23091" w:rsidP="00E23091">
            <w:pPr>
              <w:pStyle w:val="Tabletext"/>
              <w:tabs>
                <w:tab w:val="decimal" w:pos="660"/>
              </w:tabs>
            </w:pPr>
            <w:r w:rsidRPr="001E1652">
              <w:t>10.2254</w:t>
            </w:r>
          </w:p>
        </w:tc>
        <w:tc>
          <w:tcPr>
            <w:tcW w:w="1900" w:type="dxa"/>
            <w:gridSpan w:val="2"/>
            <w:shd w:val="clear" w:color="auto" w:fill="auto"/>
          </w:tcPr>
          <w:p w:rsidR="00E23091" w:rsidRPr="001E1652" w:rsidRDefault="00E23091" w:rsidP="00E23091">
            <w:pPr>
              <w:pStyle w:val="Tabletext"/>
              <w:tabs>
                <w:tab w:val="decimal" w:pos="660"/>
              </w:tabs>
            </w:pPr>
            <w:r w:rsidRPr="001E1652">
              <w:t>8.8379</w:t>
            </w:r>
          </w:p>
        </w:tc>
        <w:tc>
          <w:tcPr>
            <w:tcW w:w="1900" w:type="dxa"/>
            <w:shd w:val="clear" w:color="auto" w:fill="auto"/>
          </w:tcPr>
          <w:p w:rsidR="00E23091" w:rsidRPr="001E1652" w:rsidRDefault="00E23091" w:rsidP="00E23091">
            <w:pPr>
              <w:pStyle w:val="Tabletext"/>
              <w:tabs>
                <w:tab w:val="decimal" w:pos="660"/>
              </w:tabs>
            </w:pPr>
            <w:r w:rsidRPr="001E1652">
              <w:t>11.6120</w:t>
            </w:r>
          </w:p>
        </w:tc>
        <w:tc>
          <w:tcPr>
            <w:tcW w:w="1900" w:type="dxa"/>
            <w:shd w:val="clear" w:color="auto" w:fill="auto"/>
          </w:tcPr>
          <w:p w:rsidR="00E23091" w:rsidRPr="001E1652" w:rsidRDefault="00E23091" w:rsidP="00E23091">
            <w:pPr>
              <w:pStyle w:val="Tabletext"/>
              <w:tabs>
                <w:tab w:val="decimal" w:pos="660"/>
              </w:tabs>
            </w:pPr>
            <w:r w:rsidRPr="001E1652">
              <w:t>11.3213</w:t>
            </w:r>
          </w:p>
        </w:tc>
      </w:tr>
      <w:tr w:rsidR="00E23091" w:rsidRPr="001E1652" w:rsidTr="00777F5E">
        <w:tc>
          <w:tcPr>
            <w:tcW w:w="714" w:type="dxa"/>
            <w:shd w:val="clear" w:color="auto" w:fill="auto"/>
          </w:tcPr>
          <w:p w:rsidR="00E23091" w:rsidRPr="001E1652" w:rsidRDefault="00E23091" w:rsidP="00E23091">
            <w:pPr>
              <w:pStyle w:val="Tabletext"/>
            </w:pPr>
            <w:r w:rsidRPr="001E1652">
              <w:t>78</w:t>
            </w:r>
          </w:p>
        </w:tc>
        <w:tc>
          <w:tcPr>
            <w:tcW w:w="1900" w:type="dxa"/>
            <w:shd w:val="clear" w:color="auto" w:fill="auto"/>
          </w:tcPr>
          <w:p w:rsidR="00E23091" w:rsidRPr="001E1652" w:rsidRDefault="00E23091" w:rsidP="00E23091">
            <w:pPr>
              <w:pStyle w:val="Tabletext"/>
              <w:tabs>
                <w:tab w:val="decimal" w:pos="660"/>
              </w:tabs>
            </w:pPr>
            <w:r w:rsidRPr="001E1652">
              <w:t>9.6547</w:t>
            </w:r>
          </w:p>
        </w:tc>
        <w:tc>
          <w:tcPr>
            <w:tcW w:w="1900" w:type="dxa"/>
            <w:gridSpan w:val="2"/>
            <w:shd w:val="clear" w:color="auto" w:fill="auto"/>
          </w:tcPr>
          <w:p w:rsidR="00E23091" w:rsidRPr="001E1652" w:rsidRDefault="00E23091" w:rsidP="00E23091">
            <w:pPr>
              <w:pStyle w:val="Tabletext"/>
              <w:tabs>
                <w:tab w:val="decimal" w:pos="660"/>
              </w:tabs>
            </w:pPr>
            <w:r w:rsidRPr="001E1652">
              <w:t>8.3475</w:t>
            </w:r>
          </w:p>
        </w:tc>
        <w:tc>
          <w:tcPr>
            <w:tcW w:w="1900" w:type="dxa"/>
            <w:shd w:val="clear" w:color="auto" w:fill="auto"/>
          </w:tcPr>
          <w:p w:rsidR="00E23091" w:rsidRPr="001E1652" w:rsidRDefault="00E23091" w:rsidP="00E23091">
            <w:pPr>
              <w:pStyle w:val="Tabletext"/>
              <w:tabs>
                <w:tab w:val="decimal" w:pos="660"/>
              </w:tabs>
            </w:pPr>
            <w:r w:rsidRPr="001E1652">
              <w:t>10.9883</w:t>
            </w:r>
          </w:p>
        </w:tc>
        <w:tc>
          <w:tcPr>
            <w:tcW w:w="1900" w:type="dxa"/>
            <w:shd w:val="clear" w:color="auto" w:fill="auto"/>
          </w:tcPr>
          <w:p w:rsidR="00E23091" w:rsidRPr="001E1652" w:rsidRDefault="00E23091" w:rsidP="00E23091">
            <w:pPr>
              <w:pStyle w:val="Tabletext"/>
              <w:tabs>
                <w:tab w:val="decimal" w:pos="660"/>
              </w:tabs>
            </w:pPr>
            <w:r w:rsidRPr="001E1652">
              <w:t>10.7240</w:t>
            </w:r>
          </w:p>
        </w:tc>
      </w:tr>
      <w:tr w:rsidR="00E23091" w:rsidRPr="001E1652" w:rsidTr="00777F5E">
        <w:tc>
          <w:tcPr>
            <w:tcW w:w="714" w:type="dxa"/>
            <w:shd w:val="clear" w:color="auto" w:fill="auto"/>
          </w:tcPr>
          <w:p w:rsidR="00E23091" w:rsidRPr="001E1652" w:rsidRDefault="00E23091" w:rsidP="00E23091">
            <w:pPr>
              <w:pStyle w:val="Tabletext"/>
            </w:pPr>
            <w:r w:rsidRPr="001E1652">
              <w:t>79</w:t>
            </w:r>
          </w:p>
        </w:tc>
        <w:tc>
          <w:tcPr>
            <w:tcW w:w="1900" w:type="dxa"/>
            <w:shd w:val="clear" w:color="auto" w:fill="auto"/>
          </w:tcPr>
          <w:p w:rsidR="00E23091" w:rsidRPr="001E1652" w:rsidRDefault="00E23091" w:rsidP="00E23091">
            <w:pPr>
              <w:pStyle w:val="Tabletext"/>
              <w:tabs>
                <w:tab w:val="decimal" w:pos="660"/>
              </w:tabs>
            </w:pPr>
            <w:r w:rsidRPr="001E1652">
              <w:t>9.1002</w:t>
            </w:r>
          </w:p>
        </w:tc>
        <w:tc>
          <w:tcPr>
            <w:tcW w:w="1900" w:type="dxa"/>
            <w:gridSpan w:val="2"/>
            <w:shd w:val="clear" w:color="auto" w:fill="auto"/>
          </w:tcPr>
          <w:p w:rsidR="00E23091" w:rsidRPr="001E1652" w:rsidRDefault="00E23091" w:rsidP="00E23091">
            <w:pPr>
              <w:pStyle w:val="Tabletext"/>
              <w:tabs>
                <w:tab w:val="decimal" w:pos="660"/>
              </w:tabs>
            </w:pPr>
            <w:r w:rsidRPr="001E1652">
              <w:t>7.8727</w:t>
            </w:r>
          </w:p>
        </w:tc>
        <w:tc>
          <w:tcPr>
            <w:tcW w:w="1900" w:type="dxa"/>
            <w:shd w:val="clear" w:color="auto" w:fill="auto"/>
          </w:tcPr>
          <w:p w:rsidR="00E23091" w:rsidRPr="001E1652" w:rsidRDefault="00E23091" w:rsidP="00E23091">
            <w:pPr>
              <w:pStyle w:val="Tabletext"/>
              <w:tabs>
                <w:tab w:val="decimal" w:pos="660"/>
              </w:tabs>
            </w:pPr>
            <w:r w:rsidRPr="001E1652">
              <w:t>10.3751</w:t>
            </w:r>
          </w:p>
        </w:tc>
        <w:tc>
          <w:tcPr>
            <w:tcW w:w="1900" w:type="dxa"/>
            <w:shd w:val="clear" w:color="auto" w:fill="auto"/>
          </w:tcPr>
          <w:p w:rsidR="00E23091" w:rsidRPr="001E1652" w:rsidRDefault="00E23091" w:rsidP="00E23091">
            <w:pPr>
              <w:pStyle w:val="Tabletext"/>
              <w:tabs>
                <w:tab w:val="decimal" w:pos="660"/>
              </w:tabs>
            </w:pPr>
            <w:r w:rsidRPr="001E1652">
              <w:t>10.1364</w:t>
            </w:r>
          </w:p>
        </w:tc>
      </w:tr>
      <w:tr w:rsidR="00E23091" w:rsidRPr="001E1652" w:rsidTr="00777F5E">
        <w:tc>
          <w:tcPr>
            <w:tcW w:w="714" w:type="dxa"/>
            <w:shd w:val="clear" w:color="auto" w:fill="auto"/>
          </w:tcPr>
          <w:p w:rsidR="00E23091" w:rsidRPr="001E1652" w:rsidRDefault="00E23091" w:rsidP="00E23091">
            <w:pPr>
              <w:pStyle w:val="Tabletext"/>
            </w:pPr>
            <w:r w:rsidRPr="001E1652">
              <w:t>80</w:t>
            </w:r>
          </w:p>
        </w:tc>
        <w:tc>
          <w:tcPr>
            <w:tcW w:w="1900" w:type="dxa"/>
            <w:shd w:val="clear" w:color="auto" w:fill="auto"/>
          </w:tcPr>
          <w:p w:rsidR="00E23091" w:rsidRPr="001E1652" w:rsidRDefault="00E23091" w:rsidP="00E23091">
            <w:pPr>
              <w:pStyle w:val="Tabletext"/>
              <w:tabs>
                <w:tab w:val="decimal" w:pos="660"/>
              </w:tabs>
            </w:pPr>
            <w:r w:rsidRPr="001E1652">
              <w:t>8.5633</w:t>
            </w:r>
          </w:p>
        </w:tc>
        <w:tc>
          <w:tcPr>
            <w:tcW w:w="1900" w:type="dxa"/>
            <w:gridSpan w:val="2"/>
            <w:shd w:val="clear" w:color="auto" w:fill="auto"/>
          </w:tcPr>
          <w:p w:rsidR="00E23091" w:rsidRPr="001E1652" w:rsidRDefault="00E23091" w:rsidP="00E23091">
            <w:pPr>
              <w:pStyle w:val="Tabletext"/>
              <w:tabs>
                <w:tab w:val="decimal" w:pos="660"/>
              </w:tabs>
            </w:pPr>
            <w:r w:rsidRPr="001E1652">
              <w:t>7.4143</w:t>
            </w:r>
          </w:p>
        </w:tc>
        <w:tc>
          <w:tcPr>
            <w:tcW w:w="1900" w:type="dxa"/>
            <w:shd w:val="clear" w:color="auto" w:fill="auto"/>
          </w:tcPr>
          <w:p w:rsidR="00E23091" w:rsidRPr="001E1652" w:rsidRDefault="00E23091" w:rsidP="00E23091">
            <w:pPr>
              <w:pStyle w:val="Tabletext"/>
              <w:tabs>
                <w:tab w:val="decimal" w:pos="660"/>
              </w:tabs>
            </w:pPr>
            <w:r w:rsidRPr="001E1652">
              <w:t>9.7744</w:t>
            </w:r>
          </w:p>
        </w:tc>
        <w:tc>
          <w:tcPr>
            <w:tcW w:w="1900" w:type="dxa"/>
            <w:shd w:val="clear" w:color="auto" w:fill="auto"/>
          </w:tcPr>
          <w:p w:rsidR="00E23091" w:rsidRPr="001E1652" w:rsidRDefault="00E23091" w:rsidP="00E23091">
            <w:pPr>
              <w:pStyle w:val="Tabletext"/>
              <w:tabs>
                <w:tab w:val="decimal" w:pos="660"/>
              </w:tabs>
            </w:pPr>
            <w:r w:rsidRPr="001E1652">
              <w:t>9.5606</w:t>
            </w:r>
          </w:p>
        </w:tc>
      </w:tr>
      <w:tr w:rsidR="00E23091" w:rsidRPr="001E1652" w:rsidTr="00777F5E">
        <w:tc>
          <w:tcPr>
            <w:tcW w:w="714" w:type="dxa"/>
            <w:shd w:val="clear" w:color="auto" w:fill="auto"/>
          </w:tcPr>
          <w:p w:rsidR="00E23091" w:rsidRPr="001E1652" w:rsidRDefault="00E23091" w:rsidP="00E23091">
            <w:pPr>
              <w:pStyle w:val="Tabletext"/>
            </w:pPr>
            <w:r w:rsidRPr="001E1652">
              <w:t>81</w:t>
            </w:r>
          </w:p>
        </w:tc>
        <w:tc>
          <w:tcPr>
            <w:tcW w:w="1900" w:type="dxa"/>
            <w:shd w:val="clear" w:color="auto" w:fill="auto"/>
          </w:tcPr>
          <w:p w:rsidR="00E23091" w:rsidRPr="001E1652" w:rsidRDefault="00E23091" w:rsidP="00E23091">
            <w:pPr>
              <w:pStyle w:val="Tabletext"/>
              <w:tabs>
                <w:tab w:val="decimal" w:pos="660"/>
              </w:tabs>
            </w:pPr>
            <w:r w:rsidRPr="001E1652">
              <w:t>8.0448</w:t>
            </w:r>
          </w:p>
        </w:tc>
        <w:tc>
          <w:tcPr>
            <w:tcW w:w="1900" w:type="dxa"/>
            <w:gridSpan w:val="2"/>
            <w:shd w:val="clear" w:color="auto" w:fill="auto"/>
          </w:tcPr>
          <w:p w:rsidR="00E23091" w:rsidRPr="001E1652" w:rsidRDefault="00E23091" w:rsidP="00E23091">
            <w:pPr>
              <w:pStyle w:val="Tabletext"/>
              <w:tabs>
                <w:tab w:val="decimal" w:pos="660"/>
              </w:tabs>
            </w:pPr>
            <w:r w:rsidRPr="001E1652">
              <w:t>6.9723</w:t>
            </w:r>
          </w:p>
        </w:tc>
        <w:tc>
          <w:tcPr>
            <w:tcW w:w="1900" w:type="dxa"/>
            <w:shd w:val="clear" w:color="auto" w:fill="auto"/>
          </w:tcPr>
          <w:p w:rsidR="00E23091" w:rsidRPr="001E1652" w:rsidRDefault="00E23091" w:rsidP="00E23091">
            <w:pPr>
              <w:pStyle w:val="Tabletext"/>
              <w:tabs>
                <w:tab w:val="decimal" w:pos="660"/>
              </w:tabs>
            </w:pPr>
            <w:r w:rsidRPr="001E1652">
              <w:t>9.1885</w:t>
            </w:r>
          </w:p>
        </w:tc>
        <w:tc>
          <w:tcPr>
            <w:tcW w:w="1900" w:type="dxa"/>
            <w:shd w:val="clear" w:color="auto" w:fill="auto"/>
          </w:tcPr>
          <w:p w:rsidR="00E23091" w:rsidRPr="001E1652" w:rsidRDefault="00E23091" w:rsidP="00E23091">
            <w:pPr>
              <w:pStyle w:val="Tabletext"/>
              <w:tabs>
                <w:tab w:val="decimal" w:pos="660"/>
              </w:tabs>
            </w:pPr>
            <w:r w:rsidRPr="001E1652">
              <w:t>8.9993</w:t>
            </w:r>
          </w:p>
        </w:tc>
      </w:tr>
      <w:tr w:rsidR="00E23091" w:rsidRPr="001E1652" w:rsidTr="00777F5E">
        <w:tc>
          <w:tcPr>
            <w:tcW w:w="714" w:type="dxa"/>
            <w:shd w:val="clear" w:color="auto" w:fill="auto"/>
          </w:tcPr>
          <w:p w:rsidR="00E23091" w:rsidRPr="001E1652" w:rsidRDefault="00E23091" w:rsidP="00E23091">
            <w:pPr>
              <w:pStyle w:val="Tabletext"/>
            </w:pPr>
            <w:r w:rsidRPr="001E1652">
              <w:t>82</w:t>
            </w:r>
          </w:p>
        </w:tc>
        <w:tc>
          <w:tcPr>
            <w:tcW w:w="1900" w:type="dxa"/>
            <w:shd w:val="clear" w:color="auto" w:fill="auto"/>
          </w:tcPr>
          <w:p w:rsidR="00E23091" w:rsidRPr="001E1652" w:rsidRDefault="00E23091" w:rsidP="00E23091">
            <w:pPr>
              <w:pStyle w:val="Tabletext"/>
              <w:tabs>
                <w:tab w:val="decimal" w:pos="660"/>
              </w:tabs>
            </w:pPr>
            <w:r w:rsidRPr="001E1652">
              <w:t>7.5458</w:t>
            </w:r>
          </w:p>
        </w:tc>
        <w:tc>
          <w:tcPr>
            <w:tcW w:w="1900" w:type="dxa"/>
            <w:gridSpan w:val="2"/>
            <w:shd w:val="clear" w:color="auto" w:fill="auto"/>
          </w:tcPr>
          <w:p w:rsidR="00E23091" w:rsidRPr="001E1652" w:rsidRDefault="00E23091" w:rsidP="00E23091">
            <w:pPr>
              <w:pStyle w:val="Tabletext"/>
              <w:tabs>
                <w:tab w:val="decimal" w:pos="660"/>
              </w:tabs>
            </w:pPr>
            <w:r w:rsidRPr="001E1652">
              <w:t>6.5466</w:t>
            </w:r>
          </w:p>
        </w:tc>
        <w:tc>
          <w:tcPr>
            <w:tcW w:w="1900" w:type="dxa"/>
            <w:shd w:val="clear" w:color="auto" w:fill="auto"/>
          </w:tcPr>
          <w:p w:rsidR="00E23091" w:rsidRPr="001E1652" w:rsidRDefault="00E23091" w:rsidP="00E23091">
            <w:pPr>
              <w:pStyle w:val="Tabletext"/>
              <w:tabs>
                <w:tab w:val="decimal" w:pos="660"/>
              </w:tabs>
            </w:pPr>
            <w:r w:rsidRPr="001E1652">
              <w:t>8.6171</w:t>
            </w:r>
          </w:p>
        </w:tc>
        <w:tc>
          <w:tcPr>
            <w:tcW w:w="1900" w:type="dxa"/>
            <w:shd w:val="clear" w:color="auto" w:fill="auto"/>
          </w:tcPr>
          <w:p w:rsidR="00E23091" w:rsidRPr="001E1652" w:rsidRDefault="00E23091" w:rsidP="00E23091">
            <w:pPr>
              <w:pStyle w:val="Tabletext"/>
              <w:tabs>
                <w:tab w:val="decimal" w:pos="660"/>
              </w:tabs>
            </w:pPr>
            <w:r w:rsidRPr="001E1652">
              <w:t>8.4536</w:t>
            </w:r>
          </w:p>
        </w:tc>
      </w:tr>
      <w:tr w:rsidR="00E23091" w:rsidRPr="001E1652" w:rsidTr="00777F5E">
        <w:tc>
          <w:tcPr>
            <w:tcW w:w="714" w:type="dxa"/>
            <w:shd w:val="clear" w:color="auto" w:fill="auto"/>
          </w:tcPr>
          <w:p w:rsidR="00E23091" w:rsidRPr="001E1652" w:rsidRDefault="00E23091" w:rsidP="00E23091">
            <w:pPr>
              <w:pStyle w:val="Tabletext"/>
            </w:pPr>
            <w:r w:rsidRPr="001E1652">
              <w:t>83</w:t>
            </w:r>
          </w:p>
        </w:tc>
        <w:tc>
          <w:tcPr>
            <w:tcW w:w="1900" w:type="dxa"/>
            <w:shd w:val="clear" w:color="auto" w:fill="auto"/>
          </w:tcPr>
          <w:p w:rsidR="00E23091" w:rsidRPr="001E1652" w:rsidRDefault="00E23091" w:rsidP="00E23091">
            <w:pPr>
              <w:pStyle w:val="Tabletext"/>
              <w:tabs>
                <w:tab w:val="decimal" w:pos="660"/>
              </w:tabs>
            </w:pPr>
            <w:r w:rsidRPr="001E1652">
              <w:t>7.0669</w:t>
            </w:r>
          </w:p>
        </w:tc>
        <w:tc>
          <w:tcPr>
            <w:tcW w:w="1900" w:type="dxa"/>
            <w:gridSpan w:val="2"/>
            <w:shd w:val="clear" w:color="auto" w:fill="auto"/>
          </w:tcPr>
          <w:p w:rsidR="00E23091" w:rsidRPr="001E1652" w:rsidRDefault="00E23091" w:rsidP="00E23091">
            <w:pPr>
              <w:pStyle w:val="Tabletext"/>
              <w:tabs>
                <w:tab w:val="decimal" w:pos="660"/>
              </w:tabs>
            </w:pPr>
            <w:r w:rsidRPr="001E1652">
              <w:t>6.1375</w:t>
            </w:r>
          </w:p>
        </w:tc>
        <w:tc>
          <w:tcPr>
            <w:tcW w:w="1900" w:type="dxa"/>
            <w:shd w:val="clear" w:color="auto" w:fill="auto"/>
          </w:tcPr>
          <w:p w:rsidR="00E23091" w:rsidRPr="001E1652" w:rsidRDefault="00E23091" w:rsidP="00E23091">
            <w:pPr>
              <w:pStyle w:val="Tabletext"/>
              <w:tabs>
                <w:tab w:val="decimal" w:pos="660"/>
              </w:tabs>
            </w:pPr>
            <w:r w:rsidRPr="001E1652">
              <w:t>8.0623</w:t>
            </w:r>
          </w:p>
        </w:tc>
        <w:tc>
          <w:tcPr>
            <w:tcW w:w="1900" w:type="dxa"/>
            <w:shd w:val="clear" w:color="auto" w:fill="auto"/>
          </w:tcPr>
          <w:p w:rsidR="00E23091" w:rsidRPr="001E1652" w:rsidRDefault="00E23091" w:rsidP="00E23091">
            <w:pPr>
              <w:pStyle w:val="Tabletext"/>
              <w:tabs>
                <w:tab w:val="decimal" w:pos="660"/>
              </w:tabs>
            </w:pPr>
            <w:r w:rsidRPr="001E1652">
              <w:t>7.9252</w:t>
            </w:r>
          </w:p>
        </w:tc>
      </w:tr>
      <w:tr w:rsidR="00E23091" w:rsidRPr="001E1652" w:rsidTr="00777F5E">
        <w:tc>
          <w:tcPr>
            <w:tcW w:w="714" w:type="dxa"/>
            <w:shd w:val="clear" w:color="auto" w:fill="auto"/>
          </w:tcPr>
          <w:p w:rsidR="00E23091" w:rsidRPr="001E1652" w:rsidRDefault="00E23091" w:rsidP="00E23091">
            <w:pPr>
              <w:pStyle w:val="Tabletext"/>
            </w:pPr>
            <w:r w:rsidRPr="001E1652">
              <w:t>84</w:t>
            </w:r>
          </w:p>
        </w:tc>
        <w:tc>
          <w:tcPr>
            <w:tcW w:w="1900" w:type="dxa"/>
            <w:shd w:val="clear" w:color="auto" w:fill="auto"/>
          </w:tcPr>
          <w:p w:rsidR="00E23091" w:rsidRPr="001E1652" w:rsidRDefault="00E23091" w:rsidP="00E23091">
            <w:pPr>
              <w:pStyle w:val="Tabletext"/>
              <w:tabs>
                <w:tab w:val="decimal" w:pos="660"/>
              </w:tabs>
            </w:pPr>
            <w:r w:rsidRPr="001E1652">
              <w:t>6.6140</w:t>
            </w:r>
          </w:p>
        </w:tc>
        <w:tc>
          <w:tcPr>
            <w:tcW w:w="1900" w:type="dxa"/>
            <w:gridSpan w:val="2"/>
            <w:shd w:val="clear" w:color="auto" w:fill="auto"/>
          </w:tcPr>
          <w:p w:rsidR="00E23091" w:rsidRPr="001E1652" w:rsidRDefault="00E23091" w:rsidP="00E23091">
            <w:pPr>
              <w:pStyle w:val="Tabletext"/>
              <w:tabs>
                <w:tab w:val="decimal" w:pos="660"/>
              </w:tabs>
            </w:pPr>
            <w:r w:rsidRPr="001E1652">
              <w:t>5.7514</w:t>
            </w:r>
          </w:p>
        </w:tc>
        <w:tc>
          <w:tcPr>
            <w:tcW w:w="1900" w:type="dxa"/>
            <w:shd w:val="clear" w:color="auto" w:fill="auto"/>
          </w:tcPr>
          <w:p w:rsidR="00E23091" w:rsidRPr="001E1652" w:rsidRDefault="00E23091" w:rsidP="00E23091">
            <w:pPr>
              <w:pStyle w:val="Tabletext"/>
              <w:tabs>
                <w:tab w:val="decimal" w:pos="660"/>
              </w:tabs>
            </w:pPr>
            <w:r w:rsidRPr="001E1652">
              <w:t>7.5275</w:t>
            </w:r>
          </w:p>
        </w:tc>
        <w:tc>
          <w:tcPr>
            <w:tcW w:w="1900" w:type="dxa"/>
            <w:shd w:val="clear" w:color="auto" w:fill="auto"/>
          </w:tcPr>
          <w:p w:rsidR="00E23091" w:rsidRPr="001E1652" w:rsidRDefault="00E23091" w:rsidP="00E23091">
            <w:pPr>
              <w:pStyle w:val="Tabletext"/>
              <w:tabs>
                <w:tab w:val="decimal" w:pos="660"/>
              </w:tabs>
            </w:pPr>
            <w:r w:rsidRPr="001E1652">
              <w:t>7.4177</w:t>
            </w:r>
          </w:p>
        </w:tc>
      </w:tr>
      <w:tr w:rsidR="00E23091" w:rsidRPr="001E1652" w:rsidTr="00777F5E">
        <w:tc>
          <w:tcPr>
            <w:tcW w:w="714" w:type="dxa"/>
            <w:shd w:val="clear" w:color="auto" w:fill="auto"/>
          </w:tcPr>
          <w:p w:rsidR="00E23091" w:rsidRPr="001E1652" w:rsidRDefault="00E23091" w:rsidP="00E23091">
            <w:pPr>
              <w:pStyle w:val="Tabletext"/>
            </w:pPr>
            <w:r w:rsidRPr="001E1652">
              <w:t>85</w:t>
            </w:r>
          </w:p>
        </w:tc>
        <w:tc>
          <w:tcPr>
            <w:tcW w:w="1900" w:type="dxa"/>
            <w:shd w:val="clear" w:color="auto" w:fill="auto"/>
          </w:tcPr>
          <w:p w:rsidR="00E23091" w:rsidRPr="001E1652" w:rsidRDefault="00E23091" w:rsidP="00E23091">
            <w:pPr>
              <w:pStyle w:val="Tabletext"/>
              <w:tabs>
                <w:tab w:val="decimal" w:pos="660"/>
              </w:tabs>
            </w:pPr>
            <w:r w:rsidRPr="001E1652">
              <w:t>6.1881</w:t>
            </w:r>
          </w:p>
        </w:tc>
        <w:tc>
          <w:tcPr>
            <w:tcW w:w="1900" w:type="dxa"/>
            <w:gridSpan w:val="2"/>
            <w:shd w:val="clear" w:color="auto" w:fill="auto"/>
          </w:tcPr>
          <w:p w:rsidR="00E23091" w:rsidRPr="001E1652" w:rsidRDefault="00E23091" w:rsidP="00E23091">
            <w:pPr>
              <w:pStyle w:val="Tabletext"/>
              <w:tabs>
                <w:tab w:val="decimal" w:pos="660"/>
              </w:tabs>
            </w:pPr>
            <w:r w:rsidRPr="001E1652">
              <w:t>5.3885</w:t>
            </w:r>
          </w:p>
        </w:tc>
        <w:tc>
          <w:tcPr>
            <w:tcW w:w="1900" w:type="dxa"/>
            <w:shd w:val="clear" w:color="auto" w:fill="auto"/>
          </w:tcPr>
          <w:p w:rsidR="00E23091" w:rsidRPr="001E1652" w:rsidRDefault="00E23091" w:rsidP="00E23091">
            <w:pPr>
              <w:pStyle w:val="Tabletext"/>
              <w:tabs>
                <w:tab w:val="decimal" w:pos="660"/>
              </w:tabs>
            </w:pPr>
            <w:r w:rsidRPr="001E1652">
              <w:t>7.0148</w:t>
            </w:r>
          </w:p>
        </w:tc>
        <w:tc>
          <w:tcPr>
            <w:tcW w:w="1900" w:type="dxa"/>
            <w:shd w:val="clear" w:color="auto" w:fill="auto"/>
          </w:tcPr>
          <w:p w:rsidR="00E23091" w:rsidRPr="001E1652" w:rsidRDefault="00E23091" w:rsidP="00E23091">
            <w:pPr>
              <w:pStyle w:val="Tabletext"/>
              <w:tabs>
                <w:tab w:val="decimal" w:pos="660"/>
              </w:tabs>
            </w:pPr>
            <w:r w:rsidRPr="001E1652">
              <w:t>6.9320</w:t>
            </w:r>
          </w:p>
        </w:tc>
      </w:tr>
      <w:tr w:rsidR="00E23091" w:rsidRPr="001E1652" w:rsidTr="00777F5E">
        <w:tc>
          <w:tcPr>
            <w:tcW w:w="714" w:type="dxa"/>
            <w:shd w:val="clear" w:color="auto" w:fill="auto"/>
          </w:tcPr>
          <w:p w:rsidR="00E23091" w:rsidRPr="001E1652" w:rsidRDefault="00E23091" w:rsidP="00E23091">
            <w:pPr>
              <w:pStyle w:val="Tabletext"/>
            </w:pPr>
            <w:r w:rsidRPr="001E1652">
              <w:t>86</w:t>
            </w:r>
          </w:p>
        </w:tc>
        <w:tc>
          <w:tcPr>
            <w:tcW w:w="1900" w:type="dxa"/>
            <w:shd w:val="clear" w:color="auto" w:fill="auto"/>
          </w:tcPr>
          <w:p w:rsidR="00E23091" w:rsidRPr="001E1652" w:rsidRDefault="00E23091" w:rsidP="00E23091">
            <w:pPr>
              <w:pStyle w:val="Tabletext"/>
              <w:tabs>
                <w:tab w:val="decimal" w:pos="660"/>
              </w:tabs>
            </w:pPr>
            <w:r w:rsidRPr="001E1652">
              <w:t>5.7715</w:t>
            </w:r>
          </w:p>
        </w:tc>
        <w:tc>
          <w:tcPr>
            <w:tcW w:w="1900" w:type="dxa"/>
            <w:gridSpan w:val="2"/>
            <w:shd w:val="clear" w:color="auto" w:fill="auto"/>
          </w:tcPr>
          <w:p w:rsidR="00E23091" w:rsidRPr="001E1652" w:rsidRDefault="00E23091" w:rsidP="00E23091">
            <w:pPr>
              <w:pStyle w:val="Tabletext"/>
              <w:tabs>
                <w:tab w:val="decimal" w:pos="660"/>
              </w:tabs>
            </w:pPr>
            <w:r w:rsidRPr="001E1652">
              <w:t>5.0493</w:t>
            </w:r>
          </w:p>
        </w:tc>
        <w:tc>
          <w:tcPr>
            <w:tcW w:w="1900" w:type="dxa"/>
            <w:shd w:val="clear" w:color="auto" w:fill="auto"/>
          </w:tcPr>
          <w:p w:rsidR="00E23091" w:rsidRPr="001E1652" w:rsidRDefault="00E23091" w:rsidP="00E23091">
            <w:pPr>
              <w:pStyle w:val="Tabletext"/>
              <w:tabs>
                <w:tab w:val="decimal" w:pos="660"/>
              </w:tabs>
            </w:pPr>
            <w:r w:rsidRPr="001E1652">
              <w:t>6.5219</w:t>
            </w:r>
          </w:p>
        </w:tc>
        <w:tc>
          <w:tcPr>
            <w:tcW w:w="1900" w:type="dxa"/>
            <w:shd w:val="clear" w:color="auto" w:fill="auto"/>
          </w:tcPr>
          <w:p w:rsidR="00E23091" w:rsidRPr="001E1652" w:rsidRDefault="00E23091" w:rsidP="00E23091">
            <w:pPr>
              <w:pStyle w:val="Tabletext"/>
              <w:tabs>
                <w:tab w:val="decimal" w:pos="660"/>
              </w:tabs>
            </w:pPr>
            <w:r w:rsidRPr="001E1652">
              <w:t>6.4695</w:t>
            </w:r>
          </w:p>
        </w:tc>
      </w:tr>
      <w:tr w:rsidR="00E23091" w:rsidRPr="001E1652" w:rsidTr="00777F5E">
        <w:tc>
          <w:tcPr>
            <w:tcW w:w="714" w:type="dxa"/>
            <w:shd w:val="clear" w:color="auto" w:fill="auto"/>
          </w:tcPr>
          <w:p w:rsidR="00E23091" w:rsidRPr="001E1652" w:rsidRDefault="00E23091" w:rsidP="00E23091">
            <w:pPr>
              <w:pStyle w:val="Tabletext"/>
            </w:pPr>
            <w:r w:rsidRPr="001E1652">
              <w:t>87</w:t>
            </w:r>
          </w:p>
        </w:tc>
        <w:tc>
          <w:tcPr>
            <w:tcW w:w="1900" w:type="dxa"/>
            <w:shd w:val="clear" w:color="auto" w:fill="auto"/>
          </w:tcPr>
          <w:p w:rsidR="00E23091" w:rsidRPr="001E1652" w:rsidRDefault="00E23091" w:rsidP="00E23091">
            <w:pPr>
              <w:pStyle w:val="Tabletext"/>
              <w:tabs>
                <w:tab w:val="decimal" w:pos="660"/>
              </w:tabs>
            </w:pPr>
            <w:r w:rsidRPr="001E1652">
              <w:t>5.3849</w:t>
            </w:r>
          </w:p>
        </w:tc>
        <w:tc>
          <w:tcPr>
            <w:tcW w:w="1900" w:type="dxa"/>
            <w:gridSpan w:val="2"/>
            <w:shd w:val="clear" w:color="auto" w:fill="auto"/>
          </w:tcPr>
          <w:p w:rsidR="00E23091" w:rsidRPr="001E1652" w:rsidRDefault="00E23091" w:rsidP="00E23091">
            <w:pPr>
              <w:pStyle w:val="Tabletext"/>
              <w:tabs>
                <w:tab w:val="decimal" w:pos="660"/>
              </w:tabs>
            </w:pPr>
            <w:r w:rsidRPr="001E1652">
              <w:t>4.7341</w:t>
            </w:r>
          </w:p>
        </w:tc>
        <w:tc>
          <w:tcPr>
            <w:tcW w:w="1900" w:type="dxa"/>
            <w:shd w:val="clear" w:color="auto" w:fill="auto"/>
          </w:tcPr>
          <w:p w:rsidR="00E23091" w:rsidRPr="001E1652" w:rsidRDefault="00E23091" w:rsidP="00E23091">
            <w:pPr>
              <w:pStyle w:val="Tabletext"/>
              <w:tabs>
                <w:tab w:val="decimal" w:pos="660"/>
              </w:tabs>
            </w:pPr>
            <w:r w:rsidRPr="001E1652">
              <w:t>6.0489</w:t>
            </w:r>
          </w:p>
        </w:tc>
        <w:tc>
          <w:tcPr>
            <w:tcW w:w="1900" w:type="dxa"/>
            <w:shd w:val="clear" w:color="auto" w:fill="auto"/>
          </w:tcPr>
          <w:p w:rsidR="00E23091" w:rsidRPr="001E1652" w:rsidRDefault="00E23091" w:rsidP="00E23091">
            <w:pPr>
              <w:pStyle w:val="Tabletext"/>
              <w:tabs>
                <w:tab w:val="decimal" w:pos="660"/>
              </w:tabs>
            </w:pPr>
            <w:r w:rsidRPr="001E1652">
              <w:t>6.0314</w:t>
            </w:r>
          </w:p>
        </w:tc>
      </w:tr>
      <w:tr w:rsidR="00E23091" w:rsidRPr="001E1652" w:rsidTr="00777F5E">
        <w:tc>
          <w:tcPr>
            <w:tcW w:w="714" w:type="dxa"/>
            <w:shd w:val="clear" w:color="auto" w:fill="auto"/>
          </w:tcPr>
          <w:p w:rsidR="00E23091" w:rsidRPr="001E1652" w:rsidRDefault="00E23091" w:rsidP="00E23091">
            <w:pPr>
              <w:pStyle w:val="Tabletext"/>
            </w:pPr>
            <w:r w:rsidRPr="001E1652">
              <w:t>88</w:t>
            </w:r>
          </w:p>
        </w:tc>
        <w:tc>
          <w:tcPr>
            <w:tcW w:w="1900" w:type="dxa"/>
            <w:shd w:val="clear" w:color="auto" w:fill="auto"/>
          </w:tcPr>
          <w:p w:rsidR="00E23091" w:rsidRPr="001E1652" w:rsidRDefault="00E23091" w:rsidP="00E23091">
            <w:pPr>
              <w:pStyle w:val="Tabletext"/>
              <w:tabs>
                <w:tab w:val="decimal" w:pos="660"/>
              </w:tabs>
            </w:pPr>
            <w:r w:rsidRPr="001E1652">
              <w:t>5.0283</w:t>
            </w:r>
          </w:p>
        </w:tc>
        <w:tc>
          <w:tcPr>
            <w:tcW w:w="1900" w:type="dxa"/>
            <w:gridSpan w:val="2"/>
            <w:shd w:val="clear" w:color="auto" w:fill="auto"/>
          </w:tcPr>
          <w:p w:rsidR="00E23091" w:rsidRPr="001E1652" w:rsidRDefault="00E23091" w:rsidP="00E23091">
            <w:pPr>
              <w:pStyle w:val="Tabletext"/>
              <w:tabs>
                <w:tab w:val="decimal" w:pos="660"/>
              </w:tabs>
            </w:pPr>
            <w:r w:rsidRPr="001E1652">
              <w:t>4.4413</w:t>
            </w:r>
          </w:p>
        </w:tc>
        <w:tc>
          <w:tcPr>
            <w:tcW w:w="1900" w:type="dxa"/>
            <w:shd w:val="clear" w:color="auto" w:fill="auto"/>
          </w:tcPr>
          <w:p w:rsidR="00E23091" w:rsidRPr="001E1652" w:rsidRDefault="00E23091" w:rsidP="00E23091">
            <w:pPr>
              <w:pStyle w:val="Tabletext"/>
              <w:tabs>
                <w:tab w:val="decimal" w:pos="660"/>
              </w:tabs>
            </w:pPr>
            <w:r w:rsidRPr="001E1652">
              <w:t>5.5956</w:t>
            </w:r>
          </w:p>
        </w:tc>
        <w:tc>
          <w:tcPr>
            <w:tcW w:w="1900" w:type="dxa"/>
            <w:shd w:val="clear" w:color="auto" w:fill="auto"/>
          </w:tcPr>
          <w:p w:rsidR="00E23091" w:rsidRPr="001E1652" w:rsidRDefault="00E23091" w:rsidP="00E23091">
            <w:pPr>
              <w:pStyle w:val="Tabletext"/>
              <w:tabs>
                <w:tab w:val="decimal" w:pos="660"/>
              </w:tabs>
            </w:pPr>
            <w:r w:rsidRPr="001E1652">
              <w:t>5.6184</w:t>
            </w:r>
          </w:p>
        </w:tc>
      </w:tr>
      <w:tr w:rsidR="00E23091" w:rsidRPr="001E1652" w:rsidTr="00777F5E">
        <w:tc>
          <w:tcPr>
            <w:tcW w:w="714" w:type="dxa"/>
            <w:shd w:val="clear" w:color="auto" w:fill="auto"/>
          </w:tcPr>
          <w:p w:rsidR="00E23091" w:rsidRPr="001E1652" w:rsidRDefault="00E23091" w:rsidP="00E23091">
            <w:pPr>
              <w:pStyle w:val="Tabletext"/>
            </w:pPr>
            <w:r w:rsidRPr="001E1652">
              <w:t>89</w:t>
            </w:r>
          </w:p>
        </w:tc>
        <w:tc>
          <w:tcPr>
            <w:tcW w:w="1900" w:type="dxa"/>
            <w:shd w:val="clear" w:color="auto" w:fill="auto"/>
          </w:tcPr>
          <w:p w:rsidR="00E23091" w:rsidRPr="001E1652" w:rsidRDefault="00E23091" w:rsidP="00E23091">
            <w:pPr>
              <w:pStyle w:val="Tabletext"/>
              <w:tabs>
                <w:tab w:val="decimal" w:pos="660"/>
              </w:tabs>
            </w:pPr>
            <w:r w:rsidRPr="001E1652">
              <w:t>4.6985</w:t>
            </w:r>
          </w:p>
        </w:tc>
        <w:tc>
          <w:tcPr>
            <w:tcW w:w="1900" w:type="dxa"/>
            <w:gridSpan w:val="2"/>
            <w:shd w:val="clear" w:color="auto" w:fill="auto"/>
          </w:tcPr>
          <w:p w:rsidR="00E23091" w:rsidRPr="001E1652" w:rsidRDefault="00E23091" w:rsidP="00E23091">
            <w:pPr>
              <w:pStyle w:val="Tabletext"/>
              <w:tabs>
                <w:tab w:val="decimal" w:pos="660"/>
              </w:tabs>
            </w:pPr>
            <w:r w:rsidRPr="001E1652">
              <w:t>4.1659</w:t>
            </w:r>
          </w:p>
        </w:tc>
        <w:tc>
          <w:tcPr>
            <w:tcW w:w="1900" w:type="dxa"/>
            <w:shd w:val="clear" w:color="auto" w:fill="auto"/>
          </w:tcPr>
          <w:p w:rsidR="00E23091" w:rsidRPr="001E1652" w:rsidRDefault="00E23091" w:rsidP="00E23091">
            <w:pPr>
              <w:pStyle w:val="Tabletext"/>
              <w:tabs>
                <w:tab w:val="decimal" w:pos="660"/>
              </w:tabs>
            </w:pPr>
            <w:r w:rsidRPr="001E1652">
              <w:t>5.1722</w:t>
            </w:r>
          </w:p>
        </w:tc>
        <w:tc>
          <w:tcPr>
            <w:tcW w:w="1900" w:type="dxa"/>
            <w:shd w:val="clear" w:color="auto" w:fill="auto"/>
          </w:tcPr>
          <w:p w:rsidR="00E23091" w:rsidRPr="001E1652" w:rsidRDefault="00E23091" w:rsidP="00E23091">
            <w:pPr>
              <w:pStyle w:val="Tabletext"/>
              <w:tabs>
                <w:tab w:val="decimal" w:pos="660"/>
              </w:tabs>
            </w:pPr>
            <w:r w:rsidRPr="001E1652">
              <w:t>5.2237</w:t>
            </w:r>
          </w:p>
        </w:tc>
      </w:tr>
      <w:tr w:rsidR="00E23091" w:rsidRPr="001E1652" w:rsidTr="00777F5E">
        <w:tc>
          <w:tcPr>
            <w:tcW w:w="714" w:type="dxa"/>
            <w:shd w:val="clear" w:color="auto" w:fill="auto"/>
          </w:tcPr>
          <w:p w:rsidR="00E23091" w:rsidRPr="001E1652" w:rsidRDefault="00E23091" w:rsidP="00E23091">
            <w:pPr>
              <w:pStyle w:val="Tabletext"/>
            </w:pPr>
            <w:r w:rsidRPr="001E1652">
              <w:t>90</w:t>
            </w:r>
          </w:p>
        </w:tc>
        <w:tc>
          <w:tcPr>
            <w:tcW w:w="1900" w:type="dxa"/>
            <w:shd w:val="clear" w:color="auto" w:fill="auto"/>
          </w:tcPr>
          <w:p w:rsidR="00E23091" w:rsidRPr="001E1652" w:rsidRDefault="00E23091" w:rsidP="00E23091">
            <w:pPr>
              <w:pStyle w:val="Tabletext"/>
              <w:tabs>
                <w:tab w:val="decimal" w:pos="660"/>
              </w:tabs>
            </w:pPr>
            <w:r w:rsidRPr="001E1652">
              <w:t>4.3956</w:t>
            </w:r>
          </w:p>
        </w:tc>
        <w:tc>
          <w:tcPr>
            <w:tcW w:w="1900" w:type="dxa"/>
            <w:gridSpan w:val="2"/>
            <w:shd w:val="clear" w:color="auto" w:fill="auto"/>
          </w:tcPr>
          <w:p w:rsidR="00E23091" w:rsidRPr="001E1652" w:rsidRDefault="00E23091" w:rsidP="00E23091">
            <w:pPr>
              <w:pStyle w:val="Tabletext"/>
              <w:tabs>
                <w:tab w:val="decimal" w:pos="660"/>
              </w:tabs>
            </w:pPr>
            <w:r w:rsidRPr="001E1652">
              <w:t>3.9062</w:t>
            </w:r>
          </w:p>
        </w:tc>
        <w:tc>
          <w:tcPr>
            <w:tcW w:w="1900" w:type="dxa"/>
            <w:shd w:val="clear" w:color="auto" w:fill="auto"/>
          </w:tcPr>
          <w:p w:rsidR="00E23091" w:rsidRPr="001E1652" w:rsidRDefault="00E23091" w:rsidP="00E23091">
            <w:pPr>
              <w:pStyle w:val="Tabletext"/>
              <w:tabs>
                <w:tab w:val="decimal" w:pos="660"/>
              </w:tabs>
            </w:pPr>
            <w:r w:rsidRPr="001E1652">
              <w:t>4.7802</w:t>
            </w:r>
          </w:p>
        </w:tc>
        <w:tc>
          <w:tcPr>
            <w:tcW w:w="1900" w:type="dxa"/>
            <w:shd w:val="clear" w:color="auto" w:fill="auto"/>
          </w:tcPr>
          <w:p w:rsidR="00E23091" w:rsidRPr="001E1652" w:rsidRDefault="00E23091" w:rsidP="00E23091">
            <w:pPr>
              <w:pStyle w:val="Tabletext"/>
              <w:tabs>
                <w:tab w:val="decimal" w:pos="660"/>
              </w:tabs>
            </w:pPr>
            <w:r w:rsidRPr="001E1652">
              <w:t>4.8463</w:t>
            </w:r>
          </w:p>
        </w:tc>
      </w:tr>
      <w:tr w:rsidR="00E23091" w:rsidRPr="001E1652" w:rsidTr="00777F5E">
        <w:tc>
          <w:tcPr>
            <w:tcW w:w="714" w:type="dxa"/>
            <w:shd w:val="clear" w:color="auto" w:fill="auto"/>
          </w:tcPr>
          <w:p w:rsidR="00E23091" w:rsidRPr="001E1652" w:rsidRDefault="00E23091" w:rsidP="00E23091">
            <w:pPr>
              <w:pStyle w:val="Tabletext"/>
            </w:pPr>
            <w:r w:rsidRPr="001E1652">
              <w:t>91</w:t>
            </w:r>
          </w:p>
        </w:tc>
        <w:tc>
          <w:tcPr>
            <w:tcW w:w="1900" w:type="dxa"/>
            <w:shd w:val="clear" w:color="auto" w:fill="auto"/>
          </w:tcPr>
          <w:p w:rsidR="00E23091" w:rsidRPr="001E1652" w:rsidRDefault="00E23091" w:rsidP="00E23091">
            <w:pPr>
              <w:pStyle w:val="Tabletext"/>
              <w:tabs>
                <w:tab w:val="decimal" w:pos="660"/>
              </w:tabs>
            </w:pPr>
            <w:r w:rsidRPr="001E1652">
              <w:t>4.1201</w:t>
            </w:r>
          </w:p>
        </w:tc>
        <w:tc>
          <w:tcPr>
            <w:tcW w:w="1900" w:type="dxa"/>
            <w:gridSpan w:val="2"/>
            <w:shd w:val="clear" w:color="auto" w:fill="auto"/>
          </w:tcPr>
          <w:p w:rsidR="00E23091" w:rsidRPr="001E1652" w:rsidRDefault="00E23091" w:rsidP="00E23091">
            <w:pPr>
              <w:pStyle w:val="Tabletext"/>
              <w:tabs>
                <w:tab w:val="decimal" w:pos="660"/>
              </w:tabs>
            </w:pPr>
            <w:r w:rsidRPr="001E1652">
              <w:t>3.6601</w:t>
            </w:r>
          </w:p>
        </w:tc>
        <w:tc>
          <w:tcPr>
            <w:tcW w:w="1900" w:type="dxa"/>
            <w:shd w:val="clear" w:color="auto" w:fill="auto"/>
          </w:tcPr>
          <w:p w:rsidR="00E23091" w:rsidRPr="001E1652" w:rsidRDefault="00E23091" w:rsidP="00E23091">
            <w:pPr>
              <w:pStyle w:val="Tabletext"/>
              <w:tabs>
                <w:tab w:val="decimal" w:pos="660"/>
              </w:tabs>
            </w:pPr>
            <w:r w:rsidRPr="001E1652">
              <w:t>4.4158</w:t>
            </w:r>
          </w:p>
        </w:tc>
        <w:tc>
          <w:tcPr>
            <w:tcW w:w="1900" w:type="dxa"/>
            <w:shd w:val="clear" w:color="auto" w:fill="auto"/>
          </w:tcPr>
          <w:p w:rsidR="00E23091" w:rsidRPr="001E1652" w:rsidRDefault="00E23091" w:rsidP="00E23091">
            <w:pPr>
              <w:pStyle w:val="Tabletext"/>
              <w:tabs>
                <w:tab w:val="decimal" w:pos="660"/>
              </w:tabs>
            </w:pPr>
            <w:r w:rsidRPr="001E1652">
              <w:t>4.4844</w:t>
            </w:r>
          </w:p>
        </w:tc>
      </w:tr>
      <w:tr w:rsidR="00E23091" w:rsidRPr="001E1652" w:rsidTr="00777F5E">
        <w:tc>
          <w:tcPr>
            <w:tcW w:w="714" w:type="dxa"/>
            <w:shd w:val="clear" w:color="auto" w:fill="auto"/>
          </w:tcPr>
          <w:p w:rsidR="00E23091" w:rsidRPr="001E1652" w:rsidRDefault="00E23091" w:rsidP="00E23091">
            <w:pPr>
              <w:pStyle w:val="Tabletext"/>
            </w:pPr>
            <w:r w:rsidRPr="001E1652">
              <w:t>92</w:t>
            </w:r>
          </w:p>
        </w:tc>
        <w:tc>
          <w:tcPr>
            <w:tcW w:w="1900" w:type="dxa"/>
            <w:shd w:val="clear" w:color="auto" w:fill="auto"/>
          </w:tcPr>
          <w:p w:rsidR="00E23091" w:rsidRPr="001E1652" w:rsidRDefault="00E23091" w:rsidP="00E23091">
            <w:pPr>
              <w:pStyle w:val="Tabletext"/>
              <w:tabs>
                <w:tab w:val="decimal" w:pos="660"/>
              </w:tabs>
            </w:pPr>
            <w:r w:rsidRPr="001E1652">
              <w:t>3.8591</w:t>
            </w:r>
          </w:p>
        </w:tc>
        <w:tc>
          <w:tcPr>
            <w:tcW w:w="1900" w:type="dxa"/>
            <w:gridSpan w:val="2"/>
            <w:shd w:val="clear" w:color="auto" w:fill="auto"/>
          </w:tcPr>
          <w:p w:rsidR="00E23091" w:rsidRPr="001E1652" w:rsidRDefault="00E23091" w:rsidP="00E23091">
            <w:pPr>
              <w:pStyle w:val="Tabletext"/>
              <w:tabs>
                <w:tab w:val="decimal" w:pos="660"/>
              </w:tabs>
            </w:pPr>
            <w:r w:rsidRPr="001E1652">
              <w:t>3.4257</w:t>
            </w:r>
          </w:p>
        </w:tc>
        <w:tc>
          <w:tcPr>
            <w:tcW w:w="1900" w:type="dxa"/>
            <w:shd w:val="clear" w:color="auto" w:fill="auto"/>
          </w:tcPr>
          <w:p w:rsidR="00E23091" w:rsidRPr="001E1652" w:rsidRDefault="00E23091" w:rsidP="00E23091">
            <w:pPr>
              <w:pStyle w:val="Tabletext"/>
              <w:tabs>
                <w:tab w:val="decimal" w:pos="660"/>
              </w:tabs>
            </w:pPr>
            <w:r w:rsidRPr="001E1652">
              <w:t>4.0854</w:t>
            </w:r>
          </w:p>
        </w:tc>
        <w:tc>
          <w:tcPr>
            <w:tcW w:w="1900" w:type="dxa"/>
            <w:shd w:val="clear" w:color="auto" w:fill="auto"/>
          </w:tcPr>
          <w:p w:rsidR="00E23091" w:rsidRPr="001E1652" w:rsidRDefault="00E23091" w:rsidP="00E23091">
            <w:pPr>
              <w:pStyle w:val="Tabletext"/>
              <w:tabs>
                <w:tab w:val="decimal" w:pos="660"/>
              </w:tabs>
            </w:pPr>
            <w:r w:rsidRPr="001E1652">
              <w:t>4.1362</w:t>
            </w:r>
          </w:p>
        </w:tc>
      </w:tr>
      <w:tr w:rsidR="00E23091" w:rsidRPr="001E1652" w:rsidTr="00777F5E">
        <w:tc>
          <w:tcPr>
            <w:tcW w:w="714" w:type="dxa"/>
            <w:shd w:val="clear" w:color="auto" w:fill="auto"/>
          </w:tcPr>
          <w:p w:rsidR="00E23091" w:rsidRPr="001E1652" w:rsidRDefault="00E23091" w:rsidP="00E23091">
            <w:pPr>
              <w:pStyle w:val="Tabletext"/>
            </w:pPr>
            <w:r w:rsidRPr="001E1652">
              <w:t>93</w:t>
            </w:r>
          </w:p>
        </w:tc>
        <w:tc>
          <w:tcPr>
            <w:tcW w:w="1900" w:type="dxa"/>
            <w:shd w:val="clear" w:color="auto" w:fill="auto"/>
          </w:tcPr>
          <w:p w:rsidR="00E23091" w:rsidRPr="001E1652" w:rsidRDefault="00E23091" w:rsidP="00E23091">
            <w:pPr>
              <w:pStyle w:val="Tabletext"/>
              <w:tabs>
                <w:tab w:val="decimal" w:pos="660"/>
              </w:tabs>
            </w:pPr>
            <w:r w:rsidRPr="001E1652">
              <w:t>3.6098</w:t>
            </w:r>
          </w:p>
        </w:tc>
        <w:tc>
          <w:tcPr>
            <w:tcW w:w="1900" w:type="dxa"/>
            <w:gridSpan w:val="2"/>
            <w:shd w:val="clear" w:color="auto" w:fill="auto"/>
          </w:tcPr>
          <w:p w:rsidR="00E23091" w:rsidRPr="001E1652" w:rsidRDefault="00E23091" w:rsidP="00E23091">
            <w:pPr>
              <w:pStyle w:val="Tabletext"/>
              <w:tabs>
                <w:tab w:val="decimal" w:pos="660"/>
              </w:tabs>
            </w:pPr>
            <w:r w:rsidRPr="001E1652">
              <w:t>3.2000</w:t>
            </w:r>
          </w:p>
        </w:tc>
        <w:tc>
          <w:tcPr>
            <w:tcW w:w="1900" w:type="dxa"/>
            <w:shd w:val="clear" w:color="auto" w:fill="auto"/>
          </w:tcPr>
          <w:p w:rsidR="00E23091" w:rsidRPr="001E1652" w:rsidRDefault="00E23091" w:rsidP="00E23091">
            <w:pPr>
              <w:pStyle w:val="Tabletext"/>
              <w:tabs>
                <w:tab w:val="decimal" w:pos="660"/>
              </w:tabs>
            </w:pPr>
            <w:r w:rsidRPr="001E1652">
              <w:t>3.7920</w:t>
            </w:r>
          </w:p>
        </w:tc>
        <w:tc>
          <w:tcPr>
            <w:tcW w:w="1900" w:type="dxa"/>
            <w:shd w:val="clear" w:color="auto" w:fill="auto"/>
          </w:tcPr>
          <w:p w:rsidR="00E23091" w:rsidRPr="001E1652" w:rsidRDefault="00E23091" w:rsidP="00E23091">
            <w:pPr>
              <w:pStyle w:val="Tabletext"/>
              <w:tabs>
                <w:tab w:val="decimal" w:pos="660"/>
              </w:tabs>
            </w:pPr>
            <w:r w:rsidRPr="001E1652">
              <w:t>3.7986</w:t>
            </w:r>
          </w:p>
        </w:tc>
      </w:tr>
      <w:tr w:rsidR="00E23091" w:rsidRPr="001E1652" w:rsidTr="00777F5E">
        <w:tc>
          <w:tcPr>
            <w:tcW w:w="714" w:type="dxa"/>
            <w:shd w:val="clear" w:color="auto" w:fill="auto"/>
          </w:tcPr>
          <w:p w:rsidR="00E23091" w:rsidRPr="001E1652" w:rsidRDefault="00E23091" w:rsidP="00E23091">
            <w:pPr>
              <w:pStyle w:val="Tabletext"/>
            </w:pPr>
            <w:r w:rsidRPr="001E1652">
              <w:t>94</w:t>
            </w:r>
          </w:p>
        </w:tc>
        <w:tc>
          <w:tcPr>
            <w:tcW w:w="1900" w:type="dxa"/>
            <w:shd w:val="clear" w:color="auto" w:fill="auto"/>
          </w:tcPr>
          <w:p w:rsidR="00E23091" w:rsidRPr="001E1652" w:rsidRDefault="00E23091" w:rsidP="00E23091">
            <w:pPr>
              <w:pStyle w:val="Tabletext"/>
              <w:tabs>
                <w:tab w:val="decimal" w:pos="660"/>
              </w:tabs>
            </w:pPr>
            <w:r w:rsidRPr="001E1652">
              <w:t>3.3716</w:t>
            </w:r>
          </w:p>
        </w:tc>
        <w:tc>
          <w:tcPr>
            <w:tcW w:w="1900" w:type="dxa"/>
            <w:gridSpan w:val="2"/>
            <w:shd w:val="clear" w:color="auto" w:fill="auto"/>
          </w:tcPr>
          <w:p w:rsidR="00E23091" w:rsidRPr="001E1652" w:rsidRDefault="00E23091" w:rsidP="00E23091">
            <w:pPr>
              <w:pStyle w:val="Tabletext"/>
              <w:tabs>
                <w:tab w:val="decimal" w:pos="660"/>
              </w:tabs>
            </w:pPr>
            <w:r w:rsidRPr="001E1652">
              <w:t>2.9781</w:t>
            </w:r>
          </w:p>
        </w:tc>
        <w:tc>
          <w:tcPr>
            <w:tcW w:w="1900" w:type="dxa"/>
            <w:shd w:val="clear" w:color="auto" w:fill="auto"/>
          </w:tcPr>
          <w:p w:rsidR="00E23091" w:rsidRPr="001E1652" w:rsidRDefault="00E23091" w:rsidP="00E23091">
            <w:pPr>
              <w:pStyle w:val="Tabletext"/>
              <w:tabs>
                <w:tab w:val="decimal" w:pos="660"/>
              </w:tabs>
            </w:pPr>
            <w:r w:rsidRPr="001E1652">
              <w:t>3.5123</w:t>
            </w:r>
          </w:p>
        </w:tc>
        <w:tc>
          <w:tcPr>
            <w:tcW w:w="1900" w:type="dxa"/>
            <w:shd w:val="clear" w:color="auto" w:fill="auto"/>
          </w:tcPr>
          <w:p w:rsidR="00E23091" w:rsidRPr="001E1652" w:rsidRDefault="00E23091" w:rsidP="00E23091">
            <w:pPr>
              <w:pStyle w:val="Tabletext"/>
              <w:tabs>
                <w:tab w:val="decimal" w:pos="660"/>
              </w:tabs>
            </w:pPr>
            <w:r w:rsidRPr="001E1652">
              <w:t>3.4821</w:t>
            </w:r>
          </w:p>
        </w:tc>
      </w:tr>
      <w:tr w:rsidR="00E23091" w:rsidRPr="001E1652" w:rsidTr="00777F5E">
        <w:tc>
          <w:tcPr>
            <w:tcW w:w="714" w:type="dxa"/>
            <w:shd w:val="clear" w:color="auto" w:fill="auto"/>
          </w:tcPr>
          <w:p w:rsidR="00E23091" w:rsidRPr="001E1652" w:rsidRDefault="00E23091" w:rsidP="00E23091">
            <w:pPr>
              <w:pStyle w:val="Tabletext"/>
            </w:pPr>
            <w:r w:rsidRPr="001E1652">
              <w:t>95</w:t>
            </w:r>
          </w:p>
        </w:tc>
        <w:tc>
          <w:tcPr>
            <w:tcW w:w="1900" w:type="dxa"/>
            <w:shd w:val="clear" w:color="auto" w:fill="auto"/>
          </w:tcPr>
          <w:p w:rsidR="00E23091" w:rsidRPr="001E1652" w:rsidRDefault="00E23091" w:rsidP="00E23091">
            <w:pPr>
              <w:pStyle w:val="Tabletext"/>
              <w:tabs>
                <w:tab w:val="decimal" w:pos="660"/>
              </w:tabs>
            </w:pPr>
            <w:r w:rsidRPr="001E1652">
              <w:t>3.1418</w:t>
            </w:r>
          </w:p>
        </w:tc>
        <w:tc>
          <w:tcPr>
            <w:tcW w:w="1900" w:type="dxa"/>
            <w:gridSpan w:val="2"/>
            <w:shd w:val="clear" w:color="auto" w:fill="auto"/>
          </w:tcPr>
          <w:p w:rsidR="00E23091" w:rsidRPr="001E1652" w:rsidRDefault="00E23091" w:rsidP="00E23091">
            <w:pPr>
              <w:pStyle w:val="Tabletext"/>
              <w:tabs>
                <w:tab w:val="decimal" w:pos="660"/>
              </w:tabs>
            </w:pPr>
            <w:r w:rsidRPr="001E1652">
              <w:t>2.7716</w:t>
            </w:r>
          </w:p>
        </w:tc>
        <w:tc>
          <w:tcPr>
            <w:tcW w:w="1900" w:type="dxa"/>
            <w:shd w:val="clear" w:color="auto" w:fill="auto"/>
          </w:tcPr>
          <w:p w:rsidR="00E23091" w:rsidRPr="001E1652" w:rsidRDefault="00E23091" w:rsidP="00E23091">
            <w:pPr>
              <w:pStyle w:val="Tabletext"/>
              <w:tabs>
                <w:tab w:val="decimal" w:pos="660"/>
              </w:tabs>
            </w:pPr>
            <w:r w:rsidRPr="001E1652">
              <w:t>3.2425</w:t>
            </w:r>
          </w:p>
        </w:tc>
        <w:tc>
          <w:tcPr>
            <w:tcW w:w="1900" w:type="dxa"/>
            <w:shd w:val="clear" w:color="auto" w:fill="auto"/>
          </w:tcPr>
          <w:p w:rsidR="00E23091" w:rsidRPr="001E1652" w:rsidRDefault="00E23091" w:rsidP="00E23091">
            <w:pPr>
              <w:pStyle w:val="Tabletext"/>
              <w:tabs>
                <w:tab w:val="decimal" w:pos="660"/>
              </w:tabs>
            </w:pPr>
            <w:r w:rsidRPr="001E1652">
              <w:t>3.1851</w:t>
            </w:r>
          </w:p>
        </w:tc>
      </w:tr>
      <w:tr w:rsidR="00E23091" w:rsidRPr="001E1652" w:rsidTr="00777F5E">
        <w:tc>
          <w:tcPr>
            <w:tcW w:w="714" w:type="dxa"/>
            <w:shd w:val="clear" w:color="auto" w:fill="auto"/>
          </w:tcPr>
          <w:p w:rsidR="00E23091" w:rsidRPr="001E1652" w:rsidRDefault="00E23091" w:rsidP="00E23091">
            <w:pPr>
              <w:pStyle w:val="Tabletext"/>
            </w:pPr>
            <w:r w:rsidRPr="001E1652">
              <w:t>96</w:t>
            </w:r>
          </w:p>
        </w:tc>
        <w:tc>
          <w:tcPr>
            <w:tcW w:w="1900" w:type="dxa"/>
            <w:shd w:val="clear" w:color="auto" w:fill="auto"/>
          </w:tcPr>
          <w:p w:rsidR="00E23091" w:rsidRPr="001E1652" w:rsidRDefault="00E23091" w:rsidP="00E23091">
            <w:pPr>
              <w:pStyle w:val="Tabletext"/>
              <w:tabs>
                <w:tab w:val="decimal" w:pos="660"/>
              </w:tabs>
            </w:pPr>
            <w:r w:rsidRPr="001E1652">
              <w:t>2.9164</w:t>
            </w:r>
          </w:p>
        </w:tc>
        <w:tc>
          <w:tcPr>
            <w:tcW w:w="1900" w:type="dxa"/>
            <w:gridSpan w:val="2"/>
            <w:shd w:val="clear" w:color="auto" w:fill="auto"/>
          </w:tcPr>
          <w:p w:rsidR="00E23091" w:rsidRPr="001E1652" w:rsidRDefault="00E23091" w:rsidP="00E23091">
            <w:pPr>
              <w:pStyle w:val="Tabletext"/>
              <w:tabs>
                <w:tab w:val="decimal" w:pos="660"/>
              </w:tabs>
            </w:pPr>
            <w:r w:rsidRPr="001E1652">
              <w:t>2.5795</w:t>
            </w:r>
          </w:p>
        </w:tc>
        <w:tc>
          <w:tcPr>
            <w:tcW w:w="1900" w:type="dxa"/>
            <w:shd w:val="clear" w:color="auto" w:fill="auto"/>
          </w:tcPr>
          <w:p w:rsidR="00E23091" w:rsidRPr="001E1652" w:rsidRDefault="00E23091" w:rsidP="00E23091">
            <w:pPr>
              <w:pStyle w:val="Tabletext"/>
              <w:tabs>
                <w:tab w:val="decimal" w:pos="660"/>
              </w:tabs>
            </w:pPr>
            <w:r w:rsidRPr="001E1652">
              <w:t>2.9776</w:t>
            </w:r>
          </w:p>
        </w:tc>
        <w:tc>
          <w:tcPr>
            <w:tcW w:w="1900" w:type="dxa"/>
            <w:shd w:val="clear" w:color="auto" w:fill="auto"/>
          </w:tcPr>
          <w:p w:rsidR="00E23091" w:rsidRPr="001E1652" w:rsidRDefault="00E23091" w:rsidP="00E23091">
            <w:pPr>
              <w:pStyle w:val="Tabletext"/>
              <w:tabs>
                <w:tab w:val="decimal" w:pos="660"/>
              </w:tabs>
            </w:pPr>
            <w:r w:rsidRPr="001E1652">
              <w:t>2.9056</w:t>
            </w:r>
          </w:p>
        </w:tc>
      </w:tr>
      <w:tr w:rsidR="00E23091" w:rsidRPr="001E1652" w:rsidTr="00777F5E">
        <w:tc>
          <w:tcPr>
            <w:tcW w:w="714" w:type="dxa"/>
            <w:shd w:val="clear" w:color="auto" w:fill="auto"/>
          </w:tcPr>
          <w:p w:rsidR="00E23091" w:rsidRPr="001E1652" w:rsidRDefault="00E23091" w:rsidP="00E23091">
            <w:pPr>
              <w:pStyle w:val="Tabletext"/>
            </w:pPr>
            <w:r w:rsidRPr="001E1652">
              <w:t>97</w:t>
            </w:r>
          </w:p>
        </w:tc>
        <w:tc>
          <w:tcPr>
            <w:tcW w:w="1900" w:type="dxa"/>
            <w:shd w:val="clear" w:color="auto" w:fill="auto"/>
          </w:tcPr>
          <w:p w:rsidR="00E23091" w:rsidRPr="001E1652" w:rsidRDefault="00E23091" w:rsidP="00E23091">
            <w:pPr>
              <w:pStyle w:val="Tabletext"/>
              <w:tabs>
                <w:tab w:val="decimal" w:pos="660"/>
              </w:tabs>
            </w:pPr>
            <w:r w:rsidRPr="001E1652">
              <w:t>2.7000</w:t>
            </w:r>
          </w:p>
        </w:tc>
        <w:tc>
          <w:tcPr>
            <w:tcW w:w="1900" w:type="dxa"/>
            <w:gridSpan w:val="2"/>
            <w:shd w:val="clear" w:color="auto" w:fill="auto"/>
          </w:tcPr>
          <w:p w:rsidR="00E23091" w:rsidRPr="001E1652" w:rsidRDefault="00E23091" w:rsidP="00E23091">
            <w:pPr>
              <w:pStyle w:val="Tabletext"/>
              <w:tabs>
                <w:tab w:val="decimal" w:pos="660"/>
              </w:tabs>
            </w:pPr>
            <w:r w:rsidRPr="001E1652">
              <w:t>2.4010</w:t>
            </w:r>
          </w:p>
        </w:tc>
        <w:tc>
          <w:tcPr>
            <w:tcW w:w="1900" w:type="dxa"/>
            <w:shd w:val="clear" w:color="auto" w:fill="auto"/>
          </w:tcPr>
          <w:p w:rsidR="00E23091" w:rsidRPr="001E1652" w:rsidRDefault="00E23091" w:rsidP="00E23091">
            <w:pPr>
              <w:pStyle w:val="Tabletext"/>
              <w:tabs>
                <w:tab w:val="decimal" w:pos="660"/>
              </w:tabs>
            </w:pPr>
            <w:r w:rsidRPr="001E1652">
              <w:t>2.7104</w:t>
            </w:r>
          </w:p>
        </w:tc>
        <w:tc>
          <w:tcPr>
            <w:tcW w:w="1900" w:type="dxa"/>
            <w:shd w:val="clear" w:color="auto" w:fill="auto"/>
          </w:tcPr>
          <w:p w:rsidR="00E23091" w:rsidRPr="001E1652" w:rsidRDefault="00E23091" w:rsidP="00E23091">
            <w:pPr>
              <w:pStyle w:val="Tabletext"/>
              <w:tabs>
                <w:tab w:val="decimal" w:pos="660"/>
              </w:tabs>
            </w:pPr>
            <w:r w:rsidRPr="001E1652">
              <w:t>2.6407</w:t>
            </w:r>
          </w:p>
        </w:tc>
      </w:tr>
      <w:tr w:rsidR="00E23091" w:rsidRPr="001E1652" w:rsidTr="00777F5E">
        <w:tc>
          <w:tcPr>
            <w:tcW w:w="714" w:type="dxa"/>
            <w:shd w:val="clear" w:color="auto" w:fill="auto"/>
          </w:tcPr>
          <w:p w:rsidR="00E23091" w:rsidRPr="001E1652" w:rsidRDefault="00E23091" w:rsidP="00E23091">
            <w:pPr>
              <w:pStyle w:val="Tabletext"/>
            </w:pPr>
            <w:r w:rsidRPr="001E1652">
              <w:t>98</w:t>
            </w:r>
          </w:p>
        </w:tc>
        <w:tc>
          <w:tcPr>
            <w:tcW w:w="1900" w:type="dxa"/>
            <w:shd w:val="clear" w:color="auto" w:fill="auto"/>
          </w:tcPr>
          <w:p w:rsidR="00E23091" w:rsidRPr="001E1652" w:rsidRDefault="00E23091" w:rsidP="00E23091">
            <w:pPr>
              <w:pStyle w:val="Tabletext"/>
              <w:tabs>
                <w:tab w:val="decimal" w:pos="660"/>
              </w:tabs>
            </w:pPr>
            <w:r w:rsidRPr="001E1652">
              <w:t>2.4825</w:t>
            </w:r>
          </w:p>
        </w:tc>
        <w:tc>
          <w:tcPr>
            <w:tcW w:w="1900" w:type="dxa"/>
            <w:gridSpan w:val="2"/>
            <w:shd w:val="clear" w:color="auto" w:fill="auto"/>
          </w:tcPr>
          <w:p w:rsidR="00E23091" w:rsidRPr="001E1652" w:rsidRDefault="00E23091" w:rsidP="00E23091">
            <w:pPr>
              <w:pStyle w:val="Tabletext"/>
              <w:tabs>
                <w:tab w:val="decimal" w:pos="660"/>
              </w:tabs>
            </w:pPr>
            <w:r w:rsidRPr="001E1652">
              <w:t>2.2283</w:t>
            </w:r>
          </w:p>
        </w:tc>
        <w:tc>
          <w:tcPr>
            <w:tcW w:w="1900" w:type="dxa"/>
            <w:shd w:val="clear" w:color="auto" w:fill="auto"/>
          </w:tcPr>
          <w:p w:rsidR="00E23091" w:rsidRPr="001E1652" w:rsidRDefault="00E23091" w:rsidP="00E23091">
            <w:pPr>
              <w:pStyle w:val="Tabletext"/>
              <w:tabs>
                <w:tab w:val="decimal" w:pos="660"/>
              </w:tabs>
            </w:pPr>
            <w:r w:rsidRPr="001E1652">
              <w:t>2.4304</w:t>
            </w:r>
          </w:p>
        </w:tc>
        <w:tc>
          <w:tcPr>
            <w:tcW w:w="1900" w:type="dxa"/>
            <w:shd w:val="clear" w:color="auto" w:fill="auto"/>
          </w:tcPr>
          <w:p w:rsidR="00E23091" w:rsidRPr="001E1652" w:rsidRDefault="00E23091" w:rsidP="00E23091">
            <w:pPr>
              <w:pStyle w:val="Tabletext"/>
              <w:tabs>
                <w:tab w:val="decimal" w:pos="660"/>
              </w:tabs>
            </w:pPr>
            <w:r w:rsidRPr="001E1652">
              <w:t>2.3863</w:t>
            </w:r>
          </w:p>
        </w:tc>
      </w:tr>
      <w:tr w:rsidR="00E23091" w:rsidRPr="001E1652" w:rsidTr="00777F5E">
        <w:tc>
          <w:tcPr>
            <w:tcW w:w="714" w:type="dxa"/>
            <w:shd w:val="clear" w:color="auto" w:fill="auto"/>
          </w:tcPr>
          <w:p w:rsidR="00E23091" w:rsidRPr="001E1652" w:rsidRDefault="00E23091" w:rsidP="00E23091">
            <w:pPr>
              <w:pStyle w:val="Tabletext"/>
            </w:pPr>
            <w:r w:rsidRPr="001E1652">
              <w:t>99</w:t>
            </w:r>
          </w:p>
        </w:tc>
        <w:tc>
          <w:tcPr>
            <w:tcW w:w="1900" w:type="dxa"/>
            <w:shd w:val="clear" w:color="auto" w:fill="auto"/>
          </w:tcPr>
          <w:p w:rsidR="00E23091" w:rsidRPr="001E1652" w:rsidRDefault="00E23091" w:rsidP="00E23091">
            <w:pPr>
              <w:pStyle w:val="Tabletext"/>
              <w:tabs>
                <w:tab w:val="decimal" w:pos="660"/>
              </w:tabs>
            </w:pPr>
            <w:r w:rsidRPr="001E1652">
              <w:t>2.2571</w:t>
            </w:r>
          </w:p>
        </w:tc>
        <w:tc>
          <w:tcPr>
            <w:tcW w:w="1900" w:type="dxa"/>
            <w:gridSpan w:val="2"/>
            <w:shd w:val="clear" w:color="auto" w:fill="auto"/>
          </w:tcPr>
          <w:p w:rsidR="00E23091" w:rsidRPr="001E1652" w:rsidRDefault="00E23091" w:rsidP="00E23091">
            <w:pPr>
              <w:pStyle w:val="Tabletext"/>
              <w:tabs>
                <w:tab w:val="decimal" w:pos="660"/>
              </w:tabs>
            </w:pPr>
            <w:r w:rsidRPr="001E1652">
              <w:t>2.0594</w:t>
            </w:r>
          </w:p>
        </w:tc>
        <w:tc>
          <w:tcPr>
            <w:tcW w:w="1900" w:type="dxa"/>
            <w:shd w:val="clear" w:color="auto" w:fill="auto"/>
          </w:tcPr>
          <w:p w:rsidR="00E23091" w:rsidRPr="001E1652" w:rsidRDefault="00E23091" w:rsidP="00E23091">
            <w:pPr>
              <w:pStyle w:val="Tabletext"/>
              <w:tabs>
                <w:tab w:val="decimal" w:pos="660"/>
              </w:tabs>
            </w:pPr>
            <w:r w:rsidRPr="001E1652">
              <w:t>2.1550</w:t>
            </w:r>
          </w:p>
        </w:tc>
        <w:tc>
          <w:tcPr>
            <w:tcW w:w="1900" w:type="dxa"/>
            <w:shd w:val="clear" w:color="auto" w:fill="auto"/>
          </w:tcPr>
          <w:p w:rsidR="00E23091" w:rsidRPr="001E1652" w:rsidRDefault="00E23091" w:rsidP="00E23091">
            <w:pPr>
              <w:pStyle w:val="Tabletext"/>
              <w:tabs>
                <w:tab w:val="decimal" w:pos="660"/>
              </w:tabs>
            </w:pPr>
            <w:r w:rsidRPr="001E1652">
              <w:t>2.1451</w:t>
            </w:r>
          </w:p>
        </w:tc>
      </w:tr>
      <w:tr w:rsidR="00E23091" w:rsidRPr="001E1652" w:rsidTr="00777F5E">
        <w:tc>
          <w:tcPr>
            <w:tcW w:w="714" w:type="dxa"/>
            <w:shd w:val="clear" w:color="auto" w:fill="auto"/>
          </w:tcPr>
          <w:p w:rsidR="00E23091" w:rsidRPr="001E1652" w:rsidRDefault="00E23091" w:rsidP="00E23091">
            <w:pPr>
              <w:pStyle w:val="Tabletext"/>
            </w:pPr>
            <w:r w:rsidRPr="001E1652">
              <w:lastRenderedPageBreak/>
              <w:t>100</w:t>
            </w:r>
          </w:p>
        </w:tc>
        <w:tc>
          <w:tcPr>
            <w:tcW w:w="1900" w:type="dxa"/>
            <w:shd w:val="clear" w:color="auto" w:fill="auto"/>
          </w:tcPr>
          <w:p w:rsidR="00E23091" w:rsidRPr="001E1652" w:rsidRDefault="00E23091" w:rsidP="00E23091">
            <w:pPr>
              <w:pStyle w:val="Tabletext"/>
              <w:tabs>
                <w:tab w:val="decimal" w:pos="660"/>
              </w:tabs>
            </w:pPr>
            <w:r w:rsidRPr="001E1652">
              <w:t>2.0173</w:t>
            </w:r>
          </w:p>
        </w:tc>
        <w:tc>
          <w:tcPr>
            <w:tcW w:w="1900" w:type="dxa"/>
            <w:gridSpan w:val="2"/>
            <w:shd w:val="clear" w:color="auto" w:fill="auto"/>
          </w:tcPr>
          <w:p w:rsidR="00E23091" w:rsidRPr="001E1652" w:rsidRDefault="00E23091" w:rsidP="00E23091">
            <w:pPr>
              <w:pStyle w:val="Tabletext"/>
              <w:tabs>
                <w:tab w:val="decimal" w:pos="660"/>
              </w:tabs>
            </w:pPr>
            <w:r w:rsidRPr="001E1652">
              <w:t>1.8961</w:t>
            </w:r>
          </w:p>
        </w:tc>
        <w:tc>
          <w:tcPr>
            <w:tcW w:w="1900" w:type="dxa"/>
            <w:shd w:val="clear" w:color="auto" w:fill="auto"/>
          </w:tcPr>
          <w:p w:rsidR="00E23091" w:rsidRPr="001E1652" w:rsidRDefault="00E23091" w:rsidP="00E23091">
            <w:pPr>
              <w:pStyle w:val="Tabletext"/>
              <w:tabs>
                <w:tab w:val="decimal" w:pos="660"/>
              </w:tabs>
            </w:pPr>
            <w:r w:rsidRPr="001E1652">
              <w:t>1.8786</w:t>
            </w:r>
          </w:p>
        </w:tc>
        <w:tc>
          <w:tcPr>
            <w:tcW w:w="1900" w:type="dxa"/>
            <w:shd w:val="clear" w:color="auto" w:fill="auto"/>
          </w:tcPr>
          <w:p w:rsidR="00E23091" w:rsidRPr="001E1652" w:rsidRDefault="00E23091" w:rsidP="00E23091">
            <w:pPr>
              <w:pStyle w:val="Tabletext"/>
              <w:tabs>
                <w:tab w:val="decimal" w:pos="660"/>
              </w:tabs>
            </w:pPr>
            <w:r w:rsidRPr="001E1652">
              <w:t>1.9162</w:t>
            </w:r>
          </w:p>
        </w:tc>
      </w:tr>
      <w:tr w:rsidR="00E23091" w:rsidRPr="001E1652" w:rsidTr="00777F5E">
        <w:tc>
          <w:tcPr>
            <w:tcW w:w="714" w:type="dxa"/>
            <w:shd w:val="clear" w:color="auto" w:fill="auto"/>
          </w:tcPr>
          <w:p w:rsidR="00E23091" w:rsidRPr="001E1652" w:rsidRDefault="00E23091" w:rsidP="00E23091">
            <w:pPr>
              <w:pStyle w:val="Tabletext"/>
            </w:pPr>
            <w:r w:rsidRPr="001E1652">
              <w:t>101</w:t>
            </w:r>
          </w:p>
        </w:tc>
        <w:tc>
          <w:tcPr>
            <w:tcW w:w="1900" w:type="dxa"/>
            <w:shd w:val="clear" w:color="auto" w:fill="auto"/>
          </w:tcPr>
          <w:p w:rsidR="00E23091" w:rsidRPr="001E1652" w:rsidRDefault="00E23091" w:rsidP="00E23091">
            <w:pPr>
              <w:pStyle w:val="Tabletext"/>
              <w:tabs>
                <w:tab w:val="decimal" w:pos="660"/>
              </w:tabs>
            </w:pPr>
            <w:r w:rsidRPr="001E1652">
              <w:t>1.8378</w:t>
            </w:r>
          </w:p>
        </w:tc>
        <w:tc>
          <w:tcPr>
            <w:tcW w:w="1900" w:type="dxa"/>
            <w:gridSpan w:val="2"/>
            <w:shd w:val="clear" w:color="auto" w:fill="auto"/>
          </w:tcPr>
          <w:p w:rsidR="00E23091" w:rsidRPr="001E1652" w:rsidRDefault="00E23091" w:rsidP="00E23091">
            <w:pPr>
              <w:pStyle w:val="Tabletext"/>
              <w:tabs>
                <w:tab w:val="decimal" w:pos="660"/>
              </w:tabs>
            </w:pPr>
            <w:r w:rsidRPr="001E1652">
              <w:t>1.7244</w:t>
            </w:r>
          </w:p>
        </w:tc>
        <w:tc>
          <w:tcPr>
            <w:tcW w:w="1900" w:type="dxa"/>
            <w:shd w:val="clear" w:color="auto" w:fill="auto"/>
          </w:tcPr>
          <w:p w:rsidR="00E23091" w:rsidRPr="001E1652" w:rsidRDefault="00E23091" w:rsidP="00E23091">
            <w:pPr>
              <w:pStyle w:val="Tabletext"/>
              <w:tabs>
                <w:tab w:val="decimal" w:pos="660"/>
              </w:tabs>
            </w:pPr>
            <w:r w:rsidRPr="001E1652">
              <w:t>1.6584</w:t>
            </w:r>
          </w:p>
        </w:tc>
        <w:tc>
          <w:tcPr>
            <w:tcW w:w="1900" w:type="dxa"/>
            <w:shd w:val="clear" w:color="auto" w:fill="auto"/>
          </w:tcPr>
          <w:p w:rsidR="00E23091" w:rsidRPr="001E1652" w:rsidRDefault="00E23091" w:rsidP="00E23091">
            <w:pPr>
              <w:pStyle w:val="Tabletext"/>
              <w:tabs>
                <w:tab w:val="decimal" w:pos="660"/>
              </w:tabs>
            </w:pPr>
            <w:r w:rsidRPr="001E1652">
              <w:t>1.6967</w:t>
            </w:r>
          </w:p>
        </w:tc>
      </w:tr>
      <w:tr w:rsidR="00E23091" w:rsidRPr="001E1652" w:rsidTr="00E23091">
        <w:tc>
          <w:tcPr>
            <w:tcW w:w="714" w:type="dxa"/>
            <w:shd w:val="clear" w:color="auto" w:fill="auto"/>
          </w:tcPr>
          <w:p w:rsidR="00E23091" w:rsidRPr="001E1652" w:rsidRDefault="00E23091" w:rsidP="00E23091">
            <w:pPr>
              <w:pStyle w:val="Tabletext"/>
            </w:pPr>
            <w:r w:rsidRPr="001E1652">
              <w:t>102</w:t>
            </w:r>
          </w:p>
        </w:tc>
        <w:tc>
          <w:tcPr>
            <w:tcW w:w="1900" w:type="dxa"/>
            <w:shd w:val="clear" w:color="auto" w:fill="auto"/>
          </w:tcPr>
          <w:p w:rsidR="00E23091" w:rsidRPr="001E1652" w:rsidRDefault="00E23091" w:rsidP="00E23091">
            <w:pPr>
              <w:pStyle w:val="Tabletext"/>
              <w:tabs>
                <w:tab w:val="decimal" w:pos="660"/>
              </w:tabs>
            </w:pPr>
            <w:r w:rsidRPr="001E1652">
              <w:t>1.6442</w:t>
            </w:r>
          </w:p>
        </w:tc>
        <w:tc>
          <w:tcPr>
            <w:tcW w:w="1900" w:type="dxa"/>
            <w:gridSpan w:val="2"/>
            <w:shd w:val="clear" w:color="auto" w:fill="auto"/>
          </w:tcPr>
          <w:p w:rsidR="00E23091" w:rsidRPr="001E1652" w:rsidRDefault="00E23091" w:rsidP="00E23091">
            <w:pPr>
              <w:pStyle w:val="Tabletext"/>
              <w:tabs>
                <w:tab w:val="decimal" w:pos="660"/>
              </w:tabs>
            </w:pPr>
            <w:r w:rsidRPr="001E1652">
              <w:t>1.5371</w:t>
            </w:r>
          </w:p>
        </w:tc>
        <w:tc>
          <w:tcPr>
            <w:tcW w:w="1900" w:type="dxa"/>
            <w:shd w:val="clear" w:color="auto" w:fill="auto"/>
          </w:tcPr>
          <w:p w:rsidR="00E23091" w:rsidRPr="001E1652" w:rsidRDefault="00E23091" w:rsidP="00E23091">
            <w:pPr>
              <w:pStyle w:val="Tabletext"/>
              <w:tabs>
                <w:tab w:val="decimal" w:pos="660"/>
              </w:tabs>
            </w:pPr>
            <w:r w:rsidRPr="001E1652">
              <w:t>1.4486</w:t>
            </w:r>
          </w:p>
        </w:tc>
        <w:tc>
          <w:tcPr>
            <w:tcW w:w="1900" w:type="dxa"/>
            <w:shd w:val="clear" w:color="auto" w:fill="auto"/>
          </w:tcPr>
          <w:p w:rsidR="00E23091" w:rsidRPr="001E1652" w:rsidRDefault="00E23091" w:rsidP="00E23091">
            <w:pPr>
              <w:pStyle w:val="Tabletext"/>
              <w:tabs>
                <w:tab w:val="decimal" w:pos="660"/>
              </w:tabs>
            </w:pPr>
            <w:r w:rsidRPr="001E1652">
              <w:t>1.4798</w:t>
            </w:r>
          </w:p>
        </w:tc>
      </w:tr>
      <w:tr w:rsidR="00E23091" w:rsidRPr="001E1652" w:rsidTr="00E23091">
        <w:tc>
          <w:tcPr>
            <w:tcW w:w="714" w:type="dxa"/>
            <w:shd w:val="clear" w:color="auto" w:fill="auto"/>
          </w:tcPr>
          <w:p w:rsidR="00E23091" w:rsidRPr="001E1652" w:rsidRDefault="00E23091" w:rsidP="00E23091">
            <w:pPr>
              <w:pStyle w:val="Tabletext"/>
            </w:pPr>
            <w:r w:rsidRPr="001E1652">
              <w:t>103</w:t>
            </w:r>
          </w:p>
        </w:tc>
        <w:tc>
          <w:tcPr>
            <w:tcW w:w="1900" w:type="dxa"/>
            <w:shd w:val="clear" w:color="auto" w:fill="auto"/>
          </w:tcPr>
          <w:p w:rsidR="00E23091" w:rsidRPr="001E1652" w:rsidRDefault="00E23091" w:rsidP="00E23091">
            <w:pPr>
              <w:pStyle w:val="Tabletext"/>
              <w:tabs>
                <w:tab w:val="decimal" w:pos="660"/>
              </w:tabs>
            </w:pPr>
            <w:r w:rsidRPr="001E1652">
              <w:t>1.4140</w:t>
            </w:r>
          </w:p>
        </w:tc>
        <w:tc>
          <w:tcPr>
            <w:tcW w:w="1900" w:type="dxa"/>
            <w:gridSpan w:val="2"/>
            <w:shd w:val="clear" w:color="auto" w:fill="auto"/>
          </w:tcPr>
          <w:p w:rsidR="00E23091" w:rsidRPr="001E1652" w:rsidRDefault="00E23091" w:rsidP="00E23091">
            <w:pPr>
              <w:pStyle w:val="Tabletext"/>
              <w:tabs>
                <w:tab w:val="decimal" w:pos="660"/>
              </w:tabs>
            </w:pPr>
            <w:r w:rsidRPr="001E1652">
              <w:t>1.3112</w:t>
            </w:r>
          </w:p>
        </w:tc>
        <w:tc>
          <w:tcPr>
            <w:tcW w:w="1900" w:type="dxa"/>
            <w:shd w:val="clear" w:color="auto" w:fill="auto"/>
          </w:tcPr>
          <w:p w:rsidR="00E23091" w:rsidRPr="001E1652" w:rsidRDefault="00E23091" w:rsidP="00E23091">
            <w:pPr>
              <w:pStyle w:val="Tabletext"/>
              <w:tabs>
                <w:tab w:val="decimal" w:pos="660"/>
              </w:tabs>
            </w:pPr>
            <w:r w:rsidRPr="001E1652">
              <w:t>1.2294</w:t>
            </w:r>
          </w:p>
        </w:tc>
        <w:tc>
          <w:tcPr>
            <w:tcW w:w="1900" w:type="dxa"/>
            <w:shd w:val="clear" w:color="auto" w:fill="auto"/>
          </w:tcPr>
          <w:p w:rsidR="00E23091" w:rsidRPr="001E1652" w:rsidRDefault="00E23091" w:rsidP="00E23091">
            <w:pPr>
              <w:pStyle w:val="Tabletext"/>
              <w:tabs>
                <w:tab w:val="decimal" w:pos="660"/>
              </w:tabs>
            </w:pPr>
            <w:r w:rsidRPr="001E1652">
              <w:t>1.2515</w:t>
            </w:r>
          </w:p>
        </w:tc>
      </w:tr>
      <w:tr w:rsidR="00E23091" w:rsidRPr="001E1652" w:rsidTr="00E23091">
        <w:tc>
          <w:tcPr>
            <w:tcW w:w="714" w:type="dxa"/>
            <w:shd w:val="clear" w:color="auto" w:fill="auto"/>
          </w:tcPr>
          <w:p w:rsidR="00E23091" w:rsidRPr="001E1652" w:rsidRDefault="00E23091" w:rsidP="00E23091">
            <w:pPr>
              <w:pStyle w:val="Tabletext"/>
            </w:pPr>
            <w:r w:rsidRPr="001E1652">
              <w:t>104</w:t>
            </w:r>
          </w:p>
        </w:tc>
        <w:tc>
          <w:tcPr>
            <w:tcW w:w="1900" w:type="dxa"/>
            <w:shd w:val="clear" w:color="auto" w:fill="auto"/>
          </w:tcPr>
          <w:p w:rsidR="00E23091" w:rsidRPr="001E1652" w:rsidRDefault="00E23091" w:rsidP="00E23091">
            <w:pPr>
              <w:pStyle w:val="Tabletext"/>
              <w:tabs>
                <w:tab w:val="decimal" w:pos="660"/>
              </w:tabs>
            </w:pPr>
            <w:r w:rsidRPr="001E1652">
              <w:t>1.1014</w:t>
            </w:r>
          </w:p>
        </w:tc>
        <w:tc>
          <w:tcPr>
            <w:tcW w:w="1900" w:type="dxa"/>
            <w:gridSpan w:val="2"/>
            <w:shd w:val="clear" w:color="auto" w:fill="auto"/>
          </w:tcPr>
          <w:p w:rsidR="00E23091" w:rsidRPr="001E1652" w:rsidRDefault="00E23091" w:rsidP="00E23091">
            <w:pPr>
              <w:pStyle w:val="Tabletext"/>
              <w:tabs>
                <w:tab w:val="decimal" w:pos="660"/>
              </w:tabs>
            </w:pPr>
            <w:r w:rsidRPr="001E1652">
              <w:t>1.0000</w:t>
            </w:r>
          </w:p>
        </w:tc>
        <w:tc>
          <w:tcPr>
            <w:tcW w:w="1900" w:type="dxa"/>
            <w:shd w:val="clear" w:color="auto" w:fill="auto"/>
          </w:tcPr>
          <w:p w:rsidR="00E23091" w:rsidRPr="001E1652" w:rsidRDefault="00E23091" w:rsidP="00E23091">
            <w:pPr>
              <w:pStyle w:val="Tabletext"/>
              <w:tabs>
                <w:tab w:val="decimal" w:pos="660"/>
              </w:tabs>
            </w:pPr>
            <w:r w:rsidRPr="001E1652">
              <w:t>0.9497</w:t>
            </w:r>
          </w:p>
        </w:tc>
        <w:tc>
          <w:tcPr>
            <w:tcW w:w="1900" w:type="dxa"/>
            <w:shd w:val="clear" w:color="auto" w:fill="auto"/>
          </w:tcPr>
          <w:p w:rsidR="00E23091" w:rsidRPr="001E1652" w:rsidRDefault="00E23091" w:rsidP="00E23091">
            <w:pPr>
              <w:pStyle w:val="Tabletext"/>
              <w:tabs>
                <w:tab w:val="decimal" w:pos="660"/>
              </w:tabs>
            </w:pPr>
            <w:r w:rsidRPr="001E1652">
              <w:t>0.9596</w:t>
            </w:r>
          </w:p>
        </w:tc>
      </w:tr>
      <w:tr w:rsidR="00E23091" w:rsidRPr="001E1652" w:rsidTr="00777F5E">
        <w:tc>
          <w:tcPr>
            <w:tcW w:w="714" w:type="dxa"/>
            <w:tcBorders>
              <w:bottom w:val="single" w:sz="12" w:space="0" w:color="auto"/>
            </w:tcBorders>
            <w:shd w:val="clear" w:color="auto" w:fill="auto"/>
          </w:tcPr>
          <w:p w:rsidR="00E23091" w:rsidRPr="001E1652" w:rsidRDefault="00E23091" w:rsidP="00E23091">
            <w:pPr>
              <w:pStyle w:val="Tabletext"/>
            </w:pPr>
            <w:r w:rsidRPr="001E1652">
              <w:t>105</w:t>
            </w:r>
          </w:p>
        </w:tc>
        <w:tc>
          <w:tcPr>
            <w:tcW w:w="1900" w:type="dxa"/>
            <w:tcBorders>
              <w:bottom w:val="single" w:sz="12" w:space="0" w:color="auto"/>
            </w:tcBorders>
            <w:shd w:val="clear" w:color="auto" w:fill="auto"/>
          </w:tcPr>
          <w:p w:rsidR="00E23091" w:rsidRPr="001E1652" w:rsidRDefault="00E23091" w:rsidP="00E23091">
            <w:pPr>
              <w:pStyle w:val="Tabletext"/>
              <w:tabs>
                <w:tab w:val="decimal" w:pos="660"/>
              </w:tabs>
            </w:pPr>
            <w:r w:rsidRPr="001E1652">
              <w:t>0.6077</w:t>
            </w:r>
          </w:p>
        </w:tc>
        <w:tc>
          <w:tcPr>
            <w:tcW w:w="1900" w:type="dxa"/>
            <w:gridSpan w:val="2"/>
            <w:tcBorders>
              <w:bottom w:val="single" w:sz="12" w:space="0" w:color="auto"/>
            </w:tcBorders>
            <w:shd w:val="clear" w:color="auto" w:fill="auto"/>
          </w:tcPr>
          <w:p w:rsidR="00E23091" w:rsidRPr="001E1652" w:rsidRDefault="00E23091" w:rsidP="00E23091">
            <w:pPr>
              <w:pStyle w:val="Tabletext"/>
              <w:tabs>
                <w:tab w:val="decimal" w:pos="660"/>
              </w:tabs>
            </w:pPr>
            <w:r w:rsidRPr="001E1652">
              <w:t>0.4928</w:t>
            </w:r>
          </w:p>
        </w:tc>
        <w:tc>
          <w:tcPr>
            <w:tcW w:w="1900" w:type="dxa"/>
            <w:tcBorders>
              <w:bottom w:val="single" w:sz="12" w:space="0" w:color="auto"/>
            </w:tcBorders>
            <w:shd w:val="clear" w:color="auto" w:fill="auto"/>
          </w:tcPr>
          <w:p w:rsidR="00E23091" w:rsidRPr="001E1652" w:rsidRDefault="00E23091" w:rsidP="00E23091">
            <w:pPr>
              <w:pStyle w:val="Tabletext"/>
              <w:tabs>
                <w:tab w:val="decimal" w:pos="660"/>
              </w:tabs>
            </w:pPr>
            <w:r w:rsidRPr="001E1652">
              <w:t>0.5002</w:t>
            </w:r>
          </w:p>
        </w:tc>
        <w:tc>
          <w:tcPr>
            <w:tcW w:w="1900" w:type="dxa"/>
            <w:tcBorders>
              <w:bottom w:val="single" w:sz="12" w:space="0" w:color="auto"/>
            </w:tcBorders>
            <w:shd w:val="clear" w:color="auto" w:fill="auto"/>
          </w:tcPr>
          <w:p w:rsidR="00E23091" w:rsidRPr="001E1652" w:rsidRDefault="00E23091" w:rsidP="00E23091">
            <w:pPr>
              <w:pStyle w:val="Tabletext"/>
              <w:tabs>
                <w:tab w:val="decimal" w:pos="660"/>
              </w:tabs>
            </w:pPr>
            <w:r w:rsidRPr="001E1652">
              <w:t>0.4928</w:t>
            </w:r>
          </w:p>
        </w:tc>
      </w:tr>
    </w:tbl>
    <w:p w:rsidR="00777F5E" w:rsidRPr="001E1652" w:rsidRDefault="00777F5E" w:rsidP="00777F5E">
      <w:pPr>
        <w:pStyle w:val="Tabletext"/>
      </w:pPr>
    </w:p>
    <w:p w:rsidR="00D513AE" w:rsidRPr="001E1652" w:rsidRDefault="00FF58B1" w:rsidP="007F60F3">
      <w:pPr>
        <w:pStyle w:val="ActHead2"/>
        <w:pageBreakBefore/>
      </w:pPr>
      <w:bookmarkStart w:id="29" w:name="f_Check_Lines_above"/>
      <w:bookmarkStart w:id="30" w:name="_Toc350176723"/>
      <w:bookmarkEnd w:id="29"/>
      <w:r w:rsidRPr="001E1652">
        <w:rPr>
          <w:rStyle w:val="CharPartNo"/>
        </w:rPr>
        <w:lastRenderedPageBreak/>
        <w:t>Part</w:t>
      </w:r>
      <w:r w:rsidR="001E1652" w:rsidRPr="001E1652">
        <w:rPr>
          <w:rStyle w:val="CharPartNo"/>
        </w:rPr>
        <w:t> </w:t>
      </w:r>
      <w:r w:rsidR="00D513AE" w:rsidRPr="001E1652">
        <w:rPr>
          <w:rStyle w:val="CharPartNo"/>
        </w:rPr>
        <w:t>2</w:t>
      </w:r>
      <w:r w:rsidRPr="001E1652">
        <w:t>—</w:t>
      </w:r>
      <w:r w:rsidR="00D96F2B" w:rsidRPr="001E1652">
        <w:rPr>
          <w:rStyle w:val="CharPartText"/>
        </w:rPr>
        <w:t>F</w:t>
      </w:r>
      <w:r w:rsidR="00D513AE" w:rsidRPr="001E1652">
        <w:rPr>
          <w:rStyle w:val="CharPartText"/>
        </w:rPr>
        <w:t>actors</w:t>
      </w:r>
      <w:bookmarkEnd w:id="30"/>
    </w:p>
    <w:p w:rsidR="00F3030B" w:rsidRPr="001E1652" w:rsidRDefault="00F3030B" w:rsidP="00F3030B">
      <w:pPr>
        <w:pStyle w:val="Header"/>
      </w:pPr>
      <w:r w:rsidRPr="001E1652">
        <w:rPr>
          <w:rStyle w:val="CharDivNo"/>
        </w:rPr>
        <w:t xml:space="preserve"> </w:t>
      </w:r>
      <w:r w:rsidRPr="001E1652">
        <w:rPr>
          <w:rStyle w:val="CharDivText"/>
        </w:rPr>
        <w:t xml:space="preserve"> </w:t>
      </w:r>
    </w:p>
    <w:p w:rsidR="008C7B45" w:rsidRPr="001E1652" w:rsidRDefault="00474C78" w:rsidP="00777F5E">
      <w:pPr>
        <w:pStyle w:val="Specials"/>
      </w:pPr>
      <w:r w:rsidRPr="001E1652">
        <w:t>Table 1</w:t>
      </w:r>
      <w:r w:rsidR="00997587" w:rsidRPr="001E1652">
        <w:t xml:space="preserve"> Factors</w:t>
      </w: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1271"/>
        <w:gridCol w:w="1134"/>
        <w:gridCol w:w="1134"/>
      </w:tblGrid>
      <w:tr w:rsidR="00777F5E" w:rsidRPr="001E1652" w:rsidTr="00777F5E">
        <w:trPr>
          <w:tblHeader/>
        </w:trPr>
        <w:tc>
          <w:tcPr>
            <w:tcW w:w="1271" w:type="dxa"/>
            <w:tcBorders>
              <w:top w:val="single" w:sz="12" w:space="0" w:color="auto"/>
              <w:bottom w:val="single" w:sz="12" w:space="0" w:color="auto"/>
            </w:tcBorders>
            <w:shd w:val="clear" w:color="auto" w:fill="auto"/>
          </w:tcPr>
          <w:p w:rsidR="00777F5E" w:rsidRPr="001E1652" w:rsidRDefault="00777F5E" w:rsidP="008C7B45">
            <w:pPr>
              <w:pStyle w:val="TableHeading"/>
            </w:pPr>
            <w:r w:rsidRPr="001E1652">
              <w:t>Age</w:t>
            </w:r>
          </w:p>
        </w:tc>
        <w:tc>
          <w:tcPr>
            <w:tcW w:w="1134" w:type="dxa"/>
            <w:tcBorders>
              <w:top w:val="single" w:sz="12" w:space="0" w:color="auto"/>
              <w:bottom w:val="single" w:sz="12" w:space="0" w:color="auto"/>
            </w:tcBorders>
            <w:shd w:val="clear" w:color="auto" w:fill="auto"/>
          </w:tcPr>
          <w:p w:rsidR="00777F5E" w:rsidRPr="001E1652" w:rsidRDefault="00777F5E" w:rsidP="008C7B45">
            <w:pPr>
              <w:pStyle w:val="TableHeading"/>
            </w:pPr>
            <w:r w:rsidRPr="001E1652">
              <w:t>Male</w:t>
            </w:r>
          </w:p>
        </w:tc>
        <w:tc>
          <w:tcPr>
            <w:tcW w:w="1134" w:type="dxa"/>
            <w:tcBorders>
              <w:top w:val="single" w:sz="12" w:space="0" w:color="auto"/>
              <w:bottom w:val="single" w:sz="12" w:space="0" w:color="auto"/>
            </w:tcBorders>
            <w:shd w:val="clear" w:color="auto" w:fill="auto"/>
          </w:tcPr>
          <w:p w:rsidR="00777F5E" w:rsidRPr="001E1652" w:rsidRDefault="00777F5E" w:rsidP="008C7B45">
            <w:pPr>
              <w:pStyle w:val="TableHeading"/>
            </w:pPr>
            <w:r w:rsidRPr="001E1652">
              <w:t>Female</w:t>
            </w:r>
          </w:p>
        </w:tc>
      </w:tr>
      <w:tr w:rsidR="00777F5E" w:rsidRPr="001E1652" w:rsidTr="00777F5E">
        <w:tc>
          <w:tcPr>
            <w:tcW w:w="1271" w:type="dxa"/>
            <w:tcBorders>
              <w:top w:val="single" w:sz="12" w:space="0" w:color="auto"/>
            </w:tcBorders>
            <w:shd w:val="clear" w:color="auto" w:fill="auto"/>
          </w:tcPr>
          <w:p w:rsidR="00777F5E" w:rsidRPr="001E1652" w:rsidRDefault="00777F5E" w:rsidP="00777F5E">
            <w:pPr>
              <w:pStyle w:val="Tabletext"/>
            </w:pPr>
            <w:r w:rsidRPr="001E1652">
              <w:t>30 or younger</w:t>
            </w:r>
          </w:p>
        </w:tc>
        <w:tc>
          <w:tcPr>
            <w:tcW w:w="1134" w:type="dxa"/>
            <w:tcBorders>
              <w:top w:val="single" w:sz="12" w:space="0" w:color="auto"/>
            </w:tcBorders>
            <w:shd w:val="clear" w:color="auto" w:fill="auto"/>
          </w:tcPr>
          <w:p w:rsidR="00777F5E" w:rsidRPr="001E1652" w:rsidRDefault="00777F5E" w:rsidP="00777F5E">
            <w:pPr>
              <w:pStyle w:val="Tabletext"/>
            </w:pPr>
            <w:r w:rsidRPr="001E1652">
              <w:t>33.2882</w:t>
            </w:r>
          </w:p>
        </w:tc>
        <w:tc>
          <w:tcPr>
            <w:tcW w:w="1134" w:type="dxa"/>
            <w:tcBorders>
              <w:top w:val="single" w:sz="12" w:space="0" w:color="auto"/>
            </w:tcBorders>
            <w:shd w:val="clear" w:color="auto" w:fill="auto"/>
          </w:tcPr>
          <w:p w:rsidR="00777F5E" w:rsidRPr="001E1652" w:rsidRDefault="00777F5E" w:rsidP="00777F5E">
            <w:pPr>
              <w:pStyle w:val="Tabletext"/>
            </w:pPr>
            <w:r w:rsidRPr="001E1652">
              <w:t>35.2430</w:t>
            </w:r>
          </w:p>
        </w:tc>
      </w:tr>
      <w:tr w:rsidR="00777F5E" w:rsidRPr="001E1652" w:rsidTr="00777F5E">
        <w:tc>
          <w:tcPr>
            <w:tcW w:w="1271" w:type="dxa"/>
            <w:shd w:val="clear" w:color="auto" w:fill="auto"/>
          </w:tcPr>
          <w:p w:rsidR="00777F5E" w:rsidRPr="001E1652" w:rsidRDefault="00777F5E" w:rsidP="00777F5E">
            <w:pPr>
              <w:pStyle w:val="Tabletext"/>
            </w:pPr>
            <w:r w:rsidRPr="001E1652">
              <w:t>31</w:t>
            </w:r>
          </w:p>
        </w:tc>
        <w:tc>
          <w:tcPr>
            <w:tcW w:w="1134" w:type="dxa"/>
            <w:shd w:val="clear" w:color="auto" w:fill="auto"/>
          </w:tcPr>
          <w:p w:rsidR="00777F5E" w:rsidRPr="001E1652" w:rsidRDefault="00777F5E" w:rsidP="00777F5E">
            <w:pPr>
              <w:pStyle w:val="Tabletext"/>
            </w:pPr>
            <w:r w:rsidRPr="001E1652">
              <w:t>32.9153</w:t>
            </w:r>
          </w:p>
        </w:tc>
        <w:tc>
          <w:tcPr>
            <w:tcW w:w="1134" w:type="dxa"/>
            <w:shd w:val="clear" w:color="auto" w:fill="auto"/>
          </w:tcPr>
          <w:p w:rsidR="00777F5E" w:rsidRPr="001E1652" w:rsidRDefault="00777F5E" w:rsidP="00777F5E">
            <w:pPr>
              <w:pStyle w:val="Tabletext"/>
            </w:pPr>
            <w:r w:rsidRPr="001E1652">
              <w:t>34.8969</w:t>
            </w:r>
          </w:p>
        </w:tc>
      </w:tr>
      <w:tr w:rsidR="00777F5E" w:rsidRPr="001E1652" w:rsidTr="00777F5E">
        <w:tc>
          <w:tcPr>
            <w:tcW w:w="1271" w:type="dxa"/>
            <w:shd w:val="clear" w:color="auto" w:fill="auto"/>
          </w:tcPr>
          <w:p w:rsidR="00777F5E" w:rsidRPr="001E1652" w:rsidRDefault="00777F5E" w:rsidP="00777F5E">
            <w:pPr>
              <w:pStyle w:val="Tabletext"/>
            </w:pPr>
            <w:r w:rsidRPr="001E1652">
              <w:t>32</w:t>
            </w:r>
          </w:p>
        </w:tc>
        <w:tc>
          <w:tcPr>
            <w:tcW w:w="1134" w:type="dxa"/>
            <w:shd w:val="clear" w:color="auto" w:fill="auto"/>
          </w:tcPr>
          <w:p w:rsidR="00777F5E" w:rsidRPr="001E1652" w:rsidRDefault="00777F5E" w:rsidP="00777F5E">
            <w:pPr>
              <w:pStyle w:val="Tabletext"/>
            </w:pPr>
            <w:r w:rsidRPr="001E1652">
              <w:t>32.5340</w:t>
            </w:r>
          </w:p>
        </w:tc>
        <w:tc>
          <w:tcPr>
            <w:tcW w:w="1134" w:type="dxa"/>
            <w:shd w:val="clear" w:color="auto" w:fill="auto"/>
          </w:tcPr>
          <w:p w:rsidR="00777F5E" w:rsidRPr="001E1652" w:rsidRDefault="00777F5E" w:rsidP="00777F5E">
            <w:pPr>
              <w:pStyle w:val="Tabletext"/>
            </w:pPr>
            <w:r w:rsidRPr="001E1652">
              <w:t>34.5436</w:t>
            </w:r>
          </w:p>
        </w:tc>
      </w:tr>
      <w:tr w:rsidR="00777F5E" w:rsidRPr="001E1652" w:rsidTr="00777F5E">
        <w:tc>
          <w:tcPr>
            <w:tcW w:w="1271" w:type="dxa"/>
            <w:shd w:val="clear" w:color="auto" w:fill="auto"/>
          </w:tcPr>
          <w:p w:rsidR="00777F5E" w:rsidRPr="001E1652" w:rsidRDefault="00777F5E" w:rsidP="00777F5E">
            <w:pPr>
              <w:pStyle w:val="Tabletext"/>
            </w:pPr>
            <w:r w:rsidRPr="001E1652">
              <w:t>33</w:t>
            </w:r>
          </w:p>
        </w:tc>
        <w:tc>
          <w:tcPr>
            <w:tcW w:w="1134" w:type="dxa"/>
            <w:shd w:val="clear" w:color="auto" w:fill="auto"/>
          </w:tcPr>
          <w:p w:rsidR="00777F5E" w:rsidRPr="001E1652" w:rsidRDefault="00777F5E" w:rsidP="00777F5E">
            <w:pPr>
              <w:pStyle w:val="Tabletext"/>
            </w:pPr>
            <w:r w:rsidRPr="001E1652">
              <w:t>32.1433</w:t>
            </w:r>
          </w:p>
        </w:tc>
        <w:tc>
          <w:tcPr>
            <w:tcW w:w="1134" w:type="dxa"/>
            <w:shd w:val="clear" w:color="auto" w:fill="auto"/>
          </w:tcPr>
          <w:p w:rsidR="00777F5E" w:rsidRPr="001E1652" w:rsidRDefault="00777F5E" w:rsidP="00777F5E">
            <w:pPr>
              <w:pStyle w:val="Tabletext"/>
            </w:pPr>
            <w:r w:rsidRPr="001E1652">
              <w:t>34.1835</w:t>
            </w:r>
          </w:p>
        </w:tc>
      </w:tr>
      <w:tr w:rsidR="00777F5E" w:rsidRPr="001E1652" w:rsidTr="00777F5E">
        <w:tc>
          <w:tcPr>
            <w:tcW w:w="1271" w:type="dxa"/>
            <w:shd w:val="clear" w:color="auto" w:fill="auto"/>
          </w:tcPr>
          <w:p w:rsidR="00777F5E" w:rsidRPr="001E1652" w:rsidRDefault="00777F5E" w:rsidP="00777F5E">
            <w:pPr>
              <w:pStyle w:val="Tabletext"/>
            </w:pPr>
            <w:r w:rsidRPr="001E1652">
              <w:t>34</w:t>
            </w:r>
          </w:p>
        </w:tc>
        <w:tc>
          <w:tcPr>
            <w:tcW w:w="1134" w:type="dxa"/>
            <w:shd w:val="clear" w:color="auto" w:fill="auto"/>
          </w:tcPr>
          <w:p w:rsidR="00777F5E" w:rsidRPr="001E1652" w:rsidRDefault="00777F5E" w:rsidP="00777F5E">
            <w:pPr>
              <w:pStyle w:val="Tabletext"/>
            </w:pPr>
            <w:r w:rsidRPr="001E1652">
              <w:t>31.7437</w:t>
            </w:r>
          </w:p>
        </w:tc>
        <w:tc>
          <w:tcPr>
            <w:tcW w:w="1134" w:type="dxa"/>
            <w:shd w:val="clear" w:color="auto" w:fill="auto"/>
          </w:tcPr>
          <w:p w:rsidR="00777F5E" w:rsidRPr="001E1652" w:rsidRDefault="00777F5E" w:rsidP="00777F5E">
            <w:pPr>
              <w:pStyle w:val="Tabletext"/>
            </w:pPr>
            <w:r w:rsidRPr="001E1652">
              <w:t>33.8162</w:t>
            </w:r>
          </w:p>
        </w:tc>
      </w:tr>
      <w:tr w:rsidR="00777F5E" w:rsidRPr="001E1652" w:rsidTr="00777F5E">
        <w:tc>
          <w:tcPr>
            <w:tcW w:w="1271" w:type="dxa"/>
            <w:shd w:val="clear" w:color="auto" w:fill="auto"/>
          </w:tcPr>
          <w:p w:rsidR="00777F5E" w:rsidRPr="001E1652" w:rsidRDefault="00777F5E" w:rsidP="00777F5E">
            <w:pPr>
              <w:pStyle w:val="Tabletext"/>
            </w:pPr>
            <w:r w:rsidRPr="001E1652">
              <w:t>35</w:t>
            </w:r>
          </w:p>
        </w:tc>
        <w:tc>
          <w:tcPr>
            <w:tcW w:w="1134" w:type="dxa"/>
            <w:shd w:val="clear" w:color="auto" w:fill="auto"/>
          </w:tcPr>
          <w:p w:rsidR="00777F5E" w:rsidRPr="001E1652" w:rsidRDefault="00777F5E" w:rsidP="00777F5E">
            <w:pPr>
              <w:pStyle w:val="Tabletext"/>
            </w:pPr>
            <w:r w:rsidRPr="001E1652">
              <w:t>31.3352</w:t>
            </w:r>
          </w:p>
        </w:tc>
        <w:tc>
          <w:tcPr>
            <w:tcW w:w="1134" w:type="dxa"/>
            <w:shd w:val="clear" w:color="auto" w:fill="auto"/>
          </w:tcPr>
          <w:p w:rsidR="00777F5E" w:rsidRPr="001E1652" w:rsidRDefault="00777F5E" w:rsidP="00777F5E">
            <w:pPr>
              <w:pStyle w:val="Tabletext"/>
            </w:pPr>
            <w:r w:rsidRPr="001E1652">
              <w:t>33.4410</w:t>
            </w:r>
          </w:p>
        </w:tc>
      </w:tr>
      <w:tr w:rsidR="00777F5E" w:rsidRPr="001E1652" w:rsidTr="00777F5E">
        <w:tc>
          <w:tcPr>
            <w:tcW w:w="1271" w:type="dxa"/>
            <w:shd w:val="clear" w:color="auto" w:fill="auto"/>
          </w:tcPr>
          <w:p w:rsidR="00777F5E" w:rsidRPr="001E1652" w:rsidRDefault="00777F5E" w:rsidP="00777F5E">
            <w:pPr>
              <w:pStyle w:val="Tabletext"/>
            </w:pPr>
            <w:r w:rsidRPr="001E1652">
              <w:t>36</w:t>
            </w:r>
          </w:p>
        </w:tc>
        <w:tc>
          <w:tcPr>
            <w:tcW w:w="1134" w:type="dxa"/>
            <w:shd w:val="clear" w:color="auto" w:fill="auto"/>
          </w:tcPr>
          <w:p w:rsidR="00777F5E" w:rsidRPr="001E1652" w:rsidRDefault="00777F5E" w:rsidP="00777F5E">
            <w:pPr>
              <w:pStyle w:val="Tabletext"/>
            </w:pPr>
            <w:r w:rsidRPr="001E1652">
              <w:t>30.9169</w:t>
            </w:r>
          </w:p>
        </w:tc>
        <w:tc>
          <w:tcPr>
            <w:tcW w:w="1134" w:type="dxa"/>
            <w:shd w:val="clear" w:color="auto" w:fill="auto"/>
          </w:tcPr>
          <w:p w:rsidR="00777F5E" w:rsidRPr="001E1652" w:rsidRDefault="00777F5E" w:rsidP="00777F5E">
            <w:pPr>
              <w:pStyle w:val="Tabletext"/>
            </w:pPr>
            <w:r w:rsidRPr="001E1652">
              <w:t>33.0586</w:t>
            </w:r>
          </w:p>
        </w:tc>
      </w:tr>
      <w:tr w:rsidR="00777F5E" w:rsidRPr="001E1652" w:rsidTr="00777F5E">
        <w:tc>
          <w:tcPr>
            <w:tcW w:w="1271" w:type="dxa"/>
            <w:shd w:val="clear" w:color="auto" w:fill="auto"/>
          </w:tcPr>
          <w:p w:rsidR="00777F5E" w:rsidRPr="001E1652" w:rsidRDefault="00777F5E" w:rsidP="00777F5E">
            <w:pPr>
              <w:pStyle w:val="Tabletext"/>
            </w:pPr>
            <w:r w:rsidRPr="001E1652">
              <w:t>37</w:t>
            </w:r>
          </w:p>
        </w:tc>
        <w:tc>
          <w:tcPr>
            <w:tcW w:w="1134" w:type="dxa"/>
            <w:shd w:val="clear" w:color="auto" w:fill="auto"/>
          </w:tcPr>
          <w:p w:rsidR="00777F5E" w:rsidRPr="001E1652" w:rsidRDefault="00777F5E" w:rsidP="00777F5E">
            <w:pPr>
              <w:pStyle w:val="Tabletext"/>
            </w:pPr>
            <w:r w:rsidRPr="001E1652">
              <w:t>30.4893</w:t>
            </w:r>
          </w:p>
        </w:tc>
        <w:tc>
          <w:tcPr>
            <w:tcW w:w="1134" w:type="dxa"/>
            <w:shd w:val="clear" w:color="auto" w:fill="auto"/>
          </w:tcPr>
          <w:p w:rsidR="00777F5E" w:rsidRPr="001E1652" w:rsidRDefault="00777F5E" w:rsidP="00777F5E">
            <w:pPr>
              <w:pStyle w:val="Tabletext"/>
            </w:pPr>
            <w:r w:rsidRPr="001E1652">
              <w:t>32.6683</w:t>
            </w:r>
          </w:p>
        </w:tc>
      </w:tr>
      <w:tr w:rsidR="00777F5E" w:rsidRPr="001E1652" w:rsidTr="00777F5E">
        <w:tc>
          <w:tcPr>
            <w:tcW w:w="1271" w:type="dxa"/>
            <w:shd w:val="clear" w:color="auto" w:fill="auto"/>
          </w:tcPr>
          <w:p w:rsidR="00777F5E" w:rsidRPr="001E1652" w:rsidRDefault="00777F5E" w:rsidP="00777F5E">
            <w:pPr>
              <w:pStyle w:val="Tabletext"/>
            </w:pPr>
            <w:r w:rsidRPr="001E1652">
              <w:t>38</w:t>
            </w:r>
          </w:p>
        </w:tc>
        <w:tc>
          <w:tcPr>
            <w:tcW w:w="1134" w:type="dxa"/>
            <w:shd w:val="clear" w:color="auto" w:fill="auto"/>
          </w:tcPr>
          <w:p w:rsidR="00777F5E" w:rsidRPr="001E1652" w:rsidRDefault="00777F5E" w:rsidP="00777F5E">
            <w:pPr>
              <w:pStyle w:val="Tabletext"/>
            </w:pPr>
            <w:r w:rsidRPr="001E1652">
              <w:t>30.0519</w:t>
            </w:r>
          </w:p>
        </w:tc>
        <w:tc>
          <w:tcPr>
            <w:tcW w:w="1134" w:type="dxa"/>
            <w:shd w:val="clear" w:color="auto" w:fill="auto"/>
          </w:tcPr>
          <w:p w:rsidR="00777F5E" w:rsidRPr="001E1652" w:rsidRDefault="00777F5E" w:rsidP="00777F5E">
            <w:pPr>
              <w:pStyle w:val="Tabletext"/>
            </w:pPr>
            <w:r w:rsidRPr="001E1652">
              <w:t>32.2701</w:t>
            </w:r>
          </w:p>
        </w:tc>
      </w:tr>
      <w:tr w:rsidR="00777F5E" w:rsidRPr="001E1652" w:rsidTr="00777F5E">
        <w:tc>
          <w:tcPr>
            <w:tcW w:w="1271" w:type="dxa"/>
            <w:shd w:val="clear" w:color="auto" w:fill="auto"/>
          </w:tcPr>
          <w:p w:rsidR="00777F5E" w:rsidRPr="001E1652" w:rsidRDefault="00777F5E" w:rsidP="00777F5E">
            <w:pPr>
              <w:pStyle w:val="Tabletext"/>
            </w:pPr>
            <w:r w:rsidRPr="001E1652">
              <w:t>39</w:t>
            </w:r>
          </w:p>
        </w:tc>
        <w:tc>
          <w:tcPr>
            <w:tcW w:w="1134" w:type="dxa"/>
            <w:shd w:val="clear" w:color="auto" w:fill="auto"/>
          </w:tcPr>
          <w:p w:rsidR="00777F5E" w:rsidRPr="001E1652" w:rsidRDefault="00777F5E" w:rsidP="00777F5E">
            <w:pPr>
              <w:pStyle w:val="Tabletext"/>
            </w:pPr>
            <w:r w:rsidRPr="001E1652">
              <w:t>29.6046</w:t>
            </w:r>
          </w:p>
        </w:tc>
        <w:tc>
          <w:tcPr>
            <w:tcW w:w="1134" w:type="dxa"/>
            <w:shd w:val="clear" w:color="auto" w:fill="auto"/>
          </w:tcPr>
          <w:p w:rsidR="00777F5E" w:rsidRPr="001E1652" w:rsidRDefault="00777F5E" w:rsidP="00777F5E">
            <w:pPr>
              <w:pStyle w:val="Tabletext"/>
            </w:pPr>
            <w:r w:rsidRPr="001E1652">
              <w:t>31.8636</w:t>
            </w:r>
          </w:p>
        </w:tc>
      </w:tr>
      <w:tr w:rsidR="00777F5E" w:rsidRPr="001E1652" w:rsidTr="00777F5E">
        <w:tc>
          <w:tcPr>
            <w:tcW w:w="1271" w:type="dxa"/>
            <w:shd w:val="clear" w:color="auto" w:fill="auto"/>
          </w:tcPr>
          <w:p w:rsidR="00777F5E" w:rsidRPr="001E1652" w:rsidRDefault="00777F5E" w:rsidP="00777F5E">
            <w:pPr>
              <w:pStyle w:val="Tabletext"/>
            </w:pPr>
            <w:r w:rsidRPr="001E1652">
              <w:t>40</w:t>
            </w:r>
          </w:p>
        </w:tc>
        <w:tc>
          <w:tcPr>
            <w:tcW w:w="1134" w:type="dxa"/>
            <w:shd w:val="clear" w:color="auto" w:fill="auto"/>
          </w:tcPr>
          <w:p w:rsidR="00777F5E" w:rsidRPr="001E1652" w:rsidRDefault="00777F5E" w:rsidP="00777F5E">
            <w:pPr>
              <w:pStyle w:val="Tabletext"/>
            </w:pPr>
            <w:r w:rsidRPr="001E1652">
              <w:t>29.1478</w:t>
            </w:r>
          </w:p>
        </w:tc>
        <w:tc>
          <w:tcPr>
            <w:tcW w:w="1134" w:type="dxa"/>
            <w:shd w:val="clear" w:color="auto" w:fill="auto"/>
          </w:tcPr>
          <w:p w:rsidR="00777F5E" w:rsidRPr="001E1652" w:rsidRDefault="00777F5E" w:rsidP="00777F5E">
            <w:pPr>
              <w:pStyle w:val="Tabletext"/>
            </w:pPr>
            <w:r w:rsidRPr="001E1652">
              <w:t>31.4491</w:t>
            </w:r>
          </w:p>
        </w:tc>
      </w:tr>
      <w:tr w:rsidR="00777F5E" w:rsidRPr="001E1652" w:rsidTr="00777F5E">
        <w:tc>
          <w:tcPr>
            <w:tcW w:w="1271" w:type="dxa"/>
            <w:shd w:val="clear" w:color="auto" w:fill="auto"/>
          </w:tcPr>
          <w:p w:rsidR="00777F5E" w:rsidRPr="001E1652" w:rsidRDefault="00777F5E" w:rsidP="00777F5E">
            <w:pPr>
              <w:pStyle w:val="Tabletext"/>
            </w:pPr>
            <w:r w:rsidRPr="001E1652">
              <w:t>41</w:t>
            </w:r>
          </w:p>
        </w:tc>
        <w:tc>
          <w:tcPr>
            <w:tcW w:w="1134" w:type="dxa"/>
            <w:shd w:val="clear" w:color="auto" w:fill="auto"/>
          </w:tcPr>
          <w:p w:rsidR="00777F5E" w:rsidRPr="001E1652" w:rsidRDefault="00777F5E" w:rsidP="00777F5E">
            <w:pPr>
              <w:pStyle w:val="Tabletext"/>
            </w:pPr>
            <w:r w:rsidRPr="001E1652">
              <w:t>28.6813</w:t>
            </w:r>
          </w:p>
        </w:tc>
        <w:tc>
          <w:tcPr>
            <w:tcW w:w="1134" w:type="dxa"/>
            <w:shd w:val="clear" w:color="auto" w:fill="auto"/>
          </w:tcPr>
          <w:p w:rsidR="00777F5E" w:rsidRPr="001E1652" w:rsidRDefault="00777F5E" w:rsidP="00777F5E">
            <w:pPr>
              <w:pStyle w:val="Tabletext"/>
            </w:pPr>
            <w:r w:rsidRPr="001E1652">
              <w:t>31.0265</w:t>
            </w:r>
          </w:p>
        </w:tc>
      </w:tr>
      <w:tr w:rsidR="00777F5E" w:rsidRPr="001E1652" w:rsidTr="00777F5E">
        <w:tc>
          <w:tcPr>
            <w:tcW w:w="1271" w:type="dxa"/>
            <w:shd w:val="clear" w:color="auto" w:fill="auto"/>
          </w:tcPr>
          <w:p w:rsidR="00777F5E" w:rsidRPr="001E1652" w:rsidRDefault="00777F5E" w:rsidP="00777F5E">
            <w:pPr>
              <w:pStyle w:val="Tabletext"/>
            </w:pPr>
            <w:r w:rsidRPr="001E1652">
              <w:t>42</w:t>
            </w:r>
          </w:p>
        </w:tc>
        <w:tc>
          <w:tcPr>
            <w:tcW w:w="1134" w:type="dxa"/>
            <w:shd w:val="clear" w:color="auto" w:fill="auto"/>
          </w:tcPr>
          <w:p w:rsidR="00777F5E" w:rsidRPr="001E1652" w:rsidRDefault="00777F5E" w:rsidP="00777F5E">
            <w:pPr>
              <w:pStyle w:val="Tabletext"/>
            </w:pPr>
            <w:r w:rsidRPr="001E1652">
              <w:t>28.2054</w:t>
            </w:r>
          </w:p>
        </w:tc>
        <w:tc>
          <w:tcPr>
            <w:tcW w:w="1134" w:type="dxa"/>
            <w:shd w:val="clear" w:color="auto" w:fill="auto"/>
          </w:tcPr>
          <w:p w:rsidR="00777F5E" w:rsidRPr="001E1652" w:rsidRDefault="00777F5E" w:rsidP="00777F5E">
            <w:pPr>
              <w:pStyle w:val="Tabletext"/>
            </w:pPr>
            <w:r w:rsidRPr="001E1652">
              <w:t>30.5955</w:t>
            </w:r>
          </w:p>
        </w:tc>
      </w:tr>
      <w:tr w:rsidR="00777F5E" w:rsidRPr="001E1652" w:rsidTr="00777F5E">
        <w:tc>
          <w:tcPr>
            <w:tcW w:w="1271" w:type="dxa"/>
            <w:shd w:val="clear" w:color="auto" w:fill="auto"/>
          </w:tcPr>
          <w:p w:rsidR="00777F5E" w:rsidRPr="001E1652" w:rsidRDefault="00777F5E" w:rsidP="00777F5E">
            <w:pPr>
              <w:pStyle w:val="Tabletext"/>
            </w:pPr>
            <w:r w:rsidRPr="001E1652">
              <w:t>43</w:t>
            </w:r>
          </w:p>
        </w:tc>
        <w:tc>
          <w:tcPr>
            <w:tcW w:w="1134" w:type="dxa"/>
            <w:shd w:val="clear" w:color="auto" w:fill="auto"/>
          </w:tcPr>
          <w:p w:rsidR="00777F5E" w:rsidRPr="001E1652" w:rsidRDefault="00777F5E" w:rsidP="00777F5E">
            <w:pPr>
              <w:pStyle w:val="Tabletext"/>
            </w:pPr>
            <w:r w:rsidRPr="001E1652">
              <w:t>27.7202</w:t>
            </w:r>
          </w:p>
        </w:tc>
        <w:tc>
          <w:tcPr>
            <w:tcW w:w="1134" w:type="dxa"/>
            <w:shd w:val="clear" w:color="auto" w:fill="auto"/>
          </w:tcPr>
          <w:p w:rsidR="00777F5E" w:rsidRPr="001E1652" w:rsidRDefault="00777F5E" w:rsidP="00777F5E">
            <w:pPr>
              <w:pStyle w:val="Tabletext"/>
            </w:pPr>
            <w:r w:rsidRPr="001E1652">
              <w:t>30.1563</w:t>
            </w:r>
          </w:p>
        </w:tc>
      </w:tr>
      <w:tr w:rsidR="00777F5E" w:rsidRPr="001E1652" w:rsidTr="00777F5E">
        <w:tc>
          <w:tcPr>
            <w:tcW w:w="1271" w:type="dxa"/>
            <w:shd w:val="clear" w:color="auto" w:fill="auto"/>
          </w:tcPr>
          <w:p w:rsidR="00777F5E" w:rsidRPr="001E1652" w:rsidRDefault="00777F5E" w:rsidP="00777F5E">
            <w:pPr>
              <w:pStyle w:val="Tabletext"/>
            </w:pPr>
            <w:r w:rsidRPr="001E1652">
              <w:t>44</w:t>
            </w:r>
          </w:p>
        </w:tc>
        <w:tc>
          <w:tcPr>
            <w:tcW w:w="1134" w:type="dxa"/>
            <w:shd w:val="clear" w:color="auto" w:fill="auto"/>
          </w:tcPr>
          <w:p w:rsidR="00777F5E" w:rsidRPr="001E1652" w:rsidRDefault="00777F5E" w:rsidP="00777F5E">
            <w:pPr>
              <w:pStyle w:val="Tabletext"/>
            </w:pPr>
            <w:r w:rsidRPr="001E1652">
              <w:t>27.2259</w:t>
            </w:r>
          </w:p>
        </w:tc>
        <w:tc>
          <w:tcPr>
            <w:tcW w:w="1134" w:type="dxa"/>
            <w:shd w:val="clear" w:color="auto" w:fill="auto"/>
          </w:tcPr>
          <w:p w:rsidR="00777F5E" w:rsidRPr="001E1652" w:rsidRDefault="00777F5E" w:rsidP="00777F5E">
            <w:pPr>
              <w:pStyle w:val="Tabletext"/>
            </w:pPr>
            <w:r w:rsidRPr="001E1652">
              <w:t>29.7090</w:t>
            </w:r>
          </w:p>
        </w:tc>
      </w:tr>
      <w:tr w:rsidR="00777F5E" w:rsidRPr="001E1652" w:rsidTr="00777F5E">
        <w:tc>
          <w:tcPr>
            <w:tcW w:w="1271" w:type="dxa"/>
            <w:shd w:val="clear" w:color="auto" w:fill="auto"/>
          </w:tcPr>
          <w:p w:rsidR="00777F5E" w:rsidRPr="001E1652" w:rsidRDefault="00777F5E" w:rsidP="00777F5E">
            <w:pPr>
              <w:pStyle w:val="Tabletext"/>
            </w:pPr>
            <w:r w:rsidRPr="001E1652">
              <w:t>45</w:t>
            </w:r>
          </w:p>
        </w:tc>
        <w:tc>
          <w:tcPr>
            <w:tcW w:w="1134" w:type="dxa"/>
            <w:shd w:val="clear" w:color="auto" w:fill="auto"/>
          </w:tcPr>
          <w:p w:rsidR="00777F5E" w:rsidRPr="001E1652" w:rsidRDefault="00777F5E" w:rsidP="00777F5E">
            <w:pPr>
              <w:pStyle w:val="Tabletext"/>
            </w:pPr>
            <w:r w:rsidRPr="001E1652">
              <w:t>26.7226</w:t>
            </w:r>
          </w:p>
        </w:tc>
        <w:tc>
          <w:tcPr>
            <w:tcW w:w="1134" w:type="dxa"/>
            <w:shd w:val="clear" w:color="auto" w:fill="auto"/>
          </w:tcPr>
          <w:p w:rsidR="00777F5E" w:rsidRPr="001E1652" w:rsidRDefault="00777F5E" w:rsidP="00777F5E">
            <w:pPr>
              <w:pStyle w:val="Tabletext"/>
            </w:pPr>
            <w:r w:rsidRPr="001E1652">
              <w:t>29.2540</w:t>
            </w:r>
          </w:p>
        </w:tc>
      </w:tr>
      <w:tr w:rsidR="00777F5E" w:rsidRPr="001E1652" w:rsidTr="00777F5E">
        <w:tc>
          <w:tcPr>
            <w:tcW w:w="1271" w:type="dxa"/>
            <w:shd w:val="clear" w:color="auto" w:fill="auto"/>
          </w:tcPr>
          <w:p w:rsidR="00777F5E" w:rsidRPr="001E1652" w:rsidRDefault="00777F5E" w:rsidP="00777F5E">
            <w:pPr>
              <w:pStyle w:val="Tabletext"/>
            </w:pPr>
            <w:r w:rsidRPr="001E1652">
              <w:t>46</w:t>
            </w:r>
          </w:p>
        </w:tc>
        <w:tc>
          <w:tcPr>
            <w:tcW w:w="1134" w:type="dxa"/>
            <w:shd w:val="clear" w:color="auto" w:fill="auto"/>
          </w:tcPr>
          <w:p w:rsidR="00777F5E" w:rsidRPr="001E1652" w:rsidRDefault="00777F5E" w:rsidP="00777F5E">
            <w:pPr>
              <w:pStyle w:val="Tabletext"/>
            </w:pPr>
            <w:r w:rsidRPr="001E1652">
              <w:t>26.2104</w:t>
            </w:r>
          </w:p>
        </w:tc>
        <w:tc>
          <w:tcPr>
            <w:tcW w:w="1134" w:type="dxa"/>
            <w:shd w:val="clear" w:color="auto" w:fill="auto"/>
          </w:tcPr>
          <w:p w:rsidR="00777F5E" w:rsidRPr="001E1652" w:rsidRDefault="00777F5E" w:rsidP="00777F5E">
            <w:pPr>
              <w:pStyle w:val="Tabletext"/>
            </w:pPr>
            <w:r w:rsidRPr="001E1652">
              <w:t>28.7906</w:t>
            </w:r>
          </w:p>
        </w:tc>
      </w:tr>
      <w:tr w:rsidR="00777F5E" w:rsidRPr="001E1652" w:rsidTr="00777F5E">
        <w:tc>
          <w:tcPr>
            <w:tcW w:w="1271" w:type="dxa"/>
            <w:shd w:val="clear" w:color="auto" w:fill="auto"/>
          </w:tcPr>
          <w:p w:rsidR="00777F5E" w:rsidRPr="001E1652" w:rsidRDefault="00777F5E" w:rsidP="00777F5E">
            <w:pPr>
              <w:pStyle w:val="Tabletext"/>
            </w:pPr>
            <w:r w:rsidRPr="001E1652">
              <w:t>47</w:t>
            </w:r>
          </w:p>
        </w:tc>
        <w:tc>
          <w:tcPr>
            <w:tcW w:w="1134" w:type="dxa"/>
            <w:shd w:val="clear" w:color="auto" w:fill="auto"/>
          </w:tcPr>
          <w:p w:rsidR="00777F5E" w:rsidRPr="001E1652" w:rsidRDefault="00777F5E" w:rsidP="00777F5E">
            <w:pPr>
              <w:pStyle w:val="Tabletext"/>
            </w:pPr>
            <w:r w:rsidRPr="001E1652">
              <w:t>25.6898</w:t>
            </w:r>
          </w:p>
        </w:tc>
        <w:tc>
          <w:tcPr>
            <w:tcW w:w="1134" w:type="dxa"/>
            <w:shd w:val="clear" w:color="auto" w:fill="auto"/>
          </w:tcPr>
          <w:p w:rsidR="00777F5E" w:rsidRPr="001E1652" w:rsidRDefault="00777F5E" w:rsidP="00777F5E">
            <w:pPr>
              <w:pStyle w:val="Tabletext"/>
            </w:pPr>
            <w:r w:rsidRPr="001E1652">
              <w:t>28.3195</w:t>
            </w:r>
          </w:p>
        </w:tc>
      </w:tr>
      <w:tr w:rsidR="00777F5E" w:rsidRPr="001E1652" w:rsidTr="00777F5E">
        <w:tc>
          <w:tcPr>
            <w:tcW w:w="1271" w:type="dxa"/>
            <w:shd w:val="clear" w:color="auto" w:fill="auto"/>
          </w:tcPr>
          <w:p w:rsidR="00777F5E" w:rsidRPr="001E1652" w:rsidRDefault="00777F5E" w:rsidP="00777F5E">
            <w:pPr>
              <w:pStyle w:val="Tabletext"/>
            </w:pPr>
            <w:r w:rsidRPr="001E1652">
              <w:t>48</w:t>
            </w:r>
          </w:p>
        </w:tc>
        <w:tc>
          <w:tcPr>
            <w:tcW w:w="1134" w:type="dxa"/>
            <w:shd w:val="clear" w:color="auto" w:fill="auto"/>
          </w:tcPr>
          <w:p w:rsidR="00777F5E" w:rsidRPr="001E1652" w:rsidRDefault="00777F5E" w:rsidP="00777F5E">
            <w:pPr>
              <w:pStyle w:val="Tabletext"/>
            </w:pPr>
            <w:r w:rsidRPr="001E1652">
              <w:t>25.1606</w:t>
            </w:r>
          </w:p>
        </w:tc>
        <w:tc>
          <w:tcPr>
            <w:tcW w:w="1134" w:type="dxa"/>
            <w:shd w:val="clear" w:color="auto" w:fill="auto"/>
          </w:tcPr>
          <w:p w:rsidR="00777F5E" w:rsidRPr="001E1652" w:rsidRDefault="00777F5E" w:rsidP="00777F5E">
            <w:pPr>
              <w:pStyle w:val="Tabletext"/>
            </w:pPr>
            <w:r w:rsidRPr="001E1652">
              <w:t>27.8407</w:t>
            </w:r>
          </w:p>
        </w:tc>
      </w:tr>
      <w:tr w:rsidR="00777F5E" w:rsidRPr="001E1652" w:rsidTr="00777F5E">
        <w:tc>
          <w:tcPr>
            <w:tcW w:w="1271" w:type="dxa"/>
            <w:shd w:val="clear" w:color="auto" w:fill="auto"/>
          </w:tcPr>
          <w:p w:rsidR="00777F5E" w:rsidRPr="001E1652" w:rsidRDefault="00777F5E" w:rsidP="00777F5E">
            <w:pPr>
              <w:pStyle w:val="Tabletext"/>
            </w:pPr>
            <w:r w:rsidRPr="001E1652">
              <w:t>49</w:t>
            </w:r>
          </w:p>
        </w:tc>
        <w:tc>
          <w:tcPr>
            <w:tcW w:w="1134" w:type="dxa"/>
            <w:shd w:val="clear" w:color="auto" w:fill="auto"/>
          </w:tcPr>
          <w:p w:rsidR="00777F5E" w:rsidRPr="001E1652" w:rsidRDefault="00777F5E" w:rsidP="00777F5E">
            <w:pPr>
              <w:pStyle w:val="Tabletext"/>
            </w:pPr>
            <w:r w:rsidRPr="001E1652">
              <w:t>24.6233</w:t>
            </w:r>
          </w:p>
        </w:tc>
        <w:tc>
          <w:tcPr>
            <w:tcW w:w="1134" w:type="dxa"/>
            <w:shd w:val="clear" w:color="auto" w:fill="auto"/>
          </w:tcPr>
          <w:p w:rsidR="00777F5E" w:rsidRPr="001E1652" w:rsidRDefault="00777F5E" w:rsidP="00777F5E">
            <w:pPr>
              <w:pStyle w:val="Tabletext"/>
            </w:pPr>
            <w:r w:rsidRPr="001E1652">
              <w:t>27.3540</w:t>
            </w:r>
          </w:p>
        </w:tc>
      </w:tr>
      <w:tr w:rsidR="00777F5E" w:rsidRPr="001E1652" w:rsidTr="00777F5E">
        <w:tc>
          <w:tcPr>
            <w:tcW w:w="1271" w:type="dxa"/>
            <w:shd w:val="clear" w:color="auto" w:fill="auto"/>
          </w:tcPr>
          <w:p w:rsidR="00777F5E" w:rsidRPr="001E1652" w:rsidRDefault="00777F5E" w:rsidP="00777F5E">
            <w:pPr>
              <w:pStyle w:val="Tabletext"/>
            </w:pPr>
            <w:r w:rsidRPr="001E1652">
              <w:t>50</w:t>
            </w:r>
          </w:p>
        </w:tc>
        <w:tc>
          <w:tcPr>
            <w:tcW w:w="1134" w:type="dxa"/>
            <w:shd w:val="clear" w:color="auto" w:fill="auto"/>
          </w:tcPr>
          <w:p w:rsidR="00777F5E" w:rsidRPr="001E1652" w:rsidRDefault="00777F5E" w:rsidP="00777F5E">
            <w:pPr>
              <w:pStyle w:val="Tabletext"/>
            </w:pPr>
            <w:r w:rsidRPr="001E1652">
              <w:t>24.0785</w:t>
            </w:r>
          </w:p>
        </w:tc>
        <w:tc>
          <w:tcPr>
            <w:tcW w:w="1134" w:type="dxa"/>
            <w:shd w:val="clear" w:color="auto" w:fill="auto"/>
          </w:tcPr>
          <w:p w:rsidR="00777F5E" w:rsidRPr="001E1652" w:rsidRDefault="00777F5E" w:rsidP="00777F5E">
            <w:pPr>
              <w:pStyle w:val="Tabletext"/>
            </w:pPr>
            <w:r w:rsidRPr="001E1652">
              <w:t>26.8602</w:t>
            </w:r>
          </w:p>
        </w:tc>
      </w:tr>
      <w:tr w:rsidR="00777F5E" w:rsidRPr="001E1652" w:rsidTr="00777F5E">
        <w:tc>
          <w:tcPr>
            <w:tcW w:w="1271" w:type="dxa"/>
            <w:shd w:val="clear" w:color="auto" w:fill="auto"/>
          </w:tcPr>
          <w:p w:rsidR="00777F5E" w:rsidRPr="001E1652" w:rsidRDefault="00777F5E" w:rsidP="00777F5E">
            <w:pPr>
              <w:pStyle w:val="Tabletext"/>
            </w:pPr>
            <w:r w:rsidRPr="001E1652">
              <w:t>51</w:t>
            </w:r>
          </w:p>
        </w:tc>
        <w:tc>
          <w:tcPr>
            <w:tcW w:w="1134" w:type="dxa"/>
            <w:shd w:val="clear" w:color="auto" w:fill="auto"/>
          </w:tcPr>
          <w:p w:rsidR="00777F5E" w:rsidRPr="001E1652" w:rsidRDefault="00777F5E" w:rsidP="00777F5E">
            <w:pPr>
              <w:pStyle w:val="Tabletext"/>
            </w:pPr>
            <w:r w:rsidRPr="001E1652">
              <w:t>23.5262</w:t>
            </w:r>
          </w:p>
        </w:tc>
        <w:tc>
          <w:tcPr>
            <w:tcW w:w="1134" w:type="dxa"/>
            <w:shd w:val="clear" w:color="auto" w:fill="auto"/>
          </w:tcPr>
          <w:p w:rsidR="00777F5E" w:rsidRPr="001E1652" w:rsidRDefault="00777F5E" w:rsidP="00777F5E">
            <w:pPr>
              <w:pStyle w:val="Tabletext"/>
            </w:pPr>
            <w:r w:rsidRPr="001E1652">
              <w:t>26.3590</w:t>
            </w:r>
          </w:p>
        </w:tc>
      </w:tr>
      <w:tr w:rsidR="00777F5E" w:rsidRPr="001E1652" w:rsidTr="00777F5E">
        <w:tc>
          <w:tcPr>
            <w:tcW w:w="1271" w:type="dxa"/>
            <w:shd w:val="clear" w:color="auto" w:fill="auto"/>
          </w:tcPr>
          <w:p w:rsidR="00777F5E" w:rsidRPr="001E1652" w:rsidRDefault="00777F5E" w:rsidP="00777F5E">
            <w:pPr>
              <w:pStyle w:val="Tabletext"/>
            </w:pPr>
            <w:r w:rsidRPr="001E1652">
              <w:t>52</w:t>
            </w:r>
          </w:p>
        </w:tc>
        <w:tc>
          <w:tcPr>
            <w:tcW w:w="1134" w:type="dxa"/>
            <w:shd w:val="clear" w:color="auto" w:fill="auto"/>
          </w:tcPr>
          <w:p w:rsidR="00777F5E" w:rsidRPr="001E1652" w:rsidRDefault="00777F5E" w:rsidP="00777F5E">
            <w:pPr>
              <w:pStyle w:val="Tabletext"/>
            </w:pPr>
            <w:r w:rsidRPr="001E1652">
              <w:t>22.9670</w:t>
            </w:r>
          </w:p>
        </w:tc>
        <w:tc>
          <w:tcPr>
            <w:tcW w:w="1134" w:type="dxa"/>
            <w:shd w:val="clear" w:color="auto" w:fill="auto"/>
          </w:tcPr>
          <w:p w:rsidR="00777F5E" w:rsidRPr="001E1652" w:rsidRDefault="00777F5E" w:rsidP="00777F5E">
            <w:pPr>
              <w:pStyle w:val="Tabletext"/>
            </w:pPr>
            <w:r w:rsidRPr="001E1652">
              <w:t>25.8512</w:t>
            </w:r>
          </w:p>
        </w:tc>
      </w:tr>
      <w:tr w:rsidR="00777F5E" w:rsidRPr="001E1652" w:rsidTr="00777F5E">
        <w:tc>
          <w:tcPr>
            <w:tcW w:w="1271" w:type="dxa"/>
            <w:shd w:val="clear" w:color="auto" w:fill="auto"/>
          </w:tcPr>
          <w:p w:rsidR="00777F5E" w:rsidRPr="001E1652" w:rsidRDefault="00777F5E" w:rsidP="00777F5E">
            <w:pPr>
              <w:pStyle w:val="Tabletext"/>
            </w:pPr>
            <w:r w:rsidRPr="001E1652">
              <w:t>53</w:t>
            </w:r>
          </w:p>
        </w:tc>
        <w:tc>
          <w:tcPr>
            <w:tcW w:w="1134" w:type="dxa"/>
            <w:shd w:val="clear" w:color="auto" w:fill="auto"/>
          </w:tcPr>
          <w:p w:rsidR="00777F5E" w:rsidRPr="001E1652" w:rsidRDefault="00777F5E" w:rsidP="00777F5E">
            <w:pPr>
              <w:pStyle w:val="Tabletext"/>
            </w:pPr>
            <w:r w:rsidRPr="001E1652">
              <w:t>22.4013</w:t>
            </w:r>
          </w:p>
        </w:tc>
        <w:tc>
          <w:tcPr>
            <w:tcW w:w="1134" w:type="dxa"/>
            <w:shd w:val="clear" w:color="auto" w:fill="auto"/>
          </w:tcPr>
          <w:p w:rsidR="00777F5E" w:rsidRPr="001E1652" w:rsidRDefault="00777F5E" w:rsidP="00777F5E">
            <w:pPr>
              <w:pStyle w:val="Tabletext"/>
            </w:pPr>
            <w:r w:rsidRPr="001E1652">
              <w:t>25.3363</w:t>
            </w:r>
          </w:p>
        </w:tc>
      </w:tr>
      <w:tr w:rsidR="00777F5E" w:rsidRPr="001E1652" w:rsidTr="00777F5E">
        <w:tc>
          <w:tcPr>
            <w:tcW w:w="1271" w:type="dxa"/>
            <w:shd w:val="clear" w:color="auto" w:fill="auto"/>
          </w:tcPr>
          <w:p w:rsidR="00777F5E" w:rsidRPr="001E1652" w:rsidRDefault="00777F5E" w:rsidP="00777F5E">
            <w:pPr>
              <w:pStyle w:val="Tabletext"/>
            </w:pPr>
            <w:r w:rsidRPr="001E1652">
              <w:t>54</w:t>
            </w:r>
          </w:p>
        </w:tc>
        <w:tc>
          <w:tcPr>
            <w:tcW w:w="1134" w:type="dxa"/>
            <w:shd w:val="clear" w:color="auto" w:fill="auto"/>
          </w:tcPr>
          <w:p w:rsidR="00777F5E" w:rsidRPr="001E1652" w:rsidRDefault="00777F5E" w:rsidP="00777F5E">
            <w:pPr>
              <w:pStyle w:val="Tabletext"/>
            </w:pPr>
            <w:r w:rsidRPr="001E1652">
              <w:t>21.8298</w:t>
            </w:r>
          </w:p>
        </w:tc>
        <w:tc>
          <w:tcPr>
            <w:tcW w:w="1134" w:type="dxa"/>
            <w:shd w:val="clear" w:color="auto" w:fill="auto"/>
          </w:tcPr>
          <w:p w:rsidR="00777F5E" w:rsidRPr="001E1652" w:rsidRDefault="00777F5E" w:rsidP="00777F5E">
            <w:pPr>
              <w:pStyle w:val="Tabletext"/>
            </w:pPr>
            <w:r w:rsidRPr="001E1652">
              <w:t>24.8143</w:t>
            </w:r>
          </w:p>
        </w:tc>
      </w:tr>
      <w:tr w:rsidR="00777F5E" w:rsidRPr="001E1652" w:rsidTr="00777F5E">
        <w:tc>
          <w:tcPr>
            <w:tcW w:w="1271" w:type="dxa"/>
            <w:shd w:val="clear" w:color="auto" w:fill="auto"/>
          </w:tcPr>
          <w:p w:rsidR="00777F5E" w:rsidRPr="001E1652" w:rsidRDefault="00777F5E" w:rsidP="00777F5E">
            <w:pPr>
              <w:pStyle w:val="Tabletext"/>
            </w:pPr>
            <w:r w:rsidRPr="001E1652">
              <w:t>55</w:t>
            </w:r>
          </w:p>
        </w:tc>
        <w:tc>
          <w:tcPr>
            <w:tcW w:w="1134" w:type="dxa"/>
            <w:shd w:val="clear" w:color="auto" w:fill="auto"/>
          </w:tcPr>
          <w:p w:rsidR="00777F5E" w:rsidRPr="001E1652" w:rsidRDefault="00777F5E" w:rsidP="00777F5E">
            <w:pPr>
              <w:pStyle w:val="Tabletext"/>
            </w:pPr>
            <w:r w:rsidRPr="001E1652">
              <w:t>21.2538</w:t>
            </w:r>
          </w:p>
        </w:tc>
        <w:tc>
          <w:tcPr>
            <w:tcW w:w="1134" w:type="dxa"/>
            <w:shd w:val="clear" w:color="auto" w:fill="auto"/>
          </w:tcPr>
          <w:p w:rsidR="00777F5E" w:rsidRPr="001E1652" w:rsidRDefault="00777F5E" w:rsidP="00777F5E">
            <w:pPr>
              <w:pStyle w:val="Tabletext"/>
            </w:pPr>
            <w:r w:rsidRPr="001E1652">
              <w:t>24.2857</w:t>
            </w:r>
          </w:p>
        </w:tc>
      </w:tr>
      <w:tr w:rsidR="00777F5E" w:rsidRPr="001E1652" w:rsidTr="00777F5E">
        <w:tc>
          <w:tcPr>
            <w:tcW w:w="1271" w:type="dxa"/>
            <w:shd w:val="clear" w:color="auto" w:fill="auto"/>
          </w:tcPr>
          <w:p w:rsidR="00777F5E" w:rsidRPr="001E1652" w:rsidRDefault="00777F5E" w:rsidP="00777F5E">
            <w:pPr>
              <w:pStyle w:val="Tabletext"/>
            </w:pPr>
            <w:r w:rsidRPr="001E1652">
              <w:t>56</w:t>
            </w:r>
          </w:p>
        </w:tc>
        <w:tc>
          <w:tcPr>
            <w:tcW w:w="1134" w:type="dxa"/>
            <w:shd w:val="clear" w:color="auto" w:fill="auto"/>
          </w:tcPr>
          <w:p w:rsidR="00777F5E" w:rsidRPr="001E1652" w:rsidRDefault="00777F5E" w:rsidP="00777F5E">
            <w:pPr>
              <w:pStyle w:val="Tabletext"/>
            </w:pPr>
            <w:r w:rsidRPr="001E1652">
              <w:t>20.6735</w:t>
            </w:r>
          </w:p>
        </w:tc>
        <w:tc>
          <w:tcPr>
            <w:tcW w:w="1134" w:type="dxa"/>
            <w:shd w:val="clear" w:color="auto" w:fill="auto"/>
          </w:tcPr>
          <w:p w:rsidR="00777F5E" w:rsidRPr="001E1652" w:rsidRDefault="00777F5E" w:rsidP="00777F5E">
            <w:pPr>
              <w:pStyle w:val="Tabletext"/>
            </w:pPr>
            <w:r w:rsidRPr="001E1652">
              <w:t>23.7500</w:t>
            </w:r>
          </w:p>
        </w:tc>
      </w:tr>
      <w:tr w:rsidR="00777F5E" w:rsidRPr="001E1652" w:rsidTr="00777F5E">
        <w:tc>
          <w:tcPr>
            <w:tcW w:w="1271" w:type="dxa"/>
            <w:shd w:val="clear" w:color="auto" w:fill="auto"/>
          </w:tcPr>
          <w:p w:rsidR="00777F5E" w:rsidRPr="001E1652" w:rsidRDefault="00777F5E" w:rsidP="00777F5E">
            <w:pPr>
              <w:pStyle w:val="Tabletext"/>
            </w:pPr>
            <w:r w:rsidRPr="001E1652">
              <w:t>57</w:t>
            </w:r>
          </w:p>
        </w:tc>
        <w:tc>
          <w:tcPr>
            <w:tcW w:w="1134" w:type="dxa"/>
            <w:shd w:val="clear" w:color="auto" w:fill="auto"/>
          </w:tcPr>
          <w:p w:rsidR="00777F5E" w:rsidRPr="001E1652" w:rsidRDefault="00777F5E" w:rsidP="00777F5E">
            <w:pPr>
              <w:pStyle w:val="Tabletext"/>
            </w:pPr>
            <w:r w:rsidRPr="001E1652">
              <w:t>20.0902</w:t>
            </w:r>
          </w:p>
        </w:tc>
        <w:tc>
          <w:tcPr>
            <w:tcW w:w="1134" w:type="dxa"/>
            <w:shd w:val="clear" w:color="auto" w:fill="auto"/>
          </w:tcPr>
          <w:p w:rsidR="00777F5E" w:rsidRPr="001E1652" w:rsidRDefault="00777F5E" w:rsidP="00777F5E">
            <w:pPr>
              <w:pStyle w:val="Tabletext"/>
            </w:pPr>
            <w:r w:rsidRPr="001E1652">
              <w:t>23.2075</w:t>
            </w:r>
          </w:p>
        </w:tc>
      </w:tr>
      <w:tr w:rsidR="00777F5E" w:rsidRPr="001E1652" w:rsidTr="00777F5E">
        <w:tc>
          <w:tcPr>
            <w:tcW w:w="1271" w:type="dxa"/>
            <w:shd w:val="clear" w:color="auto" w:fill="auto"/>
          </w:tcPr>
          <w:p w:rsidR="00777F5E" w:rsidRPr="001E1652" w:rsidRDefault="00777F5E" w:rsidP="00777F5E">
            <w:pPr>
              <w:pStyle w:val="Tabletext"/>
            </w:pPr>
            <w:r w:rsidRPr="001E1652">
              <w:t>58</w:t>
            </w:r>
          </w:p>
        </w:tc>
        <w:tc>
          <w:tcPr>
            <w:tcW w:w="1134" w:type="dxa"/>
            <w:shd w:val="clear" w:color="auto" w:fill="auto"/>
          </w:tcPr>
          <w:p w:rsidR="00777F5E" w:rsidRPr="001E1652" w:rsidRDefault="00777F5E" w:rsidP="00777F5E">
            <w:pPr>
              <w:pStyle w:val="Tabletext"/>
            </w:pPr>
            <w:r w:rsidRPr="001E1652">
              <w:t>19.5043</w:t>
            </w:r>
          </w:p>
        </w:tc>
        <w:tc>
          <w:tcPr>
            <w:tcW w:w="1134" w:type="dxa"/>
            <w:shd w:val="clear" w:color="auto" w:fill="auto"/>
          </w:tcPr>
          <w:p w:rsidR="00777F5E" w:rsidRPr="001E1652" w:rsidRDefault="00777F5E" w:rsidP="00777F5E">
            <w:pPr>
              <w:pStyle w:val="Tabletext"/>
            </w:pPr>
            <w:r w:rsidRPr="001E1652">
              <w:t>22.6580</w:t>
            </w:r>
          </w:p>
        </w:tc>
      </w:tr>
      <w:tr w:rsidR="00777F5E" w:rsidRPr="001E1652" w:rsidTr="00777F5E">
        <w:tc>
          <w:tcPr>
            <w:tcW w:w="1271" w:type="dxa"/>
            <w:shd w:val="clear" w:color="auto" w:fill="auto"/>
          </w:tcPr>
          <w:p w:rsidR="00777F5E" w:rsidRPr="001E1652" w:rsidRDefault="00777F5E" w:rsidP="00777F5E">
            <w:pPr>
              <w:pStyle w:val="Tabletext"/>
            </w:pPr>
            <w:r w:rsidRPr="001E1652">
              <w:t>59</w:t>
            </w:r>
          </w:p>
        </w:tc>
        <w:tc>
          <w:tcPr>
            <w:tcW w:w="1134" w:type="dxa"/>
            <w:shd w:val="clear" w:color="auto" w:fill="auto"/>
          </w:tcPr>
          <w:p w:rsidR="00777F5E" w:rsidRPr="001E1652" w:rsidRDefault="00777F5E" w:rsidP="00777F5E">
            <w:pPr>
              <w:pStyle w:val="Tabletext"/>
            </w:pPr>
            <w:r w:rsidRPr="001E1652">
              <w:t>18.9153</w:t>
            </w:r>
          </w:p>
        </w:tc>
        <w:tc>
          <w:tcPr>
            <w:tcW w:w="1134" w:type="dxa"/>
            <w:shd w:val="clear" w:color="auto" w:fill="auto"/>
          </w:tcPr>
          <w:p w:rsidR="00777F5E" w:rsidRPr="001E1652" w:rsidRDefault="00777F5E" w:rsidP="00777F5E">
            <w:pPr>
              <w:pStyle w:val="Tabletext"/>
            </w:pPr>
            <w:r w:rsidRPr="001E1652">
              <w:t>22.1017</w:t>
            </w:r>
          </w:p>
        </w:tc>
      </w:tr>
      <w:tr w:rsidR="00777F5E" w:rsidRPr="001E1652" w:rsidTr="00777F5E">
        <w:tc>
          <w:tcPr>
            <w:tcW w:w="1271" w:type="dxa"/>
            <w:shd w:val="clear" w:color="auto" w:fill="auto"/>
          </w:tcPr>
          <w:p w:rsidR="00777F5E" w:rsidRPr="001E1652" w:rsidRDefault="00777F5E" w:rsidP="00777F5E">
            <w:pPr>
              <w:pStyle w:val="Tabletext"/>
            </w:pPr>
            <w:r w:rsidRPr="001E1652">
              <w:t>60</w:t>
            </w:r>
          </w:p>
        </w:tc>
        <w:tc>
          <w:tcPr>
            <w:tcW w:w="1134" w:type="dxa"/>
            <w:shd w:val="clear" w:color="auto" w:fill="auto"/>
          </w:tcPr>
          <w:p w:rsidR="00777F5E" w:rsidRPr="001E1652" w:rsidRDefault="00777F5E" w:rsidP="00777F5E">
            <w:pPr>
              <w:pStyle w:val="Tabletext"/>
            </w:pPr>
            <w:r w:rsidRPr="001E1652">
              <w:t>18.3239</w:t>
            </w:r>
          </w:p>
        </w:tc>
        <w:tc>
          <w:tcPr>
            <w:tcW w:w="1134" w:type="dxa"/>
            <w:shd w:val="clear" w:color="auto" w:fill="auto"/>
          </w:tcPr>
          <w:p w:rsidR="00777F5E" w:rsidRPr="001E1652" w:rsidRDefault="00777F5E" w:rsidP="00777F5E">
            <w:pPr>
              <w:pStyle w:val="Tabletext"/>
            </w:pPr>
            <w:r w:rsidRPr="001E1652">
              <w:t>21.5383</w:t>
            </w:r>
          </w:p>
        </w:tc>
      </w:tr>
      <w:tr w:rsidR="00777F5E" w:rsidRPr="001E1652" w:rsidTr="00777F5E">
        <w:tc>
          <w:tcPr>
            <w:tcW w:w="1271" w:type="dxa"/>
            <w:shd w:val="clear" w:color="auto" w:fill="auto"/>
          </w:tcPr>
          <w:p w:rsidR="00777F5E" w:rsidRPr="001E1652" w:rsidRDefault="00777F5E" w:rsidP="00777F5E">
            <w:pPr>
              <w:pStyle w:val="Tabletext"/>
            </w:pPr>
            <w:r w:rsidRPr="001E1652">
              <w:t>61</w:t>
            </w:r>
          </w:p>
        </w:tc>
        <w:tc>
          <w:tcPr>
            <w:tcW w:w="1134" w:type="dxa"/>
            <w:shd w:val="clear" w:color="auto" w:fill="auto"/>
          </w:tcPr>
          <w:p w:rsidR="00777F5E" w:rsidRPr="001E1652" w:rsidRDefault="00777F5E" w:rsidP="00777F5E">
            <w:pPr>
              <w:pStyle w:val="Tabletext"/>
            </w:pPr>
            <w:r w:rsidRPr="001E1652">
              <w:t>17.7307</w:t>
            </w:r>
          </w:p>
        </w:tc>
        <w:tc>
          <w:tcPr>
            <w:tcW w:w="1134" w:type="dxa"/>
            <w:shd w:val="clear" w:color="auto" w:fill="auto"/>
          </w:tcPr>
          <w:p w:rsidR="00777F5E" w:rsidRPr="001E1652" w:rsidRDefault="00777F5E" w:rsidP="00777F5E">
            <w:pPr>
              <w:pStyle w:val="Tabletext"/>
            </w:pPr>
            <w:r w:rsidRPr="001E1652">
              <w:t>20.9681</w:t>
            </w:r>
          </w:p>
        </w:tc>
      </w:tr>
      <w:tr w:rsidR="00777F5E" w:rsidRPr="001E1652" w:rsidTr="00777F5E">
        <w:tc>
          <w:tcPr>
            <w:tcW w:w="1271" w:type="dxa"/>
            <w:shd w:val="clear" w:color="auto" w:fill="auto"/>
          </w:tcPr>
          <w:p w:rsidR="00777F5E" w:rsidRPr="001E1652" w:rsidRDefault="00777F5E" w:rsidP="00777F5E">
            <w:pPr>
              <w:pStyle w:val="Tabletext"/>
            </w:pPr>
            <w:r w:rsidRPr="001E1652">
              <w:t>62</w:t>
            </w:r>
          </w:p>
        </w:tc>
        <w:tc>
          <w:tcPr>
            <w:tcW w:w="1134" w:type="dxa"/>
            <w:shd w:val="clear" w:color="auto" w:fill="auto"/>
          </w:tcPr>
          <w:p w:rsidR="00777F5E" w:rsidRPr="001E1652" w:rsidRDefault="00777F5E" w:rsidP="00777F5E">
            <w:pPr>
              <w:pStyle w:val="Tabletext"/>
            </w:pPr>
            <w:r w:rsidRPr="001E1652">
              <w:t>17.1358</w:t>
            </w:r>
          </w:p>
        </w:tc>
        <w:tc>
          <w:tcPr>
            <w:tcW w:w="1134" w:type="dxa"/>
            <w:shd w:val="clear" w:color="auto" w:fill="auto"/>
          </w:tcPr>
          <w:p w:rsidR="00777F5E" w:rsidRPr="001E1652" w:rsidRDefault="00777F5E" w:rsidP="00777F5E">
            <w:pPr>
              <w:pStyle w:val="Tabletext"/>
            </w:pPr>
            <w:r w:rsidRPr="001E1652">
              <w:t>20.3913</w:t>
            </w:r>
          </w:p>
        </w:tc>
      </w:tr>
      <w:tr w:rsidR="00777F5E" w:rsidRPr="001E1652" w:rsidTr="00777F5E">
        <w:tc>
          <w:tcPr>
            <w:tcW w:w="1271" w:type="dxa"/>
            <w:shd w:val="clear" w:color="auto" w:fill="auto"/>
          </w:tcPr>
          <w:p w:rsidR="00777F5E" w:rsidRPr="001E1652" w:rsidRDefault="00777F5E" w:rsidP="00777F5E">
            <w:pPr>
              <w:pStyle w:val="Tabletext"/>
            </w:pPr>
            <w:r w:rsidRPr="001E1652">
              <w:t>63</w:t>
            </w:r>
          </w:p>
        </w:tc>
        <w:tc>
          <w:tcPr>
            <w:tcW w:w="1134" w:type="dxa"/>
            <w:shd w:val="clear" w:color="auto" w:fill="auto"/>
          </w:tcPr>
          <w:p w:rsidR="00777F5E" w:rsidRPr="001E1652" w:rsidRDefault="00777F5E" w:rsidP="00777F5E">
            <w:pPr>
              <w:pStyle w:val="Tabletext"/>
            </w:pPr>
            <w:r w:rsidRPr="001E1652">
              <w:t>16.5395</w:t>
            </w:r>
          </w:p>
        </w:tc>
        <w:tc>
          <w:tcPr>
            <w:tcW w:w="1134" w:type="dxa"/>
            <w:shd w:val="clear" w:color="auto" w:fill="auto"/>
          </w:tcPr>
          <w:p w:rsidR="00777F5E" w:rsidRPr="001E1652" w:rsidRDefault="00777F5E" w:rsidP="00777F5E">
            <w:pPr>
              <w:pStyle w:val="Tabletext"/>
            </w:pPr>
            <w:r w:rsidRPr="001E1652">
              <w:t>19.8080</w:t>
            </w:r>
          </w:p>
        </w:tc>
      </w:tr>
      <w:tr w:rsidR="00777F5E" w:rsidRPr="001E1652" w:rsidTr="00777F5E">
        <w:tc>
          <w:tcPr>
            <w:tcW w:w="1271" w:type="dxa"/>
            <w:shd w:val="clear" w:color="auto" w:fill="auto"/>
          </w:tcPr>
          <w:p w:rsidR="00777F5E" w:rsidRPr="001E1652" w:rsidRDefault="00777F5E" w:rsidP="00777F5E">
            <w:pPr>
              <w:pStyle w:val="Tabletext"/>
            </w:pPr>
            <w:r w:rsidRPr="001E1652">
              <w:lastRenderedPageBreak/>
              <w:t>64</w:t>
            </w:r>
          </w:p>
        </w:tc>
        <w:tc>
          <w:tcPr>
            <w:tcW w:w="1134" w:type="dxa"/>
            <w:shd w:val="clear" w:color="auto" w:fill="auto"/>
          </w:tcPr>
          <w:p w:rsidR="00777F5E" w:rsidRPr="001E1652" w:rsidRDefault="00777F5E" w:rsidP="00777F5E">
            <w:pPr>
              <w:pStyle w:val="Tabletext"/>
            </w:pPr>
            <w:r w:rsidRPr="001E1652">
              <w:t>15.9459</w:t>
            </w:r>
          </w:p>
        </w:tc>
        <w:tc>
          <w:tcPr>
            <w:tcW w:w="1134" w:type="dxa"/>
            <w:shd w:val="clear" w:color="auto" w:fill="auto"/>
          </w:tcPr>
          <w:p w:rsidR="00777F5E" w:rsidRPr="001E1652" w:rsidRDefault="00777F5E" w:rsidP="00777F5E">
            <w:pPr>
              <w:pStyle w:val="Tabletext"/>
            </w:pPr>
            <w:r w:rsidRPr="001E1652">
              <w:t>19.2187</w:t>
            </w:r>
          </w:p>
        </w:tc>
      </w:tr>
      <w:tr w:rsidR="00777F5E" w:rsidRPr="001E1652" w:rsidTr="00777F5E">
        <w:tc>
          <w:tcPr>
            <w:tcW w:w="1271" w:type="dxa"/>
            <w:shd w:val="clear" w:color="auto" w:fill="auto"/>
          </w:tcPr>
          <w:p w:rsidR="00777F5E" w:rsidRPr="001E1652" w:rsidRDefault="00777F5E" w:rsidP="00777F5E">
            <w:pPr>
              <w:pStyle w:val="Tabletext"/>
            </w:pPr>
            <w:r w:rsidRPr="001E1652">
              <w:t>65</w:t>
            </w:r>
          </w:p>
        </w:tc>
        <w:tc>
          <w:tcPr>
            <w:tcW w:w="1134" w:type="dxa"/>
            <w:shd w:val="clear" w:color="auto" w:fill="auto"/>
          </w:tcPr>
          <w:p w:rsidR="00777F5E" w:rsidRPr="001E1652" w:rsidRDefault="00777F5E" w:rsidP="00777F5E">
            <w:pPr>
              <w:pStyle w:val="Tabletext"/>
            </w:pPr>
            <w:r w:rsidRPr="001E1652">
              <w:t>15.3558</w:t>
            </w:r>
          </w:p>
        </w:tc>
        <w:tc>
          <w:tcPr>
            <w:tcW w:w="1134" w:type="dxa"/>
            <w:shd w:val="clear" w:color="auto" w:fill="auto"/>
          </w:tcPr>
          <w:p w:rsidR="00777F5E" w:rsidRPr="001E1652" w:rsidRDefault="00777F5E" w:rsidP="00777F5E">
            <w:pPr>
              <w:pStyle w:val="Tabletext"/>
            </w:pPr>
            <w:r w:rsidRPr="001E1652">
              <w:t>18.6243</w:t>
            </w:r>
          </w:p>
        </w:tc>
      </w:tr>
      <w:tr w:rsidR="00777F5E" w:rsidRPr="001E1652" w:rsidTr="00777F5E">
        <w:tc>
          <w:tcPr>
            <w:tcW w:w="1271" w:type="dxa"/>
            <w:shd w:val="clear" w:color="auto" w:fill="auto"/>
          </w:tcPr>
          <w:p w:rsidR="00777F5E" w:rsidRPr="001E1652" w:rsidRDefault="00777F5E" w:rsidP="00777F5E">
            <w:pPr>
              <w:pStyle w:val="Tabletext"/>
            </w:pPr>
            <w:r w:rsidRPr="001E1652">
              <w:t>66</w:t>
            </w:r>
          </w:p>
        </w:tc>
        <w:tc>
          <w:tcPr>
            <w:tcW w:w="1134" w:type="dxa"/>
            <w:shd w:val="clear" w:color="auto" w:fill="auto"/>
          </w:tcPr>
          <w:p w:rsidR="00777F5E" w:rsidRPr="001E1652" w:rsidRDefault="00777F5E" w:rsidP="00777F5E">
            <w:pPr>
              <w:pStyle w:val="Tabletext"/>
            </w:pPr>
            <w:r w:rsidRPr="001E1652">
              <w:t>14.7700</w:t>
            </w:r>
          </w:p>
        </w:tc>
        <w:tc>
          <w:tcPr>
            <w:tcW w:w="1134" w:type="dxa"/>
            <w:shd w:val="clear" w:color="auto" w:fill="auto"/>
          </w:tcPr>
          <w:p w:rsidR="00777F5E" w:rsidRPr="001E1652" w:rsidRDefault="00777F5E" w:rsidP="00777F5E">
            <w:pPr>
              <w:pStyle w:val="Tabletext"/>
            </w:pPr>
            <w:r w:rsidRPr="001E1652">
              <w:t>18.0249</w:t>
            </w:r>
          </w:p>
        </w:tc>
      </w:tr>
      <w:tr w:rsidR="00777F5E" w:rsidRPr="001E1652" w:rsidTr="00777F5E">
        <w:tc>
          <w:tcPr>
            <w:tcW w:w="1271" w:type="dxa"/>
            <w:shd w:val="clear" w:color="auto" w:fill="auto"/>
          </w:tcPr>
          <w:p w:rsidR="00777F5E" w:rsidRPr="001E1652" w:rsidRDefault="00777F5E" w:rsidP="00777F5E">
            <w:pPr>
              <w:pStyle w:val="Tabletext"/>
            </w:pPr>
            <w:r w:rsidRPr="001E1652">
              <w:t>67</w:t>
            </w:r>
          </w:p>
        </w:tc>
        <w:tc>
          <w:tcPr>
            <w:tcW w:w="1134" w:type="dxa"/>
            <w:shd w:val="clear" w:color="auto" w:fill="auto"/>
          </w:tcPr>
          <w:p w:rsidR="00777F5E" w:rsidRPr="001E1652" w:rsidRDefault="00777F5E" w:rsidP="00777F5E">
            <w:pPr>
              <w:pStyle w:val="Tabletext"/>
            </w:pPr>
            <w:r w:rsidRPr="001E1652">
              <w:t>14.1892</w:t>
            </w:r>
          </w:p>
        </w:tc>
        <w:tc>
          <w:tcPr>
            <w:tcW w:w="1134" w:type="dxa"/>
            <w:shd w:val="clear" w:color="auto" w:fill="auto"/>
          </w:tcPr>
          <w:p w:rsidR="00777F5E" w:rsidRPr="001E1652" w:rsidRDefault="00777F5E" w:rsidP="00777F5E">
            <w:pPr>
              <w:pStyle w:val="Tabletext"/>
            </w:pPr>
            <w:r w:rsidRPr="001E1652">
              <w:t>17.4213</w:t>
            </w:r>
          </w:p>
        </w:tc>
      </w:tr>
      <w:tr w:rsidR="00777F5E" w:rsidRPr="001E1652" w:rsidTr="00777F5E">
        <w:tc>
          <w:tcPr>
            <w:tcW w:w="1271" w:type="dxa"/>
            <w:shd w:val="clear" w:color="auto" w:fill="auto"/>
          </w:tcPr>
          <w:p w:rsidR="00777F5E" w:rsidRPr="001E1652" w:rsidRDefault="00777F5E" w:rsidP="00777F5E">
            <w:pPr>
              <w:pStyle w:val="Tabletext"/>
            </w:pPr>
            <w:r w:rsidRPr="001E1652">
              <w:t>68</w:t>
            </w:r>
          </w:p>
        </w:tc>
        <w:tc>
          <w:tcPr>
            <w:tcW w:w="1134" w:type="dxa"/>
            <w:shd w:val="clear" w:color="auto" w:fill="auto"/>
          </w:tcPr>
          <w:p w:rsidR="00777F5E" w:rsidRPr="001E1652" w:rsidRDefault="00777F5E" w:rsidP="00777F5E">
            <w:pPr>
              <w:pStyle w:val="Tabletext"/>
            </w:pPr>
            <w:r w:rsidRPr="001E1652">
              <w:t>13.6142</w:t>
            </w:r>
          </w:p>
        </w:tc>
        <w:tc>
          <w:tcPr>
            <w:tcW w:w="1134" w:type="dxa"/>
            <w:shd w:val="clear" w:color="auto" w:fill="auto"/>
          </w:tcPr>
          <w:p w:rsidR="00777F5E" w:rsidRPr="001E1652" w:rsidRDefault="00777F5E" w:rsidP="00777F5E">
            <w:pPr>
              <w:pStyle w:val="Tabletext"/>
            </w:pPr>
            <w:r w:rsidRPr="001E1652">
              <w:t>16.8133</w:t>
            </w:r>
          </w:p>
        </w:tc>
      </w:tr>
      <w:tr w:rsidR="00777F5E" w:rsidRPr="001E1652" w:rsidTr="00777F5E">
        <w:tc>
          <w:tcPr>
            <w:tcW w:w="1271" w:type="dxa"/>
            <w:shd w:val="clear" w:color="auto" w:fill="auto"/>
          </w:tcPr>
          <w:p w:rsidR="00777F5E" w:rsidRPr="001E1652" w:rsidRDefault="00777F5E" w:rsidP="00777F5E">
            <w:pPr>
              <w:pStyle w:val="Tabletext"/>
            </w:pPr>
            <w:r w:rsidRPr="001E1652">
              <w:t>69</w:t>
            </w:r>
          </w:p>
        </w:tc>
        <w:tc>
          <w:tcPr>
            <w:tcW w:w="1134" w:type="dxa"/>
            <w:shd w:val="clear" w:color="auto" w:fill="auto"/>
          </w:tcPr>
          <w:p w:rsidR="00777F5E" w:rsidRPr="001E1652" w:rsidRDefault="00777F5E" w:rsidP="00777F5E">
            <w:pPr>
              <w:pStyle w:val="Tabletext"/>
            </w:pPr>
            <w:r w:rsidRPr="001E1652">
              <w:t>13.0476</w:t>
            </w:r>
          </w:p>
        </w:tc>
        <w:tc>
          <w:tcPr>
            <w:tcW w:w="1134" w:type="dxa"/>
            <w:shd w:val="clear" w:color="auto" w:fill="auto"/>
          </w:tcPr>
          <w:p w:rsidR="00777F5E" w:rsidRPr="001E1652" w:rsidRDefault="00777F5E" w:rsidP="00777F5E">
            <w:pPr>
              <w:pStyle w:val="Tabletext"/>
            </w:pPr>
            <w:r w:rsidRPr="001E1652">
              <w:t>16.2036</w:t>
            </w:r>
          </w:p>
        </w:tc>
      </w:tr>
      <w:tr w:rsidR="00777F5E" w:rsidRPr="001E1652" w:rsidTr="00777F5E">
        <w:tc>
          <w:tcPr>
            <w:tcW w:w="1271" w:type="dxa"/>
            <w:shd w:val="clear" w:color="auto" w:fill="auto"/>
          </w:tcPr>
          <w:p w:rsidR="00777F5E" w:rsidRPr="001E1652" w:rsidRDefault="00777F5E" w:rsidP="00777F5E">
            <w:pPr>
              <w:pStyle w:val="Tabletext"/>
            </w:pPr>
            <w:r w:rsidRPr="001E1652">
              <w:t>70</w:t>
            </w:r>
          </w:p>
        </w:tc>
        <w:tc>
          <w:tcPr>
            <w:tcW w:w="1134" w:type="dxa"/>
            <w:shd w:val="clear" w:color="auto" w:fill="auto"/>
          </w:tcPr>
          <w:p w:rsidR="00777F5E" w:rsidRPr="001E1652" w:rsidRDefault="00777F5E" w:rsidP="00777F5E">
            <w:pPr>
              <w:pStyle w:val="Tabletext"/>
            </w:pPr>
            <w:r w:rsidRPr="001E1652">
              <w:t>12.4902</w:t>
            </w:r>
          </w:p>
        </w:tc>
        <w:tc>
          <w:tcPr>
            <w:tcW w:w="1134" w:type="dxa"/>
            <w:shd w:val="clear" w:color="auto" w:fill="auto"/>
          </w:tcPr>
          <w:p w:rsidR="00777F5E" w:rsidRPr="001E1652" w:rsidRDefault="00777F5E" w:rsidP="00777F5E">
            <w:pPr>
              <w:pStyle w:val="Tabletext"/>
            </w:pPr>
            <w:r w:rsidRPr="001E1652">
              <w:t>15.5925</w:t>
            </w:r>
          </w:p>
        </w:tc>
      </w:tr>
      <w:tr w:rsidR="00777F5E" w:rsidRPr="001E1652" w:rsidTr="00777F5E">
        <w:tc>
          <w:tcPr>
            <w:tcW w:w="1271" w:type="dxa"/>
            <w:shd w:val="clear" w:color="auto" w:fill="auto"/>
          </w:tcPr>
          <w:p w:rsidR="00777F5E" w:rsidRPr="001E1652" w:rsidRDefault="00777F5E" w:rsidP="00777F5E">
            <w:pPr>
              <w:pStyle w:val="Tabletext"/>
            </w:pPr>
            <w:r w:rsidRPr="001E1652">
              <w:t>71</w:t>
            </w:r>
          </w:p>
        </w:tc>
        <w:tc>
          <w:tcPr>
            <w:tcW w:w="1134" w:type="dxa"/>
            <w:shd w:val="clear" w:color="auto" w:fill="auto"/>
          </w:tcPr>
          <w:p w:rsidR="00777F5E" w:rsidRPr="001E1652" w:rsidRDefault="00777F5E" w:rsidP="00777F5E">
            <w:pPr>
              <w:pStyle w:val="Tabletext"/>
            </w:pPr>
            <w:r w:rsidRPr="001E1652">
              <w:t>11.9427</w:t>
            </w:r>
          </w:p>
        </w:tc>
        <w:tc>
          <w:tcPr>
            <w:tcW w:w="1134" w:type="dxa"/>
            <w:shd w:val="clear" w:color="auto" w:fill="auto"/>
          </w:tcPr>
          <w:p w:rsidR="00777F5E" w:rsidRPr="001E1652" w:rsidRDefault="00777F5E" w:rsidP="00777F5E">
            <w:pPr>
              <w:pStyle w:val="Tabletext"/>
            </w:pPr>
            <w:r w:rsidRPr="001E1652">
              <w:t>14.9802</w:t>
            </w:r>
          </w:p>
        </w:tc>
      </w:tr>
      <w:tr w:rsidR="00777F5E" w:rsidRPr="001E1652" w:rsidTr="00777F5E">
        <w:tc>
          <w:tcPr>
            <w:tcW w:w="1271" w:type="dxa"/>
            <w:shd w:val="clear" w:color="auto" w:fill="auto"/>
          </w:tcPr>
          <w:p w:rsidR="00777F5E" w:rsidRPr="001E1652" w:rsidRDefault="00777F5E" w:rsidP="00777F5E">
            <w:pPr>
              <w:pStyle w:val="Tabletext"/>
            </w:pPr>
            <w:r w:rsidRPr="001E1652">
              <w:t>72</w:t>
            </w:r>
          </w:p>
        </w:tc>
        <w:tc>
          <w:tcPr>
            <w:tcW w:w="1134" w:type="dxa"/>
            <w:shd w:val="clear" w:color="auto" w:fill="auto"/>
          </w:tcPr>
          <w:p w:rsidR="00777F5E" w:rsidRPr="001E1652" w:rsidRDefault="00777F5E" w:rsidP="00777F5E">
            <w:pPr>
              <w:pStyle w:val="Tabletext"/>
            </w:pPr>
            <w:r w:rsidRPr="001E1652">
              <w:t>11.4062</w:t>
            </w:r>
          </w:p>
        </w:tc>
        <w:tc>
          <w:tcPr>
            <w:tcW w:w="1134" w:type="dxa"/>
            <w:shd w:val="clear" w:color="auto" w:fill="auto"/>
          </w:tcPr>
          <w:p w:rsidR="00777F5E" w:rsidRPr="001E1652" w:rsidRDefault="00777F5E" w:rsidP="00777F5E">
            <w:pPr>
              <w:pStyle w:val="Tabletext"/>
            </w:pPr>
            <w:r w:rsidRPr="001E1652">
              <w:t>14.3676</w:t>
            </w:r>
          </w:p>
        </w:tc>
      </w:tr>
      <w:tr w:rsidR="00777F5E" w:rsidRPr="001E1652" w:rsidTr="00777F5E">
        <w:tc>
          <w:tcPr>
            <w:tcW w:w="1271" w:type="dxa"/>
            <w:shd w:val="clear" w:color="auto" w:fill="auto"/>
          </w:tcPr>
          <w:p w:rsidR="00777F5E" w:rsidRPr="001E1652" w:rsidRDefault="00777F5E" w:rsidP="00777F5E">
            <w:pPr>
              <w:pStyle w:val="Tabletext"/>
            </w:pPr>
            <w:r w:rsidRPr="001E1652">
              <w:t>73</w:t>
            </w:r>
          </w:p>
        </w:tc>
        <w:tc>
          <w:tcPr>
            <w:tcW w:w="1134" w:type="dxa"/>
            <w:shd w:val="clear" w:color="auto" w:fill="auto"/>
          </w:tcPr>
          <w:p w:rsidR="00777F5E" w:rsidRPr="001E1652" w:rsidRDefault="00777F5E" w:rsidP="00777F5E">
            <w:pPr>
              <w:pStyle w:val="Tabletext"/>
            </w:pPr>
            <w:r w:rsidRPr="001E1652">
              <w:t>10.8808</w:t>
            </w:r>
          </w:p>
        </w:tc>
        <w:tc>
          <w:tcPr>
            <w:tcW w:w="1134" w:type="dxa"/>
            <w:shd w:val="clear" w:color="auto" w:fill="auto"/>
          </w:tcPr>
          <w:p w:rsidR="00777F5E" w:rsidRPr="001E1652" w:rsidRDefault="00777F5E" w:rsidP="00777F5E">
            <w:pPr>
              <w:pStyle w:val="Tabletext"/>
            </w:pPr>
            <w:r w:rsidRPr="001E1652">
              <w:t>13.7552</w:t>
            </w:r>
          </w:p>
        </w:tc>
      </w:tr>
      <w:tr w:rsidR="00777F5E" w:rsidRPr="001E1652" w:rsidTr="00777F5E">
        <w:tc>
          <w:tcPr>
            <w:tcW w:w="1271" w:type="dxa"/>
            <w:shd w:val="clear" w:color="auto" w:fill="auto"/>
          </w:tcPr>
          <w:p w:rsidR="00777F5E" w:rsidRPr="001E1652" w:rsidRDefault="00777F5E" w:rsidP="00777F5E">
            <w:pPr>
              <w:pStyle w:val="Tabletext"/>
            </w:pPr>
            <w:r w:rsidRPr="001E1652">
              <w:t>74</w:t>
            </w:r>
          </w:p>
        </w:tc>
        <w:tc>
          <w:tcPr>
            <w:tcW w:w="1134" w:type="dxa"/>
            <w:shd w:val="clear" w:color="auto" w:fill="auto"/>
          </w:tcPr>
          <w:p w:rsidR="00777F5E" w:rsidRPr="001E1652" w:rsidRDefault="00777F5E" w:rsidP="00777F5E">
            <w:pPr>
              <w:pStyle w:val="Tabletext"/>
            </w:pPr>
            <w:r w:rsidRPr="001E1652">
              <w:t>10.3605</w:t>
            </w:r>
          </w:p>
        </w:tc>
        <w:tc>
          <w:tcPr>
            <w:tcW w:w="1134" w:type="dxa"/>
            <w:shd w:val="clear" w:color="auto" w:fill="auto"/>
          </w:tcPr>
          <w:p w:rsidR="00777F5E" w:rsidRPr="001E1652" w:rsidRDefault="00777F5E" w:rsidP="00777F5E">
            <w:pPr>
              <w:pStyle w:val="Tabletext"/>
            </w:pPr>
            <w:r w:rsidRPr="001E1652">
              <w:t>13.1432</w:t>
            </w:r>
          </w:p>
        </w:tc>
      </w:tr>
      <w:tr w:rsidR="00777F5E" w:rsidRPr="001E1652" w:rsidTr="00777F5E">
        <w:tc>
          <w:tcPr>
            <w:tcW w:w="1271" w:type="dxa"/>
            <w:shd w:val="clear" w:color="auto" w:fill="auto"/>
          </w:tcPr>
          <w:p w:rsidR="00777F5E" w:rsidRPr="001E1652" w:rsidRDefault="00777F5E" w:rsidP="00777F5E">
            <w:pPr>
              <w:pStyle w:val="Tabletext"/>
            </w:pPr>
            <w:r w:rsidRPr="001E1652">
              <w:t>75</w:t>
            </w:r>
          </w:p>
        </w:tc>
        <w:tc>
          <w:tcPr>
            <w:tcW w:w="1134" w:type="dxa"/>
            <w:shd w:val="clear" w:color="auto" w:fill="auto"/>
          </w:tcPr>
          <w:p w:rsidR="00777F5E" w:rsidRPr="001E1652" w:rsidRDefault="00777F5E" w:rsidP="00777F5E">
            <w:pPr>
              <w:pStyle w:val="Tabletext"/>
            </w:pPr>
            <w:r w:rsidRPr="001E1652">
              <w:t>9.8457</w:t>
            </w:r>
          </w:p>
        </w:tc>
        <w:tc>
          <w:tcPr>
            <w:tcW w:w="1134" w:type="dxa"/>
            <w:shd w:val="clear" w:color="auto" w:fill="auto"/>
          </w:tcPr>
          <w:p w:rsidR="00777F5E" w:rsidRPr="001E1652" w:rsidRDefault="00777F5E" w:rsidP="00777F5E">
            <w:pPr>
              <w:pStyle w:val="Tabletext"/>
            </w:pPr>
            <w:r w:rsidRPr="001E1652">
              <w:t>12.5326</w:t>
            </w:r>
          </w:p>
        </w:tc>
      </w:tr>
      <w:tr w:rsidR="00777F5E" w:rsidRPr="001E1652" w:rsidTr="00777F5E">
        <w:tc>
          <w:tcPr>
            <w:tcW w:w="1271" w:type="dxa"/>
            <w:shd w:val="clear" w:color="auto" w:fill="auto"/>
          </w:tcPr>
          <w:p w:rsidR="00777F5E" w:rsidRPr="001E1652" w:rsidRDefault="00777F5E" w:rsidP="00777F5E">
            <w:pPr>
              <w:pStyle w:val="Tabletext"/>
            </w:pPr>
            <w:r w:rsidRPr="001E1652">
              <w:t>76</w:t>
            </w:r>
          </w:p>
        </w:tc>
        <w:tc>
          <w:tcPr>
            <w:tcW w:w="1134" w:type="dxa"/>
            <w:shd w:val="clear" w:color="auto" w:fill="auto"/>
          </w:tcPr>
          <w:p w:rsidR="00777F5E" w:rsidRPr="001E1652" w:rsidRDefault="00777F5E" w:rsidP="00777F5E">
            <w:pPr>
              <w:pStyle w:val="Tabletext"/>
            </w:pPr>
            <w:r w:rsidRPr="001E1652">
              <w:t>9.3377</w:t>
            </w:r>
          </w:p>
        </w:tc>
        <w:tc>
          <w:tcPr>
            <w:tcW w:w="1134" w:type="dxa"/>
            <w:shd w:val="clear" w:color="auto" w:fill="auto"/>
          </w:tcPr>
          <w:p w:rsidR="00777F5E" w:rsidRPr="001E1652" w:rsidRDefault="00777F5E" w:rsidP="00777F5E">
            <w:pPr>
              <w:pStyle w:val="Tabletext"/>
            </w:pPr>
            <w:r w:rsidRPr="001E1652">
              <w:t>11.9249</w:t>
            </w:r>
          </w:p>
        </w:tc>
      </w:tr>
      <w:tr w:rsidR="00777F5E" w:rsidRPr="001E1652" w:rsidTr="00777F5E">
        <w:tc>
          <w:tcPr>
            <w:tcW w:w="1271" w:type="dxa"/>
            <w:shd w:val="clear" w:color="auto" w:fill="auto"/>
          </w:tcPr>
          <w:p w:rsidR="00777F5E" w:rsidRPr="001E1652" w:rsidRDefault="00777F5E" w:rsidP="00777F5E">
            <w:pPr>
              <w:pStyle w:val="Tabletext"/>
            </w:pPr>
            <w:r w:rsidRPr="001E1652">
              <w:t>77</w:t>
            </w:r>
          </w:p>
        </w:tc>
        <w:tc>
          <w:tcPr>
            <w:tcW w:w="1134" w:type="dxa"/>
            <w:shd w:val="clear" w:color="auto" w:fill="auto"/>
          </w:tcPr>
          <w:p w:rsidR="00777F5E" w:rsidRPr="001E1652" w:rsidRDefault="00777F5E" w:rsidP="00777F5E">
            <w:pPr>
              <w:pStyle w:val="Tabletext"/>
            </w:pPr>
            <w:r w:rsidRPr="001E1652">
              <w:t>8.8379</w:t>
            </w:r>
          </w:p>
        </w:tc>
        <w:tc>
          <w:tcPr>
            <w:tcW w:w="1134" w:type="dxa"/>
            <w:shd w:val="clear" w:color="auto" w:fill="auto"/>
          </w:tcPr>
          <w:p w:rsidR="00777F5E" w:rsidRPr="001E1652" w:rsidRDefault="00777F5E" w:rsidP="00777F5E">
            <w:pPr>
              <w:pStyle w:val="Tabletext"/>
            </w:pPr>
            <w:r w:rsidRPr="001E1652">
              <w:t>11.3213</w:t>
            </w:r>
          </w:p>
        </w:tc>
      </w:tr>
      <w:tr w:rsidR="00777F5E" w:rsidRPr="001E1652" w:rsidTr="00777F5E">
        <w:tc>
          <w:tcPr>
            <w:tcW w:w="1271" w:type="dxa"/>
            <w:shd w:val="clear" w:color="auto" w:fill="auto"/>
          </w:tcPr>
          <w:p w:rsidR="00777F5E" w:rsidRPr="001E1652" w:rsidRDefault="00777F5E" w:rsidP="00777F5E">
            <w:pPr>
              <w:pStyle w:val="Tabletext"/>
            </w:pPr>
            <w:r w:rsidRPr="001E1652">
              <w:t>78</w:t>
            </w:r>
          </w:p>
        </w:tc>
        <w:tc>
          <w:tcPr>
            <w:tcW w:w="1134" w:type="dxa"/>
            <w:shd w:val="clear" w:color="auto" w:fill="auto"/>
          </w:tcPr>
          <w:p w:rsidR="00777F5E" w:rsidRPr="001E1652" w:rsidRDefault="00777F5E" w:rsidP="00777F5E">
            <w:pPr>
              <w:pStyle w:val="Tabletext"/>
            </w:pPr>
            <w:r w:rsidRPr="001E1652">
              <w:t>8.3475</w:t>
            </w:r>
          </w:p>
        </w:tc>
        <w:tc>
          <w:tcPr>
            <w:tcW w:w="1134" w:type="dxa"/>
            <w:shd w:val="clear" w:color="auto" w:fill="auto"/>
          </w:tcPr>
          <w:p w:rsidR="00777F5E" w:rsidRPr="001E1652" w:rsidRDefault="00777F5E" w:rsidP="00777F5E">
            <w:pPr>
              <w:pStyle w:val="Tabletext"/>
            </w:pPr>
            <w:r w:rsidRPr="001E1652">
              <w:t>10.7240</w:t>
            </w:r>
          </w:p>
        </w:tc>
      </w:tr>
      <w:tr w:rsidR="00777F5E" w:rsidRPr="001E1652" w:rsidTr="00777F5E">
        <w:tc>
          <w:tcPr>
            <w:tcW w:w="1271" w:type="dxa"/>
            <w:shd w:val="clear" w:color="auto" w:fill="auto"/>
          </w:tcPr>
          <w:p w:rsidR="00777F5E" w:rsidRPr="001E1652" w:rsidRDefault="00777F5E" w:rsidP="00777F5E">
            <w:pPr>
              <w:pStyle w:val="Tabletext"/>
            </w:pPr>
            <w:r w:rsidRPr="001E1652">
              <w:t>79</w:t>
            </w:r>
          </w:p>
        </w:tc>
        <w:tc>
          <w:tcPr>
            <w:tcW w:w="1134" w:type="dxa"/>
            <w:shd w:val="clear" w:color="auto" w:fill="auto"/>
          </w:tcPr>
          <w:p w:rsidR="00777F5E" w:rsidRPr="001E1652" w:rsidRDefault="00777F5E" w:rsidP="00777F5E">
            <w:pPr>
              <w:pStyle w:val="Tabletext"/>
            </w:pPr>
            <w:r w:rsidRPr="001E1652">
              <w:t>7.8727</w:t>
            </w:r>
          </w:p>
        </w:tc>
        <w:tc>
          <w:tcPr>
            <w:tcW w:w="1134" w:type="dxa"/>
            <w:shd w:val="clear" w:color="auto" w:fill="auto"/>
          </w:tcPr>
          <w:p w:rsidR="00777F5E" w:rsidRPr="001E1652" w:rsidRDefault="00777F5E" w:rsidP="00777F5E">
            <w:pPr>
              <w:pStyle w:val="Tabletext"/>
            </w:pPr>
            <w:r w:rsidRPr="001E1652">
              <w:t>10.1364</w:t>
            </w:r>
          </w:p>
        </w:tc>
      </w:tr>
      <w:tr w:rsidR="00777F5E" w:rsidRPr="001E1652" w:rsidTr="00777F5E">
        <w:tc>
          <w:tcPr>
            <w:tcW w:w="1271" w:type="dxa"/>
            <w:shd w:val="clear" w:color="auto" w:fill="auto"/>
          </w:tcPr>
          <w:p w:rsidR="00777F5E" w:rsidRPr="001E1652" w:rsidRDefault="00777F5E" w:rsidP="00777F5E">
            <w:pPr>
              <w:pStyle w:val="Tabletext"/>
            </w:pPr>
            <w:r w:rsidRPr="001E1652">
              <w:t>80</w:t>
            </w:r>
          </w:p>
        </w:tc>
        <w:tc>
          <w:tcPr>
            <w:tcW w:w="1134" w:type="dxa"/>
            <w:shd w:val="clear" w:color="auto" w:fill="auto"/>
          </w:tcPr>
          <w:p w:rsidR="00777F5E" w:rsidRPr="001E1652" w:rsidRDefault="00777F5E" w:rsidP="00777F5E">
            <w:pPr>
              <w:pStyle w:val="Tabletext"/>
            </w:pPr>
            <w:r w:rsidRPr="001E1652">
              <w:t>7.4143</w:t>
            </w:r>
          </w:p>
        </w:tc>
        <w:tc>
          <w:tcPr>
            <w:tcW w:w="1134" w:type="dxa"/>
            <w:shd w:val="clear" w:color="auto" w:fill="auto"/>
          </w:tcPr>
          <w:p w:rsidR="00777F5E" w:rsidRPr="001E1652" w:rsidRDefault="00777F5E" w:rsidP="00777F5E">
            <w:pPr>
              <w:pStyle w:val="Tabletext"/>
            </w:pPr>
            <w:r w:rsidRPr="001E1652">
              <w:t>9.5606</w:t>
            </w:r>
          </w:p>
        </w:tc>
      </w:tr>
      <w:tr w:rsidR="00777F5E" w:rsidRPr="001E1652" w:rsidTr="00777F5E">
        <w:tc>
          <w:tcPr>
            <w:tcW w:w="1271" w:type="dxa"/>
            <w:shd w:val="clear" w:color="auto" w:fill="auto"/>
          </w:tcPr>
          <w:p w:rsidR="00777F5E" w:rsidRPr="001E1652" w:rsidRDefault="00777F5E" w:rsidP="00777F5E">
            <w:pPr>
              <w:pStyle w:val="Tabletext"/>
            </w:pPr>
            <w:r w:rsidRPr="001E1652">
              <w:t>81</w:t>
            </w:r>
          </w:p>
        </w:tc>
        <w:tc>
          <w:tcPr>
            <w:tcW w:w="1134" w:type="dxa"/>
            <w:shd w:val="clear" w:color="auto" w:fill="auto"/>
          </w:tcPr>
          <w:p w:rsidR="00777F5E" w:rsidRPr="001E1652" w:rsidRDefault="00777F5E" w:rsidP="00777F5E">
            <w:pPr>
              <w:pStyle w:val="Tabletext"/>
            </w:pPr>
            <w:r w:rsidRPr="001E1652">
              <w:t>6.9723</w:t>
            </w:r>
          </w:p>
        </w:tc>
        <w:tc>
          <w:tcPr>
            <w:tcW w:w="1134" w:type="dxa"/>
            <w:shd w:val="clear" w:color="auto" w:fill="auto"/>
          </w:tcPr>
          <w:p w:rsidR="00777F5E" w:rsidRPr="001E1652" w:rsidRDefault="00777F5E" w:rsidP="00777F5E">
            <w:pPr>
              <w:pStyle w:val="Tabletext"/>
            </w:pPr>
            <w:r w:rsidRPr="001E1652">
              <w:t>8.9993</w:t>
            </w:r>
          </w:p>
        </w:tc>
      </w:tr>
      <w:tr w:rsidR="00777F5E" w:rsidRPr="001E1652" w:rsidTr="00777F5E">
        <w:tc>
          <w:tcPr>
            <w:tcW w:w="1271" w:type="dxa"/>
            <w:shd w:val="clear" w:color="auto" w:fill="auto"/>
          </w:tcPr>
          <w:p w:rsidR="00777F5E" w:rsidRPr="001E1652" w:rsidRDefault="00777F5E" w:rsidP="00777F5E">
            <w:pPr>
              <w:pStyle w:val="Tabletext"/>
            </w:pPr>
            <w:r w:rsidRPr="001E1652">
              <w:t>82</w:t>
            </w:r>
          </w:p>
        </w:tc>
        <w:tc>
          <w:tcPr>
            <w:tcW w:w="1134" w:type="dxa"/>
            <w:shd w:val="clear" w:color="auto" w:fill="auto"/>
          </w:tcPr>
          <w:p w:rsidR="00777F5E" w:rsidRPr="001E1652" w:rsidRDefault="00777F5E" w:rsidP="00777F5E">
            <w:pPr>
              <w:pStyle w:val="Tabletext"/>
            </w:pPr>
            <w:r w:rsidRPr="001E1652">
              <w:t>6.5466</w:t>
            </w:r>
          </w:p>
        </w:tc>
        <w:tc>
          <w:tcPr>
            <w:tcW w:w="1134" w:type="dxa"/>
            <w:shd w:val="clear" w:color="auto" w:fill="auto"/>
          </w:tcPr>
          <w:p w:rsidR="00777F5E" w:rsidRPr="001E1652" w:rsidRDefault="00777F5E" w:rsidP="00777F5E">
            <w:pPr>
              <w:pStyle w:val="Tabletext"/>
            </w:pPr>
            <w:r w:rsidRPr="001E1652">
              <w:t>8.4536</w:t>
            </w:r>
          </w:p>
        </w:tc>
      </w:tr>
      <w:tr w:rsidR="00777F5E" w:rsidRPr="001E1652" w:rsidTr="00777F5E">
        <w:tc>
          <w:tcPr>
            <w:tcW w:w="1271" w:type="dxa"/>
            <w:shd w:val="clear" w:color="auto" w:fill="auto"/>
          </w:tcPr>
          <w:p w:rsidR="00777F5E" w:rsidRPr="001E1652" w:rsidRDefault="00777F5E" w:rsidP="00777F5E">
            <w:pPr>
              <w:pStyle w:val="Tabletext"/>
            </w:pPr>
            <w:r w:rsidRPr="001E1652">
              <w:t>83</w:t>
            </w:r>
          </w:p>
        </w:tc>
        <w:tc>
          <w:tcPr>
            <w:tcW w:w="1134" w:type="dxa"/>
            <w:shd w:val="clear" w:color="auto" w:fill="auto"/>
          </w:tcPr>
          <w:p w:rsidR="00777F5E" w:rsidRPr="001E1652" w:rsidRDefault="00777F5E" w:rsidP="00777F5E">
            <w:pPr>
              <w:pStyle w:val="Tabletext"/>
            </w:pPr>
            <w:r w:rsidRPr="001E1652">
              <w:t>6.1375</w:t>
            </w:r>
          </w:p>
        </w:tc>
        <w:tc>
          <w:tcPr>
            <w:tcW w:w="1134" w:type="dxa"/>
            <w:shd w:val="clear" w:color="auto" w:fill="auto"/>
          </w:tcPr>
          <w:p w:rsidR="00777F5E" w:rsidRPr="001E1652" w:rsidRDefault="00777F5E" w:rsidP="00777F5E">
            <w:pPr>
              <w:pStyle w:val="Tabletext"/>
            </w:pPr>
            <w:r w:rsidRPr="001E1652">
              <w:t>7.9252</w:t>
            </w:r>
          </w:p>
        </w:tc>
      </w:tr>
      <w:tr w:rsidR="00777F5E" w:rsidRPr="001E1652" w:rsidTr="00777F5E">
        <w:tc>
          <w:tcPr>
            <w:tcW w:w="1271" w:type="dxa"/>
            <w:shd w:val="clear" w:color="auto" w:fill="auto"/>
          </w:tcPr>
          <w:p w:rsidR="00777F5E" w:rsidRPr="001E1652" w:rsidRDefault="00777F5E" w:rsidP="00777F5E">
            <w:pPr>
              <w:pStyle w:val="Tabletext"/>
            </w:pPr>
            <w:r w:rsidRPr="001E1652">
              <w:t>84</w:t>
            </w:r>
          </w:p>
        </w:tc>
        <w:tc>
          <w:tcPr>
            <w:tcW w:w="1134" w:type="dxa"/>
            <w:shd w:val="clear" w:color="auto" w:fill="auto"/>
          </w:tcPr>
          <w:p w:rsidR="00777F5E" w:rsidRPr="001E1652" w:rsidRDefault="00777F5E" w:rsidP="00777F5E">
            <w:pPr>
              <w:pStyle w:val="Tabletext"/>
            </w:pPr>
            <w:r w:rsidRPr="001E1652">
              <w:t>5.7514</w:t>
            </w:r>
          </w:p>
        </w:tc>
        <w:tc>
          <w:tcPr>
            <w:tcW w:w="1134" w:type="dxa"/>
            <w:shd w:val="clear" w:color="auto" w:fill="auto"/>
          </w:tcPr>
          <w:p w:rsidR="00777F5E" w:rsidRPr="001E1652" w:rsidRDefault="00777F5E" w:rsidP="00777F5E">
            <w:pPr>
              <w:pStyle w:val="Tabletext"/>
            </w:pPr>
            <w:r w:rsidRPr="001E1652">
              <w:t>7.4177</w:t>
            </w:r>
          </w:p>
        </w:tc>
      </w:tr>
      <w:tr w:rsidR="00777F5E" w:rsidRPr="001E1652" w:rsidTr="00777F5E">
        <w:tc>
          <w:tcPr>
            <w:tcW w:w="1271" w:type="dxa"/>
            <w:shd w:val="clear" w:color="auto" w:fill="auto"/>
          </w:tcPr>
          <w:p w:rsidR="00777F5E" w:rsidRPr="001E1652" w:rsidRDefault="00777F5E" w:rsidP="00777F5E">
            <w:pPr>
              <w:pStyle w:val="Tabletext"/>
            </w:pPr>
            <w:r w:rsidRPr="001E1652">
              <w:t>85</w:t>
            </w:r>
          </w:p>
        </w:tc>
        <w:tc>
          <w:tcPr>
            <w:tcW w:w="1134" w:type="dxa"/>
            <w:shd w:val="clear" w:color="auto" w:fill="auto"/>
          </w:tcPr>
          <w:p w:rsidR="00777F5E" w:rsidRPr="001E1652" w:rsidRDefault="00777F5E" w:rsidP="00777F5E">
            <w:pPr>
              <w:pStyle w:val="Tabletext"/>
            </w:pPr>
            <w:r w:rsidRPr="001E1652">
              <w:t>5.3885</w:t>
            </w:r>
          </w:p>
        </w:tc>
        <w:tc>
          <w:tcPr>
            <w:tcW w:w="1134" w:type="dxa"/>
            <w:shd w:val="clear" w:color="auto" w:fill="auto"/>
          </w:tcPr>
          <w:p w:rsidR="00777F5E" w:rsidRPr="001E1652" w:rsidRDefault="00777F5E" w:rsidP="00777F5E">
            <w:pPr>
              <w:pStyle w:val="Tabletext"/>
            </w:pPr>
            <w:r w:rsidRPr="001E1652">
              <w:t>6.9320</w:t>
            </w:r>
          </w:p>
        </w:tc>
      </w:tr>
      <w:tr w:rsidR="00777F5E" w:rsidRPr="001E1652" w:rsidTr="00777F5E">
        <w:tc>
          <w:tcPr>
            <w:tcW w:w="1271" w:type="dxa"/>
            <w:shd w:val="clear" w:color="auto" w:fill="auto"/>
          </w:tcPr>
          <w:p w:rsidR="00777F5E" w:rsidRPr="001E1652" w:rsidRDefault="00777F5E" w:rsidP="00777F5E">
            <w:pPr>
              <w:pStyle w:val="Tabletext"/>
            </w:pPr>
            <w:r w:rsidRPr="001E1652">
              <w:t>86</w:t>
            </w:r>
          </w:p>
        </w:tc>
        <w:tc>
          <w:tcPr>
            <w:tcW w:w="1134" w:type="dxa"/>
            <w:shd w:val="clear" w:color="auto" w:fill="auto"/>
          </w:tcPr>
          <w:p w:rsidR="00777F5E" w:rsidRPr="001E1652" w:rsidRDefault="00777F5E" w:rsidP="00777F5E">
            <w:pPr>
              <w:pStyle w:val="Tabletext"/>
            </w:pPr>
            <w:r w:rsidRPr="001E1652">
              <w:t>5.0493</w:t>
            </w:r>
          </w:p>
        </w:tc>
        <w:tc>
          <w:tcPr>
            <w:tcW w:w="1134" w:type="dxa"/>
            <w:shd w:val="clear" w:color="auto" w:fill="auto"/>
          </w:tcPr>
          <w:p w:rsidR="00777F5E" w:rsidRPr="001E1652" w:rsidRDefault="00777F5E" w:rsidP="00777F5E">
            <w:pPr>
              <w:pStyle w:val="Tabletext"/>
            </w:pPr>
            <w:r w:rsidRPr="001E1652">
              <w:t>6.4695</w:t>
            </w:r>
          </w:p>
        </w:tc>
      </w:tr>
      <w:tr w:rsidR="00777F5E" w:rsidRPr="001E1652" w:rsidTr="00777F5E">
        <w:tc>
          <w:tcPr>
            <w:tcW w:w="1271" w:type="dxa"/>
            <w:shd w:val="clear" w:color="auto" w:fill="auto"/>
          </w:tcPr>
          <w:p w:rsidR="00777F5E" w:rsidRPr="001E1652" w:rsidRDefault="00777F5E" w:rsidP="00777F5E">
            <w:pPr>
              <w:pStyle w:val="Tabletext"/>
            </w:pPr>
            <w:r w:rsidRPr="001E1652">
              <w:t>87</w:t>
            </w:r>
          </w:p>
        </w:tc>
        <w:tc>
          <w:tcPr>
            <w:tcW w:w="1134" w:type="dxa"/>
            <w:shd w:val="clear" w:color="auto" w:fill="auto"/>
          </w:tcPr>
          <w:p w:rsidR="00777F5E" w:rsidRPr="001E1652" w:rsidRDefault="00777F5E" w:rsidP="00777F5E">
            <w:pPr>
              <w:pStyle w:val="Tabletext"/>
            </w:pPr>
            <w:r w:rsidRPr="001E1652">
              <w:t>4.7341</w:t>
            </w:r>
          </w:p>
        </w:tc>
        <w:tc>
          <w:tcPr>
            <w:tcW w:w="1134" w:type="dxa"/>
            <w:shd w:val="clear" w:color="auto" w:fill="auto"/>
          </w:tcPr>
          <w:p w:rsidR="00777F5E" w:rsidRPr="001E1652" w:rsidRDefault="00777F5E" w:rsidP="00777F5E">
            <w:pPr>
              <w:pStyle w:val="Tabletext"/>
            </w:pPr>
            <w:r w:rsidRPr="001E1652">
              <w:t>6.0314</w:t>
            </w:r>
          </w:p>
        </w:tc>
      </w:tr>
      <w:tr w:rsidR="00777F5E" w:rsidRPr="001E1652" w:rsidTr="00777F5E">
        <w:tc>
          <w:tcPr>
            <w:tcW w:w="1271" w:type="dxa"/>
            <w:shd w:val="clear" w:color="auto" w:fill="auto"/>
          </w:tcPr>
          <w:p w:rsidR="00777F5E" w:rsidRPr="001E1652" w:rsidRDefault="00777F5E" w:rsidP="00777F5E">
            <w:pPr>
              <w:pStyle w:val="Tabletext"/>
            </w:pPr>
            <w:r w:rsidRPr="001E1652">
              <w:t>88</w:t>
            </w:r>
          </w:p>
        </w:tc>
        <w:tc>
          <w:tcPr>
            <w:tcW w:w="1134" w:type="dxa"/>
            <w:shd w:val="clear" w:color="auto" w:fill="auto"/>
          </w:tcPr>
          <w:p w:rsidR="00777F5E" w:rsidRPr="001E1652" w:rsidRDefault="00777F5E" w:rsidP="00777F5E">
            <w:pPr>
              <w:pStyle w:val="Tabletext"/>
            </w:pPr>
            <w:r w:rsidRPr="001E1652">
              <w:t>4.4413</w:t>
            </w:r>
          </w:p>
        </w:tc>
        <w:tc>
          <w:tcPr>
            <w:tcW w:w="1134" w:type="dxa"/>
            <w:shd w:val="clear" w:color="auto" w:fill="auto"/>
          </w:tcPr>
          <w:p w:rsidR="00777F5E" w:rsidRPr="001E1652" w:rsidRDefault="00777F5E" w:rsidP="00777F5E">
            <w:pPr>
              <w:pStyle w:val="Tabletext"/>
            </w:pPr>
            <w:r w:rsidRPr="001E1652">
              <w:t>5.6184</w:t>
            </w:r>
          </w:p>
        </w:tc>
      </w:tr>
      <w:tr w:rsidR="00777F5E" w:rsidRPr="001E1652" w:rsidTr="00777F5E">
        <w:tc>
          <w:tcPr>
            <w:tcW w:w="1271" w:type="dxa"/>
            <w:shd w:val="clear" w:color="auto" w:fill="auto"/>
          </w:tcPr>
          <w:p w:rsidR="00777F5E" w:rsidRPr="001E1652" w:rsidRDefault="00777F5E" w:rsidP="00777F5E">
            <w:pPr>
              <w:pStyle w:val="Tabletext"/>
            </w:pPr>
            <w:r w:rsidRPr="001E1652">
              <w:t>89</w:t>
            </w:r>
          </w:p>
        </w:tc>
        <w:tc>
          <w:tcPr>
            <w:tcW w:w="1134" w:type="dxa"/>
            <w:shd w:val="clear" w:color="auto" w:fill="auto"/>
          </w:tcPr>
          <w:p w:rsidR="00777F5E" w:rsidRPr="001E1652" w:rsidRDefault="00777F5E" w:rsidP="00777F5E">
            <w:pPr>
              <w:pStyle w:val="Tabletext"/>
            </w:pPr>
            <w:r w:rsidRPr="001E1652">
              <w:t>4.1659</w:t>
            </w:r>
          </w:p>
        </w:tc>
        <w:tc>
          <w:tcPr>
            <w:tcW w:w="1134" w:type="dxa"/>
            <w:shd w:val="clear" w:color="auto" w:fill="auto"/>
          </w:tcPr>
          <w:p w:rsidR="00777F5E" w:rsidRPr="001E1652" w:rsidRDefault="00777F5E" w:rsidP="00777F5E">
            <w:pPr>
              <w:pStyle w:val="Tabletext"/>
            </w:pPr>
            <w:r w:rsidRPr="001E1652">
              <w:t>5.2237</w:t>
            </w:r>
          </w:p>
        </w:tc>
      </w:tr>
      <w:tr w:rsidR="00777F5E" w:rsidRPr="001E1652" w:rsidTr="00777F5E">
        <w:tc>
          <w:tcPr>
            <w:tcW w:w="1271" w:type="dxa"/>
            <w:shd w:val="clear" w:color="auto" w:fill="auto"/>
          </w:tcPr>
          <w:p w:rsidR="00777F5E" w:rsidRPr="001E1652" w:rsidRDefault="00777F5E" w:rsidP="00777F5E">
            <w:pPr>
              <w:pStyle w:val="Tabletext"/>
            </w:pPr>
            <w:r w:rsidRPr="001E1652">
              <w:t>90</w:t>
            </w:r>
          </w:p>
        </w:tc>
        <w:tc>
          <w:tcPr>
            <w:tcW w:w="1134" w:type="dxa"/>
            <w:shd w:val="clear" w:color="auto" w:fill="auto"/>
          </w:tcPr>
          <w:p w:rsidR="00777F5E" w:rsidRPr="001E1652" w:rsidRDefault="00777F5E" w:rsidP="00777F5E">
            <w:pPr>
              <w:pStyle w:val="Tabletext"/>
            </w:pPr>
            <w:r w:rsidRPr="001E1652">
              <w:t>3.9062</w:t>
            </w:r>
          </w:p>
        </w:tc>
        <w:tc>
          <w:tcPr>
            <w:tcW w:w="1134" w:type="dxa"/>
            <w:shd w:val="clear" w:color="auto" w:fill="auto"/>
          </w:tcPr>
          <w:p w:rsidR="00777F5E" w:rsidRPr="001E1652" w:rsidRDefault="00777F5E" w:rsidP="00777F5E">
            <w:pPr>
              <w:pStyle w:val="Tabletext"/>
            </w:pPr>
            <w:r w:rsidRPr="001E1652">
              <w:t>4.8463</w:t>
            </w:r>
          </w:p>
        </w:tc>
      </w:tr>
      <w:tr w:rsidR="00777F5E" w:rsidRPr="001E1652" w:rsidTr="00777F5E">
        <w:tc>
          <w:tcPr>
            <w:tcW w:w="1271" w:type="dxa"/>
            <w:shd w:val="clear" w:color="auto" w:fill="auto"/>
          </w:tcPr>
          <w:p w:rsidR="00777F5E" w:rsidRPr="001E1652" w:rsidRDefault="00777F5E" w:rsidP="00777F5E">
            <w:pPr>
              <w:pStyle w:val="Tabletext"/>
            </w:pPr>
            <w:r w:rsidRPr="001E1652">
              <w:t>91</w:t>
            </w:r>
          </w:p>
        </w:tc>
        <w:tc>
          <w:tcPr>
            <w:tcW w:w="1134" w:type="dxa"/>
            <w:shd w:val="clear" w:color="auto" w:fill="auto"/>
          </w:tcPr>
          <w:p w:rsidR="00777F5E" w:rsidRPr="001E1652" w:rsidRDefault="00777F5E" w:rsidP="00777F5E">
            <w:pPr>
              <w:pStyle w:val="Tabletext"/>
            </w:pPr>
            <w:r w:rsidRPr="001E1652">
              <w:t>3.6601</w:t>
            </w:r>
          </w:p>
        </w:tc>
        <w:tc>
          <w:tcPr>
            <w:tcW w:w="1134" w:type="dxa"/>
            <w:shd w:val="clear" w:color="auto" w:fill="auto"/>
          </w:tcPr>
          <w:p w:rsidR="00777F5E" w:rsidRPr="001E1652" w:rsidRDefault="00777F5E" w:rsidP="00777F5E">
            <w:pPr>
              <w:pStyle w:val="Tabletext"/>
            </w:pPr>
            <w:r w:rsidRPr="001E1652">
              <w:t>4.4844</w:t>
            </w:r>
          </w:p>
        </w:tc>
      </w:tr>
      <w:tr w:rsidR="00777F5E" w:rsidRPr="001E1652" w:rsidTr="00777F5E">
        <w:tc>
          <w:tcPr>
            <w:tcW w:w="1271" w:type="dxa"/>
            <w:shd w:val="clear" w:color="auto" w:fill="auto"/>
          </w:tcPr>
          <w:p w:rsidR="00777F5E" w:rsidRPr="001E1652" w:rsidRDefault="00777F5E" w:rsidP="00777F5E">
            <w:pPr>
              <w:pStyle w:val="Tabletext"/>
            </w:pPr>
            <w:r w:rsidRPr="001E1652">
              <w:t>92</w:t>
            </w:r>
          </w:p>
        </w:tc>
        <w:tc>
          <w:tcPr>
            <w:tcW w:w="1134" w:type="dxa"/>
            <w:shd w:val="clear" w:color="auto" w:fill="auto"/>
          </w:tcPr>
          <w:p w:rsidR="00777F5E" w:rsidRPr="001E1652" w:rsidRDefault="00777F5E" w:rsidP="00777F5E">
            <w:pPr>
              <w:pStyle w:val="Tabletext"/>
            </w:pPr>
            <w:r w:rsidRPr="001E1652">
              <w:t>3.4257</w:t>
            </w:r>
          </w:p>
        </w:tc>
        <w:tc>
          <w:tcPr>
            <w:tcW w:w="1134" w:type="dxa"/>
            <w:shd w:val="clear" w:color="auto" w:fill="auto"/>
          </w:tcPr>
          <w:p w:rsidR="00777F5E" w:rsidRPr="001E1652" w:rsidRDefault="00777F5E" w:rsidP="00777F5E">
            <w:pPr>
              <w:pStyle w:val="Tabletext"/>
            </w:pPr>
            <w:r w:rsidRPr="001E1652">
              <w:t>4.1362</w:t>
            </w:r>
          </w:p>
        </w:tc>
      </w:tr>
      <w:tr w:rsidR="00777F5E" w:rsidRPr="001E1652" w:rsidTr="00777F5E">
        <w:tc>
          <w:tcPr>
            <w:tcW w:w="1271" w:type="dxa"/>
            <w:shd w:val="clear" w:color="auto" w:fill="auto"/>
          </w:tcPr>
          <w:p w:rsidR="00777F5E" w:rsidRPr="001E1652" w:rsidRDefault="00777F5E" w:rsidP="00777F5E">
            <w:pPr>
              <w:pStyle w:val="Tabletext"/>
            </w:pPr>
            <w:r w:rsidRPr="001E1652">
              <w:t>93</w:t>
            </w:r>
          </w:p>
        </w:tc>
        <w:tc>
          <w:tcPr>
            <w:tcW w:w="1134" w:type="dxa"/>
            <w:shd w:val="clear" w:color="auto" w:fill="auto"/>
          </w:tcPr>
          <w:p w:rsidR="00777F5E" w:rsidRPr="001E1652" w:rsidRDefault="00777F5E" w:rsidP="00777F5E">
            <w:pPr>
              <w:pStyle w:val="Tabletext"/>
            </w:pPr>
            <w:r w:rsidRPr="001E1652">
              <w:t>3.2000</w:t>
            </w:r>
          </w:p>
        </w:tc>
        <w:tc>
          <w:tcPr>
            <w:tcW w:w="1134" w:type="dxa"/>
            <w:shd w:val="clear" w:color="auto" w:fill="auto"/>
          </w:tcPr>
          <w:p w:rsidR="00777F5E" w:rsidRPr="001E1652" w:rsidRDefault="00777F5E" w:rsidP="00777F5E">
            <w:pPr>
              <w:pStyle w:val="Tabletext"/>
            </w:pPr>
            <w:r w:rsidRPr="001E1652">
              <w:t>3.7986</w:t>
            </w:r>
          </w:p>
        </w:tc>
      </w:tr>
      <w:tr w:rsidR="00777F5E" w:rsidRPr="001E1652" w:rsidTr="00777F5E">
        <w:tc>
          <w:tcPr>
            <w:tcW w:w="1271" w:type="dxa"/>
            <w:shd w:val="clear" w:color="auto" w:fill="auto"/>
          </w:tcPr>
          <w:p w:rsidR="00777F5E" w:rsidRPr="001E1652" w:rsidRDefault="00777F5E" w:rsidP="00777F5E">
            <w:pPr>
              <w:pStyle w:val="Tabletext"/>
            </w:pPr>
            <w:r w:rsidRPr="001E1652">
              <w:t>94</w:t>
            </w:r>
          </w:p>
        </w:tc>
        <w:tc>
          <w:tcPr>
            <w:tcW w:w="1134" w:type="dxa"/>
            <w:shd w:val="clear" w:color="auto" w:fill="auto"/>
          </w:tcPr>
          <w:p w:rsidR="00777F5E" w:rsidRPr="001E1652" w:rsidRDefault="00777F5E" w:rsidP="00777F5E">
            <w:pPr>
              <w:pStyle w:val="Tabletext"/>
            </w:pPr>
            <w:r w:rsidRPr="001E1652">
              <w:t>2.9781</w:t>
            </w:r>
          </w:p>
        </w:tc>
        <w:tc>
          <w:tcPr>
            <w:tcW w:w="1134" w:type="dxa"/>
            <w:shd w:val="clear" w:color="auto" w:fill="auto"/>
          </w:tcPr>
          <w:p w:rsidR="00777F5E" w:rsidRPr="001E1652" w:rsidRDefault="00777F5E" w:rsidP="00777F5E">
            <w:pPr>
              <w:pStyle w:val="Tabletext"/>
            </w:pPr>
            <w:r w:rsidRPr="001E1652">
              <w:t>3.4821</w:t>
            </w:r>
          </w:p>
        </w:tc>
      </w:tr>
      <w:tr w:rsidR="00777F5E" w:rsidRPr="001E1652" w:rsidTr="00777F5E">
        <w:tc>
          <w:tcPr>
            <w:tcW w:w="1271" w:type="dxa"/>
            <w:shd w:val="clear" w:color="auto" w:fill="auto"/>
          </w:tcPr>
          <w:p w:rsidR="00777F5E" w:rsidRPr="001E1652" w:rsidRDefault="00777F5E" w:rsidP="00777F5E">
            <w:pPr>
              <w:pStyle w:val="Tabletext"/>
            </w:pPr>
            <w:r w:rsidRPr="001E1652">
              <w:t>95</w:t>
            </w:r>
          </w:p>
        </w:tc>
        <w:tc>
          <w:tcPr>
            <w:tcW w:w="1134" w:type="dxa"/>
            <w:shd w:val="clear" w:color="auto" w:fill="auto"/>
          </w:tcPr>
          <w:p w:rsidR="00777F5E" w:rsidRPr="001E1652" w:rsidRDefault="00777F5E" w:rsidP="00777F5E">
            <w:pPr>
              <w:pStyle w:val="Tabletext"/>
            </w:pPr>
            <w:r w:rsidRPr="001E1652">
              <w:t>2.7716</w:t>
            </w:r>
          </w:p>
        </w:tc>
        <w:tc>
          <w:tcPr>
            <w:tcW w:w="1134" w:type="dxa"/>
            <w:shd w:val="clear" w:color="auto" w:fill="auto"/>
          </w:tcPr>
          <w:p w:rsidR="00777F5E" w:rsidRPr="001E1652" w:rsidRDefault="00777F5E" w:rsidP="00777F5E">
            <w:pPr>
              <w:pStyle w:val="Tabletext"/>
            </w:pPr>
            <w:r w:rsidRPr="001E1652">
              <w:t>3.1851</w:t>
            </w:r>
          </w:p>
        </w:tc>
      </w:tr>
      <w:tr w:rsidR="00777F5E" w:rsidRPr="001E1652" w:rsidTr="00777F5E">
        <w:tc>
          <w:tcPr>
            <w:tcW w:w="1271" w:type="dxa"/>
            <w:shd w:val="clear" w:color="auto" w:fill="auto"/>
          </w:tcPr>
          <w:p w:rsidR="00777F5E" w:rsidRPr="001E1652" w:rsidRDefault="00777F5E" w:rsidP="00777F5E">
            <w:pPr>
              <w:pStyle w:val="Tabletext"/>
            </w:pPr>
            <w:r w:rsidRPr="001E1652">
              <w:t>96</w:t>
            </w:r>
          </w:p>
        </w:tc>
        <w:tc>
          <w:tcPr>
            <w:tcW w:w="1134" w:type="dxa"/>
            <w:shd w:val="clear" w:color="auto" w:fill="auto"/>
          </w:tcPr>
          <w:p w:rsidR="00777F5E" w:rsidRPr="001E1652" w:rsidRDefault="00777F5E" w:rsidP="00777F5E">
            <w:pPr>
              <w:pStyle w:val="Tabletext"/>
            </w:pPr>
            <w:r w:rsidRPr="001E1652">
              <w:t>2.5795</w:t>
            </w:r>
          </w:p>
        </w:tc>
        <w:tc>
          <w:tcPr>
            <w:tcW w:w="1134" w:type="dxa"/>
            <w:shd w:val="clear" w:color="auto" w:fill="auto"/>
          </w:tcPr>
          <w:p w:rsidR="00777F5E" w:rsidRPr="001E1652" w:rsidRDefault="00777F5E" w:rsidP="00777F5E">
            <w:pPr>
              <w:pStyle w:val="Tabletext"/>
            </w:pPr>
            <w:r w:rsidRPr="001E1652">
              <w:t>2.9056</w:t>
            </w:r>
          </w:p>
        </w:tc>
      </w:tr>
      <w:tr w:rsidR="00777F5E" w:rsidRPr="001E1652" w:rsidTr="00777F5E">
        <w:tc>
          <w:tcPr>
            <w:tcW w:w="1271" w:type="dxa"/>
            <w:shd w:val="clear" w:color="auto" w:fill="auto"/>
          </w:tcPr>
          <w:p w:rsidR="00777F5E" w:rsidRPr="001E1652" w:rsidRDefault="00777F5E" w:rsidP="00777F5E">
            <w:pPr>
              <w:pStyle w:val="Tabletext"/>
            </w:pPr>
            <w:r w:rsidRPr="001E1652">
              <w:t>97</w:t>
            </w:r>
          </w:p>
        </w:tc>
        <w:tc>
          <w:tcPr>
            <w:tcW w:w="1134" w:type="dxa"/>
            <w:shd w:val="clear" w:color="auto" w:fill="auto"/>
          </w:tcPr>
          <w:p w:rsidR="00777F5E" w:rsidRPr="001E1652" w:rsidRDefault="00777F5E" w:rsidP="00777F5E">
            <w:pPr>
              <w:pStyle w:val="Tabletext"/>
            </w:pPr>
            <w:r w:rsidRPr="001E1652">
              <w:t>2.4010</w:t>
            </w:r>
          </w:p>
        </w:tc>
        <w:tc>
          <w:tcPr>
            <w:tcW w:w="1134" w:type="dxa"/>
            <w:shd w:val="clear" w:color="auto" w:fill="auto"/>
          </w:tcPr>
          <w:p w:rsidR="00777F5E" w:rsidRPr="001E1652" w:rsidRDefault="00777F5E" w:rsidP="00777F5E">
            <w:pPr>
              <w:pStyle w:val="Tabletext"/>
            </w:pPr>
            <w:r w:rsidRPr="001E1652">
              <w:t>2.6407</w:t>
            </w:r>
          </w:p>
        </w:tc>
      </w:tr>
      <w:tr w:rsidR="00777F5E" w:rsidRPr="001E1652" w:rsidTr="00777F5E">
        <w:tc>
          <w:tcPr>
            <w:tcW w:w="1271" w:type="dxa"/>
            <w:shd w:val="clear" w:color="auto" w:fill="auto"/>
          </w:tcPr>
          <w:p w:rsidR="00777F5E" w:rsidRPr="001E1652" w:rsidRDefault="00777F5E" w:rsidP="00777F5E">
            <w:pPr>
              <w:pStyle w:val="Tabletext"/>
            </w:pPr>
            <w:r w:rsidRPr="001E1652">
              <w:t>98</w:t>
            </w:r>
          </w:p>
        </w:tc>
        <w:tc>
          <w:tcPr>
            <w:tcW w:w="1134" w:type="dxa"/>
            <w:shd w:val="clear" w:color="auto" w:fill="auto"/>
          </w:tcPr>
          <w:p w:rsidR="00777F5E" w:rsidRPr="001E1652" w:rsidRDefault="00777F5E" w:rsidP="00777F5E">
            <w:pPr>
              <w:pStyle w:val="Tabletext"/>
            </w:pPr>
            <w:r w:rsidRPr="001E1652">
              <w:t>2.2283</w:t>
            </w:r>
          </w:p>
        </w:tc>
        <w:tc>
          <w:tcPr>
            <w:tcW w:w="1134" w:type="dxa"/>
            <w:shd w:val="clear" w:color="auto" w:fill="auto"/>
          </w:tcPr>
          <w:p w:rsidR="00777F5E" w:rsidRPr="001E1652" w:rsidRDefault="00777F5E" w:rsidP="00777F5E">
            <w:pPr>
              <w:pStyle w:val="Tabletext"/>
            </w:pPr>
            <w:r w:rsidRPr="001E1652">
              <w:t>2.3863</w:t>
            </w:r>
          </w:p>
        </w:tc>
      </w:tr>
      <w:tr w:rsidR="00777F5E" w:rsidRPr="001E1652" w:rsidTr="00777F5E">
        <w:tc>
          <w:tcPr>
            <w:tcW w:w="1271" w:type="dxa"/>
            <w:shd w:val="clear" w:color="auto" w:fill="auto"/>
          </w:tcPr>
          <w:p w:rsidR="00777F5E" w:rsidRPr="001E1652" w:rsidRDefault="00777F5E" w:rsidP="00777F5E">
            <w:pPr>
              <w:pStyle w:val="Tabletext"/>
            </w:pPr>
            <w:r w:rsidRPr="001E1652">
              <w:t>99</w:t>
            </w:r>
          </w:p>
        </w:tc>
        <w:tc>
          <w:tcPr>
            <w:tcW w:w="1134" w:type="dxa"/>
            <w:shd w:val="clear" w:color="auto" w:fill="auto"/>
          </w:tcPr>
          <w:p w:rsidR="00777F5E" w:rsidRPr="001E1652" w:rsidRDefault="00777F5E" w:rsidP="00777F5E">
            <w:pPr>
              <w:pStyle w:val="Tabletext"/>
            </w:pPr>
            <w:r w:rsidRPr="001E1652">
              <w:t>2.0594</w:t>
            </w:r>
          </w:p>
        </w:tc>
        <w:tc>
          <w:tcPr>
            <w:tcW w:w="1134" w:type="dxa"/>
            <w:shd w:val="clear" w:color="auto" w:fill="auto"/>
          </w:tcPr>
          <w:p w:rsidR="00777F5E" w:rsidRPr="001E1652" w:rsidRDefault="00777F5E" w:rsidP="00777F5E">
            <w:pPr>
              <w:pStyle w:val="Tabletext"/>
            </w:pPr>
            <w:r w:rsidRPr="001E1652">
              <w:t>2.1451</w:t>
            </w:r>
          </w:p>
        </w:tc>
      </w:tr>
      <w:tr w:rsidR="00777F5E" w:rsidRPr="001E1652" w:rsidTr="00777F5E">
        <w:tc>
          <w:tcPr>
            <w:tcW w:w="1271" w:type="dxa"/>
            <w:shd w:val="clear" w:color="auto" w:fill="auto"/>
          </w:tcPr>
          <w:p w:rsidR="00777F5E" w:rsidRPr="001E1652" w:rsidRDefault="00777F5E" w:rsidP="00777F5E">
            <w:pPr>
              <w:pStyle w:val="Tabletext"/>
            </w:pPr>
            <w:r w:rsidRPr="001E1652">
              <w:t>100</w:t>
            </w:r>
          </w:p>
        </w:tc>
        <w:tc>
          <w:tcPr>
            <w:tcW w:w="1134" w:type="dxa"/>
            <w:shd w:val="clear" w:color="auto" w:fill="auto"/>
          </w:tcPr>
          <w:p w:rsidR="00777F5E" w:rsidRPr="001E1652" w:rsidRDefault="00777F5E" w:rsidP="00777F5E">
            <w:pPr>
              <w:pStyle w:val="Tabletext"/>
            </w:pPr>
            <w:r w:rsidRPr="001E1652">
              <w:t>1.8961</w:t>
            </w:r>
          </w:p>
        </w:tc>
        <w:tc>
          <w:tcPr>
            <w:tcW w:w="1134" w:type="dxa"/>
            <w:shd w:val="clear" w:color="auto" w:fill="auto"/>
          </w:tcPr>
          <w:p w:rsidR="00777F5E" w:rsidRPr="001E1652" w:rsidRDefault="00777F5E" w:rsidP="00777F5E">
            <w:pPr>
              <w:pStyle w:val="Tabletext"/>
            </w:pPr>
            <w:r w:rsidRPr="001E1652">
              <w:t>1.9162</w:t>
            </w:r>
          </w:p>
        </w:tc>
      </w:tr>
      <w:tr w:rsidR="00777F5E" w:rsidRPr="001E1652" w:rsidTr="00777F5E">
        <w:tc>
          <w:tcPr>
            <w:tcW w:w="1271" w:type="dxa"/>
            <w:shd w:val="clear" w:color="auto" w:fill="auto"/>
          </w:tcPr>
          <w:p w:rsidR="00777F5E" w:rsidRPr="001E1652" w:rsidRDefault="00777F5E" w:rsidP="00777F5E">
            <w:pPr>
              <w:pStyle w:val="Tabletext"/>
            </w:pPr>
            <w:r w:rsidRPr="001E1652">
              <w:t>101</w:t>
            </w:r>
          </w:p>
        </w:tc>
        <w:tc>
          <w:tcPr>
            <w:tcW w:w="1134" w:type="dxa"/>
            <w:shd w:val="clear" w:color="auto" w:fill="auto"/>
          </w:tcPr>
          <w:p w:rsidR="00777F5E" w:rsidRPr="001E1652" w:rsidRDefault="00777F5E" w:rsidP="00777F5E">
            <w:pPr>
              <w:pStyle w:val="Tabletext"/>
            </w:pPr>
            <w:r w:rsidRPr="001E1652">
              <w:t>1.7244</w:t>
            </w:r>
          </w:p>
        </w:tc>
        <w:tc>
          <w:tcPr>
            <w:tcW w:w="1134" w:type="dxa"/>
            <w:shd w:val="clear" w:color="auto" w:fill="auto"/>
          </w:tcPr>
          <w:p w:rsidR="00777F5E" w:rsidRPr="001E1652" w:rsidRDefault="00777F5E" w:rsidP="00777F5E">
            <w:pPr>
              <w:pStyle w:val="Tabletext"/>
            </w:pPr>
            <w:r w:rsidRPr="001E1652">
              <w:t>1.6967</w:t>
            </w:r>
          </w:p>
        </w:tc>
      </w:tr>
      <w:tr w:rsidR="00777F5E" w:rsidRPr="001E1652" w:rsidTr="00777F5E">
        <w:tc>
          <w:tcPr>
            <w:tcW w:w="1271" w:type="dxa"/>
            <w:shd w:val="clear" w:color="auto" w:fill="auto"/>
          </w:tcPr>
          <w:p w:rsidR="00777F5E" w:rsidRPr="001E1652" w:rsidRDefault="00777F5E" w:rsidP="00777F5E">
            <w:pPr>
              <w:pStyle w:val="Tabletext"/>
            </w:pPr>
            <w:r w:rsidRPr="001E1652">
              <w:t>102</w:t>
            </w:r>
          </w:p>
        </w:tc>
        <w:tc>
          <w:tcPr>
            <w:tcW w:w="1134" w:type="dxa"/>
            <w:shd w:val="clear" w:color="auto" w:fill="auto"/>
          </w:tcPr>
          <w:p w:rsidR="00777F5E" w:rsidRPr="001E1652" w:rsidRDefault="00777F5E" w:rsidP="00777F5E">
            <w:pPr>
              <w:pStyle w:val="Tabletext"/>
            </w:pPr>
            <w:r w:rsidRPr="001E1652">
              <w:t>1.5371</w:t>
            </w:r>
          </w:p>
        </w:tc>
        <w:tc>
          <w:tcPr>
            <w:tcW w:w="1134" w:type="dxa"/>
            <w:shd w:val="clear" w:color="auto" w:fill="auto"/>
          </w:tcPr>
          <w:p w:rsidR="00777F5E" w:rsidRPr="001E1652" w:rsidRDefault="00777F5E" w:rsidP="00777F5E">
            <w:pPr>
              <w:pStyle w:val="Tabletext"/>
            </w:pPr>
            <w:r w:rsidRPr="001E1652">
              <w:t>1.4798</w:t>
            </w:r>
          </w:p>
        </w:tc>
      </w:tr>
      <w:tr w:rsidR="00777F5E" w:rsidRPr="001E1652" w:rsidTr="00777F5E">
        <w:tc>
          <w:tcPr>
            <w:tcW w:w="1271" w:type="dxa"/>
            <w:shd w:val="clear" w:color="auto" w:fill="auto"/>
          </w:tcPr>
          <w:p w:rsidR="00777F5E" w:rsidRPr="001E1652" w:rsidRDefault="00777F5E" w:rsidP="00777F5E">
            <w:pPr>
              <w:pStyle w:val="Tabletext"/>
            </w:pPr>
            <w:r w:rsidRPr="001E1652">
              <w:lastRenderedPageBreak/>
              <w:t>103</w:t>
            </w:r>
          </w:p>
        </w:tc>
        <w:tc>
          <w:tcPr>
            <w:tcW w:w="1134" w:type="dxa"/>
            <w:shd w:val="clear" w:color="auto" w:fill="auto"/>
          </w:tcPr>
          <w:p w:rsidR="00777F5E" w:rsidRPr="001E1652" w:rsidRDefault="00777F5E" w:rsidP="00777F5E">
            <w:pPr>
              <w:pStyle w:val="Tabletext"/>
            </w:pPr>
            <w:r w:rsidRPr="001E1652">
              <w:t>1.3112</w:t>
            </w:r>
          </w:p>
        </w:tc>
        <w:tc>
          <w:tcPr>
            <w:tcW w:w="1134" w:type="dxa"/>
            <w:shd w:val="clear" w:color="auto" w:fill="auto"/>
          </w:tcPr>
          <w:p w:rsidR="00777F5E" w:rsidRPr="001E1652" w:rsidRDefault="00777F5E" w:rsidP="00777F5E">
            <w:pPr>
              <w:pStyle w:val="Tabletext"/>
            </w:pPr>
            <w:r w:rsidRPr="001E1652">
              <w:t>1.2515</w:t>
            </w:r>
          </w:p>
        </w:tc>
      </w:tr>
      <w:tr w:rsidR="00777F5E" w:rsidRPr="001E1652" w:rsidTr="00777F5E">
        <w:tc>
          <w:tcPr>
            <w:tcW w:w="1271" w:type="dxa"/>
            <w:shd w:val="clear" w:color="auto" w:fill="auto"/>
          </w:tcPr>
          <w:p w:rsidR="00777F5E" w:rsidRPr="001E1652" w:rsidRDefault="00777F5E" w:rsidP="00777F5E">
            <w:pPr>
              <w:pStyle w:val="Tabletext"/>
            </w:pPr>
            <w:r w:rsidRPr="001E1652">
              <w:t>104</w:t>
            </w:r>
          </w:p>
        </w:tc>
        <w:tc>
          <w:tcPr>
            <w:tcW w:w="1134" w:type="dxa"/>
            <w:shd w:val="clear" w:color="auto" w:fill="auto"/>
          </w:tcPr>
          <w:p w:rsidR="00777F5E" w:rsidRPr="001E1652" w:rsidRDefault="00777F5E" w:rsidP="00777F5E">
            <w:pPr>
              <w:pStyle w:val="Tabletext"/>
            </w:pPr>
            <w:r w:rsidRPr="001E1652">
              <w:t>1.0000</w:t>
            </w:r>
          </w:p>
        </w:tc>
        <w:tc>
          <w:tcPr>
            <w:tcW w:w="1134" w:type="dxa"/>
            <w:shd w:val="clear" w:color="auto" w:fill="auto"/>
          </w:tcPr>
          <w:p w:rsidR="00777F5E" w:rsidRPr="001E1652" w:rsidRDefault="00777F5E" w:rsidP="00777F5E">
            <w:pPr>
              <w:pStyle w:val="Tabletext"/>
            </w:pPr>
            <w:r w:rsidRPr="001E1652">
              <w:t>0.9596</w:t>
            </w:r>
          </w:p>
        </w:tc>
      </w:tr>
      <w:tr w:rsidR="00777F5E" w:rsidRPr="001E1652" w:rsidTr="00777F5E">
        <w:tc>
          <w:tcPr>
            <w:tcW w:w="1271" w:type="dxa"/>
            <w:tcBorders>
              <w:bottom w:val="single" w:sz="12" w:space="0" w:color="auto"/>
            </w:tcBorders>
            <w:shd w:val="clear" w:color="auto" w:fill="auto"/>
          </w:tcPr>
          <w:p w:rsidR="00777F5E" w:rsidRPr="001E1652" w:rsidRDefault="00777F5E" w:rsidP="00777F5E">
            <w:pPr>
              <w:pStyle w:val="Tabletext"/>
            </w:pPr>
            <w:r w:rsidRPr="001E1652">
              <w:t>105 or older</w:t>
            </w:r>
          </w:p>
        </w:tc>
        <w:tc>
          <w:tcPr>
            <w:tcW w:w="1134" w:type="dxa"/>
            <w:tcBorders>
              <w:bottom w:val="single" w:sz="12" w:space="0" w:color="auto"/>
            </w:tcBorders>
            <w:shd w:val="clear" w:color="auto" w:fill="auto"/>
          </w:tcPr>
          <w:p w:rsidR="00777F5E" w:rsidRPr="001E1652" w:rsidRDefault="00777F5E" w:rsidP="00777F5E">
            <w:pPr>
              <w:pStyle w:val="Tabletext"/>
            </w:pPr>
            <w:r w:rsidRPr="001E1652">
              <w:t>0.4928</w:t>
            </w:r>
          </w:p>
        </w:tc>
        <w:tc>
          <w:tcPr>
            <w:tcW w:w="1134" w:type="dxa"/>
            <w:tcBorders>
              <w:bottom w:val="single" w:sz="12" w:space="0" w:color="auto"/>
            </w:tcBorders>
            <w:shd w:val="clear" w:color="auto" w:fill="auto"/>
          </w:tcPr>
          <w:p w:rsidR="00777F5E" w:rsidRPr="001E1652" w:rsidRDefault="00777F5E" w:rsidP="00777F5E">
            <w:pPr>
              <w:pStyle w:val="Tabletext"/>
            </w:pPr>
            <w:r w:rsidRPr="001E1652">
              <w:t>0.4928</w:t>
            </w:r>
          </w:p>
        </w:tc>
      </w:tr>
    </w:tbl>
    <w:p w:rsidR="008C7B45" w:rsidRPr="001E1652" w:rsidRDefault="008C7B45" w:rsidP="008C7B45">
      <w:pPr>
        <w:pStyle w:val="Tabletext"/>
      </w:pPr>
    </w:p>
    <w:p w:rsidR="008C7B45" w:rsidRPr="001E1652" w:rsidRDefault="00EB3759" w:rsidP="00777F5E">
      <w:pPr>
        <w:pStyle w:val="Specials"/>
      </w:pPr>
      <w:r w:rsidRPr="001E1652">
        <w:t>Table 2</w:t>
      </w:r>
      <w:r w:rsidR="00997587" w:rsidRPr="001E1652">
        <w:t xml:space="preserve"> Factors</w:t>
      </w: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1271"/>
        <w:gridCol w:w="1134"/>
        <w:gridCol w:w="1134"/>
      </w:tblGrid>
      <w:tr w:rsidR="008C7B45" w:rsidRPr="001E1652" w:rsidTr="008C7B45">
        <w:trPr>
          <w:tblHeader/>
        </w:trPr>
        <w:tc>
          <w:tcPr>
            <w:tcW w:w="1271" w:type="dxa"/>
            <w:tcBorders>
              <w:top w:val="single" w:sz="12" w:space="0" w:color="auto"/>
              <w:bottom w:val="single" w:sz="12" w:space="0" w:color="auto"/>
            </w:tcBorders>
            <w:shd w:val="clear" w:color="auto" w:fill="auto"/>
          </w:tcPr>
          <w:p w:rsidR="008C7B45" w:rsidRPr="001E1652" w:rsidRDefault="008C7B45" w:rsidP="008C7B45">
            <w:pPr>
              <w:pStyle w:val="TableHeading"/>
            </w:pPr>
            <w:r w:rsidRPr="001E1652">
              <w:t>Age</w:t>
            </w:r>
          </w:p>
        </w:tc>
        <w:tc>
          <w:tcPr>
            <w:tcW w:w="1134" w:type="dxa"/>
            <w:tcBorders>
              <w:top w:val="single" w:sz="12" w:space="0" w:color="auto"/>
              <w:bottom w:val="single" w:sz="12" w:space="0" w:color="auto"/>
            </w:tcBorders>
            <w:shd w:val="clear" w:color="auto" w:fill="auto"/>
          </w:tcPr>
          <w:p w:rsidR="008C7B45" w:rsidRPr="001E1652" w:rsidRDefault="008C7B45" w:rsidP="008C7B45">
            <w:pPr>
              <w:pStyle w:val="TableHeading"/>
            </w:pPr>
            <w:r w:rsidRPr="001E1652">
              <w:t>Male</w:t>
            </w:r>
          </w:p>
        </w:tc>
        <w:tc>
          <w:tcPr>
            <w:tcW w:w="1134" w:type="dxa"/>
            <w:tcBorders>
              <w:top w:val="single" w:sz="12" w:space="0" w:color="auto"/>
              <w:bottom w:val="single" w:sz="12" w:space="0" w:color="auto"/>
            </w:tcBorders>
            <w:shd w:val="clear" w:color="auto" w:fill="auto"/>
          </w:tcPr>
          <w:p w:rsidR="008C7B45" w:rsidRPr="001E1652" w:rsidRDefault="008C7B45" w:rsidP="008C7B45">
            <w:pPr>
              <w:pStyle w:val="TableHeading"/>
            </w:pPr>
            <w:r w:rsidRPr="001E1652">
              <w:t>Female</w:t>
            </w:r>
          </w:p>
        </w:tc>
      </w:tr>
      <w:tr w:rsidR="008C7B45" w:rsidRPr="001E1652" w:rsidTr="008C7B45">
        <w:tc>
          <w:tcPr>
            <w:tcW w:w="1271" w:type="dxa"/>
            <w:tcBorders>
              <w:top w:val="single" w:sz="12" w:space="0" w:color="auto"/>
            </w:tcBorders>
            <w:shd w:val="clear" w:color="auto" w:fill="auto"/>
          </w:tcPr>
          <w:p w:rsidR="008C7B45" w:rsidRPr="001E1652" w:rsidRDefault="008C7B45" w:rsidP="008C7B45">
            <w:pPr>
              <w:pStyle w:val="Tabletext"/>
            </w:pPr>
            <w:r w:rsidRPr="001E1652">
              <w:t>30 or younger</w:t>
            </w:r>
          </w:p>
        </w:tc>
        <w:tc>
          <w:tcPr>
            <w:tcW w:w="1134" w:type="dxa"/>
            <w:tcBorders>
              <w:top w:val="single" w:sz="12" w:space="0" w:color="auto"/>
            </w:tcBorders>
            <w:shd w:val="clear" w:color="auto" w:fill="auto"/>
          </w:tcPr>
          <w:p w:rsidR="008C7B45" w:rsidRPr="001E1652" w:rsidRDefault="008C7B45" w:rsidP="008C7B45">
            <w:pPr>
              <w:pStyle w:val="Tabletext"/>
            </w:pPr>
            <w:r w:rsidRPr="001E1652">
              <w:t>35.9420</w:t>
            </w:r>
          </w:p>
        </w:tc>
        <w:tc>
          <w:tcPr>
            <w:tcW w:w="1134" w:type="dxa"/>
            <w:tcBorders>
              <w:top w:val="single" w:sz="12" w:space="0" w:color="auto"/>
            </w:tcBorders>
            <w:shd w:val="clear" w:color="auto" w:fill="auto"/>
          </w:tcPr>
          <w:p w:rsidR="008C7B45" w:rsidRPr="001E1652" w:rsidRDefault="008C7B45" w:rsidP="008C7B45">
            <w:pPr>
              <w:pStyle w:val="Tabletext"/>
            </w:pPr>
            <w:r w:rsidRPr="001E1652">
              <w:t>36.0464</w:t>
            </w:r>
          </w:p>
        </w:tc>
      </w:tr>
      <w:tr w:rsidR="008C7B45" w:rsidRPr="001E1652" w:rsidTr="008C7B45">
        <w:tc>
          <w:tcPr>
            <w:tcW w:w="1271" w:type="dxa"/>
            <w:shd w:val="clear" w:color="auto" w:fill="auto"/>
          </w:tcPr>
          <w:p w:rsidR="008C7B45" w:rsidRPr="001E1652" w:rsidRDefault="008C7B45" w:rsidP="008C7B45">
            <w:pPr>
              <w:pStyle w:val="Tabletext"/>
            </w:pPr>
          </w:p>
        </w:tc>
        <w:tc>
          <w:tcPr>
            <w:tcW w:w="1134" w:type="dxa"/>
            <w:shd w:val="clear" w:color="auto" w:fill="auto"/>
          </w:tcPr>
          <w:p w:rsidR="008C7B45" w:rsidRPr="001E1652" w:rsidRDefault="008C7B45" w:rsidP="008C7B45">
            <w:pPr>
              <w:pStyle w:val="Tabletext"/>
            </w:pPr>
          </w:p>
        </w:tc>
        <w:tc>
          <w:tcPr>
            <w:tcW w:w="1134" w:type="dxa"/>
            <w:shd w:val="clear" w:color="auto" w:fill="auto"/>
          </w:tcPr>
          <w:p w:rsidR="008C7B45" w:rsidRPr="001E1652" w:rsidRDefault="008C7B45" w:rsidP="008C7B45">
            <w:pPr>
              <w:pStyle w:val="Tabletext"/>
            </w:pPr>
          </w:p>
        </w:tc>
      </w:tr>
      <w:tr w:rsidR="008C7B45" w:rsidRPr="001E1652" w:rsidTr="008C7B45">
        <w:tc>
          <w:tcPr>
            <w:tcW w:w="1271" w:type="dxa"/>
            <w:shd w:val="clear" w:color="auto" w:fill="auto"/>
          </w:tcPr>
          <w:p w:rsidR="008C7B45" w:rsidRPr="001E1652" w:rsidRDefault="008C7B45" w:rsidP="008C7B45">
            <w:pPr>
              <w:pStyle w:val="Tabletext"/>
            </w:pPr>
            <w:r w:rsidRPr="001E1652">
              <w:t>31</w:t>
            </w:r>
          </w:p>
        </w:tc>
        <w:tc>
          <w:tcPr>
            <w:tcW w:w="1134" w:type="dxa"/>
            <w:shd w:val="clear" w:color="auto" w:fill="auto"/>
          </w:tcPr>
          <w:p w:rsidR="008C7B45" w:rsidRPr="001E1652" w:rsidRDefault="008C7B45" w:rsidP="008C7B45">
            <w:pPr>
              <w:pStyle w:val="Tabletext"/>
            </w:pPr>
            <w:r w:rsidRPr="001E1652">
              <w:t>35.6176</w:t>
            </w:r>
          </w:p>
        </w:tc>
        <w:tc>
          <w:tcPr>
            <w:tcW w:w="1134" w:type="dxa"/>
            <w:shd w:val="clear" w:color="auto" w:fill="auto"/>
          </w:tcPr>
          <w:p w:rsidR="008C7B45" w:rsidRPr="001E1652" w:rsidRDefault="008C7B45" w:rsidP="008C7B45">
            <w:pPr>
              <w:pStyle w:val="Tabletext"/>
            </w:pPr>
            <w:r w:rsidRPr="001E1652">
              <w:t>35.7194</w:t>
            </w:r>
          </w:p>
        </w:tc>
      </w:tr>
      <w:tr w:rsidR="008C7B45" w:rsidRPr="001E1652" w:rsidTr="008C7B45">
        <w:tc>
          <w:tcPr>
            <w:tcW w:w="1271" w:type="dxa"/>
            <w:shd w:val="clear" w:color="auto" w:fill="auto"/>
          </w:tcPr>
          <w:p w:rsidR="008C7B45" w:rsidRPr="001E1652" w:rsidRDefault="008C7B45" w:rsidP="008C7B45">
            <w:pPr>
              <w:pStyle w:val="Tabletext"/>
            </w:pPr>
            <w:r w:rsidRPr="001E1652">
              <w:t>32</w:t>
            </w:r>
          </w:p>
        </w:tc>
        <w:tc>
          <w:tcPr>
            <w:tcW w:w="1134" w:type="dxa"/>
            <w:shd w:val="clear" w:color="auto" w:fill="auto"/>
          </w:tcPr>
          <w:p w:rsidR="008C7B45" w:rsidRPr="001E1652" w:rsidRDefault="008C7B45" w:rsidP="008C7B45">
            <w:pPr>
              <w:pStyle w:val="Tabletext"/>
            </w:pPr>
            <w:r w:rsidRPr="001E1652">
              <w:t>35.2862</w:t>
            </w:r>
          </w:p>
        </w:tc>
        <w:tc>
          <w:tcPr>
            <w:tcW w:w="1134" w:type="dxa"/>
            <w:shd w:val="clear" w:color="auto" w:fill="auto"/>
          </w:tcPr>
          <w:p w:rsidR="008C7B45" w:rsidRPr="001E1652" w:rsidRDefault="008C7B45" w:rsidP="008C7B45">
            <w:pPr>
              <w:pStyle w:val="Tabletext"/>
            </w:pPr>
            <w:r w:rsidRPr="001E1652">
              <w:t>35.3857</w:t>
            </w:r>
          </w:p>
        </w:tc>
      </w:tr>
      <w:tr w:rsidR="008C7B45" w:rsidRPr="001E1652" w:rsidTr="008C7B45">
        <w:tc>
          <w:tcPr>
            <w:tcW w:w="1271" w:type="dxa"/>
            <w:shd w:val="clear" w:color="auto" w:fill="auto"/>
          </w:tcPr>
          <w:p w:rsidR="008C7B45" w:rsidRPr="001E1652" w:rsidRDefault="008C7B45" w:rsidP="008C7B45">
            <w:pPr>
              <w:pStyle w:val="Tabletext"/>
            </w:pPr>
            <w:r w:rsidRPr="001E1652">
              <w:t>33</w:t>
            </w:r>
          </w:p>
        </w:tc>
        <w:tc>
          <w:tcPr>
            <w:tcW w:w="1134" w:type="dxa"/>
            <w:shd w:val="clear" w:color="auto" w:fill="auto"/>
          </w:tcPr>
          <w:p w:rsidR="008C7B45" w:rsidRPr="001E1652" w:rsidRDefault="008C7B45" w:rsidP="008C7B45">
            <w:pPr>
              <w:pStyle w:val="Tabletext"/>
            </w:pPr>
            <w:r w:rsidRPr="001E1652">
              <w:t>34.9473</w:t>
            </w:r>
          </w:p>
        </w:tc>
        <w:tc>
          <w:tcPr>
            <w:tcW w:w="1134" w:type="dxa"/>
            <w:shd w:val="clear" w:color="auto" w:fill="auto"/>
          </w:tcPr>
          <w:p w:rsidR="008C7B45" w:rsidRPr="001E1652" w:rsidRDefault="008C7B45" w:rsidP="008C7B45">
            <w:pPr>
              <w:pStyle w:val="Tabletext"/>
            </w:pPr>
            <w:r w:rsidRPr="001E1652">
              <w:t>35.0449</w:t>
            </w:r>
          </w:p>
        </w:tc>
      </w:tr>
      <w:tr w:rsidR="008C7B45" w:rsidRPr="001E1652" w:rsidTr="008C7B45">
        <w:tc>
          <w:tcPr>
            <w:tcW w:w="1271" w:type="dxa"/>
            <w:shd w:val="clear" w:color="auto" w:fill="auto"/>
          </w:tcPr>
          <w:p w:rsidR="008C7B45" w:rsidRPr="001E1652" w:rsidRDefault="008C7B45" w:rsidP="008C7B45">
            <w:pPr>
              <w:pStyle w:val="Tabletext"/>
            </w:pPr>
            <w:r w:rsidRPr="001E1652">
              <w:t>34</w:t>
            </w:r>
          </w:p>
        </w:tc>
        <w:tc>
          <w:tcPr>
            <w:tcW w:w="1134" w:type="dxa"/>
            <w:shd w:val="clear" w:color="auto" w:fill="auto"/>
          </w:tcPr>
          <w:p w:rsidR="008C7B45" w:rsidRPr="001E1652" w:rsidRDefault="008C7B45" w:rsidP="008C7B45">
            <w:pPr>
              <w:pStyle w:val="Tabletext"/>
            </w:pPr>
            <w:r w:rsidRPr="001E1652">
              <w:t>34.6010</w:t>
            </w:r>
          </w:p>
        </w:tc>
        <w:tc>
          <w:tcPr>
            <w:tcW w:w="1134" w:type="dxa"/>
            <w:shd w:val="clear" w:color="auto" w:fill="auto"/>
          </w:tcPr>
          <w:p w:rsidR="008C7B45" w:rsidRPr="001E1652" w:rsidRDefault="008C7B45" w:rsidP="008C7B45">
            <w:pPr>
              <w:pStyle w:val="Tabletext"/>
            </w:pPr>
            <w:r w:rsidRPr="001E1652">
              <w:t>34.6970</w:t>
            </w:r>
          </w:p>
        </w:tc>
      </w:tr>
      <w:tr w:rsidR="008C7B45" w:rsidRPr="001E1652" w:rsidTr="008C7B45">
        <w:tc>
          <w:tcPr>
            <w:tcW w:w="1271" w:type="dxa"/>
            <w:shd w:val="clear" w:color="auto" w:fill="auto"/>
          </w:tcPr>
          <w:p w:rsidR="008C7B45" w:rsidRPr="001E1652" w:rsidRDefault="008C7B45" w:rsidP="008C7B45">
            <w:pPr>
              <w:pStyle w:val="Tabletext"/>
            </w:pPr>
            <w:r w:rsidRPr="001E1652">
              <w:t>35</w:t>
            </w:r>
          </w:p>
        </w:tc>
        <w:tc>
          <w:tcPr>
            <w:tcW w:w="1134" w:type="dxa"/>
            <w:shd w:val="clear" w:color="auto" w:fill="auto"/>
          </w:tcPr>
          <w:p w:rsidR="008C7B45" w:rsidRPr="001E1652" w:rsidRDefault="008C7B45" w:rsidP="008C7B45">
            <w:pPr>
              <w:pStyle w:val="Tabletext"/>
            </w:pPr>
            <w:r w:rsidRPr="001E1652">
              <w:t>34.2471</w:t>
            </w:r>
          </w:p>
        </w:tc>
        <w:tc>
          <w:tcPr>
            <w:tcW w:w="1134" w:type="dxa"/>
            <w:shd w:val="clear" w:color="auto" w:fill="auto"/>
          </w:tcPr>
          <w:p w:rsidR="008C7B45" w:rsidRPr="001E1652" w:rsidRDefault="008C7B45" w:rsidP="008C7B45">
            <w:pPr>
              <w:pStyle w:val="Tabletext"/>
            </w:pPr>
            <w:r w:rsidRPr="001E1652">
              <w:t>34.3416</w:t>
            </w:r>
          </w:p>
        </w:tc>
      </w:tr>
      <w:tr w:rsidR="008C7B45" w:rsidRPr="001E1652" w:rsidTr="008C7B45">
        <w:tc>
          <w:tcPr>
            <w:tcW w:w="1271" w:type="dxa"/>
            <w:shd w:val="clear" w:color="auto" w:fill="auto"/>
          </w:tcPr>
          <w:p w:rsidR="008C7B45" w:rsidRPr="001E1652" w:rsidRDefault="008C7B45" w:rsidP="008C7B45">
            <w:pPr>
              <w:pStyle w:val="Tabletext"/>
            </w:pPr>
            <w:r w:rsidRPr="001E1652">
              <w:t>36</w:t>
            </w:r>
          </w:p>
        </w:tc>
        <w:tc>
          <w:tcPr>
            <w:tcW w:w="1134" w:type="dxa"/>
            <w:shd w:val="clear" w:color="auto" w:fill="auto"/>
          </w:tcPr>
          <w:p w:rsidR="008C7B45" w:rsidRPr="001E1652" w:rsidRDefault="008C7B45" w:rsidP="008C7B45">
            <w:pPr>
              <w:pStyle w:val="Tabletext"/>
            </w:pPr>
            <w:r w:rsidRPr="001E1652">
              <w:t>33.8853</w:t>
            </w:r>
          </w:p>
        </w:tc>
        <w:tc>
          <w:tcPr>
            <w:tcW w:w="1134" w:type="dxa"/>
            <w:shd w:val="clear" w:color="auto" w:fill="auto"/>
          </w:tcPr>
          <w:p w:rsidR="008C7B45" w:rsidRPr="001E1652" w:rsidRDefault="008C7B45" w:rsidP="008C7B45">
            <w:pPr>
              <w:pStyle w:val="Tabletext"/>
            </w:pPr>
            <w:r w:rsidRPr="001E1652">
              <w:t>33.9789</w:t>
            </w:r>
          </w:p>
        </w:tc>
      </w:tr>
      <w:tr w:rsidR="008C7B45" w:rsidRPr="001E1652" w:rsidTr="008C7B45">
        <w:tc>
          <w:tcPr>
            <w:tcW w:w="1271" w:type="dxa"/>
            <w:shd w:val="clear" w:color="auto" w:fill="auto"/>
          </w:tcPr>
          <w:p w:rsidR="008C7B45" w:rsidRPr="001E1652" w:rsidRDefault="008C7B45" w:rsidP="008C7B45">
            <w:pPr>
              <w:pStyle w:val="Tabletext"/>
            </w:pPr>
            <w:r w:rsidRPr="001E1652">
              <w:t>37</w:t>
            </w:r>
          </w:p>
        </w:tc>
        <w:tc>
          <w:tcPr>
            <w:tcW w:w="1134" w:type="dxa"/>
            <w:shd w:val="clear" w:color="auto" w:fill="auto"/>
          </w:tcPr>
          <w:p w:rsidR="008C7B45" w:rsidRPr="001E1652" w:rsidRDefault="008C7B45" w:rsidP="008C7B45">
            <w:pPr>
              <w:pStyle w:val="Tabletext"/>
            </w:pPr>
            <w:r w:rsidRPr="001E1652">
              <w:t>33.5158</w:t>
            </w:r>
          </w:p>
        </w:tc>
        <w:tc>
          <w:tcPr>
            <w:tcW w:w="1134" w:type="dxa"/>
            <w:shd w:val="clear" w:color="auto" w:fill="auto"/>
          </w:tcPr>
          <w:p w:rsidR="008C7B45" w:rsidRPr="001E1652" w:rsidRDefault="008C7B45" w:rsidP="008C7B45">
            <w:pPr>
              <w:pStyle w:val="Tabletext"/>
            </w:pPr>
            <w:r w:rsidRPr="001E1652">
              <w:t>33.6086</w:t>
            </w:r>
          </w:p>
        </w:tc>
      </w:tr>
      <w:tr w:rsidR="008C7B45" w:rsidRPr="001E1652" w:rsidTr="008C7B45">
        <w:tc>
          <w:tcPr>
            <w:tcW w:w="1271" w:type="dxa"/>
            <w:shd w:val="clear" w:color="auto" w:fill="auto"/>
          </w:tcPr>
          <w:p w:rsidR="008C7B45" w:rsidRPr="001E1652" w:rsidRDefault="008C7B45" w:rsidP="008C7B45">
            <w:pPr>
              <w:pStyle w:val="Tabletext"/>
            </w:pPr>
            <w:r w:rsidRPr="001E1652">
              <w:t>38</w:t>
            </w:r>
          </w:p>
        </w:tc>
        <w:tc>
          <w:tcPr>
            <w:tcW w:w="1134" w:type="dxa"/>
            <w:shd w:val="clear" w:color="auto" w:fill="auto"/>
          </w:tcPr>
          <w:p w:rsidR="008C7B45" w:rsidRPr="001E1652" w:rsidRDefault="008C7B45" w:rsidP="008C7B45">
            <w:pPr>
              <w:pStyle w:val="Tabletext"/>
            </w:pPr>
            <w:r w:rsidRPr="001E1652">
              <w:t>33.1381</w:t>
            </w:r>
          </w:p>
        </w:tc>
        <w:tc>
          <w:tcPr>
            <w:tcW w:w="1134" w:type="dxa"/>
            <w:shd w:val="clear" w:color="auto" w:fill="auto"/>
          </w:tcPr>
          <w:p w:rsidR="008C7B45" w:rsidRPr="001E1652" w:rsidRDefault="008C7B45" w:rsidP="008C7B45">
            <w:pPr>
              <w:pStyle w:val="Tabletext"/>
            </w:pPr>
            <w:r w:rsidRPr="001E1652">
              <w:t>33.2307</w:t>
            </w:r>
          </w:p>
        </w:tc>
      </w:tr>
      <w:tr w:rsidR="008C7B45" w:rsidRPr="001E1652" w:rsidTr="008C7B45">
        <w:tc>
          <w:tcPr>
            <w:tcW w:w="1271" w:type="dxa"/>
            <w:shd w:val="clear" w:color="auto" w:fill="auto"/>
          </w:tcPr>
          <w:p w:rsidR="008C7B45" w:rsidRPr="001E1652" w:rsidRDefault="008C7B45" w:rsidP="008C7B45">
            <w:pPr>
              <w:pStyle w:val="Tabletext"/>
            </w:pPr>
            <w:r w:rsidRPr="001E1652">
              <w:t>39</w:t>
            </w:r>
          </w:p>
        </w:tc>
        <w:tc>
          <w:tcPr>
            <w:tcW w:w="1134" w:type="dxa"/>
            <w:shd w:val="clear" w:color="auto" w:fill="auto"/>
          </w:tcPr>
          <w:p w:rsidR="008C7B45" w:rsidRPr="001E1652" w:rsidRDefault="008C7B45" w:rsidP="008C7B45">
            <w:pPr>
              <w:pStyle w:val="Tabletext"/>
            </w:pPr>
            <w:r w:rsidRPr="001E1652">
              <w:t>32.7523</w:t>
            </w:r>
          </w:p>
        </w:tc>
        <w:tc>
          <w:tcPr>
            <w:tcW w:w="1134" w:type="dxa"/>
            <w:shd w:val="clear" w:color="auto" w:fill="auto"/>
          </w:tcPr>
          <w:p w:rsidR="008C7B45" w:rsidRPr="001E1652" w:rsidRDefault="008C7B45" w:rsidP="008C7B45">
            <w:pPr>
              <w:pStyle w:val="Tabletext"/>
            </w:pPr>
            <w:r w:rsidRPr="001E1652">
              <w:t>32.8446</w:t>
            </w:r>
          </w:p>
        </w:tc>
      </w:tr>
      <w:tr w:rsidR="008C7B45" w:rsidRPr="001E1652" w:rsidTr="008C7B45">
        <w:tc>
          <w:tcPr>
            <w:tcW w:w="1271" w:type="dxa"/>
            <w:shd w:val="clear" w:color="auto" w:fill="auto"/>
          </w:tcPr>
          <w:p w:rsidR="008C7B45" w:rsidRPr="001E1652" w:rsidRDefault="008C7B45" w:rsidP="008C7B45">
            <w:pPr>
              <w:pStyle w:val="Tabletext"/>
            </w:pPr>
            <w:r w:rsidRPr="001E1652">
              <w:t>40</w:t>
            </w:r>
          </w:p>
        </w:tc>
        <w:tc>
          <w:tcPr>
            <w:tcW w:w="1134" w:type="dxa"/>
            <w:shd w:val="clear" w:color="auto" w:fill="auto"/>
          </w:tcPr>
          <w:p w:rsidR="008C7B45" w:rsidRPr="001E1652" w:rsidRDefault="008C7B45" w:rsidP="008C7B45">
            <w:pPr>
              <w:pStyle w:val="Tabletext"/>
            </w:pPr>
            <w:r w:rsidRPr="001E1652">
              <w:t>32.3581</w:t>
            </w:r>
          </w:p>
        </w:tc>
        <w:tc>
          <w:tcPr>
            <w:tcW w:w="1134" w:type="dxa"/>
            <w:shd w:val="clear" w:color="auto" w:fill="auto"/>
          </w:tcPr>
          <w:p w:rsidR="008C7B45" w:rsidRPr="001E1652" w:rsidRDefault="008C7B45" w:rsidP="008C7B45">
            <w:pPr>
              <w:pStyle w:val="Tabletext"/>
            </w:pPr>
            <w:r w:rsidRPr="001E1652">
              <w:t>32.4510</w:t>
            </w:r>
          </w:p>
        </w:tc>
      </w:tr>
      <w:tr w:rsidR="008C7B45" w:rsidRPr="001E1652" w:rsidTr="008C7B45">
        <w:tc>
          <w:tcPr>
            <w:tcW w:w="1271" w:type="dxa"/>
            <w:shd w:val="clear" w:color="auto" w:fill="auto"/>
          </w:tcPr>
          <w:p w:rsidR="008C7B45" w:rsidRPr="001E1652" w:rsidRDefault="008C7B45" w:rsidP="008C7B45">
            <w:pPr>
              <w:pStyle w:val="Tabletext"/>
            </w:pPr>
            <w:r w:rsidRPr="001E1652">
              <w:t>41</w:t>
            </w:r>
          </w:p>
        </w:tc>
        <w:tc>
          <w:tcPr>
            <w:tcW w:w="1134" w:type="dxa"/>
            <w:shd w:val="clear" w:color="auto" w:fill="auto"/>
          </w:tcPr>
          <w:p w:rsidR="008C7B45" w:rsidRPr="001E1652" w:rsidRDefault="008C7B45" w:rsidP="008C7B45">
            <w:pPr>
              <w:pStyle w:val="Tabletext"/>
            </w:pPr>
            <w:r w:rsidRPr="001E1652">
              <w:t>31.8994</w:t>
            </w:r>
          </w:p>
        </w:tc>
        <w:tc>
          <w:tcPr>
            <w:tcW w:w="1134" w:type="dxa"/>
            <w:shd w:val="clear" w:color="auto" w:fill="auto"/>
          </w:tcPr>
          <w:p w:rsidR="008C7B45" w:rsidRPr="001E1652" w:rsidRDefault="008C7B45" w:rsidP="008C7B45">
            <w:pPr>
              <w:pStyle w:val="Tabletext"/>
            </w:pPr>
            <w:r w:rsidRPr="001E1652">
              <w:t>32.0127</w:t>
            </w:r>
          </w:p>
        </w:tc>
      </w:tr>
      <w:tr w:rsidR="008C7B45" w:rsidRPr="001E1652" w:rsidTr="008C7B45">
        <w:tc>
          <w:tcPr>
            <w:tcW w:w="1271" w:type="dxa"/>
            <w:shd w:val="clear" w:color="auto" w:fill="auto"/>
          </w:tcPr>
          <w:p w:rsidR="008C7B45" w:rsidRPr="001E1652" w:rsidRDefault="008C7B45" w:rsidP="008C7B45">
            <w:pPr>
              <w:pStyle w:val="Tabletext"/>
            </w:pPr>
            <w:r w:rsidRPr="001E1652">
              <w:t>42</w:t>
            </w:r>
          </w:p>
        </w:tc>
        <w:tc>
          <w:tcPr>
            <w:tcW w:w="1134" w:type="dxa"/>
            <w:shd w:val="clear" w:color="auto" w:fill="auto"/>
          </w:tcPr>
          <w:p w:rsidR="008C7B45" w:rsidRPr="001E1652" w:rsidRDefault="008C7B45" w:rsidP="008C7B45">
            <w:pPr>
              <w:pStyle w:val="Tabletext"/>
            </w:pPr>
            <w:r w:rsidRPr="001E1652">
              <w:t>31.4301</w:t>
            </w:r>
          </w:p>
        </w:tc>
        <w:tc>
          <w:tcPr>
            <w:tcW w:w="1134" w:type="dxa"/>
            <w:shd w:val="clear" w:color="auto" w:fill="auto"/>
          </w:tcPr>
          <w:p w:rsidR="008C7B45" w:rsidRPr="001E1652" w:rsidRDefault="008C7B45" w:rsidP="008C7B45">
            <w:pPr>
              <w:pStyle w:val="Tabletext"/>
            </w:pPr>
            <w:r w:rsidRPr="001E1652">
              <w:t>31.5648</w:t>
            </w:r>
          </w:p>
        </w:tc>
      </w:tr>
      <w:tr w:rsidR="008C7B45" w:rsidRPr="001E1652" w:rsidTr="008C7B45">
        <w:tc>
          <w:tcPr>
            <w:tcW w:w="1271" w:type="dxa"/>
            <w:shd w:val="clear" w:color="auto" w:fill="auto"/>
          </w:tcPr>
          <w:p w:rsidR="008C7B45" w:rsidRPr="001E1652" w:rsidRDefault="008C7B45" w:rsidP="008C7B45">
            <w:pPr>
              <w:pStyle w:val="Tabletext"/>
            </w:pPr>
            <w:r w:rsidRPr="001E1652">
              <w:t>43</w:t>
            </w:r>
          </w:p>
        </w:tc>
        <w:tc>
          <w:tcPr>
            <w:tcW w:w="1134" w:type="dxa"/>
            <w:shd w:val="clear" w:color="auto" w:fill="auto"/>
          </w:tcPr>
          <w:p w:rsidR="008C7B45" w:rsidRPr="001E1652" w:rsidRDefault="008C7B45" w:rsidP="008C7B45">
            <w:pPr>
              <w:pStyle w:val="Tabletext"/>
            </w:pPr>
            <w:r w:rsidRPr="001E1652">
              <w:t>30.9499</w:t>
            </w:r>
          </w:p>
        </w:tc>
        <w:tc>
          <w:tcPr>
            <w:tcW w:w="1134" w:type="dxa"/>
            <w:shd w:val="clear" w:color="auto" w:fill="auto"/>
          </w:tcPr>
          <w:p w:rsidR="008C7B45" w:rsidRPr="001E1652" w:rsidRDefault="008C7B45" w:rsidP="008C7B45">
            <w:pPr>
              <w:pStyle w:val="Tabletext"/>
            </w:pPr>
            <w:r w:rsidRPr="001E1652">
              <w:t>31.1073</w:t>
            </w:r>
          </w:p>
        </w:tc>
      </w:tr>
      <w:tr w:rsidR="008C7B45" w:rsidRPr="001E1652" w:rsidTr="008C7B45">
        <w:tc>
          <w:tcPr>
            <w:tcW w:w="1271" w:type="dxa"/>
            <w:shd w:val="clear" w:color="auto" w:fill="auto"/>
          </w:tcPr>
          <w:p w:rsidR="008C7B45" w:rsidRPr="001E1652" w:rsidRDefault="008C7B45" w:rsidP="008C7B45">
            <w:pPr>
              <w:pStyle w:val="Tabletext"/>
            </w:pPr>
            <w:r w:rsidRPr="001E1652">
              <w:t>44</w:t>
            </w:r>
          </w:p>
        </w:tc>
        <w:tc>
          <w:tcPr>
            <w:tcW w:w="1134" w:type="dxa"/>
            <w:shd w:val="clear" w:color="auto" w:fill="auto"/>
          </w:tcPr>
          <w:p w:rsidR="008C7B45" w:rsidRPr="001E1652" w:rsidRDefault="008C7B45" w:rsidP="008C7B45">
            <w:pPr>
              <w:pStyle w:val="Tabletext"/>
            </w:pPr>
            <w:r w:rsidRPr="001E1652">
              <w:t>30.4586</w:t>
            </w:r>
          </w:p>
        </w:tc>
        <w:tc>
          <w:tcPr>
            <w:tcW w:w="1134" w:type="dxa"/>
            <w:shd w:val="clear" w:color="auto" w:fill="auto"/>
          </w:tcPr>
          <w:p w:rsidR="008C7B45" w:rsidRPr="001E1652" w:rsidRDefault="008C7B45" w:rsidP="008C7B45">
            <w:pPr>
              <w:pStyle w:val="Tabletext"/>
            </w:pPr>
            <w:r w:rsidRPr="001E1652">
              <w:t>30.6402</w:t>
            </w:r>
          </w:p>
        </w:tc>
      </w:tr>
      <w:tr w:rsidR="008C7B45" w:rsidRPr="001E1652" w:rsidTr="008C7B45">
        <w:tc>
          <w:tcPr>
            <w:tcW w:w="1271" w:type="dxa"/>
            <w:shd w:val="clear" w:color="auto" w:fill="auto"/>
          </w:tcPr>
          <w:p w:rsidR="008C7B45" w:rsidRPr="001E1652" w:rsidRDefault="008C7B45" w:rsidP="008C7B45">
            <w:pPr>
              <w:pStyle w:val="Tabletext"/>
            </w:pPr>
            <w:r w:rsidRPr="001E1652">
              <w:t>45</w:t>
            </w:r>
          </w:p>
        </w:tc>
        <w:tc>
          <w:tcPr>
            <w:tcW w:w="1134" w:type="dxa"/>
            <w:shd w:val="clear" w:color="auto" w:fill="auto"/>
          </w:tcPr>
          <w:p w:rsidR="008C7B45" w:rsidRPr="001E1652" w:rsidRDefault="008C7B45" w:rsidP="008C7B45">
            <w:pPr>
              <w:pStyle w:val="Tabletext"/>
            </w:pPr>
            <w:r w:rsidRPr="001E1652">
              <w:t>29.9564</w:t>
            </w:r>
          </w:p>
        </w:tc>
        <w:tc>
          <w:tcPr>
            <w:tcW w:w="1134" w:type="dxa"/>
            <w:shd w:val="clear" w:color="auto" w:fill="auto"/>
          </w:tcPr>
          <w:p w:rsidR="008C7B45" w:rsidRPr="001E1652" w:rsidRDefault="008C7B45" w:rsidP="008C7B45">
            <w:pPr>
              <w:pStyle w:val="Tabletext"/>
            </w:pPr>
            <w:r w:rsidRPr="001E1652">
              <w:t>30.1634</w:t>
            </w:r>
          </w:p>
        </w:tc>
      </w:tr>
      <w:tr w:rsidR="008C7B45" w:rsidRPr="001E1652" w:rsidTr="008C7B45">
        <w:tc>
          <w:tcPr>
            <w:tcW w:w="1271" w:type="dxa"/>
            <w:shd w:val="clear" w:color="auto" w:fill="auto"/>
          </w:tcPr>
          <w:p w:rsidR="008C7B45" w:rsidRPr="001E1652" w:rsidRDefault="008C7B45" w:rsidP="008C7B45">
            <w:pPr>
              <w:pStyle w:val="Tabletext"/>
            </w:pPr>
            <w:r w:rsidRPr="001E1652">
              <w:t>46</w:t>
            </w:r>
          </w:p>
        </w:tc>
        <w:tc>
          <w:tcPr>
            <w:tcW w:w="1134" w:type="dxa"/>
            <w:shd w:val="clear" w:color="auto" w:fill="auto"/>
          </w:tcPr>
          <w:p w:rsidR="008C7B45" w:rsidRPr="001E1652" w:rsidRDefault="008C7B45" w:rsidP="008C7B45">
            <w:pPr>
              <w:pStyle w:val="Tabletext"/>
            </w:pPr>
            <w:r w:rsidRPr="001E1652">
              <w:t>29.4428</w:t>
            </w:r>
          </w:p>
        </w:tc>
        <w:tc>
          <w:tcPr>
            <w:tcW w:w="1134" w:type="dxa"/>
            <w:shd w:val="clear" w:color="auto" w:fill="auto"/>
          </w:tcPr>
          <w:p w:rsidR="008C7B45" w:rsidRPr="001E1652" w:rsidRDefault="008C7B45" w:rsidP="008C7B45">
            <w:pPr>
              <w:pStyle w:val="Tabletext"/>
            </w:pPr>
            <w:r w:rsidRPr="001E1652">
              <w:t>29.6767</w:t>
            </w:r>
          </w:p>
        </w:tc>
      </w:tr>
      <w:tr w:rsidR="008C7B45" w:rsidRPr="001E1652" w:rsidTr="008C7B45">
        <w:tc>
          <w:tcPr>
            <w:tcW w:w="1271" w:type="dxa"/>
            <w:shd w:val="clear" w:color="auto" w:fill="auto"/>
          </w:tcPr>
          <w:p w:rsidR="008C7B45" w:rsidRPr="001E1652" w:rsidRDefault="008C7B45" w:rsidP="008C7B45">
            <w:pPr>
              <w:pStyle w:val="Tabletext"/>
            </w:pPr>
            <w:r w:rsidRPr="001E1652">
              <w:t>47</w:t>
            </w:r>
          </w:p>
        </w:tc>
        <w:tc>
          <w:tcPr>
            <w:tcW w:w="1134" w:type="dxa"/>
            <w:shd w:val="clear" w:color="auto" w:fill="auto"/>
          </w:tcPr>
          <w:p w:rsidR="008C7B45" w:rsidRPr="001E1652" w:rsidRDefault="008C7B45" w:rsidP="008C7B45">
            <w:pPr>
              <w:pStyle w:val="Tabletext"/>
            </w:pPr>
            <w:r w:rsidRPr="001E1652">
              <w:t>28.9178</w:t>
            </w:r>
          </w:p>
        </w:tc>
        <w:tc>
          <w:tcPr>
            <w:tcW w:w="1134" w:type="dxa"/>
            <w:shd w:val="clear" w:color="auto" w:fill="auto"/>
          </w:tcPr>
          <w:p w:rsidR="008C7B45" w:rsidRPr="001E1652" w:rsidRDefault="008C7B45" w:rsidP="008C7B45">
            <w:pPr>
              <w:pStyle w:val="Tabletext"/>
            </w:pPr>
            <w:r w:rsidRPr="001E1652">
              <w:t>29.1803</w:t>
            </w:r>
          </w:p>
        </w:tc>
      </w:tr>
      <w:tr w:rsidR="008C7B45" w:rsidRPr="001E1652" w:rsidTr="008C7B45">
        <w:tc>
          <w:tcPr>
            <w:tcW w:w="1271" w:type="dxa"/>
            <w:shd w:val="clear" w:color="auto" w:fill="auto"/>
          </w:tcPr>
          <w:p w:rsidR="008C7B45" w:rsidRPr="001E1652" w:rsidRDefault="008C7B45" w:rsidP="008C7B45">
            <w:pPr>
              <w:pStyle w:val="Tabletext"/>
            </w:pPr>
            <w:r w:rsidRPr="001E1652">
              <w:t>48</w:t>
            </w:r>
          </w:p>
        </w:tc>
        <w:tc>
          <w:tcPr>
            <w:tcW w:w="1134" w:type="dxa"/>
            <w:shd w:val="clear" w:color="auto" w:fill="auto"/>
          </w:tcPr>
          <w:p w:rsidR="008C7B45" w:rsidRPr="001E1652" w:rsidRDefault="008C7B45" w:rsidP="008C7B45">
            <w:pPr>
              <w:pStyle w:val="Tabletext"/>
            </w:pPr>
            <w:r w:rsidRPr="001E1652">
              <w:t>28.3814</w:t>
            </w:r>
          </w:p>
        </w:tc>
        <w:tc>
          <w:tcPr>
            <w:tcW w:w="1134" w:type="dxa"/>
            <w:shd w:val="clear" w:color="auto" w:fill="auto"/>
          </w:tcPr>
          <w:p w:rsidR="008C7B45" w:rsidRPr="001E1652" w:rsidRDefault="008C7B45" w:rsidP="008C7B45">
            <w:pPr>
              <w:pStyle w:val="Tabletext"/>
            </w:pPr>
            <w:r w:rsidRPr="001E1652">
              <w:t>28.6742</w:t>
            </w:r>
          </w:p>
        </w:tc>
      </w:tr>
      <w:tr w:rsidR="008C7B45" w:rsidRPr="001E1652" w:rsidTr="008C7B45">
        <w:tc>
          <w:tcPr>
            <w:tcW w:w="1271" w:type="dxa"/>
            <w:shd w:val="clear" w:color="auto" w:fill="auto"/>
          </w:tcPr>
          <w:p w:rsidR="008C7B45" w:rsidRPr="001E1652" w:rsidRDefault="008C7B45" w:rsidP="008C7B45">
            <w:pPr>
              <w:pStyle w:val="Tabletext"/>
            </w:pPr>
            <w:r w:rsidRPr="001E1652">
              <w:t>49</w:t>
            </w:r>
          </w:p>
        </w:tc>
        <w:tc>
          <w:tcPr>
            <w:tcW w:w="1134" w:type="dxa"/>
            <w:shd w:val="clear" w:color="auto" w:fill="auto"/>
          </w:tcPr>
          <w:p w:rsidR="008C7B45" w:rsidRPr="001E1652" w:rsidRDefault="008C7B45" w:rsidP="008C7B45">
            <w:pPr>
              <w:pStyle w:val="Tabletext"/>
            </w:pPr>
            <w:r w:rsidRPr="001E1652">
              <w:t>27.8335</w:t>
            </w:r>
          </w:p>
        </w:tc>
        <w:tc>
          <w:tcPr>
            <w:tcW w:w="1134" w:type="dxa"/>
            <w:shd w:val="clear" w:color="auto" w:fill="auto"/>
          </w:tcPr>
          <w:p w:rsidR="008C7B45" w:rsidRPr="001E1652" w:rsidRDefault="008C7B45" w:rsidP="008C7B45">
            <w:pPr>
              <w:pStyle w:val="Tabletext"/>
            </w:pPr>
            <w:r w:rsidRPr="001E1652">
              <w:t>28.1588</w:t>
            </w:r>
          </w:p>
        </w:tc>
      </w:tr>
      <w:tr w:rsidR="008C7B45" w:rsidRPr="001E1652" w:rsidTr="008C7B45">
        <w:tc>
          <w:tcPr>
            <w:tcW w:w="1271" w:type="dxa"/>
            <w:shd w:val="clear" w:color="auto" w:fill="auto"/>
          </w:tcPr>
          <w:p w:rsidR="008C7B45" w:rsidRPr="001E1652" w:rsidRDefault="008C7B45" w:rsidP="008C7B45">
            <w:pPr>
              <w:pStyle w:val="Tabletext"/>
            </w:pPr>
            <w:r w:rsidRPr="001E1652">
              <w:t>50</w:t>
            </w:r>
          </w:p>
        </w:tc>
        <w:tc>
          <w:tcPr>
            <w:tcW w:w="1134" w:type="dxa"/>
            <w:shd w:val="clear" w:color="auto" w:fill="auto"/>
          </w:tcPr>
          <w:p w:rsidR="008C7B45" w:rsidRPr="001E1652" w:rsidRDefault="008C7B45" w:rsidP="008C7B45">
            <w:pPr>
              <w:pStyle w:val="Tabletext"/>
            </w:pPr>
            <w:r w:rsidRPr="001E1652">
              <w:t>27.2741</w:t>
            </w:r>
          </w:p>
        </w:tc>
        <w:tc>
          <w:tcPr>
            <w:tcW w:w="1134" w:type="dxa"/>
            <w:shd w:val="clear" w:color="auto" w:fill="auto"/>
          </w:tcPr>
          <w:p w:rsidR="008C7B45" w:rsidRPr="001E1652" w:rsidRDefault="008C7B45" w:rsidP="008C7B45">
            <w:pPr>
              <w:pStyle w:val="Tabletext"/>
            </w:pPr>
            <w:r w:rsidRPr="001E1652">
              <w:t>27.6338</w:t>
            </w:r>
          </w:p>
        </w:tc>
      </w:tr>
      <w:tr w:rsidR="008C7B45" w:rsidRPr="001E1652" w:rsidTr="008C7B45">
        <w:tc>
          <w:tcPr>
            <w:tcW w:w="1271" w:type="dxa"/>
            <w:shd w:val="clear" w:color="auto" w:fill="auto"/>
          </w:tcPr>
          <w:p w:rsidR="008C7B45" w:rsidRPr="001E1652" w:rsidRDefault="008C7B45" w:rsidP="008C7B45">
            <w:pPr>
              <w:pStyle w:val="Tabletext"/>
            </w:pPr>
            <w:r w:rsidRPr="001E1652">
              <w:t>51</w:t>
            </w:r>
          </w:p>
        </w:tc>
        <w:tc>
          <w:tcPr>
            <w:tcW w:w="1134" w:type="dxa"/>
            <w:shd w:val="clear" w:color="auto" w:fill="auto"/>
          </w:tcPr>
          <w:p w:rsidR="008C7B45" w:rsidRPr="001E1652" w:rsidRDefault="008C7B45" w:rsidP="008C7B45">
            <w:pPr>
              <w:pStyle w:val="Tabletext"/>
            </w:pPr>
            <w:r w:rsidRPr="001E1652">
              <w:t>26.5676</w:t>
            </w:r>
          </w:p>
        </w:tc>
        <w:tc>
          <w:tcPr>
            <w:tcW w:w="1134" w:type="dxa"/>
            <w:shd w:val="clear" w:color="auto" w:fill="auto"/>
          </w:tcPr>
          <w:p w:rsidR="008C7B45" w:rsidRPr="001E1652" w:rsidRDefault="008C7B45" w:rsidP="008C7B45">
            <w:pPr>
              <w:pStyle w:val="Tabletext"/>
            </w:pPr>
            <w:r w:rsidRPr="001E1652">
              <w:t>27.0977</w:t>
            </w:r>
          </w:p>
        </w:tc>
      </w:tr>
      <w:tr w:rsidR="008C7B45" w:rsidRPr="001E1652" w:rsidTr="008C7B45">
        <w:tc>
          <w:tcPr>
            <w:tcW w:w="1271" w:type="dxa"/>
            <w:shd w:val="clear" w:color="auto" w:fill="auto"/>
          </w:tcPr>
          <w:p w:rsidR="008C7B45" w:rsidRPr="001E1652" w:rsidRDefault="008C7B45" w:rsidP="008C7B45">
            <w:pPr>
              <w:pStyle w:val="Tabletext"/>
            </w:pPr>
            <w:r w:rsidRPr="001E1652">
              <w:t>52</w:t>
            </w:r>
          </w:p>
        </w:tc>
        <w:tc>
          <w:tcPr>
            <w:tcW w:w="1134" w:type="dxa"/>
            <w:shd w:val="clear" w:color="auto" w:fill="auto"/>
          </w:tcPr>
          <w:p w:rsidR="008C7B45" w:rsidRPr="001E1652" w:rsidRDefault="008C7B45" w:rsidP="008C7B45">
            <w:pPr>
              <w:pStyle w:val="Tabletext"/>
            </w:pPr>
            <w:r w:rsidRPr="001E1652">
              <w:t>25.8449</w:t>
            </w:r>
          </w:p>
        </w:tc>
        <w:tc>
          <w:tcPr>
            <w:tcW w:w="1134" w:type="dxa"/>
            <w:shd w:val="clear" w:color="auto" w:fill="auto"/>
          </w:tcPr>
          <w:p w:rsidR="008C7B45" w:rsidRPr="001E1652" w:rsidRDefault="008C7B45" w:rsidP="008C7B45">
            <w:pPr>
              <w:pStyle w:val="Tabletext"/>
            </w:pPr>
            <w:r w:rsidRPr="001E1652">
              <w:t>26.5521</w:t>
            </w:r>
          </w:p>
        </w:tc>
      </w:tr>
      <w:tr w:rsidR="008C7B45" w:rsidRPr="001E1652" w:rsidTr="008C7B45">
        <w:tc>
          <w:tcPr>
            <w:tcW w:w="1271" w:type="dxa"/>
            <w:shd w:val="clear" w:color="auto" w:fill="auto"/>
          </w:tcPr>
          <w:p w:rsidR="008C7B45" w:rsidRPr="001E1652" w:rsidRDefault="008C7B45" w:rsidP="008C7B45">
            <w:pPr>
              <w:pStyle w:val="Tabletext"/>
            </w:pPr>
            <w:r w:rsidRPr="001E1652">
              <w:t>53</w:t>
            </w:r>
          </w:p>
        </w:tc>
        <w:tc>
          <w:tcPr>
            <w:tcW w:w="1134" w:type="dxa"/>
            <w:shd w:val="clear" w:color="auto" w:fill="auto"/>
          </w:tcPr>
          <w:p w:rsidR="008C7B45" w:rsidRPr="001E1652" w:rsidRDefault="008C7B45" w:rsidP="008C7B45">
            <w:pPr>
              <w:pStyle w:val="Tabletext"/>
            </w:pPr>
            <w:r w:rsidRPr="001E1652">
              <w:t>25.1057</w:t>
            </w:r>
          </w:p>
        </w:tc>
        <w:tc>
          <w:tcPr>
            <w:tcW w:w="1134" w:type="dxa"/>
            <w:shd w:val="clear" w:color="auto" w:fill="auto"/>
          </w:tcPr>
          <w:p w:rsidR="008C7B45" w:rsidRPr="001E1652" w:rsidRDefault="008C7B45" w:rsidP="008C7B45">
            <w:pPr>
              <w:pStyle w:val="Tabletext"/>
            </w:pPr>
            <w:r w:rsidRPr="001E1652">
              <w:t>25.9973</w:t>
            </w:r>
          </w:p>
        </w:tc>
      </w:tr>
      <w:tr w:rsidR="008C7B45" w:rsidRPr="001E1652" w:rsidTr="008C7B45">
        <w:tc>
          <w:tcPr>
            <w:tcW w:w="1271" w:type="dxa"/>
            <w:shd w:val="clear" w:color="auto" w:fill="auto"/>
          </w:tcPr>
          <w:p w:rsidR="008C7B45" w:rsidRPr="001E1652" w:rsidRDefault="008C7B45" w:rsidP="008C7B45">
            <w:pPr>
              <w:pStyle w:val="Tabletext"/>
            </w:pPr>
            <w:r w:rsidRPr="001E1652">
              <w:t>54</w:t>
            </w:r>
          </w:p>
        </w:tc>
        <w:tc>
          <w:tcPr>
            <w:tcW w:w="1134" w:type="dxa"/>
            <w:shd w:val="clear" w:color="auto" w:fill="auto"/>
          </w:tcPr>
          <w:p w:rsidR="008C7B45" w:rsidRPr="001E1652" w:rsidRDefault="008C7B45" w:rsidP="008C7B45">
            <w:pPr>
              <w:pStyle w:val="Tabletext"/>
            </w:pPr>
            <w:r w:rsidRPr="001E1652">
              <w:t>24.3497</w:t>
            </w:r>
          </w:p>
        </w:tc>
        <w:tc>
          <w:tcPr>
            <w:tcW w:w="1134" w:type="dxa"/>
            <w:shd w:val="clear" w:color="auto" w:fill="auto"/>
          </w:tcPr>
          <w:p w:rsidR="008C7B45" w:rsidRPr="001E1652" w:rsidRDefault="008C7B45" w:rsidP="008C7B45">
            <w:pPr>
              <w:pStyle w:val="Tabletext"/>
            </w:pPr>
            <w:r w:rsidRPr="001E1652">
              <w:t>25.4338</w:t>
            </w:r>
          </w:p>
        </w:tc>
      </w:tr>
      <w:tr w:rsidR="008C7B45" w:rsidRPr="001E1652" w:rsidTr="008C7B45">
        <w:tc>
          <w:tcPr>
            <w:tcW w:w="1271" w:type="dxa"/>
            <w:shd w:val="clear" w:color="auto" w:fill="auto"/>
          </w:tcPr>
          <w:p w:rsidR="008C7B45" w:rsidRPr="001E1652" w:rsidRDefault="008C7B45" w:rsidP="008C7B45">
            <w:pPr>
              <w:pStyle w:val="Tabletext"/>
            </w:pPr>
            <w:r w:rsidRPr="001E1652">
              <w:t>55</w:t>
            </w:r>
          </w:p>
        </w:tc>
        <w:tc>
          <w:tcPr>
            <w:tcW w:w="1134" w:type="dxa"/>
            <w:shd w:val="clear" w:color="auto" w:fill="auto"/>
          </w:tcPr>
          <w:p w:rsidR="008C7B45" w:rsidRPr="001E1652" w:rsidRDefault="008C7B45" w:rsidP="008C7B45">
            <w:pPr>
              <w:pStyle w:val="Tabletext"/>
            </w:pPr>
            <w:r w:rsidRPr="001E1652">
              <w:t>23.5773</w:t>
            </w:r>
          </w:p>
        </w:tc>
        <w:tc>
          <w:tcPr>
            <w:tcW w:w="1134" w:type="dxa"/>
            <w:shd w:val="clear" w:color="auto" w:fill="auto"/>
          </w:tcPr>
          <w:p w:rsidR="008C7B45" w:rsidRPr="001E1652" w:rsidRDefault="008C7B45" w:rsidP="008C7B45">
            <w:pPr>
              <w:pStyle w:val="Tabletext"/>
            </w:pPr>
            <w:r w:rsidRPr="001E1652">
              <w:t>24.8614</w:t>
            </w:r>
          </w:p>
        </w:tc>
      </w:tr>
      <w:tr w:rsidR="008C7B45" w:rsidRPr="001E1652" w:rsidTr="008C7B45">
        <w:tc>
          <w:tcPr>
            <w:tcW w:w="1271" w:type="dxa"/>
            <w:shd w:val="clear" w:color="auto" w:fill="auto"/>
          </w:tcPr>
          <w:p w:rsidR="008C7B45" w:rsidRPr="001E1652" w:rsidRDefault="008C7B45" w:rsidP="008C7B45">
            <w:pPr>
              <w:pStyle w:val="Tabletext"/>
            </w:pPr>
            <w:r w:rsidRPr="001E1652">
              <w:t>56</w:t>
            </w:r>
          </w:p>
        </w:tc>
        <w:tc>
          <w:tcPr>
            <w:tcW w:w="1134" w:type="dxa"/>
            <w:shd w:val="clear" w:color="auto" w:fill="auto"/>
          </w:tcPr>
          <w:p w:rsidR="008C7B45" w:rsidRPr="001E1652" w:rsidRDefault="008C7B45" w:rsidP="008C7B45">
            <w:pPr>
              <w:pStyle w:val="Tabletext"/>
            </w:pPr>
            <w:r w:rsidRPr="001E1652">
              <w:t>23.0100</w:t>
            </w:r>
          </w:p>
        </w:tc>
        <w:tc>
          <w:tcPr>
            <w:tcW w:w="1134" w:type="dxa"/>
            <w:shd w:val="clear" w:color="auto" w:fill="auto"/>
          </w:tcPr>
          <w:p w:rsidR="008C7B45" w:rsidRPr="001E1652" w:rsidRDefault="008C7B45" w:rsidP="008C7B45">
            <w:pPr>
              <w:pStyle w:val="Tabletext"/>
            </w:pPr>
            <w:r w:rsidRPr="001E1652">
              <w:t>24.3248</w:t>
            </w:r>
          </w:p>
        </w:tc>
      </w:tr>
      <w:tr w:rsidR="008C7B45" w:rsidRPr="001E1652" w:rsidTr="008C7B45">
        <w:tc>
          <w:tcPr>
            <w:tcW w:w="1271" w:type="dxa"/>
            <w:shd w:val="clear" w:color="auto" w:fill="auto"/>
          </w:tcPr>
          <w:p w:rsidR="008C7B45" w:rsidRPr="001E1652" w:rsidRDefault="008C7B45" w:rsidP="008C7B45">
            <w:pPr>
              <w:pStyle w:val="Tabletext"/>
            </w:pPr>
            <w:r w:rsidRPr="001E1652">
              <w:t>57</w:t>
            </w:r>
          </w:p>
        </w:tc>
        <w:tc>
          <w:tcPr>
            <w:tcW w:w="1134" w:type="dxa"/>
            <w:shd w:val="clear" w:color="auto" w:fill="auto"/>
          </w:tcPr>
          <w:p w:rsidR="008C7B45" w:rsidRPr="001E1652" w:rsidRDefault="008C7B45" w:rsidP="008C7B45">
            <w:pPr>
              <w:pStyle w:val="Tabletext"/>
            </w:pPr>
            <w:r w:rsidRPr="001E1652">
              <w:t>22.4333</w:t>
            </w:r>
          </w:p>
        </w:tc>
        <w:tc>
          <w:tcPr>
            <w:tcW w:w="1134" w:type="dxa"/>
            <w:shd w:val="clear" w:color="auto" w:fill="auto"/>
          </w:tcPr>
          <w:p w:rsidR="008C7B45" w:rsidRPr="001E1652" w:rsidRDefault="008C7B45" w:rsidP="008C7B45">
            <w:pPr>
              <w:pStyle w:val="Tabletext"/>
            </w:pPr>
            <w:r w:rsidRPr="001E1652">
              <w:t>23.7802</w:t>
            </w:r>
          </w:p>
        </w:tc>
      </w:tr>
      <w:tr w:rsidR="008C7B45" w:rsidRPr="001E1652" w:rsidTr="008C7B45">
        <w:tc>
          <w:tcPr>
            <w:tcW w:w="1271" w:type="dxa"/>
            <w:shd w:val="clear" w:color="auto" w:fill="auto"/>
          </w:tcPr>
          <w:p w:rsidR="008C7B45" w:rsidRPr="001E1652" w:rsidRDefault="008C7B45" w:rsidP="008C7B45">
            <w:pPr>
              <w:pStyle w:val="Tabletext"/>
            </w:pPr>
            <w:r w:rsidRPr="001E1652">
              <w:t>58</w:t>
            </w:r>
          </w:p>
        </w:tc>
        <w:tc>
          <w:tcPr>
            <w:tcW w:w="1134" w:type="dxa"/>
            <w:shd w:val="clear" w:color="auto" w:fill="auto"/>
          </w:tcPr>
          <w:p w:rsidR="008C7B45" w:rsidRPr="001E1652" w:rsidRDefault="008C7B45" w:rsidP="008C7B45">
            <w:pPr>
              <w:pStyle w:val="Tabletext"/>
            </w:pPr>
            <w:r w:rsidRPr="001E1652">
              <w:t>21.8478</w:t>
            </w:r>
          </w:p>
        </w:tc>
        <w:tc>
          <w:tcPr>
            <w:tcW w:w="1134" w:type="dxa"/>
            <w:shd w:val="clear" w:color="auto" w:fill="auto"/>
          </w:tcPr>
          <w:p w:rsidR="008C7B45" w:rsidRPr="001E1652" w:rsidRDefault="008C7B45" w:rsidP="008C7B45">
            <w:pPr>
              <w:pStyle w:val="Tabletext"/>
            </w:pPr>
            <w:r w:rsidRPr="001E1652">
              <w:t>23.2285</w:t>
            </w:r>
          </w:p>
        </w:tc>
      </w:tr>
      <w:tr w:rsidR="008C7B45" w:rsidRPr="001E1652" w:rsidTr="008C7B45">
        <w:tc>
          <w:tcPr>
            <w:tcW w:w="1271" w:type="dxa"/>
            <w:shd w:val="clear" w:color="auto" w:fill="auto"/>
          </w:tcPr>
          <w:p w:rsidR="008C7B45" w:rsidRPr="001E1652" w:rsidRDefault="008C7B45" w:rsidP="008C7B45">
            <w:pPr>
              <w:pStyle w:val="Tabletext"/>
            </w:pPr>
            <w:r w:rsidRPr="001E1652">
              <w:t>59</w:t>
            </w:r>
          </w:p>
        </w:tc>
        <w:tc>
          <w:tcPr>
            <w:tcW w:w="1134" w:type="dxa"/>
            <w:shd w:val="clear" w:color="auto" w:fill="auto"/>
          </w:tcPr>
          <w:p w:rsidR="008C7B45" w:rsidRPr="001E1652" w:rsidRDefault="008C7B45" w:rsidP="008C7B45">
            <w:pPr>
              <w:pStyle w:val="Tabletext"/>
            </w:pPr>
            <w:r w:rsidRPr="001E1652">
              <w:t>21.2550</w:t>
            </w:r>
          </w:p>
        </w:tc>
        <w:tc>
          <w:tcPr>
            <w:tcW w:w="1134" w:type="dxa"/>
            <w:shd w:val="clear" w:color="auto" w:fill="auto"/>
          </w:tcPr>
          <w:p w:rsidR="008C7B45" w:rsidRPr="001E1652" w:rsidRDefault="008C7B45" w:rsidP="008C7B45">
            <w:pPr>
              <w:pStyle w:val="Tabletext"/>
            </w:pPr>
            <w:r w:rsidRPr="001E1652">
              <w:t>22.6682</w:t>
            </w:r>
          </w:p>
        </w:tc>
      </w:tr>
      <w:tr w:rsidR="008C7B45" w:rsidRPr="001E1652" w:rsidTr="008C7B45">
        <w:tc>
          <w:tcPr>
            <w:tcW w:w="1271" w:type="dxa"/>
            <w:shd w:val="clear" w:color="auto" w:fill="auto"/>
          </w:tcPr>
          <w:p w:rsidR="008C7B45" w:rsidRPr="001E1652" w:rsidRDefault="008C7B45" w:rsidP="008C7B45">
            <w:pPr>
              <w:pStyle w:val="Tabletext"/>
            </w:pPr>
            <w:r w:rsidRPr="001E1652">
              <w:lastRenderedPageBreak/>
              <w:t>60</w:t>
            </w:r>
          </w:p>
        </w:tc>
        <w:tc>
          <w:tcPr>
            <w:tcW w:w="1134" w:type="dxa"/>
            <w:shd w:val="clear" w:color="auto" w:fill="auto"/>
          </w:tcPr>
          <w:p w:rsidR="008C7B45" w:rsidRPr="001E1652" w:rsidRDefault="008C7B45" w:rsidP="008C7B45">
            <w:pPr>
              <w:pStyle w:val="Tabletext"/>
            </w:pPr>
            <w:r w:rsidRPr="001E1652">
              <w:t>20.6553</w:t>
            </w:r>
          </w:p>
        </w:tc>
        <w:tc>
          <w:tcPr>
            <w:tcW w:w="1134" w:type="dxa"/>
            <w:shd w:val="clear" w:color="auto" w:fill="auto"/>
          </w:tcPr>
          <w:p w:rsidR="008C7B45" w:rsidRPr="001E1652" w:rsidRDefault="008C7B45" w:rsidP="008C7B45">
            <w:pPr>
              <w:pStyle w:val="Tabletext"/>
            </w:pPr>
            <w:r w:rsidRPr="001E1652">
              <w:t>22.0992</w:t>
            </w:r>
          </w:p>
        </w:tc>
      </w:tr>
      <w:tr w:rsidR="008C7B45" w:rsidRPr="001E1652" w:rsidTr="008C7B45">
        <w:tc>
          <w:tcPr>
            <w:tcW w:w="1271" w:type="dxa"/>
            <w:shd w:val="clear" w:color="auto" w:fill="auto"/>
          </w:tcPr>
          <w:p w:rsidR="008C7B45" w:rsidRPr="001E1652" w:rsidRDefault="008C7B45" w:rsidP="008C7B45">
            <w:pPr>
              <w:pStyle w:val="Tabletext"/>
            </w:pPr>
            <w:r w:rsidRPr="001E1652">
              <w:t>61</w:t>
            </w:r>
          </w:p>
        </w:tc>
        <w:tc>
          <w:tcPr>
            <w:tcW w:w="1134" w:type="dxa"/>
            <w:shd w:val="clear" w:color="auto" w:fill="auto"/>
          </w:tcPr>
          <w:p w:rsidR="008C7B45" w:rsidRPr="001E1652" w:rsidRDefault="008C7B45" w:rsidP="008C7B45">
            <w:pPr>
              <w:pStyle w:val="Tabletext"/>
            </w:pPr>
            <w:r w:rsidRPr="001E1652">
              <w:t>20.0494</w:t>
            </w:r>
          </w:p>
        </w:tc>
        <w:tc>
          <w:tcPr>
            <w:tcW w:w="1134" w:type="dxa"/>
            <w:shd w:val="clear" w:color="auto" w:fill="auto"/>
          </w:tcPr>
          <w:p w:rsidR="008C7B45" w:rsidRPr="001E1652" w:rsidRDefault="008C7B45" w:rsidP="008C7B45">
            <w:pPr>
              <w:pStyle w:val="Tabletext"/>
            </w:pPr>
            <w:r w:rsidRPr="001E1652">
              <w:t>21.5219</w:t>
            </w:r>
          </w:p>
        </w:tc>
      </w:tr>
      <w:tr w:rsidR="008C7B45" w:rsidRPr="001E1652" w:rsidTr="008C7B45">
        <w:tc>
          <w:tcPr>
            <w:tcW w:w="1271" w:type="dxa"/>
            <w:shd w:val="clear" w:color="auto" w:fill="auto"/>
          </w:tcPr>
          <w:p w:rsidR="008C7B45" w:rsidRPr="001E1652" w:rsidRDefault="008C7B45" w:rsidP="008C7B45">
            <w:pPr>
              <w:pStyle w:val="Tabletext"/>
            </w:pPr>
            <w:r w:rsidRPr="001E1652">
              <w:t>62</w:t>
            </w:r>
          </w:p>
        </w:tc>
        <w:tc>
          <w:tcPr>
            <w:tcW w:w="1134" w:type="dxa"/>
            <w:shd w:val="clear" w:color="auto" w:fill="auto"/>
          </w:tcPr>
          <w:p w:rsidR="008C7B45" w:rsidRPr="001E1652" w:rsidRDefault="008C7B45" w:rsidP="008C7B45">
            <w:pPr>
              <w:pStyle w:val="Tabletext"/>
            </w:pPr>
            <w:r w:rsidRPr="001E1652">
              <w:t>19.4383</w:t>
            </w:r>
          </w:p>
        </w:tc>
        <w:tc>
          <w:tcPr>
            <w:tcW w:w="1134" w:type="dxa"/>
            <w:shd w:val="clear" w:color="auto" w:fill="auto"/>
          </w:tcPr>
          <w:p w:rsidR="008C7B45" w:rsidRPr="001E1652" w:rsidRDefault="008C7B45" w:rsidP="008C7B45">
            <w:pPr>
              <w:pStyle w:val="Tabletext"/>
            </w:pPr>
            <w:r w:rsidRPr="001E1652">
              <w:t>20.9364</w:t>
            </w:r>
          </w:p>
        </w:tc>
      </w:tr>
      <w:tr w:rsidR="008C7B45" w:rsidRPr="001E1652" w:rsidTr="008C7B45">
        <w:tc>
          <w:tcPr>
            <w:tcW w:w="1271" w:type="dxa"/>
            <w:shd w:val="clear" w:color="auto" w:fill="auto"/>
          </w:tcPr>
          <w:p w:rsidR="008C7B45" w:rsidRPr="001E1652" w:rsidRDefault="008C7B45" w:rsidP="008C7B45">
            <w:pPr>
              <w:pStyle w:val="Tabletext"/>
            </w:pPr>
            <w:r w:rsidRPr="001E1652">
              <w:t>63</w:t>
            </w:r>
          </w:p>
        </w:tc>
        <w:tc>
          <w:tcPr>
            <w:tcW w:w="1134" w:type="dxa"/>
            <w:shd w:val="clear" w:color="auto" w:fill="auto"/>
          </w:tcPr>
          <w:p w:rsidR="008C7B45" w:rsidRPr="001E1652" w:rsidRDefault="008C7B45" w:rsidP="008C7B45">
            <w:pPr>
              <w:pStyle w:val="Tabletext"/>
            </w:pPr>
            <w:r w:rsidRPr="001E1652">
              <w:t>18.8222</w:t>
            </w:r>
          </w:p>
        </w:tc>
        <w:tc>
          <w:tcPr>
            <w:tcW w:w="1134" w:type="dxa"/>
            <w:shd w:val="clear" w:color="auto" w:fill="auto"/>
          </w:tcPr>
          <w:p w:rsidR="008C7B45" w:rsidRPr="001E1652" w:rsidRDefault="008C7B45" w:rsidP="008C7B45">
            <w:pPr>
              <w:pStyle w:val="Tabletext"/>
            </w:pPr>
            <w:r w:rsidRPr="001E1652">
              <w:t>20.3433</w:t>
            </w:r>
          </w:p>
        </w:tc>
      </w:tr>
      <w:tr w:rsidR="008C7B45" w:rsidRPr="001E1652" w:rsidTr="008C7B45">
        <w:tc>
          <w:tcPr>
            <w:tcW w:w="1271" w:type="dxa"/>
            <w:shd w:val="clear" w:color="auto" w:fill="auto"/>
          </w:tcPr>
          <w:p w:rsidR="008C7B45" w:rsidRPr="001E1652" w:rsidRDefault="008C7B45" w:rsidP="008C7B45">
            <w:pPr>
              <w:pStyle w:val="Tabletext"/>
            </w:pPr>
            <w:r w:rsidRPr="001E1652">
              <w:t>64</w:t>
            </w:r>
          </w:p>
        </w:tc>
        <w:tc>
          <w:tcPr>
            <w:tcW w:w="1134" w:type="dxa"/>
            <w:shd w:val="clear" w:color="auto" w:fill="auto"/>
          </w:tcPr>
          <w:p w:rsidR="008C7B45" w:rsidRPr="001E1652" w:rsidRDefault="008C7B45" w:rsidP="008C7B45">
            <w:pPr>
              <w:pStyle w:val="Tabletext"/>
            </w:pPr>
            <w:r w:rsidRPr="001E1652">
              <w:t>18.2031</w:t>
            </w:r>
          </w:p>
        </w:tc>
        <w:tc>
          <w:tcPr>
            <w:tcW w:w="1134" w:type="dxa"/>
            <w:shd w:val="clear" w:color="auto" w:fill="auto"/>
          </w:tcPr>
          <w:p w:rsidR="008C7B45" w:rsidRPr="001E1652" w:rsidRDefault="008C7B45" w:rsidP="008C7B45">
            <w:pPr>
              <w:pStyle w:val="Tabletext"/>
            </w:pPr>
            <w:r w:rsidRPr="001E1652">
              <w:t>19.7430</w:t>
            </w:r>
          </w:p>
        </w:tc>
      </w:tr>
      <w:tr w:rsidR="008C7B45" w:rsidRPr="001E1652" w:rsidTr="008C7B45">
        <w:tc>
          <w:tcPr>
            <w:tcW w:w="1271" w:type="dxa"/>
            <w:shd w:val="clear" w:color="auto" w:fill="auto"/>
          </w:tcPr>
          <w:p w:rsidR="008C7B45" w:rsidRPr="001E1652" w:rsidRDefault="008C7B45" w:rsidP="008C7B45">
            <w:pPr>
              <w:pStyle w:val="Tabletext"/>
            </w:pPr>
            <w:r w:rsidRPr="001E1652">
              <w:t>65</w:t>
            </w:r>
          </w:p>
        </w:tc>
        <w:tc>
          <w:tcPr>
            <w:tcW w:w="1134" w:type="dxa"/>
            <w:shd w:val="clear" w:color="auto" w:fill="auto"/>
          </w:tcPr>
          <w:p w:rsidR="008C7B45" w:rsidRPr="001E1652" w:rsidRDefault="008C7B45" w:rsidP="008C7B45">
            <w:pPr>
              <w:pStyle w:val="Tabletext"/>
            </w:pPr>
            <w:r w:rsidRPr="001E1652">
              <w:t>17.5819</w:t>
            </w:r>
          </w:p>
        </w:tc>
        <w:tc>
          <w:tcPr>
            <w:tcW w:w="1134" w:type="dxa"/>
            <w:shd w:val="clear" w:color="auto" w:fill="auto"/>
          </w:tcPr>
          <w:p w:rsidR="008C7B45" w:rsidRPr="001E1652" w:rsidRDefault="008C7B45" w:rsidP="008C7B45">
            <w:pPr>
              <w:pStyle w:val="Tabletext"/>
            </w:pPr>
            <w:r w:rsidRPr="001E1652">
              <w:t>19.1362</w:t>
            </w:r>
          </w:p>
        </w:tc>
      </w:tr>
      <w:tr w:rsidR="008C7B45" w:rsidRPr="001E1652" w:rsidTr="008C7B45">
        <w:tc>
          <w:tcPr>
            <w:tcW w:w="1271" w:type="dxa"/>
            <w:shd w:val="clear" w:color="auto" w:fill="auto"/>
          </w:tcPr>
          <w:p w:rsidR="008C7B45" w:rsidRPr="001E1652" w:rsidRDefault="008C7B45" w:rsidP="008C7B45">
            <w:pPr>
              <w:pStyle w:val="Tabletext"/>
            </w:pPr>
            <w:r w:rsidRPr="001E1652">
              <w:t>66</w:t>
            </w:r>
          </w:p>
        </w:tc>
        <w:tc>
          <w:tcPr>
            <w:tcW w:w="1134" w:type="dxa"/>
            <w:shd w:val="clear" w:color="auto" w:fill="auto"/>
          </w:tcPr>
          <w:p w:rsidR="008C7B45" w:rsidRPr="001E1652" w:rsidRDefault="008C7B45" w:rsidP="008C7B45">
            <w:pPr>
              <w:pStyle w:val="Tabletext"/>
            </w:pPr>
            <w:r w:rsidRPr="001E1652">
              <w:t>16.9592</w:t>
            </w:r>
          </w:p>
        </w:tc>
        <w:tc>
          <w:tcPr>
            <w:tcW w:w="1134" w:type="dxa"/>
            <w:shd w:val="clear" w:color="auto" w:fill="auto"/>
          </w:tcPr>
          <w:p w:rsidR="008C7B45" w:rsidRPr="001E1652" w:rsidRDefault="008C7B45" w:rsidP="008C7B45">
            <w:pPr>
              <w:pStyle w:val="Tabletext"/>
            </w:pPr>
            <w:r w:rsidRPr="001E1652">
              <w:t>18.5233</w:t>
            </w:r>
          </w:p>
        </w:tc>
      </w:tr>
      <w:tr w:rsidR="008C7B45" w:rsidRPr="001E1652" w:rsidTr="008C7B45">
        <w:tc>
          <w:tcPr>
            <w:tcW w:w="1271" w:type="dxa"/>
            <w:shd w:val="clear" w:color="auto" w:fill="auto"/>
          </w:tcPr>
          <w:p w:rsidR="008C7B45" w:rsidRPr="001E1652" w:rsidRDefault="008C7B45" w:rsidP="008C7B45">
            <w:pPr>
              <w:pStyle w:val="Tabletext"/>
            </w:pPr>
            <w:r w:rsidRPr="001E1652">
              <w:t>67</w:t>
            </w:r>
          </w:p>
        </w:tc>
        <w:tc>
          <w:tcPr>
            <w:tcW w:w="1134" w:type="dxa"/>
            <w:shd w:val="clear" w:color="auto" w:fill="auto"/>
          </w:tcPr>
          <w:p w:rsidR="008C7B45" w:rsidRPr="001E1652" w:rsidRDefault="008C7B45" w:rsidP="008C7B45">
            <w:pPr>
              <w:pStyle w:val="Tabletext"/>
            </w:pPr>
            <w:r w:rsidRPr="001E1652">
              <w:t>16.3356</w:t>
            </w:r>
          </w:p>
        </w:tc>
        <w:tc>
          <w:tcPr>
            <w:tcW w:w="1134" w:type="dxa"/>
            <w:shd w:val="clear" w:color="auto" w:fill="auto"/>
          </w:tcPr>
          <w:p w:rsidR="008C7B45" w:rsidRPr="001E1652" w:rsidRDefault="008C7B45" w:rsidP="008C7B45">
            <w:pPr>
              <w:pStyle w:val="Tabletext"/>
            </w:pPr>
            <w:r w:rsidRPr="001E1652">
              <w:t>17.9048</w:t>
            </w:r>
          </w:p>
        </w:tc>
      </w:tr>
      <w:tr w:rsidR="008C7B45" w:rsidRPr="001E1652" w:rsidTr="008C7B45">
        <w:tc>
          <w:tcPr>
            <w:tcW w:w="1271" w:type="dxa"/>
            <w:shd w:val="clear" w:color="auto" w:fill="auto"/>
          </w:tcPr>
          <w:p w:rsidR="008C7B45" w:rsidRPr="001E1652" w:rsidRDefault="008C7B45" w:rsidP="008C7B45">
            <w:pPr>
              <w:pStyle w:val="Tabletext"/>
            </w:pPr>
            <w:r w:rsidRPr="001E1652">
              <w:t>68</w:t>
            </w:r>
          </w:p>
        </w:tc>
        <w:tc>
          <w:tcPr>
            <w:tcW w:w="1134" w:type="dxa"/>
            <w:shd w:val="clear" w:color="auto" w:fill="auto"/>
          </w:tcPr>
          <w:p w:rsidR="008C7B45" w:rsidRPr="001E1652" w:rsidRDefault="008C7B45" w:rsidP="008C7B45">
            <w:pPr>
              <w:pStyle w:val="Tabletext"/>
            </w:pPr>
            <w:r w:rsidRPr="001E1652">
              <w:t>15.7121</w:t>
            </w:r>
          </w:p>
        </w:tc>
        <w:tc>
          <w:tcPr>
            <w:tcW w:w="1134" w:type="dxa"/>
            <w:shd w:val="clear" w:color="auto" w:fill="auto"/>
          </w:tcPr>
          <w:p w:rsidR="008C7B45" w:rsidRPr="001E1652" w:rsidRDefault="008C7B45" w:rsidP="008C7B45">
            <w:pPr>
              <w:pStyle w:val="Tabletext"/>
            </w:pPr>
            <w:r w:rsidRPr="001E1652">
              <w:t>17.2814</w:t>
            </w:r>
          </w:p>
        </w:tc>
      </w:tr>
      <w:tr w:rsidR="008C7B45" w:rsidRPr="001E1652" w:rsidTr="008C7B45">
        <w:tc>
          <w:tcPr>
            <w:tcW w:w="1271" w:type="dxa"/>
            <w:shd w:val="clear" w:color="auto" w:fill="auto"/>
          </w:tcPr>
          <w:p w:rsidR="008C7B45" w:rsidRPr="001E1652" w:rsidRDefault="008C7B45" w:rsidP="008C7B45">
            <w:pPr>
              <w:pStyle w:val="Tabletext"/>
            </w:pPr>
            <w:r w:rsidRPr="001E1652">
              <w:t>69</w:t>
            </w:r>
          </w:p>
        </w:tc>
        <w:tc>
          <w:tcPr>
            <w:tcW w:w="1134" w:type="dxa"/>
            <w:shd w:val="clear" w:color="auto" w:fill="auto"/>
          </w:tcPr>
          <w:p w:rsidR="008C7B45" w:rsidRPr="001E1652" w:rsidRDefault="008C7B45" w:rsidP="008C7B45">
            <w:pPr>
              <w:pStyle w:val="Tabletext"/>
            </w:pPr>
            <w:r w:rsidRPr="001E1652">
              <w:t>15.0907</w:t>
            </w:r>
          </w:p>
        </w:tc>
        <w:tc>
          <w:tcPr>
            <w:tcW w:w="1134" w:type="dxa"/>
            <w:shd w:val="clear" w:color="auto" w:fill="auto"/>
          </w:tcPr>
          <w:p w:rsidR="008C7B45" w:rsidRPr="001E1652" w:rsidRDefault="008C7B45" w:rsidP="008C7B45">
            <w:pPr>
              <w:pStyle w:val="Tabletext"/>
            </w:pPr>
            <w:r w:rsidRPr="001E1652">
              <w:t>16.6531</w:t>
            </w:r>
          </w:p>
        </w:tc>
      </w:tr>
      <w:tr w:rsidR="008C7B45" w:rsidRPr="001E1652" w:rsidTr="008C7B45">
        <w:tc>
          <w:tcPr>
            <w:tcW w:w="1271" w:type="dxa"/>
            <w:shd w:val="clear" w:color="auto" w:fill="auto"/>
          </w:tcPr>
          <w:p w:rsidR="008C7B45" w:rsidRPr="001E1652" w:rsidRDefault="008C7B45" w:rsidP="008C7B45">
            <w:pPr>
              <w:pStyle w:val="Tabletext"/>
            </w:pPr>
            <w:r w:rsidRPr="001E1652">
              <w:t>70</w:t>
            </w:r>
          </w:p>
        </w:tc>
        <w:tc>
          <w:tcPr>
            <w:tcW w:w="1134" w:type="dxa"/>
            <w:shd w:val="clear" w:color="auto" w:fill="auto"/>
          </w:tcPr>
          <w:p w:rsidR="008C7B45" w:rsidRPr="001E1652" w:rsidRDefault="008C7B45" w:rsidP="008C7B45">
            <w:pPr>
              <w:pStyle w:val="Tabletext"/>
            </w:pPr>
            <w:r w:rsidRPr="001E1652">
              <w:t>14.4723</w:t>
            </w:r>
          </w:p>
        </w:tc>
        <w:tc>
          <w:tcPr>
            <w:tcW w:w="1134" w:type="dxa"/>
            <w:shd w:val="clear" w:color="auto" w:fill="auto"/>
          </w:tcPr>
          <w:p w:rsidR="008C7B45" w:rsidRPr="001E1652" w:rsidRDefault="008C7B45" w:rsidP="008C7B45">
            <w:pPr>
              <w:pStyle w:val="Tabletext"/>
            </w:pPr>
            <w:r w:rsidRPr="001E1652">
              <w:t>16.0201</w:t>
            </w:r>
          </w:p>
        </w:tc>
      </w:tr>
      <w:tr w:rsidR="008C7B45" w:rsidRPr="001E1652" w:rsidTr="008C7B45">
        <w:tc>
          <w:tcPr>
            <w:tcW w:w="1271" w:type="dxa"/>
            <w:shd w:val="clear" w:color="auto" w:fill="auto"/>
          </w:tcPr>
          <w:p w:rsidR="008C7B45" w:rsidRPr="001E1652" w:rsidRDefault="008C7B45" w:rsidP="008C7B45">
            <w:pPr>
              <w:pStyle w:val="Tabletext"/>
            </w:pPr>
            <w:r w:rsidRPr="001E1652">
              <w:t>71</w:t>
            </w:r>
          </w:p>
        </w:tc>
        <w:tc>
          <w:tcPr>
            <w:tcW w:w="1134" w:type="dxa"/>
            <w:shd w:val="clear" w:color="auto" w:fill="auto"/>
          </w:tcPr>
          <w:p w:rsidR="008C7B45" w:rsidRPr="001E1652" w:rsidRDefault="008C7B45" w:rsidP="008C7B45">
            <w:pPr>
              <w:pStyle w:val="Tabletext"/>
            </w:pPr>
            <w:r w:rsidRPr="001E1652">
              <w:t>13.8504</w:t>
            </w:r>
          </w:p>
        </w:tc>
        <w:tc>
          <w:tcPr>
            <w:tcW w:w="1134" w:type="dxa"/>
            <w:shd w:val="clear" w:color="auto" w:fill="auto"/>
          </w:tcPr>
          <w:p w:rsidR="008C7B45" w:rsidRPr="001E1652" w:rsidRDefault="008C7B45" w:rsidP="008C7B45">
            <w:pPr>
              <w:pStyle w:val="Tabletext"/>
            </w:pPr>
            <w:r w:rsidRPr="001E1652">
              <w:t>15.3936</w:t>
            </w:r>
          </w:p>
        </w:tc>
      </w:tr>
      <w:tr w:rsidR="008C7B45" w:rsidRPr="001E1652" w:rsidTr="008C7B45">
        <w:tc>
          <w:tcPr>
            <w:tcW w:w="1271" w:type="dxa"/>
            <w:shd w:val="clear" w:color="auto" w:fill="auto"/>
          </w:tcPr>
          <w:p w:rsidR="008C7B45" w:rsidRPr="001E1652" w:rsidRDefault="008C7B45" w:rsidP="008C7B45">
            <w:pPr>
              <w:pStyle w:val="Tabletext"/>
            </w:pPr>
            <w:r w:rsidRPr="001E1652">
              <w:t>72</w:t>
            </w:r>
          </w:p>
        </w:tc>
        <w:tc>
          <w:tcPr>
            <w:tcW w:w="1134" w:type="dxa"/>
            <w:shd w:val="clear" w:color="auto" w:fill="auto"/>
          </w:tcPr>
          <w:p w:rsidR="008C7B45" w:rsidRPr="001E1652" w:rsidRDefault="008C7B45" w:rsidP="008C7B45">
            <w:pPr>
              <w:pStyle w:val="Tabletext"/>
            </w:pPr>
            <w:r w:rsidRPr="001E1652">
              <w:t>13.2320</w:t>
            </w:r>
          </w:p>
        </w:tc>
        <w:tc>
          <w:tcPr>
            <w:tcW w:w="1134" w:type="dxa"/>
            <w:shd w:val="clear" w:color="auto" w:fill="auto"/>
          </w:tcPr>
          <w:p w:rsidR="008C7B45" w:rsidRPr="001E1652" w:rsidRDefault="008C7B45" w:rsidP="008C7B45">
            <w:pPr>
              <w:pStyle w:val="Tabletext"/>
            </w:pPr>
            <w:r w:rsidRPr="001E1652">
              <w:t>14.7642</w:t>
            </w:r>
          </w:p>
        </w:tc>
      </w:tr>
      <w:tr w:rsidR="008C7B45" w:rsidRPr="001E1652" w:rsidTr="008C7B45">
        <w:tc>
          <w:tcPr>
            <w:tcW w:w="1271" w:type="dxa"/>
            <w:shd w:val="clear" w:color="auto" w:fill="auto"/>
          </w:tcPr>
          <w:p w:rsidR="008C7B45" w:rsidRPr="001E1652" w:rsidRDefault="008C7B45" w:rsidP="008C7B45">
            <w:pPr>
              <w:pStyle w:val="Tabletext"/>
            </w:pPr>
            <w:r w:rsidRPr="001E1652">
              <w:t>73</w:t>
            </w:r>
          </w:p>
        </w:tc>
        <w:tc>
          <w:tcPr>
            <w:tcW w:w="1134" w:type="dxa"/>
            <w:shd w:val="clear" w:color="auto" w:fill="auto"/>
          </w:tcPr>
          <w:p w:rsidR="008C7B45" w:rsidRPr="001E1652" w:rsidRDefault="008C7B45" w:rsidP="008C7B45">
            <w:pPr>
              <w:pStyle w:val="Tabletext"/>
            </w:pPr>
            <w:r w:rsidRPr="001E1652">
              <w:t>12.6175</w:t>
            </w:r>
          </w:p>
        </w:tc>
        <w:tc>
          <w:tcPr>
            <w:tcW w:w="1134" w:type="dxa"/>
            <w:shd w:val="clear" w:color="auto" w:fill="auto"/>
          </w:tcPr>
          <w:p w:rsidR="008C7B45" w:rsidRPr="001E1652" w:rsidRDefault="008C7B45" w:rsidP="008C7B45">
            <w:pPr>
              <w:pStyle w:val="Tabletext"/>
            </w:pPr>
            <w:r w:rsidRPr="001E1652">
              <w:t>14.1327</w:t>
            </w:r>
          </w:p>
        </w:tc>
      </w:tr>
      <w:tr w:rsidR="008C7B45" w:rsidRPr="001E1652" w:rsidTr="008C7B45">
        <w:tc>
          <w:tcPr>
            <w:tcW w:w="1271" w:type="dxa"/>
            <w:shd w:val="clear" w:color="auto" w:fill="auto"/>
          </w:tcPr>
          <w:p w:rsidR="008C7B45" w:rsidRPr="001E1652" w:rsidRDefault="008C7B45" w:rsidP="008C7B45">
            <w:pPr>
              <w:pStyle w:val="Tabletext"/>
            </w:pPr>
            <w:r w:rsidRPr="001E1652">
              <w:t>74</w:t>
            </w:r>
          </w:p>
        </w:tc>
        <w:tc>
          <w:tcPr>
            <w:tcW w:w="1134" w:type="dxa"/>
            <w:shd w:val="clear" w:color="auto" w:fill="auto"/>
          </w:tcPr>
          <w:p w:rsidR="008C7B45" w:rsidRPr="001E1652" w:rsidRDefault="008C7B45" w:rsidP="008C7B45">
            <w:pPr>
              <w:pStyle w:val="Tabletext"/>
            </w:pPr>
            <w:r w:rsidRPr="001E1652">
              <w:t>12.0080</w:t>
            </w:r>
          </w:p>
        </w:tc>
        <w:tc>
          <w:tcPr>
            <w:tcW w:w="1134" w:type="dxa"/>
            <w:shd w:val="clear" w:color="auto" w:fill="auto"/>
          </w:tcPr>
          <w:p w:rsidR="008C7B45" w:rsidRPr="001E1652" w:rsidRDefault="008C7B45" w:rsidP="008C7B45">
            <w:pPr>
              <w:pStyle w:val="Tabletext"/>
            </w:pPr>
            <w:r w:rsidRPr="001E1652">
              <w:t>13.4985</w:t>
            </w:r>
          </w:p>
        </w:tc>
      </w:tr>
      <w:tr w:rsidR="008C7B45" w:rsidRPr="001E1652" w:rsidTr="008C7B45">
        <w:tc>
          <w:tcPr>
            <w:tcW w:w="1271" w:type="dxa"/>
            <w:shd w:val="clear" w:color="auto" w:fill="auto"/>
          </w:tcPr>
          <w:p w:rsidR="008C7B45" w:rsidRPr="001E1652" w:rsidRDefault="008C7B45" w:rsidP="008C7B45">
            <w:pPr>
              <w:pStyle w:val="Tabletext"/>
            </w:pPr>
            <w:r w:rsidRPr="001E1652">
              <w:t>75</w:t>
            </w:r>
          </w:p>
        </w:tc>
        <w:tc>
          <w:tcPr>
            <w:tcW w:w="1134" w:type="dxa"/>
            <w:shd w:val="clear" w:color="auto" w:fill="auto"/>
          </w:tcPr>
          <w:p w:rsidR="008C7B45" w:rsidRPr="001E1652" w:rsidRDefault="008C7B45" w:rsidP="008C7B45">
            <w:pPr>
              <w:pStyle w:val="Tabletext"/>
            </w:pPr>
            <w:r w:rsidRPr="001E1652">
              <w:t>11.4045</w:t>
            </w:r>
          </w:p>
        </w:tc>
        <w:tc>
          <w:tcPr>
            <w:tcW w:w="1134" w:type="dxa"/>
            <w:shd w:val="clear" w:color="auto" w:fill="auto"/>
          </w:tcPr>
          <w:p w:rsidR="008C7B45" w:rsidRPr="001E1652" w:rsidRDefault="008C7B45" w:rsidP="008C7B45">
            <w:pPr>
              <w:pStyle w:val="Tabletext"/>
            </w:pPr>
            <w:r w:rsidRPr="001E1652">
              <w:t>12.8626</w:t>
            </w:r>
          </w:p>
        </w:tc>
      </w:tr>
      <w:tr w:rsidR="008C7B45" w:rsidRPr="001E1652" w:rsidTr="008C7B45">
        <w:tc>
          <w:tcPr>
            <w:tcW w:w="1271" w:type="dxa"/>
            <w:shd w:val="clear" w:color="auto" w:fill="auto"/>
          </w:tcPr>
          <w:p w:rsidR="008C7B45" w:rsidRPr="001E1652" w:rsidRDefault="008C7B45" w:rsidP="008C7B45">
            <w:pPr>
              <w:pStyle w:val="Tabletext"/>
            </w:pPr>
            <w:r w:rsidRPr="001E1652">
              <w:t>76</w:t>
            </w:r>
          </w:p>
        </w:tc>
        <w:tc>
          <w:tcPr>
            <w:tcW w:w="1134" w:type="dxa"/>
            <w:shd w:val="clear" w:color="auto" w:fill="auto"/>
          </w:tcPr>
          <w:p w:rsidR="008C7B45" w:rsidRPr="001E1652" w:rsidRDefault="008C7B45" w:rsidP="008C7B45">
            <w:pPr>
              <w:pStyle w:val="Tabletext"/>
            </w:pPr>
            <w:r w:rsidRPr="001E1652">
              <w:t>10.8094</w:t>
            </w:r>
          </w:p>
        </w:tc>
        <w:tc>
          <w:tcPr>
            <w:tcW w:w="1134" w:type="dxa"/>
            <w:shd w:val="clear" w:color="auto" w:fill="auto"/>
          </w:tcPr>
          <w:p w:rsidR="008C7B45" w:rsidRPr="001E1652" w:rsidRDefault="008C7B45" w:rsidP="008C7B45">
            <w:pPr>
              <w:pStyle w:val="Tabletext"/>
            </w:pPr>
            <w:r w:rsidRPr="001E1652">
              <w:t>12.2370</w:t>
            </w:r>
          </w:p>
        </w:tc>
      </w:tr>
      <w:tr w:rsidR="008C7B45" w:rsidRPr="001E1652" w:rsidTr="008C7B45">
        <w:tc>
          <w:tcPr>
            <w:tcW w:w="1271" w:type="dxa"/>
            <w:shd w:val="clear" w:color="auto" w:fill="auto"/>
          </w:tcPr>
          <w:p w:rsidR="008C7B45" w:rsidRPr="001E1652" w:rsidRDefault="008C7B45" w:rsidP="008C7B45">
            <w:pPr>
              <w:pStyle w:val="Tabletext"/>
            </w:pPr>
            <w:r w:rsidRPr="001E1652">
              <w:t>77</w:t>
            </w:r>
          </w:p>
        </w:tc>
        <w:tc>
          <w:tcPr>
            <w:tcW w:w="1134" w:type="dxa"/>
            <w:shd w:val="clear" w:color="auto" w:fill="auto"/>
          </w:tcPr>
          <w:p w:rsidR="008C7B45" w:rsidRPr="001E1652" w:rsidRDefault="008C7B45" w:rsidP="008C7B45">
            <w:pPr>
              <w:pStyle w:val="Tabletext"/>
            </w:pPr>
            <w:r w:rsidRPr="001E1652">
              <w:t>10.2254</w:t>
            </w:r>
          </w:p>
        </w:tc>
        <w:tc>
          <w:tcPr>
            <w:tcW w:w="1134" w:type="dxa"/>
            <w:shd w:val="clear" w:color="auto" w:fill="auto"/>
          </w:tcPr>
          <w:p w:rsidR="008C7B45" w:rsidRPr="001E1652" w:rsidRDefault="008C7B45" w:rsidP="008C7B45">
            <w:pPr>
              <w:pStyle w:val="Tabletext"/>
            </w:pPr>
            <w:r w:rsidRPr="001E1652">
              <w:t>11.6120</w:t>
            </w:r>
          </w:p>
        </w:tc>
      </w:tr>
      <w:tr w:rsidR="008C7B45" w:rsidRPr="001E1652" w:rsidTr="008C7B45">
        <w:tc>
          <w:tcPr>
            <w:tcW w:w="1271" w:type="dxa"/>
            <w:shd w:val="clear" w:color="auto" w:fill="auto"/>
          </w:tcPr>
          <w:p w:rsidR="008C7B45" w:rsidRPr="001E1652" w:rsidRDefault="008C7B45" w:rsidP="008C7B45">
            <w:pPr>
              <w:pStyle w:val="Tabletext"/>
            </w:pPr>
            <w:r w:rsidRPr="001E1652">
              <w:t>78</w:t>
            </w:r>
          </w:p>
        </w:tc>
        <w:tc>
          <w:tcPr>
            <w:tcW w:w="1134" w:type="dxa"/>
            <w:shd w:val="clear" w:color="auto" w:fill="auto"/>
          </w:tcPr>
          <w:p w:rsidR="008C7B45" w:rsidRPr="001E1652" w:rsidRDefault="008C7B45" w:rsidP="008C7B45">
            <w:pPr>
              <w:pStyle w:val="Tabletext"/>
            </w:pPr>
            <w:r w:rsidRPr="001E1652">
              <w:t>9.6547</w:t>
            </w:r>
          </w:p>
        </w:tc>
        <w:tc>
          <w:tcPr>
            <w:tcW w:w="1134" w:type="dxa"/>
            <w:shd w:val="clear" w:color="auto" w:fill="auto"/>
          </w:tcPr>
          <w:p w:rsidR="008C7B45" w:rsidRPr="001E1652" w:rsidRDefault="008C7B45" w:rsidP="008C7B45">
            <w:pPr>
              <w:pStyle w:val="Tabletext"/>
            </w:pPr>
            <w:r w:rsidRPr="001E1652">
              <w:t>10.9883</w:t>
            </w:r>
          </w:p>
        </w:tc>
      </w:tr>
      <w:tr w:rsidR="008C7B45" w:rsidRPr="001E1652" w:rsidTr="008C7B45">
        <w:tc>
          <w:tcPr>
            <w:tcW w:w="1271" w:type="dxa"/>
            <w:shd w:val="clear" w:color="auto" w:fill="auto"/>
          </w:tcPr>
          <w:p w:rsidR="008C7B45" w:rsidRPr="001E1652" w:rsidRDefault="008C7B45" w:rsidP="008C7B45">
            <w:pPr>
              <w:pStyle w:val="Tabletext"/>
            </w:pPr>
            <w:r w:rsidRPr="001E1652">
              <w:t>79</w:t>
            </w:r>
          </w:p>
        </w:tc>
        <w:tc>
          <w:tcPr>
            <w:tcW w:w="1134" w:type="dxa"/>
            <w:shd w:val="clear" w:color="auto" w:fill="auto"/>
          </w:tcPr>
          <w:p w:rsidR="008C7B45" w:rsidRPr="001E1652" w:rsidRDefault="008C7B45" w:rsidP="008C7B45">
            <w:pPr>
              <w:pStyle w:val="Tabletext"/>
            </w:pPr>
            <w:r w:rsidRPr="001E1652">
              <w:t>9.1002</w:t>
            </w:r>
          </w:p>
        </w:tc>
        <w:tc>
          <w:tcPr>
            <w:tcW w:w="1134" w:type="dxa"/>
            <w:shd w:val="clear" w:color="auto" w:fill="auto"/>
          </w:tcPr>
          <w:p w:rsidR="008C7B45" w:rsidRPr="001E1652" w:rsidRDefault="008C7B45" w:rsidP="008C7B45">
            <w:pPr>
              <w:pStyle w:val="Tabletext"/>
            </w:pPr>
            <w:r w:rsidRPr="001E1652">
              <w:t>10.3751</w:t>
            </w:r>
          </w:p>
        </w:tc>
      </w:tr>
      <w:tr w:rsidR="008C7B45" w:rsidRPr="001E1652" w:rsidTr="008C7B45">
        <w:tc>
          <w:tcPr>
            <w:tcW w:w="1271" w:type="dxa"/>
            <w:shd w:val="clear" w:color="auto" w:fill="auto"/>
          </w:tcPr>
          <w:p w:rsidR="008C7B45" w:rsidRPr="001E1652" w:rsidRDefault="008C7B45" w:rsidP="008C7B45">
            <w:pPr>
              <w:pStyle w:val="Tabletext"/>
            </w:pPr>
            <w:r w:rsidRPr="001E1652">
              <w:t>80</w:t>
            </w:r>
          </w:p>
        </w:tc>
        <w:tc>
          <w:tcPr>
            <w:tcW w:w="1134" w:type="dxa"/>
            <w:shd w:val="clear" w:color="auto" w:fill="auto"/>
          </w:tcPr>
          <w:p w:rsidR="008C7B45" w:rsidRPr="001E1652" w:rsidRDefault="008C7B45" w:rsidP="008C7B45">
            <w:pPr>
              <w:pStyle w:val="Tabletext"/>
            </w:pPr>
            <w:r w:rsidRPr="001E1652">
              <w:t>8.5633</w:t>
            </w:r>
          </w:p>
        </w:tc>
        <w:tc>
          <w:tcPr>
            <w:tcW w:w="1134" w:type="dxa"/>
            <w:shd w:val="clear" w:color="auto" w:fill="auto"/>
          </w:tcPr>
          <w:p w:rsidR="008C7B45" w:rsidRPr="001E1652" w:rsidRDefault="008C7B45" w:rsidP="008C7B45">
            <w:pPr>
              <w:pStyle w:val="Tabletext"/>
            </w:pPr>
            <w:r w:rsidRPr="001E1652">
              <w:t>9.7744</w:t>
            </w:r>
          </w:p>
        </w:tc>
      </w:tr>
      <w:tr w:rsidR="008C7B45" w:rsidRPr="001E1652" w:rsidTr="008C7B45">
        <w:tc>
          <w:tcPr>
            <w:tcW w:w="1271" w:type="dxa"/>
            <w:shd w:val="clear" w:color="auto" w:fill="auto"/>
          </w:tcPr>
          <w:p w:rsidR="008C7B45" w:rsidRPr="001E1652" w:rsidRDefault="008C7B45" w:rsidP="008C7B45">
            <w:pPr>
              <w:pStyle w:val="Tabletext"/>
            </w:pPr>
            <w:r w:rsidRPr="001E1652">
              <w:t>81</w:t>
            </w:r>
          </w:p>
        </w:tc>
        <w:tc>
          <w:tcPr>
            <w:tcW w:w="1134" w:type="dxa"/>
            <w:shd w:val="clear" w:color="auto" w:fill="auto"/>
          </w:tcPr>
          <w:p w:rsidR="008C7B45" w:rsidRPr="001E1652" w:rsidRDefault="008C7B45" w:rsidP="008C7B45">
            <w:pPr>
              <w:pStyle w:val="Tabletext"/>
            </w:pPr>
            <w:r w:rsidRPr="001E1652">
              <w:t>8.0448</w:t>
            </w:r>
          </w:p>
        </w:tc>
        <w:tc>
          <w:tcPr>
            <w:tcW w:w="1134" w:type="dxa"/>
            <w:shd w:val="clear" w:color="auto" w:fill="auto"/>
          </w:tcPr>
          <w:p w:rsidR="008C7B45" w:rsidRPr="001E1652" w:rsidRDefault="008C7B45" w:rsidP="008C7B45">
            <w:pPr>
              <w:pStyle w:val="Tabletext"/>
            </w:pPr>
            <w:r w:rsidRPr="001E1652">
              <w:t>9.1885</w:t>
            </w:r>
          </w:p>
        </w:tc>
      </w:tr>
      <w:tr w:rsidR="008C7B45" w:rsidRPr="001E1652" w:rsidTr="008C7B45">
        <w:tc>
          <w:tcPr>
            <w:tcW w:w="1271" w:type="dxa"/>
            <w:shd w:val="clear" w:color="auto" w:fill="auto"/>
          </w:tcPr>
          <w:p w:rsidR="008C7B45" w:rsidRPr="001E1652" w:rsidRDefault="008C7B45" w:rsidP="008C7B45">
            <w:pPr>
              <w:pStyle w:val="Tabletext"/>
            </w:pPr>
            <w:r w:rsidRPr="001E1652">
              <w:t>82</w:t>
            </w:r>
          </w:p>
        </w:tc>
        <w:tc>
          <w:tcPr>
            <w:tcW w:w="1134" w:type="dxa"/>
            <w:shd w:val="clear" w:color="auto" w:fill="auto"/>
          </w:tcPr>
          <w:p w:rsidR="008C7B45" w:rsidRPr="001E1652" w:rsidRDefault="008C7B45" w:rsidP="008C7B45">
            <w:pPr>
              <w:pStyle w:val="Tabletext"/>
            </w:pPr>
            <w:r w:rsidRPr="001E1652">
              <w:t>7.5458</w:t>
            </w:r>
          </w:p>
        </w:tc>
        <w:tc>
          <w:tcPr>
            <w:tcW w:w="1134" w:type="dxa"/>
            <w:shd w:val="clear" w:color="auto" w:fill="auto"/>
          </w:tcPr>
          <w:p w:rsidR="008C7B45" w:rsidRPr="001E1652" w:rsidRDefault="008C7B45" w:rsidP="008C7B45">
            <w:pPr>
              <w:pStyle w:val="Tabletext"/>
            </w:pPr>
            <w:r w:rsidRPr="001E1652">
              <w:t>8.6171</w:t>
            </w:r>
          </w:p>
        </w:tc>
      </w:tr>
      <w:tr w:rsidR="008C7B45" w:rsidRPr="001E1652" w:rsidTr="008C7B45">
        <w:tc>
          <w:tcPr>
            <w:tcW w:w="1271" w:type="dxa"/>
            <w:shd w:val="clear" w:color="auto" w:fill="auto"/>
          </w:tcPr>
          <w:p w:rsidR="008C7B45" w:rsidRPr="001E1652" w:rsidRDefault="008C7B45" w:rsidP="008C7B45">
            <w:pPr>
              <w:pStyle w:val="Tabletext"/>
            </w:pPr>
            <w:r w:rsidRPr="001E1652">
              <w:t>83</w:t>
            </w:r>
          </w:p>
        </w:tc>
        <w:tc>
          <w:tcPr>
            <w:tcW w:w="1134" w:type="dxa"/>
            <w:shd w:val="clear" w:color="auto" w:fill="auto"/>
          </w:tcPr>
          <w:p w:rsidR="008C7B45" w:rsidRPr="001E1652" w:rsidRDefault="008C7B45" w:rsidP="008C7B45">
            <w:pPr>
              <w:pStyle w:val="Tabletext"/>
            </w:pPr>
            <w:r w:rsidRPr="001E1652">
              <w:t>7.0669</w:t>
            </w:r>
          </w:p>
        </w:tc>
        <w:tc>
          <w:tcPr>
            <w:tcW w:w="1134" w:type="dxa"/>
            <w:shd w:val="clear" w:color="auto" w:fill="auto"/>
          </w:tcPr>
          <w:p w:rsidR="008C7B45" w:rsidRPr="001E1652" w:rsidRDefault="008C7B45" w:rsidP="008C7B45">
            <w:pPr>
              <w:pStyle w:val="Tabletext"/>
            </w:pPr>
            <w:r w:rsidRPr="001E1652">
              <w:t>8.0623</w:t>
            </w:r>
          </w:p>
        </w:tc>
      </w:tr>
      <w:tr w:rsidR="008C7B45" w:rsidRPr="001E1652" w:rsidTr="008C7B45">
        <w:tc>
          <w:tcPr>
            <w:tcW w:w="1271" w:type="dxa"/>
            <w:shd w:val="clear" w:color="auto" w:fill="auto"/>
          </w:tcPr>
          <w:p w:rsidR="008C7B45" w:rsidRPr="001E1652" w:rsidRDefault="008C7B45" w:rsidP="008C7B45">
            <w:pPr>
              <w:pStyle w:val="Tabletext"/>
            </w:pPr>
            <w:r w:rsidRPr="001E1652">
              <w:t>84</w:t>
            </w:r>
          </w:p>
        </w:tc>
        <w:tc>
          <w:tcPr>
            <w:tcW w:w="1134" w:type="dxa"/>
            <w:shd w:val="clear" w:color="auto" w:fill="auto"/>
          </w:tcPr>
          <w:p w:rsidR="008C7B45" w:rsidRPr="001E1652" w:rsidRDefault="008C7B45" w:rsidP="008C7B45">
            <w:pPr>
              <w:pStyle w:val="Tabletext"/>
            </w:pPr>
            <w:r w:rsidRPr="001E1652">
              <w:t>6.6140</w:t>
            </w:r>
          </w:p>
        </w:tc>
        <w:tc>
          <w:tcPr>
            <w:tcW w:w="1134" w:type="dxa"/>
            <w:shd w:val="clear" w:color="auto" w:fill="auto"/>
          </w:tcPr>
          <w:p w:rsidR="008C7B45" w:rsidRPr="001E1652" w:rsidRDefault="008C7B45" w:rsidP="008C7B45">
            <w:pPr>
              <w:pStyle w:val="Tabletext"/>
            </w:pPr>
            <w:r w:rsidRPr="001E1652">
              <w:t>7.5275</w:t>
            </w:r>
          </w:p>
        </w:tc>
      </w:tr>
      <w:tr w:rsidR="008C7B45" w:rsidRPr="001E1652" w:rsidTr="008C7B45">
        <w:tc>
          <w:tcPr>
            <w:tcW w:w="1271" w:type="dxa"/>
            <w:shd w:val="clear" w:color="auto" w:fill="auto"/>
          </w:tcPr>
          <w:p w:rsidR="008C7B45" w:rsidRPr="001E1652" w:rsidRDefault="008C7B45" w:rsidP="008C7B45">
            <w:pPr>
              <w:pStyle w:val="Tabletext"/>
            </w:pPr>
            <w:r w:rsidRPr="001E1652">
              <w:t>85</w:t>
            </w:r>
          </w:p>
        </w:tc>
        <w:tc>
          <w:tcPr>
            <w:tcW w:w="1134" w:type="dxa"/>
            <w:shd w:val="clear" w:color="auto" w:fill="auto"/>
          </w:tcPr>
          <w:p w:rsidR="008C7B45" w:rsidRPr="001E1652" w:rsidRDefault="008C7B45" w:rsidP="008C7B45">
            <w:pPr>
              <w:pStyle w:val="Tabletext"/>
            </w:pPr>
            <w:r w:rsidRPr="001E1652">
              <w:t>6.1881</w:t>
            </w:r>
          </w:p>
        </w:tc>
        <w:tc>
          <w:tcPr>
            <w:tcW w:w="1134" w:type="dxa"/>
            <w:shd w:val="clear" w:color="auto" w:fill="auto"/>
          </w:tcPr>
          <w:p w:rsidR="008C7B45" w:rsidRPr="001E1652" w:rsidRDefault="008C7B45" w:rsidP="008C7B45">
            <w:pPr>
              <w:pStyle w:val="Tabletext"/>
            </w:pPr>
            <w:r w:rsidRPr="001E1652">
              <w:t>7.0148</w:t>
            </w:r>
          </w:p>
        </w:tc>
      </w:tr>
      <w:tr w:rsidR="008C7B45" w:rsidRPr="001E1652" w:rsidTr="008C7B45">
        <w:tc>
          <w:tcPr>
            <w:tcW w:w="1271" w:type="dxa"/>
            <w:shd w:val="clear" w:color="auto" w:fill="auto"/>
          </w:tcPr>
          <w:p w:rsidR="008C7B45" w:rsidRPr="001E1652" w:rsidRDefault="008C7B45" w:rsidP="008C7B45">
            <w:pPr>
              <w:pStyle w:val="Tabletext"/>
            </w:pPr>
            <w:r w:rsidRPr="001E1652">
              <w:t>86</w:t>
            </w:r>
          </w:p>
        </w:tc>
        <w:tc>
          <w:tcPr>
            <w:tcW w:w="1134" w:type="dxa"/>
            <w:shd w:val="clear" w:color="auto" w:fill="auto"/>
          </w:tcPr>
          <w:p w:rsidR="008C7B45" w:rsidRPr="001E1652" w:rsidRDefault="008C7B45" w:rsidP="008C7B45">
            <w:pPr>
              <w:pStyle w:val="Tabletext"/>
            </w:pPr>
            <w:r w:rsidRPr="001E1652">
              <w:t>5.7715</w:t>
            </w:r>
          </w:p>
        </w:tc>
        <w:tc>
          <w:tcPr>
            <w:tcW w:w="1134" w:type="dxa"/>
            <w:shd w:val="clear" w:color="auto" w:fill="auto"/>
          </w:tcPr>
          <w:p w:rsidR="008C7B45" w:rsidRPr="001E1652" w:rsidRDefault="008C7B45" w:rsidP="008C7B45">
            <w:pPr>
              <w:pStyle w:val="Tabletext"/>
            </w:pPr>
            <w:r w:rsidRPr="001E1652">
              <w:t>6.5219</w:t>
            </w:r>
          </w:p>
        </w:tc>
      </w:tr>
      <w:tr w:rsidR="008C7B45" w:rsidRPr="001E1652" w:rsidTr="008C7B45">
        <w:tc>
          <w:tcPr>
            <w:tcW w:w="1271" w:type="dxa"/>
            <w:shd w:val="clear" w:color="auto" w:fill="auto"/>
          </w:tcPr>
          <w:p w:rsidR="008C7B45" w:rsidRPr="001E1652" w:rsidRDefault="008C7B45" w:rsidP="008C7B45">
            <w:pPr>
              <w:pStyle w:val="Tabletext"/>
            </w:pPr>
            <w:r w:rsidRPr="001E1652">
              <w:t>87</w:t>
            </w:r>
          </w:p>
        </w:tc>
        <w:tc>
          <w:tcPr>
            <w:tcW w:w="1134" w:type="dxa"/>
            <w:shd w:val="clear" w:color="auto" w:fill="auto"/>
          </w:tcPr>
          <w:p w:rsidR="008C7B45" w:rsidRPr="001E1652" w:rsidRDefault="008C7B45" w:rsidP="008C7B45">
            <w:pPr>
              <w:pStyle w:val="Tabletext"/>
            </w:pPr>
            <w:r w:rsidRPr="001E1652">
              <w:t>5.3849</w:t>
            </w:r>
          </w:p>
        </w:tc>
        <w:tc>
          <w:tcPr>
            <w:tcW w:w="1134" w:type="dxa"/>
            <w:shd w:val="clear" w:color="auto" w:fill="auto"/>
          </w:tcPr>
          <w:p w:rsidR="008C7B45" w:rsidRPr="001E1652" w:rsidRDefault="008C7B45" w:rsidP="008C7B45">
            <w:pPr>
              <w:pStyle w:val="Tabletext"/>
            </w:pPr>
            <w:r w:rsidRPr="001E1652">
              <w:t>6.0489</w:t>
            </w:r>
          </w:p>
        </w:tc>
      </w:tr>
      <w:tr w:rsidR="008C7B45" w:rsidRPr="001E1652" w:rsidTr="008C7B45">
        <w:tc>
          <w:tcPr>
            <w:tcW w:w="1271" w:type="dxa"/>
            <w:shd w:val="clear" w:color="auto" w:fill="auto"/>
          </w:tcPr>
          <w:p w:rsidR="008C7B45" w:rsidRPr="001E1652" w:rsidRDefault="008C7B45" w:rsidP="008C7B45">
            <w:pPr>
              <w:pStyle w:val="Tabletext"/>
            </w:pPr>
            <w:r w:rsidRPr="001E1652">
              <w:t>88</w:t>
            </w:r>
          </w:p>
        </w:tc>
        <w:tc>
          <w:tcPr>
            <w:tcW w:w="1134" w:type="dxa"/>
            <w:shd w:val="clear" w:color="auto" w:fill="auto"/>
          </w:tcPr>
          <w:p w:rsidR="008C7B45" w:rsidRPr="001E1652" w:rsidRDefault="008C7B45" w:rsidP="008C7B45">
            <w:pPr>
              <w:pStyle w:val="Tabletext"/>
            </w:pPr>
            <w:r w:rsidRPr="001E1652">
              <w:t>5.0283</w:t>
            </w:r>
          </w:p>
        </w:tc>
        <w:tc>
          <w:tcPr>
            <w:tcW w:w="1134" w:type="dxa"/>
            <w:shd w:val="clear" w:color="auto" w:fill="auto"/>
          </w:tcPr>
          <w:p w:rsidR="008C7B45" w:rsidRPr="001E1652" w:rsidRDefault="008C7B45" w:rsidP="008C7B45">
            <w:pPr>
              <w:pStyle w:val="Tabletext"/>
            </w:pPr>
            <w:r w:rsidRPr="001E1652">
              <w:t>5.5956</w:t>
            </w:r>
          </w:p>
        </w:tc>
      </w:tr>
      <w:tr w:rsidR="008C7B45" w:rsidRPr="001E1652" w:rsidTr="008C7B45">
        <w:tc>
          <w:tcPr>
            <w:tcW w:w="1271" w:type="dxa"/>
            <w:shd w:val="clear" w:color="auto" w:fill="auto"/>
          </w:tcPr>
          <w:p w:rsidR="008C7B45" w:rsidRPr="001E1652" w:rsidRDefault="008C7B45" w:rsidP="008C7B45">
            <w:pPr>
              <w:pStyle w:val="Tabletext"/>
            </w:pPr>
            <w:r w:rsidRPr="001E1652">
              <w:t>89</w:t>
            </w:r>
          </w:p>
        </w:tc>
        <w:tc>
          <w:tcPr>
            <w:tcW w:w="1134" w:type="dxa"/>
            <w:shd w:val="clear" w:color="auto" w:fill="auto"/>
          </w:tcPr>
          <w:p w:rsidR="008C7B45" w:rsidRPr="001E1652" w:rsidRDefault="008C7B45" w:rsidP="008C7B45">
            <w:pPr>
              <w:pStyle w:val="Tabletext"/>
            </w:pPr>
            <w:r w:rsidRPr="001E1652">
              <w:t>4.6985</w:t>
            </w:r>
          </w:p>
        </w:tc>
        <w:tc>
          <w:tcPr>
            <w:tcW w:w="1134" w:type="dxa"/>
            <w:shd w:val="clear" w:color="auto" w:fill="auto"/>
          </w:tcPr>
          <w:p w:rsidR="008C7B45" w:rsidRPr="001E1652" w:rsidRDefault="008C7B45" w:rsidP="008C7B45">
            <w:pPr>
              <w:pStyle w:val="Tabletext"/>
            </w:pPr>
            <w:r w:rsidRPr="001E1652">
              <w:t>5.1722</w:t>
            </w:r>
          </w:p>
        </w:tc>
      </w:tr>
      <w:tr w:rsidR="008C7B45" w:rsidRPr="001E1652" w:rsidTr="008C7B45">
        <w:tc>
          <w:tcPr>
            <w:tcW w:w="1271" w:type="dxa"/>
            <w:shd w:val="clear" w:color="auto" w:fill="auto"/>
          </w:tcPr>
          <w:p w:rsidR="008C7B45" w:rsidRPr="001E1652" w:rsidRDefault="008C7B45" w:rsidP="008C7B45">
            <w:pPr>
              <w:pStyle w:val="Tabletext"/>
            </w:pPr>
            <w:r w:rsidRPr="001E1652">
              <w:t>90</w:t>
            </w:r>
          </w:p>
        </w:tc>
        <w:tc>
          <w:tcPr>
            <w:tcW w:w="1134" w:type="dxa"/>
            <w:shd w:val="clear" w:color="auto" w:fill="auto"/>
          </w:tcPr>
          <w:p w:rsidR="008C7B45" w:rsidRPr="001E1652" w:rsidRDefault="008C7B45" w:rsidP="008C7B45">
            <w:pPr>
              <w:pStyle w:val="Tabletext"/>
            </w:pPr>
            <w:r w:rsidRPr="001E1652">
              <w:t>4.3956</w:t>
            </w:r>
          </w:p>
        </w:tc>
        <w:tc>
          <w:tcPr>
            <w:tcW w:w="1134" w:type="dxa"/>
            <w:shd w:val="clear" w:color="auto" w:fill="auto"/>
          </w:tcPr>
          <w:p w:rsidR="008C7B45" w:rsidRPr="001E1652" w:rsidRDefault="008C7B45" w:rsidP="008C7B45">
            <w:pPr>
              <w:pStyle w:val="Tabletext"/>
            </w:pPr>
            <w:r w:rsidRPr="001E1652">
              <w:t>4.7802</w:t>
            </w:r>
          </w:p>
        </w:tc>
      </w:tr>
      <w:tr w:rsidR="008C7B45" w:rsidRPr="001E1652" w:rsidTr="008C7B45">
        <w:tc>
          <w:tcPr>
            <w:tcW w:w="1271" w:type="dxa"/>
            <w:shd w:val="clear" w:color="auto" w:fill="auto"/>
          </w:tcPr>
          <w:p w:rsidR="008C7B45" w:rsidRPr="001E1652" w:rsidRDefault="008C7B45" w:rsidP="008C7B45">
            <w:pPr>
              <w:pStyle w:val="Tabletext"/>
            </w:pPr>
            <w:r w:rsidRPr="001E1652">
              <w:t>91</w:t>
            </w:r>
          </w:p>
        </w:tc>
        <w:tc>
          <w:tcPr>
            <w:tcW w:w="1134" w:type="dxa"/>
            <w:shd w:val="clear" w:color="auto" w:fill="auto"/>
          </w:tcPr>
          <w:p w:rsidR="008C7B45" w:rsidRPr="001E1652" w:rsidRDefault="008C7B45" w:rsidP="008C7B45">
            <w:pPr>
              <w:pStyle w:val="Tabletext"/>
            </w:pPr>
            <w:r w:rsidRPr="001E1652">
              <w:t>4.1201</w:t>
            </w:r>
          </w:p>
        </w:tc>
        <w:tc>
          <w:tcPr>
            <w:tcW w:w="1134" w:type="dxa"/>
            <w:shd w:val="clear" w:color="auto" w:fill="auto"/>
          </w:tcPr>
          <w:p w:rsidR="008C7B45" w:rsidRPr="001E1652" w:rsidRDefault="008C7B45" w:rsidP="008C7B45">
            <w:pPr>
              <w:pStyle w:val="Tabletext"/>
            </w:pPr>
            <w:r w:rsidRPr="001E1652">
              <w:t>4.4158</w:t>
            </w:r>
          </w:p>
        </w:tc>
      </w:tr>
      <w:tr w:rsidR="008C7B45" w:rsidRPr="001E1652" w:rsidTr="008C7B45">
        <w:tc>
          <w:tcPr>
            <w:tcW w:w="1271" w:type="dxa"/>
            <w:shd w:val="clear" w:color="auto" w:fill="auto"/>
          </w:tcPr>
          <w:p w:rsidR="008C7B45" w:rsidRPr="001E1652" w:rsidRDefault="008C7B45" w:rsidP="008C7B45">
            <w:pPr>
              <w:pStyle w:val="Tabletext"/>
            </w:pPr>
            <w:r w:rsidRPr="001E1652">
              <w:t>92</w:t>
            </w:r>
          </w:p>
        </w:tc>
        <w:tc>
          <w:tcPr>
            <w:tcW w:w="1134" w:type="dxa"/>
            <w:shd w:val="clear" w:color="auto" w:fill="auto"/>
          </w:tcPr>
          <w:p w:rsidR="008C7B45" w:rsidRPr="001E1652" w:rsidRDefault="008C7B45" w:rsidP="008C7B45">
            <w:pPr>
              <w:pStyle w:val="Tabletext"/>
            </w:pPr>
            <w:r w:rsidRPr="001E1652">
              <w:t>3.8591</w:t>
            </w:r>
          </w:p>
        </w:tc>
        <w:tc>
          <w:tcPr>
            <w:tcW w:w="1134" w:type="dxa"/>
            <w:shd w:val="clear" w:color="auto" w:fill="auto"/>
          </w:tcPr>
          <w:p w:rsidR="008C7B45" w:rsidRPr="001E1652" w:rsidRDefault="008C7B45" w:rsidP="008C7B45">
            <w:pPr>
              <w:pStyle w:val="Tabletext"/>
            </w:pPr>
            <w:r w:rsidRPr="001E1652">
              <w:t>4.0854</w:t>
            </w:r>
          </w:p>
        </w:tc>
      </w:tr>
      <w:tr w:rsidR="008C7B45" w:rsidRPr="001E1652" w:rsidTr="008C7B45">
        <w:tc>
          <w:tcPr>
            <w:tcW w:w="1271" w:type="dxa"/>
            <w:shd w:val="clear" w:color="auto" w:fill="auto"/>
          </w:tcPr>
          <w:p w:rsidR="008C7B45" w:rsidRPr="001E1652" w:rsidRDefault="008C7B45" w:rsidP="008C7B45">
            <w:pPr>
              <w:pStyle w:val="Tabletext"/>
            </w:pPr>
            <w:r w:rsidRPr="001E1652">
              <w:t>93</w:t>
            </w:r>
          </w:p>
        </w:tc>
        <w:tc>
          <w:tcPr>
            <w:tcW w:w="1134" w:type="dxa"/>
            <w:shd w:val="clear" w:color="auto" w:fill="auto"/>
          </w:tcPr>
          <w:p w:rsidR="008C7B45" w:rsidRPr="001E1652" w:rsidRDefault="008C7B45" w:rsidP="008C7B45">
            <w:pPr>
              <w:pStyle w:val="Tabletext"/>
            </w:pPr>
            <w:r w:rsidRPr="001E1652">
              <w:t>3.6098</w:t>
            </w:r>
          </w:p>
        </w:tc>
        <w:tc>
          <w:tcPr>
            <w:tcW w:w="1134" w:type="dxa"/>
            <w:shd w:val="clear" w:color="auto" w:fill="auto"/>
          </w:tcPr>
          <w:p w:rsidR="008C7B45" w:rsidRPr="001E1652" w:rsidRDefault="008C7B45" w:rsidP="008C7B45">
            <w:pPr>
              <w:pStyle w:val="Tabletext"/>
            </w:pPr>
            <w:r w:rsidRPr="001E1652">
              <w:t>3.7920</w:t>
            </w:r>
          </w:p>
        </w:tc>
      </w:tr>
      <w:tr w:rsidR="008C7B45" w:rsidRPr="001E1652" w:rsidTr="008C7B45">
        <w:tc>
          <w:tcPr>
            <w:tcW w:w="1271" w:type="dxa"/>
            <w:shd w:val="clear" w:color="auto" w:fill="auto"/>
          </w:tcPr>
          <w:p w:rsidR="008C7B45" w:rsidRPr="001E1652" w:rsidRDefault="008C7B45" w:rsidP="008C7B45">
            <w:pPr>
              <w:pStyle w:val="Tabletext"/>
            </w:pPr>
            <w:r w:rsidRPr="001E1652">
              <w:t>94</w:t>
            </w:r>
          </w:p>
        </w:tc>
        <w:tc>
          <w:tcPr>
            <w:tcW w:w="1134" w:type="dxa"/>
            <w:shd w:val="clear" w:color="auto" w:fill="auto"/>
          </w:tcPr>
          <w:p w:rsidR="008C7B45" w:rsidRPr="001E1652" w:rsidRDefault="008C7B45" w:rsidP="008C7B45">
            <w:pPr>
              <w:pStyle w:val="Tabletext"/>
            </w:pPr>
            <w:r w:rsidRPr="001E1652">
              <w:t>3.3716</w:t>
            </w:r>
          </w:p>
        </w:tc>
        <w:tc>
          <w:tcPr>
            <w:tcW w:w="1134" w:type="dxa"/>
            <w:shd w:val="clear" w:color="auto" w:fill="auto"/>
          </w:tcPr>
          <w:p w:rsidR="008C7B45" w:rsidRPr="001E1652" w:rsidRDefault="008C7B45" w:rsidP="008C7B45">
            <w:pPr>
              <w:pStyle w:val="Tabletext"/>
            </w:pPr>
            <w:r w:rsidRPr="001E1652">
              <w:t>3.5123</w:t>
            </w:r>
          </w:p>
        </w:tc>
      </w:tr>
      <w:tr w:rsidR="008C7B45" w:rsidRPr="001E1652" w:rsidTr="008C7B45">
        <w:tc>
          <w:tcPr>
            <w:tcW w:w="1271" w:type="dxa"/>
            <w:shd w:val="clear" w:color="auto" w:fill="auto"/>
          </w:tcPr>
          <w:p w:rsidR="008C7B45" w:rsidRPr="001E1652" w:rsidRDefault="008C7B45" w:rsidP="008C7B45">
            <w:pPr>
              <w:pStyle w:val="Tabletext"/>
            </w:pPr>
            <w:r w:rsidRPr="001E1652">
              <w:t>95</w:t>
            </w:r>
          </w:p>
        </w:tc>
        <w:tc>
          <w:tcPr>
            <w:tcW w:w="1134" w:type="dxa"/>
            <w:shd w:val="clear" w:color="auto" w:fill="auto"/>
          </w:tcPr>
          <w:p w:rsidR="008C7B45" w:rsidRPr="001E1652" w:rsidRDefault="008C7B45" w:rsidP="008C7B45">
            <w:pPr>
              <w:pStyle w:val="Tabletext"/>
            </w:pPr>
            <w:r w:rsidRPr="001E1652">
              <w:t>3.1418</w:t>
            </w:r>
          </w:p>
        </w:tc>
        <w:tc>
          <w:tcPr>
            <w:tcW w:w="1134" w:type="dxa"/>
            <w:shd w:val="clear" w:color="auto" w:fill="auto"/>
          </w:tcPr>
          <w:p w:rsidR="008C7B45" w:rsidRPr="001E1652" w:rsidRDefault="008C7B45" w:rsidP="008C7B45">
            <w:pPr>
              <w:pStyle w:val="Tabletext"/>
            </w:pPr>
            <w:r w:rsidRPr="001E1652">
              <w:t>3.2425</w:t>
            </w:r>
          </w:p>
        </w:tc>
      </w:tr>
      <w:tr w:rsidR="008C7B45" w:rsidRPr="001E1652" w:rsidTr="008C7B45">
        <w:tc>
          <w:tcPr>
            <w:tcW w:w="1271" w:type="dxa"/>
            <w:shd w:val="clear" w:color="auto" w:fill="auto"/>
          </w:tcPr>
          <w:p w:rsidR="008C7B45" w:rsidRPr="001E1652" w:rsidRDefault="008C7B45" w:rsidP="008C7B45">
            <w:pPr>
              <w:pStyle w:val="Tabletext"/>
            </w:pPr>
            <w:r w:rsidRPr="001E1652">
              <w:t>96</w:t>
            </w:r>
          </w:p>
        </w:tc>
        <w:tc>
          <w:tcPr>
            <w:tcW w:w="1134" w:type="dxa"/>
            <w:shd w:val="clear" w:color="auto" w:fill="auto"/>
          </w:tcPr>
          <w:p w:rsidR="008C7B45" w:rsidRPr="001E1652" w:rsidRDefault="008C7B45" w:rsidP="008C7B45">
            <w:pPr>
              <w:pStyle w:val="Tabletext"/>
            </w:pPr>
            <w:r w:rsidRPr="001E1652">
              <w:t>2.9164</w:t>
            </w:r>
          </w:p>
        </w:tc>
        <w:tc>
          <w:tcPr>
            <w:tcW w:w="1134" w:type="dxa"/>
            <w:shd w:val="clear" w:color="auto" w:fill="auto"/>
          </w:tcPr>
          <w:p w:rsidR="008C7B45" w:rsidRPr="001E1652" w:rsidRDefault="008C7B45" w:rsidP="008C7B45">
            <w:pPr>
              <w:pStyle w:val="Tabletext"/>
            </w:pPr>
            <w:r w:rsidRPr="001E1652">
              <w:t>2.9776</w:t>
            </w:r>
          </w:p>
        </w:tc>
      </w:tr>
      <w:tr w:rsidR="008C7B45" w:rsidRPr="001E1652" w:rsidTr="008C7B45">
        <w:tc>
          <w:tcPr>
            <w:tcW w:w="1271" w:type="dxa"/>
            <w:shd w:val="clear" w:color="auto" w:fill="auto"/>
          </w:tcPr>
          <w:p w:rsidR="008C7B45" w:rsidRPr="001E1652" w:rsidRDefault="008C7B45" w:rsidP="008C7B45">
            <w:pPr>
              <w:pStyle w:val="Tabletext"/>
            </w:pPr>
            <w:r w:rsidRPr="001E1652">
              <w:t>97</w:t>
            </w:r>
          </w:p>
        </w:tc>
        <w:tc>
          <w:tcPr>
            <w:tcW w:w="1134" w:type="dxa"/>
            <w:shd w:val="clear" w:color="auto" w:fill="auto"/>
          </w:tcPr>
          <w:p w:rsidR="008C7B45" w:rsidRPr="001E1652" w:rsidRDefault="008C7B45" w:rsidP="008C7B45">
            <w:pPr>
              <w:pStyle w:val="Tabletext"/>
            </w:pPr>
            <w:r w:rsidRPr="001E1652">
              <w:t>2.7000</w:t>
            </w:r>
          </w:p>
        </w:tc>
        <w:tc>
          <w:tcPr>
            <w:tcW w:w="1134" w:type="dxa"/>
            <w:shd w:val="clear" w:color="auto" w:fill="auto"/>
          </w:tcPr>
          <w:p w:rsidR="008C7B45" w:rsidRPr="001E1652" w:rsidRDefault="008C7B45" w:rsidP="008C7B45">
            <w:pPr>
              <w:pStyle w:val="Tabletext"/>
            </w:pPr>
            <w:r w:rsidRPr="001E1652">
              <w:t>2.7104</w:t>
            </w:r>
          </w:p>
        </w:tc>
      </w:tr>
      <w:tr w:rsidR="008C7B45" w:rsidRPr="001E1652" w:rsidTr="008C7B45">
        <w:tc>
          <w:tcPr>
            <w:tcW w:w="1271" w:type="dxa"/>
            <w:shd w:val="clear" w:color="auto" w:fill="auto"/>
          </w:tcPr>
          <w:p w:rsidR="008C7B45" w:rsidRPr="001E1652" w:rsidRDefault="008C7B45" w:rsidP="008C7B45">
            <w:pPr>
              <w:pStyle w:val="Tabletext"/>
            </w:pPr>
            <w:r w:rsidRPr="001E1652">
              <w:t>98</w:t>
            </w:r>
          </w:p>
        </w:tc>
        <w:tc>
          <w:tcPr>
            <w:tcW w:w="1134" w:type="dxa"/>
            <w:shd w:val="clear" w:color="auto" w:fill="auto"/>
          </w:tcPr>
          <w:p w:rsidR="008C7B45" w:rsidRPr="001E1652" w:rsidRDefault="008C7B45" w:rsidP="008C7B45">
            <w:pPr>
              <w:pStyle w:val="Tabletext"/>
            </w:pPr>
            <w:r w:rsidRPr="001E1652">
              <w:t>2.4825</w:t>
            </w:r>
          </w:p>
        </w:tc>
        <w:tc>
          <w:tcPr>
            <w:tcW w:w="1134" w:type="dxa"/>
            <w:shd w:val="clear" w:color="auto" w:fill="auto"/>
          </w:tcPr>
          <w:p w:rsidR="008C7B45" w:rsidRPr="001E1652" w:rsidRDefault="008C7B45" w:rsidP="008C7B45">
            <w:pPr>
              <w:pStyle w:val="Tabletext"/>
            </w:pPr>
            <w:r w:rsidRPr="001E1652">
              <w:t>2.4304</w:t>
            </w:r>
          </w:p>
        </w:tc>
      </w:tr>
      <w:tr w:rsidR="008C7B45" w:rsidRPr="001E1652" w:rsidTr="008C7B45">
        <w:tc>
          <w:tcPr>
            <w:tcW w:w="1271" w:type="dxa"/>
            <w:shd w:val="clear" w:color="auto" w:fill="auto"/>
          </w:tcPr>
          <w:p w:rsidR="008C7B45" w:rsidRPr="001E1652" w:rsidRDefault="008C7B45" w:rsidP="008C7B45">
            <w:pPr>
              <w:pStyle w:val="Tabletext"/>
            </w:pPr>
            <w:r w:rsidRPr="001E1652">
              <w:lastRenderedPageBreak/>
              <w:t>99</w:t>
            </w:r>
          </w:p>
        </w:tc>
        <w:tc>
          <w:tcPr>
            <w:tcW w:w="1134" w:type="dxa"/>
            <w:shd w:val="clear" w:color="auto" w:fill="auto"/>
          </w:tcPr>
          <w:p w:rsidR="008C7B45" w:rsidRPr="001E1652" w:rsidRDefault="008C7B45" w:rsidP="008C7B45">
            <w:pPr>
              <w:pStyle w:val="Tabletext"/>
            </w:pPr>
            <w:r w:rsidRPr="001E1652">
              <w:t>2.2571</w:t>
            </w:r>
          </w:p>
        </w:tc>
        <w:tc>
          <w:tcPr>
            <w:tcW w:w="1134" w:type="dxa"/>
            <w:shd w:val="clear" w:color="auto" w:fill="auto"/>
          </w:tcPr>
          <w:p w:rsidR="008C7B45" w:rsidRPr="001E1652" w:rsidRDefault="008C7B45" w:rsidP="008C7B45">
            <w:pPr>
              <w:pStyle w:val="Tabletext"/>
            </w:pPr>
            <w:r w:rsidRPr="001E1652">
              <w:t>2.1550</w:t>
            </w:r>
          </w:p>
        </w:tc>
      </w:tr>
      <w:tr w:rsidR="008C7B45" w:rsidRPr="001E1652" w:rsidTr="008C7B45">
        <w:tc>
          <w:tcPr>
            <w:tcW w:w="1271" w:type="dxa"/>
            <w:shd w:val="clear" w:color="auto" w:fill="auto"/>
          </w:tcPr>
          <w:p w:rsidR="008C7B45" w:rsidRPr="001E1652" w:rsidRDefault="008C7B45" w:rsidP="008C7B45">
            <w:pPr>
              <w:pStyle w:val="Tabletext"/>
            </w:pPr>
            <w:r w:rsidRPr="001E1652">
              <w:t>100</w:t>
            </w:r>
          </w:p>
        </w:tc>
        <w:tc>
          <w:tcPr>
            <w:tcW w:w="1134" w:type="dxa"/>
            <w:shd w:val="clear" w:color="auto" w:fill="auto"/>
          </w:tcPr>
          <w:p w:rsidR="008C7B45" w:rsidRPr="001E1652" w:rsidRDefault="008C7B45" w:rsidP="008C7B45">
            <w:pPr>
              <w:pStyle w:val="Tabletext"/>
            </w:pPr>
            <w:r w:rsidRPr="001E1652">
              <w:t>2.0173</w:t>
            </w:r>
          </w:p>
        </w:tc>
        <w:tc>
          <w:tcPr>
            <w:tcW w:w="1134" w:type="dxa"/>
            <w:shd w:val="clear" w:color="auto" w:fill="auto"/>
          </w:tcPr>
          <w:p w:rsidR="008C7B45" w:rsidRPr="001E1652" w:rsidRDefault="008C7B45" w:rsidP="008C7B45">
            <w:pPr>
              <w:pStyle w:val="Tabletext"/>
            </w:pPr>
            <w:r w:rsidRPr="001E1652">
              <w:t>1.8786</w:t>
            </w:r>
          </w:p>
        </w:tc>
      </w:tr>
      <w:tr w:rsidR="008C7B45" w:rsidRPr="001E1652" w:rsidTr="008C7B45">
        <w:tc>
          <w:tcPr>
            <w:tcW w:w="1271" w:type="dxa"/>
            <w:shd w:val="clear" w:color="auto" w:fill="auto"/>
          </w:tcPr>
          <w:p w:rsidR="008C7B45" w:rsidRPr="001E1652" w:rsidRDefault="008C7B45" w:rsidP="008C7B45">
            <w:pPr>
              <w:pStyle w:val="Tabletext"/>
            </w:pPr>
            <w:r w:rsidRPr="001E1652">
              <w:t>101</w:t>
            </w:r>
          </w:p>
        </w:tc>
        <w:tc>
          <w:tcPr>
            <w:tcW w:w="1134" w:type="dxa"/>
            <w:shd w:val="clear" w:color="auto" w:fill="auto"/>
          </w:tcPr>
          <w:p w:rsidR="008C7B45" w:rsidRPr="001E1652" w:rsidRDefault="008C7B45" w:rsidP="008C7B45">
            <w:pPr>
              <w:pStyle w:val="Tabletext"/>
            </w:pPr>
            <w:r w:rsidRPr="001E1652">
              <w:t>1.8378</w:t>
            </w:r>
          </w:p>
        </w:tc>
        <w:tc>
          <w:tcPr>
            <w:tcW w:w="1134" w:type="dxa"/>
            <w:shd w:val="clear" w:color="auto" w:fill="auto"/>
          </w:tcPr>
          <w:p w:rsidR="008C7B45" w:rsidRPr="001E1652" w:rsidRDefault="008C7B45" w:rsidP="008C7B45">
            <w:pPr>
              <w:pStyle w:val="Tabletext"/>
            </w:pPr>
            <w:r w:rsidRPr="001E1652">
              <w:t>1.6584</w:t>
            </w:r>
          </w:p>
        </w:tc>
      </w:tr>
      <w:tr w:rsidR="008C7B45" w:rsidRPr="001E1652" w:rsidTr="008C7B45">
        <w:tc>
          <w:tcPr>
            <w:tcW w:w="1271" w:type="dxa"/>
            <w:tcBorders>
              <w:bottom w:val="single" w:sz="4" w:space="0" w:color="auto"/>
            </w:tcBorders>
            <w:shd w:val="clear" w:color="auto" w:fill="auto"/>
          </w:tcPr>
          <w:p w:rsidR="008C7B45" w:rsidRPr="001E1652" w:rsidRDefault="008C7B45" w:rsidP="008C7B45">
            <w:pPr>
              <w:pStyle w:val="Tabletext"/>
            </w:pPr>
            <w:r w:rsidRPr="001E1652">
              <w:t>102</w:t>
            </w:r>
          </w:p>
        </w:tc>
        <w:tc>
          <w:tcPr>
            <w:tcW w:w="1134" w:type="dxa"/>
            <w:tcBorders>
              <w:bottom w:val="single" w:sz="4" w:space="0" w:color="auto"/>
            </w:tcBorders>
            <w:shd w:val="clear" w:color="auto" w:fill="auto"/>
          </w:tcPr>
          <w:p w:rsidR="008C7B45" w:rsidRPr="001E1652" w:rsidRDefault="008C7B45" w:rsidP="008C7B45">
            <w:pPr>
              <w:pStyle w:val="Tabletext"/>
            </w:pPr>
            <w:r w:rsidRPr="001E1652">
              <w:t>1.6442</w:t>
            </w:r>
          </w:p>
        </w:tc>
        <w:tc>
          <w:tcPr>
            <w:tcW w:w="1134" w:type="dxa"/>
            <w:tcBorders>
              <w:bottom w:val="single" w:sz="4" w:space="0" w:color="auto"/>
            </w:tcBorders>
            <w:shd w:val="clear" w:color="auto" w:fill="auto"/>
          </w:tcPr>
          <w:p w:rsidR="008C7B45" w:rsidRPr="001E1652" w:rsidRDefault="008C7B45" w:rsidP="008C7B45">
            <w:pPr>
              <w:pStyle w:val="Tabletext"/>
            </w:pPr>
            <w:r w:rsidRPr="001E1652">
              <w:t>1.4486</w:t>
            </w:r>
          </w:p>
        </w:tc>
      </w:tr>
      <w:tr w:rsidR="008C7B45" w:rsidRPr="001E1652" w:rsidTr="008C7B45">
        <w:tc>
          <w:tcPr>
            <w:tcW w:w="1271" w:type="dxa"/>
            <w:tcBorders>
              <w:bottom w:val="single" w:sz="4" w:space="0" w:color="auto"/>
            </w:tcBorders>
            <w:shd w:val="clear" w:color="auto" w:fill="auto"/>
          </w:tcPr>
          <w:p w:rsidR="008C7B45" w:rsidRPr="001E1652" w:rsidRDefault="008C7B45" w:rsidP="008C7B45">
            <w:pPr>
              <w:pStyle w:val="Tabletext"/>
            </w:pPr>
            <w:r w:rsidRPr="001E1652">
              <w:t>103</w:t>
            </w:r>
          </w:p>
        </w:tc>
        <w:tc>
          <w:tcPr>
            <w:tcW w:w="1134" w:type="dxa"/>
            <w:tcBorders>
              <w:bottom w:val="single" w:sz="4" w:space="0" w:color="auto"/>
            </w:tcBorders>
            <w:shd w:val="clear" w:color="auto" w:fill="auto"/>
          </w:tcPr>
          <w:p w:rsidR="008C7B45" w:rsidRPr="001E1652" w:rsidRDefault="008C7B45" w:rsidP="008C7B45">
            <w:pPr>
              <w:pStyle w:val="Tabletext"/>
            </w:pPr>
            <w:r w:rsidRPr="001E1652">
              <w:t>1.4140</w:t>
            </w:r>
          </w:p>
        </w:tc>
        <w:tc>
          <w:tcPr>
            <w:tcW w:w="1134" w:type="dxa"/>
            <w:tcBorders>
              <w:bottom w:val="single" w:sz="4" w:space="0" w:color="auto"/>
            </w:tcBorders>
            <w:shd w:val="clear" w:color="auto" w:fill="auto"/>
          </w:tcPr>
          <w:p w:rsidR="008C7B45" w:rsidRPr="001E1652" w:rsidRDefault="008C7B45" w:rsidP="008C7B45">
            <w:pPr>
              <w:pStyle w:val="Tabletext"/>
            </w:pPr>
            <w:r w:rsidRPr="001E1652">
              <w:t>1.2294</w:t>
            </w:r>
          </w:p>
        </w:tc>
      </w:tr>
      <w:tr w:rsidR="008C7B45" w:rsidRPr="001E1652" w:rsidTr="008C7B45">
        <w:tc>
          <w:tcPr>
            <w:tcW w:w="1271" w:type="dxa"/>
            <w:tcBorders>
              <w:bottom w:val="single" w:sz="4" w:space="0" w:color="auto"/>
            </w:tcBorders>
            <w:shd w:val="clear" w:color="auto" w:fill="auto"/>
          </w:tcPr>
          <w:p w:rsidR="008C7B45" w:rsidRPr="001E1652" w:rsidRDefault="008C7B45" w:rsidP="008C7B45">
            <w:pPr>
              <w:pStyle w:val="Tabletext"/>
            </w:pPr>
            <w:r w:rsidRPr="001E1652">
              <w:t>104</w:t>
            </w:r>
          </w:p>
        </w:tc>
        <w:tc>
          <w:tcPr>
            <w:tcW w:w="1134" w:type="dxa"/>
            <w:tcBorders>
              <w:bottom w:val="single" w:sz="4" w:space="0" w:color="auto"/>
            </w:tcBorders>
            <w:shd w:val="clear" w:color="auto" w:fill="auto"/>
            <w:vAlign w:val="center"/>
          </w:tcPr>
          <w:p w:rsidR="008C7B45" w:rsidRPr="001E1652" w:rsidRDefault="008C7B45" w:rsidP="008C7B45">
            <w:pPr>
              <w:pStyle w:val="Tabletext"/>
            </w:pPr>
            <w:r w:rsidRPr="001E1652">
              <w:t>1.1014</w:t>
            </w:r>
          </w:p>
        </w:tc>
        <w:tc>
          <w:tcPr>
            <w:tcW w:w="1134" w:type="dxa"/>
            <w:tcBorders>
              <w:bottom w:val="single" w:sz="4" w:space="0" w:color="auto"/>
            </w:tcBorders>
            <w:shd w:val="clear" w:color="auto" w:fill="auto"/>
            <w:vAlign w:val="center"/>
          </w:tcPr>
          <w:p w:rsidR="008C7B45" w:rsidRPr="001E1652" w:rsidRDefault="008C7B45" w:rsidP="008C7B45">
            <w:pPr>
              <w:pStyle w:val="Tabletext"/>
            </w:pPr>
            <w:r w:rsidRPr="001E1652">
              <w:t>0.9497</w:t>
            </w:r>
          </w:p>
        </w:tc>
      </w:tr>
      <w:tr w:rsidR="008C7B45" w:rsidRPr="001E1652" w:rsidTr="008C7B45">
        <w:tc>
          <w:tcPr>
            <w:tcW w:w="1271" w:type="dxa"/>
            <w:tcBorders>
              <w:bottom w:val="single" w:sz="12" w:space="0" w:color="auto"/>
            </w:tcBorders>
            <w:shd w:val="clear" w:color="auto" w:fill="auto"/>
          </w:tcPr>
          <w:p w:rsidR="008C7B45" w:rsidRPr="001E1652" w:rsidRDefault="008C7B45" w:rsidP="008C7B45">
            <w:pPr>
              <w:pStyle w:val="Tabletext"/>
            </w:pPr>
            <w:r w:rsidRPr="001E1652">
              <w:t>105 and older</w:t>
            </w:r>
          </w:p>
        </w:tc>
        <w:tc>
          <w:tcPr>
            <w:tcW w:w="1134" w:type="dxa"/>
            <w:tcBorders>
              <w:bottom w:val="single" w:sz="12" w:space="0" w:color="auto"/>
            </w:tcBorders>
            <w:shd w:val="clear" w:color="auto" w:fill="auto"/>
            <w:vAlign w:val="center"/>
          </w:tcPr>
          <w:p w:rsidR="008C7B45" w:rsidRPr="001E1652" w:rsidRDefault="008C7B45" w:rsidP="008C7B45">
            <w:pPr>
              <w:pStyle w:val="Tabletext"/>
            </w:pPr>
            <w:r w:rsidRPr="001E1652">
              <w:t>0.6077</w:t>
            </w:r>
          </w:p>
        </w:tc>
        <w:tc>
          <w:tcPr>
            <w:tcW w:w="1134" w:type="dxa"/>
            <w:tcBorders>
              <w:bottom w:val="single" w:sz="12" w:space="0" w:color="auto"/>
            </w:tcBorders>
            <w:shd w:val="clear" w:color="auto" w:fill="auto"/>
            <w:vAlign w:val="center"/>
          </w:tcPr>
          <w:p w:rsidR="008C7B45" w:rsidRPr="001E1652" w:rsidRDefault="008C7B45" w:rsidP="008C7B45">
            <w:pPr>
              <w:pStyle w:val="Tabletext"/>
            </w:pPr>
            <w:r w:rsidRPr="001E1652">
              <w:t>0.5002</w:t>
            </w:r>
          </w:p>
        </w:tc>
      </w:tr>
    </w:tbl>
    <w:p w:rsidR="001041DA" w:rsidRPr="001E1652" w:rsidRDefault="001041DA" w:rsidP="001041DA">
      <w:bookmarkStart w:id="31" w:name="CB_S6P32L7C1"/>
      <w:bookmarkEnd w:id="31"/>
    </w:p>
    <w:p w:rsidR="005D59D4" w:rsidRPr="001E1652" w:rsidRDefault="005D59D4" w:rsidP="001041DA">
      <w:pPr>
        <w:sectPr w:rsidR="005D59D4" w:rsidRPr="001E1652" w:rsidSect="00301E23">
          <w:headerReference w:type="even" r:id="rId59"/>
          <w:headerReference w:type="default" r:id="rId60"/>
          <w:pgSz w:w="11907" w:h="16839" w:code="9"/>
          <w:pgMar w:top="2380" w:right="1797" w:bottom="1440" w:left="1797" w:header="720" w:footer="709" w:gutter="0"/>
          <w:cols w:space="720"/>
          <w:docGrid w:linePitch="299"/>
        </w:sectPr>
      </w:pPr>
    </w:p>
    <w:p w:rsidR="001041DA" w:rsidRPr="001E1652" w:rsidRDefault="001041DA" w:rsidP="005D59D4">
      <w:pPr>
        <w:rPr>
          <w:b/>
          <w:i/>
        </w:rPr>
      </w:pPr>
    </w:p>
    <w:sectPr w:rsidR="001041DA" w:rsidRPr="001E1652" w:rsidSect="00301E23">
      <w:headerReference w:type="even" r:id="rId61"/>
      <w:headerReference w:type="default" r:id="rId62"/>
      <w:footerReference w:type="even" r:id="rId63"/>
      <w:footerReference w:type="default" r:id="rId64"/>
      <w:headerReference w:type="first" r:id="rId65"/>
      <w:footerReference w:type="first" r:id="rId66"/>
      <w:type w:val="continuous"/>
      <w:pgSz w:w="11907" w:h="16839" w:code="9"/>
      <w:pgMar w:top="2380" w:right="1797" w:bottom="1440" w:left="1797" w:header="720" w:footer="709"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7DFA" w:rsidRDefault="00AB7DFA">
      <w:r>
        <w:separator/>
      </w:r>
    </w:p>
  </w:endnote>
  <w:endnote w:type="continuationSeparator" w:id="0">
    <w:p w:rsidR="00AB7DFA" w:rsidRDefault="00AB7D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72"/>
    </w:tblGrid>
    <w:tr w:rsidR="00AB7DFA" w:rsidRPr="00301E23" w:rsidTr="00AB7DFA">
      <w:tc>
        <w:tcPr>
          <w:tcW w:w="8472" w:type="dxa"/>
        </w:tcPr>
        <w:p w:rsidR="00AB7DFA" w:rsidRPr="00301E23" w:rsidRDefault="00AB7DFA" w:rsidP="00AB7DFA">
          <w:pPr>
            <w:jc w:val="right"/>
            <w:rPr>
              <w:rFonts w:cs="Times New Roman"/>
              <w:sz w:val="18"/>
            </w:rPr>
          </w:pPr>
        </w:p>
      </w:tc>
    </w:tr>
  </w:tbl>
  <w:p w:rsidR="00AB7DFA" w:rsidRPr="00301E23" w:rsidRDefault="00301E23" w:rsidP="00301E23">
    <w:pPr>
      <w:pStyle w:val="Footer"/>
      <w:rPr>
        <w:sz w:val="18"/>
      </w:rPr>
    </w:pPr>
    <w:r>
      <w:rPr>
        <w:sz w:val="18"/>
      </w:rPr>
      <w:t>OPC50163</w:t>
    </w:r>
    <w:r w:rsidRPr="00301E23">
      <w:rPr>
        <w:sz w:val="18"/>
      </w:rPr>
      <w:t xml:space="preserve"> - 19</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7DFA" w:rsidRPr="00E33C1C" w:rsidRDefault="00AB7DFA" w:rsidP="00FC19DF">
    <w:pPr>
      <w:pBdr>
        <w:top w:val="single" w:sz="6" w:space="1" w:color="auto"/>
      </w:pBdr>
      <w:spacing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AB7DFA" w:rsidTr="00FC19DF">
      <w:tc>
        <w:tcPr>
          <w:tcW w:w="1384" w:type="dxa"/>
          <w:tcBorders>
            <w:top w:val="nil"/>
            <w:left w:val="nil"/>
            <w:bottom w:val="nil"/>
            <w:right w:val="nil"/>
          </w:tcBorders>
        </w:tcPr>
        <w:p w:rsidR="00AB7DFA" w:rsidRDefault="00AB7DFA" w:rsidP="00FC19DF">
          <w:pPr>
            <w:spacing w:line="0" w:lineRule="atLeast"/>
            <w:rPr>
              <w:sz w:val="18"/>
            </w:rPr>
          </w:pPr>
        </w:p>
      </w:tc>
      <w:tc>
        <w:tcPr>
          <w:tcW w:w="6379" w:type="dxa"/>
          <w:tcBorders>
            <w:top w:val="nil"/>
            <w:left w:val="nil"/>
            <w:bottom w:val="nil"/>
            <w:right w:val="nil"/>
          </w:tcBorders>
        </w:tcPr>
        <w:p w:rsidR="00AB7DFA" w:rsidRDefault="00AB7DFA" w:rsidP="00FC19DF">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BF634A">
            <w:rPr>
              <w:i/>
              <w:sz w:val="18"/>
            </w:rPr>
            <w:t>Governor</w:t>
          </w:r>
          <w:r w:rsidR="00BF634A">
            <w:rPr>
              <w:i/>
              <w:sz w:val="18"/>
            </w:rPr>
            <w:noBreakHyphen/>
            <w:t>General Allowance Order 2013</w:t>
          </w:r>
          <w:r w:rsidRPr="007A1328">
            <w:rPr>
              <w:i/>
              <w:sz w:val="18"/>
            </w:rPr>
            <w:fldChar w:fldCharType="end"/>
          </w:r>
        </w:p>
      </w:tc>
      <w:tc>
        <w:tcPr>
          <w:tcW w:w="709" w:type="dxa"/>
          <w:tcBorders>
            <w:top w:val="nil"/>
            <w:left w:val="nil"/>
            <w:bottom w:val="nil"/>
            <w:right w:val="nil"/>
          </w:tcBorders>
        </w:tcPr>
        <w:p w:rsidR="00AB7DFA" w:rsidRDefault="00AB7DFA" w:rsidP="00FC19DF">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BF634A">
            <w:rPr>
              <w:i/>
              <w:noProof/>
              <w:sz w:val="18"/>
            </w:rPr>
            <w:t>26</w:t>
          </w:r>
          <w:r w:rsidRPr="00ED79B6">
            <w:rPr>
              <w:i/>
              <w:sz w:val="18"/>
            </w:rPr>
            <w:fldChar w:fldCharType="end"/>
          </w:r>
        </w:p>
      </w:tc>
    </w:tr>
    <w:tr w:rsidR="00AB7DFA" w:rsidTr="00FC19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rsidR="00AB7DFA" w:rsidRDefault="00AB7DFA" w:rsidP="00FC19DF">
          <w:pPr>
            <w:rPr>
              <w:sz w:val="18"/>
            </w:rPr>
          </w:pPr>
        </w:p>
      </w:tc>
    </w:tr>
  </w:tbl>
  <w:p w:rsidR="00AB7DFA" w:rsidRPr="00ED79B6" w:rsidRDefault="00301E23" w:rsidP="00301E23">
    <w:pPr>
      <w:rPr>
        <w:i/>
        <w:sz w:val="18"/>
      </w:rPr>
    </w:pPr>
    <w:r>
      <w:rPr>
        <w:i/>
        <w:sz w:val="18"/>
      </w:rPr>
      <w:t>OPC50163</w:t>
    </w:r>
    <w:r w:rsidRPr="00301E23">
      <w:rPr>
        <w:rFonts w:cs="Times New Roman"/>
        <w:i/>
        <w:sz w:val="18"/>
      </w:rPr>
      <w:t xml:space="preserve"> - 19</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7DFA" w:rsidRPr="00E33C1C" w:rsidRDefault="00AB7DFA" w:rsidP="00FC19DF">
    <w:pPr>
      <w:pBdr>
        <w:top w:val="single" w:sz="6" w:space="1" w:color="auto"/>
      </w:pBdr>
      <w:spacing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AB7DFA" w:rsidTr="00FC19DF">
      <w:tc>
        <w:tcPr>
          <w:tcW w:w="1384" w:type="dxa"/>
          <w:tcBorders>
            <w:top w:val="nil"/>
            <w:left w:val="nil"/>
            <w:bottom w:val="nil"/>
            <w:right w:val="nil"/>
          </w:tcBorders>
        </w:tcPr>
        <w:p w:rsidR="00AB7DFA" w:rsidRDefault="00AB7DFA" w:rsidP="00FC19DF">
          <w:pPr>
            <w:spacing w:line="0" w:lineRule="atLeast"/>
            <w:rPr>
              <w:sz w:val="18"/>
            </w:rPr>
          </w:pPr>
        </w:p>
      </w:tc>
      <w:tc>
        <w:tcPr>
          <w:tcW w:w="6379" w:type="dxa"/>
          <w:tcBorders>
            <w:top w:val="nil"/>
            <w:left w:val="nil"/>
            <w:bottom w:val="nil"/>
            <w:right w:val="nil"/>
          </w:tcBorders>
        </w:tcPr>
        <w:p w:rsidR="00AB7DFA" w:rsidRDefault="00AB7DFA" w:rsidP="00FC19DF">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BF634A">
            <w:rPr>
              <w:i/>
              <w:sz w:val="18"/>
            </w:rPr>
            <w:t>Governor</w:t>
          </w:r>
          <w:r w:rsidR="00BF634A">
            <w:rPr>
              <w:i/>
              <w:sz w:val="18"/>
            </w:rPr>
            <w:noBreakHyphen/>
            <w:t>General Allowance Order 2013</w:t>
          </w:r>
          <w:r w:rsidRPr="007A1328">
            <w:rPr>
              <w:i/>
              <w:sz w:val="18"/>
            </w:rPr>
            <w:fldChar w:fldCharType="end"/>
          </w:r>
        </w:p>
      </w:tc>
      <w:tc>
        <w:tcPr>
          <w:tcW w:w="709" w:type="dxa"/>
          <w:tcBorders>
            <w:top w:val="nil"/>
            <w:left w:val="nil"/>
            <w:bottom w:val="nil"/>
            <w:right w:val="nil"/>
          </w:tcBorders>
        </w:tcPr>
        <w:p w:rsidR="00AB7DFA" w:rsidRDefault="00AB7DFA" w:rsidP="00FC19DF">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BF634A">
            <w:rPr>
              <w:i/>
              <w:noProof/>
              <w:sz w:val="18"/>
            </w:rPr>
            <w:t>26</w:t>
          </w:r>
          <w:r w:rsidRPr="00ED79B6">
            <w:rPr>
              <w:i/>
              <w:sz w:val="18"/>
            </w:rPr>
            <w:fldChar w:fldCharType="end"/>
          </w:r>
        </w:p>
      </w:tc>
    </w:tr>
    <w:tr w:rsidR="00AB7DFA" w:rsidTr="00FC19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rsidR="00AB7DFA" w:rsidRDefault="00AB7DFA" w:rsidP="00FC19DF">
          <w:pPr>
            <w:rPr>
              <w:sz w:val="18"/>
            </w:rPr>
          </w:pPr>
        </w:p>
      </w:tc>
    </w:tr>
  </w:tbl>
  <w:p w:rsidR="00AB7DFA" w:rsidRPr="00ED79B6" w:rsidRDefault="00AB7DFA" w:rsidP="00FC19DF">
    <w:pPr>
      <w:rPr>
        <w:i/>
        <w:sz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72"/>
    </w:tblGrid>
    <w:tr w:rsidR="00AB7DFA" w:rsidTr="00AB7DFA">
      <w:tc>
        <w:tcPr>
          <w:tcW w:w="8472" w:type="dxa"/>
        </w:tcPr>
        <w:p w:rsidR="00AB7DFA" w:rsidRDefault="00AB7DFA" w:rsidP="00AB7DFA">
          <w:pPr>
            <w:rPr>
              <w:sz w:val="18"/>
            </w:rPr>
          </w:pPr>
        </w:p>
      </w:tc>
    </w:tr>
  </w:tbl>
  <w:p w:rsidR="00AB7DFA" w:rsidRPr="007500C8" w:rsidRDefault="00301E23" w:rsidP="00301E23">
    <w:pPr>
      <w:pStyle w:val="Footer"/>
    </w:pPr>
    <w:r>
      <w:t>OPC50163</w:t>
    </w:r>
    <w:r w:rsidRPr="00301E23">
      <w:rPr>
        <w:sz w:val="18"/>
      </w:rPr>
      <w:t xml:space="preserve"> - 19</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7DFA" w:rsidRPr="00ED79B6" w:rsidRDefault="00AB7DFA" w:rsidP="00D046EB">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7DFA" w:rsidRPr="00301E23" w:rsidRDefault="00AB7DFA" w:rsidP="00D046EB">
    <w:pPr>
      <w:pBdr>
        <w:top w:val="single" w:sz="6" w:space="1" w:color="auto"/>
      </w:pBdr>
      <w:spacing w:before="120" w:line="0" w:lineRule="atLeast"/>
      <w:rPr>
        <w:rFonts w:cs="Times New Roman"/>
        <w:sz w:val="18"/>
        <w:szCs w:val="16"/>
      </w:rPr>
    </w:pPr>
  </w:p>
  <w:tbl>
    <w:tblPr>
      <w:tblStyle w:val="TableGrid"/>
      <w:tblW w:w="0" w:type="auto"/>
      <w:tblLayout w:type="fixed"/>
      <w:tblLook w:val="04A0" w:firstRow="1" w:lastRow="0" w:firstColumn="1" w:lastColumn="0" w:noHBand="0" w:noVBand="1"/>
    </w:tblPr>
    <w:tblGrid>
      <w:gridCol w:w="709"/>
      <w:gridCol w:w="6379"/>
      <w:gridCol w:w="1384"/>
    </w:tblGrid>
    <w:tr w:rsidR="00AB7DFA" w:rsidRPr="00301E23" w:rsidTr="00AB7DFA">
      <w:tc>
        <w:tcPr>
          <w:tcW w:w="709" w:type="dxa"/>
          <w:tcBorders>
            <w:top w:val="nil"/>
            <w:left w:val="nil"/>
            <w:bottom w:val="nil"/>
            <w:right w:val="nil"/>
          </w:tcBorders>
        </w:tcPr>
        <w:p w:rsidR="00AB7DFA" w:rsidRPr="00301E23" w:rsidRDefault="00AB7DFA" w:rsidP="00AB7DFA">
          <w:pPr>
            <w:spacing w:line="0" w:lineRule="atLeast"/>
            <w:rPr>
              <w:rFonts w:cs="Times New Roman"/>
              <w:sz w:val="18"/>
            </w:rPr>
          </w:pPr>
          <w:r w:rsidRPr="00301E23">
            <w:rPr>
              <w:rFonts w:cs="Times New Roman"/>
              <w:i/>
              <w:sz w:val="18"/>
            </w:rPr>
            <w:fldChar w:fldCharType="begin"/>
          </w:r>
          <w:r w:rsidRPr="00301E23">
            <w:rPr>
              <w:rFonts w:cs="Times New Roman"/>
              <w:i/>
              <w:sz w:val="18"/>
            </w:rPr>
            <w:instrText xml:space="preserve"> PAGE </w:instrText>
          </w:r>
          <w:r w:rsidRPr="00301E23">
            <w:rPr>
              <w:rFonts w:cs="Times New Roman"/>
              <w:i/>
              <w:sz w:val="18"/>
            </w:rPr>
            <w:fldChar w:fldCharType="separate"/>
          </w:r>
          <w:r w:rsidR="00BF634A">
            <w:rPr>
              <w:rFonts w:cs="Times New Roman"/>
              <w:i/>
              <w:noProof/>
              <w:sz w:val="18"/>
            </w:rPr>
            <w:t>xxvi</w:t>
          </w:r>
          <w:r w:rsidRPr="00301E23">
            <w:rPr>
              <w:rFonts w:cs="Times New Roman"/>
              <w:i/>
              <w:sz w:val="18"/>
            </w:rPr>
            <w:fldChar w:fldCharType="end"/>
          </w:r>
        </w:p>
      </w:tc>
      <w:tc>
        <w:tcPr>
          <w:tcW w:w="6379" w:type="dxa"/>
          <w:tcBorders>
            <w:top w:val="nil"/>
            <w:left w:val="nil"/>
            <w:bottom w:val="nil"/>
            <w:right w:val="nil"/>
          </w:tcBorders>
        </w:tcPr>
        <w:p w:rsidR="00AB7DFA" w:rsidRPr="00301E23" w:rsidRDefault="00AB7DFA" w:rsidP="00AB7DFA">
          <w:pPr>
            <w:spacing w:line="0" w:lineRule="atLeast"/>
            <w:jc w:val="center"/>
            <w:rPr>
              <w:rFonts w:cs="Times New Roman"/>
              <w:sz w:val="18"/>
            </w:rPr>
          </w:pPr>
          <w:r w:rsidRPr="00301E23">
            <w:rPr>
              <w:rFonts w:cs="Times New Roman"/>
              <w:i/>
              <w:sz w:val="18"/>
            </w:rPr>
            <w:fldChar w:fldCharType="begin"/>
          </w:r>
          <w:r w:rsidRPr="00301E23">
            <w:rPr>
              <w:rFonts w:cs="Times New Roman"/>
              <w:i/>
              <w:sz w:val="18"/>
            </w:rPr>
            <w:instrText xml:space="preserve"> DOCPROPERTY ShortT </w:instrText>
          </w:r>
          <w:r w:rsidRPr="00301E23">
            <w:rPr>
              <w:rFonts w:cs="Times New Roman"/>
              <w:i/>
              <w:sz w:val="18"/>
            </w:rPr>
            <w:fldChar w:fldCharType="separate"/>
          </w:r>
          <w:r w:rsidR="00BF634A">
            <w:rPr>
              <w:rFonts w:cs="Times New Roman"/>
              <w:i/>
              <w:sz w:val="18"/>
            </w:rPr>
            <w:t>Governor</w:t>
          </w:r>
          <w:r w:rsidR="00BF634A">
            <w:rPr>
              <w:rFonts w:cs="Times New Roman"/>
              <w:i/>
              <w:sz w:val="18"/>
            </w:rPr>
            <w:noBreakHyphen/>
            <w:t>General Allowance Order 2013</w:t>
          </w:r>
          <w:r w:rsidRPr="00301E23">
            <w:rPr>
              <w:rFonts w:cs="Times New Roman"/>
              <w:i/>
              <w:sz w:val="18"/>
            </w:rPr>
            <w:fldChar w:fldCharType="end"/>
          </w:r>
        </w:p>
      </w:tc>
      <w:tc>
        <w:tcPr>
          <w:tcW w:w="1383" w:type="dxa"/>
          <w:tcBorders>
            <w:top w:val="nil"/>
            <w:left w:val="nil"/>
            <w:bottom w:val="nil"/>
            <w:right w:val="nil"/>
          </w:tcBorders>
        </w:tcPr>
        <w:p w:rsidR="00AB7DFA" w:rsidRPr="00301E23" w:rsidRDefault="00AB7DFA" w:rsidP="00AB7DFA">
          <w:pPr>
            <w:spacing w:line="0" w:lineRule="atLeast"/>
            <w:jc w:val="right"/>
            <w:rPr>
              <w:rFonts w:cs="Times New Roman"/>
              <w:sz w:val="18"/>
            </w:rPr>
          </w:pPr>
        </w:p>
      </w:tc>
    </w:tr>
    <w:tr w:rsidR="00AB7DFA" w:rsidRPr="00301E23" w:rsidTr="00AB7D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rsidR="00AB7DFA" w:rsidRPr="00301E23" w:rsidRDefault="00AB7DFA" w:rsidP="00AB7DFA">
          <w:pPr>
            <w:jc w:val="right"/>
            <w:rPr>
              <w:rFonts w:cs="Times New Roman"/>
              <w:sz w:val="18"/>
            </w:rPr>
          </w:pPr>
        </w:p>
      </w:tc>
    </w:tr>
  </w:tbl>
  <w:p w:rsidR="00AB7DFA" w:rsidRPr="00301E23" w:rsidRDefault="00301E23" w:rsidP="00301E23">
    <w:pPr>
      <w:rPr>
        <w:rFonts w:cs="Times New Roman"/>
        <w:i/>
        <w:sz w:val="18"/>
      </w:rPr>
    </w:pPr>
    <w:r>
      <w:rPr>
        <w:rFonts w:cs="Times New Roman"/>
        <w:i/>
        <w:sz w:val="18"/>
      </w:rPr>
      <w:t>OPC50163</w:t>
    </w:r>
    <w:r w:rsidRPr="00301E23">
      <w:rPr>
        <w:rFonts w:cs="Times New Roman"/>
        <w:i/>
        <w:sz w:val="18"/>
      </w:rPr>
      <w:t xml:space="preserve"> - 19</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7DFA" w:rsidRPr="00E33C1C" w:rsidRDefault="00AB7DFA" w:rsidP="00D046EB">
    <w:pPr>
      <w:pBdr>
        <w:top w:val="single" w:sz="6" w:space="1" w:color="auto"/>
      </w:pBdr>
      <w:spacing w:before="120" w:line="0" w:lineRule="atLeast"/>
      <w:rPr>
        <w:sz w:val="16"/>
        <w:szCs w:val="16"/>
      </w:rPr>
    </w:pPr>
  </w:p>
  <w:tbl>
    <w:tblPr>
      <w:tblStyle w:val="TableGrid"/>
      <w:tblW w:w="8472" w:type="dxa"/>
      <w:tblLayout w:type="fixed"/>
      <w:tblLook w:val="04A0" w:firstRow="1" w:lastRow="0" w:firstColumn="1" w:lastColumn="0" w:noHBand="0" w:noVBand="1"/>
    </w:tblPr>
    <w:tblGrid>
      <w:gridCol w:w="1383"/>
      <w:gridCol w:w="6380"/>
      <w:gridCol w:w="709"/>
    </w:tblGrid>
    <w:tr w:rsidR="00AB7DFA" w:rsidTr="00AB7DFA">
      <w:tc>
        <w:tcPr>
          <w:tcW w:w="1383" w:type="dxa"/>
          <w:tcBorders>
            <w:top w:val="nil"/>
            <w:left w:val="nil"/>
            <w:bottom w:val="nil"/>
            <w:right w:val="nil"/>
          </w:tcBorders>
        </w:tcPr>
        <w:p w:rsidR="00AB7DFA" w:rsidRDefault="00AB7DFA" w:rsidP="00AB7DFA">
          <w:pPr>
            <w:spacing w:line="0" w:lineRule="atLeast"/>
            <w:rPr>
              <w:sz w:val="18"/>
            </w:rPr>
          </w:pPr>
        </w:p>
      </w:tc>
      <w:tc>
        <w:tcPr>
          <w:tcW w:w="6380" w:type="dxa"/>
          <w:tcBorders>
            <w:top w:val="nil"/>
            <w:left w:val="nil"/>
            <w:bottom w:val="nil"/>
            <w:right w:val="nil"/>
          </w:tcBorders>
        </w:tcPr>
        <w:p w:rsidR="00AB7DFA" w:rsidRDefault="00AB7DFA" w:rsidP="00AB7DFA">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BF634A">
            <w:rPr>
              <w:i/>
              <w:sz w:val="18"/>
            </w:rPr>
            <w:t>Governor</w:t>
          </w:r>
          <w:r w:rsidR="00BF634A">
            <w:rPr>
              <w:i/>
              <w:sz w:val="18"/>
            </w:rPr>
            <w:noBreakHyphen/>
            <w:t>General Allowance Order 2013</w:t>
          </w:r>
          <w:r w:rsidRPr="007A1328">
            <w:rPr>
              <w:i/>
              <w:sz w:val="18"/>
            </w:rPr>
            <w:fldChar w:fldCharType="end"/>
          </w:r>
        </w:p>
      </w:tc>
      <w:tc>
        <w:tcPr>
          <w:tcW w:w="709" w:type="dxa"/>
          <w:tcBorders>
            <w:top w:val="nil"/>
            <w:left w:val="nil"/>
            <w:bottom w:val="nil"/>
            <w:right w:val="nil"/>
          </w:tcBorders>
        </w:tcPr>
        <w:p w:rsidR="00AB7DFA" w:rsidRDefault="00AB7DFA" w:rsidP="00AB7DFA">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BF634A">
            <w:rPr>
              <w:i/>
              <w:noProof/>
              <w:sz w:val="18"/>
            </w:rPr>
            <w:t>i</w:t>
          </w:r>
          <w:r w:rsidRPr="00ED79B6">
            <w:rPr>
              <w:i/>
              <w:sz w:val="18"/>
            </w:rPr>
            <w:fldChar w:fldCharType="end"/>
          </w:r>
        </w:p>
      </w:tc>
    </w:tr>
    <w:tr w:rsidR="00AB7DFA" w:rsidTr="00AB7D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rsidR="00AB7DFA" w:rsidRDefault="00AB7DFA" w:rsidP="00AB7DFA">
          <w:pPr>
            <w:rPr>
              <w:sz w:val="18"/>
            </w:rPr>
          </w:pPr>
        </w:p>
      </w:tc>
    </w:tr>
  </w:tbl>
  <w:p w:rsidR="00AB7DFA" w:rsidRPr="00ED79B6" w:rsidRDefault="00301E23" w:rsidP="00301E23">
    <w:pPr>
      <w:rPr>
        <w:i/>
        <w:sz w:val="18"/>
      </w:rPr>
    </w:pPr>
    <w:r>
      <w:rPr>
        <w:i/>
        <w:sz w:val="18"/>
      </w:rPr>
      <w:t>OPC50163</w:t>
    </w:r>
    <w:r w:rsidRPr="00301E23">
      <w:rPr>
        <w:rFonts w:cs="Times New Roman"/>
        <w:i/>
        <w:sz w:val="18"/>
      </w:rPr>
      <w:t xml:space="preserve"> - 19</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7DFA" w:rsidRPr="00301E23" w:rsidRDefault="00AB7DFA" w:rsidP="00D046EB">
    <w:pPr>
      <w:pBdr>
        <w:top w:val="single" w:sz="6" w:space="1" w:color="auto"/>
      </w:pBdr>
      <w:spacing w:before="120" w:line="0" w:lineRule="atLeast"/>
      <w:rPr>
        <w:rFonts w:cs="Times New Roman"/>
        <w:sz w:val="18"/>
        <w:szCs w:val="16"/>
      </w:rPr>
    </w:pPr>
  </w:p>
  <w:tbl>
    <w:tblPr>
      <w:tblStyle w:val="TableGrid"/>
      <w:tblW w:w="0" w:type="auto"/>
      <w:tblLayout w:type="fixed"/>
      <w:tblLook w:val="04A0" w:firstRow="1" w:lastRow="0" w:firstColumn="1" w:lastColumn="0" w:noHBand="0" w:noVBand="1"/>
    </w:tblPr>
    <w:tblGrid>
      <w:gridCol w:w="709"/>
      <w:gridCol w:w="6379"/>
      <w:gridCol w:w="1384"/>
    </w:tblGrid>
    <w:tr w:rsidR="00AB7DFA" w:rsidRPr="00301E23" w:rsidTr="00AB7DFA">
      <w:tc>
        <w:tcPr>
          <w:tcW w:w="709" w:type="dxa"/>
          <w:tcBorders>
            <w:top w:val="nil"/>
            <w:left w:val="nil"/>
            <w:bottom w:val="nil"/>
            <w:right w:val="nil"/>
          </w:tcBorders>
        </w:tcPr>
        <w:p w:rsidR="00AB7DFA" w:rsidRPr="00301E23" w:rsidRDefault="00AB7DFA" w:rsidP="00AB7DFA">
          <w:pPr>
            <w:spacing w:line="0" w:lineRule="atLeast"/>
            <w:rPr>
              <w:rFonts w:cs="Times New Roman"/>
              <w:sz w:val="18"/>
            </w:rPr>
          </w:pPr>
          <w:r w:rsidRPr="00301E23">
            <w:rPr>
              <w:rFonts w:cs="Times New Roman"/>
              <w:i/>
              <w:sz w:val="18"/>
            </w:rPr>
            <w:fldChar w:fldCharType="begin"/>
          </w:r>
          <w:r w:rsidRPr="00301E23">
            <w:rPr>
              <w:rFonts w:cs="Times New Roman"/>
              <w:i/>
              <w:sz w:val="18"/>
            </w:rPr>
            <w:instrText xml:space="preserve"> PAGE </w:instrText>
          </w:r>
          <w:r w:rsidRPr="00301E23">
            <w:rPr>
              <w:rFonts w:cs="Times New Roman"/>
              <w:i/>
              <w:sz w:val="18"/>
            </w:rPr>
            <w:fldChar w:fldCharType="separate"/>
          </w:r>
          <w:r w:rsidR="00BF634A">
            <w:rPr>
              <w:rFonts w:cs="Times New Roman"/>
              <w:i/>
              <w:noProof/>
              <w:sz w:val="18"/>
            </w:rPr>
            <w:t>30</w:t>
          </w:r>
          <w:r w:rsidRPr="00301E23">
            <w:rPr>
              <w:rFonts w:cs="Times New Roman"/>
              <w:i/>
              <w:sz w:val="18"/>
            </w:rPr>
            <w:fldChar w:fldCharType="end"/>
          </w:r>
        </w:p>
      </w:tc>
      <w:tc>
        <w:tcPr>
          <w:tcW w:w="6379" w:type="dxa"/>
          <w:tcBorders>
            <w:top w:val="nil"/>
            <w:left w:val="nil"/>
            <w:bottom w:val="nil"/>
            <w:right w:val="nil"/>
          </w:tcBorders>
        </w:tcPr>
        <w:p w:rsidR="00AB7DFA" w:rsidRPr="00301E23" w:rsidRDefault="00AB7DFA" w:rsidP="00AB7DFA">
          <w:pPr>
            <w:spacing w:line="0" w:lineRule="atLeast"/>
            <w:jc w:val="center"/>
            <w:rPr>
              <w:rFonts w:cs="Times New Roman"/>
              <w:sz w:val="18"/>
            </w:rPr>
          </w:pPr>
          <w:r w:rsidRPr="00301E23">
            <w:rPr>
              <w:rFonts w:cs="Times New Roman"/>
              <w:i/>
              <w:sz w:val="18"/>
            </w:rPr>
            <w:fldChar w:fldCharType="begin"/>
          </w:r>
          <w:r w:rsidRPr="00301E23">
            <w:rPr>
              <w:rFonts w:cs="Times New Roman"/>
              <w:i/>
              <w:sz w:val="18"/>
            </w:rPr>
            <w:instrText xml:space="preserve"> DOCPROPERTY ShortT </w:instrText>
          </w:r>
          <w:r w:rsidRPr="00301E23">
            <w:rPr>
              <w:rFonts w:cs="Times New Roman"/>
              <w:i/>
              <w:sz w:val="18"/>
            </w:rPr>
            <w:fldChar w:fldCharType="separate"/>
          </w:r>
          <w:r w:rsidR="00BF634A">
            <w:rPr>
              <w:rFonts w:cs="Times New Roman"/>
              <w:i/>
              <w:sz w:val="18"/>
            </w:rPr>
            <w:t>Governor</w:t>
          </w:r>
          <w:r w:rsidR="00BF634A">
            <w:rPr>
              <w:rFonts w:cs="Times New Roman"/>
              <w:i/>
              <w:sz w:val="18"/>
            </w:rPr>
            <w:noBreakHyphen/>
            <w:t>General Allowance Order 2013</w:t>
          </w:r>
          <w:r w:rsidRPr="00301E23">
            <w:rPr>
              <w:rFonts w:cs="Times New Roman"/>
              <w:i/>
              <w:sz w:val="18"/>
            </w:rPr>
            <w:fldChar w:fldCharType="end"/>
          </w:r>
        </w:p>
      </w:tc>
      <w:tc>
        <w:tcPr>
          <w:tcW w:w="1383" w:type="dxa"/>
          <w:tcBorders>
            <w:top w:val="nil"/>
            <w:left w:val="nil"/>
            <w:bottom w:val="nil"/>
            <w:right w:val="nil"/>
          </w:tcBorders>
        </w:tcPr>
        <w:p w:rsidR="00AB7DFA" w:rsidRPr="00301E23" w:rsidRDefault="00AB7DFA" w:rsidP="00AB7DFA">
          <w:pPr>
            <w:spacing w:line="0" w:lineRule="atLeast"/>
            <w:jc w:val="right"/>
            <w:rPr>
              <w:rFonts w:cs="Times New Roman"/>
              <w:sz w:val="18"/>
            </w:rPr>
          </w:pPr>
        </w:p>
      </w:tc>
    </w:tr>
    <w:tr w:rsidR="00AB7DFA" w:rsidRPr="00301E23" w:rsidTr="00AB7D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rsidR="00AB7DFA" w:rsidRPr="00301E23" w:rsidRDefault="00AB7DFA" w:rsidP="00AB7DFA">
          <w:pPr>
            <w:jc w:val="right"/>
            <w:rPr>
              <w:rFonts w:cs="Times New Roman"/>
              <w:sz w:val="18"/>
            </w:rPr>
          </w:pPr>
        </w:p>
      </w:tc>
    </w:tr>
  </w:tbl>
  <w:p w:rsidR="00AB7DFA" w:rsidRPr="00301E23" w:rsidRDefault="00301E23" w:rsidP="00301E23">
    <w:pPr>
      <w:rPr>
        <w:rFonts w:cs="Times New Roman"/>
        <w:i/>
        <w:sz w:val="18"/>
      </w:rPr>
    </w:pPr>
    <w:r w:rsidRPr="00301E23">
      <w:rPr>
        <w:rFonts w:cs="Times New Roman"/>
        <w:i/>
        <w:sz w:val="18"/>
      </w:rPr>
      <w:t>OPC50163 - 19</w:t>
    </w:r>
    <w:r>
      <w:rPr>
        <w:rFonts w:cs="Times New Roman"/>
        <w:i/>
        <w:sz w:val="18"/>
      </w:rPr>
      <w:t>OPC50163</w:t>
    </w:r>
    <w:r w:rsidRPr="00301E23">
      <w:rPr>
        <w:rFonts w:cs="Times New Roman"/>
        <w:i/>
        <w:sz w:val="18"/>
      </w:rPr>
      <w:t xml:space="preserve"> - 19</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7DFA" w:rsidRPr="00E33C1C" w:rsidRDefault="00AB7DFA" w:rsidP="00D046EB">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AB7DFA" w:rsidTr="00AB7DFA">
      <w:tc>
        <w:tcPr>
          <w:tcW w:w="1384" w:type="dxa"/>
          <w:tcBorders>
            <w:top w:val="nil"/>
            <w:left w:val="nil"/>
            <w:bottom w:val="nil"/>
            <w:right w:val="nil"/>
          </w:tcBorders>
        </w:tcPr>
        <w:p w:rsidR="00AB7DFA" w:rsidRDefault="00AB7DFA" w:rsidP="00AB7DFA">
          <w:pPr>
            <w:spacing w:line="0" w:lineRule="atLeast"/>
            <w:rPr>
              <w:sz w:val="18"/>
            </w:rPr>
          </w:pPr>
        </w:p>
      </w:tc>
      <w:tc>
        <w:tcPr>
          <w:tcW w:w="6379" w:type="dxa"/>
          <w:tcBorders>
            <w:top w:val="nil"/>
            <w:left w:val="nil"/>
            <w:bottom w:val="nil"/>
            <w:right w:val="nil"/>
          </w:tcBorders>
        </w:tcPr>
        <w:p w:rsidR="00AB7DFA" w:rsidRDefault="00AB7DFA" w:rsidP="00AB7DFA">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BF634A">
            <w:rPr>
              <w:i/>
              <w:sz w:val="18"/>
            </w:rPr>
            <w:t>Governor</w:t>
          </w:r>
          <w:r w:rsidR="00BF634A">
            <w:rPr>
              <w:i/>
              <w:sz w:val="18"/>
            </w:rPr>
            <w:noBreakHyphen/>
            <w:t>General Allowance Order 2013</w:t>
          </w:r>
          <w:r w:rsidRPr="007A1328">
            <w:rPr>
              <w:i/>
              <w:sz w:val="18"/>
            </w:rPr>
            <w:fldChar w:fldCharType="end"/>
          </w:r>
        </w:p>
      </w:tc>
      <w:tc>
        <w:tcPr>
          <w:tcW w:w="709" w:type="dxa"/>
          <w:tcBorders>
            <w:top w:val="nil"/>
            <w:left w:val="nil"/>
            <w:bottom w:val="nil"/>
            <w:right w:val="nil"/>
          </w:tcBorders>
        </w:tcPr>
        <w:p w:rsidR="00AB7DFA" w:rsidRDefault="00AB7DFA" w:rsidP="00AB7DFA">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BF634A">
            <w:rPr>
              <w:i/>
              <w:noProof/>
              <w:sz w:val="18"/>
            </w:rPr>
            <w:t>29</w:t>
          </w:r>
          <w:r w:rsidRPr="00ED79B6">
            <w:rPr>
              <w:i/>
              <w:sz w:val="18"/>
            </w:rPr>
            <w:fldChar w:fldCharType="end"/>
          </w:r>
        </w:p>
      </w:tc>
    </w:tr>
    <w:tr w:rsidR="00AB7DFA" w:rsidTr="00AB7D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rsidR="00AB7DFA" w:rsidRDefault="00AB7DFA" w:rsidP="00AB7DFA">
          <w:pPr>
            <w:rPr>
              <w:sz w:val="18"/>
            </w:rPr>
          </w:pPr>
        </w:p>
      </w:tc>
    </w:tr>
  </w:tbl>
  <w:p w:rsidR="00AB7DFA" w:rsidRPr="00ED79B6" w:rsidRDefault="00301E23" w:rsidP="00301E23">
    <w:pPr>
      <w:rPr>
        <w:i/>
        <w:sz w:val="18"/>
      </w:rPr>
    </w:pPr>
    <w:r>
      <w:rPr>
        <w:i/>
        <w:sz w:val="18"/>
      </w:rPr>
      <w:t>OPC50163</w:t>
    </w:r>
    <w:r w:rsidRPr="00301E23">
      <w:rPr>
        <w:rFonts w:cs="Times New Roman"/>
        <w:i/>
        <w:sz w:val="18"/>
      </w:rPr>
      <w:t xml:space="preserve"> - 19</w:t>
    </w:r>
    <w:r>
      <w:rPr>
        <w:rFonts w:cs="Times New Roman"/>
        <w:i/>
        <w:sz w:val="18"/>
      </w:rPr>
      <w:t>OPC50163</w:t>
    </w:r>
    <w:r w:rsidRPr="00301E23">
      <w:rPr>
        <w:rFonts w:cs="Times New Roman"/>
        <w:i/>
        <w:sz w:val="18"/>
      </w:rPr>
      <w:t xml:space="preserve"> - 19</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7DFA" w:rsidRPr="00E33C1C" w:rsidRDefault="00AB7DFA" w:rsidP="00D046EB">
    <w:pPr>
      <w:pBdr>
        <w:top w:val="single" w:sz="6" w:space="1" w:color="auto"/>
      </w:pBdr>
      <w:spacing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AB7DFA" w:rsidTr="00AB7DFA">
      <w:tc>
        <w:tcPr>
          <w:tcW w:w="1384" w:type="dxa"/>
          <w:tcBorders>
            <w:top w:val="nil"/>
            <w:left w:val="nil"/>
            <w:bottom w:val="nil"/>
            <w:right w:val="nil"/>
          </w:tcBorders>
        </w:tcPr>
        <w:p w:rsidR="00AB7DFA" w:rsidRDefault="00AB7DFA" w:rsidP="00AB7DFA">
          <w:pPr>
            <w:spacing w:line="0" w:lineRule="atLeast"/>
            <w:rPr>
              <w:sz w:val="18"/>
            </w:rPr>
          </w:pPr>
        </w:p>
      </w:tc>
      <w:tc>
        <w:tcPr>
          <w:tcW w:w="6379" w:type="dxa"/>
          <w:tcBorders>
            <w:top w:val="nil"/>
            <w:left w:val="nil"/>
            <w:bottom w:val="nil"/>
            <w:right w:val="nil"/>
          </w:tcBorders>
        </w:tcPr>
        <w:p w:rsidR="00AB7DFA" w:rsidRDefault="00AB7DFA" w:rsidP="00AB7DFA">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BF634A">
            <w:rPr>
              <w:i/>
              <w:sz w:val="18"/>
            </w:rPr>
            <w:t>Governor</w:t>
          </w:r>
          <w:r w:rsidR="00BF634A">
            <w:rPr>
              <w:i/>
              <w:sz w:val="18"/>
            </w:rPr>
            <w:noBreakHyphen/>
            <w:t>General Allowance Order 2013</w:t>
          </w:r>
          <w:r w:rsidRPr="007A1328">
            <w:rPr>
              <w:i/>
              <w:sz w:val="18"/>
            </w:rPr>
            <w:fldChar w:fldCharType="end"/>
          </w:r>
        </w:p>
      </w:tc>
      <w:tc>
        <w:tcPr>
          <w:tcW w:w="709" w:type="dxa"/>
          <w:tcBorders>
            <w:top w:val="nil"/>
            <w:left w:val="nil"/>
            <w:bottom w:val="nil"/>
            <w:right w:val="nil"/>
          </w:tcBorders>
        </w:tcPr>
        <w:p w:rsidR="00AB7DFA" w:rsidRDefault="00AB7DFA" w:rsidP="00AB7DFA">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BF634A">
            <w:rPr>
              <w:i/>
              <w:noProof/>
              <w:sz w:val="18"/>
            </w:rPr>
            <w:t>26</w:t>
          </w:r>
          <w:r w:rsidRPr="00ED79B6">
            <w:rPr>
              <w:i/>
              <w:sz w:val="18"/>
            </w:rPr>
            <w:fldChar w:fldCharType="end"/>
          </w:r>
        </w:p>
      </w:tc>
    </w:tr>
    <w:tr w:rsidR="00AB7DFA" w:rsidTr="00AB7D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rsidR="00AB7DFA" w:rsidRDefault="00AB7DFA" w:rsidP="00AB7DFA">
          <w:pPr>
            <w:rPr>
              <w:sz w:val="18"/>
            </w:rPr>
          </w:pPr>
        </w:p>
      </w:tc>
    </w:tr>
  </w:tbl>
  <w:p w:rsidR="00AB7DFA" w:rsidRPr="00ED79B6" w:rsidRDefault="00AB7DFA" w:rsidP="00D046EB">
    <w:pPr>
      <w:rPr>
        <w:i/>
        <w:sz w:val="18"/>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7DFA" w:rsidRPr="00301E23" w:rsidRDefault="00AB7DFA" w:rsidP="00FC19DF">
    <w:pPr>
      <w:pBdr>
        <w:top w:val="single" w:sz="6" w:space="1" w:color="auto"/>
      </w:pBdr>
      <w:spacing w:line="0" w:lineRule="atLeast"/>
      <w:rPr>
        <w:rFonts w:cs="Times New Roman"/>
        <w:sz w:val="18"/>
        <w:szCs w:val="16"/>
      </w:rPr>
    </w:pPr>
  </w:p>
  <w:tbl>
    <w:tblPr>
      <w:tblStyle w:val="TableGrid"/>
      <w:tblW w:w="0" w:type="auto"/>
      <w:tblLayout w:type="fixed"/>
      <w:tblLook w:val="04A0" w:firstRow="1" w:lastRow="0" w:firstColumn="1" w:lastColumn="0" w:noHBand="0" w:noVBand="1"/>
    </w:tblPr>
    <w:tblGrid>
      <w:gridCol w:w="709"/>
      <w:gridCol w:w="6379"/>
      <w:gridCol w:w="1384"/>
    </w:tblGrid>
    <w:tr w:rsidR="00AB7DFA" w:rsidRPr="00301E23" w:rsidTr="00FC19DF">
      <w:tc>
        <w:tcPr>
          <w:tcW w:w="709" w:type="dxa"/>
          <w:tcBorders>
            <w:top w:val="nil"/>
            <w:left w:val="nil"/>
            <w:bottom w:val="nil"/>
            <w:right w:val="nil"/>
          </w:tcBorders>
        </w:tcPr>
        <w:p w:rsidR="00AB7DFA" w:rsidRPr="00301E23" w:rsidRDefault="00AB7DFA" w:rsidP="00FC19DF">
          <w:pPr>
            <w:spacing w:line="0" w:lineRule="atLeast"/>
            <w:rPr>
              <w:rFonts w:cs="Times New Roman"/>
              <w:sz w:val="18"/>
            </w:rPr>
          </w:pPr>
          <w:r w:rsidRPr="00301E23">
            <w:rPr>
              <w:rFonts w:cs="Times New Roman"/>
              <w:i/>
              <w:sz w:val="18"/>
            </w:rPr>
            <w:fldChar w:fldCharType="begin"/>
          </w:r>
          <w:r w:rsidRPr="00301E23">
            <w:rPr>
              <w:rFonts w:cs="Times New Roman"/>
              <w:i/>
              <w:sz w:val="18"/>
            </w:rPr>
            <w:instrText xml:space="preserve"> PAGE </w:instrText>
          </w:r>
          <w:r w:rsidRPr="00301E23">
            <w:rPr>
              <w:rFonts w:cs="Times New Roman"/>
              <w:i/>
              <w:sz w:val="18"/>
            </w:rPr>
            <w:fldChar w:fldCharType="separate"/>
          </w:r>
          <w:r w:rsidR="00BF634A">
            <w:rPr>
              <w:rFonts w:cs="Times New Roman"/>
              <w:i/>
              <w:noProof/>
              <w:sz w:val="18"/>
            </w:rPr>
            <w:t>26</w:t>
          </w:r>
          <w:r w:rsidRPr="00301E23">
            <w:rPr>
              <w:rFonts w:cs="Times New Roman"/>
              <w:i/>
              <w:sz w:val="18"/>
            </w:rPr>
            <w:fldChar w:fldCharType="end"/>
          </w:r>
        </w:p>
      </w:tc>
      <w:tc>
        <w:tcPr>
          <w:tcW w:w="6379" w:type="dxa"/>
          <w:tcBorders>
            <w:top w:val="nil"/>
            <w:left w:val="nil"/>
            <w:bottom w:val="nil"/>
            <w:right w:val="nil"/>
          </w:tcBorders>
        </w:tcPr>
        <w:p w:rsidR="00AB7DFA" w:rsidRPr="00301E23" w:rsidRDefault="00AB7DFA" w:rsidP="00FC19DF">
          <w:pPr>
            <w:spacing w:line="0" w:lineRule="atLeast"/>
            <w:jc w:val="center"/>
            <w:rPr>
              <w:rFonts w:cs="Times New Roman"/>
              <w:sz w:val="18"/>
            </w:rPr>
          </w:pPr>
          <w:r w:rsidRPr="00301E23">
            <w:rPr>
              <w:rFonts w:cs="Times New Roman"/>
              <w:i/>
              <w:sz w:val="18"/>
            </w:rPr>
            <w:fldChar w:fldCharType="begin"/>
          </w:r>
          <w:r w:rsidRPr="00301E23">
            <w:rPr>
              <w:rFonts w:cs="Times New Roman"/>
              <w:i/>
              <w:sz w:val="18"/>
            </w:rPr>
            <w:instrText xml:space="preserve"> DOCPROPERTY ShortT </w:instrText>
          </w:r>
          <w:r w:rsidRPr="00301E23">
            <w:rPr>
              <w:rFonts w:cs="Times New Roman"/>
              <w:i/>
              <w:sz w:val="18"/>
            </w:rPr>
            <w:fldChar w:fldCharType="separate"/>
          </w:r>
          <w:r w:rsidR="00BF634A">
            <w:rPr>
              <w:rFonts w:cs="Times New Roman"/>
              <w:i/>
              <w:sz w:val="18"/>
            </w:rPr>
            <w:t>Governor</w:t>
          </w:r>
          <w:r w:rsidR="00BF634A">
            <w:rPr>
              <w:rFonts w:cs="Times New Roman"/>
              <w:i/>
              <w:sz w:val="18"/>
            </w:rPr>
            <w:noBreakHyphen/>
            <w:t>General Allowance Order 2013</w:t>
          </w:r>
          <w:r w:rsidRPr="00301E23">
            <w:rPr>
              <w:rFonts w:cs="Times New Roman"/>
              <w:i/>
              <w:sz w:val="18"/>
            </w:rPr>
            <w:fldChar w:fldCharType="end"/>
          </w:r>
        </w:p>
      </w:tc>
      <w:tc>
        <w:tcPr>
          <w:tcW w:w="1383" w:type="dxa"/>
          <w:tcBorders>
            <w:top w:val="nil"/>
            <w:left w:val="nil"/>
            <w:bottom w:val="nil"/>
            <w:right w:val="nil"/>
          </w:tcBorders>
        </w:tcPr>
        <w:p w:rsidR="00AB7DFA" w:rsidRPr="00301E23" w:rsidRDefault="00AB7DFA" w:rsidP="00FC19DF">
          <w:pPr>
            <w:spacing w:line="0" w:lineRule="atLeast"/>
            <w:jc w:val="right"/>
            <w:rPr>
              <w:rFonts w:cs="Times New Roman"/>
              <w:sz w:val="18"/>
            </w:rPr>
          </w:pPr>
        </w:p>
      </w:tc>
    </w:tr>
    <w:tr w:rsidR="00AB7DFA" w:rsidRPr="00301E23" w:rsidTr="00FC19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rsidR="00AB7DFA" w:rsidRPr="00301E23" w:rsidRDefault="00AB7DFA" w:rsidP="00FC19DF">
          <w:pPr>
            <w:jc w:val="right"/>
            <w:rPr>
              <w:rFonts w:cs="Times New Roman"/>
              <w:sz w:val="18"/>
            </w:rPr>
          </w:pPr>
        </w:p>
      </w:tc>
    </w:tr>
  </w:tbl>
  <w:p w:rsidR="00AB7DFA" w:rsidRPr="00301E23" w:rsidRDefault="00301E23" w:rsidP="00301E23">
    <w:pPr>
      <w:rPr>
        <w:rFonts w:cs="Times New Roman"/>
        <w:i/>
        <w:sz w:val="18"/>
      </w:rPr>
    </w:pPr>
    <w:r>
      <w:rPr>
        <w:rFonts w:cs="Times New Roman"/>
        <w:i/>
        <w:sz w:val="18"/>
      </w:rPr>
      <w:t>OPC50163</w:t>
    </w:r>
    <w:r w:rsidRPr="00301E23">
      <w:rPr>
        <w:rFonts w:cs="Times New Roman"/>
        <w:i/>
        <w:sz w:val="18"/>
      </w:rPr>
      <w:t xml:space="preserve"> - 19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7DFA" w:rsidRDefault="00AB7DFA">
      <w:r>
        <w:separator/>
      </w:r>
    </w:p>
  </w:footnote>
  <w:footnote w:type="continuationSeparator" w:id="0">
    <w:p w:rsidR="00AB7DFA" w:rsidRDefault="00AB7DF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7DFA" w:rsidRPr="005F1388" w:rsidRDefault="00AB7DFA" w:rsidP="00D046EB">
    <w:pPr>
      <w:pStyle w:val="Header"/>
      <w:tabs>
        <w:tab w:val="clear" w:pos="4150"/>
        <w:tab w:val="clear" w:pos="8307"/>
      </w:tabs>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7DFA" w:rsidRDefault="00AB7DFA" w:rsidP="00D046EB">
    <w:pPr>
      <w:rPr>
        <w:sz w:val="20"/>
      </w:rPr>
    </w:pPr>
    <w:r w:rsidRPr="007A1328">
      <w:rPr>
        <w:b/>
        <w:sz w:val="20"/>
      </w:rPr>
      <w:fldChar w:fldCharType="begin"/>
    </w:r>
    <w:r w:rsidRPr="007A1328">
      <w:rPr>
        <w:b/>
        <w:sz w:val="20"/>
      </w:rPr>
      <w:instrText xml:space="preserve"> STYLEREF CharChapNo </w:instrText>
    </w:r>
    <w:r w:rsidR="00BF634A">
      <w:rPr>
        <w:b/>
        <w:sz w:val="20"/>
      </w:rPr>
      <w:fldChar w:fldCharType="separate"/>
    </w:r>
    <w:r w:rsidR="00BF634A">
      <w:rPr>
        <w:b/>
        <w:noProof/>
        <w:sz w:val="20"/>
      </w:rPr>
      <w:t>Schedule 1</w: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sidR="00BF634A">
      <w:rPr>
        <w:sz w:val="20"/>
      </w:rPr>
      <w:fldChar w:fldCharType="separate"/>
    </w:r>
    <w:r w:rsidR="00BF634A">
      <w:rPr>
        <w:noProof/>
        <w:sz w:val="20"/>
      </w:rPr>
      <w:t>Methods and factors</w:t>
    </w:r>
    <w:r>
      <w:rPr>
        <w:sz w:val="20"/>
      </w:rPr>
      <w:fldChar w:fldCharType="end"/>
    </w:r>
  </w:p>
  <w:p w:rsidR="00AB7DFA" w:rsidRDefault="00AB7DFA" w:rsidP="00D046EB">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BF634A">
      <w:rPr>
        <w:b/>
        <w:noProof/>
        <w:sz w:val="20"/>
      </w:rPr>
      <w:t>Part 2</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BF634A">
      <w:rPr>
        <w:noProof/>
        <w:sz w:val="20"/>
      </w:rPr>
      <w:t>Factors</w:t>
    </w:r>
    <w:r>
      <w:rPr>
        <w:sz w:val="20"/>
      </w:rPr>
      <w:fldChar w:fldCharType="end"/>
    </w:r>
  </w:p>
  <w:p w:rsidR="00AB7DFA" w:rsidRPr="007A1328" w:rsidRDefault="00AB7DFA" w:rsidP="00D046EB">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AB7DFA" w:rsidRPr="007A1328" w:rsidRDefault="00AB7DFA" w:rsidP="00D046EB">
    <w:pPr>
      <w:rPr>
        <w:b/>
        <w:sz w:val="24"/>
      </w:rPr>
    </w:pPr>
  </w:p>
  <w:p w:rsidR="00AB7DFA" w:rsidRPr="007A1328" w:rsidRDefault="00AB7DFA" w:rsidP="00AB7DFA">
    <w:pPr>
      <w:pBdr>
        <w:bottom w:val="single" w:sz="6" w:space="1" w:color="auto"/>
      </w:pBdr>
      <w:rPr>
        <w:sz w:val="24"/>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7DFA" w:rsidRPr="007A1328" w:rsidRDefault="00AB7DFA" w:rsidP="00D046EB">
    <w:pPr>
      <w:jc w:val="right"/>
      <w:rPr>
        <w:sz w:val="20"/>
      </w:rPr>
    </w:pPr>
    <w:r w:rsidRPr="007A1328">
      <w:rPr>
        <w:sz w:val="20"/>
      </w:rPr>
      <w:fldChar w:fldCharType="begin"/>
    </w:r>
    <w:r w:rsidRPr="007A1328">
      <w:rPr>
        <w:sz w:val="20"/>
      </w:rPr>
      <w:instrText xml:space="preserve"> STYLEREF CharChapText </w:instrText>
    </w:r>
    <w:r w:rsidR="00BF634A">
      <w:rPr>
        <w:sz w:val="20"/>
      </w:rPr>
      <w:fldChar w:fldCharType="separate"/>
    </w:r>
    <w:r w:rsidR="00BF634A">
      <w:rPr>
        <w:noProof/>
        <w:sz w:val="20"/>
      </w:rPr>
      <w:t>Methods and factors</w: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sidR="00BF634A">
      <w:rPr>
        <w:b/>
        <w:sz w:val="20"/>
      </w:rPr>
      <w:fldChar w:fldCharType="separate"/>
    </w:r>
    <w:r w:rsidR="00BF634A">
      <w:rPr>
        <w:b/>
        <w:noProof/>
        <w:sz w:val="20"/>
      </w:rPr>
      <w:t>Schedule 1</w:t>
    </w:r>
    <w:r>
      <w:rPr>
        <w:b/>
        <w:sz w:val="20"/>
      </w:rPr>
      <w:fldChar w:fldCharType="end"/>
    </w:r>
  </w:p>
  <w:p w:rsidR="00AB7DFA" w:rsidRPr="007A1328" w:rsidRDefault="00AB7DFA" w:rsidP="00D046EB">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sidR="00BF634A">
      <w:rPr>
        <w:noProof/>
        <w:sz w:val="20"/>
      </w:rPr>
      <w:t>Factors</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sidR="00BF634A">
      <w:rPr>
        <w:b/>
        <w:noProof/>
        <w:sz w:val="20"/>
      </w:rPr>
      <w:t>Part 2</w:t>
    </w:r>
    <w:r>
      <w:rPr>
        <w:b/>
        <w:sz w:val="20"/>
      </w:rPr>
      <w:fldChar w:fldCharType="end"/>
    </w:r>
  </w:p>
  <w:p w:rsidR="00AB7DFA" w:rsidRPr="007A1328" w:rsidRDefault="00AB7DFA" w:rsidP="00D046EB">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AB7DFA" w:rsidRPr="007A1328" w:rsidRDefault="00AB7DFA" w:rsidP="00D046EB">
    <w:pPr>
      <w:jc w:val="right"/>
      <w:rPr>
        <w:b/>
        <w:sz w:val="24"/>
      </w:rPr>
    </w:pPr>
  </w:p>
  <w:p w:rsidR="00AB7DFA" w:rsidRPr="007A1328" w:rsidRDefault="00AB7DFA" w:rsidP="00D046EB">
    <w:pPr>
      <w:pBdr>
        <w:bottom w:val="single" w:sz="6" w:space="1" w:color="auto"/>
      </w:pBdr>
      <w:jc w:val="right"/>
      <w:rPr>
        <w:sz w:val="24"/>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7DFA" w:rsidRDefault="00AB7DFA" w:rsidP="00FC19DF">
    <w:pPr>
      <w:rPr>
        <w:sz w:val="20"/>
      </w:rPr>
    </w:pPr>
    <w:r w:rsidRPr="007A1328">
      <w:rPr>
        <w:b/>
        <w:sz w:val="20"/>
      </w:rPr>
      <w:fldChar w:fldCharType="begin"/>
    </w:r>
    <w:r w:rsidRPr="007A1328">
      <w:rPr>
        <w:b/>
        <w:sz w:val="20"/>
      </w:rPr>
      <w:instrText xml:space="preserve"> STYLEREF CharChapNo </w:instrText>
    </w:r>
    <w:r w:rsidRPr="007A1328">
      <w:rPr>
        <w:b/>
        <w:sz w:val="20"/>
      </w:rPr>
      <w:fldChar w:fldCharType="separate"/>
    </w:r>
    <w:r w:rsidR="00BF634A">
      <w:rPr>
        <w:b/>
        <w:noProof/>
        <w:sz w:val="20"/>
      </w:rPr>
      <w:t>Schedule 1</w: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separate"/>
    </w:r>
    <w:r w:rsidR="00BF634A">
      <w:rPr>
        <w:noProof/>
        <w:sz w:val="20"/>
      </w:rPr>
      <w:t>Methods and factors</w:t>
    </w:r>
    <w:r>
      <w:rPr>
        <w:sz w:val="20"/>
      </w:rPr>
      <w:fldChar w:fldCharType="end"/>
    </w:r>
  </w:p>
  <w:p w:rsidR="00AB7DFA" w:rsidRDefault="00AB7DFA" w:rsidP="00FC19DF">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BF634A">
      <w:rPr>
        <w:b/>
        <w:noProof/>
        <w:sz w:val="20"/>
      </w:rPr>
      <w:t>Part 2</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BF634A">
      <w:rPr>
        <w:noProof/>
        <w:sz w:val="20"/>
      </w:rPr>
      <w:t>Factors</w:t>
    </w:r>
    <w:r>
      <w:rPr>
        <w:sz w:val="20"/>
      </w:rPr>
      <w:fldChar w:fldCharType="end"/>
    </w:r>
  </w:p>
  <w:p w:rsidR="00AB7DFA" w:rsidRPr="007A1328" w:rsidRDefault="00AB7DFA" w:rsidP="00FC19DF">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AB7DFA" w:rsidRPr="007A1328" w:rsidRDefault="00AB7DFA" w:rsidP="00FC19DF">
    <w:pPr>
      <w:rPr>
        <w:b/>
        <w:sz w:val="24"/>
      </w:rPr>
    </w:pPr>
  </w:p>
  <w:p w:rsidR="00AB7DFA" w:rsidRPr="007A1328" w:rsidRDefault="00AB7DFA" w:rsidP="00FC19DF">
    <w:pPr>
      <w:pBdr>
        <w:bottom w:val="single" w:sz="6" w:space="1" w:color="auto"/>
      </w:pBdr>
      <w:rPr>
        <w:sz w:val="24"/>
      </w:rPr>
    </w:pPr>
    <w:r>
      <w:rPr>
        <w:sz w:val="24"/>
      </w:rPr>
      <w:fldChar w:fldCharType="begin"/>
    </w:r>
    <w:r>
      <w:rPr>
        <w:sz w:val="24"/>
      </w:rPr>
      <w:instrText xml:space="preserve"> DOCPROPERTY  Header </w:instrText>
    </w:r>
    <w:r>
      <w:rPr>
        <w:sz w:val="24"/>
      </w:rPr>
      <w:fldChar w:fldCharType="separate"/>
    </w:r>
    <w:r w:rsidR="00BF634A">
      <w:rPr>
        <w:sz w:val="24"/>
      </w:rPr>
      <w:t>Section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BF634A">
      <w:rPr>
        <w:noProof/>
        <w:sz w:val="24"/>
      </w:rPr>
      <w:t>3</w:t>
    </w:r>
    <w:r w:rsidRPr="007A1328">
      <w:rPr>
        <w:sz w:val="24"/>
      </w:rPr>
      <w:fldChar w:fldCharType="end"/>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7DFA" w:rsidRPr="007A1328" w:rsidRDefault="00AB7DFA" w:rsidP="00FC19DF">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separate"/>
    </w:r>
    <w:r w:rsidR="00BF634A">
      <w:rPr>
        <w:noProof/>
        <w:sz w:val="20"/>
      </w:rPr>
      <w:t>Methods and factors</w: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separate"/>
    </w:r>
    <w:r w:rsidR="00BF634A">
      <w:rPr>
        <w:b/>
        <w:noProof/>
        <w:sz w:val="20"/>
      </w:rPr>
      <w:t>Schedule 1</w:t>
    </w:r>
    <w:r>
      <w:rPr>
        <w:b/>
        <w:sz w:val="20"/>
      </w:rPr>
      <w:fldChar w:fldCharType="end"/>
    </w:r>
  </w:p>
  <w:p w:rsidR="00AB7DFA" w:rsidRPr="007A1328" w:rsidRDefault="00AB7DFA" w:rsidP="00FC19DF">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sidR="00BF634A">
      <w:rPr>
        <w:noProof/>
        <w:sz w:val="20"/>
      </w:rPr>
      <w:t>Factors</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sidR="00BF634A">
      <w:rPr>
        <w:b/>
        <w:noProof/>
        <w:sz w:val="20"/>
      </w:rPr>
      <w:t>Part 2</w:t>
    </w:r>
    <w:r>
      <w:rPr>
        <w:b/>
        <w:sz w:val="20"/>
      </w:rPr>
      <w:fldChar w:fldCharType="end"/>
    </w:r>
  </w:p>
  <w:p w:rsidR="00AB7DFA" w:rsidRPr="007A1328" w:rsidRDefault="00AB7DFA" w:rsidP="00FC19DF">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AB7DFA" w:rsidRPr="007A1328" w:rsidRDefault="00AB7DFA" w:rsidP="00FC19DF">
    <w:pPr>
      <w:jc w:val="right"/>
      <w:rPr>
        <w:b/>
        <w:sz w:val="24"/>
      </w:rPr>
    </w:pPr>
  </w:p>
  <w:p w:rsidR="00AB7DFA" w:rsidRPr="007A1328" w:rsidRDefault="00AB7DFA" w:rsidP="00FC19DF">
    <w:pPr>
      <w:pBdr>
        <w:bottom w:val="single" w:sz="6" w:space="1" w:color="auto"/>
      </w:pBdr>
      <w:jc w:val="right"/>
      <w:rPr>
        <w:sz w:val="24"/>
      </w:rPr>
    </w:pPr>
    <w:r>
      <w:rPr>
        <w:sz w:val="24"/>
      </w:rPr>
      <w:fldChar w:fldCharType="begin"/>
    </w:r>
    <w:r>
      <w:rPr>
        <w:sz w:val="24"/>
      </w:rPr>
      <w:instrText xml:space="preserve"> DOCPROPERTY  Header </w:instrText>
    </w:r>
    <w:r>
      <w:rPr>
        <w:sz w:val="24"/>
      </w:rPr>
      <w:fldChar w:fldCharType="separate"/>
    </w:r>
    <w:r w:rsidR="00BF634A">
      <w:rPr>
        <w:sz w:val="24"/>
      </w:rPr>
      <w:t>Section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BF634A">
      <w:rPr>
        <w:noProof/>
        <w:sz w:val="24"/>
      </w:rPr>
      <w:t>3</w:t>
    </w:r>
    <w:r w:rsidRPr="007A1328">
      <w:rPr>
        <w:sz w:val="24"/>
      </w:rPr>
      <w:fldChar w:fldCharType="end"/>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7DFA" w:rsidRPr="007A1328" w:rsidRDefault="00AB7DFA" w:rsidP="00FC19D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7DFA" w:rsidRPr="005F1388" w:rsidRDefault="00AB7DFA" w:rsidP="00D046EB">
    <w:pPr>
      <w:pStyle w:val="Header"/>
      <w:tabs>
        <w:tab w:val="clear" w:pos="4150"/>
        <w:tab w:val="clear" w:pos="8307"/>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7DFA" w:rsidRPr="005F1388" w:rsidRDefault="00AB7DFA" w:rsidP="00D046EB">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7DFA" w:rsidRPr="00ED79B6" w:rsidRDefault="00AB7DFA" w:rsidP="00D046EB">
    <w:pPr>
      <w:pBdr>
        <w:bottom w:val="single" w:sz="12" w:space="1" w:color="auto"/>
      </w:pBdr>
      <w:spacing w:before="100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7DFA" w:rsidRPr="00ED79B6" w:rsidRDefault="00AB7DFA" w:rsidP="00D046EB">
    <w:pPr>
      <w:pBdr>
        <w:bottom w:val="single" w:sz="12" w:space="1" w:color="auto"/>
      </w:pBdr>
      <w:spacing w:before="100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7DFA" w:rsidRPr="00ED79B6" w:rsidRDefault="00AB7DFA" w:rsidP="00D046EB">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7DFA" w:rsidRDefault="00AB7DFA" w:rsidP="00D046EB">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AB7DFA" w:rsidRDefault="00AB7DFA" w:rsidP="00D046EB">
    <w:pPr>
      <w:rPr>
        <w:sz w:val="20"/>
      </w:rPr>
    </w:pPr>
    <w:r w:rsidRPr="007A1328">
      <w:rPr>
        <w:b/>
        <w:sz w:val="20"/>
      </w:rPr>
      <w:fldChar w:fldCharType="begin"/>
    </w:r>
    <w:r w:rsidRPr="007A1328">
      <w:rPr>
        <w:b/>
        <w:sz w:val="20"/>
      </w:rPr>
      <w:instrText xml:space="preserve"> STYLEREF CharPartNo </w:instrText>
    </w:r>
    <w:r w:rsidR="00BF634A">
      <w:rPr>
        <w:b/>
        <w:sz w:val="20"/>
      </w:rPr>
      <w:fldChar w:fldCharType="separate"/>
    </w:r>
    <w:r w:rsidR="00BF634A">
      <w:rPr>
        <w:b/>
        <w:noProof/>
        <w:sz w:val="20"/>
      </w:rPr>
      <w:t>Part 2</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sidR="00BF634A">
      <w:rPr>
        <w:sz w:val="20"/>
      </w:rPr>
      <w:fldChar w:fldCharType="separate"/>
    </w:r>
    <w:r w:rsidR="00BF634A">
      <w:rPr>
        <w:noProof/>
        <w:sz w:val="20"/>
      </w:rPr>
      <w:t>Scheme value and allowance rates</w:t>
    </w:r>
    <w:r>
      <w:rPr>
        <w:sz w:val="20"/>
      </w:rPr>
      <w:fldChar w:fldCharType="end"/>
    </w:r>
  </w:p>
  <w:p w:rsidR="00AB7DFA" w:rsidRPr="007A1328" w:rsidRDefault="00AB7DFA" w:rsidP="00D046EB">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AB7DFA" w:rsidRPr="007A1328" w:rsidRDefault="00AB7DFA" w:rsidP="00D046EB">
    <w:pPr>
      <w:rPr>
        <w:b/>
        <w:sz w:val="24"/>
      </w:rPr>
    </w:pPr>
  </w:p>
  <w:p w:rsidR="00AB7DFA" w:rsidRPr="007A1328" w:rsidRDefault="00AB7DFA" w:rsidP="00AB7DFA">
    <w:pPr>
      <w:pBdr>
        <w:bottom w:val="single" w:sz="6" w:space="1" w:color="auto"/>
      </w:pBdr>
      <w:rPr>
        <w:sz w:val="24"/>
      </w:rPr>
    </w:pPr>
    <w:r>
      <w:rPr>
        <w:sz w:val="24"/>
      </w:rPr>
      <w:fldChar w:fldCharType="begin"/>
    </w:r>
    <w:r>
      <w:rPr>
        <w:sz w:val="24"/>
      </w:rPr>
      <w:instrText xml:space="preserve"> DOCPROPERTY  Header </w:instrText>
    </w:r>
    <w:r>
      <w:rPr>
        <w:sz w:val="24"/>
      </w:rPr>
      <w:fldChar w:fldCharType="separate"/>
    </w:r>
    <w:r w:rsidR="00BF634A">
      <w:rPr>
        <w:sz w:val="24"/>
      </w:rPr>
      <w:t>Section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BF634A">
      <w:rPr>
        <w:noProof/>
        <w:sz w:val="24"/>
      </w:rPr>
      <w:t>13</w:t>
    </w:r>
    <w:r w:rsidRPr="007A1328">
      <w:rPr>
        <w:sz w:val="24"/>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7DFA" w:rsidRPr="007A1328" w:rsidRDefault="00AB7DFA" w:rsidP="00D046EB">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AB7DFA" w:rsidRPr="007A1328" w:rsidRDefault="00AB7DFA" w:rsidP="00D046EB">
    <w:pPr>
      <w:jc w:val="right"/>
      <w:rPr>
        <w:sz w:val="20"/>
      </w:rPr>
    </w:pPr>
    <w:r w:rsidRPr="007A1328">
      <w:rPr>
        <w:sz w:val="20"/>
      </w:rPr>
      <w:fldChar w:fldCharType="begin"/>
    </w:r>
    <w:r w:rsidRPr="007A1328">
      <w:rPr>
        <w:sz w:val="20"/>
      </w:rPr>
      <w:instrText xml:space="preserve"> STYLEREF CharPartText </w:instrText>
    </w:r>
    <w:r w:rsidR="00BF634A">
      <w:rPr>
        <w:sz w:val="20"/>
      </w:rPr>
      <w:fldChar w:fldCharType="separate"/>
    </w:r>
    <w:r w:rsidR="00BF634A">
      <w:rPr>
        <w:noProof/>
        <w:sz w:val="20"/>
      </w:rPr>
      <w:t>Scheme value and allowance rates</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sidR="00BF634A">
      <w:rPr>
        <w:b/>
        <w:sz w:val="20"/>
      </w:rPr>
      <w:fldChar w:fldCharType="separate"/>
    </w:r>
    <w:r w:rsidR="00BF634A">
      <w:rPr>
        <w:b/>
        <w:noProof/>
        <w:sz w:val="20"/>
      </w:rPr>
      <w:t>Part 2</w:t>
    </w:r>
    <w:r>
      <w:rPr>
        <w:b/>
        <w:sz w:val="20"/>
      </w:rPr>
      <w:fldChar w:fldCharType="end"/>
    </w:r>
  </w:p>
  <w:p w:rsidR="00AB7DFA" w:rsidRPr="007A1328" w:rsidRDefault="00AB7DFA" w:rsidP="00D046EB">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AB7DFA" w:rsidRPr="007A1328" w:rsidRDefault="00AB7DFA" w:rsidP="00D046EB">
    <w:pPr>
      <w:jc w:val="right"/>
      <w:rPr>
        <w:b/>
        <w:sz w:val="24"/>
      </w:rPr>
    </w:pPr>
  </w:p>
  <w:p w:rsidR="00AB7DFA" w:rsidRPr="007A1328" w:rsidRDefault="00AB7DFA" w:rsidP="00D046EB">
    <w:pPr>
      <w:pBdr>
        <w:bottom w:val="single" w:sz="6" w:space="1" w:color="auto"/>
      </w:pBdr>
      <w:jc w:val="right"/>
      <w:rPr>
        <w:sz w:val="24"/>
      </w:rPr>
    </w:pPr>
    <w:r>
      <w:rPr>
        <w:sz w:val="24"/>
      </w:rPr>
      <w:fldChar w:fldCharType="begin"/>
    </w:r>
    <w:r>
      <w:rPr>
        <w:sz w:val="24"/>
      </w:rPr>
      <w:instrText xml:space="preserve"> DOCPROPERTY  Header </w:instrText>
    </w:r>
    <w:r>
      <w:rPr>
        <w:sz w:val="24"/>
      </w:rPr>
      <w:fldChar w:fldCharType="separate"/>
    </w:r>
    <w:r w:rsidR="00BF634A">
      <w:rPr>
        <w:sz w:val="24"/>
      </w:rPr>
      <w:t>Section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BF634A">
      <w:rPr>
        <w:noProof/>
        <w:sz w:val="24"/>
      </w:rPr>
      <w:t>13</w:t>
    </w:r>
    <w:r w:rsidRPr="007A1328">
      <w:rPr>
        <w:sz w:val="24"/>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7DFA" w:rsidRPr="007A1328" w:rsidRDefault="00AB7DFA" w:rsidP="00D046E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10C4364"/>
    <w:lvl w:ilvl="0">
      <w:start w:val="1"/>
      <w:numFmt w:val="decimal"/>
      <w:lvlText w:val="%1."/>
      <w:lvlJc w:val="left"/>
      <w:pPr>
        <w:tabs>
          <w:tab w:val="num" w:pos="1492"/>
        </w:tabs>
        <w:ind w:left="1492" w:hanging="360"/>
      </w:pPr>
    </w:lvl>
  </w:abstractNum>
  <w:abstractNum w:abstractNumId="1">
    <w:nsid w:val="FFFFFF7D"/>
    <w:multiLevelType w:val="singleLevel"/>
    <w:tmpl w:val="3C7A733A"/>
    <w:lvl w:ilvl="0">
      <w:start w:val="1"/>
      <w:numFmt w:val="decimal"/>
      <w:lvlText w:val="%1."/>
      <w:lvlJc w:val="left"/>
      <w:pPr>
        <w:tabs>
          <w:tab w:val="num" w:pos="1209"/>
        </w:tabs>
        <w:ind w:left="1209" w:hanging="360"/>
      </w:pPr>
    </w:lvl>
  </w:abstractNum>
  <w:abstractNum w:abstractNumId="2">
    <w:nsid w:val="FFFFFF7E"/>
    <w:multiLevelType w:val="singleLevel"/>
    <w:tmpl w:val="818A05F8"/>
    <w:lvl w:ilvl="0">
      <w:start w:val="1"/>
      <w:numFmt w:val="decimal"/>
      <w:lvlText w:val="%1."/>
      <w:lvlJc w:val="left"/>
      <w:pPr>
        <w:tabs>
          <w:tab w:val="num" w:pos="926"/>
        </w:tabs>
        <w:ind w:left="926" w:hanging="360"/>
      </w:pPr>
    </w:lvl>
  </w:abstractNum>
  <w:abstractNum w:abstractNumId="3">
    <w:nsid w:val="FFFFFF7F"/>
    <w:multiLevelType w:val="singleLevel"/>
    <w:tmpl w:val="3E666086"/>
    <w:lvl w:ilvl="0">
      <w:start w:val="1"/>
      <w:numFmt w:val="decimal"/>
      <w:lvlText w:val="%1."/>
      <w:lvlJc w:val="left"/>
      <w:pPr>
        <w:tabs>
          <w:tab w:val="num" w:pos="643"/>
        </w:tabs>
        <w:ind w:left="643" w:hanging="360"/>
      </w:pPr>
    </w:lvl>
  </w:abstractNum>
  <w:abstractNum w:abstractNumId="4">
    <w:nsid w:val="FFFFFF80"/>
    <w:multiLevelType w:val="singleLevel"/>
    <w:tmpl w:val="FFCE3A1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48CE1B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3176E0B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C12E9E0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A48CFEB6"/>
    <w:lvl w:ilvl="0">
      <w:start w:val="1"/>
      <w:numFmt w:val="decimal"/>
      <w:lvlText w:val="%1."/>
      <w:lvlJc w:val="left"/>
      <w:pPr>
        <w:tabs>
          <w:tab w:val="num" w:pos="360"/>
        </w:tabs>
        <w:ind w:left="360" w:hanging="360"/>
      </w:pPr>
    </w:lvl>
  </w:abstractNum>
  <w:abstractNum w:abstractNumId="9">
    <w:nsid w:val="FFFFFF89"/>
    <w:multiLevelType w:val="singleLevel"/>
    <w:tmpl w:val="5BA2ADB8"/>
    <w:lvl w:ilvl="0">
      <w:start w:val="1"/>
      <w:numFmt w:val="bullet"/>
      <w:lvlText w:val=""/>
      <w:lvlJc w:val="left"/>
      <w:pPr>
        <w:tabs>
          <w:tab w:val="num" w:pos="360"/>
        </w:tabs>
        <w:ind w:left="360" w:hanging="360"/>
      </w:pPr>
      <w:rPr>
        <w:rFonts w:ascii="Symbol" w:hAnsi="Symbol" w:hint="default"/>
      </w:rPr>
    </w:lvl>
  </w:abstractNum>
  <w:abstractNum w:abstractNumId="10">
    <w:nsid w:val="068C6029"/>
    <w:multiLevelType w:val="hybridMultilevel"/>
    <w:tmpl w:val="6FC0790E"/>
    <w:lvl w:ilvl="0" w:tplc="0C090001">
      <w:start w:val="1"/>
      <w:numFmt w:val="bullet"/>
      <w:lvlText w:val=""/>
      <w:lvlJc w:val="left"/>
      <w:pPr>
        <w:ind w:left="1684" w:hanging="360"/>
      </w:pPr>
      <w:rPr>
        <w:rFonts w:ascii="Symbol" w:hAnsi="Symbol" w:hint="default"/>
      </w:rPr>
    </w:lvl>
    <w:lvl w:ilvl="1" w:tplc="0C090003" w:tentative="1">
      <w:start w:val="1"/>
      <w:numFmt w:val="bullet"/>
      <w:lvlText w:val="o"/>
      <w:lvlJc w:val="left"/>
      <w:pPr>
        <w:ind w:left="2404" w:hanging="360"/>
      </w:pPr>
      <w:rPr>
        <w:rFonts w:ascii="Courier New" w:hAnsi="Courier New" w:cs="Courier New" w:hint="default"/>
      </w:rPr>
    </w:lvl>
    <w:lvl w:ilvl="2" w:tplc="0C090005" w:tentative="1">
      <w:start w:val="1"/>
      <w:numFmt w:val="bullet"/>
      <w:lvlText w:val=""/>
      <w:lvlJc w:val="left"/>
      <w:pPr>
        <w:ind w:left="3124" w:hanging="360"/>
      </w:pPr>
      <w:rPr>
        <w:rFonts w:ascii="Wingdings" w:hAnsi="Wingdings" w:hint="default"/>
      </w:rPr>
    </w:lvl>
    <w:lvl w:ilvl="3" w:tplc="0C090001" w:tentative="1">
      <w:start w:val="1"/>
      <w:numFmt w:val="bullet"/>
      <w:lvlText w:val=""/>
      <w:lvlJc w:val="left"/>
      <w:pPr>
        <w:ind w:left="3844" w:hanging="360"/>
      </w:pPr>
      <w:rPr>
        <w:rFonts w:ascii="Symbol" w:hAnsi="Symbol" w:hint="default"/>
      </w:rPr>
    </w:lvl>
    <w:lvl w:ilvl="4" w:tplc="0C090003" w:tentative="1">
      <w:start w:val="1"/>
      <w:numFmt w:val="bullet"/>
      <w:lvlText w:val="o"/>
      <w:lvlJc w:val="left"/>
      <w:pPr>
        <w:ind w:left="4564" w:hanging="360"/>
      </w:pPr>
      <w:rPr>
        <w:rFonts w:ascii="Courier New" w:hAnsi="Courier New" w:cs="Courier New" w:hint="default"/>
      </w:rPr>
    </w:lvl>
    <w:lvl w:ilvl="5" w:tplc="0C090005" w:tentative="1">
      <w:start w:val="1"/>
      <w:numFmt w:val="bullet"/>
      <w:lvlText w:val=""/>
      <w:lvlJc w:val="left"/>
      <w:pPr>
        <w:ind w:left="5284" w:hanging="360"/>
      </w:pPr>
      <w:rPr>
        <w:rFonts w:ascii="Wingdings" w:hAnsi="Wingdings" w:hint="default"/>
      </w:rPr>
    </w:lvl>
    <w:lvl w:ilvl="6" w:tplc="0C090001" w:tentative="1">
      <w:start w:val="1"/>
      <w:numFmt w:val="bullet"/>
      <w:lvlText w:val=""/>
      <w:lvlJc w:val="left"/>
      <w:pPr>
        <w:ind w:left="6004" w:hanging="360"/>
      </w:pPr>
      <w:rPr>
        <w:rFonts w:ascii="Symbol" w:hAnsi="Symbol" w:hint="default"/>
      </w:rPr>
    </w:lvl>
    <w:lvl w:ilvl="7" w:tplc="0C090003" w:tentative="1">
      <w:start w:val="1"/>
      <w:numFmt w:val="bullet"/>
      <w:lvlText w:val="o"/>
      <w:lvlJc w:val="left"/>
      <w:pPr>
        <w:ind w:left="6724" w:hanging="360"/>
      </w:pPr>
      <w:rPr>
        <w:rFonts w:ascii="Courier New" w:hAnsi="Courier New" w:cs="Courier New" w:hint="default"/>
      </w:rPr>
    </w:lvl>
    <w:lvl w:ilvl="8" w:tplc="0C090005" w:tentative="1">
      <w:start w:val="1"/>
      <w:numFmt w:val="bullet"/>
      <w:lvlText w:val=""/>
      <w:lvlJc w:val="left"/>
      <w:pPr>
        <w:ind w:left="7444" w:hanging="360"/>
      </w:pPr>
      <w:rPr>
        <w:rFonts w:ascii="Wingdings" w:hAnsi="Wingdings" w:hint="default"/>
      </w:rPr>
    </w:lvl>
  </w:abstractNum>
  <w:abstractNum w:abstractNumId="11">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nsid w:val="0A0D356D"/>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3">
    <w:nsid w:val="1B03710E"/>
    <w:multiLevelType w:val="multilevel"/>
    <w:tmpl w:val="6F7076BC"/>
    <w:styleLink w:val="OPCBodyList"/>
    <w:lvl w:ilvl="0">
      <w:start w:val="1"/>
      <w:numFmt w:val="decimal"/>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nsid w:val="1D1B556F"/>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6">
    <w:nsid w:val="3BD81AE2"/>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5FED4EA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2"/>
  </w:num>
  <w:num w:numId="2">
    <w:abstractNumId w:val="14"/>
  </w:num>
  <w:num w:numId="3">
    <w:abstractNumId w:val="16"/>
  </w:num>
  <w:num w:numId="4">
    <w:abstractNumId w:val="10"/>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5"/>
  </w:num>
  <w:num w:numId="16">
    <w:abstractNumId w:val="17"/>
  </w:num>
  <w:num w:numId="17">
    <w:abstractNumId w:val="13"/>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TrueTypeFonts/>
  <w:saveSubsetFonts/>
  <w:proofState w:spelling="clean"/>
  <w:attachedTemplate r:id="rId1"/>
  <w:stylePaneFormatFilter w:val="0808" w:allStyles="0" w:customStyles="0" w:latentStyles="0" w:stylesInUse="1" w:headingStyles="0" w:numberingStyles="0" w:tableStyles="0" w:directFormattingOnRuns="0" w:directFormattingOnParagraphs="0" w:directFormattingOnNumbering="0" w:directFormattingOnTables="1" w:clearFormatting="0" w:top3HeadingStyles="0" w:visibleStyles="0" w:alternateStyleNames="0"/>
  <w:defaultTabStop w:val="720"/>
  <w:evenAndOddHeaders/>
  <w:drawingGridHorizontalSpacing w:val="120"/>
  <w:displayHorizontalDrawingGridEvery w:val="2"/>
  <w:noPunctuationKerning/>
  <w:characterSpacingControl w:val="doNotCompress"/>
  <w:hdrShapeDefaults>
    <o:shapedefaults v:ext="edit" spidmax="1167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5FDA81E2-4D13-4384-8D74-66044128C3BA}"/>
    <w:docVar w:name="dgnword-eventsink" w:val="35057808"/>
  </w:docVars>
  <w:rsids>
    <w:rsidRoot w:val="001A1743"/>
    <w:rsid w:val="00000E16"/>
    <w:rsid w:val="000038A0"/>
    <w:rsid w:val="00012C13"/>
    <w:rsid w:val="00012F8A"/>
    <w:rsid w:val="0001662A"/>
    <w:rsid w:val="00020108"/>
    <w:rsid w:val="00020B9C"/>
    <w:rsid w:val="000240D1"/>
    <w:rsid w:val="0002663B"/>
    <w:rsid w:val="00031A59"/>
    <w:rsid w:val="00032F2C"/>
    <w:rsid w:val="00034990"/>
    <w:rsid w:val="00036E21"/>
    <w:rsid w:val="00040090"/>
    <w:rsid w:val="000403D5"/>
    <w:rsid w:val="00041C76"/>
    <w:rsid w:val="000427E4"/>
    <w:rsid w:val="0004456C"/>
    <w:rsid w:val="00045BA4"/>
    <w:rsid w:val="00045F1B"/>
    <w:rsid w:val="00047A6E"/>
    <w:rsid w:val="000521B7"/>
    <w:rsid w:val="0005339D"/>
    <w:rsid w:val="00060076"/>
    <w:rsid w:val="000624FA"/>
    <w:rsid w:val="00062D5E"/>
    <w:rsid w:val="00063D80"/>
    <w:rsid w:val="000646EC"/>
    <w:rsid w:val="00064FC8"/>
    <w:rsid w:val="00065118"/>
    <w:rsid w:val="00065296"/>
    <w:rsid w:val="000715D1"/>
    <w:rsid w:val="00073C7B"/>
    <w:rsid w:val="00076D0D"/>
    <w:rsid w:val="000775F4"/>
    <w:rsid w:val="00080852"/>
    <w:rsid w:val="00081DAE"/>
    <w:rsid w:val="00082916"/>
    <w:rsid w:val="00083189"/>
    <w:rsid w:val="0008560A"/>
    <w:rsid w:val="00087712"/>
    <w:rsid w:val="00091146"/>
    <w:rsid w:val="000946A3"/>
    <w:rsid w:val="00095849"/>
    <w:rsid w:val="000A0788"/>
    <w:rsid w:val="000A0CCA"/>
    <w:rsid w:val="000A1742"/>
    <w:rsid w:val="000A28A7"/>
    <w:rsid w:val="000A59FA"/>
    <w:rsid w:val="000A620C"/>
    <w:rsid w:val="000A7869"/>
    <w:rsid w:val="000B2838"/>
    <w:rsid w:val="000B3DBF"/>
    <w:rsid w:val="000B4121"/>
    <w:rsid w:val="000B4194"/>
    <w:rsid w:val="000B51B3"/>
    <w:rsid w:val="000B7F9F"/>
    <w:rsid w:val="000C5609"/>
    <w:rsid w:val="000C6C45"/>
    <w:rsid w:val="000D1916"/>
    <w:rsid w:val="000D1CB1"/>
    <w:rsid w:val="000D208A"/>
    <w:rsid w:val="000D45A0"/>
    <w:rsid w:val="000D6E74"/>
    <w:rsid w:val="000D75BE"/>
    <w:rsid w:val="000E0A31"/>
    <w:rsid w:val="000E16EC"/>
    <w:rsid w:val="000E27E3"/>
    <w:rsid w:val="000E4226"/>
    <w:rsid w:val="000E48BD"/>
    <w:rsid w:val="000E6E32"/>
    <w:rsid w:val="000E7494"/>
    <w:rsid w:val="000F2774"/>
    <w:rsid w:val="000F35A2"/>
    <w:rsid w:val="000F680B"/>
    <w:rsid w:val="001041DA"/>
    <w:rsid w:val="00105BB8"/>
    <w:rsid w:val="00106FD6"/>
    <w:rsid w:val="00110BF4"/>
    <w:rsid w:val="00111D90"/>
    <w:rsid w:val="00116989"/>
    <w:rsid w:val="001174FC"/>
    <w:rsid w:val="00120672"/>
    <w:rsid w:val="00120CD8"/>
    <w:rsid w:val="00121514"/>
    <w:rsid w:val="00122D20"/>
    <w:rsid w:val="00124F89"/>
    <w:rsid w:val="00125657"/>
    <w:rsid w:val="00126EF3"/>
    <w:rsid w:val="001312D8"/>
    <w:rsid w:val="001328CE"/>
    <w:rsid w:val="001349E5"/>
    <w:rsid w:val="00134DDC"/>
    <w:rsid w:val="00136C0D"/>
    <w:rsid w:val="00137D6F"/>
    <w:rsid w:val="00140090"/>
    <w:rsid w:val="001409F1"/>
    <w:rsid w:val="0014119A"/>
    <w:rsid w:val="0014186A"/>
    <w:rsid w:val="001419F9"/>
    <w:rsid w:val="00141CBA"/>
    <w:rsid w:val="00144DE3"/>
    <w:rsid w:val="00147F97"/>
    <w:rsid w:val="00151553"/>
    <w:rsid w:val="00153195"/>
    <w:rsid w:val="001540F6"/>
    <w:rsid w:val="00161D93"/>
    <w:rsid w:val="00162609"/>
    <w:rsid w:val="00164935"/>
    <w:rsid w:val="00165D61"/>
    <w:rsid w:val="00167497"/>
    <w:rsid w:val="00172C7F"/>
    <w:rsid w:val="00172D7A"/>
    <w:rsid w:val="001744AA"/>
    <w:rsid w:val="0017685B"/>
    <w:rsid w:val="00176B07"/>
    <w:rsid w:val="00180385"/>
    <w:rsid w:val="00185F83"/>
    <w:rsid w:val="00186360"/>
    <w:rsid w:val="0018797C"/>
    <w:rsid w:val="00187D63"/>
    <w:rsid w:val="00191FA5"/>
    <w:rsid w:val="00192649"/>
    <w:rsid w:val="00192C10"/>
    <w:rsid w:val="00193F32"/>
    <w:rsid w:val="00196759"/>
    <w:rsid w:val="001A1743"/>
    <w:rsid w:val="001A4DD7"/>
    <w:rsid w:val="001A6C59"/>
    <w:rsid w:val="001A7709"/>
    <w:rsid w:val="001B0E3B"/>
    <w:rsid w:val="001C22F5"/>
    <w:rsid w:val="001C25FE"/>
    <w:rsid w:val="001C50ED"/>
    <w:rsid w:val="001C7118"/>
    <w:rsid w:val="001C769F"/>
    <w:rsid w:val="001D4912"/>
    <w:rsid w:val="001D5837"/>
    <w:rsid w:val="001D5A6E"/>
    <w:rsid w:val="001D6D71"/>
    <w:rsid w:val="001E05CD"/>
    <w:rsid w:val="001E092D"/>
    <w:rsid w:val="001E1652"/>
    <w:rsid w:val="001E1749"/>
    <w:rsid w:val="001E45F2"/>
    <w:rsid w:val="001E4A66"/>
    <w:rsid w:val="001E5016"/>
    <w:rsid w:val="001E689C"/>
    <w:rsid w:val="001E7E09"/>
    <w:rsid w:val="001F108C"/>
    <w:rsid w:val="001F41C5"/>
    <w:rsid w:val="002015B2"/>
    <w:rsid w:val="00203232"/>
    <w:rsid w:val="002038C9"/>
    <w:rsid w:val="00210652"/>
    <w:rsid w:val="00211D21"/>
    <w:rsid w:val="002121C6"/>
    <w:rsid w:val="00214265"/>
    <w:rsid w:val="00214C3B"/>
    <w:rsid w:val="002161A2"/>
    <w:rsid w:val="00221073"/>
    <w:rsid w:val="00222FD0"/>
    <w:rsid w:val="002252C7"/>
    <w:rsid w:val="0022734F"/>
    <w:rsid w:val="002318DE"/>
    <w:rsid w:val="002338F3"/>
    <w:rsid w:val="00233C57"/>
    <w:rsid w:val="0023489C"/>
    <w:rsid w:val="00241958"/>
    <w:rsid w:val="0024222C"/>
    <w:rsid w:val="00243601"/>
    <w:rsid w:val="00244C01"/>
    <w:rsid w:val="00246042"/>
    <w:rsid w:val="0024693F"/>
    <w:rsid w:val="00247F4B"/>
    <w:rsid w:val="00252F17"/>
    <w:rsid w:val="00253DDD"/>
    <w:rsid w:val="00257B8C"/>
    <w:rsid w:val="00260912"/>
    <w:rsid w:val="00265237"/>
    <w:rsid w:val="00266FF4"/>
    <w:rsid w:val="002716B5"/>
    <w:rsid w:val="00272183"/>
    <w:rsid w:val="00275245"/>
    <w:rsid w:val="00281E63"/>
    <w:rsid w:val="0028271B"/>
    <w:rsid w:val="0028609E"/>
    <w:rsid w:val="00286BFF"/>
    <w:rsid w:val="00286CEA"/>
    <w:rsid w:val="00290A28"/>
    <w:rsid w:val="00293BC3"/>
    <w:rsid w:val="002959C1"/>
    <w:rsid w:val="002A0984"/>
    <w:rsid w:val="002A19B0"/>
    <w:rsid w:val="002A2F5A"/>
    <w:rsid w:val="002A37DA"/>
    <w:rsid w:val="002B104A"/>
    <w:rsid w:val="002B1EBA"/>
    <w:rsid w:val="002B265A"/>
    <w:rsid w:val="002B3023"/>
    <w:rsid w:val="002B3196"/>
    <w:rsid w:val="002B32C5"/>
    <w:rsid w:val="002B519A"/>
    <w:rsid w:val="002B5E75"/>
    <w:rsid w:val="002B766C"/>
    <w:rsid w:val="002B7DCF"/>
    <w:rsid w:val="002C6C9C"/>
    <w:rsid w:val="002C6D51"/>
    <w:rsid w:val="002C6DCE"/>
    <w:rsid w:val="002C769F"/>
    <w:rsid w:val="002D4558"/>
    <w:rsid w:val="002D71AC"/>
    <w:rsid w:val="002D74E4"/>
    <w:rsid w:val="002D7932"/>
    <w:rsid w:val="002E2835"/>
    <w:rsid w:val="002E5749"/>
    <w:rsid w:val="002E5A68"/>
    <w:rsid w:val="002F117F"/>
    <w:rsid w:val="002F2175"/>
    <w:rsid w:val="002F78D5"/>
    <w:rsid w:val="003002F3"/>
    <w:rsid w:val="00300414"/>
    <w:rsid w:val="00301E23"/>
    <w:rsid w:val="00306194"/>
    <w:rsid w:val="003072E7"/>
    <w:rsid w:val="00307B3D"/>
    <w:rsid w:val="003120AA"/>
    <w:rsid w:val="00312281"/>
    <w:rsid w:val="003231FF"/>
    <w:rsid w:val="003235EB"/>
    <w:rsid w:val="00324414"/>
    <w:rsid w:val="00327F68"/>
    <w:rsid w:val="00332EB6"/>
    <w:rsid w:val="0033573E"/>
    <w:rsid w:val="00336724"/>
    <w:rsid w:val="00337373"/>
    <w:rsid w:val="00340728"/>
    <w:rsid w:val="00340A73"/>
    <w:rsid w:val="003413CE"/>
    <w:rsid w:val="00342147"/>
    <w:rsid w:val="00343B24"/>
    <w:rsid w:val="003469E3"/>
    <w:rsid w:val="0035001E"/>
    <w:rsid w:val="00353F3B"/>
    <w:rsid w:val="00355F13"/>
    <w:rsid w:val="00356BD9"/>
    <w:rsid w:val="00357422"/>
    <w:rsid w:val="00357657"/>
    <w:rsid w:val="00366EC3"/>
    <w:rsid w:val="00367E3F"/>
    <w:rsid w:val="00370DD7"/>
    <w:rsid w:val="0037255F"/>
    <w:rsid w:val="00381271"/>
    <w:rsid w:val="0038199B"/>
    <w:rsid w:val="00387F34"/>
    <w:rsid w:val="00392557"/>
    <w:rsid w:val="0039396B"/>
    <w:rsid w:val="00394F11"/>
    <w:rsid w:val="003A4F4D"/>
    <w:rsid w:val="003A5AF1"/>
    <w:rsid w:val="003A61F1"/>
    <w:rsid w:val="003A77F7"/>
    <w:rsid w:val="003B095C"/>
    <w:rsid w:val="003B0D29"/>
    <w:rsid w:val="003B0D94"/>
    <w:rsid w:val="003B21CF"/>
    <w:rsid w:val="003B7E2B"/>
    <w:rsid w:val="003C1D25"/>
    <w:rsid w:val="003C2BF0"/>
    <w:rsid w:val="003C5B4D"/>
    <w:rsid w:val="003D1079"/>
    <w:rsid w:val="003D1FD3"/>
    <w:rsid w:val="003D5FC8"/>
    <w:rsid w:val="003D659C"/>
    <w:rsid w:val="003D6F03"/>
    <w:rsid w:val="003E09FC"/>
    <w:rsid w:val="003E3588"/>
    <w:rsid w:val="003E4B9D"/>
    <w:rsid w:val="003E6D06"/>
    <w:rsid w:val="003F1B54"/>
    <w:rsid w:val="003F2686"/>
    <w:rsid w:val="003F587F"/>
    <w:rsid w:val="003F64D5"/>
    <w:rsid w:val="003F64F5"/>
    <w:rsid w:val="003F6833"/>
    <w:rsid w:val="003F7FB5"/>
    <w:rsid w:val="004002F3"/>
    <w:rsid w:val="004005D4"/>
    <w:rsid w:val="00403F78"/>
    <w:rsid w:val="00404597"/>
    <w:rsid w:val="00406EB9"/>
    <w:rsid w:val="00410975"/>
    <w:rsid w:val="00412561"/>
    <w:rsid w:val="0042091C"/>
    <w:rsid w:val="00421964"/>
    <w:rsid w:val="004223CB"/>
    <w:rsid w:val="00422522"/>
    <w:rsid w:val="004255DD"/>
    <w:rsid w:val="00425865"/>
    <w:rsid w:val="00427F56"/>
    <w:rsid w:val="004311E3"/>
    <w:rsid w:val="00431937"/>
    <w:rsid w:val="00433B06"/>
    <w:rsid w:val="0043585B"/>
    <w:rsid w:val="004361A5"/>
    <w:rsid w:val="00440B24"/>
    <w:rsid w:val="00442AA3"/>
    <w:rsid w:val="00443890"/>
    <w:rsid w:val="00444074"/>
    <w:rsid w:val="0044430D"/>
    <w:rsid w:val="004447F9"/>
    <w:rsid w:val="00444F77"/>
    <w:rsid w:val="004459DE"/>
    <w:rsid w:val="00450428"/>
    <w:rsid w:val="00450DE1"/>
    <w:rsid w:val="004533FC"/>
    <w:rsid w:val="004545CC"/>
    <w:rsid w:val="00454784"/>
    <w:rsid w:val="00461A57"/>
    <w:rsid w:val="00461EFE"/>
    <w:rsid w:val="00461F6C"/>
    <w:rsid w:val="004624D8"/>
    <w:rsid w:val="00464092"/>
    <w:rsid w:val="004640EA"/>
    <w:rsid w:val="00464AD1"/>
    <w:rsid w:val="00466BE7"/>
    <w:rsid w:val="00466DBA"/>
    <w:rsid w:val="0047318E"/>
    <w:rsid w:val="00474C78"/>
    <w:rsid w:val="004839A4"/>
    <w:rsid w:val="004879CB"/>
    <w:rsid w:val="0049172E"/>
    <w:rsid w:val="00493C6E"/>
    <w:rsid w:val="0049577C"/>
    <w:rsid w:val="00497AA4"/>
    <w:rsid w:val="004A20E2"/>
    <w:rsid w:val="004A6CEB"/>
    <w:rsid w:val="004A7713"/>
    <w:rsid w:val="004A7AA7"/>
    <w:rsid w:val="004B180A"/>
    <w:rsid w:val="004B1AC1"/>
    <w:rsid w:val="004B6C4F"/>
    <w:rsid w:val="004C277C"/>
    <w:rsid w:val="004C3987"/>
    <w:rsid w:val="004C6087"/>
    <w:rsid w:val="004C772E"/>
    <w:rsid w:val="004C7B22"/>
    <w:rsid w:val="004D0E0E"/>
    <w:rsid w:val="004D13F3"/>
    <w:rsid w:val="004D2382"/>
    <w:rsid w:val="004D2980"/>
    <w:rsid w:val="004D2E2C"/>
    <w:rsid w:val="004D32C2"/>
    <w:rsid w:val="004D42CF"/>
    <w:rsid w:val="004D5EAB"/>
    <w:rsid w:val="004D6045"/>
    <w:rsid w:val="004D6D3D"/>
    <w:rsid w:val="004E0619"/>
    <w:rsid w:val="004E1C75"/>
    <w:rsid w:val="004E1E79"/>
    <w:rsid w:val="004E278C"/>
    <w:rsid w:val="004E2FEB"/>
    <w:rsid w:val="004E7590"/>
    <w:rsid w:val="004F5B8E"/>
    <w:rsid w:val="004F5D6D"/>
    <w:rsid w:val="004F76DB"/>
    <w:rsid w:val="0050111F"/>
    <w:rsid w:val="00501E0C"/>
    <w:rsid w:val="00502E09"/>
    <w:rsid w:val="005056C8"/>
    <w:rsid w:val="0051137B"/>
    <w:rsid w:val="00511776"/>
    <w:rsid w:val="00511924"/>
    <w:rsid w:val="00512974"/>
    <w:rsid w:val="0051511D"/>
    <w:rsid w:val="0052220C"/>
    <w:rsid w:val="005234C7"/>
    <w:rsid w:val="005238E0"/>
    <w:rsid w:val="00524EDD"/>
    <w:rsid w:val="00525E4E"/>
    <w:rsid w:val="005275E0"/>
    <w:rsid w:val="005277E8"/>
    <w:rsid w:val="0053054B"/>
    <w:rsid w:val="00536353"/>
    <w:rsid w:val="00541C2F"/>
    <w:rsid w:val="00542603"/>
    <w:rsid w:val="0054351E"/>
    <w:rsid w:val="005516CA"/>
    <w:rsid w:val="005518D0"/>
    <w:rsid w:val="00565FBF"/>
    <w:rsid w:val="005672DE"/>
    <w:rsid w:val="005726E9"/>
    <w:rsid w:val="005749F6"/>
    <w:rsid w:val="00576569"/>
    <w:rsid w:val="00576B10"/>
    <w:rsid w:val="00580301"/>
    <w:rsid w:val="00584C68"/>
    <w:rsid w:val="005859FB"/>
    <w:rsid w:val="005924C4"/>
    <w:rsid w:val="005943B6"/>
    <w:rsid w:val="005A4031"/>
    <w:rsid w:val="005A6728"/>
    <w:rsid w:val="005B0391"/>
    <w:rsid w:val="005B225B"/>
    <w:rsid w:val="005B2BF0"/>
    <w:rsid w:val="005B55D6"/>
    <w:rsid w:val="005B5BAF"/>
    <w:rsid w:val="005B7B02"/>
    <w:rsid w:val="005C4A85"/>
    <w:rsid w:val="005C6711"/>
    <w:rsid w:val="005D0D39"/>
    <w:rsid w:val="005D17FE"/>
    <w:rsid w:val="005D1B75"/>
    <w:rsid w:val="005D2574"/>
    <w:rsid w:val="005D2F97"/>
    <w:rsid w:val="005D59D4"/>
    <w:rsid w:val="005D5F55"/>
    <w:rsid w:val="005D6632"/>
    <w:rsid w:val="005D692B"/>
    <w:rsid w:val="005D72C7"/>
    <w:rsid w:val="005E286F"/>
    <w:rsid w:val="005E43E5"/>
    <w:rsid w:val="005E563D"/>
    <w:rsid w:val="005E6940"/>
    <w:rsid w:val="005F0DDB"/>
    <w:rsid w:val="005F13D4"/>
    <w:rsid w:val="005F47D8"/>
    <w:rsid w:val="005F52A1"/>
    <w:rsid w:val="00602748"/>
    <w:rsid w:val="006047C5"/>
    <w:rsid w:val="00611484"/>
    <w:rsid w:val="00621915"/>
    <w:rsid w:val="0062268D"/>
    <w:rsid w:val="00624074"/>
    <w:rsid w:val="0062769F"/>
    <w:rsid w:val="00630F48"/>
    <w:rsid w:val="00632D96"/>
    <w:rsid w:val="00637448"/>
    <w:rsid w:val="00641664"/>
    <w:rsid w:val="0064260F"/>
    <w:rsid w:val="0065001E"/>
    <w:rsid w:val="006533B7"/>
    <w:rsid w:val="00657946"/>
    <w:rsid w:val="00661DB9"/>
    <w:rsid w:val="00662C88"/>
    <w:rsid w:val="00671844"/>
    <w:rsid w:val="00671C18"/>
    <w:rsid w:val="00672B8C"/>
    <w:rsid w:val="00674B00"/>
    <w:rsid w:val="00681DF1"/>
    <w:rsid w:val="00683D35"/>
    <w:rsid w:val="006854FE"/>
    <w:rsid w:val="006905C6"/>
    <w:rsid w:val="00693414"/>
    <w:rsid w:val="006A1ECE"/>
    <w:rsid w:val="006A6AAE"/>
    <w:rsid w:val="006B0CA0"/>
    <w:rsid w:val="006B2F08"/>
    <w:rsid w:val="006B6BB5"/>
    <w:rsid w:val="006C2616"/>
    <w:rsid w:val="006C2C07"/>
    <w:rsid w:val="006C31A4"/>
    <w:rsid w:val="006C5742"/>
    <w:rsid w:val="006D018E"/>
    <w:rsid w:val="006D3078"/>
    <w:rsid w:val="006D4034"/>
    <w:rsid w:val="006D5089"/>
    <w:rsid w:val="006E2530"/>
    <w:rsid w:val="006E548F"/>
    <w:rsid w:val="006E7C74"/>
    <w:rsid w:val="006E7E7A"/>
    <w:rsid w:val="006F0100"/>
    <w:rsid w:val="006F0BD8"/>
    <w:rsid w:val="006F2441"/>
    <w:rsid w:val="006F3EBF"/>
    <w:rsid w:val="006F73F0"/>
    <w:rsid w:val="00702998"/>
    <w:rsid w:val="0071055A"/>
    <w:rsid w:val="0071414A"/>
    <w:rsid w:val="0071514F"/>
    <w:rsid w:val="00715392"/>
    <w:rsid w:val="00716F1E"/>
    <w:rsid w:val="00722F9D"/>
    <w:rsid w:val="007273E3"/>
    <w:rsid w:val="00727685"/>
    <w:rsid w:val="00730AF8"/>
    <w:rsid w:val="00735D7F"/>
    <w:rsid w:val="007375F7"/>
    <w:rsid w:val="00740322"/>
    <w:rsid w:val="00740916"/>
    <w:rsid w:val="00742FC6"/>
    <w:rsid w:val="007431FF"/>
    <w:rsid w:val="0074650D"/>
    <w:rsid w:val="0075409F"/>
    <w:rsid w:val="00754363"/>
    <w:rsid w:val="00756F9E"/>
    <w:rsid w:val="0076471F"/>
    <w:rsid w:val="00765BD5"/>
    <w:rsid w:val="00772ADE"/>
    <w:rsid w:val="00777F5E"/>
    <w:rsid w:val="00780EC4"/>
    <w:rsid w:val="0078155E"/>
    <w:rsid w:val="0078300B"/>
    <w:rsid w:val="007833A9"/>
    <w:rsid w:val="007844E1"/>
    <w:rsid w:val="007851E9"/>
    <w:rsid w:val="00785E75"/>
    <w:rsid w:val="007865D4"/>
    <w:rsid w:val="007910D2"/>
    <w:rsid w:val="00794754"/>
    <w:rsid w:val="00794E1F"/>
    <w:rsid w:val="00794FB8"/>
    <w:rsid w:val="0079519B"/>
    <w:rsid w:val="007A303A"/>
    <w:rsid w:val="007A3064"/>
    <w:rsid w:val="007B6849"/>
    <w:rsid w:val="007B7164"/>
    <w:rsid w:val="007C00C7"/>
    <w:rsid w:val="007C2953"/>
    <w:rsid w:val="007C7959"/>
    <w:rsid w:val="007C7EC0"/>
    <w:rsid w:val="007D1A1E"/>
    <w:rsid w:val="007D20B0"/>
    <w:rsid w:val="007E231D"/>
    <w:rsid w:val="007E3AA5"/>
    <w:rsid w:val="007E6F6F"/>
    <w:rsid w:val="007E7EBB"/>
    <w:rsid w:val="007F3589"/>
    <w:rsid w:val="007F376A"/>
    <w:rsid w:val="007F488D"/>
    <w:rsid w:val="007F60F3"/>
    <w:rsid w:val="007F6919"/>
    <w:rsid w:val="007F69DC"/>
    <w:rsid w:val="007F75DF"/>
    <w:rsid w:val="008002E8"/>
    <w:rsid w:val="008006D5"/>
    <w:rsid w:val="00805389"/>
    <w:rsid w:val="00807361"/>
    <w:rsid w:val="00811B2B"/>
    <w:rsid w:val="008149B7"/>
    <w:rsid w:val="00825250"/>
    <w:rsid w:val="00826912"/>
    <w:rsid w:val="0082708B"/>
    <w:rsid w:val="00830748"/>
    <w:rsid w:val="008322B6"/>
    <w:rsid w:val="00833A2A"/>
    <w:rsid w:val="008349F1"/>
    <w:rsid w:val="00836024"/>
    <w:rsid w:val="00836392"/>
    <w:rsid w:val="00840233"/>
    <w:rsid w:val="00840834"/>
    <w:rsid w:val="008416EA"/>
    <w:rsid w:val="008434F5"/>
    <w:rsid w:val="00843FBA"/>
    <w:rsid w:val="00844132"/>
    <w:rsid w:val="00845B4F"/>
    <w:rsid w:val="00846C18"/>
    <w:rsid w:val="00847850"/>
    <w:rsid w:val="008546A9"/>
    <w:rsid w:val="00854857"/>
    <w:rsid w:val="00856CAD"/>
    <w:rsid w:val="00856EB5"/>
    <w:rsid w:val="00857CCD"/>
    <w:rsid w:val="00863597"/>
    <w:rsid w:val="0086648B"/>
    <w:rsid w:val="008673F2"/>
    <w:rsid w:val="00867E7D"/>
    <w:rsid w:val="00872EB7"/>
    <w:rsid w:val="008731F9"/>
    <w:rsid w:val="00873699"/>
    <w:rsid w:val="00873E3C"/>
    <w:rsid w:val="00874730"/>
    <w:rsid w:val="00874FC0"/>
    <w:rsid w:val="008750E2"/>
    <w:rsid w:val="00876486"/>
    <w:rsid w:val="00881F0E"/>
    <w:rsid w:val="00886003"/>
    <w:rsid w:val="008866E8"/>
    <w:rsid w:val="0088671C"/>
    <w:rsid w:val="00886C7C"/>
    <w:rsid w:val="008A2CE6"/>
    <w:rsid w:val="008A37D2"/>
    <w:rsid w:val="008A44F4"/>
    <w:rsid w:val="008A4808"/>
    <w:rsid w:val="008A656F"/>
    <w:rsid w:val="008A6DFE"/>
    <w:rsid w:val="008B0EFE"/>
    <w:rsid w:val="008B183C"/>
    <w:rsid w:val="008B1E93"/>
    <w:rsid w:val="008B247B"/>
    <w:rsid w:val="008B40A4"/>
    <w:rsid w:val="008B550F"/>
    <w:rsid w:val="008B5981"/>
    <w:rsid w:val="008B6C52"/>
    <w:rsid w:val="008C2B2F"/>
    <w:rsid w:val="008C3068"/>
    <w:rsid w:val="008C43C2"/>
    <w:rsid w:val="008C4541"/>
    <w:rsid w:val="008C48D9"/>
    <w:rsid w:val="008C7B45"/>
    <w:rsid w:val="008D2A4A"/>
    <w:rsid w:val="008D3EE3"/>
    <w:rsid w:val="008D5B3D"/>
    <w:rsid w:val="008E2235"/>
    <w:rsid w:val="008E3423"/>
    <w:rsid w:val="008E63C4"/>
    <w:rsid w:val="008F0467"/>
    <w:rsid w:val="008F16BC"/>
    <w:rsid w:val="008F1D24"/>
    <w:rsid w:val="008F1DAB"/>
    <w:rsid w:val="008F34A2"/>
    <w:rsid w:val="008F3C01"/>
    <w:rsid w:val="009007F1"/>
    <w:rsid w:val="00902773"/>
    <w:rsid w:val="00903FCF"/>
    <w:rsid w:val="009078CC"/>
    <w:rsid w:val="00910842"/>
    <w:rsid w:val="00911F7B"/>
    <w:rsid w:val="00913281"/>
    <w:rsid w:val="00913EA5"/>
    <w:rsid w:val="009146C1"/>
    <w:rsid w:val="00915D96"/>
    <w:rsid w:val="009212BC"/>
    <w:rsid w:val="009244A9"/>
    <w:rsid w:val="0092712F"/>
    <w:rsid w:val="00927849"/>
    <w:rsid w:val="00930042"/>
    <w:rsid w:val="00930919"/>
    <w:rsid w:val="009318E0"/>
    <w:rsid w:val="00937239"/>
    <w:rsid w:val="00943CEA"/>
    <w:rsid w:val="0094577E"/>
    <w:rsid w:val="00945A5E"/>
    <w:rsid w:val="00947610"/>
    <w:rsid w:val="009544D4"/>
    <w:rsid w:val="00956D49"/>
    <w:rsid w:val="009607BB"/>
    <w:rsid w:val="009612A7"/>
    <w:rsid w:val="00963ADB"/>
    <w:rsid w:val="00967444"/>
    <w:rsid w:val="009717DB"/>
    <w:rsid w:val="00974AF9"/>
    <w:rsid w:val="009751A6"/>
    <w:rsid w:val="00976374"/>
    <w:rsid w:val="00977319"/>
    <w:rsid w:val="00983A1F"/>
    <w:rsid w:val="00984C13"/>
    <w:rsid w:val="00986305"/>
    <w:rsid w:val="00987485"/>
    <w:rsid w:val="0099167B"/>
    <w:rsid w:val="00993442"/>
    <w:rsid w:val="00997587"/>
    <w:rsid w:val="009A0CC8"/>
    <w:rsid w:val="009A207B"/>
    <w:rsid w:val="009A2CF2"/>
    <w:rsid w:val="009A2D93"/>
    <w:rsid w:val="009A5A0D"/>
    <w:rsid w:val="009A679E"/>
    <w:rsid w:val="009A6D1B"/>
    <w:rsid w:val="009B303B"/>
    <w:rsid w:val="009B3BDA"/>
    <w:rsid w:val="009B76D8"/>
    <w:rsid w:val="009B785F"/>
    <w:rsid w:val="009C0398"/>
    <w:rsid w:val="009D6B2A"/>
    <w:rsid w:val="009D7BDF"/>
    <w:rsid w:val="009E0816"/>
    <w:rsid w:val="009E1C06"/>
    <w:rsid w:val="009E28DB"/>
    <w:rsid w:val="009E2D2F"/>
    <w:rsid w:val="009E5367"/>
    <w:rsid w:val="009F3F7B"/>
    <w:rsid w:val="009F5682"/>
    <w:rsid w:val="00A00C88"/>
    <w:rsid w:val="00A022EA"/>
    <w:rsid w:val="00A046F7"/>
    <w:rsid w:val="00A078E7"/>
    <w:rsid w:val="00A10B39"/>
    <w:rsid w:val="00A13F63"/>
    <w:rsid w:val="00A15843"/>
    <w:rsid w:val="00A15B2B"/>
    <w:rsid w:val="00A21D2D"/>
    <w:rsid w:val="00A21E90"/>
    <w:rsid w:val="00A223AA"/>
    <w:rsid w:val="00A24F06"/>
    <w:rsid w:val="00A266F5"/>
    <w:rsid w:val="00A279DD"/>
    <w:rsid w:val="00A306DD"/>
    <w:rsid w:val="00A30ABA"/>
    <w:rsid w:val="00A314B9"/>
    <w:rsid w:val="00A33D5D"/>
    <w:rsid w:val="00A35E46"/>
    <w:rsid w:val="00A41885"/>
    <w:rsid w:val="00A41B45"/>
    <w:rsid w:val="00A52515"/>
    <w:rsid w:val="00A52866"/>
    <w:rsid w:val="00A54B37"/>
    <w:rsid w:val="00A562B8"/>
    <w:rsid w:val="00A56F70"/>
    <w:rsid w:val="00A609DD"/>
    <w:rsid w:val="00A60B57"/>
    <w:rsid w:val="00A61815"/>
    <w:rsid w:val="00A644DE"/>
    <w:rsid w:val="00A64AB2"/>
    <w:rsid w:val="00A65157"/>
    <w:rsid w:val="00A65F33"/>
    <w:rsid w:val="00A66DBB"/>
    <w:rsid w:val="00A6740F"/>
    <w:rsid w:val="00A7118B"/>
    <w:rsid w:val="00A82FE0"/>
    <w:rsid w:val="00A90C9D"/>
    <w:rsid w:val="00A91AC1"/>
    <w:rsid w:val="00A921BD"/>
    <w:rsid w:val="00A95A88"/>
    <w:rsid w:val="00AA1B63"/>
    <w:rsid w:val="00AA3188"/>
    <w:rsid w:val="00AA420D"/>
    <w:rsid w:val="00AA56EF"/>
    <w:rsid w:val="00AB29DF"/>
    <w:rsid w:val="00AB2C8C"/>
    <w:rsid w:val="00AB444A"/>
    <w:rsid w:val="00AB7101"/>
    <w:rsid w:val="00AB7DFA"/>
    <w:rsid w:val="00AC0D36"/>
    <w:rsid w:val="00AC313B"/>
    <w:rsid w:val="00AC405E"/>
    <w:rsid w:val="00AC74EE"/>
    <w:rsid w:val="00AD09E9"/>
    <w:rsid w:val="00AE61B1"/>
    <w:rsid w:val="00AE732F"/>
    <w:rsid w:val="00AE7EFD"/>
    <w:rsid w:val="00AF074C"/>
    <w:rsid w:val="00AF54D7"/>
    <w:rsid w:val="00AF716F"/>
    <w:rsid w:val="00B0040A"/>
    <w:rsid w:val="00B00896"/>
    <w:rsid w:val="00B03AF0"/>
    <w:rsid w:val="00B05373"/>
    <w:rsid w:val="00B0555A"/>
    <w:rsid w:val="00B05AD9"/>
    <w:rsid w:val="00B067E6"/>
    <w:rsid w:val="00B11A88"/>
    <w:rsid w:val="00B1225D"/>
    <w:rsid w:val="00B12260"/>
    <w:rsid w:val="00B12295"/>
    <w:rsid w:val="00B13880"/>
    <w:rsid w:val="00B13F00"/>
    <w:rsid w:val="00B156E1"/>
    <w:rsid w:val="00B21141"/>
    <w:rsid w:val="00B25433"/>
    <w:rsid w:val="00B2626C"/>
    <w:rsid w:val="00B32799"/>
    <w:rsid w:val="00B341BA"/>
    <w:rsid w:val="00B3728B"/>
    <w:rsid w:val="00B408B6"/>
    <w:rsid w:val="00B46E96"/>
    <w:rsid w:val="00B473B7"/>
    <w:rsid w:val="00B50ED6"/>
    <w:rsid w:val="00B531ED"/>
    <w:rsid w:val="00B53574"/>
    <w:rsid w:val="00B54AC4"/>
    <w:rsid w:val="00B571AE"/>
    <w:rsid w:val="00B60027"/>
    <w:rsid w:val="00B60E3B"/>
    <w:rsid w:val="00B61908"/>
    <w:rsid w:val="00B63296"/>
    <w:rsid w:val="00B63AE9"/>
    <w:rsid w:val="00B64542"/>
    <w:rsid w:val="00B662B0"/>
    <w:rsid w:val="00B670FF"/>
    <w:rsid w:val="00B70377"/>
    <w:rsid w:val="00B70B80"/>
    <w:rsid w:val="00B73AB9"/>
    <w:rsid w:val="00B75187"/>
    <w:rsid w:val="00B76BE0"/>
    <w:rsid w:val="00B7776A"/>
    <w:rsid w:val="00B77B8A"/>
    <w:rsid w:val="00B80913"/>
    <w:rsid w:val="00B8139C"/>
    <w:rsid w:val="00B91A8D"/>
    <w:rsid w:val="00B97610"/>
    <w:rsid w:val="00BA12B3"/>
    <w:rsid w:val="00BA34AD"/>
    <w:rsid w:val="00BA4B2A"/>
    <w:rsid w:val="00BA531A"/>
    <w:rsid w:val="00BA6168"/>
    <w:rsid w:val="00BB1CF9"/>
    <w:rsid w:val="00BB69FF"/>
    <w:rsid w:val="00BB7068"/>
    <w:rsid w:val="00BC1C1C"/>
    <w:rsid w:val="00BC341C"/>
    <w:rsid w:val="00BD545A"/>
    <w:rsid w:val="00BD5C2B"/>
    <w:rsid w:val="00BD7796"/>
    <w:rsid w:val="00BE71F3"/>
    <w:rsid w:val="00BF12D7"/>
    <w:rsid w:val="00BF1C2D"/>
    <w:rsid w:val="00BF2735"/>
    <w:rsid w:val="00BF634A"/>
    <w:rsid w:val="00BF738E"/>
    <w:rsid w:val="00C004EC"/>
    <w:rsid w:val="00C0138F"/>
    <w:rsid w:val="00C013B1"/>
    <w:rsid w:val="00C0402F"/>
    <w:rsid w:val="00C04B6C"/>
    <w:rsid w:val="00C04B8A"/>
    <w:rsid w:val="00C051D7"/>
    <w:rsid w:val="00C0542B"/>
    <w:rsid w:val="00C1173A"/>
    <w:rsid w:val="00C14CE5"/>
    <w:rsid w:val="00C17644"/>
    <w:rsid w:val="00C22AC4"/>
    <w:rsid w:val="00C24D41"/>
    <w:rsid w:val="00C30025"/>
    <w:rsid w:val="00C3254A"/>
    <w:rsid w:val="00C329A2"/>
    <w:rsid w:val="00C35EC8"/>
    <w:rsid w:val="00C37937"/>
    <w:rsid w:val="00C37AA8"/>
    <w:rsid w:val="00C4065A"/>
    <w:rsid w:val="00C412B4"/>
    <w:rsid w:val="00C42FF3"/>
    <w:rsid w:val="00C447FD"/>
    <w:rsid w:val="00C44BA2"/>
    <w:rsid w:val="00C464FB"/>
    <w:rsid w:val="00C472EE"/>
    <w:rsid w:val="00C479EC"/>
    <w:rsid w:val="00C5024F"/>
    <w:rsid w:val="00C51630"/>
    <w:rsid w:val="00C52F4B"/>
    <w:rsid w:val="00C53754"/>
    <w:rsid w:val="00C54F50"/>
    <w:rsid w:val="00C6035E"/>
    <w:rsid w:val="00C60B10"/>
    <w:rsid w:val="00C639B5"/>
    <w:rsid w:val="00C651A6"/>
    <w:rsid w:val="00C725DF"/>
    <w:rsid w:val="00C725F3"/>
    <w:rsid w:val="00C727C4"/>
    <w:rsid w:val="00C72C99"/>
    <w:rsid w:val="00C73C4D"/>
    <w:rsid w:val="00C766EC"/>
    <w:rsid w:val="00C81FF3"/>
    <w:rsid w:val="00C822F8"/>
    <w:rsid w:val="00C8251B"/>
    <w:rsid w:val="00C83482"/>
    <w:rsid w:val="00C83A6F"/>
    <w:rsid w:val="00C92D6F"/>
    <w:rsid w:val="00C93DEA"/>
    <w:rsid w:val="00C940A2"/>
    <w:rsid w:val="00C9540C"/>
    <w:rsid w:val="00C97351"/>
    <w:rsid w:val="00C97736"/>
    <w:rsid w:val="00C97D8E"/>
    <w:rsid w:val="00CA2A23"/>
    <w:rsid w:val="00CA62E3"/>
    <w:rsid w:val="00CA752C"/>
    <w:rsid w:val="00CB009F"/>
    <w:rsid w:val="00CB221F"/>
    <w:rsid w:val="00CC1B2D"/>
    <w:rsid w:val="00CC34A9"/>
    <w:rsid w:val="00CC3524"/>
    <w:rsid w:val="00CC4251"/>
    <w:rsid w:val="00CC4BEC"/>
    <w:rsid w:val="00CC61EB"/>
    <w:rsid w:val="00CC7C20"/>
    <w:rsid w:val="00CD1AEF"/>
    <w:rsid w:val="00CD3C04"/>
    <w:rsid w:val="00CD3C3C"/>
    <w:rsid w:val="00CE662A"/>
    <w:rsid w:val="00CF25C2"/>
    <w:rsid w:val="00CF681E"/>
    <w:rsid w:val="00CF73A6"/>
    <w:rsid w:val="00CF7788"/>
    <w:rsid w:val="00D00F1D"/>
    <w:rsid w:val="00D03748"/>
    <w:rsid w:val="00D03F62"/>
    <w:rsid w:val="00D046EB"/>
    <w:rsid w:val="00D05575"/>
    <w:rsid w:val="00D05B58"/>
    <w:rsid w:val="00D06F52"/>
    <w:rsid w:val="00D118BD"/>
    <w:rsid w:val="00D13C76"/>
    <w:rsid w:val="00D154BD"/>
    <w:rsid w:val="00D15738"/>
    <w:rsid w:val="00D2157E"/>
    <w:rsid w:val="00D21616"/>
    <w:rsid w:val="00D22AE7"/>
    <w:rsid w:val="00D24F42"/>
    <w:rsid w:val="00D2550B"/>
    <w:rsid w:val="00D2562C"/>
    <w:rsid w:val="00D25D60"/>
    <w:rsid w:val="00D271FF"/>
    <w:rsid w:val="00D3367E"/>
    <w:rsid w:val="00D33956"/>
    <w:rsid w:val="00D34F1B"/>
    <w:rsid w:val="00D360D0"/>
    <w:rsid w:val="00D41229"/>
    <w:rsid w:val="00D4367A"/>
    <w:rsid w:val="00D513AE"/>
    <w:rsid w:val="00D515F5"/>
    <w:rsid w:val="00D53E08"/>
    <w:rsid w:val="00D56C07"/>
    <w:rsid w:val="00D56E27"/>
    <w:rsid w:val="00D57D13"/>
    <w:rsid w:val="00D61770"/>
    <w:rsid w:val="00D6243F"/>
    <w:rsid w:val="00D63EB8"/>
    <w:rsid w:val="00D6403A"/>
    <w:rsid w:val="00D70518"/>
    <w:rsid w:val="00D71083"/>
    <w:rsid w:val="00D774C6"/>
    <w:rsid w:val="00D80163"/>
    <w:rsid w:val="00D84CCB"/>
    <w:rsid w:val="00D84E18"/>
    <w:rsid w:val="00D90322"/>
    <w:rsid w:val="00D930EF"/>
    <w:rsid w:val="00D95125"/>
    <w:rsid w:val="00D96F2B"/>
    <w:rsid w:val="00DB2397"/>
    <w:rsid w:val="00DB2470"/>
    <w:rsid w:val="00DB2654"/>
    <w:rsid w:val="00DB2884"/>
    <w:rsid w:val="00DB6434"/>
    <w:rsid w:val="00DC7FB4"/>
    <w:rsid w:val="00DD68BB"/>
    <w:rsid w:val="00DE5043"/>
    <w:rsid w:val="00DE52F4"/>
    <w:rsid w:val="00DE5E1B"/>
    <w:rsid w:val="00DE7476"/>
    <w:rsid w:val="00DF44BE"/>
    <w:rsid w:val="00DF643C"/>
    <w:rsid w:val="00DF64FD"/>
    <w:rsid w:val="00DF7263"/>
    <w:rsid w:val="00E00E3D"/>
    <w:rsid w:val="00E01A48"/>
    <w:rsid w:val="00E05AF6"/>
    <w:rsid w:val="00E066BE"/>
    <w:rsid w:val="00E10958"/>
    <w:rsid w:val="00E127AC"/>
    <w:rsid w:val="00E14318"/>
    <w:rsid w:val="00E17073"/>
    <w:rsid w:val="00E22AC2"/>
    <w:rsid w:val="00E23091"/>
    <w:rsid w:val="00E23DC0"/>
    <w:rsid w:val="00E2429B"/>
    <w:rsid w:val="00E24409"/>
    <w:rsid w:val="00E24EF9"/>
    <w:rsid w:val="00E24FB9"/>
    <w:rsid w:val="00E26CD1"/>
    <w:rsid w:val="00E26F82"/>
    <w:rsid w:val="00E35189"/>
    <w:rsid w:val="00E40541"/>
    <w:rsid w:val="00E422D3"/>
    <w:rsid w:val="00E44149"/>
    <w:rsid w:val="00E44D80"/>
    <w:rsid w:val="00E44ECA"/>
    <w:rsid w:val="00E459C3"/>
    <w:rsid w:val="00E477CB"/>
    <w:rsid w:val="00E53796"/>
    <w:rsid w:val="00E53A61"/>
    <w:rsid w:val="00E57384"/>
    <w:rsid w:val="00E5755C"/>
    <w:rsid w:val="00E6578A"/>
    <w:rsid w:val="00E66840"/>
    <w:rsid w:val="00E678BB"/>
    <w:rsid w:val="00E726B2"/>
    <w:rsid w:val="00E7293B"/>
    <w:rsid w:val="00E74109"/>
    <w:rsid w:val="00E750F1"/>
    <w:rsid w:val="00E75A06"/>
    <w:rsid w:val="00E800E5"/>
    <w:rsid w:val="00E814E3"/>
    <w:rsid w:val="00E83542"/>
    <w:rsid w:val="00E84AFF"/>
    <w:rsid w:val="00E85BE6"/>
    <w:rsid w:val="00E9172F"/>
    <w:rsid w:val="00E97BC4"/>
    <w:rsid w:val="00EA0DE3"/>
    <w:rsid w:val="00EA0E4D"/>
    <w:rsid w:val="00EA2F46"/>
    <w:rsid w:val="00EA34B0"/>
    <w:rsid w:val="00EB1E0E"/>
    <w:rsid w:val="00EB3759"/>
    <w:rsid w:val="00EB3E3A"/>
    <w:rsid w:val="00EB77D8"/>
    <w:rsid w:val="00EB7CEA"/>
    <w:rsid w:val="00EC0F5F"/>
    <w:rsid w:val="00EC100A"/>
    <w:rsid w:val="00EC4FDF"/>
    <w:rsid w:val="00ED1C66"/>
    <w:rsid w:val="00ED1FB9"/>
    <w:rsid w:val="00ED2F22"/>
    <w:rsid w:val="00ED411D"/>
    <w:rsid w:val="00ED5266"/>
    <w:rsid w:val="00EE2418"/>
    <w:rsid w:val="00EE3718"/>
    <w:rsid w:val="00EE4BF8"/>
    <w:rsid w:val="00EE739D"/>
    <w:rsid w:val="00EF080A"/>
    <w:rsid w:val="00EF15F7"/>
    <w:rsid w:val="00EF1D60"/>
    <w:rsid w:val="00EF1EE8"/>
    <w:rsid w:val="00EF63BE"/>
    <w:rsid w:val="00EF69B2"/>
    <w:rsid w:val="00F02711"/>
    <w:rsid w:val="00F02993"/>
    <w:rsid w:val="00F07399"/>
    <w:rsid w:val="00F10F95"/>
    <w:rsid w:val="00F111AD"/>
    <w:rsid w:val="00F11A57"/>
    <w:rsid w:val="00F12FB9"/>
    <w:rsid w:val="00F172D2"/>
    <w:rsid w:val="00F17841"/>
    <w:rsid w:val="00F2070B"/>
    <w:rsid w:val="00F242C4"/>
    <w:rsid w:val="00F26BE0"/>
    <w:rsid w:val="00F3030B"/>
    <w:rsid w:val="00F336D9"/>
    <w:rsid w:val="00F33EB5"/>
    <w:rsid w:val="00F340E0"/>
    <w:rsid w:val="00F3659F"/>
    <w:rsid w:val="00F367A2"/>
    <w:rsid w:val="00F37E63"/>
    <w:rsid w:val="00F41F12"/>
    <w:rsid w:val="00F4650D"/>
    <w:rsid w:val="00F511C0"/>
    <w:rsid w:val="00F535BA"/>
    <w:rsid w:val="00F55AC5"/>
    <w:rsid w:val="00F601E3"/>
    <w:rsid w:val="00F66720"/>
    <w:rsid w:val="00F719EC"/>
    <w:rsid w:val="00F73221"/>
    <w:rsid w:val="00F7591B"/>
    <w:rsid w:val="00F76ECD"/>
    <w:rsid w:val="00F82026"/>
    <w:rsid w:val="00F86BD5"/>
    <w:rsid w:val="00F917A7"/>
    <w:rsid w:val="00F9214E"/>
    <w:rsid w:val="00F92D2D"/>
    <w:rsid w:val="00F9606B"/>
    <w:rsid w:val="00F96711"/>
    <w:rsid w:val="00F96836"/>
    <w:rsid w:val="00F96FAC"/>
    <w:rsid w:val="00F97D20"/>
    <w:rsid w:val="00FA021B"/>
    <w:rsid w:val="00FA194C"/>
    <w:rsid w:val="00FA539E"/>
    <w:rsid w:val="00FB1906"/>
    <w:rsid w:val="00FB32EE"/>
    <w:rsid w:val="00FB3E2C"/>
    <w:rsid w:val="00FB7C7E"/>
    <w:rsid w:val="00FC15DA"/>
    <w:rsid w:val="00FC19DF"/>
    <w:rsid w:val="00FC5DF9"/>
    <w:rsid w:val="00FD119D"/>
    <w:rsid w:val="00FD1E61"/>
    <w:rsid w:val="00FD5EA7"/>
    <w:rsid w:val="00FD6632"/>
    <w:rsid w:val="00FD7707"/>
    <w:rsid w:val="00FE091A"/>
    <w:rsid w:val="00FE19DD"/>
    <w:rsid w:val="00FE262A"/>
    <w:rsid w:val="00FE2C8A"/>
    <w:rsid w:val="00FE356F"/>
    <w:rsid w:val="00FE36CF"/>
    <w:rsid w:val="00FE3A0D"/>
    <w:rsid w:val="00FF3AA5"/>
    <w:rsid w:val="00FF4830"/>
    <w:rsid w:val="00FF4F46"/>
    <w:rsid w:val="00FF58B1"/>
    <w:rsid w:val="00FF6DDC"/>
    <w:rsid w:val="00FF777E"/>
    <w:rsid w:val="00FF7ED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6737"/>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line number" w:uiPriority="99"/>
    <w:lsdException w:name="Title" w:semiHidden="0" w:unhideWhenUsed="0" w:qFormat="1"/>
    <w:lsdException w:name="Default Paragraph Font" w:uiPriority="1"/>
    <w:lsdException w:name="Subtitle" w:semiHidden="0" w:unhideWhenUsed="0" w:qFormat="1"/>
    <w:lsdException w:name="Note Heading" w:uiPriority="99"/>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1E1652"/>
    <w:pPr>
      <w:spacing w:line="260" w:lineRule="atLeast"/>
    </w:pPr>
    <w:rPr>
      <w:rFonts w:eastAsiaTheme="minorHAnsi" w:cstheme="minorBidi"/>
      <w:sz w:val="22"/>
      <w:lang w:eastAsia="en-US"/>
    </w:rPr>
  </w:style>
  <w:style w:type="paragraph" w:styleId="Heading1">
    <w:name w:val="heading 1"/>
    <w:basedOn w:val="Normal"/>
    <w:next w:val="Normal"/>
    <w:qFormat/>
    <w:rsid w:val="00E814E3"/>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E814E3"/>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E814E3"/>
    <w:pPr>
      <w:keepNext/>
      <w:spacing w:before="240" w:after="60"/>
      <w:outlineLvl w:val="2"/>
    </w:pPr>
    <w:rPr>
      <w:rFonts w:ascii="Arial" w:hAnsi="Arial" w:cs="Arial"/>
      <w:b/>
      <w:bCs/>
      <w:sz w:val="26"/>
      <w:szCs w:val="26"/>
    </w:rPr>
  </w:style>
  <w:style w:type="paragraph" w:styleId="Heading4">
    <w:name w:val="heading 4"/>
    <w:basedOn w:val="Normal"/>
    <w:next w:val="Normal"/>
    <w:qFormat/>
    <w:rsid w:val="00E814E3"/>
    <w:pPr>
      <w:keepNext/>
      <w:spacing w:before="240" w:after="60"/>
      <w:outlineLvl w:val="3"/>
    </w:pPr>
    <w:rPr>
      <w:b/>
      <w:bCs/>
      <w:sz w:val="28"/>
      <w:szCs w:val="28"/>
    </w:rPr>
  </w:style>
  <w:style w:type="paragraph" w:styleId="Heading5">
    <w:name w:val="heading 5"/>
    <w:basedOn w:val="Normal"/>
    <w:next w:val="Normal"/>
    <w:qFormat/>
    <w:rsid w:val="00E814E3"/>
    <w:pPr>
      <w:spacing w:before="240" w:after="60"/>
      <w:outlineLvl w:val="4"/>
    </w:pPr>
    <w:rPr>
      <w:b/>
      <w:bCs/>
      <w:i/>
      <w:iCs/>
      <w:sz w:val="26"/>
      <w:szCs w:val="26"/>
    </w:rPr>
  </w:style>
  <w:style w:type="paragraph" w:styleId="Heading6">
    <w:name w:val="heading 6"/>
    <w:basedOn w:val="Normal"/>
    <w:next w:val="Normal"/>
    <w:qFormat/>
    <w:rsid w:val="00E814E3"/>
    <w:pPr>
      <w:spacing w:before="240" w:after="60"/>
      <w:outlineLvl w:val="5"/>
    </w:pPr>
    <w:rPr>
      <w:b/>
      <w:bCs/>
      <w:szCs w:val="22"/>
    </w:rPr>
  </w:style>
  <w:style w:type="paragraph" w:styleId="Heading7">
    <w:name w:val="heading 7"/>
    <w:basedOn w:val="Normal"/>
    <w:next w:val="Normal"/>
    <w:qFormat/>
    <w:rsid w:val="00E814E3"/>
    <w:pPr>
      <w:spacing w:before="240" w:after="60"/>
      <w:outlineLvl w:val="6"/>
    </w:pPr>
  </w:style>
  <w:style w:type="paragraph" w:styleId="Heading8">
    <w:name w:val="heading 8"/>
    <w:basedOn w:val="Normal"/>
    <w:next w:val="Normal"/>
    <w:qFormat/>
    <w:rsid w:val="00E814E3"/>
    <w:pPr>
      <w:spacing w:before="240" w:after="60"/>
      <w:outlineLvl w:val="7"/>
    </w:pPr>
    <w:rPr>
      <w:i/>
      <w:iCs/>
    </w:rPr>
  </w:style>
  <w:style w:type="paragraph" w:styleId="Heading9">
    <w:name w:val="heading 9"/>
    <w:basedOn w:val="Normal"/>
    <w:next w:val="Normal"/>
    <w:qFormat/>
    <w:rsid w:val="00E814E3"/>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zTempStyle">
    <w:name w:val="charzTempStyle"/>
    <w:basedOn w:val="DefaultParagraphFont"/>
    <w:rsid w:val="00D046EB"/>
  </w:style>
  <w:style w:type="paragraph" w:styleId="Footer">
    <w:name w:val="footer"/>
    <w:link w:val="FooterChar"/>
    <w:rsid w:val="001E1652"/>
    <w:pPr>
      <w:tabs>
        <w:tab w:val="center" w:pos="4153"/>
        <w:tab w:val="right" w:pos="8306"/>
      </w:tabs>
    </w:pPr>
    <w:rPr>
      <w:sz w:val="22"/>
      <w:szCs w:val="24"/>
    </w:rPr>
  </w:style>
  <w:style w:type="numbering" w:styleId="111111">
    <w:name w:val="Outline List 2"/>
    <w:basedOn w:val="NoList"/>
    <w:rsid w:val="00E814E3"/>
    <w:pPr>
      <w:numPr>
        <w:numId w:val="2"/>
      </w:numPr>
    </w:pPr>
  </w:style>
  <w:style w:type="numbering" w:styleId="1ai">
    <w:name w:val="Outline List 1"/>
    <w:basedOn w:val="NoList"/>
    <w:rsid w:val="00E814E3"/>
    <w:pPr>
      <w:numPr>
        <w:numId w:val="3"/>
      </w:numPr>
    </w:pPr>
  </w:style>
  <w:style w:type="numbering" w:styleId="ArticleSection">
    <w:name w:val="Outline List 3"/>
    <w:basedOn w:val="NoList"/>
    <w:rsid w:val="00E814E3"/>
    <w:pPr>
      <w:numPr>
        <w:numId w:val="1"/>
      </w:numPr>
    </w:pPr>
  </w:style>
  <w:style w:type="paragraph" w:styleId="BlockText">
    <w:name w:val="Block Text"/>
    <w:basedOn w:val="Normal"/>
    <w:rsid w:val="00E814E3"/>
    <w:pPr>
      <w:spacing w:after="120"/>
      <w:ind w:left="1440" w:right="1440"/>
    </w:pPr>
  </w:style>
  <w:style w:type="paragraph" w:styleId="BodyText">
    <w:name w:val="Body Text"/>
    <w:basedOn w:val="Normal"/>
    <w:link w:val="BodyTextChar"/>
    <w:rsid w:val="00E814E3"/>
    <w:pPr>
      <w:spacing w:after="120"/>
    </w:pPr>
  </w:style>
  <w:style w:type="paragraph" w:styleId="BodyText2">
    <w:name w:val="Body Text 2"/>
    <w:basedOn w:val="Normal"/>
    <w:rsid w:val="00E814E3"/>
    <w:pPr>
      <w:spacing w:after="120" w:line="480" w:lineRule="auto"/>
    </w:pPr>
  </w:style>
  <w:style w:type="paragraph" w:styleId="BodyText3">
    <w:name w:val="Body Text 3"/>
    <w:basedOn w:val="Normal"/>
    <w:rsid w:val="00E814E3"/>
    <w:pPr>
      <w:spacing w:after="120"/>
    </w:pPr>
    <w:rPr>
      <w:sz w:val="16"/>
      <w:szCs w:val="16"/>
    </w:rPr>
  </w:style>
  <w:style w:type="paragraph" w:styleId="BodyTextFirstIndent">
    <w:name w:val="Body Text First Indent"/>
    <w:basedOn w:val="BodyText"/>
    <w:rsid w:val="00E814E3"/>
    <w:pPr>
      <w:ind w:firstLine="210"/>
    </w:pPr>
  </w:style>
  <w:style w:type="paragraph" w:styleId="BodyTextIndent">
    <w:name w:val="Body Text Indent"/>
    <w:basedOn w:val="Normal"/>
    <w:rsid w:val="00E814E3"/>
    <w:pPr>
      <w:spacing w:after="120"/>
      <w:ind w:left="283"/>
    </w:pPr>
  </w:style>
  <w:style w:type="paragraph" w:styleId="BodyTextFirstIndent2">
    <w:name w:val="Body Text First Indent 2"/>
    <w:basedOn w:val="BodyTextIndent"/>
    <w:rsid w:val="00E814E3"/>
    <w:pPr>
      <w:ind w:firstLine="210"/>
    </w:pPr>
  </w:style>
  <w:style w:type="paragraph" w:styleId="BodyTextIndent2">
    <w:name w:val="Body Text Indent 2"/>
    <w:basedOn w:val="Normal"/>
    <w:rsid w:val="00E814E3"/>
    <w:pPr>
      <w:spacing w:after="120" w:line="480" w:lineRule="auto"/>
      <w:ind w:left="283"/>
    </w:pPr>
  </w:style>
  <w:style w:type="paragraph" w:styleId="BodyTextIndent3">
    <w:name w:val="Body Text Indent 3"/>
    <w:basedOn w:val="Normal"/>
    <w:rsid w:val="00E814E3"/>
    <w:pPr>
      <w:spacing w:after="120"/>
      <w:ind w:left="283"/>
    </w:pPr>
    <w:rPr>
      <w:sz w:val="16"/>
      <w:szCs w:val="16"/>
    </w:rPr>
  </w:style>
  <w:style w:type="paragraph" w:styleId="Closing">
    <w:name w:val="Closing"/>
    <w:basedOn w:val="Normal"/>
    <w:rsid w:val="00E814E3"/>
    <w:pPr>
      <w:ind w:left="4252"/>
    </w:pPr>
  </w:style>
  <w:style w:type="paragraph" w:styleId="Date">
    <w:name w:val="Date"/>
    <w:basedOn w:val="Normal"/>
    <w:next w:val="Normal"/>
    <w:rsid w:val="00E814E3"/>
  </w:style>
  <w:style w:type="paragraph" w:styleId="E-mailSignature">
    <w:name w:val="E-mail Signature"/>
    <w:basedOn w:val="Normal"/>
    <w:rsid w:val="00E814E3"/>
  </w:style>
  <w:style w:type="character" w:styleId="Emphasis">
    <w:name w:val="Emphasis"/>
    <w:basedOn w:val="DefaultParagraphFont"/>
    <w:qFormat/>
    <w:rsid w:val="00E814E3"/>
    <w:rPr>
      <w:i/>
      <w:iCs/>
    </w:rPr>
  </w:style>
  <w:style w:type="paragraph" w:styleId="EnvelopeAddress">
    <w:name w:val="envelope address"/>
    <w:basedOn w:val="Normal"/>
    <w:rsid w:val="00E814E3"/>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E814E3"/>
    <w:rPr>
      <w:rFonts w:ascii="Arial" w:hAnsi="Arial" w:cs="Arial"/>
      <w:sz w:val="20"/>
    </w:rPr>
  </w:style>
  <w:style w:type="character" w:styleId="FollowedHyperlink">
    <w:name w:val="FollowedHyperlink"/>
    <w:basedOn w:val="DefaultParagraphFont"/>
    <w:rsid w:val="00E814E3"/>
    <w:rPr>
      <w:color w:val="auto"/>
      <w:u w:val="single"/>
    </w:rPr>
  </w:style>
  <w:style w:type="paragraph" w:styleId="Header">
    <w:name w:val="header"/>
    <w:basedOn w:val="OPCParaBase"/>
    <w:link w:val="HeaderChar"/>
    <w:unhideWhenUsed/>
    <w:rsid w:val="001E1652"/>
    <w:pPr>
      <w:keepNext/>
      <w:keepLines/>
      <w:tabs>
        <w:tab w:val="center" w:pos="4150"/>
        <w:tab w:val="right" w:pos="8307"/>
      </w:tabs>
      <w:spacing w:line="160" w:lineRule="exact"/>
    </w:pPr>
    <w:rPr>
      <w:sz w:val="16"/>
    </w:rPr>
  </w:style>
  <w:style w:type="character" w:styleId="HTMLAcronym">
    <w:name w:val="HTML Acronym"/>
    <w:basedOn w:val="DefaultParagraphFont"/>
    <w:rsid w:val="00E814E3"/>
  </w:style>
  <w:style w:type="paragraph" w:styleId="HTMLAddress">
    <w:name w:val="HTML Address"/>
    <w:basedOn w:val="Normal"/>
    <w:rsid w:val="00E814E3"/>
    <w:rPr>
      <w:i/>
      <w:iCs/>
    </w:rPr>
  </w:style>
  <w:style w:type="character" w:styleId="HTMLCite">
    <w:name w:val="HTML Cite"/>
    <w:basedOn w:val="DefaultParagraphFont"/>
    <w:rsid w:val="00E814E3"/>
    <w:rPr>
      <w:i/>
      <w:iCs/>
    </w:rPr>
  </w:style>
  <w:style w:type="character" w:styleId="HTMLCode">
    <w:name w:val="HTML Code"/>
    <w:basedOn w:val="DefaultParagraphFont"/>
    <w:rsid w:val="00E814E3"/>
    <w:rPr>
      <w:rFonts w:ascii="Courier New" w:hAnsi="Courier New" w:cs="Courier New"/>
      <w:sz w:val="20"/>
      <w:szCs w:val="20"/>
    </w:rPr>
  </w:style>
  <w:style w:type="character" w:styleId="HTMLDefinition">
    <w:name w:val="HTML Definition"/>
    <w:basedOn w:val="DefaultParagraphFont"/>
    <w:rsid w:val="00E814E3"/>
    <w:rPr>
      <w:i/>
      <w:iCs/>
    </w:rPr>
  </w:style>
  <w:style w:type="character" w:styleId="HTMLKeyboard">
    <w:name w:val="HTML Keyboard"/>
    <w:basedOn w:val="DefaultParagraphFont"/>
    <w:rsid w:val="00E814E3"/>
    <w:rPr>
      <w:rFonts w:ascii="Courier New" w:hAnsi="Courier New" w:cs="Courier New"/>
      <w:sz w:val="20"/>
      <w:szCs w:val="20"/>
    </w:rPr>
  </w:style>
  <w:style w:type="paragraph" w:styleId="HTMLPreformatted">
    <w:name w:val="HTML Preformatted"/>
    <w:basedOn w:val="Normal"/>
    <w:rsid w:val="00E814E3"/>
    <w:rPr>
      <w:rFonts w:ascii="Courier New" w:hAnsi="Courier New" w:cs="Courier New"/>
      <w:sz w:val="20"/>
    </w:rPr>
  </w:style>
  <w:style w:type="character" w:styleId="HTMLSample">
    <w:name w:val="HTML Sample"/>
    <w:basedOn w:val="DefaultParagraphFont"/>
    <w:rsid w:val="00E814E3"/>
    <w:rPr>
      <w:rFonts w:ascii="Courier New" w:hAnsi="Courier New" w:cs="Courier New"/>
    </w:rPr>
  </w:style>
  <w:style w:type="character" w:styleId="HTMLTypewriter">
    <w:name w:val="HTML Typewriter"/>
    <w:basedOn w:val="DefaultParagraphFont"/>
    <w:rsid w:val="00E814E3"/>
    <w:rPr>
      <w:rFonts w:ascii="Courier New" w:hAnsi="Courier New" w:cs="Courier New"/>
      <w:sz w:val="20"/>
      <w:szCs w:val="20"/>
    </w:rPr>
  </w:style>
  <w:style w:type="character" w:styleId="HTMLVariable">
    <w:name w:val="HTML Variable"/>
    <w:basedOn w:val="DefaultParagraphFont"/>
    <w:rsid w:val="00E814E3"/>
    <w:rPr>
      <w:i/>
      <w:iCs/>
    </w:rPr>
  </w:style>
  <w:style w:type="character" w:styleId="Hyperlink">
    <w:name w:val="Hyperlink"/>
    <w:basedOn w:val="DefaultParagraphFont"/>
    <w:rsid w:val="00E814E3"/>
    <w:rPr>
      <w:color w:val="auto"/>
      <w:u w:val="single"/>
    </w:rPr>
  </w:style>
  <w:style w:type="character" w:styleId="LineNumber">
    <w:name w:val="line number"/>
    <w:basedOn w:val="OPCCharBase"/>
    <w:uiPriority w:val="99"/>
    <w:unhideWhenUsed/>
    <w:rsid w:val="001E1652"/>
    <w:rPr>
      <w:sz w:val="16"/>
    </w:rPr>
  </w:style>
  <w:style w:type="paragraph" w:styleId="List">
    <w:name w:val="List"/>
    <w:basedOn w:val="Normal"/>
    <w:rsid w:val="00E814E3"/>
    <w:pPr>
      <w:ind w:left="283" w:hanging="283"/>
    </w:pPr>
  </w:style>
  <w:style w:type="paragraph" w:styleId="List2">
    <w:name w:val="List 2"/>
    <w:basedOn w:val="Normal"/>
    <w:rsid w:val="00E814E3"/>
    <w:pPr>
      <w:ind w:left="566" w:hanging="283"/>
    </w:pPr>
  </w:style>
  <w:style w:type="paragraph" w:styleId="List3">
    <w:name w:val="List 3"/>
    <w:basedOn w:val="Normal"/>
    <w:rsid w:val="00E814E3"/>
    <w:pPr>
      <w:ind w:left="849" w:hanging="283"/>
    </w:pPr>
  </w:style>
  <w:style w:type="paragraph" w:styleId="List4">
    <w:name w:val="List 4"/>
    <w:basedOn w:val="Normal"/>
    <w:rsid w:val="00E814E3"/>
    <w:pPr>
      <w:ind w:left="1132" w:hanging="283"/>
    </w:pPr>
  </w:style>
  <w:style w:type="paragraph" w:styleId="List5">
    <w:name w:val="List 5"/>
    <w:basedOn w:val="Normal"/>
    <w:rsid w:val="00E814E3"/>
    <w:pPr>
      <w:ind w:left="1415" w:hanging="283"/>
    </w:pPr>
  </w:style>
  <w:style w:type="paragraph" w:styleId="ListBullet">
    <w:name w:val="List Bullet"/>
    <w:basedOn w:val="Normal"/>
    <w:autoRedefine/>
    <w:rsid w:val="00E814E3"/>
    <w:pPr>
      <w:tabs>
        <w:tab w:val="num" w:pos="360"/>
      </w:tabs>
      <w:ind w:left="360" w:hanging="360"/>
    </w:pPr>
  </w:style>
  <w:style w:type="paragraph" w:styleId="ListBullet2">
    <w:name w:val="List Bullet 2"/>
    <w:basedOn w:val="Normal"/>
    <w:autoRedefine/>
    <w:rsid w:val="00E814E3"/>
    <w:pPr>
      <w:tabs>
        <w:tab w:val="num" w:pos="643"/>
      </w:tabs>
      <w:ind w:left="643" w:hanging="360"/>
    </w:pPr>
  </w:style>
  <w:style w:type="paragraph" w:styleId="ListBullet3">
    <w:name w:val="List Bullet 3"/>
    <w:basedOn w:val="Normal"/>
    <w:autoRedefine/>
    <w:rsid w:val="00E814E3"/>
    <w:pPr>
      <w:tabs>
        <w:tab w:val="num" w:pos="926"/>
      </w:tabs>
      <w:ind w:left="926" w:hanging="360"/>
    </w:pPr>
  </w:style>
  <w:style w:type="paragraph" w:styleId="ListBullet4">
    <w:name w:val="List Bullet 4"/>
    <w:basedOn w:val="Normal"/>
    <w:autoRedefine/>
    <w:rsid w:val="00E814E3"/>
    <w:pPr>
      <w:tabs>
        <w:tab w:val="num" w:pos="1209"/>
      </w:tabs>
      <w:ind w:left="1209" w:hanging="360"/>
    </w:pPr>
  </w:style>
  <w:style w:type="paragraph" w:styleId="ListBullet5">
    <w:name w:val="List Bullet 5"/>
    <w:basedOn w:val="Normal"/>
    <w:autoRedefine/>
    <w:rsid w:val="00E814E3"/>
    <w:pPr>
      <w:tabs>
        <w:tab w:val="num" w:pos="1492"/>
      </w:tabs>
      <w:ind w:left="1492" w:hanging="360"/>
    </w:pPr>
  </w:style>
  <w:style w:type="paragraph" w:styleId="ListContinue">
    <w:name w:val="List Continue"/>
    <w:basedOn w:val="Normal"/>
    <w:rsid w:val="00E814E3"/>
    <w:pPr>
      <w:spacing w:after="120"/>
      <w:ind w:left="283"/>
    </w:pPr>
  </w:style>
  <w:style w:type="paragraph" w:styleId="ListContinue2">
    <w:name w:val="List Continue 2"/>
    <w:basedOn w:val="Normal"/>
    <w:rsid w:val="00E814E3"/>
    <w:pPr>
      <w:spacing w:after="120"/>
      <w:ind w:left="566"/>
    </w:pPr>
  </w:style>
  <w:style w:type="paragraph" w:styleId="ListContinue3">
    <w:name w:val="List Continue 3"/>
    <w:basedOn w:val="Normal"/>
    <w:rsid w:val="00E814E3"/>
    <w:pPr>
      <w:spacing w:after="120"/>
      <w:ind w:left="849"/>
    </w:pPr>
  </w:style>
  <w:style w:type="paragraph" w:styleId="ListContinue4">
    <w:name w:val="List Continue 4"/>
    <w:basedOn w:val="Normal"/>
    <w:rsid w:val="00E814E3"/>
    <w:pPr>
      <w:spacing w:after="120"/>
      <w:ind w:left="1132"/>
    </w:pPr>
  </w:style>
  <w:style w:type="paragraph" w:styleId="ListContinue5">
    <w:name w:val="List Continue 5"/>
    <w:basedOn w:val="Normal"/>
    <w:rsid w:val="00E814E3"/>
    <w:pPr>
      <w:spacing w:after="120"/>
      <w:ind w:left="1415"/>
    </w:pPr>
  </w:style>
  <w:style w:type="paragraph" w:styleId="ListNumber">
    <w:name w:val="List Number"/>
    <w:basedOn w:val="Normal"/>
    <w:rsid w:val="00E814E3"/>
    <w:pPr>
      <w:tabs>
        <w:tab w:val="num" w:pos="360"/>
      </w:tabs>
      <w:ind w:left="360" w:hanging="360"/>
    </w:pPr>
  </w:style>
  <w:style w:type="paragraph" w:styleId="ListNumber2">
    <w:name w:val="List Number 2"/>
    <w:basedOn w:val="Normal"/>
    <w:rsid w:val="00E814E3"/>
    <w:pPr>
      <w:tabs>
        <w:tab w:val="num" w:pos="643"/>
      </w:tabs>
      <w:ind w:left="643" w:hanging="360"/>
    </w:pPr>
  </w:style>
  <w:style w:type="paragraph" w:styleId="ListNumber3">
    <w:name w:val="List Number 3"/>
    <w:basedOn w:val="Normal"/>
    <w:rsid w:val="00E814E3"/>
    <w:pPr>
      <w:tabs>
        <w:tab w:val="num" w:pos="926"/>
      </w:tabs>
      <w:ind w:left="926" w:hanging="360"/>
    </w:pPr>
  </w:style>
  <w:style w:type="paragraph" w:styleId="ListNumber4">
    <w:name w:val="List Number 4"/>
    <w:basedOn w:val="Normal"/>
    <w:rsid w:val="00E814E3"/>
    <w:pPr>
      <w:tabs>
        <w:tab w:val="num" w:pos="1209"/>
      </w:tabs>
      <w:ind w:left="1209" w:hanging="360"/>
    </w:pPr>
  </w:style>
  <w:style w:type="paragraph" w:styleId="ListNumber5">
    <w:name w:val="List Number 5"/>
    <w:basedOn w:val="Normal"/>
    <w:rsid w:val="00E814E3"/>
    <w:pPr>
      <w:tabs>
        <w:tab w:val="num" w:pos="1492"/>
      </w:tabs>
      <w:ind w:left="1492" w:hanging="360"/>
    </w:pPr>
  </w:style>
  <w:style w:type="paragraph" w:styleId="MessageHeader">
    <w:name w:val="Message Header"/>
    <w:basedOn w:val="Normal"/>
    <w:rsid w:val="00E814E3"/>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rsid w:val="00E814E3"/>
  </w:style>
  <w:style w:type="paragraph" w:styleId="NormalIndent">
    <w:name w:val="Normal Indent"/>
    <w:basedOn w:val="Normal"/>
    <w:rsid w:val="00E814E3"/>
    <w:pPr>
      <w:ind w:left="720"/>
    </w:pPr>
  </w:style>
  <w:style w:type="character" w:styleId="PageNumber">
    <w:name w:val="page number"/>
    <w:basedOn w:val="DefaultParagraphFont"/>
    <w:rsid w:val="00FF58B1"/>
  </w:style>
  <w:style w:type="paragraph" w:styleId="PlainText">
    <w:name w:val="Plain Text"/>
    <w:basedOn w:val="Normal"/>
    <w:rsid w:val="00E814E3"/>
    <w:rPr>
      <w:rFonts w:ascii="Courier New" w:hAnsi="Courier New" w:cs="Courier New"/>
      <w:sz w:val="20"/>
    </w:rPr>
  </w:style>
  <w:style w:type="paragraph" w:styleId="Salutation">
    <w:name w:val="Salutation"/>
    <w:basedOn w:val="Normal"/>
    <w:next w:val="Normal"/>
    <w:rsid w:val="00E814E3"/>
  </w:style>
  <w:style w:type="paragraph" w:styleId="Signature">
    <w:name w:val="Signature"/>
    <w:basedOn w:val="Normal"/>
    <w:rsid w:val="00E814E3"/>
    <w:pPr>
      <w:ind w:left="4252"/>
    </w:pPr>
  </w:style>
  <w:style w:type="character" w:styleId="Strong">
    <w:name w:val="Strong"/>
    <w:basedOn w:val="DefaultParagraphFont"/>
    <w:qFormat/>
    <w:rsid w:val="00E814E3"/>
    <w:rPr>
      <w:b/>
      <w:bCs/>
    </w:rPr>
  </w:style>
  <w:style w:type="paragraph" w:styleId="Subtitle">
    <w:name w:val="Subtitle"/>
    <w:basedOn w:val="Normal"/>
    <w:qFormat/>
    <w:rsid w:val="00E814E3"/>
    <w:pPr>
      <w:spacing w:after="60"/>
      <w:jc w:val="center"/>
      <w:outlineLvl w:val="1"/>
    </w:pPr>
    <w:rPr>
      <w:rFonts w:ascii="Arial" w:hAnsi="Arial" w:cs="Arial"/>
    </w:rPr>
  </w:style>
  <w:style w:type="table" w:styleId="Table3Deffects1">
    <w:name w:val="Table 3D effects 1"/>
    <w:basedOn w:val="TableNormal"/>
    <w:rsid w:val="00E814E3"/>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E814E3"/>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E814E3"/>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E814E3"/>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814E3"/>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E814E3"/>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E814E3"/>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E814E3"/>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E814E3"/>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E814E3"/>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E814E3"/>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E814E3"/>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E814E3"/>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E814E3"/>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E814E3"/>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E814E3"/>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E814E3"/>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1E1652"/>
    <w:rPr>
      <w:rFonts w:eastAsia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rsid w:val="00E814E3"/>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E814E3"/>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E814E3"/>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E814E3"/>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E814E3"/>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E814E3"/>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E814E3"/>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E814E3"/>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E814E3"/>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E814E3"/>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E814E3"/>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E814E3"/>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E814E3"/>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E814E3"/>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E814E3"/>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E814E3"/>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E814E3"/>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E814E3"/>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E814E3"/>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E814E3"/>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E814E3"/>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E814E3"/>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E814E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rsid w:val="00E814E3"/>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E814E3"/>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E814E3"/>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qFormat/>
    <w:rsid w:val="00E814E3"/>
    <w:pPr>
      <w:spacing w:before="480"/>
    </w:pPr>
    <w:rPr>
      <w:rFonts w:ascii="Arial" w:hAnsi="Arial" w:cs="Arial"/>
      <w:b/>
      <w:bCs/>
      <w:sz w:val="40"/>
      <w:szCs w:val="40"/>
    </w:rPr>
  </w:style>
  <w:style w:type="paragraph" w:styleId="BalloonText">
    <w:name w:val="Balloon Text"/>
    <w:basedOn w:val="Normal"/>
    <w:link w:val="BalloonTextChar"/>
    <w:uiPriority w:val="99"/>
    <w:unhideWhenUsed/>
    <w:rsid w:val="001E1652"/>
    <w:pPr>
      <w:spacing w:line="240" w:lineRule="auto"/>
    </w:pPr>
    <w:rPr>
      <w:rFonts w:ascii="Tahoma" w:hAnsi="Tahoma" w:cs="Tahoma"/>
      <w:sz w:val="16"/>
      <w:szCs w:val="16"/>
    </w:rPr>
  </w:style>
  <w:style w:type="paragraph" w:styleId="Caption">
    <w:name w:val="caption"/>
    <w:basedOn w:val="Normal"/>
    <w:next w:val="Normal"/>
    <w:qFormat/>
    <w:rsid w:val="00E814E3"/>
    <w:pPr>
      <w:spacing w:before="120" w:after="120"/>
    </w:pPr>
    <w:rPr>
      <w:b/>
      <w:bCs/>
      <w:sz w:val="20"/>
    </w:rPr>
  </w:style>
  <w:style w:type="character" w:customStyle="1" w:styleId="CharAmSchNo">
    <w:name w:val="CharAmSchNo"/>
    <w:basedOn w:val="OPCCharBase"/>
    <w:uiPriority w:val="1"/>
    <w:qFormat/>
    <w:rsid w:val="001E1652"/>
  </w:style>
  <w:style w:type="character" w:customStyle="1" w:styleId="CharAmSchText">
    <w:name w:val="CharAmSchText"/>
    <w:basedOn w:val="OPCCharBase"/>
    <w:uiPriority w:val="1"/>
    <w:qFormat/>
    <w:rsid w:val="001E1652"/>
  </w:style>
  <w:style w:type="character" w:customStyle="1" w:styleId="CharChapNo">
    <w:name w:val="CharChapNo"/>
    <w:basedOn w:val="OPCCharBase"/>
    <w:qFormat/>
    <w:rsid w:val="001E1652"/>
  </w:style>
  <w:style w:type="character" w:customStyle="1" w:styleId="CharChapText">
    <w:name w:val="CharChapText"/>
    <w:basedOn w:val="OPCCharBase"/>
    <w:qFormat/>
    <w:rsid w:val="001E1652"/>
  </w:style>
  <w:style w:type="character" w:customStyle="1" w:styleId="CharDivNo">
    <w:name w:val="CharDivNo"/>
    <w:basedOn w:val="OPCCharBase"/>
    <w:qFormat/>
    <w:rsid w:val="001E1652"/>
  </w:style>
  <w:style w:type="character" w:customStyle="1" w:styleId="CharDivText">
    <w:name w:val="CharDivText"/>
    <w:basedOn w:val="OPCCharBase"/>
    <w:qFormat/>
    <w:rsid w:val="001E1652"/>
  </w:style>
  <w:style w:type="character" w:customStyle="1" w:styleId="CharPartNo">
    <w:name w:val="CharPartNo"/>
    <w:basedOn w:val="OPCCharBase"/>
    <w:qFormat/>
    <w:rsid w:val="001E1652"/>
  </w:style>
  <w:style w:type="character" w:customStyle="1" w:styleId="CharPartText">
    <w:name w:val="CharPartText"/>
    <w:basedOn w:val="OPCCharBase"/>
    <w:qFormat/>
    <w:rsid w:val="001E1652"/>
  </w:style>
  <w:style w:type="character" w:customStyle="1" w:styleId="OPCCharBase">
    <w:name w:val="OPCCharBase"/>
    <w:uiPriority w:val="1"/>
    <w:qFormat/>
    <w:rsid w:val="001E1652"/>
  </w:style>
  <w:style w:type="paragraph" w:customStyle="1" w:styleId="OPCParaBase">
    <w:name w:val="OPCParaBase"/>
    <w:link w:val="OPCParaBaseChar"/>
    <w:qFormat/>
    <w:rsid w:val="001E1652"/>
    <w:pPr>
      <w:spacing w:line="260" w:lineRule="atLeast"/>
    </w:pPr>
    <w:rPr>
      <w:sz w:val="22"/>
    </w:rPr>
  </w:style>
  <w:style w:type="character" w:customStyle="1" w:styleId="CharSectno">
    <w:name w:val="CharSectno"/>
    <w:basedOn w:val="OPCCharBase"/>
    <w:qFormat/>
    <w:rsid w:val="001E1652"/>
  </w:style>
  <w:style w:type="character" w:styleId="CommentReference">
    <w:name w:val="annotation reference"/>
    <w:basedOn w:val="DefaultParagraphFont"/>
    <w:rsid w:val="00E814E3"/>
    <w:rPr>
      <w:sz w:val="16"/>
      <w:szCs w:val="16"/>
    </w:rPr>
  </w:style>
  <w:style w:type="paragraph" w:styleId="CommentText">
    <w:name w:val="annotation text"/>
    <w:basedOn w:val="Normal"/>
    <w:rsid w:val="00E814E3"/>
    <w:rPr>
      <w:sz w:val="20"/>
    </w:rPr>
  </w:style>
  <w:style w:type="paragraph" w:styleId="CommentSubject">
    <w:name w:val="annotation subject"/>
    <w:basedOn w:val="CommentText"/>
    <w:next w:val="CommentText"/>
    <w:rsid w:val="00E814E3"/>
    <w:rPr>
      <w:b/>
      <w:bCs/>
    </w:rPr>
  </w:style>
  <w:style w:type="paragraph" w:styleId="DocumentMap">
    <w:name w:val="Document Map"/>
    <w:basedOn w:val="Normal"/>
    <w:rsid w:val="00E814E3"/>
    <w:pPr>
      <w:shd w:val="clear" w:color="auto" w:fill="000080"/>
    </w:pPr>
    <w:rPr>
      <w:rFonts w:ascii="Tahoma" w:hAnsi="Tahoma" w:cs="Tahoma"/>
    </w:rPr>
  </w:style>
  <w:style w:type="character" w:styleId="EndnoteReference">
    <w:name w:val="endnote reference"/>
    <w:basedOn w:val="DefaultParagraphFont"/>
    <w:rsid w:val="00E814E3"/>
    <w:rPr>
      <w:vertAlign w:val="superscript"/>
    </w:rPr>
  </w:style>
  <w:style w:type="paragraph" w:styleId="EndnoteText">
    <w:name w:val="endnote text"/>
    <w:basedOn w:val="Normal"/>
    <w:rsid w:val="00E814E3"/>
    <w:rPr>
      <w:sz w:val="20"/>
    </w:rPr>
  </w:style>
  <w:style w:type="character" w:styleId="FootnoteReference">
    <w:name w:val="footnote reference"/>
    <w:basedOn w:val="DefaultParagraphFont"/>
    <w:rsid w:val="00E814E3"/>
    <w:rPr>
      <w:rFonts w:ascii="Times New Roman" w:hAnsi="Times New Roman"/>
      <w:sz w:val="20"/>
      <w:vertAlign w:val="superscript"/>
    </w:rPr>
  </w:style>
  <w:style w:type="paragraph" w:styleId="FootnoteText">
    <w:name w:val="footnote text"/>
    <w:basedOn w:val="Normal"/>
    <w:rsid w:val="00E814E3"/>
    <w:rPr>
      <w:sz w:val="20"/>
    </w:rPr>
  </w:style>
  <w:style w:type="paragraph" w:customStyle="1" w:styleId="Formula">
    <w:name w:val="Formula"/>
    <w:basedOn w:val="OPCParaBase"/>
    <w:rsid w:val="001E1652"/>
    <w:pPr>
      <w:spacing w:line="240" w:lineRule="auto"/>
      <w:ind w:left="1134"/>
    </w:pPr>
    <w:rPr>
      <w:sz w:val="20"/>
    </w:rPr>
  </w:style>
  <w:style w:type="paragraph" w:styleId="Index1">
    <w:name w:val="index 1"/>
    <w:basedOn w:val="Normal"/>
    <w:next w:val="Normal"/>
    <w:autoRedefine/>
    <w:rsid w:val="00E814E3"/>
    <w:pPr>
      <w:ind w:left="240" w:hanging="240"/>
    </w:pPr>
  </w:style>
  <w:style w:type="paragraph" w:styleId="Index2">
    <w:name w:val="index 2"/>
    <w:basedOn w:val="Normal"/>
    <w:next w:val="Normal"/>
    <w:autoRedefine/>
    <w:rsid w:val="00E814E3"/>
    <w:pPr>
      <w:ind w:left="480" w:hanging="240"/>
    </w:pPr>
  </w:style>
  <w:style w:type="paragraph" w:styleId="Index3">
    <w:name w:val="index 3"/>
    <w:basedOn w:val="Normal"/>
    <w:next w:val="Normal"/>
    <w:autoRedefine/>
    <w:rsid w:val="00E814E3"/>
    <w:pPr>
      <w:ind w:left="720" w:hanging="240"/>
    </w:pPr>
  </w:style>
  <w:style w:type="paragraph" w:styleId="Index4">
    <w:name w:val="index 4"/>
    <w:basedOn w:val="Normal"/>
    <w:next w:val="Normal"/>
    <w:autoRedefine/>
    <w:rsid w:val="00E814E3"/>
    <w:pPr>
      <w:ind w:left="960" w:hanging="240"/>
    </w:pPr>
  </w:style>
  <w:style w:type="paragraph" w:styleId="Index5">
    <w:name w:val="index 5"/>
    <w:basedOn w:val="Normal"/>
    <w:next w:val="Normal"/>
    <w:autoRedefine/>
    <w:rsid w:val="00E814E3"/>
    <w:pPr>
      <w:ind w:left="1200" w:hanging="240"/>
    </w:pPr>
  </w:style>
  <w:style w:type="paragraph" w:styleId="Index6">
    <w:name w:val="index 6"/>
    <w:basedOn w:val="Normal"/>
    <w:next w:val="Normal"/>
    <w:autoRedefine/>
    <w:rsid w:val="00E814E3"/>
    <w:pPr>
      <w:ind w:left="1440" w:hanging="240"/>
    </w:pPr>
  </w:style>
  <w:style w:type="paragraph" w:styleId="Index7">
    <w:name w:val="index 7"/>
    <w:basedOn w:val="Normal"/>
    <w:next w:val="Normal"/>
    <w:autoRedefine/>
    <w:rsid w:val="00E814E3"/>
    <w:pPr>
      <w:ind w:left="1680" w:hanging="240"/>
    </w:pPr>
  </w:style>
  <w:style w:type="paragraph" w:styleId="Index8">
    <w:name w:val="index 8"/>
    <w:basedOn w:val="Normal"/>
    <w:next w:val="Normal"/>
    <w:autoRedefine/>
    <w:rsid w:val="00E814E3"/>
    <w:pPr>
      <w:ind w:left="1920" w:hanging="240"/>
    </w:pPr>
  </w:style>
  <w:style w:type="paragraph" w:styleId="Index9">
    <w:name w:val="index 9"/>
    <w:basedOn w:val="Normal"/>
    <w:next w:val="Normal"/>
    <w:autoRedefine/>
    <w:rsid w:val="00E814E3"/>
    <w:pPr>
      <w:ind w:left="2160" w:hanging="240"/>
    </w:pPr>
  </w:style>
  <w:style w:type="paragraph" w:styleId="IndexHeading">
    <w:name w:val="index heading"/>
    <w:basedOn w:val="Normal"/>
    <w:next w:val="Index1"/>
    <w:rsid w:val="00E814E3"/>
    <w:rPr>
      <w:rFonts w:ascii="Arial" w:hAnsi="Arial" w:cs="Arial"/>
      <w:b/>
      <w:bCs/>
    </w:rPr>
  </w:style>
  <w:style w:type="paragraph" w:styleId="MacroText">
    <w:name w:val="macro"/>
    <w:rsid w:val="00E814E3"/>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paragraph" w:customStyle="1" w:styleId="PageBreak">
    <w:name w:val="PageBreak"/>
    <w:aliases w:val="pb"/>
    <w:basedOn w:val="OPCParaBase"/>
    <w:rsid w:val="001E1652"/>
    <w:pPr>
      <w:spacing w:line="240" w:lineRule="auto"/>
    </w:pPr>
    <w:rPr>
      <w:sz w:val="20"/>
    </w:rPr>
  </w:style>
  <w:style w:type="paragraph" w:customStyle="1" w:styleId="Penalty">
    <w:name w:val="Penalty"/>
    <w:basedOn w:val="OPCParaBase"/>
    <w:rsid w:val="001E1652"/>
    <w:pPr>
      <w:tabs>
        <w:tab w:val="left" w:pos="2977"/>
      </w:tabs>
      <w:spacing w:before="180" w:line="240" w:lineRule="auto"/>
      <w:ind w:left="1985" w:hanging="851"/>
    </w:pPr>
  </w:style>
  <w:style w:type="paragraph" w:customStyle="1" w:styleId="ShortT">
    <w:name w:val="ShortT"/>
    <w:basedOn w:val="OPCParaBase"/>
    <w:next w:val="Normal"/>
    <w:qFormat/>
    <w:rsid w:val="001E1652"/>
    <w:pPr>
      <w:spacing w:line="240" w:lineRule="auto"/>
    </w:pPr>
    <w:rPr>
      <w:b/>
      <w:sz w:val="40"/>
    </w:rPr>
  </w:style>
  <w:style w:type="paragraph" w:customStyle="1" w:styleId="ActHead1">
    <w:name w:val="ActHead 1"/>
    <w:aliases w:val="c"/>
    <w:basedOn w:val="OPCParaBase"/>
    <w:next w:val="Normal"/>
    <w:qFormat/>
    <w:rsid w:val="001E1652"/>
    <w:pPr>
      <w:keepNext/>
      <w:keepLines/>
      <w:spacing w:line="240" w:lineRule="auto"/>
      <w:ind w:left="1134" w:hanging="1134"/>
      <w:outlineLvl w:val="0"/>
    </w:pPr>
    <w:rPr>
      <w:b/>
      <w:kern w:val="28"/>
      <w:sz w:val="36"/>
    </w:rPr>
  </w:style>
  <w:style w:type="paragraph" w:styleId="TableofAuthorities">
    <w:name w:val="table of authorities"/>
    <w:basedOn w:val="Normal"/>
    <w:next w:val="Normal"/>
    <w:rsid w:val="00E814E3"/>
    <w:pPr>
      <w:ind w:left="240" w:hanging="240"/>
    </w:pPr>
  </w:style>
  <w:style w:type="paragraph" w:styleId="TableofFigures">
    <w:name w:val="table of figures"/>
    <w:basedOn w:val="Normal"/>
    <w:next w:val="Normal"/>
    <w:rsid w:val="00E814E3"/>
    <w:pPr>
      <w:ind w:left="480" w:hanging="480"/>
    </w:pPr>
  </w:style>
  <w:style w:type="paragraph" w:customStyle="1" w:styleId="ActHead2">
    <w:name w:val="ActHead 2"/>
    <w:aliases w:val="p"/>
    <w:basedOn w:val="OPCParaBase"/>
    <w:next w:val="ActHead3"/>
    <w:qFormat/>
    <w:rsid w:val="001E1652"/>
    <w:pPr>
      <w:keepNext/>
      <w:keepLines/>
      <w:spacing w:before="280" w:line="240" w:lineRule="auto"/>
      <w:ind w:left="1134" w:hanging="1134"/>
      <w:outlineLvl w:val="1"/>
    </w:pPr>
    <w:rPr>
      <w:b/>
      <w:kern w:val="28"/>
      <w:sz w:val="32"/>
    </w:rPr>
  </w:style>
  <w:style w:type="paragraph" w:styleId="TOAHeading">
    <w:name w:val="toa heading"/>
    <w:basedOn w:val="Normal"/>
    <w:next w:val="Normal"/>
    <w:rsid w:val="00E814E3"/>
    <w:pPr>
      <w:spacing w:before="120"/>
    </w:pPr>
    <w:rPr>
      <w:rFonts w:ascii="Arial" w:hAnsi="Arial" w:cs="Arial"/>
      <w:b/>
      <w:bCs/>
    </w:rPr>
  </w:style>
  <w:style w:type="paragraph" w:styleId="TOC1">
    <w:name w:val="toc 1"/>
    <w:basedOn w:val="OPCParaBase"/>
    <w:next w:val="Normal"/>
    <w:uiPriority w:val="39"/>
    <w:unhideWhenUsed/>
    <w:rsid w:val="001E1652"/>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1E1652"/>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1E1652"/>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unhideWhenUsed/>
    <w:rsid w:val="001E1652"/>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1E1652"/>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unhideWhenUsed/>
    <w:rsid w:val="001E1652"/>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unhideWhenUsed/>
    <w:rsid w:val="001E1652"/>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unhideWhenUsed/>
    <w:rsid w:val="001E1652"/>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1E1652"/>
    <w:pPr>
      <w:keepLines/>
      <w:tabs>
        <w:tab w:val="right" w:pos="8278"/>
      </w:tabs>
      <w:spacing w:before="80" w:line="240" w:lineRule="auto"/>
      <w:ind w:left="851" w:right="567"/>
    </w:pPr>
    <w:rPr>
      <w:i/>
      <w:kern w:val="28"/>
      <w:sz w:val="20"/>
    </w:rPr>
  </w:style>
  <w:style w:type="character" w:customStyle="1" w:styleId="NoteChar">
    <w:name w:val="Note Char"/>
    <w:basedOn w:val="DefaultParagraphFont"/>
    <w:rsid w:val="005A6728"/>
    <w:rPr>
      <w:lang w:val="en-AU" w:eastAsia="x-none"/>
    </w:rPr>
  </w:style>
  <w:style w:type="character" w:customStyle="1" w:styleId="HeaderChar">
    <w:name w:val="Header Char"/>
    <w:basedOn w:val="DefaultParagraphFont"/>
    <w:link w:val="Header"/>
    <w:rsid w:val="001E1652"/>
    <w:rPr>
      <w:sz w:val="16"/>
    </w:rPr>
  </w:style>
  <w:style w:type="character" w:customStyle="1" w:styleId="BodyTextChar">
    <w:name w:val="Body Text Char"/>
    <w:basedOn w:val="DefaultParagraphFont"/>
    <w:link w:val="BodyText"/>
    <w:rsid w:val="008F1D24"/>
    <w:rPr>
      <w:sz w:val="24"/>
      <w:szCs w:val="24"/>
    </w:rPr>
  </w:style>
  <w:style w:type="character" w:customStyle="1" w:styleId="FooterChar">
    <w:name w:val="Footer Char"/>
    <w:basedOn w:val="DefaultParagraphFont"/>
    <w:link w:val="Footer"/>
    <w:rsid w:val="001E1652"/>
    <w:rPr>
      <w:sz w:val="22"/>
      <w:szCs w:val="24"/>
    </w:rPr>
  </w:style>
  <w:style w:type="paragraph" w:customStyle="1" w:styleId="ActHead3">
    <w:name w:val="ActHead 3"/>
    <w:aliases w:val="d"/>
    <w:basedOn w:val="OPCParaBase"/>
    <w:next w:val="ActHead4"/>
    <w:qFormat/>
    <w:rsid w:val="001E1652"/>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1E1652"/>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1E1652"/>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E1652"/>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1E1652"/>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1E1652"/>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1E1652"/>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1E1652"/>
  </w:style>
  <w:style w:type="paragraph" w:customStyle="1" w:styleId="Blocks">
    <w:name w:val="Blocks"/>
    <w:aliases w:val="bb"/>
    <w:basedOn w:val="OPCParaBase"/>
    <w:qFormat/>
    <w:rsid w:val="001E1652"/>
    <w:pPr>
      <w:spacing w:line="240" w:lineRule="auto"/>
    </w:pPr>
    <w:rPr>
      <w:sz w:val="24"/>
    </w:rPr>
  </w:style>
  <w:style w:type="paragraph" w:customStyle="1" w:styleId="BoxText">
    <w:name w:val="BoxText"/>
    <w:aliases w:val="bt"/>
    <w:basedOn w:val="OPCParaBase"/>
    <w:qFormat/>
    <w:rsid w:val="001E1652"/>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1E1652"/>
    <w:rPr>
      <w:b/>
    </w:rPr>
  </w:style>
  <w:style w:type="paragraph" w:customStyle="1" w:styleId="BoxHeadItalic">
    <w:name w:val="BoxHeadItalic"/>
    <w:aliases w:val="bhi"/>
    <w:basedOn w:val="BoxText"/>
    <w:next w:val="BoxStep"/>
    <w:qFormat/>
    <w:rsid w:val="001E1652"/>
    <w:rPr>
      <w:i/>
    </w:rPr>
  </w:style>
  <w:style w:type="paragraph" w:customStyle="1" w:styleId="BoxList">
    <w:name w:val="BoxList"/>
    <w:aliases w:val="bl"/>
    <w:basedOn w:val="BoxText"/>
    <w:qFormat/>
    <w:rsid w:val="001E1652"/>
    <w:pPr>
      <w:ind w:left="1559" w:hanging="425"/>
    </w:pPr>
  </w:style>
  <w:style w:type="paragraph" w:customStyle="1" w:styleId="BoxNote">
    <w:name w:val="BoxNote"/>
    <w:aliases w:val="bn"/>
    <w:basedOn w:val="BoxText"/>
    <w:qFormat/>
    <w:rsid w:val="001E1652"/>
    <w:pPr>
      <w:tabs>
        <w:tab w:val="left" w:pos="1985"/>
      </w:tabs>
      <w:spacing w:before="122" w:line="198" w:lineRule="exact"/>
      <w:ind w:left="2948" w:hanging="1814"/>
    </w:pPr>
    <w:rPr>
      <w:sz w:val="18"/>
    </w:rPr>
  </w:style>
  <w:style w:type="paragraph" w:customStyle="1" w:styleId="BoxPara">
    <w:name w:val="BoxPara"/>
    <w:aliases w:val="bp"/>
    <w:basedOn w:val="BoxText"/>
    <w:qFormat/>
    <w:rsid w:val="001E1652"/>
    <w:pPr>
      <w:tabs>
        <w:tab w:val="right" w:pos="2268"/>
      </w:tabs>
      <w:ind w:left="2552" w:hanging="1418"/>
    </w:pPr>
  </w:style>
  <w:style w:type="paragraph" w:customStyle="1" w:styleId="BoxStep">
    <w:name w:val="BoxStep"/>
    <w:aliases w:val="bs"/>
    <w:basedOn w:val="BoxText"/>
    <w:qFormat/>
    <w:rsid w:val="001E1652"/>
    <w:pPr>
      <w:ind w:left="1985" w:hanging="851"/>
    </w:pPr>
  </w:style>
  <w:style w:type="character" w:customStyle="1" w:styleId="CharAmPartNo">
    <w:name w:val="CharAmPartNo"/>
    <w:basedOn w:val="OPCCharBase"/>
    <w:uiPriority w:val="1"/>
    <w:qFormat/>
    <w:rsid w:val="001E1652"/>
  </w:style>
  <w:style w:type="character" w:customStyle="1" w:styleId="CharAmPartText">
    <w:name w:val="CharAmPartText"/>
    <w:basedOn w:val="OPCCharBase"/>
    <w:uiPriority w:val="1"/>
    <w:qFormat/>
    <w:rsid w:val="001E1652"/>
  </w:style>
  <w:style w:type="character" w:customStyle="1" w:styleId="CharBoldItalic">
    <w:name w:val="CharBoldItalic"/>
    <w:basedOn w:val="OPCCharBase"/>
    <w:uiPriority w:val="1"/>
    <w:qFormat/>
    <w:rsid w:val="001E1652"/>
    <w:rPr>
      <w:b/>
      <w:i/>
    </w:rPr>
  </w:style>
  <w:style w:type="character" w:customStyle="1" w:styleId="CharItalic">
    <w:name w:val="CharItalic"/>
    <w:basedOn w:val="OPCCharBase"/>
    <w:uiPriority w:val="1"/>
    <w:qFormat/>
    <w:rsid w:val="001E1652"/>
    <w:rPr>
      <w:i/>
    </w:rPr>
  </w:style>
  <w:style w:type="character" w:customStyle="1" w:styleId="CharSubdNo">
    <w:name w:val="CharSubdNo"/>
    <w:basedOn w:val="OPCCharBase"/>
    <w:uiPriority w:val="1"/>
    <w:qFormat/>
    <w:rsid w:val="001E1652"/>
  </w:style>
  <w:style w:type="character" w:customStyle="1" w:styleId="CharSubdText">
    <w:name w:val="CharSubdText"/>
    <w:basedOn w:val="OPCCharBase"/>
    <w:uiPriority w:val="1"/>
    <w:qFormat/>
    <w:rsid w:val="001E1652"/>
  </w:style>
  <w:style w:type="paragraph" w:customStyle="1" w:styleId="CTA--">
    <w:name w:val="CTA --"/>
    <w:basedOn w:val="OPCParaBase"/>
    <w:next w:val="Normal"/>
    <w:rsid w:val="001E1652"/>
    <w:pPr>
      <w:spacing w:before="60" w:line="240" w:lineRule="atLeast"/>
      <w:ind w:left="142" w:hanging="142"/>
    </w:pPr>
    <w:rPr>
      <w:sz w:val="20"/>
    </w:rPr>
  </w:style>
  <w:style w:type="paragraph" w:customStyle="1" w:styleId="CTA-">
    <w:name w:val="CTA -"/>
    <w:basedOn w:val="OPCParaBase"/>
    <w:rsid w:val="001E1652"/>
    <w:pPr>
      <w:spacing w:before="60" w:line="240" w:lineRule="atLeast"/>
      <w:ind w:left="85" w:hanging="85"/>
    </w:pPr>
    <w:rPr>
      <w:sz w:val="20"/>
    </w:rPr>
  </w:style>
  <w:style w:type="paragraph" w:customStyle="1" w:styleId="CTA---">
    <w:name w:val="CTA ---"/>
    <w:basedOn w:val="OPCParaBase"/>
    <w:next w:val="Normal"/>
    <w:rsid w:val="001E1652"/>
    <w:pPr>
      <w:spacing w:before="60" w:line="240" w:lineRule="atLeast"/>
      <w:ind w:left="198" w:hanging="198"/>
    </w:pPr>
    <w:rPr>
      <w:sz w:val="20"/>
    </w:rPr>
  </w:style>
  <w:style w:type="paragraph" w:customStyle="1" w:styleId="CTA----">
    <w:name w:val="CTA ----"/>
    <w:basedOn w:val="OPCParaBase"/>
    <w:next w:val="Normal"/>
    <w:rsid w:val="001E1652"/>
    <w:pPr>
      <w:spacing w:before="60" w:line="240" w:lineRule="atLeast"/>
      <w:ind w:left="255" w:hanging="255"/>
    </w:pPr>
    <w:rPr>
      <w:sz w:val="20"/>
    </w:rPr>
  </w:style>
  <w:style w:type="paragraph" w:customStyle="1" w:styleId="CTA1a">
    <w:name w:val="CTA 1(a)"/>
    <w:basedOn w:val="OPCParaBase"/>
    <w:rsid w:val="001E1652"/>
    <w:pPr>
      <w:tabs>
        <w:tab w:val="right" w:pos="414"/>
      </w:tabs>
      <w:spacing w:before="40" w:line="240" w:lineRule="atLeast"/>
      <w:ind w:left="675" w:hanging="675"/>
    </w:pPr>
    <w:rPr>
      <w:sz w:val="20"/>
    </w:rPr>
  </w:style>
  <w:style w:type="paragraph" w:customStyle="1" w:styleId="CTA1ai">
    <w:name w:val="CTA 1(a)(i)"/>
    <w:basedOn w:val="OPCParaBase"/>
    <w:rsid w:val="001E1652"/>
    <w:pPr>
      <w:tabs>
        <w:tab w:val="right" w:pos="1004"/>
      </w:tabs>
      <w:spacing w:before="40" w:line="240" w:lineRule="atLeast"/>
      <w:ind w:left="1253" w:hanging="1253"/>
    </w:pPr>
    <w:rPr>
      <w:sz w:val="20"/>
    </w:rPr>
  </w:style>
  <w:style w:type="paragraph" w:customStyle="1" w:styleId="CTA2a">
    <w:name w:val="CTA 2(a)"/>
    <w:basedOn w:val="OPCParaBase"/>
    <w:rsid w:val="001E1652"/>
    <w:pPr>
      <w:tabs>
        <w:tab w:val="right" w:pos="482"/>
      </w:tabs>
      <w:spacing w:before="40" w:line="240" w:lineRule="atLeast"/>
      <w:ind w:left="748" w:hanging="748"/>
    </w:pPr>
    <w:rPr>
      <w:sz w:val="20"/>
    </w:rPr>
  </w:style>
  <w:style w:type="paragraph" w:customStyle="1" w:styleId="CTA2ai">
    <w:name w:val="CTA 2(a)(i)"/>
    <w:basedOn w:val="OPCParaBase"/>
    <w:rsid w:val="001E1652"/>
    <w:pPr>
      <w:tabs>
        <w:tab w:val="right" w:pos="1089"/>
      </w:tabs>
      <w:spacing w:before="40" w:line="240" w:lineRule="atLeast"/>
      <w:ind w:left="1327" w:hanging="1327"/>
    </w:pPr>
    <w:rPr>
      <w:sz w:val="20"/>
    </w:rPr>
  </w:style>
  <w:style w:type="paragraph" w:customStyle="1" w:styleId="CTA3a">
    <w:name w:val="CTA 3(a)"/>
    <w:basedOn w:val="OPCParaBase"/>
    <w:rsid w:val="001E1652"/>
    <w:pPr>
      <w:tabs>
        <w:tab w:val="right" w:pos="556"/>
      </w:tabs>
      <w:spacing w:before="40" w:line="240" w:lineRule="atLeast"/>
      <w:ind w:left="805" w:hanging="805"/>
    </w:pPr>
    <w:rPr>
      <w:sz w:val="20"/>
    </w:rPr>
  </w:style>
  <w:style w:type="paragraph" w:customStyle="1" w:styleId="CTA3ai">
    <w:name w:val="CTA 3(a)(i)"/>
    <w:basedOn w:val="OPCParaBase"/>
    <w:rsid w:val="001E1652"/>
    <w:pPr>
      <w:tabs>
        <w:tab w:val="right" w:pos="1140"/>
      </w:tabs>
      <w:spacing w:before="40" w:line="240" w:lineRule="atLeast"/>
      <w:ind w:left="1361" w:hanging="1361"/>
    </w:pPr>
    <w:rPr>
      <w:sz w:val="20"/>
    </w:rPr>
  </w:style>
  <w:style w:type="paragraph" w:customStyle="1" w:styleId="CTA4a">
    <w:name w:val="CTA 4(a)"/>
    <w:basedOn w:val="OPCParaBase"/>
    <w:rsid w:val="001E1652"/>
    <w:pPr>
      <w:tabs>
        <w:tab w:val="right" w:pos="624"/>
      </w:tabs>
      <w:spacing w:before="40" w:line="240" w:lineRule="atLeast"/>
      <w:ind w:left="873" w:hanging="873"/>
    </w:pPr>
    <w:rPr>
      <w:sz w:val="20"/>
    </w:rPr>
  </w:style>
  <w:style w:type="paragraph" w:customStyle="1" w:styleId="CTA4ai">
    <w:name w:val="CTA 4(a)(i)"/>
    <w:basedOn w:val="OPCParaBase"/>
    <w:rsid w:val="001E1652"/>
    <w:pPr>
      <w:tabs>
        <w:tab w:val="right" w:pos="1213"/>
      </w:tabs>
      <w:spacing w:before="40" w:line="240" w:lineRule="atLeast"/>
      <w:ind w:left="1452" w:hanging="1452"/>
    </w:pPr>
    <w:rPr>
      <w:sz w:val="20"/>
    </w:rPr>
  </w:style>
  <w:style w:type="paragraph" w:customStyle="1" w:styleId="CTACAPS">
    <w:name w:val="CTA CAPS"/>
    <w:basedOn w:val="OPCParaBase"/>
    <w:rsid w:val="001E1652"/>
    <w:pPr>
      <w:spacing w:before="60" w:line="240" w:lineRule="atLeast"/>
    </w:pPr>
    <w:rPr>
      <w:sz w:val="20"/>
    </w:rPr>
  </w:style>
  <w:style w:type="paragraph" w:customStyle="1" w:styleId="CTAright">
    <w:name w:val="CTA right"/>
    <w:basedOn w:val="OPCParaBase"/>
    <w:rsid w:val="001E1652"/>
    <w:pPr>
      <w:spacing w:before="60" w:line="240" w:lineRule="auto"/>
      <w:jc w:val="right"/>
    </w:pPr>
    <w:rPr>
      <w:sz w:val="20"/>
    </w:rPr>
  </w:style>
  <w:style w:type="paragraph" w:customStyle="1" w:styleId="subsection">
    <w:name w:val="subsection"/>
    <w:aliases w:val="ss"/>
    <w:basedOn w:val="OPCParaBase"/>
    <w:rsid w:val="001E1652"/>
    <w:pPr>
      <w:tabs>
        <w:tab w:val="right" w:pos="1021"/>
      </w:tabs>
      <w:spacing w:before="180" w:line="240" w:lineRule="auto"/>
      <w:ind w:left="1134" w:hanging="1134"/>
    </w:pPr>
  </w:style>
  <w:style w:type="paragraph" w:customStyle="1" w:styleId="Definition">
    <w:name w:val="Definition"/>
    <w:aliases w:val="dd"/>
    <w:basedOn w:val="OPCParaBase"/>
    <w:rsid w:val="001E1652"/>
    <w:pPr>
      <w:spacing w:before="180" w:line="240" w:lineRule="auto"/>
      <w:ind w:left="1134"/>
    </w:pPr>
  </w:style>
  <w:style w:type="paragraph" w:customStyle="1" w:styleId="House">
    <w:name w:val="House"/>
    <w:basedOn w:val="OPCParaBase"/>
    <w:rsid w:val="001E1652"/>
    <w:pPr>
      <w:spacing w:line="240" w:lineRule="auto"/>
    </w:pPr>
    <w:rPr>
      <w:sz w:val="28"/>
    </w:rPr>
  </w:style>
  <w:style w:type="paragraph" w:customStyle="1" w:styleId="Item">
    <w:name w:val="Item"/>
    <w:aliases w:val="i"/>
    <w:basedOn w:val="OPCParaBase"/>
    <w:next w:val="ItemHead"/>
    <w:rsid w:val="001E1652"/>
    <w:pPr>
      <w:keepLines/>
      <w:spacing w:before="80" w:line="240" w:lineRule="auto"/>
      <w:ind w:left="709"/>
    </w:pPr>
  </w:style>
  <w:style w:type="paragraph" w:customStyle="1" w:styleId="ItemHead">
    <w:name w:val="ItemHead"/>
    <w:aliases w:val="ih"/>
    <w:basedOn w:val="OPCParaBase"/>
    <w:next w:val="Item"/>
    <w:rsid w:val="001E1652"/>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1E1652"/>
    <w:pPr>
      <w:spacing w:line="240" w:lineRule="auto"/>
    </w:pPr>
    <w:rPr>
      <w:b/>
      <w:sz w:val="32"/>
    </w:rPr>
  </w:style>
  <w:style w:type="paragraph" w:customStyle="1" w:styleId="notedraft">
    <w:name w:val="note(draft)"/>
    <w:aliases w:val="nd"/>
    <w:basedOn w:val="OPCParaBase"/>
    <w:rsid w:val="001E1652"/>
    <w:pPr>
      <w:spacing w:before="240" w:line="240" w:lineRule="auto"/>
      <w:ind w:left="284" w:hanging="284"/>
    </w:pPr>
    <w:rPr>
      <w:i/>
      <w:sz w:val="24"/>
    </w:rPr>
  </w:style>
  <w:style w:type="paragraph" w:customStyle="1" w:styleId="notemargin">
    <w:name w:val="note(margin)"/>
    <w:aliases w:val="nm"/>
    <w:basedOn w:val="OPCParaBase"/>
    <w:rsid w:val="001E1652"/>
    <w:pPr>
      <w:tabs>
        <w:tab w:val="left" w:pos="709"/>
      </w:tabs>
      <w:spacing w:before="122" w:line="198" w:lineRule="exact"/>
      <w:ind w:left="709" w:hanging="709"/>
    </w:pPr>
    <w:rPr>
      <w:sz w:val="18"/>
    </w:rPr>
  </w:style>
  <w:style w:type="paragraph" w:customStyle="1" w:styleId="notepara">
    <w:name w:val="note(para)"/>
    <w:aliases w:val="na"/>
    <w:basedOn w:val="OPCParaBase"/>
    <w:rsid w:val="001E1652"/>
    <w:pPr>
      <w:spacing w:before="40" w:line="198" w:lineRule="exact"/>
      <w:ind w:left="2354" w:hanging="369"/>
    </w:pPr>
    <w:rPr>
      <w:sz w:val="18"/>
    </w:rPr>
  </w:style>
  <w:style w:type="paragraph" w:customStyle="1" w:styleId="noteParlAmend">
    <w:name w:val="note(ParlAmend)"/>
    <w:aliases w:val="npp"/>
    <w:basedOn w:val="OPCParaBase"/>
    <w:next w:val="ParlAmend"/>
    <w:rsid w:val="001E1652"/>
    <w:pPr>
      <w:spacing w:line="240" w:lineRule="auto"/>
      <w:jc w:val="right"/>
    </w:pPr>
    <w:rPr>
      <w:rFonts w:ascii="Arial" w:hAnsi="Arial"/>
      <w:b/>
      <w:i/>
    </w:rPr>
  </w:style>
  <w:style w:type="paragraph" w:customStyle="1" w:styleId="notetext">
    <w:name w:val="note(text)"/>
    <w:aliases w:val="n"/>
    <w:basedOn w:val="OPCParaBase"/>
    <w:rsid w:val="001E1652"/>
    <w:pPr>
      <w:spacing w:before="122" w:line="198" w:lineRule="exact"/>
      <w:ind w:left="1985" w:hanging="851"/>
    </w:pPr>
    <w:rPr>
      <w:sz w:val="18"/>
    </w:rPr>
  </w:style>
  <w:style w:type="paragraph" w:customStyle="1" w:styleId="Page1">
    <w:name w:val="Page1"/>
    <w:basedOn w:val="OPCParaBase"/>
    <w:rsid w:val="001E1652"/>
    <w:pPr>
      <w:spacing w:before="5600" w:line="240" w:lineRule="auto"/>
    </w:pPr>
    <w:rPr>
      <w:b/>
      <w:sz w:val="32"/>
    </w:rPr>
  </w:style>
  <w:style w:type="paragraph" w:customStyle="1" w:styleId="paragraphsub">
    <w:name w:val="paragraph(sub)"/>
    <w:aliases w:val="aa"/>
    <w:basedOn w:val="OPCParaBase"/>
    <w:rsid w:val="001E1652"/>
    <w:pPr>
      <w:tabs>
        <w:tab w:val="right" w:pos="1985"/>
      </w:tabs>
      <w:spacing w:before="40" w:line="240" w:lineRule="auto"/>
      <w:ind w:left="2098" w:hanging="2098"/>
    </w:pPr>
  </w:style>
  <w:style w:type="paragraph" w:customStyle="1" w:styleId="paragraphsub-sub">
    <w:name w:val="paragraph(sub-sub)"/>
    <w:aliases w:val="aaa"/>
    <w:basedOn w:val="OPCParaBase"/>
    <w:rsid w:val="001E1652"/>
    <w:pPr>
      <w:tabs>
        <w:tab w:val="right" w:pos="2722"/>
      </w:tabs>
      <w:spacing w:before="40" w:line="240" w:lineRule="auto"/>
      <w:ind w:left="2835" w:hanging="2835"/>
    </w:pPr>
  </w:style>
  <w:style w:type="paragraph" w:customStyle="1" w:styleId="paragraph">
    <w:name w:val="paragraph"/>
    <w:aliases w:val="a"/>
    <w:basedOn w:val="OPCParaBase"/>
    <w:rsid w:val="001E1652"/>
    <w:pPr>
      <w:tabs>
        <w:tab w:val="right" w:pos="1531"/>
      </w:tabs>
      <w:spacing w:before="40" w:line="240" w:lineRule="auto"/>
      <w:ind w:left="1644" w:hanging="1644"/>
    </w:pPr>
  </w:style>
  <w:style w:type="paragraph" w:customStyle="1" w:styleId="ParlAmend">
    <w:name w:val="ParlAmend"/>
    <w:aliases w:val="pp"/>
    <w:basedOn w:val="OPCParaBase"/>
    <w:rsid w:val="001E1652"/>
    <w:pPr>
      <w:spacing w:before="240" w:line="240" w:lineRule="atLeast"/>
      <w:ind w:hanging="567"/>
    </w:pPr>
    <w:rPr>
      <w:sz w:val="24"/>
    </w:rPr>
  </w:style>
  <w:style w:type="paragraph" w:customStyle="1" w:styleId="Portfolio">
    <w:name w:val="Portfolio"/>
    <w:basedOn w:val="OPCParaBase"/>
    <w:rsid w:val="001E1652"/>
    <w:pPr>
      <w:spacing w:line="240" w:lineRule="auto"/>
    </w:pPr>
    <w:rPr>
      <w:i/>
      <w:sz w:val="20"/>
    </w:rPr>
  </w:style>
  <w:style w:type="paragraph" w:customStyle="1" w:styleId="Preamble">
    <w:name w:val="Preamble"/>
    <w:basedOn w:val="OPCParaBase"/>
    <w:next w:val="Normal"/>
    <w:rsid w:val="001E1652"/>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1E1652"/>
    <w:pPr>
      <w:spacing w:line="240" w:lineRule="auto"/>
    </w:pPr>
    <w:rPr>
      <w:i/>
      <w:sz w:val="20"/>
    </w:rPr>
  </w:style>
  <w:style w:type="paragraph" w:customStyle="1" w:styleId="Session">
    <w:name w:val="Session"/>
    <w:basedOn w:val="OPCParaBase"/>
    <w:rsid w:val="001E1652"/>
    <w:pPr>
      <w:spacing w:line="240" w:lineRule="auto"/>
    </w:pPr>
    <w:rPr>
      <w:sz w:val="28"/>
    </w:rPr>
  </w:style>
  <w:style w:type="paragraph" w:customStyle="1" w:styleId="Sponsor">
    <w:name w:val="Sponsor"/>
    <w:basedOn w:val="OPCParaBase"/>
    <w:rsid w:val="001E1652"/>
    <w:pPr>
      <w:spacing w:line="240" w:lineRule="auto"/>
    </w:pPr>
    <w:rPr>
      <w:i/>
    </w:rPr>
  </w:style>
  <w:style w:type="paragraph" w:customStyle="1" w:styleId="Subitem">
    <w:name w:val="Subitem"/>
    <w:aliases w:val="iss"/>
    <w:basedOn w:val="OPCParaBase"/>
    <w:rsid w:val="001E1652"/>
    <w:pPr>
      <w:spacing w:before="180" w:line="240" w:lineRule="auto"/>
      <w:ind w:left="709" w:hanging="709"/>
    </w:pPr>
  </w:style>
  <w:style w:type="paragraph" w:customStyle="1" w:styleId="SubitemHead">
    <w:name w:val="SubitemHead"/>
    <w:aliases w:val="issh"/>
    <w:basedOn w:val="OPCParaBase"/>
    <w:rsid w:val="001E1652"/>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1E1652"/>
    <w:pPr>
      <w:spacing w:before="40" w:line="240" w:lineRule="auto"/>
      <w:ind w:left="1134"/>
    </w:pPr>
  </w:style>
  <w:style w:type="paragraph" w:customStyle="1" w:styleId="SubsectionHead">
    <w:name w:val="SubsectionHead"/>
    <w:aliases w:val="ssh"/>
    <w:basedOn w:val="OPCParaBase"/>
    <w:next w:val="subsection"/>
    <w:rsid w:val="001E1652"/>
    <w:pPr>
      <w:keepNext/>
      <w:keepLines/>
      <w:spacing w:before="240" w:line="240" w:lineRule="auto"/>
      <w:ind w:left="1134"/>
    </w:pPr>
    <w:rPr>
      <w:i/>
    </w:rPr>
  </w:style>
  <w:style w:type="paragraph" w:customStyle="1" w:styleId="Tablea">
    <w:name w:val="Table(a)"/>
    <w:aliases w:val="ta"/>
    <w:basedOn w:val="OPCParaBase"/>
    <w:rsid w:val="001E1652"/>
    <w:pPr>
      <w:spacing w:before="60" w:line="240" w:lineRule="auto"/>
      <w:ind w:left="284" w:hanging="284"/>
    </w:pPr>
    <w:rPr>
      <w:sz w:val="20"/>
    </w:rPr>
  </w:style>
  <w:style w:type="paragraph" w:customStyle="1" w:styleId="TableAA">
    <w:name w:val="Table(AA)"/>
    <w:aliases w:val="taaa"/>
    <w:basedOn w:val="OPCParaBase"/>
    <w:rsid w:val="001E1652"/>
    <w:pPr>
      <w:tabs>
        <w:tab w:val="left" w:pos="-6543"/>
        <w:tab w:val="left" w:pos="-6260"/>
      </w:tabs>
      <w:spacing w:line="240" w:lineRule="exact"/>
      <w:ind w:left="1055" w:hanging="284"/>
    </w:pPr>
    <w:rPr>
      <w:sz w:val="20"/>
    </w:rPr>
  </w:style>
  <w:style w:type="paragraph" w:customStyle="1" w:styleId="Tablei">
    <w:name w:val="Table(i)"/>
    <w:aliases w:val="taa"/>
    <w:basedOn w:val="OPCParaBase"/>
    <w:rsid w:val="001E1652"/>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1E1652"/>
    <w:pPr>
      <w:spacing w:before="60" w:line="240" w:lineRule="atLeast"/>
    </w:pPr>
    <w:rPr>
      <w:sz w:val="20"/>
    </w:rPr>
  </w:style>
  <w:style w:type="paragraph" w:customStyle="1" w:styleId="TLPBoxTextnote">
    <w:name w:val="TLPBoxText(note"/>
    <w:aliases w:val="right)"/>
    <w:basedOn w:val="OPCParaBase"/>
    <w:rsid w:val="001E1652"/>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1E1652"/>
    <w:pPr>
      <w:numPr>
        <w:numId w:val="15"/>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1E1652"/>
    <w:pPr>
      <w:spacing w:before="122" w:line="198" w:lineRule="exact"/>
      <w:ind w:left="1985" w:hanging="851"/>
      <w:jc w:val="right"/>
    </w:pPr>
    <w:rPr>
      <w:sz w:val="18"/>
    </w:rPr>
  </w:style>
  <w:style w:type="paragraph" w:customStyle="1" w:styleId="TLPTableBullet">
    <w:name w:val="TLPTableBullet"/>
    <w:aliases w:val="ttb"/>
    <w:basedOn w:val="OPCParaBase"/>
    <w:rsid w:val="001E1652"/>
    <w:pPr>
      <w:spacing w:line="240" w:lineRule="exact"/>
      <w:ind w:left="284" w:hanging="284"/>
    </w:pPr>
    <w:rPr>
      <w:sz w:val="20"/>
    </w:rPr>
  </w:style>
  <w:style w:type="paragraph" w:customStyle="1" w:styleId="TofSectsGroupHeading">
    <w:name w:val="TofSects(GroupHeading)"/>
    <w:basedOn w:val="OPCParaBase"/>
    <w:next w:val="TofSectsSection"/>
    <w:rsid w:val="001E1652"/>
    <w:pPr>
      <w:keepLines/>
      <w:spacing w:before="240" w:after="120" w:line="240" w:lineRule="auto"/>
      <w:ind w:left="794"/>
    </w:pPr>
    <w:rPr>
      <w:b/>
      <w:kern w:val="28"/>
      <w:sz w:val="20"/>
    </w:rPr>
  </w:style>
  <w:style w:type="paragraph" w:customStyle="1" w:styleId="TofSectsHeading">
    <w:name w:val="TofSects(Heading)"/>
    <w:basedOn w:val="OPCParaBase"/>
    <w:rsid w:val="001E1652"/>
    <w:pPr>
      <w:spacing w:before="240" w:after="120" w:line="240" w:lineRule="auto"/>
    </w:pPr>
    <w:rPr>
      <w:b/>
      <w:sz w:val="24"/>
    </w:rPr>
  </w:style>
  <w:style w:type="paragraph" w:customStyle="1" w:styleId="TofSectsSection">
    <w:name w:val="TofSects(Section)"/>
    <w:basedOn w:val="OPCParaBase"/>
    <w:rsid w:val="001E1652"/>
    <w:pPr>
      <w:keepLines/>
      <w:spacing w:before="40" w:line="240" w:lineRule="auto"/>
      <w:ind w:left="1588" w:hanging="794"/>
    </w:pPr>
    <w:rPr>
      <w:kern w:val="28"/>
      <w:sz w:val="18"/>
    </w:rPr>
  </w:style>
  <w:style w:type="paragraph" w:customStyle="1" w:styleId="TofSectsSubdiv">
    <w:name w:val="TofSects(Subdiv)"/>
    <w:basedOn w:val="OPCParaBase"/>
    <w:rsid w:val="001E1652"/>
    <w:pPr>
      <w:keepLines/>
      <w:spacing w:before="80" w:line="240" w:lineRule="auto"/>
      <w:ind w:left="1588" w:hanging="794"/>
    </w:pPr>
    <w:rPr>
      <w:kern w:val="28"/>
    </w:rPr>
  </w:style>
  <w:style w:type="paragraph" w:customStyle="1" w:styleId="WRStyle">
    <w:name w:val="WR Style"/>
    <w:aliases w:val="WR"/>
    <w:basedOn w:val="OPCParaBase"/>
    <w:rsid w:val="001E1652"/>
    <w:pPr>
      <w:spacing w:before="240" w:line="240" w:lineRule="auto"/>
      <w:ind w:left="284" w:hanging="284"/>
    </w:pPr>
    <w:rPr>
      <w:b/>
      <w:i/>
      <w:kern w:val="28"/>
      <w:sz w:val="24"/>
    </w:rPr>
  </w:style>
  <w:style w:type="numbering" w:customStyle="1" w:styleId="OPCBodyList">
    <w:name w:val="OPCBodyList"/>
    <w:uiPriority w:val="99"/>
    <w:rsid w:val="00FF58B1"/>
    <w:pPr>
      <w:numPr>
        <w:numId w:val="17"/>
      </w:numPr>
    </w:pPr>
  </w:style>
  <w:style w:type="paragraph" w:customStyle="1" w:styleId="noteToPara">
    <w:name w:val="noteToPara"/>
    <w:aliases w:val="ntp"/>
    <w:basedOn w:val="OPCParaBase"/>
    <w:rsid w:val="001E1652"/>
    <w:pPr>
      <w:spacing w:before="122" w:line="198" w:lineRule="exact"/>
      <w:ind w:left="2353" w:hanging="709"/>
    </w:pPr>
    <w:rPr>
      <w:sz w:val="18"/>
    </w:rPr>
  </w:style>
  <w:style w:type="character" w:customStyle="1" w:styleId="BalloonTextChar">
    <w:name w:val="Balloon Text Char"/>
    <w:basedOn w:val="DefaultParagraphFont"/>
    <w:link w:val="BalloonText"/>
    <w:uiPriority w:val="99"/>
    <w:rsid w:val="001E1652"/>
    <w:rPr>
      <w:rFonts w:ascii="Tahoma" w:eastAsiaTheme="minorHAnsi" w:hAnsi="Tahoma" w:cs="Tahoma"/>
      <w:sz w:val="16"/>
      <w:szCs w:val="16"/>
      <w:lang w:eastAsia="en-US"/>
    </w:rPr>
  </w:style>
  <w:style w:type="paragraph" w:customStyle="1" w:styleId="EndNotespara">
    <w:name w:val="EndNotes(para)"/>
    <w:aliases w:val="eta"/>
    <w:basedOn w:val="OPCParaBase"/>
    <w:next w:val="EndNotessubpara"/>
    <w:rsid w:val="001E1652"/>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1E1652"/>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1E1652"/>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1E1652"/>
    <w:pPr>
      <w:tabs>
        <w:tab w:val="right" w:pos="1412"/>
      </w:tabs>
      <w:spacing w:before="60" w:line="240" w:lineRule="auto"/>
      <w:ind w:left="1525" w:hanging="1525"/>
    </w:pPr>
    <w:rPr>
      <w:sz w:val="20"/>
    </w:rPr>
  </w:style>
  <w:style w:type="table" w:customStyle="1" w:styleId="CFlag">
    <w:name w:val="CFlag"/>
    <w:basedOn w:val="TableNormal"/>
    <w:uiPriority w:val="99"/>
    <w:rsid w:val="001E1652"/>
    <w:tblPr>
      <w:tblInd w:w="0" w:type="dxa"/>
      <w:tblCellMar>
        <w:top w:w="0" w:type="dxa"/>
        <w:left w:w="108" w:type="dxa"/>
        <w:bottom w:w="0" w:type="dxa"/>
        <w:right w:w="108" w:type="dxa"/>
      </w:tblCellMar>
    </w:tblPr>
  </w:style>
  <w:style w:type="paragraph" w:customStyle="1" w:styleId="InstNo">
    <w:name w:val="InstNo"/>
    <w:basedOn w:val="OPCParaBase"/>
    <w:next w:val="Normal"/>
    <w:rsid w:val="001E1652"/>
    <w:rPr>
      <w:b/>
      <w:sz w:val="28"/>
      <w:szCs w:val="32"/>
    </w:rPr>
  </w:style>
  <w:style w:type="paragraph" w:customStyle="1" w:styleId="LegislationMadeUnder">
    <w:name w:val="LegislationMadeUnder"/>
    <w:basedOn w:val="OPCParaBase"/>
    <w:next w:val="Normal"/>
    <w:rsid w:val="001E1652"/>
    <w:rPr>
      <w:i/>
      <w:sz w:val="32"/>
      <w:szCs w:val="32"/>
    </w:rPr>
  </w:style>
  <w:style w:type="paragraph" w:customStyle="1" w:styleId="SignCoverPageEnd">
    <w:name w:val="SignCoverPageEnd"/>
    <w:basedOn w:val="OPCParaBase"/>
    <w:next w:val="Normal"/>
    <w:rsid w:val="001E1652"/>
    <w:pPr>
      <w:keepNext/>
      <w:pBdr>
        <w:bottom w:val="single" w:sz="4" w:space="12" w:color="auto"/>
      </w:pBdr>
      <w:tabs>
        <w:tab w:val="left" w:pos="3402"/>
      </w:tabs>
      <w:spacing w:line="300" w:lineRule="atLeast"/>
      <w:ind w:right="397"/>
    </w:pPr>
    <w:rPr>
      <w:sz w:val="24"/>
    </w:rPr>
  </w:style>
  <w:style w:type="paragraph" w:customStyle="1" w:styleId="SignCoverPageStart">
    <w:name w:val="SignCoverPageStart"/>
    <w:basedOn w:val="OPCParaBase"/>
    <w:next w:val="Normal"/>
    <w:rsid w:val="001E1652"/>
    <w:pPr>
      <w:pBdr>
        <w:top w:val="single" w:sz="4" w:space="1" w:color="auto"/>
      </w:pBdr>
      <w:spacing w:before="360"/>
      <w:ind w:right="397"/>
      <w:jc w:val="both"/>
    </w:pPr>
  </w:style>
  <w:style w:type="paragraph" w:customStyle="1" w:styleId="NotesHeading2">
    <w:name w:val="NotesHeading 2"/>
    <w:basedOn w:val="OPCParaBase"/>
    <w:next w:val="Normal"/>
    <w:rsid w:val="001E1652"/>
    <w:rPr>
      <w:b/>
      <w:sz w:val="28"/>
      <w:szCs w:val="28"/>
    </w:rPr>
  </w:style>
  <w:style w:type="paragraph" w:customStyle="1" w:styleId="NotesHeading1">
    <w:name w:val="NotesHeading 1"/>
    <w:basedOn w:val="OPCParaBase"/>
    <w:next w:val="Normal"/>
    <w:rsid w:val="001E1652"/>
    <w:pPr>
      <w:outlineLvl w:val="0"/>
    </w:pPr>
    <w:rPr>
      <w:b/>
      <w:sz w:val="28"/>
      <w:szCs w:val="28"/>
    </w:rPr>
  </w:style>
  <w:style w:type="paragraph" w:customStyle="1" w:styleId="CompiledActNo">
    <w:name w:val="CompiledActNo"/>
    <w:basedOn w:val="OPCParaBase"/>
    <w:next w:val="Normal"/>
    <w:rsid w:val="001E1652"/>
    <w:rPr>
      <w:b/>
      <w:sz w:val="24"/>
      <w:szCs w:val="24"/>
    </w:rPr>
  </w:style>
  <w:style w:type="paragraph" w:customStyle="1" w:styleId="ENotesHeading1">
    <w:name w:val="ENotesHeading 1"/>
    <w:aliases w:val="Enh1"/>
    <w:basedOn w:val="OPCParaBase"/>
    <w:next w:val="ENotesHeading2"/>
    <w:rsid w:val="001E1652"/>
    <w:pPr>
      <w:spacing w:before="120"/>
      <w:outlineLvl w:val="0"/>
    </w:pPr>
    <w:rPr>
      <w:b/>
      <w:sz w:val="28"/>
      <w:szCs w:val="28"/>
    </w:rPr>
  </w:style>
  <w:style w:type="paragraph" w:customStyle="1" w:styleId="ENotesHeading2">
    <w:name w:val="ENotesHeading 2"/>
    <w:aliases w:val="Enh2"/>
    <w:basedOn w:val="OPCParaBase"/>
    <w:next w:val="ENotesHeading3"/>
    <w:rsid w:val="001E1652"/>
    <w:pPr>
      <w:spacing w:before="120" w:after="120"/>
      <w:outlineLvl w:val="6"/>
    </w:pPr>
    <w:rPr>
      <w:b/>
      <w:sz w:val="24"/>
      <w:szCs w:val="28"/>
    </w:rPr>
  </w:style>
  <w:style w:type="paragraph" w:customStyle="1" w:styleId="ENotesHeading3">
    <w:name w:val="ENotesHeading 3"/>
    <w:aliases w:val="Enh3"/>
    <w:basedOn w:val="OPCParaBase"/>
    <w:next w:val="Normal"/>
    <w:rsid w:val="001E1652"/>
    <w:pPr>
      <w:spacing w:before="120" w:line="240" w:lineRule="auto"/>
      <w:outlineLvl w:val="7"/>
    </w:pPr>
    <w:rPr>
      <w:b/>
      <w:szCs w:val="24"/>
    </w:rPr>
  </w:style>
  <w:style w:type="paragraph" w:customStyle="1" w:styleId="ENotesText">
    <w:name w:val="ENotesText"/>
    <w:aliases w:val="Ent"/>
    <w:basedOn w:val="OPCParaBase"/>
    <w:next w:val="Normal"/>
    <w:rsid w:val="001E1652"/>
    <w:pPr>
      <w:spacing w:before="120"/>
    </w:pPr>
  </w:style>
  <w:style w:type="paragraph" w:customStyle="1" w:styleId="CompiledMadeUnder">
    <w:name w:val="CompiledMadeUnder"/>
    <w:basedOn w:val="OPCParaBase"/>
    <w:next w:val="Normal"/>
    <w:rsid w:val="001E1652"/>
    <w:rPr>
      <w:i/>
      <w:sz w:val="24"/>
      <w:szCs w:val="24"/>
    </w:rPr>
  </w:style>
  <w:style w:type="paragraph" w:customStyle="1" w:styleId="Paragraphsub-sub-sub">
    <w:name w:val="Paragraph(sub-sub-sub)"/>
    <w:aliases w:val="aaaa"/>
    <w:basedOn w:val="OPCParaBase"/>
    <w:rsid w:val="001E1652"/>
    <w:pPr>
      <w:tabs>
        <w:tab w:val="right" w:pos="3402"/>
      </w:tabs>
      <w:spacing w:before="40" w:line="240" w:lineRule="auto"/>
      <w:ind w:left="3402" w:hanging="3402"/>
    </w:pPr>
  </w:style>
  <w:style w:type="paragraph" w:customStyle="1" w:styleId="TableTextEndNotes">
    <w:name w:val="TableTextEndNotes"/>
    <w:aliases w:val="Tten"/>
    <w:basedOn w:val="Normal"/>
    <w:rsid w:val="001E1652"/>
    <w:pPr>
      <w:spacing w:before="60" w:line="240" w:lineRule="auto"/>
    </w:pPr>
    <w:rPr>
      <w:rFonts w:cs="Arial"/>
      <w:sz w:val="20"/>
      <w:szCs w:val="22"/>
    </w:rPr>
  </w:style>
  <w:style w:type="paragraph" w:customStyle="1" w:styleId="SubPartCASA">
    <w:name w:val="SubPart(CASA)"/>
    <w:aliases w:val="csp"/>
    <w:basedOn w:val="OPCParaBase"/>
    <w:next w:val="ActHead3"/>
    <w:rsid w:val="001E1652"/>
    <w:pPr>
      <w:keepNext/>
      <w:keepLines/>
      <w:spacing w:before="280"/>
      <w:outlineLvl w:val="1"/>
    </w:pPr>
    <w:rPr>
      <w:b/>
      <w:kern w:val="28"/>
      <w:sz w:val="32"/>
    </w:rPr>
  </w:style>
  <w:style w:type="character" w:styleId="PlaceholderText">
    <w:name w:val="Placeholder Text"/>
    <w:basedOn w:val="DefaultParagraphFont"/>
    <w:uiPriority w:val="99"/>
    <w:semiHidden/>
    <w:rsid w:val="00C54F50"/>
    <w:rPr>
      <w:color w:val="808080"/>
    </w:rPr>
  </w:style>
  <w:style w:type="paragraph" w:customStyle="1" w:styleId="TableHeading">
    <w:name w:val="TableHeading"/>
    <w:aliases w:val="th"/>
    <w:basedOn w:val="OPCParaBase"/>
    <w:next w:val="Tabletext"/>
    <w:rsid w:val="001E1652"/>
    <w:pPr>
      <w:spacing w:before="60" w:line="240" w:lineRule="atLeast"/>
    </w:pPr>
    <w:rPr>
      <w:b/>
      <w:sz w:val="20"/>
    </w:rPr>
  </w:style>
  <w:style w:type="paragraph" w:customStyle="1" w:styleId="Specials">
    <w:name w:val="Special s"/>
    <w:basedOn w:val="ActHead5"/>
    <w:link w:val="SpecialsChar"/>
    <w:rsid w:val="00180385"/>
    <w:pPr>
      <w:outlineLvl w:val="9"/>
    </w:pPr>
  </w:style>
  <w:style w:type="character" w:customStyle="1" w:styleId="OPCParaBaseChar">
    <w:name w:val="OPCParaBase Char"/>
    <w:link w:val="OPCParaBase"/>
    <w:rsid w:val="00180385"/>
    <w:rPr>
      <w:sz w:val="22"/>
    </w:rPr>
  </w:style>
  <w:style w:type="character" w:customStyle="1" w:styleId="ActHead5Char">
    <w:name w:val="ActHead 5 Char"/>
    <w:aliases w:val="s Char"/>
    <w:link w:val="ActHead5"/>
    <w:rsid w:val="00180385"/>
    <w:rPr>
      <w:b/>
      <w:kern w:val="28"/>
      <w:sz w:val="24"/>
    </w:rPr>
  </w:style>
  <w:style w:type="character" w:customStyle="1" w:styleId="SpecialsChar">
    <w:name w:val="Special s Char"/>
    <w:link w:val="Specials"/>
    <w:rsid w:val="00180385"/>
    <w:rPr>
      <w:b/>
      <w:kern w:val="28"/>
      <w:sz w:val="24"/>
    </w:rPr>
  </w:style>
  <w:style w:type="numbering" w:customStyle="1" w:styleId="OPCBodyList1">
    <w:name w:val="OPCBodyList1"/>
    <w:uiPriority w:val="99"/>
    <w:rsid w:val="0018038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line number" w:uiPriority="99"/>
    <w:lsdException w:name="Title" w:semiHidden="0" w:unhideWhenUsed="0" w:qFormat="1"/>
    <w:lsdException w:name="Default Paragraph Font" w:uiPriority="1"/>
    <w:lsdException w:name="Subtitle" w:semiHidden="0" w:unhideWhenUsed="0" w:qFormat="1"/>
    <w:lsdException w:name="Note Heading" w:uiPriority="99"/>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1E1652"/>
    <w:pPr>
      <w:spacing w:line="260" w:lineRule="atLeast"/>
    </w:pPr>
    <w:rPr>
      <w:rFonts w:eastAsiaTheme="minorHAnsi" w:cstheme="minorBidi"/>
      <w:sz w:val="22"/>
      <w:lang w:eastAsia="en-US"/>
    </w:rPr>
  </w:style>
  <w:style w:type="paragraph" w:styleId="Heading1">
    <w:name w:val="heading 1"/>
    <w:basedOn w:val="Normal"/>
    <w:next w:val="Normal"/>
    <w:qFormat/>
    <w:rsid w:val="00E814E3"/>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E814E3"/>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E814E3"/>
    <w:pPr>
      <w:keepNext/>
      <w:spacing w:before="240" w:after="60"/>
      <w:outlineLvl w:val="2"/>
    </w:pPr>
    <w:rPr>
      <w:rFonts w:ascii="Arial" w:hAnsi="Arial" w:cs="Arial"/>
      <w:b/>
      <w:bCs/>
      <w:sz w:val="26"/>
      <w:szCs w:val="26"/>
    </w:rPr>
  </w:style>
  <w:style w:type="paragraph" w:styleId="Heading4">
    <w:name w:val="heading 4"/>
    <w:basedOn w:val="Normal"/>
    <w:next w:val="Normal"/>
    <w:qFormat/>
    <w:rsid w:val="00E814E3"/>
    <w:pPr>
      <w:keepNext/>
      <w:spacing w:before="240" w:after="60"/>
      <w:outlineLvl w:val="3"/>
    </w:pPr>
    <w:rPr>
      <w:b/>
      <w:bCs/>
      <w:sz w:val="28"/>
      <w:szCs w:val="28"/>
    </w:rPr>
  </w:style>
  <w:style w:type="paragraph" w:styleId="Heading5">
    <w:name w:val="heading 5"/>
    <w:basedOn w:val="Normal"/>
    <w:next w:val="Normal"/>
    <w:qFormat/>
    <w:rsid w:val="00E814E3"/>
    <w:pPr>
      <w:spacing w:before="240" w:after="60"/>
      <w:outlineLvl w:val="4"/>
    </w:pPr>
    <w:rPr>
      <w:b/>
      <w:bCs/>
      <w:i/>
      <w:iCs/>
      <w:sz w:val="26"/>
      <w:szCs w:val="26"/>
    </w:rPr>
  </w:style>
  <w:style w:type="paragraph" w:styleId="Heading6">
    <w:name w:val="heading 6"/>
    <w:basedOn w:val="Normal"/>
    <w:next w:val="Normal"/>
    <w:qFormat/>
    <w:rsid w:val="00E814E3"/>
    <w:pPr>
      <w:spacing w:before="240" w:after="60"/>
      <w:outlineLvl w:val="5"/>
    </w:pPr>
    <w:rPr>
      <w:b/>
      <w:bCs/>
      <w:szCs w:val="22"/>
    </w:rPr>
  </w:style>
  <w:style w:type="paragraph" w:styleId="Heading7">
    <w:name w:val="heading 7"/>
    <w:basedOn w:val="Normal"/>
    <w:next w:val="Normal"/>
    <w:qFormat/>
    <w:rsid w:val="00E814E3"/>
    <w:pPr>
      <w:spacing w:before="240" w:after="60"/>
      <w:outlineLvl w:val="6"/>
    </w:pPr>
  </w:style>
  <w:style w:type="paragraph" w:styleId="Heading8">
    <w:name w:val="heading 8"/>
    <w:basedOn w:val="Normal"/>
    <w:next w:val="Normal"/>
    <w:qFormat/>
    <w:rsid w:val="00E814E3"/>
    <w:pPr>
      <w:spacing w:before="240" w:after="60"/>
      <w:outlineLvl w:val="7"/>
    </w:pPr>
    <w:rPr>
      <w:i/>
      <w:iCs/>
    </w:rPr>
  </w:style>
  <w:style w:type="paragraph" w:styleId="Heading9">
    <w:name w:val="heading 9"/>
    <w:basedOn w:val="Normal"/>
    <w:next w:val="Normal"/>
    <w:qFormat/>
    <w:rsid w:val="00E814E3"/>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zTempStyle">
    <w:name w:val="charzTempStyle"/>
    <w:basedOn w:val="DefaultParagraphFont"/>
    <w:rsid w:val="00D046EB"/>
  </w:style>
  <w:style w:type="paragraph" w:styleId="Footer">
    <w:name w:val="footer"/>
    <w:link w:val="FooterChar"/>
    <w:rsid w:val="001E1652"/>
    <w:pPr>
      <w:tabs>
        <w:tab w:val="center" w:pos="4153"/>
        <w:tab w:val="right" w:pos="8306"/>
      </w:tabs>
    </w:pPr>
    <w:rPr>
      <w:sz w:val="22"/>
      <w:szCs w:val="24"/>
    </w:rPr>
  </w:style>
  <w:style w:type="numbering" w:styleId="111111">
    <w:name w:val="Outline List 2"/>
    <w:basedOn w:val="NoList"/>
    <w:rsid w:val="00E814E3"/>
    <w:pPr>
      <w:numPr>
        <w:numId w:val="2"/>
      </w:numPr>
    </w:pPr>
  </w:style>
  <w:style w:type="numbering" w:styleId="1ai">
    <w:name w:val="Outline List 1"/>
    <w:basedOn w:val="NoList"/>
    <w:rsid w:val="00E814E3"/>
    <w:pPr>
      <w:numPr>
        <w:numId w:val="3"/>
      </w:numPr>
    </w:pPr>
  </w:style>
  <w:style w:type="numbering" w:styleId="ArticleSection">
    <w:name w:val="Outline List 3"/>
    <w:basedOn w:val="NoList"/>
    <w:rsid w:val="00E814E3"/>
    <w:pPr>
      <w:numPr>
        <w:numId w:val="1"/>
      </w:numPr>
    </w:pPr>
  </w:style>
  <w:style w:type="paragraph" w:styleId="BlockText">
    <w:name w:val="Block Text"/>
    <w:basedOn w:val="Normal"/>
    <w:rsid w:val="00E814E3"/>
    <w:pPr>
      <w:spacing w:after="120"/>
      <w:ind w:left="1440" w:right="1440"/>
    </w:pPr>
  </w:style>
  <w:style w:type="paragraph" w:styleId="BodyText">
    <w:name w:val="Body Text"/>
    <w:basedOn w:val="Normal"/>
    <w:link w:val="BodyTextChar"/>
    <w:rsid w:val="00E814E3"/>
    <w:pPr>
      <w:spacing w:after="120"/>
    </w:pPr>
  </w:style>
  <w:style w:type="paragraph" w:styleId="BodyText2">
    <w:name w:val="Body Text 2"/>
    <w:basedOn w:val="Normal"/>
    <w:rsid w:val="00E814E3"/>
    <w:pPr>
      <w:spacing w:after="120" w:line="480" w:lineRule="auto"/>
    </w:pPr>
  </w:style>
  <w:style w:type="paragraph" w:styleId="BodyText3">
    <w:name w:val="Body Text 3"/>
    <w:basedOn w:val="Normal"/>
    <w:rsid w:val="00E814E3"/>
    <w:pPr>
      <w:spacing w:after="120"/>
    </w:pPr>
    <w:rPr>
      <w:sz w:val="16"/>
      <w:szCs w:val="16"/>
    </w:rPr>
  </w:style>
  <w:style w:type="paragraph" w:styleId="BodyTextFirstIndent">
    <w:name w:val="Body Text First Indent"/>
    <w:basedOn w:val="BodyText"/>
    <w:rsid w:val="00E814E3"/>
    <w:pPr>
      <w:ind w:firstLine="210"/>
    </w:pPr>
  </w:style>
  <w:style w:type="paragraph" w:styleId="BodyTextIndent">
    <w:name w:val="Body Text Indent"/>
    <w:basedOn w:val="Normal"/>
    <w:rsid w:val="00E814E3"/>
    <w:pPr>
      <w:spacing w:after="120"/>
      <w:ind w:left="283"/>
    </w:pPr>
  </w:style>
  <w:style w:type="paragraph" w:styleId="BodyTextFirstIndent2">
    <w:name w:val="Body Text First Indent 2"/>
    <w:basedOn w:val="BodyTextIndent"/>
    <w:rsid w:val="00E814E3"/>
    <w:pPr>
      <w:ind w:firstLine="210"/>
    </w:pPr>
  </w:style>
  <w:style w:type="paragraph" w:styleId="BodyTextIndent2">
    <w:name w:val="Body Text Indent 2"/>
    <w:basedOn w:val="Normal"/>
    <w:rsid w:val="00E814E3"/>
    <w:pPr>
      <w:spacing w:after="120" w:line="480" w:lineRule="auto"/>
      <w:ind w:left="283"/>
    </w:pPr>
  </w:style>
  <w:style w:type="paragraph" w:styleId="BodyTextIndent3">
    <w:name w:val="Body Text Indent 3"/>
    <w:basedOn w:val="Normal"/>
    <w:rsid w:val="00E814E3"/>
    <w:pPr>
      <w:spacing w:after="120"/>
      <w:ind w:left="283"/>
    </w:pPr>
    <w:rPr>
      <w:sz w:val="16"/>
      <w:szCs w:val="16"/>
    </w:rPr>
  </w:style>
  <w:style w:type="paragraph" w:styleId="Closing">
    <w:name w:val="Closing"/>
    <w:basedOn w:val="Normal"/>
    <w:rsid w:val="00E814E3"/>
    <w:pPr>
      <w:ind w:left="4252"/>
    </w:pPr>
  </w:style>
  <w:style w:type="paragraph" w:styleId="Date">
    <w:name w:val="Date"/>
    <w:basedOn w:val="Normal"/>
    <w:next w:val="Normal"/>
    <w:rsid w:val="00E814E3"/>
  </w:style>
  <w:style w:type="paragraph" w:styleId="E-mailSignature">
    <w:name w:val="E-mail Signature"/>
    <w:basedOn w:val="Normal"/>
    <w:rsid w:val="00E814E3"/>
  </w:style>
  <w:style w:type="character" w:styleId="Emphasis">
    <w:name w:val="Emphasis"/>
    <w:basedOn w:val="DefaultParagraphFont"/>
    <w:qFormat/>
    <w:rsid w:val="00E814E3"/>
    <w:rPr>
      <w:i/>
      <w:iCs/>
    </w:rPr>
  </w:style>
  <w:style w:type="paragraph" w:styleId="EnvelopeAddress">
    <w:name w:val="envelope address"/>
    <w:basedOn w:val="Normal"/>
    <w:rsid w:val="00E814E3"/>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E814E3"/>
    <w:rPr>
      <w:rFonts w:ascii="Arial" w:hAnsi="Arial" w:cs="Arial"/>
      <w:sz w:val="20"/>
    </w:rPr>
  </w:style>
  <w:style w:type="character" w:styleId="FollowedHyperlink">
    <w:name w:val="FollowedHyperlink"/>
    <w:basedOn w:val="DefaultParagraphFont"/>
    <w:rsid w:val="00E814E3"/>
    <w:rPr>
      <w:color w:val="auto"/>
      <w:u w:val="single"/>
    </w:rPr>
  </w:style>
  <w:style w:type="paragraph" w:styleId="Header">
    <w:name w:val="header"/>
    <w:basedOn w:val="OPCParaBase"/>
    <w:link w:val="HeaderChar"/>
    <w:unhideWhenUsed/>
    <w:rsid w:val="001E1652"/>
    <w:pPr>
      <w:keepNext/>
      <w:keepLines/>
      <w:tabs>
        <w:tab w:val="center" w:pos="4150"/>
        <w:tab w:val="right" w:pos="8307"/>
      </w:tabs>
      <w:spacing w:line="160" w:lineRule="exact"/>
    </w:pPr>
    <w:rPr>
      <w:sz w:val="16"/>
    </w:rPr>
  </w:style>
  <w:style w:type="character" w:styleId="HTMLAcronym">
    <w:name w:val="HTML Acronym"/>
    <w:basedOn w:val="DefaultParagraphFont"/>
    <w:rsid w:val="00E814E3"/>
  </w:style>
  <w:style w:type="paragraph" w:styleId="HTMLAddress">
    <w:name w:val="HTML Address"/>
    <w:basedOn w:val="Normal"/>
    <w:rsid w:val="00E814E3"/>
    <w:rPr>
      <w:i/>
      <w:iCs/>
    </w:rPr>
  </w:style>
  <w:style w:type="character" w:styleId="HTMLCite">
    <w:name w:val="HTML Cite"/>
    <w:basedOn w:val="DefaultParagraphFont"/>
    <w:rsid w:val="00E814E3"/>
    <w:rPr>
      <w:i/>
      <w:iCs/>
    </w:rPr>
  </w:style>
  <w:style w:type="character" w:styleId="HTMLCode">
    <w:name w:val="HTML Code"/>
    <w:basedOn w:val="DefaultParagraphFont"/>
    <w:rsid w:val="00E814E3"/>
    <w:rPr>
      <w:rFonts w:ascii="Courier New" w:hAnsi="Courier New" w:cs="Courier New"/>
      <w:sz w:val="20"/>
      <w:szCs w:val="20"/>
    </w:rPr>
  </w:style>
  <w:style w:type="character" w:styleId="HTMLDefinition">
    <w:name w:val="HTML Definition"/>
    <w:basedOn w:val="DefaultParagraphFont"/>
    <w:rsid w:val="00E814E3"/>
    <w:rPr>
      <w:i/>
      <w:iCs/>
    </w:rPr>
  </w:style>
  <w:style w:type="character" w:styleId="HTMLKeyboard">
    <w:name w:val="HTML Keyboard"/>
    <w:basedOn w:val="DefaultParagraphFont"/>
    <w:rsid w:val="00E814E3"/>
    <w:rPr>
      <w:rFonts w:ascii="Courier New" w:hAnsi="Courier New" w:cs="Courier New"/>
      <w:sz w:val="20"/>
      <w:szCs w:val="20"/>
    </w:rPr>
  </w:style>
  <w:style w:type="paragraph" w:styleId="HTMLPreformatted">
    <w:name w:val="HTML Preformatted"/>
    <w:basedOn w:val="Normal"/>
    <w:rsid w:val="00E814E3"/>
    <w:rPr>
      <w:rFonts w:ascii="Courier New" w:hAnsi="Courier New" w:cs="Courier New"/>
      <w:sz w:val="20"/>
    </w:rPr>
  </w:style>
  <w:style w:type="character" w:styleId="HTMLSample">
    <w:name w:val="HTML Sample"/>
    <w:basedOn w:val="DefaultParagraphFont"/>
    <w:rsid w:val="00E814E3"/>
    <w:rPr>
      <w:rFonts w:ascii="Courier New" w:hAnsi="Courier New" w:cs="Courier New"/>
    </w:rPr>
  </w:style>
  <w:style w:type="character" w:styleId="HTMLTypewriter">
    <w:name w:val="HTML Typewriter"/>
    <w:basedOn w:val="DefaultParagraphFont"/>
    <w:rsid w:val="00E814E3"/>
    <w:rPr>
      <w:rFonts w:ascii="Courier New" w:hAnsi="Courier New" w:cs="Courier New"/>
      <w:sz w:val="20"/>
      <w:szCs w:val="20"/>
    </w:rPr>
  </w:style>
  <w:style w:type="character" w:styleId="HTMLVariable">
    <w:name w:val="HTML Variable"/>
    <w:basedOn w:val="DefaultParagraphFont"/>
    <w:rsid w:val="00E814E3"/>
    <w:rPr>
      <w:i/>
      <w:iCs/>
    </w:rPr>
  </w:style>
  <w:style w:type="character" w:styleId="Hyperlink">
    <w:name w:val="Hyperlink"/>
    <w:basedOn w:val="DefaultParagraphFont"/>
    <w:rsid w:val="00E814E3"/>
    <w:rPr>
      <w:color w:val="auto"/>
      <w:u w:val="single"/>
    </w:rPr>
  </w:style>
  <w:style w:type="character" w:styleId="LineNumber">
    <w:name w:val="line number"/>
    <w:basedOn w:val="OPCCharBase"/>
    <w:uiPriority w:val="99"/>
    <w:unhideWhenUsed/>
    <w:rsid w:val="001E1652"/>
    <w:rPr>
      <w:sz w:val="16"/>
    </w:rPr>
  </w:style>
  <w:style w:type="paragraph" w:styleId="List">
    <w:name w:val="List"/>
    <w:basedOn w:val="Normal"/>
    <w:rsid w:val="00E814E3"/>
    <w:pPr>
      <w:ind w:left="283" w:hanging="283"/>
    </w:pPr>
  </w:style>
  <w:style w:type="paragraph" w:styleId="List2">
    <w:name w:val="List 2"/>
    <w:basedOn w:val="Normal"/>
    <w:rsid w:val="00E814E3"/>
    <w:pPr>
      <w:ind w:left="566" w:hanging="283"/>
    </w:pPr>
  </w:style>
  <w:style w:type="paragraph" w:styleId="List3">
    <w:name w:val="List 3"/>
    <w:basedOn w:val="Normal"/>
    <w:rsid w:val="00E814E3"/>
    <w:pPr>
      <w:ind w:left="849" w:hanging="283"/>
    </w:pPr>
  </w:style>
  <w:style w:type="paragraph" w:styleId="List4">
    <w:name w:val="List 4"/>
    <w:basedOn w:val="Normal"/>
    <w:rsid w:val="00E814E3"/>
    <w:pPr>
      <w:ind w:left="1132" w:hanging="283"/>
    </w:pPr>
  </w:style>
  <w:style w:type="paragraph" w:styleId="List5">
    <w:name w:val="List 5"/>
    <w:basedOn w:val="Normal"/>
    <w:rsid w:val="00E814E3"/>
    <w:pPr>
      <w:ind w:left="1415" w:hanging="283"/>
    </w:pPr>
  </w:style>
  <w:style w:type="paragraph" w:styleId="ListBullet">
    <w:name w:val="List Bullet"/>
    <w:basedOn w:val="Normal"/>
    <w:autoRedefine/>
    <w:rsid w:val="00E814E3"/>
    <w:pPr>
      <w:tabs>
        <w:tab w:val="num" w:pos="360"/>
      </w:tabs>
      <w:ind w:left="360" w:hanging="360"/>
    </w:pPr>
  </w:style>
  <w:style w:type="paragraph" w:styleId="ListBullet2">
    <w:name w:val="List Bullet 2"/>
    <w:basedOn w:val="Normal"/>
    <w:autoRedefine/>
    <w:rsid w:val="00E814E3"/>
    <w:pPr>
      <w:tabs>
        <w:tab w:val="num" w:pos="643"/>
      </w:tabs>
      <w:ind w:left="643" w:hanging="360"/>
    </w:pPr>
  </w:style>
  <w:style w:type="paragraph" w:styleId="ListBullet3">
    <w:name w:val="List Bullet 3"/>
    <w:basedOn w:val="Normal"/>
    <w:autoRedefine/>
    <w:rsid w:val="00E814E3"/>
    <w:pPr>
      <w:tabs>
        <w:tab w:val="num" w:pos="926"/>
      </w:tabs>
      <w:ind w:left="926" w:hanging="360"/>
    </w:pPr>
  </w:style>
  <w:style w:type="paragraph" w:styleId="ListBullet4">
    <w:name w:val="List Bullet 4"/>
    <w:basedOn w:val="Normal"/>
    <w:autoRedefine/>
    <w:rsid w:val="00E814E3"/>
    <w:pPr>
      <w:tabs>
        <w:tab w:val="num" w:pos="1209"/>
      </w:tabs>
      <w:ind w:left="1209" w:hanging="360"/>
    </w:pPr>
  </w:style>
  <w:style w:type="paragraph" w:styleId="ListBullet5">
    <w:name w:val="List Bullet 5"/>
    <w:basedOn w:val="Normal"/>
    <w:autoRedefine/>
    <w:rsid w:val="00E814E3"/>
    <w:pPr>
      <w:tabs>
        <w:tab w:val="num" w:pos="1492"/>
      </w:tabs>
      <w:ind w:left="1492" w:hanging="360"/>
    </w:pPr>
  </w:style>
  <w:style w:type="paragraph" w:styleId="ListContinue">
    <w:name w:val="List Continue"/>
    <w:basedOn w:val="Normal"/>
    <w:rsid w:val="00E814E3"/>
    <w:pPr>
      <w:spacing w:after="120"/>
      <w:ind w:left="283"/>
    </w:pPr>
  </w:style>
  <w:style w:type="paragraph" w:styleId="ListContinue2">
    <w:name w:val="List Continue 2"/>
    <w:basedOn w:val="Normal"/>
    <w:rsid w:val="00E814E3"/>
    <w:pPr>
      <w:spacing w:after="120"/>
      <w:ind w:left="566"/>
    </w:pPr>
  </w:style>
  <w:style w:type="paragraph" w:styleId="ListContinue3">
    <w:name w:val="List Continue 3"/>
    <w:basedOn w:val="Normal"/>
    <w:rsid w:val="00E814E3"/>
    <w:pPr>
      <w:spacing w:after="120"/>
      <w:ind w:left="849"/>
    </w:pPr>
  </w:style>
  <w:style w:type="paragraph" w:styleId="ListContinue4">
    <w:name w:val="List Continue 4"/>
    <w:basedOn w:val="Normal"/>
    <w:rsid w:val="00E814E3"/>
    <w:pPr>
      <w:spacing w:after="120"/>
      <w:ind w:left="1132"/>
    </w:pPr>
  </w:style>
  <w:style w:type="paragraph" w:styleId="ListContinue5">
    <w:name w:val="List Continue 5"/>
    <w:basedOn w:val="Normal"/>
    <w:rsid w:val="00E814E3"/>
    <w:pPr>
      <w:spacing w:after="120"/>
      <w:ind w:left="1415"/>
    </w:pPr>
  </w:style>
  <w:style w:type="paragraph" w:styleId="ListNumber">
    <w:name w:val="List Number"/>
    <w:basedOn w:val="Normal"/>
    <w:rsid w:val="00E814E3"/>
    <w:pPr>
      <w:tabs>
        <w:tab w:val="num" w:pos="360"/>
      </w:tabs>
      <w:ind w:left="360" w:hanging="360"/>
    </w:pPr>
  </w:style>
  <w:style w:type="paragraph" w:styleId="ListNumber2">
    <w:name w:val="List Number 2"/>
    <w:basedOn w:val="Normal"/>
    <w:rsid w:val="00E814E3"/>
    <w:pPr>
      <w:tabs>
        <w:tab w:val="num" w:pos="643"/>
      </w:tabs>
      <w:ind w:left="643" w:hanging="360"/>
    </w:pPr>
  </w:style>
  <w:style w:type="paragraph" w:styleId="ListNumber3">
    <w:name w:val="List Number 3"/>
    <w:basedOn w:val="Normal"/>
    <w:rsid w:val="00E814E3"/>
    <w:pPr>
      <w:tabs>
        <w:tab w:val="num" w:pos="926"/>
      </w:tabs>
      <w:ind w:left="926" w:hanging="360"/>
    </w:pPr>
  </w:style>
  <w:style w:type="paragraph" w:styleId="ListNumber4">
    <w:name w:val="List Number 4"/>
    <w:basedOn w:val="Normal"/>
    <w:rsid w:val="00E814E3"/>
    <w:pPr>
      <w:tabs>
        <w:tab w:val="num" w:pos="1209"/>
      </w:tabs>
      <w:ind w:left="1209" w:hanging="360"/>
    </w:pPr>
  </w:style>
  <w:style w:type="paragraph" w:styleId="ListNumber5">
    <w:name w:val="List Number 5"/>
    <w:basedOn w:val="Normal"/>
    <w:rsid w:val="00E814E3"/>
    <w:pPr>
      <w:tabs>
        <w:tab w:val="num" w:pos="1492"/>
      </w:tabs>
      <w:ind w:left="1492" w:hanging="360"/>
    </w:pPr>
  </w:style>
  <w:style w:type="paragraph" w:styleId="MessageHeader">
    <w:name w:val="Message Header"/>
    <w:basedOn w:val="Normal"/>
    <w:rsid w:val="00E814E3"/>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rsid w:val="00E814E3"/>
  </w:style>
  <w:style w:type="paragraph" w:styleId="NormalIndent">
    <w:name w:val="Normal Indent"/>
    <w:basedOn w:val="Normal"/>
    <w:rsid w:val="00E814E3"/>
    <w:pPr>
      <w:ind w:left="720"/>
    </w:pPr>
  </w:style>
  <w:style w:type="character" w:styleId="PageNumber">
    <w:name w:val="page number"/>
    <w:basedOn w:val="DefaultParagraphFont"/>
    <w:rsid w:val="00FF58B1"/>
  </w:style>
  <w:style w:type="paragraph" w:styleId="PlainText">
    <w:name w:val="Plain Text"/>
    <w:basedOn w:val="Normal"/>
    <w:rsid w:val="00E814E3"/>
    <w:rPr>
      <w:rFonts w:ascii="Courier New" w:hAnsi="Courier New" w:cs="Courier New"/>
      <w:sz w:val="20"/>
    </w:rPr>
  </w:style>
  <w:style w:type="paragraph" w:styleId="Salutation">
    <w:name w:val="Salutation"/>
    <w:basedOn w:val="Normal"/>
    <w:next w:val="Normal"/>
    <w:rsid w:val="00E814E3"/>
  </w:style>
  <w:style w:type="paragraph" w:styleId="Signature">
    <w:name w:val="Signature"/>
    <w:basedOn w:val="Normal"/>
    <w:rsid w:val="00E814E3"/>
    <w:pPr>
      <w:ind w:left="4252"/>
    </w:pPr>
  </w:style>
  <w:style w:type="character" w:styleId="Strong">
    <w:name w:val="Strong"/>
    <w:basedOn w:val="DefaultParagraphFont"/>
    <w:qFormat/>
    <w:rsid w:val="00E814E3"/>
    <w:rPr>
      <w:b/>
      <w:bCs/>
    </w:rPr>
  </w:style>
  <w:style w:type="paragraph" w:styleId="Subtitle">
    <w:name w:val="Subtitle"/>
    <w:basedOn w:val="Normal"/>
    <w:qFormat/>
    <w:rsid w:val="00E814E3"/>
    <w:pPr>
      <w:spacing w:after="60"/>
      <w:jc w:val="center"/>
      <w:outlineLvl w:val="1"/>
    </w:pPr>
    <w:rPr>
      <w:rFonts w:ascii="Arial" w:hAnsi="Arial" w:cs="Arial"/>
    </w:rPr>
  </w:style>
  <w:style w:type="table" w:styleId="Table3Deffects1">
    <w:name w:val="Table 3D effects 1"/>
    <w:basedOn w:val="TableNormal"/>
    <w:rsid w:val="00E814E3"/>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E814E3"/>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E814E3"/>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E814E3"/>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814E3"/>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E814E3"/>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E814E3"/>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E814E3"/>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E814E3"/>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E814E3"/>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E814E3"/>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E814E3"/>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E814E3"/>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E814E3"/>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E814E3"/>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E814E3"/>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E814E3"/>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1E1652"/>
    <w:rPr>
      <w:rFonts w:eastAsia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rsid w:val="00E814E3"/>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E814E3"/>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E814E3"/>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E814E3"/>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E814E3"/>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E814E3"/>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E814E3"/>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E814E3"/>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E814E3"/>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E814E3"/>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E814E3"/>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E814E3"/>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E814E3"/>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E814E3"/>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E814E3"/>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E814E3"/>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E814E3"/>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E814E3"/>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E814E3"/>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E814E3"/>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E814E3"/>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E814E3"/>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E814E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rsid w:val="00E814E3"/>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E814E3"/>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E814E3"/>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qFormat/>
    <w:rsid w:val="00E814E3"/>
    <w:pPr>
      <w:spacing w:before="480"/>
    </w:pPr>
    <w:rPr>
      <w:rFonts w:ascii="Arial" w:hAnsi="Arial" w:cs="Arial"/>
      <w:b/>
      <w:bCs/>
      <w:sz w:val="40"/>
      <w:szCs w:val="40"/>
    </w:rPr>
  </w:style>
  <w:style w:type="paragraph" w:styleId="BalloonText">
    <w:name w:val="Balloon Text"/>
    <w:basedOn w:val="Normal"/>
    <w:link w:val="BalloonTextChar"/>
    <w:uiPriority w:val="99"/>
    <w:unhideWhenUsed/>
    <w:rsid w:val="001E1652"/>
    <w:pPr>
      <w:spacing w:line="240" w:lineRule="auto"/>
    </w:pPr>
    <w:rPr>
      <w:rFonts w:ascii="Tahoma" w:hAnsi="Tahoma" w:cs="Tahoma"/>
      <w:sz w:val="16"/>
      <w:szCs w:val="16"/>
    </w:rPr>
  </w:style>
  <w:style w:type="paragraph" w:styleId="Caption">
    <w:name w:val="caption"/>
    <w:basedOn w:val="Normal"/>
    <w:next w:val="Normal"/>
    <w:qFormat/>
    <w:rsid w:val="00E814E3"/>
    <w:pPr>
      <w:spacing w:before="120" w:after="120"/>
    </w:pPr>
    <w:rPr>
      <w:b/>
      <w:bCs/>
      <w:sz w:val="20"/>
    </w:rPr>
  </w:style>
  <w:style w:type="character" w:customStyle="1" w:styleId="CharAmSchNo">
    <w:name w:val="CharAmSchNo"/>
    <w:basedOn w:val="OPCCharBase"/>
    <w:uiPriority w:val="1"/>
    <w:qFormat/>
    <w:rsid w:val="001E1652"/>
  </w:style>
  <w:style w:type="character" w:customStyle="1" w:styleId="CharAmSchText">
    <w:name w:val="CharAmSchText"/>
    <w:basedOn w:val="OPCCharBase"/>
    <w:uiPriority w:val="1"/>
    <w:qFormat/>
    <w:rsid w:val="001E1652"/>
  </w:style>
  <w:style w:type="character" w:customStyle="1" w:styleId="CharChapNo">
    <w:name w:val="CharChapNo"/>
    <w:basedOn w:val="OPCCharBase"/>
    <w:qFormat/>
    <w:rsid w:val="001E1652"/>
  </w:style>
  <w:style w:type="character" w:customStyle="1" w:styleId="CharChapText">
    <w:name w:val="CharChapText"/>
    <w:basedOn w:val="OPCCharBase"/>
    <w:qFormat/>
    <w:rsid w:val="001E1652"/>
  </w:style>
  <w:style w:type="character" w:customStyle="1" w:styleId="CharDivNo">
    <w:name w:val="CharDivNo"/>
    <w:basedOn w:val="OPCCharBase"/>
    <w:qFormat/>
    <w:rsid w:val="001E1652"/>
  </w:style>
  <w:style w:type="character" w:customStyle="1" w:styleId="CharDivText">
    <w:name w:val="CharDivText"/>
    <w:basedOn w:val="OPCCharBase"/>
    <w:qFormat/>
    <w:rsid w:val="001E1652"/>
  </w:style>
  <w:style w:type="character" w:customStyle="1" w:styleId="CharPartNo">
    <w:name w:val="CharPartNo"/>
    <w:basedOn w:val="OPCCharBase"/>
    <w:qFormat/>
    <w:rsid w:val="001E1652"/>
  </w:style>
  <w:style w:type="character" w:customStyle="1" w:styleId="CharPartText">
    <w:name w:val="CharPartText"/>
    <w:basedOn w:val="OPCCharBase"/>
    <w:qFormat/>
    <w:rsid w:val="001E1652"/>
  </w:style>
  <w:style w:type="character" w:customStyle="1" w:styleId="OPCCharBase">
    <w:name w:val="OPCCharBase"/>
    <w:uiPriority w:val="1"/>
    <w:qFormat/>
    <w:rsid w:val="001E1652"/>
  </w:style>
  <w:style w:type="paragraph" w:customStyle="1" w:styleId="OPCParaBase">
    <w:name w:val="OPCParaBase"/>
    <w:link w:val="OPCParaBaseChar"/>
    <w:qFormat/>
    <w:rsid w:val="001E1652"/>
    <w:pPr>
      <w:spacing w:line="260" w:lineRule="atLeast"/>
    </w:pPr>
    <w:rPr>
      <w:sz w:val="22"/>
    </w:rPr>
  </w:style>
  <w:style w:type="character" w:customStyle="1" w:styleId="CharSectno">
    <w:name w:val="CharSectno"/>
    <w:basedOn w:val="OPCCharBase"/>
    <w:qFormat/>
    <w:rsid w:val="001E1652"/>
  </w:style>
  <w:style w:type="character" w:styleId="CommentReference">
    <w:name w:val="annotation reference"/>
    <w:basedOn w:val="DefaultParagraphFont"/>
    <w:rsid w:val="00E814E3"/>
    <w:rPr>
      <w:sz w:val="16"/>
      <w:szCs w:val="16"/>
    </w:rPr>
  </w:style>
  <w:style w:type="paragraph" w:styleId="CommentText">
    <w:name w:val="annotation text"/>
    <w:basedOn w:val="Normal"/>
    <w:rsid w:val="00E814E3"/>
    <w:rPr>
      <w:sz w:val="20"/>
    </w:rPr>
  </w:style>
  <w:style w:type="paragraph" w:styleId="CommentSubject">
    <w:name w:val="annotation subject"/>
    <w:basedOn w:val="CommentText"/>
    <w:next w:val="CommentText"/>
    <w:rsid w:val="00E814E3"/>
    <w:rPr>
      <w:b/>
      <w:bCs/>
    </w:rPr>
  </w:style>
  <w:style w:type="paragraph" w:styleId="DocumentMap">
    <w:name w:val="Document Map"/>
    <w:basedOn w:val="Normal"/>
    <w:rsid w:val="00E814E3"/>
    <w:pPr>
      <w:shd w:val="clear" w:color="auto" w:fill="000080"/>
    </w:pPr>
    <w:rPr>
      <w:rFonts w:ascii="Tahoma" w:hAnsi="Tahoma" w:cs="Tahoma"/>
    </w:rPr>
  </w:style>
  <w:style w:type="character" w:styleId="EndnoteReference">
    <w:name w:val="endnote reference"/>
    <w:basedOn w:val="DefaultParagraphFont"/>
    <w:rsid w:val="00E814E3"/>
    <w:rPr>
      <w:vertAlign w:val="superscript"/>
    </w:rPr>
  </w:style>
  <w:style w:type="paragraph" w:styleId="EndnoteText">
    <w:name w:val="endnote text"/>
    <w:basedOn w:val="Normal"/>
    <w:rsid w:val="00E814E3"/>
    <w:rPr>
      <w:sz w:val="20"/>
    </w:rPr>
  </w:style>
  <w:style w:type="character" w:styleId="FootnoteReference">
    <w:name w:val="footnote reference"/>
    <w:basedOn w:val="DefaultParagraphFont"/>
    <w:rsid w:val="00E814E3"/>
    <w:rPr>
      <w:rFonts w:ascii="Times New Roman" w:hAnsi="Times New Roman"/>
      <w:sz w:val="20"/>
      <w:vertAlign w:val="superscript"/>
    </w:rPr>
  </w:style>
  <w:style w:type="paragraph" w:styleId="FootnoteText">
    <w:name w:val="footnote text"/>
    <w:basedOn w:val="Normal"/>
    <w:rsid w:val="00E814E3"/>
    <w:rPr>
      <w:sz w:val="20"/>
    </w:rPr>
  </w:style>
  <w:style w:type="paragraph" w:customStyle="1" w:styleId="Formula">
    <w:name w:val="Formula"/>
    <w:basedOn w:val="OPCParaBase"/>
    <w:rsid w:val="001E1652"/>
    <w:pPr>
      <w:spacing w:line="240" w:lineRule="auto"/>
      <w:ind w:left="1134"/>
    </w:pPr>
    <w:rPr>
      <w:sz w:val="20"/>
    </w:rPr>
  </w:style>
  <w:style w:type="paragraph" w:styleId="Index1">
    <w:name w:val="index 1"/>
    <w:basedOn w:val="Normal"/>
    <w:next w:val="Normal"/>
    <w:autoRedefine/>
    <w:rsid w:val="00E814E3"/>
    <w:pPr>
      <w:ind w:left="240" w:hanging="240"/>
    </w:pPr>
  </w:style>
  <w:style w:type="paragraph" w:styleId="Index2">
    <w:name w:val="index 2"/>
    <w:basedOn w:val="Normal"/>
    <w:next w:val="Normal"/>
    <w:autoRedefine/>
    <w:rsid w:val="00E814E3"/>
    <w:pPr>
      <w:ind w:left="480" w:hanging="240"/>
    </w:pPr>
  </w:style>
  <w:style w:type="paragraph" w:styleId="Index3">
    <w:name w:val="index 3"/>
    <w:basedOn w:val="Normal"/>
    <w:next w:val="Normal"/>
    <w:autoRedefine/>
    <w:rsid w:val="00E814E3"/>
    <w:pPr>
      <w:ind w:left="720" w:hanging="240"/>
    </w:pPr>
  </w:style>
  <w:style w:type="paragraph" w:styleId="Index4">
    <w:name w:val="index 4"/>
    <w:basedOn w:val="Normal"/>
    <w:next w:val="Normal"/>
    <w:autoRedefine/>
    <w:rsid w:val="00E814E3"/>
    <w:pPr>
      <w:ind w:left="960" w:hanging="240"/>
    </w:pPr>
  </w:style>
  <w:style w:type="paragraph" w:styleId="Index5">
    <w:name w:val="index 5"/>
    <w:basedOn w:val="Normal"/>
    <w:next w:val="Normal"/>
    <w:autoRedefine/>
    <w:rsid w:val="00E814E3"/>
    <w:pPr>
      <w:ind w:left="1200" w:hanging="240"/>
    </w:pPr>
  </w:style>
  <w:style w:type="paragraph" w:styleId="Index6">
    <w:name w:val="index 6"/>
    <w:basedOn w:val="Normal"/>
    <w:next w:val="Normal"/>
    <w:autoRedefine/>
    <w:rsid w:val="00E814E3"/>
    <w:pPr>
      <w:ind w:left="1440" w:hanging="240"/>
    </w:pPr>
  </w:style>
  <w:style w:type="paragraph" w:styleId="Index7">
    <w:name w:val="index 7"/>
    <w:basedOn w:val="Normal"/>
    <w:next w:val="Normal"/>
    <w:autoRedefine/>
    <w:rsid w:val="00E814E3"/>
    <w:pPr>
      <w:ind w:left="1680" w:hanging="240"/>
    </w:pPr>
  </w:style>
  <w:style w:type="paragraph" w:styleId="Index8">
    <w:name w:val="index 8"/>
    <w:basedOn w:val="Normal"/>
    <w:next w:val="Normal"/>
    <w:autoRedefine/>
    <w:rsid w:val="00E814E3"/>
    <w:pPr>
      <w:ind w:left="1920" w:hanging="240"/>
    </w:pPr>
  </w:style>
  <w:style w:type="paragraph" w:styleId="Index9">
    <w:name w:val="index 9"/>
    <w:basedOn w:val="Normal"/>
    <w:next w:val="Normal"/>
    <w:autoRedefine/>
    <w:rsid w:val="00E814E3"/>
    <w:pPr>
      <w:ind w:left="2160" w:hanging="240"/>
    </w:pPr>
  </w:style>
  <w:style w:type="paragraph" w:styleId="IndexHeading">
    <w:name w:val="index heading"/>
    <w:basedOn w:val="Normal"/>
    <w:next w:val="Index1"/>
    <w:rsid w:val="00E814E3"/>
    <w:rPr>
      <w:rFonts w:ascii="Arial" w:hAnsi="Arial" w:cs="Arial"/>
      <w:b/>
      <w:bCs/>
    </w:rPr>
  </w:style>
  <w:style w:type="paragraph" w:styleId="MacroText">
    <w:name w:val="macro"/>
    <w:rsid w:val="00E814E3"/>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paragraph" w:customStyle="1" w:styleId="PageBreak">
    <w:name w:val="PageBreak"/>
    <w:aliases w:val="pb"/>
    <w:basedOn w:val="OPCParaBase"/>
    <w:rsid w:val="001E1652"/>
    <w:pPr>
      <w:spacing w:line="240" w:lineRule="auto"/>
    </w:pPr>
    <w:rPr>
      <w:sz w:val="20"/>
    </w:rPr>
  </w:style>
  <w:style w:type="paragraph" w:customStyle="1" w:styleId="Penalty">
    <w:name w:val="Penalty"/>
    <w:basedOn w:val="OPCParaBase"/>
    <w:rsid w:val="001E1652"/>
    <w:pPr>
      <w:tabs>
        <w:tab w:val="left" w:pos="2977"/>
      </w:tabs>
      <w:spacing w:before="180" w:line="240" w:lineRule="auto"/>
      <w:ind w:left="1985" w:hanging="851"/>
    </w:pPr>
  </w:style>
  <w:style w:type="paragraph" w:customStyle="1" w:styleId="ShortT">
    <w:name w:val="ShortT"/>
    <w:basedOn w:val="OPCParaBase"/>
    <w:next w:val="Normal"/>
    <w:qFormat/>
    <w:rsid w:val="001E1652"/>
    <w:pPr>
      <w:spacing w:line="240" w:lineRule="auto"/>
    </w:pPr>
    <w:rPr>
      <w:b/>
      <w:sz w:val="40"/>
    </w:rPr>
  </w:style>
  <w:style w:type="paragraph" w:customStyle="1" w:styleId="ActHead1">
    <w:name w:val="ActHead 1"/>
    <w:aliases w:val="c"/>
    <w:basedOn w:val="OPCParaBase"/>
    <w:next w:val="Normal"/>
    <w:qFormat/>
    <w:rsid w:val="001E1652"/>
    <w:pPr>
      <w:keepNext/>
      <w:keepLines/>
      <w:spacing w:line="240" w:lineRule="auto"/>
      <w:ind w:left="1134" w:hanging="1134"/>
      <w:outlineLvl w:val="0"/>
    </w:pPr>
    <w:rPr>
      <w:b/>
      <w:kern w:val="28"/>
      <w:sz w:val="36"/>
    </w:rPr>
  </w:style>
  <w:style w:type="paragraph" w:styleId="TableofAuthorities">
    <w:name w:val="table of authorities"/>
    <w:basedOn w:val="Normal"/>
    <w:next w:val="Normal"/>
    <w:rsid w:val="00E814E3"/>
    <w:pPr>
      <w:ind w:left="240" w:hanging="240"/>
    </w:pPr>
  </w:style>
  <w:style w:type="paragraph" w:styleId="TableofFigures">
    <w:name w:val="table of figures"/>
    <w:basedOn w:val="Normal"/>
    <w:next w:val="Normal"/>
    <w:rsid w:val="00E814E3"/>
    <w:pPr>
      <w:ind w:left="480" w:hanging="480"/>
    </w:pPr>
  </w:style>
  <w:style w:type="paragraph" w:customStyle="1" w:styleId="ActHead2">
    <w:name w:val="ActHead 2"/>
    <w:aliases w:val="p"/>
    <w:basedOn w:val="OPCParaBase"/>
    <w:next w:val="ActHead3"/>
    <w:qFormat/>
    <w:rsid w:val="001E1652"/>
    <w:pPr>
      <w:keepNext/>
      <w:keepLines/>
      <w:spacing w:before="280" w:line="240" w:lineRule="auto"/>
      <w:ind w:left="1134" w:hanging="1134"/>
      <w:outlineLvl w:val="1"/>
    </w:pPr>
    <w:rPr>
      <w:b/>
      <w:kern w:val="28"/>
      <w:sz w:val="32"/>
    </w:rPr>
  </w:style>
  <w:style w:type="paragraph" w:styleId="TOAHeading">
    <w:name w:val="toa heading"/>
    <w:basedOn w:val="Normal"/>
    <w:next w:val="Normal"/>
    <w:rsid w:val="00E814E3"/>
    <w:pPr>
      <w:spacing w:before="120"/>
    </w:pPr>
    <w:rPr>
      <w:rFonts w:ascii="Arial" w:hAnsi="Arial" w:cs="Arial"/>
      <w:b/>
      <w:bCs/>
    </w:rPr>
  </w:style>
  <w:style w:type="paragraph" w:styleId="TOC1">
    <w:name w:val="toc 1"/>
    <w:basedOn w:val="OPCParaBase"/>
    <w:next w:val="Normal"/>
    <w:uiPriority w:val="39"/>
    <w:unhideWhenUsed/>
    <w:rsid w:val="001E1652"/>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1E1652"/>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1E1652"/>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unhideWhenUsed/>
    <w:rsid w:val="001E1652"/>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1E1652"/>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unhideWhenUsed/>
    <w:rsid w:val="001E1652"/>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unhideWhenUsed/>
    <w:rsid w:val="001E1652"/>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unhideWhenUsed/>
    <w:rsid w:val="001E1652"/>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1E1652"/>
    <w:pPr>
      <w:keepLines/>
      <w:tabs>
        <w:tab w:val="right" w:pos="8278"/>
      </w:tabs>
      <w:spacing w:before="80" w:line="240" w:lineRule="auto"/>
      <w:ind w:left="851" w:right="567"/>
    </w:pPr>
    <w:rPr>
      <w:i/>
      <w:kern w:val="28"/>
      <w:sz w:val="20"/>
    </w:rPr>
  </w:style>
  <w:style w:type="character" w:customStyle="1" w:styleId="NoteChar">
    <w:name w:val="Note Char"/>
    <w:basedOn w:val="DefaultParagraphFont"/>
    <w:rsid w:val="005A6728"/>
    <w:rPr>
      <w:lang w:val="en-AU" w:eastAsia="x-none"/>
    </w:rPr>
  </w:style>
  <w:style w:type="character" w:customStyle="1" w:styleId="HeaderChar">
    <w:name w:val="Header Char"/>
    <w:basedOn w:val="DefaultParagraphFont"/>
    <w:link w:val="Header"/>
    <w:rsid w:val="001E1652"/>
    <w:rPr>
      <w:sz w:val="16"/>
    </w:rPr>
  </w:style>
  <w:style w:type="character" w:customStyle="1" w:styleId="BodyTextChar">
    <w:name w:val="Body Text Char"/>
    <w:basedOn w:val="DefaultParagraphFont"/>
    <w:link w:val="BodyText"/>
    <w:rsid w:val="008F1D24"/>
    <w:rPr>
      <w:sz w:val="24"/>
      <w:szCs w:val="24"/>
    </w:rPr>
  </w:style>
  <w:style w:type="character" w:customStyle="1" w:styleId="FooterChar">
    <w:name w:val="Footer Char"/>
    <w:basedOn w:val="DefaultParagraphFont"/>
    <w:link w:val="Footer"/>
    <w:rsid w:val="001E1652"/>
    <w:rPr>
      <w:sz w:val="22"/>
      <w:szCs w:val="24"/>
    </w:rPr>
  </w:style>
  <w:style w:type="paragraph" w:customStyle="1" w:styleId="ActHead3">
    <w:name w:val="ActHead 3"/>
    <w:aliases w:val="d"/>
    <w:basedOn w:val="OPCParaBase"/>
    <w:next w:val="ActHead4"/>
    <w:qFormat/>
    <w:rsid w:val="001E1652"/>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1E1652"/>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1E1652"/>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E1652"/>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1E1652"/>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1E1652"/>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1E1652"/>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1E1652"/>
  </w:style>
  <w:style w:type="paragraph" w:customStyle="1" w:styleId="Blocks">
    <w:name w:val="Blocks"/>
    <w:aliases w:val="bb"/>
    <w:basedOn w:val="OPCParaBase"/>
    <w:qFormat/>
    <w:rsid w:val="001E1652"/>
    <w:pPr>
      <w:spacing w:line="240" w:lineRule="auto"/>
    </w:pPr>
    <w:rPr>
      <w:sz w:val="24"/>
    </w:rPr>
  </w:style>
  <w:style w:type="paragraph" w:customStyle="1" w:styleId="BoxText">
    <w:name w:val="BoxText"/>
    <w:aliases w:val="bt"/>
    <w:basedOn w:val="OPCParaBase"/>
    <w:qFormat/>
    <w:rsid w:val="001E1652"/>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1E1652"/>
    <w:rPr>
      <w:b/>
    </w:rPr>
  </w:style>
  <w:style w:type="paragraph" w:customStyle="1" w:styleId="BoxHeadItalic">
    <w:name w:val="BoxHeadItalic"/>
    <w:aliases w:val="bhi"/>
    <w:basedOn w:val="BoxText"/>
    <w:next w:val="BoxStep"/>
    <w:qFormat/>
    <w:rsid w:val="001E1652"/>
    <w:rPr>
      <w:i/>
    </w:rPr>
  </w:style>
  <w:style w:type="paragraph" w:customStyle="1" w:styleId="BoxList">
    <w:name w:val="BoxList"/>
    <w:aliases w:val="bl"/>
    <w:basedOn w:val="BoxText"/>
    <w:qFormat/>
    <w:rsid w:val="001E1652"/>
    <w:pPr>
      <w:ind w:left="1559" w:hanging="425"/>
    </w:pPr>
  </w:style>
  <w:style w:type="paragraph" w:customStyle="1" w:styleId="BoxNote">
    <w:name w:val="BoxNote"/>
    <w:aliases w:val="bn"/>
    <w:basedOn w:val="BoxText"/>
    <w:qFormat/>
    <w:rsid w:val="001E1652"/>
    <w:pPr>
      <w:tabs>
        <w:tab w:val="left" w:pos="1985"/>
      </w:tabs>
      <w:spacing w:before="122" w:line="198" w:lineRule="exact"/>
      <w:ind w:left="2948" w:hanging="1814"/>
    </w:pPr>
    <w:rPr>
      <w:sz w:val="18"/>
    </w:rPr>
  </w:style>
  <w:style w:type="paragraph" w:customStyle="1" w:styleId="BoxPara">
    <w:name w:val="BoxPara"/>
    <w:aliases w:val="bp"/>
    <w:basedOn w:val="BoxText"/>
    <w:qFormat/>
    <w:rsid w:val="001E1652"/>
    <w:pPr>
      <w:tabs>
        <w:tab w:val="right" w:pos="2268"/>
      </w:tabs>
      <w:ind w:left="2552" w:hanging="1418"/>
    </w:pPr>
  </w:style>
  <w:style w:type="paragraph" w:customStyle="1" w:styleId="BoxStep">
    <w:name w:val="BoxStep"/>
    <w:aliases w:val="bs"/>
    <w:basedOn w:val="BoxText"/>
    <w:qFormat/>
    <w:rsid w:val="001E1652"/>
    <w:pPr>
      <w:ind w:left="1985" w:hanging="851"/>
    </w:pPr>
  </w:style>
  <w:style w:type="character" w:customStyle="1" w:styleId="CharAmPartNo">
    <w:name w:val="CharAmPartNo"/>
    <w:basedOn w:val="OPCCharBase"/>
    <w:uiPriority w:val="1"/>
    <w:qFormat/>
    <w:rsid w:val="001E1652"/>
  </w:style>
  <w:style w:type="character" w:customStyle="1" w:styleId="CharAmPartText">
    <w:name w:val="CharAmPartText"/>
    <w:basedOn w:val="OPCCharBase"/>
    <w:uiPriority w:val="1"/>
    <w:qFormat/>
    <w:rsid w:val="001E1652"/>
  </w:style>
  <w:style w:type="character" w:customStyle="1" w:styleId="CharBoldItalic">
    <w:name w:val="CharBoldItalic"/>
    <w:basedOn w:val="OPCCharBase"/>
    <w:uiPriority w:val="1"/>
    <w:qFormat/>
    <w:rsid w:val="001E1652"/>
    <w:rPr>
      <w:b/>
      <w:i/>
    </w:rPr>
  </w:style>
  <w:style w:type="character" w:customStyle="1" w:styleId="CharItalic">
    <w:name w:val="CharItalic"/>
    <w:basedOn w:val="OPCCharBase"/>
    <w:uiPriority w:val="1"/>
    <w:qFormat/>
    <w:rsid w:val="001E1652"/>
    <w:rPr>
      <w:i/>
    </w:rPr>
  </w:style>
  <w:style w:type="character" w:customStyle="1" w:styleId="CharSubdNo">
    <w:name w:val="CharSubdNo"/>
    <w:basedOn w:val="OPCCharBase"/>
    <w:uiPriority w:val="1"/>
    <w:qFormat/>
    <w:rsid w:val="001E1652"/>
  </w:style>
  <w:style w:type="character" w:customStyle="1" w:styleId="CharSubdText">
    <w:name w:val="CharSubdText"/>
    <w:basedOn w:val="OPCCharBase"/>
    <w:uiPriority w:val="1"/>
    <w:qFormat/>
    <w:rsid w:val="001E1652"/>
  </w:style>
  <w:style w:type="paragraph" w:customStyle="1" w:styleId="CTA--">
    <w:name w:val="CTA --"/>
    <w:basedOn w:val="OPCParaBase"/>
    <w:next w:val="Normal"/>
    <w:rsid w:val="001E1652"/>
    <w:pPr>
      <w:spacing w:before="60" w:line="240" w:lineRule="atLeast"/>
      <w:ind w:left="142" w:hanging="142"/>
    </w:pPr>
    <w:rPr>
      <w:sz w:val="20"/>
    </w:rPr>
  </w:style>
  <w:style w:type="paragraph" w:customStyle="1" w:styleId="CTA-">
    <w:name w:val="CTA -"/>
    <w:basedOn w:val="OPCParaBase"/>
    <w:rsid w:val="001E1652"/>
    <w:pPr>
      <w:spacing w:before="60" w:line="240" w:lineRule="atLeast"/>
      <w:ind w:left="85" w:hanging="85"/>
    </w:pPr>
    <w:rPr>
      <w:sz w:val="20"/>
    </w:rPr>
  </w:style>
  <w:style w:type="paragraph" w:customStyle="1" w:styleId="CTA---">
    <w:name w:val="CTA ---"/>
    <w:basedOn w:val="OPCParaBase"/>
    <w:next w:val="Normal"/>
    <w:rsid w:val="001E1652"/>
    <w:pPr>
      <w:spacing w:before="60" w:line="240" w:lineRule="atLeast"/>
      <w:ind w:left="198" w:hanging="198"/>
    </w:pPr>
    <w:rPr>
      <w:sz w:val="20"/>
    </w:rPr>
  </w:style>
  <w:style w:type="paragraph" w:customStyle="1" w:styleId="CTA----">
    <w:name w:val="CTA ----"/>
    <w:basedOn w:val="OPCParaBase"/>
    <w:next w:val="Normal"/>
    <w:rsid w:val="001E1652"/>
    <w:pPr>
      <w:spacing w:before="60" w:line="240" w:lineRule="atLeast"/>
      <w:ind w:left="255" w:hanging="255"/>
    </w:pPr>
    <w:rPr>
      <w:sz w:val="20"/>
    </w:rPr>
  </w:style>
  <w:style w:type="paragraph" w:customStyle="1" w:styleId="CTA1a">
    <w:name w:val="CTA 1(a)"/>
    <w:basedOn w:val="OPCParaBase"/>
    <w:rsid w:val="001E1652"/>
    <w:pPr>
      <w:tabs>
        <w:tab w:val="right" w:pos="414"/>
      </w:tabs>
      <w:spacing w:before="40" w:line="240" w:lineRule="atLeast"/>
      <w:ind w:left="675" w:hanging="675"/>
    </w:pPr>
    <w:rPr>
      <w:sz w:val="20"/>
    </w:rPr>
  </w:style>
  <w:style w:type="paragraph" w:customStyle="1" w:styleId="CTA1ai">
    <w:name w:val="CTA 1(a)(i)"/>
    <w:basedOn w:val="OPCParaBase"/>
    <w:rsid w:val="001E1652"/>
    <w:pPr>
      <w:tabs>
        <w:tab w:val="right" w:pos="1004"/>
      </w:tabs>
      <w:spacing w:before="40" w:line="240" w:lineRule="atLeast"/>
      <w:ind w:left="1253" w:hanging="1253"/>
    </w:pPr>
    <w:rPr>
      <w:sz w:val="20"/>
    </w:rPr>
  </w:style>
  <w:style w:type="paragraph" w:customStyle="1" w:styleId="CTA2a">
    <w:name w:val="CTA 2(a)"/>
    <w:basedOn w:val="OPCParaBase"/>
    <w:rsid w:val="001E1652"/>
    <w:pPr>
      <w:tabs>
        <w:tab w:val="right" w:pos="482"/>
      </w:tabs>
      <w:spacing w:before="40" w:line="240" w:lineRule="atLeast"/>
      <w:ind w:left="748" w:hanging="748"/>
    </w:pPr>
    <w:rPr>
      <w:sz w:val="20"/>
    </w:rPr>
  </w:style>
  <w:style w:type="paragraph" w:customStyle="1" w:styleId="CTA2ai">
    <w:name w:val="CTA 2(a)(i)"/>
    <w:basedOn w:val="OPCParaBase"/>
    <w:rsid w:val="001E1652"/>
    <w:pPr>
      <w:tabs>
        <w:tab w:val="right" w:pos="1089"/>
      </w:tabs>
      <w:spacing w:before="40" w:line="240" w:lineRule="atLeast"/>
      <w:ind w:left="1327" w:hanging="1327"/>
    </w:pPr>
    <w:rPr>
      <w:sz w:val="20"/>
    </w:rPr>
  </w:style>
  <w:style w:type="paragraph" w:customStyle="1" w:styleId="CTA3a">
    <w:name w:val="CTA 3(a)"/>
    <w:basedOn w:val="OPCParaBase"/>
    <w:rsid w:val="001E1652"/>
    <w:pPr>
      <w:tabs>
        <w:tab w:val="right" w:pos="556"/>
      </w:tabs>
      <w:spacing w:before="40" w:line="240" w:lineRule="atLeast"/>
      <w:ind w:left="805" w:hanging="805"/>
    </w:pPr>
    <w:rPr>
      <w:sz w:val="20"/>
    </w:rPr>
  </w:style>
  <w:style w:type="paragraph" w:customStyle="1" w:styleId="CTA3ai">
    <w:name w:val="CTA 3(a)(i)"/>
    <w:basedOn w:val="OPCParaBase"/>
    <w:rsid w:val="001E1652"/>
    <w:pPr>
      <w:tabs>
        <w:tab w:val="right" w:pos="1140"/>
      </w:tabs>
      <w:spacing w:before="40" w:line="240" w:lineRule="atLeast"/>
      <w:ind w:left="1361" w:hanging="1361"/>
    </w:pPr>
    <w:rPr>
      <w:sz w:val="20"/>
    </w:rPr>
  </w:style>
  <w:style w:type="paragraph" w:customStyle="1" w:styleId="CTA4a">
    <w:name w:val="CTA 4(a)"/>
    <w:basedOn w:val="OPCParaBase"/>
    <w:rsid w:val="001E1652"/>
    <w:pPr>
      <w:tabs>
        <w:tab w:val="right" w:pos="624"/>
      </w:tabs>
      <w:spacing w:before="40" w:line="240" w:lineRule="atLeast"/>
      <w:ind w:left="873" w:hanging="873"/>
    </w:pPr>
    <w:rPr>
      <w:sz w:val="20"/>
    </w:rPr>
  </w:style>
  <w:style w:type="paragraph" w:customStyle="1" w:styleId="CTA4ai">
    <w:name w:val="CTA 4(a)(i)"/>
    <w:basedOn w:val="OPCParaBase"/>
    <w:rsid w:val="001E1652"/>
    <w:pPr>
      <w:tabs>
        <w:tab w:val="right" w:pos="1213"/>
      </w:tabs>
      <w:spacing w:before="40" w:line="240" w:lineRule="atLeast"/>
      <w:ind w:left="1452" w:hanging="1452"/>
    </w:pPr>
    <w:rPr>
      <w:sz w:val="20"/>
    </w:rPr>
  </w:style>
  <w:style w:type="paragraph" w:customStyle="1" w:styleId="CTACAPS">
    <w:name w:val="CTA CAPS"/>
    <w:basedOn w:val="OPCParaBase"/>
    <w:rsid w:val="001E1652"/>
    <w:pPr>
      <w:spacing w:before="60" w:line="240" w:lineRule="atLeast"/>
    </w:pPr>
    <w:rPr>
      <w:sz w:val="20"/>
    </w:rPr>
  </w:style>
  <w:style w:type="paragraph" w:customStyle="1" w:styleId="CTAright">
    <w:name w:val="CTA right"/>
    <w:basedOn w:val="OPCParaBase"/>
    <w:rsid w:val="001E1652"/>
    <w:pPr>
      <w:spacing w:before="60" w:line="240" w:lineRule="auto"/>
      <w:jc w:val="right"/>
    </w:pPr>
    <w:rPr>
      <w:sz w:val="20"/>
    </w:rPr>
  </w:style>
  <w:style w:type="paragraph" w:customStyle="1" w:styleId="subsection">
    <w:name w:val="subsection"/>
    <w:aliases w:val="ss"/>
    <w:basedOn w:val="OPCParaBase"/>
    <w:rsid w:val="001E1652"/>
    <w:pPr>
      <w:tabs>
        <w:tab w:val="right" w:pos="1021"/>
      </w:tabs>
      <w:spacing w:before="180" w:line="240" w:lineRule="auto"/>
      <w:ind w:left="1134" w:hanging="1134"/>
    </w:pPr>
  </w:style>
  <w:style w:type="paragraph" w:customStyle="1" w:styleId="Definition">
    <w:name w:val="Definition"/>
    <w:aliases w:val="dd"/>
    <w:basedOn w:val="OPCParaBase"/>
    <w:rsid w:val="001E1652"/>
    <w:pPr>
      <w:spacing w:before="180" w:line="240" w:lineRule="auto"/>
      <w:ind w:left="1134"/>
    </w:pPr>
  </w:style>
  <w:style w:type="paragraph" w:customStyle="1" w:styleId="House">
    <w:name w:val="House"/>
    <w:basedOn w:val="OPCParaBase"/>
    <w:rsid w:val="001E1652"/>
    <w:pPr>
      <w:spacing w:line="240" w:lineRule="auto"/>
    </w:pPr>
    <w:rPr>
      <w:sz w:val="28"/>
    </w:rPr>
  </w:style>
  <w:style w:type="paragraph" w:customStyle="1" w:styleId="Item">
    <w:name w:val="Item"/>
    <w:aliases w:val="i"/>
    <w:basedOn w:val="OPCParaBase"/>
    <w:next w:val="ItemHead"/>
    <w:rsid w:val="001E1652"/>
    <w:pPr>
      <w:keepLines/>
      <w:spacing w:before="80" w:line="240" w:lineRule="auto"/>
      <w:ind w:left="709"/>
    </w:pPr>
  </w:style>
  <w:style w:type="paragraph" w:customStyle="1" w:styleId="ItemHead">
    <w:name w:val="ItemHead"/>
    <w:aliases w:val="ih"/>
    <w:basedOn w:val="OPCParaBase"/>
    <w:next w:val="Item"/>
    <w:rsid w:val="001E1652"/>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1E1652"/>
    <w:pPr>
      <w:spacing w:line="240" w:lineRule="auto"/>
    </w:pPr>
    <w:rPr>
      <w:b/>
      <w:sz w:val="32"/>
    </w:rPr>
  </w:style>
  <w:style w:type="paragraph" w:customStyle="1" w:styleId="notedraft">
    <w:name w:val="note(draft)"/>
    <w:aliases w:val="nd"/>
    <w:basedOn w:val="OPCParaBase"/>
    <w:rsid w:val="001E1652"/>
    <w:pPr>
      <w:spacing w:before="240" w:line="240" w:lineRule="auto"/>
      <w:ind w:left="284" w:hanging="284"/>
    </w:pPr>
    <w:rPr>
      <w:i/>
      <w:sz w:val="24"/>
    </w:rPr>
  </w:style>
  <w:style w:type="paragraph" w:customStyle="1" w:styleId="notemargin">
    <w:name w:val="note(margin)"/>
    <w:aliases w:val="nm"/>
    <w:basedOn w:val="OPCParaBase"/>
    <w:rsid w:val="001E1652"/>
    <w:pPr>
      <w:tabs>
        <w:tab w:val="left" w:pos="709"/>
      </w:tabs>
      <w:spacing w:before="122" w:line="198" w:lineRule="exact"/>
      <w:ind w:left="709" w:hanging="709"/>
    </w:pPr>
    <w:rPr>
      <w:sz w:val="18"/>
    </w:rPr>
  </w:style>
  <w:style w:type="paragraph" w:customStyle="1" w:styleId="notepara">
    <w:name w:val="note(para)"/>
    <w:aliases w:val="na"/>
    <w:basedOn w:val="OPCParaBase"/>
    <w:rsid w:val="001E1652"/>
    <w:pPr>
      <w:spacing w:before="40" w:line="198" w:lineRule="exact"/>
      <w:ind w:left="2354" w:hanging="369"/>
    </w:pPr>
    <w:rPr>
      <w:sz w:val="18"/>
    </w:rPr>
  </w:style>
  <w:style w:type="paragraph" w:customStyle="1" w:styleId="noteParlAmend">
    <w:name w:val="note(ParlAmend)"/>
    <w:aliases w:val="npp"/>
    <w:basedOn w:val="OPCParaBase"/>
    <w:next w:val="ParlAmend"/>
    <w:rsid w:val="001E1652"/>
    <w:pPr>
      <w:spacing w:line="240" w:lineRule="auto"/>
      <w:jc w:val="right"/>
    </w:pPr>
    <w:rPr>
      <w:rFonts w:ascii="Arial" w:hAnsi="Arial"/>
      <w:b/>
      <w:i/>
    </w:rPr>
  </w:style>
  <w:style w:type="paragraph" w:customStyle="1" w:styleId="notetext">
    <w:name w:val="note(text)"/>
    <w:aliases w:val="n"/>
    <w:basedOn w:val="OPCParaBase"/>
    <w:rsid w:val="001E1652"/>
    <w:pPr>
      <w:spacing w:before="122" w:line="198" w:lineRule="exact"/>
      <w:ind w:left="1985" w:hanging="851"/>
    </w:pPr>
    <w:rPr>
      <w:sz w:val="18"/>
    </w:rPr>
  </w:style>
  <w:style w:type="paragraph" w:customStyle="1" w:styleId="Page1">
    <w:name w:val="Page1"/>
    <w:basedOn w:val="OPCParaBase"/>
    <w:rsid w:val="001E1652"/>
    <w:pPr>
      <w:spacing w:before="5600" w:line="240" w:lineRule="auto"/>
    </w:pPr>
    <w:rPr>
      <w:b/>
      <w:sz w:val="32"/>
    </w:rPr>
  </w:style>
  <w:style w:type="paragraph" w:customStyle="1" w:styleId="paragraphsub">
    <w:name w:val="paragraph(sub)"/>
    <w:aliases w:val="aa"/>
    <w:basedOn w:val="OPCParaBase"/>
    <w:rsid w:val="001E1652"/>
    <w:pPr>
      <w:tabs>
        <w:tab w:val="right" w:pos="1985"/>
      </w:tabs>
      <w:spacing w:before="40" w:line="240" w:lineRule="auto"/>
      <w:ind w:left="2098" w:hanging="2098"/>
    </w:pPr>
  </w:style>
  <w:style w:type="paragraph" w:customStyle="1" w:styleId="paragraphsub-sub">
    <w:name w:val="paragraph(sub-sub)"/>
    <w:aliases w:val="aaa"/>
    <w:basedOn w:val="OPCParaBase"/>
    <w:rsid w:val="001E1652"/>
    <w:pPr>
      <w:tabs>
        <w:tab w:val="right" w:pos="2722"/>
      </w:tabs>
      <w:spacing w:before="40" w:line="240" w:lineRule="auto"/>
      <w:ind w:left="2835" w:hanging="2835"/>
    </w:pPr>
  </w:style>
  <w:style w:type="paragraph" w:customStyle="1" w:styleId="paragraph">
    <w:name w:val="paragraph"/>
    <w:aliases w:val="a"/>
    <w:basedOn w:val="OPCParaBase"/>
    <w:rsid w:val="001E1652"/>
    <w:pPr>
      <w:tabs>
        <w:tab w:val="right" w:pos="1531"/>
      </w:tabs>
      <w:spacing w:before="40" w:line="240" w:lineRule="auto"/>
      <w:ind w:left="1644" w:hanging="1644"/>
    </w:pPr>
  </w:style>
  <w:style w:type="paragraph" w:customStyle="1" w:styleId="ParlAmend">
    <w:name w:val="ParlAmend"/>
    <w:aliases w:val="pp"/>
    <w:basedOn w:val="OPCParaBase"/>
    <w:rsid w:val="001E1652"/>
    <w:pPr>
      <w:spacing w:before="240" w:line="240" w:lineRule="atLeast"/>
      <w:ind w:hanging="567"/>
    </w:pPr>
    <w:rPr>
      <w:sz w:val="24"/>
    </w:rPr>
  </w:style>
  <w:style w:type="paragraph" w:customStyle="1" w:styleId="Portfolio">
    <w:name w:val="Portfolio"/>
    <w:basedOn w:val="OPCParaBase"/>
    <w:rsid w:val="001E1652"/>
    <w:pPr>
      <w:spacing w:line="240" w:lineRule="auto"/>
    </w:pPr>
    <w:rPr>
      <w:i/>
      <w:sz w:val="20"/>
    </w:rPr>
  </w:style>
  <w:style w:type="paragraph" w:customStyle="1" w:styleId="Preamble">
    <w:name w:val="Preamble"/>
    <w:basedOn w:val="OPCParaBase"/>
    <w:next w:val="Normal"/>
    <w:rsid w:val="001E1652"/>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1E1652"/>
    <w:pPr>
      <w:spacing w:line="240" w:lineRule="auto"/>
    </w:pPr>
    <w:rPr>
      <w:i/>
      <w:sz w:val="20"/>
    </w:rPr>
  </w:style>
  <w:style w:type="paragraph" w:customStyle="1" w:styleId="Session">
    <w:name w:val="Session"/>
    <w:basedOn w:val="OPCParaBase"/>
    <w:rsid w:val="001E1652"/>
    <w:pPr>
      <w:spacing w:line="240" w:lineRule="auto"/>
    </w:pPr>
    <w:rPr>
      <w:sz w:val="28"/>
    </w:rPr>
  </w:style>
  <w:style w:type="paragraph" w:customStyle="1" w:styleId="Sponsor">
    <w:name w:val="Sponsor"/>
    <w:basedOn w:val="OPCParaBase"/>
    <w:rsid w:val="001E1652"/>
    <w:pPr>
      <w:spacing w:line="240" w:lineRule="auto"/>
    </w:pPr>
    <w:rPr>
      <w:i/>
    </w:rPr>
  </w:style>
  <w:style w:type="paragraph" w:customStyle="1" w:styleId="Subitem">
    <w:name w:val="Subitem"/>
    <w:aliases w:val="iss"/>
    <w:basedOn w:val="OPCParaBase"/>
    <w:rsid w:val="001E1652"/>
    <w:pPr>
      <w:spacing w:before="180" w:line="240" w:lineRule="auto"/>
      <w:ind w:left="709" w:hanging="709"/>
    </w:pPr>
  </w:style>
  <w:style w:type="paragraph" w:customStyle="1" w:styleId="SubitemHead">
    <w:name w:val="SubitemHead"/>
    <w:aliases w:val="issh"/>
    <w:basedOn w:val="OPCParaBase"/>
    <w:rsid w:val="001E1652"/>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1E1652"/>
    <w:pPr>
      <w:spacing w:before="40" w:line="240" w:lineRule="auto"/>
      <w:ind w:left="1134"/>
    </w:pPr>
  </w:style>
  <w:style w:type="paragraph" w:customStyle="1" w:styleId="SubsectionHead">
    <w:name w:val="SubsectionHead"/>
    <w:aliases w:val="ssh"/>
    <w:basedOn w:val="OPCParaBase"/>
    <w:next w:val="subsection"/>
    <w:rsid w:val="001E1652"/>
    <w:pPr>
      <w:keepNext/>
      <w:keepLines/>
      <w:spacing w:before="240" w:line="240" w:lineRule="auto"/>
      <w:ind w:left="1134"/>
    </w:pPr>
    <w:rPr>
      <w:i/>
    </w:rPr>
  </w:style>
  <w:style w:type="paragraph" w:customStyle="1" w:styleId="Tablea">
    <w:name w:val="Table(a)"/>
    <w:aliases w:val="ta"/>
    <w:basedOn w:val="OPCParaBase"/>
    <w:rsid w:val="001E1652"/>
    <w:pPr>
      <w:spacing w:before="60" w:line="240" w:lineRule="auto"/>
      <w:ind w:left="284" w:hanging="284"/>
    </w:pPr>
    <w:rPr>
      <w:sz w:val="20"/>
    </w:rPr>
  </w:style>
  <w:style w:type="paragraph" w:customStyle="1" w:styleId="TableAA">
    <w:name w:val="Table(AA)"/>
    <w:aliases w:val="taaa"/>
    <w:basedOn w:val="OPCParaBase"/>
    <w:rsid w:val="001E1652"/>
    <w:pPr>
      <w:tabs>
        <w:tab w:val="left" w:pos="-6543"/>
        <w:tab w:val="left" w:pos="-6260"/>
      </w:tabs>
      <w:spacing w:line="240" w:lineRule="exact"/>
      <w:ind w:left="1055" w:hanging="284"/>
    </w:pPr>
    <w:rPr>
      <w:sz w:val="20"/>
    </w:rPr>
  </w:style>
  <w:style w:type="paragraph" w:customStyle="1" w:styleId="Tablei">
    <w:name w:val="Table(i)"/>
    <w:aliases w:val="taa"/>
    <w:basedOn w:val="OPCParaBase"/>
    <w:rsid w:val="001E1652"/>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1E1652"/>
    <w:pPr>
      <w:spacing w:before="60" w:line="240" w:lineRule="atLeast"/>
    </w:pPr>
    <w:rPr>
      <w:sz w:val="20"/>
    </w:rPr>
  </w:style>
  <w:style w:type="paragraph" w:customStyle="1" w:styleId="TLPBoxTextnote">
    <w:name w:val="TLPBoxText(note"/>
    <w:aliases w:val="right)"/>
    <w:basedOn w:val="OPCParaBase"/>
    <w:rsid w:val="001E1652"/>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1E1652"/>
    <w:pPr>
      <w:numPr>
        <w:numId w:val="15"/>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1E1652"/>
    <w:pPr>
      <w:spacing w:before="122" w:line="198" w:lineRule="exact"/>
      <w:ind w:left="1985" w:hanging="851"/>
      <w:jc w:val="right"/>
    </w:pPr>
    <w:rPr>
      <w:sz w:val="18"/>
    </w:rPr>
  </w:style>
  <w:style w:type="paragraph" w:customStyle="1" w:styleId="TLPTableBullet">
    <w:name w:val="TLPTableBullet"/>
    <w:aliases w:val="ttb"/>
    <w:basedOn w:val="OPCParaBase"/>
    <w:rsid w:val="001E1652"/>
    <w:pPr>
      <w:spacing w:line="240" w:lineRule="exact"/>
      <w:ind w:left="284" w:hanging="284"/>
    </w:pPr>
    <w:rPr>
      <w:sz w:val="20"/>
    </w:rPr>
  </w:style>
  <w:style w:type="paragraph" w:customStyle="1" w:styleId="TofSectsGroupHeading">
    <w:name w:val="TofSects(GroupHeading)"/>
    <w:basedOn w:val="OPCParaBase"/>
    <w:next w:val="TofSectsSection"/>
    <w:rsid w:val="001E1652"/>
    <w:pPr>
      <w:keepLines/>
      <w:spacing w:before="240" w:after="120" w:line="240" w:lineRule="auto"/>
      <w:ind w:left="794"/>
    </w:pPr>
    <w:rPr>
      <w:b/>
      <w:kern w:val="28"/>
      <w:sz w:val="20"/>
    </w:rPr>
  </w:style>
  <w:style w:type="paragraph" w:customStyle="1" w:styleId="TofSectsHeading">
    <w:name w:val="TofSects(Heading)"/>
    <w:basedOn w:val="OPCParaBase"/>
    <w:rsid w:val="001E1652"/>
    <w:pPr>
      <w:spacing w:before="240" w:after="120" w:line="240" w:lineRule="auto"/>
    </w:pPr>
    <w:rPr>
      <w:b/>
      <w:sz w:val="24"/>
    </w:rPr>
  </w:style>
  <w:style w:type="paragraph" w:customStyle="1" w:styleId="TofSectsSection">
    <w:name w:val="TofSects(Section)"/>
    <w:basedOn w:val="OPCParaBase"/>
    <w:rsid w:val="001E1652"/>
    <w:pPr>
      <w:keepLines/>
      <w:spacing w:before="40" w:line="240" w:lineRule="auto"/>
      <w:ind w:left="1588" w:hanging="794"/>
    </w:pPr>
    <w:rPr>
      <w:kern w:val="28"/>
      <w:sz w:val="18"/>
    </w:rPr>
  </w:style>
  <w:style w:type="paragraph" w:customStyle="1" w:styleId="TofSectsSubdiv">
    <w:name w:val="TofSects(Subdiv)"/>
    <w:basedOn w:val="OPCParaBase"/>
    <w:rsid w:val="001E1652"/>
    <w:pPr>
      <w:keepLines/>
      <w:spacing w:before="80" w:line="240" w:lineRule="auto"/>
      <w:ind w:left="1588" w:hanging="794"/>
    </w:pPr>
    <w:rPr>
      <w:kern w:val="28"/>
    </w:rPr>
  </w:style>
  <w:style w:type="paragraph" w:customStyle="1" w:styleId="WRStyle">
    <w:name w:val="WR Style"/>
    <w:aliases w:val="WR"/>
    <w:basedOn w:val="OPCParaBase"/>
    <w:rsid w:val="001E1652"/>
    <w:pPr>
      <w:spacing w:before="240" w:line="240" w:lineRule="auto"/>
      <w:ind w:left="284" w:hanging="284"/>
    </w:pPr>
    <w:rPr>
      <w:b/>
      <w:i/>
      <w:kern w:val="28"/>
      <w:sz w:val="24"/>
    </w:rPr>
  </w:style>
  <w:style w:type="numbering" w:customStyle="1" w:styleId="OPCBodyList">
    <w:name w:val="OPCBodyList"/>
    <w:uiPriority w:val="99"/>
    <w:rsid w:val="00FF58B1"/>
    <w:pPr>
      <w:numPr>
        <w:numId w:val="17"/>
      </w:numPr>
    </w:pPr>
  </w:style>
  <w:style w:type="paragraph" w:customStyle="1" w:styleId="noteToPara">
    <w:name w:val="noteToPara"/>
    <w:aliases w:val="ntp"/>
    <w:basedOn w:val="OPCParaBase"/>
    <w:rsid w:val="001E1652"/>
    <w:pPr>
      <w:spacing w:before="122" w:line="198" w:lineRule="exact"/>
      <w:ind w:left="2353" w:hanging="709"/>
    </w:pPr>
    <w:rPr>
      <w:sz w:val="18"/>
    </w:rPr>
  </w:style>
  <w:style w:type="character" w:customStyle="1" w:styleId="BalloonTextChar">
    <w:name w:val="Balloon Text Char"/>
    <w:basedOn w:val="DefaultParagraphFont"/>
    <w:link w:val="BalloonText"/>
    <w:uiPriority w:val="99"/>
    <w:rsid w:val="001E1652"/>
    <w:rPr>
      <w:rFonts w:ascii="Tahoma" w:eastAsiaTheme="minorHAnsi" w:hAnsi="Tahoma" w:cs="Tahoma"/>
      <w:sz w:val="16"/>
      <w:szCs w:val="16"/>
      <w:lang w:eastAsia="en-US"/>
    </w:rPr>
  </w:style>
  <w:style w:type="paragraph" w:customStyle="1" w:styleId="EndNotespara">
    <w:name w:val="EndNotes(para)"/>
    <w:aliases w:val="eta"/>
    <w:basedOn w:val="OPCParaBase"/>
    <w:next w:val="EndNotessubpara"/>
    <w:rsid w:val="001E1652"/>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1E1652"/>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1E1652"/>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1E1652"/>
    <w:pPr>
      <w:tabs>
        <w:tab w:val="right" w:pos="1412"/>
      </w:tabs>
      <w:spacing w:before="60" w:line="240" w:lineRule="auto"/>
      <w:ind w:left="1525" w:hanging="1525"/>
    </w:pPr>
    <w:rPr>
      <w:sz w:val="20"/>
    </w:rPr>
  </w:style>
  <w:style w:type="table" w:customStyle="1" w:styleId="CFlag">
    <w:name w:val="CFlag"/>
    <w:basedOn w:val="TableNormal"/>
    <w:uiPriority w:val="99"/>
    <w:rsid w:val="001E1652"/>
    <w:tblPr>
      <w:tblInd w:w="0" w:type="dxa"/>
      <w:tblCellMar>
        <w:top w:w="0" w:type="dxa"/>
        <w:left w:w="108" w:type="dxa"/>
        <w:bottom w:w="0" w:type="dxa"/>
        <w:right w:w="108" w:type="dxa"/>
      </w:tblCellMar>
    </w:tblPr>
  </w:style>
  <w:style w:type="paragraph" w:customStyle="1" w:styleId="InstNo">
    <w:name w:val="InstNo"/>
    <w:basedOn w:val="OPCParaBase"/>
    <w:next w:val="Normal"/>
    <w:rsid w:val="001E1652"/>
    <w:rPr>
      <w:b/>
      <w:sz w:val="28"/>
      <w:szCs w:val="32"/>
    </w:rPr>
  </w:style>
  <w:style w:type="paragraph" w:customStyle="1" w:styleId="LegislationMadeUnder">
    <w:name w:val="LegislationMadeUnder"/>
    <w:basedOn w:val="OPCParaBase"/>
    <w:next w:val="Normal"/>
    <w:rsid w:val="001E1652"/>
    <w:rPr>
      <w:i/>
      <w:sz w:val="32"/>
      <w:szCs w:val="32"/>
    </w:rPr>
  </w:style>
  <w:style w:type="paragraph" w:customStyle="1" w:styleId="SignCoverPageEnd">
    <w:name w:val="SignCoverPageEnd"/>
    <w:basedOn w:val="OPCParaBase"/>
    <w:next w:val="Normal"/>
    <w:rsid w:val="001E1652"/>
    <w:pPr>
      <w:keepNext/>
      <w:pBdr>
        <w:bottom w:val="single" w:sz="4" w:space="12" w:color="auto"/>
      </w:pBdr>
      <w:tabs>
        <w:tab w:val="left" w:pos="3402"/>
      </w:tabs>
      <w:spacing w:line="300" w:lineRule="atLeast"/>
      <w:ind w:right="397"/>
    </w:pPr>
    <w:rPr>
      <w:sz w:val="24"/>
    </w:rPr>
  </w:style>
  <w:style w:type="paragraph" w:customStyle="1" w:styleId="SignCoverPageStart">
    <w:name w:val="SignCoverPageStart"/>
    <w:basedOn w:val="OPCParaBase"/>
    <w:next w:val="Normal"/>
    <w:rsid w:val="001E1652"/>
    <w:pPr>
      <w:pBdr>
        <w:top w:val="single" w:sz="4" w:space="1" w:color="auto"/>
      </w:pBdr>
      <w:spacing w:before="360"/>
      <w:ind w:right="397"/>
      <w:jc w:val="both"/>
    </w:pPr>
  </w:style>
  <w:style w:type="paragraph" w:customStyle="1" w:styleId="NotesHeading2">
    <w:name w:val="NotesHeading 2"/>
    <w:basedOn w:val="OPCParaBase"/>
    <w:next w:val="Normal"/>
    <w:rsid w:val="001E1652"/>
    <w:rPr>
      <w:b/>
      <w:sz w:val="28"/>
      <w:szCs w:val="28"/>
    </w:rPr>
  </w:style>
  <w:style w:type="paragraph" w:customStyle="1" w:styleId="NotesHeading1">
    <w:name w:val="NotesHeading 1"/>
    <w:basedOn w:val="OPCParaBase"/>
    <w:next w:val="Normal"/>
    <w:rsid w:val="001E1652"/>
    <w:pPr>
      <w:outlineLvl w:val="0"/>
    </w:pPr>
    <w:rPr>
      <w:b/>
      <w:sz w:val="28"/>
      <w:szCs w:val="28"/>
    </w:rPr>
  </w:style>
  <w:style w:type="paragraph" w:customStyle="1" w:styleId="CompiledActNo">
    <w:name w:val="CompiledActNo"/>
    <w:basedOn w:val="OPCParaBase"/>
    <w:next w:val="Normal"/>
    <w:rsid w:val="001E1652"/>
    <w:rPr>
      <w:b/>
      <w:sz w:val="24"/>
      <w:szCs w:val="24"/>
    </w:rPr>
  </w:style>
  <w:style w:type="paragraph" w:customStyle="1" w:styleId="ENotesHeading1">
    <w:name w:val="ENotesHeading 1"/>
    <w:aliases w:val="Enh1"/>
    <w:basedOn w:val="OPCParaBase"/>
    <w:next w:val="ENotesHeading2"/>
    <w:rsid w:val="001E1652"/>
    <w:pPr>
      <w:spacing w:before="120"/>
      <w:outlineLvl w:val="0"/>
    </w:pPr>
    <w:rPr>
      <w:b/>
      <w:sz w:val="28"/>
      <w:szCs w:val="28"/>
    </w:rPr>
  </w:style>
  <w:style w:type="paragraph" w:customStyle="1" w:styleId="ENotesHeading2">
    <w:name w:val="ENotesHeading 2"/>
    <w:aliases w:val="Enh2"/>
    <w:basedOn w:val="OPCParaBase"/>
    <w:next w:val="ENotesHeading3"/>
    <w:rsid w:val="001E1652"/>
    <w:pPr>
      <w:spacing w:before="120" w:after="120"/>
      <w:outlineLvl w:val="6"/>
    </w:pPr>
    <w:rPr>
      <w:b/>
      <w:sz w:val="24"/>
      <w:szCs w:val="28"/>
    </w:rPr>
  </w:style>
  <w:style w:type="paragraph" w:customStyle="1" w:styleId="ENotesHeading3">
    <w:name w:val="ENotesHeading 3"/>
    <w:aliases w:val="Enh3"/>
    <w:basedOn w:val="OPCParaBase"/>
    <w:next w:val="Normal"/>
    <w:rsid w:val="001E1652"/>
    <w:pPr>
      <w:spacing w:before="120" w:line="240" w:lineRule="auto"/>
      <w:outlineLvl w:val="7"/>
    </w:pPr>
    <w:rPr>
      <w:b/>
      <w:szCs w:val="24"/>
    </w:rPr>
  </w:style>
  <w:style w:type="paragraph" w:customStyle="1" w:styleId="ENotesText">
    <w:name w:val="ENotesText"/>
    <w:aliases w:val="Ent"/>
    <w:basedOn w:val="OPCParaBase"/>
    <w:next w:val="Normal"/>
    <w:rsid w:val="001E1652"/>
    <w:pPr>
      <w:spacing w:before="120"/>
    </w:pPr>
  </w:style>
  <w:style w:type="paragraph" w:customStyle="1" w:styleId="CompiledMadeUnder">
    <w:name w:val="CompiledMadeUnder"/>
    <w:basedOn w:val="OPCParaBase"/>
    <w:next w:val="Normal"/>
    <w:rsid w:val="001E1652"/>
    <w:rPr>
      <w:i/>
      <w:sz w:val="24"/>
      <w:szCs w:val="24"/>
    </w:rPr>
  </w:style>
  <w:style w:type="paragraph" w:customStyle="1" w:styleId="Paragraphsub-sub-sub">
    <w:name w:val="Paragraph(sub-sub-sub)"/>
    <w:aliases w:val="aaaa"/>
    <w:basedOn w:val="OPCParaBase"/>
    <w:rsid w:val="001E1652"/>
    <w:pPr>
      <w:tabs>
        <w:tab w:val="right" w:pos="3402"/>
      </w:tabs>
      <w:spacing w:before="40" w:line="240" w:lineRule="auto"/>
      <w:ind w:left="3402" w:hanging="3402"/>
    </w:pPr>
  </w:style>
  <w:style w:type="paragraph" w:customStyle="1" w:styleId="TableTextEndNotes">
    <w:name w:val="TableTextEndNotes"/>
    <w:aliases w:val="Tten"/>
    <w:basedOn w:val="Normal"/>
    <w:rsid w:val="001E1652"/>
    <w:pPr>
      <w:spacing w:before="60" w:line="240" w:lineRule="auto"/>
    </w:pPr>
    <w:rPr>
      <w:rFonts w:cs="Arial"/>
      <w:sz w:val="20"/>
      <w:szCs w:val="22"/>
    </w:rPr>
  </w:style>
  <w:style w:type="paragraph" w:customStyle="1" w:styleId="SubPartCASA">
    <w:name w:val="SubPart(CASA)"/>
    <w:aliases w:val="csp"/>
    <w:basedOn w:val="OPCParaBase"/>
    <w:next w:val="ActHead3"/>
    <w:rsid w:val="001E1652"/>
    <w:pPr>
      <w:keepNext/>
      <w:keepLines/>
      <w:spacing w:before="280"/>
      <w:outlineLvl w:val="1"/>
    </w:pPr>
    <w:rPr>
      <w:b/>
      <w:kern w:val="28"/>
      <w:sz w:val="32"/>
    </w:rPr>
  </w:style>
  <w:style w:type="character" w:styleId="PlaceholderText">
    <w:name w:val="Placeholder Text"/>
    <w:basedOn w:val="DefaultParagraphFont"/>
    <w:uiPriority w:val="99"/>
    <w:semiHidden/>
    <w:rsid w:val="00C54F50"/>
    <w:rPr>
      <w:color w:val="808080"/>
    </w:rPr>
  </w:style>
  <w:style w:type="paragraph" w:customStyle="1" w:styleId="TableHeading">
    <w:name w:val="TableHeading"/>
    <w:aliases w:val="th"/>
    <w:basedOn w:val="OPCParaBase"/>
    <w:next w:val="Tabletext"/>
    <w:rsid w:val="001E1652"/>
    <w:pPr>
      <w:spacing w:before="60" w:line="240" w:lineRule="atLeast"/>
    </w:pPr>
    <w:rPr>
      <w:b/>
      <w:sz w:val="20"/>
    </w:rPr>
  </w:style>
  <w:style w:type="paragraph" w:customStyle="1" w:styleId="Specials">
    <w:name w:val="Special s"/>
    <w:basedOn w:val="ActHead5"/>
    <w:link w:val="SpecialsChar"/>
    <w:rsid w:val="00180385"/>
    <w:pPr>
      <w:outlineLvl w:val="9"/>
    </w:pPr>
  </w:style>
  <w:style w:type="character" w:customStyle="1" w:styleId="OPCParaBaseChar">
    <w:name w:val="OPCParaBase Char"/>
    <w:link w:val="OPCParaBase"/>
    <w:rsid w:val="00180385"/>
    <w:rPr>
      <w:sz w:val="22"/>
    </w:rPr>
  </w:style>
  <w:style w:type="character" w:customStyle="1" w:styleId="ActHead5Char">
    <w:name w:val="ActHead 5 Char"/>
    <w:aliases w:val="s Char"/>
    <w:link w:val="ActHead5"/>
    <w:rsid w:val="00180385"/>
    <w:rPr>
      <w:b/>
      <w:kern w:val="28"/>
      <w:sz w:val="24"/>
    </w:rPr>
  </w:style>
  <w:style w:type="character" w:customStyle="1" w:styleId="SpecialsChar">
    <w:name w:val="Special s Char"/>
    <w:link w:val="Specials"/>
    <w:rsid w:val="00180385"/>
    <w:rPr>
      <w:b/>
      <w:kern w:val="28"/>
      <w:sz w:val="24"/>
    </w:rPr>
  </w:style>
  <w:style w:type="numbering" w:customStyle="1" w:styleId="OPCBodyList1">
    <w:name w:val="OPCBodyList1"/>
    <w:uiPriority w:val="99"/>
    <w:rsid w:val="001803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9173509">
      <w:bodyDiv w:val="1"/>
      <w:marLeft w:val="0"/>
      <w:marRight w:val="0"/>
      <w:marTop w:val="0"/>
      <w:marBottom w:val="0"/>
      <w:divBdr>
        <w:top w:val="none" w:sz="0" w:space="0" w:color="auto"/>
        <w:left w:val="none" w:sz="0" w:space="0" w:color="auto"/>
        <w:bottom w:val="none" w:sz="0" w:space="0" w:color="auto"/>
        <w:right w:val="none" w:sz="0" w:space="0" w:color="auto"/>
      </w:divBdr>
      <w:divsChild>
        <w:div w:id="2070374746">
          <w:marLeft w:val="0"/>
          <w:marRight w:val="0"/>
          <w:marTop w:val="0"/>
          <w:marBottom w:val="0"/>
          <w:divBdr>
            <w:top w:val="none" w:sz="0" w:space="0" w:color="auto"/>
            <w:left w:val="none" w:sz="0" w:space="0" w:color="auto"/>
            <w:bottom w:val="none" w:sz="0" w:space="0" w:color="auto"/>
            <w:right w:val="none" w:sz="0" w:space="0" w:color="auto"/>
          </w:divBdr>
          <w:divsChild>
            <w:div w:id="1571575313">
              <w:marLeft w:val="0"/>
              <w:marRight w:val="0"/>
              <w:marTop w:val="0"/>
              <w:marBottom w:val="0"/>
              <w:divBdr>
                <w:top w:val="none" w:sz="0" w:space="0" w:color="auto"/>
                <w:left w:val="none" w:sz="0" w:space="0" w:color="auto"/>
                <w:bottom w:val="none" w:sz="0" w:space="0" w:color="auto"/>
                <w:right w:val="none" w:sz="0" w:space="0" w:color="auto"/>
              </w:divBdr>
              <w:divsChild>
                <w:div w:id="1604801571">
                  <w:marLeft w:val="15"/>
                  <w:marRight w:val="15"/>
                  <w:marTop w:val="0"/>
                  <w:marBottom w:val="0"/>
                  <w:divBdr>
                    <w:top w:val="single" w:sz="6" w:space="0" w:color="FFFFFF"/>
                    <w:left w:val="single" w:sz="6" w:space="0" w:color="FFFFFF"/>
                    <w:bottom w:val="single" w:sz="6" w:space="11" w:color="FFFFFF"/>
                    <w:right w:val="single" w:sz="6" w:space="0" w:color="FFFFFF"/>
                  </w:divBdr>
                  <w:divsChild>
                    <w:div w:id="186144049">
                      <w:marLeft w:val="297"/>
                      <w:marRight w:val="297"/>
                      <w:marTop w:val="297"/>
                      <w:marBottom w:val="0"/>
                      <w:divBdr>
                        <w:top w:val="none" w:sz="0" w:space="0" w:color="auto"/>
                        <w:left w:val="none" w:sz="0" w:space="0" w:color="auto"/>
                        <w:bottom w:val="none" w:sz="0" w:space="0" w:color="auto"/>
                        <w:right w:val="none" w:sz="0" w:space="0" w:color="auto"/>
                      </w:divBdr>
                    </w:div>
                  </w:divsChild>
                </w:div>
              </w:divsChild>
            </w:div>
          </w:divsChild>
        </w:div>
      </w:divsChild>
    </w:div>
    <w:div w:id="1348866579">
      <w:bodyDiv w:val="1"/>
      <w:marLeft w:val="0"/>
      <w:marRight w:val="0"/>
      <w:marTop w:val="0"/>
      <w:marBottom w:val="0"/>
      <w:divBdr>
        <w:top w:val="none" w:sz="0" w:space="0" w:color="auto"/>
        <w:left w:val="none" w:sz="0" w:space="0" w:color="auto"/>
        <w:bottom w:val="none" w:sz="0" w:space="0" w:color="auto"/>
        <w:right w:val="none" w:sz="0" w:space="0" w:color="auto"/>
      </w:divBdr>
      <w:divsChild>
        <w:div w:id="543521192">
          <w:marLeft w:val="0"/>
          <w:marRight w:val="0"/>
          <w:marTop w:val="0"/>
          <w:marBottom w:val="0"/>
          <w:divBdr>
            <w:top w:val="none" w:sz="0" w:space="0" w:color="auto"/>
            <w:left w:val="none" w:sz="0" w:space="0" w:color="auto"/>
            <w:bottom w:val="none" w:sz="0" w:space="0" w:color="auto"/>
            <w:right w:val="none" w:sz="0" w:space="0" w:color="auto"/>
          </w:divBdr>
          <w:divsChild>
            <w:div w:id="2043506600">
              <w:marLeft w:val="0"/>
              <w:marRight w:val="0"/>
              <w:marTop w:val="0"/>
              <w:marBottom w:val="0"/>
              <w:divBdr>
                <w:top w:val="none" w:sz="0" w:space="0" w:color="auto"/>
                <w:left w:val="none" w:sz="0" w:space="0" w:color="auto"/>
                <w:bottom w:val="none" w:sz="0" w:space="0" w:color="auto"/>
                <w:right w:val="none" w:sz="0" w:space="0" w:color="auto"/>
              </w:divBdr>
              <w:divsChild>
                <w:div w:id="813058443">
                  <w:marLeft w:val="15"/>
                  <w:marRight w:val="15"/>
                  <w:marTop w:val="0"/>
                  <w:marBottom w:val="0"/>
                  <w:divBdr>
                    <w:top w:val="single" w:sz="6" w:space="0" w:color="FFFFFF"/>
                    <w:left w:val="single" w:sz="6" w:space="0" w:color="FFFFFF"/>
                    <w:bottom w:val="single" w:sz="6" w:space="11" w:color="FFFFFF"/>
                    <w:right w:val="single" w:sz="6" w:space="0" w:color="FFFFFF"/>
                  </w:divBdr>
                  <w:divsChild>
                    <w:div w:id="1060783297">
                      <w:marLeft w:val="297"/>
                      <w:marRight w:val="297"/>
                      <w:marTop w:val="297"/>
                      <w:marBottom w:val="0"/>
                      <w:divBdr>
                        <w:top w:val="none" w:sz="0" w:space="0" w:color="auto"/>
                        <w:left w:val="none" w:sz="0" w:space="0" w:color="auto"/>
                        <w:bottom w:val="none" w:sz="0" w:space="0" w:color="auto"/>
                        <w:right w:val="none" w:sz="0" w:space="0" w:color="auto"/>
                      </w:divBdr>
                    </w:div>
                  </w:divsChild>
                </w:div>
              </w:divsChild>
            </w:div>
          </w:divsChild>
        </w:div>
      </w:divsChild>
    </w:div>
    <w:div w:id="1500268343">
      <w:bodyDiv w:val="1"/>
      <w:marLeft w:val="0"/>
      <w:marRight w:val="0"/>
      <w:marTop w:val="0"/>
      <w:marBottom w:val="0"/>
      <w:divBdr>
        <w:top w:val="none" w:sz="0" w:space="0" w:color="auto"/>
        <w:left w:val="none" w:sz="0" w:space="0" w:color="auto"/>
        <w:bottom w:val="none" w:sz="0" w:space="0" w:color="auto"/>
        <w:right w:val="none" w:sz="0" w:space="0" w:color="auto"/>
      </w:divBdr>
      <w:divsChild>
        <w:div w:id="742139932">
          <w:marLeft w:val="0"/>
          <w:marRight w:val="0"/>
          <w:marTop w:val="0"/>
          <w:marBottom w:val="0"/>
          <w:divBdr>
            <w:top w:val="none" w:sz="0" w:space="0" w:color="auto"/>
            <w:left w:val="none" w:sz="0" w:space="0" w:color="auto"/>
            <w:bottom w:val="none" w:sz="0" w:space="0" w:color="auto"/>
            <w:right w:val="none" w:sz="0" w:space="0" w:color="auto"/>
          </w:divBdr>
          <w:divsChild>
            <w:div w:id="1568959130">
              <w:marLeft w:val="0"/>
              <w:marRight w:val="0"/>
              <w:marTop w:val="0"/>
              <w:marBottom w:val="0"/>
              <w:divBdr>
                <w:top w:val="none" w:sz="0" w:space="0" w:color="auto"/>
                <w:left w:val="none" w:sz="0" w:space="0" w:color="auto"/>
                <w:bottom w:val="none" w:sz="0" w:space="0" w:color="auto"/>
                <w:right w:val="none" w:sz="0" w:space="0" w:color="auto"/>
              </w:divBdr>
              <w:divsChild>
                <w:div w:id="723528733">
                  <w:marLeft w:val="0"/>
                  <w:marRight w:val="0"/>
                  <w:marTop w:val="0"/>
                  <w:marBottom w:val="0"/>
                  <w:divBdr>
                    <w:top w:val="none" w:sz="0" w:space="0" w:color="auto"/>
                    <w:left w:val="none" w:sz="0" w:space="0" w:color="auto"/>
                    <w:bottom w:val="none" w:sz="0" w:space="0" w:color="auto"/>
                    <w:right w:val="none" w:sz="0" w:space="0" w:color="auto"/>
                  </w:divBdr>
                  <w:divsChild>
                    <w:div w:id="546995950">
                      <w:marLeft w:val="0"/>
                      <w:marRight w:val="0"/>
                      <w:marTop w:val="0"/>
                      <w:marBottom w:val="0"/>
                      <w:divBdr>
                        <w:top w:val="none" w:sz="0" w:space="0" w:color="auto"/>
                        <w:left w:val="none" w:sz="0" w:space="0" w:color="auto"/>
                        <w:bottom w:val="none" w:sz="0" w:space="0" w:color="auto"/>
                        <w:right w:val="none" w:sz="0" w:space="0" w:color="auto"/>
                      </w:divBdr>
                      <w:divsChild>
                        <w:div w:id="394621213">
                          <w:marLeft w:val="0"/>
                          <w:marRight w:val="0"/>
                          <w:marTop w:val="0"/>
                          <w:marBottom w:val="0"/>
                          <w:divBdr>
                            <w:top w:val="none" w:sz="0" w:space="0" w:color="auto"/>
                            <w:left w:val="none" w:sz="0" w:space="0" w:color="auto"/>
                            <w:bottom w:val="none" w:sz="0" w:space="0" w:color="auto"/>
                            <w:right w:val="none" w:sz="0" w:space="0" w:color="auto"/>
                          </w:divBdr>
                          <w:divsChild>
                            <w:div w:id="432553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9453040">
      <w:bodyDiv w:val="1"/>
      <w:marLeft w:val="0"/>
      <w:marRight w:val="0"/>
      <w:marTop w:val="0"/>
      <w:marBottom w:val="0"/>
      <w:divBdr>
        <w:top w:val="none" w:sz="0" w:space="0" w:color="auto"/>
        <w:left w:val="none" w:sz="0" w:space="0" w:color="auto"/>
        <w:bottom w:val="none" w:sz="0" w:space="0" w:color="auto"/>
        <w:right w:val="none" w:sz="0" w:space="0" w:color="auto"/>
      </w:divBdr>
      <w:divsChild>
        <w:div w:id="655305671">
          <w:marLeft w:val="0"/>
          <w:marRight w:val="0"/>
          <w:marTop w:val="0"/>
          <w:marBottom w:val="0"/>
          <w:divBdr>
            <w:top w:val="none" w:sz="0" w:space="0" w:color="auto"/>
            <w:left w:val="none" w:sz="0" w:space="0" w:color="auto"/>
            <w:bottom w:val="none" w:sz="0" w:space="0" w:color="auto"/>
            <w:right w:val="none" w:sz="0" w:space="0" w:color="auto"/>
          </w:divBdr>
          <w:divsChild>
            <w:div w:id="2086341347">
              <w:marLeft w:val="0"/>
              <w:marRight w:val="0"/>
              <w:marTop w:val="0"/>
              <w:marBottom w:val="0"/>
              <w:divBdr>
                <w:top w:val="none" w:sz="0" w:space="0" w:color="auto"/>
                <w:left w:val="none" w:sz="0" w:space="0" w:color="auto"/>
                <w:bottom w:val="none" w:sz="0" w:space="0" w:color="auto"/>
                <w:right w:val="none" w:sz="0" w:space="0" w:color="auto"/>
              </w:divBdr>
              <w:divsChild>
                <w:div w:id="1335376933">
                  <w:marLeft w:val="0"/>
                  <w:marRight w:val="0"/>
                  <w:marTop w:val="0"/>
                  <w:marBottom w:val="0"/>
                  <w:divBdr>
                    <w:top w:val="none" w:sz="0" w:space="0" w:color="auto"/>
                    <w:left w:val="none" w:sz="0" w:space="0" w:color="auto"/>
                    <w:bottom w:val="none" w:sz="0" w:space="0" w:color="auto"/>
                    <w:right w:val="none" w:sz="0" w:space="0" w:color="auto"/>
                  </w:divBdr>
                  <w:divsChild>
                    <w:div w:id="2125533374">
                      <w:marLeft w:val="0"/>
                      <w:marRight w:val="0"/>
                      <w:marTop w:val="0"/>
                      <w:marBottom w:val="0"/>
                      <w:divBdr>
                        <w:top w:val="none" w:sz="0" w:space="0" w:color="auto"/>
                        <w:left w:val="none" w:sz="0" w:space="0" w:color="auto"/>
                        <w:bottom w:val="none" w:sz="0" w:space="0" w:color="auto"/>
                        <w:right w:val="none" w:sz="0" w:space="0" w:color="auto"/>
                      </w:divBdr>
                      <w:divsChild>
                        <w:div w:id="1838225723">
                          <w:marLeft w:val="0"/>
                          <w:marRight w:val="0"/>
                          <w:marTop w:val="0"/>
                          <w:marBottom w:val="0"/>
                          <w:divBdr>
                            <w:top w:val="none" w:sz="0" w:space="0" w:color="auto"/>
                            <w:left w:val="none" w:sz="0" w:space="0" w:color="auto"/>
                            <w:bottom w:val="none" w:sz="0" w:space="0" w:color="auto"/>
                            <w:right w:val="none" w:sz="0" w:space="0" w:color="auto"/>
                          </w:divBdr>
                          <w:divsChild>
                            <w:div w:id="913704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oleObject" Target="embeddings/oleObject3.bin"/><Relationship Id="rId39" Type="http://schemas.openxmlformats.org/officeDocument/2006/relationships/oleObject" Target="embeddings/oleObject13.bin"/><Relationship Id="rId21" Type="http://schemas.openxmlformats.org/officeDocument/2006/relationships/image" Target="media/image2.wmf"/><Relationship Id="rId34" Type="http://schemas.openxmlformats.org/officeDocument/2006/relationships/image" Target="media/image7.wmf"/><Relationship Id="rId42" Type="http://schemas.openxmlformats.org/officeDocument/2006/relationships/oleObject" Target="embeddings/oleObject16.bin"/><Relationship Id="rId47" Type="http://schemas.openxmlformats.org/officeDocument/2006/relationships/footer" Target="footer6.xml"/><Relationship Id="rId50" Type="http://schemas.openxmlformats.org/officeDocument/2006/relationships/footer" Target="footer8.xml"/><Relationship Id="rId55" Type="http://schemas.openxmlformats.org/officeDocument/2006/relationships/image" Target="media/image10.wmf"/><Relationship Id="rId63" Type="http://schemas.openxmlformats.org/officeDocument/2006/relationships/footer" Target="footer9.xml"/><Relationship Id="rId68"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eader" Target="header4.xml"/><Relationship Id="rId29" Type="http://schemas.openxmlformats.org/officeDocument/2006/relationships/oleObject" Target="embeddings/oleObject5.bin"/><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oleObject" Target="embeddings/oleObject2.bin"/><Relationship Id="rId32" Type="http://schemas.openxmlformats.org/officeDocument/2006/relationships/oleObject" Target="embeddings/oleObject7.bin"/><Relationship Id="rId37" Type="http://schemas.openxmlformats.org/officeDocument/2006/relationships/oleObject" Target="embeddings/oleObject11.bin"/><Relationship Id="rId40" Type="http://schemas.openxmlformats.org/officeDocument/2006/relationships/oleObject" Target="embeddings/oleObject14.bin"/><Relationship Id="rId45" Type="http://schemas.openxmlformats.org/officeDocument/2006/relationships/header" Target="header7.xml"/><Relationship Id="rId53" Type="http://schemas.openxmlformats.org/officeDocument/2006/relationships/image" Target="media/image9.wmf"/><Relationship Id="rId58" Type="http://schemas.openxmlformats.org/officeDocument/2006/relationships/oleObject" Target="embeddings/oleObject22.bin"/><Relationship Id="rId66" Type="http://schemas.openxmlformats.org/officeDocument/2006/relationships/footer" Target="footer1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image" Target="media/image3.wmf"/><Relationship Id="rId28" Type="http://schemas.openxmlformats.org/officeDocument/2006/relationships/oleObject" Target="embeddings/oleObject4.bin"/><Relationship Id="rId36" Type="http://schemas.openxmlformats.org/officeDocument/2006/relationships/oleObject" Target="embeddings/oleObject10.bin"/><Relationship Id="rId49" Type="http://schemas.openxmlformats.org/officeDocument/2006/relationships/header" Target="header9.xml"/><Relationship Id="rId57" Type="http://schemas.openxmlformats.org/officeDocument/2006/relationships/image" Target="media/image11.wmf"/><Relationship Id="rId61" Type="http://schemas.openxmlformats.org/officeDocument/2006/relationships/header" Target="header12.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image" Target="media/image6.wmf"/><Relationship Id="rId44" Type="http://schemas.openxmlformats.org/officeDocument/2006/relationships/oleObject" Target="embeddings/oleObject18.bin"/><Relationship Id="rId52" Type="http://schemas.openxmlformats.org/officeDocument/2006/relationships/oleObject" Target="embeddings/oleObject19.bin"/><Relationship Id="rId60" Type="http://schemas.openxmlformats.org/officeDocument/2006/relationships/header" Target="header11.xml"/><Relationship Id="rId65" Type="http://schemas.openxmlformats.org/officeDocument/2006/relationships/header" Target="header14.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eader" Target="header3.xml"/><Relationship Id="rId22" Type="http://schemas.openxmlformats.org/officeDocument/2006/relationships/oleObject" Target="embeddings/oleObject1.bin"/><Relationship Id="rId27" Type="http://schemas.openxmlformats.org/officeDocument/2006/relationships/image" Target="media/image5.wmf"/><Relationship Id="rId30" Type="http://schemas.openxmlformats.org/officeDocument/2006/relationships/oleObject" Target="embeddings/oleObject6.bin"/><Relationship Id="rId35" Type="http://schemas.openxmlformats.org/officeDocument/2006/relationships/oleObject" Target="embeddings/oleObject9.bin"/><Relationship Id="rId43" Type="http://schemas.openxmlformats.org/officeDocument/2006/relationships/oleObject" Target="embeddings/oleObject17.bin"/><Relationship Id="rId48" Type="http://schemas.openxmlformats.org/officeDocument/2006/relationships/footer" Target="footer7.xml"/><Relationship Id="rId56" Type="http://schemas.openxmlformats.org/officeDocument/2006/relationships/oleObject" Target="embeddings/oleObject21.bin"/><Relationship Id="rId64" Type="http://schemas.openxmlformats.org/officeDocument/2006/relationships/footer" Target="footer10.xml"/><Relationship Id="rId8" Type="http://schemas.openxmlformats.org/officeDocument/2006/relationships/endnotes" Target="endnotes.xml"/><Relationship Id="rId51" Type="http://schemas.openxmlformats.org/officeDocument/2006/relationships/image" Target="media/image8.wmf"/><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image" Target="media/image4.wmf"/><Relationship Id="rId33" Type="http://schemas.openxmlformats.org/officeDocument/2006/relationships/oleObject" Target="embeddings/oleObject8.bin"/><Relationship Id="rId38" Type="http://schemas.openxmlformats.org/officeDocument/2006/relationships/oleObject" Target="embeddings/oleObject12.bin"/><Relationship Id="rId46" Type="http://schemas.openxmlformats.org/officeDocument/2006/relationships/header" Target="header8.xml"/><Relationship Id="rId59" Type="http://schemas.openxmlformats.org/officeDocument/2006/relationships/header" Target="header10.xml"/><Relationship Id="rId67" Type="http://schemas.openxmlformats.org/officeDocument/2006/relationships/fontTable" Target="fontTable.xml"/><Relationship Id="rId20" Type="http://schemas.openxmlformats.org/officeDocument/2006/relationships/header" Target="header6.xml"/><Relationship Id="rId41" Type="http://schemas.openxmlformats.org/officeDocument/2006/relationships/oleObject" Target="embeddings/oleObject15.bin"/><Relationship Id="rId54" Type="http://schemas.openxmlformats.org/officeDocument/2006/relationships/oleObject" Target="embeddings/oleObject20.bin"/><Relationship Id="rId62" Type="http://schemas.openxmlformats.org/officeDocument/2006/relationships/header" Target="header13.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Ins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501394-633C-43E7-A1AD-9B5E9DB7EF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Inst_New.dotx</Template>
  <TotalTime>0</TotalTime>
  <Pages>34</Pages>
  <Words>6418</Words>
  <Characters>32027</Characters>
  <Application>Microsoft Office Word</Application>
  <DocSecurity>0</DocSecurity>
  <PresentationFormat/>
  <Lines>1685</Lines>
  <Paragraphs>1537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36908</CharactersWithSpaces>
  <SharedDoc>false</SharedDoc>
  <HyperlinkBase/>
  <HLinks>
    <vt:vector size="6" baseType="variant">
      <vt:variant>
        <vt:i4>6160468</vt:i4>
      </vt:variant>
      <vt:variant>
        <vt:i4>24</vt:i4>
      </vt:variant>
      <vt:variant>
        <vt:i4>0</vt:i4>
      </vt:variant>
      <vt:variant>
        <vt:i4>5</vt:i4>
      </vt:variant>
      <vt:variant>
        <vt:lpwstr>http://www.comlaw.gov.au/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2012-08-13T02:03:00Z</cp:lastPrinted>
  <dcterms:created xsi:type="dcterms:W3CDTF">2013-03-13T00:54:00Z</dcterms:created>
  <dcterms:modified xsi:type="dcterms:W3CDTF">2013-03-13T00:54:00Z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dexID">
    <vt:lpwstr>1005</vt:lpwstr>
  </property>
  <property fmtid="{D5CDD505-2E9C-101B-9397-08002B2CF9AE}" pid="3" name="IndexMatter">
    <vt:lpwstr>1209318C</vt:lpwstr>
  </property>
  <property fmtid="{D5CDD505-2E9C-101B-9397-08002B2CF9AE}" pid="4" name="Converted">
    <vt:bool>true</vt:bool>
  </property>
  <property fmtid="{D5CDD505-2E9C-101B-9397-08002B2CF9AE}" pid="5" name="Classification">
    <vt:lpwstr> </vt:lpwstr>
  </property>
  <property fmtid="{D5CDD505-2E9C-101B-9397-08002B2CF9AE}" pid="6" name="Header">
    <vt:lpwstr>Section</vt:lpwstr>
  </property>
  <property fmtid="{D5CDD505-2E9C-101B-9397-08002B2CF9AE}" pid="7" name="ActNo">
    <vt:lpwstr/>
  </property>
  <property fmtid="{D5CDD505-2E9C-101B-9397-08002B2CF9AE}" pid="8" name="ShortT">
    <vt:lpwstr>Governor_x001e_General Allowance Order 2013</vt:lpwstr>
  </property>
  <property fmtid="{D5CDD505-2E9C-101B-9397-08002B2CF9AE}" pid="9" name="Class">
    <vt:lpwstr>Order</vt:lpwstr>
  </property>
  <property fmtid="{D5CDD505-2E9C-101B-9397-08002B2CF9AE}" pid="10" name="Type">
    <vt:lpwstr>LI</vt:lpwstr>
  </property>
  <property fmtid="{D5CDD505-2E9C-101B-9397-08002B2CF9AE}" pid="11" name="DocType">
    <vt:lpwstr>NEW</vt:lpwstr>
  </property>
  <property fmtid="{D5CDD505-2E9C-101B-9397-08002B2CF9AE}" pid="12" name="Exco">
    <vt:lpwstr>No</vt:lpwstr>
  </property>
  <property fmtid="{D5CDD505-2E9C-101B-9397-08002B2CF9AE}" pid="13" name="Authority">
    <vt:lpwstr/>
  </property>
  <property fmtid="{D5CDD505-2E9C-101B-9397-08002B2CF9AE}" pid="14" name="ID">
    <vt:lpwstr>OPC50163</vt:lpwstr>
  </property>
  <property fmtid="{D5CDD505-2E9C-101B-9397-08002B2CF9AE}" pid="15" name="DoNotAsk">
    <vt:lpwstr>0</vt:lpwstr>
  </property>
  <property fmtid="{D5CDD505-2E9C-101B-9397-08002B2CF9AE}" pid="16" name="ChangedTitle">
    <vt:lpwstr/>
  </property>
  <property fmtid="{D5CDD505-2E9C-101B-9397-08002B2CF9AE}" pid="17" name="CounterSign">
    <vt:lpwstr>Minister for Finance and Deregulation</vt:lpwstr>
  </property>
  <property fmtid="{D5CDD505-2E9C-101B-9397-08002B2CF9AE}" pid="18" name="DateMade">
    <vt:lpwstr>12 March 2013</vt:lpwstr>
  </property>
</Properties>
</file>