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135499761"/>
    <w:bookmarkEnd w:id="0"/>
    <w:p w:rsidR="00FF32C8" w:rsidRPr="00FF32C8" w:rsidRDefault="00FF32C8" w:rsidP="00FF32C8">
      <w:pPr>
        <w:rPr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32C8">
        <w:rPr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object w:dxaOrig="8289" w:dyaOrig="15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pt;height:63.75pt" o:ole="" fillcolor="window">
            <v:imagedata r:id="rId5" o:title=""/>
          </v:shape>
          <o:OLEObject Type="Embed" ProgID="Word.Picture.8" ShapeID="_x0000_i1025" DrawAspect="Content" ObjectID="_1424069606" r:id="rId6"/>
        </w:object>
      </w:r>
    </w:p>
    <w:p w:rsidR="00FF32C8" w:rsidRPr="00FF32C8" w:rsidRDefault="00FF32C8" w:rsidP="00FF32C8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F32C8" w:rsidRPr="009B58E2" w:rsidRDefault="00FF32C8" w:rsidP="00FF32C8">
      <w:pPr>
        <w:jc w:val="center"/>
        <w:rPr>
          <w:b/>
          <w:sz w:val="28"/>
          <w:szCs w:val="28"/>
        </w:rPr>
      </w:pPr>
      <w:r w:rsidRPr="009B58E2">
        <w:rPr>
          <w:b/>
          <w:sz w:val="28"/>
          <w:szCs w:val="28"/>
        </w:rPr>
        <w:t>DETERMINATION OF FISHING CAPACITY</w:t>
      </w:r>
    </w:p>
    <w:p w:rsidR="00FF32C8" w:rsidRPr="009B58E2" w:rsidRDefault="00FF32C8" w:rsidP="00FF32C8">
      <w:pPr>
        <w:jc w:val="center"/>
        <w:rPr>
          <w:b/>
        </w:rPr>
      </w:pPr>
    </w:p>
    <w:p w:rsidR="00FF32C8" w:rsidRPr="009B58E2" w:rsidRDefault="00FF32C8" w:rsidP="00FF32C8">
      <w:pPr>
        <w:jc w:val="center"/>
        <w:rPr>
          <w:b/>
          <w:i/>
        </w:rPr>
      </w:pPr>
      <w:r w:rsidRPr="009B58E2">
        <w:rPr>
          <w:b/>
          <w:i/>
        </w:rPr>
        <w:t>Fisheries Management Act 1991</w:t>
      </w:r>
    </w:p>
    <w:p w:rsidR="00FF32C8" w:rsidRPr="009B58E2" w:rsidRDefault="00FF32C8" w:rsidP="00FF32C8">
      <w:pPr>
        <w:jc w:val="center"/>
      </w:pPr>
      <w:r>
        <w:t>Subs</w:t>
      </w:r>
      <w:r w:rsidRPr="009B58E2">
        <w:t>ection 17(6</w:t>
      </w:r>
      <w:proofErr w:type="gramStart"/>
      <w:r w:rsidRPr="009B58E2">
        <w:t>)(</w:t>
      </w:r>
      <w:proofErr w:type="spellStart"/>
      <w:proofErr w:type="gramEnd"/>
      <w:r w:rsidRPr="009B58E2">
        <w:t>aa</w:t>
      </w:r>
      <w:proofErr w:type="spellEnd"/>
      <w:r w:rsidRPr="009B58E2">
        <w:t>)</w:t>
      </w:r>
    </w:p>
    <w:p w:rsidR="00FF32C8" w:rsidRPr="009B58E2" w:rsidRDefault="00FF32C8" w:rsidP="00FF32C8">
      <w:pPr>
        <w:jc w:val="center"/>
        <w:rPr>
          <w:b/>
          <w:i/>
        </w:rPr>
      </w:pPr>
      <w:r>
        <w:rPr>
          <w:b/>
          <w:i/>
        </w:rPr>
        <w:t>Western Tuna and Billfish</w:t>
      </w:r>
      <w:r w:rsidRPr="009B58E2">
        <w:rPr>
          <w:b/>
          <w:i/>
        </w:rPr>
        <w:t xml:space="preserve"> Fishery Management Plan </w:t>
      </w:r>
      <w:r>
        <w:rPr>
          <w:b/>
          <w:i/>
        </w:rPr>
        <w:t>2005</w:t>
      </w:r>
    </w:p>
    <w:p w:rsidR="00FF32C8" w:rsidRPr="009B58E2" w:rsidRDefault="00FF32C8" w:rsidP="00FF32C8">
      <w:pPr>
        <w:jc w:val="center"/>
      </w:pPr>
      <w:r>
        <w:t>Subsection 11(1)</w:t>
      </w:r>
    </w:p>
    <w:p w:rsidR="00FF32C8" w:rsidRPr="009B58E2" w:rsidRDefault="00FF32C8" w:rsidP="00FF32C8">
      <w:pPr>
        <w:jc w:val="center"/>
      </w:pPr>
      <w:bookmarkStart w:id="1" w:name="_GoBack"/>
    </w:p>
    <w:bookmarkEnd w:id="1"/>
    <w:p w:rsidR="00FF32C8" w:rsidRPr="00DF2ED8" w:rsidRDefault="00FF32C8" w:rsidP="00FF32C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WESTERN TUNA AND BILLFISH FISHERY OVERCATCH AND UNDERCATCH </w:t>
      </w:r>
      <w:r w:rsidRPr="00DF2ED8">
        <w:rPr>
          <w:b/>
          <w:sz w:val="28"/>
          <w:szCs w:val="28"/>
        </w:rPr>
        <w:t>DETERMINATION</w:t>
      </w:r>
      <w:r>
        <w:rPr>
          <w:b/>
          <w:sz w:val="28"/>
          <w:szCs w:val="28"/>
        </w:rPr>
        <w:t xml:space="preserve"> 2013</w:t>
      </w:r>
    </w:p>
    <w:p w:rsidR="00FF32C8" w:rsidRPr="009B58E2" w:rsidRDefault="00FF32C8" w:rsidP="00FF32C8">
      <w:pPr>
        <w:jc w:val="center"/>
        <w:rPr>
          <w:b/>
          <w:caps/>
          <w:sz w:val="28"/>
          <w:szCs w:val="28"/>
        </w:rPr>
      </w:pPr>
    </w:p>
    <w:p w:rsidR="00FF32C8" w:rsidRPr="009B58E2" w:rsidRDefault="00FF32C8" w:rsidP="00FF32C8">
      <w:pPr>
        <w:tabs>
          <w:tab w:val="left" w:pos="9360"/>
        </w:tabs>
        <w:rPr>
          <w:b/>
          <w:u w:val="single"/>
        </w:rPr>
      </w:pPr>
      <w:r w:rsidRPr="009B58E2">
        <w:rPr>
          <w:b/>
          <w:u w:val="single"/>
        </w:rPr>
        <w:tab/>
      </w:r>
    </w:p>
    <w:p w:rsidR="00FF32C8" w:rsidRPr="009B58E2" w:rsidRDefault="00FF32C8" w:rsidP="00FF32C8">
      <w:pPr>
        <w:tabs>
          <w:tab w:val="left" w:pos="8100"/>
        </w:tabs>
        <w:rPr>
          <w:b/>
          <w:u w:val="single"/>
        </w:rPr>
      </w:pPr>
    </w:p>
    <w:p w:rsidR="00FF32C8" w:rsidRPr="009B58E2" w:rsidRDefault="00FF32C8" w:rsidP="00FF32C8">
      <w:pPr>
        <w:tabs>
          <w:tab w:val="left" w:pos="8100"/>
        </w:tabs>
      </w:pPr>
      <w:r w:rsidRPr="009B58E2">
        <w:t xml:space="preserve">The </w:t>
      </w:r>
      <w:r w:rsidRPr="009B58E2">
        <w:rPr>
          <w:b/>
        </w:rPr>
        <w:t>AUSTRALIAN FISHERIES MANAGEMENT AUTHORITY</w:t>
      </w:r>
      <w:r w:rsidRPr="009B58E2">
        <w:t xml:space="preserve"> makes the following Determination pursuant to </w:t>
      </w:r>
      <w:r>
        <w:t>sub</w:t>
      </w:r>
      <w:r w:rsidRPr="009B58E2">
        <w:t>s</w:t>
      </w:r>
      <w:r>
        <w:t xml:space="preserve">ection </w:t>
      </w:r>
      <w:r w:rsidRPr="009B58E2">
        <w:t>17(6</w:t>
      </w:r>
      <w:proofErr w:type="gramStart"/>
      <w:r w:rsidRPr="009B58E2">
        <w:t>)(</w:t>
      </w:r>
      <w:proofErr w:type="spellStart"/>
      <w:proofErr w:type="gramEnd"/>
      <w:r w:rsidRPr="009B58E2">
        <w:t>aa</w:t>
      </w:r>
      <w:proofErr w:type="spellEnd"/>
      <w:r w:rsidRPr="009B58E2">
        <w:t xml:space="preserve">) of the </w:t>
      </w:r>
      <w:r w:rsidRPr="009B58E2">
        <w:rPr>
          <w:i/>
        </w:rPr>
        <w:t>Fisheries Management Act 1991</w:t>
      </w:r>
      <w:r w:rsidRPr="009B58E2">
        <w:t xml:space="preserve"> </w:t>
      </w:r>
      <w:r>
        <w:t>under subsection 11(1)</w:t>
      </w:r>
      <w:r w:rsidRPr="009B58E2">
        <w:t xml:space="preserve"> of the </w:t>
      </w:r>
      <w:r>
        <w:rPr>
          <w:i/>
        </w:rPr>
        <w:t>Western Tuna and Billfish Fishery Management Plan 2005</w:t>
      </w:r>
      <w:r w:rsidRPr="00C666AB">
        <w:t>.</w:t>
      </w:r>
    </w:p>
    <w:p w:rsidR="00FF32C8" w:rsidRPr="009B58E2" w:rsidRDefault="00FF32C8" w:rsidP="00FF32C8">
      <w:pPr>
        <w:tabs>
          <w:tab w:val="left" w:pos="8100"/>
        </w:tabs>
      </w:pPr>
    </w:p>
    <w:p w:rsidR="00FF32C8" w:rsidRPr="009B58E2" w:rsidRDefault="00FF32C8" w:rsidP="00FF32C8">
      <w:pPr>
        <w:tabs>
          <w:tab w:val="left" w:pos="8100"/>
        </w:tabs>
      </w:pPr>
    </w:p>
    <w:p w:rsidR="00FF32C8" w:rsidRPr="009B58E2" w:rsidRDefault="00FF32C8" w:rsidP="00FF32C8">
      <w:pPr>
        <w:tabs>
          <w:tab w:val="left" w:pos="8100"/>
        </w:tabs>
        <w:rPr>
          <w:b/>
        </w:rPr>
      </w:pPr>
      <w:r w:rsidRPr="009B58E2">
        <w:rPr>
          <w:b/>
        </w:rPr>
        <w:t>Dated:</w:t>
      </w:r>
      <w:r>
        <w:rPr>
          <w:b/>
        </w:rPr>
        <w:t xml:space="preserve">         </w:t>
      </w:r>
      <w:r w:rsidR="00EF044B" w:rsidRPr="00EF044B">
        <w:t>6</w:t>
      </w:r>
      <w:r w:rsidRPr="00EF044B">
        <w:t xml:space="preserve"> </w:t>
      </w:r>
      <w:r w:rsidR="0052132E">
        <w:t>March</w:t>
      </w:r>
      <w:r>
        <w:t xml:space="preserve"> 2013</w:t>
      </w:r>
    </w:p>
    <w:p w:rsidR="00FF32C8" w:rsidRDefault="00FF32C8" w:rsidP="00FF32C8">
      <w:pPr>
        <w:tabs>
          <w:tab w:val="left" w:pos="8100"/>
        </w:tabs>
      </w:pPr>
    </w:p>
    <w:p w:rsidR="00FF32C8" w:rsidRPr="009B58E2" w:rsidRDefault="00FF32C8" w:rsidP="00FF32C8">
      <w:pPr>
        <w:tabs>
          <w:tab w:val="left" w:pos="8100"/>
        </w:tabs>
      </w:pPr>
      <w:r w:rsidRPr="009B58E2">
        <w:t>The Common Seal of the Australian</w:t>
      </w:r>
    </w:p>
    <w:p w:rsidR="00FF32C8" w:rsidRPr="009B58E2" w:rsidRDefault="00FF32C8" w:rsidP="00FF32C8">
      <w:pPr>
        <w:tabs>
          <w:tab w:val="left" w:pos="8100"/>
        </w:tabs>
      </w:pPr>
      <w:r w:rsidRPr="009B58E2">
        <w:t>Fisheries Management Authority</w:t>
      </w:r>
    </w:p>
    <w:p w:rsidR="00FF32C8" w:rsidRPr="009B58E2" w:rsidRDefault="00FF32C8" w:rsidP="00FF32C8">
      <w:pPr>
        <w:tabs>
          <w:tab w:val="left" w:pos="8100"/>
        </w:tabs>
      </w:pPr>
      <w:proofErr w:type="gramStart"/>
      <w:r w:rsidRPr="009B58E2">
        <w:t>was</w:t>
      </w:r>
      <w:proofErr w:type="gramEnd"/>
      <w:r w:rsidRPr="009B58E2">
        <w:t xml:space="preserve"> affixed in accordance with a</w:t>
      </w:r>
    </w:p>
    <w:p w:rsidR="00FF32C8" w:rsidRPr="009B58E2" w:rsidRDefault="00FF32C8" w:rsidP="00FF32C8">
      <w:pPr>
        <w:tabs>
          <w:tab w:val="left" w:pos="8100"/>
        </w:tabs>
      </w:pPr>
      <w:proofErr w:type="gramStart"/>
      <w:r w:rsidRPr="009B58E2">
        <w:t>resolution</w:t>
      </w:r>
      <w:proofErr w:type="gramEnd"/>
      <w:r w:rsidRPr="009B58E2">
        <w:t xml:space="preserve"> of the Commission</w:t>
      </w:r>
    </w:p>
    <w:p w:rsidR="00FF32C8" w:rsidRPr="009B58E2" w:rsidRDefault="00FF32C8" w:rsidP="00FF32C8">
      <w:pPr>
        <w:tabs>
          <w:tab w:val="left" w:pos="8100"/>
        </w:tabs>
      </w:pPr>
    </w:p>
    <w:p w:rsidR="00FF32C8" w:rsidRPr="009B58E2" w:rsidRDefault="00FF32C8" w:rsidP="00FF32C8">
      <w:pPr>
        <w:tabs>
          <w:tab w:val="left" w:pos="8100"/>
        </w:tabs>
      </w:pPr>
    </w:p>
    <w:p w:rsidR="00FF32C8" w:rsidRPr="009B58E2" w:rsidRDefault="00FF32C8" w:rsidP="00FF32C8">
      <w:pPr>
        <w:tabs>
          <w:tab w:val="left" w:pos="8100"/>
        </w:tabs>
      </w:pPr>
    </w:p>
    <w:p w:rsidR="00FF32C8" w:rsidRPr="009B58E2" w:rsidRDefault="00FF32C8" w:rsidP="00FF32C8">
      <w:pPr>
        <w:tabs>
          <w:tab w:val="left" w:pos="8100"/>
        </w:tabs>
        <w:rPr>
          <w:b/>
        </w:rPr>
      </w:pPr>
      <w:r>
        <w:rPr>
          <w:b/>
        </w:rPr>
        <w:t>Ryan Murphy</w:t>
      </w:r>
    </w:p>
    <w:p w:rsidR="00FF32C8" w:rsidRPr="009B58E2" w:rsidRDefault="00FF32C8" w:rsidP="00FF32C8">
      <w:pPr>
        <w:tabs>
          <w:tab w:val="left" w:pos="8100"/>
        </w:tabs>
      </w:pPr>
      <w:r w:rsidRPr="009B58E2">
        <w:t>Executive Secretary</w:t>
      </w:r>
    </w:p>
    <w:p w:rsidR="00FF32C8" w:rsidRPr="009B58E2" w:rsidRDefault="00FF32C8" w:rsidP="00FF32C8">
      <w:pPr>
        <w:tabs>
          <w:tab w:val="left" w:pos="8100"/>
        </w:tabs>
      </w:pPr>
      <w:r w:rsidRPr="009B58E2">
        <w:t>Australian Fisheries Management Authority</w:t>
      </w:r>
    </w:p>
    <w:p w:rsidR="00FF32C8" w:rsidRPr="009B58E2" w:rsidRDefault="00FF32C8" w:rsidP="00FF32C8">
      <w:pPr>
        <w:tabs>
          <w:tab w:val="left" w:pos="9360"/>
        </w:tabs>
        <w:rPr>
          <w:b/>
          <w:u w:val="single"/>
        </w:rPr>
      </w:pPr>
      <w:r w:rsidRPr="009B58E2">
        <w:rPr>
          <w:b/>
          <w:u w:val="single"/>
        </w:rPr>
        <w:tab/>
      </w:r>
    </w:p>
    <w:p w:rsidR="00FF32C8" w:rsidRPr="009B58E2" w:rsidRDefault="00FF32C8" w:rsidP="00FF32C8">
      <w:pPr>
        <w:tabs>
          <w:tab w:val="left" w:pos="8100"/>
        </w:tabs>
      </w:pPr>
    </w:p>
    <w:p w:rsidR="00FF32C8" w:rsidRDefault="00FF32C8" w:rsidP="00FF32C8">
      <w:pPr>
        <w:tabs>
          <w:tab w:val="left" w:pos="720"/>
          <w:tab w:val="left" w:pos="8100"/>
        </w:tabs>
        <w:rPr>
          <w:b/>
        </w:rPr>
      </w:pPr>
      <w:r w:rsidRPr="009B58E2">
        <w:rPr>
          <w:b/>
        </w:rPr>
        <w:t>Citation</w:t>
      </w:r>
    </w:p>
    <w:p w:rsidR="00FF32C8" w:rsidRDefault="00FF32C8" w:rsidP="00FF32C8">
      <w:pPr>
        <w:pStyle w:val="AFMANormal"/>
        <w:ind w:left="360" w:hanging="360"/>
      </w:pPr>
      <w:r>
        <w:t>1.</w:t>
      </w:r>
      <w:r>
        <w:tab/>
        <w:t xml:space="preserve">This Determination may be cited as the </w:t>
      </w:r>
      <w:r w:rsidRPr="00FF32C8">
        <w:rPr>
          <w:i/>
        </w:rPr>
        <w:t xml:space="preserve">Western Tuna and Billfish Fishery </w:t>
      </w:r>
      <w:proofErr w:type="spellStart"/>
      <w:r w:rsidRPr="00FF32C8">
        <w:rPr>
          <w:i/>
        </w:rPr>
        <w:t>Overcatch</w:t>
      </w:r>
      <w:proofErr w:type="spellEnd"/>
      <w:r w:rsidRPr="00FF32C8">
        <w:rPr>
          <w:i/>
        </w:rPr>
        <w:t xml:space="preserve"> and </w:t>
      </w:r>
      <w:proofErr w:type="spellStart"/>
      <w:r w:rsidRPr="00FF32C8">
        <w:rPr>
          <w:i/>
        </w:rPr>
        <w:t>Undercatch</w:t>
      </w:r>
      <w:proofErr w:type="spellEnd"/>
      <w:r w:rsidRPr="00FF32C8">
        <w:rPr>
          <w:i/>
        </w:rPr>
        <w:t xml:space="preserve"> Determination 2013</w:t>
      </w:r>
      <w:r>
        <w:t>.</w:t>
      </w:r>
    </w:p>
    <w:p w:rsidR="00FF32C8" w:rsidRPr="009B58E2" w:rsidRDefault="00FF32C8" w:rsidP="00FF32C8">
      <w:pPr>
        <w:tabs>
          <w:tab w:val="left" w:pos="720"/>
          <w:tab w:val="left" w:pos="8100"/>
        </w:tabs>
        <w:rPr>
          <w:b/>
        </w:rPr>
      </w:pPr>
    </w:p>
    <w:p w:rsidR="00FF32C8" w:rsidRDefault="00FF32C8" w:rsidP="00FF32C8">
      <w:pPr>
        <w:tabs>
          <w:tab w:val="left" w:pos="720"/>
          <w:tab w:val="left" w:pos="8100"/>
        </w:tabs>
        <w:rPr>
          <w:b/>
        </w:rPr>
      </w:pPr>
      <w:r w:rsidRPr="009B58E2">
        <w:rPr>
          <w:b/>
        </w:rPr>
        <w:t>Commencement</w:t>
      </w:r>
    </w:p>
    <w:p w:rsidR="00FF32C8" w:rsidRDefault="00FF32C8" w:rsidP="00FF32C8">
      <w:pPr>
        <w:pStyle w:val="AFMANormal"/>
        <w:ind w:left="360" w:hanging="360"/>
      </w:pPr>
      <w:r>
        <w:t>2.</w:t>
      </w:r>
      <w:r>
        <w:tab/>
        <w:t>This Determination commences on the day after it is registered on the Federal Register of Legislative Instruments.</w:t>
      </w:r>
    </w:p>
    <w:p w:rsidR="00FF32C8" w:rsidRPr="009B58E2" w:rsidRDefault="00FF32C8" w:rsidP="00FF32C8">
      <w:pPr>
        <w:tabs>
          <w:tab w:val="left" w:pos="720"/>
          <w:tab w:val="left" w:pos="8100"/>
        </w:tabs>
        <w:rPr>
          <w:b/>
        </w:rPr>
      </w:pPr>
    </w:p>
    <w:p w:rsidR="00FF32C8" w:rsidRDefault="00FF32C8" w:rsidP="00FF32C8">
      <w:pPr>
        <w:pStyle w:val="AFMANormal"/>
        <w:rPr>
          <w:b/>
        </w:rPr>
      </w:pPr>
    </w:p>
    <w:p w:rsidR="00FF32C8" w:rsidRDefault="00FF32C8" w:rsidP="00FF32C8">
      <w:pPr>
        <w:tabs>
          <w:tab w:val="left" w:pos="4111"/>
        </w:tabs>
        <w:spacing w:before="120"/>
        <w:jc w:val="both"/>
        <w:rPr>
          <w:b/>
        </w:rPr>
      </w:pPr>
      <w:r>
        <w:rPr>
          <w:b/>
        </w:rPr>
        <w:lastRenderedPageBreak/>
        <w:t>Cessation</w:t>
      </w:r>
    </w:p>
    <w:p w:rsidR="00FF32C8" w:rsidRDefault="00FF32C8" w:rsidP="00FF32C8">
      <w:pPr>
        <w:tabs>
          <w:tab w:val="left" w:pos="1418"/>
        </w:tabs>
        <w:spacing w:before="120"/>
        <w:ind w:left="360" w:hanging="360"/>
        <w:jc w:val="both"/>
        <w:rPr>
          <w:sz w:val="20"/>
        </w:rPr>
      </w:pPr>
      <w:r w:rsidRPr="00810759">
        <w:t>3.</w:t>
      </w:r>
      <w:r>
        <w:rPr>
          <w:b/>
        </w:rPr>
        <w:tab/>
      </w:r>
      <w:r>
        <w:t>This Determination</w:t>
      </w:r>
      <w:r w:rsidRPr="00001BB6">
        <w:t xml:space="preserve"> </w:t>
      </w:r>
      <w:r>
        <w:t xml:space="preserve">ceases as if it were revoked on 1 February 2014 unless earlier revoked.  </w:t>
      </w:r>
    </w:p>
    <w:p w:rsidR="00FF32C8" w:rsidRPr="00DF2ED8" w:rsidRDefault="00FF32C8" w:rsidP="00FF32C8">
      <w:pPr>
        <w:pStyle w:val="AFMANormal"/>
        <w:rPr>
          <w:b/>
        </w:rPr>
      </w:pPr>
      <w:r w:rsidRPr="00DF2ED8">
        <w:rPr>
          <w:b/>
        </w:rPr>
        <w:t>Interpretation</w:t>
      </w:r>
    </w:p>
    <w:p w:rsidR="00FF32C8" w:rsidRPr="00CE71A4" w:rsidRDefault="00FF32C8" w:rsidP="00FF32C8">
      <w:pPr>
        <w:tabs>
          <w:tab w:val="left" w:pos="180"/>
        </w:tabs>
        <w:spacing w:before="240"/>
        <w:ind w:left="360" w:right="-51" w:hanging="360"/>
      </w:pPr>
      <w:r>
        <w:t>4.</w:t>
      </w:r>
      <w:r>
        <w:tab/>
        <w:t>T</w:t>
      </w:r>
      <w:r w:rsidRPr="00CE71A4">
        <w:t>erm</w:t>
      </w:r>
      <w:r>
        <w:t>s</w:t>
      </w:r>
      <w:r w:rsidRPr="00CE71A4">
        <w:t xml:space="preserve"> us</w:t>
      </w:r>
      <w:r>
        <w:t>ed in this Determination that are</w:t>
      </w:r>
      <w:r w:rsidRPr="00CE71A4">
        <w:t xml:space="preserve"> defined for the purposes of the </w:t>
      </w:r>
      <w:r>
        <w:rPr>
          <w:i/>
        </w:rPr>
        <w:t xml:space="preserve">Western Tuna and Billfish Fishery Management Plan 2005 </w:t>
      </w:r>
      <w:r w:rsidRPr="0063788D">
        <w:t>(the Plan)</w:t>
      </w:r>
      <w:r>
        <w:rPr>
          <w:i/>
        </w:rPr>
        <w:t xml:space="preserve"> </w:t>
      </w:r>
      <w:r>
        <w:t>have</w:t>
      </w:r>
      <w:r w:rsidRPr="00CE71A4">
        <w:t xml:space="preserve"> the same mea</w:t>
      </w:r>
      <w:r>
        <w:t>nings in this Determination as they have</w:t>
      </w:r>
      <w:r w:rsidRPr="00CE71A4">
        <w:t xml:space="preserve"> in th</w:t>
      </w:r>
      <w:r>
        <w:t>e</w:t>
      </w:r>
      <w:r w:rsidRPr="00CE71A4">
        <w:t xml:space="preserve"> Plan.</w:t>
      </w:r>
    </w:p>
    <w:p w:rsidR="00FF32C8" w:rsidRDefault="00FF32C8" w:rsidP="00FF32C8">
      <w:pPr>
        <w:pStyle w:val="AFMANormal"/>
        <w:tabs>
          <w:tab w:val="left" w:pos="1418"/>
        </w:tabs>
        <w:ind w:left="1843" w:hanging="1843"/>
      </w:pPr>
      <w:r>
        <w:rPr>
          <w:b/>
        </w:rPr>
        <w:t>Notes</w:t>
      </w:r>
      <w:r>
        <w:t>:</w:t>
      </w:r>
      <w:r>
        <w:tab/>
        <w:t>1.</w:t>
      </w:r>
      <w:r>
        <w:tab/>
        <w:t xml:space="preserve">Terms defined in the </w:t>
      </w:r>
      <w:r>
        <w:rPr>
          <w:i/>
        </w:rPr>
        <w:t>Fisheries Management Act 1991</w:t>
      </w:r>
      <w:r>
        <w:t xml:space="preserve"> have the same meanings in this Determination.</w:t>
      </w:r>
    </w:p>
    <w:p w:rsidR="00FF32C8" w:rsidRPr="00DF2ED8" w:rsidRDefault="00FF32C8" w:rsidP="00FF32C8">
      <w:pPr>
        <w:pStyle w:val="AFMANormal"/>
        <w:rPr>
          <w:b/>
        </w:rPr>
      </w:pPr>
      <w:r w:rsidRPr="00DF2ED8">
        <w:rPr>
          <w:b/>
        </w:rPr>
        <w:t xml:space="preserve">Determination of </w:t>
      </w:r>
      <w:proofErr w:type="spellStart"/>
      <w:r>
        <w:rPr>
          <w:b/>
        </w:rPr>
        <w:t>overcatch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undercatch</w:t>
      </w:r>
      <w:proofErr w:type="spellEnd"/>
    </w:p>
    <w:p w:rsidR="00FF32C8" w:rsidRPr="00770746" w:rsidRDefault="00FF32C8" w:rsidP="00FF32C8">
      <w:pPr>
        <w:tabs>
          <w:tab w:val="left" w:pos="180"/>
        </w:tabs>
        <w:spacing w:before="240"/>
        <w:ind w:left="360" w:right="-51" w:hanging="360"/>
      </w:pPr>
      <w:r>
        <w:t>5.</w:t>
      </w:r>
      <w:r>
        <w:tab/>
      </w:r>
      <w:r w:rsidRPr="00770746">
        <w:t xml:space="preserve">The determined percentage and determined weight, </w:t>
      </w:r>
      <w:r>
        <w:t xml:space="preserve">for section 18 </w:t>
      </w:r>
      <w:r w:rsidRPr="00770746">
        <w:t>of</w:t>
      </w:r>
      <w:r>
        <w:t xml:space="preserve"> the Plan (Obligation</w:t>
      </w:r>
      <w:r w:rsidRPr="00770746">
        <w:t xml:space="preserve"> relating to </w:t>
      </w:r>
      <w:proofErr w:type="spellStart"/>
      <w:r w:rsidRPr="00770746">
        <w:t>overcatch</w:t>
      </w:r>
      <w:proofErr w:type="spellEnd"/>
      <w:r w:rsidRPr="00770746">
        <w:t xml:space="preserve">), and the determined percentage </w:t>
      </w:r>
      <w:r>
        <w:t>for section 19 of the Plan (Obligation</w:t>
      </w:r>
      <w:r w:rsidRPr="00770746">
        <w:t xml:space="preserve"> relating to </w:t>
      </w:r>
      <w:proofErr w:type="spellStart"/>
      <w:r w:rsidRPr="00770746">
        <w:t>undercatch</w:t>
      </w:r>
      <w:proofErr w:type="spellEnd"/>
      <w:r w:rsidRPr="00770746">
        <w:t>) for each quota species for the fishing s</w:t>
      </w:r>
      <w:r>
        <w:t>eason commencing on 1 February 2013 and ending on 31 January 2014</w:t>
      </w:r>
      <w:r w:rsidRPr="00770746">
        <w:t xml:space="preserve"> are:</w:t>
      </w:r>
    </w:p>
    <w:p w:rsidR="00FF32C8" w:rsidRDefault="00FF32C8" w:rsidP="00FF32C8">
      <w:pPr>
        <w:pStyle w:val="AFMANormal"/>
        <w:ind w:left="360" w:hanging="360"/>
        <w:jc w:val="left"/>
      </w:pPr>
    </w:p>
    <w:tbl>
      <w:tblPr>
        <w:tblW w:w="830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7"/>
        <w:gridCol w:w="2160"/>
        <w:gridCol w:w="2183"/>
        <w:gridCol w:w="1440"/>
      </w:tblGrid>
      <w:tr w:rsidR="00FF32C8" w:rsidTr="00933176">
        <w:trPr>
          <w:trHeight w:val="540"/>
          <w:tblHeader/>
          <w:jc w:val="center"/>
        </w:trPr>
        <w:tc>
          <w:tcPr>
            <w:tcW w:w="2517" w:type="dxa"/>
            <w:vAlign w:val="center"/>
          </w:tcPr>
          <w:p w:rsidR="00FF32C8" w:rsidRDefault="00FF32C8" w:rsidP="009331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Quota Species</w:t>
            </w:r>
          </w:p>
        </w:tc>
        <w:tc>
          <w:tcPr>
            <w:tcW w:w="2160" w:type="dxa"/>
            <w:vAlign w:val="bottom"/>
          </w:tcPr>
          <w:p w:rsidR="00FF32C8" w:rsidRDefault="00FF32C8" w:rsidP="0093317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Determined Percentage 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Overcatch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– s18)</w:t>
            </w:r>
          </w:p>
        </w:tc>
        <w:tc>
          <w:tcPr>
            <w:tcW w:w="2183" w:type="dxa"/>
            <w:vAlign w:val="center"/>
          </w:tcPr>
          <w:p w:rsidR="00FF32C8" w:rsidRDefault="00FF32C8" w:rsidP="0093317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Determined Percentage 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Undercatch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– s19)</w:t>
            </w:r>
          </w:p>
        </w:tc>
        <w:tc>
          <w:tcPr>
            <w:tcW w:w="1440" w:type="dxa"/>
            <w:vAlign w:val="bottom"/>
          </w:tcPr>
          <w:p w:rsidR="00FF32C8" w:rsidRDefault="00FF32C8" w:rsidP="0093317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Determined weight (s18) </w:t>
            </w:r>
          </w:p>
        </w:tc>
      </w:tr>
      <w:tr w:rsidR="00FF32C8" w:rsidTr="00933176">
        <w:trPr>
          <w:trHeight w:val="375"/>
          <w:jc w:val="center"/>
        </w:trPr>
        <w:tc>
          <w:tcPr>
            <w:tcW w:w="2517" w:type="dxa"/>
            <w:noWrap/>
            <w:vAlign w:val="center"/>
          </w:tcPr>
          <w:p w:rsidR="00FF32C8" w:rsidRDefault="00FF32C8" w:rsidP="0093317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Bigeye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Tuna</w:t>
            </w:r>
          </w:p>
        </w:tc>
        <w:tc>
          <w:tcPr>
            <w:tcW w:w="2160" w:type="dxa"/>
            <w:noWrap/>
            <w:vAlign w:val="center"/>
          </w:tcPr>
          <w:p w:rsidR="00FF32C8" w:rsidRDefault="00FF32C8" w:rsidP="00933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10%</w:t>
            </w:r>
          </w:p>
        </w:tc>
        <w:tc>
          <w:tcPr>
            <w:tcW w:w="2183" w:type="dxa"/>
            <w:noWrap/>
            <w:vAlign w:val="center"/>
          </w:tcPr>
          <w:p w:rsidR="00FF32C8" w:rsidRDefault="00FF32C8" w:rsidP="00933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10%</w:t>
            </w:r>
          </w:p>
        </w:tc>
        <w:tc>
          <w:tcPr>
            <w:tcW w:w="1440" w:type="dxa"/>
            <w:noWrap/>
            <w:vAlign w:val="bottom"/>
          </w:tcPr>
          <w:p w:rsidR="00FF32C8" w:rsidRDefault="00FF32C8" w:rsidP="009331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2,000 Kg</w:t>
            </w:r>
          </w:p>
        </w:tc>
      </w:tr>
      <w:tr w:rsidR="00FF32C8" w:rsidTr="00933176">
        <w:trPr>
          <w:trHeight w:val="375"/>
          <w:jc w:val="center"/>
        </w:trPr>
        <w:tc>
          <w:tcPr>
            <w:tcW w:w="2517" w:type="dxa"/>
            <w:noWrap/>
            <w:vAlign w:val="center"/>
          </w:tcPr>
          <w:p w:rsidR="00FF32C8" w:rsidRDefault="00FF32C8" w:rsidP="00933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Broadbill Swordfish </w:t>
            </w:r>
          </w:p>
        </w:tc>
        <w:tc>
          <w:tcPr>
            <w:tcW w:w="2160" w:type="dxa"/>
            <w:noWrap/>
            <w:vAlign w:val="center"/>
          </w:tcPr>
          <w:p w:rsidR="00FF32C8" w:rsidRDefault="00FF32C8" w:rsidP="00933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10%</w:t>
            </w:r>
          </w:p>
        </w:tc>
        <w:tc>
          <w:tcPr>
            <w:tcW w:w="2183" w:type="dxa"/>
            <w:noWrap/>
            <w:vAlign w:val="center"/>
          </w:tcPr>
          <w:p w:rsidR="00FF32C8" w:rsidRDefault="00FF32C8" w:rsidP="00933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10%</w:t>
            </w:r>
          </w:p>
        </w:tc>
        <w:tc>
          <w:tcPr>
            <w:tcW w:w="1440" w:type="dxa"/>
            <w:noWrap/>
            <w:vAlign w:val="bottom"/>
          </w:tcPr>
          <w:p w:rsidR="00FF32C8" w:rsidRDefault="00FF32C8" w:rsidP="009331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2,000 Kg</w:t>
            </w:r>
          </w:p>
        </w:tc>
      </w:tr>
      <w:tr w:rsidR="00FF32C8" w:rsidTr="00933176">
        <w:trPr>
          <w:trHeight w:val="375"/>
          <w:jc w:val="center"/>
        </w:trPr>
        <w:tc>
          <w:tcPr>
            <w:tcW w:w="2517" w:type="dxa"/>
            <w:noWrap/>
            <w:vAlign w:val="center"/>
          </w:tcPr>
          <w:p w:rsidR="00FF32C8" w:rsidRDefault="00FF32C8" w:rsidP="00933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Striped Marlin</w:t>
            </w:r>
          </w:p>
        </w:tc>
        <w:tc>
          <w:tcPr>
            <w:tcW w:w="2160" w:type="dxa"/>
            <w:noWrap/>
            <w:vAlign w:val="center"/>
          </w:tcPr>
          <w:p w:rsidR="00FF32C8" w:rsidRDefault="00FF32C8" w:rsidP="00933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10%</w:t>
            </w:r>
          </w:p>
        </w:tc>
        <w:tc>
          <w:tcPr>
            <w:tcW w:w="2183" w:type="dxa"/>
            <w:noWrap/>
            <w:vAlign w:val="center"/>
          </w:tcPr>
          <w:p w:rsidR="00FF32C8" w:rsidRDefault="00FF32C8" w:rsidP="00933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10%</w:t>
            </w:r>
          </w:p>
        </w:tc>
        <w:tc>
          <w:tcPr>
            <w:tcW w:w="1440" w:type="dxa"/>
            <w:noWrap/>
            <w:vAlign w:val="bottom"/>
          </w:tcPr>
          <w:p w:rsidR="00FF32C8" w:rsidRDefault="00FF32C8" w:rsidP="009331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2,000 Kg</w:t>
            </w:r>
          </w:p>
        </w:tc>
      </w:tr>
      <w:tr w:rsidR="00FF32C8" w:rsidTr="00933176">
        <w:trPr>
          <w:trHeight w:val="375"/>
          <w:jc w:val="center"/>
        </w:trPr>
        <w:tc>
          <w:tcPr>
            <w:tcW w:w="2517" w:type="dxa"/>
            <w:noWrap/>
            <w:vAlign w:val="center"/>
          </w:tcPr>
          <w:p w:rsidR="00FF32C8" w:rsidRDefault="00FF32C8" w:rsidP="0093317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Yellowfin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Tuna</w:t>
            </w:r>
          </w:p>
        </w:tc>
        <w:tc>
          <w:tcPr>
            <w:tcW w:w="2160" w:type="dxa"/>
            <w:noWrap/>
            <w:vAlign w:val="center"/>
          </w:tcPr>
          <w:p w:rsidR="00FF32C8" w:rsidRDefault="00FF32C8" w:rsidP="00933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10%</w:t>
            </w:r>
          </w:p>
        </w:tc>
        <w:tc>
          <w:tcPr>
            <w:tcW w:w="2183" w:type="dxa"/>
            <w:noWrap/>
            <w:vAlign w:val="center"/>
          </w:tcPr>
          <w:p w:rsidR="00FF32C8" w:rsidRDefault="00FF32C8" w:rsidP="009331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10%</w:t>
            </w:r>
          </w:p>
        </w:tc>
        <w:tc>
          <w:tcPr>
            <w:tcW w:w="1440" w:type="dxa"/>
            <w:noWrap/>
            <w:vAlign w:val="bottom"/>
          </w:tcPr>
          <w:p w:rsidR="00FF32C8" w:rsidRDefault="00FF32C8" w:rsidP="009331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2,000 Kg</w:t>
            </w:r>
          </w:p>
        </w:tc>
      </w:tr>
    </w:tbl>
    <w:p w:rsidR="00FF32C8" w:rsidRDefault="00FF32C8" w:rsidP="00FF32C8"/>
    <w:p w:rsidR="00FF32C8" w:rsidRDefault="00FF32C8" w:rsidP="00FF32C8"/>
    <w:p w:rsidR="00FF32C8" w:rsidRDefault="00FF32C8" w:rsidP="00FF32C8"/>
    <w:p w:rsidR="00FF32C8" w:rsidRDefault="00FF32C8" w:rsidP="00FF32C8"/>
    <w:p w:rsidR="00FF32C8" w:rsidRDefault="00FF32C8" w:rsidP="00FF32C8"/>
    <w:p w:rsidR="0011476C" w:rsidRDefault="00EF044B"/>
    <w:sectPr w:rsidR="001147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2C8"/>
    <w:rsid w:val="00333D06"/>
    <w:rsid w:val="0052132E"/>
    <w:rsid w:val="008F042D"/>
    <w:rsid w:val="00EF044B"/>
    <w:rsid w:val="00F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MANormal">
    <w:name w:val="AFMA Normal"/>
    <w:rsid w:val="00FF32C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2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MANormal">
    <w:name w:val="AFMA Normal"/>
    <w:rsid w:val="00FF32C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2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KEARNEY Brendan</dc:creator>
  <cp:lastModifiedBy>KEARNEY Brendan</cp:lastModifiedBy>
  <cp:revision>3</cp:revision>
  <dcterms:created xsi:type="dcterms:W3CDTF">2013-01-16T02:42:00Z</dcterms:created>
  <dcterms:modified xsi:type="dcterms:W3CDTF">2013-03-05T23:07:00Z</dcterms:modified>
</cp:coreProperties>
</file>