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75" w:rsidRDefault="00E87608" w:rsidP="00F474A2">
      <w:pPr>
        <w:pStyle w:val="Heading2"/>
        <w:spacing w:before="100" w:after="100"/>
        <w:jc w:val="center"/>
        <w:rPr>
          <w:rFonts w:ascii="Times New Roman" w:hAnsi="Times New Roman"/>
          <w:sz w:val="24"/>
          <w:szCs w:val="24"/>
          <w:u w:val="single"/>
        </w:rPr>
      </w:pPr>
      <w:r w:rsidRPr="00F6204D">
        <w:rPr>
          <w:rFonts w:ascii="Times New Roman" w:hAnsi="Times New Roman"/>
          <w:sz w:val="24"/>
          <w:szCs w:val="24"/>
          <w:u w:val="single"/>
        </w:rPr>
        <w:t>EXPLANATORY STATEMENT</w:t>
      </w:r>
    </w:p>
    <w:p w:rsidR="003E3986" w:rsidRDefault="003E3986" w:rsidP="00F474A2">
      <w:pPr>
        <w:pStyle w:val="Heading2"/>
        <w:spacing w:before="100" w:after="100" w:line="240" w:lineRule="auto"/>
        <w:jc w:val="center"/>
        <w:rPr>
          <w:b w:val="0"/>
          <w:i/>
          <w:sz w:val="8"/>
          <w:szCs w:val="8"/>
          <w:u w:val="single"/>
        </w:rPr>
      </w:pPr>
    </w:p>
    <w:p w:rsidR="000D7551" w:rsidRPr="000E2279" w:rsidRDefault="00E87608" w:rsidP="00F474A2">
      <w:pPr>
        <w:pStyle w:val="Heading2"/>
        <w:spacing w:before="100" w:after="100" w:line="240" w:lineRule="auto"/>
        <w:jc w:val="center"/>
        <w:rPr>
          <w:rFonts w:ascii="Times New Roman" w:hAnsi="Times New Roman"/>
          <w:b w:val="0"/>
          <w:i/>
          <w:u w:val="single"/>
        </w:rPr>
      </w:pPr>
      <w:r w:rsidRPr="000E2279">
        <w:rPr>
          <w:rFonts w:ascii="Times New Roman" w:hAnsi="Times New Roman"/>
          <w:b w:val="0"/>
          <w:i/>
          <w:u w:val="single"/>
        </w:rPr>
        <w:t>Health Insurance Act 1973</w:t>
      </w:r>
    </w:p>
    <w:p w:rsidR="002A2EDA" w:rsidRPr="000E2279" w:rsidRDefault="002A2EDA" w:rsidP="00F474A2">
      <w:pPr>
        <w:pStyle w:val="Heading1"/>
        <w:spacing w:before="100" w:after="100" w:line="240" w:lineRule="auto"/>
        <w:jc w:val="center"/>
        <w:rPr>
          <w:rFonts w:ascii="Times New Roman" w:hAnsi="Times New Roman"/>
          <w:b w:val="0"/>
          <w:i/>
          <w:iCs/>
          <w:color w:val="auto"/>
          <w:sz w:val="8"/>
          <w:szCs w:val="8"/>
        </w:rPr>
      </w:pPr>
    </w:p>
    <w:p w:rsidR="000A4E25" w:rsidRPr="000E2279" w:rsidRDefault="004B7C1D" w:rsidP="008A53FE">
      <w:pPr>
        <w:pStyle w:val="Heading1"/>
        <w:spacing w:before="120" w:line="240" w:lineRule="auto"/>
        <w:ind w:left="181" w:right="176"/>
        <w:jc w:val="center"/>
        <w:rPr>
          <w:rFonts w:ascii="Times New Roman" w:hAnsi="Times New Roman"/>
          <w:b w:val="0"/>
          <w:i/>
        </w:rPr>
      </w:pPr>
      <w:r w:rsidRPr="000E2279">
        <w:rPr>
          <w:rFonts w:ascii="Times New Roman" w:hAnsi="Times New Roman"/>
          <w:b w:val="0"/>
          <w:i/>
        </w:rPr>
        <w:t>Health Insurance (Extended Medicare Safety Net) Amendment Determination 201</w:t>
      </w:r>
      <w:r w:rsidR="00F7386F" w:rsidRPr="000E2279">
        <w:rPr>
          <w:rFonts w:ascii="Times New Roman" w:hAnsi="Times New Roman"/>
          <w:b w:val="0"/>
          <w:i/>
        </w:rPr>
        <w:t>3</w:t>
      </w:r>
      <w:r w:rsidR="00DD7282" w:rsidRPr="000E2279">
        <w:rPr>
          <w:rFonts w:ascii="Times New Roman" w:hAnsi="Times New Roman"/>
          <w:b w:val="0"/>
          <w:i/>
        </w:rPr>
        <w:t xml:space="preserve"> (No.</w:t>
      </w:r>
      <w:r w:rsidR="00F7386F" w:rsidRPr="000E2279">
        <w:rPr>
          <w:rFonts w:ascii="Times New Roman" w:hAnsi="Times New Roman"/>
          <w:b w:val="0"/>
          <w:i/>
        </w:rPr>
        <w:t>1</w:t>
      </w:r>
      <w:r w:rsidR="00DD7282" w:rsidRPr="000E2279">
        <w:rPr>
          <w:rFonts w:ascii="Times New Roman" w:hAnsi="Times New Roman"/>
          <w:b w:val="0"/>
          <w:i/>
        </w:rPr>
        <w:t>)</w:t>
      </w:r>
    </w:p>
    <w:p w:rsidR="0051207C" w:rsidRPr="003E3986" w:rsidRDefault="0051207C" w:rsidP="0051207C">
      <w:pPr>
        <w:pStyle w:val="Heading2"/>
        <w:rPr>
          <w:sz w:val="12"/>
          <w:szCs w:val="12"/>
        </w:rPr>
      </w:pPr>
    </w:p>
    <w:p w:rsidR="004A61F9" w:rsidRPr="00517582" w:rsidRDefault="00FE1EA5" w:rsidP="00D4671B">
      <w:pPr>
        <w:spacing w:before="0" w:after="0" w:line="240" w:lineRule="auto"/>
        <w:rPr>
          <w:rFonts w:ascii="Times New Roman" w:hAnsi="Times New Roman"/>
          <w:sz w:val="24"/>
          <w:szCs w:val="24"/>
        </w:rPr>
      </w:pPr>
      <w:r w:rsidRPr="00517582">
        <w:rPr>
          <w:rFonts w:ascii="Times New Roman" w:hAnsi="Times New Roman"/>
          <w:sz w:val="24"/>
          <w:szCs w:val="24"/>
        </w:rPr>
        <w:t xml:space="preserve">Section 10B of the </w:t>
      </w:r>
      <w:r w:rsidRPr="00517582">
        <w:rPr>
          <w:rFonts w:ascii="Times New Roman" w:hAnsi="Times New Roman"/>
          <w:i/>
          <w:iCs/>
          <w:sz w:val="24"/>
          <w:szCs w:val="24"/>
        </w:rPr>
        <w:t xml:space="preserve">Health Insurance Act 1973 </w:t>
      </w:r>
      <w:r w:rsidR="00852DDB">
        <w:rPr>
          <w:rFonts w:ascii="Times New Roman" w:hAnsi="Times New Roman"/>
          <w:sz w:val="24"/>
          <w:szCs w:val="24"/>
        </w:rPr>
        <w:t>(the Act</w:t>
      </w:r>
      <w:r w:rsidRPr="00517582">
        <w:rPr>
          <w:rFonts w:ascii="Times New Roman" w:hAnsi="Times New Roman"/>
          <w:sz w:val="24"/>
          <w:szCs w:val="24"/>
        </w:rPr>
        <w:t xml:space="preserve">) provides that the Minister may, by legislative instrument, determine to which Medicare items subsections </w:t>
      </w:r>
      <w:proofErr w:type="gramStart"/>
      <w:r w:rsidRPr="00517582">
        <w:rPr>
          <w:rFonts w:ascii="Times New Roman" w:hAnsi="Times New Roman"/>
          <w:sz w:val="24"/>
          <w:szCs w:val="24"/>
        </w:rPr>
        <w:t>10ACA(</w:t>
      </w:r>
      <w:proofErr w:type="gramEnd"/>
      <w:r w:rsidRPr="00517582">
        <w:rPr>
          <w:rFonts w:ascii="Times New Roman" w:hAnsi="Times New Roman"/>
          <w:sz w:val="24"/>
          <w:szCs w:val="24"/>
        </w:rPr>
        <w:t xml:space="preserve">7A) and 10ADA(8A) of the Act apply, and the maximum increase in Medicare benefit payable for those items under the Extended Medicare Safety Net (EMSN).  The </w:t>
      </w:r>
      <w:r w:rsidR="001866C7">
        <w:rPr>
          <w:rFonts w:ascii="Times New Roman" w:hAnsi="Times New Roman"/>
          <w:sz w:val="24"/>
          <w:szCs w:val="24"/>
        </w:rPr>
        <w:t xml:space="preserve">maximum </w:t>
      </w:r>
      <w:r w:rsidRPr="00517582">
        <w:rPr>
          <w:rFonts w:ascii="Times New Roman" w:hAnsi="Times New Roman"/>
          <w:sz w:val="24"/>
          <w:szCs w:val="24"/>
        </w:rPr>
        <w:t>increase in the Medicare benefit payable under the EMSN is commonly referred to as the ‘EMSN benefit</w:t>
      </w:r>
      <w:r w:rsidR="001866C7">
        <w:rPr>
          <w:rFonts w:ascii="Times New Roman" w:hAnsi="Times New Roman"/>
          <w:sz w:val="24"/>
          <w:szCs w:val="24"/>
        </w:rPr>
        <w:t xml:space="preserve"> cap</w:t>
      </w:r>
      <w:r w:rsidRPr="00517582">
        <w:rPr>
          <w:rFonts w:ascii="Times New Roman" w:hAnsi="Times New Roman"/>
          <w:sz w:val="24"/>
          <w:szCs w:val="24"/>
        </w:rPr>
        <w:t>’.</w:t>
      </w:r>
    </w:p>
    <w:p w:rsidR="0012087F" w:rsidRPr="003E3986" w:rsidRDefault="0012087F" w:rsidP="00D4671B">
      <w:pPr>
        <w:spacing w:before="0" w:after="0" w:line="240" w:lineRule="auto"/>
        <w:rPr>
          <w:rFonts w:ascii="Times New Roman" w:hAnsi="Times New Roman"/>
          <w:sz w:val="20"/>
        </w:rPr>
      </w:pPr>
    </w:p>
    <w:p w:rsidR="00CB0BB0" w:rsidRDefault="001866C7" w:rsidP="00D4671B">
      <w:pPr>
        <w:spacing w:before="0" w:after="0" w:line="240" w:lineRule="auto"/>
        <w:rPr>
          <w:rFonts w:ascii="Times New Roman" w:hAnsi="Times New Roman"/>
          <w:i/>
          <w:sz w:val="24"/>
          <w:szCs w:val="24"/>
        </w:rPr>
      </w:pPr>
      <w:r>
        <w:rPr>
          <w:rFonts w:ascii="Times New Roman" w:hAnsi="Times New Roman"/>
          <w:color w:val="auto"/>
          <w:sz w:val="24"/>
          <w:szCs w:val="24"/>
        </w:rPr>
        <w:t>The</w:t>
      </w:r>
      <w:r w:rsidR="00E568DA">
        <w:rPr>
          <w:rFonts w:ascii="Times New Roman" w:hAnsi="Times New Roman"/>
          <w:color w:val="auto"/>
          <w:sz w:val="24"/>
          <w:szCs w:val="24"/>
        </w:rPr>
        <w:t xml:space="preserve"> </w:t>
      </w:r>
      <w:r w:rsidR="00D46CCB">
        <w:rPr>
          <w:rFonts w:ascii="Times New Roman" w:hAnsi="Times New Roman"/>
          <w:i/>
          <w:color w:val="auto"/>
          <w:sz w:val="24"/>
          <w:szCs w:val="24"/>
        </w:rPr>
        <w:t>Health Insurance (Extended Medicare Safety Net) Amendment Determination 2013 (No. 1)</w:t>
      </w:r>
      <w:r w:rsidR="00D46CCB">
        <w:rPr>
          <w:rFonts w:ascii="Times New Roman" w:hAnsi="Times New Roman"/>
          <w:color w:val="auto"/>
          <w:sz w:val="24"/>
          <w:szCs w:val="24"/>
        </w:rPr>
        <w:t xml:space="preserve"> (the Determination)</w:t>
      </w:r>
      <w:r>
        <w:rPr>
          <w:rFonts w:ascii="Times New Roman" w:hAnsi="Times New Roman"/>
          <w:color w:val="auto"/>
          <w:sz w:val="24"/>
          <w:szCs w:val="24"/>
        </w:rPr>
        <w:t xml:space="preserve"> introduces EMSN benefit caps </w:t>
      </w:r>
      <w:r w:rsidR="00D46CCB">
        <w:rPr>
          <w:rFonts w:ascii="Times New Roman" w:hAnsi="Times New Roman"/>
          <w:color w:val="auto"/>
          <w:sz w:val="24"/>
          <w:szCs w:val="24"/>
        </w:rPr>
        <w:t xml:space="preserve">on </w:t>
      </w:r>
      <w:r>
        <w:rPr>
          <w:rFonts w:ascii="Times New Roman" w:hAnsi="Times New Roman"/>
          <w:color w:val="auto"/>
          <w:sz w:val="24"/>
          <w:szCs w:val="24"/>
        </w:rPr>
        <w:t>two items for radiofrequency ablation</w:t>
      </w:r>
      <w:r w:rsidR="00D46CCB">
        <w:rPr>
          <w:rFonts w:ascii="Times New Roman" w:hAnsi="Times New Roman"/>
          <w:color w:val="auto"/>
          <w:sz w:val="24"/>
          <w:szCs w:val="24"/>
        </w:rPr>
        <w:t xml:space="preserve"> for the treatment of varicose veins (RFA) </w:t>
      </w:r>
      <w:r>
        <w:rPr>
          <w:rFonts w:ascii="Times New Roman" w:hAnsi="Times New Roman"/>
          <w:color w:val="auto"/>
          <w:sz w:val="24"/>
          <w:szCs w:val="24"/>
        </w:rPr>
        <w:t xml:space="preserve">and all items in Group M15 </w:t>
      </w:r>
      <w:r w:rsidR="00D46CCB">
        <w:rPr>
          <w:rFonts w:ascii="Times New Roman" w:hAnsi="Times New Roman"/>
          <w:color w:val="auto"/>
          <w:sz w:val="24"/>
          <w:szCs w:val="24"/>
        </w:rPr>
        <w:t xml:space="preserve">– Audiology of the Medicare Benefits Schedule (MBS) </w:t>
      </w:r>
      <w:r>
        <w:rPr>
          <w:rFonts w:ascii="Times New Roman" w:hAnsi="Times New Roman"/>
          <w:color w:val="auto"/>
          <w:sz w:val="24"/>
          <w:szCs w:val="24"/>
        </w:rPr>
        <w:t xml:space="preserve">by amending the </w:t>
      </w:r>
      <w:r w:rsidRPr="0012087F">
        <w:rPr>
          <w:rFonts w:ascii="Times New Roman" w:hAnsi="Times New Roman"/>
          <w:i/>
          <w:sz w:val="24"/>
          <w:szCs w:val="24"/>
        </w:rPr>
        <w:t>Health Insurance (Extended Medicare Safety Net) Determination 2009</w:t>
      </w:r>
      <w:r>
        <w:rPr>
          <w:rFonts w:ascii="Times New Roman" w:hAnsi="Times New Roman"/>
          <w:i/>
          <w:sz w:val="24"/>
          <w:szCs w:val="24"/>
        </w:rPr>
        <w:t>.</w:t>
      </w:r>
      <w:r w:rsidR="006E5669">
        <w:rPr>
          <w:rFonts w:ascii="Times New Roman" w:hAnsi="Times New Roman"/>
          <w:i/>
          <w:sz w:val="24"/>
          <w:szCs w:val="24"/>
        </w:rPr>
        <w:t xml:space="preserve">  </w:t>
      </w:r>
      <w:r w:rsidR="006E5669" w:rsidRPr="002F5E67">
        <w:rPr>
          <w:rFonts w:ascii="Times New Roman" w:hAnsi="Times New Roman"/>
          <w:sz w:val="24"/>
          <w:szCs w:val="24"/>
        </w:rPr>
        <w:t xml:space="preserve">The Determination also </w:t>
      </w:r>
      <w:r w:rsidR="00EB2856">
        <w:rPr>
          <w:rFonts w:ascii="Times New Roman" w:hAnsi="Times New Roman"/>
          <w:sz w:val="24"/>
          <w:szCs w:val="24"/>
        </w:rPr>
        <w:t>amends</w:t>
      </w:r>
      <w:r w:rsidR="006E5669">
        <w:rPr>
          <w:rFonts w:ascii="Times New Roman" w:hAnsi="Times New Roman"/>
          <w:sz w:val="24"/>
          <w:szCs w:val="24"/>
        </w:rPr>
        <w:t xml:space="preserve"> </w:t>
      </w:r>
      <w:r w:rsidR="006E5669">
        <w:rPr>
          <w:rFonts w:ascii="Times New Roman" w:hAnsi="Times New Roman"/>
          <w:color w:val="auto"/>
          <w:sz w:val="24"/>
          <w:szCs w:val="24"/>
        </w:rPr>
        <w:t xml:space="preserve">the </w:t>
      </w:r>
      <w:r w:rsidR="006E5669" w:rsidRPr="0012087F">
        <w:rPr>
          <w:rFonts w:ascii="Times New Roman" w:hAnsi="Times New Roman"/>
          <w:i/>
          <w:sz w:val="24"/>
          <w:szCs w:val="24"/>
        </w:rPr>
        <w:t>Health Insurance (Extended Medicare Safety Net) Determination 2009</w:t>
      </w:r>
      <w:r w:rsidR="006E5669">
        <w:rPr>
          <w:rFonts w:ascii="Times New Roman" w:hAnsi="Times New Roman"/>
          <w:i/>
          <w:sz w:val="24"/>
          <w:szCs w:val="24"/>
        </w:rPr>
        <w:t xml:space="preserve"> </w:t>
      </w:r>
      <w:r w:rsidR="00EB2856">
        <w:rPr>
          <w:rFonts w:ascii="Times New Roman" w:hAnsi="Times New Roman"/>
          <w:sz w:val="24"/>
          <w:szCs w:val="24"/>
        </w:rPr>
        <w:t xml:space="preserve">to remove a note which </w:t>
      </w:r>
      <w:r w:rsidR="00777587">
        <w:rPr>
          <w:rFonts w:ascii="Times New Roman" w:hAnsi="Times New Roman"/>
          <w:sz w:val="24"/>
          <w:szCs w:val="24"/>
        </w:rPr>
        <w:t>will</w:t>
      </w:r>
      <w:r w:rsidR="006E5669" w:rsidRPr="002F5E67">
        <w:rPr>
          <w:rFonts w:ascii="Times New Roman" w:hAnsi="Times New Roman"/>
          <w:sz w:val="24"/>
          <w:szCs w:val="24"/>
        </w:rPr>
        <w:t xml:space="preserve"> become </w:t>
      </w:r>
      <w:r w:rsidR="00777587">
        <w:rPr>
          <w:rFonts w:ascii="Times New Roman" w:hAnsi="Times New Roman"/>
          <w:sz w:val="24"/>
          <w:szCs w:val="24"/>
        </w:rPr>
        <w:t>irrelevant on 1 May 2013</w:t>
      </w:r>
      <w:r w:rsidR="006E5669" w:rsidRPr="002F5E67">
        <w:rPr>
          <w:rFonts w:ascii="Times New Roman" w:hAnsi="Times New Roman"/>
          <w:sz w:val="24"/>
          <w:szCs w:val="24"/>
        </w:rPr>
        <w:t>.</w:t>
      </w:r>
      <w:r w:rsidR="006E5669">
        <w:rPr>
          <w:rFonts w:ascii="Times New Roman" w:hAnsi="Times New Roman"/>
          <w:i/>
          <w:sz w:val="24"/>
          <w:szCs w:val="24"/>
        </w:rPr>
        <w:t xml:space="preserve">  </w:t>
      </w:r>
    </w:p>
    <w:p w:rsidR="0012087F" w:rsidRDefault="0012087F" w:rsidP="00D4671B">
      <w:pPr>
        <w:spacing w:before="0" w:after="0" w:line="240" w:lineRule="auto"/>
        <w:rPr>
          <w:rFonts w:ascii="Times New Roman" w:hAnsi="Times New Roman"/>
          <w:sz w:val="20"/>
        </w:rPr>
      </w:pPr>
    </w:p>
    <w:p w:rsidR="005B2E75" w:rsidRDefault="00274BC0" w:rsidP="00D4671B">
      <w:pPr>
        <w:autoSpaceDE w:val="0"/>
        <w:autoSpaceDN w:val="0"/>
        <w:adjustRightInd w:val="0"/>
        <w:spacing w:before="0" w:after="0" w:line="240" w:lineRule="auto"/>
        <w:rPr>
          <w:rFonts w:ascii="Times New Roman" w:hAnsi="Times New Roman"/>
          <w:b/>
          <w:sz w:val="24"/>
          <w:szCs w:val="24"/>
        </w:rPr>
      </w:pPr>
      <w:r w:rsidRPr="0012087F">
        <w:rPr>
          <w:rFonts w:ascii="Times New Roman" w:hAnsi="Times New Roman"/>
          <w:b/>
          <w:sz w:val="24"/>
          <w:szCs w:val="24"/>
        </w:rPr>
        <w:t>Background</w:t>
      </w:r>
    </w:p>
    <w:p w:rsidR="00EF1A9A" w:rsidRPr="003E3986" w:rsidRDefault="00EF1A9A" w:rsidP="00D4671B">
      <w:pPr>
        <w:autoSpaceDE w:val="0"/>
        <w:autoSpaceDN w:val="0"/>
        <w:adjustRightInd w:val="0"/>
        <w:spacing w:before="0" w:after="0" w:line="240" w:lineRule="auto"/>
        <w:rPr>
          <w:rFonts w:ascii="Times New Roman" w:hAnsi="Times New Roman"/>
          <w:b/>
          <w:sz w:val="20"/>
        </w:rPr>
      </w:pPr>
    </w:p>
    <w:p w:rsidR="00E568DA" w:rsidRDefault="00274BC0" w:rsidP="00D4671B">
      <w:pPr>
        <w:spacing w:before="0" w:after="0" w:line="240" w:lineRule="auto"/>
        <w:rPr>
          <w:rFonts w:ascii="Times New Roman" w:hAnsi="Times New Roman"/>
          <w:sz w:val="24"/>
          <w:szCs w:val="24"/>
        </w:rPr>
      </w:pPr>
      <w:r w:rsidRPr="0012087F">
        <w:rPr>
          <w:rFonts w:ascii="Times New Roman" w:hAnsi="Times New Roman"/>
          <w:sz w:val="24"/>
          <w:szCs w:val="24"/>
        </w:rPr>
        <w:t xml:space="preserve">The EMSN provides an increased Medicare rebate for Australian families and singles who incur </w:t>
      </w:r>
      <w:r w:rsidRPr="0012087F">
        <w:rPr>
          <w:rFonts w:ascii="Times New Roman" w:hAnsi="Times New Roman"/>
          <w:sz w:val="24"/>
          <w:szCs w:val="24"/>
        </w:rPr>
        <w:br w:type="textWrapping" w:clear="all"/>
        <w:t>o</w:t>
      </w:r>
      <w:r w:rsidR="008563EC">
        <w:rPr>
          <w:rFonts w:ascii="Times New Roman" w:hAnsi="Times New Roman"/>
          <w:sz w:val="24"/>
          <w:szCs w:val="24"/>
        </w:rPr>
        <w:t>ut-of-pocket costs for Medicare-</w:t>
      </w:r>
      <w:r w:rsidRPr="0012087F">
        <w:rPr>
          <w:rFonts w:ascii="Times New Roman" w:hAnsi="Times New Roman"/>
          <w:sz w:val="24"/>
          <w:szCs w:val="24"/>
        </w:rPr>
        <w:t>eligible out-of-hospital services</w:t>
      </w:r>
      <w:r w:rsidR="00197A29">
        <w:rPr>
          <w:rFonts w:ascii="Times New Roman" w:hAnsi="Times New Roman"/>
          <w:sz w:val="24"/>
          <w:szCs w:val="24"/>
        </w:rPr>
        <w:t>,</w:t>
      </w:r>
      <w:r w:rsidRPr="0012087F">
        <w:rPr>
          <w:rFonts w:ascii="Times New Roman" w:hAnsi="Times New Roman"/>
          <w:sz w:val="24"/>
          <w:szCs w:val="24"/>
        </w:rPr>
        <w:t xml:space="preserve"> and is provided for in sections 10ACA and 10ADA of the Act.  The out-of-pocket cost is the difference between the fee charged by the doctor and the standard Medicare rebate that the patient receives from Medicare</w:t>
      </w:r>
      <w:r w:rsidR="00E568DA">
        <w:rPr>
          <w:rFonts w:ascii="Times New Roman" w:hAnsi="Times New Roman"/>
          <w:sz w:val="24"/>
          <w:szCs w:val="24"/>
        </w:rPr>
        <w:t xml:space="preserve"> </w:t>
      </w:r>
      <w:r w:rsidR="00E568DA" w:rsidRPr="0012087F">
        <w:rPr>
          <w:rFonts w:ascii="Times New Roman" w:hAnsi="Times New Roman"/>
          <w:sz w:val="24"/>
          <w:szCs w:val="24"/>
        </w:rPr>
        <w:t>(including any benefit received through the original Medicare safety net)</w:t>
      </w:r>
      <w:r w:rsidRPr="0012087F">
        <w:rPr>
          <w:rFonts w:ascii="Times New Roman" w:hAnsi="Times New Roman"/>
          <w:sz w:val="24"/>
          <w:szCs w:val="24"/>
        </w:rPr>
        <w:t xml:space="preserve">.  </w:t>
      </w:r>
    </w:p>
    <w:p w:rsidR="00E568DA" w:rsidRDefault="00E568DA" w:rsidP="00D4671B">
      <w:pPr>
        <w:spacing w:before="0" w:after="0" w:line="240" w:lineRule="auto"/>
        <w:rPr>
          <w:rFonts w:ascii="Times New Roman" w:hAnsi="Times New Roman"/>
          <w:sz w:val="24"/>
          <w:szCs w:val="24"/>
        </w:rPr>
      </w:pPr>
    </w:p>
    <w:p w:rsidR="00274BC0" w:rsidRPr="0012087F" w:rsidRDefault="00274BC0" w:rsidP="00D4671B">
      <w:pPr>
        <w:spacing w:before="0" w:after="0" w:line="240" w:lineRule="auto"/>
        <w:rPr>
          <w:rFonts w:ascii="Times New Roman" w:hAnsi="Times New Roman"/>
          <w:sz w:val="24"/>
          <w:szCs w:val="24"/>
        </w:rPr>
      </w:pPr>
      <w:r w:rsidRPr="0012087F">
        <w:rPr>
          <w:rFonts w:ascii="Times New Roman" w:hAnsi="Times New Roman"/>
          <w:sz w:val="24"/>
          <w:szCs w:val="24"/>
        </w:rPr>
        <w:t>Once the relevant annual threshold of out-of-pocket costs has been reached, Medicare will pay 80</w:t>
      </w:r>
      <w:r w:rsidR="00D46CCB">
        <w:rPr>
          <w:rFonts w:ascii="Times New Roman" w:hAnsi="Times New Roman"/>
          <w:sz w:val="24"/>
          <w:szCs w:val="24"/>
        </w:rPr>
        <w:t xml:space="preserve"> per cent </w:t>
      </w:r>
      <w:r w:rsidRPr="0012087F">
        <w:rPr>
          <w:rFonts w:ascii="Times New Roman" w:hAnsi="Times New Roman"/>
          <w:sz w:val="24"/>
          <w:szCs w:val="24"/>
        </w:rPr>
        <w:t>of any future out-of-p</w:t>
      </w:r>
      <w:r w:rsidR="008563EC">
        <w:rPr>
          <w:rFonts w:ascii="Times New Roman" w:hAnsi="Times New Roman"/>
          <w:sz w:val="24"/>
          <w:szCs w:val="24"/>
        </w:rPr>
        <w:t>ocket costs for Medicare-</w:t>
      </w:r>
      <w:r w:rsidRPr="0012087F">
        <w:rPr>
          <w:rFonts w:ascii="Times New Roman" w:hAnsi="Times New Roman"/>
          <w:sz w:val="24"/>
          <w:szCs w:val="24"/>
        </w:rPr>
        <w:t>eligible out-of-hospital services for the remainder of the</w:t>
      </w:r>
      <w:r w:rsidR="00CC6FA7" w:rsidRPr="0012087F">
        <w:rPr>
          <w:rFonts w:ascii="Times New Roman" w:hAnsi="Times New Roman"/>
          <w:sz w:val="24"/>
          <w:szCs w:val="24"/>
        </w:rPr>
        <w:t xml:space="preserve"> calendar year. </w:t>
      </w:r>
      <w:r w:rsidRPr="0012087F">
        <w:rPr>
          <w:rFonts w:ascii="Times New Roman" w:hAnsi="Times New Roman"/>
          <w:sz w:val="24"/>
          <w:szCs w:val="24"/>
        </w:rPr>
        <w:t>For the 201</w:t>
      </w:r>
      <w:r w:rsidR="00E52208">
        <w:rPr>
          <w:rFonts w:ascii="Times New Roman" w:hAnsi="Times New Roman"/>
          <w:sz w:val="24"/>
          <w:szCs w:val="24"/>
        </w:rPr>
        <w:t>3</w:t>
      </w:r>
      <w:r w:rsidRPr="0012087F">
        <w:rPr>
          <w:rFonts w:ascii="Times New Roman" w:hAnsi="Times New Roman"/>
          <w:sz w:val="24"/>
          <w:szCs w:val="24"/>
        </w:rPr>
        <w:t xml:space="preserve"> calendar year, the annual EMSN threshold for concession cardholders and people who receive Family Tax Benefits (Part A) is $</w:t>
      </w:r>
      <w:r w:rsidR="00E52208">
        <w:rPr>
          <w:rFonts w:ascii="Times New Roman" w:hAnsi="Times New Roman"/>
          <w:sz w:val="24"/>
          <w:szCs w:val="24"/>
        </w:rPr>
        <w:t>610.70</w:t>
      </w:r>
      <w:r w:rsidRPr="0012087F">
        <w:rPr>
          <w:rFonts w:ascii="Times New Roman" w:hAnsi="Times New Roman"/>
          <w:sz w:val="24"/>
          <w:szCs w:val="24"/>
        </w:rPr>
        <w:t>.  For all other singles and families</w:t>
      </w:r>
      <w:r w:rsidR="008563EC">
        <w:rPr>
          <w:rFonts w:ascii="Times New Roman" w:hAnsi="Times New Roman"/>
          <w:sz w:val="24"/>
          <w:szCs w:val="24"/>
        </w:rPr>
        <w:t>,</w:t>
      </w:r>
      <w:r w:rsidRPr="0012087F">
        <w:rPr>
          <w:rFonts w:ascii="Times New Roman" w:hAnsi="Times New Roman"/>
          <w:sz w:val="24"/>
          <w:szCs w:val="24"/>
        </w:rPr>
        <w:t xml:space="preserve"> the annual threshold is $1,</w:t>
      </w:r>
      <w:r w:rsidR="00E52208">
        <w:rPr>
          <w:rFonts w:ascii="Times New Roman" w:hAnsi="Times New Roman"/>
          <w:sz w:val="24"/>
          <w:szCs w:val="24"/>
        </w:rPr>
        <w:t>221.90</w:t>
      </w:r>
      <w:r w:rsidRPr="0012087F">
        <w:rPr>
          <w:rFonts w:ascii="Times New Roman" w:hAnsi="Times New Roman"/>
          <w:sz w:val="24"/>
          <w:szCs w:val="24"/>
        </w:rPr>
        <w:t>.  </w:t>
      </w:r>
      <w:r w:rsidR="00E568DA">
        <w:rPr>
          <w:rFonts w:ascii="Times New Roman" w:hAnsi="Times New Roman"/>
          <w:sz w:val="24"/>
          <w:szCs w:val="24"/>
        </w:rPr>
        <w:t>W</w:t>
      </w:r>
      <w:r w:rsidR="00E568DA" w:rsidRPr="0012087F">
        <w:rPr>
          <w:rFonts w:ascii="Times New Roman" w:hAnsi="Times New Roman"/>
          <w:sz w:val="24"/>
          <w:szCs w:val="24"/>
        </w:rPr>
        <w:t>here an item has an EMSN benefit cap, there is a maximum benefit payable for that item.  </w:t>
      </w:r>
    </w:p>
    <w:p w:rsidR="008A53FE" w:rsidRPr="002F5E67" w:rsidRDefault="008A53FE" w:rsidP="00D4671B">
      <w:pPr>
        <w:spacing w:before="0" w:after="0" w:line="240" w:lineRule="auto"/>
        <w:rPr>
          <w:rFonts w:ascii="Times New Roman" w:hAnsi="Times New Roman"/>
          <w:sz w:val="24"/>
          <w:szCs w:val="24"/>
        </w:rPr>
      </w:pPr>
    </w:p>
    <w:p w:rsidR="00EA3A32" w:rsidRPr="002F5E67" w:rsidRDefault="00EA3A32" w:rsidP="00D4671B">
      <w:pPr>
        <w:spacing w:before="0" w:after="0" w:line="240" w:lineRule="auto"/>
        <w:rPr>
          <w:rFonts w:ascii="Times New Roman" w:hAnsi="Times New Roman"/>
          <w:sz w:val="24"/>
          <w:szCs w:val="24"/>
        </w:rPr>
      </w:pPr>
      <w:r w:rsidRPr="002F5E67">
        <w:rPr>
          <w:rFonts w:ascii="Times New Roman" w:hAnsi="Times New Roman"/>
          <w:sz w:val="24"/>
          <w:szCs w:val="24"/>
        </w:rPr>
        <w:t xml:space="preserve">EMSN benefit caps were introduced in 2010 to discourage </w:t>
      </w:r>
      <w:r>
        <w:rPr>
          <w:rFonts w:ascii="Times New Roman" w:hAnsi="Times New Roman"/>
          <w:sz w:val="24"/>
          <w:szCs w:val="24"/>
        </w:rPr>
        <w:t xml:space="preserve">doctors from charging excessive fees </w:t>
      </w:r>
      <w:r w:rsidR="00214205">
        <w:rPr>
          <w:rFonts w:ascii="Times New Roman" w:hAnsi="Times New Roman"/>
          <w:sz w:val="24"/>
          <w:szCs w:val="24"/>
        </w:rPr>
        <w:t>on the basis</w:t>
      </w:r>
      <w:r>
        <w:rPr>
          <w:rFonts w:ascii="Times New Roman" w:hAnsi="Times New Roman"/>
          <w:sz w:val="24"/>
          <w:szCs w:val="24"/>
        </w:rPr>
        <w:t xml:space="preserve"> that Medicare would cover 80% of patients’ out-of-pocket costs once they reached </w:t>
      </w:r>
      <w:r w:rsidR="00AE0992">
        <w:rPr>
          <w:rFonts w:ascii="Times New Roman" w:hAnsi="Times New Roman"/>
          <w:sz w:val="24"/>
          <w:szCs w:val="24"/>
        </w:rPr>
        <w:t>the EMSN</w:t>
      </w:r>
      <w:r>
        <w:rPr>
          <w:rFonts w:ascii="Times New Roman" w:hAnsi="Times New Roman"/>
          <w:sz w:val="24"/>
          <w:szCs w:val="24"/>
        </w:rPr>
        <w:t xml:space="preserve"> threshold.  </w:t>
      </w:r>
    </w:p>
    <w:p w:rsidR="00EA3A32" w:rsidRDefault="00EA3A32" w:rsidP="00D4671B">
      <w:pPr>
        <w:spacing w:before="0" w:after="0" w:line="240" w:lineRule="auto"/>
        <w:rPr>
          <w:rFonts w:ascii="Times New Roman" w:hAnsi="Times New Roman"/>
          <w:sz w:val="20"/>
        </w:rPr>
      </w:pPr>
    </w:p>
    <w:p w:rsidR="001866C7" w:rsidRPr="00855582" w:rsidRDefault="001866C7" w:rsidP="00D4671B">
      <w:pPr>
        <w:spacing w:before="0" w:after="0" w:line="240" w:lineRule="auto"/>
        <w:rPr>
          <w:rFonts w:ascii="Times New Roman" w:hAnsi="Times New Roman"/>
          <w:i/>
          <w:sz w:val="24"/>
          <w:szCs w:val="24"/>
          <w:u w:val="single"/>
        </w:rPr>
      </w:pPr>
      <w:r w:rsidRPr="00855582">
        <w:rPr>
          <w:rFonts w:ascii="Times New Roman" w:hAnsi="Times New Roman"/>
          <w:i/>
          <w:sz w:val="24"/>
          <w:szCs w:val="24"/>
          <w:u w:val="single"/>
        </w:rPr>
        <w:t>Radiofrequency Ablation</w:t>
      </w:r>
    </w:p>
    <w:p w:rsidR="00D46CCB" w:rsidRDefault="001866C7" w:rsidP="00D46CCB">
      <w:pPr>
        <w:spacing w:before="0" w:after="0" w:line="240" w:lineRule="auto"/>
        <w:rPr>
          <w:rFonts w:ascii="Times New Roman" w:hAnsi="Times New Roman"/>
          <w:sz w:val="24"/>
          <w:szCs w:val="24"/>
        </w:rPr>
      </w:pPr>
      <w:r w:rsidRPr="00517582">
        <w:rPr>
          <w:rFonts w:ascii="Times New Roman" w:hAnsi="Times New Roman"/>
          <w:sz w:val="24"/>
          <w:szCs w:val="24"/>
        </w:rPr>
        <w:t xml:space="preserve">From 1 </w:t>
      </w:r>
      <w:r>
        <w:rPr>
          <w:rFonts w:ascii="Times New Roman" w:hAnsi="Times New Roman"/>
          <w:sz w:val="24"/>
          <w:szCs w:val="24"/>
        </w:rPr>
        <w:t>May 2013</w:t>
      </w:r>
      <w:r w:rsidRPr="00517582">
        <w:rPr>
          <w:rFonts w:ascii="Times New Roman" w:hAnsi="Times New Roman"/>
          <w:sz w:val="24"/>
          <w:szCs w:val="24"/>
        </w:rPr>
        <w:t xml:space="preserve">, two new MBS items will be introduced for </w:t>
      </w:r>
      <w:r w:rsidR="00D46CCB">
        <w:rPr>
          <w:rFonts w:ascii="Times New Roman" w:hAnsi="Times New Roman"/>
          <w:sz w:val="24"/>
          <w:szCs w:val="24"/>
        </w:rPr>
        <w:t xml:space="preserve">RFA </w:t>
      </w:r>
      <w:r>
        <w:rPr>
          <w:rFonts w:ascii="Times New Roman" w:hAnsi="Times New Roman"/>
          <w:sz w:val="24"/>
          <w:szCs w:val="24"/>
        </w:rPr>
        <w:t>(MBS items 32523 and 32526)</w:t>
      </w:r>
      <w:r w:rsidRPr="00517582">
        <w:rPr>
          <w:rFonts w:ascii="Times New Roman" w:hAnsi="Times New Roman"/>
          <w:sz w:val="24"/>
          <w:szCs w:val="24"/>
        </w:rPr>
        <w:t>.</w:t>
      </w:r>
    </w:p>
    <w:p w:rsidR="001866C7" w:rsidRDefault="001866C7" w:rsidP="00D46CCB">
      <w:pPr>
        <w:spacing w:before="0" w:after="0" w:line="240" w:lineRule="auto"/>
        <w:rPr>
          <w:rFonts w:ascii="Times New Roman" w:hAnsi="Times New Roman"/>
          <w:b/>
          <w:sz w:val="24"/>
          <w:szCs w:val="24"/>
        </w:rPr>
      </w:pPr>
      <w:r w:rsidRPr="00517582">
        <w:rPr>
          <w:rFonts w:ascii="Times New Roman" w:hAnsi="Times New Roman"/>
          <w:sz w:val="24"/>
          <w:szCs w:val="24"/>
        </w:rPr>
        <w:t xml:space="preserve">  </w:t>
      </w:r>
    </w:p>
    <w:p w:rsidR="006C754C" w:rsidRDefault="006C754C" w:rsidP="006C754C">
      <w:pPr>
        <w:spacing w:before="0" w:after="0" w:line="240" w:lineRule="auto"/>
        <w:rPr>
          <w:rFonts w:ascii="Times New Roman" w:hAnsi="Times New Roman"/>
          <w:sz w:val="24"/>
          <w:szCs w:val="24"/>
          <w:lang w:val="en"/>
        </w:rPr>
      </w:pPr>
      <w:r w:rsidRPr="003F3507">
        <w:rPr>
          <w:rFonts w:ascii="Times New Roman" w:hAnsi="Times New Roman"/>
          <w:sz w:val="24"/>
          <w:szCs w:val="24"/>
        </w:rPr>
        <w:t xml:space="preserve">RFA is an alternative </w:t>
      </w:r>
      <w:r>
        <w:rPr>
          <w:rFonts w:ascii="Times New Roman" w:hAnsi="Times New Roman"/>
          <w:sz w:val="24"/>
          <w:szCs w:val="24"/>
        </w:rPr>
        <w:t xml:space="preserve">to </w:t>
      </w:r>
      <w:proofErr w:type="spellStart"/>
      <w:r>
        <w:rPr>
          <w:rFonts w:ascii="Times New Roman" w:hAnsi="Times New Roman"/>
          <w:sz w:val="24"/>
          <w:szCs w:val="24"/>
        </w:rPr>
        <w:t>endovenous</w:t>
      </w:r>
      <w:proofErr w:type="spellEnd"/>
      <w:r>
        <w:rPr>
          <w:rFonts w:ascii="Times New Roman" w:hAnsi="Times New Roman"/>
          <w:sz w:val="24"/>
          <w:szCs w:val="24"/>
        </w:rPr>
        <w:t xml:space="preserve"> laser t</w:t>
      </w:r>
      <w:r w:rsidRPr="003F3507">
        <w:rPr>
          <w:rFonts w:ascii="Times New Roman" w:hAnsi="Times New Roman"/>
          <w:sz w:val="24"/>
          <w:szCs w:val="24"/>
        </w:rPr>
        <w:t xml:space="preserve">herapy (ELT) and complex in-hospital vein stripping for the treatment of varicose veins in the lower legs.  A radiofrequency emitter is inserted into the long or short saphenous vein of the leg and energy is applied to occlude the diseased vein. </w:t>
      </w:r>
      <w:r w:rsidRPr="003F3507">
        <w:rPr>
          <w:rFonts w:ascii="Times New Roman" w:hAnsi="Times New Roman"/>
          <w:color w:val="auto"/>
          <w:sz w:val="24"/>
          <w:szCs w:val="24"/>
          <w:lang w:val="en"/>
        </w:rPr>
        <w:t xml:space="preserve"> </w:t>
      </w:r>
      <w:r w:rsidRPr="003F3507">
        <w:rPr>
          <w:rFonts w:ascii="Times New Roman" w:hAnsi="Times New Roman"/>
          <w:sz w:val="24"/>
          <w:szCs w:val="24"/>
          <w:lang w:val="en"/>
        </w:rPr>
        <w:t>In 2012,</w:t>
      </w:r>
      <w:r w:rsidR="00D46CCB">
        <w:rPr>
          <w:rFonts w:ascii="Times New Roman" w:hAnsi="Times New Roman"/>
          <w:sz w:val="24"/>
          <w:szCs w:val="24"/>
          <w:lang w:val="en"/>
        </w:rPr>
        <w:t xml:space="preserve"> the Medical Services Advisory Committee (</w:t>
      </w:r>
      <w:r w:rsidRPr="003F3507">
        <w:rPr>
          <w:rFonts w:ascii="Times New Roman" w:hAnsi="Times New Roman"/>
          <w:sz w:val="24"/>
          <w:szCs w:val="24"/>
          <w:lang w:val="en"/>
        </w:rPr>
        <w:t>MSAC</w:t>
      </w:r>
      <w:r w:rsidR="00D46CCB">
        <w:rPr>
          <w:rFonts w:ascii="Times New Roman" w:hAnsi="Times New Roman"/>
          <w:sz w:val="24"/>
          <w:szCs w:val="24"/>
          <w:lang w:val="en"/>
        </w:rPr>
        <w:t>)</w:t>
      </w:r>
      <w:r w:rsidRPr="003F3507">
        <w:rPr>
          <w:rFonts w:ascii="Times New Roman" w:hAnsi="Times New Roman"/>
          <w:sz w:val="24"/>
          <w:szCs w:val="24"/>
          <w:lang w:val="en"/>
        </w:rPr>
        <w:t xml:space="preserve"> found that RFA is safe and clinically effective when compared to ELT</w:t>
      </w:r>
      <w:r w:rsidR="00006339">
        <w:rPr>
          <w:rFonts w:ascii="Times New Roman" w:hAnsi="Times New Roman"/>
          <w:sz w:val="24"/>
          <w:szCs w:val="24"/>
          <w:lang w:val="en"/>
        </w:rPr>
        <w:t>.  MSAC supported public funding of RFA for varicose veins on the condition that the service was subject to the same EMSN benefit caps as those already in place for ELT.</w:t>
      </w:r>
      <w:r w:rsidRPr="003F3507">
        <w:rPr>
          <w:rFonts w:ascii="Times New Roman" w:hAnsi="Times New Roman"/>
          <w:sz w:val="24"/>
          <w:szCs w:val="24"/>
          <w:lang w:val="en"/>
        </w:rPr>
        <w:t xml:space="preserve"> </w:t>
      </w:r>
    </w:p>
    <w:p w:rsidR="006C754C" w:rsidRDefault="006C754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b/>
          <w:sz w:val="24"/>
          <w:szCs w:val="24"/>
        </w:rPr>
      </w:pPr>
    </w:p>
    <w:p w:rsidR="002F07A6" w:rsidRDefault="002F07A6">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b/>
          <w:sz w:val="24"/>
          <w:szCs w:val="24"/>
        </w:rPr>
      </w:pPr>
    </w:p>
    <w:p w:rsidR="000E2279" w:rsidRDefault="000E227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b/>
          <w:sz w:val="24"/>
          <w:szCs w:val="24"/>
        </w:rPr>
      </w:pPr>
    </w:p>
    <w:p w:rsidR="002F07A6" w:rsidRDefault="002F07A6">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b/>
          <w:sz w:val="24"/>
          <w:szCs w:val="24"/>
        </w:rPr>
      </w:pPr>
    </w:p>
    <w:p w:rsidR="002F07A6" w:rsidRDefault="002F07A6" w:rsidP="003756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i/>
          <w:sz w:val="24"/>
          <w:szCs w:val="24"/>
          <w:u w:val="single"/>
        </w:rPr>
      </w:pPr>
    </w:p>
    <w:p w:rsidR="003756C3" w:rsidRPr="00855582" w:rsidRDefault="003756C3" w:rsidP="003756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b/>
          <w:sz w:val="24"/>
          <w:szCs w:val="24"/>
        </w:rPr>
      </w:pPr>
      <w:r w:rsidRPr="0016264F">
        <w:rPr>
          <w:rFonts w:ascii="Times New Roman" w:hAnsi="Times New Roman"/>
          <w:i/>
          <w:sz w:val="24"/>
          <w:szCs w:val="24"/>
          <w:u w:val="single"/>
        </w:rPr>
        <w:lastRenderedPageBreak/>
        <w:t>Group M15</w:t>
      </w:r>
      <w:r w:rsidR="00034049">
        <w:rPr>
          <w:rFonts w:ascii="Times New Roman" w:hAnsi="Times New Roman"/>
          <w:i/>
          <w:sz w:val="24"/>
          <w:szCs w:val="24"/>
          <w:u w:val="single"/>
        </w:rPr>
        <w:t xml:space="preserve"> of the General Medical Services Table</w:t>
      </w:r>
    </w:p>
    <w:p w:rsidR="003756C3" w:rsidRPr="00855582" w:rsidRDefault="00D46CCB" w:rsidP="00855582">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sz w:val="24"/>
          <w:szCs w:val="24"/>
        </w:rPr>
      </w:pPr>
      <w:r>
        <w:rPr>
          <w:rFonts w:ascii="Times New Roman" w:hAnsi="Times New Roman"/>
          <w:sz w:val="24"/>
          <w:szCs w:val="24"/>
        </w:rPr>
        <w:t>On 1 November 2012, nine new items for diagnostic audiology services were introduced into the MBS.  The new items enable an audiologist to bill Medicare directly for performing diagnostic services, rather than providing services on behalf of a specialist.</w:t>
      </w:r>
    </w:p>
    <w:p w:rsidR="003756C3" w:rsidRPr="00855582" w:rsidRDefault="003756C3" w:rsidP="00855582">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sz w:val="24"/>
          <w:szCs w:val="24"/>
        </w:rPr>
      </w:pPr>
    </w:p>
    <w:p w:rsidR="003756C3" w:rsidRPr="00855582" w:rsidRDefault="003756C3" w:rsidP="00855582">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sz w:val="24"/>
          <w:szCs w:val="24"/>
        </w:rPr>
      </w:pPr>
      <w:r w:rsidRPr="00855582">
        <w:rPr>
          <w:rFonts w:ascii="Times New Roman" w:hAnsi="Times New Roman"/>
          <w:sz w:val="24"/>
          <w:szCs w:val="24"/>
        </w:rPr>
        <w:t xml:space="preserve">Diagnostic hearing tests are used for the </w:t>
      </w:r>
      <w:proofErr w:type="spellStart"/>
      <w:r w:rsidRPr="00855582">
        <w:rPr>
          <w:rFonts w:ascii="Times New Roman" w:hAnsi="Times New Roman"/>
          <w:sz w:val="24"/>
          <w:szCs w:val="24"/>
        </w:rPr>
        <w:t>audiological</w:t>
      </w:r>
      <w:proofErr w:type="spellEnd"/>
      <w:r w:rsidRPr="00855582">
        <w:rPr>
          <w:rFonts w:ascii="Times New Roman" w:hAnsi="Times New Roman"/>
          <w:sz w:val="24"/>
          <w:szCs w:val="24"/>
        </w:rPr>
        <w:t xml:space="preserve"> assessment of patients with potential medical conditions (ear disease or related disorders), or patients whose hearing loss may be able to be corrected by surgery or medical intervention.   </w:t>
      </w:r>
    </w:p>
    <w:p w:rsidR="001866C7" w:rsidRDefault="001866C7">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sz w:val="24"/>
          <w:szCs w:val="24"/>
        </w:rPr>
      </w:pPr>
    </w:p>
    <w:p w:rsidR="003756C3" w:rsidRDefault="003756C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sz w:val="24"/>
          <w:szCs w:val="24"/>
        </w:rPr>
      </w:pPr>
    </w:p>
    <w:p w:rsidR="00CF6922" w:rsidRPr="00D4671B" w:rsidRDefault="00C23AB3" w:rsidP="00D4671B">
      <w:pPr>
        <w:spacing w:before="0" w:after="0" w:line="240" w:lineRule="auto"/>
        <w:rPr>
          <w:rFonts w:ascii="Times New Roman" w:hAnsi="Times New Roman"/>
          <w:b/>
          <w:sz w:val="24"/>
          <w:szCs w:val="24"/>
        </w:rPr>
      </w:pPr>
      <w:r w:rsidRPr="00D4671B">
        <w:rPr>
          <w:rFonts w:ascii="Times New Roman" w:hAnsi="Times New Roman"/>
          <w:b/>
          <w:sz w:val="24"/>
          <w:szCs w:val="24"/>
        </w:rPr>
        <w:t xml:space="preserve">Effect of the </w:t>
      </w:r>
      <w:r w:rsidR="00CF6922" w:rsidRPr="00D4671B">
        <w:rPr>
          <w:rFonts w:ascii="Times New Roman" w:hAnsi="Times New Roman"/>
          <w:b/>
          <w:sz w:val="24"/>
          <w:szCs w:val="24"/>
        </w:rPr>
        <w:t>Health Insurance (Extended Medicare Safety Net) Amendment Determination 201</w:t>
      </w:r>
      <w:r w:rsidR="002339B3">
        <w:rPr>
          <w:rFonts w:ascii="Times New Roman" w:hAnsi="Times New Roman"/>
          <w:b/>
          <w:sz w:val="24"/>
          <w:szCs w:val="24"/>
        </w:rPr>
        <w:t>3</w:t>
      </w:r>
      <w:r w:rsidR="0074595E" w:rsidRPr="00D4671B">
        <w:rPr>
          <w:rFonts w:ascii="Times New Roman" w:hAnsi="Times New Roman"/>
          <w:b/>
          <w:sz w:val="24"/>
          <w:szCs w:val="24"/>
        </w:rPr>
        <w:t xml:space="preserve"> (No.</w:t>
      </w:r>
      <w:r w:rsidR="002339B3">
        <w:rPr>
          <w:rFonts w:ascii="Times New Roman" w:hAnsi="Times New Roman"/>
          <w:b/>
          <w:sz w:val="24"/>
          <w:szCs w:val="24"/>
        </w:rPr>
        <w:t>1</w:t>
      </w:r>
      <w:r w:rsidR="0074595E" w:rsidRPr="00D4671B">
        <w:rPr>
          <w:rFonts w:ascii="Times New Roman" w:hAnsi="Times New Roman"/>
          <w:b/>
          <w:sz w:val="24"/>
          <w:szCs w:val="24"/>
        </w:rPr>
        <w:t>)</w:t>
      </w:r>
    </w:p>
    <w:p w:rsidR="006C754C" w:rsidRDefault="006C754C" w:rsidP="00E54B1C">
      <w:pPr>
        <w:spacing w:before="0" w:after="0" w:line="240" w:lineRule="auto"/>
        <w:rPr>
          <w:rFonts w:ascii="Times New Roman" w:hAnsi="Times New Roman"/>
          <w:sz w:val="24"/>
          <w:szCs w:val="24"/>
        </w:rPr>
      </w:pPr>
    </w:p>
    <w:p w:rsidR="00753239" w:rsidRDefault="00753239" w:rsidP="00753239">
      <w:pPr>
        <w:spacing w:before="0" w:after="0" w:line="240" w:lineRule="auto"/>
        <w:rPr>
          <w:rFonts w:ascii="Times New Roman" w:hAnsi="Times New Roman"/>
          <w:sz w:val="24"/>
          <w:szCs w:val="24"/>
        </w:rPr>
      </w:pPr>
      <w:r>
        <w:rPr>
          <w:rFonts w:ascii="Times New Roman" w:hAnsi="Times New Roman"/>
          <w:sz w:val="24"/>
          <w:szCs w:val="24"/>
        </w:rPr>
        <w:t>Patients who have qualified for the EMSN and receiv</w:t>
      </w:r>
      <w:r w:rsidR="00EE00FB">
        <w:rPr>
          <w:rFonts w:ascii="Times New Roman" w:hAnsi="Times New Roman"/>
          <w:sz w:val="24"/>
          <w:szCs w:val="24"/>
        </w:rPr>
        <w:t>e</w:t>
      </w:r>
      <w:r w:rsidR="00B60213">
        <w:rPr>
          <w:rFonts w:ascii="Times New Roman" w:hAnsi="Times New Roman"/>
          <w:sz w:val="24"/>
          <w:szCs w:val="24"/>
        </w:rPr>
        <w:t xml:space="preserve"> a</w:t>
      </w:r>
      <w:r>
        <w:rPr>
          <w:rFonts w:ascii="Times New Roman" w:hAnsi="Times New Roman"/>
          <w:sz w:val="24"/>
          <w:szCs w:val="24"/>
        </w:rPr>
        <w:t xml:space="preserve"> capped service out</w:t>
      </w:r>
      <w:r>
        <w:rPr>
          <w:rFonts w:ascii="Times New Roman" w:hAnsi="Times New Roman"/>
          <w:sz w:val="24"/>
          <w:szCs w:val="24"/>
        </w:rPr>
        <w:noBreakHyphen/>
        <w:t>of</w:t>
      </w:r>
      <w:r>
        <w:rPr>
          <w:rFonts w:ascii="Times New Roman" w:hAnsi="Times New Roman"/>
          <w:sz w:val="24"/>
          <w:szCs w:val="24"/>
        </w:rPr>
        <w:noBreakHyphen/>
        <w:t xml:space="preserve">hospital will be entitled to the general Medicare benefit plus an amount up to the EMSN benefit cap.  In addition, patients may also be eligible for an increase in their Medicare benefit through the original Medicare safety net, as specified under section 10AC of the Act. </w:t>
      </w:r>
    </w:p>
    <w:p w:rsidR="00753239" w:rsidRDefault="00753239" w:rsidP="00E54B1C">
      <w:pPr>
        <w:spacing w:before="0" w:after="0" w:line="240" w:lineRule="auto"/>
        <w:rPr>
          <w:rFonts w:ascii="Times New Roman" w:hAnsi="Times New Roman"/>
          <w:sz w:val="24"/>
          <w:szCs w:val="24"/>
        </w:rPr>
      </w:pPr>
    </w:p>
    <w:p w:rsidR="00C23AB3" w:rsidRPr="0012087F" w:rsidRDefault="00C23AB3" w:rsidP="00E54B1C">
      <w:pPr>
        <w:autoSpaceDE w:val="0"/>
        <w:autoSpaceDN w:val="0"/>
        <w:adjustRightInd w:val="0"/>
        <w:spacing w:before="0" w:after="0" w:line="240" w:lineRule="auto"/>
        <w:rPr>
          <w:rFonts w:ascii="Times New Roman" w:hAnsi="Times New Roman"/>
          <w:sz w:val="24"/>
          <w:szCs w:val="24"/>
        </w:rPr>
      </w:pPr>
      <w:r w:rsidRPr="0012087F">
        <w:rPr>
          <w:rFonts w:ascii="Times New Roman" w:hAnsi="Times New Roman"/>
          <w:sz w:val="24"/>
          <w:szCs w:val="24"/>
        </w:rPr>
        <w:t>The EMSN benefit cap amount</w:t>
      </w:r>
      <w:r w:rsidR="007505C5">
        <w:rPr>
          <w:rFonts w:ascii="Times New Roman" w:hAnsi="Times New Roman"/>
          <w:sz w:val="24"/>
          <w:szCs w:val="24"/>
        </w:rPr>
        <w:t>s</w:t>
      </w:r>
      <w:r w:rsidRPr="0012087F">
        <w:rPr>
          <w:rFonts w:ascii="Times New Roman" w:hAnsi="Times New Roman"/>
          <w:sz w:val="24"/>
          <w:szCs w:val="24"/>
        </w:rPr>
        <w:t xml:space="preserve"> for the new item</w:t>
      </w:r>
      <w:r w:rsidR="00414E0C">
        <w:rPr>
          <w:rFonts w:ascii="Times New Roman" w:hAnsi="Times New Roman"/>
          <w:sz w:val="24"/>
          <w:szCs w:val="24"/>
        </w:rPr>
        <w:t>s</w:t>
      </w:r>
      <w:r w:rsidRPr="0012087F">
        <w:rPr>
          <w:rFonts w:ascii="Times New Roman" w:hAnsi="Times New Roman"/>
          <w:sz w:val="24"/>
          <w:szCs w:val="24"/>
        </w:rPr>
        <w:t xml:space="preserve"> will be publicly available for patients and practitioners through the MBS Online website.  This website is a commonly used resource which sets out item descriptor</w:t>
      </w:r>
      <w:r w:rsidR="00197A29">
        <w:rPr>
          <w:rFonts w:ascii="Times New Roman" w:hAnsi="Times New Roman"/>
          <w:sz w:val="24"/>
          <w:szCs w:val="24"/>
        </w:rPr>
        <w:t>s</w:t>
      </w:r>
      <w:r w:rsidR="003D79CE">
        <w:rPr>
          <w:rFonts w:ascii="Times New Roman" w:hAnsi="Times New Roman"/>
          <w:sz w:val="24"/>
          <w:szCs w:val="24"/>
        </w:rPr>
        <w:t xml:space="preserve">, </w:t>
      </w:r>
      <w:r w:rsidR="008B27C1">
        <w:rPr>
          <w:rFonts w:ascii="Times New Roman" w:hAnsi="Times New Roman"/>
          <w:sz w:val="24"/>
          <w:szCs w:val="24"/>
        </w:rPr>
        <w:t>MBS s</w:t>
      </w:r>
      <w:r w:rsidRPr="0012087F">
        <w:rPr>
          <w:rFonts w:ascii="Times New Roman" w:hAnsi="Times New Roman"/>
          <w:sz w:val="24"/>
          <w:szCs w:val="24"/>
        </w:rPr>
        <w:t xml:space="preserve">chedule fees and rebates for all Medicare items. </w:t>
      </w:r>
      <w:r w:rsidR="00197A29">
        <w:rPr>
          <w:rFonts w:ascii="Times New Roman" w:hAnsi="Times New Roman"/>
          <w:sz w:val="24"/>
          <w:szCs w:val="24"/>
        </w:rPr>
        <w:t xml:space="preserve"> </w:t>
      </w:r>
      <w:r w:rsidRPr="0012087F">
        <w:rPr>
          <w:rFonts w:ascii="Times New Roman" w:hAnsi="Times New Roman"/>
          <w:sz w:val="24"/>
          <w:szCs w:val="24"/>
        </w:rPr>
        <w:t>The EMSN benefit cap will be clearly displayed in the item descriptor to ensure that practitioners and patients are well informed of patient entitlements relat</w:t>
      </w:r>
      <w:r w:rsidR="006B03F4">
        <w:rPr>
          <w:rFonts w:ascii="Times New Roman" w:hAnsi="Times New Roman"/>
          <w:sz w:val="24"/>
          <w:szCs w:val="24"/>
        </w:rPr>
        <w:t>ing</w:t>
      </w:r>
      <w:r w:rsidRPr="0012087F">
        <w:rPr>
          <w:rFonts w:ascii="Times New Roman" w:hAnsi="Times New Roman"/>
          <w:sz w:val="24"/>
          <w:szCs w:val="24"/>
        </w:rPr>
        <w:t xml:space="preserve"> to Medicare services.</w:t>
      </w:r>
    </w:p>
    <w:p w:rsidR="00C23AB3" w:rsidRPr="00A86956" w:rsidRDefault="00C23AB3" w:rsidP="00E54B1C">
      <w:pPr>
        <w:autoSpaceDE w:val="0"/>
        <w:autoSpaceDN w:val="0"/>
        <w:adjustRightInd w:val="0"/>
        <w:spacing w:before="0" w:after="0" w:line="240" w:lineRule="auto"/>
        <w:rPr>
          <w:rFonts w:ascii="Times New Roman" w:hAnsi="Times New Roman"/>
          <w:b/>
          <w:sz w:val="20"/>
        </w:rPr>
      </w:pPr>
    </w:p>
    <w:p w:rsidR="00C23AB3" w:rsidRPr="0012087F" w:rsidRDefault="00C23AB3" w:rsidP="00E54B1C">
      <w:pPr>
        <w:autoSpaceDE w:val="0"/>
        <w:autoSpaceDN w:val="0"/>
        <w:adjustRightInd w:val="0"/>
        <w:spacing w:before="0" w:after="0" w:line="240" w:lineRule="auto"/>
        <w:rPr>
          <w:rFonts w:ascii="Times New Roman" w:hAnsi="Times New Roman"/>
          <w:sz w:val="24"/>
          <w:szCs w:val="24"/>
        </w:rPr>
      </w:pPr>
      <w:r w:rsidRPr="0012087F">
        <w:rPr>
          <w:rFonts w:ascii="Times New Roman" w:hAnsi="Times New Roman"/>
          <w:sz w:val="24"/>
          <w:szCs w:val="24"/>
        </w:rPr>
        <w:t xml:space="preserve">Details of the Determination can be found in the </w:t>
      </w:r>
      <w:r w:rsidRPr="0012087F">
        <w:rPr>
          <w:rFonts w:ascii="Times New Roman" w:hAnsi="Times New Roman"/>
          <w:sz w:val="24"/>
          <w:szCs w:val="24"/>
          <w:u w:val="single"/>
        </w:rPr>
        <w:t>Attachment</w:t>
      </w:r>
      <w:r w:rsidRPr="0012087F">
        <w:rPr>
          <w:rFonts w:ascii="Times New Roman" w:hAnsi="Times New Roman"/>
          <w:sz w:val="24"/>
          <w:szCs w:val="24"/>
        </w:rPr>
        <w:t xml:space="preserve">. </w:t>
      </w:r>
    </w:p>
    <w:p w:rsidR="005B2E75" w:rsidRPr="00E361DA" w:rsidRDefault="005B2E75" w:rsidP="00E54B1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b/>
          <w:bCs/>
          <w:color w:val="auto"/>
          <w:sz w:val="20"/>
        </w:rPr>
      </w:pPr>
    </w:p>
    <w:p w:rsidR="005B2E75" w:rsidRDefault="005B2E75" w:rsidP="00E54B1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b/>
          <w:bCs/>
          <w:color w:val="auto"/>
          <w:sz w:val="24"/>
          <w:szCs w:val="24"/>
        </w:rPr>
      </w:pPr>
      <w:r w:rsidRPr="0012087F">
        <w:rPr>
          <w:rFonts w:ascii="Times New Roman" w:hAnsi="Times New Roman"/>
          <w:b/>
          <w:bCs/>
          <w:color w:val="auto"/>
          <w:sz w:val="24"/>
          <w:szCs w:val="24"/>
        </w:rPr>
        <w:t xml:space="preserve">Commencement </w:t>
      </w:r>
    </w:p>
    <w:p w:rsidR="00EF1A9A" w:rsidRDefault="00EF1A9A" w:rsidP="00E54B1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color w:val="auto"/>
          <w:sz w:val="20"/>
          <w:lang w:val="en-US"/>
        </w:rPr>
      </w:pPr>
    </w:p>
    <w:p w:rsidR="00D91700" w:rsidRDefault="00AE0992" w:rsidP="00E54B1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color w:val="auto"/>
          <w:sz w:val="24"/>
          <w:szCs w:val="24"/>
          <w:lang w:val="en-US"/>
        </w:rPr>
      </w:pPr>
      <w:r>
        <w:rPr>
          <w:rFonts w:ascii="Times New Roman" w:hAnsi="Times New Roman"/>
          <w:color w:val="auto"/>
          <w:sz w:val="24"/>
          <w:szCs w:val="24"/>
          <w:lang w:val="en-US"/>
        </w:rPr>
        <w:t>T</w:t>
      </w:r>
      <w:r w:rsidR="00D91700">
        <w:rPr>
          <w:rFonts w:ascii="Times New Roman" w:hAnsi="Times New Roman"/>
          <w:color w:val="auto"/>
          <w:sz w:val="24"/>
          <w:szCs w:val="24"/>
          <w:lang w:val="en-US"/>
        </w:rPr>
        <w:t>he Determination will commence on 1 Ma</w:t>
      </w:r>
      <w:r w:rsidR="003756C3">
        <w:rPr>
          <w:rFonts w:ascii="Times New Roman" w:hAnsi="Times New Roman"/>
          <w:color w:val="auto"/>
          <w:sz w:val="24"/>
          <w:szCs w:val="24"/>
          <w:lang w:val="en-US"/>
        </w:rPr>
        <w:t>y</w:t>
      </w:r>
      <w:r w:rsidR="00D91700">
        <w:rPr>
          <w:rFonts w:ascii="Times New Roman" w:hAnsi="Times New Roman"/>
          <w:color w:val="auto"/>
          <w:sz w:val="24"/>
          <w:szCs w:val="24"/>
          <w:lang w:val="en-US"/>
        </w:rPr>
        <w:t xml:space="preserve"> </w:t>
      </w:r>
      <w:r w:rsidR="00B60213">
        <w:rPr>
          <w:rFonts w:ascii="Times New Roman" w:hAnsi="Times New Roman"/>
          <w:color w:val="auto"/>
          <w:sz w:val="24"/>
          <w:szCs w:val="24"/>
          <w:lang w:val="en-US"/>
        </w:rPr>
        <w:t>2013.</w:t>
      </w:r>
    </w:p>
    <w:p w:rsidR="00D91700" w:rsidRDefault="00D91700" w:rsidP="00E54B1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color w:val="auto"/>
          <w:sz w:val="24"/>
          <w:szCs w:val="24"/>
          <w:lang w:val="en-US"/>
        </w:rPr>
      </w:pPr>
    </w:p>
    <w:p w:rsidR="000C068C" w:rsidRDefault="000C068C" w:rsidP="00E54B1C">
      <w:pPr>
        <w:spacing w:before="0" w:after="0" w:line="240" w:lineRule="auto"/>
        <w:rPr>
          <w:rFonts w:ascii="Times New Roman" w:hAnsi="Times New Roman"/>
          <w:b/>
          <w:sz w:val="24"/>
          <w:szCs w:val="24"/>
        </w:rPr>
      </w:pPr>
      <w:r w:rsidRPr="0012087F">
        <w:rPr>
          <w:rFonts w:ascii="Times New Roman" w:hAnsi="Times New Roman"/>
          <w:b/>
          <w:sz w:val="24"/>
          <w:szCs w:val="24"/>
        </w:rPr>
        <w:t>Consultation</w:t>
      </w:r>
    </w:p>
    <w:p w:rsidR="00EF1A9A" w:rsidRPr="00E361DA" w:rsidRDefault="00EF1A9A" w:rsidP="00E54B1C">
      <w:pPr>
        <w:spacing w:before="0" w:after="0" w:line="240" w:lineRule="auto"/>
        <w:rPr>
          <w:rFonts w:ascii="Times New Roman" w:hAnsi="Times New Roman"/>
          <w:color w:val="auto"/>
          <w:sz w:val="20"/>
        </w:rPr>
      </w:pPr>
    </w:p>
    <w:p w:rsidR="008B27C1" w:rsidRPr="003D4B28" w:rsidRDefault="000E5AC3" w:rsidP="008B27C1">
      <w:pPr>
        <w:spacing w:before="0" w:after="0" w:line="240" w:lineRule="auto"/>
        <w:rPr>
          <w:rFonts w:ascii="Times New Roman" w:hAnsi="Times New Roman"/>
          <w:color w:val="auto"/>
          <w:sz w:val="24"/>
          <w:szCs w:val="24"/>
        </w:rPr>
      </w:pPr>
      <w:r>
        <w:rPr>
          <w:rFonts w:ascii="Times New Roman" w:hAnsi="Times New Roman"/>
          <w:color w:val="auto"/>
          <w:sz w:val="24"/>
          <w:szCs w:val="24"/>
        </w:rPr>
        <w:t xml:space="preserve">MSAC’s advice about the public funding of RFA was the culmination of a 12 month assessment process.  During that period comments on the assessment were sought from </w:t>
      </w:r>
      <w:r w:rsidR="00753239">
        <w:rPr>
          <w:rFonts w:ascii="Times New Roman" w:hAnsi="Times New Roman"/>
          <w:color w:val="auto"/>
          <w:sz w:val="24"/>
          <w:szCs w:val="24"/>
        </w:rPr>
        <w:t>M</w:t>
      </w:r>
      <w:r w:rsidR="008B27C1">
        <w:rPr>
          <w:rFonts w:ascii="Times New Roman" w:hAnsi="Times New Roman"/>
          <w:color w:val="auto"/>
          <w:sz w:val="24"/>
          <w:szCs w:val="24"/>
        </w:rPr>
        <w:t>edical organisations, practitioners and consumers</w:t>
      </w:r>
      <w:r>
        <w:rPr>
          <w:rFonts w:ascii="Times New Roman" w:hAnsi="Times New Roman"/>
          <w:color w:val="auto"/>
          <w:sz w:val="24"/>
          <w:szCs w:val="24"/>
        </w:rPr>
        <w:t xml:space="preserve">.  </w:t>
      </w:r>
      <w:r w:rsidR="008B27C1">
        <w:rPr>
          <w:rFonts w:ascii="Times New Roman" w:hAnsi="Times New Roman"/>
          <w:color w:val="auto"/>
          <w:sz w:val="24"/>
          <w:szCs w:val="24"/>
        </w:rPr>
        <w:t>In addition, a</w:t>
      </w:r>
      <w:r w:rsidR="008B27C1" w:rsidRPr="003D4B28">
        <w:rPr>
          <w:rFonts w:ascii="Times New Roman" w:hAnsi="Times New Roman"/>
          <w:color w:val="auto"/>
          <w:sz w:val="24"/>
          <w:szCs w:val="24"/>
        </w:rPr>
        <w:t xml:space="preserve"> range of </w:t>
      </w:r>
      <w:r w:rsidR="008B27C1">
        <w:rPr>
          <w:rFonts w:ascii="Times New Roman" w:hAnsi="Times New Roman"/>
          <w:color w:val="auto"/>
          <w:sz w:val="24"/>
          <w:szCs w:val="24"/>
        </w:rPr>
        <w:t xml:space="preserve">medical </w:t>
      </w:r>
      <w:r w:rsidR="008B27C1" w:rsidRPr="003D4B28">
        <w:rPr>
          <w:rFonts w:ascii="Times New Roman" w:hAnsi="Times New Roman"/>
          <w:color w:val="auto"/>
          <w:sz w:val="24"/>
          <w:szCs w:val="24"/>
        </w:rPr>
        <w:t>organisations</w:t>
      </w:r>
      <w:r w:rsidR="008B27C1">
        <w:rPr>
          <w:rFonts w:ascii="Times New Roman" w:hAnsi="Times New Roman"/>
          <w:color w:val="auto"/>
          <w:sz w:val="24"/>
          <w:szCs w:val="24"/>
        </w:rPr>
        <w:t xml:space="preserve"> were specifically </w:t>
      </w:r>
      <w:r>
        <w:rPr>
          <w:rFonts w:ascii="Times New Roman" w:hAnsi="Times New Roman"/>
          <w:color w:val="auto"/>
          <w:sz w:val="24"/>
          <w:szCs w:val="24"/>
        </w:rPr>
        <w:t>asked to provide comment</w:t>
      </w:r>
      <w:r w:rsidR="008B27C1">
        <w:rPr>
          <w:rFonts w:ascii="Times New Roman" w:hAnsi="Times New Roman"/>
          <w:color w:val="auto"/>
          <w:sz w:val="24"/>
          <w:szCs w:val="24"/>
        </w:rPr>
        <w:t>, including</w:t>
      </w:r>
      <w:r w:rsidR="008B27C1" w:rsidRPr="003D4B28">
        <w:rPr>
          <w:rFonts w:ascii="Times New Roman" w:hAnsi="Times New Roman"/>
          <w:color w:val="auto"/>
          <w:sz w:val="24"/>
          <w:szCs w:val="24"/>
        </w:rPr>
        <w:t xml:space="preserve"> the Royal Australian and New Zealand College of Radiologists</w:t>
      </w:r>
      <w:r w:rsidR="008B27C1">
        <w:rPr>
          <w:rFonts w:ascii="Times New Roman" w:hAnsi="Times New Roman"/>
          <w:color w:val="auto"/>
          <w:sz w:val="24"/>
          <w:szCs w:val="24"/>
        </w:rPr>
        <w:t>, the</w:t>
      </w:r>
      <w:r w:rsidR="008B27C1" w:rsidRPr="003D4B28">
        <w:rPr>
          <w:rFonts w:ascii="Times New Roman" w:hAnsi="Times New Roman"/>
          <w:color w:val="auto"/>
          <w:sz w:val="24"/>
          <w:szCs w:val="24"/>
        </w:rPr>
        <w:t xml:space="preserve"> Australasian College of </w:t>
      </w:r>
      <w:proofErr w:type="spellStart"/>
      <w:r w:rsidR="008B27C1" w:rsidRPr="003D4B28">
        <w:rPr>
          <w:rFonts w:ascii="Times New Roman" w:hAnsi="Times New Roman"/>
          <w:color w:val="auto"/>
          <w:sz w:val="24"/>
          <w:szCs w:val="24"/>
        </w:rPr>
        <w:t>Phlebology</w:t>
      </w:r>
      <w:proofErr w:type="spellEnd"/>
      <w:r w:rsidR="008B27C1" w:rsidRPr="003D4B28">
        <w:rPr>
          <w:rFonts w:ascii="Times New Roman" w:hAnsi="Times New Roman"/>
          <w:color w:val="auto"/>
          <w:sz w:val="24"/>
          <w:szCs w:val="24"/>
        </w:rPr>
        <w:t xml:space="preserve">, the Australian and New Zealand Society of </w:t>
      </w:r>
      <w:proofErr w:type="spellStart"/>
      <w:r w:rsidR="008B27C1" w:rsidRPr="003D4B28">
        <w:rPr>
          <w:rFonts w:ascii="Times New Roman" w:hAnsi="Times New Roman"/>
          <w:color w:val="auto"/>
          <w:sz w:val="24"/>
          <w:szCs w:val="24"/>
        </w:rPr>
        <w:t>Phlebology</w:t>
      </w:r>
      <w:proofErr w:type="spellEnd"/>
      <w:r w:rsidR="008B27C1" w:rsidRPr="003D4B28">
        <w:rPr>
          <w:rFonts w:ascii="Times New Roman" w:hAnsi="Times New Roman"/>
          <w:color w:val="auto"/>
          <w:sz w:val="24"/>
          <w:szCs w:val="24"/>
        </w:rPr>
        <w:t>,</w:t>
      </w:r>
      <w:r w:rsidR="008B27C1">
        <w:rPr>
          <w:rFonts w:ascii="Times New Roman" w:hAnsi="Times New Roman"/>
          <w:color w:val="auto"/>
          <w:sz w:val="24"/>
          <w:szCs w:val="24"/>
        </w:rPr>
        <w:t xml:space="preserve"> and</w:t>
      </w:r>
      <w:r w:rsidR="008B27C1" w:rsidRPr="003D4B28">
        <w:rPr>
          <w:rFonts w:ascii="Times New Roman" w:hAnsi="Times New Roman"/>
          <w:color w:val="auto"/>
          <w:sz w:val="24"/>
          <w:szCs w:val="24"/>
        </w:rPr>
        <w:t xml:space="preserve"> the Royal Australasian College of Surgeons (specifically the Australian and New Zealand Society for Vascular Surgery).  </w:t>
      </w:r>
    </w:p>
    <w:p w:rsidR="000C068C" w:rsidRDefault="000C068C" w:rsidP="004A62F6">
      <w:pPr>
        <w:spacing w:before="0" w:after="0"/>
        <w:rPr>
          <w:rFonts w:ascii="Times New Roman" w:hAnsi="Times New Roman"/>
          <w:b/>
          <w:sz w:val="24"/>
          <w:szCs w:val="24"/>
        </w:rPr>
      </w:pPr>
    </w:p>
    <w:p w:rsidR="00034049" w:rsidRDefault="00753239" w:rsidP="00855582">
      <w:pPr>
        <w:spacing w:before="0" w:after="0" w:line="240" w:lineRule="auto"/>
        <w:rPr>
          <w:rFonts w:ascii="Times New Roman" w:hAnsi="Times New Roman"/>
          <w:color w:val="auto"/>
          <w:sz w:val="24"/>
          <w:szCs w:val="24"/>
        </w:rPr>
      </w:pPr>
      <w:r>
        <w:rPr>
          <w:rFonts w:ascii="Times New Roman" w:hAnsi="Times New Roman"/>
          <w:color w:val="auto"/>
          <w:sz w:val="24"/>
          <w:szCs w:val="24"/>
        </w:rPr>
        <w:t>Application of EMSN benefit caps to Group M15</w:t>
      </w:r>
      <w:r w:rsidR="00034049">
        <w:rPr>
          <w:rFonts w:ascii="Times New Roman" w:hAnsi="Times New Roman"/>
          <w:color w:val="auto"/>
          <w:sz w:val="24"/>
          <w:szCs w:val="24"/>
        </w:rPr>
        <w:t xml:space="preserve"> (audiology)</w:t>
      </w:r>
      <w:r>
        <w:rPr>
          <w:rFonts w:ascii="Times New Roman" w:hAnsi="Times New Roman"/>
          <w:color w:val="auto"/>
          <w:sz w:val="24"/>
          <w:szCs w:val="24"/>
        </w:rPr>
        <w:t xml:space="preserve"> is consistent with the </w:t>
      </w:r>
      <w:r w:rsidR="00D91700">
        <w:rPr>
          <w:rFonts w:ascii="Times New Roman" w:hAnsi="Times New Roman"/>
          <w:color w:val="auto"/>
          <w:sz w:val="24"/>
          <w:szCs w:val="24"/>
        </w:rPr>
        <w:t>2012-13</w:t>
      </w:r>
      <w:r>
        <w:rPr>
          <w:rFonts w:ascii="Times New Roman" w:hAnsi="Times New Roman"/>
          <w:color w:val="auto"/>
          <w:sz w:val="24"/>
          <w:szCs w:val="24"/>
        </w:rPr>
        <w:t xml:space="preserve"> Budget measure capping all consultation and allied health items</w:t>
      </w:r>
      <w:r w:rsidR="00034049">
        <w:rPr>
          <w:rFonts w:ascii="Times New Roman" w:hAnsi="Times New Roman"/>
          <w:color w:val="auto"/>
          <w:sz w:val="24"/>
          <w:szCs w:val="24"/>
        </w:rPr>
        <w:t xml:space="preserve"> and was included in a public consultation paper circulated to stakeholders in the development of the items.</w:t>
      </w:r>
    </w:p>
    <w:p w:rsidR="000E2279" w:rsidRDefault="000E2279" w:rsidP="000E2279">
      <w:pPr>
        <w:spacing w:before="0" w:after="0" w:line="240" w:lineRule="auto"/>
        <w:jc w:val="right"/>
        <w:rPr>
          <w:rFonts w:ascii="Times New Roman" w:hAnsi="Times New Roman"/>
          <w:color w:val="auto"/>
          <w:sz w:val="24"/>
          <w:szCs w:val="24"/>
        </w:rPr>
      </w:pPr>
    </w:p>
    <w:p w:rsidR="007555C7" w:rsidRPr="00D941B9" w:rsidRDefault="00034049" w:rsidP="000E227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b/>
          <w:color w:val="auto"/>
          <w:sz w:val="24"/>
          <w:szCs w:val="24"/>
        </w:rPr>
      </w:pPr>
      <w:r>
        <w:rPr>
          <w:rFonts w:ascii="Times New Roman" w:hAnsi="Times New Roman"/>
          <w:color w:val="auto"/>
          <w:sz w:val="24"/>
          <w:szCs w:val="24"/>
        </w:rPr>
        <w:t>N</w:t>
      </w:r>
      <w:bookmarkStart w:id="0" w:name="_GoBack"/>
      <w:bookmarkEnd w:id="0"/>
      <w:r>
        <w:rPr>
          <w:rFonts w:ascii="Times New Roman" w:hAnsi="Times New Roman"/>
          <w:color w:val="auto"/>
          <w:sz w:val="24"/>
          <w:szCs w:val="24"/>
        </w:rPr>
        <w:t xml:space="preserve">o submissions have been made </w:t>
      </w:r>
      <w:r w:rsidR="0065458E">
        <w:rPr>
          <w:rFonts w:ascii="Times New Roman" w:hAnsi="Times New Roman"/>
          <w:color w:val="auto"/>
          <w:sz w:val="24"/>
          <w:szCs w:val="24"/>
        </w:rPr>
        <w:t xml:space="preserve">for </w:t>
      </w:r>
      <w:r>
        <w:rPr>
          <w:rFonts w:ascii="Times New Roman" w:hAnsi="Times New Roman"/>
          <w:color w:val="auto"/>
          <w:sz w:val="24"/>
          <w:szCs w:val="24"/>
        </w:rPr>
        <w:t xml:space="preserve">capping </w:t>
      </w:r>
      <w:r w:rsidR="0065458E">
        <w:rPr>
          <w:rFonts w:ascii="Times New Roman" w:hAnsi="Times New Roman"/>
          <w:color w:val="auto"/>
          <w:sz w:val="24"/>
          <w:szCs w:val="24"/>
        </w:rPr>
        <w:t xml:space="preserve">not to apply </w:t>
      </w:r>
      <w:r>
        <w:rPr>
          <w:rFonts w:ascii="Times New Roman" w:hAnsi="Times New Roman"/>
          <w:color w:val="auto"/>
          <w:sz w:val="24"/>
          <w:szCs w:val="24"/>
        </w:rPr>
        <w:t>to either the RFA or audiology items.</w:t>
      </w:r>
      <w:r w:rsidR="00EA300B">
        <w:rPr>
          <w:rFonts w:ascii="Times New Roman" w:hAnsi="Times New Roman"/>
          <w:color w:val="auto"/>
          <w:sz w:val="24"/>
          <w:szCs w:val="24"/>
        </w:rPr>
        <w:t xml:space="preserve">  </w:t>
      </w:r>
      <w:r w:rsidR="00810540" w:rsidRPr="00D941B9">
        <w:rPr>
          <w:rFonts w:ascii="Times New Roman" w:hAnsi="Times New Roman"/>
          <w:b/>
          <w:color w:val="auto"/>
          <w:sz w:val="24"/>
          <w:szCs w:val="24"/>
        </w:rPr>
        <w:br w:type="page"/>
      </w:r>
      <w:r w:rsidR="007555C7" w:rsidRPr="00D941B9">
        <w:rPr>
          <w:rFonts w:ascii="Times New Roman" w:hAnsi="Times New Roman"/>
          <w:b/>
          <w:color w:val="auto"/>
          <w:sz w:val="24"/>
          <w:szCs w:val="24"/>
        </w:rPr>
        <w:lastRenderedPageBreak/>
        <w:t>ATTACHMENT</w:t>
      </w:r>
    </w:p>
    <w:p w:rsidR="004A62F6" w:rsidRPr="00D941B9" w:rsidRDefault="004A62F6" w:rsidP="004A62F6">
      <w:pPr>
        <w:spacing w:before="0" w:after="0"/>
        <w:rPr>
          <w:rFonts w:ascii="Times New Roman" w:hAnsi="Times New Roman"/>
          <w:b/>
          <w:color w:val="auto"/>
          <w:sz w:val="16"/>
          <w:szCs w:val="16"/>
        </w:rPr>
      </w:pPr>
    </w:p>
    <w:p w:rsidR="007555C7" w:rsidRPr="00D941B9" w:rsidRDefault="000C068C" w:rsidP="004A62F6">
      <w:pPr>
        <w:spacing w:before="0" w:after="0"/>
        <w:rPr>
          <w:rFonts w:ascii="Times New Roman" w:hAnsi="Times New Roman"/>
          <w:b/>
          <w:i/>
          <w:color w:val="auto"/>
          <w:sz w:val="24"/>
          <w:szCs w:val="24"/>
        </w:rPr>
      </w:pPr>
      <w:r w:rsidRPr="00D941B9">
        <w:rPr>
          <w:rFonts w:ascii="Times New Roman" w:hAnsi="Times New Roman"/>
          <w:b/>
          <w:color w:val="auto"/>
          <w:sz w:val="24"/>
          <w:szCs w:val="24"/>
        </w:rPr>
        <w:t xml:space="preserve">Details of the </w:t>
      </w:r>
      <w:r w:rsidR="004B7C1D" w:rsidRPr="00D941B9">
        <w:rPr>
          <w:rFonts w:ascii="Times New Roman" w:hAnsi="Times New Roman"/>
          <w:b/>
          <w:i/>
          <w:color w:val="auto"/>
          <w:sz w:val="24"/>
          <w:szCs w:val="24"/>
        </w:rPr>
        <w:t>Health Insurance (Extended Medicare Safety Net) Amendment Determination 201</w:t>
      </w:r>
      <w:r w:rsidR="00B44D96" w:rsidRPr="00D941B9">
        <w:rPr>
          <w:rFonts w:ascii="Times New Roman" w:hAnsi="Times New Roman"/>
          <w:b/>
          <w:i/>
          <w:color w:val="auto"/>
          <w:sz w:val="24"/>
          <w:szCs w:val="24"/>
        </w:rPr>
        <w:t>3</w:t>
      </w:r>
      <w:r w:rsidR="00FA51A9" w:rsidRPr="00D941B9">
        <w:rPr>
          <w:rFonts w:ascii="Times New Roman" w:hAnsi="Times New Roman"/>
          <w:b/>
          <w:i/>
          <w:color w:val="auto"/>
          <w:sz w:val="24"/>
          <w:szCs w:val="24"/>
        </w:rPr>
        <w:t xml:space="preserve"> (No.</w:t>
      </w:r>
      <w:r w:rsidR="00B44D96" w:rsidRPr="00D941B9">
        <w:rPr>
          <w:rFonts w:ascii="Times New Roman" w:hAnsi="Times New Roman"/>
          <w:b/>
          <w:i/>
          <w:color w:val="auto"/>
          <w:sz w:val="24"/>
          <w:szCs w:val="24"/>
        </w:rPr>
        <w:t>1</w:t>
      </w:r>
      <w:r w:rsidR="00FA51A9" w:rsidRPr="00D941B9">
        <w:rPr>
          <w:rFonts w:ascii="Times New Roman" w:hAnsi="Times New Roman"/>
          <w:b/>
          <w:i/>
          <w:color w:val="auto"/>
          <w:sz w:val="24"/>
          <w:szCs w:val="24"/>
        </w:rPr>
        <w:t>)</w:t>
      </w:r>
    </w:p>
    <w:p w:rsidR="007555C7" w:rsidRPr="00D941B9" w:rsidRDefault="007555C7" w:rsidP="004A62F6">
      <w:pPr>
        <w:spacing w:before="0" w:after="0"/>
        <w:rPr>
          <w:rFonts w:ascii="Times New Roman" w:hAnsi="Times New Roman"/>
          <w:b/>
          <w:color w:val="auto"/>
          <w:sz w:val="20"/>
        </w:rPr>
      </w:pPr>
    </w:p>
    <w:p w:rsidR="007555C7" w:rsidRPr="00D941B9" w:rsidRDefault="007555C7" w:rsidP="00193557">
      <w:pPr>
        <w:spacing w:before="0" w:after="0" w:line="240" w:lineRule="auto"/>
        <w:rPr>
          <w:rFonts w:ascii="Times New Roman" w:hAnsi="Times New Roman"/>
          <w:b/>
          <w:color w:val="auto"/>
          <w:sz w:val="24"/>
          <w:szCs w:val="24"/>
        </w:rPr>
      </w:pPr>
      <w:r w:rsidRPr="00D941B9">
        <w:rPr>
          <w:rFonts w:ascii="Times New Roman" w:hAnsi="Times New Roman"/>
          <w:b/>
          <w:color w:val="auto"/>
          <w:sz w:val="24"/>
          <w:szCs w:val="24"/>
        </w:rPr>
        <w:t>Section 1</w:t>
      </w:r>
      <w:r w:rsidR="000C068C" w:rsidRPr="00D941B9">
        <w:rPr>
          <w:rFonts w:ascii="Times New Roman" w:hAnsi="Times New Roman"/>
          <w:b/>
          <w:color w:val="auto"/>
          <w:sz w:val="24"/>
          <w:szCs w:val="24"/>
        </w:rPr>
        <w:t xml:space="preserve"> – Name of Determination </w:t>
      </w:r>
    </w:p>
    <w:p w:rsidR="00315483" w:rsidRPr="00D941B9" w:rsidRDefault="00315483" w:rsidP="00193557">
      <w:pPr>
        <w:spacing w:before="0" w:after="0" w:line="240" w:lineRule="auto"/>
        <w:rPr>
          <w:rFonts w:ascii="Times New Roman" w:hAnsi="Times New Roman"/>
          <w:color w:val="auto"/>
          <w:sz w:val="20"/>
        </w:rPr>
      </w:pPr>
    </w:p>
    <w:p w:rsidR="000C068C" w:rsidRPr="00D941B9" w:rsidRDefault="007555C7" w:rsidP="00193557">
      <w:pPr>
        <w:spacing w:before="0" w:after="0" w:line="240" w:lineRule="auto"/>
        <w:rPr>
          <w:rFonts w:ascii="Times New Roman" w:hAnsi="Times New Roman"/>
          <w:i/>
          <w:color w:val="auto"/>
          <w:sz w:val="24"/>
          <w:szCs w:val="24"/>
          <w:lang w:eastAsia="en-AU"/>
        </w:rPr>
      </w:pPr>
      <w:r w:rsidRPr="00D941B9">
        <w:rPr>
          <w:rFonts w:ascii="Times New Roman" w:hAnsi="Times New Roman"/>
          <w:color w:val="auto"/>
          <w:sz w:val="24"/>
          <w:szCs w:val="24"/>
        </w:rPr>
        <w:t xml:space="preserve">Section 1 provides </w:t>
      </w:r>
      <w:r w:rsidR="000C5D7B" w:rsidRPr="00D941B9">
        <w:rPr>
          <w:rFonts w:ascii="Times New Roman" w:hAnsi="Times New Roman"/>
          <w:color w:val="auto"/>
          <w:sz w:val="24"/>
          <w:szCs w:val="24"/>
        </w:rPr>
        <w:t xml:space="preserve">that </w:t>
      </w:r>
      <w:r w:rsidRPr="00D941B9">
        <w:rPr>
          <w:rFonts w:ascii="Times New Roman" w:hAnsi="Times New Roman"/>
          <w:color w:val="auto"/>
          <w:sz w:val="24"/>
          <w:szCs w:val="24"/>
        </w:rPr>
        <w:t>the name of the Determination</w:t>
      </w:r>
      <w:r w:rsidR="000C068C" w:rsidRPr="00D941B9">
        <w:rPr>
          <w:rFonts w:ascii="Times New Roman" w:hAnsi="Times New Roman"/>
          <w:color w:val="auto"/>
          <w:sz w:val="24"/>
          <w:szCs w:val="24"/>
        </w:rPr>
        <w:t xml:space="preserve"> is the </w:t>
      </w:r>
      <w:r w:rsidR="004B7C1D" w:rsidRPr="00D941B9">
        <w:rPr>
          <w:rFonts w:ascii="Times New Roman" w:hAnsi="Times New Roman"/>
          <w:i/>
          <w:color w:val="auto"/>
          <w:sz w:val="24"/>
          <w:szCs w:val="24"/>
          <w:lang w:eastAsia="en-AU"/>
        </w:rPr>
        <w:t>(Extended Medicare Safety N</w:t>
      </w:r>
      <w:r w:rsidR="00173D45" w:rsidRPr="00D941B9">
        <w:rPr>
          <w:rFonts w:ascii="Times New Roman" w:hAnsi="Times New Roman"/>
          <w:i/>
          <w:color w:val="auto"/>
          <w:sz w:val="24"/>
          <w:szCs w:val="24"/>
          <w:lang w:eastAsia="en-AU"/>
        </w:rPr>
        <w:t>et) Amendment Determination 2013</w:t>
      </w:r>
      <w:r w:rsidR="00FA51A9" w:rsidRPr="00D941B9">
        <w:rPr>
          <w:rFonts w:ascii="Times New Roman" w:hAnsi="Times New Roman"/>
          <w:i/>
          <w:color w:val="auto"/>
          <w:sz w:val="24"/>
          <w:szCs w:val="24"/>
          <w:lang w:eastAsia="en-AU"/>
        </w:rPr>
        <w:t xml:space="preserve"> (No.</w:t>
      </w:r>
      <w:r w:rsidR="00173D45" w:rsidRPr="00D941B9">
        <w:rPr>
          <w:rFonts w:ascii="Times New Roman" w:hAnsi="Times New Roman"/>
          <w:i/>
          <w:color w:val="auto"/>
          <w:sz w:val="24"/>
          <w:szCs w:val="24"/>
          <w:lang w:eastAsia="en-AU"/>
        </w:rPr>
        <w:t>1</w:t>
      </w:r>
      <w:r w:rsidR="00FA51A9" w:rsidRPr="00D941B9">
        <w:rPr>
          <w:rFonts w:ascii="Times New Roman" w:hAnsi="Times New Roman"/>
          <w:i/>
          <w:color w:val="auto"/>
          <w:sz w:val="24"/>
          <w:szCs w:val="24"/>
          <w:lang w:eastAsia="en-AU"/>
        </w:rPr>
        <w:t>)</w:t>
      </w:r>
      <w:r w:rsidR="000C5D7B" w:rsidRPr="00D941B9">
        <w:rPr>
          <w:rFonts w:ascii="Times New Roman" w:hAnsi="Times New Roman"/>
          <w:i/>
          <w:color w:val="auto"/>
          <w:sz w:val="24"/>
          <w:szCs w:val="24"/>
          <w:lang w:eastAsia="en-AU"/>
        </w:rPr>
        <w:t>.</w:t>
      </w:r>
      <w:r w:rsidR="004B7C1D" w:rsidRPr="00D941B9">
        <w:rPr>
          <w:rFonts w:ascii="Times New Roman" w:hAnsi="Times New Roman"/>
          <w:i/>
          <w:color w:val="auto"/>
          <w:sz w:val="24"/>
          <w:szCs w:val="24"/>
          <w:lang w:eastAsia="en-AU"/>
        </w:rPr>
        <w:t xml:space="preserve"> </w:t>
      </w:r>
    </w:p>
    <w:p w:rsidR="000C068C" w:rsidRPr="00D941B9" w:rsidRDefault="000C068C" w:rsidP="00193557">
      <w:pPr>
        <w:spacing w:before="0" w:after="0" w:line="240" w:lineRule="auto"/>
        <w:rPr>
          <w:rFonts w:ascii="Times New Roman" w:hAnsi="Times New Roman"/>
          <w:b/>
          <w:color w:val="auto"/>
          <w:sz w:val="20"/>
        </w:rPr>
      </w:pPr>
    </w:p>
    <w:p w:rsidR="007555C7" w:rsidRPr="00D941B9" w:rsidRDefault="007555C7" w:rsidP="00193557">
      <w:pPr>
        <w:spacing w:before="0" w:after="0" w:line="240" w:lineRule="auto"/>
        <w:rPr>
          <w:rFonts w:ascii="Times New Roman" w:hAnsi="Times New Roman"/>
          <w:b/>
          <w:color w:val="auto"/>
          <w:sz w:val="24"/>
          <w:szCs w:val="24"/>
        </w:rPr>
      </w:pPr>
      <w:r w:rsidRPr="00D941B9">
        <w:rPr>
          <w:rFonts w:ascii="Times New Roman" w:hAnsi="Times New Roman"/>
          <w:b/>
          <w:color w:val="auto"/>
          <w:sz w:val="24"/>
          <w:szCs w:val="24"/>
        </w:rPr>
        <w:t>Section 2</w:t>
      </w:r>
      <w:r w:rsidR="00BE6269" w:rsidRPr="00D941B9">
        <w:rPr>
          <w:rFonts w:ascii="Times New Roman" w:hAnsi="Times New Roman"/>
          <w:b/>
          <w:color w:val="auto"/>
          <w:sz w:val="24"/>
          <w:szCs w:val="24"/>
        </w:rPr>
        <w:t xml:space="preserve"> – Commencement</w:t>
      </w:r>
    </w:p>
    <w:p w:rsidR="00315483" w:rsidRPr="00D941B9" w:rsidRDefault="00315483" w:rsidP="00193557">
      <w:pPr>
        <w:spacing w:before="0" w:after="0" w:line="240" w:lineRule="auto"/>
        <w:rPr>
          <w:rFonts w:ascii="Times New Roman" w:hAnsi="Times New Roman"/>
          <w:color w:val="auto"/>
          <w:sz w:val="20"/>
        </w:rPr>
      </w:pPr>
    </w:p>
    <w:p w:rsidR="000C068C" w:rsidRDefault="007555C7" w:rsidP="00B44D96">
      <w:pPr>
        <w:spacing w:before="0" w:after="0" w:line="240" w:lineRule="auto"/>
        <w:rPr>
          <w:rFonts w:ascii="Times New Roman" w:hAnsi="Times New Roman"/>
          <w:color w:val="auto"/>
          <w:sz w:val="24"/>
          <w:szCs w:val="24"/>
        </w:rPr>
      </w:pPr>
      <w:r w:rsidRPr="00D941B9">
        <w:rPr>
          <w:rFonts w:ascii="Times New Roman" w:hAnsi="Times New Roman"/>
          <w:color w:val="auto"/>
          <w:sz w:val="24"/>
          <w:szCs w:val="24"/>
        </w:rPr>
        <w:t>Section 2 provides that</w:t>
      </w:r>
      <w:r w:rsidR="00BD7C87">
        <w:rPr>
          <w:rFonts w:ascii="Times New Roman" w:hAnsi="Times New Roman"/>
          <w:color w:val="auto"/>
          <w:sz w:val="24"/>
          <w:szCs w:val="24"/>
        </w:rPr>
        <w:t xml:space="preserve"> </w:t>
      </w:r>
      <w:r w:rsidR="00FA51A9" w:rsidRPr="00D941B9">
        <w:rPr>
          <w:rFonts w:ascii="Times New Roman" w:hAnsi="Times New Roman"/>
          <w:color w:val="auto"/>
          <w:sz w:val="24"/>
          <w:szCs w:val="24"/>
        </w:rPr>
        <w:t xml:space="preserve">the Determination </w:t>
      </w:r>
      <w:r w:rsidRPr="00D941B9">
        <w:rPr>
          <w:rFonts w:ascii="Times New Roman" w:hAnsi="Times New Roman"/>
          <w:color w:val="auto"/>
          <w:sz w:val="24"/>
          <w:szCs w:val="24"/>
        </w:rPr>
        <w:t>commence</w:t>
      </w:r>
      <w:r w:rsidR="00091C89">
        <w:rPr>
          <w:rFonts w:ascii="Times New Roman" w:hAnsi="Times New Roman"/>
          <w:color w:val="auto"/>
          <w:sz w:val="24"/>
          <w:szCs w:val="24"/>
        </w:rPr>
        <w:t>s</w:t>
      </w:r>
      <w:r w:rsidRPr="00D941B9">
        <w:rPr>
          <w:rFonts w:ascii="Times New Roman" w:hAnsi="Times New Roman"/>
          <w:color w:val="auto"/>
          <w:sz w:val="24"/>
          <w:szCs w:val="24"/>
        </w:rPr>
        <w:t xml:space="preserve"> on 1</w:t>
      </w:r>
      <w:r w:rsidR="00091C89">
        <w:rPr>
          <w:rFonts w:ascii="Times New Roman" w:hAnsi="Times New Roman"/>
          <w:color w:val="auto"/>
          <w:sz w:val="24"/>
          <w:szCs w:val="24"/>
        </w:rPr>
        <w:t> </w:t>
      </w:r>
      <w:r w:rsidR="00B44D96" w:rsidRPr="00D941B9">
        <w:rPr>
          <w:rFonts w:ascii="Times New Roman" w:hAnsi="Times New Roman"/>
          <w:color w:val="auto"/>
          <w:sz w:val="24"/>
          <w:szCs w:val="24"/>
        </w:rPr>
        <w:t>Ma</w:t>
      </w:r>
      <w:r w:rsidR="00BD7C87">
        <w:rPr>
          <w:rFonts w:ascii="Times New Roman" w:hAnsi="Times New Roman"/>
          <w:color w:val="auto"/>
          <w:sz w:val="24"/>
          <w:szCs w:val="24"/>
        </w:rPr>
        <w:t>y</w:t>
      </w:r>
      <w:r w:rsidR="00091C89">
        <w:rPr>
          <w:rFonts w:ascii="Times New Roman" w:hAnsi="Times New Roman"/>
          <w:color w:val="auto"/>
          <w:sz w:val="24"/>
          <w:szCs w:val="24"/>
        </w:rPr>
        <w:t> </w:t>
      </w:r>
      <w:r w:rsidR="00B44D96" w:rsidRPr="00D941B9">
        <w:rPr>
          <w:rFonts w:ascii="Times New Roman" w:hAnsi="Times New Roman"/>
          <w:color w:val="auto"/>
          <w:sz w:val="24"/>
          <w:szCs w:val="24"/>
        </w:rPr>
        <w:t>2013</w:t>
      </w:r>
      <w:r w:rsidR="00091C89">
        <w:rPr>
          <w:rFonts w:ascii="Times New Roman" w:hAnsi="Times New Roman"/>
          <w:color w:val="auto"/>
          <w:sz w:val="24"/>
          <w:szCs w:val="24"/>
        </w:rPr>
        <w:t>.</w:t>
      </w:r>
    </w:p>
    <w:p w:rsidR="003B4E06" w:rsidRDefault="003B4E06" w:rsidP="00B44D96">
      <w:pPr>
        <w:spacing w:before="0" w:after="0" w:line="240" w:lineRule="auto"/>
        <w:rPr>
          <w:rFonts w:ascii="Times New Roman" w:hAnsi="Times New Roman"/>
          <w:color w:val="auto"/>
          <w:sz w:val="24"/>
          <w:szCs w:val="24"/>
        </w:rPr>
      </w:pPr>
    </w:p>
    <w:p w:rsidR="007555C7" w:rsidRPr="00D941B9" w:rsidRDefault="007555C7" w:rsidP="00193557">
      <w:pPr>
        <w:spacing w:before="0" w:after="0" w:line="240" w:lineRule="auto"/>
        <w:rPr>
          <w:rFonts w:ascii="Times New Roman" w:hAnsi="Times New Roman"/>
          <w:b/>
          <w:color w:val="auto"/>
          <w:sz w:val="24"/>
          <w:szCs w:val="24"/>
        </w:rPr>
      </w:pPr>
      <w:r w:rsidRPr="00D941B9">
        <w:rPr>
          <w:rFonts w:ascii="Times New Roman" w:hAnsi="Times New Roman"/>
          <w:b/>
          <w:color w:val="auto"/>
          <w:sz w:val="24"/>
          <w:szCs w:val="24"/>
        </w:rPr>
        <w:t xml:space="preserve">Section </w:t>
      </w:r>
      <w:r w:rsidR="000C5D7B" w:rsidRPr="00D941B9">
        <w:rPr>
          <w:rFonts w:ascii="Times New Roman" w:hAnsi="Times New Roman"/>
          <w:b/>
          <w:color w:val="auto"/>
          <w:sz w:val="24"/>
          <w:szCs w:val="24"/>
        </w:rPr>
        <w:t>3</w:t>
      </w:r>
      <w:r w:rsidR="000C068C" w:rsidRPr="00D941B9">
        <w:rPr>
          <w:rFonts w:ascii="Times New Roman" w:hAnsi="Times New Roman"/>
          <w:b/>
          <w:color w:val="auto"/>
          <w:sz w:val="24"/>
          <w:szCs w:val="24"/>
        </w:rPr>
        <w:t xml:space="preserve"> – </w:t>
      </w:r>
      <w:r w:rsidR="004B7C1D" w:rsidRPr="00D941B9">
        <w:rPr>
          <w:rFonts w:ascii="Times New Roman" w:hAnsi="Times New Roman"/>
          <w:b/>
          <w:color w:val="auto"/>
          <w:sz w:val="24"/>
          <w:szCs w:val="24"/>
        </w:rPr>
        <w:t>Amendment</w:t>
      </w:r>
      <w:r w:rsidR="000C068C" w:rsidRPr="00D941B9">
        <w:rPr>
          <w:rFonts w:ascii="Times New Roman" w:hAnsi="Times New Roman"/>
          <w:b/>
          <w:color w:val="auto"/>
          <w:sz w:val="24"/>
          <w:szCs w:val="24"/>
        </w:rPr>
        <w:t xml:space="preserve"> </w:t>
      </w:r>
      <w:r w:rsidR="00996FBE" w:rsidRPr="00D941B9">
        <w:rPr>
          <w:rFonts w:ascii="Times New Roman" w:hAnsi="Times New Roman"/>
          <w:b/>
          <w:bCs/>
          <w:color w:val="auto"/>
          <w:sz w:val="24"/>
          <w:szCs w:val="24"/>
        </w:rPr>
        <w:t xml:space="preserve">of the </w:t>
      </w:r>
      <w:r w:rsidR="00996FBE" w:rsidRPr="00D941B9">
        <w:rPr>
          <w:rFonts w:ascii="Times New Roman" w:hAnsi="Times New Roman"/>
          <w:b/>
          <w:bCs/>
          <w:i/>
          <w:iCs/>
          <w:color w:val="auto"/>
          <w:sz w:val="24"/>
          <w:szCs w:val="24"/>
        </w:rPr>
        <w:t>Health Insurance (Extended Medicare Safety Net) Determination 2009</w:t>
      </w:r>
    </w:p>
    <w:p w:rsidR="00315483" w:rsidRPr="00D941B9" w:rsidRDefault="00315483" w:rsidP="00193557">
      <w:pPr>
        <w:spacing w:before="0" w:after="0" w:line="240" w:lineRule="auto"/>
        <w:rPr>
          <w:rFonts w:ascii="Times New Roman" w:hAnsi="Times New Roman"/>
          <w:color w:val="auto"/>
          <w:sz w:val="20"/>
        </w:rPr>
      </w:pPr>
    </w:p>
    <w:p w:rsidR="004B7C1D" w:rsidRPr="00D941B9" w:rsidRDefault="007555C7" w:rsidP="00193557">
      <w:pPr>
        <w:spacing w:before="0" w:after="0" w:line="240" w:lineRule="auto"/>
        <w:rPr>
          <w:rFonts w:ascii="Times New Roman" w:hAnsi="Times New Roman"/>
          <w:color w:val="auto"/>
          <w:sz w:val="24"/>
          <w:szCs w:val="24"/>
        </w:rPr>
      </w:pPr>
      <w:r w:rsidRPr="00D941B9">
        <w:rPr>
          <w:rFonts w:ascii="Times New Roman" w:hAnsi="Times New Roman"/>
          <w:color w:val="auto"/>
          <w:sz w:val="24"/>
          <w:szCs w:val="24"/>
        </w:rPr>
        <w:t xml:space="preserve">Section </w:t>
      </w:r>
      <w:r w:rsidR="000C5D7B" w:rsidRPr="00D941B9">
        <w:rPr>
          <w:rFonts w:ascii="Times New Roman" w:hAnsi="Times New Roman"/>
          <w:color w:val="auto"/>
          <w:sz w:val="24"/>
          <w:szCs w:val="24"/>
        </w:rPr>
        <w:t>3</w:t>
      </w:r>
      <w:r w:rsidRPr="00D941B9">
        <w:rPr>
          <w:rFonts w:ascii="Times New Roman" w:hAnsi="Times New Roman"/>
          <w:color w:val="auto"/>
          <w:sz w:val="24"/>
          <w:szCs w:val="24"/>
        </w:rPr>
        <w:t xml:space="preserve"> </w:t>
      </w:r>
      <w:r w:rsidR="00996FBE" w:rsidRPr="00D941B9">
        <w:rPr>
          <w:rFonts w:ascii="Times New Roman" w:hAnsi="Times New Roman"/>
          <w:color w:val="auto"/>
          <w:sz w:val="24"/>
          <w:szCs w:val="24"/>
        </w:rPr>
        <w:t>provides</w:t>
      </w:r>
      <w:r w:rsidR="004B7C1D" w:rsidRPr="00D941B9">
        <w:rPr>
          <w:rFonts w:ascii="Times New Roman" w:hAnsi="Times New Roman"/>
          <w:color w:val="auto"/>
          <w:sz w:val="24"/>
          <w:szCs w:val="24"/>
        </w:rPr>
        <w:t xml:space="preserve"> that </w:t>
      </w:r>
      <w:r w:rsidR="00091C89">
        <w:rPr>
          <w:rFonts w:ascii="Times New Roman" w:hAnsi="Times New Roman"/>
          <w:color w:val="auto"/>
          <w:sz w:val="24"/>
          <w:szCs w:val="24"/>
        </w:rPr>
        <w:t>s</w:t>
      </w:r>
      <w:r w:rsidR="004B7C1D" w:rsidRPr="00D941B9">
        <w:rPr>
          <w:rFonts w:ascii="Times New Roman" w:hAnsi="Times New Roman"/>
          <w:color w:val="auto"/>
          <w:sz w:val="24"/>
          <w:szCs w:val="24"/>
        </w:rPr>
        <w:t>chedule 1</w:t>
      </w:r>
      <w:r w:rsidR="00FA51A9" w:rsidRPr="00D941B9">
        <w:rPr>
          <w:rFonts w:ascii="Times New Roman" w:hAnsi="Times New Roman"/>
          <w:color w:val="auto"/>
          <w:sz w:val="24"/>
          <w:szCs w:val="24"/>
        </w:rPr>
        <w:t xml:space="preserve"> </w:t>
      </w:r>
      <w:r w:rsidR="00091C89">
        <w:rPr>
          <w:rFonts w:ascii="Times New Roman" w:hAnsi="Times New Roman"/>
          <w:color w:val="auto"/>
          <w:sz w:val="24"/>
          <w:szCs w:val="24"/>
        </w:rPr>
        <w:t>t</w:t>
      </w:r>
      <w:r w:rsidR="00996FBE" w:rsidRPr="00D941B9">
        <w:rPr>
          <w:rFonts w:ascii="Times New Roman" w:hAnsi="Times New Roman"/>
          <w:color w:val="auto"/>
          <w:sz w:val="24"/>
          <w:szCs w:val="24"/>
        </w:rPr>
        <w:t>o th</w:t>
      </w:r>
      <w:r w:rsidR="00091C89">
        <w:rPr>
          <w:rFonts w:ascii="Times New Roman" w:hAnsi="Times New Roman"/>
          <w:color w:val="auto"/>
          <w:sz w:val="24"/>
          <w:szCs w:val="24"/>
        </w:rPr>
        <w:t>e</w:t>
      </w:r>
      <w:r w:rsidR="00996FBE" w:rsidRPr="00D941B9">
        <w:rPr>
          <w:rFonts w:ascii="Times New Roman" w:hAnsi="Times New Roman"/>
          <w:color w:val="auto"/>
          <w:sz w:val="24"/>
          <w:szCs w:val="24"/>
        </w:rPr>
        <w:t xml:space="preserve"> Determination </w:t>
      </w:r>
      <w:r w:rsidR="004B7C1D" w:rsidRPr="00D941B9">
        <w:rPr>
          <w:rFonts w:ascii="Times New Roman" w:hAnsi="Times New Roman"/>
          <w:color w:val="auto"/>
          <w:sz w:val="24"/>
          <w:szCs w:val="24"/>
        </w:rPr>
        <w:t>amend</w:t>
      </w:r>
      <w:r w:rsidR="002D122A">
        <w:rPr>
          <w:rFonts w:ascii="Times New Roman" w:hAnsi="Times New Roman"/>
          <w:color w:val="auto"/>
          <w:sz w:val="24"/>
          <w:szCs w:val="24"/>
        </w:rPr>
        <w:t>s</w:t>
      </w:r>
      <w:r w:rsidR="004B7C1D" w:rsidRPr="00D941B9">
        <w:rPr>
          <w:rFonts w:ascii="Times New Roman" w:hAnsi="Times New Roman"/>
          <w:color w:val="auto"/>
          <w:sz w:val="24"/>
          <w:szCs w:val="24"/>
        </w:rPr>
        <w:t xml:space="preserve"> the </w:t>
      </w:r>
      <w:r w:rsidR="004B7C1D" w:rsidRPr="00D941B9">
        <w:rPr>
          <w:rFonts w:ascii="Times New Roman" w:hAnsi="Times New Roman"/>
          <w:i/>
          <w:color w:val="auto"/>
          <w:sz w:val="24"/>
          <w:szCs w:val="24"/>
        </w:rPr>
        <w:t>Health Insurance (Extended Medicare Safety Net) Determination 2009</w:t>
      </w:r>
      <w:r w:rsidR="004B7C1D" w:rsidRPr="00D941B9">
        <w:rPr>
          <w:rFonts w:ascii="Times New Roman" w:hAnsi="Times New Roman"/>
          <w:color w:val="auto"/>
          <w:sz w:val="24"/>
          <w:szCs w:val="24"/>
        </w:rPr>
        <w:t>.</w:t>
      </w:r>
    </w:p>
    <w:p w:rsidR="007555C7" w:rsidRPr="00D941B9" w:rsidRDefault="007555C7" w:rsidP="00193557">
      <w:pPr>
        <w:spacing w:before="0" w:after="0" w:line="240" w:lineRule="auto"/>
        <w:rPr>
          <w:rFonts w:ascii="Times New Roman" w:hAnsi="Times New Roman"/>
          <w:color w:val="auto"/>
          <w:sz w:val="20"/>
        </w:rPr>
      </w:pPr>
    </w:p>
    <w:p w:rsidR="00996FBE" w:rsidRDefault="00996FBE" w:rsidP="00193557">
      <w:pPr>
        <w:spacing w:before="0" w:after="0" w:line="240" w:lineRule="auto"/>
        <w:rPr>
          <w:rFonts w:ascii="Times New Roman" w:hAnsi="Times New Roman"/>
          <w:b/>
          <w:bCs/>
          <w:sz w:val="24"/>
          <w:szCs w:val="24"/>
          <w:lang w:val="en-US"/>
        </w:rPr>
      </w:pPr>
      <w:r w:rsidRPr="0012087F">
        <w:rPr>
          <w:rFonts w:ascii="Times New Roman" w:hAnsi="Times New Roman"/>
          <w:b/>
          <w:bCs/>
          <w:sz w:val="24"/>
          <w:szCs w:val="24"/>
          <w:lang w:val="en-US"/>
        </w:rPr>
        <w:t xml:space="preserve">Schedule 1 – Amendments commencing 1 </w:t>
      </w:r>
      <w:r w:rsidR="00C45FF3">
        <w:rPr>
          <w:rFonts w:ascii="Times New Roman" w:hAnsi="Times New Roman"/>
          <w:b/>
          <w:bCs/>
          <w:sz w:val="24"/>
          <w:szCs w:val="24"/>
          <w:lang w:val="en-US"/>
        </w:rPr>
        <w:t>Ma</w:t>
      </w:r>
      <w:r w:rsidR="003756C3">
        <w:rPr>
          <w:rFonts w:ascii="Times New Roman" w:hAnsi="Times New Roman"/>
          <w:b/>
          <w:bCs/>
          <w:sz w:val="24"/>
          <w:szCs w:val="24"/>
          <w:lang w:val="en-US"/>
        </w:rPr>
        <w:t>y</w:t>
      </w:r>
      <w:r w:rsidR="00C45FF3">
        <w:rPr>
          <w:rFonts w:ascii="Times New Roman" w:hAnsi="Times New Roman"/>
          <w:b/>
          <w:bCs/>
          <w:sz w:val="24"/>
          <w:szCs w:val="24"/>
          <w:lang w:val="en-US"/>
        </w:rPr>
        <w:t xml:space="preserve"> </w:t>
      </w:r>
      <w:r w:rsidR="00B44D96">
        <w:rPr>
          <w:rFonts w:ascii="Times New Roman" w:hAnsi="Times New Roman"/>
          <w:b/>
          <w:bCs/>
          <w:sz w:val="24"/>
          <w:szCs w:val="24"/>
          <w:lang w:val="en-US"/>
        </w:rPr>
        <w:t>2013</w:t>
      </w:r>
    </w:p>
    <w:p w:rsidR="00C45493" w:rsidRDefault="00C45493" w:rsidP="00C45493">
      <w:pPr>
        <w:spacing w:before="0" w:after="0" w:line="240" w:lineRule="auto"/>
        <w:rPr>
          <w:rFonts w:ascii="Times New Roman" w:hAnsi="Times New Roman"/>
          <w:sz w:val="24"/>
          <w:szCs w:val="24"/>
          <w:lang w:val="en-US"/>
        </w:rPr>
      </w:pPr>
      <w:r w:rsidRPr="0012087F">
        <w:rPr>
          <w:rFonts w:ascii="Times New Roman" w:hAnsi="Times New Roman"/>
          <w:sz w:val="24"/>
          <w:szCs w:val="24"/>
          <w:lang w:val="en-US"/>
        </w:rPr>
        <w:t xml:space="preserve"> </w:t>
      </w:r>
    </w:p>
    <w:p w:rsidR="00C45493" w:rsidRDefault="0091309F" w:rsidP="00193557">
      <w:pPr>
        <w:spacing w:before="0" w:after="0" w:line="240" w:lineRule="auto"/>
        <w:rPr>
          <w:rFonts w:ascii="Times New Roman" w:hAnsi="Times New Roman"/>
          <w:sz w:val="20"/>
        </w:rPr>
      </w:pPr>
      <w:r>
        <w:rPr>
          <w:rFonts w:ascii="Times New Roman" w:hAnsi="Times New Roman"/>
          <w:color w:val="auto"/>
          <w:sz w:val="24"/>
          <w:szCs w:val="24"/>
        </w:rPr>
        <w:t xml:space="preserve">Item 1 of </w:t>
      </w:r>
      <w:r w:rsidR="005B610C">
        <w:rPr>
          <w:rFonts w:ascii="Times New Roman" w:hAnsi="Times New Roman"/>
          <w:color w:val="auto"/>
          <w:sz w:val="24"/>
          <w:szCs w:val="24"/>
        </w:rPr>
        <w:t>s</w:t>
      </w:r>
      <w:r>
        <w:rPr>
          <w:rFonts w:ascii="Times New Roman" w:hAnsi="Times New Roman"/>
          <w:color w:val="auto"/>
          <w:sz w:val="24"/>
          <w:szCs w:val="24"/>
        </w:rPr>
        <w:t>chedule 1 to the Determination</w:t>
      </w:r>
      <w:r w:rsidRPr="0012087F">
        <w:rPr>
          <w:rFonts w:ascii="Times New Roman" w:hAnsi="Times New Roman"/>
          <w:color w:val="auto"/>
          <w:sz w:val="24"/>
          <w:szCs w:val="24"/>
        </w:rPr>
        <w:t xml:space="preserve"> </w:t>
      </w:r>
      <w:r>
        <w:rPr>
          <w:rFonts w:ascii="Times New Roman" w:hAnsi="Times New Roman"/>
          <w:color w:val="auto"/>
          <w:sz w:val="24"/>
          <w:szCs w:val="24"/>
        </w:rPr>
        <w:t xml:space="preserve">inserts two new items </w:t>
      </w:r>
      <w:r w:rsidRPr="0012087F">
        <w:rPr>
          <w:rFonts w:ascii="Times New Roman" w:hAnsi="Times New Roman"/>
          <w:sz w:val="24"/>
          <w:szCs w:val="24"/>
        </w:rPr>
        <w:t>(items 3252</w:t>
      </w:r>
      <w:r>
        <w:rPr>
          <w:rFonts w:ascii="Times New Roman" w:hAnsi="Times New Roman"/>
          <w:sz w:val="24"/>
          <w:szCs w:val="24"/>
        </w:rPr>
        <w:t>3 and 32526</w:t>
      </w:r>
      <w:r w:rsidRPr="0012087F">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auto"/>
          <w:sz w:val="24"/>
          <w:szCs w:val="24"/>
        </w:rPr>
        <w:t>into the table in paragraph 4(1</w:t>
      </w:r>
      <w:proofErr w:type="gramStart"/>
      <w:r>
        <w:rPr>
          <w:rFonts w:ascii="Times New Roman" w:hAnsi="Times New Roman"/>
          <w:color w:val="auto"/>
          <w:sz w:val="24"/>
          <w:szCs w:val="24"/>
        </w:rPr>
        <w:t>)(</w:t>
      </w:r>
      <w:proofErr w:type="gramEnd"/>
      <w:r>
        <w:rPr>
          <w:rFonts w:ascii="Times New Roman" w:hAnsi="Times New Roman"/>
          <w:color w:val="auto"/>
          <w:sz w:val="24"/>
          <w:szCs w:val="24"/>
        </w:rPr>
        <w:t xml:space="preserve">b) of </w:t>
      </w:r>
      <w:r w:rsidRPr="0012087F">
        <w:rPr>
          <w:rFonts w:ascii="Times New Roman" w:hAnsi="Times New Roman"/>
          <w:sz w:val="24"/>
          <w:szCs w:val="24"/>
        </w:rPr>
        <w:t xml:space="preserve">the </w:t>
      </w:r>
      <w:r w:rsidRPr="0012087F">
        <w:rPr>
          <w:rFonts w:ascii="Times New Roman" w:hAnsi="Times New Roman"/>
          <w:i/>
          <w:sz w:val="24"/>
          <w:szCs w:val="24"/>
        </w:rPr>
        <w:t>Health Insurance (Extended Medicare Safety Net) Determination 2009</w:t>
      </w:r>
      <w:r w:rsidRPr="0012087F">
        <w:rPr>
          <w:rFonts w:ascii="Times New Roman" w:hAnsi="Times New Roman"/>
          <w:sz w:val="24"/>
          <w:szCs w:val="24"/>
        </w:rPr>
        <w:t xml:space="preserve"> to i</w:t>
      </w:r>
      <w:r>
        <w:rPr>
          <w:rFonts w:ascii="Times New Roman" w:hAnsi="Times New Roman"/>
          <w:sz w:val="24"/>
          <w:szCs w:val="24"/>
        </w:rPr>
        <w:t>ntroduc</w:t>
      </w:r>
      <w:r w:rsidRPr="0012087F">
        <w:rPr>
          <w:rFonts w:ascii="Times New Roman" w:hAnsi="Times New Roman"/>
          <w:sz w:val="24"/>
          <w:szCs w:val="24"/>
        </w:rPr>
        <w:t xml:space="preserve">e EMSN benefit caps on </w:t>
      </w:r>
      <w:r>
        <w:rPr>
          <w:rFonts w:ascii="Times New Roman" w:hAnsi="Times New Roman"/>
          <w:sz w:val="24"/>
          <w:szCs w:val="24"/>
        </w:rPr>
        <w:t>those items.  T</w:t>
      </w:r>
      <w:r w:rsidRPr="00517582">
        <w:rPr>
          <w:rFonts w:ascii="Times New Roman" w:hAnsi="Times New Roman"/>
          <w:sz w:val="24"/>
          <w:szCs w:val="24"/>
        </w:rPr>
        <w:t xml:space="preserve">he EMSN benefit cap on </w:t>
      </w:r>
      <w:r>
        <w:rPr>
          <w:rFonts w:ascii="Times New Roman" w:hAnsi="Times New Roman"/>
          <w:sz w:val="24"/>
          <w:szCs w:val="24"/>
        </w:rPr>
        <w:t>item 32523 will be 15 per cent of the schedule fee.  The EMSN benefit cap on item 32526 will be 10 per cent of the schedule fee.</w:t>
      </w:r>
      <w:r w:rsidRPr="00D46CCB">
        <w:rPr>
          <w:rFonts w:ascii="Times New Roman" w:hAnsi="Times New Roman"/>
          <w:sz w:val="24"/>
          <w:szCs w:val="24"/>
        </w:rPr>
        <w:t xml:space="preserve">  These caps are</w:t>
      </w:r>
      <w:r>
        <w:rPr>
          <w:color w:val="auto"/>
          <w:sz w:val="22"/>
          <w:szCs w:val="22"/>
        </w:rPr>
        <w:t xml:space="preserve"> </w:t>
      </w:r>
      <w:r w:rsidRPr="00896C13" w:rsidDel="00753239">
        <w:rPr>
          <w:rFonts w:ascii="Times New Roman" w:hAnsi="Times New Roman"/>
          <w:sz w:val="24"/>
          <w:szCs w:val="24"/>
        </w:rPr>
        <w:t xml:space="preserve">consistent with MSAC’s </w:t>
      </w:r>
      <w:r>
        <w:rPr>
          <w:rFonts w:ascii="Times New Roman" w:hAnsi="Times New Roman"/>
          <w:sz w:val="24"/>
          <w:szCs w:val="24"/>
        </w:rPr>
        <w:t>advice</w:t>
      </w:r>
      <w:r w:rsidRPr="00896C13" w:rsidDel="00753239">
        <w:rPr>
          <w:rFonts w:ascii="Times New Roman" w:hAnsi="Times New Roman"/>
          <w:sz w:val="24"/>
          <w:szCs w:val="24"/>
        </w:rPr>
        <w:t xml:space="preserve"> </w:t>
      </w:r>
      <w:r>
        <w:rPr>
          <w:rFonts w:ascii="Times New Roman" w:hAnsi="Times New Roman"/>
          <w:sz w:val="24"/>
          <w:szCs w:val="24"/>
        </w:rPr>
        <w:t>that RFA for varicose veins should be subject to the same EMSN benefit caps as ELT</w:t>
      </w:r>
      <w:r w:rsidDel="00753239">
        <w:rPr>
          <w:rFonts w:ascii="Times New Roman" w:hAnsi="Times New Roman"/>
          <w:sz w:val="24"/>
          <w:szCs w:val="24"/>
        </w:rPr>
        <w:t>.</w:t>
      </w:r>
    </w:p>
    <w:p w:rsidR="0091309F" w:rsidRDefault="0091309F" w:rsidP="00193557">
      <w:pPr>
        <w:spacing w:before="0" w:after="0" w:line="240" w:lineRule="auto"/>
        <w:rPr>
          <w:rFonts w:ascii="Times New Roman" w:hAnsi="Times New Roman"/>
          <w:sz w:val="24"/>
          <w:szCs w:val="24"/>
          <w:lang w:val="en-US"/>
        </w:rPr>
      </w:pPr>
    </w:p>
    <w:p w:rsidR="0091309F" w:rsidRPr="002A08A5" w:rsidRDefault="005B610C" w:rsidP="00193557">
      <w:pPr>
        <w:spacing w:before="0" w:after="0" w:line="240" w:lineRule="auto"/>
        <w:rPr>
          <w:rFonts w:ascii="Times New Roman" w:hAnsi="Times New Roman"/>
          <w:sz w:val="24"/>
          <w:szCs w:val="24"/>
          <w:lang w:val="en-US"/>
        </w:rPr>
      </w:pPr>
      <w:r w:rsidRPr="002A08A5">
        <w:rPr>
          <w:rFonts w:ascii="Times New Roman" w:hAnsi="Times New Roman"/>
          <w:sz w:val="24"/>
          <w:szCs w:val="24"/>
        </w:rPr>
        <w:t xml:space="preserve">Item 2 of </w:t>
      </w:r>
      <w:r>
        <w:rPr>
          <w:rFonts w:ascii="Times New Roman" w:hAnsi="Times New Roman"/>
          <w:sz w:val="24"/>
          <w:szCs w:val="24"/>
        </w:rPr>
        <w:t>s</w:t>
      </w:r>
      <w:r w:rsidR="0091309F" w:rsidRPr="000E5AC3">
        <w:rPr>
          <w:rFonts w:ascii="Times New Roman" w:hAnsi="Times New Roman"/>
          <w:sz w:val="24"/>
          <w:szCs w:val="24"/>
        </w:rPr>
        <w:t xml:space="preserve">chedule 1 to the Determination removes the first note appearing after the table in paragraph </w:t>
      </w:r>
      <w:r w:rsidR="00777587" w:rsidRPr="000E5AC3">
        <w:rPr>
          <w:rFonts w:ascii="Times New Roman" w:hAnsi="Times New Roman"/>
          <w:sz w:val="24"/>
          <w:szCs w:val="24"/>
        </w:rPr>
        <w:t>4(1</w:t>
      </w:r>
      <w:proofErr w:type="gramStart"/>
      <w:r w:rsidR="00777587" w:rsidRPr="000E5AC3">
        <w:rPr>
          <w:rFonts w:ascii="Times New Roman" w:hAnsi="Times New Roman"/>
          <w:sz w:val="24"/>
          <w:szCs w:val="24"/>
        </w:rPr>
        <w:t>)(</w:t>
      </w:r>
      <w:proofErr w:type="gramEnd"/>
      <w:r w:rsidR="00777587" w:rsidRPr="000E5AC3">
        <w:rPr>
          <w:rFonts w:ascii="Times New Roman" w:hAnsi="Times New Roman"/>
          <w:sz w:val="24"/>
          <w:szCs w:val="24"/>
        </w:rPr>
        <w:t>b).  The note will</w:t>
      </w:r>
      <w:r w:rsidR="0091309F" w:rsidRPr="000E5AC3">
        <w:rPr>
          <w:rFonts w:ascii="Times New Roman" w:hAnsi="Times New Roman"/>
          <w:sz w:val="24"/>
          <w:szCs w:val="24"/>
        </w:rPr>
        <w:t xml:space="preserve"> no longer relevant </w:t>
      </w:r>
      <w:r w:rsidR="00777587" w:rsidRPr="000E5AC3">
        <w:rPr>
          <w:rFonts w:ascii="Times New Roman" w:hAnsi="Times New Roman"/>
          <w:sz w:val="24"/>
          <w:szCs w:val="24"/>
        </w:rPr>
        <w:t xml:space="preserve">on and from 1 May 2013 </w:t>
      </w:r>
      <w:r w:rsidR="0091309F" w:rsidRPr="000E5AC3">
        <w:rPr>
          <w:rFonts w:ascii="Times New Roman" w:hAnsi="Times New Roman"/>
          <w:sz w:val="24"/>
          <w:szCs w:val="24"/>
        </w:rPr>
        <w:t xml:space="preserve">as the determination made under subsection 3C(1) of the Act with respect to </w:t>
      </w:r>
      <w:proofErr w:type="spellStart"/>
      <w:r w:rsidR="0091309F" w:rsidRPr="000E5AC3">
        <w:rPr>
          <w:rFonts w:ascii="Times New Roman" w:hAnsi="Times New Roman"/>
          <w:sz w:val="24"/>
          <w:szCs w:val="24"/>
        </w:rPr>
        <w:t>endovenous</w:t>
      </w:r>
      <w:proofErr w:type="spellEnd"/>
      <w:r w:rsidR="0091309F" w:rsidRPr="000E5AC3">
        <w:rPr>
          <w:rFonts w:ascii="Times New Roman" w:hAnsi="Times New Roman"/>
          <w:sz w:val="24"/>
          <w:szCs w:val="24"/>
        </w:rPr>
        <w:t xml:space="preserve"> laser therapy services will be revoked with effect from </w:t>
      </w:r>
      <w:r>
        <w:rPr>
          <w:rFonts w:ascii="Times New Roman" w:hAnsi="Times New Roman"/>
          <w:sz w:val="24"/>
          <w:szCs w:val="24"/>
        </w:rPr>
        <w:t>that date</w:t>
      </w:r>
      <w:r w:rsidR="0091309F" w:rsidRPr="000E5AC3">
        <w:rPr>
          <w:rFonts w:ascii="Times New Roman" w:hAnsi="Times New Roman"/>
          <w:sz w:val="24"/>
          <w:szCs w:val="24"/>
        </w:rPr>
        <w:t xml:space="preserve"> and items 32520 and 32522 will be inserted into the general medical services table.  </w:t>
      </w:r>
    </w:p>
    <w:p w:rsidR="0091309F" w:rsidRDefault="0091309F" w:rsidP="00193557">
      <w:pPr>
        <w:spacing w:before="0" w:after="0" w:line="240" w:lineRule="auto"/>
        <w:rPr>
          <w:rFonts w:ascii="Times New Roman" w:hAnsi="Times New Roman"/>
          <w:sz w:val="24"/>
          <w:szCs w:val="24"/>
          <w:lang w:val="en-US"/>
        </w:rPr>
      </w:pPr>
    </w:p>
    <w:p w:rsidR="000E5AC3" w:rsidRDefault="0091309F" w:rsidP="0091309F">
      <w:pPr>
        <w:spacing w:before="0" w:after="0" w:line="240" w:lineRule="auto"/>
        <w:rPr>
          <w:rFonts w:ascii="Times New Roman" w:hAnsi="Times New Roman"/>
          <w:i/>
          <w:sz w:val="24"/>
          <w:szCs w:val="24"/>
          <w:lang w:val="en-US"/>
        </w:rPr>
      </w:pPr>
      <w:r>
        <w:rPr>
          <w:rFonts w:ascii="Times New Roman" w:hAnsi="Times New Roman"/>
          <w:sz w:val="24"/>
          <w:szCs w:val="24"/>
          <w:lang w:val="en-US"/>
        </w:rPr>
        <w:t xml:space="preserve">Item 3 of </w:t>
      </w:r>
      <w:r w:rsidR="005B610C">
        <w:rPr>
          <w:rFonts w:ascii="Times New Roman" w:hAnsi="Times New Roman"/>
          <w:sz w:val="24"/>
          <w:szCs w:val="24"/>
          <w:lang w:val="en-US"/>
        </w:rPr>
        <w:t>s</w:t>
      </w:r>
      <w:r w:rsidR="00C45FF3" w:rsidRPr="00855582">
        <w:rPr>
          <w:rFonts w:ascii="Times New Roman" w:hAnsi="Times New Roman"/>
          <w:sz w:val="24"/>
          <w:szCs w:val="24"/>
          <w:lang w:val="en-US"/>
        </w:rPr>
        <w:t xml:space="preserve">chedule </w:t>
      </w:r>
      <w:r w:rsidR="00777587">
        <w:rPr>
          <w:rFonts w:ascii="Times New Roman" w:hAnsi="Times New Roman"/>
          <w:sz w:val="24"/>
          <w:szCs w:val="24"/>
          <w:lang w:val="en-US"/>
        </w:rPr>
        <w:t>1 to the Determination</w:t>
      </w:r>
      <w:r>
        <w:rPr>
          <w:rFonts w:ascii="Times New Roman" w:hAnsi="Times New Roman"/>
          <w:sz w:val="24"/>
          <w:szCs w:val="24"/>
          <w:lang w:val="en-US"/>
        </w:rPr>
        <w:t xml:space="preserve"> introduces an EMSN benefit cap on all items in </w:t>
      </w:r>
      <w:r>
        <w:rPr>
          <w:rFonts w:ascii="Times New Roman" w:hAnsi="Times New Roman"/>
          <w:sz w:val="24"/>
          <w:szCs w:val="24"/>
        </w:rPr>
        <w:t xml:space="preserve">Group M15 (items 82300-82332) by </w:t>
      </w:r>
      <w:r w:rsidR="00777587">
        <w:rPr>
          <w:rFonts w:ascii="Times New Roman" w:hAnsi="Times New Roman"/>
          <w:sz w:val="24"/>
          <w:szCs w:val="24"/>
        </w:rPr>
        <w:t>inserting a reference to the</w:t>
      </w:r>
      <w:r>
        <w:rPr>
          <w:rFonts w:ascii="Times New Roman" w:hAnsi="Times New Roman"/>
          <w:sz w:val="24"/>
          <w:szCs w:val="24"/>
        </w:rPr>
        <w:t xml:space="preserve"> M15 Group </w:t>
      </w:r>
      <w:r w:rsidR="00C45FF3">
        <w:rPr>
          <w:rFonts w:ascii="Times New Roman" w:hAnsi="Times New Roman"/>
          <w:sz w:val="24"/>
          <w:szCs w:val="24"/>
          <w:lang w:val="en-US"/>
        </w:rPr>
        <w:t xml:space="preserve">into </w:t>
      </w:r>
      <w:r w:rsidR="00C44754">
        <w:rPr>
          <w:rFonts w:ascii="Times New Roman" w:hAnsi="Times New Roman"/>
          <w:sz w:val="24"/>
          <w:szCs w:val="24"/>
          <w:lang w:val="en-US"/>
        </w:rPr>
        <w:t xml:space="preserve">the table in paragraph </w:t>
      </w:r>
      <w:r w:rsidR="00C45FF3">
        <w:rPr>
          <w:rFonts w:ascii="Times New Roman" w:hAnsi="Times New Roman"/>
          <w:sz w:val="24"/>
          <w:szCs w:val="24"/>
          <w:lang w:val="en-US"/>
        </w:rPr>
        <w:t>4(1B</w:t>
      </w:r>
      <w:proofErr w:type="gramStart"/>
      <w:r w:rsidR="00C45FF3">
        <w:rPr>
          <w:rFonts w:ascii="Times New Roman" w:hAnsi="Times New Roman"/>
          <w:sz w:val="24"/>
          <w:szCs w:val="24"/>
          <w:lang w:val="en-US"/>
        </w:rPr>
        <w:t>)</w:t>
      </w:r>
      <w:r w:rsidR="00C44754">
        <w:rPr>
          <w:rFonts w:ascii="Times New Roman" w:hAnsi="Times New Roman"/>
          <w:sz w:val="24"/>
          <w:szCs w:val="24"/>
          <w:lang w:val="en-US"/>
        </w:rPr>
        <w:t>(</w:t>
      </w:r>
      <w:proofErr w:type="gramEnd"/>
      <w:r w:rsidR="00C44754">
        <w:rPr>
          <w:rFonts w:ascii="Times New Roman" w:hAnsi="Times New Roman"/>
          <w:sz w:val="24"/>
          <w:szCs w:val="24"/>
          <w:lang w:val="en-US"/>
        </w:rPr>
        <w:t>b)</w:t>
      </w:r>
      <w:r w:rsidR="00C45FF3">
        <w:rPr>
          <w:rFonts w:ascii="Times New Roman" w:hAnsi="Times New Roman"/>
          <w:sz w:val="24"/>
          <w:szCs w:val="24"/>
          <w:lang w:val="en-US"/>
        </w:rPr>
        <w:t xml:space="preserve"> of the </w:t>
      </w:r>
      <w:r w:rsidR="00C45FF3">
        <w:rPr>
          <w:rFonts w:ascii="Times New Roman" w:hAnsi="Times New Roman"/>
          <w:i/>
          <w:sz w:val="24"/>
          <w:szCs w:val="24"/>
          <w:lang w:val="en-US"/>
        </w:rPr>
        <w:t>Health Insurance (Extended Medicare Safety Net) Determination 2009</w:t>
      </w:r>
      <w:r>
        <w:rPr>
          <w:rFonts w:ascii="Times New Roman" w:hAnsi="Times New Roman"/>
          <w:i/>
          <w:sz w:val="24"/>
          <w:szCs w:val="24"/>
          <w:lang w:val="en-US"/>
        </w:rPr>
        <w:t xml:space="preserve">.  </w:t>
      </w:r>
    </w:p>
    <w:p w:rsidR="000E5AC3" w:rsidRDefault="000E5AC3" w:rsidP="0091309F">
      <w:pPr>
        <w:spacing w:before="0" w:after="0" w:line="240" w:lineRule="auto"/>
        <w:rPr>
          <w:rFonts w:ascii="Times New Roman" w:hAnsi="Times New Roman"/>
          <w:i/>
          <w:sz w:val="24"/>
          <w:szCs w:val="24"/>
          <w:lang w:val="en-US"/>
        </w:rPr>
      </w:pPr>
    </w:p>
    <w:p w:rsidR="0091309F" w:rsidRDefault="00777587" w:rsidP="0091309F">
      <w:pPr>
        <w:spacing w:before="0" w:after="0" w:line="240" w:lineRule="auto"/>
        <w:rPr>
          <w:rFonts w:ascii="Times New Roman" w:hAnsi="Times New Roman"/>
          <w:sz w:val="24"/>
          <w:szCs w:val="24"/>
        </w:rPr>
      </w:pPr>
      <w:r>
        <w:rPr>
          <w:rFonts w:ascii="Times New Roman" w:hAnsi="Times New Roman"/>
          <w:sz w:val="24"/>
          <w:szCs w:val="24"/>
        </w:rPr>
        <w:t>Paragraph 4(1B</w:t>
      </w:r>
      <w:proofErr w:type="gramStart"/>
      <w:r>
        <w:rPr>
          <w:rFonts w:ascii="Times New Roman" w:hAnsi="Times New Roman"/>
          <w:sz w:val="24"/>
          <w:szCs w:val="24"/>
        </w:rPr>
        <w:t>)(</w:t>
      </w:r>
      <w:proofErr w:type="gramEnd"/>
      <w:r>
        <w:rPr>
          <w:rFonts w:ascii="Times New Roman" w:hAnsi="Times New Roman"/>
          <w:sz w:val="24"/>
          <w:szCs w:val="24"/>
        </w:rPr>
        <w:t xml:space="preserve">b) </w:t>
      </w:r>
      <w:r w:rsidR="005B610C">
        <w:rPr>
          <w:rFonts w:ascii="Times New Roman" w:hAnsi="Times New Roman"/>
          <w:sz w:val="24"/>
          <w:szCs w:val="24"/>
        </w:rPr>
        <w:t xml:space="preserve">of the Determination </w:t>
      </w:r>
      <w:r>
        <w:rPr>
          <w:rFonts w:ascii="Times New Roman" w:hAnsi="Times New Roman"/>
          <w:sz w:val="24"/>
          <w:szCs w:val="24"/>
        </w:rPr>
        <w:t>provides that t</w:t>
      </w:r>
      <w:r w:rsidR="0091309F">
        <w:rPr>
          <w:rFonts w:ascii="Times New Roman" w:hAnsi="Times New Roman"/>
          <w:sz w:val="24"/>
          <w:szCs w:val="24"/>
        </w:rPr>
        <w:t xml:space="preserve">he EMSN benefit cap </w:t>
      </w:r>
      <w:r>
        <w:rPr>
          <w:rFonts w:ascii="Times New Roman" w:hAnsi="Times New Roman"/>
          <w:sz w:val="24"/>
          <w:szCs w:val="24"/>
        </w:rPr>
        <w:t xml:space="preserve">for </w:t>
      </w:r>
      <w:r w:rsidR="005B610C">
        <w:rPr>
          <w:rFonts w:ascii="Times New Roman" w:hAnsi="Times New Roman"/>
          <w:sz w:val="24"/>
          <w:szCs w:val="24"/>
        </w:rPr>
        <w:t xml:space="preserve">all </w:t>
      </w:r>
      <w:r>
        <w:rPr>
          <w:rFonts w:ascii="Times New Roman" w:hAnsi="Times New Roman"/>
          <w:sz w:val="24"/>
          <w:szCs w:val="24"/>
        </w:rPr>
        <w:t xml:space="preserve">items </w:t>
      </w:r>
      <w:r w:rsidR="005B610C">
        <w:rPr>
          <w:rFonts w:ascii="Times New Roman" w:hAnsi="Times New Roman"/>
          <w:sz w:val="24"/>
          <w:szCs w:val="24"/>
        </w:rPr>
        <w:t xml:space="preserve">listed in the table </w:t>
      </w:r>
      <w:r w:rsidR="0091309F">
        <w:rPr>
          <w:rFonts w:ascii="Times New Roman" w:hAnsi="Times New Roman"/>
          <w:sz w:val="24"/>
          <w:szCs w:val="24"/>
        </w:rPr>
        <w:t>will be 300 per cent of the schedule fee or $500, whichever is lower.  The EMSN benefit caps on audiology services are the same as those that already apply to all consultation and allied health items on the MBS.</w:t>
      </w:r>
    </w:p>
    <w:p w:rsidR="000E2279" w:rsidRDefault="000E2279">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Times New Roman" w:hAnsi="Times New Roman"/>
          <w:sz w:val="24"/>
          <w:szCs w:val="24"/>
          <w:lang w:val="en-US"/>
        </w:rPr>
      </w:pPr>
      <w:r>
        <w:rPr>
          <w:rFonts w:ascii="Times New Roman" w:hAnsi="Times New Roman"/>
          <w:sz w:val="24"/>
          <w:szCs w:val="24"/>
          <w:lang w:val="en-US"/>
        </w:rPr>
        <w:br w:type="page"/>
      </w:r>
    </w:p>
    <w:p w:rsidR="000E2279" w:rsidRPr="00C45FE4" w:rsidRDefault="000E2279" w:rsidP="000E2279">
      <w:pPr>
        <w:spacing w:after="0" w:line="240" w:lineRule="auto"/>
        <w:jc w:val="center"/>
        <w:rPr>
          <w:szCs w:val="24"/>
          <w:lang w:eastAsia="en-AU"/>
        </w:rPr>
      </w:pPr>
      <w:r w:rsidRPr="00C45FE4">
        <w:rPr>
          <w:b/>
          <w:bCs/>
          <w:szCs w:val="24"/>
          <w:lang w:eastAsia="en-AU"/>
        </w:rPr>
        <w:lastRenderedPageBreak/>
        <w:t>Statement of Compatibility with Human Rights</w:t>
      </w:r>
    </w:p>
    <w:p w:rsidR="000E2279" w:rsidRPr="00C45FE4" w:rsidRDefault="000E2279" w:rsidP="000E2279">
      <w:pPr>
        <w:spacing w:after="0" w:line="240" w:lineRule="auto"/>
        <w:rPr>
          <w:szCs w:val="24"/>
          <w:lang w:eastAsia="en-AU"/>
        </w:rPr>
      </w:pPr>
      <w:r w:rsidRPr="00C45FE4">
        <w:rPr>
          <w:i/>
          <w:iCs/>
          <w:szCs w:val="24"/>
          <w:lang w:eastAsia="en-AU"/>
        </w:rPr>
        <w:t>Prepared in accordance with Part 3 of the Human Rights (Parliamentary Scrutiny) Act 2011</w:t>
      </w:r>
    </w:p>
    <w:p w:rsidR="000E2279" w:rsidRPr="00C45FE4" w:rsidRDefault="000E2279" w:rsidP="000E2279">
      <w:pPr>
        <w:spacing w:after="0" w:line="240" w:lineRule="auto"/>
        <w:rPr>
          <w:szCs w:val="24"/>
          <w:lang w:eastAsia="en-AU"/>
        </w:rPr>
      </w:pPr>
      <w:r w:rsidRPr="00C45FE4">
        <w:rPr>
          <w:b/>
          <w:bCs/>
          <w:i/>
          <w:iCs/>
          <w:szCs w:val="24"/>
          <w:lang w:eastAsia="en-AU"/>
        </w:rPr>
        <w:t> </w:t>
      </w:r>
    </w:p>
    <w:p w:rsidR="000E2279" w:rsidRPr="00C45FE4" w:rsidRDefault="000E2279" w:rsidP="000E2279">
      <w:pPr>
        <w:spacing w:after="0" w:line="240" w:lineRule="auto"/>
        <w:rPr>
          <w:szCs w:val="24"/>
          <w:lang w:eastAsia="en-AU"/>
        </w:rPr>
      </w:pPr>
      <w:r w:rsidRPr="00C45FE4">
        <w:rPr>
          <w:b/>
          <w:bCs/>
          <w:i/>
          <w:iCs/>
          <w:szCs w:val="24"/>
          <w:lang w:eastAsia="en-AU"/>
        </w:rPr>
        <w:t>Health Insurance (Extended Medicare Safety N</w:t>
      </w:r>
      <w:r>
        <w:rPr>
          <w:b/>
          <w:bCs/>
          <w:i/>
          <w:iCs/>
          <w:szCs w:val="24"/>
          <w:lang w:eastAsia="en-AU"/>
        </w:rPr>
        <w:t>et) Amendment Determination 2013</w:t>
      </w:r>
      <w:r w:rsidRPr="00C45FE4">
        <w:rPr>
          <w:b/>
          <w:bCs/>
          <w:i/>
          <w:iCs/>
          <w:szCs w:val="24"/>
          <w:lang w:eastAsia="en-AU"/>
        </w:rPr>
        <w:t> (No.1)</w:t>
      </w:r>
    </w:p>
    <w:p w:rsidR="000E2279" w:rsidRPr="00C45FE4" w:rsidRDefault="000E2279" w:rsidP="000E2279">
      <w:pPr>
        <w:spacing w:after="240" w:line="240" w:lineRule="auto"/>
        <w:rPr>
          <w:szCs w:val="24"/>
          <w:lang w:eastAsia="en-AU"/>
        </w:rPr>
      </w:pPr>
      <w:r w:rsidRPr="00C45FE4">
        <w:rPr>
          <w:szCs w:val="24"/>
          <w:lang w:eastAsia="en-AU"/>
        </w:rPr>
        <w:t xml:space="preserve">This Determination is compatible with the human rights and freedoms recognised or declared in the international instruments listed in section 3 of the </w:t>
      </w:r>
      <w:r w:rsidRPr="00C45FE4">
        <w:rPr>
          <w:i/>
          <w:iCs/>
          <w:szCs w:val="24"/>
          <w:lang w:eastAsia="en-AU"/>
        </w:rPr>
        <w:t>Human Rights (Parliamentary Scrutiny) Act 2011</w:t>
      </w:r>
      <w:r w:rsidRPr="00C45FE4">
        <w:rPr>
          <w:szCs w:val="24"/>
          <w:lang w:eastAsia="en-AU"/>
        </w:rPr>
        <w:t>.</w:t>
      </w:r>
    </w:p>
    <w:p w:rsidR="000E2279" w:rsidRPr="00C45FE4" w:rsidRDefault="000E2279" w:rsidP="000E2279">
      <w:pPr>
        <w:spacing w:after="0" w:line="240" w:lineRule="auto"/>
        <w:rPr>
          <w:szCs w:val="24"/>
          <w:lang w:eastAsia="en-AU"/>
        </w:rPr>
      </w:pPr>
      <w:r w:rsidRPr="00C45FE4">
        <w:rPr>
          <w:b/>
          <w:bCs/>
          <w:szCs w:val="24"/>
          <w:lang w:eastAsia="en-AU"/>
        </w:rPr>
        <w:t>Overview of the Determination</w:t>
      </w:r>
    </w:p>
    <w:p w:rsidR="000E2279" w:rsidRPr="00C45FE4" w:rsidRDefault="000E2279" w:rsidP="000E2279">
      <w:pPr>
        <w:spacing w:after="0" w:line="240" w:lineRule="auto"/>
        <w:rPr>
          <w:szCs w:val="24"/>
          <w:lang w:eastAsia="en-AU"/>
        </w:rPr>
      </w:pPr>
      <w:r w:rsidRPr="00C45FE4">
        <w:rPr>
          <w:szCs w:val="24"/>
          <w:lang w:eastAsia="en-AU"/>
        </w:rPr>
        <w:t xml:space="preserve">The Extended Medicare Safety Net (the EMSN) provides individuals and families with an additional rebate for out-of-hospital Medicare services once an annual threshold of out-of-pocket costs is reached. </w:t>
      </w:r>
      <w:r>
        <w:rPr>
          <w:szCs w:val="24"/>
          <w:lang w:eastAsia="en-AU"/>
        </w:rPr>
        <w:t xml:space="preserve"> </w:t>
      </w:r>
      <w:r w:rsidRPr="00C45FE4">
        <w:rPr>
          <w:szCs w:val="24"/>
          <w:lang w:eastAsia="en-AU"/>
        </w:rPr>
        <w:t xml:space="preserve">Sections 10ACA and 10ADA of the </w:t>
      </w:r>
      <w:r w:rsidRPr="00C45FE4">
        <w:rPr>
          <w:i/>
          <w:iCs/>
          <w:szCs w:val="24"/>
          <w:lang w:eastAsia="en-AU"/>
        </w:rPr>
        <w:t>Health Insurance Act 1973</w:t>
      </w:r>
      <w:r>
        <w:rPr>
          <w:szCs w:val="24"/>
          <w:lang w:eastAsia="en-AU"/>
        </w:rPr>
        <w:t xml:space="preserve"> (the </w:t>
      </w:r>
      <w:r w:rsidRPr="00C45FE4">
        <w:rPr>
          <w:szCs w:val="24"/>
          <w:lang w:eastAsia="en-AU"/>
        </w:rPr>
        <w:t xml:space="preserve">Act) provide that once an individual or a member of a registered family reaches the applicable out-of-pocket EMSN threshold, the person is entitled to an increase in the Medicare benefit equal to 80 per cent of their out-of-pocket costs.  The increased amount of Medicare benefit payable under the EMSN is commonly referred to as the ‘EMSN benefit’.  </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 xml:space="preserve">Under section 10B of the Act the Minister may, by legislative instrument, determine the maximum increase of Medicare benefit available under the EMSN (an </w:t>
      </w:r>
      <w:r>
        <w:rPr>
          <w:szCs w:val="24"/>
          <w:lang w:eastAsia="en-AU"/>
        </w:rPr>
        <w:t>‘</w:t>
      </w:r>
      <w:r w:rsidRPr="00C45FE4">
        <w:rPr>
          <w:szCs w:val="24"/>
          <w:lang w:eastAsia="en-AU"/>
        </w:rPr>
        <w:t xml:space="preserve">EMSN </w:t>
      </w:r>
      <w:r>
        <w:rPr>
          <w:szCs w:val="24"/>
          <w:lang w:eastAsia="en-AU"/>
        </w:rPr>
        <w:t xml:space="preserve">benefit </w:t>
      </w:r>
      <w:r w:rsidRPr="00C45FE4">
        <w:rPr>
          <w:szCs w:val="24"/>
          <w:lang w:eastAsia="en-AU"/>
        </w:rPr>
        <w:t>cap</w:t>
      </w:r>
      <w:r>
        <w:rPr>
          <w:szCs w:val="24"/>
          <w:lang w:eastAsia="en-AU"/>
        </w:rPr>
        <w:t>’</w:t>
      </w:r>
      <w:r w:rsidRPr="00C45FE4">
        <w:rPr>
          <w:szCs w:val="24"/>
          <w:lang w:eastAsia="en-AU"/>
        </w:rPr>
        <w:t>) in respect of particular Medicare items.</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The EMSN benefit cap is the maximum amount of benefit payable under the EMSN, regardless of the fee charged by the pr</w:t>
      </w:r>
      <w:r>
        <w:rPr>
          <w:szCs w:val="24"/>
          <w:lang w:eastAsia="en-AU"/>
        </w:rPr>
        <w:t>actitioner.  The EMSN benefit</w:t>
      </w:r>
      <w:r w:rsidRPr="00C45FE4">
        <w:rPr>
          <w:szCs w:val="24"/>
          <w:lang w:eastAsia="en-AU"/>
        </w:rPr>
        <w:t xml:space="preserve"> is payable in addition to the standard Medicare rebate (including any benefits received through the </w:t>
      </w:r>
      <w:r>
        <w:rPr>
          <w:szCs w:val="24"/>
          <w:lang w:eastAsia="en-AU"/>
        </w:rPr>
        <w:t>o</w:t>
      </w:r>
      <w:r w:rsidRPr="00C45FE4">
        <w:rPr>
          <w:szCs w:val="24"/>
          <w:lang w:eastAsia="en-AU"/>
        </w:rPr>
        <w:t xml:space="preserve">riginal </w:t>
      </w:r>
      <w:r>
        <w:rPr>
          <w:szCs w:val="24"/>
          <w:lang w:eastAsia="en-AU"/>
        </w:rPr>
        <w:t>Medicare S</w:t>
      </w:r>
      <w:r w:rsidRPr="00C45FE4">
        <w:rPr>
          <w:szCs w:val="24"/>
          <w:lang w:eastAsia="en-AU"/>
        </w:rPr>
        <w:t xml:space="preserve">afety </w:t>
      </w:r>
      <w:r>
        <w:rPr>
          <w:szCs w:val="24"/>
          <w:lang w:eastAsia="en-AU"/>
        </w:rPr>
        <w:t>N</w:t>
      </w:r>
      <w:r w:rsidRPr="00C45FE4">
        <w:rPr>
          <w:szCs w:val="24"/>
          <w:lang w:eastAsia="en-AU"/>
        </w:rPr>
        <w:t>et).</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 xml:space="preserve">Currently </w:t>
      </w:r>
      <w:r>
        <w:rPr>
          <w:szCs w:val="24"/>
          <w:lang w:eastAsia="en-AU"/>
        </w:rPr>
        <w:t>563</w:t>
      </w:r>
      <w:r w:rsidRPr="00C45FE4">
        <w:rPr>
          <w:szCs w:val="24"/>
          <w:lang w:eastAsia="en-AU"/>
        </w:rPr>
        <w:t xml:space="preserve"> </w:t>
      </w:r>
      <w:r>
        <w:rPr>
          <w:szCs w:val="24"/>
          <w:lang w:eastAsia="en-AU"/>
        </w:rPr>
        <w:t xml:space="preserve">Medicare Benefit Schedule (MBS) </w:t>
      </w:r>
      <w:r w:rsidRPr="00C45FE4">
        <w:rPr>
          <w:szCs w:val="24"/>
          <w:lang w:eastAsia="en-AU"/>
        </w:rPr>
        <w:t>items have an EMSN benefit cap.</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 xml:space="preserve">The </w:t>
      </w:r>
      <w:r w:rsidRPr="00C45FE4">
        <w:rPr>
          <w:i/>
          <w:iCs/>
          <w:szCs w:val="24"/>
          <w:lang w:eastAsia="en-AU"/>
        </w:rPr>
        <w:t>Health Insurance (Extended Medicare Safety Net) Amendment Determination 201</w:t>
      </w:r>
      <w:r>
        <w:rPr>
          <w:i/>
          <w:iCs/>
          <w:szCs w:val="24"/>
          <w:lang w:eastAsia="en-AU"/>
        </w:rPr>
        <w:t>3 (No. </w:t>
      </w:r>
      <w:r w:rsidRPr="00C45FE4">
        <w:rPr>
          <w:i/>
          <w:iCs/>
          <w:szCs w:val="24"/>
          <w:lang w:eastAsia="en-AU"/>
        </w:rPr>
        <w:t xml:space="preserve">1) </w:t>
      </w:r>
      <w:r w:rsidRPr="00C45FE4">
        <w:rPr>
          <w:szCs w:val="24"/>
          <w:lang w:eastAsia="en-AU"/>
        </w:rPr>
        <w:t xml:space="preserve">(the Determination) amends the </w:t>
      </w:r>
      <w:r w:rsidRPr="00C45FE4">
        <w:rPr>
          <w:i/>
          <w:iCs/>
          <w:szCs w:val="24"/>
          <w:lang w:eastAsia="en-AU"/>
        </w:rPr>
        <w:t>Health Insurance</w:t>
      </w:r>
      <w:r>
        <w:rPr>
          <w:i/>
          <w:iCs/>
          <w:szCs w:val="24"/>
          <w:lang w:eastAsia="en-AU"/>
        </w:rPr>
        <w:t xml:space="preserve"> (Extended Medicare Safety Net) </w:t>
      </w:r>
      <w:r w:rsidRPr="00C45FE4">
        <w:rPr>
          <w:i/>
          <w:iCs/>
          <w:szCs w:val="24"/>
          <w:lang w:eastAsia="en-AU"/>
        </w:rPr>
        <w:t xml:space="preserve">Determination 2009 </w:t>
      </w:r>
      <w:r w:rsidRPr="00C45FE4">
        <w:rPr>
          <w:szCs w:val="24"/>
          <w:lang w:eastAsia="en-AU"/>
        </w:rPr>
        <w:t xml:space="preserve">(the Principal Determination) to introduce EMSN benefit caps for </w:t>
      </w:r>
      <w:r>
        <w:rPr>
          <w:szCs w:val="24"/>
          <w:lang w:eastAsia="en-AU"/>
        </w:rPr>
        <w:t>MBS items in Group M15 (Audiology) and for two MBS items relating to radiofrequency ablation (RFA) from</w:t>
      </w:r>
      <w:r w:rsidRPr="00C45FE4">
        <w:rPr>
          <w:szCs w:val="24"/>
          <w:lang w:eastAsia="en-AU"/>
        </w:rPr>
        <w:t xml:space="preserve"> 1 </w:t>
      </w:r>
      <w:r>
        <w:rPr>
          <w:szCs w:val="24"/>
          <w:lang w:eastAsia="en-AU"/>
        </w:rPr>
        <w:t>May 2013</w:t>
      </w:r>
      <w:r w:rsidRPr="00C45FE4">
        <w:rPr>
          <w:szCs w:val="24"/>
          <w:lang w:eastAsia="en-AU"/>
        </w:rPr>
        <w:t>.</w:t>
      </w:r>
      <w:r>
        <w:rPr>
          <w:szCs w:val="24"/>
          <w:lang w:eastAsia="en-AU"/>
        </w:rPr>
        <w:t xml:space="preserve">  The Determination also amends the Principal Determination to remove a note which will become irrelevant on 1 May 2013.  </w:t>
      </w:r>
    </w:p>
    <w:p w:rsidR="000E2279" w:rsidRPr="00C45FE4" w:rsidRDefault="000E2279" w:rsidP="000E2279">
      <w:pPr>
        <w:spacing w:after="0" w:line="240" w:lineRule="auto"/>
        <w:rPr>
          <w:szCs w:val="24"/>
          <w:lang w:eastAsia="en-AU"/>
        </w:rPr>
      </w:pPr>
      <w:r w:rsidRPr="00C45FE4">
        <w:rPr>
          <w:b/>
          <w:bCs/>
          <w:szCs w:val="24"/>
          <w:lang w:eastAsia="en-AU"/>
        </w:rPr>
        <w:t> </w:t>
      </w:r>
    </w:p>
    <w:p w:rsidR="000E2279" w:rsidRPr="00C45FE4" w:rsidRDefault="000E2279" w:rsidP="000E2279">
      <w:pPr>
        <w:spacing w:after="0" w:line="240" w:lineRule="auto"/>
        <w:rPr>
          <w:szCs w:val="24"/>
          <w:lang w:eastAsia="en-AU"/>
        </w:rPr>
      </w:pPr>
      <w:r w:rsidRPr="00C45FE4">
        <w:rPr>
          <w:b/>
          <w:bCs/>
          <w:szCs w:val="24"/>
          <w:lang w:eastAsia="en-AU"/>
        </w:rPr>
        <w:t>Human rights implications</w:t>
      </w:r>
    </w:p>
    <w:p w:rsidR="000E2279" w:rsidRPr="00C45FE4" w:rsidRDefault="000E2279" w:rsidP="000E2279">
      <w:pPr>
        <w:spacing w:after="0" w:line="240" w:lineRule="auto"/>
        <w:rPr>
          <w:szCs w:val="24"/>
          <w:lang w:eastAsia="en-AU"/>
        </w:rPr>
      </w:pPr>
      <w:r w:rsidRPr="00C45FE4">
        <w:rPr>
          <w:i/>
          <w:iCs/>
          <w:szCs w:val="24"/>
          <w:lang w:eastAsia="en-AU"/>
        </w:rPr>
        <w:t> </w:t>
      </w:r>
    </w:p>
    <w:p w:rsidR="000E2279" w:rsidRPr="00C45FE4" w:rsidRDefault="000E2279" w:rsidP="000E2279">
      <w:pPr>
        <w:spacing w:after="0" w:line="240" w:lineRule="auto"/>
        <w:rPr>
          <w:szCs w:val="24"/>
          <w:lang w:eastAsia="en-AU"/>
        </w:rPr>
      </w:pPr>
      <w:r w:rsidRPr="00C45FE4">
        <w:rPr>
          <w:i/>
          <w:iCs/>
          <w:szCs w:val="24"/>
          <w:lang w:eastAsia="en-AU"/>
        </w:rPr>
        <w:t>The Right to Health</w:t>
      </w:r>
    </w:p>
    <w:p w:rsidR="000E2279" w:rsidRPr="00C45FE4" w:rsidRDefault="000E2279" w:rsidP="000E2279">
      <w:pPr>
        <w:spacing w:after="0" w:line="240" w:lineRule="auto"/>
        <w:rPr>
          <w:szCs w:val="24"/>
          <w:lang w:eastAsia="en-AU"/>
        </w:rPr>
      </w:pPr>
      <w:r w:rsidRPr="00C45FE4">
        <w:rPr>
          <w:i/>
          <w:iCs/>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The right to health – the right to the enjoyment of the highest attainable standard of physical and mental health – is contained in article 12(1) of the International Covenant on Economic, Social and Cultural Rights (ICESCR).  The UN Committee on Economic, Social and Cultural Rights (the Committee) has stated that health is a ‘fundamental human right indispensable for the exercise of other human rights’, and that the right to health is not to be understood as a right to be healthy, but rather entails a right to a system of health protection which provides equality of opportunity for people to enjoy the highest attainable level of health.</w:t>
      </w:r>
    </w:p>
    <w:p w:rsidR="000E2279" w:rsidRPr="00C45FE4" w:rsidRDefault="000E2279" w:rsidP="000E2279">
      <w:pPr>
        <w:spacing w:after="0" w:line="240" w:lineRule="auto"/>
        <w:rPr>
          <w:szCs w:val="24"/>
          <w:lang w:eastAsia="en-AU"/>
        </w:rPr>
      </w:pPr>
      <w:r w:rsidRPr="00C45FE4">
        <w:rPr>
          <w:szCs w:val="24"/>
          <w:lang w:eastAsia="en-AU"/>
        </w:rPr>
        <w:t> </w:t>
      </w:r>
    </w:p>
    <w:p w:rsidR="000E2279" w:rsidRDefault="000E2279" w:rsidP="000E2279">
      <w:pPr>
        <w:rPr>
          <w:i/>
          <w:iCs/>
          <w:szCs w:val="24"/>
          <w:lang w:eastAsia="en-AU"/>
        </w:rPr>
      </w:pPr>
      <w:r>
        <w:rPr>
          <w:i/>
          <w:iCs/>
          <w:szCs w:val="24"/>
          <w:lang w:eastAsia="en-AU"/>
        </w:rPr>
        <w:br w:type="page"/>
      </w:r>
    </w:p>
    <w:p w:rsidR="000E2279" w:rsidRPr="00C45FE4" w:rsidRDefault="000E2279" w:rsidP="000E2279">
      <w:pPr>
        <w:spacing w:after="0" w:line="240" w:lineRule="auto"/>
        <w:rPr>
          <w:szCs w:val="24"/>
          <w:lang w:eastAsia="en-AU"/>
        </w:rPr>
      </w:pPr>
      <w:r w:rsidRPr="00C45FE4">
        <w:rPr>
          <w:i/>
          <w:iCs/>
          <w:szCs w:val="24"/>
          <w:lang w:eastAsia="en-AU"/>
        </w:rPr>
        <w:lastRenderedPageBreak/>
        <w:t>Right to Social Security</w:t>
      </w:r>
    </w:p>
    <w:p w:rsidR="000E2279" w:rsidRPr="00C45FE4" w:rsidRDefault="000E2279" w:rsidP="000E2279">
      <w:pPr>
        <w:spacing w:after="0" w:line="240" w:lineRule="auto"/>
        <w:rPr>
          <w:szCs w:val="24"/>
          <w:lang w:eastAsia="en-AU"/>
        </w:rPr>
      </w:pPr>
      <w:r w:rsidRPr="00C45FE4">
        <w:rPr>
          <w:i/>
          <w:iCs/>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The right to social security is contained in article 9 of the ICESCR.  The right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in an effort to satisfy, as a matter of priority, this minimum obligation.  </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i/>
          <w:iCs/>
          <w:szCs w:val="24"/>
          <w:lang w:eastAsia="en-AU"/>
        </w:rPr>
        <w:t>Discussion of the Determination</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This Determination will introduce a cap on the amount of EMSN benefits payable for</w:t>
      </w:r>
      <w:r>
        <w:rPr>
          <w:szCs w:val="24"/>
          <w:lang w:eastAsia="en-AU"/>
        </w:rPr>
        <w:t xml:space="preserve"> a total of eleven MBS</w:t>
      </w:r>
      <w:r w:rsidRPr="00C45FE4">
        <w:rPr>
          <w:szCs w:val="24"/>
          <w:lang w:eastAsia="en-AU"/>
        </w:rPr>
        <w:t xml:space="preserve"> items</w:t>
      </w:r>
      <w:r>
        <w:rPr>
          <w:szCs w:val="24"/>
          <w:lang w:eastAsia="en-AU"/>
        </w:rPr>
        <w:t xml:space="preserve"> (one Group of nine items, and two individual items)</w:t>
      </w:r>
      <w:r w:rsidRPr="00C45FE4">
        <w:rPr>
          <w:szCs w:val="24"/>
          <w:lang w:eastAsia="en-AU"/>
        </w:rPr>
        <w:t xml:space="preserve">. This will potentially reduce the amount of EMSN benefits payable where a person has reached the EMSN benefit threshold and is charged enough that the EMSN benefit cap becomes applicable.   </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 xml:space="preserve">The Committee has stated that the notion of ‘the highest attainable standard of health’ takes into account both the conditions of the individual and the country’s available resources.  The right may be understood as a right of access to a variety of public health and health care facilities, goods, services, programs and conditions necessary for the realisation of the highest attainable standard of health. </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 xml:space="preserve">The Committee has also stated that with respect to the right to social security that the qualifying conditions for benefits must be reasonable, proportionate and transparent. </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EMSN benefit caps were</w:t>
      </w:r>
      <w:r>
        <w:rPr>
          <w:szCs w:val="24"/>
          <w:lang w:eastAsia="en-AU"/>
        </w:rPr>
        <w:t xml:space="preserve"> first</w:t>
      </w:r>
      <w:r w:rsidRPr="00C45FE4">
        <w:rPr>
          <w:szCs w:val="24"/>
          <w:lang w:eastAsia="en-AU"/>
        </w:rPr>
        <w:t xml:space="preserve"> introduced in 2010 because some doctors were charging excessive fees, knowing that the government would pay 80 per cent of the out-of-pocket costs faced by patients once they reached the relevant threshold. This had implications for those people that had not qualified for the EMSN threshold. It is also of relevance that an independent report ‘Extended Medicare Safety Net Review Report 2009’ by the Centre for Health Economics Research and Evaluation found that prior to EMSN benefit caps being introduced, 55 per cent of EMSN benefits were distributed to the top fifth of Australia’s most socioeconomically advantaged areas, whereas the least advantag</w:t>
      </w:r>
      <w:r>
        <w:rPr>
          <w:szCs w:val="24"/>
          <w:lang w:eastAsia="en-AU"/>
        </w:rPr>
        <w:t>ed fifth received less than 3.5 </w:t>
      </w:r>
      <w:r w:rsidRPr="00C45FE4">
        <w:rPr>
          <w:szCs w:val="24"/>
          <w:lang w:eastAsia="en-AU"/>
        </w:rPr>
        <w:t>per cent</w:t>
      </w:r>
      <w:r>
        <w:rPr>
          <w:szCs w:val="24"/>
          <w:lang w:eastAsia="en-AU"/>
        </w:rPr>
        <w:t xml:space="preserve"> of EMSN benefits</w:t>
      </w:r>
      <w:r w:rsidRPr="00C45FE4">
        <w:rPr>
          <w:szCs w:val="24"/>
          <w:lang w:eastAsia="en-AU"/>
        </w:rPr>
        <w:t xml:space="preserve">. </w:t>
      </w:r>
    </w:p>
    <w:p w:rsidR="000E2279" w:rsidRDefault="000E2279" w:rsidP="000E2279">
      <w:pPr>
        <w:spacing w:after="0" w:line="240" w:lineRule="auto"/>
        <w:rPr>
          <w:szCs w:val="24"/>
          <w:lang w:eastAsia="en-AU"/>
        </w:rPr>
      </w:pPr>
    </w:p>
    <w:p w:rsidR="000E2279" w:rsidRDefault="000E2279" w:rsidP="000E2279">
      <w:pPr>
        <w:spacing w:after="0" w:line="240" w:lineRule="auto"/>
        <w:rPr>
          <w:szCs w:val="24"/>
          <w:lang w:eastAsia="en-AU"/>
        </w:rPr>
      </w:pPr>
      <w:r>
        <w:rPr>
          <w:i/>
          <w:szCs w:val="24"/>
          <w:lang w:eastAsia="en-AU"/>
        </w:rPr>
        <w:t>Radiofrequency ablation for the treatment of varicose veins</w:t>
      </w:r>
      <w:r w:rsidRPr="00C45FE4">
        <w:rPr>
          <w:szCs w:val="24"/>
          <w:lang w:eastAsia="en-AU"/>
        </w:rPr>
        <w:t> </w:t>
      </w:r>
    </w:p>
    <w:p w:rsidR="000E2279" w:rsidRDefault="000E2279" w:rsidP="000E2279">
      <w:pPr>
        <w:spacing w:after="0" w:line="240" w:lineRule="auto"/>
        <w:rPr>
          <w:szCs w:val="24"/>
          <w:lang w:eastAsia="en-AU"/>
        </w:rPr>
      </w:pPr>
      <w:r>
        <w:rPr>
          <w:szCs w:val="24"/>
          <w:lang w:eastAsia="en-AU"/>
        </w:rPr>
        <w:t xml:space="preserve">Before a new medical service is publicly funded in Australia, it is assessed by the Medical Services Advisory Committee (MSAC) to ensure the service is safe, effective and cost-effective.  MSAC assessed radiofrequency ablation (RFA) for the treatment of varicose veins in August 2012.  </w:t>
      </w:r>
      <w:r>
        <w:rPr>
          <w:szCs w:val="24"/>
          <w:lang w:val="en"/>
        </w:rPr>
        <w:t>The MS</w:t>
      </w:r>
      <w:r w:rsidRPr="003F3507">
        <w:rPr>
          <w:szCs w:val="24"/>
          <w:lang w:val="en"/>
        </w:rPr>
        <w:t>AC assessment found that RFA is safe and clinically effective when compared to</w:t>
      </w:r>
      <w:r>
        <w:rPr>
          <w:szCs w:val="24"/>
          <w:lang w:val="en"/>
        </w:rPr>
        <w:t xml:space="preserve"> </w:t>
      </w:r>
      <w:proofErr w:type="spellStart"/>
      <w:r>
        <w:rPr>
          <w:szCs w:val="24"/>
          <w:lang w:val="en"/>
        </w:rPr>
        <w:t>endovenous</w:t>
      </w:r>
      <w:proofErr w:type="spellEnd"/>
      <w:r>
        <w:rPr>
          <w:szCs w:val="24"/>
          <w:lang w:val="en"/>
        </w:rPr>
        <w:t xml:space="preserve"> laser therapy</w:t>
      </w:r>
      <w:r w:rsidRPr="003F3507">
        <w:rPr>
          <w:szCs w:val="24"/>
          <w:lang w:val="en"/>
        </w:rPr>
        <w:t xml:space="preserve"> </w:t>
      </w:r>
      <w:r>
        <w:rPr>
          <w:szCs w:val="24"/>
          <w:lang w:val="en"/>
        </w:rPr>
        <w:t>(</w:t>
      </w:r>
      <w:r w:rsidRPr="003F3507">
        <w:rPr>
          <w:szCs w:val="24"/>
          <w:lang w:val="en"/>
        </w:rPr>
        <w:t>ELT</w:t>
      </w:r>
      <w:r>
        <w:rPr>
          <w:szCs w:val="24"/>
          <w:lang w:val="en"/>
        </w:rPr>
        <w:t>)</w:t>
      </w:r>
      <w:proofErr w:type="gramStart"/>
      <w:r w:rsidRPr="003F3507">
        <w:rPr>
          <w:szCs w:val="24"/>
          <w:lang w:val="en"/>
        </w:rPr>
        <w:t>,</w:t>
      </w:r>
      <w:proofErr w:type="gramEnd"/>
      <w:r w:rsidRPr="003F3507">
        <w:rPr>
          <w:szCs w:val="24"/>
          <w:lang w:val="en"/>
        </w:rPr>
        <w:t xml:space="preserve"> however cost-effectiveness concerns relating to the EMSN were identified.</w:t>
      </w:r>
      <w:r w:rsidRPr="0012087F">
        <w:rPr>
          <w:szCs w:val="24"/>
          <w:lang w:val="en"/>
        </w:rPr>
        <w:t xml:space="preserve">  </w:t>
      </w:r>
      <w:r>
        <w:rPr>
          <w:szCs w:val="24"/>
          <w:lang w:val="en"/>
        </w:rPr>
        <w:t>MSAC</w:t>
      </w:r>
      <w:r>
        <w:rPr>
          <w:szCs w:val="24"/>
          <w:lang w:eastAsia="en-AU"/>
        </w:rPr>
        <w:t xml:space="preserve"> advised that public funding of RFA should be supported as long as the services were subject to the same EMSN benefit caps as those already in place for ELT.</w:t>
      </w:r>
    </w:p>
    <w:p w:rsidR="000E2279" w:rsidRDefault="000E2279" w:rsidP="000E2279">
      <w:pPr>
        <w:spacing w:after="0" w:line="240" w:lineRule="auto"/>
        <w:rPr>
          <w:szCs w:val="24"/>
          <w:lang w:eastAsia="en-AU"/>
        </w:rPr>
      </w:pPr>
    </w:p>
    <w:p w:rsidR="000E2279" w:rsidRDefault="000E2279" w:rsidP="000E2279">
      <w:pPr>
        <w:spacing w:after="0" w:line="240" w:lineRule="auto"/>
        <w:rPr>
          <w:szCs w:val="24"/>
          <w:lang w:eastAsia="en-AU"/>
        </w:rPr>
      </w:pPr>
      <w:r>
        <w:rPr>
          <w:szCs w:val="24"/>
          <w:lang w:eastAsia="en-AU"/>
        </w:rPr>
        <w:t>Restriction of EMSN benefits for RFA services ensures that the Australian government’s expenditure on healthcare remains efficient and sustainable, therefore enabling the continued provision of universal healthcare in Australia.</w:t>
      </w:r>
    </w:p>
    <w:p w:rsidR="000E2279" w:rsidRDefault="000E2279" w:rsidP="000E2279">
      <w:pPr>
        <w:rPr>
          <w:i/>
          <w:szCs w:val="24"/>
          <w:lang w:eastAsia="en-AU"/>
        </w:rPr>
      </w:pPr>
    </w:p>
    <w:p w:rsidR="000E2279" w:rsidRDefault="000E2279" w:rsidP="000E2279">
      <w:pPr>
        <w:spacing w:after="0"/>
        <w:rPr>
          <w:i/>
          <w:szCs w:val="24"/>
          <w:lang w:eastAsia="en-AU"/>
        </w:rPr>
      </w:pPr>
      <w:r>
        <w:rPr>
          <w:i/>
          <w:szCs w:val="24"/>
          <w:lang w:eastAsia="en-AU"/>
        </w:rPr>
        <w:t>Audiology items (Group M15)</w:t>
      </w:r>
    </w:p>
    <w:p w:rsidR="000E2279" w:rsidRPr="004520FD" w:rsidRDefault="000E2279" w:rsidP="000E2279">
      <w:r w:rsidRPr="004520FD">
        <w:lastRenderedPageBreak/>
        <w:t xml:space="preserve">In the 2012-13 Budget, the </w:t>
      </w:r>
      <w:r>
        <w:t>Government announced that EMSN b</w:t>
      </w:r>
      <w:r w:rsidRPr="004520FD">
        <w:t xml:space="preserve">enefit caps would be placed on </w:t>
      </w:r>
      <w:r>
        <w:t xml:space="preserve">an additional </w:t>
      </w:r>
      <w:r w:rsidRPr="004520FD">
        <w:t>39 selected MBS items and all consultations including allied health services.  The level of the caps is 300 per cent of the schedule fee up to a maximum of $500 for consultations; and 80 per cent of the schedule fee for newly capped procedural items.  These caps commenced on 1 November 2012.</w:t>
      </w:r>
    </w:p>
    <w:p w:rsidR="000E2279" w:rsidRDefault="000E2279" w:rsidP="000E2279">
      <w:pPr>
        <w:spacing w:after="0" w:line="240" w:lineRule="auto"/>
        <w:rPr>
          <w:szCs w:val="24"/>
          <w:lang w:eastAsia="en-AU"/>
        </w:rPr>
      </w:pPr>
    </w:p>
    <w:p w:rsidR="000E2279" w:rsidRDefault="000E2279" w:rsidP="000E2279">
      <w:pPr>
        <w:spacing w:after="0" w:line="240" w:lineRule="auto"/>
        <w:rPr>
          <w:szCs w:val="24"/>
          <w:lang w:eastAsia="en-AU"/>
        </w:rPr>
      </w:pPr>
      <w:r>
        <w:rPr>
          <w:szCs w:val="24"/>
          <w:lang w:eastAsia="en-AU"/>
        </w:rPr>
        <w:t>Placing an EMSN benefit cap on audiology services ensures consistency with the 2012-13 Budget capping measure.</w:t>
      </w:r>
    </w:p>
    <w:p w:rsidR="000E2279" w:rsidRPr="00C45FE4" w:rsidRDefault="000E2279" w:rsidP="000E2279">
      <w:pPr>
        <w:rPr>
          <w:szCs w:val="24"/>
          <w:lang w:eastAsia="en-AU"/>
        </w:rPr>
      </w:pPr>
      <w:r w:rsidRPr="00C45FE4">
        <w:rPr>
          <w:szCs w:val="24"/>
          <w:lang w:eastAsia="en-AU"/>
        </w:rPr>
        <w:t> </w:t>
      </w:r>
    </w:p>
    <w:p w:rsidR="000E2279" w:rsidRPr="00081A4F" w:rsidRDefault="000E2279" w:rsidP="000E2279">
      <w:pPr>
        <w:spacing w:after="0" w:line="240" w:lineRule="auto"/>
        <w:rPr>
          <w:b/>
          <w:bCs/>
          <w:szCs w:val="24"/>
          <w:lang w:eastAsia="en-AU"/>
        </w:rPr>
      </w:pPr>
      <w:r w:rsidRPr="00C45FE4">
        <w:rPr>
          <w:b/>
          <w:bCs/>
          <w:szCs w:val="24"/>
          <w:lang w:eastAsia="en-AU"/>
        </w:rPr>
        <w:t xml:space="preserve"> Conclusion </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rPr>
          <w:szCs w:val="24"/>
          <w:lang w:eastAsia="en-AU"/>
        </w:rPr>
      </w:pPr>
      <w:r w:rsidRPr="00C45FE4">
        <w:rPr>
          <w:szCs w:val="24"/>
          <w:lang w:eastAsia="en-AU"/>
        </w:rPr>
        <w:t>The Determination is compatible with human rights</w:t>
      </w:r>
      <w:r>
        <w:rPr>
          <w:szCs w:val="24"/>
          <w:lang w:eastAsia="en-AU"/>
        </w:rPr>
        <w:t xml:space="preserve"> because, to the extent that it may limit the right to health or social security, those limitations are for a legitimate objective and reasonable, necessary and proportionate in the circumstances</w:t>
      </w:r>
      <w:r w:rsidRPr="00C45FE4">
        <w:rPr>
          <w:szCs w:val="24"/>
          <w:lang w:eastAsia="en-AU"/>
        </w:rPr>
        <w:t>.</w:t>
      </w:r>
      <w:r>
        <w:rPr>
          <w:szCs w:val="24"/>
          <w:lang w:eastAsia="en-AU"/>
        </w:rPr>
        <w:t xml:space="preserve"> </w:t>
      </w:r>
    </w:p>
    <w:p w:rsidR="000E2279" w:rsidRPr="00C45FE4" w:rsidRDefault="000E2279" w:rsidP="000E2279">
      <w:pPr>
        <w:spacing w:after="0" w:line="240" w:lineRule="auto"/>
        <w:rPr>
          <w:szCs w:val="24"/>
          <w:lang w:eastAsia="en-AU"/>
        </w:rPr>
      </w:pPr>
      <w:r w:rsidRPr="00C45FE4">
        <w:rPr>
          <w:szCs w:val="24"/>
          <w:lang w:eastAsia="en-AU"/>
        </w:rPr>
        <w:t> </w:t>
      </w:r>
    </w:p>
    <w:p w:rsidR="000E2279" w:rsidRPr="00C45FE4" w:rsidRDefault="000E2279" w:rsidP="000E2279">
      <w:pPr>
        <w:spacing w:after="0" w:line="240" w:lineRule="auto"/>
        <w:jc w:val="center"/>
        <w:rPr>
          <w:szCs w:val="24"/>
          <w:lang w:eastAsia="en-AU"/>
        </w:rPr>
      </w:pPr>
      <w:r>
        <w:rPr>
          <w:b/>
          <w:bCs/>
          <w:szCs w:val="24"/>
          <w:lang w:eastAsia="en-AU"/>
        </w:rPr>
        <w:t>Tanya Plibersek</w:t>
      </w:r>
    </w:p>
    <w:p w:rsidR="000E2279" w:rsidRDefault="000E2279" w:rsidP="000E2279">
      <w:pPr>
        <w:spacing w:after="0" w:line="240" w:lineRule="auto"/>
        <w:jc w:val="center"/>
      </w:pPr>
      <w:r w:rsidRPr="00C45FE4">
        <w:rPr>
          <w:b/>
          <w:bCs/>
          <w:szCs w:val="24"/>
          <w:lang w:eastAsia="en-AU"/>
        </w:rPr>
        <w:t>Minister for Health</w:t>
      </w:r>
    </w:p>
    <w:p w:rsidR="00C45FF3" w:rsidRPr="00C45493" w:rsidRDefault="00C45FF3" w:rsidP="00193557">
      <w:pPr>
        <w:spacing w:before="0" w:after="0" w:line="240" w:lineRule="auto"/>
        <w:rPr>
          <w:rFonts w:ascii="Times New Roman" w:hAnsi="Times New Roman"/>
          <w:sz w:val="24"/>
          <w:szCs w:val="24"/>
          <w:lang w:val="en-US"/>
        </w:rPr>
      </w:pPr>
    </w:p>
    <w:sectPr w:rsidR="00C45FF3" w:rsidRPr="00C45493" w:rsidSect="00BA6CAD">
      <w:headerReference w:type="even" r:id="rId9"/>
      <w:headerReference w:type="default" r:id="rId10"/>
      <w:footerReference w:type="default" r:id="rId11"/>
      <w:pgSz w:w="11907" w:h="16840" w:code="9"/>
      <w:pgMar w:top="1079" w:right="1134" w:bottom="851" w:left="1418" w:header="851" w:footer="425" w:gutter="0"/>
      <w:paperSrc w:first="257" w:other="257"/>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79" w:rsidRDefault="000E2279">
      <w:r>
        <w:separator/>
      </w:r>
    </w:p>
  </w:endnote>
  <w:endnote w:type="continuationSeparator" w:id="0">
    <w:p w:rsidR="000E2279" w:rsidRDefault="000E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7" w:type="pct"/>
      <w:tblInd w:w="108" w:type="dxa"/>
      <w:tblBorders>
        <w:top w:val="single" w:sz="4" w:space="0" w:color="auto"/>
      </w:tblBorders>
      <w:tblLook w:val="0000" w:firstRow="0" w:lastRow="0" w:firstColumn="0" w:lastColumn="0" w:noHBand="0" w:noVBand="0"/>
    </w:tblPr>
    <w:tblGrid>
      <w:gridCol w:w="8928"/>
      <w:gridCol w:w="446"/>
    </w:tblGrid>
    <w:tr w:rsidR="000E2279">
      <w:trPr>
        <w:trHeight w:val="240"/>
      </w:trPr>
      <w:tc>
        <w:tcPr>
          <w:tcW w:w="4762" w:type="pct"/>
          <w:vAlign w:val="bottom"/>
        </w:tcPr>
        <w:p w:rsidR="000E2279" w:rsidRDefault="000E2279">
          <w:pPr>
            <w:pStyle w:val="Footer"/>
            <w:tabs>
              <w:tab w:val="clear" w:pos="8930"/>
            </w:tabs>
            <w:ind w:left="-108"/>
            <w:rPr>
              <w:u w:val="single"/>
            </w:rPr>
          </w:pPr>
        </w:p>
      </w:tc>
      <w:tc>
        <w:tcPr>
          <w:tcW w:w="238" w:type="pct"/>
          <w:vAlign w:val="bottom"/>
        </w:tcPr>
        <w:p w:rsidR="000E2279" w:rsidRDefault="000E2279">
          <w:pPr>
            <w:pStyle w:val="Footer"/>
            <w:tabs>
              <w:tab w:val="clear" w:pos="8930"/>
            </w:tabs>
            <w:ind w:right="-109"/>
            <w:jc w:val="right"/>
          </w:pPr>
        </w:p>
      </w:tc>
    </w:tr>
  </w:tbl>
  <w:p w:rsidR="000E2279" w:rsidRDefault="000E2279">
    <w:pPr>
      <w:pStyle w:val="Footer"/>
      <w:tabs>
        <w:tab w:val="clear" w:pos="8930"/>
        <w:tab w:val="righ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79" w:rsidRDefault="000E2279">
      <w:r>
        <w:separator/>
      </w:r>
    </w:p>
  </w:footnote>
  <w:footnote w:type="continuationSeparator" w:id="0">
    <w:p w:rsidR="000E2279" w:rsidRDefault="000E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79" w:rsidRDefault="000E2279"/>
  <w:p w:rsidR="000E2279" w:rsidRDefault="000E22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0" w:type="pct"/>
      <w:tblInd w:w="108" w:type="dxa"/>
      <w:tblBorders>
        <w:bottom w:val="single" w:sz="4" w:space="0" w:color="auto"/>
      </w:tblBorders>
      <w:tblLook w:val="0000" w:firstRow="0" w:lastRow="0" w:firstColumn="0" w:lastColumn="0" w:noHBand="0" w:noVBand="0"/>
    </w:tblPr>
    <w:tblGrid>
      <w:gridCol w:w="7930"/>
      <w:gridCol w:w="1450"/>
    </w:tblGrid>
    <w:tr w:rsidR="000E2279">
      <w:tc>
        <w:tcPr>
          <w:tcW w:w="4227" w:type="pct"/>
          <w:vAlign w:val="bottom"/>
        </w:tcPr>
        <w:p w:rsidR="000E2279" w:rsidRDefault="000E2279">
          <w:pPr>
            <w:pStyle w:val="Header"/>
            <w:tabs>
              <w:tab w:val="right" w:pos="8902"/>
            </w:tabs>
            <w:ind w:left="-108"/>
            <w:rPr>
              <w:sz w:val="28"/>
            </w:rPr>
          </w:pPr>
        </w:p>
      </w:tc>
      <w:tc>
        <w:tcPr>
          <w:tcW w:w="773" w:type="pct"/>
          <w:vAlign w:val="bottom"/>
        </w:tcPr>
        <w:p w:rsidR="000E2279" w:rsidRDefault="000E2279">
          <w:pPr>
            <w:pStyle w:val="Header"/>
            <w:tabs>
              <w:tab w:val="right" w:pos="8902"/>
            </w:tabs>
            <w:ind w:right="-108"/>
            <w:jc w:val="right"/>
            <w:rPr>
              <w:sz w:val="18"/>
            </w:rPr>
          </w:pPr>
        </w:p>
      </w:tc>
    </w:tr>
  </w:tbl>
  <w:p w:rsidR="000E2279" w:rsidRDefault="000E2279">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6B3"/>
    <w:multiLevelType w:val="hybridMultilevel"/>
    <w:tmpl w:val="AA005DFA"/>
    <w:lvl w:ilvl="0" w:tplc="359ACE9A">
      <w:start w:val="4"/>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787794D"/>
    <w:multiLevelType w:val="hybridMultilevel"/>
    <w:tmpl w:val="90AEF260"/>
    <w:lvl w:ilvl="0" w:tplc="1FE60DC4">
      <w:start w:val="1"/>
      <w:numFmt w:val="lowerLetter"/>
      <w:lvlText w:val="(%1)"/>
      <w:lvlJc w:val="left"/>
      <w:pPr>
        <w:tabs>
          <w:tab w:val="num" w:pos="645"/>
        </w:tabs>
        <w:ind w:left="64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2EB6821"/>
    <w:multiLevelType w:val="hybridMultilevel"/>
    <w:tmpl w:val="162CD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480C61"/>
    <w:multiLevelType w:val="hybridMultilevel"/>
    <w:tmpl w:val="4E1868A4"/>
    <w:lvl w:ilvl="0" w:tplc="D3EC7E86">
      <w:start w:val="2"/>
      <w:numFmt w:val="decimal"/>
      <w:lvlText w:val="%1."/>
      <w:lvlJc w:val="left"/>
      <w:pPr>
        <w:tabs>
          <w:tab w:val="num" w:pos="720"/>
        </w:tabs>
        <w:ind w:left="720" w:hanging="360"/>
      </w:pPr>
      <w:rPr>
        <w:rFonts w:hint="default"/>
        <w:b w:val="0"/>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36F4001"/>
    <w:multiLevelType w:val="hybridMultilevel"/>
    <w:tmpl w:val="637618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676725"/>
    <w:multiLevelType w:val="hybridMultilevel"/>
    <w:tmpl w:val="E7683F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E6834F6"/>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74053EE3"/>
    <w:multiLevelType w:val="hybridMultilevel"/>
    <w:tmpl w:val="EBB4F92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6"/>
  </w:num>
  <w:num w:numId="4">
    <w:abstractNumId w:val="5"/>
  </w:num>
  <w:num w:numId="5">
    <w:abstractNumId w:val="1"/>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08"/>
    <w:rsid w:val="000002F3"/>
    <w:rsid w:val="00001A0B"/>
    <w:rsid w:val="0000528C"/>
    <w:rsid w:val="00005AD4"/>
    <w:rsid w:val="00006339"/>
    <w:rsid w:val="0001056B"/>
    <w:rsid w:val="00013544"/>
    <w:rsid w:val="00015495"/>
    <w:rsid w:val="000158EB"/>
    <w:rsid w:val="000162C8"/>
    <w:rsid w:val="00023048"/>
    <w:rsid w:val="00026D25"/>
    <w:rsid w:val="000302EB"/>
    <w:rsid w:val="00032490"/>
    <w:rsid w:val="00034049"/>
    <w:rsid w:val="0003658A"/>
    <w:rsid w:val="00036DF0"/>
    <w:rsid w:val="00044BE7"/>
    <w:rsid w:val="00045C83"/>
    <w:rsid w:val="00051E7D"/>
    <w:rsid w:val="00052028"/>
    <w:rsid w:val="000613F5"/>
    <w:rsid w:val="0006434F"/>
    <w:rsid w:val="000705CE"/>
    <w:rsid w:val="000708C3"/>
    <w:rsid w:val="0007427A"/>
    <w:rsid w:val="0007573F"/>
    <w:rsid w:val="0007688E"/>
    <w:rsid w:val="00076AEA"/>
    <w:rsid w:val="00077752"/>
    <w:rsid w:val="00081B2F"/>
    <w:rsid w:val="00084E22"/>
    <w:rsid w:val="0008542B"/>
    <w:rsid w:val="000869AC"/>
    <w:rsid w:val="00091C89"/>
    <w:rsid w:val="0009430F"/>
    <w:rsid w:val="0009478D"/>
    <w:rsid w:val="000959DC"/>
    <w:rsid w:val="000A25DE"/>
    <w:rsid w:val="000A2606"/>
    <w:rsid w:val="000A4E25"/>
    <w:rsid w:val="000B0CB9"/>
    <w:rsid w:val="000B0D87"/>
    <w:rsid w:val="000B0FD8"/>
    <w:rsid w:val="000B12D2"/>
    <w:rsid w:val="000C068C"/>
    <w:rsid w:val="000C1CB6"/>
    <w:rsid w:val="000C5D7B"/>
    <w:rsid w:val="000D296E"/>
    <w:rsid w:val="000D4D6D"/>
    <w:rsid w:val="000D6801"/>
    <w:rsid w:val="000D6B26"/>
    <w:rsid w:val="000D7551"/>
    <w:rsid w:val="000D7C77"/>
    <w:rsid w:val="000E2279"/>
    <w:rsid w:val="000E4E49"/>
    <w:rsid w:val="000E5AC3"/>
    <w:rsid w:val="000E5F24"/>
    <w:rsid w:val="000F0C5F"/>
    <w:rsid w:val="000F4222"/>
    <w:rsid w:val="000F6A6F"/>
    <w:rsid w:val="00102057"/>
    <w:rsid w:val="00102A89"/>
    <w:rsid w:val="00103B27"/>
    <w:rsid w:val="001041C5"/>
    <w:rsid w:val="00105F9F"/>
    <w:rsid w:val="00110CAE"/>
    <w:rsid w:val="00111073"/>
    <w:rsid w:val="00111ED7"/>
    <w:rsid w:val="0011400E"/>
    <w:rsid w:val="00114363"/>
    <w:rsid w:val="001146CD"/>
    <w:rsid w:val="00114E78"/>
    <w:rsid w:val="001159CE"/>
    <w:rsid w:val="00117148"/>
    <w:rsid w:val="0012087F"/>
    <w:rsid w:val="00121489"/>
    <w:rsid w:val="00122D85"/>
    <w:rsid w:val="00122F43"/>
    <w:rsid w:val="00124334"/>
    <w:rsid w:val="001302C2"/>
    <w:rsid w:val="00136ACE"/>
    <w:rsid w:val="00140586"/>
    <w:rsid w:val="00142B25"/>
    <w:rsid w:val="00142B9A"/>
    <w:rsid w:val="00143B35"/>
    <w:rsid w:val="00144139"/>
    <w:rsid w:val="001471E0"/>
    <w:rsid w:val="0015124A"/>
    <w:rsid w:val="00151F4D"/>
    <w:rsid w:val="00155CA4"/>
    <w:rsid w:val="00157F81"/>
    <w:rsid w:val="00160A32"/>
    <w:rsid w:val="0016264F"/>
    <w:rsid w:val="00162A57"/>
    <w:rsid w:val="00165633"/>
    <w:rsid w:val="001669B1"/>
    <w:rsid w:val="001712BF"/>
    <w:rsid w:val="00173D45"/>
    <w:rsid w:val="001748D4"/>
    <w:rsid w:val="00176A9C"/>
    <w:rsid w:val="00176AB0"/>
    <w:rsid w:val="001776F4"/>
    <w:rsid w:val="001816F1"/>
    <w:rsid w:val="001866C7"/>
    <w:rsid w:val="00187463"/>
    <w:rsid w:val="00190625"/>
    <w:rsid w:val="00191AAE"/>
    <w:rsid w:val="00193057"/>
    <w:rsid w:val="00193557"/>
    <w:rsid w:val="001944F8"/>
    <w:rsid w:val="001946A6"/>
    <w:rsid w:val="00197A29"/>
    <w:rsid w:val="00197A4D"/>
    <w:rsid w:val="001A2F18"/>
    <w:rsid w:val="001A3F80"/>
    <w:rsid w:val="001A437E"/>
    <w:rsid w:val="001A7F84"/>
    <w:rsid w:val="001B499A"/>
    <w:rsid w:val="001B7C04"/>
    <w:rsid w:val="001C0DA7"/>
    <w:rsid w:val="001C5FDF"/>
    <w:rsid w:val="001C629C"/>
    <w:rsid w:val="001C6CFB"/>
    <w:rsid w:val="001D5ADB"/>
    <w:rsid w:val="001E0624"/>
    <w:rsid w:val="001E3181"/>
    <w:rsid w:val="001E4F9D"/>
    <w:rsid w:val="001E5E0E"/>
    <w:rsid w:val="001F1884"/>
    <w:rsid w:val="001F4467"/>
    <w:rsid w:val="001F4E71"/>
    <w:rsid w:val="001F51BB"/>
    <w:rsid w:val="001F55E4"/>
    <w:rsid w:val="001F5B2C"/>
    <w:rsid w:val="001F5E16"/>
    <w:rsid w:val="002020E5"/>
    <w:rsid w:val="00206757"/>
    <w:rsid w:val="00211D76"/>
    <w:rsid w:val="0021367F"/>
    <w:rsid w:val="00213DBC"/>
    <w:rsid w:val="00214205"/>
    <w:rsid w:val="00216819"/>
    <w:rsid w:val="00216B96"/>
    <w:rsid w:val="002213A0"/>
    <w:rsid w:val="00222AD9"/>
    <w:rsid w:val="002247C3"/>
    <w:rsid w:val="0022507B"/>
    <w:rsid w:val="00232C6B"/>
    <w:rsid w:val="002339B3"/>
    <w:rsid w:val="00234658"/>
    <w:rsid w:val="00240227"/>
    <w:rsid w:val="0024026A"/>
    <w:rsid w:val="00240E24"/>
    <w:rsid w:val="00245C01"/>
    <w:rsid w:val="0025054B"/>
    <w:rsid w:val="00252CB7"/>
    <w:rsid w:val="00253750"/>
    <w:rsid w:val="002538BF"/>
    <w:rsid w:val="002559AC"/>
    <w:rsid w:val="0026474F"/>
    <w:rsid w:val="00266FBA"/>
    <w:rsid w:val="002673FB"/>
    <w:rsid w:val="002703D5"/>
    <w:rsid w:val="00274BC0"/>
    <w:rsid w:val="002773F5"/>
    <w:rsid w:val="00277CF7"/>
    <w:rsid w:val="002877A3"/>
    <w:rsid w:val="00293BF9"/>
    <w:rsid w:val="002A08A5"/>
    <w:rsid w:val="002A133C"/>
    <w:rsid w:val="002A2EDA"/>
    <w:rsid w:val="002A4D68"/>
    <w:rsid w:val="002A5D23"/>
    <w:rsid w:val="002A675C"/>
    <w:rsid w:val="002A6C68"/>
    <w:rsid w:val="002C106C"/>
    <w:rsid w:val="002C2285"/>
    <w:rsid w:val="002C3AB5"/>
    <w:rsid w:val="002C4A05"/>
    <w:rsid w:val="002D122A"/>
    <w:rsid w:val="002D1369"/>
    <w:rsid w:val="002D3F5D"/>
    <w:rsid w:val="002D4AE0"/>
    <w:rsid w:val="002D7921"/>
    <w:rsid w:val="002E69E4"/>
    <w:rsid w:val="002E7934"/>
    <w:rsid w:val="002F0115"/>
    <w:rsid w:val="002F07A6"/>
    <w:rsid w:val="002F2216"/>
    <w:rsid w:val="002F24F8"/>
    <w:rsid w:val="002F2988"/>
    <w:rsid w:val="002F38BA"/>
    <w:rsid w:val="002F3E82"/>
    <w:rsid w:val="002F5E67"/>
    <w:rsid w:val="003005F0"/>
    <w:rsid w:val="003010C2"/>
    <w:rsid w:val="00304B9F"/>
    <w:rsid w:val="00304CC0"/>
    <w:rsid w:val="0031315E"/>
    <w:rsid w:val="00313D8E"/>
    <w:rsid w:val="00313FBB"/>
    <w:rsid w:val="00314FB0"/>
    <w:rsid w:val="00315483"/>
    <w:rsid w:val="00316B39"/>
    <w:rsid w:val="0032000E"/>
    <w:rsid w:val="00320EA0"/>
    <w:rsid w:val="003233BF"/>
    <w:rsid w:val="003267FA"/>
    <w:rsid w:val="00331AA5"/>
    <w:rsid w:val="00332E3F"/>
    <w:rsid w:val="003335DF"/>
    <w:rsid w:val="003357B7"/>
    <w:rsid w:val="00341D8A"/>
    <w:rsid w:val="00343FA4"/>
    <w:rsid w:val="00346659"/>
    <w:rsid w:val="00350792"/>
    <w:rsid w:val="00351167"/>
    <w:rsid w:val="00351A8A"/>
    <w:rsid w:val="00354146"/>
    <w:rsid w:val="003554B6"/>
    <w:rsid w:val="003568D3"/>
    <w:rsid w:val="00356C0F"/>
    <w:rsid w:val="003638F2"/>
    <w:rsid w:val="0036615A"/>
    <w:rsid w:val="003726E8"/>
    <w:rsid w:val="003756C3"/>
    <w:rsid w:val="003764C8"/>
    <w:rsid w:val="00377D82"/>
    <w:rsid w:val="003825E0"/>
    <w:rsid w:val="003835AD"/>
    <w:rsid w:val="00385CD1"/>
    <w:rsid w:val="0038762E"/>
    <w:rsid w:val="0039180A"/>
    <w:rsid w:val="00392B97"/>
    <w:rsid w:val="00393147"/>
    <w:rsid w:val="003948BF"/>
    <w:rsid w:val="00395C84"/>
    <w:rsid w:val="0039661D"/>
    <w:rsid w:val="003A4524"/>
    <w:rsid w:val="003A4B37"/>
    <w:rsid w:val="003A4E68"/>
    <w:rsid w:val="003B4E06"/>
    <w:rsid w:val="003C0CE0"/>
    <w:rsid w:val="003C1510"/>
    <w:rsid w:val="003D1795"/>
    <w:rsid w:val="003D3C01"/>
    <w:rsid w:val="003D4B28"/>
    <w:rsid w:val="003D6E08"/>
    <w:rsid w:val="003D74B1"/>
    <w:rsid w:val="003D79CE"/>
    <w:rsid w:val="003E3986"/>
    <w:rsid w:val="003E6E37"/>
    <w:rsid w:val="003F0C09"/>
    <w:rsid w:val="003F336C"/>
    <w:rsid w:val="003F3507"/>
    <w:rsid w:val="003F38B5"/>
    <w:rsid w:val="003F6C2A"/>
    <w:rsid w:val="003F73FF"/>
    <w:rsid w:val="00401A1F"/>
    <w:rsid w:val="00403B59"/>
    <w:rsid w:val="00406F3F"/>
    <w:rsid w:val="00411E3C"/>
    <w:rsid w:val="0041302D"/>
    <w:rsid w:val="00414E0C"/>
    <w:rsid w:val="00416BE0"/>
    <w:rsid w:val="004177F1"/>
    <w:rsid w:val="004206EE"/>
    <w:rsid w:val="00423C55"/>
    <w:rsid w:val="004242AE"/>
    <w:rsid w:val="00427B57"/>
    <w:rsid w:val="00430B91"/>
    <w:rsid w:val="00431C87"/>
    <w:rsid w:val="00437BCC"/>
    <w:rsid w:val="00440378"/>
    <w:rsid w:val="0044246C"/>
    <w:rsid w:val="00443C06"/>
    <w:rsid w:val="00445D39"/>
    <w:rsid w:val="00446E73"/>
    <w:rsid w:val="00451C97"/>
    <w:rsid w:val="00453EA2"/>
    <w:rsid w:val="004549AF"/>
    <w:rsid w:val="00456658"/>
    <w:rsid w:val="00456BFC"/>
    <w:rsid w:val="004610A0"/>
    <w:rsid w:val="00470459"/>
    <w:rsid w:val="0047312E"/>
    <w:rsid w:val="00475C5E"/>
    <w:rsid w:val="00480AF5"/>
    <w:rsid w:val="00481061"/>
    <w:rsid w:val="004833E7"/>
    <w:rsid w:val="00483B75"/>
    <w:rsid w:val="00483EB2"/>
    <w:rsid w:val="00492483"/>
    <w:rsid w:val="00493914"/>
    <w:rsid w:val="00494F0A"/>
    <w:rsid w:val="004A131A"/>
    <w:rsid w:val="004A21C0"/>
    <w:rsid w:val="004A4E00"/>
    <w:rsid w:val="004A5CCA"/>
    <w:rsid w:val="004A61F9"/>
    <w:rsid w:val="004A62F6"/>
    <w:rsid w:val="004A6D12"/>
    <w:rsid w:val="004A75B7"/>
    <w:rsid w:val="004B0C09"/>
    <w:rsid w:val="004B1DA4"/>
    <w:rsid w:val="004B71CE"/>
    <w:rsid w:val="004B76C1"/>
    <w:rsid w:val="004B795F"/>
    <w:rsid w:val="004B7C1D"/>
    <w:rsid w:val="004C138A"/>
    <w:rsid w:val="004C2AF3"/>
    <w:rsid w:val="004C2E43"/>
    <w:rsid w:val="004E4373"/>
    <w:rsid w:val="004E68AC"/>
    <w:rsid w:val="004F08DA"/>
    <w:rsid w:val="004F15CC"/>
    <w:rsid w:val="004F3C71"/>
    <w:rsid w:val="004F63E2"/>
    <w:rsid w:val="004F6A3C"/>
    <w:rsid w:val="004F6BC2"/>
    <w:rsid w:val="00501896"/>
    <w:rsid w:val="00502AE7"/>
    <w:rsid w:val="00504303"/>
    <w:rsid w:val="00505C8F"/>
    <w:rsid w:val="005061AB"/>
    <w:rsid w:val="005078B6"/>
    <w:rsid w:val="0051207C"/>
    <w:rsid w:val="00513DC7"/>
    <w:rsid w:val="00517582"/>
    <w:rsid w:val="00520653"/>
    <w:rsid w:val="00527D22"/>
    <w:rsid w:val="0053042E"/>
    <w:rsid w:val="005313CC"/>
    <w:rsid w:val="005348DF"/>
    <w:rsid w:val="00536A97"/>
    <w:rsid w:val="00543519"/>
    <w:rsid w:val="0054790F"/>
    <w:rsid w:val="005479BD"/>
    <w:rsid w:val="0055616C"/>
    <w:rsid w:val="00556AFE"/>
    <w:rsid w:val="00557122"/>
    <w:rsid w:val="00560617"/>
    <w:rsid w:val="0056385D"/>
    <w:rsid w:val="00574457"/>
    <w:rsid w:val="00574640"/>
    <w:rsid w:val="005746B5"/>
    <w:rsid w:val="005827A9"/>
    <w:rsid w:val="0058341B"/>
    <w:rsid w:val="005840B0"/>
    <w:rsid w:val="005843AD"/>
    <w:rsid w:val="00585A2E"/>
    <w:rsid w:val="005900A2"/>
    <w:rsid w:val="0059149C"/>
    <w:rsid w:val="00591A7F"/>
    <w:rsid w:val="00592D95"/>
    <w:rsid w:val="00594ABD"/>
    <w:rsid w:val="005A109B"/>
    <w:rsid w:val="005A139C"/>
    <w:rsid w:val="005A3295"/>
    <w:rsid w:val="005A6275"/>
    <w:rsid w:val="005B2A68"/>
    <w:rsid w:val="005B2E75"/>
    <w:rsid w:val="005B3E0B"/>
    <w:rsid w:val="005B610C"/>
    <w:rsid w:val="005B75CA"/>
    <w:rsid w:val="005C430A"/>
    <w:rsid w:val="005C4EEF"/>
    <w:rsid w:val="005C4F02"/>
    <w:rsid w:val="005C5B50"/>
    <w:rsid w:val="005E2417"/>
    <w:rsid w:val="005E2E19"/>
    <w:rsid w:val="005E3902"/>
    <w:rsid w:val="005E61F8"/>
    <w:rsid w:val="005F129D"/>
    <w:rsid w:val="005F1A00"/>
    <w:rsid w:val="005F21A5"/>
    <w:rsid w:val="005F2976"/>
    <w:rsid w:val="005F549E"/>
    <w:rsid w:val="005F6D9C"/>
    <w:rsid w:val="0060176C"/>
    <w:rsid w:val="0060199A"/>
    <w:rsid w:val="00604D97"/>
    <w:rsid w:val="00604F25"/>
    <w:rsid w:val="006058E8"/>
    <w:rsid w:val="00607DCB"/>
    <w:rsid w:val="006109EC"/>
    <w:rsid w:val="00612EB0"/>
    <w:rsid w:val="00621734"/>
    <w:rsid w:val="00627325"/>
    <w:rsid w:val="00636575"/>
    <w:rsid w:val="006374E3"/>
    <w:rsid w:val="00640267"/>
    <w:rsid w:val="00641551"/>
    <w:rsid w:val="00642A1C"/>
    <w:rsid w:val="00643C01"/>
    <w:rsid w:val="00644253"/>
    <w:rsid w:val="00653979"/>
    <w:rsid w:val="00654342"/>
    <w:rsid w:val="0065458E"/>
    <w:rsid w:val="00654C11"/>
    <w:rsid w:val="00654E7F"/>
    <w:rsid w:val="0066344A"/>
    <w:rsid w:val="00663931"/>
    <w:rsid w:val="006641C3"/>
    <w:rsid w:val="0066431A"/>
    <w:rsid w:val="00666200"/>
    <w:rsid w:val="006663D5"/>
    <w:rsid w:val="00667AD2"/>
    <w:rsid w:val="0067720F"/>
    <w:rsid w:val="006805FF"/>
    <w:rsid w:val="00683A47"/>
    <w:rsid w:val="00685118"/>
    <w:rsid w:val="006864A4"/>
    <w:rsid w:val="00691E0A"/>
    <w:rsid w:val="006949A7"/>
    <w:rsid w:val="006949E3"/>
    <w:rsid w:val="006A399E"/>
    <w:rsid w:val="006A3BDD"/>
    <w:rsid w:val="006A3FA0"/>
    <w:rsid w:val="006A49AA"/>
    <w:rsid w:val="006A49DA"/>
    <w:rsid w:val="006A56CE"/>
    <w:rsid w:val="006A5EEE"/>
    <w:rsid w:val="006A7FB8"/>
    <w:rsid w:val="006B03F4"/>
    <w:rsid w:val="006B4852"/>
    <w:rsid w:val="006B7B0D"/>
    <w:rsid w:val="006C2716"/>
    <w:rsid w:val="006C518D"/>
    <w:rsid w:val="006C754C"/>
    <w:rsid w:val="006D5EDB"/>
    <w:rsid w:val="006E02D4"/>
    <w:rsid w:val="006E162B"/>
    <w:rsid w:val="006E2962"/>
    <w:rsid w:val="006E4749"/>
    <w:rsid w:val="006E5669"/>
    <w:rsid w:val="006E5F8B"/>
    <w:rsid w:val="006F6A05"/>
    <w:rsid w:val="006F72E2"/>
    <w:rsid w:val="006F7BE5"/>
    <w:rsid w:val="007004F5"/>
    <w:rsid w:val="007042B5"/>
    <w:rsid w:val="007063C5"/>
    <w:rsid w:val="00710F63"/>
    <w:rsid w:val="007128A7"/>
    <w:rsid w:val="007146B0"/>
    <w:rsid w:val="00721249"/>
    <w:rsid w:val="00721267"/>
    <w:rsid w:val="007220FC"/>
    <w:rsid w:val="00722FEF"/>
    <w:rsid w:val="00723C68"/>
    <w:rsid w:val="00724DBD"/>
    <w:rsid w:val="00726BAD"/>
    <w:rsid w:val="00726DDB"/>
    <w:rsid w:val="007349DE"/>
    <w:rsid w:val="00736419"/>
    <w:rsid w:val="00736C54"/>
    <w:rsid w:val="00737ED3"/>
    <w:rsid w:val="007408AE"/>
    <w:rsid w:val="00742E62"/>
    <w:rsid w:val="0074595E"/>
    <w:rsid w:val="00747945"/>
    <w:rsid w:val="007479AF"/>
    <w:rsid w:val="007505C5"/>
    <w:rsid w:val="00753239"/>
    <w:rsid w:val="00754055"/>
    <w:rsid w:val="007555C7"/>
    <w:rsid w:val="007575A1"/>
    <w:rsid w:val="00757C88"/>
    <w:rsid w:val="007612BD"/>
    <w:rsid w:val="0076396E"/>
    <w:rsid w:val="0077113B"/>
    <w:rsid w:val="00774714"/>
    <w:rsid w:val="00777587"/>
    <w:rsid w:val="00780A85"/>
    <w:rsid w:val="00783976"/>
    <w:rsid w:val="007854DD"/>
    <w:rsid w:val="00786A1F"/>
    <w:rsid w:val="007937B9"/>
    <w:rsid w:val="00796B66"/>
    <w:rsid w:val="007978D8"/>
    <w:rsid w:val="00797FC7"/>
    <w:rsid w:val="007A113D"/>
    <w:rsid w:val="007A74A0"/>
    <w:rsid w:val="007A75FB"/>
    <w:rsid w:val="007A7D89"/>
    <w:rsid w:val="007B0C65"/>
    <w:rsid w:val="007B0D65"/>
    <w:rsid w:val="007B2518"/>
    <w:rsid w:val="007B4075"/>
    <w:rsid w:val="007C03E8"/>
    <w:rsid w:val="007C1ABA"/>
    <w:rsid w:val="007C243D"/>
    <w:rsid w:val="007C46D9"/>
    <w:rsid w:val="007C4903"/>
    <w:rsid w:val="007C51C7"/>
    <w:rsid w:val="007C5448"/>
    <w:rsid w:val="007C751A"/>
    <w:rsid w:val="007D2A01"/>
    <w:rsid w:val="007D6644"/>
    <w:rsid w:val="007D72D9"/>
    <w:rsid w:val="007E2C6D"/>
    <w:rsid w:val="007E3222"/>
    <w:rsid w:val="007E5B18"/>
    <w:rsid w:val="007E62C6"/>
    <w:rsid w:val="007E7C20"/>
    <w:rsid w:val="007F2216"/>
    <w:rsid w:val="007F2768"/>
    <w:rsid w:val="007F3792"/>
    <w:rsid w:val="007F5CA3"/>
    <w:rsid w:val="007F6C08"/>
    <w:rsid w:val="008016F9"/>
    <w:rsid w:val="00803E83"/>
    <w:rsid w:val="00804C75"/>
    <w:rsid w:val="008076AC"/>
    <w:rsid w:val="00807B6E"/>
    <w:rsid w:val="00810540"/>
    <w:rsid w:val="0081081A"/>
    <w:rsid w:val="00811907"/>
    <w:rsid w:val="0081514B"/>
    <w:rsid w:val="00823758"/>
    <w:rsid w:val="008251AC"/>
    <w:rsid w:val="00826CD7"/>
    <w:rsid w:val="00834947"/>
    <w:rsid w:val="00840708"/>
    <w:rsid w:val="0084255D"/>
    <w:rsid w:val="00843604"/>
    <w:rsid w:val="0085007C"/>
    <w:rsid w:val="00852DDB"/>
    <w:rsid w:val="00852EFA"/>
    <w:rsid w:val="00852F43"/>
    <w:rsid w:val="00855582"/>
    <w:rsid w:val="008563EC"/>
    <w:rsid w:val="00856533"/>
    <w:rsid w:val="0086219D"/>
    <w:rsid w:val="0086448E"/>
    <w:rsid w:val="00864D68"/>
    <w:rsid w:val="00870B83"/>
    <w:rsid w:val="00871DEC"/>
    <w:rsid w:val="00873643"/>
    <w:rsid w:val="008750E7"/>
    <w:rsid w:val="0088042E"/>
    <w:rsid w:val="00881708"/>
    <w:rsid w:val="008871FE"/>
    <w:rsid w:val="008903B1"/>
    <w:rsid w:val="008916E2"/>
    <w:rsid w:val="00891B51"/>
    <w:rsid w:val="00894354"/>
    <w:rsid w:val="00895EAD"/>
    <w:rsid w:val="0089614A"/>
    <w:rsid w:val="00896C13"/>
    <w:rsid w:val="008A43DD"/>
    <w:rsid w:val="008A53FE"/>
    <w:rsid w:val="008A7CBF"/>
    <w:rsid w:val="008B08F6"/>
    <w:rsid w:val="008B1364"/>
    <w:rsid w:val="008B1661"/>
    <w:rsid w:val="008B27C1"/>
    <w:rsid w:val="008B2B07"/>
    <w:rsid w:val="008B3AEF"/>
    <w:rsid w:val="008B411F"/>
    <w:rsid w:val="008C02F6"/>
    <w:rsid w:val="008C1FA1"/>
    <w:rsid w:val="008C33DF"/>
    <w:rsid w:val="008C3DDD"/>
    <w:rsid w:val="008D0297"/>
    <w:rsid w:val="008D1BFE"/>
    <w:rsid w:val="008D2831"/>
    <w:rsid w:val="008D2969"/>
    <w:rsid w:val="008D2CCE"/>
    <w:rsid w:val="008D62DD"/>
    <w:rsid w:val="008D74C5"/>
    <w:rsid w:val="008E0368"/>
    <w:rsid w:val="008E06FD"/>
    <w:rsid w:val="008E111D"/>
    <w:rsid w:val="008F05A6"/>
    <w:rsid w:val="008F25EC"/>
    <w:rsid w:val="008F6D23"/>
    <w:rsid w:val="00900374"/>
    <w:rsid w:val="009019DE"/>
    <w:rsid w:val="00904134"/>
    <w:rsid w:val="009067B8"/>
    <w:rsid w:val="00906A75"/>
    <w:rsid w:val="00907AAA"/>
    <w:rsid w:val="00912C8F"/>
    <w:rsid w:val="0091309F"/>
    <w:rsid w:val="00913881"/>
    <w:rsid w:val="00917CA6"/>
    <w:rsid w:val="00924D1C"/>
    <w:rsid w:val="009325BF"/>
    <w:rsid w:val="00935B8A"/>
    <w:rsid w:val="00935D91"/>
    <w:rsid w:val="00940BD2"/>
    <w:rsid w:val="00940CD9"/>
    <w:rsid w:val="00943E31"/>
    <w:rsid w:val="009440C9"/>
    <w:rsid w:val="0094425C"/>
    <w:rsid w:val="00945681"/>
    <w:rsid w:val="009457AB"/>
    <w:rsid w:val="00951E3C"/>
    <w:rsid w:val="00954F48"/>
    <w:rsid w:val="00960CED"/>
    <w:rsid w:val="00962E04"/>
    <w:rsid w:val="00966849"/>
    <w:rsid w:val="009704BC"/>
    <w:rsid w:val="0097339B"/>
    <w:rsid w:val="00975805"/>
    <w:rsid w:val="00975827"/>
    <w:rsid w:val="00976C87"/>
    <w:rsid w:val="00977351"/>
    <w:rsid w:val="009809CD"/>
    <w:rsid w:val="00981F85"/>
    <w:rsid w:val="0098214A"/>
    <w:rsid w:val="00983216"/>
    <w:rsid w:val="00984289"/>
    <w:rsid w:val="00984650"/>
    <w:rsid w:val="00984BCB"/>
    <w:rsid w:val="00991720"/>
    <w:rsid w:val="00992361"/>
    <w:rsid w:val="00992B5B"/>
    <w:rsid w:val="00996C96"/>
    <w:rsid w:val="00996FBE"/>
    <w:rsid w:val="009A061B"/>
    <w:rsid w:val="009A1569"/>
    <w:rsid w:val="009A5950"/>
    <w:rsid w:val="009A61FE"/>
    <w:rsid w:val="009A67EE"/>
    <w:rsid w:val="009A6E59"/>
    <w:rsid w:val="009B1E6B"/>
    <w:rsid w:val="009B2DD7"/>
    <w:rsid w:val="009B46F2"/>
    <w:rsid w:val="009B5DDE"/>
    <w:rsid w:val="009B6D57"/>
    <w:rsid w:val="009C05AB"/>
    <w:rsid w:val="009C0A9E"/>
    <w:rsid w:val="009C1CDE"/>
    <w:rsid w:val="009C313D"/>
    <w:rsid w:val="009C422B"/>
    <w:rsid w:val="009C7550"/>
    <w:rsid w:val="009C7965"/>
    <w:rsid w:val="009D04F7"/>
    <w:rsid w:val="009D7858"/>
    <w:rsid w:val="009D785D"/>
    <w:rsid w:val="009D7E78"/>
    <w:rsid w:val="009E0C34"/>
    <w:rsid w:val="009E6203"/>
    <w:rsid w:val="009E7AF1"/>
    <w:rsid w:val="009F3EF8"/>
    <w:rsid w:val="00A01300"/>
    <w:rsid w:val="00A014E1"/>
    <w:rsid w:val="00A01A32"/>
    <w:rsid w:val="00A025A0"/>
    <w:rsid w:val="00A026B1"/>
    <w:rsid w:val="00A02E93"/>
    <w:rsid w:val="00A05E4D"/>
    <w:rsid w:val="00A07CC1"/>
    <w:rsid w:val="00A156BD"/>
    <w:rsid w:val="00A237DE"/>
    <w:rsid w:val="00A23BD4"/>
    <w:rsid w:val="00A23D6A"/>
    <w:rsid w:val="00A25126"/>
    <w:rsid w:val="00A3325A"/>
    <w:rsid w:val="00A337DF"/>
    <w:rsid w:val="00A34B8F"/>
    <w:rsid w:val="00A35C03"/>
    <w:rsid w:val="00A37901"/>
    <w:rsid w:val="00A41DB7"/>
    <w:rsid w:val="00A61224"/>
    <w:rsid w:val="00A616CE"/>
    <w:rsid w:val="00A61A74"/>
    <w:rsid w:val="00A61CE0"/>
    <w:rsid w:val="00A63FD4"/>
    <w:rsid w:val="00A658B1"/>
    <w:rsid w:val="00A746A1"/>
    <w:rsid w:val="00A751B3"/>
    <w:rsid w:val="00A77C45"/>
    <w:rsid w:val="00A84316"/>
    <w:rsid w:val="00A85712"/>
    <w:rsid w:val="00A860CD"/>
    <w:rsid w:val="00A865B7"/>
    <w:rsid w:val="00A86956"/>
    <w:rsid w:val="00A924C2"/>
    <w:rsid w:val="00A927B7"/>
    <w:rsid w:val="00A94146"/>
    <w:rsid w:val="00AA040F"/>
    <w:rsid w:val="00AA1231"/>
    <w:rsid w:val="00AA4F8D"/>
    <w:rsid w:val="00AA5080"/>
    <w:rsid w:val="00AA5217"/>
    <w:rsid w:val="00AA5858"/>
    <w:rsid w:val="00AB326E"/>
    <w:rsid w:val="00AB5E3F"/>
    <w:rsid w:val="00AB7300"/>
    <w:rsid w:val="00AB7384"/>
    <w:rsid w:val="00AC1A8C"/>
    <w:rsid w:val="00AC2AB8"/>
    <w:rsid w:val="00AC2ED7"/>
    <w:rsid w:val="00AC3B46"/>
    <w:rsid w:val="00AC3DAF"/>
    <w:rsid w:val="00AC4BE2"/>
    <w:rsid w:val="00AD0DE2"/>
    <w:rsid w:val="00AD6AE2"/>
    <w:rsid w:val="00AD7FE6"/>
    <w:rsid w:val="00AE0992"/>
    <w:rsid w:val="00AE2DEF"/>
    <w:rsid w:val="00AE4311"/>
    <w:rsid w:val="00AE5F85"/>
    <w:rsid w:val="00AF083B"/>
    <w:rsid w:val="00AF12AC"/>
    <w:rsid w:val="00AF35A0"/>
    <w:rsid w:val="00AF5619"/>
    <w:rsid w:val="00AF5981"/>
    <w:rsid w:val="00AF59CC"/>
    <w:rsid w:val="00B0017D"/>
    <w:rsid w:val="00B0544C"/>
    <w:rsid w:val="00B07EE1"/>
    <w:rsid w:val="00B07F8F"/>
    <w:rsid w:val="00B11005"/>
    <w:rsid w:val="00B13E30"/>
    <w:rsid w:val="00B15A19"/>
    <w:rsid w:val="00B176DD"/>
    <w:rsid w:val="00B21C33"/>
    <w:rsid w:val="00B236FE"/>
    <w:rsid w:val="00B23CF6"/>
    <w:rsid w:val="00B24AC8"/>
    <w:rsid w:val="00B3290F"/>
    <w:rsid w:val="00B33874"/>
    <w:rsid w:val="00B34A5F"/>
    <w:rsid w:val="00B36251"/>
    <w:rsid w:val="00B40469"/>
    <w:rsid w:val="00B40696"/>
    <w:rsid w:val="00B44D37"/>
    <w:rsid w:val="00B44D96"/>
    <w:rsid w:val="00B452CB"/>
    <w:rsid w:val="00B52037"/>
    <w:rsid w:val="00B530F6"/>
    <w:rsid w:val="00B555AF"/>
    <w:rsid w:val="00B55BAD"/>
    <w:rsid w:val="00B60213"/>
    <w:rsid w:val="00B618A9"/>
    <w:rsid w:val="00B64D27"/>
    <w:rsid w:val="00B65663"/>
    <w:rsid w:val="00B6610D"/>
    <w:rsid w:val="00B666F8"/>
    <w:rsid w:val="00B6702B"/>
    <w:rsid w:val="00B71863"/>
    <w:rsid w:val="00B72B15"/>
    <w:rsid w:val="00B73652"/>
    <w:rsid w:val="00B756DE"/>
    <w:rsid w:val="00B8082E"/>
    <w:rsid w:val="00B81509"/>
    <w:rsid w:val="00B816BD"/>
    <w:rsid w:val="00B8235A"/>
    <w:rsid w:val="00B83F04"/>
    <w:rsid w:val="00B84FC7"/>
    <w:rsid w:val="00B8561E"/>
    <w:rsid w:val="00B87630"/>
    <w:rsid w:val="00B908C9"/>
    <w:rsid w:val="00B90929"/>
    <w:rsid w:val="00B90B76"/>
    <w:rsid w:val="00B95BC0"/>
    <w:rsid w:val="00B96D41"/>
    <w:rsid w:val="00BA2970"/>
    <w:rsid w:val="00BA6988"/>
    <w:rsid w:val="00BA6CAD"/>
    <w:rsid w:val="00BA72D2"/>
    <w:rsid w:val="00BB1A7E"/>
    <w:rsid w:val="00BB5416"/>
    <w:rsid w:val="00BC1260"/>
    <w:rsid w:val="00BC240F"/>
    <w:rsid w:val="00BC46A7"/>
    <w:rsid w:val="00BC51E5"/>
    <w:rsid w:val="00BC62E1"/>
    <w:rsid w:val="00BD41DD"/>
    <w:rsid w:val="00BD6BE0"/>
    <w:rsid w:val="00BD7C87"/>
    <w:rsid w:val="00BE3585"/>
    <w:rsid w:val="00BE542D"/>
    <w:rsid w:val="00BE6269"/>
    <w:rsid w:val="00BF0913"/>
    <w:rsid w:val="00C00610"/>
    <w:rsid w:val="00C0747A"/>
    <w:rsid w:val="00C10FE4"/>
    <w:rsid w:val="00C13502"/>
    <w:rsid w:val="00C1395F"/>
    <w:rsid w:val="00C145C5"/>
    <w:rsid w:val="00C15099"/>
    <w:rsid w:val="00C23AB3"/>
    <w:rsid w:val="00C24FDC"/>
    <w:rsid w:val="00C251B7"/>
    <w:rsid w:val="00C260F3"/>
    <w:rsid w:val="00C333D2"/>
    <w:rsid w:val="00C34784"/>
    <w:rsid w:val="00C378F9"/>
    <w:rsid w:val="00C42BF3"/>
    <w:rsid w:val="00C44754"/>
    <w:rsid w:val="00C447B0"/>
    <w:rsid w:val="00C44EE6"/>
    <w:rsid w:val="00C44F6B"/>
    <w:rsid w:val="00C4523C"/>
    <w:rsid w:val="00C45493"/>
    <w:rsid w:val="00C45FF3"/>
    <w:rsid w:val="00C47D00"/>
    <w:rsid w:val="00C54BD3"/>
    <w:rsid w:val="00C5651C"/>
    <w:rsid w:val="00C62451"/>
    <w:rsid w:val="00C627ED"/>
    <w:rsid w:val="00C64CF6"/>
    <w:rsid w:val="00C65784"/>
    <w:rsid w:val="00C65849"/>
    <w:rsid w:val="00C66B19"/>
    <w:rsid w:val="00C67B04"/>
    <w:rsid w:val="00C7335A"/>
    <w:rsid w:val="00C73882"/>
    <w:rsid w:val="00C742F1"/>
    <w:rsid w:val="00C74805"/>
    <w:rsid w:val="00C8055D"/>
    <w:rsid w:val="00C80D5F"/>
    <w:rsid w:val="00C84B66"/>
    <w:rsid w:val="00C85CAE"/>
    <w:rsid w:val="00C876B1"/>
    <w:rsid w:val="00C92C30"/>
    <w:rsid w:val="00C94FC5"/>
    <w:rsid w:val="00C9574E"/>
    <w:rsid w:val="00CA47C4"/>
    <w:rsid w:val="00CA4DC9"/>
    <w:rsid w:val="00CA5945"/>
    <w:rsid w:val="00CB07BD"/>
    <w:rsid w:val="00CB0BB0"/>
    <w:rsid w:val="00CB385C"/>
    <w:rsid w:val="00CB386D"/>
    <w:rsid w:val="00CB3C64"/>
    <w:rsid w:val="00CB40DC"/>
    <w:rsid w:val="00CB451F"/>
    <w:rsid w:val="00CB7398"/>
    <w:rsid w:val="00CC055A"/>
    <w:rsid w:val="00CC0C15"/>
    <w:rsid w:val="00CC10D7"/>
    <w:rsid w:val="00CC14C4"/>
    <w:rsid w:val="00CC5CC8"/>
    <w:rsid w:val="00CC6E2D"/>
    <w:rsid w:val="00CC6FA7"/>
    <w:rsid w:val="00CC70C4"/>
    <w:rsid w:val="00CD1C06"/>
    <w:rsid w:val="00CD1E32"/>
    <w:rsid w:val="00CD564D"/>
    <w:rsid w:val="00CD6FE9"/>
    <w:rsid w:val="00CD7DCD"/>
    <w:rsid w:val="00CE1293"/>
    <w:rsid w:val="00CE4237"/>
    <w:rsid w:val="00CE4424"/>
    <w:rsid w:val="00CE6107"/>
    <w:rsid w:val="00CE6309"/>
    <w:rsid w:val="00CE6387"/>
    <w:rsid w:val="00CE6EB4"/>
    <w:rsid w:val="00CF28C9"/>
    <w:rsid w:val="00CF6922"/>
    <w:rsid w:val="00D02364"/>
    <w:rsid w:val="00D029D0"/>
    <w:rsid w:val="00D04904"/>
    <w:rsid w:val="00D04C75"/>
    <w:rsid w:val="00D04DAB"/>
    <w:rsid w:val="00D060B7"/>
    <w:rsid w:val="00D10426"/>
    <w:rsid w:val="00D11E90"/>
    <w:rsid w:val="00D12647"/>
    <w:rsid w:val="00D1268B"/>
    <w:rsid w:val="00D176BB"/>
    <w:rsid w:val="00D179A8"/>
    <w:rsid w:val="00D17FCD"/>
    <w:rsid w:val="00D20166"/>
    <w:rsid w:val="00D243C2"/>
    <w:rsid w:val="00D26B8D"/>
    <w:rsid w:val="00D30256"/>
    <w:rsid w:val="00D3066C"/>
    <w:rsid w:val="00D32A3A"/>
    <w:rsid w:val="00D33A92"/>
    <w:rsid w:val="00D3580C"/>
    <w:rsid w:val="00D413B0"/>
    <w:rsid w:val="00D43EF9"/>
    <w:rsid w:val="00D444F1"/>
    <w:rsid w:val="00D46415"/>
    <w:rsid w:val="00D4644B"/>
    <w:rsid w:val="00D4671B"/>
    <w:rsid w:val="00D46CCB"/>
    <w:rsid w:val="00D503C0"/>
    <w:rsid w:val="00D531F2"/>
    <w:rsid w:val="00D5760F"/>
    <w:rsid w:val="00D600B5"/>
    <w:rsid w:val="00D6329E"/>
    <w:rsid w:val="00D635DD"/>
    <w:rsid w:val="00D66047"/>
    <w:rsid w:val="00D70E6D"/>
    <w:rsid w:val="00D73493"/>
    <w:rsid w:val="00D7661A"/>
    <w:rsid w:val="00D76958"/>
    <w:rsid w:val="00D83214"/>
    <w:rsid w:val="00D91700"/>
    <w:rsid w:val="00D917C7"/>
    <w:rsid w:val="00D920F6"/>
    <w:rsid w:val="00D941B9"/>
    <w:rsid w:val="00D94860"/>
    <w:rsid w:val="00D94BC3"/>
    <w:rsid w:val="00D94EE7"/>
    <w:rsid w:val="00DA31D0"/>
    <w:rsid w:val="00DA537F"/>
    <w:rsid w:val="00DB05B1"/>
    <w:rsid w:val="00DB2E52"/>
    <w:rsid w:val="00DB31E4"/>
    <w:rsid w:val="00DB338E"/>
    <w:rsid w:val="00DB5491"/>
    <w:rsid w:val="00DB59F3"/>
    <w:rsid w:val="00DC072A"/>
    <w:rsid w:val="00DC14D6"/>
    <w:rsid w:val="00DC16E2"/>
    <w:rsid w:val="00DC1DCF"/>
    <w:rsid w:val="00DC4528"/>
    <w:rsid w:val="00DC691C"/>
    <w:rsid w:val="00DD1B8E"/>
    <w:rsid w:val="00DD1C7E"/>
    <w:rsid w:val="00DD2C24"/>
    <w:rsid w:val="00DD3E7F"/>
    <w:rsid w:val="00DD445E"/>
    <w:rsid w:val="00DD6FB5"/>
    <w:rsid w:val="00DD7282"/>
    <w:rsid w:val="00DD776A"/>
    <w:rsid w:val="00DE0EB2"/>
    <w:rsid w:val="00DE130F"/>
    <w:rsid w:val="00DE2C0B"/>
    <w:rsid w:val="00DE5302"/>
    <w:rsid w:val="00DE7FFE"/>
    <w:rsid w:val="00DF3428"/>
    <w:rsid w:val="00DF5F58"/>
    <w:rsid w:val="00E008B8"/>
    <w:rsid w:val="00E13D05"/>
    <w:rsid w:val="00E13D2F"/>
    <w:rsid w:val="00E1424C"/>
    <w:rsid w:val="00E15576"/>
    <w:rsid w:val="00E16FE8"/>
    <w:rsid w:val="00E17F86"/>
    <w:rsid w:val="00E25058"/>
    <w:rsid w:val="00E25B2B"/>
    <w:rsid w:val="00E26416"/>
    <w:rsid w:val="00E2686F"/>
    <w:rsid w:val="00E34DC0"/>
    <w:rsid w:val="00E361DA"/>
    <w:rsid w:val="00E36B89"/>
    <w:rsid w:val="00E43311"/>
    <w:rsid w:val="00E462AD"/>
    <w:rsid w:val="00E4632B"/>
    <w:rsid w:val="00E52208"/>
    <w:rsid w:val="00E522BF"/>
    <w:rsid w:val="00E54272"/>
    <w:rsid w:val="00E54B1C"/>
    <w:rsid w:val="00E568DA"/>
    <w:rsid w:val="00E577DC"/>
    <w:rsid w:val="00E606AA"/>
    <w:rsid w:val="00E61D05"/>
    <w:rsid w:val="00E6383E"/>
    <w:rsid w:val="00E639AB"/>
    <w:rsid w:val="00E664B2"/>
    <w:rsid w:val="00E67026"/>
    <w:rsid w:val="00E70C70"/>
    <w:rsid w:val="00E734F2"/>
    <w:rsid w:val="00E73D7B"/>
    <w:rsid w:val="00E81613"/>
    <w:rsid w:val="00E824C2"/>
    <w:rsid w:val="00E828E8"/>
    <w:rsid w:val="00E87608"/>
    <w:rsid w:val="00E91E2F"/>
    <w:rsid w:val="00E93E69"/>
    <w:rsid w:val="00E96CA0"/>
    <w:rsid w:val="00E97923"/>
    <w:rsid w:val="00EA06C7"/>
    <w:rsid w:val="00EA10A2"/>
    <w:rsid w:val="00EA300B"/>
    <w:rsid w:val="00EA34A7"/>
    <w:rsid w:val="00EA3A32"/>
    <w:rsid w:val="00EA4568"/>
    <w:rsid w:val="00EB14F8"/>
    <w:rsid w:val="00EB2146"/>
    <w:rsid w:val="00EB2856"/>
    <w:rsid w:val="00EB2DD4"/>
    <w:rsid w:val="00EB4281"/>
    <w:rsid w:val="00EB48F6"/>
    <w:rsid w:val="00EB4C2D"/>
    <w:rsid w:val="00EB73E4"/>
    <w:rsid w:val="00EC06B0"/>
    <w:rsid w:val="00EC0FDA"/>
    <w:rsid w:val="00EC44A9"/>
    <w:rsid w:val="00EC5AA6"/>
    <w:rsid w:val="00EC67E7"/>
    <w:rsid w:val="00EC6BF6"/>
    <w:rsid w:val="00ED1811"/>
    <w:rsid w:val="00ED2963"/>
    <w:rsid w:val="00ED3C35"/>
    <w:rsid w:val="00EE00FB"/>
    <w:rsid w:val="00EE2C86"/>
    <w:rsid w:val="00EE650A"/>
    <w:rsid w:val="00EF1A9A"/>
    <w:rsid w:val="00EF1E29"/>
    <w:rsid w:val="00EF2AD0"/>
    <w:rsid w:val="00EF340D"/>
    <w:rsid w:val="00EF3F78"/>
    <w:rsid w:val="00EF777D"/>
    <w:rsid w:val="00F00349"/>
    <w:rsid w:val="00F03516"/>
    <w:rsid w:val="00F0599B"/>
    <w:rsid w:val="00F063A8"/>
    <w:rsid w:val="00F06906"/>
    <w:rsid w:val="00F06C4E"/>
    <w:rsid w:val="00F14012"/>
    <w:rsid w:val="00F14A25"/>
    <w:rsid w:val="00F20666"/>
    <w:rsid w:val="00F212FB"/>
    <w:rsid w:val="00F23EFD"/>
    <w:rsid w:val="00F253F0"/>
    <w:rsid w:val="00F303BE"/>
    <w:rsid w:val="00F31367"/>
    <w:rsid w:val="00F415D0"/>
    <w:rsid w:val="00F42C27"/>
    <w:rsid w:val="00F45AC0"/>
    <w:rsid w:val="00F474A2"/>
    <w:rsid w:val="00F47626"/>
    <w:rsid w:val="00F51D55"/>
    <w:rsid w:val="00F52C35"/>
    <w:rsid w:val="00F53D7C"/>
    <w:rsid w:val="00F56EC1"/>
    <w:rsid w:val="00F6204D"/>
    <w:rsid w:val="00F655B7"/>
    <w:rsid w:val="00F65EDF"/>
    <w:rsid w:val="00F70E78"/>
    <w:rsid w:val="00F72995"/>
    <w:rsid w:val="00F7386F"/>
    <w:rsid w:val="00F80A2F"/>
    <w:rsid w:val="00F814AE"/>
    <w:rsid w:val="00F817F0"/>
    <w:rsid w:val="00F84017"/>
    <w:rsid w:val="00F94C5A"/>
    <w:rsid w:val="00F9708A"/>
    <w:rsid w:val="00FA1392"/>
    <w:rsid w:val="00FA167C"/>
    <w:rsid w:val="00FA17AD"/>
    <w:rsid w:val="00FA2D0F"/>
    <w:rsid w:val="00FA2D70"/>
    <w:rsid w:val="00FA51A9"/>
    <w:rsid w:val="00FA7275"/>
    <w:rsid w:val="00FB0075"/>
    <w:rsid w:val="00FB3821"/>
    <w:rsid w:val="00FC047F"/>
    <w:rsid w:val="00FC2209"/>
    <w:rsid w:val="00FC66DA"/>
    <w:rsid w:val="00FD14F7"/>
    <w:rsid w:val="00FD28AB"/>
    <w:rsid w:val="00FE1C56"/>
    <w:rsid w:val="00FE1EA5"/>
    <w:rsid w:val="00FE22CE"/>
    <w:rsid w:val="00FE44CB"/>
    <w:rsid w:val="00FE48C9"/>
    <w:rsid w:val="00FF2374"/>
    <w:rsid w:val="00FF2ABE"/>
    <w:rsid w:val="00FF3190"/>
    <w:rsid w:val="00FF5F7F"/>
    <w:rsid w:val="00FF6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608"/>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styleId="Heading1">
    <w:name w:val="heading 1"/>
    <w:basedOn w:val="Normal"/>
    <w:next w:val="Heading2"/>
    <w:qFormat/>
    <w:rsid w:val="00E87608"/>
    <w:pPr>
      <w:keepNext/>
      <w:tabs>
        <w:tab w:val="clear" w:pos="924"/>
      </w:tabs>
      <w:spacing w:before="400"/>
      <w:outlineLvl w:val="0"/>
    </w:pPr>
    <w:rPr>
      <w:b/>
      <w:kern w:val="28"/>
      <w:sz w:val="24"/>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PFParaNumLevel1"/>
    <w:qFormat/>
    <w:rsid w:val="00E87608"/>
    <w:pPr>
      <w:keepNext/>
      <w:tabs>
        <w:tab w:val="clear" w:pos="924"/>
      </w:tabs>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ormal">
    <w:name w:val="PF Normal"/>
    <w:basedOn w:val="Normal"/>
    <w:next w:val="Normal"/>
    <w:rsid w:val="00E87608"/>
    <w:pPr>
      <w:spacing w:before="400"/>
    </w:pPr>
  </w:style>
  <w:style w:type="paragraph" w:styleId="Footer">
    <w:name w:val="footer"/>
    <w:basedOn w:val="Normal"/>
    <w:rsid w:val="00E87608"/>
    <w:pPr>
      <w:tabs>
        <w:tab w:val="clear" w:pos="924"/>
        <w:tab w:val="clear" w:pos="1848"/>
        <w:tab w:val="clear" w:pos="2773"/>
        <w:tab w:val="clear" w:pos="3697"/>
        <w:tab w:val="clear" w:pos="4621"/>
        <w:tab w:val="clear" w:pos="5545"/>
        <w:tab w:val="clear" w:pos="6469"/>
        <w:tab w:val="clear" w:pos="7394"/>
        <w:tab w:val="clear" w:pos="8318"/>
      </w:tabs>
      <w:spacing w:before="0" w:after="0" w:line="240" w:lineRule="auto"/>
    </w:pPr>
    <w:rPr>
      <w:sz w:val="18"/>
    </w:rPr>
  </w:style>
  <w:style w:type="paragraph" w:styleId="Header">
    <w:name w:val="header"/>
    <w:basedOn w:val="Normal"/>
    <w:rsid w:val="00E87608"/>
    <w:pPr>
      <w:tabs>
        <w:tab w:val="clear" w:pos="924"/>
        <w:tab w:val="clear" w:pos="1848"/>
        <w:tab w:val="clear" w:pos="2773"/>
        <w:tab w:val="clear" w:pos="3697"/>
        <w:tab w:val="clear" w:pos="4621"/>
        <w:tab w:val="clear" w:pos="5545"/>
        <w:tab w:val="clear" w:pos="6469"/>
        <w:tab w:val="clear" w:pos="7394"/>
        <w:tab w:val="clear" w:pos="8318"/>
      </w:tabs>
      <w:spacing w:before="0" w:after="0"/>
    </w:pPr>
  </w:style>
  <w:style w:type="paragraph" w:customStyle="1" w:styleId="PFParaNumLevel1">
    <w:name w:val="PF (ParaNum) Level 1"/>
    <w:basedOn w:val="Normal"/>
    <w:rsid w:val="00E87608"/>
    <w:pPr>
      <w:numPr>
        <w:numId w:val="1"/>
      </w:numPr>
    </w:pPr>
  </w:style>
  <w:style w:type="paragraph" w:customStyle="1" w:styleId="PFParaNumLevel2">
    <w:name w:val="PF (ParaNum) Level 2"/>
    <w:basedOn w:val="Normal"/>
    <w:rsid w:val="00E87608"/>
    <w:pPr>
      <w:numPr>
        <w:ilvl w:val="1"/>
        <w:numId w:val="1"/>
      </w:numPr>
      <w:tabs>
        <w:tab w:val="clear" w:pos="924"/>
      </w:tabs>
    </w:pPr>
  </w:style>
  <w:style w:type="paragraph" w:customStyle="1" w:styleId="PFParaNumLevel3">
    <w:name w:val="PF (ParaNum) Level 3"/>
    <w:basedOn w:val="Normal"/>
    <w:rsid w:val="00E87608"/>
    <w:pPr>
      <w:numPr>
        <w:ilvl w:val="2"/>
        <w:numId w:val="1"/>
      </w:numPr>
      <w:tabs>
        <w:tab w:val="clear" w:pos="924"/>
      </w:tabs>
    </w:pPr>
  </w:style>
  <w:style w:type="paragraph" w:customStyle="1" w:styleId="PFParaNumLevel4">
    <w:name w:val="PF (ParaNum) Level 4"/>
    <w:basedOn w:val="Normal"/>
    <w:rsid w:val="00E87608"/>
    <w:pPr>
      <w:numPr>
        <w:ilvl w:val="3"/>
        <w:numId w:val="1"/>
      </w:numPr>
      <w:tabs>
        <w:tab w:val="clear" w:pos="924"/>
      </w:tabs>
    </w:pPr>
  </w:style>
  <w:style w:type="paragraph" w:customStyle="1" w:styleId="PFParaNumLevel5">
    <w:name w:val="PF (ParaNum) Level 5"/>
    <w:basedOn w:val="Normal"/>
    <w:rsid w:val="00E87608"/>
    <w:pPr>
      <w:numPr>
        <w:ilvl w:val="4"/>
        <w:numId w:val="1"/>
      </w:numPr>
      <w:tabs>
        <w:tab w:val="clear" w:pos="924"/>
      </w:tabs>
    </w:pPr>
  </w:style>
  <w:style w:type="paragraph" w:customStyle="1" w:styleId="CharCharChar">
    <w:name w:val="Char Char Char"/>
    <w:basedOn w:val="Normal"/>
    <w:rsid w:val="00E8760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cs="Arial"/>
      <w:color w:val="auto"/>
      <w:sz w:val="22"/>
      <w:szCs w:val="22"/>
    </w:rPr>
  </w:style>
  <w:style w:type="paragraph" w:styleId="BalloonText">
    <w:name w:val="Balloon Text"/>
    <w:basedOn w:val="Normal"/>
    <w:semiHidden/>
    <w:rsid w:val="00A746A1"/>
    <w:rPr>
      <w:rFonts w:ascii="Tahoma" w:hAnsi="Tahoma" w:cs="Tahoma"/>
      <w:sz w:val="16"/>
      <w:szCs w:val="16"/>
    </w:rPr>
  </w:style>
  <w:style w:type="paragraph" w:styleId="NormalWeb">
    <w:name w:val="Normal (Web)"/>
    <w:basedOn w:val="Normal"/>
    <w:rsid w:val="009A6E59"/>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rFonts w:ascii="Times New Roman" w:hAnsi="Times New Roman"/>
      <w:color w:val="auto"/>
      <w:sz w:val="24"/>
      <w:szCs w:val="24"/>
      <w:lang w:val="en-US"/>
    </w:rPr>
  </w:style>
  <w:style w:type="character" w:customStyle="1" w:styleId="bodyheader1">
    <w:name w:val="bodyheader1"/>
    <w:basedOn w:val="DefaultParagraphFont"/>
    <w:rsid w:val="009A6E59"/>
    <w:rPr>
      <w:rFonts w:ascii="Verdana" w:hAnsi="Verdana" w:hint="default"/>
      <w:b/>
      <w:bCs/>
      <w:sz w:val="18"/>
      <w:szCs w:val="18"/>
    </w:rPr>
  </w:style>
  <w:style w:type="character" w:styleId="CommentReference">
    <w:name w:val="annotation reference"/>
    <w:basedOn w:val="DefaultParagraphFont"/>
    <w:semiHidden/>
    <w:rsid w:val="002703D5"/>
    <w:rPr>
      <w:rFonts w:cs="Times New Roman"/>
      <w:sz w:val="16"/>
      <w:szCs w:val="16"/>
    </w:rPr>
  </w:style>
  <w:style w:type="paragraph" w:styleId="CommentText">
    <w:name w:val="annotation text"/>
    <w:basedOn w:val="Normal"/>
    <w:link w:val="CommentTextChar"/>
    <w:semiHidden/>
    <w:rsid w:val="002703D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ascii="Times New Roman" w:hAnsi="Times New Roman"/>
      <w:color w:val="auto"/>
      <w:sz w:val="20"/>
      <w:lang w:eastAsia="en-AU"/>
    </w:rPr>
  </w:style>
  <w:style w:type="character" w:customStyle="1" w:styleId="CommentTextChar">
    <w:name w:val="Comment Text Char"/>
    <w:basedOn w:val="DefaultParagraphFont"/>
    <w:link w:val="CommentText"/>
    <w:semiHidden/>
    <w:locked/>
    <w:rsid w:val="002703D5"/>
    <w:rPr>
      <w:lang w:val="en-AU" w:eastAsia="en-AU" w:bidi="ar-SA"/>
    </w:rPr>
  </w:style>
  <w:style w:type="paragraph" w:styleId="CommentSubject">
    <w:name w:val="annotation subject"/>
    <w:basedOn w:val="CommentText"/>
    <w:next w:val="CommentText"/>
    <w:semiHidden/>
    <w:rsid w:val="00780A85"/>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b/>
      <w:bCs/>
      <w:color w:val="000000"/>
      <w:lang w:eastAsia="en-US"/>
    </w:rPr>
  </w:style>
  <w:style w:type="paragraph" w:customStyle="1" w:styleId="Char1">
    <w:name w:val="Char1"/>
    <w:basedOn w:val="Normal"/>
    <w:rsid w:val="007555C7"/>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cs="Arial"/>
      <w:color w:val="auto"/>
      <w:sz w:val="22"/>
      <w:szCs w:val="22"/>
    </w:rPr>
  </w:style>
  <w:style w:type="paragraph" w:styleId="BodyTextIndent">
    <w:name w:val="Body Text Indent"/>
    <w:basedOn w:val="Normal"/>
    <w:rsid w:val="00C23AB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1695"/>
    </w:pPr>
    <w:rPr>
      <w:rFonts w:ascii="Times New Roman" w:hAnsi="Times New Roman"/>
      <w:color w:val="auto"/>
      <w:sz w:val="24"/>
      <w:lang w:eastAsia="en-AU"/>
    </w:rPr>
  </w:style>
  <w:style w:type="paragraph" w:styleId="Title">
    <w:name w:val="Title"/>
    <w:basedOn w:val="Normal"/>
    <w:qFormat/>
    <w:rsid w:val="00C23AB3"/>
    <w:pPr>
      <w:spacing w:before="240" w:after="60"/>
      <w:jc w:val="center"/>
      <w:outlineLvl w:val="0"/>
    </w:pPr>
    <w:rPr>
      <w:rFonts w:cs="Arial"/>
      <w:b/>
      <w:bCs/>
      <w:kern w:val="28"/>
      <w:sz w:val="32"/>
      <w:szCs w:val="32"/>
    </w:rPr>
  </w:style>
  <w:style w:type="paragraph" w:customStyle="1" w:styleId="NormalTimesNewRoman">
    <w:name w:val="Normal + Times New Roman"/>
    <w:aliases w:val="12 pt,Auto"/>
    <w:basedOn w:val="Normal"/>
    <w:rsid w:val="0012087F"/>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608"/>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styleId="Heading1">
    <w:name w:val="heading 1"/>
    <w:basedOn w:val="Normal"/>
    <w:next w:val="Heading2"/>
    <w:qFormat/>
    <w:rsid w:val="00E87608"/>
    <w:pPr>
      <w:keepNext/>
      <w:tabs>
        <w:tab w:val="clear" w:pos="924"/>
      </w:tabs>
      <w:spacing w:before="400"/>
      <w:outlineLvl w:val="0"/>
    </w:pPr>
    <w:rPr>
      <w:b/>
      <w:kern w:val="28"/>
      <w:sz w:val="24"/>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PFParaNumLevel1"/>
    <w:qFormat/>
    <w:rsid w:val="00E87608"/>
    <w:pPr>
      <w:keepNext/>
      <w:tabs>
        <w:tab w:val="clear" w:pos="924"/>
      </w:tabs>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ormal">
    <w:name w:val="PF Normal"/>
    <w:basedOn w:val="Normal"/>
    <w:next w:val="Normal"/>
    <w:rsid w:val="00E87608"/>
    <w:pPr>
      <w:spacing w:before="400"/>
    </w:pPr>
  </w:style>
  <w:style w:type="paragraph" w:styleId="Footer">
    <w:name w:val="footer"/>
    <w:basedOn w:val="Normal"/>
    <w:rsid w:val="00E87608"/>
    <w:pPr>
      <w:tabs>
        <w:tab w:val="clear" w:pos="924"/>
        <w:tab w:val="clear" w:pos="1848"/>
        <w:tab w:val="clear" w:pos="2773"/>
        <w:tab w:val="clear" w:pos="3697"/>
        <w:tab w:val="clear" w:pos="4621"/>
        <w:tab w:val="clear" w:pos="5545"/>
        <w:tab w:val="clear" w:pos="6469"/>
        <w:tab w:val="clear" w:pos="7394"/>
        <w:tab w:val="clear" w:pos="8318"/>
      </w:tabs>
      <w:spacing w:before="0" w:after="0" w:line="240" w:lineRule="auto"/>
    </w:pPr>
    <w:rPr>
      <w:sz w:val="18"/>
    </w:rPr>
  </w:style>
  <w:style w:type="paragraph" w:styleId="Header">
    <w:name w:val="header"/>
    <w:basedOn w:val="Normal"/>
    <w:rsid w:val="00E87608"/>
    <w:pPr>
      <w:tabs>
        <w:tab w:val="clear" w:pos="924"/>
        <w:tab w:val="clear" w:pos="1848"/>
        <w:tab w:val="clear" w:pos="2773"/>
        <w:tab w:val="clear" w:pos="3697"/>
        <w:tab w:val="clear" w:pos="4621"/>
        <w:tab w:val="clear" w:pos="5545"/>
        <w:tab w:val="clear" w:pos="6469"/>
        <w:tab w:val="clear" w:pos="7394"/>
        <w:tab w:val="clear" w:pos="8318"/>
      </w:tabs>
      <w:spacing w:before="0" w:after="0"/>
    </w:pPr>
  </w:style>
  <w:style w:type="paragraph" w:customStyle="1" w:styleId="PFParaNumLevel1">
    <w:name w:val="PF (ParaNum) Level 1"/>
    <w:basedOn w:val="Normal"/>
    <w:rsid w:val="00E87608"/>
    <w:pPr>
      <w:numPr>
        <w:numId w:val="1"/>
      </w:numPr>
    </w:pPr>
  </w:style>
  <w:style w:type="paragraph" w:customStyle="1" w:styleId="PFParaNumLevel2">
    <w:name w:val="PF (ParaNum) Level 2"/>
    <w:basedOn w:val="Normal"/>
    <w:rsid w:val="00E87608"/>
    <w:pPr>
      <w:numPr>
        <w:ilvl w:val="1"/>
        <w:numId w:val="1"/>
      </w:numPr>
      <w:tabs>
        <w:tab w:val="clear" w:pos="924"/>
      </w:tabs>
    </w:pPr>
  </w:style>
  <w:style w:type="paragraph" w:customStyle="1" w:styleId="PFParaNumLevel3">
    <w:name w:val="PF (ParaNum) Level 3"/>
    <w:basedOn w:val="Normal"/>
    <w:rsid w:val="00E87608"/>
    <w:pPr>
      <w:numPr>
        <w:ilvl w:val="2"/>
        <w:numId w:val="1"/>
      </w:numPr>
      <w:tabs>
        <w:tab w:val="clear" w:pos="924"/>
      </w:tabs>
    </w:pPr>
  </w:style>
  <w:style w:type="paragraph" w:customStyle="1" w:styleId="PFParaNumLevel4">
    <w:name w:val="PF (ParaNum) Level 4"/>
    <w:basedOn w:val="Normal"/>
    <w:rsid w:val="00E87608"/>
    <w:pPr>
      <w:numPr>
        <w:ilvl w:val="3"/>
        <w:numId w:val="1"/>
      </w:numPr>
      <w:tabs>
        <w:tab w:val="clear" w:pos="924"/>
      </w:tabs>
    </w:pPr>
  </w:style>
  <w:style w:type="paragraph" w:customStyle="1" w:styleId="PFParaNumLevel5">
    <w:name w:val="PF (ParaNum) Level 5"/>
    <w:basedOn w:val="Normal"/>
    <w:rsid w:val="00E87608"/>
    <w:pPr>
      <w:numPr>
        <w:ilvl w:val="4"/>
        <w:numId w:val="1"/>
      </w:numPr>
      <w:tabs>
        <w:tab w:val="clear" w:pos="924"/>
      </w:tabs>
    </w:pPr>
  </w:style>
  <w:style w:type="paragraph" w:customStyle="1" w:styleId="CharCharChar">
    <w:name w:val="Char Char Char"/>
    <w:basedOn w:val="Normal"/>
    <w:rsid w:val="00E8760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cs="Arial"/>
      <w:color w:val="auto"/>
      <w:sz w:val="22"/>
      <w:szCs w:val="22"/>
    </w:rPr>
  </w:style>
  <w:style w:type="paragraph" w:styleId="BalloonText">
    <w:name w:val="Balloon Text"/>
    <w:basedOn w:val="Normal"/>
    <w:semiHidden/>
    <w:rsid w:val="00A746A1"/>
    <w:rPr>
      <w:rFonts w:ascii="Tahoma" w:hAnsi="Tahoma" w:cs="Tahoma"/>
      <w:sz w:val="16"/>
      <w:szCs w:val="16"/>
    </w:rPr>
  </w:style>
  <w:style w:type="paragraph" w:styleId="NormalWeb">
    <w:name w:val="Normal (Web)"/>
    <w:basedOn w:val="Normal"/>
    <w:rsid w:val="009A6E59"/>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rFonts w:ascii="Times New Roman" w:hAnsi="Times New Roman"/>
      <w:color w:val="auto"/>
      <w:sz w:val="24"/>
      <w:szCs w:val="24"/>
      <w:lang w:val="en-US"/>
    </w:rPr>
  </w:style>
  <w:style w:type="character" w:customStyle="1" w:styleId="bodyheader1">
    <w:name w:val="bodyheader1"/>
    <w:basedOn w:val="DefaultParagraphFont"/>
    <w:rsid w:val="009A6E59"/>
    <w:rPr>
      <w:rFonts w:ascii="Verdana" w:hAnsi="Verdana" w:hint="default"/>
      <w:b/>
      <w:bCs/>
      <w:sz w:val="18"/>
      <w:szCs w:val="18"/>
    </w:rPr>
  </w:style>
  <w:style w:type="character" w:styleId="CommentReference">
    <w:name w:val="annotation reference"/>
    <w:basedOn w:val="DefaultParagraphFont"/>
    <w:semiHidden/>
    <w:rsid w:val="002703D5"/>
    <w:rPr>
      <w:rFonts w:cs="Times New Roman"/>
      <w:sz w:val="16"/>
      <w:szCs w:val="16"/>
    </w:rPr>
  </w:style>
  <w:style w:type="paragraph" w:styleId="CommentText">
    <w:name w:val="annotation text"/>
    <w:basedOn w:val="Normal"/>
    <w:link w:val="CommentTextChar"/>
    <w:semiHidden/>
    <w:rsid w:val="002703D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ascii="Times New Roman" w:hAnsi="Times New Roman"/>
      <w:color w:val="auto"/>
      <w:sz w:val="20"/>
      <w:lang w:eastAsia="en-AU"/>
    </w:rPr>
  </w:style>
  <w:style w:type="character" w:customStyle="1" w:styleId="CommentTextChar">
    <w:name w:val="Comment Text Char"/>
    <w:basedOn w:val="DefaultParagraphFont"/>
    <w:link w:val="CommentText"/>
    <w:semiHidden/>
    <w:locked/>
    <w:rsid w:val="002703D5"/>
    <w:rPr>
      <w:lang w:val="en-AU" w:eastAsia="en-AU" w:bidi="ar-SA"/>
    </w:rPr>
  </w:style>
  <w:style w:type="paragraph" w:styleId="CommentSubject">
    <w:name w:val="annotation subject"/>
    <w:basedOn w:val="CommentText"/>
    <w:next w:val="CommentText"/>
    <w:semiHidden/>
    <w:rsid w:val="00780A85"/>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b/>
      <w:bCs/>
      <w:color w:val="000000"/>
      <w:lang w:eastAsia="en-US"/>
    </w:rPr>
  </w:style>
  <w:style w:type="paragraph" w:customStyle="1" w:styleId="Char1">
    <w:name w:val="Char1"/>
    <w:basedOn w:val="Normal"/>
    <w:rsid w:val="007555C7"/>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cs="Arial"/>
      <w:color w:val="auto"/>
      <w:sz w:val="22"/>
      <w:szCs w:val="22"/>
    </w:rPr>
  </w:style>
  <w:style w:type="paragraph" w:styleId="BodyTextIndent">
    <w:name w:val="Body Text Indent"/>
    <w:basedOn w:val="Normal"/>
    <w:rsid w:val="00C23AB3"/>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1695"/>
    </w:pPr>
    <w:rPr>
      <w:rFonts w:ascii="Times New Roman" w:hAnsi="Times New Roman"/>
      <w:color w:val="auto"/>
      <w:sz w:val="24"/>
      <w:lang w:eastAsia="en-AU"/>
    </w:rPr>
  </w:style>
  <w:style w:type="paragraph" w:styleId="Title">
    <w:name w:val="Title"/>
    <w:basedOn w:val="Normal"/>
    <w:qFormat/>
    <w:rsid w:val="00C23AB3"/>
    <w:pPr>
      <w:spacing w:before="240" w:after="60"/>
      <w:jc w:val="center"/>
      <w:outlineLvl w:val="0"/>
    </w:pPr>
    <w:rPr>
      <w:rFonts w:cs="Arial"/>
      <w:b/>
      <w:bCs/>
      <w:kern w:val="28"/>
      <w:sz w:val="32"/>
      <w:szCs w:val="32"/>
    </w:rPr>
  </w:style>
  <w:style w:type="paragraph" w:customStyle="1" w:styleId="NormalTimesNewRoman">
    <w:name w:val="Normal + Times New Roman"/>
    <w:aliases w:val="12 pt,Auto"/>
    <w:basedOn w:val="Normal"/>
    <w:rsid w:val="0012087F"/>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80743">
      <w:bodyDiv w:val="1"/>
      <w:marLeft w:val="0"/>
      <w:marRight w:val="0"/>
      <w:marTop w:val="0"/>
      <w:marBottom w:val="0"/>
      <w:divBdr>
        <w:top w:val="none" w:sz="0" w:space="0" w:color="auto"/>
        <w:left w:val="none" w:sz="0" w:space="0" w:color="auto"/>
        <w:bottom w:val="none" w:sz="0" w:space="0" w:color="auto"/>
        <w:right w:val="none" w:sz="0" w:space="0" w:color="auto"/>
      </w:divBdr>
      <w:divsChild>
        <w:div w:id="841818108">
          <w:marLeft w:val="0"/>
          <w:marRight w:val="0"/>
          <w:marTop w:val="0"/>
          <w:marBottom w:val="0"/>
          <w:divBdr>
            <w:top w:val="none" w:sz="0" w:space="0" w:color="auto"/>
            <w:left w:val="none" w:sz="0" w:space="0" w:color="auto"/>
            <w:bottom w:val="none" w:sz="0" w:space="0" w:color="auto"/>
            <w:right w:val="none" w:sz="0" w:space="0" w:color="auto"/>
          </w:divBdr>
          <w:divsChild>
            <w:div w:id="1014646396">
              <w:marLeft w:val="0"/>
              <w:marRight w:val="0"/>
              <w:marTop w:val="0"/>
              <w:marBottom w:val="0"/>
              <w:divBdr>
                <w:top w:val="none" w:sz="0" w:space="0" w:color="auto"/>
                <w:left w:val="none" w:sz="0" w:space="0" w:color="auto"/>
                <w:bottom w:val="none" w:sz="0" w:space="0" w:color="auto"/>
                <w:right w:val="none" w:sz="0" w:space="0" w:color="auto"/>
              </w:divBdr>
              <w:divsChild>
                <w:div w:id="1041129377">
                  <w:marLeft w:val="0"/>
                  <w:marRight w:val="0"/>
                  <w:marTop w:val="0"/>
                  <w:marBottom w:val="0"/>
                  <w:divBdr>
                    <w:top w:val="none" w:sz="0" w:space="0" w:color="auto"/>
                    <w:left w:val="none" w:sz="0" w:space="0" w:color="auto"/>
                    <w:bottom w:val="none" w:sz="0" w:space="0" w:color="auto"/>
                    <w:right w:val="none" w:sz="0" w:space="0" w:color="auto"/>
                  </w:divBdr>
                  <w:divsChild>
                    <w:div w:id="1538002666">
                      <w:marLeft w:val="0"/>
                      <w:marRight w:val="0"/>
                      <w:marTop w:val="0"/>
                      <w:marBottom w:val="0"/>
                      <w:divBdr>
                        <w:top w:val="none" w:sz="0" w:space="0" w:color="auto"/>
                        <w:left w:val="none" w:sz="0" w:space="0" w:color="auto"/>
                        <w:bottom w:val="none" w:sz="0" w:space="0" w:color="auto"/>
                        <w:right w:val="none" w:sz="0" w:space="0" w:color="auto"/>
                      </w:divBdr>
                      <w:divsChild>
                        <w:div w:id="1440680219">
                          <w:marLeft w:val="0"/>
                          <w:marRight w:val="0"/>
                          <w:marTop w:val="0"/>
                          <w:marBottom w:val="0"/>
                          <w:divBdr>
                            <w:top w:val="single" w:sz="6" w:space="0" w:color="828282"/>
                            <w:left w:val="single" w:sz="6" w:space="0" w:color="828282"/>
                            <w:bottom w:val="single" w:sz="6" w:space="0" w:color="828282"/>
                            <w:right w:val="single" w:sz="6" w:space="0" w:color="828282"/>
                          </w:divBdr>
                          <w:divsChild>
                            <w:div w:id="199979725">
                              <w:marLeft w:val="0"/>
                              <w:marRight w:val="0"/>
                              <w:marTop w:val="0"/>
                              <w:marBottom w:val="0"/>
                              <w:divBdr>
                                <w:top w:val="none" w:sz="0" w:space="0" w:color="auto"/>
                                <w:left w:val="none" w:sz="0" w:space="0" w:color="auto"/>
                                <w:bottom w:val="none" w:sz="0" w:space="0" w:color="auto"/>
                                <w:right w:val="none" w:sz="0" w:space="0" w:color="auto"/>
                              </w:divBdr>
                              <w:divsChild>
                                <w:div w:id="1740321913">
                                  <w:marLeft w:val="0"/>
                                  <w:marRight w:val="0"/>
                                  <w:marTop w:val="0"/>
                                  <w:marBottom w:val="0"/>
                                  <w:divBdr>
                                    <w:top w:val="none" w:sz="0" w:space="0" w:color="auto"/>
                                    <w:left w:val="none" w:sz="0" w:space="0" w:color="auto"/>
                                    <w:bottom w:val="none" w:sz="0" w:space="0" w:color="auto"/>
                                    <w:right w:val="none" w:sz="0" w:space="0" w:color="auto"/>
                                  </w:divBdr>
                                  <w:divsChild>
                                    <w:div w:id="28073019">
                                      <w:marLeft w:val="0"/>
                                      <w:marRight w:val="0"/>
                                      <w:marTop w:val="0"/>
                                      <w:marBottom w:val="0"/>
                                      <w:divBdr>
                                        <w:top w:val="none" w:sz="0" w:space="0" w:color="auto"/>
                                        <w:left w:val="none" w:sz="0" w:space="0" w:color="auto"/>
                                        <w:bottom w:val="none" w:sz="0" w:space="0" w:color="auto"/>
                                        <w:right w:val="none" w:sz="0" w:space="0" w:color="auto"/>
                                      </w:divBdr>
                                      <w:divsChild>
                                        <w:div w:id="1595016472">
                                          <w:marLeft w:val="0"/>
                                          <w:marRight w:val="0"/>
                                          <w:marTop w:val="0"/>
                                          <w:marBottom w:val="0"/>
                                          <w:divBdr>
                                            <w:top w:val="none" w:sz="0" w:space="0" w:color="auto"/>
                                            <w:left w:val="none" w:sz="0" w:space="0" w:color="auto"/>
                                            <w:bottom w:val="none" w:sz="0" w:space="0" w:color="auto"/>
                                            <w:right w:val="none" w:sz="0" w:space="0" w:color="auto"/>
                                          </w:divBdr>
                                          <w:divsChild>
                                            <w:div w:id="262032111">
                                              <w:marLeft w:val="0"/>
                                              <w:marRight w:val="0"/>
                                              <w:marTop w:val="0"/>
                                              <w:marBottom w:val="0"/>
                                              <w:divBdr>
                                                <w:top w:val="none" w:sz="0" w:space="0" w:color="auto"/>
                                                <w:left w:val="none" w:sz="0" w:space="0" w:color="auto"/>
                                                <w:bottom w:val="none" w:sz="0" w:space="0" w:color="auto"/>
                                                <w:right w:val="none" w:sz="0" w:space="0" w:color="auto"/>
                                              </w:divBdr>
                                              <w:divsChild>
                                                <w:div w:id="18220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834961">
      <w:bodyDiv w:val="1"/>
      <w:marLeft w:val="0"/>
      <w:marRight w:val="0"/>
      <w:marTop w:val="0"/>
      <w:marBottom w:val="0"/>
      <w:divBdr>
        <w:top w:val="none" w:sz="0" w:space="0" w:color="auto"/>
        <w:left w:val="none" w:sz="0" w:space="0" w:color="auto"/>
        <w:bottom w:val="none" w:sz="0" w:space="0" w:color="auto"/>
        <w:right w:val="none" w:sz="0" w:space="0" w:color="auto"/>
      </w:divBdr>
      <w:divsChild>
        <w:div w:id="1322007043">
          <w:marLeft w:val="0"/>
          <w:marRight w:val="0"/>
          <w:marTop w:val="0"/>
          <w:marBottom w:val="0"/>
          <w:divBdr>
            <w:top w:val="none" w:sz="0" w:space="0" w:color="auto"/>
            <w:left w:val="none" w:sz="0" w:space="0" w:color="auto"/>
            <w:bottom w:val="none" w:sz="0" w:space="0" w:color="auto"/>
            <w:right w:val="none" w:sz="0" w:space="0" w:color="auto"/>
          </w:divBdr>
          <w:divsChild>
            <w:div w:id="135613881">
              <w:marLeft w:val="0"/>
              <w:marRight w:val="0"/>
              <w:marTop w:val="0"/>
              <w:marBottom w:val="0"/>
              <w:divBdr>
                <w:top w:val="none" w:sz="0" w:space="0" w:color="auto"/>
                <w:left w:val="none" w:sz="0" w:space="0" w:color="auto"/>
                <w:bottom w:val="none" w:sz="0" w:space="0" w:color="auto"/>
                <w:right w:val="none" w:sz="0" w:space="0" w:color="auto"/>
              </w:divBdr>
              <w:divsChild>
                <w:div w:id="1349259238">
                  <w:marLeft w:val="0"/>
                  <w:marRight w:val="0"/>
                  <w:marTop w:val="0"/>
                  <w:marBottom w:val="0"/>
                  <w:divBdr>
                    <w:top w:val="none" w:sz="0" w:space="0" w:color="auto"/>
                    <w:left w:val="none" w:sz="0" w:space="0" w:color="auto"/>
                    <w:bottom w:val="none" w:sz="0" w:space="0" w:color="auto"/>
                    <w:right w:val="none" w:sz="0" w:space="0" w:color="auto"/>
                  </w:divBdr>
                  <w:divsChild>
                    <w:div w:id="1501582224">
                      <w:marLeft w:val="0"/>
                      <w:marRight w:val="0"/>
                      <w:marTop w:val="0"/>
                      <w:marBottom w:val="0"/>
                      <w:divBdr>
                        <w:top w:val="none" w:sz="0" w:space="0" w:color="auto"/>
                        <w:left w:val="none" w:sz="0" w:space="0" w:color="auto"/>
                        <w:bottom w:val="none" w:sz="0" w:space="0" w:color="auto"/>
                        <w:right w:val="none" w:sz="0" w:space="0" w:color="auto"/>
                      </w:divBdr>
                      <w:divsChild>
                        <w:div w:id="1043211602">
                          <w:marLeft w:val="0"/>
                          <w:marRight w:val="0"/>
                          <w:marTop w:val="0"/>
                          <w:marBottom w:val="0"/>
                          <w:divBdr>
                            <w:top w:val="single" w:sz="6" w:space="0" w:color="828282"/>
                            <w:left w:val="single" w:sz="6" w:space="0" w:color="828282"/>
                            <w:bottom w:val="single" w:sz="6" w:space="0" w:color="828282"/>
                            <w:right w:val="single" w:sz="6" w:space="0" w:color="828282"/>
                          </w:divBdr>
                          <w:divsChild>
                            <w:div w:id="663707142">
                              <w:marLeft w:val="0"/>
                              <w:marRight w:val="0"/>
                              <w:marTop w:val="0"/>
                              <w:marBottom w:val="0"/>
                              <w:divBdr>
                                <w:top w:val="none" w:sz="0" w:space="0" w:color="auto"/>
                                <w:left w:val="none" w:sz="0" w:space="0" w:color="auto"/>
                                <w:bottom w:val="none" w:sz="0" w:space="0" w:color="auto"/>
                                <w:right w:val="none" w:sz="0" w:space="0" w:color="auto"/>
                              </w:divBdr>
                              <w:divsChild>
                                <w:div w:id="206451696">
                                  <w:marLeft w:val="0"/>
                                  <w:marRight w:val="0"/>
                                  <w:marTop w:val="0"/>
                                  <w:marBottom w:val="0"/>
                                  <w:divBdr>
                                    <w:top w:val="none" w:sz="0" w:space="0" w:color="auto"/>
                                    <w:left w:val="none" w:sz="0" w:space="0" w:color="auto"/>
                                    <w:bottom w:val="none" w:sz="0" w:space="0" w:color="auto"/>
                                    <w:right w:val="none" w:sz="0" w:space="0" w:color="auto"/>
                                  </w:divBdr>
                                  <w:divsChild>
                                    <w:div w:id="604114969">
                                      <w:marLeft w:val="0"/>
                                      <w:marRight w:val="0"/>
                                      <w:marTop w:val="0"/>
                                      <w:marBottom w:val="0"/>
                                      <w:divBdr>
                                        <w:top w:val="none" w:sz="0" w:space="0" w:color="auto"/>
                                        <w:left w:val="none" w:sz="0" w:space="0" w:color="auto"/>
                                        <w:bottom w:val="none" w:sz="0" w:space="0" w:color="auto"/>
                                        <w:right w:val="none" w:sz="0" w:space="0" w:color="auto"/>
                                      </w:divBdr>
                                      <w:divsChild>
                                        <w:div w:id="1149399286">
                                          <w:marLeft w:val="0"/>
                                          <w:marRight w:val="0"/>
                                          <w:marTop w:val="0"/>
                                          <w:marBottom w:val="0"/>
                                          <w:divBdr>
                                            <w:top w:val="none" w:sz="0" w:space="0" w:color="auto"/>
                                            <w:left w:val="none" w:sz="0" w:space="0" w:color="auto"/>
                                            <w:bottom w:val="none" w:sz="0" w:space="0" w:color="auto"/>
                                            <w:right w:val="none" w:sz="0" w:space="0" w:color="auto"/>
                                          </w:divBdr>
                                          <w:divsChild>
                                            <w:div w:id="1239096213">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779341">
      <w:bodyDiv w:val="1"/>
      <w:marLeft w:val="0"/>
      <w:marRight w:val="0"/>
      <w:marTop w:val="0"/>
      <w:marBottom w:val="0"/>
      <w:divBdr>
        <w:top w:val="none" w:sz="0" w:space="0" w:color="auto"/>
        <w:left w:val="none" w:sz="0" w:space="0" w:color="auto"/>
        <w:bottom w:val="none" w:sz="0" w:space="0" w:color="auto"/>
        <w:right w:val="none" w:sz="0" w:space="0" w:color="auto"/>
      </w:divBdr>
      <w:divsChild>
        <w:div w:id="1518545718">
          <w:marLeft w:val="0"/>
          <w:marRight w:val="0"/>
          <w:marTop w:val="0"/>
          <w:marBottom w:val="0"/>
          <w:divBdr>
            <w:top w:val="none" w:sz="0" w:space="0" w:color="auto"/>
            <w:left w:val="none" w:sz="0" w:space="0" w:color="auto"/>
            <w:bottom w:val="none" w:sz="0" w:space="0" w:color="auto"/>
            <w:right w:val="none" w:sz="0" w:space="0" w:color="auto"/>
          </w:divBdr>
          <w:divsChild>
            <w:div w:id="1029844023">
              <w:marLeft w:val="0"/>
              <w:marRight w:val="0"/>
              <w:marTop w:val="0"/>
              <w:marBottom w:val="0"/>
              <w:divBdr>
                <w:top w:val="none" w:sz="0" w:space="0" w:color="auto"/>
                <w:left w:val="none" w:sz="0" w:space="0" w:color="auto"/>
                <w:bottom w:val="none" w:sz="0" w:space="0" w:color="auto"/>
                <w:right w:val="none" w:sz="0" w:space="0" w:color="auto"/>
              </w:divBdr>
              <w:divsChild>
                <w:div w:id="1405756290">
                  <w:marLeft w:val="0"/>
                  <w:marRight w:val="0"/>
                  <w:marTop w:val="0"/>
                  <w:marBottom w:val="0"/>
                  <w:divBdr>
                    <w:top w:val="none" w:sz="0" w:space="0" w:color="auto"/>
                    <w:left w:val="none" w:sz="0" w:space="0" w:color="auto"/>
                    <w:bottom w:val="none" w:sz="0" w:space="0" w:color="auto"/>
                    <w:right w:val="none" w:sz="0" w:space="0" w:color="auto"/>
                  </w:divBdr>
                  <w:divsChild>
                    <w:div w:id="398133898">
                      <w:marLeft w:val="0"/>
                      <w:marRight w:val="0"/>
                      <w:marTop w:val="0"/>
                      <w:marBottom w:val="0"/>
                      <w:divBdr>
                        <w:top w:val="none" w:sz="0" w:space="0" w:color="auto"/>
                        <w:left w:val="none" w:sz="0" w:space="0" w:color="auto"/>
                        <w:bottom w:val="none" w:sz="0" w:space="0" w:color="auto"/>
                        <w:right w:val="none" w:sz="0" w:space="0" w:color="auto"/>
                      </w:divBdr>
                      <w:divsChild>
                        <w:div w:id="2022705440">
                          <w:marLeft w:val="0"/>
                          <w:marRight w:val="0"/>
                          <w:marTop w:val="0"/>
                          <w:marBottom w:val="0"/>
                          <w:divBdr>
                            <w:top w:val="single" w:sz="6" w:space="0" w:color="828282"/>
                            <w:left w:val="single" w:sz="6" w:space="0" w:color="828282"/>
                            <w:bottom w:val="single" w:sz="6" w:space="0" w:color="828282"/>
                            <w:right w:val="single" w:sz="6" w:space="0" w:color="828282"/>
                          </w:divBdr>
                          <w:divsChild>
                            <w:div w:id="720178427">
                              <w:marLeft w:val="0"/>
                              <w:marRight w:val="0"/>
                              <w:marTop w:val="0"/>
                              <w:marBottom w:val="0"/>
                              <w:divBdr>
                                <w:top w:val="none" w:sz="0" w:space="0" w:color="auto"/>
                                <w:left w:val="none" w:sz="0" w:space="0" w:color="auto"/>
                                <w:bottom w:val="none" w:sz="0" w:space="0" w:color="auto"/>
                                <w:right w:val="none" w:sz="0" w:space="0" w:color="auto"/>
                              </w:divBdr>
                              <w:divsChild>
                                <w:div w:id="439759576">
                                  <w:marLeft w:val="0"/>
                                  <w:marRight w:val="0"/>
                                  <w:marTop w:val="0"/>
                                  <w:marBottom w:val="0"/>
                                  <w:divBdr>
                                    <w:top w:val="none" w:sz="0" w:space="0" w:color="auto"/>
                                    <w:left w:val="none" w:sz="0" w:space="0" w:color="auto"/>
                                    <w:bottom w:val="none" w:sz="0" w:space="0" w:color="auto"/>
                                    <w:right w:val="none" w:sz="0" w:space="0" w:color="auto"/>
                                  </w:divBdr>
                                  <w:divsChild>
                                    <w:div w:id="1622954104">
                                      <w:marLeft w:val="0"/>
                                      <w:marRight w:val="0"/>
                                      <w:marTop w:val="0"/>
                                      <w:marBottom w:val="0"/>
                                      <w:divBdr>
                                        <w:top w:val="none" w:sz="0" w:space="0" w:color="auto"/>
                                        <w:left w:val="none" w:sz="0" w:space="0" w:color="auto"/>
                                        <w:bottom w:val="none" w:sz="0" w:space="0" w:color="auto"/>
                                        <w:right w:val="none" w:sz="0" w:space="0" w:color="auto"/>
                                      </w:divBdr>
                                      <w:divsChild>
                                        <w:div w:id="833102936">
                                          <w:marLeft w:val="0"/>
                                          <w:marRight w:val="0"/>
                                          <w:marTop w:val="0"/>
                                          <w:marBottom w:val="0"/>
                                          <w:divBdr>
                                            <w:top w:val="none" w:sz="0" w:space="0" w:color="auto"/>
                                            <w:left w:val="none" w:sz="0" w:space="0" w:color="auto"/>
                                            <w:bottom w:val="none" w:sz="0" w:space="0" w:color="auto"/>
                                            <w:right w:val="none" w:sz="0" w:space="0" w:color="auto"/>
                                          </w:divBdr>
                                          <w:divsChild>
                                            <w:div w:id="972056107">
                                              <w:marLeft w:val="0"/>
                                              <w:marRight w:val="0"/>
                                              <w:marTop w:val="0"/>
                                              <w:marBottom w:val="0"/>
                                              <w:divBdr>
                                                <w:top w:val="none" w:sz="0" w:space="0" w:color="auto"/>
                                                <w:left w:val="none" w:sz="0" w:space="0" w:color="auto"/>
                                                <w:bottom w:val="none" w:sz="0" w:space="0" w:color="auto"/>
                                                <w:right w:val="none" w:sz="0" w:space="0" w:color="auto"/>
                                              </w:divBdr>
                                              <w:divsChild>
                                                <w:div w:id="774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443810">
      <w:bodyDiv w:val="1"/>
      <w:marLeft w:val="0"/>
      <w:marRight w:val="0"/>
      <w:marTop w:val="0"/>
      <w:marBottom w:val="0"/>
      <w:divBdr>
        <w:top w:val="none" w:sz="0" w:space="0" w:color="auto"/>
        <w:left w:val="none" w:sz="0" w:space="0" w:color="auto"/>
        <w:bottom w:val="none" w:sz="0" w:space="0" w:color="auto"/>
        <w:right w:val="none" w:sz="0" w:space="0" w:color="auto"/>
      </w:divBdr>
    </w:div>
    <w:div w:id="1991640348">
      <w:bodyDiv w:val="1"/>
      <w:marLeft w:val="0"/>
      <w:marRight w:val="0"/>
      <w:marTop w:val="0"/>
      <w:marBottom w:val="0"/>
      <w:divBdr>
        <w:top w:val="none" w:sz="0" w:space="0" w:color="auto"/>
        <w:left w:val="none" w:sz="0" w:space="0" w:color="auto"/>
        <w:bottom w:val="none" w:sz="0" w:space="0" w:color="auto"/>
        <w:right w:val="none" w:sz="0" w:space="0" w:color="auto"/>
      </w:divBdr>
      <w:divsChild>
        <w:div w:id="696152041">
          <w:marLeft w:val="0"/>
          <w:marRight w:val="0"/>
          <w:marTop w:val="0"/>
          <w:marBottom w:val="0"/>
          <w:divBdr>
            <w:top w:val="none" w:sz="0" w:space="0" w:color="auto"/>
            <w:left w:val="none" w:sz="0" w:space="0" w:color="auto"/>
            <w:bottom w:val="none" w:sz="0" w:space="0" w:color="auto"/>
            <w:right w:val="none" w:sz="0" w:space="0" w:color="auto"/>
          </w:divBdr>
          <w:divsChild>
            <w:div w:id="1781878794">
              <w:marLeft w:val="0"/>
              <w:marRight w:val="0"/>
              <w:marTop w:val="0"/>
              <w:marBottom w:val="0"/>
              <w:divBdr>
                <w:top w:val="none" w:sz="0" w:space="0" w:color="auto"/>
                <w:left w:val="none" w:sz="0" w:space="0" w:color="auto"/>
                <w:bottom w:val="none" w:sz="0" w:space="0" w:color="auto"/>
                <w:right w:val="none" w:sz="0" w:space="0" w:color="auto"/>
              </w:divBdr>
              <w:divsChild>
                <w:div w:id="177237786">
                  <w:marLeft w:val="0"/>
                  <w:marRight w:val="0"/>
                  <w:marTop w:val="0"/>
                  <w:marBottom w:val="0"/>
                  <w:divBdr>
                    <w:top w:val="none" w:sz="0" w:space="0" w:color="auto"/>
                    <w:left w:val="none" w:sz="0" w:space="0" w:color="auto"/>
                    <w:bottom w:val="none" w:sz="0" w:space="0" w:color="auto"/>
                    <w:right w:val="none" w:sz="0" w:space="0" w:color="auto"/>
                  </w:divBdr>
                  <w:divsChild>
                    <w:div w:id="2084988685">
                      <w:marLeft w:val="0"/>
                      <w:marRight w:val="0"/>
                      <w:marTop w:val="0"/>
                      <w:marBottom w:val="0"/>
                      <w:divBdr>
                        <w:top w:val="none" w:sz="0" w:space="0" w:color="auto"/>
                        <w:left w:val="none" w:sz="0" w:space="0" w:color="auto"/>
                        <w:bottom w:val="none" w:sz="0" w:space="0" w:color="auto"/>
                        <w:right w:val="none" w:sz="0" w:space="0" w:color="auto"/>
                      </w:divBdr>
                      <w:divsChild>
                        <w:div w:id="2010212893">
                          <w:marLeft w:val="0"/>
                          <w:marRight w:val="0"/>
                          <w:marTop w:val="0"/>
                          <w:marBottom w:val="0"/>
                          <w:divBdr>
                            <w:top w:val="single" w:sz="6" w:space="0" w:color="828282"/>
                            <w:left w:val="single" w:sz="6" w:space="0" w:color="828282"/>
                            <w:bottom w:val="single" w:sz="6" w:space="0" w:color="828282"/>
                            <w:right w:val="single" w:sz="6" w:space="0" w:color="828282"/>
                          </w:divBdr>
                          <w:divsChild>
                            <w:div w:id="1276671678">
                              <w:marLeft w:val="0"/>
                              <w:marRight w:val="0"/>
                              <w:marTop w:val="0"/>
                              <w:marBottom w:val="0"/>
                              <w:divBdr>
                                <w:top w:val="none" w:sz="0" w:space="0" w:color="auto"/>
                                <w:left w:val="none" w:sz="0" w:space="0" w:color="auto"/>
                                <w:bottom w:val="none" w:sz="0" w:space="0" w:color="auto"/>
                                <w:right w:val="none" w:sz="0" w:space="0" w:color="auto"/>
                              </w:divBdr>
                              <w:divsChild>
                                <w:div w:id="1805077728">
                                  <w:marLeft w:val="0"/>
                                  <w:marRight w:val="0"/>
                                  <w:marTop w:val="0"/>
                                  <w:marBottom w:val="0"/>
                                  <w:divBdr>
                                    <w:top w:val="none" w:sz="0" w:space="0" w:color="auto"/>
                                    <w:left w:val="none" w:sz="0" w:space="0" w:color="auto"/>
                                    <w:bottom w:val="none" w:sz="0" w:space="0" w:color="auto"/>
                                    <w:right w:val="none" w:sz="0" w:space="0" w:color="auto"/>
                                  </w:divBdr>
                                  <w:divsChild>
                                    <w:div w:id="1788232411">
                                      <w:marLeft w:val="0"/>
                                      <w:marRight w:val="0"/>
                                      <w:marTop w:val="0"/>
                                      <w:marBottom w:val="0"/>
                                      <w:divBdr>
                                        <w:top w:val="none" w:sz="0" w:space="0" w:color="auto"/>
                                        <w:left w:val="none" w:sz="0" w:space="0" w:color="auto"/>
                                        <w:bottom w:val="none" w:sz="0" w:space="0" w:color="auto"/>
                                        <w:right w:val="none" w:sz="0" w:space="0" w:color="auto"/>
                                      </w:divBdr>
                                      <w:divsChild>
                                        <w:div w:id="1788504831">
                                          <w:marLeft w:val="0"/>
                                          <w:marRight w:val="0"/>
                                          <w:marTop w:val="0"/>
                                          <w:marBottom w:val="0"/>
                                          <w:divBdr>
                                            <w:top w:val="none" w:sz="0" w:space="0" w:color="auto"/>
                                            <w:left w:val="none" w:sz="0" w:space="0" w:color="auto"/>
                                            <w:bottom w:val="none" w:sz="0" w:space="0" w:color="auto"/>
                                            <w:right w:val="none" w:sz="0" w:space="0" w:color="auto"/>
                                          </w:divBdr>
                                          <w:divsChild>
                                            <w:div w:id="1929193577">
                                              <w:marLeft w:val="0"/>
                                              <w:marRight w:val="0"/>
                                              <w:marTop w:val="0"/>
                                              <w:marBottom w:val="0"/>
                                              <w:divBdr>
                                                <w:top w:val="none" w:sz="0" w:space="0" w:color="auto"/>
                                                <w:left w:val="none" w:sz="0" w:space="0" w:color="auto"/>
                                                <w:bottom w:val="none" w:sz="0" w:space="0" w:color="auto"/>
                                                <w:right w:val="none" w:sz="0" w:space="0" w:color="auto"/>
                                              </w:divBdr>
                                              <w:divsChild>
                                                <w:div w:id="20830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386846">
      <w:bodyDiv w:val="1"/>
      <w:marLeft w:val="0"/>
      <w:marRight w:val="0"/>
      <w:marTop w:val="0"/>
      <w:marBottom w:val="0"/>
      <w:divBdr>
        <w:top w:val="none" w:sz="0" w:space="0" w:color="auto"/>
        <w:left w:val="none" w:sz="0" w:space="0" w:color="auto"/>
        <w:bottom w:val="none" w:sz="0" w:space="0" w:color="auto"/>
        <w:right w:val="none" w:sz="0" w:space="0" w:color="auto"/>
      </w:divBdr>
      <w:divsChild>
        <w:div w:id="455175035">
          <w:marLeft w:val="0"/>
          <w:marRight w:val="0"/>
          <w:marTop w:val="0"/>
          <w:marBottom w:val="0"/>
          <w:divBdr>
            <w:top w:val="none" w:sz="0" w:space="0" w:color="auto"/>
            <w:left w:val="none" w:sz="0" w:space="0" w:color="auto"/>
            <w:bottom w:val="none" w:sz="0" w:space="0" w:color="auto"/>
            <w:right w:val="none" w:sz="0" w:space="0" w:color="auto"/>
          </w:divBdr>
          <w:divsChild>
            <w:div w:id="127940349">
              <w:marLeft w:val="0"/>
              <w:marRight w:val="0"/>
              <w:marTop w:val="0"/>
              <w:marBottom w:val="0"/>
              <w:divBdr>
                <w:top w:val="none" w:sz="0" w:space="0" w:color="auto"/>
                <w:left w:val="none" w:sz="0" w:space="0" w:color="auto"/>
                <w:bottom w:val="none" w:sz="0" w:space="0" w:color="auto"/>
                <w:right w:val="none" w:sz="0" w:space="0" w:color="auto"/>
              </w:divBdr>
              <w:divsChild>
                <w:div w:id="1127551221">
                  <w:marLeft w:val="0"/>
                  <w:marRight w:val="0"/>
                  <w:marTop w:val="0"/>
                  <w:marBottom w:val="0"/>
                  <w:divBdr>
                    <w:top w:val="none" w:sz="0" w:space="0" w:color="auto"/>
                    <w:left w:val="none" w:sz="0" w:space="0" w:color="auto"/>
                    <w:bottom w:val="none" w:sz="0" w:space="0" w:color="auto"/>
                    <w:right w:val="none" w:sz="0" w:space="0" w:color="auto"/>
                  </w:divBdr>
                  <w:divsChild>
                    <w:div w:id="948664207">
                      <w:marLeft w:val="0"/>
                      <w:marRight w:val="0"/>
                      <w:marTop w:val="0"/>
                      <w:marBottom w:val="0"/>
                      <w:divBdr>
                        <w:top w:val="none" w:sz="0" w:space="0" w:color="auto"/>
                        <w:left w:val="none" w:sz="0" w:space="0" w:color="auto"/>
                        <w:bottom w:val="none" w:sz="0" w:space="0" w:color="auto"/>
                        <w:right w:val="none" w:sz="0" w:space="0" w:color="auto"/>
                      </w:divBdr>
                      <w:divsChild>
                        <w:div w:id="1068188231">
                          <w:marLeft w:val="0"/>
                          <w:marRight w:val="0"/>
                          <w:marTop w:val="0"/>
                          <w:marBottom w:val="0"/>
                          <w:divBdr>
                            <w:top w:val="single" w:sz="6" w:space="0" w:color="828282"/>
                            <w:left w:val="single" w:sz="6" w:space="0" w:color="828282"/>
                            <w:bottom w:val="single" w:sz="6" w:space="0" w:color="828282"/>
                            <w:right w:val="single" w:sz="6" w:space="0" w:color="828282"/>
                          </w:divBdr>
                          <w:divsChild>
                            <w:div w:id="627393913">
                              <w:marLeft w:val="0"/>
                              <w:marRight w:val="0"/>
                              <w:marTop w:val="0"/>
                              <w:marBottom w:val="0"/>
                              <w:divBdr>
                                <w:top w:val="none" w:sz="0" w:space="0" w:color="auto"/>
                                <w:left w:val="none" w:sz="0" w:space="0" w:color="auto"/>
                                <w:bottom w:val="none" w:sz="0" w:space="0" w:color="auto"/>
                                <w:right w:val="none" w:sz="0" w:space="0" w:color="auto"/>
                              </w:divBdr>
                              <w:divsChild>
                                <w:div w:id="1385905614">
                                  <w:marLeft w:val="0"/>
                                  <w:marRight w:val="0"/>
                                  <w:marTop w:val="0"/>
                                  <w:marBottom w:val="0"/>
                                  <w:divBdr>
                                    <w:top w:val="none" w:sz="0" w:space="0" w:color="auto"/>
                                    <w:left w:val="none" w:sz="0" w:space="0" w:color="auto"/>
                                    <w:bottom w:val="none" w:sz="0" w:space="0" w:color="auto"/>
                                    <w:right w:val="none" w:sz="0" w:space="0" w:color="auto"/>
                                  </w:divBdr>
                                  <w:divsChild>
                                    <w:div w:id="220752789">
                                      <w:marLeft w:val="0"/>
                                      <w:marRight w:val="0"/>
                                      <w:marTop w:val="0"/>
                                      <w:marBottom w:val="0"/>
                                      <w:divBdr>
                                        <w:top w:val="none" w:sz="0" w:space="0" w:color="auto"/>
                                        <w:left w:val="none" w:sz="0" w:space="0" w:color="auto"/>
                                        <w:bottom w:val="none" w:sz="0" w:space="0" w:color="auto"/>
                                        <w:right w:val="none" w:sz="0" w:space="0" w:color="auto"/>
                                      </w:divBdr>
                                      <w:divsChild>
                                        <w:div w:id="780150600">
                                          <w:marLeft w:val="0"/>
                                          <w:marRight w:val="0"/>
                                          <w:marTop w:val="0"/>
                                          <w:marBottom w:val="0"/>
                                          <w:divBdr>
                                            <w:top w:val="none" w:sz="0" w:space="0" w:color="auto"/>
                                            <w:left w:val="none" w:sz="0" w:space="0" w:color="auto"/>
                                            <w:bottom w:val="none" w:sz="0" w:space="0" w:color="auto"/>
                                            <w:right w:val="none" w:sz="0" w:space="0" w:color="auto"/>
                                          </w:divBdr>
                                          <w:divsChild>
                                            <w:div w:id="353456295">
                                              <w:marLeft w:val="0"/>
                                              <w:marRight w:val="0"/>
                                              <w:marTop w:val="0"/>
                                              <w:marBottom w:val="0"/>
                                              <w:divBdr>
                                                <w:top w:val="none" w:sz="0" w:space="0" w:color="auto"/>
                                                <w:left w:val="none" w:sz="0" w:space="0" w:color="auto"/>
                                                <w:bottom w:val="none" w:sz="0" w:space="0" w:color="auto"/>
                                                <w:right w:val="none" w:sz="0" w:space="0" w:color="auto"/>
                                              </w:divBdr>
                                              <w:divsChild>
                                                <w:div w:id="3075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8B12-26F2-4497-B7EE-2D1135B7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2276</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Rl</dc:creator>
  <cp:lastModifiedBy>Kerry Boyle</cp:lastModifiedBy>
  <cp:revision>9</cp:revision>
  <cp:lastPrinted>2013-02-18T21:54:00Z</cp:lastPrinted>
  <dcterms:created xsi:type="dcterms:W3CDTF">2013-01-22T03:03:00Z</dcterms:created>
  <dcterms:modified xsi:type="dcterms:W3CDTF">2013-02-18T22:13:00Z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