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B3" w:rsidRPr="00824B0A" w:rsidRDefault="0009706E" w:rsidP="0009706E">
      <w:pPr>
        <w:jc w:val="center"/>
        <w:rPr>
          <w:rFonts w:ascii="Arial" w:hAnsi="Arial" w:cs="Arial"/>
          <w:b/>
          <w:u w:val="single"/>
        </w:rPr>
      </w:pPr>
      <w:r w:rsidRPr="00824B0A">
        <w:rPr>
          <w:rFonts w:ascii="Arial" w:hAnsi="Arial" w:cs="Arial"/>
          <w:b/>
          <w:u w:val="single"/>
        </w:rPr>
        <w:t>EXPLANATORY STATEMENT</w:t>
      </w:r>
    </w:p>
    <w:p w:rsidR="0009706E" w:rsidRPr="00824B0A" w:rsidRDefault="0009706E" w:rsidP="0009706E">
      <w:pPr>
        <w:jc w:val="center"/>
        <w:rPr>
          <w:rFonts w:ascii="Arial" w:hAnsi="Arial" w:cs="Arial"/>
        </w:rPr>
      </w:pPr>
      <w:r w:rsidRPr="00824B0A">
        <w:rPr>
          <w:rFonts w:ascii="Arial" w:hAnsi="Arial" w:cs="Arial"/>
        </w:rPr>
        <w:t xml:space="preserve">Issued by the Australian Communications and Media Authority </w:t>
      </w:r>
    </w:p>
    <w:p w:rsidR="001C6EEE" w:rsidRPr="0019060E" w:rsidRDefault="001C6EEE" w:rsidP="0009706E">
      <w:pPr>
        <w:rPr>
          <w:rFonts w:ascii="Arial" w:hAnsi="Arial" w:cs="Arial"/>
          <w:b/>
          <w:i/>
        </w:rPr>
      </w:pPr>
      <w:r w:rsidRPr="0019060E">
        <w:rPr>
          <w:rFonts w:ascii="Arial" w:hAnsi="Arial" w:cs="Arial"/>
          <w:b/>
          <w:i/>
        </w:rPr>
        <w:t xml:space="preserve">Radiocommunications (Short Range Devices) Amendment </w:t>
      </w:r>
      <w:r w:rsidR="006425AE" w:rsidRPr="0019060E">
        <w:rPr>
          <w:rFonts w:ascii="Arial" w:hAnsi="Arial" w:cs="Arial"/>
          <w:b/>
          <w:i/>
        </w:rPr>
        <w:t xml:space="preserve">Standard </w:t>
      </w:r>
      <w:r w:rsidRPr="0019060E">
        <w:rPr>
          <w:rFonts w:ascii="Arial" w:hAnsi="Arial" w:cs="Arial"/>
          <w:b/>
          <w:i/>
        </w:rPr>
        <w:t>2013 (No. 1)</w:t>
      </w:r>
    </w:p>
    <w:p w:rsidR="0019060E" w:rsidRPr="00824B0A" w:rsidRDefault="0019060E" w:rsidP="0019060E">
      <w:pPr>
        <w:jc w:val="center"/>
        <w:rPr>
          <w:rFonts w:ascii="Arial" w:hAnsi="Arial" w:cs="Arial"/>
          <w:b/>
          <w:i/>
        </w:rPr>
      </w:pPr>
      <w:r w:rsidRPr="001C6EEE">
        <w:rPr>
          <w:rFonts w:ascii="Arial" w:hAnsi="Arial" w:cs="Arial"/>
          <w:b/>
          <w:i/>
        </w:rPr>
        <w:t>Radioco</w:t>
      </w:r>
      <w:r>
        <w:rPr>
          <w:rFonts w:ascii="Arial" w:hAnsi="Arial" w:cs="Arial"/>
          <w:b/>
          <w:i/>
        </w:rPr>
        <w:t>mmunications Act 1992</w:t>
      </w:r>
    </w:p>
    <w:p w:rsidR="00BC14CE" w:rsidRPr="00824B0A" w:rsidRDefault="00BC14CE" w:rsidP="0009706E">
      <w:pPr>
        <w:rPr>
          <w:rFonts w:ascii="Arial" w:hAnsi="Arial" w:cs="Arial"/>
          <w:b/>
        </w:rPr>
      </w:pPr>
      <w:r w:rsidRPr="00824B0A">
        <w:rPr>
          <w:rFonts w:ascii="Arial" w:hAnsi="Arial" w:cs="Arial"/>
          <w:b/>
        </w:rPr>
        <w:t>Purpose</w:t>
      </w:r>
    </w:p>
    <w:p w:rsidR="0019060E" w:rsidRDefault="0019060E" w:rsidP="001C6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 xml:space="preserve">Radiocommunications (Short Range Devices) Amendment </w:t>
      </w:r>
      <w:r w:rsidR="006425AE">
        <w:rPr>
          <w:rFonts w:ascii="Arial" w:hAnsi="Arial" w:cs="Arial"/>
          <w:i/>
        </w:rPr>
        <w:t xml:space="preserve">Standard </w:t>
      </w:r>
      <w:r>
        <w:rPr>
          <w:rFonts w:ascii="Arial" w:hAnsi="Arial" w:cs="Arial"/>
          <w:i/>
        </w:rPr>
        <w:t xml:space="preserve">2013 (No.1)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the Amendment</w:t>
      </w:r>
      <w:r w:rsidR="006425AE">
        <w:rPr>
          <w:rFonts w:ascii="Arial" w:hAnsi="Arial" w:cs="Arial"/>
          <w:b/>
        </w:rPr>
        <w:t xml:space="preserve"> Standard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 xml:space="preserve">amends the </w:t>
      </w:r>
      <w:r w:rsidRPr="0019060E">
        <w:rPr>
          <w:rFonts w:ascii="Arial" w:hAnsi="Arial" w:cs="Arial"/>
          <w:i/>
        </w:rPr>
        <w:t>Radiocommunications</w:t>
      </w:r>
      <w:r>
        <w:rPr>
          <w:rFonts w:ascii="Arial" w:hAnsi="Arial" w:cs="Arial"/>
          <w:i/>
        </w:rPr>
        <w:t xml:space="preserve"> (Short Range Devices) Standard 2004 </w:t>
      </w:r>
      <w:r>
        <w:rPr>
          <w:rFonts w:ascii="Arial" w:hAnsi="Arial" w:cs="Arial"/>
          <w:b/>
        </w:rPr>
        <w:t>(the ACMA Standard)</w:t>
      </w:r>
      <w:r>
        <w:rPr>
          <w:rFonts w:ascii="Arial" w:hAnsi="Arial" w:cs="Arial"/>
        </w:rPr>
        <w:t xml:space="preserve">. </w:t>
      </w:r>
    </w:p>
    <w:p w:rsidR="0019060E" w:rsidRDefault="0019060E" w:rsidP="001C6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ACMA Standard adopts the mandatory requirements in the industry standard made by Standards Australia and Standards New Zealand </w:t>
      </w:r>
      <w:r>
        <w:rPr>
          <w:rFonts w:ascii="Arial" w:hAnsi="Arial" w:cs="Arial"/>
          <w:b/>
        </w:rPr>
        <w:t>(SA and SNZ)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AS/NZS 4268 Radio equipment and systems – Short range devices – Limits and Methods of measurement</w:t>
      </w:r>
      <w:r w:rsidR="00494D97">
        <w:rPr>
          <w:rFonts w:ascii="Arial" w:hAnsi="Arial" w:cs="Arial"/>
        </w:rPr>
        <w:t xml:space="preserve"> </w:t>
      </w:r>
      <w:r w:rsidR="00494D97">
        <w:rPr>
          <w:rFonts w:ascii="Arial" w:hAnsi="Arial" w:cs="Arial"/>
          <w:b/>
        </w:rPr>
        <w:t>(the AS/NZS Standard)</w:t>
      </w:r>
      <w:r>
        <w:rPr>
          <w:rFonts w:ascii="Arial" w:hAnsi="Arial" w:cs="Arial"/>
          <w:i/>
        </w:rPr>
        <w:t>.</w:t>
      </w:r>
      <w:r w:rsidR="00494D97">
        <w:rPr>
          <w:rFonts w:ascii="Arial" w:hAnsi="Arial" w:cs="Arial"/>
          <w:i/>
        </w:rPr>
        <w:t xml:space="preserve"> </w:t>
      </w:r>
      <w:r w:rsidR="00494D97">
        <w:rPr>
          <w:rFonts w:ascii="Arial" w:hAnsi="Arial" w:cs="Arial"/>
        </w:rPr>
        <w:t xml:space="preserve">The AS/NZS Standard was amended by AS/NZS 4268:2012 </w:t>
      </w:r>
      <w:r w:rsidR="00494D97">
        <w:rPr>
          <w:rFonts w:ascii="Arial" w:hAnsi="Arial" w:cs="Arial"/>
          <w:b/>
        </w:rPr>
        <w:t>(the AS/NZS Amendment)</w:t>
      </w:r>
      <w:r w:rsidR="00494D97">
        <w:rPr>
          <w:rFonts w:ascii="Arial" w:hAnsi="Arial" w:cs="Arial"/>
        </w:rPr>
        <w:t xml:space="preserve"> which was published by SA and SNZ in July 2012. </w:t>
      </w:r>
    </w:p>
    <w:p w:rsidR="00F47463" w:rsidRPr="00F47463" w:rsidRDefault="00494D97" w:rsidP="00494D97">
      <w:pPr>
        <w:rPr>
          <w:rStyle w:val="Emphasis"/>
          <w:rFonts w:ascii="Arial" w:hAnsi="Arial" w:cs="Arial"/>
          <w:iCs w:val="0"/>
        </w:rPr>
      </w:pPr>
      <w:r>
        <w:rPr>
          <w:rFonts w:ascii="Arial" w:hAnsi="Arial" w:cs="Arial"/>
        </w:rPr>
        <w:t>The purpose of the Amendment</w:t>
      </w:r>
      <w:r w:rsidR="006425AE">
        <w:rPr>
          <w:rFonts w:ascii="Arial" w:hAnsi="Arial" w:cs="Arial"/>
        </w:rPr>
        <w:t xml:space="preserve"> Standard</w:t>
      </w:r>
      <w:r>
        <w:rPr>
          <w:rFonts w:ascii="Arial" w:hAnsi="Arial" w:cs="Arial"/>
        </w:rPr>
        <w:t xml:space="preserve"> is to amend the ACMA Standard so that it adopts the </w:t>
      </w:r>
      <w:r w:rsidR="00D83FC8">
        <w:rPr>
          <w:rFonts w:ascii="Arial" w:hAnsi="Arial" w:cs="Arial"/>
        </w:rPr>
        <w:t>AS/NZS</w:t>
      </w:r>
      <w:r>
        <w:rPr>
          <w:rFonts w:ascii="Arial" w:hAnsi="Arial" w:cs="Arial"/>
        </w:rPr>
        <w:t xml:space="preserve"> Standard as amended by the </w:t>
      </w:r>
      <w:r w:rsidR="00D83FC8">
        <w:rPr>
          <w:rFonts w:ascii="Arial" w:hAnsi="Arial" w:cs="Arial"/>
        </w:rPr>
        <w:t>AS/NZS</w:t>
      </w:r>
      <w:r>
        <w:rPr>
          <w:rFonts w:ascii="Arial" w:hAnsi="Arial" w:cs="Arial"/>
        </w:rPr>
        <w:t xml:space="preserve"> Amendment. </w:t>
      </w:r>
    </w:p>
    <w:p w:rsidR="00F47463" w:rsidRDefault="00F47463" w:rsidP="001C6EEE">
      <w:pPr>
        <w:rPr>
          <w:rStyle w:val="Emphasis"/>
          <w:rFonts w:ascii="Arial" w:hAnsi="Arial" w:cs="Arial"/>
          <w:i w:val="0"/>
          <w:color w:val="000000" w:themeColor="text1"/>
          <w:shd w:val="clear" w:color="auto" w:fill="FFFFFF"/>
        </w:rPr>
      </w:pPr>
    </w:p>
    <w:p w:rsidR="009663EE" w:rsidRPr="00824B0A" w:rsidRDefault="009663EE" w:rsidP="0009706E">
      <w:pPr>
        <w:rPr>
          <w:rFonts w:ascii="Arial" w:hAnsi="Arial" w:cs="Arial"/>
          <w:b/>
          <w:snapToGrid w:val="0"/>
        </w:rPr>
      </w:pPr>
      <w:r w:rsidRPr="00824B0A">
        <w:rPr>
          <w:rFonts w:ascii="Arial" w:hAnsi="Arial" w:cs="Arial"/>
          <w:b/>
          <w:snapToGrid w:val="0"/>
        </w:rPr>
        <w:t xml:space="preserve">Legislative Provisions </w:t>
      </w:r>
    </w:p>
    <w:p w:rsidR="00601C24" w:rsidRDefault="009663EE" w:rsidP="0009706E">
      <w:pPr>
        <w:rPr>
          <w:rFonts w:ascii="Arial" w:hAnsi="Arial" w:cs="Arial"/>
          <w:snapToGrid w:val="0"/>
        </w:rPr>
      </w:pPr>
      <w:r w:rsidRPr="00824B0A">
        <w:rPr>
          <w:rFonts w:ascii="Arial" w:hAnsi="Arial" w:cs="Arial"/>
          <w:snapToGrid w:val="0"/>
        </w:rPr>
        <w:t xml:space="preserve">The ACMA </w:t>
      </w:r>
      <w:r w:rsidR="00BA1BEA">
        <w:rPr>
          <w:rFonts w:ascii="Arial" w:hAnsi="Arial" w:cs="Arial"/>
          <w:snapToGrid w:val="0"/>
        </w:rPr>
        <w:t>S</w:t>
      </w:r>
      <w:r w:rsidRPr="00824B0A">
        <w:rPr>
          <w:rFonts w:ascii="Arial" w:hAnsi="Arial" w:cs="Arial"/>
          <w:snapToGrid w:val="0"/>
        </w:rPr>
        <w:t xml:space="preserve">tandard </w:t>
      </w:r>
      <w:r w:rsidR="006425AE">
        <w:rPr>
          <w:rFonts w:ascii="Arial" w:hAnsi="Arial" w:cs="Arial"/>
          <w:snapToGrid w:val="0"/>
        </w:rPr>
        <w:t>is</w:t>
      </w:r>
      <w:r w:rsidR="00BA1BEA" w:rsidRPr="00824B0A">
        <w:rPr>
          <w:rFonts w:ascii="Arial" w:hAnsi="Arial" w:cs="Arial"/>
          <w:snapToGrid w:val="0"/>
        </w:rPr>
        <w:t xml:space="preserve"> </w:t>
      </w:r>
      <w:r w:rsidRPr="00824B0A">
        <w:rPr>
          <w:rFonts w:ascii="Arial" w:hAnsi="Arial" w:cs="Arial"/>
          <w:snapToGrid w:val="0"/>
        </w:rPr>
        <w:t xml:space="preserve">made under section </w:t>
      </w:r>
      <w:r w:rsidR="00832178">
        <w:rPr>
          <w:rFonts w:ascii="Arial" w:hAnsi="Arial" w:cs="Arial"/>
          <w:snapToGrid w:val="0"/>
        </w:rPr>
        <w:t xml:space="preserve">162 of the </w:t>
      </w:r>
      <w:r w:rsidR="00832178">
        <w:rPr>
          <w:rFonts w:ascii="Arial" w:hAnsi="Arial" w:cs="Arial"/>
          <w:i/>
          <w:snapToGrid w:val="0"/>
        </w:rPr>
        <w:t xml:space="preserve">Radiocommunications Act 1992 </w:t>
      </w:r>
      <w:r w:rsidR="00832178">
        <w:rPr>
          <w:rFonts w:ascii="Arial" w:hAnsi="Arial" w:cs="Arial"/>
          <w:snapToGrid w:val="0"/>
        </w:rPr>
        <w:t>(</w:t>
      </w:r>
      <w:r w:rsidR="00832178">
        <w:rPr>
          <w:rFonts w:ascii="Arial" w:hAnsi="Arial" w:cs="Arial"/>
          <w:b/>
          <w:snapToGrid w:val="0"/>
        </w:rPr>
        <w:t>the Act)</w:t>
      </w:r>
      <w:r w:rsidR="00832178" w:rsidRPr="00832178">
        <w:rPr>
          <w:rFonts w:ascii="Arial" w:hAnsi="Arial" w:cs="Arial"/>
          <w:snapToGrid w:val="0"/>
        </w:rPr>
        <w:t>.</w:t>
      </w:r>
      <w:r w:rsidR="00832178">
        <w:rPr>
          <w:rFonts w:ascii="Arial" w:hAnsi="Arial" w:cs="Arial"/>
          <w:snapToGrid w:val="0"/>
        </w:rPr>
        <w:t xml:space="preserve"> Subsection 162(1) allows the </w:t>
      </w:r>
      <w:r w:rsidR="009B625B" w:rsidRPr="00824B0A">
        <w:rPr>
          <w:rFonts w:ascii="Arial" w:hAnsi="Arial" w:cs="Arial"/>
          <w:snapToGrid w:val="0"/>
        </w:rPr>
        <w:t>Australian Communications and Media Authority (</w:t>
      </w:r>
      <w:r w:rsidR="009B625B" w:rsidRPr="00824B0A">
        <w:rPr>
          <w:rFonts w:ascii="Arial" w:hAnsi="Arial" w:cs="Arial"/>
          <w:b/>
          <w:snapToGrid w:val="0"/>
        </w:rPr>
        <w:t>the ACMA</w:t>
      </w:r>
      <w:r w:rsidR="009B625B" w:rsidRPr="00824B0A">
        <w:rPr>
          <w:rFonts w:ascii="Arial" w:hAnsi="Arial" w:cs="Arial"/>
          <w:snapToGrid w:val="0"/>
        </w:rPr>
        <w:t>) to make a standard</w:t>
      </w:r>
      <w:r w:rsidR="000B3999">
        <w:rPr>
          <w:rFonts w:ascii="Arial" w:hAnsi="Arial" w:cs="Arial"/>
          <w:snapToGrid w:val="0"/>
        </w:rPr>
        <w:t>, by</w:t>
      </w:r>
      <w:r w:rsidR="009B625B" w:rsidRPr="00824B0A">
        <w:rPr>
          <w:rFonts w:ascii="Arial" w:hAnsi="Arial" w:cs="Arial"/>
          <w:snapToGrid w:val="0"/>
        </w:rPr>
        <w:t xml:space="preserve"> written instrument</w:t>
      </w:r>
      <w:r w:rsidR="000B3999">
        <w:rPr>
          <w:rFonts w:ascii="Arial" w:hAnsi="Arial" w:cs="Arial"/>
          <w:snapToGrid w:val="0"/>
        </w:rPr>
        <w:t>,</w:t>
      </w:r>
      <w:r w:rsidR="009B625B" w:rsidRPr="00824B0A">
        <w:rPr>
          <w:rFonts w:ascii="Arial" w:hAnsi="Arial" w:cs="Arial"/>
          <w:snapToGrid w:val="0"/>
        </w:rPr>
        <w:t xml:space="preserve"> relating to </w:t>
      </w:r>
      <w:r w:rsidR="00832178">
        <w:rPr>
          <w:rFonts w:ascii="Arial" w:hAnsi="Arial" w:cs="Arial"/>
          <w:snapToGrid w:val="0"/>
        </w:rPr>
        <w:t>the performance of specified devices or the maximum permitted level of radio emissions from devices within specified parts of the spectrum.</w:t>
      </w:r>
      <w:r w:rsidR="009B625B" w:rsidRPr="00824B0A">
        <w:rPr>
          <w:rFonts w:ascii="Arial" w:hAnsi="Arial" w:cs="Arial"/>
          <w:snapToGrid w:val="0"/>
        </w:rPr>
        <w:t xml:space="preserve"> </w:t>
      </w:r>
    </w:p>
    <w:p w:rsidR="00985577" w:rsidRPr="006425AE" w:rsidRDefault="00985577" w:rsidP="00985577">
      <w:pPr>
        <w:rPr>
          <w:rFonts w:ascii="Arial" w:eastAsia="Times New Roman" w:hAnsi="Arial" w:cs="Arial"/>
          <w:snapToGrid w:val="0"/>
          <w:sz w:val="24"/>
          <w:szCs w:val="20"/>
        </w:rPr>
      </w:pPr>
      <w:r w:rsidRPr="006425AE">
        <w:rPr>
          <w:rFonts w:ascii="Arial" w:hAnsi="Arial" w:cs="Arial"/>
          <w:snapToGrid w:val="0"/>
        </w:rPr>
        <w:t xml:space="preserve">Subsection 33(3) of the </w:t>
      </w:r>
      <w:r w:rsidRPr="006425AE">
        <w:rPr>
          <w:rFonts w:ascii="Arial" w:hAnsi="Arial" w:cs="Arial"/>
          <w:i/>
          <w:snapToGrid w:val="0"/>
        </w:rPr>
        <w:t xml:space="preserve">Acts Interpretation Act 1901 </w:t>
      </w:r>
      <w:r w:rsidRPr="006425AE">
        <w:rPr>
          <w:rFonts w:ascii="Arial" w:hAnsi="Arial" w:cs="Arial"/>
          <w:snapToGrid w:val="0"/>
        </w:rPr>
        <w:t xml:space="preserve">provides that where an Act confers a power to make a legislative instrument, the power shall be construed to include a </w:t>
      </w:r>
      <w:r w:rsidRPr="006425AE">
        <w:rPr>
          <w:rFonts w:ascii="Arial" w:hAnsi="Arial" w:cs="Arial"/>
        </w:rPr>
        <w:t xml:space="preserve">power exercisable in the like manner and subject to the like conditions (if any) to </w:t>
      </w:r>
      <w:r>
        <w:rPr>
          <w:rFonts w:ascii="Arial" w:hAnsi="Arial" w:cs="Arial"/>
        </w:rPr>
        <w:t xml:space="preserve">repeal, rescind, revoke, amend or </w:t>
      </w:r>
      <w:r w:rsidRPr="006425AE">
        <w:rPr>
          <w:rFonts w:ascii="Arial" w:hAnsi="Arial" w:cs="Arial"/>
        </w:rPr>
        <w:t>vary any such instrument.</w:t>
      </w:r>
      <w:r>
        <w:rPr>
          <w:rFonts w:ascii="Arial" w:hAnsi="Arial" w:cs="Arial"/>
        </w:rPr>
        <w:t xml:space="preserve"> The Amendment Standard is made under section 162 </w:t>
      </w:r>
      <w:r w:rsidR="004D1CCA">
        <w:rPr>
          <w:rFonts w:ascii="Arial" w:hAnsi="Arial" w:cs="Arial"/>
        </w:rPr>
        <w:t xml:space="preserve">of the Act </w:t>
      </w:r>
      <w:r>
        <w:rPr>
          <w:rFonts w:ascii="Arial" w:hAnsi="Arial" w:cs="Arial"/>
        </w:rPr>
        <w:t xml:space="preserve">and amends the ACMA Standard. </w:t>
      </w:r>
    </w:p>
    <w:p w:rsidR="006425AE" w:rsidRDefault="00601C24" w:rsidP="0009706E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Standards</w:t>
      </w:r>
      <w:r w:rsidR="00985577">
        <w:rPr>
          <w:rFonts w:ascii="Arial" w:hAnsi="Arial" w:cs="Arial"/>
          <w:snapToGrid w:val="0"/>
        </w:rPr>
        <w:t xml:space="preserve"> made under section 162 of the Act</w:t>
      </w:r>
      <w:r>
        <w:rPr>
          <w:rFonts w:ascii="Arial" w:hAnsi="Arial" w:cs="Arial"/>
          <w:snapToGrid w:val="0"/>
        </w:rPr>
        <w:t xml:space="preserve"> are to consist only of such requirements as are necessary or convenient for the matters set out in subsection </w:t>
      </w:r>
      <w:r w:rsidR="00832178">
        <w:rPr>
          <w:rFonts w:ascii="Arial" w:hAnsi="Arial" w:cs="Arial"/>
          <w:snapToGrid w:val="0"/>
        </w:rPr>
        <w:t>162</w:t>
      </w:r>
      <w:r>
        <w:rPr>
          <w:rFonts w:ascii="Arial" w:hAnsi="Arial" w:cs="Arial"/>
          <w:snapToGrid w:val="0"/>
        </w:rPr>
        <w:t>(</w:t>
      </w:r>
      <w:r w:rsidR="00D75092">
        <w:rPr>
          <w:rFonts w:ascii="Arial" w:hAnsi="Arial" w:cs="Arial"/>
          <w:snapToGrid w:val="0"/>
        </w:rPr>
        <w:t>3</w:t>
      </w:r>
      <w:r>
        <w:rPr>
          <w:rFonts w:ascii="Arial" w:hAnsi="Arial" w:cs="Arial"/>
          <w:snapToGrid w:val="0"/>
        </w:rPr>
        <w:t xml:space="preserve">) of the Act.  The requirements contained in the ACMA Standard </w:t>
      </w:r>
      <w:r w:rsidR="00985577">
        <w:rPr>
          <w:rFonts w:ascii="Arial" w:hAnsi="Arial" w:cs="Arial"/>
          <w:snapToGrid w:val="0"/>
        </w:rPr>
        <w:t>and</w:t>
      </w:r>
      <w:r w:rsidR="006425AE">
        <w:rPr>
          <w:rFonts w:ascii="Arial" w:hAnsi="Arial" w:cs="Arial"/>
          <w:snapToGrid w:val="0"/>
        </w:rPr>
        <w:t xml:space="preserve"> the amendments in the Amendment Standard</w:t>
      </w:r>
      <w:r w:rsidR="00985577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are necessary and convenient to meet the objectives set o</w:t>
      </w:r>
      <w:r w:rsidR="00494D97">
        <w:rPr>
          <w:rFonts w:ascii="Arial" w:hAnsi="Arial" w:cs="Arial"/>
          <w:snapToGrid w:val="0"/>
        </w:rPr>
        <w:t>ut in paragraphs 162(3</w:t>
      </w:r>
      <w:r w:rsidR="00D75092">
        <w:rPr>
          <w:rFonts w:ascii="Arial" w:hAnsi="Arial" w:cs="Arial"/>
          <w:snapToGrid w:val="0"/>
        </w:rPr>
        <w:t>)(a) to (f</w:t>
      </w:r>
      <w:r>
        <w:rPr>
          <w:rFonts w:ascii="Arial" w:hAnsi="Arial" w:cs="Arial"/>
          <w:snapToGrid w:val="0"/>
        </w:rPr>
        <w:t xml:space="preserve">) of the Act.  </w:t>
      </w:r>
    </w:p>
    <w:p w:rsidR="00824B0A" w:rsidRDefault="00824B0A" w:rsidP="00824B0A">
      <w:pPr>
        <w:pStyle w:val="ACMABodyText"/>
        <w:rPr>
          <w:rFonts w:ascii="Arial" w:hAnsi="Arial" w:cs="Arial"/>
          <w:i/>
          <w:sz w:val="22"/>
          <w:szCs w:val="22"/>
        </w:rPr>
      </w:pPr>
      <w:r w:rsidRPr="00D75092">
        <w:rPr>
          <w:rFonts w:ascii="Arial" w:hAnsi="Arial" w:cs="Arial"/>
          <w:sz w:val="22"/>
          <w:szCs w:val="22"/>
        </w:rPr>
        <w:t xml:space="preserve">The </w:t>
      </w:r>
      <w:r w:rsidR="00076013" w:rsidRPr="00D75092">
        <w:rPr>
          <w:rFonts w:ascii="Arial" w:hAnsi="Arial" w:cs="Arial"/>
          <w:sz w:val="22"/>
          <w:szCs w:val="22"/>
        </w:rPr>
        <w:t>A</w:t>
      </w:r>
      <w:r w:rsidRPr="00D75092">
        <w:rPr>
          <w:rFonts w:ascii="Arial" w:hAnsi="Arial" w:cs="Arial"/>
          <w:sz w:val="22"/>
          <w:szCs w:val="22"/>
        </w:rPr>
        <w:t xml:space="preserve">mendment </w:t>
      </w:r>
      <w:r w:rsidR="006425AE">
        <w:rPr>
          <w:rFonts w:ascii="Arial" w:hAnsi="Arial" w:cs="Arial"/>
          <w:sz w:val="22"/>
          <w:szCs w:val="22"/>
        </w:rPr>
        <w:t xml:space="preserve">Standard </w:t>
      </w:r>
      <w:r w:rsidRPr="00D75092">
        <w:rPr>
          <w:rFonts w:ascii="Arial" w:hAnsi="Arial" w:cs="Arial"/>
          <w:sz w:val="22"/>
          <w:szCs w:val="22"/>
        </w:rPr>
        <w:t xml:space="preserve">is a legislative instrument </w:t>
      </w:r>
      <w:r w:rsidR="00076013" w:rsidRPr="00D75092">
        <w:rPr>
          <w:rFonts w:ascii="Arial" w:hAnsi="Arial" w:cs="Arial"/>
          <w:sz w:val="22"/>
          <w:szCs w:val="22"/>
        </w:rPr>
        <w:t xml:space="preserve">for the purposes of </w:t>
      </w:r>
      <w:r w:rsidRPr="00D75092">
        <w:rPr>
          <w:rFonts w:ascii="Arial" w:hAnsi="Arial" w:cs="Arial"/>
          <w:sz w:val="22"/>
          <w:szCs w:val="22"/>
        </w:rPr>
        <w:t xml:space="preserve">the </w:t>
      </w:r>
      <w:r w:rsidRPr="00D75092">
        <w:rPr>
          <w:rFonts w:ascii="Arial" w:hAnsi="Arial" w:cs="Arial"/>
          <w:i/>
          <w:sz w:val="22"/>
          <w:szCs w:val="22"/>
        </w:rPr>
        <w:t>Legislative Instruments Act 2003</w:t>
      </w:r>
      <w:r w:rsidR="00B24632" w:rsidRPr="00D75092">
        <w:rPr>
          <w:rFonts w:ascii="Arial" w:hAnsi="Arial" w:cs="Arial"/>
          <w:sz w:val="22"/>
          <w:szCs w:val="22"/>
        </w:rPr>
        <w:t xml:space="preserve"> (</w:t>
      </w:r>
      <w:r w:rsidR="00B24632" w:rsidRPr="00D75092">
        <w:rPr>
          <w:rFonts w:ascii="Arial" w:hAnsi="Arial" w:cs="Arial"/>
          <w:b/>
          <w:sz w:val="22"/>
          <w:szCs w:val="22"/>
        </w:rPr>
        <w:t>the LI Act</w:t>
      </w:r>
      <w:r w:rsidR="00B24632" w:rsidRPr="00D75092">
        <w:rPr>
          <w:rFonts w:ascii="Arial" w:hAnsi="Arial" w:cs="Arial"/>
          <w:sz w:val="22"/>
          <w:szCs w:val="22"/>
        </w:rPr>
        <w:t>)</w:t>
      </w:r>
      <w:r w:rsidRPr="00D75092">
        <w:rPr>
          <w:rFonts w:ascii="Arial" w:hAnsi="Arial" w:cs="Arial"/>
          <w:i/>
          <w:sz w:val="22"/>
          <w:szCs w:val="22"/>
        </w:rPr>
        <w:t xml:space="preserve">. </w:t>
      </w:r>
    </w:p>
    <w:p w:rsidR="00675C1D" w:rsidRDefault="00675C1D">
      <w:pPr>
        <w:rPr>
          <w:rFonts w:ascii="Arial" w:eastAsia="Times New Roman" w:hAnsi="Arial" w:cs="Arial"/>
          <w:i/>
          <w:snapToGrid w:val="0"/>
        </w:rPr>
      </w:pPr>
      <w:r>
        <w:rPr>
          <w:rFonts w:ascii="Arial" w:hAnsi="Arial" w:cs="Arial"/>
          <w:i/>
        </w:rPr>
        <w:br w:type="page"/>
      </w:r>
    </w:p>
    <w:p w:rsidR="009B625B" w:rsidRPr="00824B0A" w:rsidRDefault="009B625B" w:rsidP="0009706E">
      <w:pPr>
        <w:rPr>
          <w:rFonts w:ascii="Arial" w:hAnsi="Arial" w:cs="Arial"/>
          <w:b/>
          <w:snapToGrid w:val="0"/>
        </w:rPr>
      </w:pPr>
      <w:r w:rsidRPr="00824B0A">
        <w:rPr>
          <w:rFonts w:ascii="Arial" w:hAnsi="Arial" w:cs="Arial"/>
          <w:b/>
          <w:snapToGrid w:val="0"/>
        </w:rPr>
        <w:lastRenderedPageBreak/>
        <w:t xml:space="preserve">Background </w:t>
      </w:r>
    </w:p>
    <w:p w:rsidR="00B5310D" w:rsidRDefault="00B142A2" w:rsidP="0009706E">
      <w:pPr>
        <w:rPr>
          <w:rFonts w:ascii="Arial" w:hAnsi="Arial" w:cs="Arial"/>
        </w:rPr>
      </w:pPr>
      <w:r>
        <w:rPr>
          <w:rFonts w:ascii="Arial" w:hAnsi="Arial" w:cs="Arial"/>
        </w:rPr>
        <w:t>Paragraph</w:t>
      </w:r>
      <w:r w:rsidR="00860A47">
        <w:rPr>
          <w:rFonts w:ascii="Arial" w:hAnsi="Arial" w:cs="Arial"/>
        </w:rPr>
        <w:t xml:space="preserve"> 162(1)</w:t>
      </w:r>
      <w:r w:rsidRPr="0020167D">
        <w:rPr>
          <w:rFonts w:ascii="Arial" w:hAnsi="Arial" w:cs="Arial"/>
        </w:rPr>
        <w:t>(a) of the Act allows the ACMA to</w:t>
      </w:r>
      <w:r w:rsidR="004D1CCA">
        <w:rPr>
          <w:rFonts w:ascii="Arial" w:hAnsi="Arial" w:cs="Arial"/>
        </w:rPr>
        <w:t xml:space="preserve"> make</w:t>
      </w:r>
      <w:r w:rsidRPr="0020167D">
        <w:rPr>
          <w:rFonts w:ascii="Arial" w:hAnsi="Arial" w:cs="Arial"/>
        </w:rPr>
        <w:t xml:space="preserve">, by written instrument, standards for the performance of specified devices. A standard may be of general application or limited as provided by the standard. </w:t>
      </w:r>
      <w:r w:rsidR="004D1CCA">
        <w:rPr>
          <w:rFonts w:ascii="Arial" w:hAnsi="Arial" w:cs="Arial"/>
        </w:rPr>
        <w:t>S</w:t>
      </w:r>
      <w:r w:rsidR="00860A47">
        <w:rPr>
          <w:rFonts w:ascii="Arial" w:hAnsi="Arial" w:cs="Arial"/>
        </w:rPr>
        <w:t xml:space="preserve">ection 5 of </w:t>
      </w:r>
      <w:r w:rsidR="00B5310D" w:rsidRPr="00B5310D">
        <w:rPr>
          <w:rFonts w:ascii="Arial" w:hAnsi="Arial" w:cs="Arial"/>
        </w:rPr>
        <w:t xml:space="preserve">the ACMA Standard </w:t>
      </w:r>
      <w:r w:rsidR="00860A47">
        <w:rPr>
          <w:rFonts w:ascii="Arial" w:hAnsi="Arial" w:cs="Arial"/>
        </w:rPr>
        <w:t xml:space="preserve">provides that the standard </w:t>
      </w:r>
      <w:r w:rsidR="00B5310D" w:rsidRPr="00B5310D">
        <w:rPr>
          <w:rFonts w:ascii="Arial" w:hAnsi="Arial" w:cs="Arial"/>
        </w:rPr>
        <w:t>applies to a radiocommunications device that is a short range device</w:t>
      </w:r>
      <w:r w:rsidR="00CE6DC2">
        <w:rPr>
          <w:rFonts w:ascii="Arial" w:hAnsi="Arial" w:cs="Arial"/>
        </w:rPr>
        <w:t xml:space="preserve"> (</w:t>
      </w:r>
      <w:r w:rsidR="00860A47">
        <w:rPr>
          <w:rFonts w:ascii="Arial" w:hAnsi="Arial" w:cs="Arial"/>
        </w:rPr>
        <w:t xml:space="preserve">as </w:t>
      </w:r>
      <w:r w:rsidR="00CE6DC2">
        <w:rPr>
          <w:rFonts w:ascii="Arial" w:hAnsi="Arial" w:cs="Arial"/>
        </w:rPr>
        <w:t xml:space="preserve">defined in section 4) </w:t>
      </w:r>
      <w:r w:rsidR="00B5310D" w:rsidRPr="00B5310D">
        <w:rPr>
          <w:rFonts w:ascii="Arial" w:hAnsi="Arial" w:cs="Arial"/>
        </w:rPr>
        <w:t xml:space="preserve">including a low interference potential device and a radio controlled model </w:t>
      </w:r>
      <w:r w:rsidR="0059232C">
        <w:rPr>
          <w:rFonts w:ascii="Arial" w:hAnsi="Arial" w:cs="Arial"/>
        </w:rPr>
        <w:t>(</w:t>
      </w:r>
      <w:r w:rsidR="00860A47">
        <w:rPr>
          <w:rFonts w:ascii="Arial" w:hAnsi="Arial" w:cs="Arial"/>
        </w:rPr>
        <w:t xml:space="preserve">and </w:t>
      </w:r>
      <w:r w:rsidR="00B5310D" w:rsidRPr="00B5310D">
        <w:rPr>
          <w:rFonts w:ascii="Arial" w:hAnsi="Arial" w:cs="Arial"/>
        </w:rPr>
        <w:t xml:space="preserve">that is not a device mentioned in subsection </w:t>
      </w:r>
      <w:r w:rsidR="00985577">
        <w:rPr>
          <w:rFonts w:ascii="Arial" w:hAnsi="Arial" w:cs="Arial"/>
        </w:rPr>
        <w:t>5</w:t>
      </w:r>
      <w:r w:rsidR="00B5310D" w:rsidRPr="00B5310D">
        <w:rPr>
          <w:rFonts w:ascii="Arial" w:hAnsi="Arial" w:cs="Arial"/>
        </w:rPr>
        <w:t>(2)</w:t>
      </w:r>
      <w:r w:rsidR="0059232C">
        <w:rPr>
          <w:rFonts w:ascii="Arial" w:hAnsi="Arial" w:cs="Arial"/>
        </w:rPr>
        <w:t>)</w:t>
      </w:r>
      <w:r w:rsidR="00860A47">
        <w:rPr>
          <w:rFonts w:ascii="Arial" w:hAnsi="Arial" w:cs="Arial"/>
        </w:rPr>
        <w:t xml:space="preserve">. </w:t>
      </w:r>
    </w:p>
    <w:p w:rsidR="00494D97" w:rsidRDefault="00860A47" w:rsidP="0020167D">
      <w:pPr>
        <w:rPr>
          <w:rStyle w:val="Emphasis"/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 xml:space="preserve">Section 6 of the </w:t>
      </w:r>
      <w:r w:rsidR="0020167D" w:rsidRPr="00832178">
        <w:rPr>
          <w:rFonts w:ascii="Arial" w:hAnsi="Arial" w:cs="Arial"/>
        </w:rPr>
        <w:t xml:space="preserve">ACMA Standard </w:t>
      </w:r>
      <w:r>
        <w:rPr>
          <w:rFonts w:ascii="Arial" w:hAnsi="Arial" w:cs="Arial"/>
        </w:rPr>
        <w:t xml:space="preserve">provides that for the purposes of paragraph 162(1)(a) of the Act, the standard for performance is the standard set out in </w:t>
      </w:r>
      <w:r w:rsidR="0020167D" w:rsidRPr="00832178">
        <w:rPr>
          <w:rFonts w:ascii="Arial" w:hAnsi="Arial" w:cs="Arial"/>
          <w:color w:val="000000" w:themeColor="text1"/>
        </w:rPr>
        <w:t>the</w:t>
      </w:r>
      <w:r w:rsidR="0020167D">
        <w:rPr>
          <w:rFonts w:ascii="Arial" w:hAnsi="Arial" w:cs="Arial"/>
          <w:color w:val="000000" w:themeColor="text1"/>
        </w:rPr>
        <w:t xml:space="preserve"> AS/NZS Standard</w:t>
      </w:r>
      <w:r>
        <w:rPr>
          <w:rFonts w:ascii="Arial" w:hAnsi="Arial" w:cs="Arial"/>
          <w:color w:val="000000" w:themeColor="text1"/>
        </w:rPr>
        <w:t>, other than the provisions of the AS/NZS Standard listed in paragraphs 6(a) to (f)</w:t>
      </w:r>
      <w:r w:rsidR="0020167D" w:rsidRPr="00832178">
        <w:rPr>
          <w:rStyle w:val="Emphasis"/>
          <w:rFonts w:ascii="Arial" w:hAnsi="Arial" w:cs="Arial"/>
          <w:color w:val="000000" w:themeColor="text1"/>
          <w:shd w:val="clear" w:color="auto" w:fill="FFFFFF"/>
        </w:rPr>
        <w:t>.</w:t>
      </w:r>
      <w:r w:rsidR="00494D97">
        <w:rPr>
          <w:rStyle w:val="Emphasis"/>
          <w:rFonts w:ascii="Arial" w:hAnsi="Arial" w:cs="Arial"/>
          <w:i w:val="0"/>
          <w:color w:val="000000" w:themeColor="text1"/>
          <w:shd w:val="clear" w:color="auto" w:fill="FFFFFF"/>
        </w:rPr>
        <w:t xml:space="preserve"> The objective of the AS/NZS Standard is to specify the minimum performance requirements and methods of measurement for short range devices </w:t>
      </w:r>
      <w:r w:rsidR="00140419">
        <w:rPr>
          <w:rStyle w:val="Emphasis"/>
          <w:rFonts w:ascii="Arial" w:hAnsi="Arial" w:cs="Arial"/>
          <w:i w:val="0"/>
          <w:color w:val="000000" w:themeColor="text1"/>
          <w:shd w:val="clear" w:color="auto" w:fill="FFFFFF"/>
        </w:rPr>
        <w:t xml:space="preserve">supplied for use under the ACMA’s radiocommunications regulatory arrangements. </w:t>
      </w:r>
      <w:r w:rsidR="00494D97">
        <w:rPr>
          <w:rStyle w:val="Emphasis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02FFB">
        <w:rPr>
          <w:rStyle w:val="Emphasis"/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20167D" w:rsidRPr="00824B0A" w:rsidRDefault="0020167D" w:rsidP="0020167D">
      <w:pPr>
        <w:rPr>
          <w:rFonts w:ascii="Arial" w:hAnsi="Arial" w:cs="Arial"/>
        </w:rPr>
      </w:pPr>
      <w:r w:rsidRPr="00832178">
        <w:rPr>
          <w:rFonts w:ascii="Arial" w:hAnsi="Arial" w:cs="Arial"/>
        </w:rPr>
        <w:t xml:space="preserve">The ACMA Standard currently requires compliance with all sections of </w:t>
      </w:r>
      <w:r w:rsidR="00140419">
        <w:rPr>
          <w:rFonts w:ascii="Arial" w:hAnsi="Arial" w:cs="Arial"/>
        </w:rPr>
        <w:t>the AS/NZS Standard</w:t>
      </w:r>
      <w:r w:rsidRPr="00832178">
        <w:rPr>
          <w:rFonts w:ascii="Arial" w:hAnsi="Arial" w:cs="Arial"/>
        </w:rPr>
        <w:t xml:space="preserve"> except the clauses that relate to New Zealand</w:t>
      </w:r>
      <w:r w:rsidR="004D1CCA">
        <w:rPr>
          <w:rFonts w:ascii="Arial" w:hAnsi="Arial" w:cs="Arial"/>
        </w:rPr>
        <w:t>.</w:t>
      </w:r>
      <w:r w:rsidR="00860A47">
        <w:rPr>
          <w:rFonts w:ascii="Arial" w:hAnsi="Arial" w:cs="Arial"/>
        </w:rPr>
        <w:t xml:space="preserve"> </w:t>
      </w:r>
      <w:r w:rsidRPr="00832178">
        <w:rPr>
          <w:rFonts w:ascii="Arial" w:hAnsi="Arial" w:cs="Arial"/>
        </w:rPr>
        <w:t xml:space="preserve">The current ACMA Standard does this by excluding the clauses by number in </w:t>
      </w:r>
      <w:r w:rsidR="00860A47">
        <w:rPr>
          <w:rFonts w:ascii="Arial" w:hAnsi="Arial" w:cs="Arial"/>
        </w:rPr>
        <w:t>s</w:t>
      </w:r>
      <w:r w:rsidRPr="00832178">
        <w:rPr>
          <w:rFonts w:ascii="Arial" w:hAnsi="Arial" w:cs="Arial"/>
        </w:rPr>
        <w:t>ection 6</w:t>
      </w:r>
      <w:r w:rsidR="00860A47">
        <w:rPr>
          <w:rFonts w:ascii="Arial" w:hAnsi="Arial" w:cs="Arial"/>
        </w:rPr>
        <w:t xml:space="preserve"> (paragraphs 6(a) to (f))</w:t>
      </w:r>
      <w:r w:rsidRPr="00832178">
        <w:rPr>
          <w:rFonts w:ascii="Arial" w:hAnsi="Arial" w:cs="Arial"/>
        </w:rPr>
        <w:t xml:space="preserve">. </w:t>
      </w:r>
      <w:r w:rsidR="00140419">
        <w:rPr>
          <w:rFonts w:ascii="Arial" w:hAnsi="Arial" w:cs="Arial"/>
        </w:rPr>
        <w:t xml:space="preserve">The AS/NZS Amendment </w:t>
      </w:r>
      <w:r w:rsidRPr="00832178">
        <w:rPr>
          <w:rFonts w:ascii="Arial" w:hAnsi="Arial" w:cs="Arial"/>
        </w:rPr>
        <w:t xml:space="preserve">includes a general clause (8.2.1.1) on transmitter spurious emissions which then caused other </w:t>
      </w:r>
      <w:r w:rsidR="00860A47">
        <w:rPr>
          <w:rFonts w:ascii="Arial" w:hAnsi="Arial" w:cs="Arial"/>
        </w:rPr>
        <w:t xml:space="preserve">subsequent </w:t>
      </w:r>
      <w:r w:rsidRPr="00832178">
        <w:rPr>
          <w:rFonts w:ascii="Arial" w:hAnsi="Arial" w:cs="Arial"/>
        </w:rPr>
        <w:t xml:space="preserve">clauses to be renumbered. </w:t>
      </w:r>
    </w:p>
    <w:p w:rsidR="00B142A2" w:rsidRPr="008327AD" w:rsidRDefault="00B142A2" w:rsidP="00B142A2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With these renumbered clauses, </w:t>
      </w:r>
      <w:r w:rsidRPr="0020167D">
        <w:rPr>
          <w:rFonts w:ascii="Arial" w:hAnsi="Arial" w:cs="Arial"/>
        </w:rPr>
        <w:t xml:space="preserve">the clause numbers </w:t>
      </w:r>
      <w:r>
        <w:rPr>
          <w:rFonts w:ascii="Arial" w:hAnsi="Arial" w:cs="Arial"/>
        </w:rPr>
        <w:t xml:space="preserve">previously </w:t>
      </w:r>
      <w:r w:rsidRPr="0020167D">
        <w:rPr>
          <w:rFonts w:ascii="Arial" w:hAnsi="Arial" w:cs="Arial"/>
        </w:rPr>
        <w:t xml:space="preserve">referenced as exclusions in the </w:t>
      </w:r>
      <w:r>
        <w:rPr>
          <w:rFonts w:ascii="Arial" w:hAnsi="Arial" w:cs="Arial"/>
        </w:rPr>
        <w:t>ACMA Standard</w:t>
      </w:r>
      <w:r w:rsidRPr="0020167D">
        <w:rPr>
          <w:rFonts w:ascii="Arial" w:hAnsi="Arial" w:cs="Arial"/>
        </w:rPr>
        <w:t xml:space="preserve"> </w:t>
      </w:r>
      <w:r w:rsidR="004D1CCA">
        <w:rPr>
          <w:rFonts w:ascii="Arial" w:hAnsi="Arial" w:cs="Arial"/>
        </w:rPr>
        <w:t xml:space="preserve">are now incorrect and do not accurately reflect </w:t>
      </w:r>
      <w:r w:rsidRPr="0020167D">
        <w:rPr>
          <w:rFonts w:ascii="Arial" w:hAnsi="Arial" w:cs="Arial"/>
        </w:rPr>
        <w:t xml:space="preserve"> the intended New Zealand requirements. </w:t>
      </w:r>
      <w:r w:rsidR="008327AD">
        <w:rPr>
          <w:rFonts w:ascii="Arial" w:hAnsi="Arial" w:cs="Arial"/>
        </w:rPr>
        <w:t xml:space="preserve">The AS/NZS Amendment made no substantive amendments to the standards applicable to short range devices used in Australia. </w:t>
      </w:r>
    </w:p>
    <w:p w:rsidR="00B142A2" w:rsidRPr="0020167D" w:rsidRDefault="008327AD" w:rsidP="00B142A2">
      <w:pPr>
        <w:rPr>
          <w:rFonts w:ascii="Arial" w:hAnsi="Arial" w:cs="Arial"/>
        </w:rPr>
      </w:pPr>
      <w:r>
        <w:rPr>
          <w:rFonts w:ascii="Arial" w:hAnsi="Arial" w:cs="Arial"/>
        </w:rPr>
        <w:t>Consequently, an amendment to t</w:t>
      </w:r>
      <w:r w:rsidR="00B142A2">
        <w:rPr>
          <w:rFonts w:ascii="Arial" w:hAnsi="Arial" w:cs="Arial"/>
        </w:rPr>
        <w:t>he ACMA Standard</w:t>
      </w:r>
      <w:r w:rsidR="00B142A2" w:rsidRPr="00201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required to ensure that the correct standards for performance are specified.  </w:t>
      </w:r>
      <w:r w:rsidR="00675C1D">
        <w:rPr>
          <w:rFonts w:ascii="Arial" w:hAnsi="Arial" w:cs="Arial"/>
        </w:rPr>
        <w:t>The Amendment Standard also contains other minor amendments to the ACMA Standard to define certain terms used in section 5 of the ACMA Standard.</w:t>
      </w:r>
    </w:p>
    <w:p w:rsidR="00774462" w:rsidRDefault="00774462" w:rsidP="0009706E">
      <w:pPr>
        <w:rPr>
          <w:rFonts w:ascii="Arial" w:hAnsi="Arial" w:cs="Arial"/>
          <w:b/>
          <w:snapToGrid w:val="0"/>
        </w:rPr>
      </w:pPr>
    </w:p>
    <w:p w:rsidR="007179B6" w:rsidRPr="00824B0A" w:rsidRDefault="007179B6" w:rsidP="0009706E">
      <w:pPr>
        <w:rPr>
          <w:rFonts w:ascii="Arial" w:hAnsi="Arial" w:cs="Arial"/>
          <w:b/>
          <w:snapToGrid w:val="0"/>
        </w:rPr>
      </w:pPr>
      <w:r w:rsidRPr="00824B0A">
        <w:rPr>
          <w:rFonts w:ascii="Arial" w:hAnsi="Arial" w:cs="Arial"/>
          <w:b/>
          <w:snapToGrid w:val="0"/>
        </w:rPr>
        <w:t>Operation</w:t>
      </w:r>
    </w:p>
    <w:p w:rsidR="00CE6DC2" w:rsidRDefault="00CE6DC2" w:rsidP="00B142A2">
      <w:pPr>
        <w:pStyle w:val="ACMANumberedLis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B142A2" w:rsidRDefault="00B142A2" w:rsidP="00B142A2">
      <w:pPr>
        <w:pStyle w:val="ACMANumberedLis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Amendment Standard amends the ACMA Standard</w:t>
      </w:r>
      <w:r w:rsidR="00CE6DC2">
        <w:rPr>
          <w:rFonts w:ascii="Arial" w:hAnsi="Arial" w:cs="Arial"/>
          <w:sz w:val="22"/>
          <w:szCs w:val="22"/>
        </w:rPr>
        <w:t xml:space="preserve"> by substituting section 6. The new section 6 provides that the standard for performance of short range devices is the AS/NZS Standard excluding all </w:t>
      </w:r>
      <w:r w:rsidR="004A4B09">
        <w:rPr>
          <w:rFonts w:ascii="Arial" w:hAnsi="Arial" w:cs="Arial"/>
          <w:sz w:val="22"/>
          <w:szCs w:val="22"/>
        </w:rPr>
        <w:t>requirements</w:t>
      </w:r>
      <w:r w:rsidR="00CE6DC2">
        <w:rPr>
          <w:rFonts w:ascii="Arial" w:hAnsi="Arial" w:cs="Arial"/>
          <w:sz w:val="22"/>
          <w:szCs w:val="22"/>
        </w:rPr>
        <w:t xml:space="preserve"> that apply only to short range devices supplied for use under the New Zealand radiocommunications licence</w:t>
      </w:r>
      <w:r w:rsidR="0059232C">
        <w:rPr>
          <w:rFonts w:ascii="Arial" w:hAnsi="Arial" w:cs="Arial"/>
          <w:sz w:val="22"/>
          <w:szCs w:val="22"/>
        </w:rPr>
        <w:t xml:space="preserve"> issued under the </w:t>
      </w:r>
      <w:r w:rsidR="0059232C">
        <w:rPr>
          <w:rFonts w:ascii="Arial" w:hAnsi="Arial" w:cs="Arial"/>
          <w:i/>
          <w:sz w:val="22"/>
          <w:szCs w:val="22"/>
        </w:rPr>
        <w:t>Radiocommunications Regulations (General User Radio Licence for Short Range Devices) Notice</w:t>
      </w:r>
      <w:r w:rsidR="00CE6DC2">
        <w:rPr>
          <w:rFonts w:ascii="Arial" w:hAnsi="Arial" w:cs="Arial"/>
          <w:sz w:val="22"/>
          <w:szCs w:val="22"/>
        </w:rPr>
        <w:t>.</w:t>
      </w:r>
      <w:r w:rsidR="0059232C">
        <w:rPr>
          <w:rFonts w:ascii="Arial" w:hAnsi="Arial" w:cs="Arial"/>
          <w:sz w:val="22"/>
          <w:szCs w:val="22"/>
        </w:rPr>
        <w:t xml:space="preserve">  </w:t>
      </w:r>
      <w:r w:rsidR="00CE6DC2">
        <w:rPr>
          <w:rFonts w:ascii="Arial" w:hAnsi="Arial" w:cs="Arial"/>
          <w:sz w:val="22"/>
          <w:szCs w:val="22"/>
        </w:rPr>
        <w:t xml:space="preserve">  </w:t>
      </w:r>
    </w:p>
    <w:p w:rsidR="00B142A2" w:rsidRDefault="00B142A2" w:rsidP="00B142A2">
      <w:pPr>
        <w:pStyle w:val="ACMANumberedLis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774462" w:rsidRDefault="00774462" w:rsidP="0020167D">
      <w:pPr>
        <w:rPr>
          <w:rFonts w:ascii="Arial" w:hAnsi="Arial" w:cs="Arial"/>
        </w:rPr>
      </w:pPr>
    </w:p>
    <w:p w:rsidR="007179B6" w:rsidRPr="00824B0A" w:rsidRDefault="00676925" w:rsidP="0009706E">
      <w:pPr>
        <w:rPr>
          <w:rFonts w:ascii="Arial" w:hAnsi="Arial" w:cs="Arial"/>
          <w:b/>
          <w:snapToGrid w:val="0"/>
        </w:rPr>
      </w:pPr>
      <w:r w:rsidRPr="00824B0A">
        <w:rPr>
          <w:rFonts w:ascii="Arial" w:hAnsi="Arial" w:cs="Arial"/>
          <w:b/>
          <w:snapToGrid w:val="0"/>
        </w:rPr>
        <w:t xml:space="preserve">Consultation </w:t>
      </w:r>
    </w:p>
    <w:p w:rsidR="00676925" w:rsidRPr="00824B0A" w:rsidRDefault="00760E09" w:rsidP="0009706E">
      <w:pPr>
        <w:rPr>
          <w:rFonts w:ascii="Arial" w:hAnsi="Arial" w:cs="Arial"/>
          <w:snapToGrid w:val="0"/>
        </w:rPr>
      </w:pPr>
      <w:r w:rsidRPr="00824B0A">
        <w:rPr>
          <w:rFonts w:ascii="Arial" w:hAnsi="Arial" w:cs="Arial"/>
          <w:snapToGrid w:val="0"/>
        </w:rPr>
        <w:t xml:space="preserve">Subsection </w:t>
      </w:r>
      <w:r w:rsidR="00202FFB">
        <w:rPr>
          <w:rFonts w:ascii="Arial" w:hAnsi="Arial" w:cs="Arial"/>
          <w:snapToGrid w:val="0"/>
        </w:rPr>
        <w:t xml:space="preserve">163(1) </w:t>
      </w:r>
      <w:r w:rsidRPr="00824B0A">
        <w:rPr>
          <w:rFonts w:ascii="Arial" w:hAnsi="Arial" w:cs="Arial"/>
          <w:snapToGrid w:val="0"/>
        </w:rPr>
        <w:t>of the Act requires that before t</w:t>
      </w:r>
      <w:r w:rsidR="00202FFB">
        <w:rPr>
          <w:rFonts w:ascii="Arial" w:hAnsi="Arial" w:cs="Arial"/>
          <w:snapToGrid w:val="0"/>
        </w:rPr>
        <w:t>he ACMA makes a standard</w:t>
      </w:r>
      <w:r w:rsidRPr="00824B0A">
        <w:rPr>
          <w:rFonts w:ascii="Arial" w:hAnsi="Arial" w:cs="Arial"/>
          <w:snapToGrid w:val="0"/>
        </w:rPr>
        <w:t xml:space="preserve"> the ACMA must</w:t>
      </w:r>
      <w:r w:rsidR="003A5EFB">
        <w:rPr>
          <w:rFonts w:ascii="Arial" w:hAnsi="Arial" w:cs="Arial"/>
          <w:snapToGrid w:val="0"/>
        </w:rPr>
        <w:t>, so far as is practicable,</w:t>
      </w:r>
      <w:r w:rsidRPr="00824B0A">
        <w:rPr>
          <w:rFonts w:ascii="Arial" w:hAnsi="Arial" w:cs="Arial"/>
          <w:snapToGrid w:val="0"/>
        </w:rPr>
        <w:t xml:space="preserve"> try to ensure that interested parties have </w:t>
      </w:r>
      <w:r w:rsidR="00554105">
        <w:rPr>
          <w:rFonts w:ascii="Arial" w:hAnsi="Arial" w:cs="Arial"/>
          <w:snapToGrid w:val="0"/>
        </w:rPr>
        <w:t xml:space="preserve">had </w:t>
      </w:r>
      <w:r w:rsidRPr="00824B0A">
        <w:rPr>
          <w:rFonts w:ascii="Arial" w:hAnsi="Arial" w:cs="Arial"/>
          <w:snapToGrid w:val="0"/>
        </w:rPr>
        <w:t xml:space="preserve">an </w:t>
      </w:r>
      <w:r w:rsidR="00554105">
        <w:rPr>
          <w:rFonts w:ascii="Arial" w:hAnsi="Arial" w:cs="Arial"/>
          <w:snapToGrid w:val="0"/>
        </w:rPr>
        <w:t xml:space="preserve">adequate </w:t>
      </w:r>
      <w:r w:rsidRPr="00824B0A">
        <w:rPr>
          <w:rFonts w:ascii="Arial" w:hAnsi="Arial" w:cs="Arial"/>
          <w:snapToGrid w:val="0"/>
        </w:rPr>
        <w:t xml:space="preserve">opportunity to comment on </w:t>
      </w:r>
      <w:r w:rsidR="00554105">
        <w:rPr>
          <w:rFonts w:ascii="Arial" w:hAnsi="Arial" w:cs="Arial"/>
          <w:snapToGrid w:val="0"/>
        </w:rPr>
        <w:t>the</w:t>
      </w:r>
      <w:r w:rsidRPr="00824B0A">
        <w:rPr>
          <w:rFonts w:ascii="Arial" w:hAnsi="Arial" w:cs="Arial"/>
          <w:snapToGrid w:val="0"/>
        </w:rPr>
        <w:t xml:space="preserve"> proposed standard and that due consideration </w:t>
      </w:r>
      <w:r w:rsidR="00554105">
        <w:rPr>
          <w:rFonts w:ascii="Arial" w:hAnsi="Arial" w:cs="Arial"/>
          <w:snapToGrid w:val="0"/>
        </w:rPr>
        <w:t xml:space="preserve">has </w:t>
      </w:r>
      <w:r w:rsidRPr="00824B0A">
        <w:rPr>
          <w:rFonts w:ascii="Arial" w:hAnsi="Arial" w:cs="Arial"/>
          <w:snapToGrid w:val="0"/>
        </w:rPr>
        <w:t>be</w:t>
      </w:r>
      <w:r w:rsidR="00554105">
        <w:rPr>
          <w:rFonts w:ascii="Arial" w:hAnsi="Arial" w:cs="Arial"/>
          <w:snapToGrid w:val="0"/>
        </w:rPr>
        <w:t>en</w:t>
      </w:r>
      <w:r w:rsidRPr="00824B0A">
        <w:rPr>
          <w:rFonts w:ascii="Arial" w:hAnsi="Arial" w:cs="Arial"/>
          <w:snapToGrid w:val="0"/>
        </w:rPr>
        <w:t xml:space="preserve"> </w:t>
      </w:r>
      <w:r w:rsidRPr="00824B0A">
        <w:rPr>
          <w:rFonts w:ascii="Arial" w:hAnsi="Arial" w:cs="Arial"/>
          <w:snapToGrid w:val="0"/>
        </w:rPr>
        <w:lastRenderedPageBreak/>
        <w:t xml:space="preserve">given to any comments </w:t>
      </w:r>
      <w:r w:rsidR="00554105">
        <w:rPr>
          <w:rFonts w:ascii="Arial" w:hAnsi="Arial" w:cs="Arial"/>
          <w:snapToGrid w:val="0"/>
        </w:rPr>
        <w:t>made</w:t>
      </w:r>
      <w:r w:rsidRPr="00824B0A">
        <w:rPr>
          <w:rFonts w:ascii="Arial" w:hAnsi="Arial" w:cs="Arial"/>
          <w:snapToGrid w:val="0"/>
        </w:rPr>
        <w:t xml:space="preserve">. </w:t>
      </w:r>
      <w:r w:rsidR="008327AD">
        <w:rPr>
          <w:rFonts w:ascii="Arial" w:hAnsi="Arial" w:cs="Arial"/>
          <w:snapToGrid w:val="0"/>
        </w:rPr>
        <w:t xml:space="preserve">This provision also applies when the ACMA is amending a standard made under section 162. </w:t>
      </w:r>
    </w:p>
    <w:p w:rsidR="002434AE" w:rsidRDefault="00202FFB" w:rsidP="00202FFB">
      <w:pPr>
        <w:rPr>
          <w:rFonts w:ascii="Arial" w:hAnsi="Arial" w:cs="Arial"/>
          <w:snapToGrid w:val="0"/>
        </w:rPr>
      </w:pPr>
      <w:r w:rsidRPr="00202FFB">
        <w:rPr>
          <w:rFonts w:ascii="Arial" w:hAnsi="Arial" w:cs="Arial"/>
          <w:snapToGrid w:val="0"/>
        </w:rPr>
        <w:t xml:space="preserve">The ACMA </w:t>
      </w:r>
      <w:r w:rsidR="002434AE" w:rsidRPr="00202FFB">
        <w:rPr>
          <w:rFonts w:ascii="Arial" w:hAnsi="Arial" w:cs="Arial"/>
          <w:snapToGrid w:val="0"/>
        </w:rPr>
        <w:t>conducted a public consultation process in relation t</w:t>
      </w:r>
      <w:r w:rsidRPr="00202FFB">
        <w:rPr>
          <w:rFonts w:ascii="Arial" w:hAnsi="Arial" w:cs="Arial"/>
          <w:snapToGrid w:val="0"/>
        </w:rPr>
        <w:t>o the</w:t>
      </w:r>
      <w:r w:rsidR="00D83FC8">
        <w:rPr>
          <w:rFonts w:ascii="Arial" w:hAnsi="Arial" w:cs="Arial"/>
          <w:snapToGrid w:val="0"/>
        </w:rPr>
        <w:t xml:space="preserve"> Amendment</w:t>
      </w:r>
      <w:r w:rsidR="0038228B">
        <w:rPr>
          <w:rFonts w:ascii="Arial" w:hAnsi="Arial" w:cs="Arial"/>
          <w:snapToGrid w:val="0"/>
        </w:rPr>
        <w:t xml:space="preserve"> Standard</w:t>
      </w:r>
      <w:r w:rsidR="00D83FC8">
        <w:rPr>
          <w:rFonts w:ascii="Arial" w:hAnsi="Arial" w:cs="Arial"/>
          <w:snapToGrid w:val="0"/>
        </w:rPr>
        <w:t xml:space="preserve">. </w:t>
      </w:r>
      <w:r w:rsidR="002434AE" w:rsidRPr="00202FFB">
        <w:rPr>
          <w:rFonts w:ascii="Arial" w:hAnsi="Arial" w:cs="Arial"/>
          <w:snapToGrid w:val="0"/>
        </w:rPr>
        <w:t>T</w:t>
      </w:r>
      <w:r w:rsidR="008917E4" w:rsidRPr="00202FFB">
        <w:rPr>
          <w:rFonts w:ascii="Arial" w:hAnsi="Arial" w:cs="Arial"/>
          <w:snapToGrid w:val="0"/>
        </w:rPr>
        <w:t xml:space="preserve">he </w:t>
      </w:r>
      <w:r w:rsidR="002434AE" w:rsidRPr="00202FFB">
        <w:rPr>
          <w:rFonts w:ascii="Arial" w:hAnsi="Arial" w:cs="Arial"/>
          <w:snapToGrid w:val="0"/>
        </w:rPr>
        <w:t xml:space="preserve">consultation period </w:t>
      </w:r>
      <w:r w:rsidR="00B64A0F">
        <w:rPr>
          <w:rFonts w:ascii="Arial" w:hAnsi="Arial" w:cs="Arial"/>
          <w:snapToGrid w:val="0"/>
        </w:rPr>
        <w:t>was between 21 January 2013 and 1 February 2013</w:t>
      </w:r>
      <w:r w:rsidR="00D83FC8">
        <w:rPr>
          <w:rFonts w:ascii="Arial" w:hAnsi="Arial" w:cs="Arial"/>
          <w:snapToGrid w:val="0"/>
        </w:rPr>
        <w:t xml:space="preserve">. </w:t>
      </w:r>
      <w:r w:rsidR="004D1CCA">
        <w:rPr>
          <w:rFonts w:ascii="Arial" w:hAnsi="Arial" w:cs="Arial"/>
          <w:snapToGrid w:val="0"/>
        </w:rPr>
        <w:t>A</w:t>
      </w:r>
      <w:r w:rsidR="008327AD">
        <w:rPr>
          <w:rFonts w:ascii="Arial" w:hAnsi="Arial" w:cs="Arial"/>
          <w:snapToGrid w:val="0"/>
        </w:rPr>
        <w:t xml:space="preserve"> draft Amendment Standard and consultation paper </w:t>
      </w:r>
      <w:r w:rsidR="00D83FC8">
        <w:rPr>
          <w:rFonts w:ascii="Arial" w:hAnsi="Arial" w:cs="Arial"/>
          <w:snapToGrid w:val="0"/>
        </w:rPr>
        <w:t>was open for public comment for 10 working days</w:t>
      </w:r>
      <w:r w:rsidR="008327AD">
        <w:rPr>
          <w:rFonts w:ascii="Arial" w:hAnsi="Arial" w:cs="Arial"/>
          <w:snapToGrid w:val="0"/>
        </w:rPr>
        <w:t>.</w:t>
      </w:r>
      <w:r w:rsidR="00D83FC8">
        <w:rPr>
          <w:rFonts w:ascii="Arial" w:hAnsi="Arial" w:cs="Arial"/>
          <w:snapToGrid w:val="0"/>
        </w:rPr>
        <w:t xml:space="preserve"> A copy of the </w:t>
      </w:r>
      <w:r w:rsidR="008327AD">
        <w:rPr>
          <w:rFonts w:ascii="Arial" w:hAnsi="Arial" w:cs="Arial"/>
          <w:snapToGrid w:val="0"/>
        </w:rPr>
        <w:t>draft A</w:t>
      </w:r>
      <w:r w:rsidR="00D83FC8">
        <w:rPr>
          <w:rFonts w:ascii="Arial" w:hAnsi="Arial" w:cs="Arial"/>
          <w:snapToGrid w:val="0"/>
        </w:rPr>
        <w:t>mendment</w:t>
      </w:r>
      <w:r w:rsidR="008327AD">
        <w:rPr>
          <w:rFonts w:ascii="Arial" w:hAnsi="Arial" w:cs="Arial"/>
          <w:snapToGrid w:val="0"/>
        </w:rPr>
        <w:t xml:space="preserve"> Standard</w:t>
      </w:r>
      <w:r w:rsidR="00D83FC8">
        <w:rPr>
          <w:rFonts w:ascii="Arial" w:hAnsi="Arial" w:cs="Arial"/>
          <w:snapToGrid w:val="0"/>
        </w:rPr>
        <w:t xml:space="preserve"> was made available o</w:t>
      </w:r>
      <w:r w:rsidR="00E05456">
        <w:rPr>
          <w:rFonts w:ascii="Arial" w:hAnsi="Arial" w:cs="Arial"/>
          <w:snapToGrid w:val="0"/>
        </w:rPr>
        <w:t>n</w:t>
      </w:r>
      <w:r w:rsidR="00D83FC8">
        <w:rPr>
          <w:rFonts w:ascii="Arial" w:hAnsi="Arial" w:cs="Arial"/>
          <w:snapToGrid w:val="0"/>
        </w:rPr>
        <w:t xml:space="preserve"> the ACMA website during the consultation. Additionally, </w:t>
      </w:r>
      <w:r w:rsidR="008327AD">
        <w:rPr>
          <w:rFonts w:ascii="Arial" w:hAnsi="Arial" w:cs="Arial"/>
          <w:snapToGrid w:val="0"/>
        </w:rPr>
        <w:t xml:space="preserve">key </w:t>
      </w:r>
      <w:r w:rsidR="00D83FC8">
        <w:rPr>
          <w:rFonts w:ascii="Arial" w:hAnsi="Arial" w:cs="Arial"/>
          <w:snapToGrid w:val="0"/>
        </w:rPr>
        <w:t>stakeholders received an email notification of the consultation process.</w:t>
      </w:r>
      <w:r w:rsidR="008327AD">
        <w:rPr>
          <w:rFonts w:ascii="Arial" w:hAnsi="Arial" w:cs="Arial"/>
          <w:snapToGrid w:val="0"/>
        </w:rPr>
        <w:t xml:space="preserve"> </w:t>
      </w:r>
    </w:p>
    <w:p w:rsidR="008327AD" w:rsidRPr="000F5A51" w:rsidRDefault="008327AD" w:rsidP="00202FFB">
      <w:pPr>
        <w:rPr>
          <w:rFonts w:ascii="Arial" w:hAnsi="Arial" w:cs="Arial"/>
          <w:snapToGrid w:val="0"/>
          <w:highlight w:val="yellow"/>
        </w:rPr>
      </w:pPr>
      <w:r>
        <w:rPr>
          <w:rFonts w:ascii="Arial" w:hAnsi="Arial" w:cs="Arial"/>
          <w:snapToGrid w:val="0"/>
        </w:rPr>
        <w:t xml:space="preserve">Prior to making the AS/NZS Amendment, a public consultation process on the proposed amendments to the AS/NZS Standard was conducted. </w:t>
      </w:r>
    </w:p>
    <w:p w:rsidR="00506375" w:rsidRPr="00B64A0F" w:rsidRDefault="001262E7" w:rsidP="001262E7">
      <w:pPr>
        <w:shd w:val="clear" w:color="auto" w:fill="FFFFFF" w:themeFill="background1"/>
        <w:rPr>
          <w:rFonts w:ascii="Arial" w:hAnsi="Arial" w:cs="Arial"/>
          <w:snapToGrid w:val="0"/>
        </w:rPr>
      </w:pPr>
      <w:r w:rsidRPr="00B64A0F">
        <w:rPr>
          <w:rFonts w:ascii="Arial" w:hAnsi="Arial" w:cs="Arial"/>
          <w:snapToGrid w:val="0"/>
        </w:rPr>
        <w:t xml:space="preserve">No adverse comments were received on the </w:t>
      </w:r>
      <w:r w:rsidR="00CB2FFC" w:rsidRPr="00B64A0F">
        <w:rPr>
          <w:rFonts w:ascii="Arial" w:hAnsi="Arial" w:cs="Arial"/>
          <w:snapToGrid w:val="0"/>
        </w:rPr>
        <w:t>draft A</w:t>
      </w:r>
      <w:r w:rsidRPr="00B64A0F">
        <w:rPr>
          <w:rFonts w:ascii="Arial" w:hAnsi="Arial" w:cs="Arial"/>
          <w:snapToGrid w:val="0"/>
        </w:rPr>
        <w:t>mendment</w:t>
      </w:r>
      <w:r w:rsidR="00CB2FFC" w:rsidRPr="00B64A0F">
        <w:rPr>
          <w:rFonts w:ascii="Arial" w:hAnsi="Arial" w:cs="Arial"/>
          <w:snapToGrid w:val="0"/>
        </w:rPr>
        <w:t xml:space="preserve"> Standard</w:t>
      </w:r>
      <w:r w:rsidRPr="00B64A0F">
        <w:rPr>
          <w:rFonts w:ascii="Arial" w:hAnsi="Arial" w:cs="Arial"/>
          <w:snapToGrid w:val="0"/>
        </w:rPr>
        <w:t>.</w:t>
      </w:r>
      <w:r w:rsidR="00B64A0F" w:rsidRPr="00B64A0F">
        <w:rPr>
          <w:rFonts w:ascii="Arial" w:hAnsi="Arial" w:cs="Arial"/>
        </w:rPr>
        <w:t xml:space="preserve"> Only one comment was received during the consultation period. This comment </w:t>
      </w:r>
      <w:r w:rsidR="00980657">
        <w:rPr>
          <w:rFonts w:ascii="Arial" w:hAnsi="Arial" w:cs="Arial"/>
        </w:rPr>
        <w:t>was in regard to</w:t>
      </w:r>
      <w:r w:rsidR="00B64A0F" w:rsidRPr="00B64A0F">
        <w:rPr>
          <w:rFonts w:ascii="Arial" w:hAnsi="Arial" w:cs="Arial"/>
        </w:rPr>
        <w:t xml:space="preserve"> the implementation of the change rather than the proposed change.</w:t>
      </w:r>
    </w:p>
    <w:p w:rsidR="00837D49" w:rsidRPr="00824B0A" w:rsidRDefault="00837D49" w:rsidP="0009706E">
      <w:pPr>
        <w:rPr>
          <w:rFonts w:ascii="Arial" w:hAnsi="Arial" w:cs="Arial"/>
          <w:snapToGrid w:val="0"/>
        </w:rPr>
      </w:pPr>
    </w:p>
    <w:p w:rsidR="00EF5835" w:rsidRPr="00824B0A" w:rsidRDefault="00EF5835" w:rsidP="0009706E">
      <w:pPr>
        <w:rPr>
          <w:rFonts w:ascii="Arial" w:hAnsi="Arial" w:cs="Arial"/>
          <w:b/>
          <w:snapToGrid w:val="0"/>
        </w:rPr>
      </w:pPr>
      <w:r w:rsidRPr="00824B0A">
        <w:rPr>
          <w:rFonts w:ascii="Arial" w:hAnsi="Arial" w:cs="Arial"/>
          <w:b/>
          <w:snapToGrid w:val="0"/>
        </w:rPr>
        <w:t xml:space="preserve">Regulation Impact </w:t>
      </w:r>
    </w:p>
    <w:p w:rsidR="00EF5835" w:rsidRDefault="00EF5835" w:rsidP="0009706E">
      <w:pPr>
        <w:rPr>
          <w:rFonts w:ascii="Arial" w:hAnsi="Arial" w:cs="Arial"/>
          <w:snapToGrid w:val="0"/>
        </w:rPr>
      </w:pPr>
      <w:r w:rsidRPr="00824B0A">
        <w:rPr>
          <w:rFonts w:ascii="Arial" w:hAnsi="Arial" w:cs="Arial"/>
          <w:snapToGrid w:val="0"/>
        </w:rPr>
        <w:t>The Office of Best Practice Regulation</w:t>
      </w:r>
      <w:r w:rsidR="00B7526A">
        <w:rPr>
          <w:rFonts w:ascii="Arial" w:hAnsi="Arial" w:cs="Arial"/>
          <w:snapToGrid w:val="0"/>
        </w:rPr>
        <w:t xml:space="preserve"> (</w:t>
      </w:r>
      <w:r w:rsidR="00B7526A" w:rsidRPr="00B7526A">
        <w:rPr>
          <w:rFonts w:ascii="Arial" w:hAnsi="Arial" w:cs="Arial"/>
          <w:b/>
          <w:snapToGrid w:val="0"/>
        </w:rPr>
        <w:t>OBPR</w:t>
      </w:r>
      <w:r w:rsidR="00B7526A">
        <w:rPr>
          <w:rFonts w:ascii="Arial" w:hAnsi="Arial" w:cs="Arial"/>
          <w:snapToGrid w:val="0"/>
        </w:rPr>
        <w:t>)</w:t>
      </w:r>
      <w:r w:rsidRPr="00824B0A">
        <w:rPr>
          <w:rFonts w:ascii="Arial" w:hAnsi="Arial" w:cs="Arial"/>
          <w:snapToGrid w:val="0"/>
        </w:rPr>
        <w:t xml:space="preserve"> has considered the matter and formed </w:t>
      </w:r>
      <w:r w:rsidR="0009789B">
        <w:rPr>
          <w:rFonts w:ascii="Arial" w:hAnsi="Arial" w:cs="Arial"/>
          <w:snapToGrid w:val="0"/>
        </w:rPr>
        <w:t>the</w:t>
      </w:r>
      <w:r w:rsidR="0009789B" w:rsidRPr="00824B0A">
        <w:rPr>
          <w:rFonts w:ascii="Arial" w:hAnsi="Arial" w:cs="Arial"/>
          <w:snapToGrid w:val="0"/>
        </w:rPr>
        <w:t xml:space="preserve"> </w:t>
      </w:r>
      <w:r w:rsidRPr="00824B0A">
        <w:rPr>
          <w:rFonts w:ascii="Arial" w:hAnsi="Arial" w:cs="Arial"/>
          <w:snapToGrid w:val="0"/>
        </w:rPr>
        <w:t xml:space="preserve">opinion that the </w:t>
      </w:r>
      <w:r w:rsidR="00CB2FFC">
        <w:rPr>
          <w:rFonts w:ascii="Arial" w:hAnsi="Arial" w:cs="Arial"/>
          <w:snapToGrid w:val="0"/>
        </w:rPr>
        <w:t xml:space="preserve">amendments proposed in the </w:t>
      </w:r>
      <w:r w:rsidR="0009789B">
        <w:rPr>
          <w:rFonts w:ascii="Arial" w:hAnsi="Arial" w:cs="Arial"/>
          <w:snapToGrid w:val="0"/>
        </w:rPr>
        <w:t>Amendment</w:t>
      </w:r>
      <w:r w:rsidR="00CB2FFC">
        <w:rPr>
          <w:rFonts w:ascii="Arial" w:hAnsi="Arial" w:cs="Arial"/>
          <w:snapToGrid w:val="0"/>
        </w:rPr>
        <w:t xml:space="preserve"> Standard</w:t>
      </w:r>
      <w:r w:rsidR="0009789B">
        <w:rPr>
          <w:rFonts w:ascii="Arial" w:hAnsi="Arial" w:cs="Arial"/>
          <w:snapToGrid w:val="0"/>
        </w:rPr>
        <w:t xml:space="preserve"> </w:t>
      </w:r>
      <w:r w:rsidR="00E0194D" w:rsidRPr="00824B0A">
        <w:rPr>
          <w:rFonts w:ascii="Arial" w:hAnsi="Arial" w:cs="Arial"/>
          <w:snapToGrid w:val="0"/>
        </w:rPr>
        <w:t xml:space="preserve">will have </w:t>
      </w:r>
      <w:r w:rsidR="004D1CCA">
        <w:rPr>
          <w:rFonts w:ascii="Arial" w:hAnsi="Arial" w:cs="Arial"/>
          <w:snapToGrid w:val="0"/>
        </w:rPr>
        <w:t xml:space="preserve">only a </w:t>
      </w:r>
      <w:r w:rsidR="00E0194D" w:rsidRPr="00824B0A">
        <w:rPr>
          <w:rFonts w:ascii="Arial" w:hAnsi="Arial" w:cs="Arial"/>
          <w:snapToGrid w:val="0"/>
        </w:rPr>
        <w:t xml:space="preserve">minor and machinery impact and do not impose any substantial additional regulatory burden on manufacturers or importers of </w:t>
      </w:r>
      <w:r w:rsidR="00CB2FFC">
        <w:rPr>
          <w:rFonts w:ascii="Arial" w:hAnsi="Arial" w:cs="Arial"/>
          <w:snapToGrid w:val="0"/>
        </w:rPr>
        <w:t>short range devices</w:t>
      </w:r>
      <w:r w:rsidR="00CB2FFC" w:rsidRPr="00824B0A">
        <w:rPr>
          <w:rFonts w:ascii="Arial" w:hAnsi="Arial" w:cs="Arial"/>
          <w:snapToGrid w:val="0"/>
        </w:rPr>
        <w:t xml:space="preserve"> </w:t>
      </w:r>
      <w:r w:rsidR="00E0194D" w:rsidRPr="00824B0A">
        <w:rPr>
          <w:rFonts w:ascii="Arial" w:hAnsi="Arial" w:cs="Arial"/>
          <w:snapToGrid w:val="0"/>
        </w:rPr>
        <w:t>or</w:t>
      </w:r>
      <w:r w:rsidR="0009789B">
        <w:rPr>
          <w:rFonts w:ascii="Arial" w:hAnsi="Arial" w:cs="Arial"/>
          <w:snapToGrid w:val="0"/>
        </w:rPr>
        <w:t xml:space="preserve"> on</w:t>
      </w:r>
      <w:r w:rsidR="00E0194D" w:rsidRPr="00824B0A">
        <w:rPr>
          <w:rFonts w:ascii="Arial" w:hAnsi="Arial" w:cs="Arial"/>
          <w:snapToGrid w:val="0"/>
        </w:rPr>
        <w:t xml:space="preserve"> the economy. </w:t>
      </w:r>
      <w:r w:rsidR="0009789B">
        <w:rPr>
          <w:rFonts w:ascii="Arial" w:hAnsi="Arial" w:cs="Arial"/>
          <w:snapToGrid w:val="0"/>
        </w:rPr>
        <w:t xml:space="preserve">Accordingly, OBPR advised that a regulatory impact statement </w:t>
      </w:r>
      <w:r w:rsidR="00E05456">
        <w:rPr>
          <w:rFonts w:ascii="Arial" w:hAnsi="Arial" w:cs="Arial"/>
          <w:snapToGrid w:val="0"/>
        </w:rPr>
        <w:t>was</w:t>
      </w:r>
      <w:r w:rsidR="0009789B">
        <w:rPr>
          <w:rFonts w:ascii="Arial" w:hAnsi="Arial" w:cs="Arial"/>
          <w:snapToGrid w:val="0"/>
        </w:rPr>
        <w:t xml:space="preserve"> not required.  </w:t>
      </w:r>
      <w:r w:rsidR="00E0194D" w:rsidRPr="00824B0A">
        <w:rPr>
          <w:rFonts w:ascii="Arial" w:hAnsi="Arial" w:cs="Arial"/>
          <w:snapToGrid w:val="0"/>
        </w:rPr>
        <w:t>The OBP</w:t>
      </w:r>
      <w:r w:rsidR="0009789B">
        <w:rPr>
          <w:rFonts w:ascii="Arial" w:hAnsi="Arial" w:cs="Arial"/>
          <w:snapToGrid w:val="0"/>
        </w:rPr>
        <w:t>R</w:t>
      </w:r>
      <w:r w:rsidR="00E0194D" w:rsidRPr="00824B0A">
        <w:rPr>
          <w:rFonts w:ascii="Arial" w:hAnsi="Arial" w:cs="Arial"/>
          <w:snapToGrid w:val="0"/>
        </w:rPr>
        <w:t xml:space="preserve"> exemption number is ID 14</w:t>
      </w:r>
      <w:r w:rsidR="001C6EEE">
        <w:rPr>
          <w:rFonts w:ascii="Arial" w:hAnsi="Arial" w:cs="Arial"/>
          <w:snapToGrid w:val="0"/>
        </w:rPr>
        <w:t>464</w:t>
      </w:r>
      <w:r w:rsidR="00E0194D" w:rsidRPr="00824B0A">
        <w:rPr>
          <w:rFonts w:ascii="Arial" w:hAnsi="Arial" w:cs="Arial"/>
          <w:snapToGrid w:val="0"/>
        </w:rPr>
        <w:t>.</w:t>
      </w:r>
    </w:p>
    <w:p w:rsidR="00202FFB" w:rsidRPr="00824B0A" w:rsidRDefault="00202FFB" w:rsidP="0009706E">
      <w:pPr>
        <w:rPr>
          <w:rFonts w:ascii="Arial" w:hAnsi="Arial" w:cs="Arial"/>
          <w:snapToGrid w:val="0"/>
        </w:rPr>
      </w:pPr>
    </w:p>
    <w:p w:rsidR="007179B6" w:rsidRPr="00824B0A" w:rsidRDefault="00CB2BEC" w:rsidP="0009706E">
      <w:pPr>
        <w:rPr>
          <w:rFonts w:ascii="Arial" w:hAnsi="Arial" w:cs="Arial"/>
          <w:b/>
          <w:snapToGrid w:val="0"/>
        </w:rPr>
      </w:pPr>
      <w:r w:rsidRPr="00824B0A">
        <w:rPr>
          <w:rFonts w:ascii="Arial" w:hAnsi="Arial" w:cs="Arial"/>
          <w:b/>
          <w:snapToGrid w:val="0"/>
        </w:rPr>
        <w:t xml:space="preserve">Documents Incorporated in this Instrument by Reference </w:t>
      </w:r>
    </w:p>
    <w:p w:rsidR="004D1CCA" w:rsidRDefault="004D1CCA" w:rsidP="0009706E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The following documents are incorporated by reference:</w:t>
      </w:r>
    </w:p>
    <w:p w:rsidR="00D240FE" w:rsidRDefault="008761B3">
      <w:pPr>
        <w:pStyle w:val="ListParagraph"/>
        <w:numPr>
          <w:ilvl w:val="0"/>
          <w:numId w:val="5"/>
        </w:numPr>
        <w:rPr>
          <w:rFonts w:cs="Arial"/>
        </w:rPr>
      </w:pPr>
      <w:r w:rsidRPr="008761B3">
        <w:rPr>
          <w:rFonts w:cs="Arial"/>
          <w:snapToGrid w:val="0"/>
          <w:sz w:val="22"/>
          <w:szCs w:val="22"/>
        </w:rPr>
        <w:t xml:space="preserve">The Australian and New Zealand standard with ‘AS/NZS 4268’ in its title - </w:t>
      </w:r>
      <w:r w:rsidRPr="008761B3">
        <w:rPr>
          <w:rFonts w:cs="Arial"/>
          <w:i/>
          <w:sz w:val="22"/>
          <w:szCs w:val="22"/>
        </w:rPr>
        <w:t>AS/NZS 4268 Radio equipment and systems – Short range devices – Limits and Methods of measurement</w:t>
      </w:r>
      <w:r w:rsidRPr="008761B3">
        <w:rPr>
          <w:rFonts w:cs="Arial"/>
          <w:sz w:val="22"/>
          <w:szCs w:val="22"/>
        </w:rPr>
        <w:t xml:space="preserve"> -</w:t>
      </w:r>
      <w:r w:rsidRPr="008761B3">
        <w:rPr>
          <w:rFonts w:cs="Arial"/>
          <w:i/>
          <w:sz w:val="22"/>
          <w:szCs w:val="22"/>
        </w:rPr>
        <w:t xml:space="preserve"> </w:t>
      </w:r>
      <w:r w:rsidRPr="008761B3">
        <w:rPr>
          <w:rFonts w:cs="Arial"/>
          <w:sz w:val="22"/>
          <w:szCs w:val="22"/>
        </w:rPr>
        <w:t>published by Standards Australia</w:t>
      </w:r>
      <w:r w:rsidRPr="008761B3">
        <w:rPr>
          <w:rFonts w:cs="Arial"/>
          <w:i/>
          <w:sz w:val="22"/>
          <w:szCs w:val="22"/>
        </w:rPr>
        <w:t xml:space="preserve"> </w:t>
      </w:r>
      <w:r w:rsidRPr="008761B3">
        <w:rPr>
          <w:rFonts w:cs="Arial"/>
          <w:sz w:val="22"/>
          <w:szCs w:val="22"/>
        </w:rPr>
        <w:t xml:space="preserve">is incorporated, as in force from time to time.  </w:t>
      </w:r>
      <w:r w:rsidRPr="008761B3">
        <w:rPr>
          <w:rFonts w:cs="Arial"/>
          <w:snapToGrid w:val="0"/>
          <w:sz w:val="22"/>
          <w:szCs w:val="22"/>
        </w:rPr>
        <w:t xml:space="preserve">Copies of the AS/NZS 4268 can be obtained from Standards Australia at </w:t>
      </w:r>
      <w:hyperlink r:id="rId11" w:history="1">
        <w:r w:rsidRPr="008761B3">
          <w:rPr>
            <w:rStyle w:val="Hyperlink"/>
            <w:rFonts w:cs="Arial"/>
            <w:snapToGrid w:val="0"/>
            <w:sz w:val="22"/>
            <w:szCs w:val="22"/>
          </w:rPr>
          <w:t>www.standards.org.au</w:t>
        </w:r>
      </w:hyperlink>
      <w:r w:rsidRPr="008761B3">
        <w:rPr>
          <w:rFonts w:cs="Arial"/>
          <w:snapToGrid w:val="0"/>
          <w:sz w:val="22"/>
          <w:szCs w:val="22"/>
        </w:rPr>
        <w:t xml:space="preserve">.  </w:t>
      </w:r>
    </w:p>
    <w:p w:rsidR="00D240FE" w:rsidRDefault="008761B3">
      <w:pPr>
        <w:pStyle w:val="ListParagraph"/>
        <w:numPr>
          <w:ilvl w:val="0"/>
          <w:numId w:val="5"/>
        </w:numPr>
        <w:rPr>
          <w:rFonts w:cs="Arial"/>
        </w:rPr>
      </w:pPr>
      <w:r w:rsidRPr="008761B3">
        <w:rPr>
          <w:rFonts w:cs="Arial"/>
          <w:snapToGrid w:val="0"/>
          <w:sz w:val="22"/>
          <w:szCs w:val="22"/>
        </w:rPr>
        <w:t xml:space="preserve">The </w:t>
      </w:r>
      <w:r w:rsidRPr="008761B3">
        <w:rPr>
          <w:i/>
          <w:sz w:val="22"/>
          <w:szCs w:val="22"/>
        </w:rPr>
        <w:t xml:space="preserve">Radiocommunications (Low Interference Potential Devices) Class Licence 2000 </w:t>
      </w:r>
      <w:r w:rsidRPr="008761B3">
        <w:rPr>
          <w:sz w:val="22"/>
          <w:szCs w:val="22"/>
        </w:rPr>
        <w:t>as in force from time to time.</w:t>
      </w:r>
    </w:p>
    <w:p w:rsidR="00D240FE" w:rsidRDefault="008761B3">
      <w:pPr>
        <w:pStyle w:val="ListParagraph"/>
        <w:numPr>
          <w:ilvl w:val="0"/>
          <w:numId w:val="5"/>
        </w:numPr>
        <w:rPr>
          <w:rFonts w:cs="Arial"/>
        </w:rPr>
      </w:pPr>
      <w:r w:rsidRPr="008761B3">
        <w:rPr>
          <w:sz w:val="22"/>
          <w:szCs w:val="22"/>
        </w:rPr>
        <w:t xml:space="preserve">The </w:t>
      </w:r>
      <w:r w:rsidRPr="008761B3">
        <w:rPr>
          <w:i/>
          <w:sz w:val="22"/>
          <w:szCs w:val="22"/>
        </w:rPr>
        <w:t xml:space="preserve">Radiocommunications (Radio-controlled Models) Class Licence 2002 </w:t>
      </w:r>
      <w:r w:rsidRPr="008761B3">
        <w:rPr>
          <w:sz w:val="22"/>
          <w:szCs w:val="22"/>
        </w:rPr>
        <w:t xml:space="preserve">as in force from time to time. </w:t>
      </w:r>
    </w:p>
    <w:p w:rsidR="00675C1D" w:rsidRPr="009C3D30" w:rsidRDefault="00675C1D" w:rsidP="0009706E">
      <w:pPr>
        <w:rPr>
          <w:rFonts w:ascii="Arial" w:hAnsi="Arial" w:cs="Arial"/>
          <w:snapToGrid w:val="0"/>
        </w:rPr>
      </w:pPr>
    </w:p>
    <w:p w:rsidR="00624B13" w:rsidRPr="00824B0A" w:rsidRDefault="00624B13" w:rsidP="0009706E">
      <w:pPr>
        <w:rPr>
          <w:rFonts w:ascii="Arial" w:hAnsi="Arial" w:cs="Arial"/>
          <w:b/>
          <w:snapToGrid w:val="0"/>
        </w:rPr>
      </w:pPr>
      <w:r w:rsidRPr="00824B0A">
        <w:rPr>
          <w:rFonts w:ascii="Arial" w:hAnsi="Arial" w:cs="Arial"/>
          <w:b/>
          <w:snapToGrid w:val="0"/>
        </w:rPr>
        <w:t>Notes on</w:t>
      </w:r>
      <w:r w:rsidR="00675C1D">
        <w:rPr>
          <w:rFonts w:ascii="Arial" w:hAnsi="Arial" w:cs="Arial"/>
          <w:b/>
          <w:snapToGrid w:val="0"/>
        </w:rPr>
        <w:t xml:space="preserve"> the</w:t>
      </w:r>
      <w:r w:rsidRPr="00824B0A">
        <w:rPr>
          <w:rFonts w:ascii="Arial" w:hAnsi="Arial" w:cs="Arial"/>
          <w:b/>
          <w:snapToGrid w:val="0"/>
        </w:rPr>
        <w:t xml:space="preserve"> </w:t>
      </w:r>
      <w:r w:rsidR="00675C1D">
        <w:rPr>
          <w:rFonts w:ascii="Arial" w:hAnsi="Arial" w:cs="Arial"/>
          <w:b/>
          <w:snapToGrid w:val="0"/>
        </w:rPr>
        <w:t>Amendment Standard</w:t>
      </w:r>
      <w:r w:rsidR="00675C1D" w:rsidRPr="00824B0A">
        <w:rPr>
          <w:rFonts w:ascii="Arial" w:hAnsi="Arial" w:cs="Arial"/>
          <w:b/>
          <w:snapToGrid w:val="0"/>
        </w:rPr>
        <w:t xml:space="preserve"> </w:t>
      </w:r>
    </w:p>
    <w:p w:rsidR="00774462" w:rsidRDefault="00624B13" w:rsidP="009C3D30">
      <w:pPr>
        <w:rPr>
          <w:rFonts w:ascii="Arial" w:hAnsi="Arial" w:cs="Arial"/>
          <w:b/>
          <w:snapToGrid w:val="0"/>
        </w:rPr>
      </w:pPr>
      <w:r w:rsidRPr="00824B0A">
        <w:rPr>
          <w:rFonts w:ascii="Arial" w:hAnsi="Arial" w:cs="Arial"/>
          <w:snapToGrid w:val="0"/>
        </w:rPr>
        <w:t xml:space="preserve">The provisions of the </w:t>
      </w:r>
      <w:r w:rsidR="00BD7C91">
        <w:rPr>
          <w:rFonts w:ascii="Arial" w:hAnsi="Arial" w:cs="Arial"/>
          <w:snapToGrid w:val="0"/>
        </w:rPr>
        <w:t>Amendment</w:t>
      </w:r>
      <w:r w:rsidR="00675C1D">
        <w:rPr>
          <w:rFonts w:ascii="Arial" w:hAnsi="Arial" w:cs="Arial"/>
          <w:snapToGrid w:val="0"/>
        </w:rPr>
        <w:t xml:space="preserve"> Standard</w:t>
      </w:r>
      <w:r w:rsidR="00BD7C91" w:rsidRPr="00824B0A">
        <w:rPr>
          <w:rFonts w:ascii="Arial" w:hAnsi="Arial" w:cs="Arial"/>
          <w:snapToGrid w:val="0"/>
        </w:rPr>
        <w:t xml:space="preserve"> </w:t>
      </w:r>
      <w:r w:rsidRPr="00824B0A">
        <w:rPr>
          <w:rFonts w:ascii="Arial" w:hAnsi="Arial" w:cs="Arial"/>
          <w:snapToGrid w:val="0"/>
        </w:rPr>
        <w:t xml:space="preserve">are described in </w:t>
      </w:r>
      <w:r w:rsidR="008761B3" w:rsidRPr="008761B3">
        <w:rPr>
          <w:rFonts w:ascii="Arial" w:hAnsi="Arial" w:cs="Arial"/>
          <w:b/>
          <w:snapToGrid w:val="0"/>
          <w:u w:val="single"/>
        </w:rPr>
        <w:t>Attachment 1</w:t>
      </w:r>
      <w:r w:rsidRPr="00824B0A">
        <w:rPr>
          <w:rFonts w:ascii="Arial" w:hAnsi="Arial" w:cs="Arial"/>
          <w:snapToGrid w:val="0"/>
        </w:rPr>
        <w:t xml:space="preserve">. </w:t>
      </w:r>
    </w:p>
    <w:p w:rsidR="00796AA0" w:rsidRDefault="00796AA0" w:rsidP="0009706E">
      <w:pPr>
        <w:rPr>
          <w:rFonts w:ascii="Arial" w:hAnsi="Arial" w:cs="Arial"/>
          <w:b/>
          <w:snapToGrid w:val="0"/>
        </w:rPr>
      </w:pPr>
    </w:p>
    <w:p w:rsidR="00796AA0" w:rsidRDefault="00796AA0" w:rsidP="0009706E">
      <w:pPr>
        <w:rPr>
          <w:rFonts w:ascii="Arial" w:hAnsi="Arial" w:cs="Arial"/>
          <w:b/>
          <w:snapToGrid w:val="0"/>
        </w:rPr>
      </w:pPr>
    </w:p>
    <w:p w:rsidR="00624B13" w:rsidRPr="00824B0A" w:rsidRDefault="00624B13" w:rsidP="0009706E">
      <w:pPr>
        <w:rPr>
          <w:rFonts w:ascii="Arial" w:hAnsi="Arial" w:cs="Arial"/>
          <w:b/>
          <w:snapToGrid w:val="0"/>
        </w:rPr>
      </w:pPr>
      <w:r w:rsidRPr="00824B0A">
        <w:rPr>
          <w:rFonts w:ascii="Arial" w:hAnsi="Arial" w:cs="Arial"/>
          <w:b/>
          <w:snapToGrid w:val="0"/>
        </w:rPr>
        <w:lastRenderedPageBreak/>
        <w:t xml:space="preserve">Statement of Compatibility with Human Rights </w:t>
      </w:r>
    </w:p>
    <w:p w:rsidR="00675C1D" w:rsidRPr="00675C1D" w:rsidRDefault="00964168" w:rsidP="00675C1D">
      <w:pPr>
        <w:spacing w:line="360" w:lineRule="auto"/>
        <w:rPr>
          <w:rFonts w:ascii="Arial" w:hAnsi="Arial" w:cs="Arial"/>
        </w:rPr>
      </w:pPr>
      <w:r w:rsidRPr="00964168">
        <w:rPr>
          <w:rFonts w:ascii="Arial" w:hAnsi="Arial" w:cs="Arial"/>
        </w:rPr>
        <w:t xml:space="preserve">Subsection 9(1) of the </w:t>
      </w:r>
      <w:r w:rsidRPr="00964168">
        <w:rPr>
          <w:rFonts w:ascii="Arial" w:hAnsi="Arial" w:cs="Arial"/>
          <w:i/>
        </w:rPr>
        <w:t>Human Rights (Parliamentary Scrutiny) Act 2011</w:t>
      </w:r>
      <w:r w:rsidRPr="00964168">
        <w:rPr>
          <w:rFonts w:ascii="Arial" w:hAnsi="Arial" w:cs="Arial"/>
        </w:rPr>
        <w:t xml:space="preserve"> requires the rule maker in relation to a legislative instrument to which section 42 (disallowance) of the </w:t>
      </w:r>
      <w:r w:rsidRPr="00964168">
        <w:rPr>
          <w:rFonts w:ascii="Arial" w:hAnsi="Arial" w:cs="Arial"/>
          <w:i/>
        </w:rPr>
        <w:t>Legislative Instruments Act 2003</w:t>
      </w:r>
      <w:r w:rsidRPr="00964168">
        <w:rPr>
          <w:rFonts w:ascii="Arial" w:hAnsi="Arial" w:cs="Arial"/>
        </w:rPr>
        <w:t xml:space="preserve"> applies to cause a statement of compatibility to be prepared in respect of that legislative instrument. This statement is in </w:t>
      </w:r>
      <w:r w:rsidRPr="00964168">
        <w:rPr>
          <w:rFonts w:ascii="Arial" w:hAnsi="Arial" w:cs="Arial"/>
          <w:b/>
          <w:u w:val="single"/>
        </w:rPr>
        <w:t xml:space="preserve">Attachment </w:t>
      </w:r>
      <w:r w:rsidR="00675C1D">
        <w:rPr>
          <w:rFonts w:ascii="Arial" w:hAnsi="Arial" w:cs="Arial"/>
          <w:b/>
          <w:u w:val="single"/>
        </w:rPr>
        <w:t>2</w:t>
      </w:r>
      <w:r w:rsidRPr="00964168">
        <w:rPr>
          <w:rFonts w:ascii="Arial" w:hAnsi="Arial" w:cs="Arial"/>
        </w:rPr>
        <w:t>.</w:t>
      </w:r>
    </w:p>
    <w:p w:rsidR="00675C1D" w:rsidRDefault="00675C1D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 w:type="page"/>
      </w:r>
    </w:p>
    <w:p w:rsidR="00F03203" w:rsidRPr="00F51B63" w:rsidRDefault="008F6804" w:rsidP="008F6804">
      <w:pPr>
        <w:rPr>
          <w:rFonts w:ascii="Arial" w:hAnsi="Arial" w:cs="Arial"/>
          <w:b/>
          <w:snapToGrid w:val="0"/>
        </w:rPr>
      </w:pPr>
      <w:r w:rsidRPr="00F51B63">
        <w:rPr>
          <w:rFonts w:ascii="Arial" w:hAnsi="Arial" w:cs="Arial"/>
          <w:b/>
          <w:snapToGrid w:val="0"/>
        </w:rPr>
        <w:t>A</w:t>
      </w:r>
      <w:r w:rsidR="00F03203" w:rsidRPr="00F51B63">
        <w:rPr>
          <w:rFonts w:ascii="Arial" w:hAnsi="Arial" w:cs="Arial"/>
          <w:b/>
          <w:snapToGrid w:val="0"/>
        </w:rPr>
        <w:t>ttachment 1</w:t>
      </w:r>
    </w:p>
    <w:p w:rsidR="007179B6" w:rsidRPr="00F51B63" w:rsidRDefault="00F03203" w:rsidP="00F03203">
      <w:pPr>
        <w:jc w:val="center"/>
        <w:rPr>
          <w:rFonts w:ascii="Arial" w:hAnsi="Arial" w:cs="Arial"/>
          <w:b/>
          <w:snapToGrid w:val="0"/>
        </w:rPr>
      </w:pPr>
      <w:r w:rsidRPr="00F51B63">
        <w:rPr>
          <w:rFonts w:ascii="Arial" w:hAnsi="Arial" w:cs="Arial"/>
          <w:b/>
          <w:snapToGrid w:val="0"/>
        </w:rPr>
        <w:t xml:space="preserve">Notes on the </w:t>
      </w:r>
      <w:r w:rsidR="00675C1D">
        <w:rPr>
          <w:rFonts w:ascii="Arial" w:hAnsi="Arial" w:cs="Arial"/>
          <w:b/>
          <w:snapToGrid w:val="0"/>
        </w:rPr>
        <w:t>Amendment Standard</w:t>
      </w:r>
    </w:p>
    <w:p w:rsidR="007179B6" w:rsidRPr="00F51B63" w:rsidRDefault="00F03203" w:rsidP="0009706E">
      <w:pPr>
        <w:rPr>
          <w:rFonts w:ascii="Arial" w:hAnsi="Arial" w:cs="Arial"/>
          <w:b/>
        </w:rPr>
      </w:pPr>
      <w:r w:rsidRPr="00F51B63">
        <w:rPr>
          <w:rFonts w:ascii="Arial" w:hAnsi="Arial" w:cs="Arial"/>
          <w:b/>
        </w:rPr>
        <w:t>Section 1</w:t>
      </w:r>
      <w:r w:rsidRPr="00F51B63">
        <w:rPr>
          <w:rFonts w:ascii="Arial" w:hAnsi="Arial" w:cs="Arial"/>
          <w:b/>
        </w:rPr>
        <w:tab/>
        <w:t xml:space="preserve">Name of </w:t>
      </w:r>
      <w:r w:rsidR="00675C1D">
        <w:rPr>
          <w:rFonts w:ascii="Arial" w:hAnsi="Arial" w:cs="Arial"/>
          <w:b/>
        </w:rPr>
        <w:t>Standard</w:t>
      </w:r>
    </w:p>
    <w:p w:rsidR="000F5A51" w:rsidRPr="00F51B63" w:rsidRDefault="008F6804" w:rsidP="000F5A51">
      <w:pPr>
        <w:rPr>
          <w:rFonts w:ascii="Arial" w:hAnsi="Arial" w:cs="Arial"/>
          <w:i/>
        </w:rPr>
      </w:pPr>
      <w:r w:rsidRPr="00F51B63">
        <w:rPr>
          <w:rFonts w:ascii="Arial" w:hAnsi="Arial" w:cs="Arial"/>
        </w:rPr>
        <w:t xml:space="preserve">Section 1 provides </w:t>
      </w:r>
      <w:r w:rsidR="00E51287" w:rsidRPr="00F51B63">
        <w:rPr>
          <w:rFonts w:ascii="Arial" w:hAnsi="Arial" w:cs="Arial"/>
        </w:rPr>
        <w:t xml:space="preserve">that </w:t>
      </w:r>
      <w:r w:rsidRPr="00F51B63">
        <w:rPr>
          <w:rFonts w:ascii="Arial" w:hAnsi="Arial" w:cs="Arial"/>
        </w:rPr>
        <w:t xml:space="preserve">the name of the instrument is the </w:t>
      </w:r>
      <w:r w:rsidR="000F5A51" w:rsidRPr="00F51B63">
        <w:rPr>
          <w:rFonts w:ascii="Arial" w:hAnsi="Arial" w:cs="Arial"/>
          <w:i/>
        </w:rPr>
        <w:t xml:space="preserve">Radiocommunications (Short Range Devices) Amendment </w:t>
      </w:r>
      <w:r w:rsidR="00675C1D" w:rsidRPr="00F51B63">
        <w:rPr>
          <w:rFonts w:ascii="Arial" w:hAnsi="Arial" w:cs="Arial"/>
          <w:i/>
        </w:rPr>
        <w:t xml:space="preserve">Standard </w:t>
      </w:r>
      <w:r w:rsidR="000F5A51" w:rsidRPr="00F51B63">
        <w:rPr>
          <w:rFonts w:ascii="Arial" w:hAnsi="Arial" w:cs="Arial"/>
          <w:i/>
        </w:rPr>
        <w:t>2013 (No. 1)</w:t>
      </w:r>
      <w:r w:rsidR="00D83FC8" w:rsidRPr="00F51B63">
        <w:rPr>
          <w:rFonts w:ascii="Arial" w:hAnsi="Arial" w:cs="Arial"/>
          <w:i/>
        </w:rPr>
        <w:t>.</w:t>
      </w:r>
    </w:p>
    <w:p w:rsidR="00F03203" w:rsidRPr="00F51B63" w:rsidRDefault="00F03203" w:rsidP="0009706E">
      <w:pPr>
        <w:rPr>
          <w:rFonts w:ascii="Arial" w:hAnsi="Arial" w:cs="Arial"/>
          <w:b/>
        </w:rPr>
      </w:pPr>
      <w:r w:rsidRPr="00F51B63">
        <w:rPr>
          <w:rFonts w:ascii="Arial" w:hAnsi="Arial" w:cs="Arial"/>
          <w:b/>
        </w:rPr>
        <w:t>Section 2</w:t>
      </w:r>
      <w:r w:rsidRPr="00F51B63">
        <w:rPr>
          <w:rFonts w:ascii="Arial" w:hAnsi="Arial" w:cs="Arial"/>
          <w:b/>
        </w:rPr>
        <w:tab/>
        <w:t xml:space="preserve">Commencement </w:t>
      </w:r>
    </w:p>
    <w:p w:rsidR="008F6804" w:rsidRPr="00F51B63" w:rsidRDefault="00675C1D" w:rsidP="000970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Section 2 provides that the standard </w:t>
      </w:r>
      <w:r w:rsidR="00D83FC8" w:rsidRPr="00F51B63">
        <w:rPr>
          <w:rFonts w:ascii="Arial" w:hAnsi="Arial" w:cs="Arial"/>
        </w:rPr>
        <w:t>commences on the day after it is registered</w:t>
      </w:r>
      <w:r>
        <w:rPr>
          <w:rFonts w:ascii="Arial" w:hAnsi="Arial" w:cs="Arial"/>
        </w:rPr>
        <w:t xml:space="preserve"> on the Federal Register of Legislative Instruments</w:t>
      </w:r>
      <w:r w:rsidR="00D83FC8" w:rsidRPr="00F51B63">
        <w:rPr>
          <w:rFonts w:ascii="Arial" w:hAnsi="Arial" w:cs="Arial"/>
        </w:rPr>
        <w:t xml:space="preserve">. </w:t>
      </w:r>
    </w:p>
    <w:p w:rsidR="00F03203" w:rsidRPr="00F51B63" w:rsidRDefault="008F6804" w:rsidP="0009706E">
      <w:pPr>
        <w:rPr>
          <w:rFonts w:ascii="Arial" w:hAnsi="Arial" w:cs="Arial"/>
          <w:b/>
          <w:i/>
        </w:rPr>
      </w:pPr>
      <w:r w:rsidRPr="00F51B63">
        <w:rPr>
          <w:rFonts w:ascii="Arial" w:hAnsi="Arial" w:cs="Arial"/>
          <w:b/>
        </w:rPr>
        <w:t>Section 3</w:t>
      </w:r>
      <w:r w:rsidRPr="00F51B63">
        <w:rPr>
          <w:rFonts w:ascii="Arial" w:hAnsi="Arial" w:cs="Arial"/>
          <w:b/>
        </w:rPr>
        <w:tab/>
        <w:t xml:space="preserve">Amendment </w:t>
      </w:r>
    </w:p>
    <w:p w:rsidR="00D83FC8" w:rsidRPr="00F51B63" w:rsidRDefault="00675C1D" w:rsidP="0009706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Section 3 provides that </w:t>
      </w:r>
      <w:r w:rsidR="009C3D30">
        <w:rPr>
          <w:rFonts w:ascii="Arial" w:hAnsi="Arial" w:cs="Arial"/>
        </w:rPr>
        <w:t>S</w:t>
      </w:r>
      <w:r w:rsidR="00D83FC8" w:rsidRPr="00F51B63">
        <w:rPr>
          <w:rFonts w:ascii="Arial" w:hAnsi="Arial" w:cs="Arial"/>
        </w:rPr>
        <w:t xml:space="preserve">chedule 1 amends the </w:t>
      </w:r>
      <w:r w:rsidR="00D83FC8" w:rsidRPr="00F51B63">
        <w:rPr>
          <w:rFonts w:ascii="Arial" w:hAnsi="Arial" w:cs="Arial"/>
          <w:i/>
        </w:rPr>
        <w:t>Radiocommunications (Short Range Devices) Standard 2004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</w:t>
      </w:r>
      <w:r w:rsidR="008761B3" w:rsidRPr="008761B3">
        <w:rPr>
          <w:rFonts w:ascii="Arial" w:hAnsi="Arial" w:cs="Arial"/>
          <w:b/>
        </w:rPr>
        <w:t>ACMA Standard</w:t>
      </w:r>
      <w:r>
        <w:rPr>
          <w:rFonts w:ascii="Arial" w:hAnsi="Arial" w:cs="Arial"/>
        </w:rPr>
        <w:t>)</w:t>
      </w:r>
      <w:r w:rsidR="00D83FC8" w:rsidRPr="00F51B63">
        <w:rPr>
          <w:rFonts w:ascii="Arial" w:hAnsi="Arial" w:cs="Arial"/>
          <w:i/>
        </w:rPr>
        <w:t xml:space="preserve">. </w:t>
      </w:r>
    </w:p>
    <w:p w:rsidR="008F6804" w:rsidRPr="00F51B63" w:rsidRDefault="00262ABC" w:rsidP="0009706E">
      <w:pPr>
        <w:rPr>
          <w:rFonts w:ascii="Arial" w:hAnsi="Arial" w:cs="Arial"/>
          <w:b/>
        </w:rPr>
      </w:pPr>
      <w:r w:rsidRPr="00F51B63">
        <w:rPr>
          <w:rFonts w:ascii="Arial" w:hAnsi="Arial" w:cs="Arial"/>
          <w:b/>
        </w:rPr>
        <w:br/>
      </w:r>
      <w:r w:rsidR="008F6804" w:rsidRPr="00F51B63">
        <w:rPr>
          <w:rFonts w:ascii="Arial" w:hAnsi="Arial" w:cs="Arial"/>
          <w:b/>
        </w:rPr>
        <w:t>Schedule 1</w:t>
      </w:r>
      <w:r w:rsidR="00675C1D">
        <w:rPr>
          <w:rFonts w:ascii="Arial" w:hAnsi="Arial" w:cs="Arial"/>
          <w:b/>
        </w:rPr>
        <w:tab/>
        <w:t>Amendments</w:t>
      </w:r>
    </w:p>
    <w:p w:rsidR="00675C1D" w:rsidRDefault="008F6804" w:rsidP="00F51B63">
      <w:pPr>
        <w:rPr>
          <w:rFonts w:ascii="Arial" w:hAnsi="Arial" w:cs="Arial"/>
        </w:rPr>
      </w:pPr>
      <w:r w:rsidRPr="00F51B63">
        <w:rPr>
          <w:rFonts w:ascii="Arial" w:hAnsi="Arial" w:cs="Arial"/>
        </w:rPr>
        <w:t>Item</w:t>
      </w:r>
      <w:r w:rsidR="00F51B63" w:rsidRPr="00F51B63">
        <w:rPr>
          <w:rFonts w:ascii="Arial" w:hAnsi="Arial" w:cs="Arial"/>
        </w:rPr>
        <w:t>s</w:t>
      </w:r>
      <w:r w:rsidRPr="00F51B63">
        <w:rPr>
          <w:rFonts w:ascii="Arial" w:hAnsi="Arial" w:cs="Arial"/>
        </w:rPr>
        <w:t xml:space="preserve"> [1]</w:t>
      </w:r>
      <w:r w:rsidR="00675C1D">
        <w:rPr>
          <w:rFonts w:ascii="Arial" w:hAnsi="Arial" w:cs="Arial"/>
        </w:rPr>
        <w:t>, [2] and</w:t>
      </w:r>
      <w:r w:rsidR="00F51B63" w:rsidRPr="00F51B63">
        <w:rPr>
          <w:rFonts w:ascii="Arial" w:hAnsi="Arial" w:cs="Arial"/>
        </w:rPr>
        <w:t xml:space="preserve"> [</w:t>
      </w:r>
      <w:r w:rsidR="00675C1D">
        <w:rPr>
          <w:rFonts w:ascii="Arial" w:hAnsi="Arial" w:cs="Arial"/>
        </w:rPr>
        <w:t>4</w:t>
      </w:r>
      <w:r w:rsidR="00F51B63" w:rsidRPr="00F51B63">
        <w:rPr>
          <w:rFonts w:ascii="Arial" w:hAnsi="Arial" w:cs="Arial"/>
        </w:rPr>
        <w:t>]</w:t>
      </w:r>
      <w:r w:rsidRPr="00F51B63">
        <w:rPr>
          <w:rFonts w:ascii="Arial" w:hAnsi="Arial" w:cs="Arial"/>
        </w:rPr>
        <w:t xml:space="preserve"> of Schedule 1 </w:t>
      </w:r>
      <w:r w:rsidR="00675C1D">
        <w:rPr>
          <w:rFonts w:ascii="Arial" w:hAnsi="Arial" w:cs="Arial"/>
        </w:rPr>
        <w:t xml:space="preserve">amend section 4 of the ACMA Standard to insert definitions of the following terms - ‘ACMA’, ‘Chair’, ‘low interference potential device’ and ‘radio controlled model’. These terms appear in section 5 of the ACMA Standard but have not been defined.  </w:t>
      </w:r>
    </w:p>
    <w:p w:rsidR="00675C1D" w:rsidRDefault="00675C1D" w:rsidP="00F51B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 [3] </w:t>
      </w:r>
      <w:r w:rsidR="001B41A0">
        <w:rPr>
          <w:rFonts w:ascii="Arial" w:hAnsi="Arial" w:cs="Arial"/>
        </w:rPr>
        <w:t xml:space="preserve">of Schedule 1 </w:t>
      </w:r>
      <w:r>
        <w:rPr>
          <w:rFonts w:ascii="Arial" w:hAnsi="Arial" w:cs="Arial"/>
        </w:rPr>
        <w:t>o</w:t>
      </w:r>
      <w:r w:rsidR="001B41A0">
        <w:rPr>
          <w:rFonts w:ascii="Arial" w:hAnsi="Arial" w:cs="Arial"/>
        </w:rPr>
        <w:t>mits the definition of ‘former S</w:t>
      </w:r>
      <w:r>
        <w:rPr>
          <w:rFonts w:ascii="Arial" w:hAnsi="Arial" w:cs="Arial"/>
        </w:rPr>
        <w:t>tandards’ from section 4 of the ACMA Standard. This definition is</w:t>
      </w:r>
      <w:r w:rsidR="001B41A0">
        <w:rPr>
          <w:rFonts w:ascii="Arial" w:hAnsi="Arial" w:cs="Arial"/>
        </w:rPr>
        <w:t xml:space="preserve"> redundant as the term ‘former S</w:t>
      </w:r>
      <w:r>
        <w:rPr>
          <w:rFonts w:ascii="Arial" w:hAnsi="Arial" w:cs="Arial"/>
        </w:rPr>
        <w:t xml:space="preserve">tandards’ </w:t>
      </w:r>
      <w:r w:rsidR="001B41A0">
        <w:rPr>
          <w:rFonts w:ascii="Arial" w:hAnsi="Arial" w:cs="Arial"/>
        </w:rPr>
        <w:t>does not appear</w:t>
      </w:r>
      <w:r>
        <w:rPr>
          <w:rFonts w:ascii="Arial" w:hAnsi="Arial" w:cs="Arial"/>
        </w:rPr>
        <w:t xml:space="preserve"> in the ACMA Standard. </w:t>
      </w:r>
    </w:p>
    <w:p w:rsidR="008D3A26" w:rsidRDefault="00F51B63">
      <w:pPr>
        <w:spacing w:after="120"/>
        <w:jc w:val="both"/>
        <w:rPr>
          <w:rFonts w:ascii="Arial" w:hAnsi="Arial" w:cs="Arial"/>
        </w:rPr>
      </w:pPr>
      <w:r w:rsidRPr="00F51B63">
        <w:rPr>
          <w:rFonts w:ascii="Arial" w:hAnsi="Arial" w:cs="Arial"/>
        </w:rPr>
        <w:t>Item [</w:t>
      </w:r>
      <w:r w:rsidR="001B41A0">
        <w:rPr>
          <w:rFonts w:ascii="Arial" w:hAnsi="Arial" w:cs="Arial"/>
        </w:rPr>
        <w:t>5</w:t>
      </w:r>
      <w:r w:rsidRPr="00F51B63">
        <w:rPr>
          <w:rFonts w:ascii="Arial" w:hAnsi="Arial" w:cs="Arial"/>
        </w:rPr>
        <w:t xml:space="preserve">] of Schedule 1 </w:t>
      </w:r>
      <w:r w:rsidR="001B41A0">
        <w:rPr>
          <w:rFonts w:ascii="Arial" w:hAnsi="Arial" w:cs="Arial"/>
        </w:rPr>
        <w:t xml:space="preserve">substitutes section 6 of the ACMA Standard.  </w:t>
      </w:r>
    </w:p>
    <w:p w:rsidR="008D3A26" w:rsidRDefault="001B41A0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new section 6 </w:t>
      </w:r>
      <w:r w:rsidR="009C3D30">
        <w:rPr>
          <w:rFonts w:ascii="Arial" w:hAnsi="Arial" w:cs="Arial"/>
        </w:rPr>
        <w:t xml:space="preserve">has the effect </w:t>
      </w:r>
      <w:r>
        <w:rPr>
          <w:rFonts w:ascii="Arial" w:hAnsi="Arial" w:cs="Arial"/>
        </w:rPr>
        <w:t xml:space="preserve"> that for the purposes of paragraph 162(1)(a) of the Act, the standard for performance for short range devices </w:t>
      </w:r>
      <w:r w:rsidR="00964168" w:rsidRPr="00964168">
        <w:rPr>
          <w:rFonts w:ascii="Arial" w:hAnsi="Arial" w:cs="Arial"/>
        </w:rPr>
        <w:t xml:space="preserve">is as set out in </w:t>
      </w:r>
      <w:r w:rsidRPr="00F51B63">
        <w:rPr>
          <w:rFonts w:ascii="Arial" w:hAnsi="Arial" w:cs="Arial"/>
          <w:i/>
        </w:rPr>
        <w:t>AS/NZS 4268 Radio equipment and systems – Short range devices – Limits and Methods of measurement</w:t>
      </w:r>
      <w:r w:rsidRPr="00F51B63">
        <w:rPr>
          <w:rFonts w:ascii="Arial" w:hAnsi="Arial" w:cs="Arial"/>
        </w:rPr>
        <w:t>,</w:t>
      </w:r>
      <w:r w:rsidR="00964168" w:rsidRPr="00964168">
        <w:rPr>
          <w:rFonts w:ascii="Arial" w:hAnsi="Arial" w:cs="Arial"/>
        </w:rPr>
        <w:t xml:space="preserve"> excluding any </w:t>
      </w:r>
      <w:r w:rsidR="004A4B09">
        <w:rPr>
          <w:rFonts w:ascii="Arial" w:hAnsi="Arial" w:cs="Arial"/>
        </w:rPr>
        <w:t>requirements</w:t>
      </w:r>
      <w:r w:rsidR="00964168" w:rsidRPr="00964168">
        <w:rPr>
          <w:rFonts w:ascii="Arial" w:hAnsi="Arial" w:cs="Arial"/>
        </w:rPr>
        <w:t xml:space="preserve"> that only apply to short range devices supplied for use under the New Zealand instrument, </w:t>
      </w:r>
      <w:r w:rsidR="00964168" w:rsidRPr="00964168">
        <w:rPr>
          <w:rFonts w:ascii="Arial" w:hAnsi="Arial" w:cs="Arial"/>
          <w:i/>
        </w:rPr>
        <w:t xml:space="preserve">Radiocommunications Regulations (General User Radio Licence for Short Range Devices) Notice. </w:t>
      </w:r>
    </w:p>
    <w:p w:rsidR="008D3A26" w:rsidRDefault="001B41A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The effect of section 6 of the ACMA Standard remains the same.  The difference be</w:t>
      </w:r>
      <w:r w:rsidR="001C6A25">
        <w:rPr>
          <w:rFonts w:ascii="Arial" w:hAnsi="Arial" w:cs="Arial"/>
        </w:rPr>
        <w:t>tween the old and new provision</w:t>
      </w:r>
      <w:r w:rsidR="009C3D3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is that section 6 no longer lists the specific clauses of AS/NZS 4268 that ap</w:t>
      </w:r>
      <w:r w:rsidR="00E05456">
        <w:rPr>
          <w:rFonts w:ascii="Arial" w:hAnsi="Arial" w:cs="Arial"/>
        </w:rPr>
        <w:t>ply only to New Zealand devices</w:t>
      </w:r>
      <w:r>
        <w:rPr>
          <w:rFonts w:ascii="Arial" w:hAnsi="Arial" w:cs="Arial"/>
        </w:rPr>
        <w:t xml:space="preserve">. </w:t>
      </w:r>
    </w:p>
    <w:p w:rsidR="00675C1D" w:rsidRDefault="00675C1D" w:rsidP="00F51B63">
      <w:pPr>
        <w:rPr>
          <w:rFonts w:ascii="Arial" w:hAnsi="Arial" w:cs="Arial"/>
        </w:rPr>
      </w:pPr>
    </w:p>
    <w:p w:rsidR="00675C1D" w:rsidRDefault="00675C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E309F" w:rsidRPr="00824B0A" w:rsidRDefault="005E309F" w:rsidP="0009706E">
      <w:pPr>
        <w:rPr>
          <w:rFonts w:ascii="Arial" w:hAnsi="Arial" w:cs="Arial"/>
          <w:b/>
        </w:rPr>
      </w:pPr>
    </w:p>
    <w:p w:rsidR="005E309F" w:rsidRPr="00C63D15" w:rsidRDefault="005E309F" w:rsidP="00EC7A95">
      <w:pPr>
        <w:rPr>
          <w:rFonts w:ascii="Arial" w:hAnsi="Arial" w:cs="Arial"/>
          <w:b/>
        </w:rPr>
      </w:pPr>
      <w:r w:rsidRPr="00C63D15">
        <w:rPr>
          <w:rFonts w:ascii="Arial" w:hAnsi="Arial" w:cs="Arial"/>
          <w:b/>
        </w:rPr>
        <w:t xml:space="preserve">Attachment 2 </w:t>
      </w:r>
    </w:p>
    <w:p w:rsidR="0058555C" w:rsidRPr="009B77E8" w:rsidRDefault="0058555C" w:rsidP="0058555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360" w:after="120"/>
        <w:jc w:val="center"/>
        <w:rPr>
          <w:rFonts w:ascii="Arial" w:hAnsi="Arial" w:cs="Arial"/>
          <w:b/>
          <w:sz w:val="28"/>
          <w:szCs w:val="28"/>
        </w:rPr>
      </w:pPr>
    </w:p>
    <w:p w:rsidR="0058555C" w:rsidRPr="009B77E8" w:rsidRDefault="0058555C" w:rsidP="0058555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360" w:after="120"/>
        <w:jc w:val="center"/>
        <w:rPr>
          <w:rFonts w:ascii="Arial" w:hAnsi="Arial" w:cs="Arial"/>
          <w:b/>
          <w:sz w:val="28"/>
          <w:szCs w:val="28"/>
        </w:rPr>
      </w:pPr>
      <w:r w:rsidRPr="009B77E8">
        <w:rPr>
          <w:rFonts w:ascii="Arial" w:hAnsi="Arial" w:cs="Arial"/>
          <w:b/>
          <w:sz w:val="28"/>
          <w:szCs w:val="28"/>
        </w:rPr>
        <w:t>Statement of Compatibility with Human Rights</w:t>
      </w:r>
    </w:p>
    <w:p w:rsidR="0058555C" w:rsidRPr="009B77E8" w:rsidRDefault="0058555C" w:rsidP="0058555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20" w:after="120"/>
        <w:jc w:val="center"/>
        <w:rPr>
          <w:rFonts w:ascii="Arial" w:hAnsi="Arial" w:cs="Arial"/>
        </w:rPr>
      </w:pPr>
      <w:r w:rsidRPr="009B77E8">
        <w:rPr>
          <w:rFonts w:ascii="Arial" w:hAnsi="Arial" w:cs="Arial"/>
          <w:i/>
        </w:rPr>
        <w:t>Prepared in accordance with Part 3 of the Human Rights (Parliamentary Scrutiny) Act 2011</w:t>
      </w:r>
    </w:p>
    <w:p w:rsidR="0058555C" w:rsidRDefault="0058555C" w:rsidP="0058555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i/>
          <w:iCs/>
        </w:rPr>
      </w:pPr>
      <w:r w:rsidRPr="009B77E8">
        <w:rPr>
          <w:rFonts w:ascii="Arial" w:hAnsi="Arial" w:cs="Arial"/>
          <w:b/>
          <w:bCs/>
          <w:i/>
          <w:iCs/>
        </w:rPr>
        <w:br/>
      </w:r>
      <w:r w:rsidR="000F5A51" w:rsidRPr="000F5A51">
        <w:rPr>
          <w:rFonts w:ascii="Arial" w:hAnsi="Arial" w:cs="Arial"/>
          <w:b/>
          <w:i/>
        </w:rPr>
        <w:t xml:space="preserve">Radiocommunications (Short Range Devices) Amendment </w:t>
      </w:r>
      <w:r w:rsidR="00625398" w:rsidRPr="000F5A51">
        <w:rPr>
          <w:rFonts w:ascii="Arial" w:hAnsi="Arial" w:cs="Arial"/>
          <w:b/>
          <w:i/>
        </w:rPr>
        <w:t xml:space="preserve">Standard </w:t>
      </w:r>
      <w:r w:rsidR="000F5A51" w:rsidRPr="000F5A51">
        <w:rPr>
          <w:rFonts w:ascii="Arial" w:hAnsi="Arial" w:cs="Arial"/>
          <w:b/>
          <w:i/>
        </w:rPr>
        <w:t>2013 (No. 1)</w:t>
      </w:r>
    </w:p>
    <w:p w:rsidR="00EC7A95" w:rsidRDefault="00EC7A95" w:rsidP="0058555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i/>
          <w:iCs/>
        </w:rPr>
      </w:pPr>
    </w:p>
    <w:p w:rsidR="0058555C" w:rsidRPr="009B77E8" w:rsidRDefault="0058555C" w:rsidP="0058555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i/>
          <w:iCs/>
        </w:rPr>
      </w:pPr>
    </w:p>
    <w:p w:rsidR="0058555C" w:rsidRPr="009B77E8" w:rsidRDefault="0058555C" w:rsidP="0058555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9B77E8">
        <w:rPr>
          <w:rFonts w:ascii="Arial" w:hAnsi="Arial" w:cs="Arial"/>
          <w:b/>
          <w:bCs/>
          <w:i/>
          <w:iCs/>
        </w:rPr>
        <w:br/>
      </w:r>
      <w:r w:rsidRPr="009B77E8">
        <w:rPr>
          <w:rFonts w:ascii="Arial" w:hAnsi="Arial" w:cs="Arial"/>
        </w:rPr>
        <w:t xml:space="preserve">This </w:t>
      </w:r>
      <w:r w:rsidR="0082483A">
        <w:rPr>
          <w:rFonts w:ascii="Arial" w:hAnsi="Arial" w:cs="Arial"/>
        </w:rPr>
        <w:t>l</w:t>
      </w:r>
      <w:r w:rsidRPr="009B77E8">
        <w:rPr>
          <w:rFonts w:ascii="Arial" w:hAnsi="Arial" w:cs="Arial"/>
        </w:rPr>
        <w:t xml:space="preserve">egislative </w:t>
      </w:r>
      <w:r w:rsidR="0082483A">
        <w:rPr>
          <w:rFonts w:ascii="Arial" w:hAnsi="Arial" w:cs="Arial"/>
        </w:rPr>
        <w:t>i</w:t>
      </w:r>
      <w:r w:rsidRPr="009B77E8">
        <w:rPr>
          <w:rFonts w:ascii="Arial" w:hAnsi="Arial" w:cs="Arial"/>
        </w:rPr>
        <w:t xml:space="preserve">nstrument is compatible with the human rights and freedoms recognised or declared in the international instruments listed in section 3 of the </w:t>
      </w:r>
      <w:r w:rsidRPr="009B77E8">
        <w:rPr>
          <w:rFonts w:ascii="Arial" w:hAnsi="Arial" w:cs="Arial"/>
          <w:i/>
        </w:rPr>
        <w:t>Human Rights (Parliamentary Scrutiny) Act 2011</w:t>
      </w:r>
      <w:r w:rsidRPr="009B77E8">
        <w:rPr>
          <w:rFonts w:ascii="Arial" w:hAnsi="Arial" w:cs="Arial"/>
        </w:rPr>
        <w:t>.</w:t>
      </w:r>
    </w:p>
    <w:p w:rsidR="0058555C" w:rsidRPr="009B77E8" w:rsidRDefault="0058555C" w:rsidP="0058555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20" w:after="120"/>
        <w:jc w:val="both"/>
        <w:rPr>
          <w:rFonts w:ascii="Arial" w:hAnsi="Arial" w:cs="Arial"/>
          <w:b/>
        </w:rPr>
      </w:pPr>
      <w:r w:rsidRPr="009B77E8">
        <w:rPr>
          <w:rFonts w:ascii="Arial" w:hAnsi="Arial" w:cs="Arial"/>
          <w:b/>
        </w:rPr>
        <w:br/>
        <w:t>Overview of the Legislative Instrument</w:t>
      </w:r>
    </w:p>
    <w:p w:rsidR="000F5A51" w:rsidRPr="000F5A51" w:rsidRDefault="0058555C" w:rsidP="0058555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outlineLvl w:val="0"/>
        <w:rPr>
          <w:rStyle w:val="Emphasis"/>
          <w:rFonts w:ascii="Arial" w:hAnsi="Arial" w:cs="Arial"/>
          <w:i w:val="0"/>
          <w:color w:val="000000" w:themeColor="text1"/>
          <w:shd w:val="clear" w:color="auto" w:fill="FFFFFF"/>
        </w:rPr>
      </w:pPr>
      <w:r w:rsidRPr="000F5A51">
        <w:rPr>
          <w:rFonts w:ascii="Arial" w:eastAsia="Times New Roman" w:hAnsi="Arial" w:cs="Arial"/>
          <w:color w:val="000000" w:themeColor="text1"/>
          <w:lang w:eastAsia="en-AU"/>
        </w:rPr>
        <w:t xml:space="preserve">The </w:t>
      </w:r>
      <w:r w:rsidR="0082483A" w:rsidRPr="000F5A51">
        <w:rPr>
          <w:rFonts w:ascii="Arial" w:eastAsia="Times New Roman" w:hAnsi="Arial" w:cs="Arial"/>
          <w:color w:val="000000" w:themeColor="text1"/>
          <w:lang w:eastAsia="en-AU"/>
        </w:rPr>
        <w:t xml:space="preserve">legislative instrument amends the </w:t>
      </w:r>
      <w:r w:rsidR="000F5A51" w:rsidRPr="000F5A51">
        <w:rPr>
          <w:rFonts w:ascii="Arial" w:eastAsia="Times New Roman" w:hAnsi="Arial" w:cs="Arial"/>
          <w:i/>
          <w:color w:val="000000" w:themeColor="text1"/>
          <w:lang w:eastAsia="en-AU"/>
        </w:rPr>
        <w:t xml:space="preserve">Radiocommunications (Short </w:t>
      </w:r>
      <w:r w:rsidR="009C3D30">
        <w:rPr>
          <w:rFonts w:ascii="Arial" w:eastAsia="Times New Roman" w:hAnsi="Arial" w:cs="Arial"/>
          <w:i/>
          <w:color w:val="000000" w:themeColor="text1"/>
          <w:lang w:eastAsia="en-AU"/>
        </w:rPr>
        <w:t>R</w:t>
      </w:r>
      <w:r w:rsidR="000F5A51" w:rsidRPr="000F5A51">
        <w:rPr>
          <w:rFonts w:ascii="Arial" w:eastAsia="Times New Roman" w:hAnsi="Arial" w:cs="Arial"/>
          <w:i/>
          <w:color w:val="000000" w:themeColor="text1"/>
          <w:lang w:eastAsia="en-AU"/>
        </w:rPr>
        <w:t xml:space="preserve">ange Devices) Standard 2004 </w:t>
      </w:r>
      <w:r w:rsidR="000F5A51" w:rsidRPr="000F5A51">
        <w:rPr>
          <w:rFonts w:ascii="Arial" w:eastAsia="Times New Roman" w:hAnsi="Arial" w:cs="Arial"/>
          <w:b/>
          <w:color w:val="000000" w:themeColor="text1"/>
          <w:lang w:eastAsia="en-AU"/>
        </w:rPr>
        <w:t>(the ACMA Standard)</w:t>
      </w:r>
      <w:r w:rsidR="000F5A51" w:rsidRPr="000F5A51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0F5A51" w:rsidRPr="000F5A51">
        <w:rPr>
          <w:rFonts w:ascii="Arial" w:hAnsi="Arial" w:cs="Arial"/>
          <w:bCs/>
          <w:iCs/>
          <w:color w:val="000000" w:themeColor="text1"/>
        </w:rPr>
        <w:t xml:space="preserve">made under subsection 162(1) of the </w:t>
      </w:r>
      <w:r w:rsidR="000F5A51" w:rsidRPr="000F5A51">
        <w:rPr>
          <w:rFonts w:ascii="Arial" w:hAnsi="Arial" w:cs="Arial"/>
          <w:bCs/>
          <w:i/>
          <w:iCs/>
          <w:color w:val="000000" w:themeColor="text1"/>
        </w:rPr>
        <w:t>Radiocommunications Act 1992.</w:t>
      </w:r>
      <w:r w:rsidR="000F5A51" w:rsidRPr="000F5A51">
        <w:rPr>
          <w:rFonts w:ascii="Arial" w:hAnsi="Arial" w:cs="Arial"/>
          <w:bCs/>
          <w:iCs/>
          <w:color w:val="000000" w:themeColor="text1"/>
        </w:rPr>
        <w:t xml:space="preserve"> </w:t>
      </w:r>
      <w:r w:rsidR="0064437A" w:rsidRPr="000F5A51">
        <w:rPr>
          <w:rFonts w:ascii="Arial" w:hAnsi="Arial" w:cs="Arial"/>
          <w:bCs/>
          <w:iCs/>
          <w:color w:val="000000" w:themeColor="text1"/>
        </w:rPr>
        <w:t xml:space="preserve">The ACMA Standard </w:t>
      </w:r>
      <w:r w:rsidR="000F5A51" w:rsidRPr="000F5A51">
        <w:rPr>
          <w:rFonts w:ascii="Arial" w:hAnsi="Arial" w:cs="Arial"/>
          <w:bCs/>
          <w:iCs/>
          <w:color w:val="000000" w:themeColor="text1"/>
        </w:rPr>
        <w:t xml:space="preserve">refers to </w:t>
      </w:r>
      <w:r w:rsidR="000F5A51" w:rsidRPr="000F5A51">
        <w:rPr>
          <w:rFonts w:ascii="Arial" w:hAnsi="Arial" w:cs="Arial"/>
          <w:color w:val="000000" w:themeColor="text1"/>
          <w:shd w:val="clear" w:color="auto" w:fill="FFFFFF"/>
        </w:rPr>
        <w:t>the industry standard</w:t>
      </w:r>
      <w:r w:rsidR="000F5A51" w:rsidRPr="000F5A5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0F5A51" w:rsidRPr="000F5A51">
        <w:rPr>
          <w:rStyle w:val="Emphasis"/>
          <w:rFonts w:ascii="Arial" w:hAnsi="Arial" w:cs="Arial"/>
          <w:color w:val="000000" w:themeColor="text1"/>
          <w:shd w:val="clear" w:color="auto" w:fill="FFFFFF"/>
        </w:rPr>
        <w:t xml:space="preserve">AS/NZS 4268 Radio equipment and systems - Short range devices - Limits and methods of measurement </w:t>
      </w:r>
      <w:r w:rsidR="00E05456">
        <w:rPr>
          <w:rStyle w:val="Emphasis"/>
          <w:rFonts w:ascii="Arial" w:hAnsi="Arial" w:cs="Arial"/>
          <w:i w:val="0"/>
          <w:color w:val="000000" w:themeColor="text1"/>
          <w:shd w:val="clear" w:color="auto" w:fill="FFFFFF"/>
        </w:rPr>
        <w:t>(</w:t>
      </w:r>
      <w:r w:rsidR="00964168" w:rsidRPr="00964168">
        <w:rPr>
          <w:rStyle w:val="Emphasis"/>
          <w:rFonts w:ascii="Arial" w:hAnsi="Arial" w:cs="Arial"/>
          <w:b/>
          <w:i w:val="0"/>
          <w:color w:val="000000" w:themeColor="text1"/>
          <w:shd w:val="clear" w:color="auto" w:fill="FFFFFF"/>
        </w:rPr>
        <w:t>the AS/NZS Industry Standard</w:t>
      </w:r>
      <w:r w:rsidR="00E05456">
        <w:rPr>
          <w:rStyle w:val="Emphasis"/>
          <w:rFonts w:ascii="Arial" w:hAnsi="Arial" w:cs="Arial"/>
          <w:i w:val="0"/>
          <w:color w:val="000000" w:themeColor="text1"/>
          <w:shd w:val="clear" w:color="auto" w:fill="FFFFFF"/>
        </w:rPr>
        <w:t>)</w:t>
      </w:r>
      <w:r w:rsidR="000F5A51" w:rsidRPr="000F5A51">
        <w:rPr>
          <w:rStyle w:val="Emphasis"/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0F5A51" w:rsidRPr="000F5A51">
        <w:rPr>
          <w:rStyle w:val="Emphasis"/>
          <w:rFonts w:ascii="Arial" w:hAnsi="Arial" w:cs="Arial"/>
          <w:i w:val="0"/>
          <w:color w:val="000000" w:themeColor="text1"/>
          <w:shd w:val="clear" w:color="auto" w:fill="FFFFFF"/>
        </w:rPr>
        <w:t>The AS/NZS Standard was amended by Standards Australia and Standards New Zealand on 18 July 2012</w:t>
      </w:r>
      <w:r w:rsidR="000F5A51" w:rsidRPr="00E02520">
        <w:rPr>
          <w:rStyle w:val="Emphasis"/>
          <w:rFonts w:ascii="Arial" w:hAnsi="Arial" w:cs="Arial"/>
          <w:i w:val="0"/>
          <w:color w:val="000000" w:themeColor="text1"/>
          <w:shd w:val="clear" w:color="auto" w:fill="FFFFFF"/>
        </w:rPr>
        <w:t>. The legislative instrument amend</w:t>
      </w:r>
      <w:r w:rsidR="001C6A25">
        <w:rPr>
          <w:rStyle w:val="Emphasis"/>
          <w:rFonts w:ascii="Arial" w:hAnsi="Arial" w:cs="Arial"/>
          <w:i w:val="0"/>
          <w:color w:val="000000" w:themeColor="text1"/>
          <w:shd w:val="clear" w:color="auto" w:fill="FFFFFF"/>
        </w:rPr>
        <w:t>s</w:t>
      </w:r>
      <w:r w:rsidR="000F5A51" w:rsidRPr="00E02520">
        <w:rPr>
          <w:rStyle w:val="Emphasis"/>
          <w:rFonts w:ascii="Arial" w:hAnsi="Arial" w:cs="Arial"/>
          <w:i w:val="0"/>
          <w:color w:val="000000" w:themeColor="text1"/>
          <w:shd w:val="clear" w:color="auto" w:fill="FFFFFF"/>
        </w:rPr>
        <w:t xml:space="preserve"> the ACMA Standard </w:t>
      </w:r>
      <w:r w:rsidR="001C6A25">
        <w:rPr>
          <w:rStyle w:val="Emphasis"/>
          <w:rFonts w:ascii="Arial" w:hAnsi="Arial" w:cs="Arial"/>
          <w:i w:val="0"/>
          <w:color w:val="000000" w:themeColor="text1"/>
          <w:shd w:val="clear" w:color="auto" w:fill="FFFFFF"/>
        </w:rPr>
        <w:t>to reflect changes made to the</w:t>
      </w:r>
      <w:r w:rsidR="000F5A51" w:rsidRPr="00E02520">
        <w:rPr>
          <w:rStyle w:val="Emphasis"/>
          <w:rFonts w:ascii="Arial" w:hAnsi="Arial" w:cs="Arial"/>
          <w:i w:val="0"/>
          <w:color w:val="000000" w:themeColor="text1"/>
          <w:shd w:val="clear" w:color="auto" w:fill="FFFFFF"/>
        </w:rPr>
        <w:t xml:space="preserve"> AS/NZS Industry Standard.</w:t>
      </w:r>
      <w:r w:rsidR="000F5A51" w:rsidRPr="000F5A51">
        <w:rPr>
          <w:rStyle w:val="Emphasis"/>
          <w:rFonts w:ascii="Arial" w:hAnsi="Arial" w:cs="Arial"/>
          <w:i w:val="0"/>
          <w:color w:val="000000" w:themeColor="text1"/>
          <w:shd w:val="clear" w:color="auto" w:fill="FFFFFF"/>
        </w:rPr>
        <w:t xml:space="preserve"> </w:t>
      </w:r>
    </w:p>
    <w:p w:rsidR="0058555C" w:rsidRDefault="0058555C" w:rsidP="0058555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en-AU"/>
        </w:rPr>
      </w:pPr>
    </w:p>
    <w:p w:rsidR="0058555C" w:rsidRPr="009B77E8" w:rsidRDefault="0058555C" w:rsidP="0058555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20" w:after="120"/>
        <w:rPr>
          <w:rFonts w:ascii="Arial" w:hAnsi="Arial" w:cs="Arial"/>
          <w:b/>
        </w:rPr>
      </w:pPr>
      <w:r w:rsidRPr="009B77E8">
        <w:rPr>
          <w:rFonts w:ascii="Arial" w:hAnsi="Arial" w:cs="Arial"/>
          <w:b/>
        </w:rPr>
        <w:t>Human rights implications</w:t>
      </w:r>
    </w:p>
    <w:p w:rsidR="0058555C" w:rsidRPr="009B77E8" w:rsidRDefault="0058555C" w:rsidP="0058555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20" w:after="120"/>
        <w:jc w:val="both"/>
        <w:rPr>
          <w:rFonts w:ascii="Arial" w:hAnsi="Arial" w:cs="Arial"/>
        </w:rPr>
      </w:pPr>
      <w:r w:rsidRPr="009B77E8">
        <w:rPr>
          <w:rFonts w:ascii="Arial" w:hAnsi="Arial" w:cs="Arial"/>
        </w:rPr>
        <w:t xml:space="preserve">This </w:t>
      </w:r>
      <w:r w:rsidR="00A66772">
        <w:rPr>
          <w:rFonts w:ascii="Arial" w:hAnsi="Arial" w:cs="Arial"/>
        </w:rPr>
        <w:t>l</w:t>
      </w:r>
      <w:r w:rsidRPr="009B77E8">
        <w:rPr>
          <w:rFonts w:ascii="Arial" w:hAnsi="Arial" w:cs="Arial"/>
        </w:rPr>
        <w:t xml:space="preserve">egislative </w:t>
      </w:r>
      <w:r w:rsidR="00A66772">
        <w:rPr>
          <w:rFonts w:ascii="Arial" w:hAnsi="Arial" w:cs="Arial"/>
        </w:rPr>
        <w:t>i</w:t>
      </w:r>
      <w:r w:rsidRPr="009B77E8">
        <w:rPr>
          <w:rFonts w:ascii="Arial" w:hAnsi="Arial" w:cs="Arial"/>
        </w:rPr>
        <w:t>nstrument does not engage any of the applicable rights or freedoms.</w:t>
      </w:r>
    </w:p>
    <w:p w:rsidR="0058555C" w:rsidRPr="009B77E8" w:rsidRDefault="0058555C" w:rsidP="0058555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20" w:after="120"/>
        <w:rPr>
          <w:rFonts w:ascii="Arial" w:hAnsi="Arial" w:cs="Arial"/>
          <w:b/>
        </w:rPr>
      </w:pPr>
      <w:r w:rsidRPr="009B77E8">
        <w:rPr>
          <w:rFonts w:ascii="Arial" w:hAnsi="Arial" w:cs="Arial"/>
          <w:b/>
        </w:rPr>
        <w:t>Conclusion</w:t>
      </w:r>
    </w:p>
    <w:p w:rsidR="0058555C" w:rsidRDefault="0058555C" w:rsidP="0058555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20" w:after="120"/>
        <w:rPr>
          <w:rFonts w:ascii="Arial" w:hAnsi="Arial" w:cs="Arial"/>
        </w:rPr>
      </w:pPr>
      <w:r w:rsidRPr="009B77E8">
        <w:rPr>
          <w:rFonts w:ascii="Arial" w:hAnsi="Arial" w:cs="Arial"/>
        </w:rPr>
        <w:t xml:space="preserve">This </w:t>
      </w:r>
      <w:r w:rsidR="00A66772">
        <w:rPr>
          <w:rFonts w:ascii="Arial" w:hAnsi="Arial" w:cs="Arial"/>
        </w:rPr>
        <w:t>l</w:t>
      </w:r>
      <w:r w:rsidRPr="009B77E8">
        <w:rPr>
          <w:rFonts w:ascii="Arial" w:hAnsi="Arial" w:cs="Arial"/>
        </w:rPr>
        <w:t xml:space="preserve">egislative </w:t>
      </w:r>
      <w:r w:rsidR="00A66772">
        <w:rPr>
          <w:rFonts w:ascii="Arial" w:hAnsi="Arial" w:cs="Arial"/>
        </w:rPr>
        <w:t>i</w:t>
      </w:r>
      <w:r w:rsidRPr="009B77E8">
        <w:rPr>
          <w:rFonts w:ascii="Arial" w:hAnsi="Arial" w:cs="Arial"/>
        </w:rPr>
        <w:t xml:space="preserve">nstrument is compatible with human rights as it </w:t>
      </w:r>
      <w:r>
        <w:rPr>
          <w:rFonts w:ascii="Arial" w:hAnsi="Arial" w:cs="Arial"/>
        </w:rPr>
        <w:t xml:space="preserve">does not raise any human rights </w:t>
      </w:r>
      <w:r w:rsidRPr="009B77E8">
        <w:rPr>
          <w:rFonts w:ascii="Arial" w:hAnsi="Arial" w:cs="Arial"/>
        </w:rPr>
        <w:t>issues.</w:t>
      </w:r>
      <w:r w:rsidRPr="009B77E8">
        <w:rPr>
          <w:rFonts w:ascii="Arial" w:hAnsi="Arial" w:cs="Arial"/>
        </w:rPr>
        <w:br/>
      </w:r>
    </w:p>
    <w:p w:rsidR="008D3A26" w:rsidRDefault="00E0545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Australian Communications and Media Authority</w:t>
      </w:r>
    </w:p>
    <w:p w:rsidR="005E309F" w:rsidRDefault="005E309F" w:rsidP="0009706E">
      <w:pPr>
        <w:rPr>
          <w:rFonts w:cstheme="minorHAnsi"/>
          <w:b/>
        </w:rPr>
      </w:pPr>
    </w:p>
    <w:sectPr w:rsidR="005E309F" w:rsidSect="00987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986"/>
    <w:multiLevelType w:val="hybridMultilevel"/>
    <w:tmpl w:val="A788986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81D1869"/>
    <w:multiLevelType w:val="hybridMultilevel"/>
    <w:tmpl w:val="44CCDBB4"/>
    <w:lvl w:ilvl="0" w:tplc="B4DE576E">
      <w:start w:val="1"/>
      <w:numFmt w:val="decimal"/>
      <w:pStyle w:val="ACMA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D5068"/>
    <w:multiLevelType w:val="hybridMultilevel"/>
    <w:tmpl w:val="BB9E4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B4C7D"/>
    <w:multiLevelType w:val="hybridMultilevel"/>
    <w:tmpl w:val="3FAC3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B526B"/>
    <w:multiLevelType w:val="hybridMultilevel"/>
    <w:tmpl w:val="BE64A8E8"/>
    <w:lvl w:ilvl="0" w:tplc="544A00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</w:rPr>
    </w:lvl>
    <w:lvl w:ilvl="1" w:tplc="8B54880C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09706E"/>
    <w:rsid w:val="00004963"/>
    <w:rsid w:val="000441E2"/>
    <w:rsid w:val="00062245"/>
    <w:rsid w:val="00065ADA"/>
    <w:rsid w:val="00071AC5"/>
    <w:rsid w:val="00076013"/>
    <w:rsid w:val="0009706E"/>
    <w:rsid w:val="0009789B"/>
    <w:rsid w:val="000A0CEF"/>
    <w:rsid w:val="000B3999"/>
    <w:rsid w:val="000C74C2"/>
    <w:rsid w:val="000E469C"/>
    <w:rsid w:val="000F5A51"/>
    <w:rsid w:val="001262E7"/>
    <w:rsid w:val="00137A7C"/>
    <w:rsid w:val="00140419"/>
    <w:rsid w:val="00162798"/>
    <w:rsid w:val="00165A99"/>
    <w:rsid w:val="0019060E"/>
    <w:rsid w:val="001B41A0"/>
    <w:rsid w:val="001C6A25"/>
    <w:rsid w:val="001C6EEE"/>
    <w:rsid w:val="0020167D"/>
    <w:rsid w:val="00202FFB"/>
    <w:rsid w:val="00203C62"/>
    <w:rsid w:val="002114FB"/>
    <w:rsid w:val="00213F4D"/>
    <w:rsid w:val="00226856"/>
    <w:rsid w:val="00227873"/>
    <w:rsid w:val="00231D3B"/>
    <w:rsid w:val="00235881"/>
    <w:rsid w:val="0024327F"/>
    <w:rsid w:val="002434AE"/>
    <w:rsid w:val="002542B2"/>
    <w:rsid w:val="00255FCD"/>
    <w:rsid w:val="002577EC"/>
    <w:rsid w:val="00262ABC"/>
    <w:rsid w:val="002A0C05"/>
    <w:rsid w:val="002D16D6"/>
    <w:rsid w:val="002D5564"/>
    <w:rsid w:val="00300F72"/>
    <w:rsid w:val="003106AB"/>
    <w:rsid w:val="0032317B"/>
    <w:rsid w:val="00333DC6"/>
    <w:rsid w:val="00360F0D"/>
    <w:rsid w:val="0038228B"/>
    <w:rsid w:val="00384188"/>
    <w:rsid w:val="003A115B"/>
    <w:rsid w:val="003A5EFB"/>
    <w:rsid w:val="003B6FF0"/>
    <w:rsid w:val="003B778A"/>
    <w:rsid w:val="003C7B72"/>
    <w:rsid w:val="003D5A88"/>
    <w:rsid w:val="00400E99"/>
    <w:rsid w:val="00401060"/>
    <w:rsid w:val="00405583"/>
    <w:rsid w:val="00423EC8"/>
    <w:rsid w:val="00435A16"/>
    <w:rsid w:val="00437DAE"/>
    <w:rsid w:val="004559B6"/>
    <w:rsid w:val="00462A2E"/>
    <w:rsid w:val="00494D97"/>
    <w:rsid w:val="004A4B09"/>
    <w:rsid w:val="004C3E71"/>
    <w:rsid w:val="004D1CCA"/>
    <w:rsid w:val="004D57D1"/>
    <w:rsid w:val="004E04EC"/>
    <w:rsid w:val="004F246C"/>
    <w:rsid w:val="00506375"/>
    <w:rsid w:val="00510EB5"/>
    <w:rsid w:val="0055167D"/>
    <w:rsid w:val="00554105"/>
    <w:rsid w:val="00556785"/>
    <w:rsid w:val="0056662E"/>
    <w:rsid w:val="00581848"/>
    <w:rsid w:val="0058555C"/>
    <w:rsid w:val="00591DEA"/>
    <w:rsid w:val="0059232C"/>
    <w:rsid w:val="005B022D"/>
    <w:rsid w:val="005C37A4"/>
    <w:rsid w:val="005D1EE5"/>
    <w:rsid w:val="005D2CF1"/>
    <w:rsid w:val="005E309F"/>
    <w:rsid w:val="005E7663"/>
    <w:rsid w:val="005E796B"/>
    <w:rsid w:val="00601C24"/>
    <w:rsid w:val="00607DB3"/>
    <w:rsid w:val="00614292"/>
    <w:rsid w:val="00624B13"/>
    <w:rsid w:val="00625398"/>
    <w:rsid w:val="00625C56"/>
    <w:rsid w:val="00633CFA"/>
    <w:rsid w:val="006425AE"/>
    <w:rsid w:val="00642AA5"/>
    <w:rsid w:val="0064437A"/>
    <w:rsid w:val="00650511"/>
    <w:rsid w:val="0067446E"/>
    <w:rsid w:val="00675C1D"/>
    <w:rsid w:val="00676925"/>
    <w:rsid w:val="006806DE"/>
    <w:rsid w:val="00682E10"/>
    <w:rsid w:val="006A1735"/>
    <w:rsid w:val="007179B6"/>
    <w:rsid w:val="00760E09"/>
    <w:rsid w:val="00774462"/>
    <w:rsid w:val="007806E4"/>
    <w:rsid w:val="00780996"/>
    <w:rsid w:val="00796AA0"/>
    <w:rsid w:val="007E58FC"/>
    <w:rsid w:val="007F4A1D"/>
    <w:rsid w:val="00802B92"/>
    <w:rsid w:val="0082483A"/>
    <w:rsid w:val="00824B0A"/>
    <w:rsid w:val="00825D32"/>
    <w:rsid w:val="00832178"/>
    <w:rsid w:val="008327AD"/>
    <w:rsid w:val="00837832"/>
    <w:rsid w:val="00837D49"/>
    <w:rsid w:val="008513D9"/>
    <w:rsid w:val="00860A47"/>
    <w:rsid w:val="008619CE"/>
    <w:rsid w:val="008743AF"/>
    <w:rsid w:val="008761B3"/>
    <w:rsid w:val="008917E4"/>
    <w:rsid w:val="008D3A26"/>
    <w:rsid w:val="008D4E85"/>
    <w:rsid w:val="008F6804"/>
    <w:rsid w:val="0090038C"/>
    <w:rsid w:val="009071BD"/>
    <w:rsid w:val="00913ABD"/>
    <w:rsid w:val="009513A1"/>
    <w:rsid w:val="00964168"/>
    <w:rsid w:val="009663EE"/>
    <w:rsid w:val="00974B5B"/>
    <w:rsid w:val="00980657"/>
    <w:rsid w:val="0098091E"/>
    <w:rsid w:val="00985577"/>
    <w:rsid w:val="009873B3"/>
    <w:rsid w:val="009B625B"/>
    <w:rsid w:val="009C3D30"/>
    <w:rsid w:val="00A01215"/>
    <w:rsid w:val="00A077BF"/>
    <w:rsid w:val="00A12F25"/>
    <w:rsid w:val="00A665BC"/>
    <w:rsid w:val="00A66772"/>
    <w:rsid w:val="00A7113A"/>
    <w:rsid w:val="00AC20D1"/>
    <w:rsid w:val="00AC696C"/>
    <w:rsid w:val="00AC69EB"/>
    <w:rsid w:val="00AD2080"/>
    <w:rsid w:val="00AE4758"/>
    <w:rsid w:val="00AF2FBC"/>
    <w:rsid w:val="00B016E5"/>
    <w:rsid w:val="00B142A2"/>
    <w:rsid w:val="00B16D2F"/>
    <w:rsid w:val="00B23170"/>
    <w:rsid w:val="00B24632"/>
    <w:rsid w:val="00B270FB"/>
    <w:rsid w:val="00B40EDC"/>
    <w:rsid w:val="00B5310D"/>
    <w:rsid w:val="00B64A0F"/>
    <w:rsid w:val="00B7526A"/>
    <w:rsid w:val="00BA1BEA"/>
    <w:rsid w:val="00BC14CE"/>
    <w:rsid w:val="00BC4225"/>
    <w:rsid w:val="00BD6748"/>
    <w:rsid w:val="00BD789F"/>
    <w:rsid w:val="00BD7C91"/>
    <w:rsid w:val="00BE2DAB"/>
    <w:rsid w:val="00C10677"/>
    <w:rsid w:val="00C52111"/>
    <w:rsid w:val="00C63D15"/>
    <w:rsid w:val="00C96EFA"/>
    <w:rsid w:val="00CB2BEC"/>
    <w:rsid w:val="00CB2FFC"/>
    <w:rsid w:val="00CE6DC2"/>
    <w:rsid w:val="00CF3E70"/>
    <w:rsid w:val="00CF5C51"/>
    <w:rsid w:val="00D022E9"/>
    <w:rsid w:val="00D118D2"/>
    <w:rsid w:val="00D1691B"/>
    <w:rsid w:val="00D22C7B"/>
    <w:rsid w:val="00D240FE"/>
    <w:rsid w:val="00D36DAA"/>
    <w:rsid w:val="00D36EE3"/>
    <w:rsid w:val="00D579B8"/>
    <w:rsid w:val="00D74243"/>
    <w:rsid w:val="00D75092"/>
    <w:rsid w:val="00D75FA9"/>
    <w:rsid w:val="00D83FC8"/>
    <w:rsid w:val="00D9232F"/>
    <w:rsid w:val="00D95781"/>
    <w:rsid w:val="00DB415E"/>
    <w:rsid w:val="00DD6A90"/>
    <w:rsid w:val="00DE6976"/>
    <w:rsid w:val="00E0194D"/>
    <w:rsid w:val="00E02520"/>
    <w:rsid w:val="00E05456"/>
    <w:rsid w:val="00E10C70"/>
    <w:rsid w:val="00E16DA7"/>
    <w:rsid w:val="00E3388C"/>
    <w:rsid w:val="00E343C7"/>
    <w:rsid w:val="00E51287"/>
    <w:rsid w:val="00E742BD"/>
    <w:rsid w:val="00E836DC"/>
    <w:rsid w:val="00E95495"/>
    <w:rsid w:val="00EC7A95"/>
    <w:rsid w:val="00EF37BB"/>
    <w:rsid w:val="00EF5835"/>
    <w:rsid w:val="00F03203"/>
    <w:rsid w:val="00F47463"/>
    <w:rsid w:val="00F51B63"/>
    <w:rsid w:val="00F843AB"/>
    <w:rsid w:val="00F9114E"/>
    <w:rsid w:val="00FA698A"/>
    <w:rsid w:val="00FB20B3"/>
    <w:rsid w:val="00FB5ED2"/>
    <w:rsid w:val="00FB6E05"/>
    <w:rsid w:val="00FC6365"/>
    <w:rsid w:val="00FE6149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1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4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B13"/>
    <w:rPr>
      <w:color w:val="0000FF" w:themeColor="hyperlink"/>
      <w:u w:val="single"/>
    </w:rPr>
  </w:style>
  <w:style w:type="paragraph" w:customStyle="1" w:styleId="ACMABodyText">
    <w:name w:val="ACMA Body Text"/>
    <w:rsid w:val="00824B0A"/>
    <w:pPr>
      <w:suppressAutoHyphens/>
      <w:spacing w:before="80" w:after="12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MANumberedList">
    <w:name w:val="ACMA Numbered List"/>
    <w:rsid w:val="00607DB3"/>
    <w:pPr>
      <w:numPr>
        <w:numId w:val="1"/>
      </w:numPr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607DB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C6EEE"/>
    <w:rPr>
      <w:i/>
      <w:iCs/>
    </w:rPr>
  </w:style>
  <w:style w:type="paragraph" w:styleId="ListParagraph">
    <w:name w:val="List Paragraph"/>
    <w:basedOn w:val="Normal"/>
    <w:uiPriority w:val="34"/>
    <w:qFormat/>
    <w:rsid w:val="0083217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bidi="he-IL"/>
    </w:rPr>
  </w:style>
  <w:style w:type="character" w:customStyle="1" w:styleId="apple-converted-space">
    <w:name w:val="apple-converted-space"/>
    <w:basedOn w:val="DefaultParagraphFont"/>
    <w:rsid w:val="000F5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www.standards.org.au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83630db1-6fc2-4dfd-b3fe-d61d34e1440c">ER2012/006501</Record_x0020_Number>
    <Legacy_x0020_Record_x0020_Number xmlns="83630db1-6fc2-4dfd-b3fe-d61d34e1440c" xsi:nil="true"/>
    <IconOverlay xmlns="http://schemas.microsoft.com/sharepoint/v4" xsi:nil="true"/>
    <_dlc_DocId xmlns="6db8f3c6-01a1-4322-b043-a3b2a190f7a8">KNAH4PPFC442-1837-25</_dlc_DocId>
    <_dlc_DocIdUrl xmlns="6db8f3c6-01a1-4322-b043-a3b2a190f7a8">
      <Url>http://collaboration/organisation/CID/IRB/TRDS/Proj/_layouts/DocIdRedir.aspx?ID=KNAH4PPFC442-1837-25</Url>
      <Description>KNAH4PPFC442-1837-25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ord" ma:contentTypeID="0x01010070E27D6A746B5B48ADF22C2128054D550077E615D0EEE8E048A4E55755591A1BB0" ma:contentTypeVersion="34" ma:contentTypeDescription="A document enhanced so that it is automatically captured by RecordPoint." ma:contentTypeScope="" ma:versionID="dc56d852a49286e95bd9bc03f5132b23">
  <xsd:schema xmlns:xsd="http://www.w3.org/2001/XMLSchema" xmlns:xs="http://www.w3.org/2001/XMLSchema" xmlns:p="http://schemas.microsoft.com/office/2006/metadata/properties" xmlns:ns2="83630db1-6fc2-4dfd-b3fe-d61d34e1440c" xmlns:ns3="6db8f3c6-01a1-4322-b043-a3b2a190f7a8" xmlns:ns4="http://schemas.microsoft.com/sharepoint/v4" targetNamespace="http://schemas.microsoft.com/office/2006/metadata/properties" ma:root="true" ma:fieldsID="57ed08283bed509c1753177cbf66c39e" ns2:_="" ns3:_="" ns4:_="">
    <xsd:import namespace="83630db1-6fc2-4dfd-b3fe-d61d34e1440c"/>
    <xsd:import namespace="6db8f3c6-01a1-4322-b043-a3b2a190f7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egacy_x0020_Record_x0020_Number" minOccurs="0"/>
                <xsd:element ref="ns2:Record_x0020_Number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30db1-6fc2-4dfd-b3fe-d61d34e1440c" elementFormDefault="qualified">
    <xsd:import namespace="http://schemas.microsoft.com/office/2006/documentManagement/types"/>
    <xsd:import namespace="http://schemas.microsoft.com/office/infopath/2007/PartnerControls"/>
    <xsd:element name="Legacy_x0020_Record_x0020_Number" ma:index="8" nillable="true" ma:displayName="Legacy Record Number" ma:description="Captures legacy record numbers, eg from TRIM." ma:internalName="Legacy_x0020_Record_x0020_Number">
      <xsd:simpleType>
        <xsd:restriction base="dms:Text">
          <xsd:maxLength value="40"/>
        </xsd:restriction>
      </xsd:simpleType>
    </xsd:element>
    <xsd:element name="Record_x0020_Number" ma:index="9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f3c6-01a1-4322-b043-a3b2a190f7a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033047a-93aa-421b-8aef-52cbfb63cf36" ContentTypeId="0x01010070E27D6A746B5B48ADF22C2128054D55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C353-06F9-4911-97AF-7435261F164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3630db1-6fc2-4dfd-b3fe-d61d34e1440c"/>
    <ds:schemaRef ds:uri="6db8f3c6-01a1-4322-b043-a3b2a190f7a8"/>
    <ds:schemaRef ds:uri="http://schemas.microsoft.com/sharepoint/v4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652B6-8CCA-4E39-BB99-7638E942A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30db1-6fc2-4dfd-b3fe-d61d34e1440c"/>
    <ds:schemaRef ds:uri="6db8f3c6-01a1-4322-b043-a3b2a190f7a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7FD27-E81F-4BBF-85A7-A93C79BEFC0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8E59D03-B522-4B2D-B731-63F8950EE1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A98C8F-B1F9-4FCA-9B60-1BE7F2C505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BF37887-E0F7-4276-837A-121D4786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1588</Words>
  <Characters>9054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 SRD Standard</vt:lpstr>
    </vt:vector>
  </TitlesOfParts>
  <Company>Australian Communications and Media Authority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 SRD Standard</dc:title>
  <dc:creator>Kristy Tehan</dc:creator>
  <cp:lastModifiedBy>Helen Turnbull</cp:lastModifiedBy>
  <cp:revision>2</cp:revision>
  <cp:lastPrinted>2012-08-29T23:10:00Z</cp:lastPrinted>
  <dcterms:created xsi:type="dcterms:W3CDTF">2013-03-04T00:56:00Z</dcterms:created>
  <dcterms:modified xsi:type="dcterms:W3CDTF">2013-03-04T00:56:00Z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0x01010070E27D6A746B5B48ADF22C2128054D550077E615D0EEE8E048A4E55755591A1BB0</vt:lpwstr>
  </property>
  <property fmtid="{D5CDD505-2E9C-101B-9397-08002B2CF9AE}" pid="3" name="_dlc_DocIdItemGuid">
    <vt:lpwstr>42cdafa5-5f44-4c9e-a3d1-dd70ae95681d</vt:lpwstr>
  </property>
  <property fmtid="{D5CDD505-2E9C-101B-9397-08002B2CF9AE}" pid="4" name="RecordPoint_WorkflowType">
    <vt:lpwstr>ActiveSubmitStub</vt:lpwstr>
  </property>
  <property fmtid="{D5CDD505-2E9C-101B-9397-08002B2CF9AE}" pid="5" name="RecordPoint_SubmissionCompleted">
    <vt:lpwstr>2013-02-01T12:07:31.7455606+11:00</vt:lpwstr>
  </property>
  <property fmtid="{D5CDD505-2E9C-101B-9397-08002B2CF9AE}" pid="6" name="RecordPoint_SubmissionDate">
    <vt:lpwstr/>
  </property>
  <property fmtid="{D5CDD505-2E9C-101B-9397-08002B2CF9AE}" pid="7" name="RecordPoint_ActiveItemSiteId">
    <vt:lpwstr>{7ba5f3c1-1ab9-4cc3-a7c0-334d2b0aec73}</vt:lpwstr>
  </property>
  <property fmtid="{D5CDD505-2E9C-101B-9397-08002B2CF9AE}" pid="8" name="RecordPoint_ActiveItemListId">
    <vt:lpwstr>{89f17d02-96b3-4218-a80a-3b570b53fd64}</vt:lpwstr>
  </property>
  <property fmtid="{D5CDD505-2E9C-101B-9397-08002B2CF9AE}" pid="9" name="RecordPoint_ActiveItemMoved">
    <vt:lpwstr/>
  </property>
  <property fmtid="{D5CDD505-2E9C-101B-9397-08002B2CF9AE}" pid="10" name="RecordPoint_ActiveItemUniqueId">
    <vt:lpwstr>{56801c98-8f16-4a9e-8b53-712c61ecd9c6}</vt:lpwstr>
  </property>
  <property fmtid="{D5CDD505-2E9C-101B-9397-08002B2CF9AE}" pid="11" name="RecordPoint_RecordFormat">
    <vt:lpwstr/>
  </property>
  <property fmtid="{D5CDD505-2E9C-101B-9397-08002B2CF9AE}" pid="12" name="RecordPoint_ActiveItemWebId">
    <vt:lpwstr>{5b8a22d4-e734-43ec-b258-9089c7642a7f}</vt:lpwstr>
  </property>
</Properties>
</file>