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E4" w:rsidRPr="00D96FA5" w:rsidRDefault="003139E4" w:rsidP="003139E4">
      <w:pPr>
        <w:rPr>
          <w:sz w:val="28"/>
        </w:rPr>
      </w:pPr>
      <w:bookmarkStart w:id="0" w:name="_GoBack"/>
      <w:bookmarkEnd w:id="0"/>
      <w:r w:rsidRPr="00D96FA5">
        <w:rPr>
          <w:noProof/>
          <w:lang w:eastAsia="en-AU"/>
        </w:rPr>
        <w:drawing>
          <wp:inline distT="0" distB="0" distL="0" distR="0" wp14:anchorId="525C3B4B" wp14:editId="375BA063">
            <wp:extent cx="1419225" cy="1104900"/>
            <wp:effectExtent l="0" t="0" r="9525" b="0"/>
            <wp:docPr id="24" name="Picture 2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139E4" w:rsidRPr="00D96FA5" w:rsidRDefault="003139E4" w:rsidP="003139E4">
      <w:pPr>
        <w:rPr>
          <w:sz w:val="19"/>
        </w:rPr>
      </w:pPr>
    </w:p>
    <w:p w:rsidR="003139E4" w:rsidRPr="00D96FA5" w:rsidRDefault="003139E4" w:rsidP="003139E4">
      <w:pPr>
        <w:rPr>
          <w:sz w:val="19"/>
        </w:rPr>
      </w:pPr>
      <w:bookmarkStart w:id="1" w:name="ConfidenceBlock"/>
      <w:bookmarkEnd w:id="1"/>
    </w:p>
    <w:p w:rsidR="003139E4" w:rsidRPr="00D96FA5" w:rsidRDefault="00915918" w:rsidP="003139E4">
      <w:pPr>
        <w:pStyle w:val="ShortT"/>
      </w:pPr>
      <w:r>
        <w:t>Australian Charities and Not</w:t>
      </w:r>
      <w:r>
        <w:noBreakHyphen/>
        <w:t>for</w:t>
      </w:r>
      <w:r>
        <w:noBreakHyphen/>
        <w:t>profits Commission Amendment Regulation 2013 (No. 1)</w:t>
      </w:r>
    </w:p>
    <w:p w:rsidR="003139E4" w:rsidRPr="00D96FA5" w:rsidRDefault="003139E4" w:rsidP="003139E4"/>
    <w:p w:rsidR="003139E4" w:rsidRPr="00D96FA5" w:rsidRDefault="00F94E2E" w:rsidP="003139E4">
      <w:pPr>
        <w:pStyle w:val="InstNo"/>
      </w:pPr>
      <w:r>
        <w:t>Select Legislative Instrument No. 23,</w:t>
      </w:r>
      <w:r w:rsidR="00856760">
        <w:t xml:space="preserve"> </w:t>
      </w:r>
      <w:r>
        <w:t>2013</w:t>
      </w:r>
    </w:p>
    <w:p w:rsidR="007751D9" w:rsidRPr="00D96FA5" w:rsidRDefault="007751D9" w:rsidP="00B74DA1">
      <w:pPr>
        <w:pStyle w:val="SignCoverPageStart"/>
        <w:spacing w:before="240"/>
      </w:pPr>
      <w:r w:rsidRPr="00D96FA5">
        <w:t>I, Quentin Bryce, Governor</w:t>
      </w:r>
      <w:r w:rsidR="00D96FA5" w:rsidRPr="00D96FA5">
        <w:noBreakHyphen/>
      </w:r>
      <w:r w:rsidRPr="00D96FA5">
        <w:t xml:space="preserve">General of the Commonwealth of Australia, acting with the advice of the Federal Executive Council, make the following regulation under the </w:t>
      </w:r>
      <w:r w:rsidRPr="00D96FA5">
        <w:rPr>
          <w:i/>
        </w:rPr>
        <w:t>Australian Charities and Not</w:t>
      </w:r>
      <w:r w:rsidR="00D96FA5" w:rsidRPr="00D96FA5">
        <w:rPr>
          <w:i/>
        </w:rPr>
        <w:noBreakHyphen/>
      </w:r>
      <w:r w:rsidRPr="00D96FA5">
        <w:rPr>
          <w:i/>
        </w:rPr>
        <w:t>for</w:t>
      </w:r>
      <w:r w:rsidR="00D96FA5" w:rsidRPr="00D96FA5">
        <w:rPr>
          <w:i/>
        </w:rPr>
        <w:noBreakHyphen/>
      </w:r>
      <w:r w:rsidRPr="00D96FA5">
        <w:rPr>
          <w:i/>
        </w:rPr>
        <w:t>profits Commission Act 2012</w:t>
      </w:r>
      <w:r w:rsidRPr="00D96FA5">
        <w:t>.</w:t>
      </w:r>
    </w:p>
    <w:p w:rsidR="007751D9" w:rsidRPr="00D96FA5" w:rsidRDefault="00856760" w:rsidP="000B0F79">
      <w:pPr>
        <w:keepNext/>
        <w:spacing w:before="720" w:line="240" w:lineRule="atLeast"/>
        <w:ind w:right="397"/>
        <w:jc w:val="both"/>
        <w:rPr>
          <w:sz w:val="24"/>
          <w:szCs w:val="24"/>
        </w:rPr>
      </w:pPr>
      <w:r>
        <w:rPr>
          <w:sz w:val="24"/>
          <w:szCs w:val="24"/>
        </w:rPr>
        <w:t xml:space="preserve">Dated </w:t>
      </w:r>
      <w:r>
        <w:rPr>
          <w:sz w:val="24"/>
          <w:szCs w:val="24"/>
        </w:rPr>
        <w:tab/>
        <w:t xml:space="preserve">1 March </w:t>
      </w:r>
      <w:r w:rsidR="007751D9" w:rsidRPr="00D96FA5">
        <w:rPr>
          <w:sz w:val="24"/>
          <w:szCs w:val="24"/>
        </w:rPr>
        <w:fldChar w:fldCharType="begin"/>
      </w:r>
      <w:r w:rsidR="007751D9" w:rsidRPr="00D96FA5">
        <w:rPr>
          <w:sz w:val="24"/>
          <w:szCs w:val="24"/>
        </w:rPr>
        <w:instrText xml:space="preserve"> DOCPROPERTY  DateMade </w:instrText>
      </w:r>
      <w:r w:rsidR="007751D9" w:rsidRPr="00D96FA5">
        <w:rPr>
          <w:sz w:val="24"/>
          <w:szCs w:val="24"/>
        </w:rPr>
        <w:fldChar w:fldCharType="separate"/>
      </w:r>
      <w:r w:rsidR="00915918">
        <w:rPr>
          <w:sz w:val="24"/>
          <w:szCs w:val="24"/>
        </w:rPr>
        <w:t>2013</w:t>
      </w:r>
      <w:r w:rsidR="007751D9" w:rsidRPr="00D96FA5">
        <w:rPr>
          <w:sz w:val="24"/>
          <w:szCs w:val="24"/>
        </w:rPr>
        <w:fldChar w:fldCharType="end"/>
      </w:r>
    </w:p>
    <w:p w:rsidR="007751D9" w:rsidRPr="00D96FA5" w:rsidRDefault="007751D9" w:rsidP="000B0F79">
      <w:pPr>
        <w:keepNext/>
        <w:tabs>
          <w:tab w:val="left" w:pos="3402"/>
        </w:tabs>
        <w:spacing w:before="960" w:line="300" w:lineRule="atLeast"/>
        <w:ind w:left="397" w:right="397"/>
        <w:jc w:val="right"/>
        <w:rPr>
          <w:sz w:val="24"/>
          <w:szCs w:val="24"/>
        </w:rPr>
      </w:pPr>
      <w:r w:rsidRPr="00D96FA5">
        <w:t>Quentin Bryce</w:t>
      </w:r>
    </w:p>
    <w:p w:rsidR="007751D9" w:rsidRPr="00D96FA5" w:rsidRDefault="007751D9" w:rsidP="00787B23">
      <w:pPr>
        <w:keepNext/>
        <w:tabs>
          <w:tab w:val="left" w:pos="3402"/>
        </w:tabs>
        <w:spacing w:line="300" w:lineRule="atLeast"/>
        <w:ind w:left="397" w:right="397"/>
        <w:jc w:val="right"/>
        <w:rPr>
          <w:sz w:val="24"/>
          <w:szCs w:val="24"/>
        </w:rPr>
      </w:pPr>
      <w:r w:rsidRPr="00D96FA5">
        <w:rPr>
          <w:sz w:val="24"/>
          <w:szCs w:val="24"/>
        </w:rPr>
        <w:t>Governor</w:t>
      </w:r>
      <w:r w:rsidR="00D96FA5" w:rsidRPr="00D96FA5">
        <w:rPr>
          <w:sz w:val="24"/>
          <w:szCs w:val="24"/>
        </w:rPr>
        <w:noBreakHyphen/>
      </w:r>
      <w:r w:rsidRPr="00D96FA5">
        <w:rPr>
          <w:sz w:val="24"/>
          <w:szCs w:val="24"/>
        </w:rPr>
        <w:t>General</w:t>
      </w:r>
    </w:p>
    <w:p w:rsidR="007751D9" w:rsidRPr="00D96FA5" w:rsidRDefault="007751D9" w:rsidP="00B74DA1">
      <w:pPr>
        <w:keepNext/>
        <w:tabs>
          <w:tab w:val="left" w:pos="3402"/>
        </w:tabs>
        <w:spacing w:after="800" w:line="300" w:lineRule="atLeast"/>
        <w:ind w:right="397"/>
        <w:rPr>
          <w:sz w:val="24"/>
          <w:szCs w:val="24"/>
        </w:rPr>
      </w:pPr>
      <w:r w:rsidRPr="00D96FA5">
        <w:rPr>
          <w:sz w:val="24"/>
          <w:szCs w:val="24"/>
        </w:rPr>
        <w:t>By Her Excellency’s Command</w:t>
      </w:r>
    </w:p>
    <w:p w:rsidR="007751D9" w:rsidRPr="00D96FA5" w:rsidRDefault="007751D9" w:rsidP="00B74DA1">
      <w:pPr>
        <w:keepNext/>
        <w:tabs>
          <w:tab w:val="left" w:pos="3402"/>
        </w:tabs>
        <w:spacing w:before="480" w:line="300" w:lineRule="atLeast"/>
        <w:ind w:right="397"/>
        <w:rPr>
          <w:szCs w:val="22"/>
        </w:rPr>
      </w:pPr>
      <w:r w:rsidRPr="00D96FA5">
        <w:rPr>
          <w:szCs w:val="22"/>
        </w:rPr>
        <w:t>David Bradbury</w:t>
      </w:r>
    </w:p>
    <w:p w:rsidR="007751D9" w:rsidRPr="00D96FA5" w:rsidRDefault="007751D9" w:rsidP="00B74DA1">
      <w:pPr>
        <w:pStyle w:val="SignCoverPageEnd"/>
      </w:pPr>
      <w:r w:rsidRPr="00D96FA5">
        <w:t>Assistant Treasurer</w:t>
      </w:r>
    </w:p>
    <w:p w:rsidR="007751D9" w:rsidRPr="00D96FA5" w:rsidRDefault="007751D9" w:rsidP="007751D9"/>
    <w:p w:rsidR="003139E4" w:rsidRPr="00D96FA5" w:rsidRDefault="003139E4" w:rsidP="003139E4">
      <w:pPr>
        <w:pStyle w:val="Header"/>
        <w:tabs>
          <w:tab w:val="clear" w:pos="4150"/>
          <w:tab w:val="clear" w:pos="8307"/>
        </w:tabs>
      </w:pPr>
      <w:r w:rsidRPr="00D96FA5">
        <w:rPr>
          <w:rStyle w:val="CharAmSchNo"/>
        </w:rPr>
        <w:t xml:space="preserve"> </w:t>
      </w:r>
      <w:r w:rsidRPr="00D96FA5">
        <w:rPr>
          <w:rStyle w:val="CharAmSchText"/>
        </w:rPr>
        <w:t xml:space="preserve"> </w:t>
      </w:r>
    </w:p>
    <w:p w:rsidR="003139E4" w:rsidRPr="00D96FA5" w:rsidRDefault="003139E4" w:rsidP="003139E4">
      <w:pPr>
        <w:pStyle w:val="Header"/>
        <w:tabs>
          <w:tab w:val="clear" w:pos="4150"/>
          <w:tab w:val="clear" w:pos="8307"/>
        </w:tabs>
      </w:pPr>
      <w:r w:rsidRPr="00D96FA5">
        <w:rPr>
          <w:rStyle w:val="CharAmPartNo"/>
        </w:rPr>
        <w:t xml:space="preserve"> </w:t>
      </w:r>
      <w:r w:rsidRPr="00D96FA5">
        <w:rPr>
          <w:rStyle w:val="CharAmPartText"/>
        </w:rPr>
        <w:t xml:space="preserve"> </w:t>
      </w:r>
    </w:p>
    <w:p w:rsidR="003139E4" w:rsidRPr="00D96FA5" w:rsidRDefault="003139E4" w:rsidP="003139E4">
      <w:pPr>
        <w:sectPr w:rsidR="003139E4" w:rsidRPr="00D96FA5" w:rsidSect="005B518C">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18" w:right="2410" w:bottom="4253" w:left="2410" w:header="720" w:footer="3546" w:gutter="0"/>
          <w:cols w:space="708"/>
          <w:titlePg/>
          <w:docGrid w:linePitch="360"/>
        </w:sectPr>
      </w:pPr>
    </w:p>
    <w:p w:rsidR="003139E4" w:rsidRPr="00D96FA5" w:rsidRDefault="003139E4" w:rsidP="00E4084F">
      <w:pPr>
        <w:rPr>
          <w:sz w:val="36"/>
        </w:rPr>
      </w:pPr>
      <w:r w:rsidRPr="00D96FA5">
        <w:rPr>
          <w:sz w:val="36"/>
        </w:rPr>
        <w:lastRenderedPageBreak/>
        <w:t>Contents</w:t>
      </w:r>
    </w:p>
    <w:bookmarkStart w:id="2" w:name="BKCheck15B_2"/>
    <w:bookmarkEnd w:id="2"/>
    <w:p w:rsidR="00167DBC" w:rsidRPr="00D96FA5" w:rsidRDefault="00167DBC">
      <w:pPr>
        <w:pStyle w:val="TOC5"/>
        <w:rPr>
          <w:rFonts w:asciiTheme="minorHAnsi" w:eastAsiaTheme="minorEastAsia" w:hAnsiTheme="minorHAnsi" w:cstheme="minorBidi"/>
          <w:noProof/>
          <w:kern w:val="0"/>
          <w:sz w:val="22"/>
          <w:szCs w:val="22"/>
        </w:rPr>
      </w:pPr>
      <w:r w:rsidRPr="00D96FA5">
        <w:fldChar w:fldCharType="begin"/>
      </w:r>
      <w:r w:rsidRPr="00D96FA5">
        <w:instrText xml:space="preserve"> TOC \o "1-9" </w:instrText>
      </w:r>
      <w:r w:rsidRPr="00D96FA5">
        <w:fldChar w:fldCharType="separate"/>
      </w:r>
      <w:r w:rsidRPr="00D96FA5">
        <w:rPr>
          <w:noProof/>
        </w:rPr>
        <w:t>1</w:t>
      </w:r>
      <w:r w:rsidRPr="00D96FA5">
        <w:rPr>
          <w:noProof/>
        </w:rPr>
        <w:tab/>
        <w:t>Name of regulation</w:t>
      </w:r>
      <w:r w:rsidRPr="00D96FA5">
        <w:rPr>
          <w:noProof/>
        </w:rPr>
        <w:tab/>
      </w:r>
      <w:r w:rsidRPr="00D96FA5">
        <w:rPr>
          <w:noProof/>
        </w:rPr>
        <w:fldChar w:fldCharType="begin"/>
      </w:r>
      <w:r w:rsidRPr="00D96FA5">
        <w:rPr>
          <w:noProof/>
        </w:rPr>
        <w:instrText xml:space="preserve"> PAGEREF _Toc349234101 \h </w:instrText>
      </w:r>
      <w:r w:rsidRPr="00D96FA5">
        <w:rPr>
          <w:noProof/>
        </w:rPr>
      </w:r>
      <w:r w:rsidRPr="00D96FA5">
        <w:rPr>
          <w:noProof/>
        </w:rPr>
        <w:fldChar w:fldCharType="separate"/>
      </w:r>
      <w:r w:rsidR="008949AC">
        <w:rPr>
          <w:noProof/>
        </w:rPr>
        <w:t>1</w:t>
      </w:r>
      <w:r w:rsidRPr="00D96FA5">
        <w:rPr>
          <w:noProof/>
        </w:rPr>
        <w:fldChar w:fldCharType="end"/>
      </w:r>
    </w:p>
    <w:p w:rsidR="00167DBC" w:rsidRPr="00D96FA5" w:rsidRDefault="00167DBC">
      <w:pPr>
        <w:pStyle w:val="TOC5"/>
        <w:rPr>
          <w:rFonts w:asciiTheme="minorHAnsi" w:eastAsiaTheme="minorEastAsia" w:hAnsiTheme="minorHAnsi" w:cstheme="minorBidi"/>
          <w:noProof/>
          <w:kern w:val="0"/>
          <w:sz w:val="22"/>
          <w:szCs w:val="22"/>
        </w:rPr>
      </w:pPr>
      <w:r w:rsidRPr="00D96FA5">
        <w:rPr>
          <w:noProof/>
        </w:rPr>
        <w:t>2</w:t>
      </w:r>
      <w:r w:rsidRPr="00D96FA5">
        <w:rPr>
          <w:noProof/>
        </w:rPr>
        <w:tab/>
        <w:t>Commencement</w:t>
      </w:r>
      <w:r w:rsidRPr="00D96FA5">
        <w:rPr>
          <w:noProof/>
        </w:rPr>
        <w:tab/>
      </w:r>
      <w:r w:rsidRPr="00D96FA5">
        <w:rPr>
          <w:noProof/>
        </w:rPr>
        <w:fldChar w:fldCharType="begin"/>
      </w:r>
      <w:r w:rsidRPr="00D96FA5">
        <w:rPr>
          <w:noProof/>
        </w:rPr>
        <w:instrText xml:space="preserve"> PAGEREF _Toc349234102 \h </w:instrText>
      </w:r>
      <w:r w:rsidRPr="00D96FA5">
        <w:rPr>
          <w:noProof/>
        </w:rPr>
      </w:r>
      <w:r w:rsidRPr="00D96FA5">
        <w:rPr>
          <w:noProof/>
        </w:rPr>
        <w:fldChar w:fldCharType="separate"/>
      </w:r>
      <w:r w:rsidR="008949AC">
        <w:rPr>
          <w:noProof/>
        </w:rPr>
        <w:t>1</w:t>
      </w:r>
      <w:r w:rsidRPr="00D96FA5">
        <w:rPr>
          <w:noProof/>
        </w:rPr>
        <w:fldChar w:fldCharType="end"/>
      </w:r>
    </w:p>
    <w:p w:rsidR="00167DBC" w:rsidRPr="00D96FA5" w:rsidRDefault="00167DBC">
      <w:pPr>
        <w:pStyle w:val="TOC5"/>
        <w:rPr>
          <w:rFonts w:asciiTheme="minorHAnsi" w:eastAsiaTheme="minorEastAsia" w:hAnsiTheme="minorHAnsi" w:cstheme="minorBidi"/>
          <w:noProof/>
          <w:kern w:val="0"/>
          <w:sz w:val="22"/>
          <w:szCs w:val="22"/>
        </w:rPr>
      </w:pPr>
      <w:r w:rsidRPr="00D96FA5">
        <w:rPr>
          <w:noProof/>
        </w:rPr>
        <w:t>3</w:t>
      </w:r>
      <w:r w:rsidRPr="00D96FA5">
        <w:rPr>
          <w:noProof/>
        </w:rPr>
        <w:tab/>
        <w:t>Authority</w:t>
      </w:r>
      <w:r w:rsidRPr="00D96FA5">
        <w:rPr>
          <w:noProof/>
        </w:rPr>
        <w:tab/>
      </w:r>
      <w:r w:rsidRPr="00D96FA5">
        <w:rPr>
          <w:noProof/>
        </w:rPr>
        <w:fldChar w:fldCharType="begin"/>
      </w:r>
      <w:r w:rsidRPr="00D96FA5">
        <w:rPr>
          <w:noProof/>
        </w:rPr>
        <w:instrText xml:space="preserve"> PAGEREF _Toc349234103 \h </w:instrText>
      </w:r>
      <w:r w:rsidRPr="00D96FA5">
        <w:rPr>
          <w:noProof/>
        </w:rPr>
      </w:r>
      <w:r w:rsidRPr="00D96FA5">
        <w:rPr>
          <w:noProof/>
        </w:rPr>
        <w:fldChar w:fldCharType="separate"/>
      </w:r>
      <w:r w:rsidR="008949AC">
        <w:rPr>
          <w:noProof/>
        </w:rPr>
        <w:t>1</w:t>
      </w:r>
      <w:r w:rsidRPr="00D96FA5">
        <w:rPr>
          <w:noProof/>
        </w:rPr>
        <w:fldChar w:fldCharType="end"/>
      </w:r>
    </w:p>
    <w:p w:rsidR="00167DBC" w:rsidRPr="00D96FA5" w:rsidRDefault="00167DBC">
      <w:pPr>
        <w:pStyle w:val="TOC5"/>
        <w:rPr>
          <w:rFonts w:asciiTheme="minorHAnsi" w:eastAsiaTheme="minorEastAsia" w:hAnsiTheme="minorHAnsi" w:cstheme="minorBidi"/>
          <w:noProof/>
          <w:kern w:val="0"/>
          <w:sz w:val="22"/>
          <w:szCs w:val="22"/>
        </w:rPr>
      </w:pPr>
      <w:r w:rsidRPr="00D96FA5">
        <w:rPr>
          <w:noProof/>
        </w:rPr>
        <w:t>4</w:t>
      </w:r>
      <w:r w:rsidRPr="00D96FA5">
        <w:rPr>
          <w:noProof/>
        </w:rPr>
        <w:tab/>
        <w:t>Schedule(s)</w:t>
      </w:r>
      <w:r w:rsidRPr="00D96FA5">
        <w:rPr>
          <w:noProof/>
        </w:rPr>
        <w:tab/>
      </w:r>
      <w:r w:rsidRPr="00D96FA5">
        <w:rPr>
          <w:noProof/>
        </w:rPr>
        <w:fldChar w:fldCharType="begin"/>
      </w:r>
      <w:r w:rsidRPr="00D96FA5">
        <w:rPr>
          <w:noProof/>
        </w:rPr>
        <w:instrText xml:space="preserve"> PAGEREF _Toc349234104 \h </w:instrText>
      </w:r>
      <w:r w:rsidRPr="00D96FA5">
        <w:rPr>
          <w:noProof/>
        </w:rPr>
      </w:r>
      <w:r w:rsidRPr="00D96FA5">
        <w:rPr>
          <w:noProof/>
        </w:rPr>
        <w:fldChar w:fldCharType="separate"/>
      </w:r>
      <w:r w:rsidR="008949AC">
        <w:rPr>
          <w:noProof/>
        </w:rPr>
        <w:t>1</w:t>
      </w:r>
      <w:r w:rsidRPr="00D96FA5">
        <w:rPr>
          <w:noProof/>
        </w:rPr>
        <w:fldChar w:fldCharType="end"/>
      </w:r>
    </w:p>
    <w:p w:rsidR="00167DBC" w:rsidRPr="00D96FA5" w:rsidRDefault="00167DBC">
      <w:pPr>
        <w:pStyle w:val="TOC6"/>
        <w:rPr>
          <w:rFonts w:asciiTheme="minorHAnsi" w:eastAsiaTheme="minorEastAsia" w:hAnsiTheme="minorHAnsi" w:cstheme="minorBidi"/>
          <w:b w:val="0"/>
          <w:noProof/>
          <w:kern w:val="0"/>
          <w:sz w:val="22"/>
          <w:szCs w:val="22"/>
        </w:rPr>
      </w:pPr>
      <w:r w:rsidRPr="00D96FA5">
        <w:rPr>
          <w:noProof/>
        </w:rPr>
        <w:t>Schedule</w:t>
      </w:r>
      <w:r w:rsidR="00D96FA5" w:rsidRPr="00D96FA5">
        <w:rPr>
          <w:noProof/>
        </w:rPr>
        <w:t> </w:t>
      </w:r>
      <w:r w:rsidRPr="00D96FA5">
        <w:rPr>
          <w:noProof/>
        </w:rPr>
        <w:t>1</w:t>
      </w:r>
      <w:r w:rsidRPr="00D96FA5">
        <w:rPr>
          <w:rFonts w:cs="Arial"/>
          <w:noProof/>
        </w:rPr>
        <w:t>—</w:t>
      </w:r>
      <w:r w:rsidRPr="00D96FA5">
        <w:rPr>
          <w:noProof/>
        </w:rPr>
        <w:t>Amendments of the Australian Charities and Not</w:t>
      </w:r>
      <w:r w:rsidR="00D96FA5" w:rsidRPr="00D96FA5">
        <w:rPr>
          <w:noProof/>
        </w:rPr>
        <w:noBreakHyphen/>
      </w:r>
      <w:r w:rsidRPr="00D96FA5">
        <w:rPr>
          <w:noProof/>
        </w:rPr>
        <w:t>for</w:t>
      </w:r>
      <w:r w:rsidR="00D96FA5" w:rsidRPr="00D96FA5">
        <w:rPr>
          <w:noProof/>
        </w:rPr>
        <w:noBreakHyphen/>
      </w:r>
      <w:r w:rsidRPr="00D96FA5">
        <w:rPr>
          <w:noProof/>
        </w:rPr>
        <w:t>profits Commission Regulation</w:t>
      </w:r>
      <w:r w:rsidR="00D96FA5" w:rsidRPr="00D96FA5">
        <w:rPr>
          <w:noProof/>
        </w:rPr>
        <w:t> </w:t>
      </w:r>
      <w:r w:rsidRPr="00D96FA5">
        <w:rPr>
          <w:noProof/>
        </w:rPr>
        <w:t>2013</w:t>
      </w:r>
      <w:r w:rsidRPr="00D96FA5">
        <w:rPr>
          <w:b w:val="0"/>
          <w:noProof/>
          <w:sz w:val="18"/>
        </w:rPr>
        <w:tab/>
      </w:r>
      <w:r w:rsidRPr="00D96FA5">
        <w:rPr>
          <w:b w:val="0"/>
          <w:noProof/>
          <w:sz w:val="18"/>
        </w:rPr>
        <w:fldChar w:fldCharType="begin"/>
      </w:r>
      <w:r w:rsidRPr="00D96FA5">
        <w:rPr>
          <w:b w:val="0"/>
          <w:noProof/>
          <w:sz w:val="18"/>
        </w:rPr>
        <w:instrText xml:space="preserve"> PAGEREF _Toc349234105 \h </w:instrText>
      </w:r>
      <w:r w:rsidRPr="00D96FA5">
        <w:rPr>
          <w:b w:val="0"/>
          <w:noProof/>
          <w:sz w:val="18"/>
        </w:rPr>
      </w:r>
      <w:r w:rsidRPr="00D96FA5">
        <w:rPr>
          <w:b w:val="0"/>
          <w:noProof/>
          <w:sz w:val="18"/>
        </w:rPr>
        <w:fldChar w:fldCharType="separate"/>
      </w:r>
      <w:r w:rsidR="008949AC">
        <w:rPr>
          <w:b w:val="0"/>
          <w:noProof/>
          <w:sz w:val="18"/>
        </w:rPr>
        <w:t>2</w:t>
      </w:r>
      <w:r w:rsidRPr="00D96FA5">
        <w:rPr>
          <w:b w:val="0"/>
          <w:noProof/>
          <w:sz w:val="18"/>
        </w:rPr>
        <w:fldChar w:fldCharType="end"/>
      </w:r>
    </w:p>
    <w:p w:rsidR="003139E4" w:rsidRPr="00D96FA5" w:rsidRDefault="00167DBC" w:rsidP="003139E4">
      <w:r w:rsidRPr="00D96FA5">
        <w:fldChar w:fldCharType="end"/>
      </w:r>
    </w:p>
    <w:p w:rsidR="003139E4" w:rsidRPr="00D96FA5" w:rsidRDefault="003139E4" w:rsidP="003139E4">
      <w:pPr>
        <w:sectPr w:rsidR="003139E4" w:rsidRPr="00D96FA5" w:rsidSect="005B518C">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3139E4" w:rsidRPr="00D96FA5" w:rsidRDefault="003139E4" w:rsidP="003139E4">
      <w:pPr>
        <w:pStyle w:val="ActHead5"/>
      </w:pPr>
    </w:p>
    <w:p w:rsidR="00F80BAC" w:rsidRPr="00D96FA5" w:rsidRDefault="00F80BAC" w:rsidP="003139E4">
      <w:pPr>
        <w:pStyle w:val="ActHead5"/>
      </w:pPr>
      <w:bookmarkStart w:id="3" w:name="_Toc349234101"/>
      <w:r w:rsidRPr="00D96FA5">
        <w:rPr>
          <w:rStyle w:val="CharSectno"/>
        </w:rPr>
        <w:t>1</w:t>
      </w:r>
      <w:r w:rsidR="003139E4" w:rsidRPr="00D96FA5">
        <w:t xml:space="preserve">  </w:t>
      </w:r>
      <w:r w:rsidRPr="00D96FA5">
        <w:t>Name of regulation</w:t>
      </w:r>
      <w:bookmarkEnd w:id="3"/>
    </w:p>
    <w:p w:rsidR="00F80BAC" w:rsidRPr="00D96FA5" w:rsidRDefault="00F80BAC" w:rsidP="003139E4">
      <w:pPr>
        <w:pStyle w:val="subsection"/>
      </w:pPr>
      <w:r w:rsidRPr="00D96FA5">
        <w:tab/>
      </w:r>
      <w:r w:rsidRPr="00D96FA5">
        <w:tab/>
        <w:t xml:space="preserve">This regulation is the </w:t>
      </w:r>
      <w:r w:rsidR="00915918">
        <w:rPr>
          <w:i/>
        </w:rPr>
        <w:t>Australian Charities and Not</w:t>
      </w:r>
      <w:r w:rsidR="00915918">
        <w:rPr>
          <w:i/>
        </w:rPr>
        <w:noBreakHyphen/>
        <w:t>for</w:t>
      </w:r>
      <w:r w:rsidR="00915918">
        <w:rPr>
          <w:i/>
        </w:rPr>
        <w:noBreakHyphen/>
        <w:t>profits Commission Amendment Regulation 2013 (No. 1)</w:t>
      </w:r>
      <w:r w:rsidRPr="00D96FA5">
        <w:t>.</w:t>
      </w:r>
    </w:p>
    <w:p w:rsidR="00F80BAC" w:rsidRPr="00D96FA5" w:rsidRDefault="00F80BAC" w:rsidP="003139E4">
      <w:pPr>
        <w:pStyle w:val="ActHead5"/>
      </w:pPr>
      <w:bookmarkStart w:id="4" w:name="_Toc349234102"/>
      <w:r w:rsidRPr="00D96FA5">
        <w:rPr>
          <w:rStyle w:val="CharSectno"/>
        </w:rPr>
        <w:t>2</w:t>
      </w:r>
      <w:r w:rsidR="003139E4" w:rsidRPr="00D96FA5">
        <w:t xml:space="preserve">  </w:t>
      </w:r>
      <w:r w:rsidRPr="00D96FA5">
        <w:t>Commencement</w:t>
      </w:r>
      <w:bookmarkEnd w:id="4"/>
    </w:p>
    <w:p w:rsidR="00577C27" w:rsidRPr="00D96FA5" w:rsidRDefault="00F80BAC" w:rsidP="003139E4">
      <w:pPr>
        <w:pStyle w:val="subsection"/>
      </w:pPr>
      <w:r w:rsidRPr="00D96FA5">
        <w:tab/>
      </w:r>
      <w:r w:rsidRPr="00D96FA5">
        <w:tab/>
        <w:t xml:space="preserve">This regulation commences on </w:t>
      </w:r>
      <w:r w:rsidR="00577C27" w:rsidRPr="00D96FA5">
        <w:t>the later of:</w:t>
      </w:r>
    </w:p>
    <w:p w:rsidR="00577C27" w:rsidRPr="00D96FA5" w:rsidRDefault="00577C27" w:rsidP="00577C27">
      <w:pPr>
        <w:pStyle w:val="paragraph"/>
      </w:pPr>
      <w:r w:rsidRPr="00D96FA5">
        <w:tab/>
        <w:t>(a)</w:t>
      </w:r>
      <w:r w:rsidRPr="00D96FA5">
        <w:tab/>
        <w:t>the commencement day referred to in section</w:t>
      </w:r>
      <w:r w:rsidR="00D96FA5" w:rsidRPr="00D96FA5">
        <w:t> </w:t>
      </w:r>
      <w:r w:rsidRPr="00D96FA5">
        <w:t>45</w:t>
      </w:r>
      <w:r w:rsidR="00D96FA5" w:rsidRPr="00D96FA5">
        <w:noBreakHyphen/>
      </w:r>
      <w:r w:rsidR="00776928" w:rsidRPr="00D96FA5">
        <w:t>2</w:t>
      </w:r>
      <w:r w:rsidRPr="00D96FA5">
        <w:t xml:space="preserve">0 of the </w:t>
      </w:r>
      <w:r w:rsidRPr="00D96FA5">
        <w:rPr>
          <w:i/>
        </w:rPr>
        <w:t>Australian Charities and Not</w:t>
      </w:r>
      <w:r w:rsidR="00D96FA5" w:rsidRPr="00D96FA5">
        <w:rPr>
          <w:i/>
        </w:rPr>
        <w:noBreakHyphen/>
      </w:r>
      <w:r w:rsidRPr="00D96FA5">
        <w:rPr>
          <w:i/>
        </w:rPr>
        <w:t>for</w:t>
      </w:r>
      <w:r w:rsidR="00D96FA5" w:rsidRPr="00D96FA5">
        <w:rPr>
          <w:i/>
        </w:rPr>
        <w:noBreakHyphen/>
      </w:r>
      <w:r w:rsidRPr="00D96FA5">
        <w:rPr>
          <w:i/>
        </w:rPr>
        <w:t>profits Commission Act 2012</w:t>
      </w:r>
      <w:r w:rsidRPr="00D96FA5">
        <w:t>; and</w:t>
      </w:r>
    </w:p>
    <w:p w:rsidR="00F80BAC" w:rsidRPr="00D96FA5" w:rsidRDefault="00577C27" w:rsidP="00577C27">
      <w:pPr>
        <w:pStyle w:val="paragraph"/>
      </w:pPr>
      <w:r w:rsidRPr="00D96FA5">
        <w:tab/>
        <w:t>(b)</w:t>
      </w:r>
      <w:r w:rsidRPr="00D96FA5">
        <w:tab/>
      </w:r>
      <w:r w:rsidR="004164B9" w:rsidRPr="00D96FA5">
        <w:t>1</w:t>
      </w:r>
      <w:r w:rsidR="00D96FA5" w:rsidRPr="00D96FA5">
        <w:t> </w:t>
      </w:r>
      <w:r w:rsidR="004164B9" w:rsidRPr="00D96FA5">
        <w:t>July 2013</w:t>
      </w:r>
      <w:r w:rsidR="00F80BAC" w:rsidRPr="00D96FA5">
        <w:t>.</w:t>
      </w:r>
    </w:p>
    <w:p w:rsidR="00577C27" w:rsidRPr="00D96FA5" w:rsidRDefault="00577C27" w:rsidP="00577C27">
      <w:pPr>
        <w:pStyle w:val="notetext"/>
      </w:pPr>
      <w:r w:rsidRPr="00D96FA5">
        <w:t>Note:</w:t>
      </w:r>
      <w:r w:rsidRPr="00D96FA5">
        <w:tab/>
        <w:t>Section</w:t>
      </w:r>
      <w:r w:rsidR="00D96FA5" w:rsidRPr="00D96FA5">
        <w:t> </w:t>
      </w:r>
      <w:r w:rsidRPr="00D96FA5">
        <w:t>45</w:t>
      </w:r>
      <w:r w:rsidR="00D96FA5" w:rsidRPr="00D96FA5">
        <w:noBreakHyphen/>
      </w:r>
      <w:r w:rsidR="00776928" w:rsidRPr="00D96FA5">
        <w:t>2</w:t>
      </w:r>
      <w:r w:rsidRPr="00D96FA5">
        <w:t xml:space="preserve">0 of the </w:t>
      </w:r>
      <w:r w:rsidRPr="00D96FA5">
        <w:rPr>
          <w:i/>
        </w:rPr>
        <w:t>Australian Charities and Not</w:t>
      </w:r>
      <w:r w:rsidR="00D96FA5" w:rsidRPr="00D96FA5">
        <w:rPr>
          <w:i/>
        </w:rPr>
        <w:noBreakHyphen/>
      </w:r>
      <w:r w:rsidRPr="00D96FA5">
        <w:rPr>
          <w:i/>
        </w:rPr>
        <w:t>for</w:t>
      </w:r>
      <w:r w:rsidR="00D96FA5" w:rsidRPr="00D96FA5">
        <w:rPr>
          <w:i/>
        </w:rPr>
        <w:noBreakHyphen/>
      </w:r>
      <w:r w:rsidRPr="00D96FA5">
        <w:rPr>
          <w:i/>
        </w:rPr>
        <w:t>profits Commission Act 2012</w:t>
      </w:r>
      <w:r w:rsidRPr="00D96FA5">
        <w:t xml:space="preserve"> relates to Parliamentary scrutiny of a regulation </w:t>
      </w:r>
      <w:r w:rsidRPr="00D96FA5">
        <w:rPr>
          <w:szCs w:val="22"/>
        </w:rPr>
        <w:t>made for the purposes of subsection</w:t>
      </w:r>
      <w:r w:rsidR="00D96FA5" w:rsidRPr="00D96FA5">
        <w:rPr>
          <w:szCs w:val="22"/>
        </w:rPr>
        <w:t> </w:t>
      </w:r>
      <w:r w:rsidRPr="00D96FA5">
        <w:rPr>
          <w:szCs w:val="22"/>
        </w:rPr>
        <w:t>45</w:t>
      </w:r>
      <w:r w:rsidR="00D96FA5" w:rsidRPr="00D96FA5">
        <w:rPr>
          <w:szCs w:val="22"/>
        </w:rPr>
        <w:noBreakHyphen/>
      </w:r>
      <w:r w:rsidRPr="00D96FA5">
        <w:rPr>
          <w:szCs w:val="22"/>
        </w:rPr>
        <w:t>10(1) of that Act.</w:t>
      </w:r>
    </w:p>
    <w:p w:rsidR="003139E4" w:rsidRPr="00D96FA5" w:rsidRDefault="004164B9" w:rsidP="003139E4">
      <w:pPr>
        <w:pStyle w:val="ActHead5"/>
      </w:pPr>
      <w:bookmarkStart w:id="5" w:name="_Toc349234103"/>
      <w:r w:rsidRPr="00D96FA5">
        <w:rPr>
          <w:rStyle w:val="CharSectno"/>
        </w:rPr>
        <w:t>3</w:t>
      </w:r>
      <w:r w:rsidR="003139E4" w:rsidRPr="00D96FA5">
        <w:t xml:space="preserve">  Authority</w:t>
      </w:r>
      <w:bookmarkEnd w:id="5"/>
    </w:p>
    <w:p w:rsidR="003139E4" w:rsidRPr="00D96FA5" w:rsidRDefault="003139E4" w:rsidP="003139E4">
      <w:pPr>
        <w:pStyle w:val="subsection"/>
      </w:pPr>
      <w:r w:rsidRPr="00D96FA5">
        <w:tab/>
      </w:r>
      <w:r w:rsidRPr="00D96FA5">
        <w:tab/>
        <w:t xml:space="preserve">This </w:t>
      </w:r>
      <w:r w:rsidR="004164B9" w:rsidRPr="00D96FA5">
        <w:t>regulation</w:t>
      </w:r>
      <w:r w:rsidRPr="00D96FA5">
        <w:t xml:space="preserve"> is made under the </w:t>
      </w:r>
      <w:r w:rsidR="004164B9" w:rsidRPr="00D96FA5">
        <w:rPr>
          <w:i/>
        </w:rPr>
        <w:t>Australian Charities and Not</w:t>
      </w:r>
      <w:r w:rsidR="00D96FA5" w:rsidRPr="00D96FA5">
        <w:rPr>
          <w:i/>
        </w:rPr>
        <w:noBreakHyphen/>
      </w:r>
      <w:r w:rsidR="004164B9" w:rsidRPr="00D96FA5">
        <w:rPr>
          <w:i/>
        </w:rPr>
        <w:t>for</w:t>
      </w:r>
      <w:r w:rsidR="00D96FA5" w:rsidRPr="00D96FA5">
        <w:rPr>
          <w:i/>
        </w:rPr>
        <w:noBreakHyphen/>
      </w:r>
      <w:r w:rsidR="004164B9" w:rsidRPr="00D96FA5">
        <w:rPr>
          <w:i/>
        </w:rPr>
        <w:t>profits Commission Act 2012</w:t>
      </w:r>
      <w:r w:rsidR="004164B9" w:rsidRPr="00D96FA5">
        <w:t>.</w:t>
      </w:r>
    </w:p>
    <w:p w:rsidR="003139E4" w:rsidRPr="00D96FA5" w:rsidRDefault="003139E4" w:rsidP="002012F5">
      <w:pPr>
        <w:pStyle w:val="ActHead5"/>
      </w:pPr>
      <w:bookmarkStart w:id="6" w:name="_Toc349234104"/>
      <w:r w:rsidRPr="00D96FA5">
        <w:rPr>
          <w:rStyle w:val="CharSectno"/>
        </w:rPr>
        <w:t>4</w:t>
      </w:r>
      <w:r w:rsidRPr="00D96FA5">
        <w:t xml:space="preserve">  Schedule(s)</w:t>
      </w:r>
      <w:bookmarkEnd w:id="6"/>
    </w:p>
    <w:p w:rsidR="003139E4" w:rsidRPr="00D96FA5" w:rsidRDefault="003139E4" w:rsidP="002012F5">
      <w:pPr>
        <w:pStyle w:val="subsection"/>
      </w:pPr>
      <w:r w:rsidRPr="00D96FA5">
        <w:tab/>
      </w:r>
      <w:r w:rsidRPr="00D96FA5">
        <w:tab/>
        <w:t>Each instrument that is specified in a Schedule</w:t>
      </w:r>
      <w:r w:rsidR="00E4084F" w:rsidRPr="00D96FA5">
        <w:t xml:space="preserve"> </w:t>
      </w:r>
      <w:r w:rsidRPr="00D96FA5">
        <w:t>to this instrument is amended or repealed as set out in the applicable items in the Schedule</w:t>
      </w:r>
      <w:r w:rsidR="00E4084F" w:rsidRPr="00D96FA5">
        <w:t xml:space="preserve"> </w:t>
      </w:r>
      <w:r w:rsidRPr="00D96FA5">
        <w:t>concerned, and any other item in a Schedule</w:t>
      </w:r>
      <w:r w:rsidR="00E4084F" w:rsidRPr="00D96FA5">
        <w:t xml:space="preserve"> </w:t>
      </w:r>
      <w:r w:rsidRPr="00D96FA5">
        <w:t>to this instrument has effect according to its terms.</w:t>
      </w:r>
    </w:p>
    <w:p w:rsidR="00F80BAC" w:rsidRPr="00D96FA5" w:rsidRDefault="003139E4" w:rsidP="003139E4">
      <w:pPr>
        <w:pStyle w:val="ActHead6"/>
        <w:pageBreakBefore/>
      </w:pPr>
      <w:bookmarkStart w:id="7" w:name="_Toc349234105"/>
      <w:bookmarkStart w:id="8" w:name="opcAmSched"/>
      <w:bookmarkStart w:id="9" w:name="opcCurrentFind"/>
      <w:r w:rsidRPr="00D96FA5">
        <w:rPr>
          <w:rStyle w:val="CharAmSchNo"/>
        </w:rPr>
        <w:lastRenderedPageBreak/>
        <w:t>Schedule</w:t>
      </w:r>
      <w:r w:rsidR="00D96FA5" w:rsidRPr="00D96FA5">
        <w:rPr>
          <w:rStyle w:val="CharAmSchNo"/>
        </w:rPr>
        <w:t> </w:t>
      </w:r>
      <w:r w:rsidR="00F80BAC" w:rsidRPr="00D96FA5">
        <w:rPr>
          <w:rStyle w:val="CharAmSchNo"/>
        </w:rPr>
        <w:t>1</w:t>
      </w:r>
      <w:r w:rsidRPr="00D96FA5">
        <w:rPr>
          <w:rFonts w:cs="Arial"/>
        </w:rPr>
        <w:t>—</w:t>
      </w:r>
      <w:r w:rsidR="00F80BAC" w:rsidRPr="00D96FA5">
        <w:rPr>
          <w:rStyle w:val="CharAmSchText"/>
        </w:rPr>
        <w:t>Amendments</w:t>
      </w:r>
      <w:r w:rsidR="004164B9" w:rsidRPr="00D96FA5">
        <w:rPr>
          <w:rStyle w:val="CharAmSchText"/>
        </w:rPr>
        <w:t xml:space="preserve"> of the Australian Charities and Not</w:t>
      </w:r>
      <w:r w:rsidR="00D96FA5" w:rsidRPr="00D96FA5">
        <w:rPr>
          <w:rStyle w:val="CharAmSchText"/>
        </w:rPr>
        <w:noBreakHyphen/>
      </w:r>
      <w:r w:rsidR="004164B9" w:rsidRPr="00D96FA5">
        <w:rPr>
          <w:rStyle w:val="CharAmSchText"/>
        </w:rPr>
        <w:t>for</w:t>
      </w:r>
      <w:r w:rsidR="00D96FA5" w:rsidRPr="00D96FA5">
        <w:rPr>
          <w:rStyle w:val="CharAmSchText"/>
        </w:rPr>
        <w:noBreakHyphen/>
      </w:r>
      <w:r w:rsidR="004164B9" w:rsidRPr="00D96FA5">
        <w:rPr>
          <w:rStyle w:val="CharAmSchText"/>
        </w:rPr>
        <w:t>profits Commission Regulation</w:t>
      </w:r>
      <w:r w:rsidR="00D96FA5" w:rsidRPr="00D96FA5">
        <w:rPr>
          <w:rStyle w:val="CharAmSchText"/>
        </w:rPr>
        <w:t> </w:t>
      </w:r>
      <w:r w:rsidR="004164B9" w:rsidRPr="00D96FA5">
        <w:rPr>
          <w:rStyle w:val="CharAmSchText"/>
        </w:rPr>
        <w:t>2013</w:t>
      </w:r>
      <w:bookmarkEnd w:id="7"/>
    </w:p>
    <w:bookmarkEnd w:id="8"/>
    <w:bookmarkEnd w:id="9"/>
    <w:p w:rsidR="00F80BAC" w:rsidRPr="00D96FA5" w:rsidRDefault="003139E4" w:rsidP="00510221">
      <w:pPr>
        <w:pStyle w:val="Header"/>
      </w:pPr>
      <w:r w:rsidRPr="00D96FA5">
        <w:rPr>
          <w:rStyle w:val="CharAmPartNo"/>
        </w:rPr>
        <w:t xml:space="preserve"> </w:t>
      </w:r>
      <w:r w:rsidRPr="00D96FA5">
        <w:rPr>
          <w:rStyle w:val="CharAmPartText"/>
        </w:rPr>
        <w:t xml:space="preserve"> </w:t>
      </w:r>
    </w:p>
    <w:p w:rsidR="002012F5" w:rsidRPr="00D96FA5" w:rsidRDefault="0029319D" w:rsidP="003139E4">
      <w:pPr>
        <w:pStyle w:val="ItemHead"/>
        <w:rPr>
          <w:rFonts w:cs="Arial"/>
        </w:rPr>
      </w:pPr>
      <w:r w:rsidRPr="00D96FA5">
        <w:rPr>
          <w:rFonts w:cs="Arial"/>
          <w:noProof/>
        </w:rPr>
        <w:t>1</w:t>
      </w:r>
      <w:r w:rsidR="003139E4" w:rsidRPr="00D96FA5">
        <w:rPr>
          <w:rFonts w:cs="Arial"/>
        </w:rPr>
        <w:t xml:space="preserve">  </w:t>
      </w:r>
      <w:r w:rsidR="002012F5" w:rsidRPr="00D96FA5">
        <w:rPr>
          <w:rFonts w:cs="Arial"/>
        </w:rPr>
        <w:t>Section</w:t>
      </w:r>
      <w:r w:rsidR="00D96FA5" w:rsidRPr="00D96FA5">
        <w:rPr>
          <w:rFonts w:cs="Arial"/>
        </w:rPr>
        <w:t> </w:t>
      </w:r>
      <w:r w:rsidR="002012F5" w:rsidRPr="00D96FA5">
        <w:rPr>
          <w:rFonts w:cs="Arial"/>
        </w:rPr>
        <w:t>4</w:t>
      </w:r>
    </w:p>
    <w:p w:rsidR="002012F5" w:rsidRPr="00D96FA5" w:rsidRDefault="002012F5" w:rsidP="002012F5">
      <w:pPr>
        <w:pStyle w:val="Item"/>
      </w:pPr>
      <w:r w:rsidRPr="00D96FA5">
        <w:t>Insert:</w:t>
      </w:r>
    </w:p>
    <w:p w:rsidR="002012F5" w:rsidRPr="00D96FA5" w:rsidRDefault="002012F5" w:rsidP="002012F5">
      <w:pPr>
        <w:pStyle w:val="Definition"/>
      </w:pPr>
      <w:r w:rsidRPr="00D96FA5">
        <w:rPr>
          <w:b/>
          <w:i/>
        </w:rPr>
        <w:t>member</w:t>
      </w:r>
      <w:r w:rsidRPr="00D96FA5">
        <w:t xml:space="preserve"> has the meaning given by the </w:t>
      </w:r>
      <w:r w:rsidRPr="00D96FA5">
        <w:rPr>
          <w:i/>
        </w:rPr>
        <w:t>Income Tax Assessment Act 1997</w:t>
      </w:r>
      <w:r w:rsidRPr="00D96FA5">
        <w:t>.</w:t>
      </w:r>
    </w:p>
    <w:p w:rsidR="00266F39" w:rsidRPr="00D96FA5" w:rsidRDefault="00266F39" w:rsidP="00266F39">
      <w:pPr>
        <w:pStyle w:val="ItemHead"/>
        <w:rPr>
          <w:rFonts w:cs="Arial"/>
        </w:rPr>
      </w:pPr>
      <w:r w:rsidRPr="00D96FA5">
        <w:rPr>
          <w:rFonts w:cs="Arial"/>
        </w:rPr>
        <w:t>2  Subsection</w:t>
      </w:r>
      <w:r w:rsidR="00D96FA5" w:rsidRPr="00D96FA5">
        <w:rPr>
          <w:rFonts w:cs="Arial"/>
        </w:rPr>
        <w:t> </w:t>
      </w:r>
      <w:r w:rsidRPr="00D96FA5">
        <w:rPr>
          <w:rFonts w:cs="Arial"/>
        </w:rPr>
        <w:t>40.1(1) (after table item</w:t>
      </w:r>
      <w:r w:rsidR="00D96FA5" w:rsidRPr="00D96FA5">
        <w:rPr>
          <w:rFonts w:cs="Arial"/>
        </w:rPr>
        <w:t> </w:t>
      </w:r>
      <w:r w:rsidRPr="00D96FA5">
        <w:rPr>
          <w:rFonts w:cs="Arial"/>
        </w:rPr>
        <w:t>1)</w:t>
      </w:r>
    </w:p>
    <w:p w:rsidR="00266F39" w:rsidRPr="00D96FA5" w:rsidRDefault="00266F39" w:rsidP="00266F39">
      <w:pPr>
        <w:pStyle w:val="Item"/>
      </w:pPr>
      <w:r w:rsidRPr="00D96FA5">
        <w:t>Insert:</w:t>
      </w: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119"/>
        <w:gridCol w:w="3263"/>
      </w:tblGrid>
      <w:tr w:rsidR="00266F39" w:rsidRPr="00D96FA5" w:rsidTr="00FA2326">
        <w:tc>
          <w:tcPr>
            <w:tcW w:w="709" w:type="dxa"/>
            <w:shd w:val="clear" w:color="auto" w:fill="auto"/>
          </w:tcPr>
          <w:p w:rsidR="00266F39" w:rsidRPr="00D96FA5" w:rsidRDefault="00266F39" w:rsidP="00FA2326">
            <w:pPr>
              <w:pStyle w:val="Tabletext"/>
            </w:pPr>
            <w:r w:rsidRPr="00D96FA5">
              <w:t>1A</w:t>
            </w:r>
          </w:p>
        </w:tc>
        <w:tc>
          <w:tcPr>
            <w:tcW w:w="3119" w:type="dxa"/>
            <w:shd w:val="clear" w:color="auto" w:fill="auto"/>
          </w:tcPr>
          <w:p w:rsidR="00266F39" w:rsidRPr="00D96FA5" w:rsidRDefault="00266F39" w:rsidP="00FA2326">
            <w:pPr>
              <w:pStyle w:val="Tabletext"/>
            </w:pPr>
            <w:r w:rsidRPr="00D96FA5">
              <w:t>Purpose of registered entity</w:t>
            </w:r>
          </w:p>
        </w:tc>
        <w:tc>
          <w:tcPr>
            <w:tcW w:w="3263" w:type="dxa"/>
            <w:shd w:val="clear" w:color="auto" w:fill="auto"/>
          </w:tcPr>
          <w:p w:rsidR="00266F39" w:rsidRPr="00D96FA5" w:rsidRDefault="00266F39" w:rsidP="00FA2326">
            <w:pPr>
              <w:pStyle w:val="Tabletext"/>
            </w:pPr>
            <w:r w:rsidRPr="00D96FA5">
              <w:t>Both of the following:</w:t>
            </w:r>
          </w:p>
          <w:p w:rsidR="00266F39" w:rsidRPr="00D96FA5" w:rsidRDefault="00266F39" w:rsidP="00FA2326">
            <w:pPr>
              <w:pStyle w:val="Tablea"/>
            </w:pPr>
            <w:r w:rsidRPr="00D96FA5">
              <w:t>(a)</w:t>
            </w:r>
            <w:r w:rsidRPr="00D96FA5">
              <w:tab/>
              <w:t>the information has been voluntarily disclosed to the Commissioner by the registered entity, as an extract of the governing rules of the entity, for the purpose of being included on the Register;</w:t>
            </w:r>
          </w:p>
          <w:p w:rsidR="00266F39" w:rsidRPr="00D96FA5" w:rsidRDefault="00266F39" w:rsidP="00FA2326">
            <w:pPr>
              <w:pStyle w:val="Tablea"/>
            </w:pPr>
            <w:r w:rsidRPr="00D96FA5">
              <w:t>(b)</w:t>
            </w:r>
            <w:r w:rsidRPr="00D96FA5">
              <w:tab/>
              <w:t>the Commissioner is satisfied that the extract:</w:t>
            </w:r>
          </w:p>
          <w:p w:rsidR="00266F39" w:rsidRPr="00D96FA5" w:rsidRDefault="00266F39" w:rsidP="00FA2326">
            <w:pPr>
              <w:pStyle w:val="Tablei"/>
            </w:pPr>
            <w:r w:rsidRPr="00D96FA5">
              <w:t>(</w:t>
            </w:r>
            <w:proofErr w:type="spellStart"/>
            <w:r w:rsidRPr="00D96FA5">
              <w:t>i</w:t>
            </w:r>
            <w:proofErr w:type="spellEnd"/>
            <w:r w:rsidRPr="00D96FA5">
              <w:t>)</w:t>
            </w:r>
            <w:r w:rsidRPr="00D96FA5">
              <w:tab/>
              <w:t>is consistent with the governing rules of the entity; and</w:t>
            </w:r>
          </w:p>
          <w:p w:rsidR="00266F39" w:rsidRPr="00D96FA5" w:rsidRDefault="00266F39" w:rsidP="00FA2326">
            <w:pPr>
              <w:pStyle w:val="Tablei"/>
            </w:pPr>
            <w:r w:rsidRPr="00D96FA5">
              <w:t>(ii)</w:t>
            </w:r>
            <w:r w:rsidRPr="00D96FA5">
              <w:tab/>
              <w:t>complies with governance standard 1, set out in section</w:t>
            </w:r>
            <w:r w:rsidR="00D96FA5" w:rsidRPr="00D96FA5">
              <w:t> </w:t>
            </w:r>
            <w:r w:rsidRPr="00D96FA5">
              <w:t>45</w:t>
            </w:r>
            <w:r w:rsidR="00D96FA5" w:rsidRPr="00D96FA5">
              <w:noBreakHyphen/>
            </w:r>
            <w:r w:rsidRPr="00D96FA5">
              <w:t>5</w:t>
            </w:r>
          </w:p>
        </w:tc>
      </w:tr>
    </w:tbl>
    <w:p w:rsidR="00F80BAC" w:rsidRPr="00D96FA5" w:rsidRDefault="00266F39" w:rsidP="003139E4">
      <w:pPr>
        <w:pStyle w:val="ItemHead"/>
        <w:rPr>
          <w:rFonts w:cs="Arial"/>
        </w:rPr>
      </w:pPr>
      <w:r w:rsidRPr="00D96FA5">
        <w:rPr>
          <w:rFonts w:cs="Arial"/>
        </w:rPr>
        <w:t>3</w:t>
      </w:r>
      <w:r w:rsidR="003139E4" w:rsidRPr="00D96FA5">
        <w:rPr>
          <w:rFonts w:cs="Arial"/>
        </w:rPr>
        <w:t xml:space="preserve">  </w:t>
      </w:r>
      <w:r w:rsidR="00510221" w:rsidRPr="00D96FA5">
        <w:rPr>
          <w:rFonts w:cs="Arial"/>
        </w:rPr>
        <w:t>A</w:t>
      </w:r>
      <w:r w:rsidR="002012F5" w:rsidRPr="00D96FA5">
        <w:rPr>
          <w:rFonts w:cs="Arial"/>
        </w:rPr>
        <w:t>fter D</w:t>
      </w:r>
      <w:r w:rsidR="00510221" w:rsidRPr="00D96FA5">
        <w:rPr>
          <w:rFonts w:cs="Arial"/>
        </w:rPr>
        <w:t>ivision</w:t>
      </w:r>
      <w:r w:rsidR="00D96FA5" w:rsidRPr="00D96FA5">
        <w:rPr>
          <w:rFonts w:cs="Arial"/>
        </w:rPr>
        <w:t> </w:t>
      </w:r>
      <w:r w:rsidR="00510221" w:rsidRPr="00D96FA5">
        <w:rPr>
          <w:rFonts w:cs="Arial"/>
        </w:rPr>
        <w:t>40</w:t>
      </w:r>
    </w:p>
    <w:p w:rsidR="00510221" w:rsidRPr="00D96FA5" w:rsidRDefault="002012F5" w:rsidP="003139E4">
      <w:pPr>
        <w:pStyle w:val="Item"/>
      </w:pPr>
      <w:r w:rsidRPr="00D96FA5">
        <w:t>Insert</w:t>
      </w:r>
      <w:r w:rsidR="003139E4" w:rsidRPr="00D96FA5">
        <w:t>:</w:t>
      </w:r>
    </w:p>
    <w:p w:rsidR="00510221" w:rsidRPr="00D96FA5" w:rsidRDefault="00510221" w:rsidP="003139E4">
      <w:pPr>
        <w:pStyle w:val="ActHead3"/>
      </w:pPr>
      <w:bookmarkStart w:id="10" w:name="_Toc349234106"/>
      <w:r w:rsidRPr="00D96FA5">
        <w:rPr>
          <w:rStyle w:val="CharDivNo"/>
        </w:rPr>
        <w:lastRenderedPageBreak/>
        <w:t>Division</w:t>
      </w:r>
      <w:r w:rsidR="00D96FA5" w:rsidRPr="00D96FA5">
        <w:rPr>
          <w:rStyle w:val="CharDivNo"/>
        </w:rPr>
        <w:t> </w:t>
      </w:r>
      <w:r w:rsidRPr="00D96FA5">
        <w:rPr>
          <w:rStyle w:val="CharDivNo"/>
        </w:rPr>
        <w:t>45</w:t>
      </w:r>
      <w:r w:rsidR="003139E4" w:rsidRPr="00D96FA5">
        <w:t>—</w:t>
      </w:r>
      <w:r w:rsidRPr="00D96FA5">
        <w:rPr>
          <w:rStyle w:val="CharDivText"/>
        </w:rPr>
        <w:t>Governance standards</w:t>
      </w:r>
      <w:bookmarkEnd w:id="10"/>
    </w:p>
    <w:p w:rsidR="00510221" w:rsidRPr="00D96FA5" w:rsidRDefault="00510221" w:rsidP="003139E4">
      <w:pPr>
        <w:pStyle w:val="ActHead4"/>
      </w:pPr>
      <w:bookmarkStart w:id="11" w:name="_Toc349234107"/>
      <w:r w:rsidRPr="00D96FA5">
        <w:rPr>
          <w:rStyle w:val="CharSubdNo"/>
        </w:rPr>
        <w:t>Subdivision</w:t>
      </w:r>
      <w:r w:rsidR="00D96FA5" w:rsidRPr="00D96FA5">
        <w:rPr>
          <w:rStyle w:val="CharSubdNo"/>
        </w:rPr>
        <w:t> </w:t>
      </w:r>
      <w:r w:rsidRPr="00D96FA5">
        <w:rPr>
          <w:rStyle w:val="CharSubdNo"/>
        </w:rPr>
        <w:t>45</w:t>
      </w:r>
      <w:r w:rsidR="00D96FA5" w:rsidRPr="00D96FA5">
        <w:rPr>
          <w:rStyle w:val="CharSubdNo"/>
        </w:rPr>
        <w:noBreakHyphen/>
      </w:r>
      <w:r w:rsidRPr="00D96FA5">
        <w:rPr>
          <w:rStyle w:val="CharSubdNo"/>
        </w:rPr>
        <w:t>A</w:t>
      </w:r>
      <w:r w:rsidR="003139E4" w:rsidRPr="00D96FA5">
        <w:t>—</w:t>
      </w:r>
      <w:r w:rsidRPr="00D96FA5">
        <w:rPr>
          <w:rStyle w:val="CharSubdText"/>
        </w:rPr>
        <w:t>Preliminary</w:t>
      </w:r>
      <w:bookmarkEnd w:id="11"/>
    </w:p>
    <w:p w:rsidR="002012F5" w:rsidRPr="00D96FA5" w:rsidRDefault="00510221" w:rsidP="005310B9">
      <w:pPr>
        <w:pStyle w:val="ActHead5"/>
      </w:pPr>
      <w:bookmarkStart w:id="12" w:name="_Toc349234108"/>
      <w:r w:rsidRPr="00D96FA5">
        <w:rPr>
          <w:rStyle w:val="CharSectno"/>
        </w:rPr>
        <w:t>45.1</w:t>
      </w:r>
      <w:r w:rsidR="003139E4" w:rsidRPr="00D96FA5">
        <w:t xml:space="preserve">  </w:t>
      </w:r>
      <w:r w:rsidRPr="00D96FA5">
        <w:t>Simplified outline—how the governance standards apply</w:t>
      </w:r>
      <w:bookmarkEnd w:id="12"/>
    </w:p>
    <w:p w:rsidR="002012F5" w:rsidRPr="00D96FA5" w:rsidRDefault="005310B9" w:rsidP="005310B9">
      <w:pPr>
        <w:pStyle w:val="BoxText"/>
      </w:pPr>
      <w:r w:rsidRPr="00D96FA5">
        <w:t xml:space="preserve">The governance standards support registered entities </w:t>
      </w:r>
      <w:r w:rsidR="006443B7" w:rsidRPr="00D96FA5">
        <w:t>in</w:t>
      </w:r>
      <w:r w:rsidRPr="00D96FA5">
        <w:t xml:space="preserve"> fulfil</w:t>
      </w:r>
      <w:r w:rsidR="006443B7" w:rsidRPr="00D96FA5">
        <w:t>ling</w:t>
      </w:r>
      <w:r w:rsidRPr="00D96FA5">
        <w:t xml:space="preserve"> their objectives by providing a minimum level of assurance that they meet community expectations in relation to how a registered entity should be managed.</w:t>
      </w:r>
    </w:p>
    <w:p w:rsidR="005310B9" w:rsidRPr="00D96FA5" w:rsidRDefault="005310B9" w:rsidP="005310B9">
      <w:pPr>
        <w:pStyle w:val="BoxText"/>
      </w:pPr>
      <w:r w:rsidRPr="00D96FA5">
        <w:t>Community expectations in relation to governance may include expectations about how a registered entity goes about managing its affairs, the use of public monies, volunteer time and donations provided to it, how the entity manages the risks that it faces, how the entity promotes the effective and responsible use of its resources and how the entity goes about demonstrating that it is operating transparently and for a proper purpose.</w:t>
      </w:r>
    </w:p>
    <w:p w:rsidR="005310B9" w:rsidRPr="00D96FA5" w:rsidRDefault="005310B9" w:rsidP="005310B9">
      <w:pPr>
        <w:pStyle w:val="BoxText"/>
      </w:pPr>
      <w:r w:rsidRPr="00D96FA5">
        <w:t xml:space="preserve">The steps a registered entity will need to take to comply with the </w:t>
      </w:r>
      <w:r w:rsidR="00D96A4E" w:rsidRPr="00D96FA5">
        <w:t>governance standard</w:t>
      </w:r>
      <w:r w:rsidRPr="00D96FA5">
        <w:t>s will vary according to its particular circumstances, such as its size, the sources of its funding, the nature of its activities and the needs of the public (including members, donors, employees, volunteers and benefit recipients of the registered entity).</w:t>
      </w:r>
    </w:p>
    <w:p w:rsidR="005310B9" w:rsidRPr="00D96FA5" w:rsidRDefault="005310B9" w:rsidP="005310B9">
      <w:pPr>
        <w:pStyle w:val="BoxText"/>
      </w:pPr>
      <w:r w:rsidRPr="00D96FA5">
        <w:t xml:space="preserve">The compliance obligations, processes and reasonable steps specified in the </w:t>
      </w:r>
      <w:r w:rsidR="00D96A4E" w:rsidRPr="00D96FA5">
        <w:t>governance standard</w:t>
      </w:r>
      <w:r w:rsidRPr="00D96FA5">
        <w:t>s are to be interpreted having regard to the objects of the Act and the matters the Commissioner must consider in exercising the Commissioner’s powers as listed in section</w:t>
      </w:r>
      <w:r w:rsidR="00D96FA5" w:rsidRPr="00D96FA5">
        <w:t> </w:t>
      </w:r>
      <w:r w:rsidRPr="00D96FA5">
        <w:t>15</w:t>
      </w:r>
      <w:r w:rsidR="00D96FA5" w:rsidRPr="00D96FA5">
        <w:noBreakHyphen/>
      </w:r>
      <w:r w:rsidRPr="00D96FA5">
        <w:t>10 of the Act (in particular, the principles of regulatory necessity, reflecting risk and proportionate regulation, as well as the unique nature and diversity of not</w:t>
      </w:r>
      <w:r w:rsidR="00D96FA5" w:rsidRPr="00D96FA5">
        <w:noBreakHyphen/>
      </w:r>
      <w:r w:rsidRPr="00D96FA5">
        <w:t>for</w:t>
      </w:r>
      <w:r w:rsidR="00D96FA5" w:rsidRPr="00D96FA5">
        <w:noBreakHyphen/>
      </w:r>
      <w:r w:rsidRPr="00D96FA5">
        <w:t>profit entities and the distinctive role that they play in Australia).</w:t>
      </w:r>
    </w:p>
    <w:p w:rsidR="005310B9" w:rsidRPr="00D96FA5" w:rsidRDefault="005310B9" w:rsidP="005310B9">
      <w:pPr>
        <w:pStyle w:val="BoxText"/>
      </w:pPr>
      <w:r w:rsidRPr="00D96FA5">
        <w:t>The objects of the Act are: to maintain, protect and enhance public trust and confidence in the Australian not</w:t>
      </w:r>
      <w:r w:rsidR="00D96FA5" w:rsidRPr="00D96FA5">
        <w:noBreakHyphen/>
      </w:r>
      <w:r w:rsidRPr="00D96FA5">
        <w:t>for</w:t>
      </w:r>
      <w:r w:rsidR="00D96FA5" w:rsidRPr="00D96FA5">
        <w:noBreakHyphen/>
      </w:r>
      <w:r w:rsidRPr="00D96FA5">
        <w:t>profit sector; to support and sustain a robust, vibrant, independent and innovative Australian not</w:t>
      </w:r>
      <w:r w:rsidR="00D96FA5" w:rsidRPr="00D96FA5">
        <w:noBreakHyphen/>
      </w:r>
      <w:r w:rsidRPr="00D96FA5">
        <w:t>for</w:t>
      </w:r>
      <w:r w:rsidR="00D96FA5" w:rsidRPr="00D96FA5">
        <w:noBreakHyphen/>
      </w:r>
      <w:r w:rsidRPr="00D96FA5">
        <w:t xml:space="preserve">profit sector; and to promote the reduction of </w:t>
      </w:r>
      <w:r w:rsidRPr="00D96FA5">
        <w:lastRenderedPageBreak/>
        <w:t>unnecessary regulatory obligations on the Australian not</w:t>
      </w:r>
      <w:r w:rsidR="00D96FA5" w:rsidRPr="00D96FA5">
        <w:noBreakHyphen/>
      </w:r>
      <w:r w:rsidRPr="00D96FA5">
        <w:t>for</w:t>
      </w:r>
      <w:r w:rsidR="00D96FA5" w:rsidRPr="00D96FA5">
        <w:noBreakHyphen/>
      </w:r>
      <w:r w:rsidRPr="00D96FA5">
        <w:t>profit sector.</w:t>
      </w:r>
    </w:p>
    <w:p w:rsidR="005310B9" w:rsidRPr="00D96FA5" w:rsidRDefault="005310B9" w:rsidP="005310B9">
      <w:pPr>
        <w:pStyle w:val="BoxText"/>
      </w:pPr>
      <w:r w:rsidRPr="00D96FA5">
        <w:t>The governance standards also act as a mechanism which may enliven the enforcement powers in Part</w:t>
      </w:r>
      <w:r w:rsidR="00D96FA5" w:rsidRPr="00D96FA5">
        <w:t> </w:t>
      </w:r>
      <w:r w:rsidRPr="00D96FA5">
        <w:t>4</w:t>
      </w:r>
      <w:r w:rsidR="00D96FA5" w:rsidRPr="00D96FA5">
        <w:noBreakHyphen/>
      </w:r>
      <w:r w:rsidRPr="00D96FA5">
        <w:t>2 of the Act to help protect and sustain the not</w:t>
      </w:r>
      <w:r w:rsidR="00D96FA5" w:rsidRPr="00D96FA5">
        <w:noBreakHyphen/>
      </w:r>
      <w:r w:rsidRPr="00D96FA5">
        <w:t>for</w:t>
      </w:r>
      <w:r w:rsidR="00D96FA5" w:rsidRPr="00D96FA5">
        <w:noBreakHyphen/>
      </w:r>
      <w:r w:rsidRPr="00D96FA5">
        <w:t>profit sector and maintain and enhance public trust and confidence.</w:t>
      </w:r>
    </w:p>
    <w:p w:rsidR="00510221" w:rsidRPr="00D96FA5" w:rsidRDefault="00510221" w:rsidP="003139E4">
      <w:pPr>
        <w:pStyle w:val="ActHead5"/>
      </w:pPr>
      <w:bookmarkStart w:id="13" w:name="_Toc349234109"/>
      <w:r w:rsidRPr="00D96FA5">
        <w:rPr>
          <w:rStyle w:val="CharSectno"/>
        </w:rPr>
        <w:t>45.2</w:t>
      </w:r>
      <w:r w:rsidR="003139E4" w:rsidRPr="00D96FA5">
        <w:t xml:space="preserve">  </w:t>
      </w:r>
      <w:r w:rsidRPr="00D96FA5">
        <w:t>Application</w:t>
      </w:r>
      <w:bookmarkEnd w:id="13"/>
    </w:p>
    <w:p w:rsidR="00510221" w:rsidRPr="00D96FA5" w:rsidRDefault="00510221" w:rsidP="003139E4">
      <w:pPr>
        <w:pStyle w:val="subsection"/>
      </w:pPr>
      <w:r w:rsidRPr="00D96FA5">
        <w:tab/>
      </w:r>
      <w:r w:rsidRPr="00D96FA5">
        <w:tab/>
        <w:t xml:space="preserve">For </w:t>
      </w:r>
      <w:r w:rsidR="00577C27" w:rsidRPr="00D96FA5">
        <w:t xml:space="preserve">the purposes of </w:t>
      </w:r>
      <w:r w:rsidRPr="00D96FA5">
        <w:t>section</w:t>
      </w:r>
      <w:r w:rsidR="00D96FA5" w:rsidRPr="00D96FA5">
        <w:t> </w:t>
      </w:r>
      <w:r w:rsidRPr="00D96FA5">
        <w:t>45</w:t>
      </w:r>
      <w:r w:rsidR="00D96FA5" w:rsidRPr="00D96FA5">
        <w:noBreakHyphen/>
      </w:r>
      <w:r w:rsidRPr="00D96FA5">
        <w:t>10 of the Act, the governance standards in Subdivision</w:t>
      </w:r>
      <w:r w:rsidR="00D96FA5" w:rsidRPr="00D96FA5">
        <w:t> </w:t>
      </w:r>
      <w:r w:rsidRPr="00D96FA5">
        <w:t>45</w:t>
      </w:r>
      <w:r w:rsidR="00D96FA5" w:rsidRPr="00D96FA5">
        <w:noBreakHyphen/>
      </w:r>
      <w:r w:rsidRPr="00D96FA5">
        <w:t>B are specified.</w:t>
      </w:r>
    </w:p>
    <w:p w:rsidR="00923CA2" w:rsidRPr="00D96FA5" w:rsidRDefault="00923CA2" w:rsidP="00923CA2">
      <w:pPr>
        <w:pStyle w:val="ActHead5"/>
      </w:pPr>
      <w:bookmarkStart w:id="14" w:name="_Toc349234110"/>
      <w:r w:rsidRPr="00D96FA5">
        <w:rPr>
          <w:rStyle w:val="CharSectno"/>
        </w:rPr>
        <w:t>45.3</w:t>
      </w:r>
      <w:r w:rsidRPr="00D96FA5">
        <w:t xml:space="preserve">  Interpretation of governance standards</w:t>
      </w:r>
      <w:bookmarkEnd w:id="14"/>
    </w:p>
    <w:p w:rsidR="00923CA2" w:rsidRPr="00D96FA5" w:rsidRDefault="00923CA2" w:rsidP="00923CA2">
      <w:pPr>
        <w:pStyle w:val="subsection"/>
      </w:pPr>
      <w:r w:rsidRPr="00D96FA5">
        <w:tab/>
      </w:r>
      <w:r w:rsidRPr="00D96FA5">
        <w:tab/>
        <w:t>The governance standards in Subdivision</w:t>
      </w:r>
      <w:r w:rsidR="00D96FA5" w:rsidRPr="00D96FA5">
        <w:t> </w:t>
      </w:r>
      <w:r w:rsidRPr="00D96FA5">
        <w:t>45</w:t>
      </w:r>
      <w:r w:rsidR="00D96FA5" w:rsidRPr="00D96FA5">
        <w:noBreakHyphen/>
      </w:r>
      <w:r w:rsidRPr="00D96FA5">
        <w:t>B must be interpreted in a manner that is consistent with the objects of the Act</w:t>
      </w:r>
      <w:r w:rsidR="001C41A5" w:rsidRPr="00D96FA5">
        <w:t xml:space="preserve"> and the requirements of section</w:t>
      </w:r>
      <w:r w:rsidR="00D96FA5" w:rsidRPr="00D96FA5">
        <w:t> </w:t>
      </w:r>
      <w:r w:rsidR="001C41A5" w:rsidRPr="00D96FA5">
        <w:t>15</w:t>
      </w:r>
      <w:r w:rsidR="00D96FA5" w:rsidRPr="00D96FA5">
        <w:noBreakHyphen/>
      </w:r>
      <w:r w:rsidR="001C41A5" w:rsidRPr="00D96FA5">
        <w:t>10 of the Act</w:t>
      </w:r>
      <w:r w:rsidRPr="00D96FA5">
        <w:t>.</w:t>
      </w:r>
    </w:p>
    <w:p w:rsidR="00510221" w:rsidRPr="00D96FA5" w:rsidRDefault="00510221" w:rsidP="003139E4">
      <w:pPr>
        <w:pStyle w:val="ActHead4"/>
      </w:pPr>
      <w:bookmarkStart w:id="15" w:name="_Toc349234111"/>
      <w:r w:rsidRPr="00D96FA5">
        <w:rPr>
          <w:rStyle w:val="CharSubdNo"/>
        </w:rPr>
        <w:t>Subdivision</w:t>
      </w:r>
      <w:r w:rsidR="00D96FA5" w:rsidRPr="00D96FA5">
        <w:rPr>
          <w:rStyle w:val="CharSubdNo"/>
        </w:rPr>
        <w:t> </w:t>
      </w:r>
      <w:r w:rsidRPr="00D96FA5">
        <w:rPr>
          <w:rStyle w:val="CharSubdNo"/>
        </w:rPr>
        <w:t>45</w:t>
      </w:r>
      <w:r w:rsidR="00D96FA5" w:rsidRPr="00D96FA5">
        <w:rPr>
          <w:rStyle w:val="CharSubdNo"/>
        </w:rPr>
        <w:noBreakHyphen/>
      </w:r>
      <w:r w:rsidRPr="00D96FA5">
        <w:rPr>
          <w:rStyle w:val="CharSubdNo"/>
        </w:rPr>
        <w:t>B</w:t>
      </w:r>
      <w:r w:rsidR="003139E4" w:rsidRPr="00D96FA5">
        <w:t>—</w:t>
      </w:r>
      <w:r w:rsidRPr="00D96FA5">
        <w:rPr>
          <w:rStyle w:val="CharSubdText"/>
        </w:rPr>
        <w:t>Governance standards</w:t>
      </w:r>
      <w:bookmarkEnd w:id="15"/>
    </w:p>
    <w:p w:rsidR="00510221" w:rsidRPr="00D96FA5" w:rsidRDefault="00510221" w:rsidP="003139E4">
      <w:pPr>
        <w:pStyle w:val="ActHead5"/>
      </w:pPr>
      <w:bookmarkStart w:id="16" w:name="_Toc349234112"/>
      <w:r w:rsidRPr="00D96FA5">
        <w:rPr>
          <w:rStyle w:val="CharSectno"/>
        </w:rPr>
        <w:t>45.5</w:t>
      </w:r>
      <w:r w:rsidR="003139E4" w:rsidRPr="00D96FA5">
        <w:t xml:space="preserve">  </w:t>
      </w:r>
      <w:r w:rsidR="003A005D" w:rsidRPr="00D96FA5">
        <w:t>Governance s</w:t>
      </w:r>
      <w:r w:rsidRPr="00D96FA5">
        <w:t>tandard</w:t>
      </w:r>
      <w:r w:rsidR="00E4084F" w:rsidRPr="00D96FA5">
        <w:t xml:space="preserve"> </w:t>
      </w:r>
      <w:r w:rsidRPr="00D96FA5">
        <w:t>1—</w:t>
      </w:r>
      <w:r w:rsidR="00F25037" w:rsidRPr="00D96FA5">
        <w:t>P</w:t>
      </w:r>
      <w:r w:rsidRPr="00D96FA5">
        <w:t>urposes and not</w:t>
      </w:r>
      <w:r w:rsidR="00D96FA5" w:rsidRPr="00D96FA5">
        <w:noBreakHyphen/>
      </w:r>
      <w:r w:rsidRPr="00D96FA5">
        <w:t>for</w:t>
      </w:r>
      <w:r w:rsidR="00D96FA5" w:rsidRPr="00D96FA5">
        <w:noBreakHyphen/>
      </w:r>
      <w:r w:rsidRPr="00D96FA5">
        <w:t>profit nature of a registered entity</w:t>
      </w:r>
      <w:bookmarkEnd w:id="16"/>
    </w:p>
    <w:p w:rsidR="00510221" w:rsidRPr="00D96FA5" w:rsidRDefault="00510221" w:rsidP="003139E4">
      <w:pPr>
        <w:pStyle w:val="SubsectionHead"/>
      </w:pPr>
      <w:r w:rsidRPr="00D96FA5">
        <w:t>Object</w:t>
      </w:r>
    </w:p>
    <w:p w:rsidR="00510221" w:rsidRPr="00D96FA5" w:rsidRDefault="004164B9" w:rsidP="003139E4">
      <w:pPr>
        <w:pStyle w:val="subsection"/>
      </w:pPr>
      <w:r w:rsidRPr="00D96FA5">
        <w:tab/>
      </w:r>
      <w:r w:rsidR="003139E4" w:rsidRPr="00D96FA5">
        <w:t>(</w:t>
      </w:r>
      <w:r w:rsidR="00510221" w:rsidRPr="00D96FA5">
        <w:t>1</w:t>
      </w:r>
      <w:r w:rsidRPr="00D96FA5">
        <w:t>)</w:t>
      </w:r>
      <w:r w:rsidRPr="00D96FA5">
        <w:tab/>
      </w:r>
      <w:r w:rsidR="00510221" w:rsidRPr="00D96FA5">
        <w:t>The object of this governance standard is:</w:t>
      </w:r>
    </w:p>
    <w:p w:rsidR="00510221" w:rsidRPr="00D96FA5" w:rsidRDefault="004164B9" w:rsidP="003139E4">
      <w:pPr>
        <w:pStyle w:val="paragraph"/>
      </w:pPr>
      <w:r w:rsidRPr="00D96FA5">
        <w:tab/>
      </w:r>
      <w:r w:rsidR="003139E4" w:rsidRPr="00D96FA5">
        <w:t>(</w:t>
      </w:r>
      <w:r w:rsidR="00510221" w:rsidRPr="00D96FA5">
        <w:t>a</w:t>
      </w:r>
      <w:r w:rsidRPr="00D96FA5">
        <w:t>)</w:t>
      </w:r>
      <w:r w:rsidRPr="00D96FA5">
        <w:tab/>
      </w:r>
      <w:r w:rsidR="00510221" w:rsidRPr="00D96FA5">
        <w:t>to commit a registered entity, its members and its responsible entities to the registered entity’s purposes; and</w:t>
      </w:r>
    </w:p>
    <w:p w:rsidR="00510221" w:rsidRPr="00D96FA5" w:rsidRDefault="00510221" w:rsidP="003139E4">
      <w:pPr>
        <w:pStyle w:val="paragraph"/>
      </w:pPr>
      <w:r w:rsidRPr="00D96FA5">
        <w:tab/>
        <w:t>(b)</w:t>
      </w:r>
      <w:r w:rsidRPr="00D96FA5">
        <w:tab/>
        <w:t>to give the public, including members, donors, employees, volunteers and benefit recipients of the registered entity, confidence that the registered entity is acting to further its purposes.</w:t>
      </w:r>
    </w:p>
    <w:p w:rsidR="00510221" w:rsidRPr="00D96FA5" w:rsidRDefault="00510221" w:rsidP="003139E4">
      <w:pPr>
        <w:pStyle w:val="SubsectionHead"/>
      </w:pPr>
      <w:r w:rsidRPr="00D96FA5">
        <w:t>Standard</w:t>
      </w:r>
    </w:p>
    <w:p w:rsidR="00510221" w:rsidRPr="00D96FA5" w:rsidRDefault="00510221" w:rsidP="003139E4">
      <w:pPr>
        <w:pStyle w:val="subsection"/>
      </w:pPr>
      <w:r w:rsidRPr="00D96FA5">
        <w:tab/>
        <w:t>(2)</w:t>
      </w:r>
      <w:r w:rsidRPr="00D96FA5">
        <w:tab/>
        <w:t>A registered entity must:</w:t>
      </w:r>
    </w:p>
    <w:p w:rsidR="00510221" w:rsidRPr="00D96FA5" w:rsidRDefault="00510221" w:rsidP="003139E4">
      <w:pPr>
        <w:pStyle w:val="paragraph"/>
      </w:pPr>
      <w:r w:rsidRPr="00D96FA5">
        <w:tab/>
        <w:t>(a)</w:t>
      </w:r>
      <w:r w:rsidRPr="00D96FA5">
        <w:tab/>
        <w:t>be able to demonstrate, by reference to the governing rules of the entity or by other means, its purposes and its character as a not</w:t>
      </w:r>
      <w:r w:rsidR="00D96FA5" w:rsidRPr="00D96FA5">
        <w:noBreakHyphen/>
      </w:r>
      <w:r w:rsidRPr="00D96FA5">
        <w:t>for</w:t>
      </w:r>
      <w:r w:rsidR="00D96FA5" w:rsidRPr="00D96FA5">
        <w:noBreakHyphen/>
      </w:r>
      <w:r w:rsidRPr="00D96FA5">
        <w:t>profit entity; and</w:t>
      </w:r>
    </w:p>
    <w:p w:rsidR="00510221" w:rsidRPr="00D96FA5" w:rsidRDefault="00510221" w:rsidP="003139E4">
      <w:pPr>
        <w:pStyle w:val="paragraph"/>
      </w:pPr>
      <w:r w:rsidRPr="00D96FA5">
        <w:lastRenderedPageBreak/>
        <w:tab/>
        <w:t>(b)</w:t>
      </w:r>
      <w:r w:rsidRPr="00D96FA5">
        <w:tab/>
        <w:t>make information about its purposes available to the public, including members, donors, employees, volunteers and benefit recipients; and</w:t>
      </w:r>
    </w:p>
    <w:p w:rsidR="00510221" w:rsidRPr="00D96FA5" w:rsidRDefault="00510221" w:rsidP="003139E4">
      <w:pPr>
        <w:pStyle w:val="paragraph"/>
      </w:pPr>
      <w:r w:rsidRPr="00D96FA5">
        <w:tab/>
        <w:t>(c)</w:t>
      </w:r>
      <w:r w:rsidRPr="00D96FA5">
        <w:tab/>
        <w:t>comply with its purposes and its character as a not</w:t>
      </w:r>
      <w:r w:rsidR="00D96FA5" w:rsidRPr="00D96FA5">
        <w:noBreakHyphen/>
      </w:r>
      <w:r w:rsidRPr="00D96FA5">
        <w:t>for</w:t>
      </w:r>
      <w:r w:rsidR="00D96FA5" w:rsidRPr="00D96FA5">
        <w:noBreakHyphen/>
      </w:r>
      <w:r w:rsidRPr="00D96FA5">
        <w:t>profit entity.</w:t>
      </w:r>
    </w:p>
    <w:p w:rsidR="00510221" w:rsidRPr="00D96FA5" w:rsidRDefault="003139E4" w:rsidP="003139E4">
      <w:pPr>
        <w:pStyle w:val="notetext"/>
      </w:pPr>
      <w:r w:rsidRPr="00D96FA5">
        <w:t>Note:</w:t>
      </w:r>
      <w:r w:rsidRPr="00D96FA5">
        <w:tab/>
      </w:r>
      <w:r w:rsidR="00510221" w:rsidRPr="00D96FA5">
        <w:t>Information in relation to the purposes of a registered entity would be available to the public if it appears on the Australian Charities and Not</w:t>
      </w:r>
      <w:r w:rsidR="00D96FA5" w:rsidRPr="00D96FA5">
        <w:noBreakHyphen/>
      </w:r>
      <w:r w:rsidR="00510221" w:rsidRPr="00D96FA5">
        <w:t>for</w:t>
      </w:r>
      <w:r w:rsidR="00D96FA5" w:rsidRPr="00D96FA5">
        <w:noBreakHyphen/>
      </w:r>
      <w:r w:rsidR="00F25037" w:rsidRPr="00D96FA5">
        <w:t>profits Register or</w:t>
      </w:r>
      <w:r w:rsidR="00510221" w:rsidRPr="00D96FA5">
        <w:t xml:space="preserve"> in an Australian law on www.comlaw.gov.au or www.austlii.edu.au, or is otherwise made available on request.</w:t>
      </w:r>
    </w:p>
    <w:p w:rsidR="00510221" w:rsidRPr="00D96FA5" w:rsidRDefault="00510221" w:rsidP="003139E4">
      <w:pPr>
        <w:pStyle w:val="ActHead5"/>
      </w:pPr>
      <w:bookmarkStart w:id="17" w:name="_Toc349234113"/>
      <w:r w:rsidRPr="00D96FA5">
        <w:rPr>
          <w:rStyle w:val="CharSectno"/>
        </w:rPr>
        <w:t>45.10</w:t>
      </w:r>
      <w:r w:rsidR="003139E4" w:rsidRPr="00D96FA5">
        <w:t xml:space="preserve">  </w:t>
      </w:r>
      <w:r w:rsidR="003A005D" w:rsidRPr="00D96FA5">
        <w:t>Governance standard</w:t>
      </w:r>
      <w:r w:rsidR="00E4084F" w:rsidRPr="00D96FA5">
        <w:t xml:space="preserve"> </w:t>
      </w:r>
      <w:r w:rsidRPr="00D96FA5">
        <w:t>2—</w:t>
      </w:r>
      <w:r w:rsidR="00F25037" w:rsidRPr="00D96FA5">
        <w:t>A</w:t>
      </w:r>
      <w:r w:rsidRPr="00D96FA5">
        <w:t>ccountability to members</w:t>
      </w:r>
      <w:bookmarkEnd w:id="17"/>
    </w:p>
    <w:p w:rsidR="00510221" w:rsidRPr="00D96FA5" w:rsidRDefault="00510221" w:rsidP="003139E4">
      <w:pPr>
        <w:pStyle w:val="SubsectionHead"/>
      </w:pPr>
      <w:r w:rsidRPr="00D96FA5">
        <w:t>Object</w:t>
      </w:r>
    </w:p>
    <w:p w:rsidR="00510221" w:rsidRPr="00D96FA5" w:rsidRDefault="00510221" w:rsidP="003139E4">
      <w:pPr>
        <w:pStyle w:val="subsection"/>
      </w:pPr>
      <w:r w:rsidRPr="00D96FA5">
        <w:tab/>
        <w:t>(1)</w:t>
      </w:r>
      <w:r w:rsidRPr="00D96FA5">
        <w:tab/>
        <w:t>The object of this governance standard is to ensure the accountability and transparency of a registered entity to its members.</w:t>
      </w:r>
    </w:p>
    <w:p w:rsidR="00510221" w:rsidRPr="00D96FA5" w:rsidRDefault="00510221" w:rsidP="003139E4">
      <w:pPr>
        <w:pStyle w:val="SubsectionHead"/>
      </w:pPr>
      <w:r w:rsidRPr="00D96FA5">
        <w:t>Standard</w:t>
      </w:r>
    </w:p>
    <w:p w:rsidR="00510221" w:rsidRPr="00D96FA5" w:rsidRDefault="00510221" w:rsidP="003139E4">
      <w:pPr>
        <w:pStyle w:val="subsection"/>
      </w:pPr>
      <w:r w:rsidRPr="00D96FA5">
        <w:tab/>
        <w:t>(2)</w:t>
      </w:r>
      <w:r w:rsidRPr="00D96FA5">
        <w:tab/>
        <w:t>A registered entity that has members must take reasonable steps to ensure that:</w:t>
      </w:r>
    </w:p>
    <w:p w:rsidR="00510221" w:rsidRPr="00D96FA5" w:rsidRDefault="00510221" w:rsidP="003139E4">
      <w:pPr>
        <w:pStyle w:val="paragraph"/>
      </w:pPr>
      <w:r w:rsidRPr="00D96FA5">
        <w:tab/>
        <w:t>(a)</w:t>
      </w:r>
      <w:r w:rsidRPr="00D96FA5">
        <w:tab/>
        <w:t>the registered entity is accountable to its members; and</w:t>
      </w:r>
    </w:p>
    <w:p w:rsidR="00510221" w:rsidRPr="00D96FA5" w:rsidRDefault="00510221" w:rsidP="003139E4">
      <w:pPr>
        <w:pStyle w:val="paragraph"/>
      </w:pPr>
      <w:r w:rsidRPr="00D96FA5">
        <w:tab/>
        <w:t>(b)</w:t>
      </w:r>
      <w:r w:rsidRPr="00D96FA5">
        <w:tab/>
        <w:t>the registered entity’s members have an adequate opportunity to raise concerns about the governance of the registered entity.</w:t>
      </w:r>
    </w:p>
    <w:p w:rsidR="00AE55D0" w:rsidRPr="00D96FA5" w:rsidRDefault="003139E4" w:rsidP="003139E4">
      <w:pPr>
        <w:pStyle w:val="notetext"/>
      </w:pPr>
      <w:r w:rsidRPr="00D96FA5">
        <w:t>Note 1:</w:t>
      </w:r>
      <w:r w:rsidRPr="00D96FA5">
        <w:tab/>
      </w:r>
      <w:r w:rsidR="00510221" w:rsidRPr="00D96FA5">
        <w:t>The steps that a registered entity may take to ensure</w:t>
      </w:r>
      <w:r w:rsidR="0008580B" w:rsidRPr="00D96FA5">
        <w:t xml:space="preserve"> that</w:t>
      </w:r>
      <w:r w:rsidR="00510221" w:rsidRPr="00D96FA5">
        <w:t xml:space="preserve"> it is accountable to its members </w:t>
      </w:r>
      <w:r w:rsidR="00F25037" w:rsidRPr="00D96FA5">
        <w:t xml:space="preserve">could </w:t>
      </w:r>
      <w:r w:rsidR="00AE55D0" w:rsidRPr="00D96FA5">
        <w:t>include:</w:t>
      </w:r>
    </w:p>
    <w:p w:rsidR="00AE55D0" w:rsidRPr="00D96FA5" w:rsidRDefault="00AE55D0" w:rsidP="00AE55D0">
      <w:pPr>
        <w:pStyle w:val="notepara"/>
      </w:pPr>
      <w:r w:rsidRPr="00D96FA5">
        <w:t>(a)</w:t>
      </w:r>
      <w:r w:rsidRPr="00D96FA5">
        <w:tab/>
      </w:r>
      <w:r w:rsidR="00510221" w:rsidRPr="00D96FA5">
        <w:t>holding annual general meetings</w:t>
      </w:r>
      <w:r w:rsidRPr="00D96FA5">
        <w:t>; and</w:t>
      </w:r>
    </w:p>
    <w:p w:rsidR="00AE55D0" w:rsidRPr="00D96FA5" w:rsidRDefault="00AE55D0" w:rsidP="00AE55D0">
      <w:pPr>
        <w:pStyle w:val="notepara"/>
      </w:pPr>
      <w:r w:rsidRPr="00D96FA5">
        <w:t>(b)</w:t>
      </w:r>
      <w:r w:rsidRPr="00D96FA5">
        <w:tab/>
      </w:r>
      <w:r w:rsidR="00510221" w:rsidRPr="00D96FA5">
        <w:t>providing members with an annual report (including financial information and achiev</w:t>
      </w:r>
      <w:r w:rsidRPr="00D96FA5">
        <w:t>ements towards its purpose); and</w:t>
      </w:r>
    </w:p>
    <w:p w:rsidR="00510221" w:rsidRPr="00D96FA5" w:rsidRDefault="00AE55D0" w:rsidP="00AE55D0">
      <w:pPr>
        <w:pStyle w:val="notepara"/>
      </w:pPr>
      <w:r w:rsidRPr="00D96FA5">
        <w:t>(c)</w:t>
      </w:r>
      <w:r w:rsidRPr="00D96FA5">
        <w:tab/>
      </w:r>
      <w:r w:rsidR="00510221" w:rsidRPr="00D96FA5">
        <w:t>providing for elections for its responsible entities.</w:t>
      </w:r>
    </w:p>
    <w:p w:rsidR="00AE55D0" w:rsidRPr="00D96FA5" w:rsidRDefault="003139E4" w:rsidP="003139E4">
      <w:pPr>
        <w:pStyle w:val="notetext"/>
      </w:pPr>
      <w:r w:rsidRPr="00D96FA5">
        <w:t>Note 2:</w:t>
      </w:r>
      <w:r w:rsidRPr="00D96FA5">
        <w:tab/>
      </w:r>
      <w:r w:rsidR="00510221" w:rsidRPr="00D96FA5">
        <w:t xml:space="preserve">The steps that a registered entity may take to ensure its members have an adequate opportunity to raise concerns </w:t>
      </w:r>
      <w:r w:rsidR="00F25037" w:rsidRPr="00D96FA5">
        <w:t xml:space="preserve">could </w:t>
      </w:r>
      <w:r w:rsidR="00510221" w:rsidRPr="00D96FA5">
        <w:t>inc</w:t>
      </w:r>
      <w:r w:rsidR="00AE55D0" w:rsidRPr="00D96FA5">
        <w:t>lude:</w:t>
      </w:r>
    </w:p>
    <w:p w:rsidR="00AE55D0" w:rsidRPr="00D96FA5" w:rsidRDefault="00AE55D0" w:rsidP="00AE55D0">
      <w:pPr>
        <w:pStyle w:val="notepara"/>
      </w:pPr>
      <w:r w:rsidRPr="00D96FA5">
        <w:t>(a)</w:t>
      </w:r>
      <w:r w:rsidRPr="00D96FA5">
        <w:tab/>
      </w:r>
      <w:r w:rsidR="00510221" w:rsidRPr="00D96FA5">
        <w:t>holding an annual general meeting with a question and answer session</w:t>
      </w:r>
      <w:r w:rsidRPr="00D96FA5">
        <w:t>; and</w:t>
      </w:r>
    </w:p>
    <w:p w:rsidR="00510221" w:rsidRPr="00D96FA5" w:rsidRDefault="00AE55D0" w:rsidP="00AE55D0">
      <w:pPr>
        <w:pStyle w:val="notepara"/>
      </w:pPr>
      <w:r w:rsidRPr="00D96FA5">
        <w:t>(b)</w:t>
      </w:r>
      <w:r w:rsidRPr="00D96FA5">
        <w:tab/>
      </w:r>
      <w:r w:rsidR="00510221" w:rsidRPr="00D96FA5">
        <w:t>providing an opportunity for members to propose resolutions and to vote upon those resolutions.</w:t>
      </w:r>
    </w:p>
    <w:p w:rsidR="00411EAF" w:rsidRPr="00D96FA5" w:rsidRDefault="00411EAF" w:rsidP="003139E4">
      <w:pPr>
        <w:pStyle w:val="notetext"/>
      </w:pPr>
      <w:r w:rsidRPr="00D96FA5">
        <w:t>Note 3:</w:t>
      </w:r>
      <w:r w:rsidRPr="00D96FA5">
        <w:tab/>
        <w:t xml:space="preserve">When taking the reasonable steps required by </w:t>
      </w:r>
      <w:r w:rsidR="00D96A4E" w:rsidRPr="00D96FA5">
        <w:t>governance standard</w:t>
      </w:r>
      <w:r w:rsidR="007751D9" w:rsidRPr="00D96FA5">
        <w:t xml:space="preserve"> </w:t>
      </w:r>
      <w:r w:rsidRPr="00D96FA5">
        <w:t>2, regard must be had to requirements of the governing rules of the registered entity, to the extent that those governing rules include appropriate accountability mechanisms.</w:t>
      </w:r>
      <w:r w:rsidR="00923CA2" w:rsidRPr="00D96FA5">
        <w:t xml:space="preserve"> If those governing rules </w:t>
      </w:r>
      <w:r w:rsidR="00923CA2" w:rsidRPr="00D96FA5">
        <w:lastRenderedPageBreak/>
        <w:t xml:space="preserve">include appropriate accountability mechanisms, compliance with those rules would demonstrate compliance with </w:t>
      </w:r>
      <w:r w:rsidR="00D96A4E" w:rsidRPr="00D96FA5">
        <w:t>governance standard</w:t>
      </w:r>
      <w:r w:rsidR="00167DBC" w:rsidRPr="00D96FA5">
        <w:t xml:space="preserve"> </w:t>
      </w:r>
      <w:r w:rsidR="00923CA2" w:rsidRPr="00D96FA5">
        <w:t>2.</w:t>
      </w:r>
    </w:p>
    <w:p w:rsidR="00411EAF" w:rsidRPr="00D96FA5" w:rsidRDefault="00411EAF" w:rsidP="003139E4">
      <w:pPr>
        <w:pStyle w:val="notetext"/>
      </w:pPr>
      <w:r w:rsidRPr="00D96FA5">
        <w:t>Note 4:</w:t>
      </w:r>
      <w:r w:rsidRPr="00D96FA5">
        <w:tab/>
        <w:t>Subdivision</w:t>
      </w:r>
      <w:r w:rsidR="00D96FA5" w:rsidRPr="00D96FA5">
        <w:t> </w:t>
      </w:r>
      <w:r w:rsidRPr="00D96FA5">
        <w:t>60</w:t>
      </w:r>
      <w:r w:rsidR="00D96FA5" w:rsidRPr="00D96FA5">
        <w:noBreakHyphen/>
      </w:r>
      <w:r w:rsidRPr="00D96FA5">
        <w:t>C of the Act sets out rules about the preparation of annual financial reports.</w:t>
      </w:r>
    </w:p>
    <w:p w:rsidR="00510221" w:rsidRPr="00D96FA5" w:rsidRDefault="00510221" w:rsidP="003139E4">
      <w:pPr>
        <w:pStyle w:val="ActHead5"/>
      </w:pPr>
      <w:bookmarkStart w:id="18" w:name="_Toc349234114"/>
      <w:r w:rsidRPr="00D96FA5">
        <w:rPr>
          <w:rStyle w:val="CharSectno"/>
        </w:rPr>
        <w:t>45.15</w:t>
      </w:r>
      <w:r w:rsidR="003139E4" w:rsidRPr="00D96FA5">
        <w:t xml:space="preserve">  </w:t>
      </w:r>
      <w:r w:rsidR="003A005D" w:rsidRPr="00D96FA5">
        <w:t>Governance standard</w:t>
      </w:r>
      <w:r w:rsidR="00E4084F" w:rsidRPr="00D96FA5">
        <w:t xml:space="preserve"> </w:t>
      </w:r>
      <w:r w:rsidRPr="00D96FA5">
        <w:t>3—</w:t>
      </w:r>
      <w:r w:rsidR="00411EAF" w:rsidRPr="00D96FA5">
        <w:t>C</w:t>
      </w:r>
      <w:r w:rsidRPr="00D96FA5">
        <w:t>ompliance with Australian laws</w:t>
      </w:r>
      <w:bookmarkEnd w:id="18"/>
    </w:p>
    <w:p w:rsidR="00510221" w:rsidRPr="00D96FA5" w:rsidRDefault="00510221" w:rsidP="003139E4">
      <w:pPr>
        <w:pStyle w:val="SubsectionHead"/>
      </w:pPr>
      <w:r w:rsidRPr="00D96FA5">
        <w:t>Object</w:t>
      </w:r>
    </w:p>
    <w:p w:rsidR="00510221" w:rsidRPr="00D96FA5" w:rsidRDefault="00510221" w:rsidP="003139E4">
      <w:pPr>
        <w:pStyle w:val="subsection"/>
      </w:pPr>
      <w:r w:rsidRPr="00D96FA5">
        <w:tab/>
        <w:t>(1)</w:t>
      </w:r>
      <w:r w:rsidRPr="00D96FA5">
        <w:tab/>
        <w:t>The object of this governance standard is to give the public (including members, donors, employees, volunteers and benefit recipients of a registered entity) trust and confidence that a registered entity is governed in a way that ensures its on</w:t>
      </w:r>
      <w:r w:rsidR="00D96FA5" w:rsidRPr="00D96FA5">
        <w:noBreakHyphen/>
      </w:r>
      <w:r w:rsidRPr="00D96FA5">
        <w:t>going operations and the safety of its assets, through compliance with Australian laws (including preventing the misuse of its assets).</w:t>
      </w:r>
    </w:p>
    <w:p w:rsidR="00FC342A" w:rsidRPr="00D96FA5" w:rsidRDefault="00D579FC" w:rsidP="00D579FC">
      <w:pPr>
        <w:pStyle w:val="notetext"/>
      </w:pPr>
      <w:r w:rsidRPr="00D96FA5">
        <w:t>Note:</w:t>
      </w:r>
      <w:r w:rsidRPr="00D96FA5">
        <w:tab/>
        <w:t xml:space="preserve">Compliance with Australian laws sets a minimum benchmark by which all entities should govern themselves. A failure by a registered entity to comply with an Australian law puts the public (including members, donors, employees, volunteers and benefit recipients of the registered entity) at risk and, therefore, </w:t>
      </w:r>
      <w:r w:rsidR="00D96A4E" w:rsidRPr="00D96FA5">
        <w:t>governance standard</w:t>
      </w:r>
      <w:r w:rsidR="00167DBC" w:rsidRPr="00D96FA5">
        <w:t xml:space="preserve"> </w:t>
      </w:r>
      <w:r w:rsidRPr="00D96FA5">
        <w:t xml:space="preserve">3 allows the Commissioner to </w:t>
      </w:r>
      <w:r w:rsidR="00FC342A" w:rsidRPr="00D96FA5">
        <w:t>t</w:t>
      </w:r>
      <w:r w:rsidRPr="00D96FA5">
        <w:t xml:space="preserve">ake a proportionate </w:t>
      </w:r>
      <w:r w:rsidR="00FC342A" w:rsidRPr="00D96FA5">
        <w:t>approach to:</w:t>
      </w:r>
    </w:p>
    <w:p w:rsidR="00FC342A" w:rsidRPr="00D96FA5" w:rsidRDefault="00FC342A" w:rsidP="00FC342A">
      <w:pPr>
        <w:pStyle w:val="notepara"/>
      </w:pPr>
      <w:r w:rsidRPr="00D96FA5">
        <w:t>(a)</w:t>
      </w:r>
      <w:r w:rsidRPr="00D96FA5">
        <w:tab/>
      </w:r>
      <w:r w:rsidR="00D579FC" w:rsidRPr="00D96FA5">
        <w:t>protect public trust and confidence</w:t>
      </w:r>
      <w:r w:rsidRPr="00D96FA5">
        <w:t>; and</w:t>
      </w:r>
    </w:p>
    <w:p w:rsidR="00FC342A" w:rsidRPr="00D96FA5" w:rsidRDefault="00FC342A" w:rsidP="00FC342A">
      <w:pPr>
        <w:pStyle w:val="notepara"/>
      </w:pPr>
      <w:r w:rsidRPr="00D96FA5">
        <w:t>(b)</w:t>
      </w:r>
      <w:r w:rsidRPr="00D96FA5">
        <w:tab/>
        <w:t xml:space="preserve">protect </w:t>
      </w:r>
      <w:r w:rsidR="00D579FC" w:rsidRPr="00D96FA5">
        <w:t>the a</w:t>
      </w:r>
      <w:r w:rsidRPr="00D96FA5">
        <w:t xml:space="preserve">ssets of the registered entity; </w:t>
      </w:r>
      <w:r w:rsidR="00D579FC" w:rsidRPr="00D96FA5">
        <w:t>and</w:t>
      </w:r>
    </w:p>
    <w:p w:rsidR="00D579FC" w:rsidRPr="00D96FA5" w:rsidRDefault="00FC342A" w:rsidP="00FC342A">
      <w:pPr>
        <w:pStyle w:val="notepara"/>
      </w:pPr>
      <w:r w:rsidRPr="00D96FA5">
        <w:t>(c)</w:t>
      </w:r>
      <w:r w:rsidRPr="00D96FA5">
        <w:tab/>
      </w:r>
      <w:r w:rsidR="00D579FC" w:rsidRPr="00D96FA5">
        <w:t xml:space="preserve">ensure </w:t>
      </w:r>
      <w:r w:rsidR="0008580B" w:rsidRPr="00D96FA5">
        <w:t xml:space="preserve">that </w:t>
      </w:r>
      <w:r w:rsidR="00D579FC" w:rsidRPr="00D96FA5">
        <w:t>the registered entity</w:t>
      </w:r>
      <w:r w:rsidRPr="00D96FA5">
        <w:t xml:space="preserve"> continues to operate in a manner that is sustainable and consistent with its purposes</w:t>
      </w:r>
      <w:r w:rsidR="00D579FC" w:rsidRPr="00D96FA5">
        <w:t>.</w:t>
      </w:r>
    </w:p>
    <w:p w:rsidR="00510221" w:rsidRPr="00D96FA5" w:rsidRDefault="00510221" w:rsidP="003139E4">
      <w:pPr>
        <w:pStyle w:val="SubsectionHead"/>
      </w:pPr>
      <w:r w:rsidRPr="00D96FA5">
        <w:t>Standard</w:t>
      </w:r>
    </w:p>
    <w:p w:rsidR="00510221" w:rsidRPr="00D96FA5" w:rsidRDefault="00510221" w:rsidP="003139E4">
      <w:pPr>
        <w:pStyle w:val="subsection"/>
      </w:pPr>
      <w:r w:rsidRPr="00D96FA5">
        <w:tab/>
        <w:t>(2)</w:t>
      </w:r>
      <w:r w:rsidRPr="00D96FA5">
        <w:tab/>
        <w:t xml:space="preserve">A registered entity must not engage in conduct, or omit to engage in conduct, </w:t>
      </w:r>
      <w:r w:rsidR="00D579FC" w:rsidRPr="00D96FA5">
        <w:t>if the conduct or omission</w:t>
      </w:r>
      <w:r w:rsidRPr="00D96FA5">
        <w:t xml:space="preserve"> may be dealt with:</w:t>
      </w:r>
    </w:p>
    <w:p w:rsidR="00510221" w:rsidRPr="00D96FA5" w:rsidRDefault="00510221" w:rsidP="003139E4">
      <w:pPr>
        <w:pStyle w:val="paragraph"/>
      </w:pPr>
      <w:r w:rsidRPr="00D96FA5">
        <w:tab/>
        <w:t>(a)</w:t>
      </w:r>
      <w:r w:rsidRPr="00D96FA5">
        <w:tab/>
        <w:t>as an indictable offence under an Australian law (even if it may, in some circumstances, be dealt with as a summary offence); or</w:t>
      </w:r>
    </w:p>
    <w:p w:rsidR="00510221" w:rsidRPr="00D96FA5" w:rsidRDefault="00510221" w:rsidP="003139E4">
      <w:pPr>
        <w:pStyle w:val="paragraph"/>
      </w:pPr>
      <w:r w:rsidRPr="00D96FA5">
        <w:tab/>
        <w:t>(b)</w:t>
      </w:r>
      <w:r w:rsidRPr="00D96FA5">
        <w:tab/>
        <w:t>by way of a civil penalty of 60 penalty units or more.</w:t>
      </w:r>
    </w:p>
    <w:p w:rsidR="00510221" w:rsidRPr="00D96FA5" w:rsidRDefault="003139E4" w:rsidP="003139E4">
      <w:pPr>
        <w:pStyle w:val="notetext"/>
      </w:pPr>
      <w:r w:rsidRPr="00D96FA5">
        <w:t>Note 1:</w:t>
      </w:r>
      <w:r w:rsidRPr="00D96FA5">
        <w:tab/>
      </w:r>
      <w:r w:rsidR="00510221" w:rsidRPr="00D96FA5">
        <w:t>See section</w:t>
      </w:r>
      <w:r w:rsidR="00D96FA5" w:rsidRPr="00D96FA5">
        <w:t> </w:t>
      </w:r>
      <w:r w:rsidR="00510221" w:rsidRPr="00D96FA5">
        <w:t xml:space="preserve">4AA of the </w:t>
      </w:r>
      <w:r w:rsidR="00510221" w:rsidRPr="00D96FA5">
        <w:rPr>
          <w:i/>
        </w:rPr>
        <w:t>Crimes Act 1914</w:t>
      </w:r>
      <w:r w:rsidR="00510221" w:rsidRPr="00D96FA5">
        <w:t xml:space="preserve"> for the current value of a penalty unit.</w:t>
      </w:r>
    </w:p>
    <w:p w:rsidR="00D579FC" w:rsidRPr="00D96FA5" w:rsidRDefault="003139E4" w:rsidP="003139E4">
      <w:pPr>
        <w:pStyle w:val="notetext"/>
      </w:pPr>
      <w:r w:rsidRPr="00D96FA5">
        <w:t>Note 2:</w:t>
      </w:r>
      <w:r w:rsidRPr="00D96FA5">
        <w:tab/>
      </w:r>
      <w:r w:rsidR="00D96A4E" w:rsidRPr="00D96FA5">
        <w:t>Governance standard</w:t>
      </w:r>
      <w:r w:rsidR="00167DBC" w:rsidRPr="00D96FA5">
        <w:t xml:space="preserve"> </w:t>
      </w:r>
      <w:r w:rsidR="00D579FC" w:rsidRPr="00D96FA5">
        <w:t>3 does not extend Australian law to overseas jurisdictions. An Australian law may already extend to an overseas jurisdiction by other means.</w:t>
      </w:r>
    </w:p>
    <w:p w:rsidR="00510221" w:rsidRPr="00D96FA5" w:rsidRDefault="00D579FC" w:rsidP="003139E4">
      <w:pPr>
        <w:pStyle w:val="notetext"/>
      </w:pPr>
      <w:r w:rsidRPr="00D96FA5">
        <w:t>Note 3:</w:t>
      </w:r>
      <w:r w:rsidRPr="00D96FA5">
        <w:tab/>
      </w:r>
      <w:r w:rsidR="00510221" w:rsidRPr="00D96FA5">
        <w:t xml:space="preserve">While a registered entity must comply with all Australian laws, a serious infringement of an Australian law covered by </w:t>
      </w:r>
      <w:r w:rsidR="00D96A4E" w:rsidRPr="00D96FA5">
        <w:t>governance standard</w:t>
      </w:r>
      <w:r w:rsidR="00167DBC" w:rsidRPr="00D96FA5">
        <w:t xml:space="preserve"> </w:t>
      </w:r>
      <w:r w:rsidR="00AE55D0" w:rsidRPr="00D96FA5">
        <w:t>3</w:t>
      </w:r>
      <w:r w:rsidR="00510221" w:rsidRPr="00D96FA5">
        <w:t xml:space="preserve"> may allow the Commissioner to exercise his or her </w:t>
      </w:r>
      <w:r w:rsidR="00510221" w:rsidRPr="00D96FA5">
        <w:lastRenderedPageBreak/>
        <w:t>enforcement powers under Part</w:t>
      </w:r>
      <w:r w:rsidR="00D96FA5" w:rsidRPr="00D96FA5">
        <w:t> </w:t>
      </w:r>
      <w:r w:rsidR="00510221" w:rsidRPr="00D96FA5">
        <w:t>4</w:t>
      </w:r>
      <w:r w:rsidR="00D96FA5" w:rsidRPr="00D96FA5">
        <w:noBreakHyphen/>
      </w:r>
      <w:r w:rsidR="00510221" w:rsidRPr="00D96FA5">
        <w:t>2 of the Act, following consideration of the matters mentioned in subsection</w:t>
      </w:r>
      <w:r w:rsidR="00D96FA5" w:rsidRPr="00D96FA5">
        <w:t> </w:t>
      </w:r>
      <w:r w:rsidR="00510221" w:rsidRPr="00D96FA5">
        <w:t>35</w:t>
      </w:r>
      <w:r w:rsidR="00D96FA5" w:rsidRPr="00D96FA5">
        <w:noBreakHyphen/>
      </w:r>
      <w:r w:rsidR="00510221" w:rsidRPr="00D96FA5">
        <w:t>10</w:t>
      </w:r>
      <w:r w:rsidR="00E4084F" w:rsidRPr="00D96FA5">
        <w:t xml:space="preserve"> </w:t>
      </w:r>
      <w:r w:rsidR="00510221" w:rsidRPr="00D96FA5">
        <w:t>(2) of the Act.</w:t>
      </w:r>
    </w:p>
    <w:p w:rsidR="00510221" w:rsidRPr="00D96FA5" w:rsidRDefault="00510221" w:rsidP="003139E4">
      <w:pPr>
        <w:pStyle w:val="ActHead5"/>
      </w:pPr>
      <w:bookmarkStart w:id="19" w:name="_Toc349234115"/>
      <w:r w:rsidRPr="00D96FA5">
        <w:rPr>
          <w:rStyle w:val="CharSectno"/>
        </w:rPr>
        <w:t>45.2</w:t>
      </w:r>
      <w:r w:rsidR="00C52058" w:rsidRPr="00D96FA5">
        <w:rPr>
          <w:rStyle w:val="CharSectno"/>
        </w:rPr>
        <w:t>0</w:t>
      </w:r>
      <w:r w:rsidR="003139E4" w:rsidRPr="00D96FA5">
        <w:t xml:space="preserve">  </w:t>
      </w:r>
      <w:r w:rsidR="003A005D" w:rsidRPr="00D96FA5">
        <w:t>Governance standard</w:t>
      </w:r>
      <w:r w:rsidR="00E4084F" w:rsidRPr="00D96FA5">
        <w:t xml:space="preserve"> </w:t>
      </w:r>
      <w:r w:rsidR="00F324CE" w:rsidRPr="00D96FA5">
        <w:t>4</w:t>
      </w:r>
      <w:r w:rsidRPr="00D96FA5">
        <w:t>—</w:t>
      </w:r>
      <w:r w:rsidR="00B05981" w:rsidRPr="00D96FA5">
        <w:t>S</w:t>
      </w:r>
      <w:r w:rsidRPr="00D96FA5">
        <w:t>uitability of responsible entities</w:t>
      </w:r>
      <w:bookmarkEnd w:id="19"/>
    </w:p>
    <w:p w:rsidR="00510221" w:rsidRPr="00D96FA5" w:rsidRDefault="00510221" w:rsidP="003139E4">
      <w:pPr>
        <w:pStyle w:val="SubsectionHead"/>
      </w:pPr>
      <w:r w:rsidRPr="00D96FA5">
        <w:t>Object</w:t>
      </w:r>
    </w:p>
    <w:p w:rsidR="00510221" w:rsidRPr="00D96FA5" w:rsidRDefault="00510221" w:rsidP="003139E4">
      <w:pPr>
        <w:pStyle w:val="subsection"/>
      </w:pPr>
      <w:r w:rsidRPr="00D96FA5">
        <w:tab/>
        <w:t>(1)</w:t>
      </w:r>
      <w:r w:rsidRPr="00D96FA5">
        <w:tab/>
        <w:t>The object of this governance standard is to maintain, protect and enhance public trust and confidence in the governance and operation of a registered entity.</w:t>
      </w:r>
    </w:p>
    <w:p w:rsidR="00510221" w:rsidRPr="00D96FA5" w:rsidRDefault="00510221" w:rsidP="003139E4">
      <w:pPr>
        <w:pStyle w:val="SubsectionHead"/>
      </w:pPr>
      <w:r w:rsidRPr="00D96FA5">
        <w:t>Standard</w:t>
      </w:r>
    </w:p>
    <w:p w:rsidR="00510221" w:rsidRPr="00D96FA5" w:rsidRDefault="00510221" w:rsidP="003139E4">
      <w:pPr>
        <w:pStyle w:val="subsection"/>
      </w:pPr>
      <w:r w:rsidRPr="00D96FA5">
        <w:tab/>
        <w:t>(2)</w:t>
      </w:r>
      <w:r w:rsidRPr="00D96FA5">
        <w:tab/>
        <w:t>A registered entity must:</w:t>
      </w:r>
    </w:p>
    <w:p w:rsidR="00510221" w:rsidRPr="00D96FA5" w:rsidRDefault="00510221" w:rsidP="003139E4">
      <w:pPr>
        <w:pStyle w:val="paragraph"/>
      </w:pPr>
      <w:r w:rsidRPr="00D96FA5">
        <w:tab/>
        <w:t>(a)</w:t>
      </w:r>
      <w:r w:rsidRPr="00D96FA5">
        <w:tab/>
        <w:t xml:space="preserve">take reasonable steps to ensure that each of its responsible entities meet the conditions mentioned in </w:t>
      </w:r>
      <w:r w:rsidR="00D96FA5" w:rsidRPr="00D96FA5">
        <w:t>subsection (</w:t>
      </w:r>
      <w:r w:rsidRPr="00D96FA5">
        <w:t>3); and</w:t>
      </w:r>
    </w:p>
    <w:p w:rsidR="00510221" w:rsidRPr="00D96FA5" w:rsidRDefault="00510221" w:rsidP="003139E4">
      <w:pPr>
        <w:pStyle w:val="paragraph"/>
      </w:pPr>
      <w:r w:rsidRPr="00D96FA5">
        <w:tab/>
        <w:t>(b)</w:t>
      </w:r>
      <w:r w:rsidRPr="00D96FA5">
        <w:tab/>
        <w:t>after taking those steps:</w:t>
      </w:r>
    </w:p>
    <w:p w:rsidR="00510221" w:rsidRPr="00D96FA5" w:rsidRDefault="00510221" w:rsidP="003139E4">
      <w:pPr>
        <w:pStyle w:val="paragraphsub"/>
      </w:pPr>
      <w:r w:rsidRPr="00D96FA5">
        <w:tab/>
        <w:t>(</w:t>
      </w:r>
      <w:proofErr w:type="spellStart"/>
      <w:r w:rsidRPr="00D96FA5">
        <w:t>i</w:t>
      </w:r>
      <w:proofErr w:type="spellEnd"/>
      <w:r w:rsidRPr="00D96FA5">
        <w:t>)</w:t>
      </w:r>
      <w:r w:rsidRPr="00D96FA5">
        <w:tab/>
        <w:t>be, and remain, satisfied that each responsible entity meets the conditions; or</w:t>
      </w:r>
    </w:p>
    <w:p w:rsidR="00510221" w:rsidRPr="00D96FA5" w:rsidRDefault="00510221" w:rsidP="003139E4">
      <w:pPr>
        <w:pStyle w:val="paragraphsub"/>
      </w:pPr>
      <w:r w:rsidRPr="00D96FA5">
        <w:tab/>
        <w:t>(ii)</w:t>
      </w:r>
      <w:r w:rsidRPr="00D96FA5">
        <w:tab/>
        <w:t>if it is unable to be, or remain, satisfied that a responsible entity meets the conditions, take reasonable steps to remove that entity.</w:t>
      </w:r>
    </w:p>
    <w:p w:rsidR="00B83EA6" w:rsidRPr="00D96FA5" w:rsidRDefault="003139E4" w:rsidP="00B83EA6">
      <w:pPr>
        <w:pStyle w:val="notetext"/>
      </w:pPr>
      <w:r w:rsidRPr="00D96FA5">
        <w:t>Note</w:t>
      </w:r>
      <w:r w:rsidR="00B83EA6" w:rsidRPr="00D96FA5">
        <w:t xml:space="preserve"> 1</w:t>
      </w:r>
      <w:r w:rsidRPr="00D96FA5">
        <w:t>:</w:t>
      </w:r>
      <w:r w:rsidRPr="00D96FA5">
        <w:tab/>
      </w:r>
      <w:r w:rsidR="00510221" w:rsidRPr="00D96FA5">
        <w:t>Other Australian laws may require responsible entities to be replaced, if removed, because a registered entity may need to have a minimum number of responsible entities.</w:t>
      </w:r>
    </w:p>
    <w:p w:rsidR="00B83EA6" w:rsidRPr="00D96FA5" w:rsidRDefault="00B83EA6" w:rsidP="003139E4">
      <w:pPr>
        <w:pStyle w:val="notetext"/>
      </w:pPr>
      <w:r w:rsidRPr="00D96FA5">
        <w:t>Note 2:</w:t>
      </w:r>
      <w:r w:rsidRPr="00D96FA5">
        <w:tab/>
        <w:t>The reasonable steps required of a registered entity</w:t>
      </w:r>
      <w:r w:rsidR="00510221" w:rsidRPr="00D96FA5">
        <w:t xml:space="preserve"> may in</w:t>
      </w:r>
      <w:r w:rsidRPr="00D96FA5">
        <w:t>clude:</w:t>
      </w:r>
    </w:p>
    <w:p w:rsidR="00B83EA6" w:rsidRPr="00D96FA5" w:rsidRDefault="00B83EA6" w:rsidP="00B83EA6">
      <w:pPr>
        <w:pStyle w:val="notepara"/>
      </w:pPr>
      <w:r w:rsidRPr="00D96FA5">
        <w:t>(a)</w:t>
      </w:r>
      <w:r w:rsidRPr="00D96FA5">
        <w:tab/>
      </w:r>
      <w:r w:rsidR="00510221" w:rsidRPr="00D96FA5">
        <w:t>obtaining declarations from responsible entities and searching public registers</w:t>
      </w:r>
      <w:r w:rsidRPr="00D96FA5">
        <w:t xml:space="preserve"> on appointment; and</w:t>
      </w:r>
    </w:p>
    <w:p w:rsidR="00510221" w:rsidRPr="00D96FA5" w:rsidRDefault="00B83EA6" w:rsidP="00B83EA6">
      <w:pPr>
        <w:pStyle w:val="notepara"/>
      </w:pPr>
      <w:r w:rsidRPr="00D96FA5">
        <w:t>(b)</w:t>
      </w:r>
      <w:r w:rsidRPr="00D96FA5">
        <w:tab/>
        <w:t xml:space="preserve">obtaining a commitment from </w:t>
      </w:r>
      <w:r w:rsidR="008C3827" w:rsidRPr="00D96FA5">
        <w:t>a responsible entity</w:t>
      </w:r>
      <w:r w:rsidRPr="00D96FA5">
        <w:t xml:space="preserve"> that</w:t>
      </w:r>
      <w:r w:rsidR="008C3827" w:rsidRPr="00D96FA5">
        <w:t>, if its</w:t>
      </w:r>
      <w:r w:rsidRPr="00D96FA5">
        <w:t xml:space="preserve"> circumstances change</w:t>
      </w:r>
      <w:r w:rsidR="008C3827" w:rsidRPr="00D96FA5">
        <w:t>, it</w:t>
      </w:r>
      <w:r w:rsidRPr="00D96FA5">
        <w:t xml:space="preserve"> will advise the registered entity.</w:t>
      </w:r>
    </w:p>
    <w:p w:rsidR="00510221" w:rsidRPr="00D96FA5" w:rsidRDefault="00510221" w:rsidP="003139E4">
      <w:pPr>
        <w:pStyle w:val="subsection"/>
      </w:pPr>
      <w:r w:rsidRPr="00D96FA5">
        <w:tab/>
        <w:t>(3)</w:t>
      </w:r>
      <w:r w:rsidRPr="00D96FA5">
        <w:tab/>
        <w:t xml:space="preserve">Subject to </w:t>
      </w:r>
      <w:r w:rsidR="00D96FA5" w:rsidRPr="00D96FA5">
        <w:t>subsection (</w:t>
      </w:r>
      <w:r w:rsidRPr="00D96FA5">
        <w:t>5), the conditions for e</w:t>
      </w:r>
      <w:r w:rsidR="004F3DF7" w:rsidRPr="00D96FA5">
        <w:t>ach responsible entity are that</w:t>
      </w:r>
      <w:r w:rsidRPr="00D96FA5">
        <w:t>:</w:t>
      </w:r>
    </w:p>
    <w:p w:rsidR="00510221" w:rsidRPr="00D96FA5" w:rsidRDefault="00510221" w:rsidP="003139E4">
      <w:pPr>
        <w:pStyle w:val="paragraph"/>
      </w:pPr>
      <w:r w:rsidRPr="00D96FA5">
        <w:tab/>
        <w:t>(a)</w:t>
      </w:r>
      <w:r w:rsidRPr="00D96FA5">
        <w:tab/>
      </w:r>
      <w:r w:rsidR="004F3DF7" w:rsidRPr="00D96FA5">
        <w:t xml:space="preserve">it is not </w:t>
      </w:r>
      <w:r w:rsidRPr="00D96FA5">
        <w:t xml:space="preserve">disqualified from managing a corporation, within the meaning of the </w:t>
      </w:r>
      <w:r w:rsidRPr="00D96FA5">
        <w:rPr>
          <w:i/>
        </w:rPr>
        <w:t>Corporations Act 2001</w:t>
      </w:r>
      <w:r w:rsidRPr="00D96FA5">
        <w:t xml:space="preserve">; </w:t>
      </w:r>
      <w:r w:rsidR="004F3DF7" w:rsidRPr="00D96FA5">
        <w:t>and</w:t>
      </w:r>
    </w:p>
    <w:p w:rsidR="00510221" w:rsidRPr="00D96FA5" w:rsidRDefault="00510221" w:rsidP="003139E4">
      <w:pPr>
        <w:pStyle w:val="paragraph"/>
      </w:pPr>
      <w:r w:rsidRPr="00D96FA5">
        <w:tab/>
        <w:t>(b)</w:t>
      </w:r>
      <w:r w:rsidRPr="00D96FA5">
        <w:tab/>
      </w:r>
      <w:r w:rsidR="004F3DF7" w:rsidRPr="00D96FA5">
        <w:t xml:space="preserve">it is not </w:t>
      </w:r>
      <w:r w:rsidRPr="00D96FA5">
        <w:t xml:space="preserve">disqualified by the Commissioner, at any time during the preceding 12 months, from being a responsible entity of a registered entity under </w:t>
      </w:r>
      <w:r w:rsidR="00D96FA5" w:rsidRPr="00D96FA5">
        <w:t>subsection (</w:t>
      </w:r>
      <w:r w:rsidRPr="00D96FA5">
        <w:t>4).</w:t>
      </w:r>
    </w:p>
    <w:p w:rsidR="00510221" w:rsidRPr="00D96FA5" w:rsidRDefault="003139E4" w:rsidP="003139E4">
      <w:pPr>
        <w:pStyle w:val="notetext"/>
      </w:pPr>
      <w:r w:rsidRPr="00D96FA5">
        <w:t>Note:</w:t>
      </w:r>
      <w:r w:rsidRPr="00D96FA5">
        <w:tab/>
      </w:r>
      <w:r w:rsidR="00510221" w:rsidRPr="00D96FA5">
        <w:t>Other Australian laws may place other limitations on who may be the responsible entity of a registered entity, or a particular type of registered entity.</w:t>
      </w:r>
    </w:p>
    <w:p w:rsidR="00510221" w:rsidRPr="00D96FA5" w:rsidRDefault="00510221" w:rsidP="003139E4">
      <w:pPr>
        <w:pStyle w:val="subsection"/>
      </w:pPr>
      <w:r w:rsidRPr="00D96FA5">
        <w:lastRenderedPageBreak/>
        <w:tab/>
        <w:t>(4)</w:t>
      </w:r>
      <w:r w:rsidRPr="00D96FA5">
        <w:tab/>
        <w:t xml:space="preserve">The Commissioner may disqualify an entity from being eligible to be a responsible entity for the purpose of </w:t>
      </w:r>
      <w:r w:rsidR="00AE55D0" w:rsidRPr="00D96FA5">
        <w:t>this governance standard</w:t>
      </w:r>
      <w:r w:rsidRPr="00D96FA5">
        <w:t xml:space="preserve"> if:</w:t>
      </w:r>
    </w:p>
    <w:p w:rsidR="00510221" w:rsidRPr="00D96FA5" w:rsidRDefault="00510221" w:rsidP="003139E4">
      <w:pPr>
        <w:pStyle w:val="paragraph"/>
      </w:pPr>
      <w:r w:rsidRPr="00D96FA5">
        <w:tab/>
        <w:t>(a)</w:t>
      </w:r>
      <w:r w:rsidRPr="00D96FA5">
        <w:tab/>
        <w:t>the entity has been previously suspended</w:t>
      </w:r>
      <w:r w:rsidR="008C3827" w:rsidRPr="00D96FA5">
        <w:t>,</w:t>
      </w:r>
      <w:r w:rsidRPr="00D96FA5">
        <w:t xml:space="preserve"> or removed</w:t>
      </w:r>
      <w:r w:rsidR="008C3827" w:rsidRPr="00D96FA5">
        <w:t>,</w:t>
      </w:r>
      <w:r w:rsidRPr="00D96FA5">
        <w:t xml:space="preserve"> </w:t>
      </w:r>
      <w:r w:rsidR="008C3827" w:rsidRPr="00D96FA5">
        <w:t>under Division</w:t>
      </w:r>
      <w:r w:rsidR="00D96FA5" w:rsidRPr="00D96FA5">
        <w:t> </w:t>
      </w:r>
      <w:r w:rsidR="008C3827" w:rsidRPr="00D96FA5">
        <w:t xml:space="preserve">100 of the Act </w:t>
      </w:r>
      <w:r w:rsidRPr="00D96FA5">
        <w:t>as a responsible e</w:t>
      </w:r>
      <w:r w:rsidR="008C3827" w:rsidRPr="00D96FA5">
        <w:t>ntity of a registered entity</w:t>
      </w:r>
      <w:r w:rsidRPr="00D96FA5">
        <w:t>; and</w:t>
      </w:r>
    </w:p>
    <w:p w:rsidR="00510221" w:rsidRPr="00D96FA5" w:rsidRDefault="00510221" w:rsidP="003139E4">
      <w:pPr>
        <w:pStyle w:val="paragraph"/>
      </w:pPr>
      <w:r w:rsidRPr="00D96FA5">
        <w:tab/>
        <w:t>(b)</w:t>
      </w:r>
      <w:r w:rsidRPr="00D96FA5">
        <w:tab/>
        <w:t>the entity has been given notice of its disqualification by the Commissioner; and</w:t>
      </w:r>
    </w:p>
    <w:p w:rsidR="00510221" w:rsidRPr="00D96FA5" w:rsidRDefault="00510221" w:rsidP="003139E4">
      <w:pPr>
        <w:pStyle w:val="paragraph"/>
      </w:pPr>
      <w:r w:rsidRPr="00D96FA5">
        <w:tab/>
        <w:t>(c)</w:t>
      </w:r>
      <w:r w:rsidRPr="00D96FA5">
        <w:tab/>
        <w:t>the Commissioner reasonably believes that the disqualification is justified having regard to the objects of the Act.</w:t>
      </w:r>
    </w:p>
    <w:p w:rsidR="008C3827" w:rsidRPr="00D96FA5" w:rsidRDefault="008C3827" w:rsidP="008C3827">
      <w:pPr>
        <w:pStyle w:val="notetext"/>
      </w:pPr>
      <w:r w:rsidRPr="00D96FA5">
        <w:t>Note</w:t>
      </w:r>
      <w:r w:rsidR="00A42F7F" w:rsidRPr="00D96FA5">
        <w:t xml:space="preserve"> 1</w:t>
      </w:r>
      <w:r w:rsidRPr="00D96FA5">
        <w:t>:</w:t>
      </w:r>
      <w:r w:rsidRPr="00D96FA5">
        <w:tab/>
        <w:t>The secrecy provisions in Part</w:t>
      </w:r>
      <w:r w:rsidR="00D96FA5" w:rsidRPr="00D96FA5">
        <w:t> </w:t>
      </w:r>
      <w:r w:rsidRPr="00D96FA5">
        <w:t>7</w:t>
      </w:r>
      <w:r w:rsidR="00D96FA5" w:rsidRPr="00D96FA5">
        <w:noBreakHyphen/>
      </w:r>
      <w:r w:rsidRPr="00D96FA5">
        <w:t xml:space="preserve">1 of the Act prohibit </w:t>
      </w:r>
      <w:proofErr w:type="spellStart"/>
      <w:r w:rsidRPr="00D96FA5">
        <w:t>ACNC</w:t>
      </w:r>
      <w:proofErr w:type="spellEnd"/>
      <w:r w:rsidRPr="00D96FA5">
        <w:t xml:space="preserve"> officers (including the Commissioner) from disclosing protected </w:t>
      </w:r>
      <w:proofErr w:type="spellStart"/>
      <w:r w:rsidRPr="00D96FA5">
        <w:t>ACNC</w:t>
      </w:r>
      <w:proofErr w:type="spellEnd"/>
      <w:r w:rsidRPr="00D96FA5">
        <w:t xml:space="preserve"> information unless the disclosure is authorised by the Act. This prohibits the </w:t>
      </w:r>
      <w:proofErr w:type="spellStart"/>
      <w:r w:rsidRPr="00D96FA5">
        <w:t>ACNC</w:t>
      </w:r>
      <w:proofErr w:type="spellEnd"/>
      <w:r w:rsidRPr="00D96FA5">
        <w:t xml:space="preserve"> from disclosing information about ongoing investigations about particular responsible entities that may be subject to compliance with </w:t>
      </w:r>
      <w:r w:rsidR="00D96A4E" w:rsidRPr="00D96FA5">
        <w:t>governance s</w:t>
      </w:r>
      <w:r w:rsidRPr="00D96FA5">
        <w:t>tandard</w:t>
      </w:r>
      <w:r w:rsidR="00167DBC" w:rsidRPr="00D96FA5">
        <w:t xml:space="preserve"> </w:t>
      </w:r>
      <w:r w:rsidR="00F324CE" w:rsidRPr="00D96FA5">
        <w:t>4</w:t>
      </w:r>
      <w:r w:rsidRPr="00D96FA5">
        <w:t>.</w:t>
      </w:r>
    </w:p>
    <w:p w:rsidR="00A42F7F" w:rsidRPr="00D96FA5" w:rsidRDefault="00A42F7F" w:rsidP="008C3827">
      <w:pPr>
        <w:pStyle w:val="notetext"/>
      </w:pPr>
      <w:r w:rsidRPr="00D96FA5">
        <w:t>Note 2:</w:t>
      </w:r>
      <w:r w:rsidRPr="00D96FA5">
        <w:tab/>
      </w:r>
      <w:r w:rsidR="002C512A" w:rsidRPr="00D96FA5">
        <w:t>The effect of a</w:t>
      </w:r>
      <w:r w:rsidRPr="00D96FA5">
        <w:t xml:space="preserve"> disqualification lasts for no longer than 12 months from the day a notice is issued by the C</w:t>
      </w:r>
      <w:r w:rsidR="00011D0F" w:rsidRPr="00D96FA5">
        <w:t>ommissioner (s</w:t>
      </w:r>
      <w:r w:rsidR="002C512A" w:rsidRPr="00D96FA5">
        <w:t xml:space="preserve">ee </w:t>
      </w:r>
      <w:r w:rsidR="00D96FA5" w:rsidRPr="00D96FA5">
        <w:t>paragraph (</w:t>
      </w:r>
      <w:r w:rsidRPr="00D96FA5">
        <w:t>3)(b</w:t>
      </w:r>
      <w:r w:rsidR="00011D0F" w:rsidRPr="00D96FA5">
        <w:t>))</w:t>
      </w:r>
      <w:r w:rsidRPr="00D96FA5">
        <w:t>.</w:t>
      </w:r>
    </w:p>
    <w:p w:rsidR="00510221" w:rsidRPr="00D96FA5" w:rsidRDefault="00510221" w:rsidP="003139E4">
      <w:pPr>
        <w:pStyle w:val="subsection"/>
      </w:pPr>
      <w:r w:rsidRPr="00D96FA5">
        <w:tab/>
        <w:t>(5)</w:t>
      </w:r>
      <w:r w:rsidRPr="00D96FA5">
        <w:tab/>
        <w:t xml:space="preserve">Despite </w:t>
      </w:r>
      <w:r w:rsidR="00D96FA5" w:rsidRPr="00D96FA5">
        <w:t>subsection (</w:t>
      </w:r>
      <w:r w:rsidRPr="00D96FA5">
        <w:t>3), the Commissioner may allow an individual to be a responsible entity for a particular registered entity if the Commissioner believes it is reasonable to do so in the circumstances.</w:t>
      </w:r>
    </w:p>
    <w:p w:rsidR="00510221" w:rsidRPr="00D96FA5" w:rsidRDefault="00510221" w:rsidP="003139E4">
      <w:pPr>
        <w:pStyle w:val="subsection"/>
      </w:pPr>
      <w:r w:rsidRPr="00D96FA5">
        <w:tab/>
        <w:t>(6)</w:t>
      </w:r>
      <w:r w:rsidRPr="00D96FA5">
        <w:tab/>
        <w:t xml:space="preserve">An entity that is dissatisfied with a decision of the Commissioner to disqualify the entity under </w:t>
      </w:r>
      <w:r w:rsidR="00D96FA5" w:rsidRPr="00D96FA5">
        <w:t>subsection (</w:t>
      </w:r>
      <w:r w:rsidRPr="00D96FA5">
        <w:t>4) may object to the decision in the manner set out in Part</w:t>
      </w:r>
      <w:r w:rsidR="00D96FA5" w:rsidRPr="00D96FA5">
        <w:t> </w:t>
      </w:r>
      <w:r w:rsidRPr="00D96FA5">
        <w:t>7</w:t>
      </w:r>
      <w:r w:rsidR="00D96FA5" w:rsidRPr="00D96FA5">
        <w:noBreakHyphen/>
      </w:r>
      <w:r w:rsidRPr="00D96FA5">
        <w:t>2 of the Act.</w:t>
      </w:r>
    </w:p>
    <w:p w:rsidR="00510221" w:rsidRPr="00D96FA5" w:rsidRDefault="00510221" w:rsidP="003139E4">
      <w:pPr>
        <w:pStyle w:val="ActHead5"/>
      </w:pPr>
      <w:bookmarkStart w:id="20" w:name="_Toc349234116"/>
      <w:r w:rsidRPr="00D96FA5">
        <w:rPr>
          <w:rStyle w:val="CharSectno"/>
        </w:rPr>
        <w:t>45.</w:t>
      </w:r>
      <w:r w:rsidR="00C52058" w:rsidRPr="00D96FA5">
        <w:rPr>
          <w:rStyle w:val="CharSectno"/>
        </w:rPr>
        <w:t>25</w:t>
      </w:r>
      <w:r w:rsidR="003139E4" w:rsidRPr="00D96FA5">
        <w:t xml:space="preserve">  </w:t>
      </w:r>
      <w:r w:rsidR="003A005D" w:rsidRPr="00D96FA5">
        <w:t>Governance standard</w:t>
      </w:r>
      <w:r w:rsidR="00E4084F" w:rsidRPr="00D96FA5">
        <w:t xml:space="preserve"> </w:t>
      </w:r>
      <w:r w:rsidR="00F324CE" w:rsidRPr="00D96FA5">
        <w:t>5</w:t>
      </w:r>
      <w:r w:rsidRPr="00D96FA5">
        <w:t>—</w:t>
      </w:r>
      <w:r w:rsidR="00B05981" w:rsidRPr="00D96FA5">
        <w:t>D</w:t>
      </w:r>
      <w:r w:rsidRPr="00D96FA5">
        <w:t>uties of responsible entities</w:t>
      </w:r>
      <w:bookmarkEnd w:id="20"/>
    </w:p>
    <w:p w:rsidR="00510221" w:rsidRPr="00D96FA5" w:rsidRDefault="00510221" w:rsidP="003139E4">
      <w:pPr>
        <w:pStyle w:val="SubsectionHead"/>
      </w:pPr>
      <w:r w:rsidRPr="00D96FA5">
        <w:t>Object</w:t>
      </w:r>
    </w:p>
    <w:p w:rsidR="00510221" w:rsidRPr="00D96FA5" w:rsidRDefault="00510221" w:rsidP="003139E4">
      <w:pPr>
        <w:pStyle w:val="subsection"/>
      </w:pPr>
      <w:r w:rsidRPr="00D96FA5">
        <w:tab/>
        <w:t>(1)</w:t>
      </w:r>
      <w:r w:rsidRPr="00D96FA5">
        <w:tab/>
        <w:t>The object of this governance standard is:</w:t>
      </w:r>
    </w:p>
    <w:p w:rsidR="00510221" w:rsidRPr="00D96FA5" w:rsidRDefault="00510221" w:rsidP="003139E4">
      <w:pPr>
        <w:pStyle w:val="paragraph"/>
      </w:pPr>
      <w:r w:rsidRPr="00D96FA5">
        <w:tab/>
        <w:t>(a)</w:t>
      </w:r>
      <w:r w:rsidRPr="00D96FA5">
        <w:tab/>
        <w:t>to ensure that the responsible entities of a registered entity conduct themselves in the manner that would be necessary if:</w:t>
      </w:r>
    </w:p>
    <w:p w:rsidR="00510221" w:rsidRPr="00D96FA5" w:rsidRDefault="00510221" w:rsidP="003139E4">
      <w:pPr>
        <w:pStyle w:val="paragraphsub"/>
      </w:pPr>
      <w:r w:rsidRPr="00D96FA5">
        <w:tab/>
        <w:t>(</w:t>
      </w:r>
      <w:proofErr w:type="spellStart"/>
      <w:r w:rsidRPr="00D96FA5">
        <w:t>i</w:t>
      </w:r>
      <w:proofErr w:type="spellEnd"/>
      <w:r w:rsidRPr="00D96FA5">
        <w:t>)</w:t>
      </w:r>
      <w:r w:rsidRPr="00D96FA5">
        <w:tab/>
        <w:t>the relationship between them and the entity were a fiduciary relationship; and</w:t>
      </w:r>
    </w:p>
    <w:p w:rsidR="00510221" w:rsidRPr="00D96FA5" w:rsidRDefault="00510221" w:rsidP="003139E4">
      <w:pPr>
        <w:pStyle w:val="paragraphsub"/>
      </w:pPr>
      <w:r w:rsidRPr="00D96FA5">
        <w:tab/>
        <w:t>(ii)</w:t>
      </w:r>
      <w:r w:rsidRPr="00D96FA5">
        <w:tab/>
        <w:t>they were obliged to satisfy minimum standards of behaviour consistent with that relationship; and</w:t>
      </w:r>
    </w:p>
    <w:p w:rsidR="00510221" w:rsidRPr="00D96FA5" w:rsidRDefault="00510221" w:rsidP="003139E4">
      <w:pPr>
        <w:pStyle w:val="paragraph"/>
      </w:pPr>
      <w:r w:rsidRPr="00D96FA5">
        <w:lastRenderedPageBreak/>
        <w:tab/>
        <w:t>(b)</w:t>
      </w:r>
      <w:r w:rsidRPr="00D96FA5">
        <w:tab/>
        <w:t>to give the public, including members, donors, employees, volunteers and benefit recipients of a registered entity, confidence that the registered entity:</w:t>
      </w:r>
    </w:p>
    <w:p w:rsidR="00510221" w:rsidRPr="00D96FA5" w:rsidRDefault="00510221" w:rsidP="003139E4">
      <w:pPr>
        <w:pStyle w:val="paragraphsub"/>
      </w:pPr>
      <w:r w:rsidRPr="00D96FA5">
        <w:tab/>
        <w:t>(</w:t>
      </w:r>
      <w:proofErr w:type="spellStart"/>
      <w:r w:rsidRPr="00D96FA5">
        <w:t>i</w:t>
      </w:r>
      <w:proofErr w:type="spellEnd"/>
      <w:r w:rsidRPr="00D96FA5">
        <w:t>)</w:t>
      </w:r>
      <w:r w:rsidRPr="00D96FA5">
        <w:tab/>
        <w:t>is acting to prevent non</w:t>
      </w:r>
      <w:r w:rsidR="00D96FA5" w:rsidRPr="00D96FA5">
        <w:noBreakHyphen/>
      </w:r>
      <w:r w:rsidRPr="00D96FA5">
        <w:t>compliance with the duties imposed on responsible entities; and</w:t>
      </w:r>
    </w:p>
    <w:p w:rsidR="00510221" w:rsidRPr="00D96FA5" w:rsidRDefault="00510221" w:rsidP="003139E4">
      <w:pPr>
        <w:pStyle w:val="paragraphsub"/>
      </w:pPr>
      <w:r w:rsidRPr="00D96FA5">
        <w:tab/>
        <w:t>(iii)</w:t>
      </w:r>
      <w:r w:rsidRPr="00D96FA5">
        <w:tab/>
        <w:t>if non</w:t>
      </w:r>
      <w:r w:rsidR="00D96FA5" w:rsidRPr="00D96FA5">
        <w:noBreakHyphen/>
      </w:r>
      <w:r w:rsidRPr="00D96FA5">
        <w:t>compliance with the duties imposed on responsible entities occurs—will act to identify and remedy non</w:t>
      </w:r>
      <w:r w:rsidR="00D96FA5" w:rsidRPr="00D96FA5">
        <w:noBreakHyphen/>
      </w:r>
      <w:r w:rsidRPr="00D96FA5">
        <w:t>compliance with the duties imposed on the entity.</w:t>
      </w:r>
    </w:p>
    <w:p w:rsidR="00510221" w:rsidRPr="00D96FA5" w:rsidRDefault="00510221" w:rsidP="003139E4">
      <w:pPr>
        <w:pStyle w:val="SubsectionHead"/>
      </w:pPr>
      <w:r w:rsidRPr="00D96FA5">
        <w:t>Standard</w:t>
      </w:r>
    </w:p>
    <w:p w:rsidR="00510221" w:rsidRPr="00D96FA5" w:rsidRDefault="00510221" w:rsidP="003139E4">
      <w:pPr>
        <w:pStyle w:val="subsection"/>
      </w:pPr>
      <w:r w:rsidRPr="00D96FA5">
        <w:tab/>
        <w:t>(2)</w:t>
      </w:r>
      <w:r w:rsidRPr="00D96FA5">
        <w:tab/>
        <w:t>A registered entity must take reasonable steps to ensure that its responsible entities are subject to, and comply with, the following duties:</w:t>
      </w:r>
    </w:p>
    <w:p w:rsidR="00510221" w:rsidRPr="00D96FA5" w:rsidRDefault="00510221" w:rsidP="003139E4">
      <w:pPr>
        <w:pStyle w:val="paragraph"/>
      </w:pPr>
      <w:r w:rsidRPr="00D96FA5">
        <w:tab/>
        <w:t>(a)</w:t>
      </w:r>
      <w:r w:rsidRPr="00D96FA5">
        <w:tab/>
        <w:t>to exercise the responsible entity’s powers and discharge the responsible entity’s duties with the degree of care and diligence that a reasonable individual would exercise if they were a responsible e</w:t>
      </w:r>
      <w:r w:rsidR="00B05981" w:rsidRPr="00D96FA5">
        <w:t>ntity of the registered entity;</w:t>
      </w:r>
    </w:p>
    <w:p w:rsidR="00510221" w:rsidRPr="00D96FA5" w:rsidRDefault="00510221" w:rsidP="003139E4">
      <w:pPr>
        <w:pStyle w:val="paragraph"/>
      </w:pPr>
      <w:r w:rsidRPr="00D96FA5">
        <w:tab/>
        <w:t>(b)</w:t>
      </w:r>
      <w:r w:rsidRPr="00D96FA5">
        <w:tab/>
        <w:t xml:space="preserve">to act in good faith in the </w:t>
      </w:r>
      <w:r w:rsidR="00657D88" w:rsidRPr="00D96FA5">
        <w:t>registered entity’s best interests</w:t>
      </w:r>
      <w:r w:rsidRPr="00D96FA5">
        <w:t>,</w:t>
      </w:r>
      <w:r w:rsidR="00657D88" w:rsidRPr="00D96FA5">
        <w:t xml:space="preserve"> and</w:t>
      </w:r>
      <w:r w:rsidRPr="00D96FA5">
        <w:t xml:space="preserve"> to further the pur</w:t>
      </w:r>
      <w:r w:rsidR="00B05981" w:rsidRPr="00D96FA5">
        <w:t>poses of the registered entity;</w:t>
      </w:r>
    </w:p>
    <w:p w:rsidR="00510221" w:rsidRPr="00D96FA5" w:rsidRDefault="00510221" w:rsidP="003139E4">
      <w:pPr>
        <w:pStyle w:val="paragraph"/>
      </w:pPr>
      <w:r w:rsidRPr="00D96FA5">
        <w:tab/>
        <w:t>(c)</w:t>
      </w:r>
      <w:r w:rsidRPr="00D96FA5">
        <w:tab/>
        <w:t>not to misuse the</w:t>
      </w:r>
      <w:r w:rsidR="00B05981" w:rsidRPr="00D96FA5">
        <w:t xml:space="preserve"> responsible entity’s position;</w:t>
      </w:r>
    </w:p>
    <w:p w:rsidR="00510221" w:rsidRPr="00D96FA5" w:rsidRDefault="00510221" w:rsidP="003139E4">
      <w:pPr>
        <w:pStyle w:val="paragraph"/>
      </w:pPr>
      <w:r w:rsidRPr="00D96FA5">
        <w:tab/>
        <w:t>(d)</w:t>
      </w:r>
      <w:r w:rsidRPr="00D96FA5">
        <w:tab/>
        <w:t>not to misuse information obtained in the performance of the responsible entity’s duties as a responsible e</w:t>
      </w:r>
      <w:r w:rsidR="00B05981" w:rsidRPr="00D96FA5">
        <w:t>ntity of the registered entity;</w:t>
      </w:r>
    </w:p>
    <w:p w:rsidR="00510221" w:rsidRPr="00D96FA5" w:rsidRDefault="00510221" w:rsidP="003139E4">
      <w:pPr>
        <w:pStyle w:val="paragraph"/>
      </w:pPr>
      <w:r w:rsidRPr="00D96FA5">
        <w:tab/>
        <w:t>(e)</w:t>
      </w:r>
      <w:r w:rsidRPr="00D96FA5">
        <w:tab/>
        <w:t>to disclose perceived or actual material conflicts of int</w:t>
      </w:r>
      <w:r w:rsidR="00657D88" w:rsidRPr="00D96FA5">
        <w:t>erest of the responsible entity;</w:t>
      </w:r>
    </w:p>
    <w:p w:rsidR="00657D88" w:rsidRPr="00D96FA5" w:rsidRDefault="00657D88" w:rsidP="00657D88">
      <w:pPr>
        <w:pStyle w:val="noteToPara"/>
      </w:pPr>
      <w:r w:rsidRPr="00D96FA5">
        <w:t>Note:</w:t>
      </w:r>
      <w:r w:rsidRPr="00D96FA5">
        <w:tab/>
        <w:t>A perceived or actual material conflict of interest that must be disclosed includes a related party transaction.</w:t>
      </w:r>
    </w:p>
    <w:p w:rsidR="00657D88" w:rsidRPr="00D96FA5" w:rsidRDefault="00510221" w:rsidP="003139E4">
      <w:pPr>
        <w:pStyle w:val="paragraph"/>
      </w:pPr>
      <w:r w:rsidRPr="00D96FA5">
        <w:tab/>
        <w:t>(f)</w:t>
      </w:r>
      <w:r w:rsidRPr="00D96FA5">
        <w:tab/>
      </w:r>
      <w:r w:rsidR="00657D88" w:rsidRPr="00D96FA5">
        <w:t xml:space="preserve">to </w:t>
      </w:r>
      <w:r w:rsidR="0008580B" w:rsidRPr="00D96FA5">
        <w:t>ensure that</w:t>
      </w:r>
      <w:r w:rsidR="00657D88" w:rsidRPr="00D96FA5">
        <w:t xml:space="preserve"> the registered entity’s financial affairs </w:t>
      </w:r>
      <w:r w:rsidR="0008580B" w:rsidRPr="00D96FA5">
        <w:t xml:space="preserve">are managed </w:t>
      </w:r>
      <w:r w:rsidR="00657D88" w:rsidRPr="00D96FA5">
        <w:t>in a responsible manner;</w:t>
      </w:r>
    </w:p>
    <w:p w:rsidR="00510221" w:rsidRPr="00D96FA5" w:rsidRDefault="00657D88" w:rsidP="003139E4">
      <w:pPr>
        <w:pStyle w:val="paragraph"/>
      </w:pPr>
      <w:r w:rsidRPr="00D96FA5">
        <w:tab/>
        <w:t>(g)</w:t>
      </w:r>
      <w:r w:rsidRPr="00D96FA5">
        <w:tab/>
      </w:r>
      <w:r w:rsidR="00510221" w:rsidRPr="00D96FA5">
        <w:t>not to allow the registered entity to operate while insolvent.</w:t>
      </w:r>
    </w:p>
    <w:p w:rsidR="00510221" w:rsidRPr="00D96FA5" w:rsidRDefault="003139E4" w:rsidP="003139E4">
      <w:pPr>
        <w:pStyle w:val="notetext"/>
      </w:pPr>
      <w:r w:rsidRPr="00D96FA5">
        <w:t>Note 1:</w:t>
      </w:r>
      <w:r w:rsidRPr="00D96FA5">
        <w:tab/>
      </w:r>
      <w:r w:rsidR="00D96A4E" w:rsidRPr="00D96FA5">
        <w:t xml:space="preserve">Governance standard </w:t>
      </w:r>
      <w:r w:rsidR="00A16E62" w:rsidRPr="00D96FA5">
        <w:t>5</w:t>
      </w:r>
      <w:r w:rsidR="00510221" w:rsidRPr="00D96FA5">
        <w:t xml:space="preserve"> sets out some of the more significant duties of responsible entities. Other duties are imposed by other Australian laws, including the principles and rules of the common law and equity.</w:t>
      </w:r>
    </w:p>
    <w:p w:rsidR="00510221" w:rsidRPr="00D96FA5" w:rsidRDefault="003139E4" w:rsidP="003139E4">
      <w:pPr>
        <w:pStyle w:val="notetext"/>
      </w:pPr>
      <w:r w:rsidRPr="00D96FA5">
        <w:t>Note 2:</w:t>
      </w:r>
      <w:r w:rsidRPr="00D96FA5">
        <w:tab/>
      </w:r>
      <w:r w:rsidR="00510221" w:rsidRPr="00D96FA5">
        <w:t>Some of the duties imposed by other Australian laws may require a responsible entity to exercise its powers and discharge its duties to a high</w:t>
      </w:r>
      <w:r w:rsidR="00A16E62" w:rsidRPr="00D96FA5">
        <w:t>er standard.</w:t>
      </w:r>
    </w:p>
    <w:p w:rsidR="00A16E62" w:rsidRPr="00D96FA5" w:rsidRDefault="00A16E62" w:rsidP="00A16E62">
      <w:pPr>
        <w:pStyle w:val="notetext"/>
      </w:pPr>
      <w:r w:rsidRPr="00D96FA5">
        <w:lastRenderedPageBreak/>
        <w:t>Note 3:</w:t>
      </w:r>
      <w:r w:rsidRPr="00D96FA5">
        <w:tab/>
        <w:t xml:space="preserve">For </w:t>
      </w:r>
      <w:r w:rsidR="00D96FA5" w:rsidRPr="00D96FA5">
        <w:t>paragraph (</w:t>
      </w:r>
      <w:r w:rsidRPr="00D96FA5">
        <w:t xml:space="preserve">f), </w:t>
      </w:r>
      <w:r w:rsidR="007D11FF" w:rsidRPr="00D96FA5">
        <w:t>ensuring that</w:t>
      </w:r>
      <w:r w:rsidRPr="00D96FA5">
        <w:t xml:space="preserve"> </w:t>
      </w:r>
      <w:r w:rsidR="007D11FF" w:rsidRPr="00D96FA5">
        <w:t>the registered entity’s financial affairs are managed in a responsible manner</w:t>
      </w:r>
      <w:r w:rsidRPr="00D96FA5">
        <w:t xml:space="preserve"> includes putting in place appropriate and tailored financial systems and procedures.</w:t>
      </w:r>
    </w:p>
    <w:p w:rsidR="00A16E62" w:rsidRPr="00D96FA5" w:rsidRDefault="00A16E62" w:rsidP="00A16E62">
      <w:pPr>
        <w:pStyle w:val="notetext"/>
      </w:pPr>
      <w:r w:rsidRPr="00D96FA5">
        <w:tab/>
        <w:t>The systems and procedures for a particular registered entity should be developed having regard to the registered entity’s size and circumstances and the complexity of its financial affairs.</w:t>
      </w:r>
    </w:p>
    <w:p w:rsidR="00A16E62" w:rsidRPr="00D96FA5" w:rsidRDefault="00A16E62" w:rsidP="00A16E62">
      <w:pPr>
        <w:pStyle w:val="notetext"/>
      </w:pPr>
      <w:r w:rsidRPr="00D96FA5">
        <w:tab/>
        <w:t>The systems and procedures may include:</w:t>
      </w:r>
    </w:p>
    <w:p w:rsidR="00A16E62" w:rsidRPr="00D96FA5" w:rsidRDefault="00A16E62" w:rsidP="00A16E62">
      <w:pPr>
        <w:pStyle w:val="notepara"/>
      </w:pPr>
      <w:r w:rsidRPr="00D96FA5">
        <w:t>(a)</w:t>
      </w:r>
      <w:r w:rsidRPr="00D96FA5">
        <w:tab/>
        <w:t>procedures relating to spending funds (for example, the approval of expenditure or the signing of cheques); and</w:t>
      </w:r>
    </w:p>
    <w:p w:rsidR="00A16E62" w:rsidRPr="00D96FA5" w:rsidRDefault="00A16E62" w:rsidP="00A16E62">
      <w:pPr>
        <w:pStyle w:val="notepara"/>
      </w:pPr>
      <w:r w:rsidRPr="00D96FA5">
        <w:t>(b)</w:t>
      </w:r>
      <w:r w:rsidRPr="00D96FA5">
        <w:tab/>
        <w:t>having insurance that is appropriate for the registered entity’s requirements.</w:t>
      </w:r>
    </w:p>
    <w:p w:rsidR="00510221" w:rsidRPr="00D96FA5" w:rsidRDefault="00510221" w:rsidP="003139E4">
      <w:pPr>
        <w:pStyle w:val="subsection"/>
      </w:pPr>
      <w:r w:rsidRPr="00D96FA5">
        <w:tab/>
        <w:t>(3)</w:t>
      </w:r>
      <w:r w:rsidRPr="00D96FA5">
        <w:tab/>
        <w:t xml:space="preserve">For </w:t>
      </w:r>
      <w:r w:rsidR="00D96FA5" w:rsidRPr="00D96FA5">
        <w:t>paragraph (</w:t>
      </w:r>
      <w:r w:rsidRPr="00D96FA5">
        <w:t>2</w:t>
      </w:r>
      <w:r w:rsidR="003139E4" w:rsidRPr="00D96FA5">
        <w:t>)(</w:t>
      </w:r>
      <w:r w:rsidRPr="00D96FA5">
        <w:t>e), a perceived or actual material conflict of interest must be disclosed:</w:t>
      </w:r>
    </w:p>
    <w:p w:rsidR="00510221" w:rsidRPr="00D96FA5" w:rsidRDefault="00510221" w:rsidP="003139E4">
      <w:pPr>
        <w:pStyle w:val="paragraph"/>
      </w:pPr>
      <w:r w:rsidRPr="00D96FA5">
        <w:tab/>
        <w:t>(a)</w:t>
      </w:r>
      <w:r w:rsidRPr="00D96FA5">
        <w:tab/>
        <w:t>if the responsible entity is a director of the registered entity—to the other directors (if any); or</w:t>
      </w:r>
    </w:p>
    <w:p w:rsidR="00510221" w:rsidRPr="00D96FA5" w:rsidRDefault="00510221" w:rsidP="003139E4">
      <w:pPr>
        <w:pStyle w:val="paragraph"/>
      </w:pPr>
      <w:r w:rsidRPr="00D96FA5">
        <w:tab/>
        <w:t>(b)</w:t>
      </w:r>
      <w:r w:rsidRPr="00D96FA5">
        <w:tab/>
        <w:t>if the registered entity is a trust, and the responsible entity is a director of a trustee of the registered entity—to the other directors (if any); or</w:t>
      </w:r>
    </w:p>
    <w:p w:rsidR="00510221" w:rsidRPr="00D96FA5" w:rsidRDefault="00510221" w:rsidP="003139E4">
      <w:pPr>
        <w:pStyle w:val="paragraph"/>
      </w:pPr>
      <w:r w:rsidRPr="00D96FA5">
        <w:tab/>
        <w:t>(c)</w:t>
      </w:r>
      <w:r w:rsidRPr="00D96FA5">
        <w:tab/>
        <w:t>if the registered entity is a company—to the members of the registered entity; or</w:t>
      </w:r>
    </w:p>
    <w:p w:rsidR="00510221" w:rsidRPr="00D96FA5" w:rsidRDefault="00510221" w:rsidP="003139E4">
      <w:pPr>
        <w:pStyle w:val="paragraph"/>
      </w:pPr>
      <w:r w:rsidRPr="00D96FA5">
        <w:tab/>
        <w:t>(d)</w:t>
      </w:r>
      <w:r w:rsidRPr="00D96FA5">
        <w:tab/>
        <w:t>in any other case—unless the Commissioner provides otherwise, to the Commissioner, in the approved form.</w:t>
      </w:r>
    </w:p>
    <w:p w:rsidR="00510221" w:rsidRPr="00D96FA5" w:rsidRDefault="003139E4" w:rsidP="003139E4">
      <w:pPr>
        <w:pStyle w:val="notetext"/>
      </w:pPr>
      <w:r w:rsidRPr="00D96FA5">
        <w:t>Note 1:</w:t>
      </w:r>
      <w:r w:rsidRPr="00D96FA5">
        <w:tab/>
      </w:r>
      <w:r w:rsidR="00510221" w:rsidRPr="00D96FA5">
        <w:rPr>
          <w:b/>
          <w:i/>
        </w:rPr>
        <w:t>Company</w:t>
      </w:r>
      <w:r w:rsidR="00510221" w:rsidRPr="00D96FA5">
        <w:t xml:space="preserve"> is defined in section</w:t>
      </w:r>
      <w:r w:rsidR="00D96FA5" w:rsidRPr="00D96FA5">
        <w:t> </w:t>
      </w:r>
      <w:r w:rsidR="00510221" w:rsidRPr="00D96FA5">
        <w:t>205</w:t>
      </w:r>
      <w:r w:rsidR="00D96FA5" w:rsidRPr="00D96FA5">
        <w:noBreakHyphen/>
      </w:r>
      <w:r w:rsidR="00510221" w:rsidRPr="00D96FA5">
        <w:t>10 of the Act, to include a body corporate or any unincorporated association or body of persons (but not a partnership).</w:t>
      </w:r>
    </w:p>
    <w:p w:rsidR="00510221" w:rsidRPr="00D96FA5" w:rsidRDefault="003139E4" w:rsidP="003139E4">
      <w:pPr>
        <w:pStyle w:val="notetext"/>
        <w:rPr>
          <w:color w:val="000000"/>
        </w:rPr>
      </w:pPr>
      <w:r w:rsidRPr="00D96FA5">
        <w:t>Note 2:</w:t>
      </w:r>
      <w:r w:rsidRPr="00D96FA5">
        <w:tab/>
      </w:r>
      <w:r w:rsidR="00D96FA5" w:rsidRPr="00D96FA5">
        <w:rPr>
          <w:color w:val="000000"/>
        </w:rPr>
        <w:t>Paragraph (</w:t>
      </w:r>
      <w:r w:rsidR="00510221" w:rsidRPr="00D96FA5">
        <w:rPr>
          <w:color w:val="000000"/>
        </w:rPr>
        <w:t xml:space="preserve">c) applies in situations where </w:t>
      </w:r>
      <w:r w:rsidR="00D96FA5" w:rsidRPr="00D96FA5">
        <w:rPr>
          <w:color w:val="000000"/>
        </w:rPr>
        <w:t>paragraph (</w:t>
      </w:r>
      <w:r w:rsidR="00510221" w:rsidRPr="00D96FA5">
        <w:rPr>
          <w:color w:val="000000"/>
        </w:rPr>
        <w:t>a) cannot apply, for example, if there is only one director or all the directors have a similar conflict.</w:t>
      </w:r>
    </w:p>
    <w:p w:rsidR="00510221" w:rsidRPr="00D96FA5" w:rsidRDefault="003139E4" w:rsidP="003139E4">
      <w:pPr>
        <w:pStyle w:val="notetext"/>
      </w:pPr>
      <w:r w:rsidRPr="00D96FA5">
        <w:t>Note 3:</w:t>
      </w:r>
      <w:r w:rsidRPr="00D96FA5">
        <w:tab/>
      </w:r>
      <w:r w:rsidR="00510221" w:rsidRPr="00D96FA5">
        <w:t>Part</w:t>
      </w:r>
      <w:r w:rsidR="00D96FA5" w:rsidRPr="00D96FA5">
        <w:t> </w:t>
      </w:r>
      <w:r w:rsidR="00510221" w:rsidRPr="00D96FA5">
        <w:t>7</w:t>
      </w:r>
      <w:r w:rsidR="00D96FA5" w:rsidRPr="00D96FA5">
        <w:noBreakHyphen/>
      </w:r>
      <w:r w:rsidR="00510221" w:rsidRPr="00D96FA5">
        <w:t>6 of the Act provides for the approval of forms.</w:t>
      </w:r>
    </w:p>
    <w:p w:rsidR="00B05981" w:rsidRPr="00D96FA5" w:rsidRDefault="00B05981" w:rsidP="003139E4">
      <w:pPr>
        <w:pStyle w:val="notetext"/>
      </w:pPr>
      <w:r w:rsidRPr="00D96FA5">
        <w:t>Note 4:</w:t>
      </w:r>
      <w:r w:rsidRPr="00D96FA5">
        <w:tab/>
        <w:t>A responsible entity may disclose a conflict of interest in the form of a standing notice with ongoing effect.</w:t>
      </w:r>
    </w:p>
    <w:p w:rsidR="00510221" w:rsidRPr="00D96FA5" w:rsidRDefault="00510221" w:rsidP="003139E4">
      <w:pPr>
        <w:pStyle w:val="subsection"/>
      </w:pPr>
      <w:r w:rsidRPr="00D96FA5">
        <w:tab/>
        <w:t>(4)</w:t>
      </w:r>
      <w:r w:rsidRPr="00D96FA5">
        <w:tab/>
        <w:t>If the responsible entity’s conduct is consistent with Subdivision</w:t>
      </w:r>
      <w:r w:rsidR="00D96FA5" w:rsidRPr="00D96FA5">
        <w:t> </w:t>
      </w:r>
      <w:r w:rsidRPr="00D96FA5">
        <w:t>45</w:t>
      </w:r>
      <w:r w:rsidR="00D96FA5" w:rsidRPr="00D96FA5">
        <w:noBreakHyphen/>
      </w:r>
      <w:r w:rsidRPr="00D96FA5">
        <w:t xml:space="preserve">C, the responsible entity is taken to have complied with the duties mentioned in </w:t>
      </w:r>
      <w:r w:rsidR="00D96FA5" w:rsidRPr="00D96FA5">
        <w:t>subsection (</w:t>
      </w:r>
      <w:r w:rsidRPr="00D96FA5">
        <w:t>2).</w:t>
      </w:r>
    </w:p>
    <w:p w:rsidR="00510221" w:rsidRPr="00D96FA5" w:rsidRDefault="00510221" w:rsidP="003139E4">
      <w:pPr>
        <w:pStyle w:val="subsection"/>
      </w:pPr>
      <w:r w:rsidRPr="00D96FA5">
        <w:tab/>
        <w:t>(5)</w:t>
      </w:r>
      <w:r w:rsidRPr="00D96FA5">
        <w:tab/>
        <w:t>In this section:</w:t>
      </w:r>
    </w:p>
    <w:p w:rsidR="00510221" w:rsidRPr="00D96FA5" w:rsidRDefault="00510221" w:rsidP="003139E4">
      <w:pPr>
        <w:pStyle w:val="Definition"/>
      </w:pPr>
      <w:r w:rsidRPr="00D96FA5">
        <w:rPr>
          <w:b/>
          <w:i/>
        </w:rPr>
        <w:t>insolvent</w:t>
      </w:r>
      <w:r w:rsidRPr="00D96FA5">
        <w:rPr>
          <w:b/>
        </w:rPr>
        <w:t xml:space="preserve"> </w:t>
      </w:r>
      <w:r w:rsidRPr="00D96FA5">
        <w:t>has the meaning given by subsection</w:t>
      </w:r>
      <w:r w:rsidR="00D96FA5" w:rsidRPr="00D96FA5">
        <w:t> </w:t>
      </w:r>
      <w:r w:rsidRPr="00D96FA5">
        <w:t>95A</w:t>
      </w:r>
      <w:r w:rsidR="00E4084F" w:rsidRPr="00D96FA5">
        <w:t xml:space="preserve"> </w:t>
      </w:r>
      <w:r w:rsidRPr="00D96FA5">
        <w:t xml:space="preserve">(2) of the </w:t>
      </w:r>
      <w:r w:rsidRPr="00D96FA5">
        <w:rPr>
          <w:i/>
        </w:rPr>
        <w:t>Corporations Act 2001</w:t>
      </w:r>
      <w:r w:rsidRPr="00D96FA5">
        <w:t>.</w:t>
      </w:r>
    </w:p>
    <w:p w:rsidR="00510221" w:rsidRPr="00D96FA5" w:rsidRDefault="00510221" w:rsidP="003139E4">
      <w:pPr>
        <w:pStyle w:val="ActHead4"/>
      </w:pPr>
      <w:bookmarkStart w:id="21" w:name="_Toc349234117"/>
      <w:r w:rsidRPr="00D96FA5">
        <w:rPr>
          <w:rStyle w:val="CharSubdNo"/>
        </w:rPr>
        <w:lastRenderedPageBreak/>
        <w:t>Subdivision</w:t>
      </w:r>
      <w:r w:rsidR="00D96FA5" w:rsidRPr="00D96FA5">
        <w:rPr>
          <w:rStyle w:val="CharSubdNo"/>
        </w:rPr>
        <w:t> </w:t>
      </w:r>
      <w:r w:rsidRPr="00D96FA5">
        <w:rPr>
          <w:rStyle w:val="CharSubdNo"/>
        </w:rPr>
        <w:t>45</w:t>
      </w:r>
      <w:r w:rsidR="00D96FA5" w:rsidRPr="00D96FA5">
        <w:rPr>
          <w:rStyle w:val="CharSubdNo"/>
        </w:rPr>
        <w:noBreakHyphen/>
      </w:r>
      <w:r w:rsidRPr="00D96FA5">
        <w:rPr>
          <w:rStyle w:val="CharSubdNo"/>
        </w:rPr>
        <w:t>C</w:t>
      </w:r>
      <w:r w:rsidR="003139E4" w:rsidRPr="00D96FA5">
        <w:t>—</w:t>
      </w:r>
      <w:r w:rsidRPr="00D96FA5">
        <w:rPr>
          <w:rStyle w:val="CharSubdText"/>
        </w:rPr>
        <w:t>Protections under governance standard</w:t>
      </w:r>
      <w:r w:rsidR="00E4084F" w:rsidRPr="00D96FA5">
        <w:rPr>
          <w:rStyle w:val="CharSubdText"/>
        </w:rPr>
        <w:t xml:space="preserve"> </w:t>
      </w:r>
      <w:r w:rsidR="00F324CE" w:rsidRPr="00D96FA5">
        <w:rPr>
          <w:rStyle w:val="CharSubdText"/>
        </w:rPr>
        <w:t>5</w:t>
      </w:r>
      <w:bookmarkEnd w:id="21"/>
    </w:p>
    <w:p w:rsidR="00510221" w:rsidRPr="00D96FA5" w:rsidRDefault="00510221" w:rsidP="003139E4">
      <w:pPr>
        <w:pStyle w:val="ActHead5"/>
      </w:pPr>
      <w:bookmarkStart w:id="22" w:name="_Toc349234118"/>
      <w:r w:rsidRPr="00D96FA5">
        <w:rPr>
          <w:rStyle w:val="CharSectno"/>
        </w:rPr>
        <w:t>45.100</w:t>
      </w:r>
      <w:r w:rsidR="003139E4" w:rsidRPr="00D96FA5">
        <w:t xml:space="preserve">  </w:t>
      </w:r>
      <w:r w:rsidRPr="00D96FA5">
        <w:t>Reasonable steps taken to ensure compliance with duties</w:t>
      </w:r>
      <w:bookmarkEnd w:id="22"/>
    </w:p>
    <w:p w:rsidR="00510221" w:rsidRPr="00D96FA5" w:rsidRDefault="00510221" w:rsidP="003139E4">
      <w:pPr>
        <w:pStyle w:val="subsection"/>
      </w:pPr>
      <w:r w:rsidRPr="00D96FA5">
        <w:tab/>
      </w:r>
      <w:r w:rsidRPr="00D96FA5">
        <w:tab/>
        <w:t>If a responsible entity meets a protection mentioned in this Subdivision, the registered entity is taken to have taken all reasonable steps to ensure that its responsible entities have complied with the duties set out in section</w:t>
      </w:r>
      <w:r w:rsidR="00D96FA5" w:rsidRPr="00D96FA5">
        <w:t> </w:t>
      </w:r>
      <w:r w:rsidRPr="00D96FA5">
        <w:t>45.</w:t>
      </w:r>
      <w:r w:rsidR="006443B7" w:rsidRPr="00D96FA5">
        <w:t>25</w:t>
      </w:r>
      <w:r w:rsidRPr="00D96FA5">
        <w:t>.</w:t>
      </w:r>
    </w:p>
    <w:p w:rsidR="00510221" w:rsidRPr="00D96FA5" w:rsidRDefault="00510221" w:rsidP="003139E4">
      <w:pPr>
        <w:pStyle w:val="ActHead5"/>
      </w:pPr>
      <w:bookmarkStart w:id="23" w:name="_Toc349234119"/>
      <w:r w:rsidRPr="00D96FA5">
        <w:rPr>
          <w:rStyle w:val="CharSectno"/>
        </w:rPr>
        <w:t>45.105</w:t>
      </w:r>
      <w:r w:rsidR="003139E4" w:rsidRPr="00D96FA5">
        <w:t xml:space="preserve">  </w:t>
      </w:r>
      <w:r w:rsidRPr="00D96FA5">
        <w:t>Protection</w:t>
      </w:r>
      <w:r w:rsidR="00E4084F" w:rsidRPr="00D96FA5">
        <w:t xml:space="preserve"> </w:t>
      </w:r>
      <w:r w:rsidRPr="00D96FA5">
        <w:t>1</w:t>
      </w:r>
      <w:bookmarkEnd w:id="23"/>
    </w:p>
    <w:p w:rsidR="00510221" w:rsidRPr="00D96FA5" w:rsidRDefault="00510221" w:rsidP="003139E4">
      <w:pPr>
        <w:pStyle w:val="subsection"/>
      </w:pPr>
      <w:r w:rsidRPr="00D96FA5">
        <w:tab/>
        <w:t>(1)</w:t>
      </w:r>
      <w:r w:rsidRPr="00D96FA5">
        <w:tab/>
        <w:t>A responsible entity meets this protection if the responsible entity, in the exercise of the resp</w:t>
      </w:r>
      <w:r w:rsidR="00636D9F" w:rsidRPr="00D96FA5">
        <w:t>onsible entity’s duties, relies</w:t>
      </w:r>
      <w:r w:rsidRPr="00D96FA5">
        <w:t xml:space="preserve"> on information, including professional or expert advice, in good faith, and after the responsible entity has made an independent assessment of the information, if that information has been given by:</w:t>
      </w:r>
    </w:p>
    <w:p w:rsidR="00510221" w:rsidRPr="00D96FA5" w:rsidRDefault="00510221" w:rsidP="003139E4">
      <w:pPr>
        <w:pStyle w:val="paragraph"/>
      </w:pPr>
      <w:r w:rsidRPr="00D96FA5">
        <w:tab/>
        <w:t>(a)</w:t>
      </w:r>
      <w:r w:rsidRPr="00D96FA5">
        <w:tab/>
        <w:t>an employee of the registered entity that the responsible entity believes on reasonable grounds to be reliable and competent in relation to the matters concerned; or</w:t>
      </w:r>
    </w:p>
    <w:p w:rsidR="00510221" w:rsidRPr="00D96FA5" w:rsidRDefault="00510221" w:rsidP="003139E4">
      <w:pPr>
        <w:pStyle w:val="paragraph"/>
      </w:pPr>
      <w:r w:rsidRPr="00D96FA5">
        <w:tab/>
        <w:t>(b)</w:t>
      </w:r>
      <w:r w:rsidRPr="00D96FA5">
        <w:tab/>
        <w:t>a professional adviser or expert in relation to matters that the responsible entity believes on reasonable grounds to be within the individual’s professional or expert competence; or</w:t>
      </w:r>
    </w:p>
    <w:p w:rsidR="00510221" w:rsidRPr="00D96FA5" w:rsidRDefault="00510221" w:rsidP="003139E4">
      <w:pPr>
        <w:pStyle w:val="paragraph"/>
      </w:pPr>
      <w:r w:rsidRPr="00D96FA5">
        <w:tab/>
        <w:t>(c)</w:t>
      </w:r>
      <w:r w:rsidRPr="00D96FA5">
        <w:tab/>
        <w:t>another responsible entity in relation to matters within their authority or area of responsibility; or</w:t>
      </w:r>
    </w:p>
    <w:p w:rsidR="00510221" w:rsidRPr="00D96FA5" w:rsidRDefault="00510221" w:rsidP="003139E4">
      <w:pPr>
        <w:pStyle w:val="paragraph"/>
      </w:pPr>
      <w:r w:rsidRPr="00D96FA5">
        <w:tab/>
        <w:t>(d)</w:t>
      </w:r>
      <w:r w:rsidRPr="00D96FA5">
        <w:tab/>
        <w:t>an authorised committee of responsible entities that does not include the responsible entity.</w:t>
      </w:r>
    </w:p>
    <w:p w:rsidR="00510221" w:rsidRPr="00D96FA5" w:rsidRDefault="00510221" w:rsidP="003139E4">
      <w:pPr>
        <w:pStyle w:val="subsection"/>
      </w:pPr>
      <w:r w:rsidRPr="00D96FA5">
        <w:tab/>
        <w:t>(2)</w:t>
      </w:r>
      <w:r w:rsidRPr="00D96FA5">
        <w:tab/>
        <w:t>In determining whether the responsible entity has made an independent assessment of the information or advice, regard must be had to the responsible entity’s knowledge of the registered entity and the complexity of the structure and operations of the registered entity.</w:t>
      </w:r>
    </w:p>
    <w:p w:rsidR="00510221" w:rsidRPr="00D96FA5" w:rsidRDefault="00510221" w:rsidP="003139E4">
      <w:pPr>
        <w:pStyle w:val="ActHead5"/>
      </w:pPr>
      <w:bookmarkStart w:id="24" w:name="_Toc349234120"/>
      <w:r w:rsidRPr="00D96FA5">
        <w:rPr>
          <w:rStyle w:val="CharSectno"/>
        </w:rPr>
        <w:t>45.110</w:t>
      </w:r>
      <w:r w:rsidR="003139E4" w:rsidRPr="00D96FA5">
        <w:t xml:space="preserve">  </w:t>
      </w:r>
      <w:r w:rsidRPr="00D96FA5">
        <w:t>Protection</w:t>
      </w:r>
      <w:r w:rsidR="00E4084F" w:rsidRPr="00D96FA5">
        <w:t xml:space="preserve"> </w:t>
      </w:r>
      <w:r w:rsidRPr="00D96FA5">
        <w:t>2</w:t>
      </w:r>
      <w:bookmarkEnd w:id="24"/>
    </w:p>
    <w:p w:rsidR="00510221" w:rsidRPr="00D96FA5" w:rsidRDefault="00510221" w:rsidP="003139E4">
      <w:pPr>
        <w:pStyle w:val="subsection"/>
      </w:pPr>
      <w:r w:rsidRPr="00D96FA5">
        <w:tab/>
        <w:t>(1)</w:t>
      </w:r>
      <w:r w:rsidRPr="00D96FA5">
        <w:tab/>
        <w:t>A responsible entity meets this protection if the responsible entity makes a decision in relation to the registered entity, and the responsible entity meets all of the following:</w:t>
      </w:r>
    </w:p>
    <w:p w:rsidR="00510221" w:rsidRPr="00D96FA5" w:rsidRDefault="00510221" w:rsidP="003139E4">
      <w:pPr>
        <w:pStyle w:val="paragraph"/>
      </w:pPr>
      <w:r w:rsidRPr="00D96FA5">
        <w:lastRenderedPageBreak/>
        <w:tab/>
        <w:t>(a)</w:t>
      </w:r>
      <w:r w:rsidRPr="00D96FA5">
        <w:tab/>
        <w:t>the responsible entity makes the decision in g</w:t>
      </w:r>
      <w:r w:rsidR="003E526B" w:rsidRPr="00D96FA5">
        <w:t>ood faith for a proper purpose;</w:t>
      </w:r>
    </w:p>
    <w:p w:rsidR="00510221" w:rsidRPr="00D96FA5" w:rsidRDefault="00510221" w:rsidP="003139E4">
      <w:pPr>
        <w:pStyle w:val="paragraph"/>
      </w:pPr>
      <w:r w:rsidRPr="00D96FA5">
        <w:tab/>
        <w:t>(b)</w:t>
      </w:r>
      <w:r w:rsidRPr="00D96FA5">
        <w:tab/>
        <w:t xml:space="preserve">the responsible entity does not have a material personal interest in the </w:t>
      </w:r>
      <w:r w:rsidR="003E526B" w:rsidRPr="00D96FA5">
        <w:t>subject matter of the decision;</w:t>
      </w:r>
    </w:p>
    <w:p w:rsidR="00510221" w:rsidRPr="00D96FA5" w:rsidRDefault="00510221" w:rsidP="003139E4">
      <w:pPr>
        <w:pStyle w:val="paragraph"/>
      </w:pPr>
      <w:r w:rsidRPr="00D96FA5">
        <w:tab/>
        <w:t>(c)</w:t>
      </w:r>
      <w:r w:rsidRPr="00D96FA5">
        <w:tab/>
        <w:t>the responsible entity informs itself about the subject matter of the decision, to the extent the entity reasona</w:t>
      </w:r>
      <w:r w:rsidR="003E526B" w:rsidRPr="00D96FA5">
        <w:t>bly believes to be appropriate;</w:t>
      </w:r>
    </w:p>
    <w:p w:rsidR="00510221" w:rsidRPr="00D96FA5" w:rsidRDefault="00510221" w:rsidP="003139E4">
      <w:pPr>
        <w:pStyle w:val="paragraph"/>
      </w:pPr>
      <w:r w:rsidRPr="00D96FA5">
        <w:tab/>
        <w:t>(d)</w:t>
      </w:r>
      <w:r w:rsidRPr="00D96FA5">
        <w:tab/>
        <w:t>the responsible entity rationally believes that the decision is in the best interests of the registered entity.</w:t>
      </w:r>
    </w:p>
    <w:p w:rsidR="00B05981" w:rsidRPr="00D96FA5" w:rsidRDefault="00B05981" w:rsidP="00B05981">
      <w:pPr>
        <w:pStyle w:val="notetext"/>
      </w:pPr>
      <w:r w:rsidRPr="00D96FA5">
        <w:t>Note</w:t>
      </w:r>
      <w:r w:rsidR="006443B7" w:rsidRPr="00D96FA5">
        <w:t xml:space="preserve"> 1</w:t>
      </w:r>
      <w:r w:rsidRPr="00D96FA5">
        <w:t>:</w:t>
      </w:r>
      <w:r w:rsidRPr="00D96FA5">
        <w:tab/>
        <w:t>Protection</w:t>
      </w:r>
      <w:r w:rsidR="00167DBC" w:rsidRPr="00D96FA5">
        <w:t xml:space="preserve"> </w:t>
      </w:r>
      <w:r w:rsidRPr="00D96FA5">
        <w:t>2 is also referred to as the “business judgement rule”.</w:t>
      </w:r>
    </w:p>
    <w:p w:rsidR="006443B7" w:rsidRPr="00D96FA5" w:rsidRDefault="006443B7" w:rsidP="00B05981">
      <w:pPr>
        <w:pStyle w:val="notetext"/>
      </w:pPr>
      <w:r w:rsidRPr="00D96FA5">
        <w:t>Note 2:</w:t>
      </w:r>
      <w:r w:rsidRPr="00D96FA5">
        <w:tab/>
        <w:t>Protection 2 relates to the duty mentioned in paragraph</w:t>
      </w:r>
      <w:r w:rsidR="00D96FA5" w:rsidRPr="00D96FA5">
        <w:t> </w:t>
      </w:r>
      <w:r w:rsidRPr="00D96FA5">
        <w:t>45.25(2)(a).</w:t>
      </w:r>
    </w:p>
    <w:p w:rsidR="00510221" w:rsidRPr="00D96FA5" w:rsidRDefault="00510221" w:rsidP="003139E4">
      <w:pPr>
        <w:pStyle w:val="subsection"/>
      </w:pPr>
      <w:r w:rsidRPr="00D96FA5">
        <w:tab/>
        <w:t>(2)</w:t>
      </w:r>
      <w:r w:rsidRPr="00D96FA5">
        <w:tab/>
        <w:t>In this section:</w:t>
      </w:r>
    </w:p>
    <w:p w:rsidR="00510221" w:rsidRPr="00D96FA5" w:rsidRDefault="00510221" w:rsidP="003139E4">
      <w:pPr>
        <w:pStyle w:val="Definition"/>
      </w:pPr>
      <w:r w:rsidRPr="00D96FA5">
        <w:rPr>
          <w:b/>
          <w:i/>
        </w:rPr>
        <w:t>decision</w:t>
      </w:r>
      <w:r w:rsidRPr="00D96FA5">
        <w:t xml:space="preserve"> means any decision to take, or not take, action in relation to a matter relevant to the operations of the registered entity.</w:t>
      </w:r>
    </w:p>
    <w:p w:rsidR="00510221" w:rsidRPr="00D96FA5" w:rsidRDefault="00510221" w:rsidP="003139E4">
      <w:pPr>
        <w:pStyle w:val="ActHead5"/>
      </w:pPr>
      <w:bookmarkStart w:id="25" w:name="_Toc349234121"/>
      <w:r w:rsidRPr="00D96FA5">
        <w:rPr>
          <w:rStyle w:val="CharSectno"/>
        </w:rPr>
        <w:t>45.115</w:t>
      </w:r>
      <w:r w:rsidR="003139E4" w:rsidRPr="00D96FA5">
        <w:t xml:space="preserve">  </w:t>
      </w:r>
      <w:r w:rsidRPr="00D96FA5">
        <w:t>Protection</w:t>
      </w:r>
      <w:r w:rsidR="00E4084F" w:rsidRPr="00D96FA5">
        <w:t xml:space="preserve"> </w:t>
      </w:r>
      <w:r w:rsidRPr="00D96FA5">
        <w:t>3</w:t>
      </w:r>
      <w:bookmarkEnd w:id="25"/>
    </w:p>
    <w:p w:rsidR="00510221" w:rsidRPr="00D96FA5" w:rsidRDefault="00510221" w:rsidP="003139E4">
      <w:pPr>
        <w:pStyle w:val="subsection"/>
      </w:pPr>
      <w:r w:rsidRPr="00D96FA5">
        <w:tab/>
      </w:r>
      <w:r w:rsidRPr="00D96FA5">
        <w:tab/>
        <w:t>A responsible entity meets this protection if:</w:t>
      </w:r>
    </w:p>
    <w:p w:rsidR="00510221" w:rsidRPr="00D96FA5" w:rsidRDefault="00510221" w:rsidP="003139E4">
      <w:pPr>
        <w:pStyle w:val="paragraph"/>
      </w:pPr>
      <w:r w:rsidRPr="00D96FA5">
        <w:tab/>
        <w:t>(a)</w:t>
      </w:r>
      <w:r w:rsidRPr="00D96FA5">
        <w:tab/>
        <w:t>at the time when the debt was incurred, the responsible entity had reasonable grounds to expect, and did expect, that the registered entity was solvent at that time and would remain solvent even if it incurred that debt and any other debts that it incurred at that time; or</w:t>
      </w:r>
    </w:p>
    <w:p w:rsidR="00510221" w:rsidRPr="00D96FA5" w:rsidRDefault="00510221" w:rsidP="003139E4">
      <w:pPr>
        <w:pStyle w:val="paragraph"/>
      </w:pPr>
      <w:r w:rsidRPr="00D96FA5">
        <w:tab/>
        <w:t>(b)</w:t>
      </w:r>
      <w:r w:rsidRPr="00D96FA5">
        <w:tab/>
        <w:t>the responsible entity took all reasonable steps to prevent the registered entity from incurring the debt.</w:t>
      </w:r>
    </w:p>
    <w:p w:rsidR="00510221" w:rsidRPr="00D96FA5" w:rsidRDefault="003139E4" w:rsidP="003139E4">
      <w:pPr>
        <w:pStyle w:val="notetext"/>
      </w:pPr>
      <w:r w:rsidRPr="00D96FA5">
        <w:t>Note:</w:t>
      </w:r>
      <w:r w:rsidRPr="00D96FA5">
        <w:tab/>
      </w:r>
      <w:r w:rsidR="00C52058" w:rsidRPr="00D96FA5">
        <w:t>P</w:t>
      </w:r>
      <w:r w:rsidR="00510221" w:rsidRPr="00D96FA5">
        <w:t>rotection</w:t>
      </w:r>
      <w:r w:rsidR="00167DBC" w:rsidRPr="00D96FA5">
        <w:t xml:space="preserve"> </w:t>
      </w:r>
      <w:r w:rsidR="00C52058" w:rsidRPr="00D96FA5">
        <w:t>3</w:t>
      </w:r>
      <w:r w:rsidR="00510221" w:rsidRPr="00D96FA5">
        <w:t xml:space="preserve"> relates to the duty mentioned in paragraph</w:t>
      </w:r>
      <w:r w:rsidR="00D96FA5" w:rsidRPr="00D96FA5">
        <w:t> </w:t>
      </w:r>
      <w:r w:rsidR="00510221" w:rsidRPr="00D96FA5">
        <w:t>45.</w:t>
      </w:r>
      <w:r w:rsidR="0076091D" w:rsidRPr="00D96FA5">
        <w:t>25</w:t>
      </w:r>
      <w:r w:rsidR="00510221" w:rsidRPr="00D96FA5">
        <w:t>(2</w:t>
      </w:r>
      <w:r w:rsidRPr="00D96FA5">
        <w:t>)(</w:t>
      </w:r>
      <w:r w:rsidR="0076091D" w:rsidRPr="00D96FA5">
        <w:t>g</w:t>
      </w:r>
      <w:r w:rsidR="00510221" w:rsidRPr="00D96FA5">
        <w:t>).</w:t>
      </w:r>
    </w:p>
    <w:p w:rsidR="00510221" w:rsidRPr="00D96FA5" w:rsidRDefault="00510221" w:rsidP="003139E4">
      <w:pPr>
        <w:pStyle w:val="ActHead5"/>
      </w:pPr>
      <w:bookmarkStart w:id="26" w:name="_Toc349234122"/>
      <w:r w:rsidRPr="00D96FA5">
        <w:rPr>
          <w:rStyle w:val="CharSectno"/>
        </w:rPr>
        <w:t>45.120</w:t>
      </w:r>
      <w:r w:rsidR="003139E4" w:rsidRPr="00D96FA5">
        <w:t xml:space="preserve">  </w:t>
      </w:r>
      <w:r w:rsidRPr="00D96FA5">
        <w:t>Protection</w:t>
      </w:r>
      <w:r w:rsidR="00E4084F" w:rsidRPr="00D96FA5">
        <w:t xml:space="preserve"> </w:t>
      </w:r>
      <w:r w:rsidRPr="00D96FA5">
        <w:t>4</w:t>
      </w:r>
      <w:bookmarkEnd w:id="26"/>
    </w:p>
    <w:p w:rsidR="00510221" w:rsidRPr="00D96FA5" w:rsidRDefault="00510221" w:rsidP="003139E4">
      <w:pPr>
        <w:pStyle w:val="subsection"/>
      </w:pPr>
      <w:r w:rsidRPr="00D96FA5">
        <w:tab/>
      </w:r>
      <w:r w:rsidRPr="00D96FA5">
        <w:tab/>
        <w:t>This section is satisfied if, because of illness or for some other good reason, a responsible entity could not take part in the management of the registered entity at the relevant time.</w:t>
      </w:r>
    </w:p>
    <w:p w:rsidR="00510221" w:rsidRPr="00D96FA5" w:rsidRDefault="00510221" w:rsidP="003139E4">
      <w:pPr>
        <w:pStyle w:val="ActHead4"/>
      </w:pPr>
      <w:bookmarkStart w:id="27" w:name="_Toc349234123"/>
      <w:r w:rsidRPr="00D96FA5">
        <w:rPr>
          <w:rStyle w:val="CharSubdNo"/>
        </w:rPr>
        <w:lastRenderedPageBreak/>
        <w:t>Subdivision</w:t>
      </w:r>
      <w:r w:rsidR="00D96FA5" w:rsidRPr="00D96FA5">
        <w:rPr>
          <w:rStyle w:val="CharSubdNo"/>
        </w:rPr>
        <w:t> </w:t>
      </w:r>
      <w:r w:rsidRPr="00D96FA5">
        <w:rPr>
          <w:rStyle w:val="CharSubdNo"/>
        </w:rPr>
        <w:t>45</w:t>
      </w:r>
      <w:r w:rsidR="00D96FA5" w:rsidRPr="00D96FA5">
        <w:rPr>
          <w:rStyle w:val="CharSubdNo"/>
        </w:rPr>
        <w:noBreakHyphen/>
      </w:r>
      <w:r w:rsidRPr="00D96FA5">
        <w:rPr>
          <w:rStyle w:val="CharSubdNo"/>
        </w:rPr>
        <w:t>D</w:t>
      </w:r>
      <w:r w:rsidR="003139E4" w:rsidRPr="00D96FA5">
        <w:t>—</w:t>
      </w:r>
      <w:r w:rsidRPr="00D96FA5">
        <w:rPr>
          <w:rStyle w:val="CharSubdText"/>
        </w:rPr>
        <w:t>Transitional</w:t>
      </w:r>
      <w:r w:rsidR="002C512A" w:rsidRPr="00D96FA5">
        <w:rPr>
          <w:rStyle w:val="CharSubdText"/>
        </w:rPr>
        <w:t xml:space="preserve"> arrangements</w:t>
      </w:r>
      <w:bookmarkEnd w:id="27"/>
    </w:p>
    <w:p w:rsidR="0029319D" w:rsidRPr="00D96FA5" w:rsidRDefault="0029319D" w:rsidP="003139E4">
      <w:pPr>
        <w:pStyle w:val="ActHead5"/>
      </w:pPr>
      <w:bookmarkStart w:id="28" w:name="_Toc349234124"/>
      <w:r w:rsidRPr="00D96FA5">
        <w:rPr>
          <w:rStyle w:val="CharSectno"/>
        </w:rPr>
        <w:t>45.130</w:t>
      </w:r>
      <w:r w:rsidR="003139E4" w:rsidRPr="00D96FA5">
        <w:t xml:space="preserve">  </w:t>
      </w:r>
      <w:r w:rsidRPr="00D96FA5">
        <w:t>Exemption until 1</w:t>
      </w:r>
      <w:r w:rsidR="00D96FA5" w:rsidRPr="00D96FA5">
        <w:t> </w:t>
      </w:r>
      <w:r w:rsidRPr="00D96FA5">
        <w:t>July</w:t>
      </w:r>
      <w:r w:rsidR="00E4084F" w:rsidRPr="00D96FA5">
        <w:t xml:space="preserve"> </w:t>
      </w:r>
      <w:r w:rsidRPr="00D96FA5">
        <w:t>201</w:t>
      </w:r>
      <w:r w:rsidR="00427338" w:rsidRPr="00D96FA5">
        <w:t>7</w:t>
      </w:r>
      <w:bookmarkEnd w:id="28"/>
    </w:p>
    <w:p w:rsidR="00427338" w:rsidRPr="00D96FA5" w:rsidRDefault="00427338" w:rsidP="00427338">
      <w:pPr>
        <w:pStyle w:val="SubsectionHead"/>
      </w:pPr>
      <w:r w:rsidRPr="00D96FA5">
        <w:t>Governing rules</w:t>
      </w:r>
    </w:p>
    <w:p w:rsidR="0029319D" w:rsidRPr="00D96FA5" w:rsidRDefault="0029319D" w:rsidP="003139E4">
      <w:pPr>
        <w:pStyle w:val="subsection"/>
      </w:pPr>
      <w:r w:rsidRPr="00D96FA5">
        <w:tab/>
        <w:t>(1)</w:t>
      </w:r>
      <w:r w:rsidRPr="00D96FA5">
        <w:tab/>
        <w:t xml:space="preserve">If the governing rules </w:t>
      </w:r>
      <w:r w:rsidR="00427338" w:rsidRPr="00D96FA5">
        <w:t xml:space="preserve">of </w:t>
      </w:r>
      <w:r w:rsidRPr="00D96FA5">
        <w:t xml:space="preserve">a </w:t>
      </w:r>
      <w:r w:rsidR="00427338" w:rsidRPr="00D96FA5">
        <w:t>registered entity</w:t>
      </w:r>
      <w:r w:rsidR="002C512A" w:rsidRPr="00D96FA5">
        <w:t>, as in effect on the day this Regulation is registered,</w:t>
      </w:r>
      <w:r w:rsidRPr="00D96FA5">
        <w:t xml:space="preserve"> prevent the </w:t>
      </w:r>
      <w:r w:rsidR="00427338" w:rsidRPr="00D96FA5">
        <w:t>registered entity</w:t>
      </w:r>
      <w:r w:rsidRPr="00D96FA5">
        <w:t xml:space="preserve"> from complying with a requirement of Subdivision</w:t>
      </w:r>
      <w:r w:rsidR="00D96FA5" w:rsidRPr="00D96FA5">
        <w:t> </w:t>
      </w:r>
      <w:r w:rsidRPr="00D96FA5">
        <w:t>45</w:t>
      </w:r>
      <w:r w:rsidR="00D96FA5" w:rsidRPr="00D96FA5">
        <w:noBreakHyphen/>
      </w:r>
      <w:r w:rsidRPr="00D96FA5">
        <w:t xml:space="preserve">B, the </w:t>
      </w:r>
      <w:r w:rsidR="00427338" w:rsidRPr="00D96FA5">
        <w:t xml:space="preserve">registered entity </w:t>
      </w:r>
      <w:r w:rsidRPr="00D96FA5">
        <w:t>is exempt from the requirement until 1</w:t>
      </w:r>
      <w:r w:rsidR="00D96FA5" w:rsidRPr="00D96FA5">
        <w:t> </w:t>
      </w:r>
      <w:r w:rsidRPr="00D96FA5">
        <w:t>July 201</w:t>
      </w:r>
      <w:r w:rsidR="00427338" w:rsidRPr="00D96FA5">
        <w:t>7</w:t>
      </w:r>
      <w:r w:rsidRPr="00D96FA5">
        <w:t>.</w:t>
      </w:r>
    </w:p>
    <w:p w:rsidR="0029319D" w:rsidRPr="00D96FA5" w:rsidRDefault="00427338" w:rsidP="00427338">
      <w:pPr>
        <w:pStyle w:val="subsection"/>
      </w:pPr>
      <w:r w:rsidRPr="00D96FA5">
        <w:tab/>
        <w:t>(2)</w:t>
      </w:r>
      <w:r w:rsidRPr="00D96FA5">
        <w:tab/>
        <w:t xml:space="preserve">However, </w:t>
      </w:r>
      <w:r w:rsidR="0029319D" w:rsidRPr="00D96FA5">
        <w:t xml:space="preserve">the </w:t>
      </w:r>
      <w:r w:rsidRPr="00D96FA5">
        <w:t>registered entity</w:t>
      </w:r>
      <w:r w:rsidR="0029319D" w:rsidRPr="00D96FA5">
        <w:t xml:space="preserve"> must comply with the requirement</w:t>
      </w:r>
      <w:r w:rsidRPr="00D96FA5">
        <w:t>s of Subdivision</w:t>
      </w:r>
      <w:r w:rsidR="00D96FA5" w:rsidRPr="00D96FA5">
        <w:t> </w:t>
      </w:r>
      <w:r w:rsidRPr="00D96FA5">
        <w:t>45</w:t>
      </w:r>
      <w:r w:rsidR="00D96FA5" w:rsidRPr="00D96FA5">
        <w:noBreakHyphen/>
      </w:r>
      <w:r w:rsidRPr="00D96FA5">
        <w:t>B</w:t>
      </w:r>
      <w:r w:rsidR="0029319D" w:rsidRPr="00D96FA5">
        <w:t xml:space="preserve"> as far as is possible, without breaching </w:t>
      </w:r>
      <w:r w:rsidRPr="00D96FA5">
        <w:t>its</w:t>
      </w:r>
      <w:r w:rsidR="0029319D" w:rsidRPr="00D96FA5">
        <w:t xml:space="preserve"> governing rules</w:t>
      </w:r>
      <w:r w:rsidRPr="00D96FA5">
        <w:t>.</w:t>
      </w:r>
    </w:p>
    <w:p w:rsidR="00427338" w:rsidRPr="00D96FA5" w:rsidRDefault="00427338" w:rsidP="00427338">
      <w:pPr>
        <w:pStyle w:val="SubsectionHead"/>
      </w:pPr>
      <w:r w:rsidRPr="00D96FA5">
        <w:t>State or Territory law</w:t>
      </w:r>
    </w:p>
    <w:p w:rsidR="00427338" w:rsidRPr="00D96FA5" w:rsidRDefault="00427338" w:rsidP="00427338">
      <w:pPr>
        <w:pStyle w:val="subsection"/>
      </w:pPr>
      <w:r w:rsidRPr="00D96FA5">
        <w:tab/>
        <w:t>(3)</w:t>
      </w:r>
      <w:r w:rsidRPr="00D96FA5">
        <w:tab/>
        <w:t>If:</w:t>
      </w:r>
    </w:p>
    <w:p w:rsidR="00427338" w:rsidRPr="00D96FA5" w:rsidRDefault="00427338" w:rsidP="00427338">
      <w:pPr>
        <w:pStyle w:val="paragraph"/>
      </w:pPr>
      <w:r w:rsidRPr="00D96FA5">
        <w:tab/>
        <w:t>(a)</w:t>
      </w:r>
      <w:r w:rsidRPr="00D96FA5">
        <w:tab/>
        <w:t>a registered entity is an incorporated association that is subject to a law of a State or Territory in respect to incorporated associations; and</w:t>
      </w:r>
    </w:p>
    <w:p w:rsidR="00427338" w:rsidRPr="00D96FA5" w:rsidRDefault="00427338" w:rsidP="00427338">
      <w:pPr>
        <w:pStyle w:val="paragraph"/>
      </w:pPr>
      <w:r w:rsidRPr="00D96FA5">
        <w:tab/>
        <w:t>(b)</w:t>
      </w:r>
      <w:r w:rsidRPr="00D96FA5">
        <w:tab/>
      </w:r>
      <w:r w:rsidR="002C512A" w:rsidRPr="00D96FA5">
        <w:t>that law sets out duties of responsible entities to the registered entity</w:t>
      </w:r>
      <w:r w:rsidRPr="00D96FA5">
        <w:t>; and</w:t>
      </w:r>
    </w:p>
    <w:p w:rsidR="00427338" w:rsidRPr="00D96FA5" w:rsidRDefault="00427338" w:rsidP="00427338">
      <w:pPr>
        <w:pStyle w:val="paragraph"/>
      </w:pPr>
      <w:r w:rsidRPr="00D96FA5">
        <w:tab/>
        <w:t>(c)</w:t>
      </w:r>
      <w:r w:rsidRPr="00D96FA5">
        <w:tab/>
        <w:t>the registered entity and each of its responsible entities is complying with that law;</w:t>
      </w:r>
    </w:p>
    <w:p w:rsidR="00427338" w:rsidRPr="00D96FA5" w:rsidRDefault="00427338" w:rsidP="00427338">
      <w:pPr>
        <w:pStyle w:val="subsection2"/>
      </w:pPr>
      <w:r w:rsidRPr="00D96FA5">
        <w:t>the registered entity is take</w:t>
      </w:r>
      <w:r w:rsidR="00F324CE" w:rsidRPr="00D96FA5">
        <w:t xml:space="preserve">n to be complying with </w:t>
      </w:r>
      <w:r w:rsidR="00D96A4E" w:rsidRPr="00D96FA5">
        <w:t>governance standard</w:t>
      </w:r>
      <w:r w:rsidR="00167DBC" w:rsidRPr="00D96FA5">
        <w:t xml:space="preserve"> </w:t>
      </w:r>
      <w:r w:rsidR="00F324CE" w:rsidRPr="00D96FA5">
        <w:t>5</w:t>
      </w:r>
      <w:r w:rsidRPr="00D96FA5">
        <w:t>.</w:t>
      </w:r>
    </w:p>
    <w:p w:rsidR="00427338" w:rsidRPr="00D96FA5" w:rsidRDefault="00427338" w:rsidP="00427338">
      <w:pPr>
        <w:pStyle w:val="subsection"/>
      </w:pPr>
      <w:r w:rsidRPr="00D96FA5">
        <w:tab/>
        <w:t>(4)</w:t>
      </w:r>
      <w:r w:rsidRPr="00D96FA5">
        <w:tab/>
      </w:r>
      <w:r w:rsidR="00D96FA5" w:rsidRPr="00D96FA5">
        <w:t>Subsection (</w:t>
      </w:r>
      <w:r w:rsidRPr="00D96FA5">
        <w:t>3) ceases to have effect in relation to a registered entity if the relevant provisions of the law of the State or Territory is amended so that it:</w:t>
      </w:r>
    </w:p>
    <w:p w:rsidR="00427338" w:rsidRPr="00D96FA5" w:rsidRDefault="00427338" w:rsidP="00427338">
      <w:pPr>
        <w:pStyle w:val="paragraph"/>
      </w:pPr>
      <w:r w:rsidRPr="00D96FA5">
        <w:tab/>
        <w:t>(a)</w:t>
      </w:r>
      <w:r w:rsidRPr="00D96FA5">
        <w:tab/>
        <w:t>sets out duties for responsible entities</w:t>
      </w:r>
      <w:r w:rsidR="009F0B9E" w:rsidRPr="00D96FA5">
        <w:t xml:space="preserve"> that are the same as those in </w:t>
      </w:r>
      <w:r w:rsidR="00D96A4E" w:rsidRPr="00D96FA5">
        <w:t>governance standard</w:t>
      </w:r>
      <w:r w:rsidR="00167DBC" w:rsidRPr="00D96FA5">
        <w:t xml:space="preserve"> </w:t>
      </w:r>
      <w:r w:rsidR="00F324CE" w:rsidRPr="00D96FA5">
        <w:t>5</w:t>
      </w:r>
      <w:r w:rsidR="009F0B9E" w:rsidRPr="00D96FA5">
        <w:t>; or</w:t>
      </w:r>
    </w:p>
    <w:p w:rsidR="00427338" w:rsidRPr="00D96FA5" w:rsidRDefault="00427338" w:rsidP="00427338">
      <w:pPr>
        <w:pStyle w:val="paragraph"/>
      </w:pPr>
      <w:r w:rsidRPr="00D96FA5">
        <w:tab/>
        <w:t>(b)</w:t>
      </w:r>
      <w:r w:rsidRPr="00D96FA5">
        <w:tab/>
        <w:t xml:space="preserve">otherwise adopts </w:t>
      </w:r>
      <w:r w:rsidR="009F0B9E" w:rsidRPr="00D96FA5">
        <w:t xml:space="preserve">the content of </w:t>
      </w:r>
      <w:r w:rsidR="00D96A4E" w:rsidRPr="00D96FA5">
        <w:t>governance standard</w:t>
      </w:r>
      <w:r w:rsidR="00167DBC" w:rsidRPr="00D96FA5">
        <w:t xml:space="preserve"> </w:t>
      </w:r>
      <w:r w:rsidR="00F324CE" w:rsidRPr="00D96FA5">
        <w:t>5</w:t>
      </w:r>
      <w:r w:rsidRPr="00D96FA5">
        <w:t>.</w:t>
      </w:r>
    </w:p>
    <w:p w:rsidR="00427338" w:rsidRPr="00D96FA5" w:rsidRDefault="00427338" w:rsidP="00427338">
      <w:pPr>
        <w:pStyle w:val="subsection"/>
      </w:pPr>
      <w:r w:rsidRPr="00D96FA5">
        <w:tab/>
        <w:t>(5)</w:t>
      </w:r>
      <w:r w:rsidRPr="00D96FA5">
        <w:tab/>
      </w:r>
      <w:r w:rsidR="00D96FA5" w:rsidRPr="00D96FA5">
        <w:t>Subsection (</w:t>
      </w:r>
      <w:r w:rsidRPr="00D96FA5">
        <w:t>3) ceases to have effect in relation to all registered entities on 1</w:t>
      </w:r>
      <w:r w:rsidR="00D96FA5" w:rsidRPr="00D96FA5">
        <w:t> </w:t>
      </w:r>
      <w:r w:rsidRPr="00D96FA5">
        <w:t>July 2017.</w:t>
      </w:r>
    </w:p>
    <w:p w:rsidR="00510221" w:rsidRPr="00D96FA5" w:rsidRDefault="00510221" w:rsidP="003139E4">
      <w:pPr>
        <w:pStyle w:val="ActHead4"/>
      </w:pPr>
      <w:bookmarkStart w:id="29" w:name="_Toc349234125"/>
      <w:r w:rsidRPr="00D96FA5">
        <w:rPr>
          <w:rStyle w:val="CharSubdNo"/>
        </w:rPr>
        <w:lastRenderedPageBreak/>
        <w:t>Subdivision</w:t>
      </w:r>
      <w:r w:rsidR="00D96FA5" w:rsidRPr="00D96FA5">
        <w:rPr>
          <w:rStyle w:val="CharSubdNo"/>
        </w:rPr>
        <w:t> </w:t>
      </w:r>
      <w:r w:rsidRPr="00D96FA5">
        <w:rPr>
          <w:rStyle w:val="CharSubdNo"/>
        </w:rPr>
        <w:t>45</w:t>
      </w:r>
      <w:r w:rsidR="00D96FA5" w:rsidRPr="00D96FA5">
        <w:rPr>
          <w:rStyle w:val="CharSubdNo"/>
        </w:rPr>
        <w:noBreakHyphen/>
      </w:r>
      <w:r w:rsidRPr="00D96FA5">
        <w:rPr>
          <w:rStyle w:val="CharSubdNo"/>
        </w:rPr>
        <w:t>E</w:t>
      </w:r>
      <w:r w:rsidR="003139E4" w:rsidRPr="00D96FA5">
        <w:t>—</w:t>
      </w:r>
      <w:r w:rsidRPr="00D96FA5">
        <w:rPr>
          <w:rStyle w:val="CharSubdText"/>
        </w:rPr>
        <w:t>Disqualified Responsible Entities Register</w:t>
      </w:r>
      <w:bookmarkEnd w:id="29"/>
    </w:p>
    <w:p w:rsidR="00510221" w:rsidRPr="00D96FA5" w:rsidRDefault="00510221" w:rsidP="003139E4">
      <w:pPr>
        <w:pStyle w:val="ActHead5"/>
      </w:pPr>
      <w:bookmarkStart w:id="30" w:name="_Toc349234126"/>
      <w:r w:rsidRPr="00D96FA5">
        <w:rPr>
          <w:rStyle w:val="CharSectno"/>
        </w:rPr>
        <w:t>45.150</w:t>
      </w:r>
      <w:r w:rsidR="003139E4" w:rsidRPr="00D96FA5">
        <w:t xml:space="preserve">  </w:t>
      </w:r>
      <w:r w:rsidRPr="00D96FA5">
        <w:t>Disqualified Responsible Entities Register</w:t>
      </w:r>
      <w:bookmarkEnd w:id="30"/>
    </w:p>
    <w:p w:rsidR="00510221" w:rsidRPr="00D96FA5" w:rsidRDefault="00510221" w:rsidP="003139E4">
      <w:pPr>
        <w:pStyle w:val="subsection"/>
      </w:pPr>
      <w:r w:rsidRPr="00D96FA5">
        <w:tab/>
        <w:t>(1)</w:t>
      </w:r>
      <w:r w:rsidRPr="00D96FA5">
        <w:tab/>
        <w:t>The Commissioner must maintain a register, to be known as the Disqualified Responsible Entities Register, in which the Commissioner must include the following information:</w:t>
      </w:r>
    </w:p>
    <w:p w:rsidR="00510221" w:rsidRPr="00D96FA5" w:rsidRDefault="00510221" w:rsidP="003139E4">
      <w:pPr>
        <w:pStyle w:val="paragraph"/>
      </w:pPr>
      <w:r w:rsidRPr="00D96FA5">
        <w:tab/>
        <w:t>(a)</w:t>
      </w:r>
      <w:r w:rsidRPr="00D96FA5">
        <w:tab/>
        <w:t>the name of entity disqualified by the Commissioner from being a responsible entity of a registered entity, under subsection</w:t>
      </w:r>
      <w:r w:rsidR="00D96FA5" w:rsidRPr="00D96FA5">
        <w:t> </w:t>
      </w:r>
      <w:r w:rsidRPr="00D96FA5">
        <w:t>45.2</w:t>
      </w:r>
      <w:r w:rsidR="00CD2448" w:rsidRPr="00D96FA5">
        <w:t>0(</w:t>
      </w:r>
      <w:r w:rsidRPr="00D96FA5">
        <w:t>4);</w:t>
      </w:r>
    </w:p>
    <w:p w:rsidR="00510221" w:rsidRPr="00D96FA5" w:rsidRDefault="00510221" w:rsidP="003139E4">
      <w:pPr>
        <w:pStyle w:val="paragraph"/>
      </w:pPr>
      <w:r w:rsidRPr="00D96FA5">
        <w:tab/>
        <w:t>(b)</w:t>
      </w:r>
      <w:r w:rsidRPr="00D96FA5">
        <w:tab/>
        <w:t>the date that the entity was di</w:t>
      </w:r>
      <w:r w:rsidR="009F0B9E" w:rsidRPr="00D96FA5">
        <w:t>squalified by the Commissioner;</w:t>
      </w:r>
    </w:p>
    <w:p w:rsidR="00510221" w:rsidRPr="00D96FA5" w:rsidRDefault="00510221" w:rsidP="003139E4">
      <w:pPr>
        <w:pStyle w:val="paragraph"/>
      </w:pPr>
      <w:r w:rsidRPr="00D96FA5">
        <w:tab/>
        <w:t>(c)</w:t>
      </w:r>
      <w:r w:rsidRPr="00D96FA5">
        <w:tab/>
        <w:t xml:space="preserve">whether the disqualification remains subject to review, under </w:t>
      </w:r>
      <w:r w:rsidR="003139E4" w:rsidRPr="00D96FA5">
        <w:t>Part</w:t>
      </w:r>
      <w:r w:rsidR="00D96FA5" w:rsidRPr="00D96FA5">
        <w:t> </w:t>
      </w:r>
      <w:r w:rsidRPr="00D96FA5">
        <w:t>7</w:t>
      </w:r>
      <w:r w:rsidR="00D96FA5" w:rsidRPr="00D96FA5">
        <w:noBreakHyphen/>
      </w:r>
      <w:r w:rsidRPr="00D96FA5">
        <w:t>2 of the Act.</w:t>
      </w:r>
    </w:p>
    <w:p w:rsidR="00510221" w:rsidRPr="00D96FA5" w:rsidRDefault="00510221" w:rsidP="003139E4">
      <w:pPr>
        <w:pStyle w:val="subsection"/>
      </w:pPr>
      <w:r w:rsidRPr="00D96FA5">
        <w:tab/>
        <w:t>(2)</w:t>
      </w:r>
      <w:r w:rsidRPr="00D96FA5">
        <w:tab/>
        <w:t xml:space="preserve">The </w:t>
      </w:r>
      <w:r w:rsidR="0029319D" w:rsidRPr="00D96FA5">
        <w:t>Disqualified Responsible Entities Register</w:t>
      </w:r>
      <w:r w:rsidRPr="00D96FA5">
        <w:t xml:space="preserve"> must be maintained by electronic means.</w:t>
      </w:r>
    </w:p>
    <w:p w:rsidR="00510221" w:rsidRPr="00D96FA5" w:rsidRDefault="00510221" w:rsidP="004164B9">
      <w:pPr>
        <w:pStyle w:val="subsection"/>
      </w:pPr>
      <w:r w:rsidRPr="00D96FA5">
        <w:tab/>
        <w:t>(3)</w:t>
      </w:r>
      <w:r w:rsidRPr="00D96FA5">
        <w:tab/>
        <w:t xml:space="preserve">The </w:t>
      </w:r>
      <w:r w:rsidR="0029319D" w:rsidRPr="00D96FA5">
        <w:t>Disqualified Responsible Entities Register</w:t>
      </w:r>
      <w:r w:rsidRPr="00D96FA5">
        <w:t xml:space="preserve"> must be made available for public inspection, on a website maintained by the Commissioner.</w:t>
      </w:r>
    </w:p>
    <w:p w:rsidR="009F0B9E" w:rsidRPr="00D96FA5" w:rsidRDefault="009F0B9E" w:rsidP="009F0B9E">
      <w:pPr>
        <w:pStyle w:val="notetext"/>
      </w:pPr>
      <w:r w:rsidRPr="00D96FA5">
        <w:t>Note</w:t>
      </w:r>
      <w:r w:rsidR="002C512A" w:rsidRPr="00D96FA5">
        <w:t xml:space="preserve"> 1</w:t>
      </w:r>
      <w:r w:rsidRPr="00D96FA5">
        <w:t>:</w:t>
      </w:r>
      <w:r w:rsidRPr="00D96FA5">
        <w:tab/>
        <w:t>The secrecy provisions in Part</w:t>
      </w:r>
      <w:r w:rsidR="00D96FA5" w:rsidRPr="00D96FA5">
        <w:t> </w:t>
      </w:r>
      <w:r w:rsidRPr="00D96FA5">
        <w:t>7</w:t>
      </w:r>
      <w:r w:rsidR="00D96FA5" w:rsidRPr="00D96FA5">
        <w:noBreakHyphen/>
      </w:r>
      <w:r w:rsidRPr="00D96FA5">
        <w:t xml:space="preserve">1 of the Act prohibit </w:t>
      </w:r>
      <w:proofErr w:type="spellStart"/>
      <w:r w:rsidRPr="00D96FA5">
        <w:t>ACNC</w:t>
      </w:r>
      <w:proofErr w:type="spellEnd"/>
      <w:r w:rsidRPr="00D96FA5">
        <w:t xml:space="preserve"> officers (including the Commissioner) from disclosing protected </w:t>
      </w:r>
      <w:proofErr w:type="spellStart"/>
      <w:r w:rsidRPr="00D96FA5">
        <w:t>ACNC</w:t>
      </w:r>
      <w:proofErr w:type="spellEnd"/>
      <w:r w:rsidRPr="00D96FA5">
        <w:t xml:space="preserve"> information unless the disclosure is authorised by the Act. This prohibits the </w:t>
      </w:r>
      <w:proofErr w:type="spellStart"/>
      <w:r w:rsidRPr="00D96FA5">
        <w:t>ACNC</w:t>
      </w:r>
      <w:proofErr w:type="spellEnd"/>
      <w:r w:rsidRPr="00D96FA5">
        <w:t xml:space="preserve"> from disclosing information about ongoing investigations about particular responsible entities that may be subject to compliance with </w:t>
      </w:r>
      <w:r w:rsidR="00D96A4E" w:rsidRPr="00D96FA5">
        <w:t>governance standard</w:t>
      </w:r>
      <w:r w:rsidR="00167DBC" w:rsidRPr="00D96FA5">
        <w:t xml:space="preserve"> </w:t>
      </w:r>
      <w:r w:rsidR="00AE55D0" w:rsidRPr="00D96FA5">
        <w:t>4</w:t>
      </w:r>
      <w:r w:rsidRPr="00D96FA5">
        <w:t>.</w:t>
      </w:r>
    </w:p>
    <w:p w:rsidR="009F0B9E" w:rsidRPr="00D96FA5" w:rsidRDefault="002C512A" w:rsidP="00167DBC">
      <w:pPr>
        <w:pStyle w:val="notetext"/>
      </w:pPr>
      <w:r w:rsidRPr="00D96FA5">
        <w:t>Note 2:</w:t>
      </w:r>
      <w:r w:rsidRPr="00D96FA5">
        <w:tab/>
      </w:r>
      <w:r w:rsidR="00D02DC3" w:rsidRPr="00D96FA5">
        <w:t>T</w:t>
      </w:r>
      <w:r w:rsidRPr="00D96FA5">
        <w:t xml:space="preserve">he Commissioner may remove an entity from the </w:t>
      </w:r>
      <w:r w:rsidR="00D02DC3" w:rsidRPr="00D96FA5">
        <w:t>Disqualified Responsible Entities Register</w:t>
      </w:r>
      <w:r w:rsidRPr="00D96FA5">
        <w:t xml:space="preserve"> if the entity ceases to be disqualified. See </w:t>
      </w:r>
      <w:r w:rsidR="00D96A4E" w:rsidRPr="00D96FA5">
        <w:t>governance standard</w:t>
      </w:r>
      <w:r w:rsidR="00167DBC" w:rsidRPr="00D96FA5">
        <w:t xml:space="preserve"> </w:t>
      </w:r>
      <w:r w:rsidR="00AE55D0" w:rsidRPr="00D96FA5">
        <w:t>4</w:t>
      </w:r>
      <w:r w:rsidRPr="00D96FA5">
        <w:t xml:space="preserve"> for how the Commissioner disqualifies an entity.</w:t>
      </w:r>
    </w:p>
    <w:p w:rsidR="003139E4" w:rsidRPr="00D96FA5" w:rsidRDefault="003139E4" w:rsidP="002012F5">
      <w:pPr>
        <w:sectPr w:rsidR="003139E4" w:rsidRPr="00D96FA5" w:rsidSect="005B518C">
          <w:headerReference w:type="even" r:id="rId21"/>
          <w:headerReference w:type="default" r:id="rId22"/>
          <w:footerReference w:type="even" r:id="rId23"/>
          <w:footerReference w:type="default" r:id="rId24"/>
          <w:headerReference w:type="first" r:id="rId25"/>
          <w:footerReference w:type="first" r:id="rId26"/>
          <w:pgSz w:w="11907" w:h="16839" w:code="9"/>
          <w:pgMar w:top="1871" w:right="2410" w:bottom="4252" w:left="2410" w:header="720" w:footer="3402" w:gutter="0"/>
          <w:pgNumType w:start="1"/>
          <w:cols w:space="720"/>
          <w:docGrid w:linePitch="299"/>
        </w:sectPr>
      </w:pPr>
      <w:bookmarkStart w:id="31" w:name="OPCSB_AmendSchdB5"/>
    </w:p>
    <w:bookmarkEnd w:id="31"/>
    <w:p w:rsidR="00F80BAC" w:rsidRPr="00D96FA5" w:rsidRDefault="00F80BAC" w:rsidP="00F80BAC"/>
    <w:sectPr w:rsidR="00F80BAC" w:rsidRPr="00D96FA5" w:rsidSect="005B518C">
      <w:headerReference w:type="even" r:id="rId27"/>
      <w:headerReference w:type="default" r:id="rId28"/>
      <w:footerReference w:type="even" r:id="rId29"/>
      <w:footerReference w:type="default" r:id="rId30"/>
      <w:footerReference w:type="first" r:id="rId31"/>
      <w:type w:val="continuous"/>
      <w:pgSz w:w="11907" w:h="16839" w:code="9"/>
      <w:pgMar w:top="1985" w:right="2410" w:bottom="3969" w:left="2410" w:header="567" w:footer="311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88" w:rsidRDefault="00657D88">
      <w:r>
        <w:separator/>
      </w:r>
    </w:p>
  </w:endnote>
  <w:endnote w:type="continuationSeparator" w:id="0">
    <w:p w:rsidR="00657D88" w:rsidRDefault="0065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8C" w:rsidRPr="005B518C" w:rsidRDefault="005B518C" w:rsidP="005B518C">
    <w:pPr>
      <w:pStyle w:val="Footer"/>
      <w:rPr>
        <w:sz w:val="18"/>
      </w:rPr>
    </w:pPr>
    <w:r>
      <w:rPr>
        <w:sz w:val="18"/>
      </w:rPr>
      <w:t>OPC50361</w:t>
    </w:r>
    <w:r w:rsidRPr="005B518C">
      <w:rPr>
        <w:sz w:val="18"/>
      </w:rPr>
      <w:t xml:space="preserve"> - 15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D90ABA" w:rsidRDefault="00657D88" w:rsidP="002012F5">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657D88" w:rsidTr="002012F5">
      <w:tc>
        <w:tcPr>
          <w:tcW w:w="1383" w:type="dxa"/>
        </w:tcPr>
        <w:p w:rsidR="00657D88" w:rsidRDefault="00657D88" w:rsidP="002012F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56760">
            <w:rPr>
              <w:i/>
              <w:sz w:val="18"/>
            </w:rPr>
            <w:t>No. 23, 2012</w:t>
          </w:r>
          <w:r w:rsidRPr="007A1328">
            <w:rPr>
              <w:i/>
              <w:sz w:val="18"/>
            </w:rPr>
            <w:fldChar w:fldCharType="end"/>
          </w:r>
        </w:p>
      </w:tc>
      <w:tc>
        <w:tcPr>
          <w:tcW w:w="5387" w:type="dxa"/>
        </w:tcPr>
        <w:p w:rsidR="00657D88" w:rsidRDefault="00657D88" w:rsidP="002012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6760">
            <w:rPr>
              <w:i/>
              <w:sz w:val="18"/>
            </w:rPr>
            <w:t>Australian Charities and Not</w:t>
          </w:r>
          <w:r w:rsidR="00856760">
            <w:rPr>
              <w:i/>
              <w:sz w:val="18"/>
            </w:rPr>
            <w:noBreakHyphen/>
            <w:t>for</w:t>
          </w:r>
          <w:r w:rsidR="00856760">
            <w:rPr>
              <w:i/>
              <w:sz w:val="18"/>
            </w:rPr>
            <w:noBreakHyphen/>
            <w:t>profits Commission Amendment Regulation 2013 (No. 1)</w:t>
          </w:r>
          <w:r w:rsidRPr="007A1328">
            <w:rPr>
              <w:i/>
              <w:sz w:val="18"/>
            </w:rPr>
            <w:fldChar w:fldCharType="end"/>
          </w:r>
        </w:p>
      </w:tc>
      <w:tc>
        <w:tcPr>
          <w:tcW w:w="533" w:type="dxa"/>
        </w:tcPr>
        <w:p w:rsidR="00657D88" w:rsidRDefault="00657D88" w:rsidP="002012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3C74">
            <w:rPr>
              <w:i/>
              <w:noProof/>
              <w:sz w:val="18"/>
            </w:rPr>
            <w:t>2</w:t>
          </w:r>
          <w:r w:rsidRPr="00ED79B6">
            <w:rPr>
              <w:i/>
              <w:sz w:val="18"/>
            </w:rPr>
            <w:fldChar w:fldCharType="end"/>
          </w:r>
        </w:p>
      </w:tc>
    </w:tr>
    <w:tr w:rsidR="00657D88" w:rsidTr="002012F5">
      <w:tc>
        <w:tcPr>
          <w:tcW w:w="7338" w:type="dxa"/>
          <w:gridSpan w:val="3"/>
        </w:tcPr>
        <w:p w:rsidR="00657D88" w:rsidRDefault="00657D88" w:rsidP="002012F5">
          <w:pPr>
            <w:rPr>
              <w:sz w:val="18"/>
            </w:rPr>
          </w:pPr>
        </w:p>
      </w:tc>
    </w:tr>
  </w:tbl>
  <w:p w:rsidR="00657D88" w:rsidRPr="00D90ABA" w:rsidRDefault="005B518C" w:rsidP="005B518C">
    <w:pPr>
      <w:rPr>
        <w:i/>
        <w:sz w:val="18"/>
      </w:rPr>
    </w:pPr>
    <w:r>
      <w:rPr>
        <w:i/>
        <w:sz w:val="18"/>
      </w:rPr>
      <w:t>OPC50361</w:t>
    </w:r>
    <w:r w:rsidRPr="005B518C">
      <w:rPr>
        <w:rFonts w:cs="Times New Roman"/>
        <w:i/>
        <w:sz w:val="18"/>
      </w:rPr>
      <w:t xml:space="preserve"> - 15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657D88" w:rsidTr="002012F5">
      <w:tc>
        <w:tcPr>
          <w:tcW w:w="7303" w:type="dxa"/>
        </w:tcPr>
        <w:p w:rsidR="00657D88" w:rsidRDefault="00657D88" w:rsidP="002012F5">
          <w:pPr>
            <w:rPr>
              <w:sz w:val="18"/>
            </w:rPr>
          </w:pPr>
        </w:p>
      </w:tc>
    </w:tr>
  </w:tbl>
  <w:p w:rsidR="00657D88" w:rsidRPr="006D3667" w:rsidRDefault="005B518C" w:rsidP="005B518C">
    <w:pPr>
      <w:pStyle w:val="Footer"/>
    </w:pPr>
    <w:r>
      <w:t>OPC50361</w:t>
    </w:r>
    <w:r w:rsidRPr="005B518C">
      <w:rPr>
        <w:sz w:val="18"/>
      </w:rPr>
      <w:t xml:space="preserve"> - 15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8C" w:rsidRPr="005B518C" w:rsidRDefault="005B518C" w:rsidP="005B518C">
    <w:pPr>
      <w:pStyle w:val="Footer"/>
      <w:rPr>
        <w:sz w:val="18"/>
      </w:rPr>
    </w:pPr>
    <w:r>
      <w:rPr>
        <w:sz w:val="18"/>
      </w:rPr>
      <w:t>OPC50361</w:t>
    </w:r>
    <w:r w:rsidRPr="005B518C">
      <w:rPr>
        <w:sz w:val="18"/>
      </w:rPr>
      <w:t xml:space="preserve"> - 15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5B518C" w:rsidRDefault="00657D88" w:rsidP="002012F5">
    <w:pPr>
      <w:pBdr>
        <w:top w:val="single" w:sz="6" w:space="1" w:color="auto"/>
      </w:pBdr>
      <w:spacing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657D88" w:rsidRPr="005B518C" w:rsidTr="002012F5">
      <w:tc>
        <w:tcPr>
          <w:tcW w:w="533" w:type="dxa"/>
          <w:tcBorders>
            <w:top w:val="nil"/>
            <w:left w:val="nil"/>
            <w:bottom w:val="nil"/>
            <w:right w:val="nil"/>
          </w:tcBorders>
        </w:tcPr>
        <w:p w:rsidR="00657D88" w:rsidRPr="005B518C" w:rsidRDefault="00657D88" w:rsidP="002012F5">
          <w:pPr>
            <w:spacing w:line="0" w:lineRule="atLeast"/>
            <w:rPr>
              <w:rFonts w:cs="Times New Roman"/>
              <w:sz w:val="18"/>
            </w:rPr>
          </w:pPr>
          <w:r w:rsidRPr="005B518C">
            <w:rPr>
              <w:rFonts w:cs="Times New Roman"/>
              <w:i/>
              <w:sz w:val="18"/>
            </w:rPr>
            <w:fldChar w:fldCharType="begin"/>
          </w:r>
          <w:r w:rsidRPr="005B518C">
            <w:rPr>
              <w:rFonts w:cs="Times New Roman"/>
              <w:i/>
              <w:sz w:val="18"/>
            </w:rPr>
            <w:instrText xml:space="preserve"> PAGE </w:instrText>
          </w:r>
          <w:r w:rsidRPr="005B518C">
            <w:rPr>
              <w:rFonts w:cs="Times New Roman"/>
              <w:i/>
              <w:sz w:val="18"/>
            </w:rPr>
            <w:fldChar w:fldCharType="separate"/>
          </w:r>
          <w:r w:rsidR="00343C74">
            <w:rPr>
              <w:rFonts w:cs="Times New Roman"/>
              <w:i/>
              <w:noProof/>
              <w:sz w:val="18"/>
            </w:rPr>
            <w:t>ii</w:t>
          </w:r>
          <w:r w:rsidRPr="005B518C">
            <w:rPr>
              <w:rFonts w:cs="Times New Roman"/>
              <w:i/>
              <w:sz w:val="18"/>
            </w:rPr>
            <w:fldChar w:fldCharType="end"/>
          </w:r>
        </w:p>
      </w:tc>
      <w:tc>
        <w:tcPr>
          <w:tcW w:w="5387" w:type="dxa"/>
          <w:tcBorders>
            <w:top w:val="nil"/>
            <w:left w:val="nil"/>
            <w:bottom w:val="nil"/>
            <w:right w:val="nil"/>
          </w:tcBorders>
        </w:tcPr>
        <w:p w:rsidR="00657D88" w:rsidRPr="005B518C" w:rsidRDefault="00657D88" w:rsidP="002012F5">
          <w:pPr>
            <w:spacing w:line="0" w:lineRule="atLeast"/>
            <w:jc w:val="center"/>
            <w:rPr>
              <w:rFonts w:cs="Times New Roman"/>
              <w:sz w:val="18"/>
            </w:rPr>
          </w:pPr>
          <w:r w:rsidRPr="005B518C">
            <w:rPr>
              <w:rFonts w:cs="Times New Roman"/>
              <w:i/>
              <w:sz w:val="18"/>
            </w:rPr>
            <w:fldChar w:fldCharType="begin"/>
          </w:r>
          <w:r w:rsidRPr="005B518C">
            <w:rPr>
              <w:rFonts w:cs="Times New Roman"/>
              <w:i/>
              <w:sz w:val="18"/>
            </w:rPr>
            <w:instrText xml:space="preserve"> DOCPROPERTY ShortT </w:instrText>
          </w:r>
          <w:r w:rsidRPr="005B518C">
            <w:rPr>
              <w:rFonts w:cs="Times New Roman"/>
              <w:i/>
              <w:sz w:val="18"/>
            </w:rPr>
            <w:fldChar w:fldCharType="separate"/>
          </w:r>
          <w:r w:rsidR="00856760">
            <w:rPr>
              <w:rFonts w:cs="Times New Roman"/>
              <w:i/>
              <w:sz w:val="18"/>
            </w:rPr>
            <w:t>Australian Charities and Not</w:t>
          </w:r>
          <w:r w:rsidR="00856760">
            <w:rPr>
              <w:rFonts w:cs="Times New Roman"/>
              <w:i/>
              <w:sz w:val="18"/>
            </w:rPr>
            <w:noBreakHyphen/>
            <w:t>for</w:t>
          </w:r>
          <w:r w:rsidR="00856760">
            <w:rPr>
              <w:rFonts w:cs="Times New Roman"/>
              <w:i/>
              <w:sz w:val="18"/>
            </w:rPr>
            <w:noBreakHyphen/>
            <w:t>profits Commission Amendment Regulation 2013 (No. 1)</w:t>
          </w:r>
          <w:r w:rsidRPr="005B518C">
            <w:rPr>
              <w:rFonts w:cs="Times New Roman"/>
              <w:i/>
              <w:sz w:val="18"/>
            </w:rPr>
            <w:fldChar w:fldCharType="end"/>
          </w:r>
        </w:p>
      </w:tc>
      <w:tc>
        <w:tcPr>
          <w:tcW w:w="1383" w:type="dxa"/>
          <w:tcBorders>
            <w:top w:val="nil"/>
            <w:left w:val="nil"/>
            <w:bottom w:val="nil"/>
            <w:right w:val="nil"/>
          </w:tcBorders>
        </w:tcPr>
        <w:p w:rsidR="00657D88" w:rsidRPr="005B518C" w:rsidRDefault="00657D88" w:rsidP="002012F5">
          <w:pPr>
            <w:spacing w:line="0" w:lineRule="atLeast"/>
            <w:jc w:val="right"/>
            <w:rPr>
              <w:rFonts w:cs="Times New Roman"/>
              <w:sz w:val="18"/>
            </w:rPr>
          </w:pPr>
          <w:r w:rsidRPr="005B518C">
            <w:rPr>
              <w:rFonts w:cs="Times New Roman"/>
              <w:i/>
              <w:sz w:val="18"/>
            </w:rPr>
            <w:fldChar w:fldCharType="begin"/>
          </w:r>
          <w:r w:rsidRPr="005B518C">
            <w:rPr>
              <w:rFonts w:cs="Times New Roman"/>
              <w:i/>
              <w:sz w:val="18"/>
            </w:rPr>
            <w:instrText xml:space="preserve"> DOCPROPERTY ActNo </w:instrText>
          </w:r>
          <w:r w:rsidRPr="005B518C">
            <w:rPr>
              <w:rFonts w:cs="Times New Roman"/>
              <w:i/>
              <w:sz w:val="18"/>
            </w:rPr>
            <w:fldChar w:fldCharType="separate"/>
          </w:r>
          <w:r w:rsidR="00856760">
            <w:rPr>
              <w:rFonts w:cs="Times New Roman"/>
              <w:i/>
              <w:sz w:val="18"/>
            </w:rPr>
            <w:t>No. 23, 2012</w:t>
          </w:r>
          <w:r w:rsidRPr="005B518C">
            <w:rPr>
              <w:rFonts w:cs="Times New Roman"/>
              <w:i/>
              <w:sz w:val="18"/>
            </w:rPr>
            <w:fldChar w:fldCharType="end"/>
          </w:r>
        </w:p>
      </w:tc>
    </w:tr>
    <w:tr w:rsidR="00657D88" w:rsidRPr="005B518C" w:rsidTr="002012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57D88" w:rsidRPr="005B518C" w:rsidRDefault="00657D88" w:rsidP="002012F5">
          <w:pPr>
            <w:jc w:val="right"/>
            <w:rPr>
              <w:rFonts w:cs="Times New Roman"/>
              <w:sz w:val="18"/>
            </w:rPr>
          </w:pPr>
        </w:p>
      </w:tc>
    </w:tr>
  </w:tbl>
  <w:p w:rsidR="00657D88" w:rsidRPr="005B518C" w:rsidRDefault="005B518C" w:rsidP="005B518C">
    <w:pPr>
      <w:rPr>
        <w:rFonts w:cs="Times New Roman"/>
        <w:i/>
        <w:sz w:val="18"/>
      </w:rPr>
    </w:pPr>
    <w:r>
      <w:rPr>
        <w:rFonts w:cs="Times New Roman"/>
        <w:i/>
        <w:sz w:val="18"/>
      </w:rPr>
      <w:t>OPC50361</w:t>
    </w:r>
    <w:r w:rsidRPr="005B518C">
      <w:rPr>
        <w:rFonts w:cs="Times New Roman"/>
        <w:i/>
        <w:sz w:val="18"/>
      </w:rPr>
      <w:t xml:space="preserve"> - 15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E33C1C" w:rsidRDefault="00657D88" w:rsidP="002012F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57D88" w:rsidTr="002012F5">
      <w:tc>
        <w:tcPr>
          <w:tcW w:w="1383" w:type="dxa"/>
          <w:tcBorders>
            <w:top w:val="nil"/>
            <w:left w:val="nil"/>
            <w:bottom w:val="nil"/>
            <w:right w:val="nil"/>
          </w:tcBorders>
        </w:tcPr>
        <w:p w:rsidR="00657D88" w:rsidRDefault="00856760" w:rsidP="002012F5">
          <w:pPr>
            <w:spacing w:line="0" w:lineRule="atLeast"/>
            <w:rPr>
              <w:sz w:val="18"/>
            </w:rPr>
          </w:pPr>
          <w:r>
            <w:rPr>
              <w:i/>
              <w:sz w:val="18"/>
            </w:rPr>
            <w:t>No. 23, 2013</w:t>
          </w:r>
        </w:p>
      </w:tc>
      <w:tc>
        <w:tcPr>
          <w:tcW w:w="5387" w:type="dxa"/>
          <w:tcBorders>
            <w:top w:val="nil"/>
            <w:left w:val="nil"/>
            <w:bottom w:val="nil"/>
            <w:right w:val="nil"/>
          </w:tcBorders>
        </w:tcPr>
        <w:p w:rsidR="00657D88" w:rsidRDefault="00657D88" w:rsidP="002012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6760">
            <w:rPr>
              <w:i/>
              <w:sz w:val="18"/>
            </w:rPr>
            <w:t>Australian Charities and Not</w:t>
          </w:r>
          <w:r w:rsidR="00856760">
            <w:rPr>
              <w:i/>
              <w:sz w:val="18"/>
            </w:rPr>
            <w:noBreakHyphen/>
            <w:t>for</w:t>
          </w:r>
          <w:r w:rsidR="00856760">
            <w:rPr>
              <w:i/>
              <w:sz w:val="18"/>
            </w:rPr>
            <w:noBreakHyphen/>
            <w:t>profits Commission Amendment Regulation 2013 (No. 1)</w:t>
          </w:r>
          <w:r w:rsidRPr="007A1328">
            <w:rPr>
              <w:i/>
              <w:sz w:val="18"/>
            </w:rPr>
            <w:fldChar w:fldCharType="end"/>
          </w:r>
        </w:p>
      </w:tc>
      <w:tc>
        <w:tcPr>
          <w:tcW w:w="533" w:type="dxa"/>
          <w:tcBorders>
            <w:top w:val="nil"/>
            <w:left w:val="nil"/>
            <w:bottom w:val="nil"/>
            <w:right w:val="nil"/>
          </w:tcBorders>
        </w:tcPr>
        <w:p w:rsidR="00657D88" w:rsidRDefault="00657D88" w:rsidP="002012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49AC">
            <w:rPr>
              <w:i/>
              <w:noProof/>
              <w:sz w:val="18"/>
            </w:rPr>
            <w:t>i</w:t>
          </w:r>
          <w:r w:rsidRPr="00ED79B6">
            <w:rPr>
              <w:i/>
              <w:sz w:val="18"/>
            </w:rPr>
            <w:fldChar w:fldCharType="end"/>
          </w:r>
        </w:p>
      </w:tc>
    </w:tr>
    <w:tr w:rsidR="00657D88" w:rsidTr="002012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57D88" w:rsidRDefault="00657D88" w:rsidP="002012F5">
          <w:pPr>
            <w:rPr>
              <w:sz w:val="18"/>
            </w:rPr>
          </w:pPr>
        </w:p>
      </w:tc>
    </w:tr>
  </w:tbl>
  <w:p w:rsidR="00657D88" w:rsidRPr="00ED79B6" w:rsidRDefault="005B518C" w:rsidP="005B518C">
    <w:pPr>
      <w:rPr>
        <w:i/>
        <w:sz w:val="18"/>
      </w:rPr>
    </w:pPr>
    <w:r>
      <w:rPr>
        <w:i/>
        <w:sz w:val="18"/>
      </w:rPr>
      <w:t>OPC50361</w:t>
    </w:r>
    <w:r w:rsidRPr="005B518C">
      <w:rPr>
        <w:rFonts w:cs="Times New Roman"/>
        <w:i/>
        <w:sz w:val="18"/>
      </w:rPr>
      <w:t xml:space="preserve"> - 15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5B518C" w:rsidRDefault="00657D88" w:rsidP="002012F5">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57D88" w:rsidRPr="005B518C" w:rsidTr="002012F5">
      <w:tc>
        <w:tcPr>
          <w:tcW w:w="533" w:type="dxa"/>
        </w:tcPr>
        <w:p w:rsidR="00657D88" w:rsidRPr="005B518C" w:rsidRDefault="00657D88" w:rsidP="002012F5">
          <w:pPr>
            <w:spacing w:line="0" w:lineRule="atLeast"/>
            <w:rPr>
              <w:rFonts w:cs="Times New Roman"/>
              <w:sz w:val="18"/>
            </w:rPr>
          </w:pPr>
          <w:r w:rsidRPr="005B518C">
            <w:rPr>
              <w:rFonts w:cs="Times New Roman"/>
              <w:i/>
              <w:sz w:val="18"/>
            </w:rPr>
            <w:fldChar w:fldCharType="begin"/>
          </w:r>
          <w:r w:rsidRPr="005B518C">
            <w:rPr>
              <w:rFonts w:cs="Times New Roman"/>
              <w:i/>
              <w:sz w:val="18"/>
            </w:rPr>
            <w:instrText xml:space="preserve"> PAGE </w:instrText>
          </w:r>
          <w:r w:rsidRPr="005B518C">
            <w:rPr>
              <w:rFonts w:cs="Times New Roman"/>
              <w:i/>
              <w:sz w:val="18"/>
            </w:rPr>
            <w:fldChar w:fldCharType="separate"/>
          </w:r>
          <w:r w:rsidR="008949AC">
            <w:rPr>
              <w:rFonts w:cs="Times New Roman"/>
              <w:i/>
              <w:noProof/>
              <w:sz w:val="18"/>
            </w:rPr>
            <w:t>14</w:t>
          </w:r>
          <w:r w:rsidRPr="005B518C">
            <w:rPr>
              <w:rFonts w:cs="Times New Roman"/>
              <w:i/>
              <w:sz w:val="18"/>
            </w:rPr>
            <w:fldChar w:fldCharType="end"/>
          </w:r>
        </w:p>
      </w:tc>
      <w:tc>
        <w:tcPr>
          <w:tcW w:w="5387" w:type="dxa"/>
        </w:tcPr>
        <w:p w:rsidR="00657D88" w:rsidRPr="005B518C" w:rsidRDefault="00657D88" w:rsidP="002012F5">
          <w:pPr>
            <w:spacing w:line="0" w:lineRule="atLeast"/>
            <w:jc w:val="center"/>
            <w:rPr>
              <w:rFonts w:cs="Times New Roman"/>
              <w:sz w:val="18"/>
            </w:rPr>
          </w:pPr>
          <w:r w:rsidRPr="005B518C">
            <w:rPr>
              <w:rFonts w:cs="Times New Roman"/>
              <w:i/>
              <w:sz w:val="18"/>
            </w:rPr>
            <w:fldChar w:fldCharType="begin"/>
          </w:r>
          <w:r w:rsidRPr="005B518C">
            <w:rPr>
              <w:rFonts w:cs="Times New Roman"/>
              <w:i/>
              <w:sz w:val="18"/>
            </w:rPr>
            <w:instrText xml:space="preserve"> DOCPROPERTY ShortT </w:instrText>
          </w:r>
          <w:r w:rsidRPr="005B518C">
            <w:rPr>
              <w:rFonts w:cs="Times New Roman"/>
              <w:i/>
              <w:sz w:val="18"/>
            </w:rPr>
            <w:fldChar w:fldCharType="separate"/>
          </w:r>
          <w:r w:rsidR="00856760">
            <w:rPr>
              <w:rFonts w:cs="Times New Roman"/>
              <w:i/>
              <w:sz w:val="18"/>
            </w:rPr>
            <w:t>Australian Charities and Not</w:t>
          </w:r>
          <w:r w:rsidR="00856760">
            <w:rPr>
              <w:rFonts w:cs="Times New Roman"/>
              <w:i/>
              <w:sz w:val="18"/>
            </w:rPr>
            <w:noBreakHyphen/>
            <w:t>for</w:t>
          </w:r>
          <w:r w:rsidR="00856760">
            <w:rPr>
              <w:rFonts w:cs="Times New Roman"/>
              <w:i/>
              <w:sz w:val="18"/>
            </w:rPr>
            <w:noBreakHyphen/>
            <w:t>profits Commission Amendment Regulation 2013 (No. 1)</w:t>
          </w:r>
          <w:r w:rsidRPr="005B518C">
            <w:rPr>
              <w:rFonts w:cs="Times New Roman"/>
              <w:i/>
              <w:sz w:val="18"/>
            </w:rPr>
            <w:fldChar w:fldCharType="end"/>
          </w:r>
        </w:p>
      </w:tc>
      <w:tc>
        <w:tcPr>
          <w:tcW w:w="1383" w:type="dxa"/>
        </w:tcPr>
        <w:p w:rsidR="00657D88" w:rsidRPr="005B518C" w:rsidRDefault="00856760" w:rsidP="002012F5">
          <w:pPr>
            <w:spacing w:line="0" w:lineRule="atLeast"/>
            <w:jc w:val="right"/>
            <w:rPr>
              <w:rFonts w:cs="Times New Roman"/>
              <w:sz w:val="18"/>
            </w:rPr>
          </w:pPr>
          <w:r>
            <w:rPr>
              <w:rFonts w:cs="Times New Roman"/>
              <w:i/>
              <w:sz w:val="18"/>
            </w:rPr>
            <w:t>No. 23, 2013</w:t>
          </w:r>
        </w:p>
      </w:tc>
    </w:tr>
    <w:tr w:rsidR="00657D88" w:rsidRPr="005B518C" w:rsidTr="002012F5">
      <w:tc>
        <w:tcPr>
          <w:tcW w:w="7303" w:type="dxa"/>
          <w:gridSpan w:val="3"/>
        </w:tcPr>
        <w:p w:rsidR="00657D88" w:rsidRPr="005B518C" w:rsidRDefault="00657D88" w:rsidP="002012F5">
          <w:pPr>
            <w:jc w:val="right"/>
            <w:rPr>
              <w:rFonts w:cs="Times New Roman"/>
              <w:sz w:val="18"/>
            </w:rPr>
          </w:pPr>
        </w:p>
      </w:tc>
    </w:tr>
  </w:tbl>
  <w:p w:rsidR="00657D88" w:rsidRPr="005B518C" w:rsidRDefault="005B518C" w:rsidP="005B518C">
    <w:pPr>
      <w:rPr>
        <w:rFonts w:cs="Times New Roman"/>
        <w:sz w:val="18"/>
      </w:rPr>
    </w:pPr>
    <w:r>
      <w:rPr>
        <w:rFonts w:cs="Times New Roman"/>
        <w:sz w:val="18"/>
      </w:rPr>
      <w:t>OPC50361</w:t>
    </w:r>
    <w:r w:rsidRPr="005B518C">
      <w:rPr>
        <w:rFonts w:cs="Times New Roman"/>
        <w:sz w:val="18"/>
      </w:rPr>
      <w:t xml:space="preserve"> - 15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D90ABA" w:rsidRDefault="00657D88" w:rsidP="002012F5">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657D88" w:rsidTr="002012F5">
      <w:tc>
        <w:tcPr>
          <w:tcW w:w="1383" w:type="dxa"/>
        </w:tcPr>
        <w:p w:rsidR="00657D88" w:rsidRDefault="00856760" w:rsidP="002012F5">
          <w:pPr>
            <w:spacing w:line="0" w:lineRule="atLeast"/>
            <w:rPr>
              <w:sz w:val="18"/>
            </w:rPr>
          </w:pPr>
          <w:r>
            <w:rPr>
              <w:i/>
              <w:sz w:val="18"/>
            </w:rPr>
            <w:t>No. 23, 2013</w:t>
          </w:r>
        </w:p>
      </w:tc>
      <w:tc>
        <w:tcPr>
          <w:tcW w:w="5387" w:type="dxa"/>
        </w:tcPr>
        <w:p w:rsidR="00657D88" w:rsidRDefault="00657D88" w:rsidP="002012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6760">
            <w:rPr>
              <w:i/>
              <w:sz w:val="18"/>
            </w:rPr>
            <w:t>Australian Charities and Not</w:t>
          </w:r>
          <w:r w:rsidR="00856760">
            <w:rPr>
              <w:i/>
              <w:sz w:val="18"/>
            </w:rPr>
            <w:noBreakHyphen/>
            <w:t>for</w:t>
          </w:r>
          <w:r w:rsidR="00856760">
            <w:rPr>
              <w:i/>
              <w:sz w:val="18"/>
            </w:rPr>
            <w:noBreakHyphen/>
            <w:t>profits Commission Amendment Regulation 2013 (No. 1)</w:t>
          </w:r>
          <w:r w:rsidRPr="007A1328">
            <w:rPr>
              <w:i/>
              <w:sz w:val="18"/>
            </w:rPr>
            <w:fldChar w:fldCharType="end"/>
          </w:r>
        </w:p>
      </w:tc>
      <w:tc>
        <w:tcPr>
          <w:tcW w:w="533" w:type="dxa"/>
        </w:tcPr>
        <w:p w:rsidR="00657D88" w:rsidRDefault="00657D88" w:rsidP="002012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49AC">
            <w:rPr>
              <w:i/>
              <w:noProof/>
              <w:sz w:val="18"/>
            </w:rPr>
            <w:t>13</w:t>
          </w:r>
          <w:r w:rsidRPr="00ED79B6">
            <w:rPr>
              <w:i/>
              <w:sz w:val="18"/>
            </w:rPr>
            <w:fldChar w:fldCharType="end"/>
          </w:r>
        </w:p>
      </w:tc>
    </w:tr>
    <w:tr w:rsidR="00657D88" w:rsidTr="002012F5">
      <w:tc>
        <w:tcPr>
          <w:tcW w:w="7338" w:type="dxa"/>
          <w:gridSpan w:val="3"/>
        </w:tcPr>
        <w:p w:rsidR="00657D88" w:rsidRDefault="00657D88" w:rsidP="002012F5">
          <w:pPr>
            <w:rPr>
              <w:sz w:val="18"/>
            </w:rPr>
          </w:pPr>
        </w:p>
      </w:tc>
    </w:tr>
  </w:tbl>
  <w:p w:rsidR="00657D88" w:rsidRPr="00D90ABA" w:rsidRDefault="005B518C" w:rsidP="005B518C">
    <w:pPr>
      <w:rPr>
        <w:i/>
        <w:sz w:val="18"/>
      </w:rPr>
    </w:pPr>
    <w:r>
      <w:rPr>
        <w:i/>
        <w:sz w:val="18"/>
      </w:rPr>
      <w:t>OPC50361</w:t>
    </w:r>
    <w:r w:rsidRPr="005B518C">
      <w:rPr>
        <w:rFonts w:cs="Times New Roman"/>
        <w:i/>
        <w:sz w:val="18"/>
      </w:rPr>
      <w:t xml:space="preserve"> - 15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pPr>
      <w:pBdr>
        <w:top w:val="single" w:sz="6" w:space="1" w:color="auto"/>
      </w:pBdr>
      <w:rPr>
        <w:sz w:val="18"/>
      </w:rPr>
    </w:pPr>
  </w:p>
  <w:p w:rsidR="00657D88" w:rsidRDefault="00657D88">
    <w:pPr>
      <w:jc w:val="right"/>
      <w:rPr>
        <w:i/>
        <w:sz w:val="18"/>
      </w:rPr>
    </w:pPr>
    <w:r>
      <w:rPr>
        <w:i/>
        <w:sz w:val="18"/>
      </w:rPr>
      <w:fldChar w:fldCharType="begin"/>
    </w:r>
    <w:r>
      <w:rPr>
        <w:i/>
        <w:sz w:val="18"/>
      </w:rPr>
      <w:instrText xml:space="preserve"> STYLEREF ShortT </w:instrText>
    </w:r>
    <w:r>
      <w:rPr>
        <w:i/>
        <w:sz w:val="18"/>
      </w:rPr>
      <w:fldChar w:fldCharType="separate"/>
    </w:r>
    <w:r w:rsidR="00856760">
      <w:rPr>
        <w:i/>
        <w:noProof/>
        <w:sz w:val="18"/>
      </w:rPr>
      <w:t>Australian Charities and Not-for-profits Commission Amendment Regulation 2013 (No. 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5676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43C74">
      <w:rPr>
        <w:i/>
        <w:noProof/>
        <w:sz w:val="18"/>
      </w:rPr>
      <w:t>2</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5B518C" w:rsidRDefault="00657D88" w:rsidP="002012F5">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57D88" w:rsidRPr="005B518C" w:rsidTr="002012F5">
      <w:tc>
        <w:tcPr>
          <w:tcW w:w="533" w:type="dxa"/>
        </w:tcPr>
        <w:p w:rsidR="00657D88" w:rsidRPr="005B518C" w:rsidRDefault="00657D88" w:rsidP="002012F5">
          <w:pPr>
            <w:spacing w:line="0" w:lineRule="atLeast"/>
            <w:rPr>
              <w:rFonts w:cs="Times New Roman"/>
              <w:sz w:val="18"/>
            </w:rPr>
          </w:pPr>
          <w:r w:rsidRPr="005B518C">
            <w:rPr>
              <w:rFonts w:cs="Times New Roman"/>
              <w:i/>
              <w:sz w:val="18"/>
            </w:rPr>
            <w:fldChar w:fldCharType="begin"/>
          </w:r>
          <w:r w:rsidRPr="005B518C">
            <w:rPr>
              <w:rFonts w:cs="Times New Roman"/>
              <w:i/>
              <w:sz w:val="18"/>
            </w:rPr>
            <w:instrText xml:space="preserve"> PAGE </w:instrText>
          </w:r>
          <w:r w:rsidRPr="005B518C">
            <w:rPr>
              <w:rFonts w:cs="Times New Roman"/>
              <w:i/>
              <w:sz w:val="18"/>
            </w:rPr>
            <w:fldChar w:fldCharType="separate"/>
          </w:r>
          <w:r w:rsidR="00343C74">
            <w:rPr>
              <w:rFonts w:cs="Times New Roman"/>
              <w:i/>
              <w:noProof/>
              <w:sz w:val="18"/>
            </w:rPr>
            <w:t>2</w:t>
          </w:r>
          <w:r w:rsidRPr="005B518C">
            <w:rPr>
              <w:rFonts w:cs="Times New Roman"/>
              <w:i/>
              <w:sz w:val="18"/>
            </w:rPr>
            <w:fldChar w:fldCharType="end"/>
          </w:r>
        </w:p>
      </w:tc>
      <w:tc>
        <w:tcPr>
          <w:tcW w:w="5387" w:type="dxa"/>
        </w:tcPr>
        <w:p w:rsidR="00657D88" w:rsidRPr="005B518C" w:rsidRDefault="00657D88" w:rsidP="002012F5">
          <w:pPr>
            <w:spacing w:line="0" w:lineRule="atLeast"/>
            <w:jc w:val="center"/>
            <w:rPr>
              <w:rFonts w:cs="Times New Roman"/>
              <w:sz w:val="18"/>
            </w:rPr>
          </w:pPr>
          <w:r w:rsidRPr="005B518C">
            <w:rPr>
              <w:rFonts w:cs="Times New Roman"/>
              <w:i/>
              <w:sz w:val="18"/>
            </w:rPr>
            <w:fldChar w:fldCharType="begin"/>
          </w:r>
          <w:r w:rsidRPr="005B518C">
            <w:rPr>
              <w:rFonts w:cs="Times New Roman"/>
              <w:i/>
              <w:sz w:val="18"/>
            </w:rPr>
            <w:instrText xml:space="preserve"> DOCPROPERTY ShortT </w:instrText>
          </w:r>
          <w:r w:rsidRPr="005B518C">
            <w:rPr>
              <w:rFonts w:cs="Times New Roman"/>
              <w:i/>
              <w:sz w:val="18"/>
            </w:rPr>
            <w:fldChar w:fldCharType="separate"/>
          </w:r>
          <w:r w:rsidR="00856760">
            <w:rPr>
              <w:rFonts w:cs="Times New Roman"/>
              <w:i/>
              <w:sz w:val="18"/>
            </w:rPr>
            <w:t>Australian Charities and Not</w:t>
          </w:r>
          <w:r w:rsidR="00856760">
            <w:rPr>
              <w:rFonts w:cs="Times New Roman"/>
              <w:i/>
              <w:sz w:val="18"/>
            </w:rPr>
            <w:noBreakHyphen/>
            <w:t>for</w:t>
          </w:r>
          <w:r w:rsidR="00856760">
            <w:rPr>
              <w:rFonts w:cs="Times New Roman"/>
              <w:i/>
              <w:sz w:val="18"/>
            </w:rPr>
            <w:noBreakHyphen/>
            <w:t>profits Commission Amendment Regulation 2013 (No. 1)</w:t>
          </w:r>
          <w:r w:rsidRPr="005B518C">
            <w:rPr>
              <w:rFonts w:cs="Times New Roman"/>
              <w:i/>
              <w:sz w:val="18"/>
            </w:rPr>
            <w:fldChar w:fldCharType="end"/>
          </w:r>
        </w:p>
      </w:tc>
      <w:tc>
        <w:tcPr>
          <w:tcW w:w="1383" w:type="dxa"/>
        </w:tcPr>
        <w:p w:rsidR="00657D88" w:rsidRPr="005B518C" w:rsidRDefault="00657D88" w:rsidP="002012F5">
          <w:pPr>
            <w:spacing w:line="0" w:lineRule="atLeast"/>
            <w:jc w:val="right"/>
            <w:rPr>
              <w:rFonts w:cs="Times New Roman"/>
              <w:sz w:val="18"/>
            </w:rPr>
          </w:pPr>
          <w:r w:rsidRPr="005B518C">
            <w:rPr>
              <w:rFonts w:cs="Times New Roman"/>
              <w:i/>
              <w:sz w:val="18"/>
            </w:rPr>
            <w:fldChar w:fldCharType="begin"/>
          </w:r>
          <w:r w:rsidRPr="005B518C">
            <w:rPr>
              <w:rFonts w:cs="Times New Roman"/>
              <w:i/>
              <w:sz w:val="18"/>
            </w:rPr>
            <w:instrText xml:space="preserve"> DOCPROPERTY ActNo </w:instrText>
          </w:r>
          <w:r w:rsidRPr="005B518C">
            <w:rPr>
              <w:rFonts w:cs="Times New Roman"/>
              <w:i/>
              <w:sz w:val="18"/>
            </w:rPr>
            <w:fldChar w:fldCharType="separate"/>
          </w:r>
          <w:r w:rsidR="00856760">
            <w:rPr>
              <w:rFonts w:cs="Times New Roman"/>
              <w:i/>
              <w:sz w:val="18"/>
            </w:rPr>
            <w:t>No. 23, 2012</w:t>
          </w:r>
          <w:r w:rsidRPr="005B518C">
            <w:rPr>
              <w:rFonts w:cs="Times New Roman"/>
              <w:i/>
              <w:sz w:val="18"/>
            </w:rPr>
            <w:fldChar w:fldCharType="end"/>
          </w:r>
        </w:p>
      </w:tc>
    </w:tr>
    <w:tr w:rsidR="00657D88" w:rsidRPr="005B518C" w:rsidTr="002012F5">
      <w:tc>
        <w:tcPr>
          <w:tcW w:w="7303" w:type="dxa"/>
          <w:gridSpan w:val="3"/>
        </w:tcPr>
        <w:p w:rsidR="00657D88" w:rsidRPr="005B518C" w:rsidRDefault="00657D88" w:rsidP="002012F5">
          <w:pPr>
            <w:jc w:val="right"/>
            <w:rPr>
              <w:rFonts w:cs="Times New Roman"/>
              <w:sz w:val="18"/>
            </w:rPr>
          </w:pPr>
        </w:p>
      </w:tc>
    </w:tr>
  </w:tbl>
  <w:p w:rsidR="00657D88" w:rsidRPr="005B518C" w:rsidRDefault="005B518C" w:rsidP="005B518C">
    <w:pPr>
      <w:rPr>
        <w:rFonts w:cs="Times New Roman"/>
        <w:sz w:val="18"/>
      </w:rPr>
    </w:pPr>
    <w:r>
      <w:rPr>
        <w:rFonts w:cs="Times New Roman"/>
        <w:sz w:val="18"/>
      </w:rPr>
      <w:t>OPC50361</w:t>
    </w:r>
    <w:r w:rsidRPr="005B518C">
      <w:rPr>
        <w:rFonts w:cs="Times New Roman"/>
        <w:sz w:val="18"/>
      </w:rPr>
      <w:t xml:space="preserve"> - 15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88" w:rsidRDefault="00657D88">
      <w:r>
        <w:separator/>
      </w:r>
    </w:p>
  </w:footnote>
  <w:footnote w:type="continuationSeparator" w:id="0">
    <w:p w:rsidR="00657D88" w:rsidRDefault="0065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5F1388" w:rsidRDefault="00657D88" w:rsidP="002012F5">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pPr>
      <w:rPr>
        <w:sz w:val="20"/>
      </w:rPr>
    </w:pPr>
    <w:r>
      <w:rPr>
        <w:b/>
        <w:sz w:val="20"/>
      </w:rPr>
      <w:fldChar w:fldCharType="begin"/>
    </w:r>
    <w:r>
      <w:rPr>
        <w:b/>
        <w:sz w:val="20"/>
      </w:rPr>
      <w:instrText xml:space="preserve"> STYLEREF CharAmSchNo </w:instrText>
    </w:r>
    <w:r>
      <w:rPr>
        <w:b/>
        <w:sz w:val="20"/>
      </w:rPr>
      <w:fldChar w:fldCharType="separate"/>
    </w:r>
    <w:r w:rsidR="00856760">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56760">
      <w:rPr>
        <w:noProof/>
        <w:sz w:val="20"/>
      </w:rPr>
      <w:t>Amendments of the Australian Charities and Not-for-profits Commission Regulation 2013</w:t>
    </w:r>
    <w:r>
      <w:rPr>
        <w:sz w:val="20"/>
      </w:rPr>
      <w:fldChar w:fldCharType="end"/>
    </w:r>
  </w:p>
  <w:p w:rsidR="00657D88" w:rsidRDefault="00657D88">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57D88" w:rsidRDefault="00657D88">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pPr>
      <w:jc w:val="right"/>
      <w:rPr>
        <w:sz w:val="20"/>
      </w:rPr>
    </w:pPr>
    <w:r>
      <w:rPr>
        <w:sz w:val="20"/>
      </w:rPr>
      <w:fldChar w:fldCharType="begin"/>
    </w:r>
    <w:r>
      <w:rPr>
        <w:sz w:val="20"/>
      </w:rPr>
      <w:instrText xml:space="preserve"> STYLEREF CharAmSchText </w:instrText>
    </w:r>
    <w:r>
      <w:rPr>
        <w:sz w:val="20"/>
      </w:rPr>
      <w:fldChar w:fldCharType="separate"/>
    </w:r>
    <w:r w:rsidR="00856760">
      <w:rPr>
        <w:noProof/>
        <w:sz w:val="20"/>
      </w:rPr>
      <w:t>Amendments of the Australian Charities and Not-for-profits Commission Regulation 2013</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56760">
      <w:rPr>
        <w:b/>
        <w:noProof/>
        <w:sz w:val="20"/>
      </w:rPr>
      <w:t>Schedule 1</w:t>
    </w:r>
    <w:r>
      <w:rPr>
        <w:b/>
        <w:sz w:val="20"/>
      </w:rPr>
      <w:fldChar w:fldCharType="end"/>
    </w:r>
  </w:p>
  <w:p w:rsidR="00657D88" w:rsidRDefault="00657D88">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57D88" w:rsidRDefault="00657D88">
    <w:pPr>
      <w:pBdr>
        <w:bottom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5F1388" w:rsidRDefault="00657D88" w:rsidP="002012F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5F1388" w:rsidRDefault="00657D88" w:rsidP="002012F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ED79B6" w:rsidRDefault="00657D88" w:rsidP="002012F5">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ED79B6" w:rsidRDefault="00657D88" w:rsidP="002012F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Pr="00ED79B6" w:rsidRDefault="00657D88" w:rsidP="002012F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pPr>
      <w:rPr>
        <w:sz w:val="20"/>
      </w:rPr>
    </w:pPr>
    <w:r>
      <w:rPr>
        <w:b/>
        <w:sz w:val="20"/>
      </w:rPr>
      <w:fldChar w:fldCharType="begin"/>
    </w:r>
    <w:r>
      <w:rPr>
        <w:b/>
        <w:sz w:val="20"/>
      </w:rPr>
      <w:instrText xml:space="preserve"> STYLEREF CharAmSchNo </w:instrText>
    </w:r>
    <w:r>
      <w:rPr>
        <w:b/>
        <w:sz w:val="20"/>
      </w:rPr>
      <w:fldChar w:fldCharType="separate"/>
    </w:r>
    <w:r w:rsidR="008949AC">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949AC">
      <w:rPr>
        <w:noProof/>
        <w:sz w:val="20"/>
      </w:rPr>
      <w:t>Amendments of the Australian Charities and Not-for-profits Commission Regulation 2013</w:t>
    </w:r>
    <w:r>
      <w:rPr>
        <w:sz w:val="20"/>
      </w:rPr>
      <w:fldChar w:fldCharType="end"/>
    </w:r>
  </w:p>
  <w:p w:rsidR="00657D88" w:rsidRDefault="00657D88">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57D88" w:rsidRDefault="00657D88">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pPr>
      <w:jc w:val="right"/>
      <w:rPr>
        <w:sz w:val="20"/>
      </w:rPr>
    </w:pPr>
    <w:r>
      <w:rPr>
        <w:sz w:val="20"/>
      </w:rPr>
      <w:fldChar w:fldCharType="begin"/>
    </w:r>
    <w:r>
      <w:rPr>
        <w:sz w:val="20"/>
      </w:rPr>
      <w:instrText xml:space="preserve"> STYLEREF CharAmSchText </w:instrText>
    </w:r>
    <w:r w:rsidR="008949AC">
      <w:rPr>
        <w:sz w:val="20"/>
      </w:rPr>
      <w:fldChar w:fldCharType="separate"/>
    </w:r>
    <w:r w:rsidR="008949AC">
      <w:rPr>
        <w:noProof/>
        <w:sz w:val="20"/>
      </w:rPr>
      <w:t>Amendments of the Australian Charities and Not-for-profits Commission Regulation 2013</w:t>
    </w:r>
    <w:r>
      <w:rPr>
        <w:sz w:val="20"/>
      </w:rPr>
      <w:fldChar w:fldCharType="end"/>
    </w:r>
    <w:r>
      <w:rPr>
        <w:sz w:val="20"/>
      </w:rPr>
      <w:t xml:space="preserve">  </w:t>
    </w:r>
    <w:r>
      <w:rPr>
        <w:b/>
        <w:sz w:val="20"/>
      </w:rPr>
      <w:fldChar w:fldCharType="begin"/>
    </w:r>
    <w:r>
      <w:rPr>
        <w:b/>
        <w:sz w:val="20"/>
      </w:rPr>
      <w:instrText xml:space="preserve"> STYLEREF CharAmSchNo </w:instrText>
    </w:r>
    <w:r w:rsidR="008949AC">
      <w:rPr>
        <w:b/>
        <w:sz w:val="20"/>
      </w:rPr>
      <w:fldChar w:fldCharType="separate"/>
    </w:r>
    <w:r w:rsidR="008949AC">
      <w:rPr>
        <w:b/>
        <w:noProof/>
        <w:sz w:val="20"/>
      </w:rPr>
      <w:t>Schedule 1</w:t>
    </w:r>
    <w:r>
      <w:rPr>
        <w:b/>
        <w:sz w:val="20"/>
      </w:rPr>
      <w:fldChar w:fldCharType="end"/>
    </w:r>
  </w:p>
  <w:p w:rsidR="00657D88" w:rsidRDefault="00657D88">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57D88" w:rsidRDefault="00657D88">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88" w:rsidRDefault="00657D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DE5188C"/>
    <w:multiLevelType w:val="hybridMultilevel"/>
    <w:tmpl w:val="C340E6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C2E8CADE">
      <w:start w:val="54"/>
      <w:numFmt w:val="decimal"/>
      <w:lvlText w:val="%3."/>
      <w:lvlJc w:val="left"/>
      <w:pPr>
        <w:ind w:left="2160" w:hanging="180"/>
      </w:pPr>
    </w:lvl>
    <w:lvl w:ilvl="3" w:tplc="EC0C14EA">
      <w:start w:val="1"/>
      <w:numFmt w:val="decimal"/>
      <w:lvlText w:val="54.%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lvlOverride w:ilvl="0">
      <w:startOverride w:val="1"/>
    </w:lvlOverride>
    <w:lvlOverride w:ilvl="1">
      <w:startOverride w:val="1"/>
    </w:lvlOverride>
    <w:lvlOverride w:ilvl="2">
      <w:startOverride w:val="5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21"/>
    <w:rsid w:val="00000034"/>
    <w:rsid w:val="00002328"/>
    <w:rsid w:val="000047FD"/>
    <w:rsid w:val="000056EE"/>
    <w:rsid w:val="0000575A"/>
    <w:rsid w:val="000071F2"/>
    <w:rsid w:val="00010203"/>
    <w:rsid w:val="00011D0F"/>
    <w:rsid w:val="00012A4E"/>
    <w:rsid w:val="00013A38"/>
    <w:rsid w:val="000162AF"/>
    <w:rsid w:val="0001739E"/>
    <w:rsid w:val="00020180"/>
    <w:rsid w:val="00023FD2"/>
    <w:rsid w:val="0003434D"/>
    <w:rsid w:val="0003498B"/>
    <w:rsid w:val="0004081D"/>
    <w:rsid w:val="000472C2"/>
    <w:rsid w:val="000475CA"/>
    <w:rsid w:val="000510B9"/>
    <w:rsid w:val="00051C9B"/>
    <w:rsid w:val="000551A3"/>
    <w:rsid w:val="00055E25"/>
    <w:rsid w:val="00065A0E"/>
    <w:rsid w:val="0006722F"/>
    <w:rsid w:val="00071791"/>
    <w:rsid w:val="000721B0"/>
    <w:rsid w:val="000753EE"/>
    <w:rsid w:val="00075B3D"/>
    <w:rsid w:val="00076B35"/>
    <w:rsid w:val="0008580B"/>
    <w:rsid w:val="00085877"/>
    <w:rsid w:val="00086090"/>
    <w:rsid w:val="00086E1D"/>
    <w:rsid w:val="00090C6D"/>
    <w:rsid w:val="00092802"/>
    <w:rsid w:val="00095CC4"/>
    <w:rsid w:val="000A3C52"/>
    <w:rsid w:val="000B0A20"/>
    <w:rsid w:val="000B26C3"/>
    <w:rsid w:val="000B52F3"/>
    <w:rsid w:val="000B68A5"/>
    <w:rsid w:val="000C2AB1"/>
    <w:rsid w:val="000C56FE"/>
    <w:rsid w:val="000C78B5"/>
    <w:rsid w:val="000D112D"/>
    <w:rsid w:val="000D363E"/>
    <w:rsid w:val="000D7167"/>
    <w:rsid w:val="000D736B"/>
    <w:rsid w:val="000E081D"/>
    <w:rsid w:val="000E470D"/>
    <w:rsid w:val="000F140F"/>
    <w:rsid w:val="000F3758"/>
    <w:rsid w:val="00102347"/>
    <w:rsid w:val="00110F98"/>
    <w:rsid w:val="0011161E"/>
    <w:rsid w:val="0011172E"/>
    <w:rsid w:val="00111E48"/>
    <w:rsid w:val="0011314E"/>
    <w:rsid w:val="00114286"/>
    <w:rsid w:val="00117290"/>
    <w:rsid w:val="00121B18"/>
    <w:rsid w:val="00122CA1"/>
    <w:rsid w:val="0012560F"/>
    <w:rsid w:val="00126D00"/>
    <w:rsid w:val="00133419"/>
    <w:rsid w:val="00134204"/>
    <w:rsid w:val="001363F5"/>
    <w:rsid w:val="001370FF"/>
    <w:rsid w:val="00137EF4"/>
    <w:rsid w:val="00145C33"/>
    <w:rsid w:val="0014660D"/>
    <w:rsid w:val="001509A9"/>
    <w:rsid w:val="001510F9"/>
    <w:rsid w:val="00152824"/>
    <w:rsid w:val="00153593"/>
    <w:rsid w:val="001544DD"/>
    <w:rsid w:val="00156A5A"/>
    <w:rsid w:val="00157E82"/>
    <w:rsid w:val="0016552E"/>
    <w:rsid w:val="001661B3"/>
    <w:rsid w:val="00166BA6"/>
    <w:rsid w:val="00167DBC"/>
    <w:rsid w:val="00171A0A"/>
    <w:rsid w:val="0017420C"/>
    <w:rsid w:val="00176457"/>
    <w:rsid w:val="0017669E"/>
    <w:rsid w:val="00176BCE"/>
    <w:rsid w:val="00180CD3"/>
    <w:rsid w:val="001818BA"/>
    <w:rsid w:val="001840EA"/>
    <w:rsid w:val="00190D22"/>
    <w:rsid w:val="00191B57"/>
    <w:rsid w:val="001927AF"/>
    <w:rsid w:val="00196172"/>
    <w:rsid w:val="001A062E"/>
    <w:rsid w:val="001A0710"/>
    <w:rsid w:val="001A25BD"/>
    <w:rsid w:val="001A2921"/>
    <w:rsid w:val="001A2B82"/>
    <w:rsid w:val="001A745A"/>
    <w:rsid w:val="001B4168"/>
    <w:rsid w:val="001B680B"/>
    <w:rsid w:val="001B750D"/>
    <w:rsid w:val="001C2D2D"/>
    <w:rsid w:val="001C41A5"/>
    <w:rsid w:val="001C48B6"/>
    <w:rsid w:val="001C52FA"/>
    <w:rsid w:val="001C6C78"/>
    <w:rsid w:val="001C6E23"/>
    <w:rsid w:val="001D1730"/>
    <w:rsid w:val="001D49E7"/>
    <w:rsid w:val="001D7DD2"/>
    <w:rsid w:val="001E11F6"/>
    <w:rsid w:val="001E1FF9"/>
    <w:rsid w:val="001E3C76"/>
    <w:rsid w:val="001E551F"/>
    <w:rsid w:val="001F0F35"/>
    <w:rsid w:val="001F1819"/>
    <w:rsid w:val="001F204C"/>
    <w:rsid w:val="001F24CF"/>
    <w:rsid w:val="001F3D0A"/>
    <w:rsid w:val="002012F5"/>
    <w:rsid w:val="0020253A"/>
    <w:rsid w:val="0020488A"/>
    <w:rsid w:val="0020650F"/>
    <w:rsid w:val="002125DA"/>
    <w:rsid w:val="00220EDA"/>
    <w:rsid w:val="00222DA1"/>
    <w:rsid w:val="00222E5D"/>
    <w:rsid w:val="00223A7F"/>
    <w:rsid w:val="002250FB"/>
    <w:rsid w:val="002271DC"/>
    <w:rsid w:val="00230352"/>
    <w:rsid w:val="00236609"/>
    <w:rsid w:val="00236BCD"/>
    <w:rsid w:val="00240CD1"/>
    <w:rsid w:val="00245B46"/>
    <w:rsid w:val="00253EE7"/>
    <w:rsid w:val="00254B2F"/>
    <w:rsid w:val="00254C12"/>
    <w:rsid w:val="00260641"/>
    <w:rsid w:val="00262431"/>
    <w:rsid w:val="00265E15"/>
    <w:rsid w:val="00265ED0"/>
    <w:rsid w:val="00266F39"/>
    <w:rsid w:val="002673BD"/>
    <w:rsid w:val="00270826"/>
    <w:rsid w:val="0027106F"/>
    <w:rsid w:val="002757D6"/>
    <w:rsid w:val="002870C2"/>
    <w:rsid w:val="0029319D"/>
    <w:rsid w:val="002937F9"/>
    <w:rsid w:val="00293C63"/>
    <w:rsid w:val="002957A9"/>
    <w:rsid w:val="00296435"/>
    <w:rsid w:val="0029646C"/>
    <w:rsid w:val="00296E69"/>
    <w:rsid w:val="002A3FFF"/>
    <w:rsid w:val="002A57A4"/>
    <w:rsid w:val="002B2A9A"/>
    <w:rsid w:val="002C0290"/>
    <w:rsid w:val="002C0E89"/>
    <w:rsid w:val="002C42F1"/>
    <w:rsid w:val="002C512A"/>
    <w:rsid w:val="002C77BC"/>
    <w:rsid w:val="002C79E4"/>
    <w:rsid w:val="002C7F8D"/>
    <w:rsid w:val="002D35D3"/>
    <w:rsid w:val="002D658C"/>
    <w:rsid w:val="002E4402"/>
    <w:rsid w:val="002F05DB"/>
    <w:rsid w:val="002F11AE"/>
    <w:rsid w:val="002F149C"/>
    <w:rsid w:val="002F74FE"/>
    <w:rsid w:val="002F7F66"/>
    <w:rsid w:val="00302D1D"/>
    <w:rsid w:val="00304F86"/>
    <w:rsid w:val="0030627F"/>
    <w:rsid w:val="00307011"/>
    <w:rsid w:val="00312BF2"/>
    <w:rsid w:val="003139E4"/>
    <w:rsid w:val="003229AA"/>
    <w:rsid w:val="00323901"/>
    <w:rsid w:val="003242D2"/>
    <w:rsid w:val="00325C10"/>
    <w:rsid w:val="003269CD"/>
    <w:rsid w:val="00327AAB"/>
    <w:rsid w:val="0033106A"/>
    <w:rsid w:val="00332345"/>
    <w:rsid w:val="003328BD"/>
    <w:rsid w:val="003332AF"/>
    <w:rsid w:val="00336768"/>
    <w:rsid w:val="00336E26"/>
    <w:rsid w:val="003412DC"/>
    <w:rsid w:val="00343A1B"/>
    <w:rsid w:val="00343C74"/>
    <w:rsid w:val="00343EA6"/>
    <w:rsid w:val="00347380"/>
    <w:rsid w:val="00347ABE"/>
    <w:rsid w:val="00351600"/>
    <w:rsid w:val="003526D3"/>
    <w:rsid w:val="003567D5"/>
    <w:rsid w:val="003570F6"/>
    <w:rsid w:val="00360B5D"/>
    <w:rsid w:val="003636E7"/>
    <w:rsid w:val="00363C3E"/>
    <w:rsid w:val="0036497C"/>
    <w:rsid w:val="00364DB8"/>
    <w:rsid w:val="00365485"/>
    <w:rsid w:val="00365707"/>
    <w:rsid w:val="00366209"/>
    <w:rsid w:val="003722D5"/>
    <w:rsid w:val="00374DBE"/>
    <w:rsid w:val="00377C91"/>
    <w:rsid w:val="0038715C"/>
    <w:rsid w:val="00390E65"/>
    <w:rsid w:val="00393A96"/>
    <w:rsid w:val="00395FAC"/>
    <w:rsid w:val="00396732"/>
    <w:rsid w:val="003A005D"/>
    <w:rsid w:val="003A0C0D"/>
    <w:rsid w:val="003A271A"/>
    <w:rsid w:val="003A3291"/>
    <w:rsid w:val="003A358A"/>
    <w:rsid w:val="003A3951"/>
    <w:rsid w:val="003A4C15"/>
    <w:rsid w:val="003B55ED"/>
    <w:rsid w:val="003B670F"/>
    <w:rsid w:val="003C1016"/>
    <w:rsid w:val="003C41F2"/>
    <w:rsid w:val="003C6D45"/>
    <w:rsid w:val="003C700C"/>
    <w:rsid w:val="003D0A16"/>
    <w:rsid w:val="003D1F25"/>
    <w:rsid w:val="003D20DD"/>
    <w:rsid w:val="003D5B35"/>
    <w:rsid w:val="003E526B"/>
    <w:rsid w:val="003E5662"/>
    <w:rsid w:val="003E64C5"/>
    <w:rsid w:val="003F18D4"/>
    <w:rsid w:val="003F1A97"/>
    <w:rsid w:val="003F1AF9"/>
    <w:rsid w:val="00402E52"/>
    <w:rsid w:val="00403373"/>
    <w:rsid w:val="00403AE4"/>
    <w:rsid w:val="0040581C"/>
    <w:rsid w:val="00406A94"/>
    <w:rsid w:val="004070A9"/>
    <w:rsid w:val="00411455"/>
    <w:rsid w:val="00411EAF"/>
    <w:rsid w:val="004120B2"/>
    <w:rsid w:val="004164B9"/>
    <w:rsid w:val="00416A06"/>
    <w:rsid w:val="004207D7"/>
    <w:rsid w:val="00420E39"/>
    <w:rsid w:val="00420E93"/>
    <w:rsid w:val="00424431"/>
    <w:rsid w:val="0042496B"/>
    <w:rsid w:val="00425581"/>
    <w:rsid w:val="00427249"/>
    <w:rsid w:val="00427338"/>
    <w:rsid w:val="00440DE0"/>
    <w:rsid w:val="00441257"/>
    <w:rsid w:val="00442444"/>
    <w:rsid w:val="004454CF"/>
    <w:rsid w:val="0044728E"/>
    <w:rsid w:val="00447FF1"/>
    <w:rsid w:val="0045063A"/>
    <w:rsid w:val="00454D0B"/>
    <w:rsid w:val="00456454"/>
    <w:rsid w:val="004618D8"/>
    <w:rsid w:val="00466740"/>
    <w:rsid w:val="00467138"/>
    <w:rsid w:val="00471344"/>
    <w:rsid w:val="0047221D"/>
    <w:rsid w:val="0047411F"/>
    <w:rsid w:val="004742DF"/>
    <w:rsid w:val="00477B83"/>
    <w:rsid w:val="00480BB9"/>
    <w:rsid w:val="004825F7"/>
    <w:rsid w:val="00482B0A"/>
    <w:rsid w:val="00487A4B"/>
    <w:rsid w:val="00492AF6"/>
    <w:rsid w:val="00495EBA"/>
    <w:rsid w:val="00495FD3"/>
    <w:rsid w:val="00497DA1"/>
    <w:rsid w:val="004B088C"/>
    <w:rsid w:val="004B0996"/>
    <w:rsid w:val="004B1E60"/>
    <w:rsid w:val="004B3306"/>
    <w:rsid w:val="004B3683"/>
    <w:rsid w:val="004B717C"/>
    <w:rsid w:val="004C0190"/>
    <w:rsid w:val="004C3A75"/>
    <w:rsid w:val="004C6D83"/>
    <w:rsid w:val="004D25B2"/>
    <w:rsid w:val="004D2CCB"/>
    <w:rsid w:val="004D460F"/>
    <w:rsid w:val="004E01BE"/>
    <w:rsid w:val="004E0865"/>
    <w:rsid w:val="004E1500"/>
    <w:rsid w:val="004E2325"/>
    <w:rsid w:val="004E3375"/>
    <w:rsid w:val="004E3516"/>
    <w:rsid w:val="004E6672"/>
    <w:rsid w:val="004E70BA"/>
    <w:rsid w:val="004F0A32"/>
    <w:rsid w:val="004F3DF7"/>
    <w:rsid w:val="004F586F"/>
    <w:rsid w:val="004F6F63"/>
    <w:rsid w:val="00502B2F"/>
    <w:rsid w:val="0050651C"/>
    <w:rsid w:val="005069EE"/>
    <w:rsid w:val="00507C08"/>
    <w:rsid w:val="00510221"/>
    <w:rsid w:val="0051246F"/>
    <w:rsid w:val="00512C3B"/>
    <w:rsid w:val="0051543A"/>
    <w:rsid w:val="00517E9B"/>
    <w:rsid w:val="0052196C"/>
    <w:rsid w:val="00524BE1"/>
    <w:rsid w:val="00524C2B"/>
    <w:rsid w:val="0052732A"/>
    <w:rsid w:val="005310B9"/>
    <w:rsid w:val="00535BFA"/>
    <w:rsid w:val="00537F07"/>
    <w:rsid w:val="005430FE"/>
    <w:rsid w:val="00553BBD"/>
    <w:rsid w:val="00553CCE"/>
    <w:rsid w:val="005547EB"/>
    <w:rsid w:val="005548F9"/>
    <w:rsid w:val="00555098"/>
    <w:rsid w:val="00560D28"/>
    <w:rsid w:val="00561460"/>
    <w:rsid w:val="00564001"/>
    <w:rsid w:val="0056559C"/>
    <w:rsid w:val="005665B2"/>
    <w:rsid w:val="00571FCD"/>
    <w:rsid w:val="005732A7"/>
    <w:rsid w:val="00574A09"/>
    <w:rsid w:val="00574CAE"/>
    <w:rsid w:val="00577475"/>
    <w:rsid w:val="00577C27"/>
    <w:rsid w:val="00580E49"/>
    <w:rsid w:val="005818B9"/>
    <w:rsid w:val="00584A71"/>
    <w:rsid w:val="005867F2"/>
    <w:rsid w:val="00590B66"/>
    <w:rsid w:val="005914FF"/>
    <w:rsid w:val="00594F6A"/>
    <w:rsid w:val="00596B78"/>
    <w:rsid w:val="005A04A5"/>
    <w:rsid w:val="005A0F53"/>
    <w:rsid w:val="005A2A56"/>
    <w:rsid w:val="005A388A"/>
    <w:rsid w:val="005A5E49"/>
    <w:rsid w:val="005A7846"/>
    <w:rsid w:val="005B19A9"/>
    <w:rsid w:val="005B2816"/>
    <w:rsid w:val="005B518C"/>
    <w:rsid w:val="005C20BB"/>
    <w:rsid w:val="005C3553"/>
    <w:rsid w:val="005C5586"/>
    <w:rsid w:val="005C70B1"/>
    <w:rsid w:val="005C713B"/>
    <w:rsid w:val="005C7760"/>
    <w:rsid w:val="005C7BB8"/>
    <w:rsid w:val="005D23B4"/>
    <w:rsid w:val="005D40F1"/>
    <w:rsid w:val="005D491C"/>
    <w:rsid w:val="005D5651"/>
    <w:rsid w:val="005D68FA"/>
    <w:rsid w:val="005D6F22"/>
    <w:rsid w:val="005E2FFD"/>
    <w:rsid w:val="005E3C9E"/>
    <w:rsid w:val="005E42DE"/>
    <w:rsid w:val="005E5309"/>
    <w:rsid w:val="005E5BF6"/>
    <w:rsid w:val="005E6D7C"/>
    <w:rsid w:val="005F17D7"/>
    <w:rsid w:val="005F5365"/>
    <w:rsid w:val="005F667E"/>
    <w:rsid w:val="0060499E"/>
    <w:rsid w:val="00610CB1"/>
    <w:rsid w:val="00612688"/>
    <w:rsid w:val="006133D2"/>
    <w:rsid w:val="0062109B"/>
    <w:rsid w:val="006228F8"/>
    <w:rsid w:val="00625EBE"/>
    <w:rsid w:val="00626972"/>
    <w:rsid w:val="00630C62"/>
    <w:rsid w:val="006334F8"/>
    <w:rsid w:val="00636D9F"/>
    <w:rsid w:val="00641CB9"/>
    <w:rsid w:val="00642014"/>
    <w:rsid w:val="0064304E"/>
    <w:rsid w:val="006443B7"/>
    <w:rsid w:val="00645165"/>
    <w:rsid w:val="00645A27"/>
    <w:rsid w:val="00645A49"/>
    <w:rsid w:val="00647421"/>
    <w:rsid w:val="006503AC"/>
    <w:rsid w:val="0065051F"/>
    <w:rsid w:val="00651A97"/>
    <w:rsid w:val="00652ECB"/>
    <w:rsid w:val="006548E6"/>
    <w:rsid w:val="00657009"/>
    <w:rsid w:val="00657047"/>
    <w:rsid w:val="0065794A"/>
    <w:rsid w:val="00657D88"/>
    <w:rsid w:val="00666109"/>
    <w:rsid w:val="006671F5"/>
    <w:rsid w:val="00672003"/>
    <w:rsid w:val="00672979"/>
    <w:rsid w:val="00675602"/>
    <w:rsid w:val="00675DB2"/>
    <w:rsid w:val="006807E0"/>
    <w:rsid w:val="00680DF0"/>
    <w:rsid w:val="00686152"/>
    <w:rsid w:val="00686485"/>
    <w:rsid w:val="00691AD5"/>
    <w:rsid w:val="006A1BED"/>
    <w:rsid w:val="006A4638"/>
    <w:rsid w:val="006A4BA5"/>
    <w:rsid w:val="006B141F"/>
    <w:rsid w:val="006B28EE"/>
    <w:rsid w:val="006B3F9E"/>
    <w:rsid w:val="006B6FE0"/>
    <w:rsid w:val="006C31CA"/>
    <w:rsid w:val="006C4BED"/>
    <w:rsid w:val="006C53D2"/>
    <w:rsid w:val="006C795D"/>
    <w:rsid w:val="006D0603"/>
    <w:rsid w:val="006D18DE"/>
    <w:rsid w:val="006E23CD"/>
    <w:rsid w:val="006E5FB0"/>
    <w:rsid w:val="006E6AF8"/>
    <w:rsid w:val="006F2504"/>
    <w:rsid w:val="006F4850"/>
    <w:rsid w:val="007014F3"/>
    <w:rsid w:val="0070264A"/>
    <w:rsid w:val="007037DD"/>
    <w:rsid w:val="00711719"/>
    <w:rsid w:val="00714984"/>
    <w:rsid w:val="00715B04"/>
    <w:rsid w:val="00717563"/>
    <w:rsid w:val="00725A68"/>
    <w:rsid w:val="00730AB3"/>
    <w:rsid w:val="00732425"/>
    <w:rsid w:val="00733D1E"/>
    <w:rsid w:val="00733ED9"/>
    <w:rsid w:val="0073521A"/>
    <w:rsid w:val="007352EF"/>
    <w:rsid w:val="00735B24"/>
    <w:rsid w:val="0073761F"/>
    <w:rsid w:val="00741706"/>
    <w:rsid w:val="00742BE4"/>
    <w:rsid w:val="0074530F"/>
    <w:rsid w:val="007507CB"/>
    <w:rsid w:val="00750F54"/>
    <w:rsid w:val="0075642C"/>
    <w:rsid w:val="007576E3"/>
    <w:rsid w:val="00757D9D"/>
    <w:rsid w:val="007600AC"/>
    <w:rsid w:val="0076091D"/>
    <w:rsid w:val="00761E10"/>
    <w:rsid w:val="007640FB"/>
    <w:rsid w:val="00767850"/>
    <w:rsid w:val="00772F15"/>
    <w:rsid w:val="007751D9"/>
    <w:rsid w:val="007755B6"/>
    <w:rsid w:val="00776570"/>
    <w:rsid w:val="00776928"/>
    <w:rsid w:val="0077765E"/>
    <w:rsid w:val="007803FF"/>
    <w:rsid w:val="0078324E"/>
    <w:rsid w:val="00785A9F"/>
    <w:rsid w:val="00785DFE"/>
    <w:rsid w:val="00787D5F"/>
    <w:rsid w:val="00787E97"/>
    <w:rsid w:val="007916FB"/>
    <w:rsid w:val="00792C57"/>
    <w:rsid w:val="00792D08"/>
    <w:rsid w:val="007952D3"/>
    <w:rsid w:val="0079643C"/>
    <w:rsid w:val="0079710F"/>
    <w:rsid w:val="00797C09"/>
    <w:rsid w:val="007A0273"/>
    <w:rsid w:val="007A1349"/>
    <w:rsid w:val="007A18FD"/>
    <w:rsid w:val="007A3567"/>
    <w:rsid w:val="007A7801"/>
    <w:rsid w:val="007B0E83"/>
    <w:rsid w:val="007B5948"/>
    <w:rsid w:val="007C012A"/>
    <w:rsid w:val="007C0378"/>
    <w:rsid w:val="007C18C3"/>
    <w:rsid w:val="007C23A0"/>
    <w:rsid w:val="007C27A1"/>
    <w:rsid w:val="007C378E"/>
    <w:rsid w:val="007C49D9"/>
    <w:rsid w:val="007C7ED2"/>
    <w:rsid w:val="007D11FF"/>
    <w:rsid w:val="007D1730"/>
    <w:rsid w:val="007D2042"/>
    <w:rsid w:val="007D4230"/>
    <w:rsid w:val="007D4D7B"/>
    <w:rsid w:val="007E21C3"/>
    <w:rsid w:val="007F6065"/>
    <w:rsid w:val="007F6B43"/>
    <w:rsid w:val="00800EE9"/>
    <w:rsid w:val="00802693"/>
    <w:rsid w:val="00805B1D"/>
    <w:rsid w:val="00812E73"/>
    <w:rsid w:val="008200F1"/>
    <w:rsid w:val="00820E6A"/>
    <w:rsid w:val="00826D3D"/>
    <w:rsid w:val="0083232E"/>
    <w:rsid w:val="00833881"/>
    <w:rsid w:val="00834026"/>
    <w:rsid w:val="00836F81"/>
    <w:rsid w:val="00837950"/>
    <w:rsid w:val="008379AE"/>
    <w:rsid w:val="008405E8"/>
    <w:rsid w:val="008421EA"/>
    <w:rsid w:val="00842349"/>
    <w:rsid w:val="008529D0"/>
    <w:rsid w:val="00855B7C"/>
    <w:rsid w:val="00856760"/>
    <w:rsid w:val="008621D6"/>
    <w:rsid w:val="008703B7"/>
    <w:rsid w:val="00871BD1"/>
    <w:rsid w:val="00872D79"/>
    <w:rsid w:val="008800E2"/>
    <w:rsid w:val="00880302"/>
    <w:rsid w:val="00883B62"/>
    <w:rsid w:val="00884A91"/>
    <w:rsid w:val="00884AF0"/>
    <w:rsid w:val="00885A66"/>
    <w:rsid w:val="00890489"/>
    <w:rsid w:val="00890A16"/>
    <w:rsid w:val="008911A6"/>
    <w:rsid w:val="008949AC"/>
    <w:rsid w:val="008A0D3A"/>
    <w:rsid w:val="008A0EF2"/>
    <w:rsid w:val="008A1B60"/>
    <w:rsid w:val="008A20E2"/>
    <w:rsid w:val="008A3D32"/>
    <w:rsid w:val="008A5870"/>
    <w:rsid w:val="008A5DD5"/>
    <w:rsid w:val="008B02F9"/>
    <w:rsid w:val="008B09DB"/>
    <w:rsid w:val="008B7DD7"/>
    <w:rsid w:val="008C117F"/>
    <w:rsid w:val="008C15A7"/>
    <w:rsid w:val="008C1D70"/>
    <w:rsid w:val="008C2B87"/>
    <w:rsid w:val="008C3827"/>
    <w:rsid w:val="008C38FE"/>
    <w:rsid w:val="008C628F"/>
    <w:rsid w:val="008C6FFC"/>
    <w:rsid w:val="008D027A"/>
    <w:rsid w:val="008D2C3B"/>
    <w:rsid w:val="008D2F4A"/>
    <w:rsid w:val="008D3896"/>
    <w:rsid w:val="008D3FB6"/>
    <w:rsid w:val="008D64ED"/>
    <w:rsid w:val="008E02E5"/>
    <w:rsid w:val="008E1131"/>
    <w:rsid w:val="008E45F9"/>
    <w:rsid w:val="008E74ED"/>
    <w:rsid w:val="008E7D39"/>
    <w:rsid w:val="008F5EC2"/>
    <w:rsid w:val="00901DA5"/>
    <w:rsid w:val="00902FB5"/>
    <w:rsid w:val="0090335E"/>
    <w:rsid w:val="00903669"/>
    <w:rsid w:val="009042F5"/>
    <w:rsid w:val="00905A06"/>
    <w:rsid w:val="00906D49"/>
    <w:rsid w:val="009070F5"/>
    <w:rsid w:val="009123E3"/>
    <w:rsid w:val="009125B8"/>
    <w:rsid w:val="00913ECD"/>
    <w:rsid w:val="00914335"/>
    <w:rsid w:val="009149F1"/>
    <w:rsid w:val="00914CC9"/>
    <w:rsid w:val="00915918"/>
    <w:rsid w:val="00915994"/>
    <w:rsid w:val="00922335"/>
    <w:rsid w:val="00923493"/>
    <w:rsid w:val="00923CA2"/>
    <w:rsid w:val="00924C24"/>
    <w:rsid w:val="0093033C"/>
    <w:rsid w:val="00930C1D"/>
    <w:rsid w:val="009356C5"/>
    <w:rsid w:val="009360BD"/>
    <w:rsid w:val="00942C0F"/>
    <w:rsid w:val="009437DF"/>
    <w:rsid w:val="009442D9"/>
    <w:rsid w:val="00944599"/>
    <w:rsid w:val="00946AE0"/>
    <w:rsid w:val="00950B11"/>
    <w:rsid w:val="0095322A"/>
    <w:rsid w:val="009553F5"/>
    <w:rsid w:val="009569D7"/>
    <w:rsid w:val="00960E91"/>
    <w:rsid w:val="00966987"/>
    <w:rsid w:val="009669B2"/>
    <w:rsid w:val="00966D2A"/>
    <w:rsid w:val="009676B9"/>
    <w:rsid w:val="00970DE9"/>
    <w:rsid w:val="0097261D"/>
    <w:rsid w:val="009746D4"/>
    <w:rsid w:val="00982FFF"/>
    <w:rsid w:val="00983F35"/>
    <w:rsid w:val="00985B59"/>
    <w:rsid w:val="00987DF2"/>
    <w:rsid w:val="009901D6"/>
    <w:rsid w:val="00992087"/>
    <w:rsid w:val="00992710"/>
    <w:rsid w:val="009955A7"/>
    <w:rsid w:val="00996B0A"/>
    <w:rsid w:val="009A49F7"/>
    <w:rsid w:val="009A4BDC"/>
    <w:rsid w:val="009A595E"/>
    <w:rsid w:val="009B10B3"/>
    <w:rsid w:val="009B242B"/>
    <w:rsid w:val="009B252C"/>
    <w:rsid w:val="009D4289"/>
    <w:rsid w:val="009E2539"/>
    <w:rsid w:val="009E3171"/>
    <w:rsid w:val="009E39CE"/>
    <w:rsid w:val="009E5220"/>
    <w:rsid w:val="009E6F97"/>
    <w:rsid w:val="009F0B9E"/>
    <w:rsid w:val="009F3211"/>
    <w:rsid w:val="009F3F34"/>
    <w:rsid w:val="009F46E7"/>
    <w:rsid w:val="00A01333"/>
    <w:rsid w:val="00A01FB2"/>
    <w:rsid w:val="00A04DE2"/>
    <w:rsid w:val="00A07733"/>
    <w:rsid w:val="00A12816"/>
    <w:rsid w:val="00A1281A"/>
    <w:rsid w:val="00A12B40"/>
    <w:rsid w:val="00A162E6"/>
    <w:rsid w:val="00A16E62"/>
    <w:rsid w:val="00A17D1D"/>
    <w:rsid w:val="00A20966"/>
    <w:rsid w:val="00A2158C"/>
    <w:rsid w:val="00A21EAD"/>
    <w:rsid w:val="00A240E5"/>
    <w:rsid w:val="00A26EC4"/>
    <w:rsid w:val="00A30A15"/>
    <w:rsid w:val="00A31317"/>
    <w:rsid w:val="00A31BE9"/>
    <w:rsid w:val="00A33BCC"/>
    <w:rsid w:val="00A3491E"/>
    <w:rsid w:val="00A37E7E"/>
    <w:rsid w:val="00A40509"/>
    <w:rsid w:val="00A40923"/>
    <w:rsid w:val="00A41806"/>
    <w:rsid w:val="00A428C2"/>
    <w:rsid w:val="00A42F7F"/>
    <w:rsid w:val="00A43AF6"/>
    <w:rsid w:val="00A45C77"/>
    <w:rsid w:val="00A4716C"/>
    <w:rsid w:val="00A47471"/>
    <w:rsid w:val="00A57689"/>
    <w:rsid w:val="00A5794C"/>
    <w:rsid w:val="00A60B79"/>
    <w:rsid w:val="00A611D5"/>
    <w:rsid w:val="00A64421"/>
    <w:rsid w:val="00A64D50"/>
    <w:rsid w:val="00A650BA"/>
    <w:rsid w:val="00A65E59"/>
    <w:rsid w:val="00A67535"/>
    <w:rsid w:val="00A67927"/>
    <w:rsid w:val="00A715A3"/>
    <w:rsid w:val="00A7238F"/>
    <w:rsid w:val="00A725A4"/>
    <w:rsid w:val="00A91F48"/>
    <w:rsid w:val="00A93083"/>
    <w:rsid w:val="00A939BC"/>
    <w:rsid w:val="00A9492D"/>
    <w:rsid w:val="00A955D9"/>
    <w:rsid w:val="00A97737"/>
    <w:rsid w:val="00AA04DF"/>
    <w:rsid w:val="00AA3649"/>
    <w:rsid w:val="00AA43E4"/>
    <w:rsid w:val="00AA64FB"/>
    <w:rsid w:val="00AB0406"/>
    <w:rsid w:val="00AB3442"/>
    <w:rsid w:val="00AB3647"/>
    <w:rsid w:val="00AB370F"/>
    <w:rsid w:val="00AB3AB7"/>
    <w:rsid w:val="00AB492E"/>
    <w:rsid w:val="00AB539C"/>
    <w:rsid w:val="00AC0714"/>
    <w:rsid w:val="00AC2749"/>
    <w:rsid w:val="00AC4206"/>
    <w:rsid w:val="00AC5561"/>
    <w:rsid w:val="00AC7CC2"/>
    <w:rsid w:val="00AD0F3E"/>
    <w:rsid w:val="00AD2FDA"/>
    <w:rsid w:val="00AD3862"/>
    <w:rsid w:val="00AD4C82"/>
    <w:rsid w:val="00AD56FF"/>
    <w:rsid w:val="00AD6369"/>
    <w:rsid w:val="00AD7490"/>
    <w:rsid w:val="00AE3BDB"/>
    <w:rsid w:val="00AE55D0"/>
    <w:rsid w:val="00AE5649"/>
    <w:rsid w:val="00AF319F"/>
    <w:rsid w:val="00AF77CA"/>
    <w:rsid w:val="00B022E4"/>
    <w:rsid w:val="00B02301"/>
    <w:rsid w:val="00B02802"/>
    <w:rsid w:val="00B0347E"/>
    <w:rsid w:val="00B05981"/>
    <w:rsid w:val="00B07D2B"/>
    <w:rsid w:val="00B11FF4"/>
    <w:rsid w:val="00B1270A"/>
    <w:rsid w:val="00B12ACE"/>
    <w:rsid w:val="00B14412"/>
    <w:rsid w:val="00B15265"/>
    <w:rsid w:val="00B20DCA"/>
    <w:rsid w:val="00B23D22"/>
    <w:rsid w:val="00B267A3"/>
    <w:rsid w:val="00B2730F"/>
    <w:rsid w:val="00B30277"/>
    <w:rsid w:val="00B312AC"/>
    <w:rsid w:val="00B32109"/>
    <w:rsid w:val="00B341F1"/>
    <w:rsid w:val="00B35329"/>
    <w:rsid w:val="00B4067E"/>
    <w:rsid w:val="00B40E3A"/>
    <w:rsid w:val="00B41366"/>
    <w:rsid w:val="00B41A08"/>
    <w:rsid w:val="00B425A5"/>
    <w:rsid w:val="00B4372D"/>
    <w:rsid w:val="00B440EB"/>
    <w:rsid w:val="00B44A30"/>
    <w:rsid w:val="00B50B2D"/>
    <w:rsid w:val="00B564FE"/>
    <w:rsid w:val="00B56B8D"/>
    <w:rsid w:val="00B602AB"/>
    <w:rsid w:val="00B61209"/>
    <w:rsid w:val="00B64636"/>
    <w:rsid w:val="00B64D46"/>
    <w:rsid w:val="00B65B18"/>
    <w:rsid w:val="00B65D30"/>
    <w:rsid w:val="00B6604D"/>
    <w:rsid w:val="00B664EF"/>
    <w:rsid w:val="00B74EBD"/>
    <w:rsid w:val="00B750D0"/>
    <w:rsid w:val="00B75420"/>
    <w:rsid w:val="00B75D7B"/>
    <w:rsid w:val="00B76F60"/>
    <w:rsid w:val="00B779A9"/>
    <w:rsid w:val="00B82EAA"/>
    <w:rsid w:val="00B82EEE"/>
    <w:rsid w:val="00B83763"/>
    <w:rsid w:val="00B83997"/>
    <w:rsid w:val="00B83EA6"/>
    <w:rsid w:val="00B905ED"/>
    <w:rsid w:val="00B91BFB"/>
    <w:rsid w:val="00B922ED"/>
    <w:rsid w:val="00B947B5"/>
    <w:rsid w:val="00B94967"/>
    <w:rsid w:val="00BA3AA3"/>
    <w:rsid w:val="00BA454E"/>
    <w:rsid w:val="00BA4CD6"/>
    <w:rsid w:val="00BA4E2C"/>
    <w:rsid w:val="00BA56DA"/>
    <w:rsid w:val="00BA5A9A"/>
    <w:rsid w:val="00BA61EE"/>
    <w:rsid w:val="00BA761C"/>
    <w:rsid w:val="00BB4AFF"/>
    <w:rsid w:val="00BB626D"/>
    <w:rsid w:val="00BC3D9E"/>
    <w:rsid w:val="00BC63F3"/>
    <w:rsid w:val="00BD0739"/>
    <w:rsid w:val="00BD12AB"/>
    <w:rsid w:val="00BD1A10"/>
    <w:rsid w:val="00BD3F1E"/>
    <w:rsid w:val="00BD4BF4"/>
    <w:rsid w:val="00BE63CA"/>
    <w:rsid w:val="00BF039D"/>
    <w:rsid w:val="00BF12B8"/>
    <w:rsid w:val="00BF45FB"/>
    <w:rsid w:val="00BF65E6"/>
    <w:rsid w:val="00BF6D49"/>
    <w:rsid w:val="00C00E04"/>
    <w:rsid w:val="00C01793"/>
    <w:rsid w:val="00C01E41"/>
    <w:rsid w:val="00C02DBF"/>
    <w:rsid w:val="00C03332"/>
    <w:rsid w:val="00C0430D"/>
    <w:rsid w:val="00C06014"/>
    <w:rsid w:val="00C0707C"/>
    <w:rsid w:val="00C071C9"/>
    <w:rsid w:val="00C13C8E"/>
    <w:rsid w:val="00C143E8"/>
    <w:rsid w:val="00C17668"/>
    <w:rsid w:val="00C24D82"/>
    <w:rsid w:val="00C26338"/>
    <w:rsid w:val="00C2651E"/>
    <w:rsid w:val="00C321EA"/>
    <w:rsid w:val="00C33891"/>
    <w:rsid w:val="00C33E69"/>
    <w:rsid w:val="00C34B2A"/>
    <w:rsid w:val="00C47091"/>
    <w:rsid w:val="00C50FB8"/>
    <w:rsid w:val="00C5123D"/>
    <w:rsid w:val="00C52058"/>
    <w:rsid w:val="00C534C8"/>
    <w:rsid w:val="00C54244"/>
    <w:rsid w:val="00C5685E"/>
    <w:rsid w:val="00C56C15"/>
    <w:rsid w:val="00C63BD4"/>
    <w:rsid w:val="00C65016"/>
    <w:rsid w:val="00C70AEF"/>
    <w:rsid w:val="00C70FAF"/>
    <w:rsid w:val="00C73929"/>
    <w:rsid w:val="00C757B2"/>
    <w:rsid w:val="00C77407"/>
    <w:rsid w:val="00C82B39"/>
    <w:rsid w:val="00C82D38"/>
    <w:rsid w:val="00C839E5"/>
    <w:rsid w:val="00C83FC3"/>
    <w:rsid w:val="00C84977"/>
    <w:rsid w:val="00C85260"/>
    <w:rsid w:val="00C861D2"/>
    <w:rsid w:val="00C90CBA"/>
    <w:rsid w:val="00C92281"/>
    <w:rsid w:val="00C92CDA"/>
    <w:rsid w:val="00C9472B"/>
    <w:rsid w:val="00C95A4E"/>
    <w:rsid w:val="00C96597"/>
    <w:rsid w:val="00C969F3"/>
    <w:rsid w:val="00C97211"/>
    <w:rsid w:val="00CA12A7"/>
    <w:rsid w:val="00CA1EB2"/>
    <w:rsid w:val="00CA2653"/>
    <w:rsid w:val="00CB2099"/>
    <w:rsid w:val="00CB418B"/>
    <w:rsid w:val="00CC0028"/>
    <w:rsid w:val="00CC1069"/>
    <w:rsid w:val="00CC2154"/>
    <w:rsid w:val="00CC4EF4"/>
    <w:rsid w:val="00CC5842"/>
    <w:rsid w:val="00CC5A7E"/>
    <w:rsid w:val="00CC60E7"/>
    <w:rsid w:val="00CC7753"/>
    <w:rsid w:val="00CD0C0E"/>
    <w:rsid w:val="00CD11C3"/>
    <w:rsid w:val="00CD2143"/>
    <w:rsid w:val="00CD22C1"/>
    <w:rsid w:val="00CD2448"/>
    <w:rsid w:val="00CD5C01"/>
    <w:rsid w:val="00CE233A"/>
    <w:rsid w:val="00CF2158"/>
    <w:rsid w:val="00CF60F8"/>
    <w:rsid w:val="00D02DC3"/>
    <w:rsid w:val="00D035FA"/>
    <w:rsid w:val="00D10555"/>
    <w:rsid w:val="00D1206A"/>
    <w:rsid w:val="00D222D8"/>
    <w:rsid w:val="00D27EAA"/>
    <w:rsid w:val="00D30136"/>
    <w:rsid w:val="00D30298"/>
    <w:rsid w:val="00D304D1"/>
    <w:rsid w:val="00D33DA9"/>
    <w:rsid w:val="00D34D9F"/>
    <w:rsid w:val="00D36966"/>
    <w:rsid w:val="00D40E4E"/>
    <w:rsid w:val="00D4327E"/>
    <w:rsid w:val="00D43C47"/>
    <w:rsid w:val="00D4502B"/>
    <w:rsid w:val="00D50A88"/>
    <w:rsid w:val="00D50AA7"/>
    <w:rsid w:val="00D50D04"/>
    <w:rsid w:val="00D51A6A"/>
    <w:rsid w:val="00D52833"/>
    <w:rsid w:val="00D579FC"/>
    <w:rsid w:val="00D608D7"/>
    <w:rsid w:val="00D61C41"/>
    <w:rsid w:val="00D62311"/>
    <w:rsid w:val="00D62BB9"/>
    <w:rsid w:val="00D66C4B"/>
    <w:rsid w:val="00D72203"/>
    <w:rsid w:val="00D72818"/>
    <w:rsid w:val="00D72D29"/>
    <w:rsid w:val="00D81D67"/>
    <w:rsid w:val="00D85A94"/>
    <w:rsid w:val="00D873E7"/>
    <w:rsid w:val="00D93293"/>
    <w:rsid w:val="00D9415C"/>
    <w:rsid w:val="00D9574F"/>
    <w:rsid w:val="00D96034"/>
    <w:rsid w:val="00D96A4E"/>
    <w:rsid w:val="00D96FA5"/>
    <w:rsid w:val="00D96FAA"/>
    <w:rsid w:val="00D97C6A"/>
    <w:rsid w:val="00D97F3C"/>
    <w:rsid w:val="00DA39B1"/>
    <w:rsid w:val="00DB2833"/>
    <w:rsid w:val="00DB2A26"/>
    <w:rsid w:val="00DB6AD2"/>
    <w:rsid w:val="00DB6EFB"/>
    <w:rsid w:val="00DB78AA"/>
    <w:rsid w:val="00DB7978"/>
    <w:rsid w:val="00DC13C7"/>
    <w:rsid w:val="00DC686D"/>
    <w:rsid w:val="00DD3616"/>
    <w:rsid w:val="00DE0A50"/>
    <w:rsid w:val="00DE0B13"/>
    <w:rsid w:val="00DE18CA"/>
    <w:rsid w:val="00DE2A58"/>
    <w:rsid w:val="00DF7A67"/>
    <w:rsid w:val="00E0170F"/>
    <w:rsid w:val="00E01972"/>
    <w:rsid w:val="00E046CD"/>
    <w:rsid w:val="00E06384"/>
    <w:rsid w:val="00E115EE"/>
    <w:rsid w:val="00E147C5"/>
    <w:rsid w:val="00E14C28"/>
    <w:rsid w:val="00E212D0"/>
    <w:rsid w:val="00E21C9C"/>
    <w:rsid w:val="00E22161"/>
    <w:rsid w:val="00E2378E"/>
    <w:rsid w:val="00E26CDE"/>
    <w:rsid w:val="00E3021A"/>
    <w:rsid w:val="00E30BFD"/>
    <w:rsid w:val="00E326F4"/>
    <w:rsid w:val="00E34B83"/>
    <w:rsid w:val="00E36DF4"/>
    <w:rsid w:val="00E371BB"/>
    <w:rsid w:val="00E4084F"/>
    <w:rsid w:val="00E40FBD"/>
    <w:rsid w:val="00E42DB0"/>
    <w:rsid w:val="00E476B6"/>
    <w:rsid w:val="00E51B0C"/>
    <w:rsid w:val="00E51FF8"/>
    <w:rsid w:val="00E529BC"/>
    <w:rsid w:val="00E52A38"/>
    <w:rsid w:val="00E537B4"/>
    <w:rsid w:val="00E57F28"/>
    <w:rsid w:val="00E61DD6"/>
    <w:rsid w:val="00E62BED"/>
    <w:rsid w:val="00E652A3"/>
    <w:rsid w:val="00E73A1B"/>
    <w:rsid w:val="00E76310"/>
    <w:rsid w:val="00E7672E"/>
    <w:rsid w:val="00E802D9"/>
    <w:rsid w:val="00E83CB5"/>
    <w:rsid w:val="00E876A1"/>
    <w:rsid w:val="00E91A76"/>
    <w:rsid w:val="00E924EE"/>
    <w:rsid w:val="00E94FEE"/>
    <w:rsid w:val="00E95A6B"/>
    <w:rsid w:val="00EA0056"/>
    <w:rsid w:val="00EA14B9"/>
    <w:rsid w:val="00EB00FD"/>
    <w:rsid w:val="00EB0254"/>
    <w:rsid w:val="00EB31CA"/>
    <w:rsid w:val="00EB7BDE"/>
    <w:rsid w:val="00EC0C5E"/>
    <w:rsid w:val="00EC1470"/>
    <w:rsid w:val="00EC18DC"/>
    <w:rsid w:val="00EC6938"/>
    <w:rsid w:val="00ED13C6"/>
    <w:rsid w:val="00ED148F"/>
    <w:rsid w:val="00ED153A"/>
    <w:rsid w:val="00ED310D"/>
    <w:rsid w:val="00ED3249"/>
    <w:rsid w:val="00ED3B47"/>
    <w:rsid w:val="00ED5023"/>
    <w:rsid w:val="00EE54A3"/>
    <w:rsid w:val="00EE7017"/>
    <w:rsid w:val="00EE7651"/>
    <w:rsid w:val="00EF2A15"/>
    <w:rsid w:val="00EF2F9D"/>
    <w:rsid w:val="00EF4880"/>
    <w:rsid w:val="00EF4F03"/>
    <w:rsid w:val="00EF54E6"/>
    <w:rsid w:val="00F00C4C"/>
    <w:rsid w:val="00F02FB6"/>
    <w:rsid w:val="00F03BA0"/>
    <w:rsid w:val="00F04553"/>
    <w:rsid w:val="00F057F6"/>
    <w:rsid w:val="00F07689"/>
    <w:rsid w:val="00F10548"/>
    <w:rsid w:val="00F10795"/>
    <w:rsid w:val="00F126D4"/>
    <w:rsid w:val="00F1343A"/>
    <w:rsid w:val="00F13B15"/>
    <w:rsid w:val="00F1449F"/>
    <w:rsid w:val="00F21027"/>
    <w:rsid w:val="00F25037"/>
    <w:rsid w:val="00F3058D"/>
    <w:rsid w:val="00F324CE"/>
    <w:rsid w:val="00F33606"/>
    <w:rsid w:val="00F35903"/>
    <w:rsid w:val="00F3623A"/>
    <w:rsid w:val="00F3797F"/>
    <w:rsid w:val="00F41EA3"/>
    <w:rsid w:val="00F4594E"/>
    <w:rsid w:val="00F4771F"/>
    <w:rsid w:val="00F504C6"/>
    <w:rsid w:val="00F5332E"/>
    <w:rsid w:val="00F54B0B"/>
    <w:rsid w:val="00F54EC9"/>
    <w:rsid w:val="00F55371"/>
    <w:rsid w:val="00F57858"/>
    <w:rsid w:val="00F60524"/>
    <w:rsid w:val="00F60AAA"/>
    <w:rsid w:val="00F61562"/>
    <w:rsid w:val="00F72662"/>
    <w:rsid w:val="00F74AF2"/>
    <w:rsid w:val="00F7544B"/>
    <w:rsid w:val="00F8004D"/>
    <w:rsid w:val="00F80AF7"/>
    <w:rsid w:val="00F80BAC"/>
    <w:rsid w:val="00F81BE7"/>
    <w:rsid w:val="00F8464C"/>
    <w:rsid w:val="00F8515B"/>
    <w:rsid w:val="00F85736"/>
    <w:rsid w:val="00F8632C"/>
    <w:rsid w:val="00F87B42"/>
    <w:rsid w:val="00F94E2E"/>
    <w:rsid w:val="00F94F72"/>
    <w:rsid w:val="00F96701"/>
    <w:rsid w:val="00FA2260"/>
    <w:rsid w:val="00FA33E4"/>
    <w:rsid w:val="00FA61AA"/>
    <w:rsid w:val="00FA6DE7"/>
    <w:rsid w:val="00FB2A3E"/>
    <w:rsid w:val="00FB515C"/>
    <w:rsid w:val="00FC1CF1"/>
    <w:rsid w:val="00FC342A"/>
    <w:rsid w:val="00FD0E8A"/>
    <w:rsid w:val="00FD189C"/>
    <w:rsid w:val="00FD212A"/>
    <w:rsid w:val="00FD41B2"/>
    <w:rsid w:val="00FD4235"/>
    <w:rsid w:val="00FD4915"/>
    <w:rsid w:val="00FD4B3A"/>
    <w:rsid w:val="00FD4C92"/>
    <w:rsid w:val="00FE6284"/>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FA5"/>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96FA5"/>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D96FA5"/>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D96FA5"/>
    <w:rPr>
      <w:color w:val="0000FF"/>
      <w:u w:val="single"/>
    </w:rPr>
  </w:style>
  <w:style w:type="character" w:styleId="LineNumber">
    <w:name w:val="line number"/>
    <w:basedOn w:val="OPCCharBase"/>
    <w:uiPriority w:val="99"/>
    <w:unhideWhenUsed/>
    <w:rsid w:val="00D96FA5"/>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3139E4"/>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96FA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qFormat/>
    <w:rsid w:val="00D96FA5"/>
  </w:style>
  <w:style w:type="character" w:customStyle="1" w:styleId="CharAmSchText">
    <w:name w:val="CharAmSchText"/>
    <w:basedOn w:val="OPCCharBase"/>
    <w:qFormat/>
    <w:rsid w:val="00D96FA5"/>
  </w:style>
  <w:style w:type="character" w:customStyle="1" w:styleId="CharChapNo">
    <w:name w:val="CharChapNo"/>
    <w:basedOn w:val="OPCCharBase"/>
    <w:uiPriority w:val="1"/>
    <w:qFormat/>
    <w:rsid w:val="00D96FA5"/>
  </w:style>
  <w:style w:type="character" w:customStyle="1" w:styleId="CharChapText">
    <w:name w:val="CharChapText"/>
    <w:basedOn w:val="OPCCharBase"/>
    <w:uiPriority w:val="1"/>
    <w:qFormat/>
    <w:rsid w:val="00D96FA5"/>
  </w:style>
  <w:style w:type="character" w:customStyle="1" w:styleId="CharDivNo">
    <w:name w:val="CharDivNo"/>
    <w:basedOn w:val="OPCCharBase"/>
    <w:uiPriority w:val="1"/>
    <w:qFormat/>
    <w:rsid w:val="00D96FA5"/>
  </w:style>
  <w:style w:type="character" w:customStyle="1" w:styleId="CharDivText">
    <w:name w:val="CharDivText"/>
    <w:basedOn w:val="OPCCharBase"/>
    <w:uiPriority w:val="1"/>
    <w:qFormat/>
    <w:rsid w:val="00D96FA5"/>
  </w:style>
  <w:style w:type="character" w:customStyle="1" w:styleId="CharPartNo">
    <w:name w:val="CharPartNo"/>
    <w:basedOn w:val="OPCCharBase"/>
    <w:uiPriority w:val="1"/>
    <w:qFormat/>
    <w:rsid w:val="00D96FA5"/>
  </w:style>
  <w:style w:type="character" w:customStyle="1" w:styleId="CharPartText">
    <w:name w:val="CharPartText"/>
    <w:basedOn w:val="OPCCharBase"/>
    <w:uiPriority w:val="1"/>
    <w:qFormat/>
    <w:rsid w:val="00D96FA5"/>
  </w:style>
  <w:style w:type="character" w:customStyle="1" w:styleId="OPCCharBase">
    <w:name w:val="OPCCharBase"/>
    <w:uiPriority w:val="1"/>
    <w:qFormat/>
    <w:rsid w:val="00D96FA5"/>
  </w:style>
  <w:style w:type="paragraph" w:customStyle="1" w:styleId="OPCParaBase">
    <w:name w:val="OPCParaBase"/>
    <w:qFormat/>
    <w:rsid w:val="00D96FA5"/>
    <w:pPr>
      <w:spacing w:line="260" w:lineRule="atLeast"/>
    </w:pPr>
    <w:rPr>
      <w:sz w:val="22"/>
    </w:rPr>
  </w:style>
  <w:style w:type="character" w:customStyle="1" w:styleId="CharSectno">
    <w:name w:val="CharSectno"/>
    <w:basedOn w:val="OPCCharBase"/>
    <w:qFormat/>
    <w:rsid w:val="00D96FA5"/>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D96FA5"/>
    <w:pPr>
      <w:spacing w:line="240" w:lineRule="auto"/>
      <w:ind w:left="1134"/>
    </w:pPr>
    <w:rPr>
      <w:sz w:val="20"/>
    </w:rPr>
  </w:style>
  <w:style w:type="paragraph" w:customStyle="1" w:styleId="ShortT">
    <w:name w:val="ShortT"/>
    <w:basedOn w:val="OPCParaBase"/>
    <w:next w:val="Normal"/>
    <w:qFormat/>
    <w:rsid w:val="00D96FA5"/>
    <w:pPr>
      <w:spacing w:line="240" w:lineRule="auto"/>
    </w:pPr>
    <w:rPr>
      <w:b/>
      <w:sz w:val="40"/>
    </w:rPr>
  </w:style>
  <w:style w:type="paragraph" w:customStyle="1" w:styleId="Penalty">
    <w:name w:val="Penalty"/>
    <w:basedOn w:val="OPCParaBase"/>
    <w:rsid w:val="00D96FA5"/>
    <w:pPr>
      <w:tabs>
        <w:tab w:val="left" w:pos="2977"/>
      </w:tabs>
      <w:spacing w:before="180" w:line="240" w:lineRule="auto"/>
      <w:ind w:left="1985" w:hanging="851"/>
    </w:pPr>
  </w:style>
  <w:style w:type="paragraph" w:customStyle="1" w:styleId="ActHead1">
    <w:name w:val="ActHead 1"/>
    <w:aliases w:val="c"/>
    <w:basedOn w:val="OPCParaBase"/>
    <w:next w:val="Normal"/>
    <w:qFormat/>
    <w:rsid w:val="00D96FA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D96FA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6FA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6FA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6FA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96F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6F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6F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6F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6FA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96FA5"/>
    <w:pPr>
      <w:spacing w:line="240" w:lineRule="auto"/>
    </w:pPr>
    <w:rPr>
      <w:sz w:val="20"/>
    </w:rPr>
  </w:style>
  <w:style w:type="paragraph" w:customStyle="1" w:styleId="ActHead2">
    <w:name w:val="ActHead 2"/>
    <w:aliases w:val="p"/>
    <w:basedOn w:val="OPCParaBase"/>
    <w:next w:val="ActHead3"/>
    <w:qFormat/>
    <w:rsid w:val="00D96FA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D96FA5"/>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D96FA5"/>
    <w:rPr>
      <w:sz w:val="22"/>
      <w:szCs w:val="24"/>
    </w:rPr>
  </w:style>
  <w:style w:type="character" w:customStyle="1" w:styleId="HeaderChar">
    <w:name w:val="Header Char"/>
    <w:basedOn w:val="DefaultParagraphFont"/>
    <w:link w:val="Header"/>
    <w:rsid w:val="00D96FA5"/>
    <w:rPr>
      <w:sz w:val="16"/>
    </w:rPr>
  </w:style>
  <w:style w:type="paragraph" w:styleId="ListParagraph">
    <w:name w:val="List Paragraph"/>
    <w:basedOn w:val="Normal"/>
    <w:uiPriority w:val="34"/>
    <w:qFormat/>
    <w:rsid w:val="0029319D"/>
    <w:pPr>
      <w:ind w:left="720"/>
    </w:pPr>
    <w:rPr>
      <w:rFonts w:ascii="Calibri" w:eastAsia="Calibri" w:hAnsi="Calibri"/>
      <w:szCs w:val="22"/>
    </w:rPr>
  </w:style>
  <w:style w:type="paragraph" w:customStyle="1" w:styleId="ActHead3">
    <w:name w:val="ActHead 3"/>
    <w:aliases w:val="d"/>
    <w:basedOn w:val="OPCParaBase"/>
    <w:next w:val="ActHead4"/>
    <w:qFormat/>
    <w:rsid w:val="00D96F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6F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96F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6F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6F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6F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6F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6FA5"/>
  </w:style>
  <w:style w:type="paragraph" w:customStyle="1" w:styleId="Blocks">
    <w:name w:val="Blocks"/>
    <w:aliases w:val="bb"/>
    <w:basedOn w:val="OPCParaBase"/>
    <w:qFormat/>
    <w:rsid w:val="00D96FA5"/>
    <w:pPr>
      <w:spacing w:line="240" w:lineRule="auto"/>
    </w:pPr>
    <w:rPr>
      <w:sz w:val="24"/>
    </w:rPr>
  </w:style>
  <w:style w:type="paragraph" w:customStyle="1" w:styleId="BoxText">
    <w:name w:val="BoxText"/>
    <w:aliases w:val="bt"/>
    <w:basedOn w:val="OPCParaBase"/>
    <w:qFormat/>
    <w:rsid w:val="00D96F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6FA5"/>
    <w:rPr>
      <w:b/>
    </w:rPr>
  </w:style>
  <w:style w:type="paragraph" w:customStyle="1" w:styleId="BoxHeadItalic">
    <w:name w:val="BoxHeadItalic"/>
    <w:aliases w:val="bhi"/>
    <w:basedOn w:val="BoxText"/>
    <w:next w:val="BoxStep"/>
    <w:qFormat/>
    <w:rsid w:val="00D96FA5"/>
    <w:rPr>
      <w:i/>
    </w:rPr>
  </w:style>
  <w:style w:type="paragraph" w:customStyle="1" w:styleId="BoxList">
    <w:name w:val="BoxList"/>
    <w:aliases w:val="bl"/>
    <w:basedOn w:val="BoxText"/>
    <w:qFormat/>
    <w:rsid w:val="00D96FA5"/>
    <w:pPr>
      <w:ind w:left="1559" w:hanging="425"/>
    </w:pPr>
  </w:style>
  <w:style w:type="paragraph" w:customStyle="1" w:styleId="BoxNote">
    <w:name w:val="BoxNote"/>
    <w:aliases w:val="bn"/>
    <w:basedOn w:val="BoxText"/>
    <w:qFormat/>
    <w:rsid w:val="00D96FA5"/>
    <w:pPr>
      <w:tabs>
        <w:tab w:val="left" w:pos="1985"/>
      </w:tabs>
      <w:spacing w:before="122" w:line="198" w:lineRule="exact"/>
      <w:ind w:left="2948" w:hanging="1814"/>
    </w:pPr>
    <w:rPr>
      <w:sz w:val="18"/>
    </w:rPr>
  </w:style>
  <w:style w:type="paragraph" w:customStyle="1" w:styleId="BoxPara">
    <w:name w:val="BoxPara"/>
    <w:aliases w:val="bp"/>
    <w:basedOn w:val="BoxText"/>
    <w:qFormat/>
    <w:rsid w:val="00D96FA5"/>
    <w:pPr>
      <w:tabs>
        <w:tab w:val="right" w:pos="2268"/>
      </w:tabs>
      <w:ind w:left="2552" w:hanging="1418"/>
    </w:pPr>
  </w:style>
  <w:style w:type="paragraph" w:customStyle="1" w:styleId="BoxStep">
    <w:name w:val="BoxStep"/>
    <w:aliases w:val="bs"/>
    <w:basedOn w:val="BoxText"/>
    <w:qFormat/>
    <w:rsid w:val="00D96FA5"/>
    <w:pPr>
      <w:ind w:left="1985" w:hanging="851"/>
    </w:pPr>
  </w:style>
  <w:style w:type="character" w:customStyle="1" w:styleId="CharAmPartNo">
    <w:name w:val="CharAmPartNo"/>
    <w:basedOn w:val="OPCCharBase"/>
    <w:qFormat/>
    <w:rsid w:val="00D96FA5"/>
  </w:style>
  <w:style w:type="character" w:customStyle="1" w:styleId="CharAmPartText">
    <w:name w:val="CharAmPartText"/>
    <w:basedOn w:val="OPCCharBase"/>
    <w:qFormat/>
    <w:rsid w:val="00D96FA5"/>
  </w:style>
  <w:style w:type="character" w:customStyle="1" w:styleId="CharBoldItalic">
    <w:name w:val="CharBoldItalic"/>
    <w:basedOn w:val="OPCCharBase"/>
    <w:uiPriority w:val="1"/>
    <w:qFormat/>
    <w:rsid w:val="00D96FA5"/>
    <w:rPr>
      <w:b/>
      <w:i/>
    </w:rPr>
  </w:style>
  <w:style w:type="character" w:customStyle="1" w:styleId="CharItalic">
    <w:name w:val="CharItalic"/>
    <w:basedOn w:val="OPCCharBase"/>
    <w:uiPriority w:val="1"/>
    <w:qFormat/>
    <w:rsid w:val="00D96FA5"/>
    <w:rPr>
      <w:i/>
    </w:rPr>
  </w:style>
  <w:style w:type="character" w:customStyle="1" w:styleId="CharSubdNo">
    <w:name w:val="CharSubdNo"/>
    <w:basedOn w:val="OPCCharBase"/>
    <w:uiPriority w:val="1"/>
    <w:qFormat/>
    <w:rsid w:val="00D96FA5"/>
  </w:style>
  <w:style w:type="character" w:customStyle="1" w:styleId="CharSubdText">
    <w:name w:val="CharSubdText"/>
    <w:basedOn w:val="OPCCharBase"/>
    <w:uiPriority w:val="1"/>
    <w:qFormat/>
    <w:rsid w:val="00D96FA5"/>
  </w:style>
  <w:style w:type="paragraph" w:customStyle="1" w:styleId="CTA--">
    <w:name w:val="CTA --"/>
    <w:basedOn w:val="OPCParaBase"/>
    <w:next w:val="Normal"/>
    <w:rsid w:val="00D96FA5"/>
    <w:pPr>
      <w:spacing w:before="60" w:line="240" w:lineRule="atLeast"/>
      <w:ind w:left="142" w:hanging="142"/>
    </w:pPr>
    <w:rPr>
      <w:sz w:val="20"/>
    </w:rPr>
  </w:style>
  <w:style w:type="paragraph" w:customStyle="1" w:styleId="CTA-">
    <w:name w:val="CTA -"/>
    <w:basedOn w:val="OPCParaBase"/>
    <w:rsid w:val="00D96FA5"/>
    <w:pPr>
      <w:spacing w:before="60" w:line="240" w:lineRule="atLeast"/>
      <w:ind w:left="85" w:hanging="85"/>
    </w:pPr>
    <w:rPr>
      <w:sz w:val="20"/>
    </w:rPr>
  </w:style>
  <w:style w:type="paragraph" w:customStyle="1" w:styleId="CTA---">
    <w:name w:val="CTA ---"/>
    <w:basedOn w:val="OPCParaBase"/>
    <w:next w:val="Normal"/>
    <w:rsid w:val="00D96FA5"/>
    <w:pPr>
      <w:spacing w:before="60" w:line="240" w:lineRule="atLeast"/>
      <w:ind w:left="198" w:hanging="198"/>
    </w:pPr>
    <w:rPr>
      <w:sz w:val="20"/>
    </w:rPr>
  </w:style>
  <w:style w:type="paragraph" w:customStyle="1" w:styleId="CTA----">
    <w:name w:val="CTA ----"/>
    <w:basedOn w:val="OPCParaBase"/>
    <w:next w:val="Normal"/>
    <w:rsid w:val="00D96FA5"/>
    <w:pPr>
      <w:spacing w:before="60" w:line="240" w:lineRule="atLeast"/>
      <w:ind w:left="255" w:hanging="255"/>
    </w:pPr>
    <w:rPr>
      <w:sz w:val="20"/>
    </w:rPr>
  </w:style>
  <w:style w:type="paragraph" w:customStyle="1" w:styleId="CTA1a">
    <w:name w:val="CTA 1(a)"/>
    <w:basedOn w:val="OPCParaBase"/>
    <w:rsid w:val="00D96FA5"/>
    <w:pPr>
      <w:tabs>
        <w:tab w:val="right" w:pos="414"/>
      </w:tabs>
      <w:spacing w:before="40" w:line="240" w:lineRule="atLeast"/>
      <w:ind w:left="675" w:hanging="675"/>
    </w:pPr>
    <w:rPr>
      <w:sz w:val="20"/>
    </w:rPr>
  </w:style>
  <w:style w:type="paragraph" w:customStyle="1" w:styleId="CTA1ai">
    <w:name w:val="CTA 1(a)(i)"/>
    <w:basedOn w:val="OPCParaBase"/>
    <w:rsid w:val="00D96FA5"/>
    <w:pPr>
      <w:tabs>
        <w:tab w:val="right" w:pos="1004"/>
      </w:tabs>
      <w:spacing w:before="40" w:line="240" w:lineRule="atLeast"/>
      <w:ind w:left="1253" w:hanging="1253"/>
    </w:pPr>
    <w:rPr>
      <w:sz w:val="20"/>
    </w:rPr>
  </w:style>
  <w:style w:type="paragraph" w:customStyle="1" w:styleId="CTA2a">
    <w:name w:val="CTA 2(a)"/>
    <w:basedOn w:val="OPCParaBase"/>
    <w:rsid w:val="00D96FA5"/>
    <w:pPr>
      <w:tabs>
        <w:tab w:val="right" w:pos="482"/>
      </w:tabs>
      <w:spacing w:before="40" w:line="240" w:lineRule="atLeast"/>
      <w:ind w:left="748" w:hanging="748"/>
    </w:pPr>
    <w:rPr>
      <w:sz w:val="20"/>
    </w:rPr>
  </w:style>
  <w:style w:type="paragraph" w:customStyle="1" w:styleId="CTA2ai">
    <w:name w:val="CTA 2(a)(i)"/>
    <w:basedOn w:val="OPCParaBase"/>
    <w:rsid w:val="00D96FA5"/>
    <w:pPr>
      <w:tabs>
        <w:tab w:val="right" w:pos="1089"/>
      </w:tabs>
      <w:spacing w:before="40" w:line="240" w:lineRule="atLeast"/>
      <w:ind w:left="1327" w:hanging="1327"/>
    </w:pPr>
    <w:rPr>
      <w:sz w:val="20"/>
    </w:rPr>
  </w:style>
  <w:style w:type="paragraph" w:customStyle="1" w:styleId="CTA3a">
    <w:name w:val="CTA 3(a)"/>
    <w:basedOn w:val="OPCParaBase"/>
    <w:rsid w:val="00D96FA5"/>
    <w:pPr>
      <w:tabs>
        <w:tab w:val="right" w:pos="556"/>
      </w:tabs>
      <w:spacing w:before="40" w:line="240" w:lineRule="atLeast"/>
      <w:ind w:left="805" w:hanging="805"/>
    </w:pPr>
    <w:rPr>
      <w:sz w:val="20"/>
    </w:rPr>
  </w:style>
  <w:style w:type="paragraph" w:customStyle="1" w:styleId="CTA3ai">
    <w:name w:val="CTA 3(a)(i)"/>
    <w:basedOn w:val="OPCParaBase"/>
    <w:rsid w:val="00D96FA5"/>
    <w:pPr>
      <w:tabs>
        <w:tab w:val="right" w:pos="1140"/>
      </w:tabs>
      <w:spacing w:before="40" w:line="240" w:lineRule="atLeast"/>
      <w:ind w:left="1361" w:hanging="1361"/>
    </w:pPr>
    <w:rPr>
      <w:sz w:val="20"/>
    </w:rPr>
  </w:style>
  <w:style w:type="paragraph" w:customStyle="1" w:styleId="CTA4a">
    <w:name w:val="CTA 4(a)"/>
    <w:basedOn w:val="OPCParaBase"/>
    <w:rsid w:val="00D96FA5"/>
    <w:pPr>
      <w:tabs>
        <w:tab w:val="right" w:pos="624"/>
      </w:tabs>
      <w:spacing w:before="40" w:line="240" w:lineRule="atLeast"/>
      <w:ind w:left="873" w:hanging="873"/>
    </w:pPr>
    <w:rPr>
      <w:sz w:val="20"/>
    </w:rPr>
  </w:style>
  <w:style w:type="paragraph" w:customStyle="1" w:styleId="CTA4ai">
    <w:name w:val="CTA 4(a)(i)"/>
    <w:basedOn w:val="OPCParaBase"/>
    <w:rsid w:val="00D96FA5"/>
    <w:pPr>
      <w:tabs>
        <w:tab w:val="right" w:pos="1213"/>
      </w:tabs>
      <w:spacing w:before="40" w:line="240" w:lineRule="atLeast"/>
      <w:ind w:left="1452" w:hanging="1452"/>
    </w:pPr>
    <w:rPr>
      <w:sz w:val="20"/>
    </w:rPr>
  </w:style>
  <w:style w:type="paragraph" w:customStyle="1" w:styleId="CTACAPS">
    <w:name w:val="CTA CAPS"/>
    <w:basedOn w:val="OPCParaBase"/>
    <w:rsid w:val="00D96FA5"/>
    <w:pPr>
      <w:spacing w:before="60" w:line="240" w:lineRule="atLeast"/>
    </w:pPr>
    <w:rPr>
      <w:sz w:val="20"/>
    </w:rPr>
  </w:style>
  <w:style w:type="paragraph" w:customStyle="1" w:styleId="CTAright">
    <w:name w:val="CTA right"/>
    <w:basedOn w:val="OPCParaBase"/>
    <w:rsid w:val="00D96FA5"/>
    <w:pPr>
      <w:spacing w:before="60" w:line="240" w:lineRule="auto"/>
      <w:jc w:val="right"/>
    </w:pPr>
    <w:rPr>
      <w:sz w:val="20"/>
    </w:rPr>
  </w:style>
  <w:style w:type="paragraph" w:customStyle="1" w:styleId="subsection">
    <w:name w:val="subsection"/>
    <w:aliases w:val="ss"/>
    <w:basedOn w:val="OPCParaBase"/>
    <w:link w:val="subsectionChar"/>
    <w:rsid w:val="00D96FA5"/>
    <w:pPr>
      <w:tabs>
        <w:tab w:val="right" w:pos="1021"/>
      </w:tabs>
      <w:spacing w:before="180" w:line="240" w:lineRule="auto"/>
      <w:ind w:left="1134" w:hanging="1134"/>
    </w:pPr>
  </w:style>
  <w:style w:type="paragraph" w:customStyle="1" w:styleId="Definition">
    <w:name w:val="Definition"/>
    <w:aliases w:val="dd"/>
    <w:basedOn w:val="OPCParaBase"/>
    <w:rsid w:val="00D96FA5"/>
    <w:pPr>
      <w:spacing w:before="180" w:line="240" w:lineRule="auto"/>
      <w:ind w:left="1134"/>
    </w:pPr>
  </w:style>
  <w:style w:type="paragraph" w:customStyle="1" w:styleId="ETAsubitem">
    <w:name w:val="ETA(subitem)"/>
    <w:basedOn w:val="OPCParaBase"/>
    <w:rsid w:val="00D96FA5"/>
    <w:pPr>
      <w:tabs>
        <w:tab w:val="right" w:pos="340"/>
      </w:tabs>
      <w:spacing w:before="60" w:line="240" w:lineRule="auto"/>
      <w:ind w:left="454" w:hanging="454"/>
    </w:pPr>
    <w:rPr>
      <w:sz w:val="20"/>
    </w:rPr>
  </w:style>
  <w:style w:type="paragraph" w:customStyle="1" w:styleId="ETApara">
    <w:name w:val="ETA(para)"/>
    <w:basedOn w:val="OPCParaBase"/>
    <w:rsid w:val="00D96FA5"/>
    <w:pPr>
      <w:tabs>
        <w:tab w:val="right" w:pos="754"/>
      </w:tabs>
      <w:spacing w:before="60" w:line="240" w:lineRule="auto"/>
      <w:ind w:left="828" w:hanging="828"/>
    </w:pPr>
    <w:rPr>
      <w:sz w:val="20"/>
    </w:rPr>
  </w:style>
  <w:style w:type="paragraph" w:customStyle="1" w:styleId="ETAsubpara">
    <w:name w:val="ETA(subpara)"/>
    <w:basedOn w:val="OPCParaBase"/>
    <w:rsid w:val="00D96FA5"/>
    <w:pPr>
      <w:tabs>
        <w:tab w:val="right" w:pos="1083"/>
      </w:tabs>
      <w:spacing w:before="60" w:line="240" w:lineRule="auto"/>
      <w:ind w:left="1191" w:hanging="1191"/>
    </w:pPr>
    <w:rPr>
      <w:sz w:val="20"/>
    </w:rPr>
  </w:style>
  <w:style w:type="paragraph" w:customStyle="1" w:styleId="ETAsub-subpara">
    <w:name w:val="ETA(sub-subpara)"/>
    <w:basedOn w:val="OPCParaBase"/>
    <w:rsid w:val="00D96FA5"/>
    <w:pPr>
      <w:tabs>
        <w:tab w:val="right" w:pos="1412"/>
      </w:tabs>
      <w:spacing w:before="60" w:line="240" w:lineRule="auto"/>
      <w:ind w:left="1525" w:hanging="1525"/>
    </w:pPr>
    <w:rPr>
      <w:sz w:val="20"/>
    </w:rPr>
  </w:style>
  <w:style w:type="paragraph" w:customStyle="1" w:styleId="House">
    <w:name w:val="House"/>
    <w:basedOn w:val="OPCParaBase"/>
    <w:rsid w:val="00D96FA5"/>
    <w:pPr>
      <w:spacing w:line="240" w:lineRule="auto"/>
    </w:pPr>
    <w:rPr>
      <w:sz w:val="28"/>
    </w:rPr>
  </w:style>
  <w:style w:type="paragraph" w:customStyle="1" w:styleId="Item">
    <w:name w:val="Item"/>
    <w:aliases w:val="i"/>
    <w:basedOn w:val="OPCParaBase"/>
    <w:next w:val="ItemHead"/>
    <w:rsid w:val="00D96FA5"/>
    <w:pPr>
      <w:keepLines/>
      <w:spacing w:before="80" w:line="240" w:lineRule="auto"/>
      <w:ind w:left="709"/>
    </w:pPr>
  </w:style>
  <w:style w:type="paragraph" w:customStyle="1" w:styleId="ItemHead">
    <w:name w:val="ItemHead"/>
    <w:aliases w:val="ih"/>
    <w:basedOn w:val="OPCParaBase"/>
    <w:next w:val="Item"/>
    <w:rsid w:val="00D96FA5"/>
    <w:pPr>
      <w:keepLines/>
      <w:spacing w:before="220" w:line="240" w:lineRule="auto"/>
      <w:ind w:left="709" w:hanging="709"/>
    </w:pPr>
    <w:rPr>
      <w:rFonts w:ascii="Arial" w:hAnsi="Arial"/>
      <w:b/>
      <w:kern w:val="28"/>
      <w:sz w:val="24"/>
    </w:rPr>
  </w:style>
  <w:style w:type="paragraph" w:customStyle="1" w:styleId="LongT">
    <w:name w:val="LongT"/>
    <w:basedOn w:val="OPCParaBase"/>
    <w:rsid w:val="00D96FA5"/>
    <w:pPr>
      <w:spacing w:line="240" w:lineRule="auto"/>
    </w:pPr>
    <w:rPr>
      <w:b/>
      <w:sz w:val="32"/>
    </w:rPr>
  </w:style>
  <w:style w:type="paragraph" w:customStyle="1" w:styleId="notedraft">
    <w:name w:val="note(draft)"/>
    <w:aliases w:val="nd"/>
    <w:basedOn w:val="OPCParaBase"/>
    <w:rsid w:val="00D96FA5"/>
    <w:pPr>
      <w:spacing w:before="240" w:line="240" w:lineRule="auto"/>
      <w:ind w:left="284" w:hanging="284"/>
    </w:pPr>
    <w:rPr>
      <w:i/>
      <w:sz w:val="24"/>
    </w:rPr>
  </w:style>
  <w:style w:type="paragraph" w:customStyle="1" w:styleId="notemargin">
    <w:name w:val="note(margin)"/>
    <w:aliases w:val="nm"/>
    <w:basedOn w:val="OPCParaBase"/>
    <w:rsid w:val="00D96FA5"/>
    <w:pPr>
      <w:tabs>
        <w:tab w:val="left" w:pos="709"/>
      </w:tabs>
      <w:spacing w:before="122" w:line="198" w:lineRule="exact"/>
      <w:ind w:left="709" w:hanging="709"/>
    </w:pPr>
    <w:rPr>
      <w:sz w:val="18"/>
    </w:rPr>
  </w:style>
  <w:style w:type="paragraph" w:customStyle="1" w:styleId="notepara">
    <w:name w:val="note(para)"/>
    <w:aliases w:val="na"/>
    <w:basedOn w:val="OPCParaBase"/>
    <w:rsid w:val="00D96FA5"/>
    <w:pPr>
      <w:spacing w:before="40" w:line="198" w:lineRule="exact"/>
      <w:ind w:left="2354" w:hanging="369"/>
    </w:pPr>
    <w:rPr>
      <w:sz w:val="18"/>
    </w:rPr>
  </w:style>
  <w:style w:type="paragraph" w:customStyle="1" w:styleId="noteParlAmend">
    <w:name w:val="note(ParlAmend)"/>
    <w:aliases w:val="npp"/>
    <w:basedOn w:val="OPCParaBase"/>
    <w:next w:val="ParlAmend"/>
    <w:rsid w:val="00D96FA5"/>
    <w:pPr>
      <w:spacing w:line="240" w:lineRule="auto"/>
      <w:jc w:val="right"/>
    </w:pPr>
    <w:rPr>
      <w:rFonts w:ascii="Arial" w:hAnsi="Arial"/>
      <w:b/>
      <w:i/>
    </w:rPr>
  </w:style>
  <w:style w:type="paragraph" w:customStyle="1" w:styleId="notetext">
    <w:name w:val="note(text)"/>
    <w:aliases w:val="n"/>
    <w:basedOn w:val="OPCParaBase"/>
    <w:rsid w:val="00D96FA5"/>
    <w:pPr>
      <w:spacing w:before="122" w:line="198" w:lineRule="exact"/>
      <w:ind w:left="1985" w:hanging="851"/>
    </w:pPr>
    <w:rPr>
      <w:sz w:val="18"/>
    </w:rPr>
  </w:style>
  <w:style w:type="paragraph" w:customStyle="1" w:styleId="Page1">
    <w:name w:val="Page1"/>
    <w:basedOn w:val="OPCParaBase"/>
    <w:rsid w:val="00D96FA5"/>
    <w:pPr>
      <w:spacing w:before="5600" w:line="240" w:lineRule="auto"/>
    </w:pPr>
    <w:rPr>
      <w:b/>
      <w:sz w:val="32"/>
    </w:rPr>
  </w:style>
  <w:style w:type="paragraph" w:customStyle="1" w:styleId="paragraphsub">
    <w:name w:val="paragraph(sub)"/>
    <w:aliases w:val="aa"/>
    <w:basedOn w:val="OPCParaBase"/>
    <w:rsid w:val="00D96FA5"/>
    <w:pPr>
      <w:tabs>
        <w:tab w:val="right" w:pos="1985"/>
      </w:tabs>
      <w:spacing w:before="40" w:line="240" w:lineRule="auto"/>
      <w:ind w:left="2098" w:hanging="2098"/>
    </w:pPr>
  </w:style>
  <w:style w:type="paragraph" w:customStyle="1" w:styleId="paragraphsub-sub">
    <w:name w:val="paragraph(sub-sub)"/>
    <w:aliases w:val="aaa"/>
    <w:basedOn w:val="OPCParaBase"/>
    <w:rsid w:val="00D96FA5"/>
    <w:pPr>
      <w:tabs>
        <w:tab w:val="right" w:pos="2722"/>
      </w:tabs>
      <w:spacing w:before="40" w:line="240" w:lineRule="auto"/>
      <w:ind w:left="2835" w:hanging="2835"/>
    </w:pPr>
  </w:style>
  <w:style w:type="paragraph" w:customStyle="1" w:styleId="paragraph">
    <w:name w:val="paragraph"/>
    <w:aliases w:val="a"/>
    <w:basedOn w:val="OPCParaBase"/>
    <w:rsid w:val="00D96FA5"/>
    <w:pPr>
      <w:tabs>
        <w:tab w:val="right" w:pos="1531"/>
      </w:tabs>
      <w:spacing w:before="40" w:line="240" w:lineRule="auto"/>
      <w:ind w:left="1644" w:hanging="1644"/>
    </w:pPr>
  </w:style>
  <w:style w:type="paragraph" w:customStyle="1" w:styleId="ParlAmend">
    <w:name w:val="ParlAmend"/>
    <w:aliases w:val="pp"/>
    <w:basedOn w:val="OPCParaBase"/>
    <w:rsid w:val="00D96FA5"/>
    <w:pPr>
      <w:spacing w:before="240" w:line="240" w:lineRule="atLeast"/>
      <w:ind w:hanging="567"/>
    </w:pPr>
    <w:rPr>
      <w:sz w:val="24"/>
    </w:rPr>
  </w:style>
  <w:style w:type="paragraph" w:customStyle="1" w:styleId="Portfolio">
    <w:name w:val="Portfolio"/>
    <w:basedOn w:val="OPCParaBase"/>
    <w:rsid w:val="00D96FA5"/>
    <w:pPr>
      <w:spacing w:line="240" w:lineRule="auto"/>
    </w:pPr>
    <w:rPr>
      <w:i/>
      <w:sz w:val="20"/>
    </w:rPr>
  </w:style>
  <w:style w:type="paragraph" w:customStyle="1" w:styleId="Preamble">
    <w:name w:val="Preamble"/>
    <w:basedOn w:val="OPCParaBase"/>
    <w:next w:val="Normal"/>
    <w:rsid w:val="00D96F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6FA5"/>
    <w:pPr>
      <w:spacing w:line="240" w:lineRule="auto"/>
    </w:pPr>
    <w:rPr>
      <w:i/>
      <w:sz w:val="20"/>
    </w:rPr>
  </w:style>
  <w:style w:type="paragraph" w:customStyle="1" w:styleId="Session">
    <w:name w:val="Session"/>
    <w:basedOn w:val="OPCParaBase"/>
    <w:rsid w:val="00D96FA5"/>
    <w:pPr>
      <w:spacing w:line="240" w:lineRule="auto"/>
    </w:pPr>
    <w:rPr>
      <w:sz w:val="28"/>
    </w:rPr>
  </w:style>
  <w:style w:type="paragraph" w:customStyle="1" w:styleId="Sponsor">
    <w:name w:val="Sponsor"/>
    <w:basedOn w:val="OPCParaBase"/>
    <w:rsid w:val="00D96FA5"/>
    <w:pPr>
      <w:spacing w:line="240" w:lineRule="auto"/>
    </w:pPr>
    <w:rPr>
      <w:i/>
    </w:rPr>
  </w:style>
  <w:style w:type="paragraph" w:customStyle="1" w:styleId="Subitem">
    <w:name w:val="Subitem"/>
    <w:aliases w:val="iss"/>
    <w:basedOn w:val="OPCParaBase"/>
    <w:rsid w:val="00D96FA5"/>
    <w:pPr>
      <w:spacing w:before="180" w:line="240" w:lineRule="auto"/>
      <w:ind w:left="709" w:hanging="709"/>
    </w:pPr>
  </w:style>
  <w:style w:type="paragraph" w:customStyle="1" w:styleId="SubitemHead">
    <w:name w:val="SubitemHead"/>
    <w:aliases w:val="issh"/>
    <w:basedOn w:val="OPCParaBase"/>
    <w:rsid w:val="00D96F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6FA5"/>
    <w:pPr>
      <w:spacing w:before="40" w:line="240" w:lineRule="auto"/>
      <w:ind w:left="1134"/>
    </w:pPr>
  </w:style>
  <w:style w:type="paragraph" w:customStyle="1" w:styleId="SubsectionHead">
    <w:name w:val="SubsectionHead"/>
    <w:aliases w:val="ssh"/>
    <w:basedOn w:val="OPCParaBase"/>
    <w:next w:val="subsection"/>
    <w:rsid w:val="00D96FA5"/>
    <w:pPr>
      <w:keepNext/>
      <w:keepLines/>
      <w:spacing w:before="240" w:line="240" w:lineRule="auto"/>
      <w:ind w:left="1134"/>
    </w:pPr>
    <w:rPr>
      <w:i/>
    </w:rPr>
  </w:style>
  <w:style w:type="paragraph" w:customStyle="1" w:styleId="Tablea">
    <w:name w:val="Table(a)"/>
    <w:aliases w:val="ta"/>
    <w:basedOn w:val="OPCParaBase"/>
    <w:rsid w:val="00D96FA5"/>
    <w:pPr>
      <w:spacing w:before="60" w:line="240" w:lineRule="auto"/>
      <w:ind w:left="284" w:hanging="284"/>
    </w:pPr>
    <w:rPr>
      <w:sz w:val="20"/>
    </w:rPr>
  </w:style>
  <w:style w:type="paragraph" w:customStyle="1" w:styleId="TableAA">
    <w:name w:val="Table(AA)"/>
    <w:aliases w:val="taaa"/>
    <w:basedOn w:val="OPCParaBase"/>
    <w:rsid w:val="00D96F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6F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6FA5"/>
    <w:pPr>
      <w:spacing w:before="60" w:line="240" w:lineRule="atLeast"/>
    </w:pPr>
    <w:rPr>
      <w:sz w:val="20"/>
    </w:rPr>
  </w:style>
  <w:style w:type="paragraph" w:customStyle="1" w:styleId="TLPBoxTextnote">
    <w:name w:val="TLPBoxText(note"/>
    <w:aliases w:val="right)"/>
    <w:basedOn w:val="OPCParaBase"/>
    <w:rsid w:val="00D96F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6FA5"/>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6FA5"/>
    <w:pPr>
      <w:spacing w:before="122" w:line="198" w:lineRule="exact"/>
      <w:ind w:left="1985" w:hanging="851"/>
      <w:jc w:val="right"/>
    </w:pPr>
    <w:rPr>
      <w:sz w:val="18"/>
    </w:rPr>
  </w:style>
  <w:style w:type="paragraph" w:customStyle="1" w:styleId="TLPTableBullet">
    <w:name w:val="TLPTableBullet"/>
    <w:aliases w:val="ttb"/>
    <w:basedOn w:val="OPCParaBase"/>
    <w:rsid w:val="00D96FA5"/>
    <w:pPr>
      <w:spacing w:line="240" w:lineRule="exact"/>
      <w:ind w:left="284" w:hanging="284"/>
    </w:pPr>
    <w:rPr>
      <w:sz w:val="20"/>
    </w:rPr>
  </w:style>
  <w:style w:type="paragraph" w:customStyle="1" w:styleId="TofSectsGroupHeading">
    <w:name w:val="TofSects(GroupHeading)"/>
    <w:basedOn w:val="OPCParaBase"/>
    <w:next w:val="TofSectsSection"/>
    <w:rsid w:val="00D96FA5"/>
    <w:pPr>
      <w:keepLines/>
      <w:spacing w:before="240" w:after="120" w:line="240" w:lineRule="auto"/>
      <w:ind w:left="794"/>
    </w:pPr>
    <w:rPr>
      <w:b/>
      <w:kern w:val="28"/>
      <w:sz w:val="20"/>
    </w:rPr>
  </w:style>
  <w:style w:type="paragraph" w:customStyle="1" w:styleId="TofSectsHeading">
    <w:name w:val="TofSects(Heading)"/>
    <w:basedOn w:val="OPCParaBase"/>
    <w:rsid w:val="00D96FA5"/>
    <w:pPr>
      <w:spacing w:before="240" w:after="120" w:line="240" w:lineRule="auto"/>
    </w:pPr>
    <w:rPr>
      <w:b/>
      <w:sz w:val="24"/>
    </w:rPr>
  </w:style>
  <w:style w:type="paragraph" w:customStyle="1" w:styleId="TofSectsSection">
    <w:name w:val="TofSects(Section)"/>
    <w:basedOn w:val="OPCParaBase"/>
    <w:rsid w:val="00D96FA5"/>
    <w:pPr>
      <w:keepLines/>
      <w:spacing w:before="40" w:line="240" w:lineRule="auto"/>
      <w:ind w:left="1588" w:hanging="794"/>
    </w:pPr>
    <w:rPr>
      <w:kern w:val="28"/>
      <w:sz w:val="18"/>
    </w:rPr>
  </w:style>
  <w:style w:type="paragraph" w:customStyle="1" w:styleId="TofSectsSubdiv">
    <w:name w:val="TofSects(Subdiv)"/>
    <w:basedOn w:val="OPCParaBase"/>
    <w:rsid w:val="00D96FA5"/>
    <w:pPr>
      <w:keepLines/>
      <w:spacing w:before="80" w:line="240" w:lineRule="auto"/>
      <w:ind w:left="1588" w:hanging="794"/>
    </w:pPr>
    <w:rPr>
      <w:kern w:val="28"/>
    </w:rPr>
  </w:style>
  <w:style w:type="paragraph" w:customStyle="1" w:styleId="WRStyle">
    <w:name w:val="WR Style"/>
    <w:aliases w:val="WR"/>
    <w:basedOn w:val="OPCParaBase"/>
    <w:rsid w:val="00D96FA5"/>
    <w:pPr>
      <w:spacing w:before="240" w:line="240" w:lineRule="auto"/>
      <w:ind w:left="284" w:hanging="284"/>
    </w:pPr>
    <w:rPr>
      <w:b/>
      <w:i/>
      <w:kern w:val="28"/>
      <w:sz w:val="24"/>
    </w:rPr>
  </w:style>
  <w:style w:type="numbering" w:customStyle="1" w:styleId="OPCBodyList">
    <w:name w:val="OPCBodyList"/>
    <w:uiPriority w:val="99"/>
    <w:rsid w:val="003139E4"/>
    <w:pPr>
      <w:numPr>
        <w:numId w:val="17"/>
      </w:numPr>
    </w:pPr>
  </w:style>
  <w:style w:type="paragraph" w:customStyle="1" w:styleId="noteToPara">
    <w:name w:val="noteToPara"/>
    <w:aliases w:val="ntp"/>
    <w:basedOn w:val="OPCParaBase"/>
    <w:rsid w:val="00D96FA5"/>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D96FA5"/>
    <w:rPr>
      <w:rFonts w:ascii="Tahoma" w:eastAsiaTheme="minorHAnsi" w:hAnsi="Tahoma" w:cs="Tahoma"/>
      <w:sz w:val="16"/>
      <w:szCs w:val="16"/>
      <w:lang w:eastAsia="en-US"/>
    </w:rPr>
  </w:style>
  <w:style w:type="table" w:customStyle="1" w:styleId="CFlag">
    <w:name w:val="CFlag"/>
    <w:basedOn w:val="TableNormal"/>
    <w:uiPriority w:val="99"/>
    <w:rsid w:val="00D96FA5"/>
    <w:tblPr>
      <w:tblInd w:w="0" w:type="dxa"/>
      <w:tblCellMar>
        <w:top w:w="0" w:type="dxa"/>
        <w:left w:w="108" w:type="dxa"/>
        <w:bottom w:w="0" w:type="dxa"/>
        <w:right w:w="108" w:type="dxa"/>
      </w:tblCellMar>
    </w:tblPr>
  </w:style>
  <w:style w:type="paragraph" w:customStyle="1" w:styleId="InstNo">
    <w:name w:val="InstNo"/>
    <w:basedOn w:val="OPCParaBase"/>
    <w:next w:val="Normal"/>
    <w:rsid w:val="00D96FA5"/>
    <w:rPr>
      <w:b/>
      <w:sz w:val="28"/>
      <w:szCs w:val="32"/>
    </w:rPr>
  </w:style>
  <w:style w:type="paragraph" w:customStyle="1" w:styleId="TerritoryT">
    <w:name w:val="TerritoryT"/>
    <w:basedOn w:val="OPCParaBase"/>
    <w:next w:val="Normal"/>
    <w:rsid w:val="00D96FA5"/>
    <w:rPr>
      <w:b/>
      <w:sz w:val="32"/>
    </w:rPr>
  </w:style>
  <w:style w:type="paragraph" w:customStyle="1" w:styleId="LegislationMadeUnder">
    <w:name w:val="LegislationMadeUnder"/>
    <w:basedOn w:val="OPCParaBase"/>
    <w:next w:val="Normal"/>
    <w:rsid w:val="00D96FA5"/>
    <w:rPr>
      <w:i/>
      <w:sz w:val="32"/>
      <w:szCs w:val="32"/>
    </w:rPr>
  </w:style>
  <w:style w:type="paragraph" w:customStyle="1" w:styleId="SignCoverPageEnd">
    <w:name w:val="SignCoverPageEnd"/>
    <w:basedOn w:val="OPCParaBase"/>
    <w:next w:val="Normal"/>
    <w:rsid w:val="00D96FA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D96FA5"/>
    <w:pPr>
      <w:pBdr>
        <w:top w:val="single" w:sz="4" w:space="1" w:color="auto"/>
      </w:pBdr>
      <w:spacing w:before="360"/>
      <w:ind w:right="397"/>
      <w:jc w:val="both"/>
    </w:pPr>
  </w:style>
  <w:style w:type="paragraph" w:customStyle="1" w:styleId="NotesHeading1">
    <w:name w:val="NotesHeading 1"/>
    <w:basedOn w:val="OPCParaBase"/>
    <w:next w:val="Normal"/>
    <w:rsid w:val="00D96FA5"/>
    <w:rPr>
      <w:b/>
      <w:sz w:val="28"/>
      <w:szCs w:val="28"/>
    </w:rPr>
  </w:style>
  <w:style w:type="paragraph" w:customStyle="1" w:styleId="NotesHeading2">
    <w:name w:val="NotesHeading 2"/>
    <w:basedOn w:val="OPCParaBase"/>
    <w:next w:val="Normal"/>
    <w:rsid w:val="00D96FA5"/>
    <w:rPr>
      <w:b/>
      <w:sz w:val="28"/>
      <w:szCs w:val="28"/>
    </w:rPr>
  </w:style>
  <w:style w:type="paragraph" w:customStyle="1" w:styleId="ENotesHeading1">
    <w:name w:val="ENotesHeading 1"/>
    <w:basedOn w:val="OPCParaBase"/>
    <w:next w:val="Normal"/>
    <w:rsid w:val="00D96FA5"/>
    <w:pPr>
      <w:outlineLvl w:val="0"/>
    </w:pPr>
    <w:rPr>
      <w:b/>
      <w:sz w:val="32"/>
      <w:szCs w:val="28"/>
    </w:rPr>
  </w:style>
  <w:style w:type="paragraph" w:customStyle="1" w:styleId="ENotesHeading2">
    <w:name w:val="ENotesHeading 2"/>
    <w:basedOn w:val="OPCParaBase"/>
    <w:next w:val="Normal"/>
    <w:rsid w:val="00D96FA5"/>
    <w:pPr>
      <w:outlineLvl w:val="6"/>
    </w:pPr>
    <w:rPr>
      <w:b/>
      <w:sz w:val="28"/>
      <w:szCs w:val="28"/>
    </w:rPr>
  </w:style>
  <w:style w:type="paragraph" w:customStyle="1" w:styleId="ENotesHeading3">
    <w:name w:val="ENotesHeading 3"/>
    <w:basedOn w:val="OPCParaBase"/>
    <w:next w:val="Normal"/>
    <w:rsid w:val="00D96FA5"/>
    <w:pPr>
      <w:outlineLvl w:val="7"/>
    </w:pPr>
    <w:rPr>
      <w:b/>
      <w:sz w:val="24"/>
      <w:szCs w:val="24"/>
    </w:rPr>
  </w:style>
  <w:style w:type="paragraph" w:customStyle="1" w:styleId="ENotesText">
    <w:name w:val="ENotesText"/>
    <w:basedOn w:val="OPCParaBase"/>
    <w:next w:val="Normal"/>
    <w:rsid w:val="00D96FA5"/>
  </w:style>
  <w:style w:type="paragraph" w:customStyle="1" w:styleId="CompiledActNo">
    <w:name w:val="CompiledActNo"/>
    <w:basedOn w:val="OPCParaBase"/>
    <w:next w:val="Normal"/>
    <w:rsid w:val="00D96FA5"/>
    <w:rPr>
      <w:b/>
      <w:sz w:val="24"/>
      <w:szCs w:val="24"/>
    </w:rPr>
  </w:style>
  <w:style w:type="paragraph" w:customStyle="1" w:styleId="CompiledMadeUnder">
    <w:name w:val="CompiledMadeUnder"/>
    <w:basedOn w:val="OPCParaBase"/>
    <w:next w:val="Normal"/>
    <w:rsid w:val="00D96FA5"/>
    <w:rPr>
      <w:i/>
      <w:sz w:val="24"/>
      <w:szCs w:val="24"/>
    </w:rPr>
  </w:style>
  <w:style w:type="paragraph" w:customStyle="1" w:styleId="Paragraphsub-sub-sub">
    <w:name w:val="Paragraph(sub-sub-sub)"/>
    <w:aliases w:val="aaaa"/>
    <w:basedOn w:val="OPCParaBase"/>
    <w:rsid w:val="00D96FA5"/>
    <w:pPr>
      <w:tabs>
        <w:tab w:val="right" w:pos="3402"/>
      </w:tabs>
      <w:spacing w:before="40" w:line="240" w:lineRule="auto"/>
      <w:ind w:left="3402" w:hanging="3402"/>
    </w:pPr>
  </w:style>
  <w:style w:type="paragraph" w:customStyle="1" w:styleId="SubPartCASA">
    <w:name w:val="SubPart(CASA)"/>
    <w:aliases w:val="csp"/>
    <w:basedOn w:val="OPCParaBase"/>
    <w:next w:val="ActHead3"/>
    <w:rsid w:val="00D96FA5"/>
    <w:pPr>
      <w:keepNext/>
      <w:keepLines/>
      <w:spacing w:before="280"/>
      <w:outlineLvl w:val="1"/>
    </w:pPr>
    <w:rPr>
      <w:b/>
      <w:kern w:val="28"/>
      <w:sz w:val="32"/>
    </w:rPr>
  </w:style>
  <w:style w:type="character" w:customStyle="1" w:styleId="subsectionChar">
    <w:name w:val="subsection Char"/>
    <w:aliases w:val="ss Char"/>
    <w:basedOn w:val="DefaultParagraphFont"/>
    <w:link w:val="subsection"/>
    <w:rsid w:val="003139E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FA5"/>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96FA5"/>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D96FA5"/>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D96FA5"/>
    <w:rPr>
      <w:color w:val="0000FF"/>
      <w:u w:val="single"/>
    </w:rPr>
  </w:style>
  <w:style w:type="character" w:styleId="LineNumber">
    <w:name w:val="line number"/>
    <w:basedOn w:val="OPCCharBase"/>
    <w:uiPriority w:val="99"/>
    <w:unhideWhenUsed/>
    <w:rsid w:val="00D96FA5"/>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3139E4"/>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96FA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qFormat/>
    <w:rsid w:val="00D96FA5"/>
  </w:style>
  <w:style w:type="character" w:customStyle="1" w:styleId="CharAmSchText">
    <w:name w:val="CharAmSchText"/>
    <w:basedOn w:val="OPCCharBase"/>
    <w:qFormat/>
    <w:rsid w:val="00D96FA5"/>
  </w:style>
  <w:style w:type="character" w:customStyle="1" w:styleId="CharChapNo">
    <w:name w:val="CharChapNo"/>
    <w:basedOn w:val="OPCCharBase"/>
    <w:uiPriority w:val="1"/>
    <w:qFormat/>
    <w:rsid w:val="00D96FA5"/>
  </w:style>
  <w:style w:type="character" w:customStyle="1" w:styleId="CharChapText">
    <w:name w:val="CharChapText"/>
    <w:basedOn w:val="OPCCharBase"/>
    <w:uiPriority w:val="1"/>
    <w:qFormat/>
    <w:rsid w:val="00D96FA5"/>
  </w:style>
  <w:style w:type="character" w:customStyle="1" w:styleId="CharDivNo">
    <w:name w:val="CharDivNo"/>
    <w:basedOn w:val="OPCCharBase"/>
    <w:uiPriority w:val="1"/>
    <w:qFormat/>
    <w:rsid w:val="00D96FA5"/>
  </w:style>
  <w:style w:type="character" w:customStyle="1" w:styleId="CharDivText">
    <w:name w:val="CharDivText"/>
    <w:basedOn w:val="OPCCharBase"/>
    <w:uiPriority w:val="1"/>
    <w:qFormat/>
    <w:rsid w:val="00D96FA5"/>
  </w:style>
  <w:style w:type="character" w:customStyle="1" w:styleId="CharPartNo">
    <w:name w:val="CharPartNo"/>
    <w:basedOn w:val="OPCCharBase"/>
    <w:uiPriority w:val="1"/>
    <w:qFormat/>
    <w:rsid w:val="00D96FA5"/>
  </w:style>
  <w:style w:type="character" w:customStyle="1" w:styleId="CharPartText">
    <w:name w:val="CharPartText"/>
    <w:basedOn w:val="OPCCharBase"/>
    <w:uiPriority w:val="1"/>
    <w:qFormat/>
    <w:rsid w:val="00D96FA5"/>
  </w:style>
  <w:style w:type="character" w:customStyle="1" w:styleId="OPCCharBase">
    <w:name w:val="OPCCharBase"/>
    <w:uiPriority w:val="1"/>
    <w:qFormat/>
    <w:rsid w:val="00D96FA5"/>
  </w:style>
  <w:style w:type="paragraph" w:customStyle="1" w:styleId="OPCParaBase">
    <w:name w:val="OPCParaBase"/>
    <w:qFormat/>
    <w:rsid w:val="00D96FA5"/>
    <w:pPr>
      <w:spacing w:line="260" w:lineRule="atLeast"/>
    </w:pPr>
    <w:rPr>
      <w:sz w:val="22"/>
    </w:rPr>
  </w:style>
  <w:style w:type="character" w:customStyle="1" w:styleId="CharSectno">
    <w:name w:val="CharSectno"/>
    <w:basedOn w:val="OPCCharBase"/>
    <w:qFormat/>
    <w:rsid w:val="00D96FA5"/>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D96FA5"/>
    <w:pPr>
      <w:spacing w:line="240" w:lineRule="auto"/>
      <w:ind w:left="1134"/>
    </w:pPr>
    <w:rPr>
      <w:sz w:val="20"/>
    </w:rPr>
  </w:style>
  <w:style w:type="paragraph" w:customStyle="1" w:styleId="ShortT">
    <w:name w:val="ShortT"/>
    <w:basedOn w:val="OPCParaBase"/>
    <w:next w:val="Normal"/>
    <w:qFormat/>
    <w:rsid w:val="00D96FA5"/>
    <w:pPr>
      <w:spacing w:line="240" w:lineRule="auto"/>
    </w:pPr>
    <w:rPr>
      <w:b/>
      <w:sz w:val="40"/>
    </w:rPr>
  </w:style>
  <w:style w:type="paragraph" w:customStyle="1" w:styleId="Penalty">
    <w:name w:val="Penalty"/>
    <w:basedOn w:val="OPCParaBase"/>
    <w:rsid w:val="00D96FA5"/>
    <w:pPr>
      <w:tabs>
        <w:tab w:val="left" w:pos="2977"/>
      </w:tabs>
      <w:spacing w:before="180" w:line="240" w:lineRule="auto"/>
      <w:ind w:left="1985" w:hanging="851"/>
    </w:pPr>
  </w:style>
  <w:style w:type="paragraph" w:customStyle="1" w:styleId="ActHead1">
    <w:name w:val="ActHead 1"/>
    <w:aliases w:val="c"/>
    <w:basedOn w:val="OPCParaBase"/>
    <w:next w:val="Normal"/>
    <w:qFormat/>
    <w:rsid w:val="00D96FA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D96FA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6FA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6FA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6FA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96F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6F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6F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6F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6FA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96FA5"/>
    <w:pPr>
      <w:spacing w:line="240" w:lineRule="auto"/>
    </w:pPr>
    <w:rPr>
      <w:sz w:val="20"/>
    </w:rPr>
  </w:style>
  <w:style w:type="paragraph" w:customStyle="1" w:styleId="ActHead2">
    <w:name w:val="ActHead 2"/>
    <w:aliases w:val="p"/>
    <w:basedOn w:val="OPCParaBase"/>
    <w:next w:val="ActHead3"/>
    <w:qFormat/>
    <w:rsid w:val="00D96FA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D96FA5"/>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D96FA5"/>
    <w:rPr>
      <w:sz w:val="22"/>
      <w:szCs w:val="24"/>
    </w:rPr>
  </w:style>
  <w:style w:type="character" w:customStyle="1" w:styleId="HeaderChar">
    <w:name w:val="Header Char"/>
    <w:basedOn w:val="DefaultParagraphFont"/>
    <w:link w:val="Header"/>
    <w:rsid w:val="00D96FA5"/>
    <w:rPr>
      <w:sz w:val="16"/>
    </w:rPr>
  </w:style>
  <w:style w:type="paragraph" w:styleId="ListParagraph">
    <w:name w:val="List Paragraph"/>
    <w:basedOn w:val="Normal"/>
    <w:uiPriority w:val="34"/>
    <w:qFormat/>
    <w:rsid w:val="0029319D"/>
    <w:pPr>
      <w:ind w:left="720"/>
    </w:pPr>
    <w:rPr>
      <w:rFonts w:ascii="Calibri" w:eastAsia="Calibri" w:hAnsi="Calibri"/>
      <w:szCs w:val="22"/>
    </w:rPr>
  </w:style>
  <w:style w:type="paragraph" w:customStyle="1" w:styleId="ActHead3">
    <w:name w:val="ActHead 3"/>
    <w:aliases w:val="d"/>
    <w:basedOn w:val="OPCParaBase"/>
    <w:next w:val="ActHead4"/>
    <w:qFormat/>
    <w:rsid w:val="00D96F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6F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96F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6F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6F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6F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6F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6FA5"/>
  </w:style>
  <w:style w:type="paragraph" w:customStyle="1" w:styleId="Blocks">
    <w:name w:val="Blocks"/>
    <w:aliases w:val="bb"/>
    <w:basedOn w:val="OPCParaBase"/>
    <w:qFormat/>
    <w:rsid w:val="00D96FA5"/>
    <w:pPr>
      <w:spacing w:line="240" w:lineRule="auto"/>
    </w:pPr>
    <w:rPr>
      <w:sz w:val="24"/>
    </w:rPr>
  </w:style>
  <w:style w:type="paragraph" w:customStyle="1" w:styleId="BoxText">
    <w:name w:val="BoxText"/>
    <w:aliases w:val="bt"/>
    <w:basedOn w:val="OPCParaBase"/>
    <w:qFormat/>
    <w:rsid w:val="00D96F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6FA5"/>
    <w:rPr>
      <w:b/>
    </w:rPr>
  </w:style>
  <w:style w:type="paragraph" w:customStyle="1" w:styleId="BoxHeadItalic">
    <w:name w:val="BoxHeadItalic"/>
    <w:aliases w:val="bhi"/>
    <w:basedOn w:val="BoxText"/>
    <w:next w:val="BoxStep"/>
    <w:qFormat/>
    <w:rsid w:val="00D96FA5"/>
    <w:rPr>
      <w:i/>
    </w:rPr>
  </w:style>
  <w:style w:type="paragraph" w:customStyle="1" w:styleId="BoxList">
    <w:name w:val="BoxList"/>
    <w:aliases w:val="bl"/>
    <w:basedOn w:val="BoxText"/>
    <w:qFormat/>
    <w:rsid w:val="00D96FA5"/>
    <w:pPr>
      <w:ind w:left="1559" w:hanging="425"/>
    </w:pPr>
  </w:style>
  <w:style w:type="paragraph" w:customStyle="1" w:styleId="BoxNote">
    <w:name w:val="BoxNote"/>
    <w:aliases w:val="bn"/>
    <w:basedOn w:val="BoxText"/>
    <w:qFormat/>
    <w:rsid w:val="00D96FA5"/>
    <w:pPr>
      <w:tabs>
        <w:tab w:val="left" w:pos="1985"/>
      </w:tabs>
      <w:spacing w:before="122" w:line="198" w:lineRule="exact"/>
      <w:ind w:left="2948" w:hanging="1814"/>
    </w:pPr>
    <w:rPr>
      <w:sz w:val="18"/>
    </w:rPr>
  </w:style>
  <w:style w:type="paragraph" w:customStyle="1" w:styleId="BoxPara">
    <w:name w:val="BoxPara"/>
    <w:aliases w:val="bp"/>
    <w:basedOn w:val="BoxText"/>
    <w:qFormat/>
    <w:rsid w:val="00D96FA5"/>
    <w:pPr>
      <w:tabs>
        <w:tab w:val="right" w:pos="2268"/>
      </w:tabs>
      <w:ind w:left="2552" w:hanging="1418"/>
    </w:pPr>
  </w:style>
  <w:style w:type="paragraph" w:customStyle="1" w:styleId="BoxStep">
    <w:name w:val="BoxStep"/>
    <w:aliases w:val="bs"/>
    <w:basedOn w:val="BoxText"/>
    <w:qFormat/>
    <w:rsid w:val="00D96FA5"/>
    <w:pPr>
      <w:ind w:left="1985" w:hanging="851"/>
    </w:pPr>
  </w:style>
  <w:style w:type="character" w:customStyle="1" w:styleId="CharAmPartNo">
    <w:name w:val="CharAmPartNo"/>
    <w:basedOn w:val="OPCCharBase"/>
    <w:qFormat/>
    <w:rsid w:val="00D96FA5"/>
  </w:style>
  <w:style w:type="character" w:customStyle="1" w:styleId="CharAmPartText">
    <w:name w:val="CharAmPartText"/>
    <w:basedOn w:val="OPCCharBase"/>
    <w:qFormat/>
    <w:rsid w:val="00D96FA5"/>
  </w:style>
  <w:style w:type="character" w:customStyle="1" w:styleId="CharBoldItalic">
    <w:name w:val="CharBoldItalic"/>
    <w:basedOn w:val="OPCCharBase"/>
    <w:uiPriority w:val="1"/>
    <w:qFormat/>
    <w:rsid w:val="00D96FA5"/>
    <w:rPr>
      <w:b/>
      <w:i/>
    </w:rPr>
  </w:style>
  <w:style w:type="character" w:customStyle="1" w:styleId="CharItalic">
    <w:name w:val="CharItalic"/>
    <w:basedOn w:val="OPCCharBase"/>
    <w:uiPriority w:val="1"/>
    <w:qFormat/>
    <w:rsid w:val="00D96FA5"/>
    <w:rPr>
      <w:i/>
    </w:rPr>
  </w:style>
  <w:style w:type="character" w:customStyle="1" w:styleId="CharSubdNo">
    <w:name w:val="CharSubdNo"/>
    <w:basedOn w:val="OPCCharBase"/>
    <w:uiPriority w:val="1"/>
    <w:qFormat/>
    <w:rsid w:val="00D96FA5"/>
  </w:style>
  <w:style w:type="character" w:customStyle="1" w:styleId="CharSubdText">
    <w:name w:val="CharSubdText"/>
    <w:basedOn w:val="OPCCharBase"/>
    <w:uiPriority w:val="1"/>
    <w:qFormat/>
    <w:rsid w:val="00D96FA5"/>
  </w:style>
  <w:style w:type="paragraph" w:customStyle="1" w:styleId="CTA--">
    <w:name w:val="CTA --"/>
    <w:basedOn w:val="OPCParaBase"/>
    <w:next w:val="Normal"/>
    <w:rsid w:val="00D96FA5"/>
    <w:pPr>
      <w:spacing w:before="60" w:line="240" w:lineRule="atLeast"/>
      <w:ind w:left="142" w:hanging="142"/>
    </w:pPr>
    <w:rPr>
      <w:sz w:val="20"/>
    </w:rPr>
  </w:style>
  <w:style w:type="paragraph" w:customStyle="1" w:styleId="CTA-">
    <w:name w:val="CTA -"/>
    <w:basedOn w:val="OPCParaBase"/>
    <w:rsid w:val="00D96FA5"/>
    <w:pPr>
      <w:spacing w:before="60" w:line="240" w:lineRule="atLeast"/>
      <w:ind w:left="85" w:hanging="85"/>
    </w:pPr>
    <w:rPr>
      <w:sz w:val="20"/>
    </w:rPr>
  </w:style>
  <w:style w:type="paragraph" w:customStyle="1" w:styleId="CTA---">
    <w:name w:val="CTA ---"/>
    <w:basedOn w:val="OPCParaBase"/>
    <w:next w:val="Normal"/>
    <w:rsid w:val="00D96FA5"/>
    <w:pPr>
      <w:spacing w:before="60" w:line="240" w:lineRule="atLeast"/>
      <w:ind w:left="198" w:hanging="198"/>
    </w:pPr>
    <w:rPr>
      <w:sz w:val="20"/>
    </w:rPr>
  </w:style>
  <w:style w:type="paragraph" w:customStyle="1" w:styleId="CTA----">
    <w:name w:val="CTA ----"/>
    <w:basedOn w:val="OPCParaBase"/>
    <w:next w:val="Normal"/>
    <w:rsid w:val="00D96FA5"/>
    <w:pPr>
      <w:spacing w:before="60" w:line="240" w:lineRule="atLeast"/>
      <w:ind w:left="255" w:hanging="255"/>
    </w:pPr>
    <w:rPr>
      <w:sz w:val="20"/>
    </w:rPr>
  </w:style>
  <w:style w:type="paragraph" w:customStyle="1" w:styleId="CTA1a">
    <w:name w:val="CTA 1(a)"/>
    <w:basedOn w:val="OPCParaBase"/>
    <w:rsid w:val="00D96FA5"/>
    <w:pPr>
      <w:tabs>
        <w:tab w:val="right" w:pos="414"/>
      </w:tabs>
      <w:spacing w:before="40" w:line="240" w:lineRule="atLeast"/>
      <w:ind w:left="675" w:hanging="675"/>
    </w:pPr>
    <w:rPr>
      <w:sz w:val="20"/>
    </w:rPr>
  </w:style>
  <w:style w:type="paragraph" w:customStyle="1" w:styleId="CTA1ai">
    <w:name w:val="CTA 1(a)(i)"/>
    <w:basedOn w:val="OPCParaBase"/>
    <w:rsid w:val="00D96FA5"/>
    <w:pPr>
      <w:tabs>
        <w:tab w:val="right" w:pos="1004"/>
      </w:tabs>
      <w:spacing w:before="40" w:line="240" w:lineRule="atLeast"/>
      <w:ind w:left="1253" w:hanging="1253"/>
    </w:pPr>
    <w:rPr>
      <w:sz w:val="20"/>
    </w:rPr>
  </w:style>
  <w:style w:type="paragraph" w:customStyle="1" w:styleId="CTA2a">
    <w:name w:val="CTA 2(a)"/>
    <w:basedOn w:val="OPCParaBase"/>
    <w:rsid w:val="00D96FA5"/>
    <w:pPr>
      <w:tabs>
        <w:tab w:val="right" w:pos="482"/>
      </w:tabs>
      <w:spacing w:before="40" w:line="240" w:lineRule="atLeast"/>
      <w:ind w:left="748" w:hanging="748"/>
    </w:pPr>
    <w:rPr>
      <w:sz w:val="20"/>
    </w:rPr>
  </w:style>
  <w:style w:type="paragraph" w:customStyle="1" w:styleId="CTA2ai">
    <w:name w:val="CTA 2(a)(i)"/>
    <w:basedOn w:val="OPCParaBase"/>
    <w:rsid w:val="00D96FA5"/>
    <w:pPr>
      <w:tabs>
        <w:tab w:val="right" w:pos="1089"/>
      </w:tabs>
      <w:spacing w:before="40" w:line="240" w:lineRule="atLeast"/>
      <w:ind w:left="1327" w:hanging="1327"/>
    </w:pPr>
    <w:rPr>
      <w:sz w:val="20"/>
    </w:rPr>
  </w:style>
  <w:style w:type="paragraph" w:customStyle="1" w:styleId="CTA3a">
    <w:name w:val="CTA 3(a)"/>
    <w:basedOn w:val="OPCParaBase"/>
    <w:rsid w:val="00D96FA5"/>
    <w:pPr>
      <w:tabs>
        <w:tab w:val="right" w:pos="556"/>
      </w:tabs>
      <w:spacing w:before="40" w:line="240" w:lineRule="atLeast"/>
      <w:ind w:left="805" w:hanging="805"/>
    </w:pPr>
    <w:rPr>
      <w:sz w:val="20"/>
    </w:rPr>
  </w:style>
  <w:style w:type="paragraph" w:customStyle="1" w:styleId="CTA3ai">
    <w:name w:val="CTA 3(a)(i)"/>
    <w:basedOn w:val="OPCParaBase"/>
    <w:rsid w:val="00D96FA5"/>
    <w:pPr>
      <w:tabs>
        <w:tab w:val="right" w:pos="1140"/>
      </w:tabs>
      <w:spacing w:before="40" w:line="240" w:lineRule="atLeast"/>
      <w:ind w:left="1361" w:hanging="1361"/>
    </w:pPr>
    <w:rPr>
      <w:sz w:val="20"/>
    </w:rPr>
  </w:style>
  <w:style w:type="paragraph" w:customStyle="1" w:styleId="CTA4a">
    <w:name w:val="CTA 4(a)"/>
    <w:basedOn w:val="OPCParaBase"/>
    <w:rsid w:val="00D96FA5"/>
    <w:pPr>
      <w:tabs>
        <w:tab w:val="right" w:pos="624"/>
      </w:tabs>
      <w:spacing w:before="40" w:line="240" w:lineRule="atLeast"/>
      <w:ind w:left="873" w:hanging="873"/>
    </w:pPr>
    <w:rPr>
      <w:sz w:val="20"/>
    </w:rPr>
  </w:style>
  <w:style w:type="paragraph" w:customStyle="1" w:styleId="CTA4ai">
    <w:name w:val="CTA 4(a)(i)"/>
    <w:basedOn w:val="OPCParaBase"/>
    <w:rsid w:val="00D96FA5"/>
    <w:pPr>
      <w:tabs>
        <w:tab w:val="right" w:pos="1213"/>
      </w:tabs>
      <w:spacing w:before="40" w:line="240" w:lineRule="atLeast"/>
      <w:ind w:left="1452" w:hanging="1452"/>
    </w:pPr>
    <w:rPr>
      <w:sz w:val="20"/>
    </w:rPr>
  </w:style>
  <w:style w:type="paragraph" w:customStyle="1" w:styleId="CTACAPS">
    <w:name w:val="CTA CAPS"/>
    <w:basedOn w:val="OPCParaBase"/>
    <w:rsid w:val="00D96FA5"/>
    <w:pPr>
      <w:spacing w:before="60" w:line="240" w:lineRule="atLeast"/>
    </w:pPr>
    <w:rPr>
      <w:sz w:val="20"/>
    </w:rPr>
  </w:style>
  <w:style w:type="paragraph" w:customStyle="1" w:styleId="CTAright">
    <w:name w:val="CTA right"/>
    <w:basedOn w:val="OPCParaBase"/>
    <w:rsid w:val="00D96FA5"/>
    <w:pPr>
      <w:spacing w:before="60" w:line="240" w:lineRule="auto"/>
      <w:jc w:val="right"/>
    </w:pPr>
    <w:rPr>
      <w:sz w:val="20"/>
    </w:rPr>
  </w:style>
  <w:style w:type="paragraph" w:customStyle="1" w:styleId="subsection">
    <w:name w:val="subsection"/>
    <w:aliases w:val="ss"/>
    <w:basedOn w:val="OPCParaBase"/>
    <w:link w:val="subsectionChar"/>
    <w:rsid w:val="00D96FA5"/>
    <w:pPr>
      <w:tabs>
        <w:tab w:val="right" w:pos="1021"/>
      </w:tabs>
      <w:spacing w:before="180" w:line="240" w:lineRule="auto"/>
      <w:ind w:left="1134" w:hanging="1134"/>
    </w:pPr>
  </w:style>
  <w:style w:type="paragraph" w:customStyle="1" w:styleId="Definition">
    <w:name w:val="Definition"/>
    <w:aliases w:val="dd"/>
    <w:basedOn w:val="OPCParaBase"/>
    <w:rsid w:val="00D96FA5"/>
    <w:pPr>
      <w:spacing w:before="180" w:line="240" w:lineRule="auto"/>
      <w:ind w:left="1134"/>
    </w:pPr>
  </w:style>
  <w:style w:type="paragraph" w:customStyle="1" w:styleId="ETAsubitem">
    <w:name w:val="ETA(subitem)"/>
    <w:basedOn w:val="OPCParaBase"/>
    <w:rsid w:val="00D96FA5"/>
    <w:pPr>
      <w:tabs>
        <w:tab w:val="right" w:pos="340"/>
      </w:tabs>
      <w:spacing w:before="60" w:line="240" w:lineRule="auto"/>
      <w:ind w:left="454" w:hanging="454"/>
    </w:pPr>
    <w:rPr>
      <w:sz w:val="20"/>
    </w:rPr>
  </w:style>
  <w:style w:type="paragraph" w:customStyle="1" w:styleId="ETApara">
    <w:name w:val="ETA(para)"/>
    <w:basedOn w:val="OPCParaBase"/>
    <w:rsid w:val="00D96FA5"/>
    <w:pPr>
      <w:tabs>
        <w:tab w:val="right" w:pos="754"/>
      </w:tabs>
      <w:spacing w:before="60" w:line="240" w:lineRule="auto"/>
      <w:ind w:left="828" w:hanging="828"/>
    </w:pPr>
    <w:rPr>
      <w:sz w:val="20"/>
    </w:rPr>
  </w:style>
  <w:style w:type="paragraph" w:customStyle="1" w:styleId="ETAsubpara">
    <w:name w:val="ETA(subpara)"/>
    <w:basedOn w:val="OPCParaBase"/>
    <w:rsid w:val="00D96FA5"/>
    <w:pPr>
      <w:tabs>
        <w:tab w:val="right" w:pos="1083"/>
      </w:tabs>
      <w:spacing w:before="60" w:line="240" w:lineRule="auto"/>
      <w:ind w:left="1191" w:hanging="1191"/>
    </w:pPr>
    <w:rPr>
      <w:sz w:val="20"/>
    </w:rPr>
  </w:style>
  <w:style w:type="paragraph" w:customStyle="1" w:styleId="ETAsub-subpara">
    <w:name w:val="ETA(sub-subpara)"/>
    <w:basedOn w:val="OPCParaBase"/>
    <w:rsid w:val="00D96FA5"/>
    <w:pPr>
      <w:tabs>
        <w:tab w:val="right" w:pos="1412"/>
      </w:tabs>
      <w:spacing w:before="60" w:line="240" w:lineRule="auto"/>
      <w:ind w:left="1525" w:hanging="1525"/>
    </w:pPr>
    <w:rPr>
      <w:sz w:val="20"/>
    </w:rPr>
  </w:style>
  <w:style w:type="paragraph" w:customStyle="1" w:styleId="House">
    <w:name w:val="House"/>
    <w:basedOn w:val="OPCParaBase"/>
    <w:rsid w:val="00D96FA5"/>
    <w:pPr>
      <w:spacing w:line="240" w:lineRule="auto"/>
    </w:pPr>
    <w:rPr>
      <w:sz w:val="28"/>
    </w:rPr>
  </w:style>
  <w:style w:type="paragraph" w:customStyle="1" w:styleId="Item">
    <w:name w:val="Item"/>
    <w:aliases w:val="i"/>
    <w:basedOn w:val="OPCParaBase"/>
    <w:next w:val="ItemHead"/>
    <w:rsid w:val="00D96FA5"/>
    <w:pPr>
      <w:keepLines/>
      <w:spacing w:before="80" w:line="240" w:lineRule="auto"/>
      <w:ind w:left="709"/>
    </w:pPr>
  </w:style>
  <w:style w:type="paragraph" w:customStyle="1" w:styleId="ItemHead">
    <w:name w:val="ItemHead"/>
    <w:aliases w:val="ih"/>
    <w:basedOn w:val="OPCParaBase"/>
    <w:next w:val="Item"/>
    <w:rsid w:val="00D96FA5"/>
    <w:pPr>
      <w:keepLines/>
      <w:spacing w:before="220" w:line="240" w:lineRule="auto"/>
      <w:ind w:left="709" w:hanging="709"/>
    </w:pPr>
    <w:rPr>
      <w:rFonts w:ascii="Arial" w:hAnsi="Arial"/>
      <w:b/>
      <w:kern w:val="28"/>
      <w:sz w:val="24"/>
    </w:rPr>
  </w:style>
  <w:style w:type="paragraph" w:customStyle="1" w:styleId="LongT">
    <w:name w:val="LongT"/>
    <w:basedOn w:val="OPCParaBase"/>
    <w:rsid w:val="00D96FA5"/>
    <w:pPr>
      <w:spacing w:line="240" w:lineRule="auto"/>
    </w:pPr>
    <w:rPr>
      <w:b/>
      <w:sz w:val="32"/>
    </w:rPr>
  </w:style>
  <w:style w:type="paragraph" w:customStyle="1" w:styleId="notedraft">
    <w:name w:val="note(draft)"/>
    <w:aliases w:val="nd"/>
    <w:basedOn w:val="OPCParaBase"/>
    <w:rsid w:val="00D96FA5"/>
    <w:pPr>
      <w:spacing w:before="240" w:line="240" w:lineRule="auto"/>
      <w:ind w:left="284" w:hanging="284"/>
    </w:pPr>
    <w:rPr>
      <w:i/>
      <w:sz w:val="24"/>
    </w:rPr>
  </w:style>
  <w:style w:type="paragraph" w:customStyle="1" w:styleId="notemargin">
    <w:name w:val="note(margin)"/>
    <w:aliases w:val="nm"/>
    <w:basedOn w:val="OPCParaBase"/>
    <w:rsid w:val="00D96FA5"/>
    <w:pPr>
      <w:tabs>
        <w:tab w:val="left" w:pos="709"/>
      </w:tabs>
      <w:spacing w:before="122" w:line="198" w:lineRule="exact"/>
      <w:ind w:left="709" w:hanging="709"/>
    </w:pPr>
    <w:rPr>
      <w:sz w:val="18"/>
    </w:rPr>
  </w:style>
  <w:style w:type="paragraph" w:customStyle="1" w:styleId="notepara">
    <w:name w:val="note(para)"/>
    <w:aliases w:val="na"/>
    <w:basedOn w:val="OPCParaBase"/>
    <w:rsid w:val="00D96FA5"/>
    <w:pPr>
      <w:spacing w:before="40" w:line="198" w:lineRule="exact"/>
      <w:ind w:left="2354" w:hanging="369"/>
    </w:pPr>
    <w:rPr>
      <w:sz w:val="18"/>
    </w:rPr>
  </w:style>
  <w:style w:type="paragraph" w:customStyle="1" w:styleId="noteParlAmend">
    <w:name w:val="note(ParlAmend)"/>
    <w:aliases w:val="npp"/>
    <w:basedOn w:val="OPCParaBase"/>
    <w:next w:val="ParlAmend"/>
    <w:rsid w:val="00D96FA5"/>
    <w:pPr>
      <w:spacing w:line="240" w:lineRule="auto"/>
      <w:jc w:val="right"/>
    </w:pPr>
    <w:rPr>
      <w:rFonts w:ascii="Arial" w:hAnsi="Arial"/>
      <w:b/>
      <w:i/>
    </w:rPr>
  </w:style>
  <w:style w:type="paragraph" w:customStyle="1" w:styleId="notetext">
    <w:name w:val="note(text)"/>
    <w:aliases w:val="n"/>
    <w:basedOn w:val="OPCParaBase"/>
    <w:rsid w:val="00D96FA5"/>
    <w:pPr>
      <w:spacing w:before="122" w:line="198" w:lineRule="exact"/>
      <w:ind w:left="1985" w:hanging="851"/>
    </w:pPr>
    <w:rPr>
      <w:sz w:val="18"/>
    </w:rPr>
  </w:style>
  <w:style w:type="paragraph" w:customStyle="1" w:styleId="Page1">
    <w:name w:val="Page1"/>
    <w:basedOn w:val="OPCParaBase"/>
    <w:rsid w:val="00D96FA5"/>
    <w:pPr>
      <w:spacing w:before="5600" w:line="240" w:lineRule="auto"/>
    </w:pPr>
    <w:rPr>
      <w:b/>
      <w:sz w:val="32"/>
    </w:rPr>
  </w:style>
  <w:style w:type="paragraph" w:customStyle="1" w:styleId="paragraphsub">
    <w:name w:val="paragraph(sub)"/>
    <w:aliases w:val="aa"/>
    <w:basedOn w:val="OPCParaBase"/>
    <w:rsid w:val="00D96FA5"/>
    <w:pPr>
      <w:tabs>
        <w:tab w:val="right" w:pos="1985"/>
      </w:tabs>
      <w:spacing w:before="40" w:line="240" w:lineRule="auto"/>
      <w:ind w:left="2098" w:hanging="2098"/>
    </w:pPr>
  </w:style>
  <w:style w:type="paragraph" w:customStyle="1" w:styleId="paragraphsub-sub">
    <w:name w:val="paragraph(sub-sub)"/>
    <w:aliases w:val="aaa"/>
    <w:basedOn w:val="OPCParaBase"/>
    <w:rsid w:val="00D96FA5"/>
    <w:pPr>
      <w:tabs>
        <w:tab w:val="right" w:pos="2722"/>
      </w:tabs>
      <w:spacing w:before="40" w:line="240" w:lineRule="auto"/>
      <w:ind w:left="2835" w:hanging="2835"/>
    </w:pPr>
  </w:style>
  <w:style w:type="paragraph" w:customStyle="1" w:styleId="paragraph">
    <w:name w:val="paragraph"/>
    <w:aliases w:val="a"/>
    <w:basedOn w:val="OPCParaBase"/>
    <w:rsid w:val="00D96FA5"/>
    <w:pPr>
      <w:tabs>
        <w:tab w:val="right" w:pos="1531"/>
      </w:tabs>
      <w:spacing w:before="40" w:line="240" w:lineRule="auto"/>
      <w:ind w:left="1644" w:hanging="1644"/>
    </w:pPr>
  </w:style>
  <w:style w:type="paragraph" w:customStyle="1" w:styleId="ParlAmend">
    <w:name w:val="ParlAmend"/>
    <w:aliases w:val="pp"/>
    <w:basedOn w:val="OPCParaBase"/>
    <w:rsid w:val="00D96FA5"/>
    <w:pPr>
      <w:spacing w:before="240" w:line="240" w:lineRule="atLeast"/>
      <w:ind w:hanging="567"/>
    </w:pPr>
    <w:rPr>
      <w:sz w:val="24"/>
    </w:rPr>
  </w:style>
  <w:style w:type="paragraph" w:customStyle="1" w:styleId="Portfolio">
    <w:name w:val="Portfolio"/>
    <w:basedOn w:val="OPCParaBase"/>
    <w:rsid w:val="00D96FA5"/>
    <w:pPr>
      <w:spacing w:line="240" w:lineRule="auto"/>
    </w:pPr>
    <w:rPr>
      <w:i/>
      <w:sz w:val="20"/>
    </w:rPr>
  </w:style>
  <w:style w:type="paragraph" w:customStyle="1" w:styleId="Preamble">
    <w:name w:val="Preamble"/>
    <w:basedOn w:val="OPCParaBase"/>
    <w:next w:val="Normal"/>
    <w:rsid w:val="00D96F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6FA5"/>
    <w:pPr>
      <w:spacing w:line="240" w:lineRule="auto"/>
    </w:pPr>
    <w:rPr>
      <w:i/>
      <w:sz w:val="20"/>
    </w:rPr>
  </w:style>
  <w:style w:type="paragraph" w:customStyle="1" w:styleId="Session">
    <w:name w:val="Session"/>
    <w:basedOn w:val="OPCParaBase"/>
    <w:rsid w:val="00D96FA5"/>
    <w:pPr>
      <w:spacing w:line="240" w:lineRule="auto"/>
    </w:pPr>
    <w:rPr>
      <w:sz w:val="28"/>
    </w:rPr>
  </w:style>
  <w:style w:type="paragraph" w:customStyle="1" w:styleId="Sponsor">
    <w:name w:val="Sponsor"/>
    <w:basedOn w:val="OPCParaBase"/>
    <w:rsid w:val="00D96FA5"/>
    <w:pPr>
      <w:spacing w:line="240" w:lineRule="auto"/>
    </w:pPr>
    <w:rPr>
      <w:i/>
    </w:rPr>
  </w:style>
  <w:style w:type="paragraph" w:customStyle="1" w:styleId="Subitem">
    <w:name w:val="Subitem"/>
    <w:aliases w:val="iss"/>
    <w:basedOn w:val="OPCParaBase"/>
    <w:rsid w:val="00D96FA5"/>
    <w:pPr>
      <w:spacing w:before="180" w:line="240" w:lineRule="auto"/>
      <w:ind w:left="709" w:hanging="709"/>
    </w:pPr>
  </w:style>
  <w:style w:type="paragraph" w:customStyle="1" w:styleId="SubitemHead">
    <w:name w:val="SubitemHead"/>
    <w:aliases w:val="issh"/>
    <w:basedOn w:val="OPCParaBase"/>
    <w:rsid w:val="00D96F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6FA5"/>
    <w:pPr>
      <w:spacing w:before="40" w:line="240" w:lineRule="auto"/>
      <w:ind w:left="1134"/>
    </w:pPr>
  </w:style>
  <w:style w:type="paragraph" w:customStyle="1" w:styleId="SubsectionHead">
    <w:name w:val="SubsectionHead"/>
    <w:aliases w:val="ssh"/>
    <w:basedOn w:val="OPCParaBase"/>
    <w:next w:val="subsection"/>
    <w:rsid w:val="00D96FA5"/>
    <w:pPr>
      <w:keepNext/>
      <w:keepLines/>
      <w:spacing w:before="240" w:line="240" w:lineRule="auto"/>
      <w:ind w:left="1134"/>
    </w:pPr>
    <w:rPr>
      <w:i/>
    </w:rPr>
  </w:style>
  <w:style w:type="paragraph" w:customStyle="1" w:styleId="Tablea">
    <w:name w:val="Table(a)"/>
    <w:aliases w:val="ta"/>
    <w:basedOn w:val="OPCParaBase"/>
    <w:rsid w:val="00D96FA5"/>
    <w:pPr>
      <w:spacing w:before="60" w:line="240" w:lineRule="auto"/>
      <w:ind w:left="284" w:hanging="284"/>
    </w:pPr>
    <w:rPr>
      <w:sz w:val="20"/>
    </w:rPr>
  </w:style>
  <w:style w:type="paragraph" w:customStyle="1" w:styleId="TableAA">
    <w:name w:val="Table(AA)"/>
    <w:aliases w:val="taaa"/>
    <w:basedOn w:val="OPCParaBase"/>
    <w:rsid w:val="00D96F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6F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6FA5"/>
    <w:pPr>
      <w:spacing w:before="60" w:line="240" w:lineRule="atLeast"/>
    </w:pPr>
    <w:rPr>
      <w:sz w:val="20"/>
    </w:rPr>
  </w:style>
  <w:style w:type="paragraph" w:customStyle="1" w:styleId="TLPBoxTextnote">
    <w:name w:val="TLPBoxText(note"/>
    <w:aliases w:val="right)"/>
    <w:basedOn w:val="OPCParaBase"/>
    <w:rsid w:val="00D96F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6FA5"/>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6FA5"/>
    <w:pPr>
      <w:spacing w:before="122" w:line="198" w:lineRule="exact"/>
      <w:ind w:left="1985" w:hanging="851"/>
      <w:jc w:val="right"/>
    </w:pPr>
    <w:rPr>
      <w:sz w:val="18"/>
    </w:rPr>
  </w:style>
  <w:style w:type="paragraph" w:customStyle="1" w:styleId="TLPTableBullet">
    <w:name w:val="TLPTableBullet"/>
    <w:aliases w:val="ttb"/>
    <w:basedOn w:val="OPCParaBase"/>
    <w:rsid w:val="00D96FA5"/>
    <w:pPr>
      <w:spacing w:line="240" w:lineRule="exact"/>
      <w:ind w:left="284" w:hanging="284"/>
    </w:pPr>
    <w:rPr>
      <w:sz w:val="20"/>
    </w:rPr>
  </w:style>
  <w:style w:type="paragraph" w:customStyle="1" w:styleId="TofSectsGroupHeading">
    <w:name w:val="TofSects(GroupHeading)"/>
    <w:basedOn w:val="OPCParaBase"/>
    <w:next w:val="TofSectsSection"/>
    <w:rsid w:val="00D96FA5"/>
    <w:pPr>
      <w:keepLines/>
      <w:spacing w:before="240" w:after="120" w:line="240" w:lineRule="auto"/>
      <w:ind w:left="794"/>
    </w:pPr>
    <w:rPr>
      <w:b/>
      <w:kern w:val="28"/>
      <w:sz w:val="20"/>
    </w:rPr>
  </w:style>
  <w:style w:type="paragraph" w:customStyle="1" w:styleId="TofSectsHeading">
    <w:name w:val="TofSects(Heading)"/>
    <w:basedOn w:val="OPCParaBase"/>
    <w:rsid w:val="00D96FA5"/>
    <w:pPr>
      <w:spacing w:before="240" w:after="120" w:line="240" w:lineRule="auto"/>
    </w:pPr>
    <w:rPr>
      <w:b/>
      <w:sz w:val="24"/>
    </w:rPr>
  </w:style>
  <w:style w:type="paragraph" w:customStyle="1" w:styleId="TofSectsSection">
    <w:name w:val="TofSects(Section)"/>
    <w:basedOn w:val="OPCParaBase"/>
    <w:rsid w:val="00D96FA5"/>
    <w:pPr>
      <w:keepLines/>
      <w:spacing w:before="40" w:line="240" w:lineRule="auto"/>
      <w:ind w:left="1588" w:hanging="794"/>
    </w:pPr>
    <w:rPr>
      <w:kern w:val="28"/>
      <w:sz w:val="18"/>
    </w:rPr>
  </w:style>
  <w:style w:type="paragraph" w:customStyle="1" w:styleId="TofSectsSubdiv">
    <w:name w:val="TofSects(Subdiv)"/>
    <w:basedOn w:val="OPCParaBase"/>
    <w:rsid w:val="00D96FA5"/>
    <w:pPr>
      <w:keepLines/>
      <w:spacing w:before="80" w:line="240" w:lineRule="auto"/>
      <w:ind w:left="1588" w:hanging="794"/>
    </w:pPr>
    <w:rPr>
      <w:kern w:val="28"/>
    </w:rPr>
  </w:style>
  <w:style w:type="paragraph" w:customStyle="1" w:styleId="WRStyle">
    <w:name w:val="WR Style"/>
    <w:aliases w:val="WR"/>
    <w:basedOn w:val="OPCParaBase"/>
    <w:rsid w:val="00D96FA5"/>
    <w:pPr>
      <w:spacing w:before="240" w:line="240" w:lineRule="auto"/>
      <w:ind w:left="284" w:hanging="284"/>
    </w:pPr>
    <w:rPr>
      <w:b/>
      <w:i/>
      <w:kern w:val="28"/>
      <w:sz w:val="24"/>
    </w:rPr>
  </w:style>
  <w:style w:type="numbering" w:customStyle="1" w:styleId="OPCBodyList">
    <w:name w:val="OPCBodyList"/>
    <w:uiPriority w:val="99"/>
    <w:rsid w:val="003139E4"/>
    <w:pPr>
      <w:numPr>
        <w:numId w:val="17"/>
      </w:numPr>
    </w:pPr>
  </w:style>
  <w:style w:type="paragraph" w:customStyle="1" w:styleId="noteToPara">
    <w:name w:val="noteToPara"/>
    <w:aliases w:val="ntp"/>
    <w:basedOn w:val="OPCParaBase"/>
    <w:rsid w:val="00D96FA5"/>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D96FA5"/>
    <w:rPr>
      <w:rFonts w:ascii="Tahoma" w:eastAsiaTheme="minorHAnsi" w:hAnsi="Tahoma" w:cs="Tahoma"/>
      <w:sz w:val="16"/>
      <w:szCs w:val="16"/>
      <w:lang w:eastAsia="en-US"/>
    </w:rPr>
  </w:style>
  <w:style w:type="table" w:customStyle="1" w:styleId="CFlag">
    <w:name w:val="CFlag"/>
    <w:basedOn w:val="TableNormal"/>
    <w:uiPriority w:val="99"/>
    <w:rsid w:val="00D96FA5"/>
    <w:tblPr>
      <w:tblInd w:w="0" w:type="dxa"/>
      <w:tblCellMar>
        <w:top w:w="0" w:type="dxa"/>
        <w:left w:w="108" w:type="dxa"/>
        <w:bottom w:w="0" w:type="dxa"/>
        <w:right w:w="108" w:type="dxa"/>
      </w:tblCellMar>
    </w:tblPr>
  </w:style>
  <w:style w:type="paragraph" w:customStyle="1" w:styleId="InstNo">
    <w:name w:val="InstNo"/>
    <w:basedOn w:val="OPCParaBase"/>
    <w:next w:val="Normal"/>
    <w:rsid w:val="00D96FA5"/>
    <w:rPr>
      <w:b/>
      <w:sz w:val="28"/>
      <w:szCs w:val="32"/>
    </w:rPr>
  </w:style>
  <w:style w:type="paragraph" w:customStyle="1" w:styleId="TerritoryT">
    <w:name w:val="TerritoryT"/>
    <w:basedOn w:val="OPCParaBase"/>
    <w:next w:val="Normal"/>
    <w:rsid w:val="00D96FA5"/>
    <w:rPr>
      <w:b/>
      <w:sz w:val="32"/>
    </w:rPr>
  </w:style>
  <w:style w:type="paragraph" w:customStyle="1" w:styleId="LegislationMadeUnder">
    <w:name w:val="LegislationMadeUnder"/>
    <w:basedOn w:val="OPCParaBase"/>
    <w:next w:val="Normal"/>
    <w:rsid w:val="00D96FA5"/>
    <w:rPr>
      <w:i/>
      <w:sz w:val="32"/>
      <w:szCs w:val="32"/>
    </w:rPr>
  </w:style>
  <w:style w:type="paragraph" w:customStyle="1" w:styleId="SignCoverPageEnd">
    <w:name w:val="SignCoverPageEnd"/>
    <w:basedOn w:val="OPCParaBase"/>
    <w:next w:val="Normal"/>
    <w:rsid w:val="00D96FA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D96FA5"/>
    <w:pPr>
      <w:pBdr>
        <w:top w:val="single" w:sz="4" w:space="1" w:color="auto"/>
      </w:pBdr>
      <w:spacing w:before="360"/>
      <w:ind w:right="397"/>
      <w:jc w:val="both"/>
    </w:pPr>
  </w:style>
  <w:style w:type="paragraph" w:customStyle="1" w:styleId="NotesHeading1">
    <w:name w:val="NotesHeading 1"/>
    <w:basedOn w:val="OPCParaBase"/>
    <w:next w:val="Normal"/>
    <w:rsid w:val="00D96FA5"/>
    <w:rPr>
      <w:b/>
      <w:sz w:val="28"/>
      <w:szCs w:val="28"/>
    </w:rPr>
  </w:style>
  <w:style w:type="paragraph" w:customStyle="1" w:styleId="NotesHeading2">
    <w:name w:val="NotesHeading 2"/>
    <w:basedOn w:val="OPCParaBase"/>
    <w:next w:val="Normal"/>
    <w:rsid w:val="00D96FA5"/>
    <w:rPr>
      <w:b/>
      <w:sz w:val="28"/>
      <w:szCs w:val="28"/>
    </w:rPr>
  </w:style>
  <w:style w:type="paragraph" w:customStyle="1" w:styleId="ENotesHeading1">
    <w:name w:val="ENotesHeading 1"/>
    <w:basedOn w:val="OPCParaBase"/>
    <w:next w:val="Normal"/>
    <w:rsid w:val="00D96FA5"/>
    <w:pPr>
      <w:outlineLvl w:val="0"/>
    </w:pPr>
    <w:rPr>
      <w:b/>
      <w:sz w:val="32"/>
      <w:szCs w:val="28"/>
    </w:rPr>
  </w:style>
  <w:style w:type="paragraph" w:customStyle="1" w:styleId="ENotesHeading2">
    <w:name w:val="ENotesHeading 2"/>
    <w:basedOn w:val="OPCParaBase"/>
    <w:next w:val="Normal"/>
    <w:rsid w:val="00D96FA5"/>
    <w:pPr>
      <w:outlineLvl w:val="6"/>
    </w:pPr>
    <w:rPr>
      <w:b/>
      <w:sz w:val="28"/>
      <w:szCs w:val="28"/>
    </w:rPr>
  </w:style>
  <w:style w:type="paragraph" w:customStyle="1" w:styleId="ENotesHeading3">
    <w:name w:val="ENotesHeading 3"/>
    <w:basedOn w:val="OPCParaBase"/>
    <w:next w:val="Normal"/>
    <w:rsid w:val="00D96FA5"/>
    <w:pPr>
      <w:outlineLvl w:val="7"/>
    </w:pPr>
    <w:rPr>
      <w:b/>
      <w:sz w:val="24"/>
      <w:szCs w:val="24"/>
    </w:rPr>
  </w:style>
  <w:style w:type="paragraph" w:customStyle="1" w:styleId="ENotesText">
    <w:name w:val="ENotesText"/>
    <w:basedOn w:val="OPCParaBase"/>
    <w:next w:val="Normal"/>
    <w:rsid w:val="00D96FA5"/>
  </w:style>
  <w:style w:type="paragraph" w:customStyle="1" w:styleId="CompiledActNo">
    <w:name w:val="CompiledActNo"/>
    <w:basedOn w:val="OPCParaBase"/>
    <w:next w:val="Normal"/>
    <w:rsid w:val="00D96FA5"/>
    <w:rPr>
      <w:b/>
      <w:sz w:val="24"/>
      <w:szCs w:val="24"/>
    </w:rPr>
  </w:style>
  <w:style w:type="paragraph" w:customStyle="1" w:styleId="CompiledMadeUnder">
    <w:name w:val="CompiledMadeUnder"/>
    <w:basedOn w:val="OPCParaBase"/>
    <w:next w:val="Normal"/>
    <w:rsid w:val="00D96FA5"/>
    <w:rPr>
      <w:i/>
      <w:sz w:val="24"/>
      <w:szCs w:val="24"/>
    </w:rPr>
  </w:style>
  <w:style w:type="paragraph" w:customStyle="1" w:styleId="Paragraphsub-sub-sub">
    <w:name w:val="Paragraph(sub-sub-sub)"/>
    <w:aliases w:val="aaaa"/>
    <w:basedOn w:val="OPCParaBase"/>
    <w:rsid w:val="00D96FA5"/>
    <w:pPr>
      <w:tabs>
        <w:tab w:val="right" w:pos="3402"/>
      </w:tabs>
      <w:spacing w:before="40" w:line="240" w:lineRule="auto"/>
      <w:ind w:left="3402" w:hanging="3402"/>
    </w:pPr>
  </w:style>
  <w:style w:type="paragraph" w:customStyle="1" w:styleId="SubPartCASA">
    <w:name w:val="SubPart(CASA)"/>
    <w:aliases w:val="csp"/>
    <w:basedOn w:val="OPCParaBase"/>
    <w:next w:val="ActHead3"/>
    <w:rsid w:val="00D96FA5"/>
    <w:pPr>
      <w:keepNext/>
      <w:keepLines/>
      <w:spacing w:before="280"/>
      <w:outlineLvl w:val="1"/>
    </w:pPr>
    <w:rPr>
      <w:b/>
      <w:kern w:val="28"/>
      <w:sz w:val="32"/>
    </w:rPr>
  </w:style>
  <w:style w:type="character" w:customStyle="1" w:styleId="subsectionChar">
    <w:name w:val="subsection Char"/>
    <w:aliases w:val="ss Char"/>
    <w:basedOn w:val="DefaultParagraphFont"/>
    <w:link w:val="subsection"/>
    <w:rsid w:val="003139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99637">
      <w:bodyDiv w:val="1"/>
      <w:marLeft w:val="0"/>
      <w:marRight w:val="0"/>
      <w:marTop w:val="0"/>
      <w:marBottom w:val="0"/>
      <w:divBdr>
        <w:top w:val="none" w:sz="0" w:space="0" w:color="auto"/>
        <w:left w:val="none" w:sz="0" w:space="0" w:color="auto"/>
        <w:bottom w:val="none" w:sz="0" w:space="0" w:color="auto"/>
        <w:right w:val="none" w:sz="0" w:space="0" w:color="auto"/>
      </w:divBdr>
    </w:div>
    <w:div w:id="17220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F8F2-205F-40C0-AE8E-DB0F13A6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18</Pages>
  <Words>3581</Words>
  <Characters>19714</Characters>
  <Application>Microsoft Office Word</Application>
  <DocSecurity>0</DocSecurity>
  <PresentationFormat/>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23249</CharactersWithSpaces>
  <SharedDoc>false</SharedDoc>
  <HyperlinkBase/>
  <HLinks>
    <vt:vector size="12" baseType="variant">
      <vt:variant>
        <vt:i4>6160468</vt:i4>
      </vt:variant>
      <vt:variant>
        <vt:i4>18</vt:i4>
      </vt:variant>
      <vt:variant>
        <vt:i4>0</vt:i4>
      </vt:variant>
      <vt:variant>
        <vt:i4>5</vt:i4>
      </vt:variant>
      <vt:variant>
        <vt:lpwstr>http://www.comlaw.gov.au/</vt:lpwstr>
      </vt:variant>
      <vt:variant>
        <vt:lpwstr/>
      </vt:variant>
      <vt:variant>
        <vt:i4>6422569</vt:i4>
      </vt:variant>
      <vt:variant>
        <vt:i4>15</vt:i4>
      </vt:variant>
      <vt:variant>
        <vt:i4>0</vt:i4>
      </vt:variant>
      <vt:variant>
        <vt:i4>5</vt:i4>
      </vt:variant>
      <vt:variant>
        <vt:lpwstr>http://www.austlii.edu.au/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2005-12-16T04:00:00Z</cp:lastPrinted>
  <dcterms:created xsi:type="dcterms:W3CDTF">2013-02-26T05:00:00Z</dcterms:created>
  <dcterms:modified xsi:type="dcterms:W3CDTF">2013-03-01T05:54:00Z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0</vt:lpwstr>
  </property>
  <property fmtid="{D5CDD505-2E9C-101B-9397-08002B2CF9AE}" pid="3" name="IndexMatter">
    <vt:lpwstr>1208481C</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ShortT">
    <vt:lpwstr>Australian Charities and Not_x001e_for_x001e_profits Commission Amendment Regulation 2013 (No. 1)</vt:lpwstr>
  </property>
  <property fmtid="{D5CDD505-2E9C-101B-9397-08002B2CF9AE}" pid="8" name="Class">
    <vt:lpwstr>Regulation</vt:lpwstr>
  </property>
  <property fmtid="{D5CDD505-2E9C-101B-9397-08002B2CF9AE}" pid="9" name="Type">
    <vt:lpwstr>SLI</vt:lpwstr>
  </property>
  <property fmtid="{D5CDD505-2E9C-101B-9397-08002B2CF9AE}" pid="10" name="DocType">
    <vt:lpwstr>AMD</vt:lpwstr>
  </property>
  <property fmtid="{D5CDD505-2E9C-101B-9397-08002B2CF9AE}" pid="11" name="Exco">
    <vt:lpwstr>Yes</vt:lpwstr>
  </property>
  <property fmtid="{D5CDD505-2E9C-101B-9397-08002B2CF9AE}" pid="12" name="Authority">
    <vt:lpwstr/>
  </property>
  <property fmtid="{D5CDD505-2E9C-101B-9397-08002B2CF9AE}" pid="13" name="DateMade">
    <vt:lpwstr>2013</vt:lpwstr>
  </property>
  <property fmtid="{D5CDD505-2E9C-101B-9397-08002B2CF9AE}" pid="14" name="ID">
    <vt:lpwstr>OPC50361</vt:lpwstr>
  </property>
  <property fmtid="{D5CDD505-2E9C-101B-9397-08002B2CF9AE}" pid="15" name="ActNo">
    <vt:lpwstr>No. 23, 2012</vt:lpwstr>
  </property>
  <property fmtid="{D5CDD505-2E9C-101B-9397-08002B2CF9AE}" pid="16" name="ExcoDate">
    <vt:lpwstr>01 March 2013</vt:lpwstr>
  </property>
</Properties>
</file>