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452" w:rsidRPr="0049400B" w:rsidRDefault="00BB6452" w:rsidP="0057159C">
      <w:r w:rsidRPr="0049400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92519188" r:id="rId9"/>
        </w:object>
      </w:r>
    </w:p>
    <w:p w:rsidR="00BB6452" w:rsidRPr="0049400B" w:rsidRDefault="00BB6452" w:rsidP="0057159C">
      <w:pPr>
        <w:pStyle w:val="ShortT"/>
        <w:spacing w:before="240"/>
      </w:pPr>
      <w:bookmarkStart w:id="0" w:name="_Hlk66373032"/>
      <w:r w:rsidRPr="0049400B">
        <w:t>Australian Charities and Not</w:t>
      </w:r>
      <w:r w:rsidR="0049400B">
        <w:noBreakHyphen/>
      </w:r>
      <w:r w:rsidRPr="0049400B">
        <w:t>for</w:t>
      </w:r>
      <w:r w:rsidR="0049400B">
        <w:noBreakHyphen/>
      </w:r>
      <w:r w:rsidRPr="0049400B">
        <w:t xml:space="preserve">profits Commission </w:t>
      </w:r>
      <w:r w:rsidR="0049400B">
        <w:t>Regulation 2</w:t>
      </w:r>
      <w:r w:rsidRPr="0049400B">
        <w:t>013</w:t>
      </w:r>
    </w:p>
    <w:bookmarkEnd w:id="0"/>
    <w:p w:rsidR="00BB6452" w:rsidRPr="0049400B" w:rsidRDefault="00BB6452" w:rsidP="0057159C">
      <w:pPr>
        <w:pStyle w:val="CompiledActNo"/>
        <w:spacing w:before="240"/>
      </w:pPr>
      <w:r w:rsidRPr="0049400B">
        <w:t>Select Legislative Instrument No.</w:t>
      </w:r>
      <w:r w:rsidR="002F2B52" w:rsidRPr="0049400B">
        <w:t> </w:t>
      </w:r>
      <w:r w:rsidRPr="0049400B">
        <w:t>22, 2013</w:t>
      </w:r>
    </w:p>
    <w:p w:rsidR="00BB6452" w:rsidRPr="0049400B" w:rsidRDefault="00BB6452" w:rsidP="00BB6452">
      <w:pPr>
        <w:pStyle w:val="MadeunderText"/>
      </w:pPr>
      <w:r w:rsidRPr="0049400B">
        <w:t>made under the</w:t>
      </w:r>
    </w:p>
    <w:p w:rsidR="00BB6452" w:rsidRPr="0049400B" w:rsidRDefault="00BB6452" w:rsidP="00BB6452">
      <w:pPr>
        <w:pStyle w:val="CompiledMadeUnder"/>
        <w:spacing w:before="240"/>
      </w:pPr>
      <w:r w:rsidRPr="0049400B">
        <w:t>Australian Charities and Not</w:t>
      </w:r>
      <w:r w:rsidR="0049400B">
        <w:noBreakHyphen/>
      </w:r>
      <w:r w:rsidRPr="0049400B">
        <w:t>for</w:t>
      </w:r>
      <w:r w:rsidR="0049400B">
        <w:noBreakHyphen/>
      </w:r>
      <w:r w:rsidRPr="0049400B">
        <w:t>profits Commission Act 2012</w:t>
      </w:r>
    </w:p>
    <w:p w:rsidR="00BB6452" w:rsidRPr="0049400B" w:rsidRDefault="00BB6452" w:rsidP="0057159C">
      <w:pPr>
        <w:spacing w:before="1000"/>
        <w:rPr>
          <w:rFonts w:cs="Arial"/>
          <w:b/>
          <w:sz w:val="32"/>
          <w:szCs w:val="32"/>
        </w:rPr>
      </w:pPr>
      <w:r w:rsidRPr="0049400B">
        <w:rPr>
          <w:rFonts w:cs="Arial"/>
          <w:b/>
          <w:sz w:val="32"/>
          <w:szCs w:val="32"/>
        </w:rPr>
        <w:t>Compilation No.</w:t>
      </w:r>
      <w:r w:rsidR="002F2B52" w:rsidRPr="0049400B">
        <w:rPr>
          <w:rFonts w:cs="Arial"/>
          <w:b/>
          <w:sz w:val="32"/>
          <w:szCs w:val="32"/>
        </w:rPr>
        <w:t> </w:t>
      </w:r>
      <w:r w:rsidRPr="0049400B">
        <w:rPr>
          <w:rFonts w:cs="Arial"/>
          <w:b/>
          <w:sz w:val="32"/>
          <w:szCs w:val="32"/>
        </w:rPr>
        <w:fldChar w:fldCharType="begin"/>
      </w:r>
      <w:r w:rsidRPr="0049400B">
        <w:rPr>
          <w:rFonts w:cs="Arial"/>
          <w:b/>
          <w:sz w:val="32"/>
          <w:szCs w:val="32"/>
        </w:rPr>
        <w:instrText xml:space="preserve"> DOCPROPERTY  CompilationNumber </w:instrText>
      </w:r>
      <w:r w:rsidRPr="0049400B">
        <w:rPr>
          <w:rFonts w:cs="Arial"/>
          <w:b/>
          <w:sz w:val="32"/>
          <w:szCs w:val="32"/>
        </w:rPr>
        <w:fldChar w:fldCharType="separate"/>
      </w:r>
      <w:r w:rsidR="00F9047D">
        <w:rPr>
          <w:rFonts w:cs="Arial"/>
          <w:b/>
          <w:sz w:val="32"/>
          <w:szCs w:val="32"/>
        </w:rPr>
        <w:t>8</w:t>
      </w:r>
      <w:r w:rsidRPr="0049400B">
        <w:rPr>
          <w:rFonts w:cs="Arial"/>
          <w:b/>
          <w:sz w:val="32"/>
          <w:szCs w:val="32"/>
        </w:rPr>
        <w:fldChar w:fldCharType="end"/>
      </w:r>
    </w:p>
    <w:p w:rsidR="00BB6452" w:rsidRPr="0049400B" w:rsidRDefault="008625B9" w:rsidP="004A5A19">
      <w:pPr>
        <w:tabs>
          <w:tab w:val="left" w:pos="3600"/>
        </w:tabs>
        <w:spacing w:before="480"/>
        <w:rPr>
          <w:rFonts w:cs="Arial"/>
          <w:sz w:val="24"/>
        </w:rPr>
      </w:pPr>
      <w:r w:rsidRPr="0049400B">
        <w:rPr>
          <w:rFonts w:cs="Arial"/>
          <w:b/>
          <w:sz w:val="24"/>
        </w:rPr>
        <w:t>Compilation date:</w:t>
      </w:r>
      <w:r w:rsidR="004A5A19" w:rsidRPr="0049400B">
        <w:rPr>
          <w:rFonts w:cs="Arial"/>
          <w:b/>
          <w:sz w:val="24"/>
        </w:rPr>
        <w:tab/>
      </w:r>
      <w:r w:rsidR="00BB6452" w:rsidRPr="00F9047D">
        <w:rPr>
          <w:rFonts w:cs="Arial"/>
          <w:sz w:val="24"/>
        </w:rPr>
        <w:fldChar w:fldCharType="begin"/>
      </w:r>
      <w:r w:rsidR="003666EB" w:rsidRPr="00F9047D">
        <w:rPr>
          <w:rFonts w:cs="Arial"/>
          <w:sz w:val="24"/>
        </w:rPr>
        <w:instrText>DOCPROPERTY StartDate \@ "d MMMM yyyy" \* MERGEFORMAT</w:instrText>
      </w:r>
      <w:r w:rsidR="00BB6452" w:rsidRPr="00F9047D">
        <w:rPr>
          <w:rFonts w:cs="Arial"/>
          <w:sz w:val="24"/>
        </w:rPr>
        <w:fldChar w:fldCharType="separate"/>
      </w:r>
      <w:r w:rsidR="00F9047D" w:rsidRPr="00F9047D">
        <w:rPr>
          <w:rFonts w:cs="Arial"/>
          <w:bCs/>
          <w:sz w:val="24"/>
        </w:rPr>
        <w:t>30</w:t>
      </w:r>
      <w:r w:rsidR="00F9047D" w:rsidRPr="00F9047D">
        <w:rPr>
          <w:rFonts w:cs="Arial"/>
          <w:sz w:val="24"/>
        </w:rPr>
        <w:t xml:space="preserve"> July 2021</w:t>
      </w:r>
      <w:r w:rsidR="00BB6452" w:rsidRPr="00F9047D">
        <w:rPr>
          <w:rFonts w:cs="Arial"/>
          <w:sz w:val="24"/>
        </w:rPr>
        <w:fldChar w:fldCharType="end"/>
      </w:r>
    </w:p>
    <w:p w:rsidR="00BB6452" w:rsidRPr="0049400B" w:rsidRDefault="00BB6452" w:rsidP="0057159C">
      <w:pPr>
        <w:spacing w:before="240"/>
        <w:rPr>
          <w:rFonts w:cs="Arial"/>
          <w:sz w:val="24"/>
        </w:rPr>
      </w:pPr>
      <w:r w:rsidRPr="0049400B">
        <w:rPr>
          <w:rFonts w:cs="Arial"/>
          <w:b/>
          <w:sz w:val="24"/>
        </w:rPr>
        <w:t>Includes amendments up to:</w:t>
      </w:r>
      <w:r w:rsidRPr="0049400B">
        <w:rPr>
          <w:rFonts w:cs="Arial"/>
          <w:b/>
          <w:sz w:val="24"/>
        </w:rPr>
        <w:tab/>
      </w:r>
      <w:r w:rsidRPr="00F9047D">
        <w:rPr>
          <w:rFonts w:cs="Arial"/>
          <w:sz w:val="24"/>
        </w:rPr>
        <w:fldChar w:fldCharType="begin"/>
      </w:r>
      <w:r w:rsidRPr="00F9047D">
        <w:rPr>
          <w:rFonts w:cs="Arial"/>
          <w:sz w:val="24"/>
        </w:rPr>
        <w:instrText xml:space="preserve"> DOCPROPERTY IncludesUpTo </w:instrText>
      </w:r>
      <w:r w:rsidRPr="00F9047D">
        <w:rPr>
          <w:rFonts w:cs="Arial"/>
          <w:sz w:val="24"/>
        </w:rPr>
        <w:fldChar w:fldCharType="separate"/>
      </w:r>
      <w:r w:rsidR="00F9047D" w:rsidRPr="00F9047D">
        <w:rPr>
          <w:rFonts w:cs="Arial"/>
          <w:sz w:val="24"/>
        </w:rPr>
        <w:t>F2021L00530</w:t>
      </w:r>
      <w:r w:rsidRPr="00F9047D">
        <w:rPr>
          <w:rFonts w:cs="Arial"/>
          <w:sz w:val="24"/>
        </w:rPr>
        <w:fldChar w:fldCharType="end"/>
      </w:r>
    </w:p>
    <w:p w:rsidR="00BB6452" w:rsidRPr="0049400B" w:rsidRDefault="00BB6452" w:rsidP="004A5A19">
      <w:pPr>
        <w:tabs>
          <w:tab w:val="left" w:pos="3600"/>
        </w:tabs>
        <w:spacing w:before="240" w:after="240"/>
        <w:rPr>
          <w:rFonts w:cs="Arial"/>
          <w:sz w:val="28"/>
          <w:szCs w:val="28"/>
        </w:rPr>
      </w:pPr>
      <w:r w:rsidRPr="0049400B">
        <w:rPr>
          <w:rFonts w:cs="Arial"/>
          <w:b/>
          <w:sz w:val="24"/>
        </w:rPr>
        <w:t>Registered:</w:t>
      </w:r>
      <w:r w:rsidR="004A5A19" w:rsidRPr="0049400B">
        <w:rPr>
          <w:rFonts w:cs="Arial"/>
          <w:b/>
          <w:sz w:val="24"/>
        </w:rPr>
        <w:tab/>
      </w:r>
      <w:r w:rsidRPr="00F9047D">
        <w:rPr>
          <w:rFonts w:cs="Arial"/>
          <w:sz w:val="24"/>
        </w:rPr>
        <w:fldChar w:fldCharType="begin"/>
      </w:r>
      <w:r w:rsidRPr="00F9047D">
        <w:rPr>
          <w:rFonts w:cs="Arial"/>
          <w:sz w:val="24"/>
        </w:rPr>
        <w:instrText xml:space="preserve"> IF </w:instrText>
      </w:r>
      <w:r w:rsidRPr="00F9047D">
        <w:rPr>
          <w:rFonts w:cs="Arial"/>
          <w:sz w:val="24"/>
        </w:rPr>
        <w:fldChar w:fldCharType="begin"/>
      </w:r>
      <w:r w:rsidRPr="00F9047D">
        <w:rPr>
          <w:rFonts w:cs="Arial"/>
          <w:sz w:val="24"/>
        </w:rPr>
        <w:instrText xml:space="preserve"> DOCPROPERTY RegisteredDate </w:instrText>
      </w:r>
      <w:r w:rsidRPr="00F9047D">
        <w:rPr>
          <w:rFonts w:cs="Arial"/>
          <w:sz w:val="24"/>
        </w:rPr>
        <w:fldChar w:fldCharType="separate"/>
      </w:r>
      <w:r w:rsidR="00F9047D" w:rsidRPr="00F9047D">
        <w:rPr>
          <w:rFonts w:cs="Arial"/>
          <w:sz w:val="24"/>
        </w:rPr>
        <w:instrText>7 September 2021</w:instrText>
      </w:r>
      <w:r w:rsidRPr="00F9047D">
        <w:rPr>
          <w:rFonts w:cs="Arial"/>
          <w:sz w:val="24"/>
        </w:rPr>
        <w:fldChar w:fldCharType="end"/>
      </w:r>
      <w:r w:rsidRPr="00F9047D">
        <w:rPr>
          <w:rFonts w:cs="Arial"/>
          <w:sz w:val="24"/>
        </w:rPr>
        <w:instrText xml:space="preserve"> = #1/1/1901# "Unknown" </w:instrText>
      </w:r>
      <w:r w:rsidRPr="00F9047D">
        <w:rPr>
          <w:rFonts w:cs="Arial"/>
          <w:sz w:val="24"/>
        </w:rPr>
        <w:fldChar w:fldCharType="begin"/>
      </w:r>
      <w:r w:rsidRPr="00F9047D">
        <w:rPr>
          <w:rFonts w:cs="Arial"/>
          <w:sz w:val="24"/>
        </w:rPr>
        <w:instrText xml:space="preserve"> DOCPROPERTY RegisteredDate \@ "d MMMM yyyy" </w:instrText>
      </w:r>
      <w:r w:rsidRPr="00F9047D">
        <w:rPr>
          <w:rFonts w:cs="Arial"/>
          <w:sz w:val="24"/>
        </w:rPr>
        <w:fldChar w:fldCharType="separate"/>
      </w:r>
      <w:r w:rsidR="00F9047D" w:rsidRPr="00F9047D">
        <w:rPr>
          <w:rFonts w:cs="Arial"/>
          <w:sz w:val="24"/>
        </w:rPr>
        <w:instrText>7 September 2021</w:instrText>
      </w:r>
      <w:r w:rsidRPr="00F9047D">
        <w:rPr>
          <w:rFonts w:cs="Arial"/>
          <w:sz w:val="24"/>
        </w:rPr>
        <w:fldChar w:fldCharType="end"/>
      </w:r>
      <w:r w:rsidRPr="00F9047D">
        <w:rPr>
          <w:rFonts w:cs="Arial"/>
          <w:sz w:val="24"/>
        </w:rPr>
        <w:instrText xml:space="preserve"> \*MERGEFORMAT </w:instrText>
      </w:r>
      <w:r w:rsidRPr="00F9047D">
        <w:rPr>
          <w:rFonts w:cs="Arial"/>
          <w:sz w:val="24"/>
        </w:rPr>
        <w:fldChar w:fldCharType="separate"/>
      </w:r>
      <w:r w:rsidR="00F9047D" w:rsidRPr="00F9047D">
        <w:rPr>
          <w:rFonts w:cs="Arial"/>
          <w:bCs/>
          <w:noProof/>
          <w:sz w:val="24"/>
        </w:rPr>
        <w:t>7</w:t>
      </w:r>
      <w:r w:rsidR="00F9047D" w:rsidRPr="00F9047D">
        <w:rPr>
          <w:rFonts w:cs="Arial"/>
          <w:noProof/>
          <w:sz w:val="24"/>
        </w:rPr>
        <w:t xml:space="preserve"> September 2021</w:t>
      </w:r>
      <w:r w:rsidRPr="00F9047D">
        <w:rPr>
          <w:rFonts w:cs="Arial"/>
          <w:sz w:val="24"/>
        </w:rPr>
        <w:fldChar w:fldCharType="end"/>
      </w:r>
    </w:p>
    <w:p w:rsidR="00BB6452" w:rsidRPr="0049400B" w:rsidRDefault="00BB6452" w:rsidP="0057159C">
      <w:pPr>
        <w:pageBreakBefore/>
        <w:rPr>
          <w:rFonts w:cs="Arial"/>
          <w:b/>
          <w:sz w:val="32"/>
          <w:szCs w:val="32"/>
        </w:rPr>
      </w:pPr>
      <w:r w:rsidRPr="0049400B">
        <w:rPr>
          <w:rFonts w:cs="Arial"/>
          <w:b/>
          <w:sz w:val="32"/>
          <w:szCs w:val="32"/>
        </w:rPr>
        <w:lastRenderedPageBreak/>
        <w:t>About this compilation</w:t>
      </w:r>
    </w:p>
    <w:p w:rsidR="00BB6452" w:rsidRPr="0049400B" w:rsidRDefault="00BB6452" w:rsidP="0057159C">
      <w:pPr>
        <w:spacing w:before="240"/>
        <w:rPr>
          <w:rFonts w:cs="Arial"/>
        </w:rPr>
      </w:pPr>
      <w:r w:rsidRPr="0049400B">
        <w:rPr>
          <w:rFonts w:cs="Arial"/>
          <w:b/>
          <w:szCs w:val="22"/>
        </w:rPr>
        <w:t>This compilation</w:t>
      </w:r>
    </w:p>
    <w:p w:rsidR="00BB6452" w:rsidRPr="0049400B" w:rsidRDefault="00BB6452" w:rsidP="0057159C">
      <w:pPr>
        <w:spacing w:before="120" w:after="120"/>
        <w:rPr>
          <w:rFonts w:cs="Arial"/>
          <w:szCs w:val="22"/>
        </w:rPr>
      </w:pPr>
      <w:r w:rsidRPr="0049400B">
        <w:rPr>
          <w:rFonts w:cs="Arial"/>
          <w:szCs w:val="22"/>
        </w:rPr>
        <w:t xml:space="preserve">This is a compilation of the </w:t>
      </w:r>
      <w:r w:rsidRPr="0049400B">
        <w:rPr>
          <w:rFonts w:cs="Arial"/>
          <w:i/>
          <w:szCs w:val="22"/>
        </w:rPr>
        <w:fldChar w:fldCharType="begin"/>
      </w:r>
      <w:r w:rsidRPr="0049400B">
        <w:rPr>
          <w:rFonts w:cs="Arial"/>
          <w:i/>
          <w:szCs w:val="22"/>
        </w:rPr>
        <w:instrText xml:space="preserve"> STYLEREF  ShortT </w:instrText>
      </w:r>
      <w:r w:rsidRPr="0049400B">
        <w:rPr>
          <w:rFonts w:cs="Arial"/>
          <w:i/>
          <w:szCs w:val="22"/>
        </w:rPr>
        <w:fldChar w:fldCharType="separate"/>
      </w:r>
      <w:r w:rsidR="00F9047D">
        <w:rPr>
          <w:rFonts w:cs="Arial"/>
          <w:i/>
          <w:noProof/>
          <w:szCs w:val="22"/>
        </w:rPr>
        <w:t>Australian Charities and Not-for-profits Commission Regulation 2013</w:t>
      </w:r>
      <w:r w:rsidRPr="0049400B">
        <w:rPr>
          <w:rFonts w:cs="Arial"/>
          <w:i/>
          <w:szCs w:val="22"/>
        </w:rPr>
        <w:fldChar w:fldCharType="end"/>
      </w:r>
      <w:r w:rsidRPr="0049400B">
        <w:rPr>
          <w:rFonts w:cs="Arial"/>
          <w:szCs w:val="22"/>
        </w:rPr>
        <w:t xml:space="preserve"> that shows the text of the law as amended and in force on </w:t>
      </w:r>
      <w:r w:rsidRPr="00F9047D">
        <w:rPr>
          <w:rFonts w:cs="Arial"/>
          <w:szCs w:val="22"/>
        </w:rPr>
        <w:fldChar w:fldCharType="begin"/>
      </w:r>
      <w:r w:rsidR="003666EB" w:rsidRPr="00F9047D">
        <w:rPr>
          <w:rFonts w:cs="Arial"/>
          <w:szCs w:val="22"/>
        </w:rPr>
        <w:instrText>DOCPROPERTY StartDate \@ "d MMMM yyyy" \* MERGEFORMAT</w:instrText>
      </w:r>
      <w:r w:rsidRPr="00F9047D">
        <w:rPr>
          <w:rFonts w:cs="Arial"/>
          <w:szCs w:val="22"/>
        </w:rPr>
        <w:fldChar w:fldCharType="separate"/>
      </w:r>
      <w:r w:rsidR="00F9047D" w:rsidRPr="00F9047D">
        <w:rPr>
          <w:rFonts w:cs="Arial"/>
          <w:szCs w:val="22"/>
        </w:rPr>
        <w:t>30 July 2021</w:t>
      </w:r>
      <w:r w:rsidRPr="00F9047D">
        <w:rPr>
          <w:rFonts w:cs="Arial"/>
          <w:szCs w:val="22"/>
        </w:rPr>
        <w:fldChar w:fldCharType="end"/>
      </w:r>
      <w:r w:rsidRPr="0049400B">
        <w:rPr>
          <w:rFonts w:cs="Arial"/>
          <w:szCs w:val="22"/>
        </w:rPr>
        <w:t xml:space="preserve"> (the </w:t>
      </w:r>
      <w:r w:rsidRPr="0049400B">
        <w:rPr>
          <w:rFonts w:cs="Arial"/>
          <w:b/>
          <w:i/>
          <w:szCs w:val="22"/>
        </w:rPr>
        <w:t>compilation date</w:t>
      </w:r>
      <w:r w:rsidRPr="0049400B">
        <w:rPr>
          <w:rFonts w:cs="Arial"/>
          <w:szCs w:val="22"/>
        </w:rPr>
        <w:t>).</w:t>
      </w:r>
    </w:p>
    <w:p w:rsidR="00BB6452" w:rsidRPr="0049400B" w:rsidRDefault="00BB6452" w:rsidP="0057159C">
      <w:pPr>
        <w:spacing w:after="120"/>
        <w:rPr>
          <w:rFonts w:cs="Arial"/>
          <w:szCs w:val="22"/>
        </w:rPr>
      </w:pPr>
      <w:r w:rsidRPr="0049400B">
        <w:rPr>
          <w:rFonts w:cs="Arial"/>
          <w:szCs w:val="22"/>
        </w:rPr>
        <w:t xml:space="preserve">The notes at the end of this compilation (the </w:t>
      </w:r>
      <w:r w:rsidRPr="0049400B">
        <w:rPr>
          <w:rFonts w:cs="Arial"/>
          <w:b/>
          <w:i/>
          <w:szCs w:val="22"/>
        </w:rPr>
        <w:t>endnotes</w:t>
      </w:r>
      <w:r w:rsidRPr="0049400B">
        <w:rPr>
          <w:rFonts w:cs="Arial"/>
          <w:szCs w:val="22"/>
        </w:rPr>
        <w:t>) include information about amending laws and the amendment history of provisions of the compiled law.</w:t>
      </w:r>
    </w:p>
    <w:p w:rsidR="00BB6452" w:rsidRPr="0049400B" w:rsidRDefault="00BB6452" w:rsidP="0057159C">
      <w:pPr>
        <w:tabs>
          <w:tab w:val="left" w:pos="5640"/>
        </w:tabs>
        <w:spacing w:before="120" w:after="120"/>
        <w:rPr>
          <w:rFonts w:cs="Arial"/>
          <w:b/>
          <w:szCs w:val="22"/>
        </w:rPr>
      </w:pPr>
      <w:r w:rsidRPr="0049400B">
        <w:rPr>
          <w:rFonts w:cs="Arial"/>
          <w:b/>
          <w:szCs w:val="22"/>
        </w:rPr>
        <w:t>Uncommenced amendments</w:t>
      </w:r>
    </w:p>
    <w:p w:rsidR="00BB6452" w:rsidRPr="0049400B" w:rsidRDefault="00BB6452" w:rsidP="0057159C">
      <w:pPr>
        <w:spacing w:after="120"/>
        <w:rPr>
          <w:rFonts w:cs="Arial"/>
          <w:szCs w:val="22"/>
        </w:rPr>
      </w:pPr>
      <w:r w:rsidRPr="0049400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B6452" w:rsidRPr="0049400B" w:rsidRDefault="00BB6452" w:rsidP="0057159C">
      <w:pPr>
        <w:spacing w:before="120" w:after="120"/>
        <w:rPr>
          <w:rFonts w:cs="Arial"/>
          <w:b/>
          <w:szCs w:val="22"/>
        </w:rPr>
      </w:pPr>
      <w:r w:rsidRPr="0049400B">
        <w:rPr>
          <w:rFonts w:cs="Arial"/>
          <w:b/>
          <w:szCs w:val="22"/>
        </w:rPr>
        <w:t>Application, saving and transitional provisions for provisions and amendments</w:t>
      </w:r>
    </w:p>
    <w:p w:rsidR="00BB6452" w:rsidRPr="0049400B" w:rsidRDefault="00BB6452" w:rsidP="0057159C">
      <w:pPr>
        <w:spacing w:after="120"/>
        <w:rPr>
          <w:rFonts w:cs="Arial"/>
          <w:szCs w:val="22"/>
        </w:rPr>
      </w:pPr>
      <w:r w:rsidRPr="0049400B">
        <w:rPr>
          <w:rFonts w:cs="Arial"/>
          <w:szCs w:val="22"/>
        </w:rPr>
        <w:t>If the operation of a provision or amendment of the compiled law is affected by an application, saving or transitional provision that is not included in this compilation, details are included in the endnotes.</w:t>
      </w:r>
    </w:p>
    <w:p w:rsidR="00BB6452" w:rsidRPr="0049400B" w:rsidRDefault="00BB6452" w:rsidP="0057159C">
      <w:pPr>
        <w:spacing w:after="120"/>
        <w:rPr>
          <w:rFonts w:cs="Arial"/>
          <w:b/>
          <w:szCs w:val="22"/>
        </w:rPr>
      </w:pPr>
      <w:r w:rsidRPr="0049400B">
        <w:rPr>
          <w:rFonts w:cs="Arial"/>
          <w:b/>
          <w:szCs w:val="22"/>
        </w:rPr>
        <w:t>Editorial changes</w:t>
      </w:r>
    </w:p>
    <w:p w:rsidR="00BB6452" w:rsidRPr="0049400B" w:rsidRDefault="00BB6452" w:rsidP="0057159C">
      <w:pPr>
        <w:spacing w:after="120"/>
        <w:rPr>
          <w:rFonts w:cs="Arial"/>
          <w:szCs w:val="22"/>
        </w:rPr>
      </w:pPr>
      <w:r w:rsidRPr="0049400B">
        <w:rPr>
          <w:rFonts w:cs="Arial"/>
          <w:szCs w:val="22"/>
        </w:rPr>
        <w:t>For more information about any editorial changes made in this compilation, see the endnotes.</w:t>
      </w:r>
    </w:p>
    <w:p w:rsidR="00BB6452" w:rsidRPr="0049400B" w:rsidRDefault="00BB6452" w:rsidP="0057159C">
      <w:pPr>
        <w:spacing w:before="120" w:after="120"/>
        <w:rPr>
          <w:rFonts w:cs="Arial"/>
          <w:b/>
          <w:szCs w:val="22"/>
        </w:rPr>
      </w:pPr>
      <w:r w:rsidRPr="0049400B">
        <w:rPr>
          <w:rFonts w:cs="Arial"/>
          <w:b/>
          <w:szCs w:val="22"/>
        </w:rPr>
        <w:t>Modifications</w:t>
      </w:r>
    </w:p>
    <w:p w:rsidR="00BB6452" w:rsidRPr="0049400B" w:rsidRDefault="00BB6452" w:rsidP="0057159C">
      <w:pPr>
        <w:spacing w:after="120"/>
        <w:rPr>
          <w:rFonts w:cs="Arial"/>
          <w:szCs w:val="22"/>
        </w:rPr>
      </w:pPr>
      <w:r w:rsidRPr="0049400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B6452" w:rsidRPr="0049400B" w:rsidRDefault="00BB6452" w:rsidP="0057159C">
      <w:pPr>
        <w:spacing w:before="80" w:after="120"/>
        <w:rPr>
          <w:rFonts w:cs="Arial"/>
          <w:b/>
          <w:szCs w:val="22"/>
        </w:rPr>
      </w:pPr>
      <w:r w:rsidRPr="0049400B">
        <w:rPr>
          <w:rFonts w:cs="Arial"/>
          <w:b/>
          <w:szCs w:val="22"/>
        </w:rPr>
        <w:t>Self</w:t>
      </w:r>
      <w:r w:rsidR="0049400B">
        <w:rPr>
          <w:rFonts w:cs="Arial"/>
          <w:b/>
          <w:szCs w:val="22"/>
        </w:rPr>
        <w:noBreakHyphen/>
      </w:r>
      <w:r w:rsidRPr="0049400B">
        <w:rPr>
          <w:rFonts w:cs="Arial"/>
          <w:b/>
          <w:szCs w:val="22"/>
        </w:rPr>
        <w:t>repealing provisions</w:t>
      </w:r>
    </w:p>
    <w:p w:rsidR="00BB6452" w:rsidRPr="0049400B" w:rsidRDefault="00BB6452" w:rsidP="0057159C">
      <w:pPr>
        <w:spacing w:after="120"/>
        <w:rPr>
          <w:rFonts w:cs="Arial"/>
          <w:szCs w:val="22"/>
        </w:rPr>
      </w:pPr>
      <w:r w:rsidRPr="0049400B">
        <w:rPr>
          <w:rFonts w:cs="Arial"/>
          <w:szCs w:val="22"/>
        </w:rPr>
        <w:t>If a provision of the compiled law has been repealed in accordance with a provision of the law, details are included in the endnotes.</w:t>
      </w:r>
    </w:p>
    <w:p w:rsidR="00BB6452" w:rsidRPr="0049400B" w:rsidRDefault="00BB6452" w:rsidP="0057159C">
      <w:pPr>
        <w:pStyle w:val="Header"/>
        <w:tabs>
          <w:tab w:val="clear" w:pos="4150"/>
          <w:tab w:val="clear" w:pos="8307"/>
        </w:tabs>
      </w:pPr>
      <w:r w:rsidRPr="0049400B">
        <w:rPr>
          <w:rStyle w:val="CharChapNo"/>
        </w:rPr>
        <w:t xml:space="preserve"> </w:t>
      </w:r>
      <w:r w:rsidRPr="0049400B">
        <w:rPr>
          <w:rStyle w:val="CharChapText"/>
        </w:rPr>
        <w:t xml:space="preserve"> </w:t>
      </w:r>
    </w:p>
    <w:p w:rsidR="00BB6452" w:rsidRPr="0049400B" w:rsidRDefault="00BB6452" w:rsidP="0057159C">
      <w:pPr>
        <w:pStyle w:val="Header"/>
        <w:tabs>
          <w:tab w:val="clear" w:pos="4150"/>
          <w:tab w:val="clear" w:pos="8307"/>
        </w:tabs>
      </w:pPr>
      <w:r w:rsidRPr="0049400B">
        <w:rPr>
          <w:rStyle w:val="CharPartNo"/>
        </w:rPr>
        <w:t xml:space="preserve"> </w:t>
      </w:r>
      <w:r w:rsidRPr="0049400B">
        <w:rPr>
          <w:rStyle w:val="CharPartText"/>
        </w:rPr>
        <w:t xml:space="preserve"> </w:t>
      </w:r>
    </w:p>
    <w:p w:rsidR="00BB6452" w:rsidRPr="0049400B" w:rsidRDefault="00BB6452" w:rsidP="0057159C">
      <w:pPr>
        <w:pStyle w:val="Header"/>
        <w:tabs>
          <w:tab w:val="clear" w:pos="4150"/>
          <w:tab w:val="clear" w:pos="8307"/>
        </w:tabs>
      </w:pPr>
      <w:r w:rsidRPr="0049400B">
        <w:rPr>
          <w:rStyle w:val="CharDivNo"/>
        </w:rPr>
        <w:t xml:space="preserve"> </w:t>
      </w:r>
      <w:r w:rsidRPr="0049400B">
        <w:rPr>
          <w:rStyle w:val="CharDivText"/>
        </w:rPr>
        <w:t xml:space="preserve"> </w:t>
      </w:r>
    </w:p>
    <w:p w:rsidR="00BB6452" w:rsidRPr="0049400B" w:rsidRDefault="00BB6452" w:rsidP="0057159C">
      <w:pPr>
        <w:sectPr w:rsidR="00BB6452" w:rsidRPr="0049400B" w:rsidSect="000308A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5172" w:rsidRPr="0049400B" w:rsidRDefault="00F65172" w:rsidP="00291FD0">
      <w:pPr>
        <w:rPr>
          <w:sz w:val="36"/>
        </w:rPr>
      </w:pPr>
      <w:r w:rsidRPr="0049400B">
        <w:rPr>
          <w:sz w:val="36"/>
        </w:rPr>
        <w:lastRenderedPageBreak/>
        <w:t>Contents</w:t>
      </w:r>
    </w:p>
    <w:p w:rsidR="0049400B" w:rsidRDefault="002F5C51" w:rsidP="00CE1AC0">
      <w:pPr>
        <w:pStyle w:val="TOC2"/>
        <w:ind w:right="1792"/>
        <w:rPr>
          <w:rFonts w:asciiTheme="minorHAnsi" w:eastAsiaTheme="minorEastAsia" w:hAnsiTheme="minorHAnsi" w:cstheme="minorBidi"/>
          <w:b w:val="0"/>
          <w:noProof/>
          <w:kern w:val="0"/>
          <w:sz w:val="22"/>
          <w:szCs w:val="22"/>
        </w:rPr>
      </w:pPr>
      <w:r w:rsidRPr="0049400B">
        <w:fldChar w:fldCharType="begin"/>
      </w:r>
      <w:r w:rsidRPr="0049400B">
        <w:instrText xml:space="preserve"> TOC \o "1-9" </w:instrText>
      </w:r>
      <w:r w:rsidRPr="0049400B">
        <w:fldChar w:fldCharType="separate"/>
      </w:r>
      <w:r w:rsidR="0049400B">
        <w:rPr>
          <w:noProof/>
        </w:rPr>
        <w:t>Part 1—Preliminary</w:t>
      </w:r>
      <w:r w:rsidR="0049400B" w:rsidRPr="0049400B">
        <w:rPr>
          <w:b w:val="0"/>
          <w:noProof/>
          <w:sz w:val="18"/>
        </w:rPr>
        <w:tab/>
      </w:r>
      <w:r w:rsidR="0049400B" w:rsidRPr="0049400B">
        <w:rPr>
          <w:b w:val="0"/>
          <w:noProof/>
          <w:sz w:val="18"/>
        </w:rPr>
        <w:fldChar w:fldCharType="begin"/>
      </w:r>
      <w:r w:rsidR="0049400B" w:rsidRPr="0049400B">
        <w:rPr>
          <w:b w:val="0"/>
          <w:noProof/>
          <w:sz w:val="18"/>
        </w:rPr>
        <w:instrText xml:space="preserve"> PAGEREF _Toc81905154 \h </w:instrText>
      </w:r>
      <w:r w:rsidR="0049400B" w:rsidRPr="0049400B">
        <w:rPr>
          <w:b w:val="0"/>
          <w:noProof/>
          <w:sz w:val="18"/>
        </w:rPr>
      </w:r>
      <w:r w:rsidR="0049400B" w:rsidRPr="0049400B">
        <w:rPr>
          <w:b w:val="0"/>
          <w:noProof/>
          <w:sz w:val="18"/>
        </w:rPr>
        <w:fldChar w:fldCharType="separate"/>
      </w:r>
      <w:r w:rsidR="00F9047D">
        <w:rPr>
          <w:b w:val="0"/>
          <w:noProof/>
          <w:sz w:val="18"/>
        </w:rPr>
        <w:t>1</w:t>
      </w:r>
      <w:r w:rsidR="0049400B"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1</w:t>
      </w:r>
      <w:r>
        <w:rPr>
          <w:noProof/>
        </w:rPr>
        <w:tab/>
        <w:t>Name of regulation</w:t>
      </w:r>
      <w:r w:rsidRPr="0049400B">
        <w:rPr>
          <w:noProof/>
        </w:rPr>
        <w:tab/>
      </w:r>
      <w:r w:rsidRPr="0049400B">
        <w:rPr>
          <w:noProof/>
        </w:rPr>
        <w:fldChar w:fldCharType="begin"/>
      </w:r>
      <w:r w:rsidRPr="0049400B">
        <w:rPr>
          <w:noProof/>
        </w:rPr>
        <w:instrText xml:space="preserve"> PAGEREF _Toc81905155 \h </w:instrText>
      </w:r>
      <w:r w:rsidRPr="0049400B">
        <w:rPr>
          <w:noProof/>
        </w:rPr>
      </w:r>
      <w:r w:rsidRPr="0049400B">
        <w:rPr>
          <w:noProof/>
        </w:rPr>
        <w:fldChar w:fldCharType="separate"/>
      </w:r>
      <w:r w:rsidR="00F9047D">
        <w:rPr>
          <w:noProof/>
        </w:rPr>
        <w:t>1</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49400B">
        <w:rPr>
          <w:noProof/>
        </w:rPr>
        <w:tab/>
      </w:r>
      <w:r w:rsidRPr="0049400B">
        <w:rPr>
          <w:noProof/>
        </w:rPr>
        <w:fldChar w:fldCharType="begin"/>
      </w:r>
      <w:r w:rsidRPr="0049400B">
        <w:rPr>
          <w:noProof/>
        </w:rPr>
        <w:instrText xml:space="preserve"> PAGEREF _Toc81905156 \h </w:instrText>
      </w:r>
      <w:r w:rsidRPr="0049400B">
        <w:rPr>
          <w:noProof/>
        </w:rPr>
      </w:r>
      <w:r w:rsidRPr="0049400B">
        <w:rPr>
          <w:noProof/>
        </w:rPr>
        <w:fldChar w:fldCharType="separate"/>
      </w:r>
      <w:r w:rsidR="00F9047D">
        <w:rPr>
          <w:noProof/>
        </w:rPr>
        <w:t>1</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w:t>
      </w:r>
      <w:r>
        <w:rPr>
          <w:noProof/>
        </w:rPr>
        <w:tab/>
        <w:t>Definitions</w:t>
      </w:r>
      <w:r w:rsidRPr="0049400B">
        <w:rPr>
          <w:noProof/>
        </w:rPr>
        <w:tab/>
      </w:r>
      <w:r w:rsidRPr="0049400B">
        <w:rPr>
          <w:noProof/>
        </w:rPr>
        <w:fldChar w:fldCharType="begin"/>
      </w:r>
      <w:r w:rsidRPr="0049400B">
        <w:rPr>
          <w:noProof/>
        </w:rPr>
        <w:instrText xml:space="preserve"> PAGEREF _Toc81905157 \h </w:instrText>
      </w:r>
      <w:r w:rsidRPr="0049400B">
        <w:rPr>
          <w:noProof/>
        </w:rPr>
      </w:r>
      <w:r w:rsidRPr="0049400B">
        <w:rPr>
          <w:noProof/>
        </w:rPr>
        <w:fldChar w:fldCharType="separate"/>
      </w:r>
      <w:r w:rsidR="00F9047D">
        <w:rPr>
          <w:noProof/>
        </w:rPr>
        <w:t>1</w:t>
      </w:r>
      <w:r w:rsidRPr="0049400B">
        <w:rPr>
          <w:noProof/>
        </w:rPr>
        <w:fldChar w:fldCharType="end"/>
      </w:r>
    </w:p>
    <w:p w:rsidR="0049400B" w:rsidRDefault="0049400B" w:rsidP="00CE1AC0">
      <w:pPr>
        <w:pStyle w:val="TOC2"/>
        <w:ind w:right="1792"/>
        <w:rPr>
          <w:rFonts w:asciiTheme="minorHAnsi" w:eastAsiaTheme="minorEastAsia" w:hAnsiTheme="minorHAnsi" w:cstheme="minorBidi"/>
          <w:b w:val="0"/>
          <w:noProof/>
          <w:kern w:val="0"/>
          <w:sz w:val="22"/>
          <w:szCs w:val="22"/>
        </w:rPr>
      </w:pPr>
      <w:r>
        <w:rPr>
          <w:noProof/>
        </w:rPr>
        <w:t>Part 2</w:t>
      </w:r>
      <w:r>
        <w:rPr>
          <w:noProof/>
        </w:rPr>
        <w:noBreakHyphen/>
        <w:t>2—Australian Charities and Not</w:t>
      </w:r>
      <w:r>
        <w:rPr>
          <w:noProof/>
        </w:rPr>
        <w:noBreakHyphen/>
        <w:t>for</w:t>
      </w:r>
      <w:r>
        <w:rPr>
          <w:noProof/>
        </w:rPr>
        <w:noBreakHyphen/>
        <w:t>profits Register</w:t>
      </w:r>
      <w:r w:rsidRPr="0049400B">
        <w:rPr>
          <w:b w:val="0"/>
          <w:noProof/>
          <w:sz w:val="18"/>
        </w:rPr>
        <w:tab/>
      </w:r>
      <w:r w:rsidRPr="0049400B">
        <w:rPr>
          <w:b w:val="0"/>
          <w:noProof/>
          <w:sz w:val="18"/>
        </w:rPr>
        <w:fldChar w:fldCharType="begin"/>
      </w:r>
      <w:r w:rsidRPr="0049400B">
        <w:rPr>
          <w:b w:val="0"/>
          <w:noProof/>
          <w:sz w:val="18"/>
        </w:rPr>
        <w:instrText xml:space="preserve"> PAGEREF _Toc81905158 \h </w:instrText>
      </w:r>
      <w:r w:rsidRPr="0049400B">
        <w:rPr>
          <w:b w:val="0"/>
          <w:noProof/>
          <w:sz w:val="18"/>
        </w:rPr>
      </w:r>
      <w:r w:rsidRPr="0049400B">
        <w:rPr>
          <w:b w:val="0"/>
          <w:noProof/>
          <w:sz w:val="18"/>
        </w:rPr>
        <w:fldChar w:fldCharType="separate"/>
      </w:r>
      <w:r w:rsidR="00F9047D">
        <w:rPr>
          <w:b w:val="0"/>
          <w:noProof/>
          <w:sz w:val="18"/>
        </w:rPr>
        <w:t>3</w:t>
      </w:r>
      <w:r w:rsidRPr="0049400B">
        <w:rPr>
          <w:b w:val="0"/>
          <w:noProof/>
          <w:sz w:val="18"/>
        </w:rPr>
        <w:fldChar w:fldCharType="end"/>
      </w:r>
    </w:p>
    <w:p w:rsidR="0049400B" w:rsidRDefault="0049400B" w:rsidP="00CE1AC0">
      <w:pPr>
        <w:pStyle w:val="TOC3"/>
        <w:ind w:right="1792"/>
        <w:rPr>
          <w:rFonts w:asciiTheme="minorHAnsi" w:eastAsiaTheme="minorEastAsia" w:hAnsiTheme="minorHAnsi" w:cstheme="minorBidi"/>
          <w:b w:val="0"/>
          <w:noProof/>
          <w:kern w:val="0"/>
          <w:szCs w:val="22"/>
        </w:rPr>
      </w:pPr>
      <w:r>
        <w:rPr>
          <w:noProof/>
        </w:rPr>
        <w:t>Division 40—Australian Charities and Not</w:t>
      </w:r>
      <w:r>
        <w:rPr>
          <w:noProof/>
        </w:rPr>
        <w:noBreakHyphen/>
        <w:t>for</w:t>
      </w:r>
      <w:r>
        <w:rPr>
          <w:noProof/>
        </w:rPr>
        <w:noBreakHyphen/>
        <w:t>profits Register</w:t>
      </w:r>
      <w:r w:rsidRPr="0049400B">
        <w:rPr>
          <w:b w:val="0"/>
          <w:noProof/>
          <w:sz w:val="18"/>
        </w:rPr>
        <w:tab/>
      </w:r>
      <w:r w:rsidRPr="0049400B">
        <w:rPr>
          <w:b w:val="0"/>
          <w:noProof/>
          <w:sz w:val="18"/>
        </w:rPr>
        <w:fldChar w:fldCharType="begin"/>
      </w:r>
      <w:r w:rsidRPr="0049400B">
        <w:rPr>
          <w:b w:val="0"/>
          <w:noProof/>
          <w:sz w:val="18"/>
        </w:rPr>
        <w:instrText xml:space="preserve"> PAGEREF _Toc81905159 \h </w:instrText>
      </w:r>
      <w:r w:rsidRPr="0049400B">
        <w:rPr>
          <w:b w:val="0"/>
          <w:noProof/>
          <w:sz w:val="18"/>
        </w:rPr>
      </w:r>
      <w:r w:rsidRPr="0049400B">
        <w:rPr>
          <w:b w:val="0"/>
          <w:noProof/>
          <w:sz w:val="18"/>
        </w:rPr>
        <w:fldChar w:fldCharType="separate"/>
      </w:r>
      <w:r w:rsidR="00F9047D">
        <w:rPr>
          <w:b w:val="0"/>
          <w:noProof/>
          <w:sz w:val="18"/>
        </w:rPr>
        <w:t>3</w:t>
      </w:r>
      <w:r w:rsidRPr="0049400B">
        <w:rPr>
          <w:b w:val="0"/>
          <w:noProof/>
          <w:sz w:val="18"/>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40</w:t>
      </w:r>
      <w:r>
        <w:rPr>
          <w:noProof/>
        </w:rPr>
        <w:noBreakHyphen/>
        <w:t>A—Additional information that must be included on Register</w:t>
      </w:r>
      <w:r w:rsidRPr="0049400B">
        <w:rPr>
          <w:b w:val="0"/>
          <w:noProof/>
          <w:sz w:val="18"/>
        </w:rPr>
        <w:tab/>
      </w:r>
      <w:r w:rsidRPr="0049400B">
        <w:rPr>
          <w:b w:val="0"/>
          <w:noProof/>
          <w:sz w:val="18"/>
        </w:rPr>
        <w:fldChar w:fldCharType="begin"/>
      </w:r>
      <w:r w:rsidRPr="0049400B">
        <w:rPr>
          <w:b w:val="0"/>
          <w:noProof/>
          <w:sz w:val="18"/>
        </w:rPr>
        <w:instrText xml:space="preserve"> PAGEREF _Toc81905160 \h </w:instrText>
      </w:r>
      <w:r w:rsidRPr="0049400B">
        <w:rPr>
          <w:b w:val="0"/>
          <w:noProof/>
          <w:sz w:val="18"/>
        </w:rPr>
      </w:r>
      <w:r w:rsidRPr="0049400B">
        <w:rPr>
          <w:b w:val="0"/>
          <w:noProof/>
          <w:sz w:val="18"/>
        </w:rPr>
        <w:fldChar w:fldCharType="separate"/>
      </w:r>
      <w:r w:rsidR="00F9047D">
        <w:rPr>
          <w:b w:val="0"/>
          <w:noProof/>
          <w:sz w:val="18"/>
        </w:rPr>
        <w:t>3</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40.1</w:t>
      </w:r>
      <w:r>
        <w:rPr>
          <w:noProof/>
        </w:rPr>
        <w:tab/>
        <w:t>Additional information that must be included on Register</w:t>
      </w:r>
      <w:r w:rsidRPr="0049400B">
        <w:rPr>
          <w:noProof/>
        </w:rPr>
        <w:tab/>
      </w:r>
      <w:r w:rsidRPr="0049400B">
        <w:rPr>
          <w:noProof/>
        </w:rPr>
        <w:fldChar w:fldCharType="begin"/>
      </w:r>
      <w:r w:rsidRPr="0049400B">
        <w:rPr>
          <w:noProof/>
        </w:rPr>
        <w:instrText xml:space="preserve"> PAGEREF _Toc81905161 \h </w:instrText>
      </w:r>
      <w:r w:rsidRPr="0049400B">
        <w:rPr>
          <w:noProof/>
        </w:rPr>
      </w:r>
      <w:r w:rsidRPr="0049400B">
        <w:rPr>
          <w:noProof/>
        </w:rPr>
        <w:fldChar w:fldCharType="separate"/>
      </w:r>
      <w:r w:rsidR="00F9047D">
        <w:rPr>
          <w:noProof/>
        </w:rPr>
        <w:t>3</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40</w:t>
      </w:r>
      <w:r>
        <w:rPr>
          <w:noProof/>
        </w:rPr>
        <w:noBreakHyphen/>
        <w:t>B—Information withheld or removed from Register</w:t>
      </w:r>
      <w:r w:rsidRPr="0049400B">
        <w:rPr>
          <w:b w:val="0"/>
          <w:noProof/>
          <w:sz w:val="18"/>
        </w:rPr>
        <w:tab/>
      </w:r>
      <w:r w:rsidRPr="0049400B">
        <w:rPr>
          <w:b w:val="0"/>
          <w:noProof/>
          <w:sz w:val="18"/>
        </w:rPr>
        <w:fldChar w:fldCharType="begin"/>
      </w:r>
      <w:r w:rsidRPr="0049400B">
        <w:rPr>
          <w:b w:val="0"/>
          <w:noProof/>
          <w:sz w:val="18"/>
        </w:rPr>
        <w:instrText xml:space="preserve"> PAGEREF _Toc81905162 \h </w:instrText>
      </w:r>
      <w:r w:rsidRPr="0049400B">
        <w:rPr>
          <w:b w:val="0"/>
          <w:noProof/>
          <w:sz w:val="18"/>
        </w:rPr>
      </w:r>
      <w:r w:rsidRPr="0049400B">
        <w:rPr>
          <w:b w:val="0"/>
          <w:noProof/>
          <w:sz w:val="18"/>
        </w:rPr>
        <w:fldChar w:fldCharType="separate"/>
      </w:r>
      <w:r w:rsidR="00F9047D">
        <w:rPr>
          <w:b w:val="0"/>
          <w:noProof/>
          <w:sz w:val="18"/>
        </w:rPr>
        <w:t>5</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40.10</w:t>
      </w:r>
      <w:r>
        <w:rPr>
          <w:noProof/>
        </w:rPr>
        <w:tab/>
        <w:t>Information withheld from Register</w:t>
      </w:r>
      <w:r w:rsidRPr="0049400B">
        <w:rPr>
          <w:noProof/>
        </w:rPr>
        <w:tab/>
      </w:r>
      <w:r w:rsidRPr="0049400B">
        <w:rPr>
          <w:noProof/>
        </w:rPr>
        <w:fldChar w:fldCharType="begin"/>
      </w:r>
      <w:r w:rsidRPr="0049400B">
        <w:rPr>
          <w:noProof/>
        </w:rPr>
        <w:instrText xml:space="preserve"> PAGEREF _Toc81905163 \h </w:instrText>
      </w:r>
      <w:r w:rsidRPr="0049400B">
        <w:rPr>
          <w:noProof/>
        </w:rPr>
      </w:r>
      <w:r w:rsidRPr="0049400B">
        <w:rPr>
          <w:noProof/>
        </w:rPr>
        <w:fldChar w:fldCharType="separate"/>
      </w:r>
      <w:r w:rsidR="00F9047D">
        <w:rPr>
          <w:noProof/>
        </w:rPr>
        <w:t>5</w:t>
      </w:r>
      <w:r w:rsidRPr="0049400B">
        <w:rPr>
          <w:noProof/>
        </w:rPr>
        <w:fldChar w:fldCharType="end"/>
      </w:r>
    </w:p>
    <w:p w:rsidR="0049400B" w:rsidRDefault="0049400B" w:rsidP="00CE1AC0">
      <w:pPr>
        <w:pStyle w:val="TOC3"/>
        <w:ind w:right="1792"/>
        <w:rPr>
          <w:rFonts w:asciiTheme="minorHAnsi" w:eastAsiaTheme="minorEastAsia" w:hAnsiTheme="minorHAnsi" w:cstheme="minorBidi"/>
          <w:b w:val="0"/>
          <w:noProof/>
          <w:kern w:val="0"/>
          <w:szCs w:val="22"/>
        </w:rPr>
      </w:pPr>
      <w:r>
        <w:rPr>
          <w:noProof/>
        </w:rPr>
        <w:t>Division 45—Governance standards</w:t>
      </w:r>
      <w:r w:rsidRPr="0049400B">
        <w:rPr>
          <w:b w:val="0"/>
          <w:noProof/>
          <w:sz w:val="18"/>
        </w:rPr>
        <w:tab/>
      </w:r>
      <w:r w:rsidRPr="0049400B">
        <w:rPr>
          <w:b w:val="0"/>
          <w:noProof/>
          <w:sz w:val="18"/>
        </w:rPr>
        <w:fldChar w:fldCharType="begin"/>
      </w:r>
      <w:r w:rsidRPr="0049400B">
        <w:rPr>
          <w:b w:val="0"/>
          <w:noProof/>
          <w:sz w:val="18"/>
        </w:rPr>
        <w:instrText xml:space="preserve"> PAGEREF _Toc81905164 \h </w:instrText>
      </w:r>
      <w:r w:rsidRPr="0049400B">
        <w:rPr>
          <w:b w:val="0"/>
          <w:noProof/>
          <w:sz w:val="18"/>
        </w:rPr>
      </w:r>
      <w:r w:rsidRPr="0049400B">
        <w:rPr>
          <w:b w:val="0"/>
          <w:noProof/>
          <w:sz w:val="18"/>
        </w:rPr>
        <w:fldChar w:fldCharType="separate"/>
      </w:r>
      <w:r w:rsidR="00F9047D">
        <w:rPr>
          <w:b w:val="0"/>
          <w:noProof/>
          <w:sz w:val="18"/>
        </w:rPr>
        <w:t>8</w:t>
      </w:r>
      <w:r w:rsidRPr="0049400B">
        <w:rPr>
          <w:b w:val="0"/>
          <w:noProof/>
          <w:sz w:val="18"/>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45</w:t>
      </w:r>
      <w:r>
        <w:rPr>
          <w:noProof/>
        </w:rPr>
        <w:noBreakHyphen/>
        <w:t>A—Preliminary</w:t>
      </w:r>
      <w:r w:rsidRPr="0049400B">
        <w:rPr>
          <w:b w:val="0"/>
          <w:noProof/>
          <w:sz w:val="18"/>
        </w:rPr>
        <w:tab/>
      </w:r>
      <w:r w:rsidRPr="0049400B">
        <w:rPr>
          <w:b w:val="0"/>
          <w:noProof/>
          <w:sz w:val="18"/>
        </w:rPr>
        <w:fldChar w:fldCharType="begin"/>
      </w:r>
      <w:r w:rsidRPr="0049400B">
        <w:rPr>
          <w:b w:val="0"/>
          <w:noProof/>
          <w:sz w:val="18"/>
        </w:rPr>
        <w:instrText xml:space="preserve"> PAGEREF _Toc81905165 \h </w:instrText>
      </w:r>
      <w:r w:rsidRPr="0049400B">
        <w:rPr>
          <w:b w:val="0"/>
          <w:noProof/>
          <w:sz w:val="18"/>
        </w:rPr>
      </w:r>
      <w:r w:rsidRPr="0049400B">
        <w:rPr>
          <w:b w:val="0"/>
          <w:noProof/>
          <w:sz w:val="18"/>
        </w:rPr>
        <w:fldChar w:fldCharType="separate"/>
      </w:r>
      <w:r w:rsidR="00F9047D">
        <w:rPr>
          <w:b w:val="0"/>
          <w:noProof/>
          <w:sz w:val="18"/>
        </w:rPr>
        <w:t>8</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w:t>
      </w:r>
      <w:r>
        <w:rPr>
          <w:noProof/>
        </w:rPr>
        <w:tab/>
        <w:t>Simplified outline—how the governance standards apply</w:t>
      </w:r>
      <w:r w:rsidRPr="0049400B">
        <w:rPr>
          <w:noProof/>
        </w:rPr>
        <w:tab/>
      </w:r>
      <w:r w:rsidRPr="0049400B">
        <w:rPr>
          <w:noProof/>
        </w:rPr>
        <w:fldChar w:fldCharType="begin"/>
      </w:r>
      <w:r w:rsidRPr="0049400B">
        <w:rPr>
          <w:noProof/>
        </w:rPr>
        <w:instrText xml:space="preserve"> PAGEREF _Toc81905166 \h </w:instrText>
      </w:r>
      <w:r w:rsidRPr="0049400B">
        <w:rPr>
          <w:noProof/>
        </w:rPr>
      </w:r>
      <w:r w:rsidRPr="0049400B">
        <w:rPr>
          <w:noProof/>
        </w:rPr>
        <w:fldChar w:fldCharType="separate"/>
      </w:r>
      <w:r w:rsidR="00F9047D">
        <w:rPr>
          <w:noProof/>
        </w:rPr>
        <w:t>8</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45.2</w:t>
      </w:r>
      <w:r>
        <w:rPr>
          <w:noProof/>
        </w:rPr>
        <w:tab/>
        <w:t>Application</w:t>
      </w:r>
      <w:r w:rsidRPr="0049400B">
        <w:rPr>
          <w:noProof/>
        </w:rPr>
        <w:tab/>
      </w:r>
      <w:r w:rsidRPr="0049400B">
        <w:rPr>
          <w:noProof/>
        </w:rPr>
        <w:fldChar w:fldCharType="begin"/>
      </w:r>
      <w:r w:rsidRPr="0049400B">
        <w:rPr>
          <w:noProof/>
        </w:rPr>
        <w:instrText xml:space="preserve"> PAGEREF _Toc81905167 \h </w:instrText>
      </w:r>
      <w:r w:rsidRPr="0049400B">
        <w:rPr>
          <w:noProof/>
        </w:rPr>
      </w:r>
      <w:r w:rsidRPr="0049400B">
        <w:rPr>
          <w:noProof/>
        </w:rPr>
        <w:fldChar w:fldCharType="separate"/>
      </w:r>
      <w:r w:rsidR="00F9047D">
        <w:rPr>
          <w:noProof/>
        </w:rPr>
        <w:t>8</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45.3</w:t>
      </w:r>
      <w:r>
        <w:rPr>
          <w:noProof/>
        </w:rPr>
        <w:tab/>
        <w:t>Interpretation of governance standards</w:t>
      </w:r>
      <w:r w:rsidRPr="0049400B">
        <w:rPr>
          <w:noProof/>
        </w:rPr>
        <w:tab/>
      </w:r>
      <w:r w:rsidRPr="0049400B">
        <w:rPr>
          <w:noProof/>
        </w:rPr>
        <w:fldChar w:fldCharType="begin"/>
      </w:r>
      <w:r w:rsidRPr="0049400B">
        <w:rPr>
          <w:noProof/>
        </w:rPr>
        <w:instrText xml:space="preserve"> PAGEREF _Toc81905168 \h </w:instrText>
      </w:r>
      <w:r w:rsidRPr="0049400B">
        <w:rPr>
          <w:noProof/>
        </w:rPr>
      </w:r>
      <w:r w:rsidRPr="0049400B">
        <w:rPr>
          <w:noProof/>
        </w:rPr>
        <w:fldChar w:fldCharType="separate"/>
      </w:r>
      <w:r w:rsidR="00F9047D">
        <w:rPr>
          <w:noProof/>
        </w:rPr>
        <w:t>9</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45</w:t>
      </w:r>
      <w:r>
        <w:rPr>
          <w:noProof/>
        </w:rPr>
        <w:noBreakHyphen/>
        <w:t>B—Governance standards</w:t>
      </w:r>
      <w:r w:rsidRPr="0049400B">
        <w:rPr>
          <w:b w:val="0"/>
          <w:noProof/>
          <w:sz w:val="18"/>
        </w:rPr>
        <w:tab/>
      </w:r>
      <w:r w:rsidRPr="0049400B">
        <w:rPr>
          <w:b w:val="0"/>
          <w:noProof/>
          <w:sz w:val="18"/>
        </w:rPr>
        <w:fldChar w:fldCharType="begin"/>
      </w:r>
      <w:r w:rsidRPr="0049400B">
        <w:rPr>
          <w:b w:val="0"/>
          <w:noProof/>
          <w:sz w:val="18"/>
        </w:rPr>
        <w:instrText xml:space="preserve"> PAGEREF _Toc81905169 \h </w:instrText>
      </w:r>
      <w:r w:rsidRPr="0049400B">
        <w:rPr>
          <w:b w:val="0"/>
          <w:noProof/>
          <w:sz w:val="18"/>
        </w:rPr>
      </w:r>
      <w:r w:rsidRPr="0049400B">
        <w:rPr>
          <w:b w:val="0"/>
          <w:noProof/>
          <w:sz w:val="18"/>
        </w:rPr>
        <w:fldChar w:fldCharType="separate"/>
      </w:r>
      <w:r w:rsidR="00F9047D">
        <w:rPr>
          <w:b w:val="0"/>
          <w:noProof/>
          <w:sz w:val="18"/>
        </w:rPr>
        <w:t>9</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45.5</w:t>
      </w:r>
      <w:r>
        <w:rPr>
          <w:noProof/>
        </w:rPr>
        <w:tab/>
        <w:t>Governance standard 1—Purposes and not</w:t>
      </w:r>
      <w:r>
        <w:rPr>
          <w:noProof/>
        </w:rPr>
        <w:noBreakHyphen/>
        <w:t>for</w:t>
      </w:r>
      <w:r>
        <w:rPr>
          <w:noProof/>
        </w:rPr>
        <w:noBreakHyphen/>
        <w:t>profit nature of a registered entity</w:t>
      </w:r>
      <w:r w:rsidRPr="0049400B">
        <w:rPr>
          <w:noProof/>
        </w:rPr>
        <w:tab/>
      </w:r>
      <w:r w:rsidRPr="0049400B">
        <w:rPr>
          <w:noProof/>
        </w:rPr>
        <w:fldChar w:fldCharType="begin"/>
      </w:r>
      <w:r w:rsidRPr="0049400B">
        <w:rPr>
          <w:noProof/>
        </w:rPr>
        <w:instrText xml:space="preserve"> PAGEREF _Toc81905170 \h </w:instrText>
      </w:r>
      <w:r w:rsidRPr="0049400B">
        <w:rPr>
          <w:noProof/>
        </w:rPr>
      </w:r>
      <w:r w:rsidRPr="0049400B">
        <w:rPr>
          <w:noProof/>
        </w:rPr>
        <w:fldChar w:fldCharType="separate"/>
      </w:r>
      <w:r w:rsidR="00F9047D">
        <w:rPr>
          <w:noProof/>
        </w:rPr>
        <w:t>9</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45.10</w:t>
      </w:r>
      <w:r>
        <w:rPr>
          <w:noProof/>
        </w:rPr>
        <w:tab/>
        <w:t>Governance standard 2—Accountability to members</w:t>
      </w:r>
      <w:r w:rsidRPr="0049400B">
        <w:rPr>
          <w:noProof/>
        </w:rPr>
        <w:tab/>
      </w:r>
      <w:r w:rsidRPr="0049400B">
        <w:rPr>
          <w:noProof/>
        </w:rPr>
        <w:fldChar w:fldCharType="begin"/>
      </w:r>
      <w:r w:rsidRPr="0049400B">
        <w:rPr>
          <w:noProof/>
        </w:rPr>
        <w:instrText xml:space="preserve"> PAGEREF _Toc81905171 \h </w:instrText>
      </w:r>
      <w:r w:rsidRPr="0049400B">
        <w:rPr>
          <w:noProof/>
        </w:rPr>
      </w:r>
      <w:r w:rsidRPr="0049400B">
        <w:rPr>
          <w:noProof/>
        </w:rPr>
        <w:fldChar w:fldCharType="separate"/>
      </w:r>
      <w:r w:rsidR="00F9047D">
        <w:rPr>
          <w:noProof/>
        </w:rPr>
        <w:t>9</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45.15</w:t>
      </w:r>
      <w:r>
        <w:rPr>
          <w:noProof/>
        </w:rPr>
        <w:tab/>
        <w:t>Governance standard 3—Compliance with Australian laws</w:t>
      </w:r>
      <w:r w:rsidRPr="0049400B">
        <w:rPr>
          <w:noProof/>
        </w:rPr>
        <w:tab/>
      </w:r>
      <w:r w:rsidRPr="0049400B">
        <w:rPr>
          <w:noProof/>
        </w:rPr>
        <w:fldChar w:fldCharType="begin"/>
      </w:r>
      <w:r w:rsidRPr="0049400B">
        <w:rPr>
          <w:noProof/>
        </w:rPr>
        <w:instrText xml:space="preserve"> PAGEREF _Toc81905172 \h </w:instrText>
      </w:r>
      <w:r w:rsidRPr="0049400B">
        <w:rPr>
          <w:noProof/>
        </w:rPr>
      </w:r>
      <w:r w:rsidRPr="0049400B">
        <w:rPr>
          <w:noProof/>
        </w:rPr>
        <w:fldChar w:fldCharType="separate"/>
      </w:r>
      <w:r w:rsidR="00F9047D">
        <w:rPr>
          <w:noProof/>
        </w:rPr>
        <w:t>10</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45.20</w:t>
      </w:r>
      <w:r>
        <w:rPr>
          <w:noProof/>
        </w:rPr>
        <w:tab/>
        <w:t>Governance standard 4—Suitability of responsible entities</w:t>
      </w:r>
      <w:r w:rsidRPr="0049400B">
        <w:rPr>
          <w:noProof/>
        </w:rPr>
        <w:tab/>
      </w:r>
      <w:r w:rsidRPr="0049400B">
        <w:rPr>
          <w:noProof/>
        </w:rPr>
        <w:fldChar w:fldCharType="begin"/>
      </w:r>
      <w:r w:rsidRPr="0049400B">
        <w:rPr>
          <w:noProof/>
        </w:rPr>
        <w:instrText xml:space="preserve"> PAGEREF _Toc81905173 \h </w:instrText>
      </w:r>
      <w:r w:rsidRPr="0049400B">
        <w:rPr>
          <w:noProof/>
        </w:rPr>
      </w:r>
      <w:r w:rsidRPr="0049400B">
        <w:rPr>
          <w:noProof/>
        </w:rPr>
        <w:fldChar w:fldCharType="separate"/>
      </w:r>
      <w:r w:rsidR="00F9047D">
        <w:rPr>
          <w:noProof/>
        </w:rPr>
        <w:t>11</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45.25</w:t>
      </w:r>
      <w:r>
        <w:rPr>
          <w:noProof/>
        </w:rPr>
        <w:tab/>
        <w:t>Governance standard 5—Duties of responsible entities</w:t>
      </w:r>
      <w:r w:rsidRPr="0049400B">
        <w:rPr>
          <w:noProof/>
        </w:rPr>
        <w:tab/>
      </w:r>
      <w:r w:rsidRPr="0049400B">
        <w:rPr>
          <w:noProof/>
        </w:rPr>
        <w:fldChar w:fldCharType="begin"/>
      </w:r>
      <w:r w:rsidRPr="0049400B">
        <w:rPr>
          <w:noProof/>
        </w:rPr>
        <w:instrText xml:space="preserve"> PAGEREF _Toc81905174 \h </w:instrText>
      </w:r>
      <w:r w:rsidRPr="0049400B">
        <w:rPr>
          <w:noProof/>
        </w:rPr>
      </w:r>
      <w:r w:rsidRPr="0049400B">
        <w:rPr>
          <w:noProof/>
        </w:rPr>
        <w:fldChar w:fldCharType="separate"/>
      </w:r>
      <w:r w:rsidR="00F9047D">
        <w:rPr>
          <w:noProof/>
        </w:rPr>
        <w:t>12</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45.30</w:t>
      </w:r>
      <w:r>
        <w:rPr>
          <w:noProof/>
        </w:rPr>
        <w:tab/>
        <w:t>Governance standard 6—Maintaining and enhancing public trust and confidence in the Australian not</w:t>
      </w:r>
      <w:r>
        <w:rPr>
          <w:noProof/>
        </w:rPr>
        <w:noBreakHyphen/>
        <w:t>for</w:t>
      </w:r>
      <w:r>
        <w:rPr>
          <w:noProof/>
        </w:rPr>
        <w:noBreakHyphen/>
        <w:t>profit sector</w:t>
      </w:r>
      <w:r w:rsidRPr="0049400B">
        <w:rPr>
          <w:noProof/>
        </w:rPr>
        <w:tab/>
      </w:r>
      <w:r w:rsidRPr="0049400B">
        <w:rPr>
          <w:noProof/>
        </w:rPr>
        <w:fldChar w:fldCharType="begin"/>
      </w:r>
      <w:r w:rsidRPr="0049400B">
        <w:rPr>
          <w:noProof/>
        </w:rPr>
        <w:instrText xml:space="preserve"> PAGEREF _Toc81905175 \h </w:instrText>
      </w:r>
      <w:r w:rsidRPr="0049400B">
        <w:rPr>
          <w:noProof/>
        </w:rPr>
      </w:r>
      <w:r w:rsidRPr="0049400B">
        <w:rPr>
          <w:noProof/>
        </w:rPr>
        <w:fldChar w:fldCharType="separate"/>
      </w:r>
      <w:r w:rsidR="00F9047D">
        <w:rPr>
          <w:noProof/>
        </w:rPr>
        <w:t>14</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45</w:t>
      </w:r>
      <w:r>
        <w:rPr>
          <w:noProof/>
        </w:rPr>
        <w:noBreakHyphen/>
        <w:t>C—Protections under governance standard 5</w:t>
      </w:r>
      <w:r w:rsidRPr="0049400B">
        <w:rPr>
          <w:b w:val="0"/>
          <w:noProof/>
          <w:sz w:val="18"/>
        </w:rPr>
        <w:tab/>
      </w:r>
      <w:r w:rsidRPr="0049400B">
        <w:rPr>
          <w:b w:val="0"/>
          <w:noProof/>
          <w:sz w:val="18"/>
        </w:rPr>
        <w:fldChar w:fldCharType="begin"/>
      </w:r>
      <w:r w:rsidRPr="0049400B">
        <w:rPr>
          <w:b w:val="0"/>
          <w:noProof/>
          <w:sz w:val="18"/>
        </w:rPr>
        <w:instrText xml:space="preserve"> PAGEREF _Toc81905176 \h </w:instrText>
      </w:r>
      <w:r w:rsidRPr="0049400B">
        <w:rPr>
          <w:b w:val="0"/>
          <w:noProof/>
          <w:sz w:val="18"/>
        </w:rPr>
      </w:r>
      <w:r w:rsidRPr="0049400B">
        <w:rPr>
          <w:b w:val="0"/>
          <w:noProof/>
          <w:sz w:val="18"/>
        </w:rPr>
        <w:fldChar w:fldCharType="separate"/>
      </w:r>
      <w:r w:rsidR="00F9047D">
        <w:rPr>
          <w:b w:val="0"/>
          <w:noProof/>
          <w:sz w:val="18"/>
        </w:rPr>
        <w:t>14</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45.100</w:t>
      </w:r>
      <w:r>
        <w:rPr>
          <w:noProof/>
        </w:rPr>
        <w:tab/>
        <w:t>Reasonable steps taken to ensure compliance with duties</w:t>
      </w:r>
      <w:r w:rsidRPr="0049400B">
        <w:rPr>
          <w:noProof/>
        </w:rPr>
        <w:tab/>
      </w:r>
      <w:r w:rsidRPr="0049400B">
        <w:rPr>
          <w:noProof/>
        </w:rPr>
        <w:fldChar w:fldCharType="begin"/>
      </w:r>
      <w:r w:rsidRPr="0049400B">
        <w:rPr>
          <w:noProof/>
        </w:rPr>
        <w:instrText xml:space="preserve"> PAGEREF _Toc81905177 \h </w:instrText>
      </w:r>
      <w:r w:rsidRPr="0049400B">
        <w:rPr>
          <w:noProof/>
        </w:rPr>
      </w:r>
      <w:r w:rsidRPr="0049400B">
        <w:rPr>
          <w:noProof/>
        </w:rPr>
        <w:fldChar w:fldCharType="separate"/>
      </w:r>
      <w:r w:rsidR="00F9047D">
        <w:rPr>
          <w:noProof/>
        </w:rPr>
        <w:t>14</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45.105</w:t>
      </w:r>
      <w:r>
        <w:rPr>
          <w:noProof/>
        </w:rPr>
        <w:tab/>
        <w:t>Protection 1</w:t>
      </w:r>
      <w:r w:rsidRPr="0049400B">
        <w:rPr>
          <w:noProof/>
        </w:rPr>
        <w:tab/>
      </w:r>
      <w:r w:rsidRPr="0049400B">
        <w:rPr>
          <w:noProof/>
        </w:rPr>
        <w:fldChar w:fldCharType="begin"/>
      </w:r>
      <w:r w:rsidRPr="0049400B">
        <w:rPr>
          <w:noProof/>
        </w:rPr>
        <w:instrText xml:space="preserve"> PAGEREF _Toc81905178 \h </w:instrText>
      </w:r>
      <w:r w:rsidRPr="0049400B">
        <w:rPr>
          <w:noProof/>
        </w:rPr>
      </w:r>
      <w:r w:rsidRPr="0049400B">
        <w:rPr>
          <w:noProof/>
        </w:rPr>
        <w:fldChar w:fldCharType="separate"/>
      </w:r>
      <w:r w:rsidR="00F9047D">
        <w:rPr>
          <w:noProof/>
        </w:rPr>
        <w:t>14</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45.110</w:t>
      </w:r>
      <w:r>
        <w:rPr>
          <w:noProof/>
        </w:rPr>
        <w:tab/>
        <w:t>Protection 2</w:t>
      </w:r>
      <w:r w:rsidRPr="0049400B">
        <w:rPr>
          <w:noProof/>
        </w:rPr>
        <w:tab/>
      </w:r>
      <w:r w:rsidRPr="0049400B">
        <w:rPr>
          <w:noProof/>
        </w:rPr>
        <w:fldChar w:fldCharType="begin"/>
      </w:r>
      <w:r w:rsidRPr="0049400B">
        <w:rPr>
          <w:noProof/>
        </w:rPr>
        <w:instrText xml:space="preserve"> PAGEREF _Toc81905179 \h </w:instrText>
      </w:r>
      <w:r w:rsidRPr="0049400B">
        <w:rPr>
          <w:noProof/>
        </w:rPr>
      </w:r>
      <w:r w:rsidRPr="0049400B">
        <w:rPr>
          <w:noProof/>
        </w:rPr>
        <w:fldChar w:fldCharType="separate"/>
      </w:r>
      <w:r w:rsidR="00F9047D">
        <w:rPr>
          <w:noProof/>
        </w:rPr>
        <w:t>15</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45.115</w:t>
      </w:r>
      <w:r>
        <w:rPr>
          <w:noProof/>
        </w:rPr>
        <w:tab/>
        <w:t>Protection 3</w:t>
      </w:r>
      <w:r w:rsidRPr="0049400B">
        <w:rPr>
          <w:noProof/>
        </w:rPr>
        <w:tab/>
      </w:r>
      <w:r w:rsidRPr="0049400B">
        <w:rPr>
          <w:noProof/>
        </w:rPr>
        <w:fldChar w:fldCharType="begin"/>
      </w:r>
      <w:r w:rsidRPr="0049400B">
        <w:rPr>
          <w:noProof/>
        </w:rPr>
        <w:instrText xml:space="preserve"> PAGEREF _Toc81905180 \h </w:instrText>
      </w:r>
      <w:r w:rsidRPr="0049400B">
        <w:rPr>
          <w:noProof/>
        </w:rPr>
      </w:r>
      <w:r w:rsidRPr="0049400B">
        <w:rPr>
          <w:noProof/>
        </w:rPr>
        <w:fldChar w:fldCharType="separate"/>
      </w:r>
      <w:r w:rsidR="00F9047D">
        <w:rPr>
          <w:noProof/>
        </w:rPr>
        <w:t>15</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45.120</w:t>
      </w:r>
      <w:r>
        <w:rPr>
          <w:noProof/>
        </w:rPr>
        <w:tab/>
        <w:t>Protection 4</w:t>
      </w:r>
      <w:r w:rsidRPr="0049400B">
        <w:rPr>
          <w:noProof/>
        </w:rPr>
        <w:tab/>
      </w:r>
      <w:r w:rsidRPr="0049400B">
        <w:rPr>
          <w:noProof/>
        </w:rPr>
        <w:fldChar w:fldCharType="begin"/>
      </w:r>
      <w:r w:rsidRPr="0049400B">
        <w:rPr>
          <w:noProof/>
        </w:rPr>
        <w:instrText xml:space="preserve"> PAGEREF _Toc81905181 \h </w:instrText>
      </w:r>
      <w:r w:rsidRPr="0049400B">
        <w:rPr>
          <w:noProof/>
        </w:rPr>
      </w:r>
      <w:r w:rsidRPr="0049400B">
        <w:rPr>
          <w:noProof/>
        </w:rPr>
        <w:fldChar w:fldCharType="separate"/>
      </w:r>
      <w:r w:rsidR="00F9047D">
        <w:rPr>
          <w:noProof/>
        </w:rPr>
        <w:t>16</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45</w:t>
      </w:r>
      <w:r>
        <w:rPr>
          <w:noProof/>
        </w:rPr>
        <w:noBreakHyphen/>
        <w:t>D—Transitional arrangements</w:t>
      </w:r>
      <w:r w:rsidRPr="0049400B">
        <w:rPr>
          <w:b w:val="0"/>
          <w:noProof/>
          <w:sz w:val="18"/>
        </w:rPr>
        <w:tab/>
      </w:r>
      <w:r w:rsidRPr="0049400B">
        <w:rPr>
          <w:b w:val="0"/>
          <w:noProof/>
          <w:sz w:val="18"/>
        </w:rPr>
        <w:fldChar w:fldCharType="begin"/>
      </w:r>
      <w:r w:rsidRPr="0049400B">
        <w:rPr>
          <w:b w:val="0"/>
          <w:noProof/>
          <w:sz w:val="18"/>
        </w:rPr>
        <w:instrText xml:space="preserve"> PAGEREF _Toc81905182 \h </w:instrText>
      </w:r>
      <w:r w:rsidRPr="0049400B">
        <w:rPr>
          <w:b w:val="0"/>
          <w:noProof/>
          <w:sz w:val="18"/>
        </w:rPr>
      </w:r>
      <w:r w:rsidRPr="0049400B">
        <w:rPr>
          <w:b w:val="0"/>
          <w:noProof/>
          <w:sz w:val="18"/>
        </w:rPr>
        <w:fldChar w:fldCharType="separate"/>
      </w:r>
      <w:r w:rsidR="00F9047D">
        <w:rPr>
          <w:b w:val="0"/>
          <w:noProof/>
          <w:sz w:val="18"/>
        </w:rPr>
        <w:t>16</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45.130</w:t>
      </w:r>
      <w:r>
        <w:rPr>
          <w:noProof/>
        </w:rPr>
        <w:tab/>
        <w:t>Exemption until 1 July 2017</w:t>
      </w:r>
      <w:r w:rsidRPr="0049400B">
        <w:rPr>
          <w:noProof/>
        </w:rPr>
        <w:tab/>
      </w:r>
      <w:r w:rsidRPr="0049400B">
        <w:rPr>
          <w:noProof/>
        </w:rPr>
        <w:fldChar w:fldCharType="begin"/>
      </w:r>
      <w:r w:rsidRPr="0049400B">
        <w:rPr>
          <w:noProof/>
        </w:rPr>
        <w:instrText xml:space="preserve"> PAGEREF _Toc81905183 \h </w:instrText>
      </w:r>
      <w:r w:rsidRPr="0049400B">
        <w:rPr>
          <w:noProof/>
        </w:rPr>
      </w:r>
      <w:r w:rsidRPr="0049400B">
        <w:rPr>
          <w:noProof/>
        </w:rPr>
        <w:fldChar w:fldCharType="separate"/>
      </w:r>
      <w:r w:rsidR="00F9047D">
        <w:rPr>
          <w:noProof/>
        </w:rPr>
        <w:t>16</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45</w:t>
      </w:r>
      <w:r>
        <w:rPr>
          <w:noProof/>
        </w:rPr>
        <w:noBreakHyphen/>
        <w:t>E—Disqualified Responsible Entities Register</w:t>
      </w:r>
      <w:r w:rsidRPr="0049400B">
        <w:rPr>
          <w:b w:val="0"/>
          <w:noProof/>
          <w:sz w:val="18"/>
        </w:rPr>
        <w:tab/>
      </w:r>
      <w:r w:rsidRPr="0049400B">
        <w:rPr>
          <w:b w:val="0"/>
          <w:noProof/>
          <w:sz w:val="18"/>
        </w:rPr>
        <w:fldChar w:fldCharType="begin"/>
      </w:r>
      <w:r w:rsidRPr="0049400B">
        <w:rPr>
          <w:b w:val="0"/>
          <w:noProof/>
          <w:sz w:val="18"/>
        </w:rPr>
        <w:instrText xml:space="preserve"> PAGEREF _Toc81905184 \h </w:instrText>
      </w:r>
      <w:r w:rsidRPr="0049400B">
        <w:rPr>
          <w:b w:val="0"/>
          <w:noProof/>
          <w:sz w:val="18"/>
        </w:rPr>
      </w:r>
      <w:r w:rsidRPr="0049400B">
        <w:rPr>
          <w:b w:val="0"/>
          <w:noProof/>
          <w:sz w:val="18"/>
        </w:rPr>
        <w:fldChar w:fldCharType="separate"/>
      </w:r>
      <w:r w:rsidR="00F9047D">
        <w:rPr>
          <w:b w:val="0"/>
          <w:noProof/>
          <w:sz w:val="18"/>
        </w:rPr>
        <w:t>16</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45.150</w:t>
      </w:r>
      <w:r>
        <w:rPr>
          <w:noProof/>
        </w:rPr>
        <w:tab/>
        <w:t>Disqualified Responsible Entities Register</w:t>
      </w:r>
      <w:r w:rsidRPr="0049400B">
        <w:rPr>
          <w:noProof/>
        </w:rPr>
        <w:tab/>
      </w:r>
      <w:r w:rsidRPr="0049400B">
        <w:rPr>
          <w:noProof/>
        </w:rPr>
        <w:fldChar w:fldCharType="begin"/>
      </w:r>
      <w:r w:rsidRPr="0049400B">
        <w:rPr>
          <w:noProof/>
        </w:rPr>
        <w:instrText xml:space="preserve"> PAGEREF _Toc81905185 \h </w:instrText>
      </w:r>
      <w:r w:rsidRPr="0049400B">
        <w:rPr>
          <w:noProof/>
        </w:rPr>
      </w:r>
      <w:r w:rsidRPr="0049400B">
        <w:rPr>
          <w:noProof/>
        </w:rPr>
        <w:fldChar w:fldCharType="separate"/>
      </w:r>
      <w:r w:rsidR="00F9047D">
        <w:rPr>
          <w:noProof/>
        </w:rPr>
        <w:t>16</w:t>
      </w:r>
      <w:r w:rsidRPr="0049400B">
        <w:rPr>
          <w:noProof/>
        </w:rPr>
        <w:fldChar w:fldCharType="end"/>
      </w:r>
    </w:p>
    <w:p w:rsidR="0049400B" w:rsidRDefault="0049400B" w:rsidP="009B55CB">
      <w:pPr>
        <w:pStyle w:val="TOC3"/>
        <w:ind w:right="1792"/>
        <w:rPr>
          <w:rFonts w:asciiTheme="minorHAnsi" w:eastAsiaTheme="minorEastAsia" w:hAnsiTheme="minorHAnsi" w:cstheme="minorBidi"/>
          <w:b w:val="0"/>
          <w:noProof/>
          <w:kern w:val="0"/>
          <w:szCs w:val="22"/>
        </w:rPr>
      </w:pPr>
      <w:r>
        <w:rPr>
          <w:noProof/>
        </w:rPr>
        <w:t>Division 50—External conduct standards</w:t>
      </w:r>
      <w:r w:rsidRPr="0049400B">
        <w:rPr>
          <w:b w:val="0"/>
          <w:noProof/>
          <w:sz w:val="18"/>
        </w:rPr>
        <w:tab/>
      </w:r>
      <w:r w:rsidRPr="0049400B">
        <w:rPr>
          <w:b w:val="0"/>
          <w:noProof/>
          <w:sz w:val="18"/>
        </w:rPr>
        <w:fldChar w:fldCharType="begin"/>
      </w:r>
      <w:r w:rsidRPr="0049400B">
        <w:rPr>
          <w:b w:val="0"/>
          <w:noProof/>
          <w:sz w:val="18"/>
        </w:rPr>
        <w:instrText xml:space="preserve"> PAGEREF _Toc81905186 \h </w:instrText>
      </w:r>
      <w:r w:rsidRPr="0049400B">
        <w:rPr>
          <w:b w:val="0"/>
          <w:noProof/>
          <w:sz w:val="18"/>
        </w:rPr>
      </w:r>
      <w:r w:rsidRPr="0049400B">
        <w:rPr>
          <w:b w:val="0"/>
          <w:noProof/>
          <w:sz w:val="18"/>
        </w:rPr>
        <w:fldChar w:fldCharType="separate"/>
      </w:r>
      <w:r w:rsidR="00F9047D">
        <w:rPr>
          <w:b w:val="0"/>
          <w:noProof/>
          <w:sz w:val="18"/>
        </w:rPr>
        <w:t>18</w:t>
      </w:r>
      <w:r w:rsidRPr="0049400B">
        <w:rPr>
          <w:b w:val="0"/>
          <w:noProof/>
          <w:sz w:val="18"/>
        </w:rPr>
        <w:fldChar w:fldCharType="end"/>
      </w:r>
    </w:p>
    <w:p w:rsidR="0049400B" w:rsidRDefault="0049400B" w:rsidP="009B55CB">
      <w:pPr>
        <w:pStyle w:val="TOC4"/>
        <w:keepNext/>
        <w:ind w:right="1792"/>
        <w:rPr>
          <w:rFonts w:asciiTheme="minorHAnsi" w:eastAsiaTheme="minorEastAsia" w:hAnsiTheme="minorHAnsi" w:cstheme="minorBidi"/>
          <w:b w:val="0"/>
          <w:noProof/>
          <w:kern w:val="0"/>
          <w:sz w:val="22"/>
          <w:szCs w:val="22"/>
        </w:rPr>
      </w:pPr>
      <w:r>
        <w:rPr>
          <w:noProof/>
        </w:rPr>
        <w:t>Subdivision 50</w:t>
      </w:r>
      <w:r>
        <w:rPr>
          <w:noProof/>
        </w:rPr>
        <w:noBreakHyphen/>
        <w:t>A—Preliminary</w:t>
      </w:r>
      <w:r w:rsidRPr="0049400B">
        <w:rPr>
          <w:b w:val="0"/>
          <w:noProof/>
          <w:sz w:val="18"/>
        </w:rPr>
        <w:tab/>
      </w:r>
      <w:r w:rsidRPr="0049400B">
        <w:rPr>
          <w:b w:val="0"/>
          <w:noProof/>
          <w:sz w:val="18"/>
        </w:rPr>
        <w:fldChar w:fldCharType="begin"/>
      </w:r>
      <w:r w:rsidRPr="0049400B">
        <w:rPr>
          <w:b w:val="0"/>
          <w:noProof/>
          <w:sz w:val="18"/>
        </w:rPr>
        <w:instrText xml:space="preserve"> PAGEREF _Toc81905187 \h </w:instrText>
      </w:r>
      <w:r w:rsidRPr="0049400B">
        <w:rPr>
          <w:b w:val="0"/>
          <w:noProof/>
          <w:sz w:val="18"/>
        </w:rPr>
      </w:r>
      <w:r w:rsidRPr="0049400B">
        <w:rPr>
          <w:b w:val="0"/>
          <w:noProof/>
          <w:sz w:val="18"/>
        </w:rPr>
        <w:fldChar w:fldCharType="separate"/>
      </w:r>
      <w:r w:rsidR="00F9047D">
        <w:rPr>
          <w:b w:val="0"/>
          <w:noProof/>
          <w:sz w:val="18"/>
        </w:rPr>
        <w:t>18</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50.1</w:t>
      </w:r>
      <w:r>
        <w:rPr>
          <w:noProof/>
        </w:rPr>
        <w:tab/>
        <w:t>Simplified outline—how the external conduct standards apply</w:t>
      </w:r>
      <w:r w:rsidRPr="0049400B">
        <w:rPr>
          <w:noProof/>
        </w:rPr>
        <w:tab/>
      </w:r>
      <w:r w:rsidRPr="0049400B">
        <w:rPr>
          <w:noProof/>
        </w:rPr>
        <w:fldChar w:fldCharType="begin"/>
      </w:r>
      <w:r w:rsidRPr="0049400B">
        <w:rPr>
          <w:noProof/>
        </w:rPr>
        <w:instrText xml:space="preserve"> PAGEREF _Toc81905188 \h </w:instrText>
      </w:r>
      <w:r w:rsidRPr="0049400B">
        <w:rPr>
          <w:noProof/>
        </w:rPr>
      </w:r>
      <w:r w:rsidRPr="0049400B">
        <w:rPr>
          <w:noProof/>
        </w:rPr>
        <w:fldChar w:fldCharType="separate"/>
      </w:r>
      <w:r w:rsidR="00F9047D">
        <w:rPr>
          <w:noProof/>
        </w:rPr>
        <w:t>18</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50.2</w:t>
      </w:r>
      <w:r>
        <w:rPr>
          <w:noProof/>
        </w:rPr>
        <w:tab/>
        <w:t>Interpretation</w:t>
      </w:r>
      <w:r w:rsidRPr="0049400B">
        <w:rPr>
          <w:noProof/>
        </w:rPr>
        <w:tab/>
      </w:r>
      <w:r w:rsidRPr="0049400B">
        <w:rPr>
          <w:noProof/>
        </w:rPr>
        <w:fldChar w:fldCharType="begin"/>
      </w:r>
      <w:r w:rsidRPr="0049400B">
        <w:rPr>
          <w:noProof/>
        </w:rPr>
        <w:instrText xml:space="preserve"> PAGEREF _Toc81905189 \h </w:instrText>
      </w:r>
      <w:r w:rsidRPr="0049400B">
        <w:rPr>
          <w:noProof/>
        </w:rPr>
      </w:r>
      <w:r w:rsidRPr="0049400B">
        <w:rPr>
          <w:noProof/>
        </w:rPr>
        <w:fldChar w:fldCharType="separate"/>
      </w:r>
      <w:r w:rsidR="00F9047D">
        <w:rPr>
          <w:noProof/>
        </w:rPr>
        <w:t>19</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50.3</w:t>
      </w:r>
      <w:r>
        <w:rPr>
          <w:noProof/>
        </w:rPr>
        <w:tab/>
        <w:t>Application</w:t>
      </w:r>
      <w:r w:rsidRPr="0049400B">
        <w:rPr>
          <w:noProof/>
        </w:rPr>
        <w:tab/>
      </w:r>
      <w:r w:rsidRPr="0049400B">
        <w:rPr>
          <w:noProof/>
        </w:rPr>
        <w:fldChar w:fldCharType="begin"/>
      </w:r>
      <w:r w:rsidRPr="0049400B">
        <w:rPr>
          <w:noProof/>
        </w:rPr>
        <w:instrText xml:space="preserve"> PAGEREF _Toc81905190 \h </w:instrText>
      </w:r>
      <w:r w:rsidRPr="0049400B">
        <w:rPr>
          <w:noProof/>
        </w:rPr>
      </w:r>
      <w:r w:rsidRPr="0049400B">
        <w:rPr>
          <w:noProof/>
        </w:rPr>
        <w:fldChar w:fldCharType="separate"/>
      </w:r>
      <w:r w:rsidR="00F9047D">
        <w:rPr>
          <w:noProof/>
        </w:rPr>
        <w:t>19</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50.4</w:t>
      </w:r>
      <w:r>
        <w:rPr>
          <w:noProof/>
        </w:rPr>
        <w:tab/>
        <w:t>Application—operating outside Australia</w:t>
      </w:r>
      <w:r w:rsidRPr="0049400B">
        <w:rPr>
          <w:noProof/>
        </w:rPr>
        <w:tab/>
      </w:r>
      <w:r w:rsidRPr="0049400B">
        <w:rPr>
          <w:noProof/>
        </w:rPr>
        <w:fldChar w:fldCharType="begin"/>
      </w:r>
      <w:r w:rsidRPr="0049400B">
        <w:rPr>
          <w:noProof/>
        </w:rPr>
        <w:instrText xml:space="preserve"> PAGEREF _Toc81905191 \h </w:instrText>
      </w:r>
      <w:r w:rsidRPr="0049400B">
        <w:rPr>
          <w:noProof/>
        </w:rPr>
      </w:r>
      <w:r w:rsidRPr="0049400B">
        <w:rPr>
          <w:noProof/>
        </w:rPr>
        <w:fldChar w:fldCharType="separate"/>
      </w:r>
      <w:r w:rsidR="00F9047D">
        <w:rPr>
          <w:noProof/>
        </w:rPr>
        <w:t>19</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50</w:t>
      </w:r>
      <w:r>
        <w:rPr>
          <w:noProof/>
        </w:rPr>
        <w:noBreakHyphen/>
        <w:t>B—Standards about public accountability and financial matters</w:t>
      </w:r>
      <w:r w:rsidRPr="0049400B">
        <w:rPr>
          <w:b w:val="0"/>
          <w:noProof/>
          <w:sz w:val="18"/>
        </w:rPr>
        <w:tab/>
      </w:r>
      <w:r w:rsidRPr="0049400B">
        <w:rPr>
          <w:b w:val="0"/>
          <w:noProof/>
          <w:sz w:val="18"/>
        </w:rPr>
        <w:fldChar w:fldCharType="begin"/>
      </w:r>
      <w:r w:rsidRPr="0049400B">
        <w:rPr>
          <w:b w:val="0"/>
          <w:noProof/>
          <w:sz w:val="18"/>
        </w:rPr>
        <w:instrText xml:space="preserve"> PAGEREF _Toc81905192 \h </w:instrText>
      </w:r>
      <w:r w:rsidRPr="0049400B">
        <w:rPr>
          <w:b w:val="0"/>
          <w:noProof/>
          <w:sz w:val="18"/>
        </w:rPr>
      </w:r>
      <w:r w:rsidRPr="0049400B">
        <w:rPr>
          <w:b w:val="0"/>
          <w:noProof/>
          <w:sz w:val="18"/>
        </w:rPr>
        <w:fldChar w:fldCharType="separate"/>
      </w:r>
      <w:r w:rsidR="00F9047D">
        <w:rPr>
          <w:b w:val="0"/>
          <w:noProof/>
          <w:sz w:val="18"/>
        </w:rPr>
        <w:t>19</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50.20</w:t>
      </w:r>
      <w:r>
        <w:rPr>
          <w:noProof/>
        </w:rPr>
        <w:tab/>
        <w:t>Standard 1—Activities and control of resources (including funds)</w:t>
      </w:r>
      <w:r w:rsidRPr="0049400B">
        <w:rPr>
          <w:noProof/>
        </w:rPr>
        <w:tab/>
      </w:r>
      <w:r w:rsidRPr="0049400B">
        <w:rPr>
          <w:noProof/>
        </w:rPr>
        <w:fldChar w:fldCharType="begin"/>
      </w:r>
      <w:r w:rsidRPr="0049400B">
        <w:rPr>
          <w:noProof/>
        </w:rPr>
        <w:instrText xml:space="preserve"> PAGEREF _Toc81905193 \h </w:instrText>
      </w:r>
      <w:r w:rsidRPr="0049400B">
        <w:rPr>
          <w:noProof/>
        </w:rPr>
      </w:r>
      <w:r w:rsidRPr="0049400B">
        <w:rPr>
          <w:noProof/>
        </w:rPr>
        <w:fldChar w:fldCharType="separate"/>
      </w:r>
      <w:r w:rsidR="00F9047D">
        <w:rPr>
          <w:noProof/>
        </w:rPr>
        <w:t>19</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50.25</w:t>
      </w:r>
      <w:r>
        <w:rPr>
          <w:noProof/>
        </w:rPr>
        <w:tab/>
        <w:t>Standard 2—Annual review of overseas activities and record</w:t>
      </w:r>
      <w:r>
        <w:rPr>
          <w:noProof/>
        </w:rPr>
        <w:noBreakHyphen/>
        <w:t>keeping</w:t>
      </w:r>
      <w:r w:rsidRPr="0049400B">
        <w:rPr>
          <w:noProof/>
        </w:rPr>
        <w:tab/>
      </w:r>
      <w:r w:rsidRPr="0049400B">
        <w:rPr>
          <w:noProof/>
        </w:rPr>
        <w:fldChar w:fldCharType="begin"/>
      </w:r>
      <w:r w:rsidRPr="0049400B">
        <w:rPr>
          <w:noProof/>
        </w:rPr>
        <w:instrText xml:space="preserve"> PAGEREF _Toc81905194 \h </w:instrText>
      </w:r>
      <w:r w:rsidRPr="0049400B">
        <w:rPr>
          <w:noProof/>
        </w:rPr>
      </w:r>
      <w:r w:rsidRPr="0049400B">
        <w:rPr>
          <w:noProof/>
        </w:rPr>
        <w:fldChar w:fldCharType="separate"/>
      </w:r>
      <w:r w:rsidR="00F9047D">
        <w:rPr>
          <w:noProof/>
        </w:rPr>
        <w:t>20</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50</w:t>
      </w:r>
      <w:r>
        <w:rPr>
          <w:noProof/>
        </w:rPr>
        <w:noBreakHyphen/>
        <w:t>C—Standards about conduct outside Australia</w:t>
      </w:r>
      <w:r w:rsidRPr="0049400B">
        <w:rPr>
          <w:b w:val="0"/>
          <w:noProof/>
          <w:sz w:val="18"/>
        </w:rPr>
        <w:tab/>
      </w:r>
      <w:r w:rsidRPr="0049400B">
        <w:rPr>
          <w:b w:val="0"/>
          <w:noProof/>
          <w:sz w:val="18"/>
        </w:rPr>
        <w:fldChar w:fldCharType="begin"/>
      </w:r>
      <w:r w:rsidRPr="0049400B">
        <w:rPr>
          <w:b w:val="0"/>
          <w:noProof/>
          <w:sz w:val="18"/>
        </w:rPr>
        <w:instrText xml:space="preserve"> PAGEREF _Toc81905195 \h </w:instrText>
      </w:r>
      <w:r w:rsidRPr="0049400B">
        <w:rPr>
          <w:b w:val="0"/>
          <w:noProof/>
          <w:sz w:val="18"/>
        </w:rPr>
      </w:r>
      <w:r w:rsidRPr="0049400B">
        <w:rPr>
          <w:b w:val="0"/>
          <w:noProof/>
          <w:sz w:val="18"/>
        </w:rPr>
        <w:fldChar w:fldCharType="separate"/>
      </w:r>
      <w:r w:rsidR="00F9047D">
        <w:rPr>
          <w:b w:val="0"/>
          <w:noProof/>
          <w:sz w:val="18"/>
        </w:rPr>
        <w:t>21</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50.30</w:t>
      </w:r>
      <w:r>
        <w:rPr>
          <w:noProof/>
        </w:rPr>
        <w:tab/>
        <w:t>Standard 3—Anti</w:t>
      </w:r>
      <w:r>
        <w:rPr>
          <w:noProof/>
        </w:rPr>
        <w:noBreakHyphen/>
        <w:t>fraud and anti</w:t>
      </w:r>
      <w:r>
        <w:rPr>
          <w:noProof/>
        </w:rPr>
        <w:noBreakHyphen/>
        <w:t>corruption</w:t>
      </w:r>
      <w:r w:rsidRPr="0049400B">
        <w:rPr>
          <w:noProof/>
        </w:rPr>
        <w:tab/>
      </w:r>
      <w:r w:rsidRPr="0049400B">
        <w:rPr>
          <w:noProof/>
        </w:rPr>
        <w:fldChar w:fldCharType="begin"/>
      </w:r>
      <w:r w:rsidRPr="0049400B">
        <w:rPr>
          <w:noProof/>
        </w:rPr>
        <w:instrText xml:space="preserve"> PAGEREF _Toc81905196 \h </w:instrText>
      </w:r>
      <w:r w:rsidRPr="0049400B">
        <w:rPr>
          <w:noProof/>
        </w:rPr>
      </w:r>
      <w:r w:rsidRPr="0049400B">
        <w:rPr>
          <w:noProof/>
        </w:rPr>
        <w:fldChar w:fldCharType="separate"/>
      </w:r>
      <w:r w:rsidR="00F9047D">
        <w:rPr>
          <w:noProof/>
        </w:rPr>
        <w:t>21</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50.35</w:t>
      </w:r>
      <w:r>
        <w:rPr>
          <w:noProof/>
        </w:rPr>
        <w:tab/>
        <w:t>Standard 4—Protection of vulnerable individuals</w:t>
      </w:r>
      <w:r w:rsidRPr="0049400B">
        <w:rPr>
          <w:noProof/>
        </w:rPr>
        <w:tab/>
      </w:r>
      <w:r w:rsidRPr="0049400B">
        <w:rPr>
          <w:noProof/>
        </w:rPr>
        <w:fldChar w:fldCharType="begin"/>
      </w:r>
      <w:r w:rsidRPr="0049400B">
        <w:rPr>
          <w:noProof/>
        </w:rPr>
        <w:instrText xml:space="preserve"> PAGEREF _Toc81905197 \h </w:instrText>
      </w:r>
      <w:r w:rsidRPr="0049400B">
        <w:rPr>
          <w:noProof/>
        </w:rPr>
      </w:r>
      <w:r w:rsidRPr="0049400B">
        <w:rPr>
          <w:noProof/>
        </w:rPr>
        <w:fldChar w:fldCharType="separate"/>
      </w:r>
      <w:r w:rsidR="00F9047D">
        <w:rPr>
          <w:noProof/>
        </w:rPr>
        <w:t>22</w:t>
      </w:r>
      <w:r w:rsidRPr="0049400B">
        <w:rPr>
          <w:noProof/>
        </w:rPr>
        <w:fldChar w:fldCharType="end"/>
      </w:r>
    </w:p>
    <w:p w:rsidR="0049400B" w:rsidRDefault="0049400B" w:rsidP="00CE1AC0">
      <w:pPr>
        <w:pStyle w:val="TOC3"/>
        <w:ind w:right="1792"/>
        <w:rPr>
          <w:rFonts w:asciiTheme="minorHAnsi" w:eastAsiaTheme="minorEastAsia" w:hAnsiTheme="minorHAnsi" w:cstheme="minorBidi"/>
          <w:b w:val="0"/>
          <w:noProof/>
          <w:kern w:val="0"/>
          <w:szCs w:val="22"/>
        </w:rPr>
      </w:pPr>
      <w:r>
        <w:rPr>
          <w:noProof/>
        </w:rPr>
        <w:t>Division 60—Requirements for annual financial reports</w:t>
      </w:r>
      <w:r w:rsidRPr="0049400B">
        <w:rPr>
          <w:b w:val="0"/>
          <w:noProof/>
          <w:sz w:val="18"/>
        </w:rPr>
        <w:tab/>
      </w:r>
      <w:r w:rsidRPr="0049400B">
        <w:rPr>
          <w:b w:val="0"/>
          <w:noProof/>
          <w:sz w:val="18"/>
        </w:rPr>
        <w:fldChar w:fldCharType="begin"/>
      </w:r>
      <w:r w:rsidRPr="0049400B">
        <w:rPr>
          <w:b w:val="0"/>
          <w:noProof/>
          <w:sz w:val="18"/>
        </w:rPr>
        <w:instrText xml:space="preserve"> PAGEREF _Toc81905198 \h </w:instrText>
      </w:r>
      <w:r w:rsidRPr="0049400B">
        <w:rPr>
          <w:b w:val="0"/>
          <w:noProof/>
          <w:sz w:val="18"/>
        </w:rPr>
      </w:r>
      <w:r w:rsidRPr="0049400B">
        <w:rPr>
          <w:b w:val="0"/>
          <w:noProof/>
          <w:sz w:val="18"/>
        </w:rPr>
        <w:fldChar w:fldCharType="separate"/>
      </w:r>
      <w:r w:rsidR="00F9047D">
        <w:rPr>
          <w:b w:val="0"/>
          <w:noProof/>
          <w:sz w:val="18"/>
        </w:rPr>
        <w:t>23</w:t>
      </w:r>
      <w:r w:rsidRPr="0049400B">
        <w:rPr>
          <w:b w:val="0"/>
          <w:noProof/>
          <w:sz w:val="18"/>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60</w:t>
      </w:r>
      <w:r>
        <w:rPr>
          <w:noProof/>
        </w:rPr>
        <w:noBreakHyphen/>
        <w:t>A—Purpose of Division 60</w:t>
      </w:r>
      <w:r w:rsidRPr="0049400B">
        <w:rPr>
          <w:b w:val="0"/>
          <w:noProof/>
          <w:sz w:val="18"/>
        </w:rPr>
        <w:tab/>
      </w:r>
      <w:r w:rsidRPr="0049400B">
        <w:rPr>
          <w:b w:val="0"/>
          <w:noProof/>
          <w:sz w:val="18"/>
        </w:rPr>
        <w:fldChar w:fldCharType="begin"/>
      </w:r>
      <w:r w:rsidRPr="0049400B">
        <w:rPr>
          <w:b w:val="0"/>
          <w:noProof/>
          <w:sz w:val="18"/>
        </w:rPr>
        <w:instrText xml:space="preserve"> PAGEREF _Toc81905199 \h </w:instrText>
      </w:r>
      <w:r w:rsidRPr="0049400B">
        <w:rPr>
          <w:b w:val="0"/>
          <w:noProof/>
          <w:sz w:val="18"/>
        </w:rPr>
      </w:r>
      <w:r w:rsidRPr="0049400B">
        <w:rPr>
          <w:b w:val="0"/>
          <w:noProof/>
          <w:sz w:val="18"/>
        </w:rPr>
        <w:fldChar w:fldCharType="separate"/>
      </w:r>
      <w:r w:rsidR="00F9047D">
        <w:rPr>
          <w:b w:val="0"/>
          <w:noProof/>
          <w:sz w:val="18"/>
        </w:rPr>
        <w:t>23</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60.1</w:t>
      </w:r>
      <w:r>
        <w:rPr>
          <w:noProof/>
        </w:rPr>
        <w:tab/>
        <w:t>Purpose</w:t>
      </w:r>
      <w:r w:rsidRPr="0049400B">
        <w:rPr>
          <w:noProof/>
        </w:rPr>
        <w:tab/>
      </w:r>
      <w:r w:rsidRPr="0049400B">
        <w:rPr>
          <w:noProof/>
        </w:rPr>
        <w:fldChar w:fldCharType="begin"/>
      </w:r>
      <w:r w:rsidRPr="0049400B">
        <w:rPr>
          <w:noProof/>
        </w:rPr>
        <w:instrText xml:space="preserve"> PAGEREF _Toc81905200 \h </w:instrText>
      </w:r>
      <w:r w:rsidRPr="0049400B">
        <w:rPr>
          <w:noProof/>
        </w:rPr>
      </w:r>
      <w:r w:rsidRPr="0049400B">
        <w:rPr>
          <w:noProof/>
        </w:rPr>
        <w:fldChar w:fldCharType="separate"/>
      </w:r>
      <w:r w:rsidR="00F9047D">
        <w:rPr>
          <w:noProof/>
        </w:rPr>
        <w:t>23</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60</w:t>
      </w:r>
      <w:r>
        <w:rPr>
          <w:noProof/>
        </w:rPr>
        <w:noBreakHyphen/>
        <w:t>B</w:t>
      </w:r>
      <w:r w:rsidRPr="00CC48BC">
        <w:rPr>
          <w:noProof/>
          <w:color w:val="000000" w:themeColor="text1"/>
        </w:rPr>
        <w:t>—</w:t>
      </w:r>
      <w:r>
        <w:rPr>
          <w:noProof/>
        </w:rPr>
        <w:t>Requirements for annual financial reports (core rules)</w:t>
      </w:r>
      <w:r w:rsidRPr="0049400B">
        <w:rPr>
          <w:b w:val="0"/>
          <w:noProof/>
          <w:sz w:val="18"/>
        </w:rPr>
        <w:tab/>
      </w:r>
      <w:r w:rsidRPr="0049400B">
        <w:rPr>
          <w:b w:val="0"/>
          <w:noProof/>
          <w:sz w:val="18"/>
        </w:rPr>
        <w:fldChar w:fldCharType="begin"/>
      </w:r>
      <w:r w:rsidRPr="0049400B">
        <w:rPr>
          <w:b w:val="0"/>
          <w:noProof/>
          <w:sz w:val="18"/>
        </w:rPr>
        <w:instrText xml:space="preserve"> PAGEREF _Toc81905201 \h </w:instrText>
      </w:r>
      <w:r w:rsidRPr="0049400B">
        <w:rPr>
          <w:b w:val="0"/>
          <w:noProof/>
          <w:sz w:val="18"/>
        </w:rPr>
      </w:r>
      <w:r w:rsidRPr="0049400B">
        <w:rPr>
          <w:b w:val="0"/>
          <w:noProof/>
          <w:sz w:val="18"/>
        </w:rPr>
        <w:fldChar w:fldCharType="separate"/>
      </w:r>
      <w:r w:rsidR="00F9047D">
        <w:rPr>
          <w:b w:val="0"/>
          <w:noProof/>
          <w:sz w:val="18"/>
        </w:rPr>
        <w:t>23</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60.5</w:t>
      </w:r>
      <w:r>
        <w:rPr>
          <w:noProof/>
          <w:color w:val="000000" w:themeColor="text1"/>
        </w:rPr>
        <w:tab/>
      </w:r>
      <w:r w:rsidRPr="00CC48BC">
        <w:rPr>
          <w:noProof/>
          <w:color w:val="000000" w:themeColor="text1"/>
        </w:rPr>
        <w:t>Contents of annual financial report</w:t>
      </w:r>
      <w:r w:rsidRPr="0049400B">
        <w:rPr>
          <w:noProof/>
        </w:rPr>
        <w:tab/>
      </w:r>
      <w:r w:rsidRPr="0049400B">
        <w:rPr>
          <w:noProof/>
        </w:rPr>
        <w:fldChar w:fldCharType="begin"/>
      </w:r>
      <w:r w:rsidRPr="0049400B">
        <w:rPr>
          <w:noProof/>
        </w:rPr>
        <w:instrText xml:space="preserve"> PAGEREF _Toc81905202 \h </w:instrText>
      </w:r>
      <w:r w:rsidRPr="0049400B">
        <w:rPr>
          <w:noProof/>
        </w:rPr>
      </w:r>
      <w:r w:rsidRPr="0049400B">
        <w:rPr>
          <w:noProof/>
        </w:rPr>
        <w:fldChar w:fldCharType="separate"/>
      </w:r>
      <w:r w:rsidR="00F9047D">
        <w:rPr>
          <w:noProof/>
        </w:rPr>
        <w:t>23</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60.10</w:t>
      </w:r>
      <w:r>
        <w:rPr>
          <w:noProof/>
          <w:color w:val="000000" w:themeColor="text1"/>
        </w:rPr>
        <w:tab/>
      </w:r>
      <w:r w:rsidRPr="00CC48BC">
        <w:rPr>
          <w:noProof/>
          <w:color w:val="000000" w:themeColor="text1"/>
        </w:rPr>
        <w:t>Financial statements and notes</w:t>
      </w:r>
      <w:r w:rsidRPr="0049400B">
        <w:rPr>
          <w:noProof/>
        </w:rPr>
        <w:tab/>
      </w:r>
      <w:r w:rsidRPr="0049400B">
        <w:rPr>
          <w:noProof/>
        </w:rPr>
        <w:fldChar w:fldCharType="begin"/>
      </w:r>
      <w:r w:rsidRPr="0049400B">
        <w:rPr>
          <w:noProof/>
        </w:rPr>
        <w:instrText xml:space="preserve"> PAGEREF _Toc81905203 \h </w:instrText>
      </w:r>
      <w:r w:rsidRPr="0049400B">
        <w:rPr>
          <w:noProof/>
        </w:rPr>
      </w:r>
      <w:r w:rsidRPr="0049400B">
        <w:rPr>
          <w:noProof/>
        </w:rPr>
        <w:fldChar w:fldCharType="separate"/>
      </w:r>
      <w:r w:rsidR="00F9047D">
        <w:rPr>
          <w:noProof/>
        </w:rPr>
        <w:t>23</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60.15</w:t>
      </w:r>
      <w:r>
        <w:rPr>
          <w:noProof/>
          <w:color w:val="000000" w:themeColor="text1"/>
        </w:rPr>
        <w:tab/>
      </w:r>
      <w:r w:rsidRPr="00CC48BC">
        <w:rPr>
          <w:noProof/>
          <w:color w:val="000000" w:themeColor="text1"/>
        </w:rPr>
        <w:t>Responsible entities’ declaration</w:t>
      </w:r>
      <w:r w:rsidRPr="0049400B">
        <w:rPr>
          <w:noProof/>
        </w:rPr>
        <w:tab/>
      </w:r>
      <w:r w:rsidRPr="0049400B">
        <w:rPr>
          <w:noProof/>
        </w:rPr>
        <w:fldChar w:fldCharType="begin"/>
      </w:r>
      <w:r w:rsidRPr="0049400B">
        <w:rPr>
          <w:noProof/>
        </w:rPr>
        <w:instrText xml:space="preserve"> PAGEREF _Toc81905204 \h </w:instrText>
      </w:r>
      <w:r w:rsidRPr="0049400B">
        <w:rPr>
          <w:noProof/>
        </w:rPr>
      </w:r>
      <w:r w:rsidRPr="0049400B">
        <w:rPr>
          <w:noProof/>
        </w:rPr>
        <w:fldChar w:fldCharType="separate"/>
      </w:r>
      <w:r w:rsidR="00F9047D">
        <w:rPr>
          <w:noProof/>
        </w:rPr>
        <w:t>23</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60</w:t>
      </w:r>
      <w:r>
        <w:rPr>
          <w:noProof/>
        </w:rPr>
        <w:noBreakHyphen/>
        <w:t>BA—Auditors</w:t>
      </w:r>
      <w:r w:rsidRPr="0049400B">
        <w:rPr>
          <w:b w:val="0"/>
          <w:noProof/>
          <w:sz w:val="18"/>
        </w:rPr>
        <w:tab/>
      </w:r>
      <w:r w:rsidRPr="0049400B">
        <w:rPr>
          <w:b w:val="0"/>
          <w:noProof/>
          <w:sz w:val="18"/>
        </w:rPr>
        <w:fldChar w:fldCharType="begin"/>
      </w:r>
      <w:r w:rsidRPr="0049400B">
        <w:rPr>
          <w:b w:val="0"/>
          <w:noProof/>
          <w:sz w:val="18"/>
        </w:rPr>
        <w:instrText xml:space="preserve"> PAGEREF _Toc81905205 \h </w:instrText>
      </w:r>
      <w:r w:rsidRPr="0049400B">
        <w:rPr>
          <w:b w:val="0"/>
          <w:noProof/>
          <w:sz w:val="18"/>
        </w:rPr>
      </w:r>
      <w:r w:rsidRPr="0049400B">
        <w:rPr>
          <w:b w:val="0"/>
          <w:noProof/>
          <w:sz w:val="18"/>
        </w:rPr>
        <w:fldChar w:fldCharType="separate"/>
      </w:r>
      <w:r w:rsidR="00F9047D">
        <w:rPr>
          <w:b w:val="0"/>
          <w:noProof/>
          <w:sz w:val="18"/>
        </w:rPr>
        <w:t>24</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60.17</w:t>
      </w:r>
      <w:r>
        <w:rPr>
          <w:noProof/>
        </w:rPr>
        <w:tab/>
        <w:t>Prescribed entities undertaking audits or reviews</w:t>
      </w:r>
      <w:r w:rsidRPr="0049400B">
        <w:rPr>
          <w:noProof/>
        </w:rPr>
        <w:tab/>
      </w:r>
      <w:r w:rsidRPr="0049400B">
        <w:rPr>
          <w:noProof/>
        </w:rPr>
        <w:fldChar w:fldCharType="begin"/>
      </w:r>
      <w:r w:rsidRPr="0049400B">
        <w:rPr>
          <w:noProof/>
        </w:rPr>
        <w:instrText xml:space="preserve"> PAGEREF _Toc81905206 \h </w:instrText>
      </w:r>
      <w:r w:rsidRPr="0049400B">
        <w:rPr>
          <w:noProof/>
        </w:rPr>
      </w:r>
      <w:r w:rsidRPr="0049400B">
        <w:rPr>
          <w:noProof/>
        </w:rPr>
        <w:fldChar w:fldCharType="separate"/>
      </w:r>
      <w:r w:rsidR="00F9047D">
        <w:rPr>
          <w:noProof/>
        </w:rPr>
        <w:t>24</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60</w:t>
      </w:r>
      <w:r>
        <w:rPr>
          <w:noProof/>
        </w:rPr>
        <w:noBreakHyphen/>
        <w:t>C</w:t>
      </w:r>
      <w:r w:rsidRPr="00CC48BC">
        <w:rPr>
          <w:noProof/>
          <w:color w:val="000000" w:themeColor="text1"/>
        </w:rPr>
        <w:t>—</w:t>
      </w:r>
      <w:r>
        <w:rPr>
          <w:noProof/>
        </w:rPr>
        <w:t>Requirements for annual financial reports (special rules)</w:t>
      </w:r>
      <w:r w:rsidRPr="0049400B">
        <w:rPr>
          <w:b w:val="0"/>
          <w:noProof/>
          <w:sz w:val="18"/>
        </w:rPr>
        <w:tab/>
      </w:r>
      <w:r w:rsidRPr="0049400B">
        <w:rPr>
          <w:b w:val="0"/>
          <w:noProof/>
          <w:sz w:val="18"/>
        </w:rPr>
        <w:fldChar w:fldCharType="begin"/>
      </w:r>
      <w:r w:rsidRPr="0049400B">
        <w:rPr>
          <w:b w:val="0"/>
          <w:noProof/>
          <w:sz w:val="18"/>
        </w:rPr>
        <w:instrText xml:space="preserve"> PAGEREF _Toc81905207 \h </w:instrText>
      </w:r>
      <w:r w:rsidRPr="0049400B">
        <w:rPr>
          <w:b w:val="0"/>
          <w:noProof/>
          <w:sz w:val="18"/>
        </w:rPr>
      </w:r>
      <w:r w:rsidRPr="0049400B">
        <w:rPr>
          <w:b w:val="0"/>
          <w:noProof/>
          <w:sz w:val="18"/>
        </w:rPr>
        <w:fldChar w:fldCharType="separate"/>
      </w:r>
      <w:r w:rsidR="00F9047D">
        <w:rPr>
          <w:b w:val="0"/>
          <w:noProof/>
          <w:sz w:val="18"/>
        </w:rPr>
        <w:t>24</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60.20</w:t>
      </w:r>
      <w:r>
        <w:rPr>
          <w:noProof/>
          <w:color w:val="000000" w:themeColor="text1"/>
        </w:rPr>
        <w:tab/>
      </w:r>
      <w:r w:rsidRPr="00CC48BC">
        <w:rPr>
          <w:noProof/>
          <w:color w:val="000000" w:themeColor="text1"/>
        </w:rPr>
        <w:t>Application of Subdivision 60</w:t>
      </w:r>
      <w:r w:rsidRPr="00CC48BC">
        <w:rPr>
          <w:noProof/>
          <w:color w:val="000000" w:themeColor="text1"/>
        </w:rPr>
        <w:noBreakHyphen/>
        <w:t>C</w:t>
      </w:r>
      <w:r w:rsidRPr="0049400B">
        <w:rPr>
          <w:noProof/>
        </w:rPr>
        <w:tab/>
      </w:r>
      <w:r w:rsidRPr="0049400B">
        <w:rPr>
          <w:noProof/>
        </w:rPr>
        <w:fldChar w:fldCharType="begin"/>
      </w:r>
      <w:r w:rsidRPr="0049400B">
        <w:rPr>
          <w:noProof/>
        </w:rPr>
        <w:instrText xml:space="preserve"> PAGEREF _Toc81905208 \h </w:instrText>
      </w:r>
      <w:r w:rsidRPr="0049400B">
        <w:rPr>
          <w:noProof/>
        </w:rPr>
      </w:r>
      <w:r w:rsidRPr="0049400B">
        <w:rPr>
          <w:noProof/>
        </w:rPr>
        <w:fldChar w:fldCharType="separate"/>
      </w:r>
      <w:r w:rsidR="00F9047D">
        <w:rPr>
          <w:noProof/>
        </w:rPr>
        <w:t>24</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60.25</w:t>
      </w:r>
      <w:r>
        <w:rPr>
          <w:noProof/>
          <w:color w:val="000000" w:themeColor="text1"/>
        </w:rPr>
        <w:tab/>
      </w:r>
      <w:r w:rsidRPr="00CC48BC">
        <w:rPr>
          <w:noProof/>
          <w:color w:val="000000" w:themeColor="text1"/>
        </w:rPr>
        <w:t>Resolution of inconsistency</w:t>
      </w:r>
      <w:r w:rsidRPr="0049400B">
        <w:rPr>
          <w:noProof/>
        </w:rPr>
        <w:tab/>
      </w:r>
      <w:r w:rsidRPr="0049400B">
        <w:rPr>
          <w:noProof/>
        </w:rPr>
        <w:fldChar w:fldCharType="begin"/>
      </w:r>
      <w:r w:rsidRPr="0049400B">
        <w:rPr>
          <w:noProof/>
        </w:rPr>
        <w:instrText xml:space="preserve"> PAGEREF _Toc81905209 \h </w:instrText>
      </w:r>
      <w:r w:rsidRPr="0049400B">
        <w:rPr>
          <w:noProof/>
        </w:rPr>
      </w:r>
      <w:r w:rsidRPr="0049400B">
        <w:rPr>
          <w:noProof/>
        </w:rPr>
        <w:fldChar w:fldCharType="separate"/>
      </w:r>
      <w:r w:rsidR="00F9047D">
        <w:rPr>
          <w:noProof/>
        </w:rPr>
        <w:t>24</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60.30</w:t>
      </w:r>
      <w:r>
        <w:rPr>
          <w:noProof/>
          <w:color w:val="000000" w:themeColor="text1"/>
        </w:rPr>
        <w:tab/>
      </w:r>
      <w:r w:rsidRPr="00CC48BC">
        <w:rPr>
          <w:noProof/>
          <w:color w:val="000000" w:themeColor="text1"/>
        </w:rPr>
        <w:t>Special purpose financial statements</w:t>
      </w:r>
      <w:r w:rsidRPr="0049400B">
        <w:rPr>
          <w:noProof/>
        </w:rPr>
        <w:tab/>
      </w:r>
      <w:r w:rsidRPr="0049400B">
        <w:rPr>
          <w:noProof/>
        </w:rPr>
        <w:fldChar w:fldCharType="begin"/>
      </w:r>
      <w:r w:rsidRPr="0049400B">
        <w:rPr>
          <w:noProof/>
        </w:rPr>
        <w:instrText xml:space="preserve"> PAGEREF _Toc81905210 \h </w:instrText>
      </w:r>
      <w:r w:rsidRPr="0049400B">
        <w:rPr>
          <w:noProof/>
        </w:rPr>
      </w:r>
      <w:r w:rsidRPr="0049400B">
        <w:rPr>
          <w:noProof/>
        </w:rPr>
        <w:fldChar w:fldCharType="separate"/>
      </w:r>
      <w:r w:rsidR="00F9047D">
        <w:rPr>
          <w:noProof/>
        </w:rPr>
        <w:t>24</w:t>
      </w:r>
      <w:r w:rsidRPr="0049400B">
        <w:rPr>
          <w:noProof/>
        </w:rPr>
        <w:fldChar w:fldCharType="end"/>
      </w:r>
    </w:p>
    <w:p w:rsidR="0049400B" w:rsidRDefault="0049400B" w:rsidP="00CE1AC0">
      <w:pPr>
        <w:pStyle w:val="TOC4"/>
        <w:ind w:right="1792"/>
        <w:rPr>
          <w:rFonts w:asciiTheme="minorHAnsi" w:eastAsiaTheme="minorEastAsia" w:hAnsiTheme="minorHAnsi" w:cstheme="minorBidi"/>
          <w:b w:val="0"/>
          <w:noProof/>
          <w:kern w:val="0"/>
          <w:sz w:val="22"/>
          <w:szCs w:val="22"/>
        </w:rPr>
      </w:pPr>
      <w:r>
        <w:rPr>
          <w:noProof/>
        </w:rPr>
        <w:t>Subdivision 60</w:t>
      </w:r>
      <w:r>
        <w:rPr>
          <w:noProof/>
        </w:rPr>
        <w:noBreakHyphen/>
        <w:t>D</w:t>
      </w:r>
      <w:r w:rsidRPr="00CC48BC">
        <w:rPr>
          <w:noProof/>
          <w:color w:val="000000" w:themeColor="text1"/>
        </w:rPr>
        <w:t>—</w:t>
      </w:r>
      <w:r>
        <w:rPr>
          <w:noProof/>
        </w:rPr>
        <w:t>Requirements for annual financial reports (transitional rules)</w:t>
      </w:r>
      <w:r w:rsidRPr="0049400B">
        <w:rPr>
          <w:b w:val="0"/>
          <w:noProof/>
          <w:sz w:val="18"/>
        </w:rPr>
        <w:tab/>
      </w:r>
      <w:r w:rsidRPr="0049400B">
        <w:rPr>
          <w:b w:val="0"/>
          <w:noProof/>
          <w:sz w:val="18"/>
        </w:rPr>
        <w:fldChar w:fldCharType="begin"/>
      </w:r>
      <w:r w:rsidRPr="0049400B">
        <w:rPr>
          <w:b w:val="0"/>
          <w:noProof/>
          <w:sz w:val="18"/>
        </w:rPr>
        <w:instrText xml:space="preserve"> PAGEREF _Toc81905211 \h </w:instrText>
      </w:r>
      <w:r w:rsidRPr="0049400B">
        <w:rPr>
          <w:b w:val="0"/>
          <w:noProof/>
          <w:sz w:val="18"/>
        </w:rPr>
      </w:r>
      <w:r w:rsidRPr="0049400B">
        <w:rPr>
          <w:b w:val="0"/>
          <w:noProof/>
          <w:sz w:val="18"/>
        </w:rPr>
        <w:fldChar w:fldCharType="separate"/>
      </w:r>
      <w:r w:rsidR="00F9047D">
        <w:rPr>
          <w:b w:val="0"/>
          <w:noProof/>
          <w:sz w:val="18"/>
        </w:rPr>
        <w:t>25</w:t>
      </w:r>
      <w:r w:rsidRPr="0049400B">
        <w:rPr>
          <w:b w:val="0"/>
          <w:noProof/>
          <w:sz w:val="18"/>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60.35</w:t>
      </w:r>
      <w:r>
        <w:rPr>
          <w:noProof/>
          <w:color w:val="000000" w:themeColor="text1"/>
        </w:rPr>
        <w:tab/>
      </w:r>
      <w:r w:rsidRPr="00CC48BC">
        <w:rPr>
          <w:noProof/>
          <w:color w:val="000000" w:themeColor="text1"/>
        </w:rPr>
        <w:t>Application of Subdivision 60</w:t>
      </w:r>
      <w:r w:rsidRPr="00CC48BC">
        <w:rPr>
          <w:noProof/>
          <w:color w:val="000000" w:themeColor="text1"/>
        </w:rPr>
        <w:noBreakHyphen/>
        <w:t>D</w:t>
      </w:r>
      <w:r w:rsidRPr="0049400B">
        <w:rPr>
          <w:noProof/>
        </w:rPr>
        <w:tab/>
      </w:r>
      <w:r w:rsidRPr="0049400B">
        <w:rPr>
          <w:noProof/>
        </w:rPr>
        <w:fldChar w:fldCharType="begin"/>
      </w:r>
      <w:r w:rsidRPr="0049400B">
        <w:rPr>
          <w:noProof/>
        </w:rPr>
        <w:instrText xml:space="preserve"> PAGEREF _Toc81905212 \h </w:instrText>
      </w:r>
      <w:r w:rsidRPr="0049400B">
        <w:rPr>
          <w:noProof/>
        </w:rPr>
      </w:r>
      <w:r w:rsidRPr="0049400B">
        <w:rPr>
          <w:noProof/>
        </w:rPr>
        <w:fldChar w:fldCharType="separate"/>
      </w:r>
      <w:r w:rsidR="00F9047D">
        <w:rPr>
          <w:noProof/>
        </w:rPr>
        <w:t>25</w:t>
      </w:r>
      <w:r w:rsidRPr="0049400B">
        <w:rPr>
          <w:noProof/>
        </w:rPr>
        <w:fldChar w:fldCharType="end"/>
      </w:r>
    </w:p>
    <w:p w:rsidR="0049400B" w:rsidRDefault="0049400B" w:rsidP="00CE1AC0">
      <w:pPr>
        <w:pStyle w:val="TOC5"/>
        <w:ind w:right="1792"/>
        <w:rPr>
          <w:rFonts w:asciiTheme="minorHAnsi" w:eastAsiaTheme="minorEastAsia" w:hAnsiTheme="minorHAnsi" w:cstheme="minorBidi"/>
          <w:noProof/>
          <w:kern w:val="0"/>
          <w:sz w:val="22"/>
          <w:szCs w:val="22"/>
        </w:rPr>
      </w:pPr>
      <w:r>
        <w:rPr>
          <w:noProof/>
        </w:rPr>
        <w:t>60.40</w:t>
      </w:r>
      <w:r>
        <w:rPr>
          <w:noProof/>
          <w:color w:val="000000" w:themeColor="text1"/>
        </w:rPr>
        <w:tab/>
      </w:r>
      <w:r w:rsidRPr="00CC48BC">
        <w:rPr>
          <w:noProof/>
          <w:color w:val="000000" w:themeColor="text1"/>
        </w:rPr>
        <w:t>Financial statement</w:t>
      </w:r>
      <w:r w:rsidRPr="0049400B">
        <w:rPr>
          <w:noProof/>
        </w:rPr>
        <w:tab/>
      </w:r>
      <w:r w:rsidRPr="0049400B">
        <w:rPr>
          <w:noProof/>
        </w:rPr>
        <w:fldChar w:fldCharType="begin"/>
      </w:r>
      <w:r w:rsidRPr="0049400B">
        <w:rPr>
          <w:noProof/>
        </w:rPr>
        <w:instrText xml:space="preserve"> PAGEREF _Toc81905213 \h </w:instrText>
      </w:r>
      <w:r w:rsidRPr="0049400B">
        <w:rPr>
          <w:noProof/>
        </w:rPr>
      </w:r>
      <w:r w:rsidRPr="0049400B">
        <w:rPr>
          <w:noProof/>
        </w:rPr>
        <w:fldChar w:fldCharType="separate"/>
      </w:r>
      <w:r w:rsidR="00F9047D">
        <w:rPr>
          <w:noProof/>
        </w:rPr>
        <w:t>25</w:t>
      </w:r>
      <w:r w:rsidRPr="0049400B">
        <w:rPr>
          <w:noProof/>
        </w:rPr>
        <w:fldChar w:fldCharType="end"/>
      </w:r>
    </w:p>
    <w:p w:rsidR="0049400B" w:rsidRDefault="0049400B" w:rsidP="00CE1AC0">
      <w:pPr>
        <w:pStyle w:val="TOC2"/>
        <w:ind w:right="1792"/>
        <w:rPr>
          <w:rFonts w:asciiTheme="minorHAnsi" w:eastAsiaTheme="minorEastAsia" w:hAnsiTheme="minorHAnsi" w:cstheme="minorBidi"/>
          <w:b w:val="0"/>
          <w:noProof/>
          <w:kern w:val="0"/>
          <w:sz w:val="22"/>
          <w:szCs w:val="22"/>
        </w:rPr>
      </w:pPr>
      <w:r>
        <w:rPr>
          <w:noProof/>
        </w:rPr>
        <w:t>Endnotes</w:t>
      </w:r>
      <w:r w:rsidRPr="0049400B">
        <w:rPr>
          <w:b w:val="0"/>
          <w:noProof/>
          <w:sz w:val="18"/>
        </w:rPr>
        <w:tab/>
      </w:r>
      <w:r w:rsidRPr="0049400B">
        <w:rPr>
          <w:b w:val="0"/>
          <w:noProof/>
          <w:sz w:val="18"/>
        </w:rPr>
        <w:fldChar w:fldCharType="begin"/>
      </w:r>
      <w:r w:rsidRPr="0049400B">
        <w:rPr>
          <w:b w:val="0"/>
          <w:noProof/>
          <w:sz w:val="18"/>
        </w:rPr>
        <w:instrText xml:space="preserve"> PAGEREF _Toc81905214 \h </w:instrText>
      </w:r>
      <w:r w:rsidRPr="0049400B">
        <w:rPr>
          <w:b w:val="0"/>
          <w:noProof/>
          <w:sz w:val="18"/>
        </w:rPr>
      </w:r>
      <w:r w:rsidRPr="0049400B">
        <w:rPr>
          <w:b w:val="0"/>
          <w:noProof/>
          <w:sz w:val="18"/>
        </w:rPr>
        <w:fldChar w:fldCharType="separate"/>
      </w:r>
      <w:r w:rsidR="00F9047D">
        <w:rPr>
          <w:b w:val="0"/>
          <w:noProof/>
          <w:sz w:val="18"/>
        </w:rPr>
        <w:t>28</w:t>
      </w:r>
      <w:r w:rsidRPr="0049400B">
        <w:rPr>
          <w:b w:val="0"/>
          <w:noProof/>
          <w:sz w:val="18"/>
        </w:rPr>
        <w:fldChar w:fldCharType="end"/>
      </w:r>
      <w:bookmarkStart w:id="1" w:name="_GoBack"/>
      <w:bookmarkEnd w:id="1"/>
    </w:p>
    <w:p w:rsidR="0049400B" w:rsidRDefault="0049400B" w:rsidP="00CE1AC0">
      <w:pPr>
        <w:pStyle w:val="TOC3"/>
        <w:ind w:right="1792"/>
        <w:rPr>
          <w:rFonts w:asciiTheme="minorHAnsi" w:eastAsiaTheme="minorEastAsia" w:hAnsiTheme="minorHAnsi" w:cstheme="minorBidi"/>
          <w:b w:val="0"/>
          <w:noProof/>
          <w:kern w:val="0"/>
          <w:szCs w:val="22"/>
        </w:rPr>
      </w:pPr>
      <w:r>
        <w:rPr>
          <w:noProof/>
        </w:rPr>
        <w:t>Endnote 1—About the endnotes</w:t>
      </w:r>
      <w:r w:rsidRPr="0049400B">
        <w:rPr>
          <w:b w:val="0"/>
          <w:noProof/>
          <w:sz w:val="18"/>
        </w:rPr>
        <w:tab/>
      </w:r>
      <w:r w:rsidRPr="0049400B">
        <w:rPr>
          <w:b w:val="0"/>
          <w:noProof/>
          <w:sz w:val="18"/>
        </w:rPr>
        <w:fldChar w:fldCharType="begin"/>
      </w:r>
      <w:r w:rsidRPr="0049400B">
        <w:rPr>
          <w:b w:val="0"/>
          <w:noProof/>
          <w:sz w:val="18"/>
        </w:rPr>
        <w:instrText xml:space="preserve"> PAGEREF _Toc81905215 \h </w:instrText>
      </w:r>
      <w:r w:rsidRPr="0049400B">
        <w:rPr>
          <w:b w:val="0"/>
          <w:noProof/>
          <w:sz w:val="18"/>
        </w:rPr>
      </w:r>
      <w:r w:rsidRPr="0049400B">
        <w:rPr>
          <w:b w:val="0"/>
          <w:noProof/>
          <w:sz w:val="18"/>
        </w:rPr>
        <w:fldChar w:fldCharType="separate"/>
      </w:r>
      <w:r w:rsidR="00F9047D">
        <w:rPr>
          <w:b w:val="0"/>
          <w:noProof/>
          <w:sz w:val="18"/>
        </w:rPr>
        <w:t>28</w:t>
      </w:r>
      <w:r w:rsidRPr="0049400B">
        <w:rPr>
          <w:b w:val="0"/>
          <w:noProof/>
          <w:sz w:val="18"/>
        </w:rPr>
        <w:fldChar w:fldCharType="end"/>
      </w:r>
    </w:p>
    <w:p w:rsidR="0049400B" w:rsidRDefault="0049400B" w:rsidP="00CE1AC0">
      <w:pPr>
        <w:pStyle w:val="TOC3"/>
        <w:ind w:right="1792"/>
        <w:rPr>
          <w:rFonts w:asciiTheme="minorHAnsi" w:eastAsiaTheme="minorEastAsia" w:hAnsiTheme="minorHAnsi" w:cstheme="minorBidi"/>
          <w:b w:val="0"/>
          <w:noProof/>
          <w:kern w:val="0"/>
          <w:szCs w:val="22"/>
        </w:rPr>
      </w:pPr>
      <w:r>
        <w:rPr>
          <w:noProof/>
        </w:rPr>
        <w:t>Endnote 2—Abbreviation key</w:t>
      </w:r>
      <w:r w:rsidRPr="0049400B">
        <w:rPr>
          <w:b w:val="0"/>
          <w:noProof/>
          <w:sz w:val="18"/>
        </w:rPr>
        <w:tab/>
      </w:r>
      <w:r w:rsidRPr="0049400B">
        <w:rPr>
          <w:b w:val="0"/>
          <w:noProof/>
          <w:sz w:val="18"/>
        </w:rPr>
        <w:fldChar w:fldCharType="begin"/>
      </w:r>
      <w:r w:rsidRPr="0049400B">
        <w:rPr>
          <w:b w:val="0"/>
          <w:noProof/>
          <w:sz w:val="18"/>
        </w:rPr>
        <w:instrText xml:space="preserve"> PAGEREF _Toc81905216 \h </w:instrText>
      </w:r>
      <w:r w:rsidRPr="0049400B">
        <w:rPr>
          <w:b w:val="0"/>
          <w:noProof/>
          <w:sz w:val="18"/>
        </w:rPr>
      </w:r>
      <w:r w:rsidRPr="0049400B">
        <w:rPr>
          <w:b w:val="0"/>
          <w:noProof/>
          <w:sz w:val="18"/>
        </w:rPr>
        <w:fldChar w:fldCharType="separate"/>
      </w:r>
      <w:r w:rsidR="00F9047D">
        <w:rPr>
          <w:b w:val="0"/>
          <w:noProof/>
          <w:sz w:val="18"/>
        </w:rPr>
        <w:t>29</w:t>
      </w:r>
      <w:r w:rsidRPr="0049400B">
        <w:rPr>
          <w:b w:val="0"/>
          <w:noProof/>
          <w:sz w:val="18"/>
        </w:rPr>
        <w:fldChar w:fldCharType="end"/>
      </w:r>
    </w:p>
    <w:p w:rsidR="0049400B" w:rsidRDefault="0049400B" w:rsidP="00CE1AC0">
      <w:pPr>
        <w:pStyle w:val="TOC3"/>
        <w:ind w:right="1792"/>
        <w:rPr>
          <w:rFonts w:asciiTheme="minorHAnsi" w:eastAsiaTheme="minorEastAsia" w:hAnsiTheme="minorHAnsi" w:cstheme="minorBidi"/>
          <w:b w:val="0"/>
          <w:noProof/>
          <w:kern w:val="0"/>
          <w:szCs w:val="22"/>
        </w:rPr>
      </w:pPr>
      <w:r>
        <w:rPr>
          <w:noProof/>
        </w:rPr>
        <w:t>Endnote 3—Legislation history</w:t>
      </w:r>
      <w:r w:rsidRPr="0049400B">
        <w:rPr>
          <w:b w:val="0"/>
          <w:noProof/>
          <w:sz w:val="18"/>
        </w:rPr>
        <w:tab/>
      </w:r>
      <w:r w:rsidRPr="0049400B">
        <w:rPr>
          <w:b w:val="0"/>
          <w:noProof/>
          <w:sz w:val="18"/>
        </w:rPr>
        <w:fldChar w:fldCharType="begin"/>
      </w:r>
      <w:r w:rsidRPr="0049400B">
        <w:rPr>
          <w:b w:val="0"/>
          <w:noProof/>
          <w:sz w:val="18"/>
        </w:rPr>
        <w:instrText xml:space="preserve"> PAGEREF _Toc81905217 \h </w:instrText>
      </w:r>
      <w:r w:rsidRPr="0049400B">
        <w:rPr>
          <w:b w:val="0"/>
          <w:noProof/>
          <w:sz w:val="18"/>
        </w:rPr>
      </w:r>
      <w:r w:rsidRPr="0049400B">
        <w:rPr>
          <w:b w:val="0"/>
          <w:noProof/>
          <w:sz w:val="18"/>
        </w:rPr>
        <w:fldChar w:fldCharType="separate"/>
      </w:r>
      <w:r w:rsidR="00F9047D">
        <w:rPr>
          <w:b w:val="0"/>
          <w:noProof/>
          <w:sz w:val="18"/>
        </w:rPr>
        <w:t>30</w:t>
      </w:r>
      <w:r w:rsidRPr="0049400B">
        <w:rPr>
          <w:b w:val="0"/>
          <w:noProof/>
          <w:sz w:val="18"/>
        </w:rPr>
        <w:fldChar w:fldCharType="end"/>
      </w:r>
    </w:p>
    <w:p w:rsidR="0049400B" w:rsidRPr="0049400B" w:rsidRDefault="0049400B" w:rsidP="00CE1AC0">
      <w:pPr>
        <w:pStyle w:val="TOC3"/>
        <w:ind w:right="1792"/>
        <w:rPr>
          <w:rFonts w:eastAsiaTheme="minorEastAsia"/>
          <w:b w:val="0"/>
          <w:noProof/>
          <w:kern w:val="0"/>
          <w:sz w:val="18"/>
          <w:szCs w:val="22"/>
        </w:rPr>
      </w:pPr>
      <w:r>
        <w:rPr>
          <w:noProof/>
        </w:rPr>
        <w:t>Endnote 4—Amendment history</w:t>
      </w:r>
      <w:r w:rsidRPr="0049400B">
        <w:rPr>
          <w:b w:val="0"/>
          <w:noProof/>
          <w:sz w:val="18"/>
        </w:rPr>
        <w:tab/>
      </w:r>
      <w:r w:rsidRPr="0049400B">
        <w:rPr>
          <w:b w:val="0"/>
          <w:noProof/>
          <w:sz w:val="18"/>
        </w:rPr>
        <w:fldChar w:fldCharType="begin"/>
      </w:r>
      <w:r w:rsidRPr="0049400B">
        <w:rPr>
          <w:b w:val="0"/>
          <w:noProof/>
          <w:sz w:val="18"/>
        </w:rPr>
        <w:instrText xml:space="preserve"> PAGEREF _Toc81905218 \h </w:instrText>
      </w:r>
      <w:r w:rsidRPr="0049400B">
        <w:rPr>
          <w:b w:val="0"/>
          <w:noProof/>
          <w:sz w:val="18"/>
        </w:rPr>
      </w:r>
      <w:r w:rsidRPr="0049400B">
        <w:rPr>
          <w:b w:val="0"/>
          <w:noProof/>
          <w:sz w:val="18"/>
        </w:rPr>
        <w:fldChar w:fldCharType="separate"/>
      </w:r>
      <w:r w:rsidR="00F9047D">
        <w:rPr>
          <w:b w:val="0"/>
          <w:noProof/>
          <w:sz w:val="18"/>
        </w:rPr>
        <w:t>31</w:t>
      </w:r>
      <w:r w:rsidRPr="0049400B">
        <w:rPr>
          <w:b w:val="0"/>
          <w:noProof/>
          <w:sz w:val="18"/>
        </w:rPr>
        <w:fldChar w:fldCharType="end"/>
      </w:r>
    </w:p>
    <w:p w:rsidR="00584E63" w:rsidRPr="0049400B" w:rsidRDefault="002F5C51" w:rsidP="00CE1AC0">
      <w:pPr>
        <w:pStyle w:val="TOC2"/>
        <w:ind w:right="1792"/>
      </w:pPr>
      <w:r w:rsidRPr="0049400B">
        <w:rPr>
          <w:b w:val="0"/>
          <w:sz w:val="18"/>
        </w:rPr>
        <w:fldChar w:fldCharType="end"/>
      </w:r>
    </w:p>
    <w:p w:rsidR="00813A8A" w:rsidRPr="0049400B" w:rsidRDefault="00813A8A" w:rsidP="00813A8A">
      <w:pPr>
        <w:rPr>
          <w:lang w:eastAsia="en-AU"/>
        </w:rPr>
        <w:sectPr w:rsidR="00813A8A" w:rsidRPr="0049400B" w:rsidSect="000308A2">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rsidR="00F65172" w:rsidRPr="0049400B" w:rsidRDefault="00F65172" w:rsidP="008D38EB">
      <w:pPr>
        <w:pStyle w:val="ActHead2"/>
      </w:pPr>
      <w:bookmarkStart w:id="2" w:name="_Toc81905154"/>
      <w:r w:rsidRPr="0049400B">
        <w:rPr>
          <w:rStyle w:val="CharPartNo"/>
        </w:rPr>
        <w:t>Part</w:t>
      </w:r>
      <w:r w:rsidR="002F2B52" w:rsidRPr="0049400B">
        <w:rPr>
          <w:rStyle w:val="CharPartNo"/>
        </w:rPr>
        <w:t> </w:t>
      </w:r>
      <w:r w:rsidRPr="0049400B">
        <w:rPr>
          <w:rStyle w:val="CharPartNo"/>
        </w:rPr>
        <w:t>1</w:t>
      </w:r>
      <w:r w:rsidRPr="0049400B">
        <w:t>—</w:t>
      </w:r>
      <w:r w:rsidRPr="0049400B">
        <w:rPr>
          <w:rStyle w:val="CharPartText"/>
        </w:rPr>
        <w:t>Preliminary</w:t>
      </w:r>
      <w:bookmarkEnd w:id="2"/>
    </w:p>
    <w:p w:rsidR="00F65172" w:rsidRPr="0049400B" w:rsidRDefault="00F65172" w:rsidP="00F65172">
      <w:pPr>
        <w:pStyle w:val="Header"/>
      </w:pPr>
      <w:r w:rsidRPr="0049400B">
        <w:rPr>
          <w:rStyle w:val="CharDivNo"/>
        </w:rPr>
        <w:t xml:space="preserve"> </w:t>
      </w:r>
      <w:r w:rsidRPr="0049400B">
        <w:rPr>
          <w:rStyle w:val="CharDivText"/>
        </w:rPr>
        <w:t xml:space="preserve"> </w:t>
      </w:r>
    </w:p>
    <w:p w:rsidR="00204C8D" w:rsidRPr="0049400B" w:rsidRDefault="00204C8D" w:rsidP="00F65172">
      <w:pPr>
        <w:pStyle w:val="ActHead5"/>
      </w:pPr>
      <w:bookmarkStart w:id="3" w:name="_Toc81905155"/>
      <w:r w:rsidRPr="0049400B">
        <w:rPr>
          <w:rStyle w:val="CharSectno"/>
        </w:rPr>
        <w:t>1</w:t>
      </w:r>
      <w:r w:rsidR="00F65172" w:rsidRPr="0049400B">
        <w:t xml:space="preserve">  </w:t>
      </w:r>
      <w:r w:rsidRPr="0049400B">
        <w:t>Name of regulation</w:t>
      </w:r>
      <w:bookmarkEnd w:id="3"/>
    </w:p>
    <w:p w:rsidR="00204C8D" w:rsidRPr="0049400B" w:rsidRDefault="00204C8D" w:rsidP="00F65172">
      <w:pPr>
        <w:pStyle w:val="subsection"/>
      </w:pPr>
      <w:r w:rsidRPr="0049400B">
        <w:tab/>
      </w:r>
      <w:r w:rsidRPr="0049400B">
        <w:tab/>
        <w:t xml:space="preserve">This regulation is the </w:t>
      </w:r>
      <w:r w:rsidR="00D70FF0" w:rsidRPr="0049400B">
        <w:rPr>
          <w:i/>
        </w:rPr>
        <w:t>Australian Charities and Not</w:t>
      </w:r>
      <w:r w:rsidR="0049400B">
        <w:rPr>
          <w:i/>
        </w:rPr>
        <w:noBreakHyphen/>
      </w:r>
      <w:r w:rsidR="00D70FF0" w:rsidRPr="0049400B">
        <w:rPr>
          <w:i/>
        </w:rPr>
        <w:t>for</w:t>
      </w:r>
      <w:r w:rsidR="0049400B">
        <w:rPr>
          <w:i/>
        </w:rPr>
        <w:noBreakHyphen/>
      </w:r>
      <w:r w:rsidR="00D70FF0" w:rsidRPr="0049400B">
        <w:rPr>
          <w:i/>
        </w:rPr>
        <w:t xml:space="preserve">profits Commission </w:t>
      </w:r>
      <w:r w:rsidR="0049400B">
        <w:rPr>
          <w:i/>
        </w:rPr>
        <w:t>Regulation 2</w:t>
      </w:r>
      <w:r w:rsidR="00D70FF0" w:rsidRPr="0049400B">
        <w:rPr>
          <w:i/>
        </w:rPr>
        <w:t>013</w:t>
      </w:r>
      <w:r w:rsidRPr="0049400B">
        <w:t>.</w:t>
      </w:r>
    </w:p>
    <w:p w:rsidR="00F65172" w:rsidRPr="0049400B" w:rsidRDefault="00450939" w:rsidP="00F65172">
      <w:pPr>
        <w:pStyle w:val="ActHead5"/>
      </w:pPr>
      <w:bookmarkStart w:id="4" w:name="_Toc81905156"/>
      <w:r w:rsidRPr="0049400B">
        <w:rPr>
          <w:rStyle w:val="CharSectno"/>
        </w:rPr>
        <w:t>3</w:t>
      </w:r>
      <w:r w:rsidR="00F65172" w:rsidRPr="0049400B">
        <w:t xml:space="preserve">  Authority</w:t>
      </w:r>
      <w:bookmarkEnd w:id="4"/>
    </w:p>
    <w:p w:rsidR="00F65172" w:rsidRPr="0049400B" w:rsidRDefault="00F65172" w:rsidP="00F65172">
      <w:pPr>
        <w:pStyle w:val="subsection"/>
      </w:pPr>
      <w:r w:rsidRPr="0049400B">
        <w:tab/>
      </w:r>
      <w:r w:rsidRPr="0049400B">
        <w:tab/>
        <w:t xml:space="preserve">This </w:t>
      </w:r>
      <w:r w:rsidR="00450939" w:rsidRPr="0049400B">
        <w:t>regulation</w:t>
      </w:r>
      <w:r w:rsidRPr="0049400B">
        <w:t xml:space="preserve"> is made under the </w:t>
      </w:r>
      <w:r w:rsidR="00450939" w:rsidRPr="0049400B">
        <w:rPr>
          <w:i/>
        </w:rPr>
        <w:t>Australian Charities and Not</w:t>
      </w:r>
      <w:r w:rsidR="0049400B">
        <w:rPr>
          <w:i/>
        </w:rPr>
        <w:noBreakHyphen/>
      </w:r>
      <w:r w:rsidR="00450939" w:rsidRPr="0049400B">
        <w:rPr>
          <w:i/>
        </w:rPr>
        <w:t>for</w:t>
      </w:r>
      <w:r w:rsidR="0049400B">
        <w:rPr>
          <w:i/>
        </w:rPr>
        <w:noBreakHyphen/>
      </w:r>
      <w:r w:rsidR="00450939" w:rsidRPr="0049400B">
        <w:rPr>
          <w:i/>
        </w:rPr>
        <w:t>profits Commission Act 2012</w:t>
      </w:r>
      <w:r w:rsidRPr="0049400B">
        <w:t>.</w:t>
      </w:r>
    </w:p>
    <w:p w:rsidR="00204C8D" w:rsidRPr="0049400B" w:rsidRDefault="00223DCD" w:rsidP="00F65172">
      <w:pPr>
        <w:pStyle w:val="ActHead5"/>
      </w:pPr>
      <w:bookmarkStart w:id="5" w:name="_Toc81905157"/>
      <w:r w:rsidRPr="0049400B">
        <w:rPr>
          <w:rStyle w:val="CharSectno"/>
        </w:rPr>
        <w:t>4</w:t>
      </w:r>
      <w:r w:rsidR="00F65172" w:rsidRPr="0049400B">
        <w:t xml:space="preserve">  </w:t>
      </w:r>
      <w:r w:rsidR="0093450B" w:rsidRPr="0049400B">
        <w:t>Definitions</w:t>
      </w:r>
      <w:bookmarkEnd w:id="5"/>
    </w:p>
    <w:p w:rsidR="0093450B" w:rsidRPr="0049400B" w:rsidRDefault="0093450B" w:rsidP="00F65172">
      <w:pPr>
        <w:pStyle w:val="subsection"/>
      </w:pPr>
      <w:r w:rsidRPr="0049400B">
        <w:tab/>
      </w:r>
      <w:r w:rsidRPr="0049400B">
        <w:tab/>
        <w:t>In this regulation:</w:t>
      </w:r>
    </w:p>
    <w:p w:rsidR="001D4068" w:rsidRPr="0049400B" w:rsidRDefault="001D4068" w:rsidP="001D4068">
      <w:pPr>
        <w:pStyle w:val="Definition"/>
      </w:pPr>
      <w:r w:rsidRPr="0049400B">
        <w:rPr>
          <w:b/>
          <w:i/>
        </w:rPr>
        <w:t>accounting standards—</w:t>
      </w:r>
      <w:r w:rsidRPr="0049400B">
        <w:t>see section</w:t>
      </w:r>
      <w:r w:rsidR="002F2B52" w:rsidRPr="0049400B">
        <w:t> </w:t>
      </w:r>
      <w:r w:rsidRPr="0049400B">
        <w:t>300</w:t>
      </w:r>
      <w:r w:rsidR="0049400B">
        <w:noBreakHyphen/>
      </w:r>
      <w:r w:rsidRPr="0049400B">
        <w:t>5 of the Act.</w:t>
      </w:r>
    </w:p>
    <w:p w:rsidR="0093450B" w:rsidRPr="0049400B" w:rsidRDefault="0093450B" w:rsidP="00F65172">
      <w:pPr>
        <w:pStyle w:val="Definition"/>
      </w:pPr>
      <w:r w:rsidRPr="0049400B">
        <w:rPr>
          <w:b/>
          <w:i/>
        </w:rPr>
        <w:t xml:space="preserve">Act </w:t>
      </w:r>
      <w:r w:rsidRPr="0049400B">
        <w:t xml:space="preserve">means the </w:t>
      </w:r>
      <w:r w:rsidRPr="0049400B">
        <w:rPr>
          <w:i/>
        </w:rPr>
        <w:t>Australian Charities and No</w:t>
      </w:r>
      <w:r w:rsidR="00450939" w:rsidRPr="0049400B">
        <w:rPr>
          <w:i/>
        </w:rPr>
        <w:t>t</w:t>
      </w:r>
      <w:r w:rsidR="0049400B">
        <w:rPr>
          <w:i/>
        </w:rPr>
        <w:noBreakHyphen/>
      </w:r>
      <w:r w:rsidRPr="0049400B">
        <w:rPr>
          <w:i/>
        </w:rPr>
        <w:t>for</w:t>
      </w:r>
      <w:r w:rsidR="0049400B">
        <w:rPr>
          <w:i/>
        </w:rPr>
        <w:noBreakHyphen/>
      </w:r>
      <w:r w:rsidRPr="0049400B">
        <w:rPr>
          <w:i/>
        </w:rPr>
        <w:t>profits Commission Act 2012</w:t>
      </w:r>
      <w:r w:rsidRPr="0049400B">
        <w:t>.</w:t>
      </w:r>
    </w:p>
    <w:p w:rsidR="00276009" w:rsidRPr="0049400B" w:rsidRDefault="00276009" w:rsidP="00276009">
      <w:pPr>
        <w:pStyle w:val="Definition"/>
      </w:pPr>
      <w:r w:rsidRPr="0049400B">
        <w:rPr>
          <w:b/>
          <w:i/>
        </w:rPr>
        <w:t>arrangement</w:t>
      </w:r>
      <w:r w:rsidRPr="0049400B">
        <w:t xml:space="preserve"> has the same meaning as in the </w:t>
      </w:r>
      <w:r w:rsidRPr="0049400B">
        <w:rPr>
          <w:i/>
        </w:rPr>
        <w:t>Income Tax Assessment Act 1997</w:t>
      </w:r>
      <w:r w:rsidRPr="0049400B">
        <w:t>.</w:t>
      </w:r>
    </w:p>
    <w:p w:rsidR="00276009" w:rsidRPr="0049400B" w:rsidRDefault="00276009" w:rsidP="00276009">
      <w:pPr>
        <w:pStyle w:val="Definition"/>
      </w:pPr>
      <w:r w:rsidRPr="0049400B">
        <w:rPr>
          <w:b/>
          <w:i/>
        </w:rPr>
        <w:t>child</w:t>
      </w:r>
      <w:r w:rsidRPr="0049400B">
        <w:t xml:space="preserve"> means an individual who is under the age of 18 years.</w:t>
      </w:r>
    </w:p>
    <w:p w:rsidR="001D4068" w:rsidRPr="0049400B" w:rsidRDefault="001D4068" w:rsidP="001D4068">
      <w:pPr>
        <w:pStyle w:val="Definition"/>
      </w:pPr>
      <w:r w:rsidRPr="0049400B">
        <w:rPr>
          <w:b/>
          <w:i/>
        </w:rPr>
        <w:t>general purpose financial statement</w:t>
      </w:r>
      <w:r w:rsidRPr="0049400B">
        <w:t xml:space="preserve"> has the meaning given by the accounting standards.</w:t>
      </w:r>
    </w:p>
    <w:p w:rsidR="00F1653F" w:rsidRPr="0049400B" w:rsidRDefault="00F1653F" w:rsidP="00F1653F">
      <w:pPr>
        <w:pStyle w:val="Definition"/>
      </w:pPr>
      <w:r w:rsidRPr="0049400B">
        <w:rPr>
          <w:b/>
          <w:i/>
        </w:rPr>
        <w:t>individual donor</w:t>
      </w:r>
      <w:r w:rsidRPr="0049400B">
        <w:t xml:space="preserve"> means an individual who makes a contribution to a registered entity.</w:t>
      </w:r>
    </w:p>
    <w:p w:rsidR="00060390" w:rsidRPr="0049400B" w:rsidRDefault="00060390" w:rsidP="00060390">
      <w:pPr>
        <w:pStyle w:val="Definition"/>
      </w:pPr>
      <w:r w:rsidRPr="0049400B">
        <w:rPr>
          <w:b/>
          <w:i/>
        </w:rPr>
        <w:t>member</w:t>
      </w:r>
      <w:r w:rsidRPr="0049400B">
        <w:t xml:space="preserve"> has the meaning given by the </w:t>
      </w:r>
      <w:r w:rsidRPr="0049400B">
        <w:rPr>
          <w:i/>
        </w:rPr>
        <w:t>Income Tax Assessment Act 1997</w:t>
      </w:r>
      <w:r w:rsidRPr="0049400B">
        <w:t>.</w:t>
      </w:r>
    </w:p>
    <w:p w:rsidR="002B1C2C" w:rsidRPr="0049400B" w:rsidRDefault="002B1C2C" w:rsidP="002B1C2C">
      <w:pPr>
        <w:pStyle w:val="Definition"/>
      </w:pPr>
      <w:r w:rsidRPr="0049400B">
        <w:rPr>
          <w:b/>
          <w:i/>
        </w:rPr>
        <w:t>participating non</w:t>
      </w:r>
      <w:r w:rsidR="0049400B">
        <w:rPr>
          <w:b/>
          <w:i/>
        </w:rPr>
        <w:noBreakHyphen/>
      </w:r>
      <w:r w:rsidRPr="0049400B">
        <w:rPr>
          <w:b/>
          <w:i/>
        </w:rPr>
        <w:t>government institution</w:t>
      </w:r>
      <w:r w:rsidRPr="0049400B">
        <w:t xml:space="preserve"> has the same meaning as in the </w:t>
      </w:r>
      <w:r w:rsidRPr="0049400B">
        <w:rPr>
          <w:i/>
        </w:rPr>
        <w:t>National Redress Scheme for Institutional Child Sexual Abuse Act 2018</w:t>
      </w:r>
      <w:r w:rsidRPr="0049400B">
        <w:t>.</w:t>
      </w:r>
    </w:p>
    <w:p w:rsidR="00F1653F" w:rsidRPr="0049400B" w:rsidRDefault="00F1653F" w:rsidP="00F1653F">
      <w:pPr>
        <w:pStyle w:val="Definition"/>
      </w:pPr>
      <w:r w:rsidRPr="0049400B">
        <w:rPr>
          <w:b/>
          <w:i/>
        </w:rPr>
        <w:t>private ancillary fund</w:t>
      </w:r>
      <w:r w:rsidRPr="0049400B">
        <w:t xml:space="preserve"> has the same meaning as in the </w:t>
      </w:r>
      <w:r w:rsidRPr="0049400B">
        <w:rPr>
          <w:i/>
          <w:iCs/>
        </w:rPr>
        <w:t>Income Tax Assessment Act 1997</w:t>
      </w:r>
      <w:r w:rsidRPr="0049400B">
        <w:t>.</w:t>
      </w:r>
    </w:p>
    <w:p w:rsidR="00F1653F" w:rsidRPr="0049400B" w:rsidRDefault="00F1653F" w:rsidP="00F1653F">
      <w:pPr>
        <w:pStyle w:val="Definition"/>
      </w:pPr>
      <w:r w:rsidRPr="0049400B">
        <w:rPr>
          <w:b/>
          <w:i/>
        </w:rPr>
        <w:t>private ancillary fund guidelines</w:t>
      </w:r>
      <w:r w:rsidRPr="0049400B">
        <w:t xml:space="preserve"> has the same meaning as in the </w:t>
      </w:r>
      <w:r w:rsidRPr="0049400B">
        <w:rPr>
          <w:i/>
          <w:iCs/>
        </w:rPr>
        <w:t>Income Tax Assessment Act 1997</w:t>
      </w:r>
      <w:r w:rsidRPr="0049400B">
        <w:t>.</w:t>
      </w:r>
    </w:p>
    <w:p w:rsidR="00C77B97" w:rsidRPr="0049400B" w:rsidRDefault="00C77B97" w:rsidP="00F65172">
      <w:pPr>
        <w:pStyle w:val="Definition"/>
      </w:pPr>
      <w:r w:rsidRPr="0049400B">
        <w:rPr>
          <w:b/>
          <w:i/>
        </w:rPr>
        <w:t>Register</w:t>
      </w:r>
      <w:r w:rsidR="007003DB" w:rsidRPr="0049400B">
        <w:t xml:space="preserve">: </w:t>
      </w:r>
      <w:r w:rsidRPr="0049400B">
        <w:t>see section</w:t>
      </w:r>
      <w:r w:rsidR="002F2B52" w:rsidRPr="0049400B">
        <w:t> </w:t>
      </w:r>
      <w:r w:rsidRPr="0049400B">
        <w:t>300</w:t>
      </w:r>
      <w:r w:rsidR="0049400B">
        <w:noBreakHyphen/>
      </w:r>
      <w:r w:rsidRPr="0049400B">
        <w:t>5 of the Act.</w:t>
      </w:r>
    </w:p>
    <w:p w:rsidR="00CA3FD4" w:rsidRPr="0049400B" w:rsidRDefault="00CA3FD4" w:rsidP="00F65172">
      <w:pPr>
        <w:pStyle w:val="Definition"/>
      </w:pPr>
      <w:r w:rsidRPr="0049400B">
        <w:rPr>
          <w:b/>
          <w:i/>
        </w:rPr>
        <w:t xml:space="preserve">registered entity </w:t>
      </w:r>
      <w:r w:rsidRPr="0049400B">
        <w:t xml:space="preserve">means an entity that is registered under </w:t>
      </w:r>
      <w:r w:rsidR="00F65172" w:rsidRPr="0049400B">
        <w:t>Part</w:t>
      </w:r>
      <w:r w:rsidR="002F2B52" w:rsidRPr="0049400B">
        <w:t> </w:t>
      </w:r>
      <w:r w:rsidR="00B8549E" w:rsidRPr="0049400B">
        <w:t>2</w:t>
      </w:r>
      <w:r w:rsidR="0049400B">
        <w:noBreakHyphen/>
      </w:r>
      <w:r w:rsidR="00B8549E" w:rsidRPr="0049400B">
        <w:t xml:space="preserve">1 </w:t>
      </w:r>
      <w:r w:rsidRPr="0049400B">
        <w:t>of the Act.</w:t>
      </w:r>
    </w:p>
    <w:p w:rsidR="002B1C2C" w:rsidRPr="0049400B" w:rsidRDefault="002B1C2C" w:rsidP="002B1C2C">
      <w:pPr>
        <w:pStyle w:val="Definition"/>
      </w:pPr>
      <w:r w:rsidRPr="0049400B">
        <w:rPr>
          <w:b/>
          <w:i/>
        </w:rPr>
        <w:t>sexual abuse</w:t>
      </w:r>
      <w:r w:rsidRPr="0049400B">
        <w:t xml:space="preserve"> has the same meaning as in the </w:t>
      </w:r>
      <w:r w:rsidRPr="0049400B">
        <w:rPr>
          <w:i/>
        </w:rPr>
        <w:t>National Redress Scheme for Institutional Child Sexual Abuse Act 2018</w:t>
      </w:r>
      <w:r w:rsidRPr="0049400B">
        <w:t>.</w:t>
      </w:r>
    </w:p>
    <w:p w:rsidR="00C332D3" w:rsidRPr="0049400B" w:rsidRDefault="00C332D3" w:rsidP="00C332D3">
      <w:pPr>
        <w:pStyle w:val="Definition"/>
      </w:pPr>
      <w:r w:rsidRPr="0049400B">
        <w:rPr>
          <w:b/>
          <w:i/>
        </w:rPr>
        <w:t>special purpose financial statement</w:t>
      </w:r>
      <w:r w:rsidRPr="0049400B">
        <w:t xml:space="preserve"> means a financial statement that is not a general purpose financial statement.</w:t>
      </w:r>
    </w:p>
    <w:p w:rsidR="00F1653F" w:rsidRPr="0049400B" w:rsidRDefault="00F1653F" w:rsidP="00F1653F">
      <w:pPr>
        <w:pStyle w:val="Definition"/>
      </w:pPr>
      <w:r w:rsidRPr="0049400B">
        <w:rPr>
          <w:b/>
          <w:i/>
        </w:rPr>
        <w:t>taxation law</w:t>
      </w:r>
      <w:r w:rsidRPr="0049400B">
        <w:t>: see section</w:t>
      </w:r>
      <w:r w:rsidR="002F2B52" w:rsidRPr="0049400B">
        <w:t> </w:t>
      </w:r>
      <w:r w:rsidRPr="0049400B">
        <w:t>300</w:t>
      </w:r>
      <w:r w:rsidR="0049400B">
        <w:noBreakHyphen/>
      </w:r>
      <w:r w:rsidRPr="0049400B">
        <w:t>5 of the Act.</w:t>
      </w:r>
    </w:p>
    <w:p w:rsidR="00276009" w:rsidRPr="0049400B" w:rsidRDefault="00276009" w:rsidP="00276009">
      <w:pPr>
        <w:pStyle w:val="Definition"/>
      </w:pPr>
      <w:r w:rsidRPr="0049400B">
        <w:rPr>
          <w:b/>
          <w:i/>
        </w:rPr>
        <w:t>third party</w:t>
      </w:r>
      <w:r w:rsidRPr="0049400B">
        <w:t>, in relation to a registered entity, means an entity (other than a registered entity) that formally or informally collaborates with the registered entity for the purpose of advancing the registered entity’s purpose or purposes, and includes:</w:t>
      </w:r>
    </w:p>
    <w:p w:rsidR="00276009" w:rsidRPr="0049400B" w:rsidRDefault="00276009" w:rsidP="00276009">
      <w:pPr>
        <w:pStyle w:val="paragraph"/>
      </w:pPr>
      <w:r w:rsidRPr="0049400B">
        <w:tab/>
        <w:t>(a)</w:t>
      </w:r>
      <w:r w:rsidRPr="0049400B">
        <w:tab/>
        <w:t>an entity with which the registered entity has some form of membership, association or alliance; and</w:t>
      </w:r>
    </w:p>
    <w:p w:rsidR="00276009" w:rsidRPr="0049400B" w:rsidRDefault="00276009" w:rsidP="00276009">
      <w:pPr>
        <w:pStyle w:val="paragraph"/>
      </w:pPr>
      <w:r w:rsidRPr="0049400B">
        <w:tab/>
        <w:t>(b)</w:t>
      </w:r>
      <w:r w:rsidRPr="0049400B">
        <w:tab/>
        <w:t>an entity that has an arrangement with the registered entity.</w:t>
      </w:r>
    </w:p>
    <w:p w:rsidR="00276009" w:rsidRPr="0049400B" w:rsidRDefault="00276009" w:rsidP="00276009">
      <w:pPr>
        <w:pStyle w:val="Definition"/>
      </w:pPr>
      <w:r w:rsidRPr="0049400B">
        <w:rPr>
          <w:b/>
          <w:i/>
        </w:rPr>
        <w:t>vulnerable individual</w:t>
      </w:r>
      <w:r w:rsidRPr="0049400B">
        <w:t xml:space="preserve"> means:</w:t>
      </w:r>
    </w:p>
    <w:p w:rsidR="00276009" w:rsidRPr="0049400B" w:rsidRDefault="00276009" w:rsidP="00276009">
      <w:pPr>
        <w:pStyle w:val="paragraph"/>
      </w:pPr>
      <w:r w:rsidRPr="0049400B">
        <w:tab/>
        <w:t>(a)</w:t>
      </w:r>
      <w:r w:rsidRPr="0049400B">
        <w:tab/>
        <w:t>a child; or</w:t>
      </w:r>
    </w:p>
    <w:p w:rsidR="00276009" w:rsidRPr="0049400B" w:rsidRDefault="00276009" w:rsidP="00276009">
      <w:pPr>
        <w:pStyle w:val="paragraph"/>
      </w:pPr>
      <w:r w:rsidRPr="0049400B">
        <w:tab/>
        <w:t>(b)</w:t>
      </w:r>
      <w:r w:rsidRPr="0049400B">
        <w:tab/>
        <w:t>an individual who is or may be unable to take care of themselves, or is unable to protect themselves against harm or exploitation.</w:t>
      </w:r>
    </w:p>
    <w:p w:rsidR="00276009" w:rsidRPr="0049400B" w:rsidRDefault="00276009" w:rsidP="00276009">
      <w:pPr>
        <w:pStyle w:val="notetext"/>
      </w:pPr>
      <w:r w:rsidRPr="0049400B">
        <w:t xml:space="preserve">Example: </w:t>
      </w:r>
      <w:r w:rsidRPr="0049400B">
        <w:tab/>
        <w:t>An individual may be unable to take care of, or protect, themselves by reason of age, illness, trauma or disability.</w:t>
      </w:r>
    </w:p>
    <w:p w:rsidR="00C77B97" w:rsidRPr="0049400B" w:rsidRDefault="00867E00" w:rsidP="00291FD0">
      <w:pPr>
        <w:pStyle w:val="ActHead2"/>
        <w:pageBreakBefore/>
      </w:pPr>
      <w:bookmarkStart w:id="6" w:name="_Toc81905158"/>
      <w:r w:rsidRPr="0049400B">
        <w:rPr>
          <w:rStyle w:val="CharPartNo"/>
        </w:rPr>
        <w:t>Part</w:t>
      </w:r>
      <w:r w:rsidR="002F2B52" w:rsidRPr="0049400B">
        <w:rPr>
          <w:rStyle w:val="CharPartNo"/>
        </w:rPr>
        <w:t> </w:t>
      </w:r>
      <w:r w:rsidR="00917823" w:rsidRPr="0049400B">
        <w:rPr>
          <w:rStyle w:val="CharPartNo"/>
        </w:rPr>
        <w:t>2</w:t>
      </w:r>
      <w:r w:rsidR="0049400B" w:rsidRPr="0049400B">
        <w:rPr>
          <w:rStyle w:val="CharPartNo"/>
        </w:rPr>
        <w:noBreakHyphen/>
      </w:r>
      <w:r w:rsidR="00917823" w:rsidRPr="0049400B">
        <w:rPr>
          <w:rStyle w:val="CharPartNo"/>
        </w:rPr>
        <w:t>2</w:t>
      </w:r>
      <w:r w:rsidR="00F65172" w:rsidRPr="0049400B">
        <w:t>—</w:t>
      </w:r>
      <w:r w:rsidRPr="0049400B">
        <w:rPr>
          <w:rStyle w:val="CharPartText"/>
        </w:rPr>
        <w:t>Australian Chariti</w:t>
      </w:r>
      <w:r w:rsidR="00917823" w:rsidRPr="0049400B">
        <w:rPr>
          <w:rStyle w:val="CharPartText"/>
        </w:rPr>
        <w:t>es and Not</w:t>
      </w:r>
      <w:r w:rsidR="0049400B" w:rsidRPr="0049400B">
        <w:rPr>
          <w:rStyle w:val="CharPartText"/>
        </w:rPr>
        <w:noBreakHyphen/>
      </w:r>
      <w:r w:rsidR="00917823" w:rsidRPr="0049400B">
        <w:rPr>
          <w:rStyle w:val="CharPartText"/>
        </w:rPr>
        <w:t>for</w:t>
      </w:r>
      <w:r w:rsidR="0049400B" w:rsidRPr="0049400B">
        <w:rPr>
          <w:rStyle w:val="CharPartText"/>
        </w:rPr>
        <w:noBreakHyphen/>
      </w:r>
      <w:r w:rsidR="00917823" w:rsidRPr="0049400B">
        <w:rPr>
          <w:rStyle w:val="CharPartText"/>
        </w:rPr>
        <w:t>profits Register</w:t>
      </w:r>
      <w:bookmarkEnd w:id="6"/>
    </w:p>
    <w:p w:rsidR="00917823" w:rsidRPr="0049400B" w:rsidRDefault="00917823" w:rsidP="00F65172">
      <w:pPr>
        <w:pStyle w:val="ActHead3"/>
      </w:pPr>
      <w:bookmarkStart w:id="7" w:name="_Toc81905159"/>
      <w:r w:rsidRPr="0049400B">
        <w:rPr>
          <w:rStyle w:val="CharDivNo"/>
        </w:rPr>
        <w:t>Division</w:t>
      </w:r>
      <w:r w:rsidR="002F2B52" w:rsidRPr="0049400B">
        <w:rPr>
          <w:rStyle w:val="CharDivNo"/>
        </w:rPr>
        <w:t> </w:t>
      </w:r>
      <w:r w:rsidRPr="0049400B">
        <w:rPr>
          <w:rStyle w:val="CharDivNo"/>
        </w:rPr>
        <w:t>40</w:t>
      </w:r>
      <w:r w:rsidR="00F65172" w:rsidRPr="0049400B">
        <w:t>—</w:t>
      </w:r>
      <w:r w:rsidRPr="0049400B">
        <w:rPr>
          <w:rStyle w:val="CharDivText"/>
        </w:rPr>
        <w:t>Australian Charities and Not</w:t>
      </w:r>
      <w:r w:rsidR="0049400B" w:rsidRPr="0049400B">
        <w:rPr>
          <w:rStyle w:val="CharDivText"/>
        </w:rPr>
        <w:noBreakHyphen/>
      </w:r>
      <w:r w:rsidRPr="0049400B">
        <w:rPr>
          <w:rStyle w:val="CharDivText"/>
        </w:rPr>
        <w:t>for</w:t>
      </w:r>
      <w:r w:rsidR="0049400B" w:rsidRPr="0049400B">
        <w:rPr>
          <w:rStyle w:val="CharDivText"/>
        </w:rPr>
        <w:noBreakHyphen/>
      </w:r>
      <w:r w:rsidRPr="0049400B">
        <w:rPr>
          <w:rStyle w:val="CharDivText"/>
        </w:rPr>
        <w:t>profits Register</w:t>
      </w:r>
      <w:bookmarkEnd w:id="7"/>
    </w:p>
    <w:p w:rsidR="000F5453" w:rsidRPr="0049400B" w:rsidRDefault="000F5453" w:rsidP="00F65172">
      <w:pPr>
        <w:pStyle w:val="ActHead4"/>
      </w:pPr>
      <w:bookmarkStart w:id="8" w:name="_Toc81905160"/>
      <w:r w:rsidRPr="0049400B">
        <w:rPr>
          <w:rStyle w:val="CharSubdNo"/>
        </w:rPr>
        <w:t>Subdivision</w:t>
      </w:r>
      <w:r w:rsidR="002F2B52" w:rsidRPr="0049400B">
        <w:rPr>
          <w:rStyle w:val="CharSubdNo"/>
        </w:rPr>
        <w:t> </w:t>
      </w:r>
      <w:r w:rsidRPr="0049400B">
        <w:rPr>
          <w:rStyle w:val="CharSubdNo"/>
        </w:rPr>
        <w:t>40</w:t>
      </w:r>
      <w:r w:rsidR="0049400B" w:rsidRPr="0049400B">
        <w:rPr>
          <w:rStyle w:val="CharSubdNo"/>
        </w:rPr>
        <w:noBreakHyphen/>
      </w:r>
      <w:r w:rsidRPr="0049400B">
        <w:rPr>
          <w:rStyle w:val="CharSubdNo"/>
        </w:rPr>
        <w:t>A</w:t>
      </w:r>
      <w:r w:rsidR="00450939" w:rsidRPr="0049400B">
        <w:t>—</w:t>
      </w:r>
      <w:r w:rsidRPr="0049400B">
        <w:rPr>
          <w:rStyle w:val="CharSubdText"/>
        </w:rPr>
        <w:t>Additional information that must be included on Register</w:t>
      </w:r>
      <w:bookmarkEnd w:id="8"/>
    </w:p>
    <w:p w:rsidR="000F5453" w:rsidRPr="0049400B" w:rsidRDefault="005154C9" w:rsidP="00F65172">
      <w:pPr>
        <w:pStyle w:val="ActHead5"/>
      </w:pPr>
      <w:bookmarkStart w:id="9" w:name="_Toc81905161"/>
      <w:r w:rsidRPr="0049400B">
        <w:rPr>
          <w:rStyle w:val="CharSectno"/>
        </w:rPr>
        <w:t>40.1</w:t>
      </w:r>
      <w:r w:rsidR="00F65172" w:rsidRPr="0049400B">
        <w:t xml:space="preserve">  </w:t>
      </w:r>
      <w:r w:rsidR="000F5453" w:rsidRPr="0049400B">
        <w:t>Additional information that must be included on Register</w:t>
      </w:r>
      <w:bookmarkEnd w:id="9"/>
    </w:p>
    <w:p w:rsidR="00450939" w:rsidRPr="0049400B" w:rsidRDefault="000F5453" w:rsidP="0031535A">
      <w:pPr>
        <w:pStyle w:val="subsection"/>
        <w:spacing w:after="120"/>
      </w:pPr>
      <w:r w:rsidRPr="0049400B">
        <w:tab/>
      </w:r>
      <w:r w:rsidRPr="0049400B">
        <w:tab/>
        <w:t>For paragraph</w:t>
      </w:r>
      <w:r w:rsidR="002F2B52" w:rsidRPr="0049400B">
        <w:t> </w:t>
      </w:r>
      <w:r w:rsidRPr="0049400B">
        <w:t>40</w:t>
      </w:r>
      <w:r w:rsidR="0049400B">
        <w:noBreakHyphen/>
      </w:r>
      <w:r w:rsidR="00450939" w:rsidRPr="0049400B">
        <w:t>5</w:t>
      </w:r>
      <w:r w:rsidR="00F65172" w:rsidRPr="0049400B">
        <w:t>(</w:t>
      </w:r>
      <w:r w:rsidRPr="0049400B">
        <w:t>1</w:t>
      </w:r>
      <w:r w:rsidR="00F65172" w:rsidRPr="0049400B">
        <w:t>)(</w:t>
      </w:r>
      <w:r w:rsidRPr="0049400B">
        <w:t xml:space="preserve">g) of the Act, </w:t>
      </w:r>
      <w:r w:rsidR="00BD687F" w:rsidRPr="0049400B">
        <w:t>the information in an item in the following table is specified if</w:t>
      </w:r>
      <w:r w:rsidR="004F05F1" w:rsidRPr="0049400B">
        <w:t xml:space="preserve"> the conditions</w:t>
      </w:r>
      <w:r w:rsidRPr="0049400B">
        <w:t xml:space="preserve"> </w:t>
      </w:r>
      <w:r w:rsidR="004F05F1" w:rsidRPr="0049400B">
        <w:t xml:space="preserve">(if any) </w:t>
      </w:r>
      <w:r w:rsidRPr="0049400B">
        <w:t xml:space="preserve">mentioned in the </w:t>
      </w:r>
      <w:r w:rsidR="00BD687F" w:rsidRPr="0049400B">
        <w:t>item exist</w:t>
      </w:r>
      <w:r w:rsidRPr="0049400B">
        <w:t>.</w:t>
      </w:r>
    </w:p>
    <w:p w:rsidR="0031535A" w:rsidRPr="0049400B" w:rsidRDefault="0031535A" w:rsidP="004343B3">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67"/>
        <w:gridCol w:w="3470"/>
        <w:gridCol w:w="4392"/>
      </w:tblGrid>
      <w:tr w:rsidR="00915AF9" w:rsidRPr="0049400B" w:rsidTr="00CE5BCD">
        <w:trPr>
          <w:tblHeader/>
        </w:trPr>
        <w:tc>
          <w:tcPr>
            <w:tcW w:w="5000" w:type="pct"/>
            <w:gridSpan w:val="3"/>
            <w:tcBorders>
              <w:top w:val="single" w:sz="12" w:space="0" w:color="auto"/>
              <w:bottom w:val="single" w:sz="6" w:space="0" w:color="auto"/>
            </w:tcBorders>
            <w:shd w:val="clear" w:color="auto" w:fill="auto"/>
          </w:tcPr>
          <w:p w:rsidR="00915AF9" w:rsidRPr="0049400B" w:rsidRDefault="00915AF9" w:rsidP="005678B9">
            <w:pPr>
              <w:pStyle w:val="TableHeading"/>
            </w:pPr>
            <w:r w:rsidRPr="0049400B">
              <w:t>Additional information</w:t>
            </w:r>
          </w:p>
        </w:tc>
      </w:tr>
      <w:tr w:rsidR="00C04DF9" w:rsidRPr="0049400B" w:rsidTr="00CE5BCD">
        <w:trPr>
          <w:tblHeader/>
        </w:trPr>
        <w:tc>
          <w:tcPr>
            <w:tcW w:w="391" w:type="pct"/>
            <w:tcBorders>
              <w:top w:val="single" w:sz="6" w:space="0" w:color="auto"/>
              <w:bottom w:val="single" w:sz="12" w:space="0" w:color="auto"/>
            </w:tcBorders>
            <w:shd w:val="clear" w:color="auto" w:fill="auto"/>
          </w:tcPr>
          <w:p w:rsidR="00915AF9" w:rsidRPr="0049400B" w:rsidRDefault="00915AF9" w:rsidP="005678B9">
            <w:pPr>
              <w:pStyle w:val="TableHeading"/>
              <w:ind w:right="-66"/>
            </w:pPr>
            <w:r w:rsidRPr="0049400B">
              <w:t>Item</w:t>
            </w:r>
          </w:p>
        </w:tc>
        <w:tc>
          <w:tcPr>
            <w:tcW w:w="2034" w:type="pct"/>
            <w:tcBorders>
              <w:top w:val="single" w:sz="6" w:space="0" w:color="auto"/>
              <w:bottom w:val="single" w:sz="12" w:space="0" w:color="auto"/>
            </w:tcBorders>
            <w:shd w:val="clear" w:color="auto" w:fill="auto"/>
          </w:tcPr>
          <w:p w:rsidR="00915AF9" w:rsidRPr="0049400B" w:rsidRDefault="00915AF9" w:rsidP="005678B9">
            <w:pPr>
              <w:pStyle w:val="TableHeading"/>
            </w:pPr>
            <w:r w:rsidRPr="0049400B">
              <w:t>Information</w:t>
            </w:r>
          </w:p>
        </w:tc>
        <w:tc>
          <w:tcPr>
            <w:tcW w:w="2575" w:type="pct"/>
            <w:tcBorders>
              <w:top w:val="single" w:sz="6" w:space="0" w:color="auto"/>
              <w:bottom w:val="single" w:sz="12" w:space="0" w:color="auto"/>
            </w:tcBorders>
            <w:shd w:val="clear" w:color="auto" w:fill="auto"/>
          </w:tcPr>
          <w:p w:rsidR="00915AF9" w:rsidRPr="0049400B" w:rsidRDefault="00915AF9" w:rsidP="005678B9">
            <w:pPr>
              <w:pStyle w:val="TableHeading"/>
            </w:pPr>
            <w:r w:rsidRPr="0049400B">
              <w:t>Condition(s)</w:t>
            </w:r>
          </w:p>
        </w:tc>
      </w:tr>
      <w:tr w:rsidR="00C04DF9" w:rsidRPr="0049400B" w:rsidTr="00CE5BCD">
        <w:tc>
          <w:tcPr>
            <w:tcW w:w="391" w:type="pct"/>
            <w:tcBorders>
              <w:top w:val="single" w:sz="12" w:space="0" w:color="auto"/>
            </w:tcBorders>
            <w:shd w:val="clear" w:color="auto" w:fill="auto"/>
          </w:tcPr>
          <w:p w:rsidR="00450939" w:rsidRPr="0049400B" w:rsidRDefault="00450939" w:rsidP="00450939">
            <w:pPr>
              <w:pStyle w:val="Tabletext"/>
            </w:pPr>
            <w:r w:rsidRPr="0049400B">
              <w:t>1</w:t>
            </w:r>
          </w:p>
        </w:tc>
        <w:tc>
          <w:tcPr>
            <w:tcW w:w="2034" w:type="pct"/>
            <w:tcBorders>
              <w:top w:val="single" w:sz="12" w:space="0" w:color="auto"/>
            </w:tcBorders>
            <w:shd w:val="clear" w:color="auto" w:fill="auto"/>
          </w:tcPr>
          <w:p w:rsidR="00450939" w:rsidRPr="0049400B" w:rsidRDefault="00450939" w:rsidP="00450939">
            <w:pPr>
              <w:pStyle w:val="Tabletext"/>
            </w:pPr>
            <w:r w:rsidRPr="0049400B">
              <w:t>Whether, for a financial year (or substituted accounting period), a registered entity is:</w:t>
            </w:r>
          </w:p>
          <w:p w:rsidR="00BD687F" w:rsidRPr="0049400B" w:rsidRDefault="00450939" w:rsidP="00450939">
            <w:pPr>
              <w:pStyle w:val="Tablea"/>
            </w:pPr>
            <w:r w:rsidRPr="0049400B">
              <w:t>(a)</w:t>
            </w:r>
            <w:r w:rsidR="00C04DF9" w:rsidRPr="0049400B">
              <w:t xml:space="preserve"> </w:t>
            </w:r>
            <w:r w:rsidRPr="0049400B">
              <w:t>a small registered entity; or</w:t>
            </w:r>
          </w:p>
          <w:p w:rsidR="00BD687F" w:rsidRPr="0049400B" w:rsidRDefault="00450939" w:rsidP="00BD687F">
            <w:pPr>
              <w:pStyle w:val="Tablea"/>
            </w:pPr>
            <w:r w:rsidRPr="0049400B">
              <w:t>(b)</w:t>
            </w:r>
            <w:r w:rsidR="00C04DF9" w:rsidRPr="0049400B">
              <w:t xml:space="preserve"> </w:t>
            </w:r>
            <w:r w:rsidR="004126DE" w:rsidRPr="0049400B">
              <w:t>a medium registered entity; or</w:t>
            </w:r>
          </w:p>
          <w:p w:rsidR="00450939" w:rsidRPr="0049400B" w:rsidRDefault="00450939" w:rsidP="00BD687F">
            <w:pPr>
              <w:pStyle w:val="Tablea"/>
            </w:pPr>
            <w:r w:rsidRPr="0049400B">
              <w:t>(c)</w:t>
            </w:r>
            <w:r w:rsidR="00C04DF9" w:rsidRPr="0049400B">
              <w:t xml:space="preserve"> </w:t>
            </w:r>
            <w:r w:rsidRPr="0049400B">
              <w:t>a large registered entity</w:t>
            </w:r>
            <w:r w:rsidR="00E17D62" w:rsidRPr="0049400B">
              <w:t>; or</w:t>
            </w:r>
          </w:p>
          <w:p w:rsidR="00E17D62" w:rsidRPr="0049400B" w:rsidRDefault="00E17D62" w:rsidP="00C04DF9">
            <w:pPr>
              <w:pStyle w:val="Tablea"/>
            </w:pPr>
            <w:r w:rsidRPr="0049400B">
              <w:t>(d)</w:t>
            </w:r>
            <w:r w:rsidR="00C04DF9" w:rsidRPr="0049400B">
              <w:t xml:space="preserve"> </w:t>
            </w:r>
            <w:r w:rsidRPr="0049400B">
              <w:t>a basic religious charity</w:t>
            </w:r>
          </w:p>
        </w:tc>
        <w:tc>
          <w:tcPr>
            <w:tcW w:w="2575" w:type="pct"/>
            <w:tcBorders>
              <w:top w:val="single" w:sz="12" w:space="0" w:color="auto"/>
            </w:tcBorders>
            <w:shd w:val="clear" w:color="auto" w:fill="auto"/>
          </w:tcPr>
          <w:p w:rsidR="00BD687F" w:rsidRPr="0049400B" w:rsidRDefault="00BD687F" w:rsidP="00BD687F">
            <w:pPr>
              <w:pStyle w:val="Tabletext"/>
            </w:pPr>
            <w:r w:rsidRPr="0049400B">
              <w:t>The Commissioner:</w:t>
            </w:r>
          </w:p>
          <w:p w:rsidR="00536926" w:rsidRPr="0049400B" w:rsidRDefault="00BD687F" w:rsidP="00536926">
            <w:pPr>
              <w:pStyle w:val="Tablea"/>
            </w:pPr>
            <w:r w:rsidRPr="0049400B">
              <w:t>(a)</w:t>
            </w:r>
            <w:r w:rsidR="005678B9" w:rsidRPr="0049400B">
              <w:t xml:space="preserve"> </w:t>
            </w:r>
            <w:r w:rsidRPr="0049400B">
              <w:t>has received an annual information statement or annual financial report for the financial year; or</w:t>
            </w:r>
          </w:p>
          <w:p w:rsidR="00FE57D2" w:rsidRPr="0049400B" w:rsidRDefault="00BD687F" w:rsidP="00536926">
            <w:pPr>
              <w:pStyle w:val="Tablea"/>
            </w:pPr>
            <w:r w:rsidRPr="0049400B">
              <w:t>(b)</w:t>
            </w:r>
            <w:r w:rsidR="005678B9" w:rsidRPr="0049400B">
              <w:t xml:space="preserve"> </w:t>
            </w:r>
            <w:r w:rsidRPr="0049400B">
              <w:t>has otherwise become aware of the information</w:t>
            </w:r>
            <w:r w:rsidR="00FE57D2" w:rsidRPr="0049400B">
              <w:t xml:space="preserve"> because:</w:t>
            </w:r>
          </w:p>
          <w:p w:rsidR="00FE57D2" w:rsidRPr="0049400B" w:rsidRDefault="00FE57D2" w:rsidP="00FE57D2">
            <w:pPr>
              <w:pStyle w:val="Tablei"/>
            </w:pPr>
            <w:r w:rsidRPr="0049400B">
              <w:t>(i)</w:t>
            </w:r>
            <w:r w:rsidRPr="0049400B">
              <w:tab/>
              <w:t xml:space="preserve">the information was not provided as described in </w:t>
            </w:r>
            <w:r w:rsidR="002F2B52" w:rsidRPr="0049400B">
              <w:t>paragraph (</w:t>
            </w:r>
            <w:r w:rsidRPr="0049400B">
              <w:t>a); or</w:t>
            </w:r>
          </w:p>
          <w:p w:rsidR="00FE57D2" w:rsidRPr="0049400B" w:rsidRDefault="00FE57D2" w:rsidP="00FE57D2">
            <w:pPr>
              <w:pStyle w:val="Tablei"/>
            </w:pPr>
            <w:r w:rsidRPr="0049400B">
              <w:t>(ii)</w:t>
            </w:r>
            <w:r w:rsidRPr="0049400B">
              <w:tab/>
              <w:t xml:space="preserve">the information provided as described in </w:t>
            </w:r>
            <w:r w:rsidR="002F2B52" w:rsidRPr="0049400B">
              <w:t>paragraph (</w:t>
            </w:r>
            <w:r w:rsidRPr="0049400B">
              <w:t>a) was incorrect</w:t>
            </w:r>
          </w:p>
        </w:tc>
      </w:tr>
      <w:tr w:rsidR="0031535A" w:rsidRPr="0049400B" w:rsidTr="00CE5BCD">
        <w:tc>
          <w:tcPr>
            <w:tcW w:w="391" w:type="pct"/>
            <w:shd w:val="clear" w:color="auto" w:fill="auto"/>
          </w:tcPr>
          <w:p w:rsidR="00060390" w:rsidRPr="0049400B" w:rsidRDefault="00060390" w:rsidP="00B713F5">
            <w:pPr>
              <w:pStyle w:val="Tabletext"/>
            </w:pPr>
            <w:r w:rsidRPr="0049400B">
              <w:t>1A</w:t>
            </w:r>
          </w:p>
        </w:tc>
        <w:tc>
          <w:tcPr>
            <w:tcW w:w="2034" w:type="pct"/>
            <w:shd w:val="clear" w:color="auto" w:fill="auto"/>
          </w:tcPr>
          <w:p w:rsidR="00060390" w:rsidRPr="0049400B" w:rsidRDefault="00060390" w:rsidP="00B713F5">
            <w:pPr>
              <w:pStyle w:val="Tabletext"/>
            </w:pPr>
            <w:r w:rsidRPr="0049400B">
              <w:t>Purpose of registered entity</w:t>
            </w:r>
          </w:p>
        </w:tc>
        <w:tc>
          <w:tcPr>
            <w:tcW w:w="2575" w:type="pct"/>
            <w:shd w:val="clear" w:color="auto" w:fill="auto"/>
          </w:tcPr>
          <w:p w:rsidR="00060390" w:rsidRPr="0049400B" w:rsidRDefault="00060390" w:rsidP="00B713F5">
            <w:pPr>
              <w:pStyle w:val="Tabletext"/>
            </w:pPr>
            <w:r w:rsidRPr="0049400B">
              <w:t>Both of the following:</w:t>
            </w:r>
          </w:p>
          <w:p w:rsidR="00060390" w:rsidRPr="0049400B" w:rsidRDefault="00060390" w:rsidP="00B713F5">
            <w:pPr>
              <w:pStyle w:val="Tablea"/>
            </w:pPr>
            <w:r w:rsidRPr="0049400B">
              <w:t>(a)</w:t>
            </w:r>
            <w:r w:rsidR="005678B9" w:rsidRPr="0049400B">
              <w:t xml:space="preserve"> </w:t>
            </w:r>
            <w:r w:rsidRPr="0049400B">
              <w:t>the information has been voluntarily disclosed to the Commissioner by the registered entity, as an extract of the governing rules of the entity, for the purpose of being included on the Register;</w:t>
            </w:r>
          </w:p>
          <w:p w:rsidR="00060390" w:rsidRPr="0049400B" w:rsidRDefault="00060390" w:rsidP="00B713F5">
            <w:pPr>
              <w:pStyle w:val="Tablea"/>
            </w:pPr>
            <w:r w:rsidRPr="0049400B">
              <w:t>(b)</w:t>
            </w:r>
            <w:r w:rsidR="005678B9" w:rsidRPr="0049400B">
              <w:t xml:space="preserve"> </w:t>
            </w:r>
            <w:r w:rsidRPr="0049400B">
              <w:t>the Commissioner is satisfied that the extract:</w:t>
            </w:r>
          </w:p>
          <w:p w:rsidR="00060390" w:rsidRPr="0049400B" w:rsidRDefault="00060390" w:rsidP="00B713F5">
            <w:pPr>
              <w:pStyle w:val="Tablei"/>
            </w:pPr>
            <w:r w:rsidRPr="0049400B">
              <w:t>(i)</w:t>
            </w:r>
            <w:r w:rsidRPr="0049400B">
              <w:tab/>
              <w:t>is consistent with the governing rules of the entity; and</w:t>
            </w:r>
          </w:p>
          <w:p w:rsidR="00060390" w:rsidRPr="0049400B" w:rsidRDefault="00060390" w:rsidP="00B713F5">
            <w:pPr>
              <w:pStyle w:val="Tablei"/>
            </w:pPr>
            <w:r w:rsidRPr="0049400B">
              <w:t>(ii)</w:t>
            </w:r>
            <w:r w:rsidRPr="0049400B">
              <w:tab/>
              <w:t>complies with governance standard 1, set out in section</w:t>
            </w:r>
            <w:r w:rsidR="002F2B52" w:rsidRPr="0049400B">
              <w:t> </w:t>
            </w:r>
            <w:r w:rsidRPr="0049400B">
              <w:t>45</w:t>
            </w:r>
            <w:r w:rsidR="0049400B">
              <w:noBreakHyphen/>
            </w:r>
            <w:r w:rsidRPr="0049400B">
              <w:t>5</w:t>
            </w:r>
          </w:p>
        </w:tc>
      </w:tr>
      <w:tr w:rsidR="00C04DF9" w:rsidRPr="0049400B" w:rsidTr="00CE5BCD">
        <w:tc>
          <w:tcPr>
            <w:tcW w:w="391" w:type="pct"/>
            <w:tcBorders>
              <w:bottom w:val="single" w:sz="4" w:space="0" w:color="auto"/>
            </w:tcBorders>
            <w:shd w:val="clear" w:color="auto" w:fill="auto"/>
          </w:tcPr>
          <w:p w:rsidR="00450939" w:rsidRPr="0049400B" w:rsidRDefault="0040694B" w:rsidP="00450939">
            <w:pPr>
              <w:pStyle w:val="Tabletext"/>
            </w:pPr>
            <w:r w:rsidRPr="0049400B">
              <w:t>2</w:t>
            </w:r>
          </w:p>
        </w:tc>
        <w:tc>
          <w:tcPr>
            <w:tcW w:w="2034" w:type="pct"/>
            <w:tcBorders>
              <w:bottom w:val="single" w:sz="4" w:space="0" w:color="auto"/>
            </w:tcBorders>
            <w:shd w:val="clear" w:color="auto" w:fill="auto"/>
          </w:tcPr>
          <w:p w:rsidR="00450939" w:rsidRPr="0049400B" w:rsidRDefault="00536926" w:rsidP="00450939">
            <w:pPr>
              <w:pStyle w:val="Tabletext"/>
            </w:pPr>
            <w:r w:rsidRPr="0049400B">
              <w:t>The countries (other than Australia) in which a registered entity operates</w:t>
            </w:r>
          </w:p>
        </w:tc>
        <w:tc>
          <w:tcPr>
            <w:tcW w:w="2575" w:type="pct"/>
            <w:tcBorders>
              <w:bottom w:val="single" w:sz="4" w:space="0" w:color="auto"/>
            </w:tcBorders>
            <w:shd w:val="clear" w:color="auto" w:fill="auto"/>
          </w:tcPr>
          <w:p w:rsidR="00E6659E" w:rsidRPr="0049400B" w:rsidRDefault="00E6659E" w:rsidP="00E6659E">
            <w:pPr>
              <w:pStyle w:val="Tabletext"/>
            </w:pPr>
            <w:r w:rsidRPr="0049400B">
              <w:t>The Commissioner:</w:t>
            </w:r>
          </w:p>
          <w:p w:rsidR="00E6659E" w:rsidRPr="0049400B" w:rsidRDefault="00E6659E" w:rsidP="00E6659E">
            <w:pPr>
              <w:pStyle w:val="Tablea"/>
            </w:pPr>
            <w:r w:rsidRPr="0049400B">
              <w:t>(a)</w:t>
            </w:r>
            <w:r w:rsidR="005678B9" w:rsidRPr="0049400B">
              <w:t xml:space="preserve"> </w:t>
            </w:r>
            <w:r w:rsidRPr="0049400B">
              <w:t>has received the information from the registered entity; or</w:t>
            </w:r>
          </w:p>
          <w:p w:rsidR="00E6659E" w:rsidRPr="0049400B" w:rsidRDefault="00E6659E" w:rsidP="00E6659E">
            <w:pPr>
              <w:pStyle w:val="Tablea"/>
            </w:pPr>
            <w:r w:rsidRPr="0049400B">
              <w:t>(b)</w:t>
            </w:r>
            <w:r w:rsidR="005678B9" w:rsidRPr="0049400B">
              <w:t xml:space="preserve"> </w:t>
            </w:r>
            <w:r w:rsidRPr="0049400B">
              <w:t>has otherwise become aware of the information because:</w:t>
            </w:r>
          </w:p>
          <w:p w:rsidR="00E6659E" w:rsidRPr="0049400B" w:rsidRDefault="00E6659E" w:rsidP="00E6659E">
            <w:pPr>
              <w:pStyle w:val="Tablei"/>
            </w:pPr>
            <w:r w:rsidRPr="0049400B">
              <w:t>(i)</w:t>
            </w:r>
            <w:r w:rsidRPr="0049400B">
              <w:tab/>
              <w:t>the information was not received from the registered entity; or</w:t>
            </w:r>
          </w:p>
          <w:p w:rsidR="00450939" w:rsidRPr="0049400B" w:rsidRDefault="00E6659E" w:rsidP="00E6659E">
            <w:pPr>
              <w:pStyle w:val="Tablei"/>
            </w:pPr>
            <w:r w:rsidRPr="0049400B">
              <w:t>(ii)</w:t>
            </w:r>
            <w:r w:rsidRPr="0049400B">
              <w:tab/>
              <w:t>the information provided by the registered entity was incorrect</w:t>
            </w:r>
          </w:p>
        </w:tc>
      </w:tr>
      <w:tr w:rsidR="00C04DF9" w:rsidRPr="0049400B" w:rsidTr="00CE5BCD">
        <w:tc>
          <w:tcPr>
            <w:tcW w:w="391" w:type="pct"/>
            <w:tcBorders>
              <w:bottom w:val="single" w:sz="4" w:space="0" w:color="auto"/>
            </w:tcBorders>
            <w:shd w:val="clear" w:color="auto" w:fill="auto"/>
          </w:tcPr>
          <w:p w:rsidR="00450939" w:rsidRPr="0049400B" w:rsidRDefault="00E51F7D" w:rsidP="00450939">
            <w:pPr>
              <w:pStyle w:val="Tabletext"/>
            </w:pPr>
            <w:bookmarkStart w:id="10" w:name="CU_68291"/>
            <w:bookmarkEnd w:id="10"/>
            <w:r w:rsidRPr="0049400B">
              <w:t>3</w:t>
            </w:r>
          </w:p>
        </w:tc>
        <w:tc>
          <w:tcPr>
            <w:tcW w:w="2034" w:type="pct"/>
            <w:tcBorders>
              <w:bottom w:val="single" w:sz="4" w:space="0" w:color="auto"/>
            </w:tcBorders>
            <w:shd w:val="clear" w:color="auto" w:fill="auto"/>
          </w:tcPr>
          <w:p w:rsidR="00450939" w:rsidRPr="0049400B" w:rsidRDefault="00536926" w:rsidP="00450939">
            <w:pPr>
              <w:pStyle w:val="Tabletext"/>
            </w:pPr>
            <w:r w:rsidRPr="0049400B">
              <w:t>The States or Territories in which a registered entity operates</w:t>
            </w:r>
          </w:p>
        </w:tc>
        <w:tc>
          <w:tcPr>
            <w:tcW w:w="2575" w:type="pct"/>
            <w:tcBorders>
              <w:bottom w:val="single" w:sz="4" w:space="0" w:color="auto"/>
            </w:tcBorders>
            <w:shd w:val="clear" w:color="auto" w:fill="auto"/>
          </w:tcPr>
          <w:p w:rsidR="00450939" w:rsidRPr="0049400B" w:rsidRDefault="00536926" w:rsidP="0040694B">
            <w:pPr>
              <w:pStyle w:val="Tabletext"/>
            </w:pPr>
            <w:r w:rsidRPr="0049400B">
              <w:t xml:space="preserve">The </w:t>
            </w:r>
            <w:r w:rsidR="0040694B" w:rsidRPr="0049400B">
              <w:t>registered entity has voluntarily disclosed the information to the Commissioner for the purpose of being included on the Register</w:t>
            </w:r>
          </w:p>
        </w:tc>
      </w:tr>
      <w:tr w:rsidR="00C04DF9" w:rsidRPr="0049400B" w:rsidTr="00CE5BCD">
        <w:tc>
          <w:tcPr>
            <w:tcW w:w="391" w:type="pct"/>
            <w:tcBorders>
              <w:top w:val="single" w:sz="4" w:space="0" w:color="auto"/>
            </w:tcBorders>
            <w:shd w:val="clear" w:color="auto" w:fill="auto"/>
          </w:tcPr>
          <w:p w:rsidR="00450939" w:rsidRPr="0049400B" w:rsidRDefault="00E51F7D" w:rsidP="00450939">
            <w:pPr>
              <w:pStyle w:val="Tabletext"/>
            </w:pPr>
            <w:r w:rsidRPr="0049400B">
              <w:t>4</w:t>
            </w:r>
          </w:p>
        </w:tc>
        <w:tc>
          <w:tcPr>
            <w:tcW w:w="2034" w:type="pct"/>
            <w:tcBorders>
              <w:top w:val="single" w:sz="4" w:space="0" w:color="auto"/>
            </w:tcBorders>
            <w:shd w:val="clear" w:color="auto" w:fill="auto"/>
          </w:tcPr>
          <w:p w:rsidR="00450939" w:rsidRPr="0049400B" w:rsidRDefault="00536926" w:rsidP="00536926">
            <w:pPr>
              <w:pStyle w:val="Tabletext"/>
            </w:pPr>
            <w:r w:rsidRPr="0049400B">
              <w:t>Other names by which a registered entity may be publicly known</w:t>
            </w:r>
          </w:p>
        </w:tc>
        <w:tc>
          <w:tcPr>
            <w:tcW w:w="2575" w:type="pct"/>
            <w:tcBorders>
              <w:top w:val="single" w:sz="4" w:space="0" w:color="auto"/>
            </w:tcBorders>
            <w:shd w:val="clear" w:color="auto" w:fill="auto"/>
          </w:tcPr>
          <w:p w:rsidR="00536926" w:rsidRPr="0049400B" w:rsidRDefault="00536926" w:rsidP="00536926">
            <w:pPr>
              <w:pStyle w:val="Tabletext"/>
            </w:pPr>
            <w:r w:rsidRPr="0049400B">
              <w:t>Both of the following:</w:t>
            </w:r>
          </w:p>
          <w:p w:rsidR="00536926" w:rsidRPr="0049400B" w:rsidRDefault="00536926" w:rsidP="00536926">
            <w:pPr>
              <w:pStyle w:val="Tablea"/>
            </w:pPr>
            <w:r w:rsidRPr="0049400B">
              <w:t>(a)</w:t>
            </w:r>
            <w:r w:rsidR="005678B9" w:rsidRPr="0049400B">
              <w:t xml:space="preserve"> </w:t>
            </w:r>
            <w:r w:rsidRPr="0049400B">
              <w:t xml:space="preserve">the </w:t>
            </w:r>
            <w:r w:rsidR="0040694B" w:rsidRPr="0049400B">
              <w:t>registered entity has voluntarily disclosed the information to the Commissioner for the purpose of being included on the Register</w:t>
            </w:r>
            <w:r w:rsidRPr="0049400B">
              <w:t>;</w:t>
            </w:r>
          </w:p>
          <w:p w:rsidR="00450939" w:rsidRPr="0049400B" w:rsidRDefault="00536926" w:rsidP="005678B9">
            <w:pPr>
              <w:pStyle w:val="Tablea"/>
            </w:pPr>
            <w:r w:rsidRPr="0049400B">
              <w:t>(b)</w:t>
            </w:r>
            <w:r w:rsidR="005678B9" w:rsidRPr="0049400B">
              <w:t xml:space="preserve"> </w:t>
            </w:r>
            <w:r w:rsidRPr="0049400B">
              <w:t>the use of the name is not contrary to an Australian law</w:t>
            </w:r>
          </w:p>
        </w:tc>
      </w:tr>
      <w:tr w:rsidR="00C04DF9" w:rsidRPr="0049400B" w:rsidTr="00CE5BCD">
        <w:tc>
          <w:tcPr>
            <w:tcW w:w="391" w:type="pct"/>
            <w:shd w:val="clear" w:color="auto" w:fill="auto"/>
          </w:tcPr>
          <w:p w:rsidR="00450939" w:rsidRPr="0049400B" w:rsidRDefault="00E51F7D" w:rsidP="00450939">
            <w:pPr>
              <w:pStyle w:val="Tabletext"/>
            </w:pPr>
            <w:r w:rsidRPr="0049400B">
              <w:t>5</w:t>
            </w:r>
          </w:p>
        </w:tc>
        <w:tc>
          <w:tcPr>
            <w:tcW w:w="2034" w:type="pct"/>
            <w:shd w:val="clear" w:color="auto" w:fill="auto"/>
          </w:tcPr>
          <w:p w:rsidR="00450939" w:rsidRPr="0049400B" w:rsidRDefault="00536926" w:rsidP="00450939">
            <w:pPr>
              <w:pStyle w:val="Tabletext"/>
            </w:pPr>
            <w:r w:rsidRPr="0049400B">
              <w:t>The categories of benefit recipients of a registered entity</w:t>
            </w:r>
          </w:p>
        </w:tc>
        <w:tc>
          <w:tcPr>
            <w:tcW w:w="2575" w:type="pct"/>
            <w:shd w:val="clear" w:color="auto" w:fill="auto"/>
          </w:tcPr>
          <w:p w:rsidR="00536926" w:rsidRPr="0049400B" w:rsidRDefault="00536926" w:rsidP="00536926">
            <w:pPr>
              <w:pStyle w:val="Tabletext"/>
            </w:pPr>
            <w:r w:rsidRPr="0049400B">
              <w:rPr>
                <w:color w:val="000000"/>
              </w:rPr>
              <w:t>The Commissioner:</w:t>
            </w:r>
          </w:p>
          <w:p w:rsidR="00536926" w:rsidRPr="0049400B" w:rsidRDefault="00536926" w:rsidP="00536926">
            <w:pPr>
              <w:pStyle w:val="Tablea"/>
            </w:pPr>
            <w:r w:rsidRPr="0049400B">
              <w:t>(a)</w:t>
            </w:r>
            <w:r w:rsidR="005678B9" w:rsidRPr="0049400B">
              <w:t xml:space="preserve"> </w:t>
            </w:r>
            <w:r w:rsidRPr="0049400B">
              <w:t>has received an annual information statement for that financial year; or</w:t>
            </w:r>
          </w:p>
          <w:p w:rsidR="00FE57D2" w:rsidRPr="0049400B" w:rsidRDefault="00536926" w:rsidP="00FE57D2">
            <w:pPr>
              <w:pStyle w:val="Tablea"/>
            </w:pPr>
            <w:r w:rsidRPr="0049400B">
              <w:t>(b)</w:t>
            </w:r>
            <w:r w:rsidR="005678B9" w:rsidRPr="0049400B">
              <w:t xml:space="preserve"> </w:t>
            </w:r>
            <w:r w:rsidR="00FE57D2" w:rsidRPr="0049400B">
              <w:t>has otherwise become aware of the information because:</w:t>
            </w:r>
          </w:p>
          <w:p w:rsidR="00FE57D2" w:rsidRPr="0049400B" w:rsidRDefault="00FE57D2" w:rsidP="00FE57D2">
            <w:pPr>
              <w:pStyle w:val="Tablei"/>
            </w:pPr>
            <w:r w:rsidRPr="0049400B">
              <w:t>(i)</w:t>
            </w:r>
            <w:r w:rsidRPr="0049400B">
              <w:tab/>
              <w:t xml:space="preserve">the information was not provided as described in </w:t>
            </w:r>
            <w:r w:rsidR="002F2B52" w:rsidRPr="0049400B">
              <w:t>paragraph (</w:t>
            </w:r>
            <w:r w:rsidRPr="0049400B">
              <w:t>a); or</w:t>
            </w:r>
          </w:p>
          <w:p w:rsidR="00450939" w:rsidRPr="0049400B" w:rsidRDefault="00FE57D2" w:rsidP="00FE57D2">
            <w:pPr>
              <w:pStyle w:val="Tablei"/>
            </w:pPr>
            <w:r w:rsidRPr="0049400B">
              <w:t>(ii)</w:t>
            </w:r>
            <w:r w:rsidRPr="0049400B">
              <w:tab/>
              <w:t xml:space="preserve">the information provided as described in </w:t>
            </w:r>
            <w:r w:rsidR="002F2B52" w:rsidRPr="0049400B">
              <w:t>paragraph (</w:t>
            </w:r>
            <w:r w:rsidRPr="0049400B">
              <w:t>a) was incorrect</w:t>
            </w:r>
          </w:p>
        </w:tc>
      </w:tr>
      <w:tr w:rsidR="00C04DF9" w:rsidRPr="0049400B" w:rsidTr="00CE5BCD">
        <w:tc>
          <w:tcPr>
            <w:tcW w:w="391" w:type="pct"/>
            <w:shd w:val="clear" w:color="auto" w:fill="auto"/>
          </w:tcPr>
          <w:p w:rsidR="00450939" w:rsidRPr="0049400B" w:rsidRDefault="00E51F7D" w:rsidP="00450939">
            <w:pPr>
              <w:pStyle w:val="Tabletext"/>
            </w:pPr>
            <w:r w:rsidRPr="0049400B">
              <w:t>6</w:t>
            </w:r>
          </w:p>
        </w:tc>
        <w:tc>
          <w:tcPr>
            <w:tcW w:w="2034" w:type="pct"/>
            <w:shd w:val="clear" w:color="auto" w:fill="auto"/>
          </w:tcPr>
          <w:p w:rsidR="00536926" w:rsidRPr="0049400B" w:rsidRDefault="00536926" w:rsidP="00536926">
            <w:pPr>
              <w:pStyle w:val="Tabletext"/>
            </w:pPr>
            <w:r w:rsidRPr="0049400B">
              <w:t>Either:</w:t>
            </w:r>
          </w:p>
          <w:p w:rsidR="00536926" w:rsidRPr="0049400B" w:rsidRDefault="00536926" w:rsidP="00536926">
            <w:pPr>
              <w:pStyle w:val="Tablea"/>
            </w:pPr>
            <w:r w:rsidRPr="0049400B">
              <w:rPr>
                <w:lang w:eastAsia="en-US"/>
              </w:rPr>
              <w:t>(a)</w:t>
            </w:r>
            <w:r w:rsidR="00C04DF9" w:rsidRPr="0049400B">
              <w:rPr>
                <w:lang w:eastAsia="en-US"/>
              </w:rPr>
              <w:t xml:space="preserve"> </w:t>
            </w:r>
            <w:r w:rsidRPr="0049400B">
              <w:rPr>
                <w:lang w:eastAsia="en-US"/>
              </w:rPr>
              <w:t>a copy of an annual report of a registered entity for a financial year (or sub</w:t>
            </w:r>
            <w:r w:rsidR="004126DE" w:rsidRPr="0049400B">
              <w:rPr>
                <w:lang w:eastAsia="en-US"/>
              </w:rPr>
              <w:t>stituted accounting period); or</w:t>
            </w:r>
          </w:p>
          <w:p w:rsidR="00450939" w:rsidRPr="0049400B" w:rsidRDefault="00536926" w:rsidP="00C04DF9">
            <w:pPr>
              <w:pStyle w:val="Tablea"/>
            </w:pPr>
            <w:r w:rsidRPr="0049400B">
              <w:t>(b)</w:t>
            </w:r>
            <w:r w:rsidR="00C04DF9" w:rsidRPr="0049400B">
              <w:t xml:space="preserve"> </w:t>
            </w:r>
            <w:r w:rsidRPr="0049400B">
              <w:t>an electronic link to a registered entity’s annual report, on a website maintained by the entity</w:t>
            </w:r>
          </w:p>
        </w:tc>
        <w:tc>
          <w:tcPr>
            <w:tcW w:w="2575" w:type="pct"/>
            <w:shd w:val="clear" w:color="auto" w:fill="auto"/>
          </w:tcPr>
          <w:p w:rsidR="00450939" w:rsidRPr="0049400B" w:rsidRDefault="00536926" w:rsidP="00450939">
            <w:pPr>
              <w:pStyle w:val="Tabletext"/>
            </w:pPr>
            <w:r w:rsidRPr="0049400B">
              <w:t xml:space="preserve">The </w:t>
            </w:r>
            <w:r w:rsidR="0040694B" w:rsidRPr="0049400B">
              <w:t>registered entity has voluntarily disclosed the information to the Commissioner for the purpose of being included on the Register</w:t>
            </w:r>
          </w:p>
        </w:tc>
      </w:tr>
      <w:tr w:rsidR="00C04DF9" w:rsidRPr="0049400B" w:rsidTr="00CE5BCD">
        <w:tc>
          <w:tcPr>
            <w:tcW w:w="391" w:type="pct"/>
            <w:shd w:val="clear" w:color="auto" w:fill="auto"/>
          </w:tcPr>
          <w:p w:rsidR="00450939" w:rsidRPr="0049400B" w:rsidRDefault="00E51F7D" w:rsidP="00450939">
            <w:pPr>
              <w:pStyle w:val="Tabletext"/>
            </w:pPr>
            <w:r w:rsidRPr="0049400B">
              <w:t>7</w:t>
            </w:r>
          </w:p>
        </w:tc>
        <w:tc>
          <w:tcPr>
            <w:tcW w:w="2034" w:type="pct"/>
            <w:shd w:val="clear" w:color="auto" w:fill="auto"/>
          </w:tcPr>
          <w:p w:rsidR="00450939" w:rsidRPr="0049400B" w:rsidRDefault="00536926" w:rsidP="00536926">
            <w:pPr>
              <w:pStyle w:val="Tabletext"/>
            </w:pPr>
            <w:r w:rsidRPr="0049400B">
              <w:rPr>
                <w:color w:val="000000"/>
              </w:rPr>
              <w:t>An annual or financial reports of a registered entity for a financial year (or substituted accounting period) before the 2012</w:t>
            </w:r>
            <w:r w:rsidR="0049400B">
              <w:rPr>
                <w:color w:val="000000"/>
              </w:rPr>
              <w:noBreakHyphen/>
            </w:r>
            <w:r w:rsidRPr="0049400B">
              <w:rPr>
                <w:color w:val="000000"/>
              </w:rPr>
              <w:t>13 financial year</w:t>
            </w:r>
          </w:p>
        </w:tc>
        <w:tc>
          <w:tcPr>
            <w:tcW w:w="2575" w:type="pct"/>
            <w:shd w:val="clear" w:color="auto" w:fill="auto"/>
          </w:tcPr>
          <w:p w:rsidR="00536926" w:rsidRPr="0049400B" w:rsidRDefault="00536926" w:rsidP="00536926">
            <w:pPr>
              <w:pStyle w:val="Tabletext"/>
            </w:pPr>
            <w:r w:rsidRPr="0049400B">
              <w:t>Either:</w:t>
            </w:r>
          </w:p>
          <w:p w:rsidR="00536926" w:rsidRPr="0049400B" w:rsidRDefault="00536926" w:rsidP="00536926">
            <w:pPr>
              <w:pStyle w:val="Tablea"/>
            </w:pPr>
            <w:r w:rsidRPr="0049400B">
              <w:t>(a)</w:t>
            </w:r>
            <w:r w:rsidR="005678B9" w:rsidRPr="0049400B">
              <w:t xml:space="preserve"> </w:t>
            </w:r>
            <w:r w:rsidRPr="0049400B">
              <w:t xml:space="preserve">the registered entity has voluntarily disclosed the </w:t>
            </w:r>
            <w:r w:rsidR="0040694B" w:rsidRPr="0049400B">
              <w:t>information</w:t>
            </w:r>
            <w:r w:rsidRPr="0049400B">
              <w:t xml:space="preserve"> to the Commissioner for the purpose of being included on the Register; or</w:t>
            </w:r>
          </w:p>
          <w:p w:rsidR="00450939" w:rsidRPr="0049400B" w:rsidRDefault="00536926" w:rsidP="005678B9">
            <w:pPr>
              <w:pStyle w:val="Tablea"/>
            </w:pPr>
            <w:r w:rsidRPr="0049400B">
              <w:t>(b)</w:t>
            </w:r>
            <w:r w:rsidR="005678B9" w:rsidRPr="0049400B">
              <w:t xml:space="preserve"> </w:t>
            </w:r>
            <w:r w:rsidRPr="0049400B">
              <w:t xml:space="preserve">an Australian government agency has voluntarily disclosed the </w:t>
            </w:r>
            <w:r w:rsidR="0040694B" w:rsidRPr="0049400B">
              <w:t>information</w:t>
            </w:r>
            <w:r w:rsidRPr="0049400B">
              <w:t xml:space="preserve"> to the Commissioner for the purpose of being included on the Register, and the reports are publicly available</w:t>
            </w:r>
          </w:p>
        </w:tc>
      </w:tr>
      <w:tr w:rsidR="00C04DF9" w:rsidRPr="0049400B" w:rsidTr="00CE5BCD">
        <w:tc>
          <w:tcPr>
            <w:tcW w:w="391" w:type="pct"/>
            <w:tcBorders>
              <w:bottom w:val="single" w:sz="4" w:space="0" w:color="auto"/>
            </w:tcBorders>
            <w:shd w:val="clear" w:color="auto" w:fill="auto"/>
          </w:tcPr>
          <w:p w:rsidR="00450939" w:rsidRPr="0049400B" w:rsidRDefault="00E51F7D" w:rsidP="00450939">
            <w:pPr>
              <w:pStyle w:val="Tabletext"/>
            </w:pPr>
            <w:r w:rsidRPr="0049400B">
              <w:t>8</w:t>
            </w:r>
          </w:p>
        </w:tc>
        <w:tc>
          <w:tcPr>
            <w:tcW w:w="2034" w:type="pct"/>
            <w:tcBorders>
              <w:bottom w:val="single" w:sz="4" w:space="0" w:color="auto"/>
            </w:tcBorders>
            <w:shd w:val="clear" w:color="auto" w:fill="auto"/>
          </w:tcPr>
          <w:p w:rsidR="00450939" w:rsidRPr="0049400B" w:rsidRDefault="00536926" w:rsidP="00450939">
            <w:pPr>
              <w:pStyle w:val="Tabletext"/>
            </w:pPr>
            <w:r w:rsidRPr="0049400B">
              <w:t>The d</w:t>
            </w:r>
            <w:r w:rsidR="002D727F" w:rsidRPr="0049400B">
              <w:t>ay</w:t>
            </w:r>
            <w:r w:rsidRPr="0049400B">
              <w:t xml:space="preserve"> a registered entity was established in Australia</w:t>
            </w:r>
          </w:p>
        </w:tc>
        <w:tc>
          <w:tcPr>
            <w:tcW w:w="2575" w:type="pct"/>
            <w:tcBorders>
              <w:bottom w:val="single" w:sz="4" w:space="0" w:color="auto"/>
            </w:tcBorders>
            <w:shd w:val="clear" w:color="auto" w:fill="auto"/>
          </w:tcPr>
          <w:p w:rsidR="00450939" w:rsidRPr="0049400B" w:rsidRDefault="00536926" w:rsidP="00450939">
            <w:pPr>
              <w:pStyle w:val="Tabletext"/>
            </w:pPr>
            <w:r w:rsidRPr="0049400B">
              <w:t xml:space="preserve">The </w:t>
            </w:r>
            <w:r w:rsidR="0040694B" w:rsidRPr="0049400B">
              <w:t>registered entity has voluntarily disclosed the information to the Commissioner for the purpose of being included on the Register</w:t>
            </w:r>
          </w:p>
        </w:tc>
      </w:tr>
      <w:tr w:rsidR="00C04DF9" w:rsidRPr="0049400B" w:rsidTr="00CE5BCD">
        <w:tc>
          <w:tcPr>
            <w:tcW w:w="391" w:type="pct"/>
            <w:tcBorders>
              <w:bottom w:val="single" w:sz="4" w:space="0" w:color="auto"/>
            </w:tcBorders>
            <w:shd w:val="clear" w:color="auto" w:fill="auto"/>
          </w:tcPr>
          <w:p w:rsidR="0040694B" w:rsidRPr="0049400B" w:rsidRDefault="00E51F7D" w:rsidP="00E95887">
            <w:pPr>
              <w:pStyle w:val="Tabletext"/>
            </w:pPr>
            <w:r w:rsidRPr="0049400B">
              <w:t>9</w:t>
            </w:r>
          </w:p>
        </w:tc>
        <w:tc>
          <w:tcPr>
            <w:tcW w:w="2034" w:type="pct"/>
            <w:tcBorders>
              <w:bottom w:val="single" w:sz="4" w:space="0" w:color="auto"/>
            </w:tcBorders>
            <w:shd w:val="clear" w:color="auto" w:fill="auto"/>
          </w:tcPr>
          <w:p w:rsidR="0040694B" w:rsidRPr="0049400B" w:rsidRDefault="00E51F7D" w:rsidP="00E95887">
            <w:pPr>
              <w:pStyle w:val="Tabletext"/>
            </w:pPr>
            <w:r w:rsidRPr="0049400B">
              <w:t>Both of the following:</w:t>
            </w:r>
          </w:p>
          <w:p w:rsidR="00E51F7D" w:rsidRPr="0049400B" w:rsidRDefault="00E51F7D" w:rsidP="0031535A">
            <w:pPr>
              <w:pStyle w:val="Tablea"/>
              <w:ind w:right="-81"/>
            </w:pPr>
            <w:r w:rsidRPr="0049400B">
              <w:t>(a)</w:t>
            </w:r>
            <w:r w:rsidRPr="0049400B">
              <w:tab/>
              <w:t xml:space="preserve">whether, for a financial year (or a substituted accounting period), a registered entity has been approved by the Commissioner to prepare and lodge joint or collective reports under </w:t>
            </w:r>
            <w:r w:rsidR="001E4BB9" w:rsidRPr="0049400B">
              <w:t>Subdivision 6</w:t>
            </w:r>
            <w:r w:rsidRPr="0049400B">
              <w:t>0</w:t>
            </w:r>
            <w:r w:rsidR="0049400B">
              <w:noBreakHyphen/>
            </w:r>
            <w:r w:rsidRPr="0049400B">
              <w:t>G of the Act;</w:t>
            </w:r>
          </w:p>
          <w:p w:rsidR="00E51F7D" w:rsidRPr="0049400B" w:rsidRDefault="00E51F7D" w:rsidP="00E51F7D">
            <w:pPr>
              <w:pStyle w:val="Tablea"/>
            </w:pPr>
            <w:r w:rsidRPr="0049400B">
              <w:t>(b)</w:t>
            </w:r>
            <w:r w:rsidRPr="0049400B">
              <w:tab/>
              <w:t xml:space="preserve">if so—the other registered entity or entities that are grouped with a registered entity under </w:t>
            </w:r>
            <w:r w:rsidR="001E4BB9" w:rsidRPr="0049400B">
              <w:t>Subdivision 6</w:t>
            </w:r>
            <w:r w:rsidRPr="0049400B">
              <w:t>0</w:t>
            </w:r>
            <w:r w:rsidR="0049400B">
              <w:noBreakHyphen/>
            </w:r>
            <w:r w:rsidRPr="0049400B">
              <w:t>G of the Act</w:t>
            </w:r>
          </w:p>
        </w:tc>
        <w:tc>
          <w:tcPr>
            <w:tcW w:w="2575" w:type="pct"/>
            <w:tcBorders>
              <w:bottom w:val="single" w:sz="4" w:space="0" w:color="auto"/>
            </w:tcBorders>
            <w:shd w:val="clear" w:color="auto" w:fill="auto"/>
          </w:tcPr>
          <w:p w:rsidR="0040694B" w:rsidRPr="0049400B" w:rsidRDefault="0040694B" w:rsidP="00E95887">
            <w:pPr>
              <w:pStyle w:val="Tablea"/>
            </w:pPr>
          </w:p>
        </w:tc>
      </w:tr>
      <w:tr w:rsidR="00C04DF9" w:rsidRPr="0049400B" w:rsidTr="00CE5BCD">
        <w:tc>
          <w:tcPr>
            <w:tcW w:w="391" w:type="pct"/>
            <w:tcBorders>
              <w:bottom w:val="single" w:sz="4" w:space="0" w:color="auto"/>
            </w:tcBorders>
            <w:shd w:val="clear" w:color="auto" w:fill="auto"/>
          </w:tcPr>
          <w:p w:rsidR="00450939" w:rsidRPr="0049400B" w:rsidRDefault="00450939" w:rsidP="00450939">
            <w:pPr>
              <w:pStyle w:val="Tabletext"/>
            </w:pPr>
            <w:bookmarkStart w:id="11" w:name="CU_1310549"/>
            <w:bookmarkEnd w:id="11"/>
            <w:r w:rsidRPr="0049400B">
              <w:t>10</w:t>
            </w:r>
          </w:p>
        </w:tc>
        <w:tc>
          <w:tcPr>
            <w:tcW w:w="2034" w:type="pct"/>
            <w:tcBorders>
              <w:bottom w:val="single" w:sz="4" w:space="0" w:color="auto"/>
            </w:tcBorders>
            <w:shd w:val="clear" w:color="auto" w:fill="auto"/>
          </w:tcPr>
          <w:p w:rsidR="00450939" w:rsidRPr="0049400B" w:rsidRDefault="00536926" w:rsidP="00450939">
            <w:pPr>
              <w:pStyle w:val="Tabletext"/>
            </w:pPr>
            <w:r w:rsidRPr="0049400B">
              <w:t>An electronic link to a website maintained by a registered entity</w:t>
            </w:r>
          </w:p>
        </w:tc>
        <w:tc>
          <w:tcPr>
            <w:tcW w:w="2575" w:type="pct"/>
            <w:tcBorders>
              <w:bottom w:val="single" w:sz="4" w:space="0" w:color="auto"/>
            </w:tcBorders>
            <w:shd w:val="clear" w:color="auto" w:fill="auto"/>
          </w:tcPr>
          <w:p w:rsidR="00450939" w:rsidRPr="0049400B" w:rsidRDefault="00536926" w:rsidP="00450939">
            <w:pPr>
              <w:pStyle w:val="Tabletext"/>
            </w:pPr>
            <w:r w:rsidRPr="0049400B">
              <w:t xml:space="preserve">The </w:t>
            </w:r>
            <w:r w:rsidR="003409D9" w:rsidRPr="0049400B">
              <w:t>registered entity has voluntarily disclosed the information to the Commissioner for the purpose of being included on the Register</w:t>
            </w:r>
          </w:p>
        </w:tc>
      </w:tr>
      <w:tr w:rsidR="00C04DF9" w:rsidRPr="0049400B" w:rsidTr="00CE5BCD">
        <w:tc>
          <w:tcPr>
            <w:tcW w:w="391" w:type="pct"/>
            <w:tcBorders>
              <w:top w:val="single" w:sz="4" w:space="0" w:color="auto"/>
              <w:bottom w:val="single" w:sz="4" w:space="0" w:color="auto"/>
            </w:tcBorders>
            <w:shd w:val="clear" w:color="auto" w:fill="auto"/>
          </w:tcPr>
          <w:p w:rsidR="00536926" w:rsidRPr="0049400B" w:rsidRDefault="00536926" w:rsidP="00450939">
            <w:pPr>
              <w:pStyle w:val="Tabletext"/>
            </w:pPr>
            <w:r w:rsidRPr="0049400B">
              <w:t>11</w:t>
            </w:r>
          </w:p>
        </w:tc>
        <w:tc>
          <w:tcPr>
            <w:tcW w:w="2034" w:type="pct"/>
            <w:tcBorders>
              <w:top w:val="single" w:sz="4" w:space="0" w:color="auto"/>
              <w:bottom w:val="single" w:sz="4" w:space="0" w:color="auto"/>
            </w:tcBorders>
            <w:shd w:val="clear" w:color="auto" w:fill="auto"/>
          </w:tcPr>
          <w:p w:rsidR="00536926" w:rsidRPr="0049400B" w:rsidRDefault="00536926" w:rsidP="00450939">
            <w:pPr>
              <w:pStyle w:val="Tabletext"/>
            </w:pPr>
            <w:r w:rsidRPr="0049400B">
              <w:t>A statement that a registered entity has failed to give the Commissioner a report or statement required by Division</w:t>
            </w:r>
            <w:r w:rsidR="002F2B52" w:rsidRPr="0049400B">
              <w:t> </w:t>
            </w:r>
            <w:r w:rsidRPr="0049400B">
              <w:t>60 of the Act</w:t>
            </w:r>
          </w:p>
        </w:tc>
        <w:tc>
          <w:tcPr>
            <w:tcW w:w="2575" w:type="pct"/>
            <w:tcBorders>
              <w:top w:val="single" w:sz="4" w:space="0" w:color="auto"/>
              <w:bottom w:val="single" w:sz="4" w:space="0" w:color="auto"/>
            </w:tcBorders>
            <w:shd w:val="clear" w:color="auto" w:fill="auto"/>
          </w:tcPr>
          <w:p w:rsidR="00536926" w:rsidRPr="0049400B" w:rsidRDefault="00536926" w:rsidP="00536926">
            <w:pPr>
              <w:pStyle w:val="Tabletext"/>
            </w:pPr>
            <w:r w:rsidRPr="0049400B">
              <w:t>Both of the following:</w:t>
            </w:r>
          </w:p>
          <w:p w:rsidR="002D727F" w:rsidRPr="0049400B" w:rsidRDefault="002D727F" w:rsidP="002D727F">
            <w:pPr>
              <w:pStyle w:val="Tablea"/>
            </w:pPr>
            <w:r w:rsidRPr="0049400B">
              <w:t>(a)</w:t>
            </w:r>
            <w:r w:rsidR="005678B9" w:rsidRPr="0049400B">
              <w:t xml:space="preserve"> </w:t>
            </w:r>
            <w:r w:rsidRPr="0049400B">
              <w:t>the r</w:t>
            </w:r>
            <w:r w:rsidR="00536926" w:rsidRPr="0049400B">
              <w:t>egistered entity has not given Commissioner a report or statement required by Division</w:t>
            </w:r>
            <w:r w:rsidR="002F2B52" w:rsidRPr="0049400B">
              <w:t> </w:t>
            </w:r>
            <w:r w:rsidRPr="0049400B">
              <w:t>60 of the Act;</w:t>
            </w:r>
          </w:p>
          <w:p w:rsidR="00536926" w:rsidRPr="0049400B" w:rsidRDefault="002D727F" w:rsidP="005678B9">
            <w:pPr>
              <w:pStyle w:val="Tablea"/>
            </w:pPr>
            <w:r w:rsidRPr="0049400B">
              <w:t>(b)</w:t>
            </w:r>
            <w:r w:rsidR="005678B9" w:rsidRPr="0049400B">
              <w:t xml:space="preserve"> </w:t>
            </w:r>
            <w:r w:rsidRPr="0049400B">
              <w:t>M</w:t>
            </w:r>
            <w:r w:rsidR="00536926" w:rsidRPr="0049400B">
              <w:t>ore than 6 months</w:t>
            </w:r>
            <w:r w:rsidR="003409D9" w:rsidRPr="0049400B">
              <w:t xml:space="preserve"> </w:t>
            </w:r>
            <w:r w:rsidR="00536926" w:rsidRPr="0049400B">
              <w:t>(or a longer period allowed by the Commissioner</w:t>
            </w:r>
            <w:r w:rsidRPr="0049400B">
              <w:t xml:space="preserve"> for the purposes of this item</w:t>
            </w:r>
            <w:r w:rsidR="00536926" w:rsidRPr="0049400B">
              <w:t xml:space="preserve">) </w:t>
            </w:r>
            <w:r w:rsidRPr="0049400B">
              <w:t>have elapsed since the day the</w:t>
            </w:r>
            <w:r w:rsidR="00536926" w:rsidRPr="0049400B">
              <w:t xml:space="preserve"> report or statement was required to be given</w:t>
            </w:r>
          </w:p>
        </w:tc>
      </w:tr>
      <w:tr w:rsidR="00C1135E" w:rsidRPr="0049400B" w:rsidTr="00313B4A">
        <w:tc>
          <w:tcPr>
            <w:tcW w:w="391" w:type="pct"/>
            <w:tcBorders>
              <w:top w:val="single" w:sz="4" w:space="0" w:color="auto"/>
              <w:bottom w:val="single" w:sz="4" w:space="0" w:color="auto"/>
            </w:tcBorders>
            <w:shd w:val="clear" w:color="auto" w:fill="auto"/>
          </w:tcPr>
          <w:p w:rsidR="00C1135E" w:rsidRPr="0049400B" w:rsidRDefault="00C1135E" w:rsidP="00450939">
            <w:pPr>
              <w:pStyle w:val="Tabletext"/>
            </w:pPr>
            <w:r w:rsidRPr="0049400B">
              <w:t>12</w:t>
            </w:r>
          </w:p>
        </w:tc>
        <w:tc>
          <w:tcPr>
            <w:tcW w:w="2034" w:type="pct"/>
            <w:tcBorders>
              <w:top w:val="single" w:sz="4" w:space="0" w:color="auto"/>
              <w:bottom w:val="single" w:sz="4" w:space="0" w:color="auto"/>
            </w:tcBorders>
            <w:shd w:val="clear" w:color="auto" w:fill="auto"/>
          </w:tcPr>
          <w:p w:rsidR="00C1135E" w:rsidRPr="0049400B" w:rsidRDefault="00C1135E" w:rsidP="0057159C">
            <w:pPr>
              <w:pStyle w:val="Tabletext"/>
            </w:pPr>
            <w:r w:rsidRPr="0049400B">
              <w:t>A summary of:</w:t>
            </w:r>
          </w:p>
          <w:p w:rsidR="00C1135E" w:rsidRPr="0049400B" w:rsidRDefault="00C1135E" w:rsidP="0057159C">
            <w:pPr>
              <w:pStyle w:val="Tablea"/>
            </w:pPr>
            <w:r w:rsidRPr="0049400B">
              <w:t>(a) a registered entity’s financial information; and</w:t>
            </w:r>
          </w:p>
          <w:p w:rsidR="00C1135E" w:rsidRPr="0049400B" w:rsidRDefault="00C1135E" w:rsidP="00DD5257">
            <w:pPr>
              <w:pStyle w:val="Tablea"/>
            </w:pPr>
            <w:r w:rsidRPr="0049400B">
              <w:t>(b) information about the registered entity’s activities</w:t>
            </w:r>
          </w:p>
        </w:tc>
        <w:tc>
          <w:tcPr>
            <w:tcW w:w="2575" w:type="pct"/>
            <w:tcBorders>
              <w:top w:val="single" w:sz="4" w:space="0" w:color="auto"/>
              <w:bottom w:val="single" w:sz="4" w:space="0" w:color="auto"/>
            </w:tcBorders>
            <w:shd w:val="clear" w:color="auto" w:fill="auto"/>
          </w:tcPr>
          <w:p w:rsidR="00C1135E" w:rsidRPr="0049400B" w:rsidRDefault="00C1135E" w:rsidP="00536926">
            <w:pPr>
              <w:pStyle w:val="Tabletext"/>
            </w:pPr>
            <w:r w:rsidRPr="0049400B">
              <w:t>The summary is derived only from information disclosed by the registered entity to the Commissioner and which is included on the Register</w:t>
            </w:r>
          </w:p>
        </w:tc>
      </w:tr>
      <w:tr w:rsidR="003666EB" w:rsidRPr="0049400B" w:rsidTr="00CE5BCD">
        <w:tc>
          <w:tcPr>
            <w:tcW w:w="391" w:type="pct"/>
            <w:tcBorders>
              <w:top w:val="single" w:sz="4" w:space="0" w:color="auto"/>
              <w:bottom w:val="single" w:sz="12" w:space="0" w:color="auto"/>
            </w:tcBorders>
            <w:shd w:val="clear" w:color="auto" w:fill="auto"/>
          </w:tcPr>
          <w:p w:rsidR="003666EB" w:rsidRPr="0049400B" w:rsidRDefault="003666EB" w:rsidP="003666EB">
            <w:pPr>
              <w:pStyle w:val="Tabletext"/>
            </w:pPr>
            <w:r w:rsidRPr="0049400B">
              <w:t>13</w:t>
            </w:r>
          </w:p>
        </w:tc>
        <w:tc>
          <w:tcPr>
            <w:tcW w:w="2034" w:type="pct"/>
            <w:tcBorders>
              <w:top w:val="single" w:sz="4" w:space="0" w:color="auto"/>
              <w:bottom w:val="single" w:sz="12" w:space="0" w:color="auto"/>
            </w:tcBorders>
            <w:shd w:val="clear" w:color="auto" w:fill="auto"/>
          </w:tcPr>
          <w:p w:rsidR="003666EB" w:rsidRPr="0049400B" w:rsidRDefault="003666EB" w:rsidP="003666EB">
            <w:pPr>
              <w:pStyle w:val="Tabletext"/>
            </w:pPr>
            <w:bookmarkStart w:id="12" w:name="_Hlk65579830"/>
            <w:r w:rsidRPr="0049400B">
              <w:t xml:space="preserve">For each entry on the Transparency Register (within the meaning of Part XX of the </w:t>
            </w:r>
            <w:r w:rsidRPr="0049400B">
              <w:rPr>
                <w:i/>
              </w:rPr>
              <w:t>Commonwealth Electoral Act 1918</w:t>
            </w:r>
            <w:r w:rsidRPr="0049400B">
              <w:t>) that relates to a registered entity—an electronic link to the part or parts of the website of the Transparency Register that make information contained in the entry publicly available.</w:t>
            </w:r>
            <w:bookmarkEnd w:id="12"/>
          </w:p>
        </w:tc>
        <w:tc>
          <w:tcPr>
            <w:tcW w:w="2575" w:type="pct"/>
            <w:tcBorders>
              <w:top w:val="single" w:sz="4" w:space="0" w:color="auto"/>
              <w:bottom w:val="single" w:sz="12" w:space="0" w:color="auto"/>
            </w:tcBorders>
            <w:shd w:val="clear" w:color="auto" w:fill="auto"/>
          </w:tcPr>
          <w:p w:rsidR="003666EB" w:rsidRPr="0049400B" w:rsidRDefault="003666EB" w:rsidP="003666EB">
            <w:pPr>
              <w:pStyle w:val="Tabletext"/>
            </w:pPr>
            <w:r w:rsidRPr="0049400B">
              <w:t>The Commissioner is satisfied that the Transparency Register contains the entry.</w:t>
            </w:r>
          </w:p>
        </w:tc>
      </w:tr>
    </w:tbl>
    <w:p w:rsidR="00A31F38" w:rsidRPr="0049400B" w:rsidRDefault="00A31F38" w:rsidP="00A31F38">
      <w:pPr>
        <w:pStyle w:val="notetext"/>
      </w:pPr>
      <w:r w:rsidRPr="0049400B">
        <w:t>Note 1:</w:t>
      </w:r>
      <w:r w:rsidRPr="0049400B">
        <w:tab/>
        <w:t xml:space="preserve">For </w:t>
      </w:r>
      <w:r w:rsidR="001E4BB9" w:rsidRPr="0049400B">
        <w:t>items 1</w:t>
      </w:r>
      <w:r w:rsidRPr="0049400B">
        <w:t xml:space="preserve"> and 5 of the table, an example of the Commissioner becoming aware of information is where:</w:t>
      </w:r>
    </w:p>
    <w:p w:rsidR="00A31F38" w:rsidRPr="0049400B" w:rsidRDefault="00A31F38" w:rsidP="00A31F38">
      <w:pPr>
        <w:pStyle w:val="notepara"/>
      </w:pPr>
      <w:r w:rsidRPr="0049400B">
        <w:t>(a)</w:t>
      </w:r>
      <w:r w:rsidRPr="0049400B">
        <w:tab/>
        <w:t>a registered entity has given the Commissioner incorrect information in an annual information statement or annual financial statement;</w:t>
      </w:r>
      <w:r w:rsidR="004126DE" w:rsidRPr="0049400B">
        <w:t xml:space="preserve"> and</w:t>
      </w:r>
    </w:p>
    <w:p w:rsidR="00A31F38" w:rsidRPr="0049400B" w:rsidRDefault="00A31F38" w:rsidP="00A31F38">
      <w:pPr>
        <w:pStyle w:val="notepara"/>
      </w:pPr>
      <w:r w:rsidRPr="0049400B">
        <w:t>(b)</w:t>
      </w:r>
      <w:r w:rsidRPr="0049400B">
        <w:tab/>
        <w:t>through an audit or review of the registered entity, the Commissioner then becomes aware of the correct information.</w:t>
      </w:r>
    </w:p>
    <w:p w:rsidR="007003DB" w:rsidRPr="0049400B" w:rsidRDefault="00A31F38" w:rsidP="00F65172">
      <w:pPr>
        <w:pStyle w:val="notetext"/>
      </w:pPr>
      <w:r w:rsidRPr="0049400B">
        <w:t xml:space="preserve">Note </w:t>
      </w:r>
      <w:r w:rsidR="005F6728" w:rsidRPr="0049400B">
        <w:t>2</w:t>
      </w:r>
      <w:r w:rsidR="00F65172" w:rsidRPr="0049400B">
        <w:t>:</w:t>
      </w:r>
      <w:r w:rsidR="00F65172" w:rsidRPr="0049400B">
        <w:tab/>
      </w:r>
      <w:r w:rsidR="00DE20A0" w:rsidRPr="0049400B">
        <w:t>For item</w:t>
      </w:r>
      <w:r w:rsidR="002F2B52" w:rsidRPr="0049400B">
        <w:t> </w:t>
      </w:r>
      <w:r w:rsidR="005F6728" w:rsidRPr="0049400B">
        <w:t>4</w:t>
      </w:r>
      <w:r w:rsidRPr="0049400B">
        <w:t xml:space="preserve"> of the table</w:t>
      </w:r>
      <w:r w:rsidR="00DE20A0" w:rsidRPr="0049400B">
        <w:t>, information that may be in</w:t>
      </w:r>
      <w:r w:rsidR="007003DB" w:rsidRPr="0049400B">
        <w:t>cluded on the Register includes:</w:t>
      </w:r>
    </w:p>
    <w:p w:rsidR="007003DB" w:rsidRPr="0049400B" w:rsidRDefault="007003DB" w:rsidP="007003DB">
      <w:pPr>
        <w:pStyle w:val="notepara"/>
      </w:pPr>
      <w:r w:rsidRPr="0049400B">
        <w:t>(a)</w:t>
      </w:r>
      <w:r w:rsidRPr="0049400B">
        <w:tab/>
      </w:r>
      <w:r w:rsidR="00DE20A0" w:rsidRPr="0049400B">
        <w:t xml:space="preserve">a registered business name under the </w:t>
      </w:r>
      <w:r w:rsidR="00DE20A0" w:rsidRPr="0049400B">
        <w:rPr>
          <w:i/>
        </w:rPr>
        <w:t xml:space="preserve">Business Names </w:t>
      </w:r>
      <w:r w:rsidR="008B20DA" w:rsidRPr="0049400B">
        <w:rPr>
          <w:i/>
        </w:rPr>
        <w:t xml:space="preserve">Registration </w:t>
      </w:r>
      <w:r w:rsidR="00DE20A0" w:rsidRPr="0049400B">
        <w:rPr>
          <w:i/>
        </w:rPr>
        <w:t>Act 2011</w:t>
      </w:r>
      <w:r w:rsidRPr="0049400B">
        <w:t>; and</w:t>
      </w:r>
    </w:p>
    <w:p w:rsidR="00DE20A0" w:rsidRPr="0049400B" w:rsidRDefault="007003DB" w:rsidP="007003DB">
      <w:pPr>
        <w:pStyle w:val="notepara"/>
      </w:pPr>
      <w:r w:rsidRPr="0049400B">
        <w:t>(b)</w:t>
      </w:r>
      <w:r w:rsidRPr="0049400B">
        <w:tab/>
      </w:r>
      <w:r w:rsidR="00DE20A0" w:rsidRPr="0049400B">
        <w:t xml:space="preserve">a name </w:t>
      </w:r>
      <w:r w:rsidR="007F1ACD" w:rsidRPr="0049400B">
        <w:t xml:space="preserve">on a </w:t>
      </w:r>
      <w:r w:rsidR="00DE20A0" w:rsidRPr="0049400B">
        <w:t>notified State or Territory</w:t>
      </w:r>
      <w:r w:rsidR="007F1ACD" w:rsidRPr="0049400B">
        <w:t xml:space="preserve"> register under that Act</w:t>
      </w:r>
      <w:r w:rsidR="00DE20A0" w:rsidRPr="0049400B">
        <w:t>.</w:t>
      </w:r>
    </w:p>
    <w:p w:rsidR="002B3833" w:rsidRPr="0049400B" w:rsidRDefault="00A31F38" w:rsidP="007003DB">
      <w:pPr>
        <w:pStyle w:val="notetext"/>
      </w:pPr>
      <w:r w:rsidRPr="0049400B">
        <w:t xml:space="preserve">Note </w:t>
      </w:r>
      <w:r w:rsidR="005F6728" w:rsidRPr="0049400B">
        <w:t>3</w:t>
      </w:r>
      <w:r w:rsidR="00F65172" w:rsidRPr="0049400B">
        <w:t>:</w:t>
      </w:r>
      <w:r w:rsidR="00F65172" w:rsidRPr="0049400B">
        <w:tab/>
      </w:r>
      <w:r w:rsidR="008B20DA" w:rsidRPr="0049400B">
        <w:t>For item</w:t>
      </w:r>
      <w:r w:rsidR="002F2B52" w:rsidRPr="0049400B">
        <w:t> </w:t>
      </w:r>
      <w:r w:rsidR="005F6728" w:rsidRPr="0049400B">
        <w:t>5</w:t>
      </w:r>
      <w:r w:rsidRPr="0049400B">
        <w:t xml:space="preserve"> of the table</w:t>
      </w:r>
      <w:r w:rsidR="007F1ACD" w:rsidRPr="0049400B">
        <w:t>, a benefit recipient of a registered entity includes an entity or cause that the registered entity assists or furthers in undertaking its purpose.</w:t>
      </w:r>
    </w:p>
    <w:p w:rsidR="00C1135E" w:rsidRPr="0049400B" w:rsidRDefault="00C1135E" w:rsidP="00DD5257">
      <w:pPr>
        <w:pStyle w:val="notetext"/>
        <w:rPr>
          <w:i/>
        </w:rPr>
      </w:pPr>
      <w:bookmarkStart w:id="13" w:name="_PageBreakInsert"/>
      <w:bookmarkEnd w:id="13"/>
      <w:r w:rsidRPr="0049400B">
        <w:t>Note 4:</w:t>
      </w:r>
      <w:r w:rsidRPr="0049400B">
        <w:tab/>
        <w:t xml:space="preserve">For </w:t>
      </w:r>
      <w:r w:rsidR="009242B8" w:rsidRPr="0049400B">
        <w:t>item 1</w:t>
      </w:r>
      <w:r w:rsidRPr="0049400B">
        <w:t>2 of the table, a summary of information may include information in a graphical, numerical or other form determined by the Commissioner.</w:t>
      </w:r>
    </w:p>
    <w:p w:rsidR="00F1653F" w:rsidRPr="0049400B" w:rsidRDefault="00F1653F" w:rsidP="00F1653F">
      <w:pPr>
        <w:pStyle w:val="ActHead4"/>
      </w:pPr>
      <w:bookmarkStart w:id="14" w:name="_Toc81905162"/>
      <w:r w:rsidRPr="0049400B">
        <w:rPr>
          <w:rStyle w:val="CharSubdNo"/>
        </w:rPr>
        <w:t>Subdivision</w:t>
      </w:r>
      <w:r w:rsidR="002F2B52" w:rsidRPr="0049400B">
        <w:rPr>
          <w:rStyle w:val="CharSubdNo"/>
        </w:rPr>
        <w:t> </w:t>
      </w:r>
      <w:r w:rsidRPr="0049400B">
        <w:rPr>
          <w:rStyle w:val="CharSubdNo"/>
        </w:rPr>
        <w:t>40</w:t>
      </w:r>
      <w:r w:rsidR="0049400B" w:rsidRPr="0049400B">
        <w:rPr>
          <w:rStyle w:val="CharSubdNo"/>
        </w:rPr>
        <w:noBreakHyphen/>
      </w:r>
      <w:r w:rsidRPr="0049400B">
        <w:rPr>
          <w:rStyle w:val="CharSubdNo"/>
        </w:rPr>
        <w:t>B</w:t>
      </w:r>
      <w:r w:rsidRPr="0049400B">
        <w:t>—</w:t>
      </w:r>
      <w:r w:rsidRPr="0049400B">
        <w:rPr>
          <w:rStyle w:val="CharSubdText"/>
        </w:rPr>
        <w:t>Information withheld or removed from Register</w:t>
      </w:r>
      <w:bookmarkEnd w:id="14"/>
    </w:p>
    <w:p w:rsidR="00F1653F" w:rsidRPr="0049400B" w:rsidRDefault="00F1653F" w:rsidP="00F1653F">
      <w:pPr>
        <w:pStyle w:val="ActHead5"/>
      </w:pPr>
      <w:bookmarkStart w:id="15" w:name="_Toc81905163"/>
      <w:r w:rsidRPr="0049400B">
        <w:rPr>
          <w:rStyle w:val="CharSectno"/>
        </w:rPr>
        <w:t>40.10</w:t>
      </w:r>
      <w:r w:rsidRPr="0049400B">
        <w:t xml:space="preserve">  Information withheld from Register</w:t>
      </w:r>
      <w:bookmarkEnd w:id="15"/>
    </w:p>
    <w:p w:rsidR="00F1653F" w:rsidRPr="0049400B" w:rsidRDefault="00F1653F" w:rsidP="00F1653F">
      <w:pPr>
        <w:pStyle w:val="subsection"/>
      </w:pPr>
      <w:r w:rsidRPr="0049400B">
        <w:tab/>
        <w:t>(1)</w:t>
      </w:r>
      <w:r w:rsidRPr="0049400B">
        <w:tab/>
        <w:t>For subsection</w:t>
      </w:r>
      <w:r w:rsidR="002F2B52" w:rsidRPr="0049400B">
        <w:t> </w:t>
      </w:r>
      <w:r w:rsidRPr="0049400B">
        <w:t>40</w:t>
      </w:r>
      <w:r w:rsidR="0049400B">
        <w:noBreakHyphen/>
      </w:r>
      <w:r w:rsidRPr="0049400B">
        <w:t>10(1) of the Act, the Commissioner must not include information specified in an item of the following table on the Register, or must remove information specified in an item of the following table from the Register:</w:t>
      </w:r>
    </w:p>
    <w:p w:rsidR="00F1653F" w:rsidRPr="0049400B" w:rsidRDefault="00F1653F" w:rsidP="00F1653F">
      <w:pPr>
        <w:pStyle w:val="paragraph"/>
      </w:pPr>
      <w:r w:rsidRPr="0049400B">
        <w:tab/>
        <w:t>(a)</w:t>
      </w:r>
      <w:r w:rsidRPr="0049400B">
        <w:tab/>
        <w:t>in the circumstances mentioned in the item; and</w:t>
      </w:r>
    </w:p>
    <w:p w:rsidR="00F1653F" w:rsidRPr="0049400B" w:rsidRDefault="00F1653F" w:rsidP="00F1653F">
      <w:pPr>
        <w:pStyle w:val="paragraph"/>
      </w:pPr>
      <w:r w:rsidRPr="0049400B">
        <w:tab/>
        <w:t>(b)</w:t>
      </w:r>
      <w:r w:rsidRPr="0049400B">
        <w:tab/>
        <w:t>if the registered entity to which the information relates makes a request, in the approved form, that the information not be included on the Register.</w:t>
      </w:r>
    </w:p>
    <w:p w:rsidR="00F1653F" w:rsidRPr="0049400B" w:rsidRDefault="00F1653F" w:rsidP="00F1653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06"/>
        <w:gridCol w:w="3221"/>
        <w:gridCol w:w="4602"/>
      </w:tblGrid>
      <w:tr w:rsidR="00F1653F" w:rsidRPr="0049400B" w:rsidTr="00CE5BCD">
        <w:trPr>
          <w:tblHeader/>
        </w:trPr>
        <w:tc>
          <w:tcPr>
            <w:tcW w:w="414" w:type="pct"/>
            <w:tcBorders>
              <w:top w:val="single" w:sz="12" w:space="0" w:color="auto"/>
              <w:bottom w:val="single" w:sz="12" w:space="0" w:color="auto"/>
            </w:tcBorders>
            <w:shd w:val="clear" w:color="auto" w:fill="auto"/>
          </w:tcPr>
          <w:p w:rsidR="00F1653F" w:rsidRPr="0049400B" w:rsidRDefault="00F1653F" w:rsidP="0031535A">
            <w:pPr>
              <w:pStyle w:val="Tabletext"/>
              <w:keepNext/>
              <w:ind w:right="-38"/>
              <w:rPr>
                <w:b/>
              </w:rPr>
            </w:pPr>
            <w:r w:rsidRPr="0049400B">
              <w:rPr>
                <w:b/>
              </w:rPr>
              <w:t>Item</w:t>
            </w:r>
          </w:p>
        </w:tc>
        <w:tc>
          <w:tcPr>
            <w:tcW w:w="1888" w:type="pct"/>
            <w:tcBorders>
              <w:top w:val="single" w:sz="12" w:space="0" w:color="auto"/>
              <w:bottom w:val="single" w:sz="12" w:space="0" w:color="auto"/>
            </w:tcBorders>
            <w:shd w:val="clear" w:color="auto" w:fill="auto"/>
          </w:tcPr>
          <w:p w:rsidR="00F1653F" w:rsidRPr="0049400B" w:rsidRDefault="00F1653F" w:rsidP="00E95887">
            <w:pPr>
              <w:pStyle w:val="Tabletext"/>
              <w:keepNext/>
              <w:rPr>
                <w:b/>
              </w:rPr>
            </w:pPr>
            <w:r w:rsidRPr="0049400B">
              <w:rPr>
                <w:b/>
              </w:rPr>
              <w:t>Column 1</w:t>
            </w:r>
          </w:p>
          <w:p w:rsidR="00F1653F" w:rsidRPr="0049400B" w:rsidRDefault="00F1653F" w:rsidP="00E95887">
            <w:pPr>
              <w:pStyle w:val="Tabletext"/>
              <w:keepNext/>
              <w:rPr>
                <w:b/>
              </w:rPr>
            </w:pPr>
            <w:r w:rsidRPr="0049400B">
              <w:rPr>
                <w:b/>
              </w:rPr>
              <w:t>Information</w:t>
            </w:r>
          </w:p>
        </w:tc>
        <w:tc>
          <w:tcPr>
            <w:tcW w:w="2697" w:type="pct"/>
            <w:tcBorders>
              <w:top w:val="single" w:sz="12" w:space="0" w:color="auto"/>
              <w:bottom w:val="single" w:sz="12" w:space="0" w:color="auto"/>
            </w:tcBorders>
            <w:shd w:val="clear" w:color="auto" w:fill="auto"/>
          </w:tcPr>
          <w:p w:rsidR="00F1653F" w:rsidRPr="0049400B" w:rsidRDefault="00F1653F" w:rsidP="00E95887">
            <w:pPr>
              <w:pStyle w:val="Tabletext"/>
              <w:keepNext/>
              <w:rPr>
                <w:b/>
              </w:rPr>
            </w:pPr>
            <w:r w:rsidRPr="0049400B">
              <w:rPr>
                <w:b/>
              </w:rPr>
              <w:t>Column 2</w:t>
            </w:r>
          </w:p>
          <w:p w:rsidR="00F1653F" w:rsidRPr="0049400B" w:rsidRDefault="00F1653F" w:rsidP="00E95887">
            <w:pPr>
              <w:pStyle w:val="Tabletext"/>
              <w:keepNext/>
              <w:rPr>
                <w:b/>
              </w:rPr>
            </w:pPr>
            <w:r w:rsidRPr="0049400B">
              <w:rPr>
                <w:b/>
              </w:rPr>
              <w:t>Circumstance(s)</w:t>
            </w:r>
          </w:p>
        </w:tc>
      </w:tr>
      <w:tr w:rsidR="00F1653F" w:rsidRPr="0049400B" w:rsidTr="00CE5BCD">
        <w:tc>
          <w:tcPr>
            <w:tcW w:w="414" w:type="pct"/>
            <w:shd w:val="clear" w:color="auto" w:fill="auto"/>
          </w:tcPr>
          <w:p w:rsidR="00F1653F" w:rsidRPr="0049400B" w:rsidRDefault="00F1653F" w:rsidP="00637E7E">
            <w:pPr>
              <w:pStyle w:val="Tabletext"/>
              <w:keepNext/>
            </w:pPr>
            <w:r w:rsidRPr="0049400B">
              <w:t>1</w:t>
            </w:r>
          </w:p>
        </w:tc>
        <w:tc>
          <w:tcPr>
            <w:tcW w:w="1888" w:type="pct"/>
            <w:shd w:val="clear" w:color="auto" w:fill="auto"/>
          </w:tcPr>
          <w:p w:rsidR="00F1653F" w:rsidRPr="0049400B" w:rsidRDefault="00F1653F" w:rsidP="00E95887">
            <w:pPr>
              <w:pStyle w:val="Tabletext"/>
            </w:pPr>
            <w:r w:rsidRPr="0049400B">
              <w:t>The name and ABN of a registered entity</w:t>
            </w:r>
          </w:p>
        </w:tc>
        <w:tc>
          <w:tcPr>
            <w:tcW w:w="2697" w:type="pct"/>
            <w:shd w:val="clear" w:color="auto" w:fill="auto"/>
          </w:tcPr>
          <w:p w:rsidR="00F1653F" w:rsidRPr="0049400B" w:rsidRDefault="00F1653F" w:rsidP="00E95887">
            <w:pPr>
              <w:pStyle w:val="Tabletext"/>
            </w:pPr>
            <w:r w:rsidRPr="0049400B">
              <w:t>All of the following:</w:t>
            </w:r>
          </w:p>
          <w:p w:rsidR="00F1653F" w:rsidRPr="0049400B" w:rsidRDefault="00F1653F" w:rsidP="00E95887">
            <w:pPr>
              <w:pStyle w:val="Tablea"/>
            </w:pPr>
            <w:r w:rsidRPr="0049400B">
              <w:t>(a) the registered entity is a private ancillary fund;</w:t>
            </w:r>
          </w:p>
          <w:p w:rsidR="00F1653F" w:rsidRPr="0049400B" w:rsidRDefault="00F1653F" w:rsidP="00E95887">
            <w:pPr>
              <w:pStyle w:val="Tablea"/>
            </w:pPr>
            <w:r w:rsidRPr="0049400B">
              <w:t>(b) the publication of the name is likely to result in the identification of an individual donor;</w:t>
            </w:r>
          </w:p>
          <w:p w:rsidR="00F1653F" w:rsidRPr="0049400B" w:rsidRDefault="00F1653F" w:rsidP="00E95887">
            <w:pPr>
              <w:pStyle w:val="Tablea"/>
            </w:pPr>
            <w:r w:rsidRPr="0049400B">
              <w:t>(c) the name and ABN can be substituted on the Register with a description that:</w:t>
            </w:r>
          </w:p>
          <w:p w:rsidR="00F1653F" w:rsidRPr="0049400B" w:rsidRDefault="00F1653F" w:rsidP="00E95887">
            <w:pPr>
              <w:pStyle w:val="Tablei"/>
            </w:pPr>
            <w:r w:rsidRPr="0049400B">
              <w:t>(i) is unlikely to result in the identification of an individual donor; and</w:t>
            </w:r>
          </w:p>
          <w:p w:rsidR="00F1653F" w:rsidRPr="0049400B" w:rsidRDefault="00F1653F" w:rsidP="00E95887">
            <w:pPr>
              <w:pStyle w:val="Tablei"/>
            </w:pPr>
            <w:r w:rsidRPr="0049400B">
              <w:t>(ii) would not mislead the public as to the nature and characteristics of the registered entity; and</w:t>
            </w:r>
          </w:p>
          <w:p w:rsidR="00F1653F" w:rsidRPr="0049400B" w:rsidRDefault="00F1653F" w:rsidP="00E95887">
            <w:pPr>
              <w:pStyle w:val="Tablei"/>
            </w:pPr>
            <w:r w:rsidRPr="0049400B">
              <w:t>(iii) would not reasonably be regarded as identifying a different registered entity; and</w:t>
            </w:r>
          </w:p>
          <w:p w:rsidR="00F1653F" w:rsidRPr="0049400B" w:rsidRDefault="00F1653F" w:rsidP="00E95887">
            <w:pPr>
              <w:pStyle w:val="Tablei"/>
            </w:pPr>
            <w:r w:rsidRPr="0049400B">
              <w:t>(iv) would make clear on the Register that the name of the registered entity has been withheld;</w:t>
            </w:r>
          </w:p>
          <w:p w:rsidR="00F1653F" w:rsidRPr="0049400B" w:rsidRDefault="00F1653F" w:rsidP="00E95887">
            <w:pPr>
              <w:pStyle w:val="Tablea"/>
            </w:pPr>
            <w:r w:rsidRPr="0049400B">
              <w:t xml:space="preserve">(d) the Commissioner has consulted the registered entity about the description referred to in </w:t>
            </w:r>
            <w:r w:rsidR="002F2B52" w:rsidRPr="0049400B">
              <w:t>paragraph (</w:t>
            </w:r>
            <w:r w:rsidRPr="0049400B">
              <w:t>c)</w:t>
            </w:r>
          </w:p>
        </w:tc>
      </w:tr>
      <w:tr w:rsidR="00F1653F" w:rsidRPr="0049400B" w:rsidTr="00CE5BCD">
        <w:tc>
          <w:tcPr>
            <w:tcW w:w="414" w:type="pct"/>
            <w:shd w:val="clear" w:color="auto" w:fill="auto"/>
          </w:tcPr>
          <w:p w:rsidR="00F1653F" w:rsidRPr="0049400B" w:rsidRDefault="00F1653F" w:rsidP="00E95887">
            <w:pPr>
              <w:pStyle w:val="Tabletext"/>
            </w:pPr>
            <w:r w:rsidRPr="0049400B">
              <w:t>2</w:t>
            </w:r>
          </w:p>
        </w:tc>
        <w:tc>
          <w:tcPr>
            <w:tcW w:w="1888" w:type="pct"/>
            <w:shd w:val="clear" w:color="auto" w:fill="auto"/>
          </w:tcPr>
          <w:p w:rsidR="00F1653F" w:rsidRPr="0049400B" w:rsidRDefault="00F1653F" w:rsidP="00E95887">
            <w:pPr>
              <w:pStyle w:val="Tabletext"/>
            </w:pPr>
            <w:r w:rsidRPr="0049400B">
              <w:t>A contact detail for a registered entity, including the address for service for the entity</w:t>
            </w:r>
          </w:p>
        </w:tc>
        <w:tc>
          <w:tcPr>
            <w:tcW w:w="2697" w:type="pct"/>
            <w:shd w:val="clear" w:color="auto" w:fill="auto"/>
          </w:tcPr>
          <w:p w:rsidR="00F1653F" w:rsidRPr="0049400B" w:rsidRDefault="00F1653F" w:rsidP="00E95887">
            <w:pPr>
              <w:pStyle w:val="Tabletext"/>
            </w:pPr>
            <w:r w:rsidRPr="0049400B">
              <w:t>Both of the following:</w:t>
            </w:r>
          </w:p>
          <w:p w:rsidR="00F1653F" w:rsidRPr="0049400B" w:rsidRDefault="00F1653F" w:rsidP="00E95887">
            <w:pPr>
              <w:pStyle w:val="Tablea"/>
            </w:pPr>
            <w:r w:rsidRPr="0049400B">
              <w:t>(a) the registered entity is a private ancillary fund;</w:t>
            </w:r>
          </w:p>
          <w:p w:rsidR="00F1653F" w:rsidRPr="0049400B" w:rsidRDefault="00F1653F" w:rsidP="00E95887">
            <w:pPr>
              <w:pStyle w:val="Tablea"/>
              <w:rPr>
                <w:b/>
                <w:bCs/>
              </w:rPr>
            </w:pPr>
            <w:r w:rsidRPr="0049400B">
              <w:t>(b) the publication of the detail:</w:t>
            </w:r>
          </w:p>
          <w:p w:rsidR="00F1653F" w:rsidRPr="0049400B" w:rsidRDefault="00F1653F" w:rsidP="00E95887">
            <w:pPr>
              <w:pStyle w:val="Tablei"/>
            </w:pPr>
            <w:r w:rsidRPr="0049400B">
              <w:t>(i) is likely to result in the identification of an individual donor; or</w:t>
            </w:r>
          </w:p>
          <w:p w:rsidR="00F1653F" w:rsidRPr="0049400B" w:rsidRDefault="00F1653F" w:rsidP="00E95887">
            <w:pPr>
              <w:pStyle w:val="Tablei"/>
            </w:pPr>
            <w:r w:rsidRPr="0049400B">
              <w:rPr>
                <w:color w:val="000000"/>
              </w:rPr>
              <w:t xml:space="preserve">(ii) would create an unreasonable administrative burden on the </w:t>
            </w:r>
            <w:r w:rsidRPr="0049400B">
              <w:t xml:space="preserve">registered </w:t>
            </w:r>
            <w:r w:rsidRPr="0049400B">
              <w:rPr>
                <w:color w:val="000000"/>
              </w:rPr>
              <w:t>entity</w:t>
            </w:r>
          </w:p>
        </w:tc>
      </w:tr>
      <w:tr w:rsidR="00F1653F" w:rsidRPr="0049400B" w:rsidTr="00CE5BCD">
        <w:tc>
          <w:tcPr>
            <w:tcW w:w="414" w:type="pct"/>
            <w:shd w:val="clear" w:color="auto" w:fill="auto"/>
          </w:tcPr>
          <w:p w:rsidR="00F1653F" w:rsidRPr="0049400B" w:rsidRDefault="00F1653F" w:rsidP="00E95887">
            <w:pPr>
              <w:pStyle w:val="Tabletext"/>
            </w:pPr>
            <w:r w:rsidRPr="0049400B">
              <w:t>3</w:t>
            </w:r>
          </w:p>
        </w:tc>
        <w:tc>
          <w:tcPr>
            <w:tcW w:w="1888" w:type="pct"/>
            <w:shd w:val="clear" w:color="auto" w:fill="auto"/>
          </w:tcPr>
          <w:p w:rsidR="00F1653F" w:rsidRPr="0049400B" w:rsidRDefault="00F1653F" w:rsidP="00E95887">
            <w:pPr>
              <w:pStyle w:val="Tabletext"/>
            </w:pPr>
            <w:r w:rsidRPr="0049400B">
              <w:t>A governing rule in the governing rules of a registered entity</w:t>
            </w:r>
          </w:p>
        </w:tc>
        <w:tc>
          <w:tcPr>
            <w:tcW w:w="2697" w:type="pct"/>
            <w:shd w:val="clear" w:color="auto" w:fill="auto"/>
          </w:tcPr>
          <w:p w:rsidR="00F1653F" w:rsidRPr="0049400B" w:rsidRDefault="00F1653F" w:rsidP="00E95887">
            <w:pPr>
              <w:pStyle w:val="Tabletext"/>
            </w:pPr>
            <w:r w:rsidRPr="0049400B">
              <w:t>Both of the following:</w:t>
            </w:r>
          </w:p>
          <w:p w:rsidR="00F1653F" w:rsidRPr="0049400B" w:rsidRDefault="00F1653F" w:rsidP="00E95887">
            <w:pPr>
              <w:pStyle w:val="Tablea"/>
            </w:pPr>
            <w:r w:rsidRPr="0049400B">
              <w:t>(a) the registered entity is a private ancillary fund;</w:t>
            </w:r>
          </w:p>
          <w:p w:rsidR="00F1653F" w:rsidRPr="0049400B" w:rsidRDefault="00F1653F" w:rsidP="00E95887">
            <w:pPr>
              <w:pStyle w:val="Tablea"/>
              <w:rPr>
                <w:b/>
                <w:bCs/>
              </w:rPr>
            </w:pPr>
            <w:r w:rsidRPr="0049400B">
              <w:t>(b) the publication of the governing rule is likely to result in the identification of an individual donor</w:t>
            </w:r>
          </w:p>
        </w:tc>
      </w:tr>
      <w:tr w:rsidR="00F1653F" w:rsidRPr="0049400B" w:rsidTr="00CE5BCD">
        <w:tc>
          <w:tcPr>
            <w:tcW w:w="414" w:type="pct"/>
            <w:shd w:val="clear" w:color="auto" w:fill="auto"/>
          </w:tcPr>
          <w:p w:rsidR="00F1653F" w:rsidRPr="0049400B" w:rsidRDefault="00F1653F" w:rsidP="00E95887">
            <w:pPr>
              <w:pStyle w:val="Tabletext"/>
            </w:pPr>
            <w:r w:rsidRPr="0049400B">
              <w:t>4</w:t>
            </w:r>
          </w:p>
        </w:tc>
        <w:tc>
          <w:tcPr>
            <w:tcW w:w="1888" w:type="pct"/>
            <w:shd w:val="clear" w:color="auto" w:fill="auto"/>
          </w:tcPr>
          <w:p w:rsidR="00F1653F" w:rsidRPr="0049400B" w:rsidRDefault="00F1653F" w:rsidP="00E95887">
            <w:pPr>
              <w:pStyle w:val="Tabletext"/>
            </w:pPr>
            <w:r w:rsidRPr="0049400B">
              <w:t>The name of a responsible entity</w:t>
            </w:r>
          </w:p>
        </w:tc>
        <w:tc>
          <w:tcPr>
            <w:tcW w:w="2697" w:type="pct"/>
            <w:shd w:val="clear" w:color="auto" w:fill="auto"/>
          </w:tcPr>
          <w:p w:rsidR="00F1653F" w:rsidRPr="0049400B" w:rsidRDefault="00F1653F" w:rsidP="00E95887">
            <w:pPr>
              <w:pStyle w:val="Tabletext"/>
            </w:pPr>
            <w:r w:rsidRPr="0049400B">
              <w:t>Both of the following:</w:t>
            </w:r>
          </w:p>
          <w:p w:rsidR="00F1653F" w:rsidRPr="0049400B" w:rsidRDefault="00F1653F" w:rsidP="00E95887">
            <w:pPr>
              <w:pStyle w:val="Tablea"/>
            </w:pPr>
            <w:r w:rsidRPr="0049400B">
              <w:t>(a) the registered entity is a private ancillary fund;</w:t>
            </w:r>
          </w:p>
          <w:p w:rsidR="00F1653F" w:rsidRPr="0049400B" w:rsidRDefault="00F1653F" w:rsidP="00E95887">
            <w:pPr>
              <w:pStyle w:val="Tablea"/>
              <w:rPr>
                <w:b/>
                <w:bCs/>
              </w:rPr>
            </w:pPr>
            <w:r w:rsidRPr="0049400B">
              <w:t>(b) the publication of the name is likely to result in the identification of an individual donor</w:t>
            </w:r>
          </w:p>
        </w:tc>
      </w:tr>
      <w:tr w:rsidR="00F1653F" w:rsidRPr="0049400B" w:rsidTr="00CE5BCD">
        <w:tc>
          <w:tcPr>
            <w:tcW w:w="414" w:type="pct"/>
            <w:shd w:val="clear" w:color="auto" w:fill="auto"/>
          </w:tcPr>
          <w:p w:rsidR="00F1653F" w:rsidRPr="0049400B" w:rsidRDefault="00F1653F" w:rsidP="00E95887">
            <w:pPr>
              <w:pStyle w:val="Tabletext"/>
            </w:pPr>
            <w:r w:rsidRPr="0049400B">
              <w:t>5</w:t>
            </w:r>
          </w:p>
        </w:tc>
        <w:tc>
          <w:tcPr>
            <w:tcW w:w="1888" w:type="pct"/>
            <w:shd w:val="clear" w:color="auto" w:fill="auto"/>
          </w:tcPr>
          <w:p w:rsidR="00F1653F" w:rsidRPr="0049400B" w:rsidRDefault="00F1653F" w:rsidP="00E95887">
            <w:pPr>
              <w:pStyle w:val="Tabletext"/>
            </w:pPr>
            <w:r w:rsidRPr="0049400B">
              <w:t>Information in an annual information statement</w:t>
            </w:r>
          </w:p>
        </w:tc>
        <w:tc>
          <w:tcPr>
            <w:tcW w:w="2697" w:type="pct"/>
            <w:shd w:val="clear" w:color="auto" w:fill="auto"/>
          </w:tcPr>
          <w:p w:rsidR="00F1653F" w:rsidRPr="0049400B" w:rsidRDefault="00F1653F" w:rsidP="00E95887">
            <w:pPr>
              <w:pStyle w:val="Tabletext"/>
              <w:rPr>
                <w:b/>
                <w:bCs/>
              </w:rPr>
            </w:pPr>
            <w:r w:rsidRPr="0049400B">
              <w:t>The publication of the information is likely to result in the identification of an individual donor</w:t>
            </w:r>
          </w:p>
        </w:tc>
      </w:tr>
      <w:tr w:rsidR="00F1653F" w:rsidRPr="0049400B" w:rsidTr="00CE5BCD">
        <w:tc>
          <w:tcPr>
            <w:tcW w:w="414" w:type="pct"/>
            <w:tcBorders>
              <w:bottom w:val="single" w:sz="12" w:space="0" w:color="auto"/>
            </w:tcBorders>
            <w:shd w:val="clear" w:color="auto" w:fill="auto"/>
          </w:tcPr>
          <w:p w:rsidR="00F1653F" w:rsidRPr="0049400B" w:rsidRDefault="00F1653F" w:rsidP="00E95887">
            <w:pPr>
              <w:pStyle w:val="Tabletext"/>
            </w:pPr>
            <w:r w:rsidRPr="0049400B">
              <w:t>6</w:t>
            </w:r>
          </w:p>
        </w:tc>
        <w:tc>
          <w:tcPr>
            <w:tcW w:w="1888" w:type="pct"/>
            <w:tcBorders>
              <w:bottom w:val="single" w:sz="12" w:space="0" w:color="auto"/>
            </w:tcBorders>
            <w:shd w:val="clear" w:color="auto" w:fill="auto"/>
          </w:tcPr>
          <w:p w:rsidR="00F1653F" w:rsidRPr="0049400B" w:rsidRDefault="00F1653F" w:rsidP="00E95887">
            <w:pPr>
              <w:pStyle w:val="Tabletext"/>
            </w:pPr>
            <w:r w:rsidRPr="0049400B">
              <w:t>Information in a financial report, audit or review report</w:t>
            </w:r>
          </w:p>
        </w:tc>
        <w:tc>
          <w:tcPr>
            <w:tcW w:w="2697" w:type="pct"/>
            <w:tcBorders>
              <w:bottom w:val="single" w:sz="12" w:space="0" w:color="auto"/>
            </w:tcBorders>
            <w:shd w:val="clear" w:color="auto" w:fill="auto"/>
          </w:tcPr>
          <w:p w:rsidR="00F1653F" w:rsidRPr="0049400B" w:rsidRDefault="00F1653F" w:rsidP="00E95887">
            <w:pPr>
              <w:pStyle w:val="Tabletext"/>
            </w:pPr>
            <w:r w:rsidRPr="0049400B">
              <w:t>The publication of the information is likely to result in the identification of an individual donor</w:t>
            </w:r>
          </w:p>
        </w:tc>
      </w:tr>
    </w:tbl>
    <w:p w:rsidR="00F1653F" w:rsidRPr="0049400B" w:rsidRDefault="00F1653F" w:rsidP="00F1653F">
      <w:pPr>
        <w:pStyle w:val="subsection"/>
      </w:pPr>
      <w:r w:rsidRPr="0049400B">
        <w:tab/>
        <w:t>(2)</w:t>
      </w:r>
      <w:r w:rsidRPr="0049400B">
        <w:tab/>
        <w:t>Items</w:t>
      </w:r>
      <w:r w:rsidR="002F2B52" w:rsidRPr="0049400B">
        <w:t> </w:t>
      </w:r>
      <w:r w:rsidRPr="0049400B">
        <w:t xml:space="preserve">1, 2, 3, 5 and 6 of the table in </w:t>
      </w:r>
      <w:r w:rsidR="002F2B52" w:rsidRPr="0049400B">
        <w:t>subsection (</w:t>
      </w:r>
      <w:r w:rsidRPr="0049400B">
        <w:t>1) continue to apply to information that relates to an individual donor who has died if:</w:t>
      </w:r>
    </w:p>
    <w:p w:rsidR="00F1653F" w:rsidRPr="0049400B" w:rsidRDefault="00F1653F" w:rsidP="00F1653F">
      <w:pPr>
        <w:pStyle w:val="paragraph"/>
      </w:pPr>
      <w:r w:rsidRPr="0049400B">
        <w:tab/>
        <w:t>(a)</w:t>
      </w:r>
      <w:r w:rsidRPr="0049400B">
        <w:tab/>
        <w:t>the individual donor died within the previous 2 years; or</w:t>
      </w:r>
    </w:p>
    <w:p w:rsidR="00F1653F" w:rsidRPr="0049400B" w:rsidRDefault="00F1653F" w:rsidP="00F1653F">
      <w:pPr>
        <w:pStyle w:val="paragraph"/>
      </w:pPr>
      <w:r w:rsidRPr="0049400B">
        <w:tab/>
        <w:t>(b)</w:t>
      </w:r>
      <w:r w:rsidRPr="0049400B">
        <w:tab/>
        <w:t>a responsible entity of the registered entity is an associate of the individual donor.</w:t>
      </w:r>
    </w:p>
    <w:p w:rsidR="00F1653F" w:rsidRPr="0049400B" w:rsidRDefault="00F1653F" w:rsidP="00F1653F">
      <w:pPr>
        <w:pStyle w:val="notetext"/>
      </w:pPr>
      <w:r w:rsidRPr="0049400B">
        <w:t>Note:</w:t>
      </w:r>
      <w:r w:rsidRPr="0049400B">
        <w:tab/>
      </w:r>
      <w:r w:rsidR="002F2B52" w:rsidRPr="0049400B">
        <w:t>Subsection (</w:t>
      </w:r>
      <w:r w:rsidRPr="0049400B">
        <w:t>2) ensures that the privacy of the family of an individual donor will remain protected while the family remains actively involved in the management of the registered entity.</w:t>
      </w:r>
    </w:p>
    <w:p w:rsidR="00F1653F" w:rsidRPr="0049400B" w:rsidRDefault="00F1653F" w:rsidP="00F1653F">
      <w:pPr>
        <w:pStyle w:val="subsection"/>
      </w:pPr>
      <w:r w:rsidRPr="0049400B">
        <w:tab/>
        <w:t>(3)</w:t>
      </w:r>
      <w:r w:rsidRPr="0049400B">
        <w:tab/>
        <w:t xml:space="preserve">For </w:t>
      </w:r>
      <w:r w:rsidR="002F2B52" w:rsidRPr="0049400B">
        <w:t>subsection (</w:t>
      </w:r>
      <w:r w:rsidRPr="0049400B">
        <w:t>2), a registered entity must:</w:t>
      </w:r>
    </w:p>
    <w:p w:rsidR="00F1653F" w:rsidRPr="0049400B" w:rsidRDefault="00F1653F" w:rsidP="00F1653F">
      <w:pPr>
        <w:pStyle w:val="paragraph"/>
      </w:pPr>
      <w:r w:rsidRPr="0049400B">
        <w:tab/>
        <w:t>(a)</w:t>
      </w:r>
      <w:r w:rsidRPr="0049400B">
        <w:tab/>
        <w:t>notify the Commissioner, in the approved form, that information that is not on the Register because of this section can no longer be excluded from the Register because:</w:t>
      </w:r>
    </w:p>
    <w:p w:rsidR="00F1653F" w:rsidRPr="0049400B" w:rsidRDefault="00F1653F" w:rsidP="00F1653F">
      <w:pPr>
        <w:pStyle w:val="paragraphsub"/>
      </w:pPr>
      <w:r w:rsidRPr="0049400B">
        <w:tab/>
        <w:t>(i)</w:t>
      </w:r>
      <w:r w:rsidRPr="0049400B">
        <w:tab/>
        <w:t xml:space="preserve"> an individual donor has died; and</w:t>
      </w:r>
    </w:p>
    <w:p w:rsidR="00F1653F" w:rsidRPr="0049400B" w:rsidRDefault="00F1653F" w:rsidP="00F1653F">
      <w:pPr>
        <w:pStyle w:val="paragraphsub"/>
      </w:pPr>
      <w:r w:rsidRPr="0049400B">
        <w:tab/>
        <w:t>(ii)</w:t>
      </w:r>
      <w:r w:rsidRPr="0049400B">
        <w:tab/>
      </w:r>
      <w:r w:rsidR="002F2B52" w:rsidRPr="0049400B">
        <w:t>subsection (</w:t>
      </w:r>
      <w:r w:rsidRPr="0049400B">
        <w:t>2) no longer applies to require the information to be treated that way; and</w:t>
      </w:r>
    </w:p>
    <w:p w:rsidR="00F1653F" w:rsidRPr="0049400B" w:rsidRDefault="00F1653F" w:rsidP="00F1653F">
      <w:pPr>
        <w:pStyle w:val="paragraph"/>
      </w:pPr>
      <w:r w:rsidRPr="0049400B">
        <w:tab/>
        <w:t>(b)</w:t>
      </w:r>
      <w:r w:rsidRPr="0049400B">
        <w:tab/>
        <w:t xml:space="preserve">provide the notification with the first information statement the registered entity provides to the Commissioner after the registered entity becomes aware that the events referred to in </w:t>
      </w:r>
      <w:r w:rsidR="002F2B52" w:rsidRPr="0049400B">
        <w:t>subparagraphs (</w:t>
      </w:r>
      <w:r w:rsidRPr="0049400B">
        <w:t>a)(i) and (ii) have occurred.</w:t>
      </w:r>
    </w:p>
    <w:p w:rsidR="00F1653F" w:rsidRPr="0049400B" w:rsidRDefault="00F1653F" w:rsidP="00F1653F">
      <w:pPr>
        <w:pStyle w:val="subsection"/>
      </w:pPr>
      <w:r w:rsidRPr="0049400B">
        <w:tab/>
        <w:t>(4)</w:t>
      </w:r>
      <w:r w:rsidRPr="0049400B">
        <w:tab/>
        <w:t>Item</w:t>
      </w:r>
      <w:r w:rsidR="002F2B52" w:rsidRPr="0049400B">
        <w:t> </w:t>
      </w:r>
      <w:r w:rsidRPr="0049400B">
        <w:t xml:space="preserve">4 of the table in </w:t>
      </w:r>
      <w:r w:rsidR="002F2B52" w:rsidRPr="0049400B">
        <w:t>subsection (</w:t>
      </w:r>
      <w:r w:rsidRPr="0049400B">
        <w:t>1) does not apply if the responsible entity is an entity of a ki</w:t>
      </w:r>
      <w:r w:rsidRPr="0049400B">
        <w:rPr>
          <w:color w:val="000000"/>
        </w:rPr>
        <w:t>nd mentioned in guideline</w:t>
      </w:r>
      <w:r w:rsidR="002F2B52" w:rsidRPr="0049400B">
        <w:rPr>
          <w:color w:val="000000"/>
        </w:rPr>
        <w:t> </w:t>
      </w:r>
      <w:r w:rsidRPr="0049400B">
        <w:rPr>
          <w:color w:val="000000"/>
        </w:rPr>
        <w:t xml:space="preserve">14 of the </w:t>
      </w:r>
      <w:r w:rsidRPr="0049400B">
        <w:t>private ancillary fund guidelines.</w:t>
      </w:r>
    </w:p>
    <w:p w:rsidR="00F1653F" w:rsidRPr="0049400B" w:rsidRDefault="00F1653F" w:rsidP="00F1653F">
      <w:pPr>
        <w:pStyle w:val="subsection"/>
      </w:pPr>
      <w:r w:rsidRPr="0049400B">
        <w:tab/>
        <w:t>(5)</w:t>
      </w:r>
      <w:r w:rsidRPr="0049400B">
        <w:tab/>
        <w:t>Items</w:t>
      </w:r>
      <w:r w:rsidR="002F2B52" w:rsidRPr="0049400B">
        <w:t> </w:t>
      </w:r>
      <w:r w:rsidRPr="0049400B">
        <w:t xml:space="preserve">5 and 6 of the table in </w:t>
      </w:r>
      <w:r w:rsidR="002F2B52" w:rsidRPr="0049400B">
        <w:t>subsection (</w:t>
      </w:r>
      <w:r w:rsidRPr="0049400B">
        <w:t>1) do not apply to information that relates to a breach of:</w:t>
      </w:r>
    </w:p>
    <w:p w:rsidR="00F1653F" w:rsidRPr="0049400B" w:rsidRDefault="00F1653F" w:rsidP="00F1653F">
      <w:pPr>
        <w:pStyle w:val="paragraph"/>
      </w:pPr>
      <w:r w:rsidRPr="0049400B">
        <w:tab/>
        <w:t>(a)</w:t>
      </w:r>
      <w:r w:rsidRPr="0049400B">
        <w:tab/>
        <w:t>the Act; or</w:t>
      </w:r>
    </w:p>
    <w:p w:rsidR="00F1653F" w:rsidRPr="0049400B" w:rsidRDefault="00F1653F" w:rsidP="00F1653F">
      <w:pPr>
        <w:pStyle w:val="paragraph"/>
      </w:pPr>
      <w:r w:rsidRPr="0049400B">
        <w:tab/>
        <w:t>(b)</w:t>
      </w:r>
      <w:r w:rsidRPr="0049400B">
        <w:tab/>
        <w:t>a legislative instrument made under the Act; or</w:t>
      </w:r>
    </w:p>
    <w:p w:rsidR="00F1653F" w:rsidRPr="0049400B" w:rsidRDefault="00F1653F" w:rsidP="00F1653F">
      <w:pPr>
        <w:pStyle w:val="paragraph"/>
      </w:pPr>
      <w:r w:rsidRPr="0049400B">
        <w:tab/>
        <w:t>(c)</w:t>
      </w:r>
      <w:r w:rsidRPr="0049400B">
        <w:tab/>
        <w:t>the taxation law.</w:t>
      </w:r>
    </w:p>
    <w:p w:rsidR="005F3684" w:rsidRPr="0049400B" w:rsidRDefault="005F3684" w:rsidP="00DB7352">
      <w:pPr>
        <w:pStyle w:val="ActHead3"/>
        <w:pageBreakBefore/>
      </w:pPr>
      <w:bookmarkStart w:id="16" w:name="_Toc81905164"/>
      <w:r w:rsidRPr="0049400B">
        <w:rPr>
          <w:rStyle w:val="CharDivNo"/>
        </w:rPr>
        <w:t>Division</w:t>
      </w:r>
      <w:r w:rsidR="002F2B52" w:rsidRPr="0049400B">
        <w:rPr>
          <w:rStyle w:val="CharDivNo"/>
        </w:rPr>
        <w:t> </w:t>
      </w:r>
      <w:r w:rsidRPr="0049400B">
        <w:rPr>
          <w:rStyle w:val="CharDivNo"/>
        </w:rPr>
        <w:t>45</w:t>
      </w:r>
      <w:r w:rsidRPr="0049400B">
        <w:t>—</w:t>
      </w:r>
      <w:r w:rsidRPr="0049400B">
        <w:rPr>
          <w:rStyle w:val="CharDivText"/>
        </w:rPr>
        <w:t>Governance standards</w:t>
      </w:r>
      <w:bookmarkEnd w:id="16"/>
    </w:p>
    <w:p w:rsidR="005F3684" w:rsidRPr="0049400B" w:rsidRDefault="005F3684" w:rsidP="005F3684">
      <w:pPr>
        <w:pStyle w:val="ActHead4"/>
      </w:pPr>
      <w:bookmarkStart w:id="17" w:name="_Toc81905165"/>
      <w:r w:rsidRPr="0049400B">
        <w:rPr>
          <w:rStyle w:val="CharSubdNo"/>
        </w:rPr>
        <w:t>Subdivision</w:t>
      </w:r>
      <w:r w:rsidR="002F2B52" w:rsidRPr="0049400B">
        <w:rPr>
          <w:rStyle w:val="CharSubdNo"/>
        </w:rPr>
        <w:t> </w:t>
      </w:r>
      <w:r w:rsidRPr="0049400B">
        <w:rPr>
          <w:rStyle w:val="CharSubdNo"/>
        </w:rPr>
        <w:t>45</w:t>
      </w:r>
      <w:r w:rsidR="0049400B" w:rsidRPr="0049400B">
        <w:rPr>
          <w:rStyle w:val="CharSubdNo"/>
        </w:rPr>
        <w:noBreakHyphen/>
      </w:r>
      <w:r w:rsidRPr="0049400B">
        <w:rPr>
          <w:rStyle w:val="CharSubdNo"/>
        </w:rPr>
        <w:t>A</w:t>
      </w:r>
      <w:r w:rsidRPr="0049400B">
        <w:t>—</w:t>
      </w:r>
      <w:r w:rsidRPr="0049400B">
        <w:rPr>
          <w:rStyle w:val="CharSubdText"/>
        </w:rPr>
        <w:t>Preliminary</w:t>
      </w:r>
      <w:bookmarkEnd w:id="17"/>
    </w:p>
    <w:p w:rsidR="005F3684" w:rsidRPr="0049400B" w:rsidRDefault="005F3684" w:rsidP="005F3684">
      <w:pPr>
        <w:pStyle w:val="ActHead5"/>
      </w:pPr>
      <w:bookmarkStart w:id="18" w:name="_Toc81905166"/>
      <w:r w:rsidRPr="0049400B">
        <w:rPr>
          <w:rStyle w:val="CharSectno"/>
        </w:rPr>
        <w:t>45.1</w:t>
      </w:r>
      <w:r w:rsidRPr="0049400B">
        <w:t xml:space="preserve">  Simplified outline—how the governance standards apply</w:t>
      </w:r>
      <w:bookmarkEnd w:id="18"/>
    </w:p>
    <w:p w:rsidR="005F3684" w:rsidRPr="0049400B" w:rsidRDefault="005F3684" w:rsidP="0057159C">
      <w:pPr>
        <w:pStyle w:val="BoxText"/>
      </w:pPr>
      <w:r w:rsidRPr="0049400B">
        <w:t>The governance standards support registered entities in fulfilling their objectives by providing a minimum level of assurance that they meet community expectations in relation to how a registered entity should be managed.</w:t>
      </w:r>
    </w:p>
    <w:p w:rsidR="005F3684" w:rsidRPr="0049400B" w:rsidRDefault="005F3684" w:rsidP="0057159C">
      <w:pPr>
        <w:pStyle w:val="BoxText"/>
      </w:pPr>
      <w:r w:rsidRPr="0049400B">
        <w:t>Community expectations in relation to governance may include expectations about how a registered entity goes about managing its affairs, the use of public monies, volunteer time and donations provided to it, how the entity manages the risks that it faces, how the entity promotes the effective and responsible use of its resources and how the entity goes about demonstrating that it is operating transparently and for a proper purpose.</w:t>
      </w:r>
    </w:p>
    <w:p w:rsidR="005F3684" w:rsidRPr="0049400B" w:rsidRDefault="005F3684" w:rsidP="0057159C">
      <w:pPr>
        <w:pStyle w:val="BoxText"/>
      </w:pPr>
      <w:r w:rsidRPr="0049400B">
        <w:t>The steps a registered entity will need to take to comply with the governance standards will vary according to its particular circumstances, such as its size, the sources of its funding, the nature of its activities and the needs of the public (including members, donors, employees, volunteers and benefit recipients of the registered entity).</w:t>
      </w:r>
    </w:p>
    <w:p w:rsidR="005F3684" w:rsidRPr="0049400B" w:rsidRDefault="005F3684" w:rsidP="0057159C">
      <w:pPr>
        <w:pStyle w:val="BoxText"/>
      </w:pPr>
      <w:r w:rsidRPr="0049400B">
        <w:t>The compliance obligations, processes and reasonable steps specified in the governance standards are to be interpreted having regard to the objects of the Act and the matters the Commissioner must consider in exercising the Commissioner’s powers as listed in section</w:t>
      </w:r>
      <w:r w:rsidR="002F2B52" w:rsidRPr="0049400B">
        <w:t> </w:t>
      </w:r>
      <w:r w:rsidRPr="0049400B">
        <w:t>15</w:t>
      </w:r>
      <w:r w:rsidR="0049400B">
        <w:noBreakHyphen/>
      </w:r>
      <w:r w:rsidRPr="0049400B">
        <w:t>10 of the Act (in particular, the principles of regulatory necessity, reflecting risk and proportionate regulation, as well as the unique nature and diversity of not</w:t>
      </w:r>
      <w:r w:rsidR="0049400B">
        <w:noBreakHyphen/>
      </w:r>
      <w:r w:rsidRPr="0049400B">
        <w:t>for</w:t>
      </w:r>
      <w:r w:rsidR="0049400B">
        <w:noBreakHyphen/>
      </w:r>
      <w:r w:rsidRPr="0049400B">
        <w:t>profit entities and the distinctive role that they play in Australia).</w:t>
      </w:r>
    </w:p>
    <w:p w:rsidR="005F3684" w:rsidRPr="0049400B" w:rsidRDefault="005F3684" w:rsidP="0057159C">
      <w:pPr>
        <w:pStyle w:val="BoxText"/>
      </w:pPr>
      <w:r w:rsidRPr="0049400B">
        <w:t>The objects of the Act are: to maintain, protect and enhance public trust and confidence in the Australian not</w:t>
      </w:r>
      <w:r w:rsidR="0049400B">
        <w:noBreakHyphen/>
      </w:r>
      <w:r w:rsidRPr="0049400B">
        <w:t>for</w:t>
      </w:r>
      <w:r w:rsidR="0049400B">
        <w:noBreakHyphen/>
      </w:r>
      <w:r w:rsidRPr="0049400B">
        <w:t>profit sector; to support and sustain a robust, vibrant, independent and innovative Australian not</w:t>
      </w:r>
      <w:r w:rsidR="0049400B">
        <w:noBreakHyphen/>
      </w:r>
      <w:r w:rsidRPr="0049400B">
        <w:t>for</w:t>
      </w:r>
      <w:r w:rsidR="0049400B">
        <w:noBreakHyphen/>
      </w:r>
      <w:r w:rsidRPr="0049400B">
        <w:t>profit sector; and to promote the reduction of unnecessary regulatory obligations on the Australian not</w:t>
      </w:r>
      <w:r w:rsidR="0049400B">
        <w:noBreakHyphen/>
      </w:r>
      <w:r w:rsidRPr="0049400B">
        <w:t>for</w:t>
      </w:r>
      <w:r w:rsidR="0049400B">
        <w:noBreakHyphen/>
      </w:r>
      <w:r w:rsidRPr="0049400B">
        <w:t>profit sector.</w:t>
      </w:r>
    </w:p>
    <w:p w:rsidR="005F3684" w:rsidRPr="0049400B" w:rsidRDefault="005F3684" w:rsidP="00FB0530">
      <w:pPr>
        <w:pStyle w:val="BoxText"/>
      </w:pPr>
      <w:r w:rsidRPr="0049400B">
        <w:t>The governance standards also act as a mechanism which may enliven the enforcement powers in Part</w:t>
      </w:r>
      <w:r w:rsidR="002F2B52" w:rsidRPr="0049400B">
        <w:t> </w:t>
      </w:r>
      <w:r w:rsidRPr="0049400B">
        <w:t>4</w:t>
      </w:r>
      <w:r w:rsidR="0049400B">
        <w:noBreakHyphen/>
      </w:r>
      <w:r w:rsidRPr="0049400B">
        <w:t>2 of the Act to help protect and sustain the not</w:t>
      </w:r>
      <w:r w:rsidR="0049400B">
        <w:noBreakHyphen/>
      </w:r>
      <w:r w:rsidRPr="0049400B">
        <w:t>for</w:t>
      </w:r>
      <w:r w:rsidR="0049400B">
        <w:noBreakHyphen/>
      </w:r>
      <w:r w:rsidRPr="0049400B">
        <w:t>profit sector and maintain and enhance public trust and confidence.</w:t>
      </w:r>
    </w:p>
    <w:p w:rsidR="005F3684" w:rsidRPr="0049400B" w:rsidRDefault="005F3684" w:rsidP="005F3684">
      <w:pPr>
        <w:pStyle w:val="ActHead5"/>
      </w:pPr>
      <w:bookmarkStart w:id="19" w:name="_Toc81905167"/>
      <w:r w:rsidRPr="0049400B">
        <w:rPr>
          <w:rStyle w:val="CharSectno"/>
        </w:rPr>
        <w:t>45.2</w:t>
      </w:r>
      <w:r w:rsidRPr="0049400B">
        <w:t xml:space="preserve">  Application</w:t>
      </w:r>
      <w:bookmarkEnd w:id="19"/>
    </w:p>
    <w:p w:rsidR="005F3684" w:rsidRPr="0049400B" w:rsidRDefault="005F3684" w:rsidP="005F3684">
      <w:pPr>
        <w:pStyle w:val="subsection"/>
      </w:pPr>
      <w:r w:rsidRPr="0049400B">
        <w:tab/>
      </w:r>
      <w:r w:rsidRPr="0049400B">
        <w:tab/>
        <w:t>For the purposes of section</w:t>
      </w:r>
      <w:r w:rsidR="002F2B52" w:rsidRPr="0049400B">
        <w:t> </w:t>
      </w:r>
      <w:r w:rsidRPr="0049400B">
        <w:t>45</w:t>
      </w:r>
      <w:r w:rsidR="0049400B">
        <w:noBreakHyphen/>
      </w:r>
      <w:r w:rsidRPr="0049400B">
        <w:t>10 of the Act, the governance standards in Subdivision</w:t>
      </w:r>
      <w:r w:rsidR="002F2B52" w:rsidRPr="0049400B">
        <w:t> </w:t>
      </w:r>
      <w:r w:rsidRPr="0049400B">
        <w:t>45</w:t>
      </w:r>
      <w:r w:rsidR="0049400B">
        <w:noBreakHyphen/>
      </w:r>
      <w:r w:rsidRPr="0049400B">
        <w:t>B are specified.</w:t>
      </w:r>
    </w:p>
    <w:p w:rsidR="005F3684" w:rsidRPr="0049400B" w:rsidRDefault="005F3684" w:rsidP="005F3684">
      <w:pPr>
        <w:pStyle w:val="ActHead5"/>
      </w:pPr>
      <w:bookmarkStart w:id="20" w:name="_Toc81905168"/>
      <w:r w:rsidRPr="0049400B">
        <w:rPr>
          <w:rStyle w:val="CharSectno"/>
        </w:rPr>
        <w:t>45.3</w:t>
      </w:r>
      <w:r w:rsidRPr="0049400B">
        <w:t xml:space="preserve">  Interpretation of governance standards</w:t>
      </w:r>
      <w:bookmarkEnd w:id="20"/>
    </w:p>
    <w:p w:rsidR="005F3684" w:rsidRPr="0049400B" w:rsidRDefault="005F3684" w:rsidP="005F3684">
      <w:pPr>
        <w:pStyle w:val="subsection"/>
      </w:pPr>
      <w:r w:rsidRPr="0049400B">
        <w:tab/>
      </w:r>
      <w:r w:rsidRPr="0049400B">
        <w:tab/>
        <w:t>The governance standards in Subdivision</w:t>
      </w:r>
      <w:r w:rsidR="002F2B52" w:rsidRPr="0049400B">
        <w:t> </w:t>
      </w:r>
      <w:r w:rsidRPr="0049400B">
        <w:t>45</w:t>
      </w:r>
      <w:r w:rsidR="0049400B">
        <w:noBreakHyphen/>
      </w:r>
      <w:r w:rsidRPr="0049400B">
        <w:t>B must be interpreted in a manner that is consistent with the objects of the Act and the requirements of section</w:t>
      </w:r>
      <w:r w:rsidR="002F2B52" w:rsidRPr="0049400B">
        <w:t> </w:t>
      </w:r>
      <w:r w:rsidRPr="0049400B">
        <w:t>15</w:t>
      </w:r>
      <w:r w:rsidR="0049400B">
        <w:noBreakHyphen/>
      </w:r>
      <w:r w:rsidRPr="0049400B">
        <w:t>10 of the Act.</w:t>
      </w:r>
    </w:p>
    <w:p w:rsidR="005F3684" w:rsidRPr="0049400B" w:rsidRDefault="005F3684" w:rsidP="005F3684">
      <w:pPr>
        <w:pStyle w:val="ActHead4"/>
      </w:pPr>
      <w:bookmarkStart w:id="21" w:name="_Toc81905169"/>
      <w:r w:rsidRPr="0049400B">
        <w:rPr>
          <w:rStyle w:val="CharSubdNo"/>
        </w:rPr>
        <w:t>Subdivision</w:t>
      </w:r>
      <w:r w:rsidR="002F2B52" w:rsidRPr="0049400B">
        <w:rPr>
          <w:rStyle w:val="CharSubdNo"/>
        </w:rPr>
        <w:t> </w:t>
      </w:r>
      <w:r w:rsidRPr="0049400B">
        <w:rPr>
          <w:rStyle w:val="CharSubdNo"/>
        </w:rPr>
        <w:t>45</w:t>
      </w:r>
      <w:r w:rsidR="0049400B" w:rsidRPr="0049400B">
        <w:rPr>
          <w:rStyle w:val="CharSubdNo"/>
        </w:rPr>
        <w:noBreakHyphen/>
      </w:r>
      <w:r w:rsidRPr="0049400B">
        <w:rPr>
          <w:rStyle w:val="CharSubdNo"/>
        </w:rPr>
        <w:t>B</w:t>
      </w:r>
      <w:r w:rsidRPr="0049400B">
        <w:t>—</w:t>
      </w:r>
      <w:r w:rsidRPr="0049400B">
        <w:rPr>
          <w:rStyle w:val="CharSubdText"/>
        </w:rPr>
        <w:t>Governance standards</w:t>
      </w:r>
      <w:bookmarkEnd w:id="21"/>
    </w:p>
    <w:p w:rsidR="005F3684" w:rsidRPr="0049400B" w:rsidRDefault="005F3684" w:rsidP="005F3684">
      <w:pPr>
        <w:pStyle w:val="ActHead5"/>
      </w:pPr>
      <w:bookmarkStart w:id="22" w:name="_Toc81905170"/>
      <w:r w:rsidRPr="0049400B">
        <w:rPr>
          <w:rStyle w:val="CharSectno"/>
        </w:rPr>
        <w:t>45.5</w:t>
      </w:r>
      <w:r w:rsidRPr="0049400B">
        <w:t xml:space="preserve">  Governance standard 1—Purposes and not</w:t>
      </w:r>
      <w:r w:rsidR="0049400B">
        <w:noBreakHyphen/>
      </w:r>
      <w:r w:rsidRPr="0049400B">
        <w:t>for</w:t>
      </w:r>
      <w:r w:rsidR="0049400B">
        <w:noBreakHyphen/>
      </w:r>
      <w:r w:rsidRPr="0049400B">
        <w:t>profit nature of a registered entity</w:t>
      </w:r>
      <w:bookmarkEnd w:id="22"/>
    </w:p>
    <w:p w:rsidR="005F3684" w:rsidRPr="0049400B" w:rsidRDefault="005F3684" w:rsidP="005F3684">
      <w:pPr>
        <w:pStyle w:val="SubsectionHead"/>
      </w:pPr>
      <w:r w:rsidRPr="0049400B">
        <w:t>Object</w:t>
      </w:r>
    </w:p>
    <w:p w:rsidR="005F3684" w:rsidRPr="0049400B" w:rsidRDefault="005F3684" w:rsidP="005F3684">
      <w:pPr>
        <w:pStyle w:val="subsection"/>
      </w:pPr>
      <w:r w:rsidRPr="0049400B">
        <w:tab/>
        <w:t>(1)</w:t>
      </w:r>
      <w:r w:rsidRPr="0049400B">
        <w:tab/>
        <w:t>The object of this governance standard is:</w:t>
      </w:r>
    </w:p>
    <w:p w:rsidR="005F3684" w:rsidRPr="0049400B" w:rsidRDefault="005F3684" w:rsidP="005F3684">
      <w:pPr>
        <w:pStyle w:val="paragraph"/>
      </w:pPr>
      <w:r w:rsidRPr="0049400B">
        <w:tab/>
        <w:t>(a)</w:t>
      </w:r>
      <w:r w:rsidRPr="0049400B">
        <w:tab/>
        <w:t>to commit a registered entity, its members and its responsible entities to the registered entity’s purposes; and</w:t>
      </w:r>
    </w:p>
    <w:p w:rsidR="005F3684" w:rsidRPr="0049400B" w:rsidRDefault="005F3684" w:rsidP="005F3684">
      <w:pPr>
        <w:pStyle w:val="paragraph"/>
      </w:pPr>
      <w:r w:rsidRPr="0049400B">
        <w:tab/>
        <w:t>(b)</w:t>
      </w:r>
      <w:r w:rsidRPr="0049400B">
        <w:tab/>
        <w:t>to give the public, including members, donors, employees, volunteers and benefit recipients of the registered entity, confidence that the registered entity is acting to further its purposes.</w:t>
      </w:r>
    </w:p>
    <w:p w:rsidR="005F3684" w:rsidRPr="0049400B" w:rsidRDefault="005F3684" w:rsidP="005F3684">
      <w:pPr>
        <w:pStyle w:val="SubsectionHead"/>
      </w:pPr>
      <w:r w:rsidRPr="0049400B">
        <w:t>Standard</w:t>
      </w:r>
    </w:p>
    <w:p w:rsidR="005F3684" w:rsidRPr="0049400B" w:rsidRDefault="005F3684" w:rsidP="005F3684">
      <w:pPr>
        <w:pStyle w:val="subsection"/>
      </w:pPr>
      <w:r w:rsidRPr="0049400B">
        <w:tab/>
        <w:t>(2)</w:t>
      </w:r>
      <w:r w:rsidRPr="0049400B">
        <w:tab/>
        <w:t>A registered entity must:</w:t>
      </w:r>
    </w:p>
    <w:p w:rsidR="005F3684" w:rsidRPr="0049400B" w:rsidRDefault="005F3684" w:rsidP="005F3684">
      <w:pPr>
        <w:pStyle w:val="paragraph"/>
      </w:pPr>
      <w:r w:rsidRPr="0049400B">
        <w:tab/>
        <w:t>(a)</w:t>
      </w:r>
      <w:r w:rsidRPr="0049400B">
        <w:tab/>
        <w:t>be able to demonstrate, by reference to the governing rules of the entity or by other means, its purposes and its character as a not</w:t>
      </w:r>
      <w:r w:rsidR="0049400B">
        <w:noBreakHyphen/>
      </w:r>
      <w:r w:rsidRPr="0049400B">
        <w:t>for</w:t>
      </w:r>
      <w:r w:rsidR="0049400B">
        <w:noBreakHyphen/>
      </w:r>
      <w:r w:rsidRPr="0049400B">
        <w:t>profit entity; and</w:t>
      </w:r>
    </w:p>
    <w:p w:rsidR="005F3684" w:rsidRPr="0049400B" w:rsidRDefault="005F3684" w:rsidP="005F3684">
      <w:pPr>
        <w:pStyle w:val="paragraph"/>
      </w:pPr>
      <w:r w:rsidRPr="0049400B">
        <w:tab/>
        <w:t>(b)</w:t>
      </w:r>
      <w:r w:rsidRPr="0049400B">
        <w:tab/>
        <w:t>make information about its purposes available to the public, including members, donors, employees, volunteers and benefit recipients; and</w:t>
      </w:r>
    </w:p>
    <w:p w:rsidR="005F3684" w:rsidRPr="0049400B" w:rsidRDefault="005F3684" w:rsidP="005F3684">
      <w:pPr>
        <w:pStyle w:val="paragraph"/>
      </w:pPr>
      <w:r w:rsidRPr="0049400B">
        <w:tab/>
        <w:t>(c)</w:t>
      </w:r>
      <w:r w:rsidRPr="0049400B">
        <w:tab/>
        <w:t>comply with its purposes and its character as a not</w:t>
      </w:r>
      <w:r w:rsidR="0049400B">
        <w:noBreakHyphen/>
      </w:r>
      <w:r w:rsidRPr="0049400B">
        <w:t>for</w:t>
      </w:r>
      <w:r w:rsidR="0049400B">
        <w:noBreakHyphen/>
      </w:r>
      <w:r w:rsidRPr="0049400B">
        <w:t>profit entity.</w:t>
      </w:r>
    </w:p>
    <w:p w:rsidR="005F3684" w:rsidRPr="0049400B" w:rsidRDefault="005F3684" w:rsidP="005F3684">
      <w:pPr>
        <w:pStyle w:val="notetext"/>
      </w:pPr>
      <w:r w:rsidRPr="0049400B">
        <w:t>Note:</w:t>
      </w:r>
      <w:r w:rsidRPr="0049400B">
        <w:tab/>
        <w:t>Information in relation to the purposes of a registered entity would be available to the public if it appears on the Australian Charities and Not</w:t>
      </w:r>
      <w:r w:rsidR="0049400B">
        <w:noBreakHyphen/>
      </w:r>
      <w:r w:rsidRPr="0049400B">
        <w:t>for</w:t>
      </w:r>
      <w:r w:rsidR="0049400B">
        <w:noBreakHyphen/>
      </w:r>
      <w:r w:rsidRPr="0049400B">
        <w:t>profits Register or in an Australian law on www.comlaw.gov.au or www.austlii.edu.au, or is otherwise made available on request.</w:t>
      </w:r>
    </w:p>
    <w:p w:rsidR="005F3684" w:rsidRPr="0049400B" w:rsidRDefault="005F3684" w:rsidP="005F3684">
      <w:pPr>
        <w:pStyle w:val="ActHead5"/>
      </w:pPr>
      <w:bookmarkStart w:id="23" w:name="_Toc81905171"/>
      <w:r w:rsidRPr="0049400B">
        <w:rPr>
          <w:rStyle w:val="CharSectno"/>
        </w:rPr>
        <w:t>45.10</w:t>
      </w:r>
      <w:r w:rsidRPr="0049400B">
        <w:t xml:space="preserve">  Governance standard 2—Accountability to members</w:t>
      </w:r>
      <w:bookmarkEnd w:id="23"/>
    </w:p>
    <w:p w:rsidR="005F3684" w:rsidRPr="0049400B" w:rsidRDefault="005F3684" w:rsidP="005F3684">
      <w:pPr>
        <w:pStyle w:val="SubsectionHead"/>
      </w:pPr>
      <w:r w:rsidRPr="0049400B">
        <w:t>Object</w:t>
      </w:r>
    </w:p>
    <w:p w:rsidR="005F3684" w:rsidRPr="0049400B" w:rsidRDefault="005F3684" w:rsidP="005F3684">
      <w:pPr>
        <w:pStyle w:val="subsection"/>
      </w:pPr>
      <w:r w:rsidRPr="0049400B">
        <w:tab/>
        <w:t>(1)</w:t>
      </w:r>
      <w:r w:rsidRPr="0049400B">
        <w:tab/>
        <w:t>The object of this governance standard is to ensure the accountability and transparency of a registered entity to its members.</w:t>
      </w:r>
    </w:p>
    <w:p w:rsidR="005F3684" w:rsidRPr="0049400B" w:rsidRDefault="005F3684" w:rsidP="005F3684">
      <w:pPr>
        <w:pStyle w:val="SubsectionHead"/>
      </w:pPr>
      <w:r w:rsidRPr="0049400B">
        <w:t>Standard</w:t>
      </w:r>
    </w:p>
    <w:p w:rsidR="005F3684" w:rsidRPr="0049400B" w:rsidRDefault="005F3684" w:rsidP="005F3684">
      <w:pPr>
        <w:pStyle w:val="subsection"/>
      </w:pPr>
      <w:r w:rsidRPr="0049400B">
        <w:tab/>
        <w:t>(2)</w:t>
      </w:r>
      <w:r w:rsidRPr="0049400B">
        <w:tab/>
        <w:t>A registered entity that has members must take reasonable steps to ensure that:</w:t>
      </w:r>
    </w:p>
    <w:p w:rsidR="005F3684" w:rsidRPr="0049400B" w:rsidRDefault="005F3684" w:rsidP="005F3684">
      <w:pPr>
        <w:pStyle w:val="paragraph"/>
      </w:pPr>
      <w:r w:rsidRPr="0049400B">
        <w:tab/>
        <w:t>(a)</w:t>
      </w:r>
      <w:r w:rsidRPr="0049400B">
        <w:tab/>
        <w:t>the registered entity is accountable to its members; and</w:t>
      </w:r>
    </w:p>
    <w:p w:rsidR="005F3684" w:rsidRPr="0049400B" w:rsidRDefault="005F3684" w:rsidP="005F3684">
      <w:pPr>
        <w:pStyle w:val="paragraph"/>
      </w:pPr>
      <w:r w:rsidRPr="0049400B">
        <w:tab/>
        <w:t>(b)</w:t>
      </w:r>
      <w:r w:rsidRPr="0049400B">
        <w:tab/>
        <w:t>the registered entity’s members have an adequate opportunity to raise concerns about the governance of the registered entity.</w:t>
      </w:r>
    </w:p>
    <w:p w:rsidR="005F3684" w:rsidRPr="0049400B" w:rsidRDefault="005F3684" w:rsidP="005F3684">
      <w:pPr>
        <w:pStyle w:val="notetext"/>
      </w:pPr>
      <w:r w:rsidRPr="0049400B">
        <w:t>Note 1:</w:t>
      </w:r>
      <w:r w:rsidRPr="0049400B">
        <w:tab/>
        <w:t>The steps that a registered entity may take to ensure that it is accountable to its members could include:</w:t>
      </w:r>
    </w:p>
    <w:p w:rsidR="005F3684" w:rsidRPr="0049400B" w:rsidRDefault="005F3684" w:rsidP="005F3684">
      <w:pPr>
        <w:pStyle w:val="notepara"/>
      </w:pPr>
      <w:r w:rsidRPr="0049400B">
        <w:t>(a)</w:t>
      </w:r>
      <w:r w:rsidRPr="0049400B">
        <w:tab/>
        <w:t>holding annual general meetings; and</w:t>
      </w:r>
    </w:p>
    <w:p w:rsidR="005F3684" w:rsidRPr="0049400B" w:rsidRDefault="005F3684" w:rsidP="005F3684">
      <w:pPr>
        <w:pStyle w:val="notepara"/>
      </w:pPr>
      <w:r w:rsidRPr="0049400B">
        <w:t>(b)</w:t>
      </w:r>
      <w:r w:rsidRPr="0049400B">
        <w:tab/>
        <w:t>providing members with an annual report (including financial information and achievements towards its purpose); and</w:t>
      </w:r>
    </w:p>
    <w:p w:rsidR="005F3684" w:rsidRPr="0049400B" w:rsidRDefault="005F3684" w:rsidP="005F3684">
      <w:pPr>
        <w:pStyle w:val="notepara"/>
      </w:pPr>
      <w:r w:rsidRPr="0049400B">
        <w:t>(c)</w:t>
      </w:r>
      <w:r w:rsidRPr="0049400B">
        <w:tab/>
        <w:t>providing for elections for its responsible entities.</w:t>
      </w:r>
    </w:p>
    <w:p w:rsidR="005F3684" w:rsidRPr="0049400B" w:rsidRDefault="005F3684" w:rsidP="005F3684">
      <w:pPr>
        <w:pStyle w:val="notetext"/>
      </w:pPr>
      <w:r w:rsidRPr="0049400B">
        <w:t>Note 2:</w:t>
      </w:r>
      <w:r w:rsidRPr="0049400B">
        <w:tab/>
        <w:t>The steps that a registered entity may take to ensure its members have an adequate opportunity to raise concerns could include:</w:t>
      </w:r>
    </w:p>
    <w:p w:rsidR="005F3684" w:rsidRPr="0049400B" w:rsidRDefault="005F3684" w:rsidP="005F3684">
      <w:pPr>
        <w:pStyle w:val="notepara"/>
      </w:pPr>
      <w:r w:rsidRPr="0049400B">
        <w:t>(a)</w:t>
      </w:r>
      <w:r w:rsidRPr="0049400B">
        <w:tab/>
        <w:t>holding an annual general meeting with a question and answer session; and</w:t>
      </w:r>
    </w:p>
    <w:p w:rsidR="005F3684" w:rsidRPr="0049400B" w:rsidRDefault="005F3684" w:rsidP="005F3684">
      <w:pPr>
        <w:pStyle w:val="notepara"/>
      </w:pPr>
      <w:r w:rsidRPr="0049400B">
        <w:t>(b)</w:t>
      </w:r>
      <w:r w:rsidRPr="0049400B">
        <w:tab/>
        <w:t>providing an opportunity for members to propose resolutions and to vote upon those resolutions.</w:t>
      </w:r>
    </w:p>
    <w:p w:rsidR="005F3684" w:rsidRPr="0049400B" w:rsidRDefault="005F3684" w:rsidP="005F3684">
      <w:pPr>
        <w:pStyle w:val="notetext"/>
      </w:pPr>
      <w:r w:rsidRPr="0049400B">
        <w:t>Note 3:</w:t>
      </w:r>
      <w:r w:rsidRPr="0049400B">
        <w:tab/>
        <w:t>When taking the reasonable steps required by governance standard 2, regard must be had to requirements of the governing rules of the registered entity, to the extent that those governing rules include appropriate accountability mechanisms. If those governing rules include appropriate accountability mechanisms, compliance with those rules would demonstrate compliance with governance standard</w:t>
      </w:r>
      <w:r w:rsidR="0031535A" w:rsidRPr="0049400B">
        <w:t> </w:t>
      </w:r>
      <w:r w:rsidRPr="0049400B">
        <w:t>2.</w:t>
      </w:r>
    </w:p>
    <w:p w:rsidR="005F3684" w:rsidRPr="0049400B" w:rsidRDefault="005F3684" w:rsidP="005F3684">
      <w:pPr>
        <w:pStyle w:val="notetext"/>
      </w:pPr>
      <w:r w:rsidRPr="0049400B">
        <w:t>Note 4:</w:t>
      </w:r>
      <w:r w:rsidRPr="0049400B">
        <w:tab/>
      </w:r>
      <w:r w:rsidR="001E4BB9" w:rsidRPr="0049400B">
        <w:t>Subdivision 6</w:t>
      </w:r>
      <w:r w:rsidRPr="0049400B">
        <w:t>0</w:t>
      </w:r>
      <w:r w:rsidR="0049400B">
        <w:noBreakHyphen/>
      </w:r>
      <w:r w:rsidRPr="0049400B">
        <w:t>C of the Act sets out rules about the preparation of annual financial reports.</w:t>
      </w:r>
    </w:p>
    <w:p w:rsidR="005F3684" w:rsidRPr="0049400B" w:rsidRDefault="005F3684" w:rsidP="005F3684">
      <w:pPr>
        <w:pStyle w:val="ActHead5"/>
      </w:pPr>
      <w:bookmarkStart w:id="24" w:name="_Toc81905172"/>
      <w:r w:rsidRPr="0049400B">
        <w:rPr>
          <w:rStyle w:val="CharSectno"/>
        </w:rPr>
        <w:t>45.15</w:t>
      </w:r>
      <w:r w:rsidRPr="0049400B">
        <w:t xml:space="preserve">  Governance standard 3—Compliance with Australian laws</w:t>
      </w:r>
      <w:bookmarkEnd w:id="24"/>
    </w:p>
    <w:p w:rsidR="005F3684" w:rsidRPr="0049400B" w:rsidRDefault="005F3684" w:rsidP="005F3684">
      <w:pPr>
        <w:pStyle w:val="SubsectionHead"/>
      </w:pPr>
      <w:r w:rsidRPr="0049400B">
        <w:t>Object</w:t>
      </w:r>
    </w:p>
    <w:p w:rsidR="005F3684" w:rsidRPr="0049400B" w:rsidRDefault="005F3684" w:rsidP="005F3684">
      <w:pPr>
        <w:pStyle w:val="subsection"/>
      </w:pPr>
      <w:r w:rsidRPr="0049400B">
        <w:tab/>
        <w:t>(1)</w:t>
      </w:r>
      <w:r w:rsidRPr="0049400B">
        <w:tab/>
        <w:t>The object of this governance standard is to give the public (including members, donors, employees, volunteers and benefit recipients of a registered entity) trust and confidence that a registered entity is governed in a way that ensures its on</w:t>
      </w:r>
      <w:r w:rsidR="0049400B">
        <w:noBreakHyphen/>
      </w:r>
      <w:r w:rsidRPr="0049400B">
        <w:t>going operations and the safety of its assets, through compliance with Australian laws (including preventing the misuse of its assets).</w:t>
      </w:r>
    </w:p>
    <w:p w:rsidR="005F3684" w:rsidRPr="0049400B" w:rsidRDefault="005F3684" w:rsidP="005F3684">
      <w:pPr>
        <w:pStyle w:val="notetext"/>
      </w:pPr>
      <w:r w:rsidRPr="0049400B">
        <w:t>Note:</w:t>
      </w:r>
      <w:r w:rsidRPr="0049400B">
        <w:tab/>
        <w:t>Compliance with Australian laws sets a minimum benchmark by which all entities should govern themselves. A failure by a registered entity to comply with an Australian law puts the public (including members, donors, employees, volunteers and benefit recipients of the registered entity) at risk and, therefore, governance standard 3 allows the Commissioner to take a proportionate approach to:</w:t>
      </w:r>
    </w:p>
    <w:p w:rsidR="005F3684" w:rsidRPr="0049400B" w:rsidRDefault="005F3684" w:rsidP="005F3684">
      <w:pPr>
        <w:pStyle w:val="notepara"/>
      </w:pPr>
      <w:r w:rsidRPr="0049400B">
        <w:t>(a)</w:t>
      </w:r>
      <w:r w:rsidRPr="0049400B">
        <w:tab/>
        <w:t>protect public trust and confidence; and</w:t>
      </w:r>
    </w:p>
    <w:p w:rsidR="005F3684" w:rsidRPr="0049400B" w:rsidRDefault="005F3684" w:rsidP="005F3684">
      <w:pPr>
        <w:pStyle w:val="notepara"/>
      </w:pPr>
      <w:r w:rsidRPr="0049400B">
        <w:t>(b)</w:t>
      </w:r>
      <w:r w:rsidRPr="0049400B">
        <w:tab/>
        <w:t>protect the assets of the registered entity; and</w:t>
      </w:r>
    </w:p>
    <w:p w:rsidR="005F3684" w:rsidRPr="0049400B" w:rsidRDefault="005F3684" w:rsidP="005F3684">
      <w:pPr>
        <w:pStyle w:val="notepara"/>
      </w:pPr>
      <w:r w:rsidRPr="0049400B">
        <w:t>(c)</w:t>
      </w:r>
      <w:r w:rsidRPr="0049400B">
        <w:tab/>
        <w:t>ensure that the registered entity continues to operate in a manner that is sustainable and consistent with its purposes.</w:t>
      </w:r>
    </w:p>
    <w:p w:rsidR="005F3684" w:rsidRPr="0049400B" w:rsidRDefault="005F3684" w:rsidP="005F3684">
      <w:pPr>
        <w:pStyle w:val="SubsectionHead"/>
      </w:pPr>
      <w:r w:rsidRPr="0049400B">
        <w:t>Standard</w:t>
      </w:r>
    </w:p>
    <w:p w:rsidR="005F3684" w:rsidRPr="0049400B" w:rsidRDefault="005F3684" w:rsidP="005F3684">
      <w:pPr>
        <w:pStyle w:val="subsection"/>
      </w:pPr>
      <w:r w:rsidRPr="0049400B">
        <w:tab/>
        <w:t>(2)</w:t>
      </w:r>
      <w:r w:rsidRPr="0049400B">
        <w:tab/>
        <w:t>A registered entity must not engage in conduct, or omit to engage in conduct, if the conduct or omission may be dealt with:</w:t>
      </w:r>
    </w:p>
    <w:p w:rsidR="005F3684" w:rsidRPr="0049400B" w:rsidRDefault="005F3684" w:rsidP="005F3684">
      <w:pPr>
        <w:pStyle w:val="paragraph"/>
      </w:pPr>
      <w:r w:rsidRPr="0049400B">
        <w:tab/>
        <w:t>(a)</w:t>
      </w:r>
      <w:r w:rsidRPr="0049400B">
        <w:tab/>
        <w:t>as an indictable offence under an Australian law (even if it may, in some circumstances, be dealt with as a summary offence); or</w:t>
      </w:r>
    </w:p>
    <w:p w:rsidR="005F3684" w:rsidRPr="0049400B" w:rsidRDefault="005F3684" w:rsidP="005F3684">
      <w:pPr>
        <w:pStyle w:val="paragraph"/>
      </w:pPr>
      <w:r w:rsidRPr="0049400B">
        <w:tab/>
        <w:t>(b)</w:t>
      </w:r>
      <w:r w:rsidRPr="0049400B">
        <w:tab/>
        <w:t>by way of a civil penalty of 60 penalty units or more.</w:t>
      </w:r>
    </w:p>
    <w:p w:rsidR="005F3684" w:rsidRPr="0049400B" w:rsidRDefault="005F3684" w:rsidP="005F3684">
      <w:pPr>
        <w:pStyle w:val="notetext"/>
      </w:pPr>
      <w:r w:rsidRPr="0049400B">
        <w:t>Note 1:</w:t>
      </w:r>
      <w:r w:rsidRPr="0049400B">
        <w:tab/>
        <w:t>See section</w:t>
      </w:r>
      <w:r w:rsidR="002F2B52" w:rsidRPr="0049400B">
        <w:t> </w:t>
      </w:r>
      <w:r w:rsidRPr="0049400B">
        <w:t xml:space="preserve">4AA of the </w:t>
      </w:r>
      <w:r w:rsidRPr="0049400B">
        <w:rPr>
          <w:i/>
        </w:rPr>
        <w:t>Crimes Act 1914</w:t>
      </w:r>
      <w:r w:rsidRPr="0049400B">
        <w:t xml:space="preserve"> for the current value of a penalty unit.</w:t>
      </w:r>
    </w:p>
    <w:p w:rsidR="005F3684" w:rsidRPr="0049400B" w:rsidRDefault="005F3684" w:rsidP="005F3684">
      <w:pPr>
        <w:pStyle w:val="notetext"/>
      </w:pPr>
      <w:r w:rsidRPr="0049400B">
        <w:t>Note 2:</w:t>
      </w:r>
      <w:r w:rsidRPr="0049400B">
        <w:tab/>
        <w:t>Governance standard 3 does not extend Australian law to overseas jurisdictions. An Australian law may already extend to an overseas jurisdiction by other means.</w:t>
      </w:r>
    </w:p>
    <w:p w:rsidR="005F3684" w:rsidRPr="0049400B" w:rsidRDefault="005F3684" w:rsidP="005F3684">
      <w:pPr>
        <w:pStyle w:val="notetext"/>
      </w:pPr>
      <w:r w:rsidRPr="0049400B">
        <w:t>Note 3:</w:t>
      </w:r>
      <w:r w:rsidRPr="0049400B">
        <w:tab/>
        <w:t>While a registered entity must comply with all Australian laws, a serious infringement of an Australian law covered by governance standard 3 may allow the Commissioner to exercise his or her enforcement powers under Part</w:t>
      </w:r>
      <w:r w:rsidR="002F2B52" w:rsidRPr="0049400B">
        <w:t> </w:t>
      </w:r>
      <w:r w:rsidRPr="0049400B">
        <w:t>4</w:t>
      </w:r>
      <w:r w:rsidR="0049400B">
        <w:noBreakHyphen/>
      </w:r>
      <w:r w:rsidRPr="0049400B">
        <w:t>2 of the Act, following consideration of the matters mentioned in subsection</w:t>
      </w:r>
      <w:r w:rsidR="002F2B52" w:rsidRPr="0049400B">
        <w:t> </w:t>
      </w:r>
      <w:r w:rsidRPr="0049400B">
        <w:t>35</w:t>
      </w:r>
      <w:r w:rsidR="0049400B">
        <w:noBreakHyphen/>
      </w:r>
      <w:r w:rsidRPr="0049400B">
        <w:t>10(2) of the Act.</w:t>
      </w:r>
    </w:p>
    <w:p w:rsidR="005F3684" w:rsidRPr="0049400B" w:rsidRDefault="005F3684" w:rsidP="005F3684">
      <w:pPr>
        <w:pStyle w:val="ActHead5"/>
      </w:pPr>
      <w:bookmarkStart w:id="25" w:name="_Toc81905173"/>
      <w:r w:rsidRPr="0049400B">
        <w:rPr>
          <w:rStyle w:val="CharSectno"/>
        </w:rPr>
        <w:t>45.20</w:t>
      </w:r>
      <w:r w:rsidRPr="0049400B">
        <w:t xml:space="preserve">  Governance standard 4—Suitability of responsible entities</w:t>
      </w:r>
      <w:bookmarkEnd w:id="25"/>
    </w:p>
    <w:p w:rsidR="005F3684" w:rsidRPr="0049400B" w:rsidRDefault="005F3684" w:rsidP="005F3684">
      <w:pPr>
        <w:pStyle w:val="SubsectionHead"/>
      </w:pPr>
      <w:r w:rsidRPr="0049400B">
        <w:t>Object</w:t>
      </w:r>
    </w:p>
    <w:p w:rsidR="005F3684" w:rsidRPr="0049400B" w:rsidRDefault="005F3684" w:rsidP="005F3684">
      <w:pPr>
        <w:pStyle w:val="subsection"/>
      </w:pPr>
      <w:r w:rsidRPr="0049400B">
        <w:tab/>
        <w:t>(1)</w:t>
      </w:r>
      <w:r w:rsidRPr="0049400B">
        <w:tab/>
        <w:t>The object of this governance standard is to maintain, protect and enhance public trust and confidence in the governance and operation of a registered entity.</w:t>
      </w:r>
    </w:p>
    <w:p w:rsidR="005F3684" w:rsidRPr="0049400B" w:rsidRDefault="005F3684" w:rsidP="005F3684">
      <w:pPr>
        <w:pStyle w:val="SubsectionHead"/>
      </w:pPr>
      <w:r w:rsidRPr="0049400B">
        <w:t>Standard</w:t>
      </w:r>
    </w:p>
    <w:p w:rsidR="005F3684" w:rsidRPr="0049400B" w:rsidRDefault="005F3684" w:rsidP="005F3684">
      <w:pPr>
        <w:pStyle w:val="subsection"/>
      </w:pPr>
      <w:r w:rsidRPr="0049400B">
        <w:tab/>
        <w:t>(2)</w:t>
      </w:r>
      <w:r w:rsidRPr="0049400B">
        <w:tab/>
        <w:t>A registered entity must:</w:t>
      </w:r>
    </w:p>
    <w:p w:rsidR="005F3684" w:rsidRPr="0049400B" w:rsidRDefault="005F3684" w:rsidP="005F3684">
      <w:pPr>
        <w:pStyle w:val="paragraph"/>
      </w:pPr>
      <w:r w:rsidRPr="0049400B">
        <w:tab/>
        <w:t>(a)</w:t>
      </w:r>
      <w:r w:rsidRPr="0049400B">
        <w:tab/>
        <w:t xml:space="preserve">take reasonable steps to ensure that each of its responsible entities meet the conditions mentioned in </w:t>
      </w:r>
      <w:r w:rsidR="002F2B52" w:rsidRPr="0049400B">
        <w:t>subsection (</w:t>
      </w:r>
      <w:r w:rsidRPr="0049400B">
        <w:t>3); and</w:t>
      </w:r>
    </w:p>
    <w:p w:rsidR="005F3684" w:rsidRPr="0049400B" w:rsidRDefault="005F3684" w:rsidP="005F3684">
      <w:pPr>
        <w:pStyle w:val="paragraph"/>
      </w:pPr>
      <w:r w:rsidRPr="0049400B">
        <w:tab/>
        <w:t>(b)</w:t>
      </w:r>
      <w:r w:rsidRPr="0049400B">
        <w:tab/>
        <w:t>after taking those steps:</w:t>
      </w:r>
    </w:p>
    <w:p w:rsidR="005F3684" w:rsidRPr="0049400B" w:rsidRDefault="005F3684" w:rsidP="005F3684">
      <w:pPr>
        <w:pStyle w:val="paragraphsub"/>
      </w:pPr>
      <w:r w:rsidRPr="0049400B">
        <w:tab/>
        <w:t>(i)</w:t>
      </w:r>
      <w:r w:rsidRPr="0049400B">
        <w:tab/>
        <w:t>be, and remain, satisfied that each responsible entity meets the conditions; or</w:t>
      </w:r>
    </w:p>
    <w:p w:rsidR="005F3684" w:rsidRPr="0049400B" w:rsidRDefault="005F3684" w:rsidP="005F3684">
      <w:pPr>
        <w:pStyle w:val="paragraphsub"/>
      </w:pPr>
      <w:r w:rsidRPr="0049400B">
        <w:tab/>
        <w:t>(ii)</w:t>
      </w:r>
      <w:r w:rsidRPr="0049400B">
        <w:tab/>
        <w:t>if it is unable to be, or remain, satisfied that a responsible entity meets the conditions, take reasonable steps to remove that entity.</w:t>
      </w:r>
    </w:p>
    <w:p w:rsidR="005F3684" w:rsidRPr="0049400B" w:rsidRDefault="005F3684" w:rsidP="005F3684">
      <w:pPr>
        <w:pStyle w:val="notetext"/>
      </w:pPr>
      <w:r w:rsidRPr="0049400B">
        <w:t>Note 1:</w:t>
      </w:r>
      <w:r w:rsidRPr="0049400B">
        <w:tab/>
        <w:t>Other Australian laws may require responsible entities to be replaced, if removed, because a registered entity may need to have a minimum number of responsible entities.</w:t>
      </w:r>
    </w:p>
    <w:p w:rsidR="005F3684" w:rsidRPr="0049400B" w:rsidRDefault="005F3684" w:rsidP="005F3684">
      <w:pPr>
        <w:pStyle w:val="notetext"/>
      </w:pPr>
      <w:r w:rsidRPr="0049400B">
        <w:t>Note 2:</w:t>
      </w:r>
      <w:r w:rsidRPr="0049400B">
        <w:tab/>
        <w:t>The reasonable steps required of a registered entity may include:</w:t>
      </w:r>
    </w:p>
    <w:p w:rsidR="005F3684" w:rsidRPr="0049400B" w:rsidRDefault="005F3684" w:rsidP="005F3684">
      <w:pPr>
        <w:pStyle w:val="notepara"/>
      </w:pPr>
      <w:r w:rsidRPr="0049400B">
        <w:t>(a)</w:t>
      </w:r>
      <w:r w:rsidRPr="0049400B">
        <w:tab/>
        <w:t>obtaining declarations from responsible entities and searching public registers on appointment; and</w:t>
      </w:r>
    </w:p>
    <w:p w:rsidR="005F3684" w:rsidRPr="0049400B" w:rsidRDefault="005F3684" w:rsidP="005F3684">
      <w:pPr>
        <w:pStyle w:val="notepara"/>
      </w:pPr>
      <w:r w:rsidRPr="0049400B">
        <w:t>(b)</w:t>
      </w:r>
      <w:r w:rsidRPr="0049400B">
        <w:tab/>
        <w:t>obtaining a commitment from a responsible entity that, if its circumstances change, it will advise the registered entity.</w:t>
      </w:r>
    </w:p>
    <w:p w:rsidR="005F3684" w:rsidRPr="0049400B" w:rsidRDefault="005F3684" w:rsidP="005F3684">
      <w:pPr>
        <w:pStyle w:val="subsection"/>
      </w:pPr>
      <w:r w:rsidRPr="0049400B">
        <w:tab/>
        <w:t>(3)</w:t>
      </w:r>
      <w:r w:rsidRPr="0049400B">
        <w:tab/>
        <w:t xml:space="preserve">Subject to </w:t>
      </w:r>
      <w:r w:rsidR="002F2B52" w:rsidRPr="0049400B">
        <w:t>subsection (</w:t>
      </w:r>
      <w:r w:rsidRPr="0049400B">
        <w:t>5), the conditions for each responsible entity are that:</w:t>
      </w:r>
    </w:p>
    <w:p w:rsidR="005F3684" w:rsidRPr="0049400B" w:rsidRDefault="005F3684" w:rsidP="005F3684">
      <w:pPr>
        <w:pStyle w:val="paragraph"/>
      </w:pPr>
      <w:r w:rsidRPr="0049400B">
        <w:tab/>
        <w:t>(a)</w:t>
      </w:r>
      <w:r w:rsidRPr="0049400B">
        <w:tab/>
        <w:t xml:space="preserve">it is not disqualified from managing a corporation, within the meaning of the </w:t>
      </w:r>
      <w:r w:rsidRPr="0049400B">
        <w:rPr>
          <w:i/>
        </w:rPr>
        <w:t>Corporations Act 2001</w:t>
      </w:r>
      <w:r w:rsidRPr="0049400B">
        <w:t>; and</w:t>
      </w:r>
    </w:p>
    <w:p w:rsidR="005F3684" w:rsidRPr="0049400B" w:rsidRDefault="005F3684" w:rsidP="005F3684">
      <w:pPr>
        <w:pStyle w:val="paragraph"/>
      </w:pPr>
      <w:r w:rsidRPr="0049400B">
        <w:tab/>
        <w:t>(b)</w:t>
      </w:r>
      <w:r w:rsidRPr="0049400B">
        <w:tab/>
        <w:t xml:space="preserve">it is not disqualified by the Commissioner, at any time during the preceding 12 months, from being a responsible entity of a registered entity under </w:t>
      </w:r>
      <w:r w:rsidR="002F2B52" w:rsidRPr="0049400B">
        <w:t>subsection (</w:t>
      </w:r>
      <w:r w:rsidRPr="0049400B">
        <w:t>4).</w:t>
      </w:r>
    </w:p>
    <w:p w:rsidR="005F3684" w:rsidRPr="0049400B" w:rsidRDefault="005F3684" w:rsidP="005F3684">
      <w:pPr>
        <w:pStyle w:val="notetext"/>
      </w:pPr>
      <w:r w:rsidRPr="0049400B">
        <w:t>Note:</w:t>
      </w:r>
      <w:r w:rsidRPr="0049400B">
        <w:tab/>
        <w:t>Other Australian laws may place other limitations on who may be the responsible entity of a registered entity, or a particular type of registered entity.</w:t>
      </w:r>
    </w:p>
    <w:p w:rsidR="005F3684" w:rsidRPr="0049400B" w:rsidRDefault="005F3684" w:rsidP="005F3684">
      <w:pPr>
        <w:pStyle w:val="subsection"/>
      </w:pPr>
      <w:r w:rsidRPr="0049400B">
        <w:tab/>
        <w:t>(4)</w:t>
      </w:r>
      <w:r w:rsidRPr="0049400B">
        <w:tab/>
        <w:t>The Commissioner may disqualify an entity from being eligible to be a responsible entity for the purpose of this governance standard if:</w:t>
      </w:r>
    </w:p>
    <w:p w:rsidR="005F3684" w:rsidRPr="0049400B" w:rsidRDefault="005F3684" w:rsidP="005F3684">
      <w:pPr>
        <w:pStyle w:val="paragraph"/>
      </w:pPr>
      <w:r w:rsidRPr="0049400B">
        <w:tab/>
        <w:t>(a)</w:t>
      </w:r>
      <w:r w:rsidRPr="0049400B">
        <w:tab/>
        <w:t>the entity has been previously suspended, or removed, under Division</w:t>
      </w:r>
      <w:r w:rsidR="002F2B52" w:rsidRPr="0049400B">
        <w:t> </w:t>
      </w:r>
      <w:r w:rsidRPr="0049400B">
        <w:t>100 of the Act as a responsible entity of a registered entity; and</w:t>
      </w:r>
    </w:p>
    <w:p w:rsidR="005F3684" w:rsidRPr="0049400B" w:rsidRDefault="005F3684" w:rsidP="005F3684">
      <w:pPr>
        <w:pStyle w:val="paragraph"/>
      </w:pPr>
      <w:r w:rsidRPr="0049400B">
        <w:tab/>
        <w:t>(b)</w:t>
      </w:r>
      <w:r w:rsidRPr="0049400B">
        <w:tab/>
        <w:t>the entity has been given notice of its disqualification by the Commissioner; and</w:t>
      </w:r>
    </w:p>
    <w:p w:rsidR="005F3684" w:rsidRPr="0049400B" w:rsidRDefault="005F3684" w:rsidP="005F3684">
      <w:pPr>
        <w:pStyle w:val="paragraph"/>
      </w:pPr>
      <w:r w:rsidRPr="0049400B">
        <w:tab/>
        <w:t>(c)</w:t>
      </w:r>
      <w:r w:rsidRPr="0049400B">
        <w:tab/>
        <w:t>the Commissioner reasonably believes that the disqualification is justified having regard to the objects of the Act.</w:t>
      </w:r>
    </w:p>
    <w:p w:rsidR="005F3684" w:rsidRPr="0049400B" w:rsidRDefault="005F3684" w:rsidP="005F3684">
      <w:pPr>
        <w:pStyle w:val="notetext"/>
      </w:pPr>
      <w:r w:rsidRPr="0049400B">
        <w:t>Note 1:</w:t>
      </w:r>
      <w:r w:rsidRPr="0049400B">
        <w:tab/>
        <w:t>The secrecy provisions in Part</w:t>
      </w:r>
      <w:r w:rsidR="002F2B52" w:rsidRPr="0049400B">
        <w:t> </w:t>
      </w:r>
      <w:r w:rsidRPr="0049400B">
        <w:t>7</w:t>
      </w:r>
      <w:r w:rsidR="0049400B">
        <w:noBreakHyphen/>
      </w:r>
      <w:r w:rsidRPr="0049400B">
        <w:t>1 of the Act prohibit ACNC officers (including the Commissioner) from disclosing protected ACNC information unless the disclosure is authorised by the Act. This prohibits the ACNC from disclosing information about ongoing investigations about particular responsible entities that may be subject to compliance with governance standard 4.</w:t>
      </w:r>
    </w:p>
    <w:p w:rsidR="005F3684" w:rsidRPr="0049400B" w:rsidRDefault="005F3684" w:rsidP="005F3684">
      <w:pPr>
        <w:pStyle w:val="notetext"/>
      </w:pPr>
      <w:r w:rsidRPr="0049400B">
        <w:t>Note 2:</w:t>
      </w:r>
      <w:r w:rsidRPr="0049400B">
        <w:tab/>
        <w:t xml:space="preserve">The effect of a disqualification lasts for no longer than 12 months from the day a notice is issued by the Commissioner (see </w:t>
      </w:r>
      <w:r w:rsidR="002F2B52" w:rsidRPr="0049400B">
        <w:t>paragraph (</w:t>
      </w:r>
      <w:r w:rsidRPr="0049400B">
        <w:t>3)(b)).</w:t>
      </w:r>
    </w:p>
    <w:p w:rsidR="005F3684" w:rsidRPr="0049400B" w:rsidRDefault="005F3684" w:rsidP="005F3684">
      <w:pPr>
        <w:pStyle w:val="subsection"/>
      </w:pPr>
      <w:r w:rsidRPr="0049400B">
        <w:tab/>
        <w:t>(5)</w:t>
      </w:r>
      <w:r w:rsidRPr="0049400B">
        <w:tab/>
        <w:t xml:space="preserve">Despite </w:t>
      </w:r>
      <w:r w:rsidR="002F2B52" w:rsidRPr="0049400B">
        <w:t>subsection (</w:t>
      </w:r>
      <w:r w:rsidRPr="0049400B">
        <w:t>3), the Commissioner may allow an individual to be a responsible entity for a particular registered entity if the Commissioner believes it is reasonable to do so in the circumstances.</w:t>
      </w:r>
    </w:p>
    <w:p w:rsidR="005F3684" w:rsidRPr="0049400B" w:rsidRDefault="005F3684" w:rsidP="005F3684">
      <w:pPr>
        <w:pStyle w:val="subsection"/>
      </w:pPr>
      <w:r w:rsidRPr="0049400B">
        <w:tab/>
        <w:t>(6)</w:t>
      </w:r>
      <w:r w:rsidRPr="0049400B">
        <w:tab/>
        <w:t xml:space="preserve">An entity that is dissatisfied with a decision of the Commissioner to disqualify the entity under </w:t>
      </w:r>
      <w:r w:rsidR="002F2B52" w:rsidRPr="0049400B">
        <w:t>subsection (</w:t>
      </w:r>
      <w:r w:rsidRPr="0049400B">
        <w:t>4) may object to the decision in the manner set out in Part</w:t>
      </w:r>
      <w:r w:rsidR="002F2B52" w:rsidRPr="0049400B">
        <w:t> </w:t>
      </w:r>
      <w:r w:rsidRPr="0049400B">
        <w:t>7</w:t>
      </w:r>
      <w:r w:rsidR="0049400B">
        <w:noBreakHyphen/>
      </w:r>
      <w:r w:rsidRPr="0049400B">
        <w:t>2 of the Act.</w:t>
      </w:r>
    </w:p>
    <w:p w:rsidR="005F3684" w:rsidRPr="0049400B" w:rsidRDefault="005F3684" w:rsidP="005F3684">
      <w:pPr>
        <w:pStyle w:val="ActHead5"/>
      </w:pPr>
      <w:bookmarkStart w:id="26" w:name="_Toc81905174"/>
      <w:r w:rsidRPr="0049400B">
        <w:rPr>
          <w:rStyle w:val="CharSectno"/>
        </w:rPr>
        <w:t>45.25</w:t>
      </w:r>
      <w:r w:rsidRPr="0049400B">
        <w:t xml:space="preserve">  Governance standard 5—Duties of responsible entities</w:t>
      </w:r>
      <w:bookmarkEnd w:id="26"/>
    </w:p>
    <w:p w:rsidR="005F3684" w:rsidRPr="0049400B" w:rsidRDefault="005F3684" w:rsidP="005F3684">
      <w:pPr>
        <w:pStyle w:val="SubsectionHead"/>
      </w:pPr>
      <w:r w:rsidRPr="0049400B">
        <w:t>Object</w:t>
      </w:r>
    </w:p>
    <w:p w:rsidR="005F3684" w:rsidRPr="0049400B" w:rsidRDefault="005F3684" w:rsidP="005F3684">
      <w:pPr>
        <w:pStyle w:val="subsection"/>
      </w:pPr>
      <w:r w:rsidRPr="0049400B">
        <w:tab/>
        <w:t>(1)</w:t>
      </w:r>
      <w:r w:rsidRPr="0049400B">
        <w:tab/>
        <w:t>The object of this governance standard is:</w:t>
      </w:r>
    </w:p>
    <w:p w:rsidR="005F3684" w:rsidRPr="0049400B" w:rsidRDefault="005F3684" w:rsidP="005F3684">
      <w:pPr>
        <w:pStyle w:val="paragraph"/>
      </w:pPr>
      <w:r w:rsidRPr="0049400B">
        <w:tab/>
        <w:t>(a)</w:t>
      </w:r>
      <w:r w:rsidRPr="0049400B">
        <w:tab/>
        <w:t>to ensure that the responsible entities of a registered entity conduct themselves in the manner that would be necessary if:</w:t>
      </w:r>
    </w:p>
    <w:p w:rsidR="005F3684" w:rsidRPr="0049400B" w:rsidRDefault="005F3684" w:rsidP="005F3684">
      <w:pPr>
        <w:pStyle w:val="paragraphsub"/>
      </w:pPr>
      <w:r w:rsidRPr="0049400B">
        <w:tab/>
        <w:t>(i)</w:t>
      </w:r>
      <w:r w:rsidRPr="0049400B">
        <w:tab/>
        <w:t>the relationship between them and the entity were a fiduciary relationship; and</w:t>
      </w:r>
    </w:p>
    <w:p w:rsidR="005F3684" w:rsidRPr="0049400B" w:rsidRDefault="005F3684" w:rsidP="005F3684">
      <w:pPr>
        <w:pStyle w:val="paragraphsub"/>
      </w:pPr>
      <w:r w:rsidRPr="0049400B">
        <w:tab/>
        <w:t>(ii)</w:t>
      </w:r>
      <w:r w:rsidRPr="0049400B">
        <w:tab/>
        <w:t>they were obliged to satisfy minimum standards of behaviour consistent with that relationship; and</w:t>
      </w:r>
    </w:p>
    <w:p w:rsidR="005F3684" w:rsidRPr="0049400B" w:rsidRDefault="005F3684" w:rsidP="005F3684">
      <w:pPr>
        <w:pStyle w:val="paragraph"/>
      </w:pPr>
      <w:r w:rsidRPr="0049400B">
        <w:tab/>
        <w:t>(b)</w:t>
      </w:r>
      <w:r w:rsidRPr="0049400B">
        <w:tab/>
        <w:t>to give the public, including members, donors, employees, volunteers and benefit recipients of a registered entity, confidence that the registered entity:</w:t>
      </w:r>
    </w:p>
    <w:p w:rsidR="005F3684" w:rsidRPr="0049400B" w:rsidRDefault="005F3684" w:rsidP="005F3684">
      <w:pPr>
        <w:pStyle w:val="paragraphsub"/>
      </w:pPr>
      <w:r w:rsidRPr="0049400B">
        <w:tab/>
        <w:t>(i)</w:t>
      </w:r>
      <w:r w:rsidRPr="0049400B">
        <w:tab/>
        <w:t>is acting to prevent non</w:t>
      </w:r>
      <w:r w:rsidR="0049400B">
        <w:noBreakHyphen/>
      </w:r>
      <w:r w:rsidRPr="0049400B">
        <w:t>compliance with the duties imposed on responsible entities; and</w:t>
      </w:r>
    </w:p>
    <w:p w:rsidR="005F3684" w:rsidRPr="0049400B" w:rsidRDefault="005F3684" w:rsidP="005F3684">
      <w:pPr>
        <w:pStyle w:val="paragraphsub"/>
      </w:pPr>
      <w:r w:rsidRPr="0049400B">
        <w:tab/>
        <w:t>(iii)</w:t>
      </w:r>
      <w:r w:rsidRPr="0049400B">
        <w:tab/>
        <w:t>if non</w:t>
      </w:r>
      <w:r w:rsidR="0049400B">
        <w:noBreakHyphen/>
      </w:r>
      <w:r w:rsidRPr="0049400B">
        <w:t>compliance with the duties imposed on responsible entities occurs—will act to identify and remedy non</w:t>
      </w:r>
      <w:r w:rsidR="0049400B">
        <w:noBreakHyphen/>
      </w:r>
      <w:r w:rsidRPr="0049400B">
        <w:t>compliance with the duties imposed on the entity.</w:t>
      </w:r>
    </w:p>
    <w:p w:rsidR="005F3684" w:rsidRPr="0049400B" w:rsidRDefault="005F3684" w:rsidP="005F3684">
      <w:pPr>
        <w:pStyle w:val="SubsectionHead"/>
      </w:pPr>
      <w:r w:rsidRPr="0049400B">
        <w:t>Standard</w:t>
      </w:r>
    </w:p>
    <w:p w:rsidR="005F3684" w:rsidRPr="0049400B" w:rsidRDefault="005F3684" w:rsidP="005F3684">
      <w:pPr>
        <w:pStyle w:val="subsection"/>
      </w:pPr>
      <w:r w:rsidRPr="0049400B">
        <w:tab/>
        <w:t>(2)</w:t>
      </w:r>
      <w:r w:rsidRPr="0049400B">
        <w:tab/>
        <w:t>A registered entity must take reasonable steps to ensure that its responsible entities are subject to, and comply with, the following duties:</w:t>
      </w:r>
    </w:p>
    <w:p w:rsidR="005F3684" w:rsidRPr="0049400B" w:rsidRDefault="005F3684" w:rsidP="005F3684">
      <w:pPr>
        <w:pStyle w:val="paragraph"/>
      </w:pPr>
      <w:r w:rsidRPr="0049400B">
        <w:tab/>
        <w:t>(a)</w:t>
      </w:r>
      <w:r w:rsidRPr="0049400B">
        <w:tab/>
        <w:t>to exercise the responsible entity’s powers and discharge the responsible entity’s duties with the degree of care and diligence that a reasonable individual would exercise if they were a responsible entity of the registered entity;</w:t>
      </w:r>
    </w:p>
    <w:p w:rsidR="005F3684" w:rsidRPr="0049400B" w:rsidRDefault="005F3684" w:rsidP="005F3684">
      <w:pPr>
        <w:pStyle w:val="paragraph"/>
      </w:pPr>
      <w:r w:rsidRPr="0049400B">
        <w:tab/>
        <w:t>(b)</w:t>
      </w:r>
      <w:r w:rsidRPr="0049400B">
        <w:tab/>
        <w:t>to act in good faith in the registered entity’s best interests, and to further the purposes of the registered entity;</w:t>
      </w:r>
    </w:p>
    <w:p w:rsidR="005F3684" w:rsidRPr="0049400B" w:rsidRDefault="005F3684" w:rsidP="005F3684">
      <w:pPr>
        <w:pStyle w:val="paragraph"/>
      </w:pPr>
      <w:r w:rsidRPr="0049400B">
        <w:tab/>
        <w:t>(c)</w:t>
      </w:r>
      <w:r w:rsidRPr="0049400B">
        <w:tab/>
        <w:t>not to misuse the responsible entity’s position;</w:t>
      </w:r>
    </w:p>
    <w:p w:rsidR="005F3684" w:rsidRPr="0049400B" w:rsidRDefault="005F3684" w:rsidP="005F3684">
      <w:pPr>
        <w:pStyle w:val="paragraph"/>
      </w:pPr>
      <w:r w:rsidRPr="0049400B">
        <w:tab/>
        <w:t>(d)</w:t>
      </w:r>
      <w:r w:rsidRPr="0049400B">
        <w:tab/>
        <w:t>not to misuse information obtained in the performance of the responsible entity’s duties as a responsible entity of the registered entity;</w:t>
      </w:r>
    </w:p>
    <w:p w:rsidR="005F3684" w:rsidRPr="0049400B" w:rsidRDefault="005F3684" w:rsidP="005F3684">
      <w:pPr>
        <w:pStyle w:val="paragraph"/>
      </w:pPr>
      <w:r w:rsidRPr="0049400B">
        <w:tab/>
        <w:t>(e)</w:t>
      </w:r>
      <w:r w:rsidRPr="0049400B">
        <w:tab/>
        <w:t>to disclose perceived or actual material conflicts of interest of the responsible entity;</w:t>
      </w:r>
    </w:p>
    <w:p w:rsidR="005F3684" w:rsidRPr="0049400B" w:rsidRDefault="005F3684" w:rsidP="005F3684">
      <w:pPr>
        <w:pStyle w:val="noteToPara"/>
      </w:pPr>
      <w:r w:rsidRPr="0049400B">
        <w:t>Note:</w:t>
      </w:r>
      <w:r w:rsidRPr="0049400B">
        <w:tab/>
        <w:t>A perceived or actual material conflict of interest that must be disclosed includes a related party transaction.</w:t>
      </w:r>
    </w:p>
    <w:p w:rsidR="005F3684" w:rsidRPr="0049400B" w:rsidRDefault="005F3684" w:rsidP="005F3684">
      <w:pPr>
        <w:pStyle w:val="paragraph"/>
      </w:pPr>
      <w:r w:rsidRPr="0049400B">
        <w:tab/>
        <w:t>(f)</w:t>
      </w:r>
      <w:r w:rsidRPr="0049400B">
        <w:tab/>
        <w:t>to ensure that the registered entity’s financial affairs are managed in a responsible manner;</w:t>
      </w:r>
    </w:p>
    <w:p w:rsidR="005F3684" w:rsidRPr="0049400B" w:rsidRDefault="005F3684" w:rsidP="005F3684">
      <w:pPr>
        <w:pStyle w:val="paragraph"/>
      </w:pPr>
      <w:r w:rsidRPr="0049400B">
        <w:tab/>
        <w:t>(g)</w:t>
      </w:r>
      <w:r w:rsidRPr="0049400B">
        <w:tab/>
        <w:t>not to allow the registered entity to operate while insolvent.</w:t>
      </w:r>
    </w:p>
    <w:p w:rsidR="005F3684" w:rsidRPr="0049400B" w:rsidRDefault="005F3684" w:rsidP="005F3684">
      <w:pPr>
        <w:pStyle w:val="notetext"/>
      </w:pPr>
      <w:r w:rsidRPr="0049400B">
        <w:t>Note 1:</w:t>
      </w:r>
      <w:r w:rsidRPr="0049400B">
        <w:tab/>
        <w:t>Governance standard 5 sets out some of the more significant duties of responsible entities. Other duties are imposed by other Australian laws, including the principles and rules of the common law and equity.</w:t>
      </w:r>
    </w:p>
    <w:p w:rsidR="005F3684" w:rsidRPr="0049400B" w:rsidRDefault="005F3684" w:rsidP="005F3684">
      <w:pPr>
        <w:pStyle w:val="notetext"/>
      </w:pPr>
      <w:r w:rsidRPr="0049400B">
        <w:t>Note 2:</w:t>
      </w:r>
      <w:r w:rsidRPr="0049400B">
        <w:tab/>
        <w:t>Some of the duties imposed by other Australian laws may require a responsible entity to exercise its powers and discharge its duties to a higher standard.</w:t>
      </w:r>
    </w:p>
    <w:p w:rsidR="005F3684" w:rsidRPr="0049400B" w:rsidRDefault="005F3684" w:rsidP="005F3684">
      <w:pPr>
        <w:pStyle w:val="notetext"/>
      </w:pPr>
      <w:r w:rsidRPr="0049400B">
        <w:t>Note 3:</w:t>
      </w:r>
      <w:r w:rsidRPr="0049400B">
        <w:tab/>
        <w:t xml:space="preserve">For </w:t>
      </w:r>
      <w:r w:rsidR="002F2B52" w:rsidRPr="0049400B">
        <w:t>paragraph (</w:t>
      </w:r>
      <w:r w:rsidRPr="0049400B">
        <w:t>f), ensuring that the registered entity’s financial affairs are managed in a responsible manner includes putting in place appropriate and tailored financial systems and procedures.</w:t>
      </w:r>
    </w:p>
    <w:p w:rsidR="005F3684" w:rsidRPr="0049400B" w:rsidRDefault="005F3684" w:rsidP="005F3684">
      <w:pPr>
        <w:pStyle w:val="notetext"/>
      </w:pPr>
      <w:r w:rsidRPr="0049400B">
        <w:tab/>
        <w:t>The systems and procedures for a particular registered entity should be developed having regard to the registered entity’s size and circumstances and the complexity of its financial affairs.</w:t>
      </w:r>
    </w:p>
    <w:p w:rsidR="005F3684" w:rsidRPr="0049400B" w:rsidRDefault="005F3684" w:rsidP="005F3684">
      <w:pPr>
        <w:pStyle w:val="notetext"/>
      </w:pPr>
      <w:r w:rsidRPr="0049400B">
        <w:tab/>
        <w:t>The systems and procedures may include:</w:t>
      </w:r>
    </w:p>
    <w:p w:rsidR="005F3684" w:rsidRPr="0049400B" w:rsidRDefault="005F3684" w:rsidP="005F3684">
      <w:pPr>
        <w:pStyle w:val="notepara"/>
      </w:pPr>
      <w:r w:rsidRPr="0049400B">
        <w:t>(a)</w:t>
      </w:r>
      <w:r w:rsidRPr="0049400B">
        <w:tab/>
        <w:t>procedures relating to spending funds (for example, the approval of expenditure or the signing of cheques); and</w:t>
      </w:r>
    </w:p>
    <w:p w:rsidR="005F3684" w:rsidRPr="0049400B" w:rsidRDefault="005F3684" w:rsidP="005F3684">
      <w:pPr>
        <w:pStyle w:val="notepara"/>
      </w:pPr>
      <w:r w:rsidRPr="0049400B">
        <w:t>(b)</w:t>
      </w:r>
      <w:r w:rsidRPr="0049400B">
        <w:tab/>
        <w:t>having insurance that is appropriate for the registered entity’s requirements.</w:t>
      </w:r>
    </w:p>
    <w:p w:rsidR="005F3684" w:rsidRPr="0049400B" w:rsidRDefault="005F3684" w:rsidP="005F3684">
      <w:pPr>
        <w:pStyle w:val="subsection"/>
      </w:pPr>
      <w:r w:rsidRPr="0049400B">
        <w:tab/>
        <w:t>(3)</w:t>
      </w:r>
      <w:r w:rsidRPr="0049400B">
        <w:tab/>
        <w:t xml:space="preserve">For </w:t>
      </w:r>
      <w:r w:rsidR="002F2B52" w:rsidRPr="0049400B">
        <w:t>paragraph (</w:t>
      </w:r>
      <w:r w:rsidRPr="0049400B">
        <w:t>2)(e), a perceived or actual material conflict of interest must be disclosed:</w:t>
      </w:r>
    </w:p>
    <w:p w:rsidR="005F3684" w:rsidRPr="0049400B" w:rsidRDefault="005F3684" w:rsidP="005F3684">
      <w:pPr>
        <w:pStyle w:val="paragraph"/>
      </w:pPr>
      <w:r w:rsidRPr="0049400B">
        <w:tab/>
        <w:t>(a)</w:t>
      </w:r>
      <w:r w:rsidRPr="0049400B">
        <w:tab/>
        <w:t>if the responsible entity is a director of the registered entity—to the other directors (if any); or</w:t>
      </w:r>
    </w:p>
    <w:p w:rsidR="005F3684" w:rsidRPr="0049400B" w:rsidRDefault="005F3684" w:rsidP="005F3684">
      <w:pPr>
        <w:pStyle w:val="paragraph"/>
      </w:pPr>
      <w:r w:rsidRPr="0049400B">
        <w:tab/>
        <w:t>(b)</w:t>
      </w:r>
      <w:r w:rsidRPr="0049400B">
        <w:tab/>
        <w:t>if the registered entity is a trust, and the responsible entity is a director of a trustee of the registered entity—to the other directors (if any); or</w:t>
      </w:r>
    </w:p>
    <w:p w:rsidR="005F3684" w:rsidRPr="0049400B" w:rsidRDefault="005F3684" w:rsidP="005F3684">
      <w:pPr>
        <w:pStyle w:val="paragraph"/>
      </w:pPr>
      <w:r w:rsidRPr="0049400B">
        <w:tab/>
        <w:t>(c)</w:t>
      </w:r>
      <w:r w:rsidRPr="0049400B">
        <w:tab/>
        <w:t>if the registered entity is a company—to the members of the registered entity; or</w:t>
      </w:r>
    </w:p>
    <w:p w:rsidR="005F3684" w:rsidRPr="0049400B" w:rsidRDefault="005F3684" w:rsidP="005F3684">
      <w:pPr>
        <w:pStyle w:val="paragraph"/>
      </w:pPr>
      <w:r w:rsidRPr="0049400B">
        <w:tab/>
        <w:t>(d)</w:t>
      </w:r>
      <w:r w:rsidRPr="0049400B">
        <w:tab/>
        <w:t>in any other case—unless the Commissioner provides otherwise, to the Commissioner, in the approved form.</w:t>
      </w:r>
    </w:p>
    <w:p w:rsidR="005F3684" w:rsidRPr="0049400B" w:rsidRDefault="005F3684" w:rsidP="005F3684">
      <w:pPr>
        <w:pStyle w:val="notetext"/>
      </w:pPr>
      <w:r w:rsidRPr="0049400B">
        <w:t>Note 1:</w:t>
      </w:r>
      <w:r w:rsidRPr="0049400B">
        <w:tab/>
      </w:r>
      <w:r w:rsidRPr="0049400B">
        <w:rPr>
          <w:b/>
          <w:i/>
        </w:rPr>
        <w:t>Company</w:t>
      </w:r>
      <w:r w:rsidRPr="0049400B">
        <w:t xml:space="preserve"> is defined in section</w:t>
      </w:r>
      <w:r w:rsidR="002F2B52" w:rsidRPr="0049400B">
        <w:t> </w:t>
      </w:r>
      <w:r w:rsidRPr="0049400B">
        <w:t>205</w:t>
      </w:r>
      <w:r w:rsidR="0049400B">
        <w:noBreakHyphen/>
      </w:r>
      <w:r w:rsidRPr="0049400B">
        <w:t>10 of the Act, to include a body corporate or any unincorporated association or body of persons (but not a partnership).</w:t>
      </w:r>
    </w:p>
    <w:p w:rsidR="005F3684" w:rsidRPr="0049400B" w:rsidRDefault="005F3684" w:rsidP="005F3684">
      <w:pPr>
        <w:pStyle w:val="notetext"/>
        <w:rPr>
          <w:color w:val="000000"/>
        </w:rPr>
      </w:pPr>
      <w:r w:rsidRPr="0049400B">
        <w:t>Note 2:</w:t>
      </w:r>
      <w:r w:rsidRPr="0049400B">
        <w:tab/>
      </w:r>
      <w:r w:rsidR="002F2B52" w:rsidRPr="0049400B">
        <w:rPr>
          <w:color w:val="000000"/>
        </w:rPr>
        <w:t>Paragraph (</w:t>
      </w:r>
      <w:r w:rsidRPr="0049400B">
        <w:rPr>
          <w:color w:val="000000"/>
        </w:rPr>
        <w:t xml:space="preserve">c) applies in situations where </w:t>
      </w:r>
      <w:r w:rsidR="002F2B52" w:rsidRPr="0049400B">
        <w:rPr>
          <w:color w:val="000000"/>
        </w:rPr>
        <w:t>paragraph (</w:t>
      </w:r>
      <w:r w:rsidRPr="0049400B">
        <w:rPr>
          <w:color w:val="000000"/>
        </w:rPr>
        <w:t>a) cannot apply, for example, if there is only one director or all the directors have a similar conflict.</w:t>
      </w:r>
    </w:p>
    <w:p w:rsidR="005F3684" w:rsidRPr="0049400B" w:rsidRDefault="005F3684" w:rsidP="005F3684">
      <w:pPr>
        <w:pStyle w:val="notetext"/>
      </w:pPr>
      <w:r w:rsidRPr="0049400B">
        <w:t>Note 3:</w:t>
      </w:r>
      <w:r w:rsidRPr="0049400B">
        <w:tab/>
        <w:t>Part</w:t>
      </w:r>
      <w:r w:rsidR="002F2B52" w:rsidRPr="0049400B">
        <w:t> </w:t>
      </w:r>
      <w:r w:rsidRPr="0049400B">
        <w:t>7</w:t>
      </w:r>
      <w:r w:rsidR="0049400B">
        <w:noBreakHyphen/>
      </w:r>
      <w:r w:rsidRPr="0049400B">
        <w:t>6 of the Act provides for the approval of forms.</w:t>
      </w:r>
    </w:p>
    <w:p w:rsidR="005F3684" w:rsidRPr="0049400B" w:rsidRDefault="005F3684" w:rsidP="005F3684">
      <w:pPr>
        <w:pStyle w:val="notetext"/>
      </w:pPr>
      <w:r w:rsidRPr="0049400B">
        <w:t>Note 4:</w:t>
      </w:r>
      <w:r w:rsidRPr="0049400B">
        <w:tab/>
        <w:t>A responsible entity may disclose a conflict of interest in the form of a standing notice with ongoing effect.</w:t>
      </w:r>
    </w:p>
    <w:p w:rsidR="005F3684" w:rsidRPr="0049400B" w:rsidRDefault="005F3684" w:rsidP="005F3684">
      <w:pPr>
        <w:pStyle w:val="subsection"/>
      </w:pPr>
      <w:r w:rsidRPr="0049400B">
        <w:tab/>
        <w:t>(4)</w:t>
      </w:r>
      <w:r w:rsidRPr="0049400B">
        <w:tab/>
        <w:t>If the responsible entity’s conduct is consistent with Subdivision</w:t>
      </w:r>
      <w:r w:rsidR="002F2B52" w:rsidRPr="0049400B">
        <w:t> </w:t>
      </w:r>
      <w:r w:rsidRPr="0049400B">
        <w:t>45</w:t>
      </w:r>
      <w:r w:rsidR="0049400B">
        <w:noBreakHyphen/>
      </w:r>
      <w:r w:rsidRPr="0049400B">
        <w:t xml:space="preserve">C, the responsible entity is taken to have complied with the duties mentioned in </w:t>
      </w:r>
      <w:r w:rsidR="002F2B52" w:rsidRPr="0049400B">
        <w:t>subsection (</w:t>
      </w:r>
      <w:r w:rsidRPr="0049400B">
        <w:t>2).</w:t>
      </w:r>
    </w:p>
    <w:p w:rsidR="005F3684" w:rsidRPr="0049400B" w:rsidRDefault="005F3684" w:rsidP="005F3684">
      <w:pPr>
        <w:pStyle w:val="subsection"/>
      </w:pPr>
      <w:r w:rsidRPr="0049400B">
        <w:tab/>
        <w:t>(5)</w:t>
      </w:r>
      <w:r w:rsidRPr="0049400B">
        <w:tab/>
        <w:t>In this section:</w:t>
      </w:r>
    </w:p>
    <w:p w:rsidR="005F3684" w:rsidRPr="0049400B" w:rsidRDefault="005F3684" w:rsidP="005F3684">
      <w:pPr>
        <w:pStyle w:val="Definition"/>
      </w:pPr>
      <w:r w:rsidRPr="0049400B">
        <w:rPr>
          <w:b/>
          <w:i/>
        </w:rPr>
        <w:t>insolvent</w:t>
      </w:r>
      <w:r w:rsidRPr="0049400B">
        <w:rPr>
          <w:b/>
        </w:rPr>
        <w:t xml:space="preserve"> </w:t>
      </w:r>
      <w:r w:rsidRPr="0049400B">
        <w:t>has the meaning given by subsection</w:t>
      </w:r>
      <w:r w:rsidR="002F2B52" w:rsidRPr="0049400B">
        <w:t> </w:t>
      </w:r>
      <w:r w:rsidRPr="0049400B">
        <w:t xml:space="preserve">95A(2) of the </w:t>
      </w:r>
      <w:r w:rsidRPr="0049400B">
        <w:rPr>
          <w:i/>
        </w:rPr>
        <w:t>Corporations Act 2001</w:t>
      </w:r>
      <w:r w:rsidRPr="0049400B">
        <w:t>.</w:t>
      </w:r>
    </w:p>
    <w:p w:rsidR="002B1C2C" w:rsidRPr="0049400B" w:rsidRDefault="002B1C2C" w:rsidP="002B1C2C">
      <w:pPr>
        <w:pStyle w:val="ActHead5"/>
      </w:pPr>
      <w:bookmarkStart w:id="27" w:name="_Toc81905175"/>
      <w:r w:rsidRPr="0049400B">
        <w:rPr>
          <w:rStyle w:val="CharSectno"/>
        </w:rPr>
        <w:t>45.30</w:t>
      </w:r>
      <w:r w:rsidRPr="0049400B">
        <w:t xml:space="preserve">  Governance standard 6—Maintaining and enhancing public trust and confidence in the Australian not</w:t>
      </w:r>
      <w:r w:rsidR="0049400B">
        <w:noBreakHyphen/>
      </w:r>
      <w:r w:rsidRPr="0049400B">
        <w:t>for</w:t>
      </w:r>
      <w:r w:rsidR="0049400B">
        <w:noBreakHyphen/>
      </w:r>
      <w:r w:rsidRPr="0049400B">
        <w:t>profit sector</w:t>
      </w:r>
      <w:bookmarkEnd w:id="27"/>
    </w:p>
    <w:p w:rsidR="002B1C2C" w:rsidRPr="0049400B" w:rsidRDefault="002B1C2C" w:rsidP="002B1C2C">
      <w:pPr>
        <w:pStyle w:val="SubsectionHead"/>
      </w:pPr>
      <w:r w:rsidRPr="0049400B">
        <w:t>Object</w:t>
      </w:r>
    </w:p>
    <w:p w:rsidR="002B1C2C" w:rsidRPr="0049400B" w:rsidRDefault="002B1C2C" w:rsidP="002B1C2C">
      <w:pPr>
        <w:pStyle w:val="subsection"/>
      </w:pPr>
      <w:r w:rsidRPr="0049400B">
        <w:tab/>
        <w:t>(1)</w:t>
      </w:r>
      <w:r w:rsidRPr="0049400B">
        <w:tab/>
        <w:t>The object of this governance standard is to maintain and enhance public trust and confidence in the Australian not</w:t>
      </w:r>
      <w:r w:rsidR="0049400B">
        <w:noBreakHyphen/>
      </w:r>
      <w:r w:rsidRPr="0049400B">
        <w:t>for</w:t>
      </w:r>
      <w:r w:rsidR="0049400B">
        <w:noBreakHyphen/>
      </w:r>
      <w:r w:rsidRPr="0049400B">
        <w:t>profit sector by ensuring that a registered entity’s governance enables it to be accountable for its past conduct relating to institutional child sexual abuse.</w:t>
      </w:r>
    </w:p>
    <w:p w:rsidR="002B1C2C" w:rsidRPr="0049400B" w:rsidRDefault="002B1C2C" w:rsidP="002B1C2C">
      <w:pPr>
        <w:pStyle w:val="SubsectionHead"/>
      </w:pPr>
      <w:r w:rsidRPr="0049400B">
        <w:t>Standard</w:t>
      </w:r>
    </w:p>
    <w:p w:rsidR="002B1C2C" w:rsidRPr="0049400B" w:rsidRDefault="002B1C2C" w:rsidP="002B1C2C">
      <w:pPr>
        <w:pStyle w:val="subsection"/>
      </w:pPr>
      <w:r w:rsidRPr="0049400B">
        <w:tab/>
        <w:t>(2)</w:t>
      </w:r>
      <w:r w:rsidRPr="0049400B">
        <w:tab/>
        <w:t>A registered entity must take reasonable steps to become a participating non</w:t>
      </w:r>
      <w:r w:rsidR="0049400B">
        <w:noBreakHyphen/>
      </w:r>
      <w:r w:rsidRPr="0049400B">
        <w:t>government institution if the entity is, or is likely to be, identified as being involved in the sexual abuse of a person:</w:t>
      </w:r>
    </w:p>
    <w:p w:rsidR="002B1C2C" w:rsidRPr="0049400B" w:rsidRDefault="002B1C2C" w:rsidP="002B1C2C">
      <w:pPr>
        <w:pStyle w:val="paragraph"/>
      </w:pPr>
      <w:r w:rsidRPr="0049400B">
        <w:tab/>
        <w:t>(a)</w:t>
      </w:r>
      <w:r w:rsidRPr="0049400B">
        <w:tab/>
        <w:t xml:space="preserve">in an application for redress made under section 19 of the </w:t>
      </w:r>
      <w:r w:rsidRPr="0049400B">
        <w:rPr>
          <w:i/>
        </w:rPr>
        <w:t>National Redress Scheme for Institutional Child Sexual Abuse Act 2018</w:t>
      </w:r>
      <w:r w:rsidRPr="0049400B">
        <w:t xml:space="preserve"> before, on or after the day this section commences; or</w:t>
      </w:r>
    </w:p>
    <w:p w:rsidR="002B1C2C" w:rsidRPr="0049400B" w:rsidRDefault="002B1C2C" w:rsidP="002B1C2C">
      <w:pPr>
        <w:pStyle w:val="paragraph"/>
      </w:pPr>
      <w:r w:rsidRPr="0049400B">
        <w:tab/>
        <w:t>(b)</w:t>
      </w:r>
      <w:r w:rsidRPr="0049400B">
        <w:tab/>
        <w:t>in information given in response to a request made under section 24 or 25 of that Act in relation to such an application.</w:t>
      </w:r>
    </w:p>
    <w:p w:rsidR="002B1C2C" w:rsidRPr="0049400B" w:rsidRDefault="002B1C2C" w:rsidP="002B1C2C">
      <w:pPr>
        <w:pStyle w:val="notetext"/>
      </w:pPr>
      <w:r w:rsidRPr="0049400B">
        <w:t>Note 1:</w:t>
      </w:r>
      <w:r w:rsidRPr="0049400B">
        <w:tab/>
        <w:t xml:space="preserve">The reasonable steps that a registered entity could take include agreeing to participate in the National Redress Scheme for Institutional Child Sexual Abuse (the </w:t>
      </w:r>
      <w:r w:rsidRPr="0049400B">
        <w:rPr>
          <w:b/>
          <w:i/>
        </w:rPr>
        <w:t>Redress Scheme</w:t>
      </w:r>
      <w:r w:rsidRPr="0049400B">
        <w:t xml:space="preserve">) for the purposes of paragraph 115(3)(c) of the </w:t>
      </w:r>
      <w:r w:rsidRPr="0049400B">
        <w:rPr>
          <w:i/>
        </w:rPr>
        <w:t>National Redress Scheme for Institutional Child Sexual Abuse Act 2018</w:t>
      </w:r>
      <w:r w:rsidRPr="0049400B">
        <w:t>.</w:t>
      </w:r>
    </w:p>
    <w:p w:rsidR="002B1C2C" w:rsidRPr="0049400B" w:rsidRDefault="002B1C2C" w:rsidP="002B1C2C">
      <w:pPr>
        <w:pStyle w:val="notetext"/>
      </w:pPr>
      <w:r w:rsidRPr="0049400B">
        <w:t>Note 2:</w:t>
      </w:r>
      <w:r w:rsidRPr="0049400B">
        <w:tab/>
        <w:t>Once a registered entity has become a participating non</w:t>
      </w:r>
      <w:r w:rsidR="0049400B">
        <w:noBreakHyphen/>
      </w:r>
      <w:r w:rsidRPr="0049400B">
        <w:t>government institution, the entity is subject to the Redress Scheme.</w:t>
      </w:r>
    </w:p>
    <w:p w:rsidR="002B1C2C" w:rsidRPr="0049400B" w:rsidRDefault="002B1C2C" w:rsidP="002B1C2C">
      <w:pPr>
        <w:pStyle w:val="subsection"/>
      </w:pPr>
      <w:r w:rsidRPr="0049400B">
        <w:tab/>
        <w:t>(3)</w:t>
      </w:r>
      <w:r w:rsidRPr="0049400B">
        <w:tab/>
        <w:t>For the purposes of subsection (2), it does not matter whether the application is valid.</w:t>
      </w:r>
    </w:p>
    <w:p w:rsidR="005F3684" w:rsidRPr="0049400B" w:rsidRDefault="005F3684" w:rsidP="005F3684">
      <w:pPr>
        <w:pStyle w:val="ActHead4"/>
      </w:pPr>
      <w:bookmarkStart w:id="28" w:name="_Toc81905176"/>
      <w:r w:rsidRPr="0049400B">
        <w:rPr>
          <w:rStyle w:val="CharSubdNo"/>
        </w:rPr>
        <w:t>Subdivision</w:t>
      </w:r>
      <w:r w:rsidR="002F2B52" w:rsidRPr="0049400B">
        <w:rPr>
          <w:rStyle w:val="CharSubdNo"/>
        </w:rPr>
        <w:t> </w:t>
      </w:r>
      <w:r w:rsidRPr="0049400B">
        <w:rPr>
          <w:rStyle w:val="CharSubdNo"/>
        </w:rPr>
        <w:t>45</w:t>
      </w:r>
      <w:r w:rsidR="0049400B" w:rsidRPr="0049400B">
        <w:rPr>
          <w:rStyle w:val="CharSubdNo"/>
        </w:rPr>
        <w:noBreakHyphen/>
      </w:r>
      <w:r w:rsidRPr="0049400B">
        <w:rPr>
          <w:rStyle w:val="CharSubdNo"/>
        </w:rPr>
        <w:t>C</w:t>
      </w:r>
      <w:r w:rsidRPr="0049400B">
        <w:t>—</w:t>
      </w:r>
      <w:r w:rsidRPr="0049400B">
        <w:rPr>
          <w:rStyle w:val="CharSubdText"/>
        </w:rPr>
        <w:t>Protections under governance standard 5</w:t>
      </w:r>
      <w:bookmarkEnd w:id="28"/>
    </w:p>
    <w:p w:rsidR="005F3684" w:rsidRPr="0049400B" w:rsidRDefault="005F3684" w:rsidP="005F3684">
      <w:pPr>
        <w:pStyle w:val="ActHead5"/>
      </w:pPr>
      <w:bookmarkStart w:id="29" w:name="_Toc81905177"/>
      <w:r w:rsidRPr="0049400B">
        <w:rPr>
          <w:rStyle w:val="CharSectno"/>
        </w:rPr>
        <w:t>45.100</w:t>
      </w:r>
      <w:r w:rsidRPr="0049400B">
        <w:t xml:space="preserve">  Reasonable steps taken to ensure compliance with duties</w:t>
      </w:r>
      <w:bookmarkEnd w:id="29"/>
    </w:p>
    <w:p w:rsidR="005F3684" w:rsidRPr="0049400B" w:rsidRDefault="005F3684" w:rsidP="005F3684">
      <w:pPr>
        <w:pStyle w:val="subsection"/>
      </w:pPr>
      <w:r w:rsidRPr="0049400B">
        <w:tab/>
      </w:r>
      <w:r w:rsidRPr="0049400B">
        <w:tab/>
        <w:t>If a responsible entity meets a protection mentioned in this Subdivision, the registered entity is taken to have taken all reasonable steps to ensure that its responsible entities have complied with the duties set out in section</w:t>
      </w:r>
      <w:r w:rsidR="002F2B52" w:rsidRPr="0049400B">
        <w:t> </w:t>
      </w:r>
      <w:r w:rsidRPr="0049400B">
        <w:t>45.25.</w:t>
      </w:r>
    </w:p>
    <w:p w:rsidR="005F3684" w:rsidRPr="0049400B" w:rsidRDefault="005F3684" w:rsidP="005F3684">
      <w:pPr>
        <w:pStyle w:val="ActHead5"/>
      </w:pPr>
      <w:bookmarkStart w:id="30" w:name="_Toc81905178"/>
      <w:r w:rsidRPr="0049400B">
        <w:rPr>
          <w:rStyle w:val="CharSectno"/>
        </w:rPr>
        <w:t>45.105</w:t>
      </w:r>
      <w:r w:rsidRPr="0049400B">
        <w:t xml:space="preserve">  Protection 1</w:t>
      </w:r>
      <w:bookmarkEnd w:id="30"/>
    </w:p>
    <w:p w:rsidR="005F3684" w:rsidRPr="0049400B" w:rsidRDefault="005F3684" w:rsidP="005F3684">
      <w:pPr>
        <w:pStyle w:val="subsection"/>
      </w:pPr>
      <w:r w:rsidRPr="0049400B">
        <w:tab/>
        <w:t>(1)</w:t>
      </w:r>
      <w:r w:rsidRPr="0049400B">
        <w:tab/>
        <w:t>A responsible entity meets this protection if the responsible entity, in the exercise of the responsible entity’s duties, relies on information, including professional or expert advice, in good faith, and after the responsible entity has made an independent assessment of the information, if that information has been given by:</w:t>
      </w:r>
    </w:p>
    <w:p w:rsidR="005F3684" w:rsidRPr="0049400B" w:rsidRDefault="005F3684" w:rsidP="005F3684">
      <w:pPr>
        <w:pStyle w:val="paragraph"/>
      </w:pPr>
      <w:r w:rsidRPr="0049400B">
        <w:tab/>
        <w:t>(a)</w:t>
      </w:r>
      <w:r w:rsidRPr="0049400B">
        <w:tab/>
        <w:t>an employee of the registered entity that the responsible entity believes on reasonable grounds to be reliable and competent in relation to the matters concerned; or</w:t>
      </w:r>
    </w:p>
    <w:p w:rsidR="005F3684" w:rsidRPr="0049400B" w:rsidRDefault="005F3684" w:rsidP="005F3684">
      <w:pPr>
        <w:pStyle w:val="paragraph"/>
      </w:pPr>
      <w:r w:rsidRPr="0049400B">
        <w:tab/>
        <w:t>(b)</w:t>
      </w:r>
      <w:r w:rsidRPr="0049400B">
        <w:tab/>
        <w:t>a professional adviser or expert in relation to matters that the responsible entity believes on reasonable grounds to be within the individual’s professional or expert competence; or</w:t>
      </w:r>
    </w:p>
    <w:p w:rsidR="005F3684" w:rsidRPr="0049400B" w:rsidRDefault="005F3684" w:rsidP="005F3684">
      <w:pPr>
        <w:pStyle w:val="paragraph"/>
      </w:pPr>
      <w:r w:rsidRPr="0049400B">
        <w:tab/>
        <w:t>(c)</w:t>
      </w:r>
      <w:r w:rsidRPr="0049400B">
        <w:tab/>
        <w:t>another responsible entity in relation to matters within their authority or area of responsibility; or</w:t>
      </w:r>
    </w:p>
    <w:p w:rsidR="005F3684" w:rsidRPr="0049400B" w:rsidRDefault="005F3684" w:rsidP="005F3684">
      <w:pPr>
        <w:pStyle w:val="paragraph"/>
      </w:pPr>
      <w:r w:rsidRPr="0049400B">
        <w:tab/>
        <w:t>(d)</w:t>
      </w:r>
      <w:r w:rsidRPr="0049400B">
        <w:tab/>
        <w:t>an authorised committee of responsible entities that does not include the responsible entity.</w:t>
      </w:r>
    </w:p>
    <w:p w:rsidR="005F3684" w:rsidRPr="0049400B" w:rsidRDefault="005F3684" w:rsidP="005F3684">
      <w:pPr>
        <w:pStyle w:val="subsection"/>
      </w:pPr>
      <w:r w:rsidRPr="0049400B">
        <w:tab/>
        <w:t>(2)</w:t>
      </w:r>
      <w:r w:rsidRPr="0049400B">
        <w:tab/>
        <w:t>In determining whether the responsible entity has made an independent assessment of the information or advice, regard must be had to the responsible entity’s knowledge of the registered entity and the complexity of the structure and operations of the registered entity.</w:t>
      </w:r>
    </w:p>
    <w:p w:rsidR="005F3684" w:rsidRPr="0049400B" w:rsidRDefault="005F3684" w:rsidP="005F3684">
      <w:pPr>
        <w:pStyle w:val="ActHead5"/>
      </w:pPr>
      <w:bookmarkStart w:id="31" w:name="_Toc81905179"/>
      <w:r w:rsidRPr="0049400B">
        <w:rPr>
          <w:rStyle w:val="CharSectno"/>
        </w:rPr>
        <w:t>45.110</w:t>
      </w:r>
      <w:r w:rsidRPr="0049400B">
        <w:t xml:space="preserve">  Protection 2</w:t>
      </w:r>
      <w:bookmarkEnd w:id="31"/>
    </w:p>
    <w:p w:rsidR="005F3684" w:rsidRPr="0049400B" w:rsidRDefault="005F3684" w:rsidP="005F3684">
      <w:pPr>
        <w:pStyle w:val="subsection"/>
      </w:pPr>
      <w:r w:rsidRPr="0049400B">
        <w:tab/>
        <w:t>(1)</w:t>
      </w:r>
      <w:r w:rsidRPr="0049400B">
        <w:tab/>
        <w:t>A responsible entity meets this protection if the responsible entity makes a decision in relation to the registered entity, and the responsible entity meets all of the following:</w:t>
      </w:r>
    </w:p>
    <w:p w:rsidR="005F3684" w:rsidRPr="0049400B" w:rsidRDefault="005F3684" w:rsidP="005F3684">
      <w:pPr>
        <w:pStyle w:val="paragraph"/>
      </w:pPr>
      <w:r w:rsidRPr="0049400B">
        <w:tab/>
        <w:t>(a)</w:t>
      </w:r>
      <w:r w:rsidRPr="0049400B">
        <w:tab/>
        <w:t>the responsible entity makes the decision in good faith for a proper purpose;</w:t>
      </w:r>
    </w:p>
    <w:p w:rsidR="005F3684" w:rsidRPr="0049400B" w:rsidRDefault="005F3684" w:rsidP="005F3684">
      <w:pPr>
        <w:pStyle w:val="paragraph"/>
      </w:pPr>
      <w:r w:rsidRPr="0049400B">
        <w:tab/>
        <w:t>(b)</w:t>
      </w:r>
      <w:r w:rsidRPr="0049400B">
        <w:tab/>
        <w:t>the responsible entity does not have a material personal interest in the subject matter of the decision;</w:t>
      </w:r>
    </w:p>
    <w:p w:rsidR="005F3684" w:rsidRPr="0049400B" w:rsidRDefault="005F3684" w:rsidP="005F3684">
      <w:pPr>
        <w:pStyle w:val="paragraph"/>
      </w:pPr>
      <w:r w:rsidRPr="0049400B">
        <w:tab/>
        <w:t>(c)</w:t>
      </w:r>
      <w:r w:rsidRPr="0049400B">
        <w:tab/>
        <w:t>the responsible entity informs itself about the subject matter of the decision, to the extent the entity reasonably believes to be appropriate;</w:t>
      </w:r>
    </w:p>
    <w:p w:rsidR="005F3684" w:rsidRPr="0049400B" w:rsidRDefault="005F3684" w:rsidP="005F3684">
      <w:pPr>
        <w:pStyle w:val="paragraph"/>
      </w:pPr>
      <w:r w:rsidRPr="0049400B">
        <w:tab/>
        <w:t>(d)</w:t>
      </w:r>
      <w:r w:rsidRPr="0049400B">
        <w:tab/>
        <w:t>the responsible entity rationally believes that the decision is in the best interests of the registered entity.</w:t>
      </w:r>
    </w:p>
    <w:p w:rsidR="005F3684" w:rsidRPr="0049400B" w:rsidRDefault="005F3684" w:rsidP="005F3684">
      <w:pPr>
        <w:pStyle w:val="notetext"/>
      </w:pPr>
      <w:r w:rsidRPr="0049400B">
        <w:t>Note 1:</w:t>
      </w:r>
      <w:r w:rsidRPr="0049400B">
        <w:tab/>
        <w:t>Protection 2 is also referred to as the “business judgement rule”.</w:t>
      </w:r>
    </w:p>
    <w:p w:rsidR="005F3684" w:rsidRPr="0049400B" w:rsidRDefault="005F3684" w:rsidP="005F3684">
      <w:pPr>
        <w:pStyle w:val="notetext"/>
      </w:pPr>
      <w:r w:rsidRPr="0049400B">
        <w:t>Note 2:</w:t>
      </w:r>
      <w:r w:rsidRPr="0049400B">
        <w:tab/>
        <w:t>Protection 2 relates to the duty mentioned in paragraph</w:t>
      </w:r>
      <w:r w:rsidR="002F2B52" w:rsidRPr="0049400B">
        <w:t> </w:t>
      </w:r>
      <w:r w:rsidRPr="0049400B">
        <w:t>45.25(2)(a).</w:t>
      </w:r>
    </w:p>
    <w:p w:rsidR="005F3684" w:rsidRPr="0049400B" w:rsidRDefault="005F3684" w:rsidP="005F3684">
      <w:pPr>
        <w:pStyle w:val="subsection"/>
      </w:pPr>
      <w:r w:rsidRPr="0049400B">
        <w:tab/>
        <w:t>(2)</w:t>
      </w:r>
      <w:r w:rsidRPr="0049400B">
        <w:tab/>
        <w:t>In this section:</w:t>
      </w:r>
    </w:p>
    <w:p w:rsidR="005F3684" w:rsidRPr="0049400B" w:rsidRDefault="005F3684" w:rsidP="005F3684">
      <w:pPr>
        <w:pStyle w:val="Definition"/>
      </w:pPr>
      <w:r w:rsidRPr="0049400B">
        <w:rPr>
          <w:b/>
          <w:i/>
        </w:rPr>
        <w:t>decision</w:t>
      </w:r>
      <w:r w:rsidRPr="0049400B">
        <w:t xml:space="preserve"> means any decision to take, or not take, action in relation to a matter relevant to the operations of the registered entity.</w:t>
      </w:r>
    </w:p>
    <w:p w:rsidR="005F3684" w:rsidRPr="0049400B" w:rsidRDefault="005F3684" w:rsidP="005F3684">
      <w:pPr>
        <w:pStyle w:val="ActHead5"/>
      </w:pPr>
      <w:bookmarkStart w:id="32" w:name="_Toc81905180"/>
      <w:r w:rsidRPr="0049400B">
        <w:rPr>
          <w:rStyle w:val="CharSectno"/>
        </w:rPr>
        <w:t>45.115</w:t>
      </w:r>
      <w:r w:rsidRPr="0049400B">
        <w:t xml:space="preserve">  Protection 3</w:t>
      </w:r>
      <w:bookmarkEnd w:id="32"/>
    </w:p>
    <w:p w:rsidR="005F3684" w:rsidRPr="0049400B" w:rsidRDefault="005F3684" w:rsidP="005F3684">
      <w:pPr>
        <w:pStyle w:val="subsection"/>
      </w:pPr>
      <w:r w:rsidRPr="0049400B">
        <w:tab/>
      </w:r>
      <w:r w:rsidRPr="0049400B">
        <w:tab/>
        <w:t>A responsible entity meets this protection if:</w:t>
      </w:r>
    </w:p>
    <w:p w:rsidR="005F3684" w:rsidRPr="0049400B" w:rsidRDefault="005F3684" w:rsidP="005F3684">
      <w:pPr>
        <w:pStyle w:val="paragraph"/>
      </w:pPr>
      <w:r w:rsidRPr="0049400B">
        <w:tab/>
        <w:t>(a)</w:t>
      </w:r>
      <w:r w:rsidRPr="0049400B">
        <w:tab/>
        <w:t>at the time when the debt was incurred, the responsible entity had reasonable grounds to expect, and did expect, that the registered entity was solvent at that time and would remain solvent even if it incurred that debt and any other debts that it incurred at that time; or</w:t>
      </w:r>
    </w:p>
    <w:p w:rsidR="005F3684" w:rsidRPr="0049400B" w:rsidRDefault="005F3684" w:rsidP="005F3684">
      <w:pPr>
        <w:pStyle w:val="paragraph"/>
      </w:pPr>
      <w:r w:rsidRPr="0049400B">
        <w:tab/>
        <w:t>(b)</w:t>
      </w:r>
      <w:r w:rsidRPr="0049400B">
        <w:tab/>
        <w:t>the responsible entity took all reasonable steps to prevent the registered entity from incurring the debt.</w:t>
      </w:r>
    </w:p>
    <w:p w:rsidR="005F3684" w:rsidRPr="0049400B" w:rsidRDefault="005F3684" w:rsidP="005F3684">
      <w:pPr>
        <w:pStyle w:val="notetext"/>
      </w:pPr>
      <w:r w:rsidRPr="0049400B">
        <w:t>Note:</w:t>
      </w:r>
      <w:r w:rsidRPr="0049400B">
        <w:tab/>
        <w:t>Protection 3 relates to the duty mentioned in paragraph</w:t>
      </w:r>
      <w:r w:rsidR="002F2B52" w:rsidRPr="0049400B">
        <w:t> </w:t>
      </w:r>
      <w:r w:rsidRPr="0049400B">
        <w:t>45.25(2)(g).</w:t>
      </w:r>
    </w:p>
    <w:p w:rsidR="005F3684" w:rsidRPr="0049400B" w:rsidRDefault="005F3684" w:rsidP="005F3684">
      <w:pPr>
        <w:pStyle w:val="ActHead5"/>
      </w:pPr>
      <w:bookmarkStart w:id="33" w:name="_Toc81905181"/>
      <w:r w:rsidRPr="0049400B">
        <w:rPr>
          <w:rStyle w:val="CharSectno"/>
        </w:rPr>
        <w:t>45.120</w:t>
      </w:r>
      <w:r w:rsidRPr="0049400B">
        <w:t xml:space="preserve">  Protection 4</w:t>
      </w:r>
      <w:bookmarkEnd w:id="33"/>
    </w:p>
    <w:p w:rsidR="005F3684" w:rsidRPr="0049400B" w:rsidRDefault="005F3684" w:rsidP="005F3684">
      <w:pPr>
        <w:pStyle w:val="subsection"/>
      </w:pPr>
      <w:r w:rsidRPr="0049400B">
        <w:tab/>
      </w:r>
      <w:r w:rsidRPr="0049400B">
        <w:tab/>
        <w:t xml:space="preserve">This section is satisfied if, because of illness or for some other good reason, a responsible entity could not take </w:t>
      </w:r>
      <w:r w:rsidR="001E4BB9" w:rsidRPr="0049400B">
        <w:t>part i</w:t>
      </w:r>
      <w:r w:rsidRPr="0049400B">
        <w:t>n the management of the registered entity at the relevant time.</w:t>
      </w:r>
    </w:p>
    <w:p w:rsidR="005F3684" w:rsidRPr="0049400B" w:rsidRDefault="005F3684" w:rsidP="005F3684">
      <w:pPr>
        <w:pStyle w:val="ActHead4"/>
      </w:pPr>
      <w:bookmarkStart w:id="34" w:name="_Toc81905182"/>
      <w:r w:rsidRPr="0049400B">
        <w:rPr>
          <w:rStyle w:val="CharSubdNo"/>
        </w:rPr>
        <w:t>Subdivision</w:t>
      </w:r>
      <w:r w:rsidR="002F2B52" w:rsidRPr="0049400B">
        <w:rPr>
          <w:rStyle w:val="CharSubdNo"/>
        </w:rPr>
        <w:t> </w:t>
      </w:r>
      <w:r w:rsidRPr="0049400B">
        <w:rPr>
          <w:rStyle w:val="CharSubdNo"/>
        </w:rPr>
        <w:t>45</w:t>
      </w:r>
      <w:r w:rsidR="0049400B" w:rsidRPr="0049400B">
        <w:rPr>
          <w:rStyle w:val="CharSubdNo"/>
        </w:rPr>
        <w:noBreakHyphen/>
      </w:r>
      <w:r w:rsidRPr="0049400B">
        <w:rPr>
          <w:rStyle w:val="CharSubdNo"/>
        </w:rPr>
        <w:t>D</w:t>
      </w:r>
      <w:r w:rsidRPr="0049400B">
        <w:t>—</w:t>
      </w:r>
      <w:r w:rsidRPr="0049400B">
        <w:rPr>
          <w:rStyle w:val="CharSubdText"/>
        </w:rPr>
        <w:t>Transitional arrangements</w:t>
      </w:r>
      <w:bookmarkEnd w:id="34"/>
    </w:p>
    <w:p w:rsidR="005F3684" w:rsidRPr="0049400B" w:rsidRDefault="005F3684" w:rsidP="005F3684">
      <w:pPr>
        <w:pStyle w:val="ActHead5"/>
      </w:pPr>
      <w:bookmarkStart w:id="35" w:name="_Toc81905183"/>
      <w:r w:rsidRPr="0049400B">
        <w:rPr>
          <w:rStyle w:val="CharSectno"/>
        </w:rPr>
        <w:t>45.130</w:t>
      </w:r>
      <w:r w:rsidRPr="0049400B">
        <w:t xml:space="preserve">  Exemption until 1</w:t>
      </w:r>
      <w:r w:rsidR="002F2B52" w:rsidRPr="0049400B">
        <w:t> </w:t>
      </w:r>
      <w:r w:rsidRPr="0049400B">
        <w:t>July 2017</w:t>
      </w:r>
      <w:bookmarkEnd w:id="35"/>
    </w:p>
    <w:p w:rsidR="005F3684" w:rsidRPr="0049400B" w:rsidRDefault="005F3684" w:rsidP="005F3684">
      <w:pPr>
        <w:pStyle w:val="SubsectionHead"/>
      </w:pPr>
      <w:r w:rsidRPr="0049400B">
        <w:t>Governing rules</w:t>
      </w:r>
    </w:p>
    <w:p w:rsidR="005F3684" w:rsidRPr="0049400B" w:rsidRDefault="005F3684" w:rsidP="005F3684">
      <w:pPr>
        <w:pStyle w:val="subsection"/>
      </w:pPr>
      <w:r w:rsidRPr="0049400B">
        <w:tab/>
        <w:t>(1)</w:t>
      </w:r>
      <w:r w:rsidRPr="0049400B">
        <w:tab/>
        <w:t>If the governing rules of a registered entity, as in effect on the day this Regulation is registered, prevent the registered entity from complying with a requirement of Subdivision</w:t>
      </w:r>
      <w:r w:rsidR="002F2B52" w:rsidRPr="0049400B">
        <w:t> </w:t>
      </w:r>
      <w:r w:rsidRPr="0049400B">
        <w:t>45</w:t>
      </w:r>
      <w:r w:rsidR="0049400B">
        <w:noBreakHyphen/>
      </w:r>
      <w:r w:rsidRPr="0049400B">
        <w:t>B, the registered entity is exempt from the requirement until 1</w:t>
      </w:r>
      <w:r w:rsidR="002F2B52" w:rsidRPr="0049400B">
        <w:t> </w:t>
      </w:r>
      <w:r w:rsidRPr="0049400B">
        <w:t>July 2017.</w:t>
      </w:r>
    </w:p>
    <w:p w:rsidR="005F3684" w:rsidRPr="0049400B" w:rsidRDefault="005F3684" w:rsidP="005F3684">
      <w:pPr>
        <w:pStyle w:val="subsection"/>
      </w:pPr>
      <w:r w:rsidRPr="0049400B">
        <w:tab/>
        <w:t>(2)</w:t>
      </w:r>
      <w:r w:rsidRPr="0049400B">
        <w:tab/>
        <w:t>However, the registered entity must comply with the requirements of Subdivision</w:t>
      </w:r>
      <w:r w:rsidR="002F2B52" w:rsidRPr="0049400B">
        <w:t> </w:t>
      </w:r>
      <w:r w:rsidRPr="0049400B">
        <w:t>45</w:t>
      </w:r>
      <w:r w:rsidR="0049400B">
        <w:noBreakHyphen/>
      </w:r>
      <w:r w:rsidRPr="0049400B">
        <w:t>B as far as is possible, without breaching its governing rules.</w:t>
      </w:r>
    </w:p>
    <w:p w:rsidR="005F3684" w:rsidRPr="0049400B" w:rsidRDefault="005F3684" w:rsidP="005F3684">
      <w:pPr>
        <w:pStyle w:val="SubsectionHead"/>
      </w:pPr>
      <w:r w:rsidRPr="0049400B">
        <w:t>State or Territory law</w:t>
      </w:r>
    </w:p>
    <w:p w:rsidR="005F3684" w:rsidRPr="0049400B" w:rsidRDefault="005F3684" w:rsidP="005F3684">
      <w:pPr>
        <w:pStyle w:val="subsection"/>
      </w:pPr>
      <w:r w:rsidRPr="0049400B">
        <w:tab/>
        <w:t>(3)</w:t>
      </w:r>
      <w:r w:rsidRPr="0049400B">
        <w:tab/>
        <w:t>If:</w:t>
      </w:r>
    </w:p>
    <w:p w:rsidR="005F3684" w:rsidRPr="0049400B" w:rsidRDefault="005F3684" w:rsidP="005F3684">
      <w:pPr>
        <w:pStyle w:val="paragraph"/>
      </w:pPr>
      <w:r w:rsidRPr="0049400B">
        <w:tab/>
        <w:t>(a)</w:t>
      </w:r>
      <w:r w:rsidRPr="0049400B">
        <w:tab/>
        <w:t>a registered entity is an incorporated association that is subject to a law of a State or Territory in respect to incorporated associations; and</w:t>
      </w:r>
    </w:p>
    <w:p w:rsidR="005F3684" w:rsidRPr="0049400B" w:rsidRDefault="005F3684" w:rsidP="005F3684">
      <w:pPr>
        <w:pStyle w:val="paragraph"/>
      </w:pPr>
      <w:r w:rsidRPr="0049400B">
        <w:tab/>
        <w:t>(b)</w:t>
      </w:r>
      <w:r w:rsidRPr="0049400B">
        <w:tab/>
        <w:t>that law sets out duties of responsible entities to the registered entity; and</w:t>
      </w:r>
    </w:p>
    <w:p w:rsidR="005F3684" w:rsidRPr="0049400B" w:rsidRDefault="005F3684" w:rsidP="005F3684">
      <w:pPr>
        <w:pStyle w:val="paragraph"/>
      </w:pPr>
      <w:r w:rsidRPr="0049400B">
        <w:tab/>
        <w:t>(c)</w:t>
      </w:r>
      <w:r w:rsidRPr="0049400B">
        <w:tab/>
        <w:t>the registered entity and each of its responsible entities is complying with that law;</w:t>
      </w:r>
    </w:p>
    <w:p w:rsidR="005F3684" w:rsidRPr="0049400B" w:rsidRDefault="005F3684" w:rsidP="005F3684">
      <w:pPr>
        <w:pStyle w:val="subsection2"/>
      </w:pPr>
      <w:r w:rsidRPr="0049400B">
        <w:t>the registered entity is taken to be complying with governance standard 5.</w:t>
      </w:r>
    </w:p>
    <w:p w:rsidR="005F3684" w:rsidRPr="0049400B" w:rsidRDefault="005F3684" w:rsidP="005F3684">
      <w:pPr>
        <w:pStyle w:val="subsection"/>
      </w:pPr>
      <w:r w:rsidRPr="0049400B">
        <w:tab/>
        <w:t>(4)</w:t>
      </w:r>
      <w:r w:rsidRPr="0049400B">
        <w:tab/>
      </w:r>
      <w:r w:rsidR="002F2B52" w:rsidRPr="0049400B">
        <w:t>Subsection (</w:t>
      </w:r>
      <w:r w:rsidRPr="0049400B">
        <w:t>3) ceases to have effect in relation to a registered entity if the relevant provisions of the law of the State or Territory is amended so that it:</w:t>
      </w:r>
    </w:p>
    <w:p w:rsidR="005F3684" w:rsidRPr="0049400B" w:rsidRDefault="005F3684" w:rsidP="005F3684">
      <w:pPr>
        <w:pStyle w:val="paragraph"/>
      </w:pPr>
      <w:r w:rsidRPr="0049400B">
        <w:tab/>
        <w:t>(a)</w:t>
      </w:r>
      <w:r w:rsidRPr="0049400B">
        <w:tab/>
        <w:t>sets out duties for responsible entities that are the same as those in governance standard 5; or</w:t>
      </w:r>
    </w:p>
    <w:p w:rsidR="005F3684" w:rsidRPr="0049400B" w:rsidRDefault="005F3684" w:rsidP="005F3684">
      <w:pPr>
        <w:pStyle w:val="paragraph"/>
      </w:pPr>
      <w:r w:rsidRPr="0049400B">
        <w:tab/>
        <w:t>(b)</w:t>
      </w:r>
      <w:r w:rsidRPr="0049400B">
        <w:tab/>
        <w:t>otherwise adopts the content of governance standard 5.</w:t>
      </w:r>
    </w:p>
    <w:p w:rsidR="005F3684" w:rsidRPr="0049400B" w:rsidRDefault="005F3684" w:rsidP="005F3684">
      <w:pPr>
        <w:pStyle w:val="subsection"/>
      </w:pPr>
      <w:r w:rsidRPr="0049400B">
        <w:tab/>
        <w:t>(5)</w:t>
      </w:r>
      <w:r w:rsidRPr="0049400B">
        <w:tab/>
      </w:r>
      <w:r w:rsidR="002F2B52" w:rsidRPr="0049400B">
        <w:t>Subsection (</w:t>
      </w:r>
      <w:r w:rsidRPr="0049400B">
        <w:t>3) ceases to have effect in relation to all registered entities on 1</w:t>
      </w:r>
      <w:r w:rsidR="002F2B52" w:rsidRPr="0049400B">
        <w:t> </w:t>
      </w:r>
      <w:r w:rsidRPr="0049400B">
        <w:t>July 2017.</w:t>
      </w:r>
    </w:p>
    <w:p w:rsidR="005F3684" w:rsidRPr="0049400B" w:rsidRDefault="005F3684" w:rsidP="005F3684">
      <w:pPr>
        <w:pStyle w:val="ActHead4"/>
      </w:pPr>
      <w:bookmarkStart w:id="36" w:name="_Toc81905184"/>
      <w:r w:rsidRPr="0049400B">
        <w:rPr>
          <w:rStyle w:val="CharSubdNo"/>
        </w:rPr>
        <w:t>Subdivision</w:t>
      </w:r>
      <w:r w:rsidR="002F2B52" w:rsidRPr="0049400B">
        <w:rPr>
          <w:rStyle w:val="CharSubdNo"/>
        </w:rPr>
        <w:t> </w:t>
      </w:r>
      <w:r w:rsidRPr="0049400B">
        <w:rPr>
          <w:rStyle w:val="CharSubdNo"/>
        </w:rPr>
        <w:t>45</w:t>
      </w:r>
      <w:r w:rsidR="0049400B" w:rsidRPr="0049400B">
        <w:rPr>
          <w:rStyle w:val="CharSubdNo"/>
        </w:rPr>
        <w:noBreakHyphen/>
      </w:r>
      <w:r w:rsidRPr="0049400B">
        <w:rPr>
          <w:rStyle w:val="CharSubdNo"/>
        </w:rPr>
        <w:t>E</w:t>
      </w:r>
      <w:r w:rsidRPr="0049400B">
        <w:t>—</w:t>
      </w:r>
      <w:r w:rsidRPr="0049400B">
        <w:rPr>
          <w:rStyle w:val="CharSubdText"/>
        </w:rPr>
        <w:t>Disqualified Responsible Entities Register</w:t>
      </w:r>
      <w:bookmarkEnd w:id="36"/>
    </w:p>
    <w:p w:rsidR="005F3684" w:rsidRPr="0049400B" w:rsidRDefault="005F3684" w:rsidP="005F3684">
      <w:pPr>
        <w:pStyle w:val="ActHead5"/>
      </w:pPr>
      <w:bookmarkStart w:id="37" w:name="_Toc81905185"/>
      <w:r w:rsidRPr="0049400B">
        <w:rPr>
          <w:rStyle w:val="CharSectno"/>
        </w:rPr>
        <w:t>45.150</w:t>
      </w:r>
      <w:r w:rsidRPr="0049400B">
        <w:t xml:space="preserve">  Disqualified Responsible Entities Register</w:t>
      </w:r>
      <w:bookmarkEnd w:id="37"/>
    </w:p>
    <w:p w:rsidR="005F3684" w:rsidRPr="0049400B" w:rsidRDefault="005F3684" w:rsidP="005F3684">
      <w:pPr>
        <w:pStyle w:val="subsection"/>
      </w:pPr>
      <w:r w:rsidRPr="0049400B">
        <w:tab/>
        <w:t>(1)</w:t>
      </w:r>
      <w:r w:rsidRPr="0049400B">
        <w:tab/>
        <w:t>The Commissioner must maintain a register, to be known as the Disqualified Responsible Entities Register, in which the Commissioner must include the following information:</w:t>
      </w:r>
    </w:p>
    <w:p w:rsidR="005F3684" w:rsidRPr="0049400B" w:rsidRDefault="005F3684" w:rsidP="005F3684">
      <w:pPr>
        <w:pStyle w:val="paragraph"/>
      </w:pPr>
      <w:r w:rsidRPr="0049400B">
        <w:tab/>
        <w:t>(a)</w:t>
      </w:r>
      <w:r w:rsidRPr="0049400B">
        <w:tab/>
        <w:t>the name of entity disqualified by the Commissioner from being a responsible entity of a registered entity, under subsection</w:t>
      </w:r>
      <w:r w:rsidR="002F2B52" w:rsidRPr="0049400B">
        <w:t> </w:t>
      </w:r>
      <w:r w:rsidRPr="0049400B">
        <w:t>45.20(4);</w:t>
      </w:r>
    </w:p>
    <w:p w:rsidR="005F3684" w:rsidRPr="0049400B" w:rsidRDefault="005F3684" w:rsidP="005F3684">
      <w:pPr>
        <w:pStyle w:val="paragraph"/>
      </w:pPr>
      <w:r w:rsidRPr="0049400B">
        <w:tab/>
        <w:t>(b)</w:t>
      </w:r>
      <w:r w:rsidRPr="0049400B">
        <w:tab/>
        <w:t>the date that the entity was disqualified by the Commissioner;</w:t>
      </w:r>
    </w:p>
    <w:p w:rsidR="005F3684" w:rsidRPr="0049400B" w:rsidRDefault="005F3684" w:rsidP="005F3684">
      <w:pPr>
        <w:pStyle w:val="paragraph"/>
      </w:pPr>
      <w:r w:rsidRPr="0049400B">
        <w:tab/>
        <w:t>(c)</w:t>
      </w:r>
      <w:r w:rsidRPr="0049400B">
        <w:tab/>
        <w:t>whether the disqualification remains subject to review, under Part</w:t>
      </w:r>
      <w:r w:rsidR="002F2B52" w:rsidRPr="0049400B">
        <w:t> </w:t>
      </w:r>
      <w:r w:rsidRPr="0049400B">
        <w:t>7</w:t>
      </w:r>
      <w:r w:rsidR="0049400B">
        <w:noBreakHyphen/>
      </w:r>
      <w:r w:rsidRPr="0049400B">
        <w:t>2 of the Act.</w:t>
      </w:r>
    </w:p>
    <w:p w:rsidR="005F3684" w:rsidRPr="0049400B" w:rsidRDefault="005F3684" w:rsidP="005F3684">
      <w:pPr>
        <w:pStyle w:val="subsection"/>
      </w:pPr>
      <w:r w:rsidRPr="0049400B">
        <w:tab/>
        <w:t>(2)</w:t>
      </w:r>
      <w:r w:rsidRPr="0049400B">
        <w:tab/>
        <w:t>The Disqualified Responsible Entities Register must be maintained by electronic means.</w:t>
      </w:r>
    </w:p>
    <w:p w:rsidR="005F3684" w:rsidRPr="0049400B" w:rsidRDefault="005F3684" w:rsidP="005F3684">
      <w:pPr>
        <w:pStyle w:val="subsection"/>
      </w:pPr>
      <w:r w:rsidRPr="0049400B">
        <w:tab/>
        <w:t>(3)</w:t>
      </w:r>
      <w:r w:rsidRPr="0049400B">
        <w:tab/>
        <w:t>The Disqualified Responsible Entities Register must be made available for public inspection, on a website maintained by the Commissioner.</w:t>
      </w:r>
    </w:p>
    <w:p w:rsidR="005F3684" w:rsidRPr="0049400B" w:rsidRDefault="005F3684" w:rsidP="005F3684">
      <w:pPr>
        <w:pStyle w:val="notetext"/>
      </w:pPr>
      <w:r w:rsidRPr="0049400B">
        <w:t>Note 1:</w:t>
      </w:r>
      <w:r w:rsidRPr="0049400B">
        <w:tab/>
        <w:t>The secrecy provisions in Part</w:t>
      </w:r>
      <w:r w:rsidR="002F2B52" w:rsidRPr="0049400B">
        <w:t> </w:t>
      </w:r>
      <w:r w:rsidRPr="0049400B">
        <w:t>7</w:t>
      </w:r>
      <w:r w:rsidR="0049400B">
        <w:noBreakHyphen/>
      </w:r>
      <w:r w:rsidRPr="0049400B">
        <w:t>1 of the Act prohibit ACNC officers (including the Commissioner) from disclosing protected ACNC information unless the disclosure is authorised by the Act. This prohibits the ACNC from disclosing information about ongoing investigations about particular responsible entities that may be subject to compliance with governance standard 4.</w:t>
      </w:r>
    </w:p>
    <w:p w:rsidR="00F1653F" w:rsidRPr="0049400B" w:rsidRDefault="005F3684" w:rsidP="007003DB">
      <w:pPr>
        <w:pStyle w:val="notetext"/>
      </w:pPr>
      <w:r w:rsidRPr="0049400B">
        <w:t>Note 2:</w:t>
      </w:r>
      <w:r w:rsidRPr="0049400B">
        <w:tab/>
        <w:t>The Commissioner may remove an entity from the Disqualified Responsible Entities Register if the entity ceases to be disqualified. See governance standard 4 for how the Commissioner disqualifies an entity.</w:t>
      </w:r>
    </w:p>
    <w:p w:rsidR="00276009" w:rsidRPr="0049400B" w:rsidRDefault="00276009" w:rsidP="001C7FB0">
      <w:pPr>
        <w:pStyle w:val="ActHead3"/>
        <w:pageBreakBefore/>
      </w:pPr>
      <w:bookmarkStart w:id="38" w:name="_Toc81905186"/>
      <w:r w:rsidRPr="0049400B">
        <w:rPr>
          <w:rStyle w:val="CharDivNo"/>
        </w:rPr>
        <w:t>Division</w:t>
      </w:r>
      <w:r w:rsidR="002F2B52" w:rsidRPr="0049400B">
        <w:rPr>
          <w:rStyle w:val="CharDivNo"/>
        </w:rPr>
        <w:t> </w:t>
      </w:r>
      <w:r w:rsidRPr="0049400B">
        <w:rPr>
          <w:rStyle w:val="CharDivNo"/>
        </w:rPr>
        <w:t>50</w:t>
      </w:r>
      <w:r w:rsidRPr="0049400B">
        <w:t>—</w:t>
      </w:r>
      <w:r w:rsidRPr="0049400B">
        <w:rPr>
          <w:rStyle w:val="CharDivText"/>
        </w:rPr>
        <w:t>External conduct standards</w:t>
      </w:r>
      <w:bookmarkEnd w:id="38"/>
    </w:p>
    <w:p w:rsidR="00276009" w:rsidRPr="0049400B" w:rsidRDefault="00276009" w:rsidP="00276009">
      <w:pPr>
        <w:pStyle w:val="ActHead4"/>
      </w:pPr>
      <w:bookmarkStart w:id="39" w:name="_Toc81905187"/>
      <w:r w:rsidRPr="0049400B">
        <w:rPr>
          <w:rStyle w:val="CharSubdNo"/>
        </w:rPr>
        <w:t>Subdivision</w:t>
      </w:r>
      <w:r w:rsidR="002F2B52" w:rsidRPr="0049400B">
        <w:rPr>
          <w:rStyle w:val="CharSubdNo"/>
        </w:rPr>
        <w:t> </w:t>
      </w:r>
      <w:r w:rsidRPr="0049400B">
        <w:rPr>
          <w:rStyle w:val="CharSubdNo"/>
        </w:rPr>
        <w:t>50</w:t>
      </w:r>
      <w:r w:rsidR="0049400B" w:rsidRPr="0049400B">
        <w:rPr>
          <w:rStyle w:val="CharSubdNo"/>
        </w:rPr>
        <w:noBreakHyphen/>
      </w:r>
      <w:r w:rsidRPr="0049400B">
        <w:rPr>
          <w:rStyle w:val="CharSubdNo"/>
        </w:rPr>
        <w:t>A</w:t>
      </w:r>
      <w:r w:rsidRPr="0049400B">
        <w:t>—</w:t>
      </w:r>
      <w:r w:rsidRPr="0049400B">
        <w:rPr>
          <w:rStyle w:val="CharSubdText"/>
        </w:rPr>
        <w:t>Preliminary</w:t>
      </w:r>
      <w:bookmarkEnd w:id="39"/>
    </w:p>
    <w:p w:rsidR="00276009" w:rsidRPr="0049400B" w:rsidRDefault="00276009" w:rsidP="00276009">
      <w:pPr>
        <w:pStyle w:val="ActHead5"/>
      </w:pPr>
      <w:bookmarkStart w:id="40" w:name="_Toc81905188"/>
      <w:r w:rsidRPr="0049400B">
        <w:rPr>
          <w:rStyle w:val="CharSectno"/>
        </w:rPr>
        <w:t>50.1</w:t>
      </w:r>
      <w:r w:rsidRPr="0049400B">
        <w:t xml:space="preserve">  Simplified outline—how the external conduct standards apply</w:t>
      </w:r>
      <w:bookmarkEnd w:id="40"/>
    </w:p>
    <w:p w:rsidR="00276009" w:rsidRPr="0049400B" w:rsidRDefault="00276009" w:rsidP="00276009">
      <w:pPr>
        <w:pStyle w:val="SOText"/>
      </w:pPr>
      <w:r w:rsidRPr="0049400B">
        <w:t>The external conduct standards support registered entities in fulfilling their objectives, by providing a minimum level of assurance that they meet public expectations in relation to their conduct when they undertake activities (including providing funds), or otherwise support activities, outside Australia.</w:t>
      </w:r>
    </w:p>
    <w:p w:rsidR="00276009" w:rsidRPr="0049400B" w:rsidRDefault="00276009" w:rsidP="00276009">
      <w:pPr>
        <w:pStyle w:val="SOText"/>
      </w:pPr>
      <w:r w:rsidRPr="0049400B">
        <w:t>Australian registered entities play an important role in providing development assistance, essential services and humanitarian aid to those in need around the world. Unfortunately, there is a risk that criminal organisations may take advantage of registered entities, by misusing funds and providing a cover for, or support of, criminal activities.</w:t>
      </w:r>
    </w:p>
    <w:p w:rsidR="00276009" w:rsidRPr="0049400B" w:rsidRDefault="00276009" w:rsidP="00276009">
      <w:pPr>
        <w:pStyle w:val="SOText"/>
      </w:pPr>
      <w:r w:rsidRPr="0049400B">
        <w:t>The external conduct standards are intended to provide greater confidence that funds sent, and services provided, outside Australia are reaching legitimate beneficiaries and are being used for legitimate purposes. The standards are also intended to prevent a registered entity from being misused by a criminal organisation.</w:t>
      </w:r>
    </w:p>
    <w:p w:rsidR="00276009" w:rsidRPr="0049400B" w:rsidRDefault="00276009" w:rsidP="00276009">
      <w:pPr>
        <w:pStyle w:val="SOText"/>
      </w:pPr>
      <w:r w:rsidRPr="0049400B">
        <w:t>The external conduct standards apply to registered entities in relation to matters both outside Australia and matters not outside Australia but closely related to entities, things or matters outside Australia (such as the management within Australia of overseas aid).</w:t>
      </w:r>
    </w:p>
    <w:p w:rsidR="00276009" w:rsidRPr="0049400B" w:rsidRDefault="00276009" w:rsidP="00276009">
      <w:pPr>
        <w:pStyle w:val="SOText"/>
      </w:pPr>
      <w:r w:rsidRPr="0049400B">
        <w:t>The external conduct standards assist in meeting Australia’s international obligations including under the FATF Recommendations (within the meaning of section</w:t>
      </w:r>
      <w:r w:rsidR="002F2B52" w:rsidRPr="0049400B">
        <w:t> </w:t>
      </w:r>
      <w:r w:rsidRPr="0049400B">
        <w:t xml:space="preserve">5 of the </w:t>
      </w:r>
      <w:r w:rsidRPr="0049400B">
        <w:rPr>
          <w:i/>
        </w:rPr>
        <w:t>Anti</w:t>
      </w:r>
      <w:r w:rsidR="0049400B">
        <w:rPr>
          <w:i/>
        </w:rPr>
        <w:noBreakHyphen/>
      </w:r>
      <w:r w:rsidRPr="0049400B">
        <w:rPr>
          <w:i/>
        </w:rPr>
        <w:t>Money Laundering and Counter</w:t>
      </w:r>
      <w:r w:rsidR="0049400B">
        <w:rPr>
          <w:i/>
        </w:rPr>
        <w:noBreakHyphen/>
      </w:r>
      <w:r w:rsidRPr="0049400B">
        <w:rPr>
          <w:i/>
        </w:rPr>
        <w:t>Terrorism Financing Act 2006</w:t>
      </w:r>
      <w:r w:rsidRPr="0049400B">
        <w:t>).</w:t>
      </w:r>
    </w:p>
    <w:p w:rsidR="00276009" w:rsidRPr="0049400B" w:rsidRDefault="00276009" w:rsidP="00276009">
      <w:pPr>
        <w:pStyle w:val="SOText"/>
      </w:pPr>
      <w:r w:rsidRPr="0049400B">
        <w:t>The steps a registered entity will need to take to comply with the standards will vary according to its particular circumstances, such as its size, the sources of its funding, the nature of its activities (including the extent and importance of its activities outside Australia and resources given to parties outside Australia) and the needs of the public (including members, donors, employees, volunteers and benefit recipients of the registered entity).</w:t>
      </w:r>
    </w:p>
    <w:p w:rsidR="00276009" w:rsidRPr="0049400B" w:rsidRDefault="00276009" w:rsidP="00276009">
      <w:pPr>
        <w:pStyle w:val="SOText"/>
      </w:pPr>
      <w:r w:rsidRPr="0049400B">
        <w:t>The requirements in the external conduct standards are to be interpreted having regard to the objects of the Act and the matters the Commissioner must consider in exercising the Commissioner’s powers as listed in section</w:t>
      </w:r>
      <w:r w:rsidR="002F2B52" w:rsidRPr="0049400B">
        <w:t> </w:t>
      </w:r>
      <w:r w:rsidRPr="0049400B">
        <w:t>15</w:t>
      </w:r>
      <w:r w:rsidR="0049400B">
        <w:noBreakHyphen/>
      </w:r>
      <w:r w:rsidRPr="0049400B">
        <w:t>10 of the Act (in particular, the principles of regulatory necessity, reflecting risk and proportionate regulation, as well as the unique nature and diversity of not</w:t>
      </w:r>
      <w:r w:rsidR="0049400B">
        <w:noBreakHyphen/>
      </w:r>
      <w:r w:rsidRPr="0049400B">
        <w:t>for</w:t>
      </w:r>
      <w:r w:rsidR="0049400B">
        <w:noBreakHyphen/>
      </w:r>
      <w:r w:rsidRPr="0049400B">
        <w:t>profit entities and the distinctive role that they play in Australia).</w:t>
      </w:r>
    </w:p>
    <w:p w:rsidR="00276009" w:rsidRPr="0049400B" w:rsidRDefault="00276009" w:rsidP="00276009">
      <w:pPr>
        <w:pStyle w:val="SOText"/>
      </w:pPr>
      <w:r w:rsidRPr="0049400B">
        <w:t>The objects of the Act are: to maintain, protect and enhance public trust and confidence in the Australian not</w:t>
      </w:r>
      <w:r w:rsidR="0049400B">
        <w:noBreakHyphen/>
      </w:r>
      <w:r w:rsidRPr="0049400B">
        <w:t>for</w:t>
      </w:r>
      <w:r w:rsidR="0049400B">
        <w:noBreakHyphen/>
      </w:r>
      <w:r w:rsidRPr="0049400B">
        <w:t>profit sector; to support and sustain a robust, vibrant, independent and innovative Australian not</w:t>
      </w:r>
      <w:r w:rsidR="0049400B">
        <w:noBreakHyphen/>
      </w:r>
      <w:r w:rsidRPr="0049400B">
        <w:t>for</w:t>
      </w:r>
      <w:r w:rsidR="0049400B">
        <w:noBreakHyphen/>
      </w:r>
      <w:r w:rsidRPr="0049400B">
        <w:t>profit sector; and to promote the reduction of unnecessary regulatory obligations on the Australian not</w:t>
      </w:r>
      <w:r w:rsidR="0049400B">
        <w:noBreakHyphen/>
      </w:r>
      <w:r w:rsidRPr="0049400B">
        <w:t>for</w:t>
      </w:r>
      <w:r w:rsidR="0049400B">
        <w:noBreakHyphen/>
      </w:r>
      <w:r w:rsidRPr="0049400B">
        <w:t>profit sector.</w:t>
      </w:r>
    </w:p>
    <w:p w:rsidR="00276009" w:rsidRPr="0049400B" w:rsidRDefault="00276009" w:rsidP="00276009">
      <w:pPr>
        <w:pStyle w:val="ActHead5"/>
      </w:pPr>
      <w:bookmarkStart w:id="41" w:name="_Toc81905189"/>
      <w:r w:rsidRPr="0049400B">
        <w:rPr>
          <w:rStyle w:val="CharSectno"/>
        </w:rPr>
        <w:t>50.2</w:t>
      </w:r>
      <w:r w:rsidRPr="0049400B">
        <w:t xml:space="preserve">  Interpretation</w:t>
      </w:r>
      <w:bookmarkEnd w:id="41"/>
    </w:p>
    <w:p w:rsidR="00276009" w:rsidRPr="0049400B" w:rsidRDefault="00276009" w:rsidP="00276009">
      <w:pPr>
        <w:pStyle w:val="subsection"/>
      </w:pPr>
      <w:r w:rsidRPr="0049400B">
        <w:tab/>
      </w:r>
      <w:r w:rsidRPr="0049400B">
        <w:tab/>
        <w:t>In this Division, the external conduct standards in Subdivisions</w:t>
      </w:r>
      <w:r w:rsidR="002F2B52" w:rsidRPr="0049400B">
        <w:t> </w:t>
      </w:r>
      <w:r w:rsidRPr="0049400B">
        <w:t>50</w:t>
      </w:r>
      <w:r w:rsidR="0049400B">
        <w:noBreakHyphen/>
      </w:r>
      <w:r w:rsidRPr="0049400B">
        <w:t>B and 50</w:t>
      </w:r>
      <w:r w:rsidR="0049400B">
        <w:noBreakHyphen/>
      </w:r>
      <w:r w:rsidRPr="0049400B">
        <w:t>C must be interpreted in a way that is consistent with the objects of the Act and the requirements of section</w:t>
      </w:r>
      <w:r w:rsidR="002F2B52" w:rsidRPr="0049400B">
        <w:t> </w:t>
      </w:r>
      <w:r w:rsidRPr="0049400B">
        <w:t>15</w:t>
      </w:r>
      <w:r w:rsidR="0049400B">
        <w:noBreakHyphen/>
      </w:r>
      <w:r w:rsidRPr="0049400B">
        <w:t>10 of the Act.</w:t>
      </w:r>
    </w:p>
    <w:p w:rsidR="00276009" w:rsidRPr="0049400B" w:rsidRDefault="00276009" w:rsidP="00276009">
      <w:pPr>
        <w:pStyle w:val="ActHead5"/>
      </w:pPr>
      <w:bookmarkStart w:id="42" w:name="_Toc81905190"/>
      <w:r w:rsidRPr="0049400B">
        <w:rPr>
          <w:rStyle w:val="CharSectno"/>
        </w:rPr>
        <w:t>50.3</w:t>
      </w:r>
      <w:r w:rsidRPr="0049400B">
        <w:t xml:space="preserve">  Application</w:t>
      </w:r>
      <w:bookmarkEnd w:id="42"/>
    </w:p>
    <w:p w:rsidR="00276009" w:rsidRPr="0049400B" w:rsidRDefault="00276009" w:rsidP="00276009">
      <w:pPr>
        <w:pStyle w:val="subsection"/>
      </w:pPr>
      <w:r w:rsidRPr="0049400B">
        <w:tab/>
      </w:r>
      <w:r w:rsidRPr="0049400B">
        <w:tab/>
        <w:t>For the purposes of section</w:t>
      </w:r>
      <w:r w:rsidR="002F2B52" w:rsidRPr="0049400B">
        <w:t> </w:t>
      </w:r>
      <w:r w:rsidRPr="0049400B">
        <w:t>50</w:t>
      </w:r>
      <w:r w:rsidR="0049400B">
        <w:noBreakHyphen/>
      </w:r>
      <w:r w:rsidRPr="0049400B">
        <w:t>10 of the Act, the external conduct standards in Subdivisions</w:t>
      </w:r>
      <w:r w:rsidR="002F2B52" w:rsidRPr="0049400B">
        <w:t> </w:t>
      </w:r>
      <w:r w:rsidRPr="0049400B">
        <w:t>50</w:t>
      </w:r>
      <w:r w:rsidR="0049400B">
        <w:noBreakHyphen/>
      </w:r>
      <w:r w:rsidRPr="0049400B">
        <w:t>B and 50</w:t>
      </w:r>
      <w:r w:rsidR="0049400B">
        <w:noBreakHyphen/>
      </w:r>
      <w:r w:rsidRPr="0049400B">
        <w:t>C are specified.</w:t>
      </w:r>
    </w:p>
    <w:p w:rsidR="00276009" w:rsidRPr="0049400B" w:rsidRDefault="00276009" w:rsidP="00276009">
      <w:pPr>
        <w:pStyle w:val="ActHead5"/>
      </w:pPr>
      <w:bookmarkStart w:id="43" w:name="_Toc81905191"/>
      <w:r w:rsidRPr="0049400B">
        <w:rPr>
          <w:rStyle w:val="CharSectno"/>
        </w:rPr>
        <w:t>50.4</w:t>
      </w:r>
      <w:r w:rsidRPr="0049400B">
        <w:t xml:space="preserve">  Application—operating outside Australia</w:t>
      </w:r>
      <w:bookmarkEnd w:id="43"/>
    </w:p>
    <w:p w:rsidR="00276009" w:rsidRPr="0049400B" w:rsidRDefault="00276009" w:rsidP="00276009">
      <w:pPr>
        <w:pStyle w:val="subsection"/>
      </w:pPr>
      <w:r w:rsidRPr="0049400B">
        <w:tab/>
        <w:t>(1)</w:t>
      </w:r>
      <w:r w:rsidRPr="0049400B">
        <w:tab/>
        <w:t>For the purposes of this Division, a registered entity, or a third party, operates outside Australia if it operates outside Australia in whole or in part.</w:t>
      </w:r>
    </w:p>
    <w:p w:rsidR="00276009" w:rsidRPr="0049400B" w:rsidRDefault="00276009" w:rsidP="00276009">
      <w:pPr>
        <w:pStyle w:val="subsection"/>
      </w:pPr>
      <w:r w:rsidRPr="0049400B">
        <w:tab/>
        <w:t>(2)</w:t>
      </w:r>
      <w:r w:rsidRPr="0049400B">
        <w:tab/>
        <w:t>However, a registered entity does not operate outside Australia only because it carries out activities outside Australia (including providing funds to be used outside Australia) that are directly related to the pursuit of the registered entity’s purposes in Australia and merely incidental to its operations in Australia.</w:t>
      </w:r>
    </w:p>
    <w:p w:rsidR="00276009" w:rsidRPr="0049400B" w:rsidRDefault="00276009" w:rsidP="00276009">
      <w:pPr>
        <w:pStyle w:val="ActHead4"/>
      </w:pPr>
      <w:bookmarkStart w:id="44" w:name="_Toc81905192"/>
      <w:r w:rsidRPr="0049400B">
        <w:rPr>
          <w:rStyle w:val="CharSubdNo"/>
        </w:rPr>
        <w:t>Subdivision</w:t>
      </w:r>
      <w:r w:rsidR="002F2B52" w:rsidRPr="0049400B">
        <w:rPr>
          <w:rStyle w:val="CharSubdNo"/>
        </w:rPr>
        <w:t> </w:t>
      </w:r>
      <w:r w:rsidRPr="0049400B">
        <w:rPr>
          <w:rStyle w:val="CharSubdNo"/>
        </w:rPr>
        <w:t>50</w:t>
      </w:r>
      <w:r w:rsidR="0049400B" w:rsidRPr="0049400B">
        <w:rPr>
          <w:rStyle w:val="CharSubdNo"/>
        </w:rPr>
        <w:noBreakHyphen/>
      </w:r>
      <w:r w:rsidRPr="0049400B">
        <w:rPr>
          <w:rStyle w:val="CharSubdNo"/>
        </w:rPr>
        <w:t>B</w:t>
      </w:r>
      <w:r w:rsidRPr="0049400B">
        <w:t>—</w:t>
      </w:r>
      <w:r w:rsidRPr="0049400B">
        <w:rPr>
          <w:rStyle w:val="CharSubdText"/>
        </w:rPr>
        <w:t>Standards about public accountability and financial matters</w:t>
      </w:r>
      <w:bookmarkEnd w:id="44"/>
    </w:p>
    <w:p w:rsidR="00276009" w:rsidRPr="0049400B" w:rsidRDefault="00276009" w:rsidP="00276009">
      <w:pPr>
        <w:pStyle w:val="ActHead5"/>
      </w:pPr>
      <w:bookmarkStart w:id="45" w:name="_Toc81905193"/>
      <w:r w:rsidRPr="0049400B">
        <w:rPr>
          <w:rStyle w:val="CharSectno"/>
        </w:rPr>
        <w:t>50.20</w:t>
      </w:r>
      <w:r w:rsidRPr="0049400B">
        <w:t xml:space="preserve">  Standard 1—Activities and control of resources (including funds)</w:t>
      </w:r>
      <w:bookmarkEnd w:id="45"/>
    </w:p>
    <w:p w:rsidR="00276009" w:rsidRPr="0049400B" w:rsidRDefault="00276009" w:rsidP="00276009">
      <w:pPr>
        <w:pStyle w:val="SubsectionHead"/>
      </w:pPr>
      <w:r w:rsidRPr="0049400B">
        <w:t>Object</w:t>
      </w:r>
    </w:p>
    <w:p w:rsidR="00276009" w:rsidRPr="0049400B" w:rsidRDefault="00276009" w:rsidP="00276009">
      <w:pPr>
        <w:pStyle w:val="subsection"/>
      </w:pPr>
      <w:r w:rsidRPr="0049400B">
        <w:tab/>
        <w:t>(1)</w:t>
      </w:r>
      <w:r w:rsidRPr="0049400B">
        <w:tab/>
        <w:t>The object of this external conduct standard is to give the public (including members, donors, employees, volunteers and benefit recipients of a registered entity to which the standard applies) confidence that a registered entity is managed in a way that:</w:t>
      </w:r>
    </w:p>
    <w:p w:rsidR="00276009" w:rsidRPr="0049400B" w:rsidRDefault="00276009" w:rsidP="00276009">
      <w:pPr>
        <w:pStyle w:val="paragraph"/>
      </w:pPr>
      <w:r w:rsidRPr="0049400B">
        <w:tab/>
        <w:t>(a)</w:t>
      </w:r>
      <w:r w:rsidRPr="0049400B">
        <w:tab/>
        <w:t>ensures that the registered entity remains solvent; and</w:t>
      </w:r>
    </w:p>
    <w:p w:rsidR="00276009" w:rsidRPr="0049400B" w:rsidRDefault="00276009" w:rsidP="00276009">
      <w:pPr>
        <w:pStyle w:val="paragraph"/>
      </w:pPr>
      <w:r w:rsidRPr="0049400B">
        <w:tab/>
        <w:t>(b)</w:t>
      </w:r>
      <w:r w:rsidRPr="0049400B">
        <w:tab/>
        <w:t>minimises the risks to the registered entity’s assets; and</w:t>
      </w:r>
    </w:p>
    <w:p w:rsidR="00276009" w:rsidRPr="0049400B" w:rsidRDefault="00276009" w:rsidP="00276009">
      <w:pPr>
        <w:pStyle w:val="paragraph"/>
      </w:pPr>
      <w:r w:rsidRPr="0049400B">
        <w:tab/>
        <w:t>(c)</w:t>
      </w:r>
      <w:r w:rsidRPr="0049400B">
        <w:tab/>
        <w:t>ensures that the registered entity, and its resources, are furthering the registered entity’s purposes; and</w:t>
      </w:r>
    </w:p>
    <w:p w:rsidR="00276009" w:rsidRPr="0049400B" w:rsidRDefault="00276009" w:rsidP="00276009">
      <w:pPr>
        <w:pStyle w:val="paragraph"/>
      </w:pPr>
      <w:r w:rsidRPr="0049400B">
        <w:tab/>
        <w:t>(d)</w:t>
      </w:r>
      <w:r w:rsidRPr="0049400B">
        <w:tab/>
        <w:t>ensures that the registered entity is operating in a way that is consistent with its purpose and character as a not</w:t>
      </w:r>
      <w:r w:rsidR="0049400B">
        <w:noBreakHyphen/>
      </w:r>
      <w:r w:rsidRPr="0049400B">
        <w:t>for</w:t>
      </w:r>
      <w:r w:rsidR="0049400B">
        <w:noBreakHyphen/>
      </w:r>
      <w:r w:rsidRPr="0049400B">
        <w:t>profit entity.</w:t>
      </w:r>
    </w:p>
    <w:p w:rsidR="00276009" w:rsidRPr="0049400B" w:rsidRDefault="00276009" w:rsidP="00276009">
      <w:pPr>
        <w:pStyle w:val="SubsectionHead"/>
      </w:pPr>
      <w:r w:rsidRPr="0049400B">
        <w:t>Application</w:t>
      </w:r>
    </w:p>
    <w:p w:rsidR="00276009" w:rsidRPr="0049400B" w:rsidRDefault="00276009" w:rsidP="00276009">
      <w:pPr>
        <w:pStyle w:val="subsection"/>
      </w:pPr>
      <w:r w:rsidRPr="0049400B">
        <w:tab/>
        <w:t>(2)</w:t>
      </w:r>
      <w:r w:rsidRPr="0049400B">
        <w:tab/>
        <w:t>This standard applies to a registered entity that is:</w:t>
      </w:r>
    </w:p>
    <w:p w:rsidR="00276009" w:rsidRPr="0049400B" w:rsidRDefault="00276009" w:rsidP="00276009">
      <w:pPr>
        <w:pStyle w:val="paragraph"/>
      </w:pPr>
      <w:r w:rsidRPr="0049400B">
        <w:tab/>
        <w:t>(a)</w:t>
      </w:r>
      <w:r w:rsidRPr="0049400B">
        <w:tab/>
        <w:t>operating outside Australia; or</w:t>
      </w:r>
    </w:p>
    <w:p w:rsidR="00276009" w:rsidRPr="0049400B" w:rsidRDefault="00276009" w:rsidP="00276009">
      <w:pPr>
        <w:pStyle w:val="paragraph"/>
      </w:pPr>
      <w:r w:rsidRPr="0049400B">
        <w:tab/>
        <w:t>(b)</w:t>
      </w:r>
      <w:r w:rsidRPr="0049400B">
        <w:tab/>
        <w:t>working with third parties that are operating outside Australia.</w:t>
      </w:r>
    </w:p>
    <w:p w:rsidR="00276009" w:rsidRPr="0049400B" w:rsidRDefault="00276009" w:rsidP="00276009">
      <w:pPr>
        <w:pStyle w:val="SubsectionHead"/>
      </w:pPr>
      <w:r w:rsidRPr="0049400B">
        <w:t>Standard</w:t>
      </w:r>
    </w:p>
    <w:p w:rsidR="00276009" w:rsidRPr="0049400B" w:rsidRDefault="00276009" w:rsidP="00276009">
      <w:pPr>
        <w:pStyle w:val="subsection"/>
      </w:pPr>
      <w:r w:rsidRPr="0049400B">
        <w:tab/>
        <w:t>(3)</w:t>
      </w:r>
      <w:r w:rsidRPr="0049400B">
        <w:tab/>
        <w:t>The registered entity must:</w:t>
      </w:r>
    </w:p>
    <w:p w:rsidR="00276009" w:rsidRPr="0049400B" w:rsidRDefault="00276009" w:rsidP="00276009">
      <w:pPr>
        <w:pStyle w:val="paragraph"/>
      </w:pPr>
      <w:r w:rsidRPr="0049400B">
        <w:tab/>
        <w:t>(a)</w:t>
      </w:r>
      <w:r w:rsidRPr="0049400B">
        <w:tab/>
        <w:t>take reasonable steps to ensure that its activities outside Australia are carried out in a way that is consistent with its purpose and character as a not</w:t>
      </w:r>
      <w:r w:rsidR="0049400B">
        <w:noBreakHyphen/>
      </w:r>
      <w:r w:rsidRPr="0049400B">
        <w:t>for</w:t>
      </w:r>
      <w:r w:rsidR="0049400B">
        <w:noBreakHyphen/>
      </w:r>
      <w:r w:rsidRPr="0049400B">
        <w:t>profit entity; and</w:t>
      </w:r>
    </w:p>
    <w:p w:rsidR="00276009" w:rsidRPr="0049400B" w:rsidRDefault="00276009" w:rsidP="00276009">
      <w:pPr>
        <w:pStyle w:val="paragraph"/>
      </w:pPr>
      <w:r w:rsidRPr="0049400B">
        <w:tab/>
        <w:t>(b)</w:t>
      </w:r>
      <w:r w:rsidRPr="0049400B">
        <w:tab/>
        <w:t>maintain reasonable internal control procedures to ensure that resources (including funds) are used outside Australia in a way that is consistent with its purpose and character as a not</w:t>
      </w:r>
      <w:r w:rsidR="0049400B">
        <w:noBreakHyphen/>
      </w:r>
      <w:r w:rsidRPr="0049400B">
        <w:t>for</w:t>
      </w:r>
      <w:r w:rsidR="0049400B">
        <w:noBreakHyphen/>
      </w:r>
      <w:r w:rsidRPr="0049400B">
        <w:t>profit entity; and</w:t>
      </w:r>
    </w:p>
    <w:p w:rsidR="00276009" w:rsidRPr="0049400B" w:rsidRDefault="00276009" w:rsidP="00276009">
      <w:pPr>
        <w:pStyle w:val="paragraph"/>
      </w:pPr>
      <w:r w:rsidRPr="0049400B">
        <w:tab/>
        <w:t>(c)</w:t>
      </w:r>
      <w:r w:rsidRPr="0049400B">
        <w:tab/>
        <w:t>take reasonable steps to ensure that the resources (including funds) given to third parties outside Australia (or within Australia for use outside Australia) are applied:</w:t>
      </w:r>
    </w:p>
    <w:p w:rsidR="00276009" w:rsidRPr="0049400B" w:rsidRDefault="00276009" w:rsidP="00276009">
      <w:pPr>
        <w:pStyle w:val="paragraphsub"/>
      </w:pPr>
      <w:r w:rsidRPr="0049400B">
        <w:tab/>
        <w:t>(i)</w:t>
      </w:r>
      <w:r w:rsidRPr="0049400B">
        <w:tab/>
        <w:t>in accordance with the entity’s purpose and character as a not</w:t>
      </w:r>
      <w:r w:rsidR="0049400B">
        <w:noBreakHyphen/>
      </w:r>
      <w:r w:rsidRPr="0049400B">
        <w:t>for</w:t>
      </w:r>
      <w:r w:rsidR="0049400B">
        <w:noBreakHyphen/>
      </w:r>
      <w:r w:rsidRPr="0049400B">
        <w:t>profit entity; and</w:t>
      </w:r>
    </w:p>
    <w:p w:rsidR="00276009" w:rsidRPr="0049400B" w:rsidRDefault="00276009" w:rsidP="00276009">
      <w:pPr>
        <w:pStyle w:val="paragraphsub"/>
      </w:pPr>
      <w:r w:rsidRPr="0049400B">
        <w:tab/>
        <w:t>(ii)</w:t>
      </w:r>
      <w:r w:rsidRPr="0049400B">
        <w:tab/>
        <w:t>with reasonable controls and risk management processes in place.</w:t>
      </w:r>
    </w:p>
    <w:p w:rsidR="00276009" w:rsidRPr="0049400B" w:rsidRDefault="00276009" w:rsidP="00276009">
      <w:pPr>
        <w:pStyle w:val="notetext"/>
      </w:pPr>
      <w:r w:rsidRPr="0049400B">
        <w:t>Note:</w:t>
      </w:r>
      <w:r w:rsidRPr="0049400B">
        <w:tab/>
      </w:r>
      <w:r w:rsidR="002F2B52" w:rsidRPr="0049400B">
        <w:t>Paragraphs (</w:t>
      </w:r>
      <w:r w:rsidRPr="0049400B">
        <w:t xml:space="preserve">a) and (b) are intended to ensure that a registered entity has procedures in place to manage the risks associated with its own operations and activities. </w:t>
      </w:r>
      <w:r w:rsidR="002F2B52" w:rsidRPr="0049400B">
        <w:t>Paragraph (</w:t>
      </w:r>
      <w:r w:rsidRPr="0049400B">
        <w:t>c) is intended to ensure that reasonable controls are in place with respect to resources given to third parties.</w:t>
      </w:r>
    </w:p>
    <w:p w:rsidR="00276009" w:rsidRPr="0049400B" w:rsidRDefault="00276009" w:rsidP="00276009">
      <w:pPr>
        <w:pStyle w:val="subsection"/>
      </w:pPr>
      <w:r w:rsidRPr="0049400B">
        <w:tab/>
        <w:t>(4)</w:t>
      </w:r>
      <w:r w:rsidRPr="0049400B">
        <w:tab/>
        <w:t>The registered entity must comply, in relation to its activities outside Australia, with Australian laws relating to any of the following:</w:t>
      </w:r>
    </w:p>
    <w:p w:rsidR="00276009" w:rsidRPr="0049400B" w:rsidRDefault="00276009" w:rsidP="00276009">
      <w:pPr>
        <w:pStyle w:val="paragraph"/>
      </w:pPr>
      <w:r w:rsidRPr="0049400B">
        <w:tab/>
        <w:t>(a)</w:t>
      </w:r>
      <w:r w:rsidRPr="0049400B">
        <w:tab/>
        <w:t>money laundering;</w:t>
      </w:r>
    </w:p>
    <w:p w:rsidR="00276009" w:rsidRPr="0049400B" w:rsidRDefault="00276009" w:rsidP="00276009">
      <w:pPr>
        <w:pStyle w:val="paragraph"/>
      </w:pPr>
      <w:r w:rsidRPr="0049400B">
        <w:tab/>
        <w:t>(b)</w:t>
      </w:r>
      <w:r w:rsidRPr="0049400B">
        <w:tab/>
        <w:t>the financing of terrorism;</w:t>
      </w:r>
    </w:p>
    <w:p w:rsidR="00276009" w:rsidRPr="0049400B" w:rsidRDefault="00276009" w:rsidP="00276009">
      <w:pPr>
        <w:pStyle w:val="paragraph"/>
      </w:pPr>
      <w:r w:rsidRPr="0049400B">
        <w:tab/>
        <w:t>(c)</w:t>
      </w:r>
      <w:r w:rsidRPr="0049400B">
        <w:tab/>
        <w:t>sexual offences against children;</w:t>
      </w:r>
    </w:p>
    <w:p w:rsidR="00276009" w:rsidRPr="0049400B" w:rsidRDefault="00276009" w:rsidP="00276009">
      <w:pPr>
        <w:pStyle w:val="paragraph"/>
      </w:pPr>
      <w:r w:rsidRPr="0049400B">
        <w:tab/>
        <w:t>(d)</w:t>
      </w:r>
      <w:r w:rsidRPr="0049400B">
        <w:tab/>
        <w:t>slavery and slavery</w:t>
      </w:r>
      <w:r w:rsidR="0049400B">
        <w:noBreakHyphen/>
      </w:r>
      <w:r w:rsidRPr="0049400B">
        <w:t>like conditions;</w:t>
      </w:r>
    </w:p>
    <w:p w:rsidR="00276009" w:rsidRPr="0049400B" w:rsidRDefault="00276009" w:rsidP="00276009">
      <w:pPr>
        <w:pStyle w:val="paragraph"/>
      </w:pPr>
      <w:r w:rsidRPr="0049400B">
        <w:tab/>
        <w:t>(e)</w:t>
      </w:r>
      <w:r w:rsidRPr="0049400B">
        <w:tab/>
        <w:t>trafficking in individuals and debt bondage;</w:t>
      </w:r>
    </w:p>
    <w:p w:rsidR="00276009" w:rsidRPr="0049400B" w:rsidRDefault="00276009" w:rsidP="00276009">
      <w:pPr>
        <w:pStyle w:val="paragraph"/>
      </w:pPr>
      <w:r w:rsidRPr="0049400B">
        <w:tab/>
        <w:t>(f)</w:t>
      </w:r>
      <w:r w:rsidRPr="0049400B">
        <w:tab/>
        <w:t>people smuggling;</w:t>
      </w:r>
    </w:p>
    <w:p w:rsidR="00276009" w:rsidRPr="0049400B" w:rsidRDefault="00276009" w:rsidP="00276009">
      <w:pPr>
        <w:pStyle w:val="paragraph"/>
      </w:pPr>
      <w:r w:rsidRPr="0049400B">
        <w:tab/>
        <w:t>(g)</w:t>
      </w:r>
      <w:r w:rsidRPr="0049400B">
        <w:tab/>
        <w:t>international sanctions;</w:t>
      </w:r>
    </w:p>
    <w:p w:rsidR="00276009" w:rsidRPr="0049400B" w:rsidRDefault="00276009" w:rsidP="00276009">
      <w:pPr>
        <w:pStyle w:val="paragraph"/>
      </w:pPr>
      <w:r w:rsidRPr="0049400B">
        <w:tab/>
        <w:t>(h)</w:t>
      </w:r>
      <w:r w:rsidRPr="0049400B">
        <w:tab/>
        <w:t>taxation;</w:t>
      </w:r>
    </w:p>
    <w:p w:rsidR="00276009" w:rsidRPr="0049400B" w:rsidRDefault="00276009" w:rsidP="00276009">
      <w:pPr>
        <w:pStyle w:val="paragraph"/>
      </w:pPr>
      <w:r w:rsidRPr="0049400B">
        <w:tab/>
        <w:t>(i)</w:t>
      </w:r>
      <w:r w:rsidRPr="0049400B">
        <w:tab/>
        <w:t>bribery.</w:t>
      </w:r>
    </w:p>
    <w:p w:rsidR="00276009" w:rsidRPr="0049400B" w:rsidRDefault="00276009" w:rsidP="00276009">
      <w:pPr>
        <w:pStyle w:val="subsection"/>
      </w:pPr>
      <w:r w:rsidRPr="0049400B">
        <w:tab/>
        <w:t>(5)</w:t>
      </w:r>
      <w:r w:rsidRPr="0049400B">
        <w:tab/>
        <w:t xml:space="preserve">The registered entity must maintain reasonable internal control procedures to ensure compliance with </w:t>
      </w:r>
      <w:r w:rsidR="002F2B52" w:rsidRPr="0049400B">
        <w:t>subsection (</w:t>
      </w:r>
      <w:r w:rsidRPr="0049400B">
        <w:t>4).</w:t>
      </w:r>
    </w:p>
    <w:p w:rsidR="00276009" w:rsidRPr="0049400B" w:rsidRDefault="00276009" w:rsidP="00276009">
      <w:pPr>
        <w:pStyle w:val="ActHead5"/>
      </w:pPr>
      <w:bookmarkStart w:id="46" w:name="_Toc81905194"/>
      <w:r w:rsidRPr="0049400B">
        <w:rPr>
          <w:rStyle w:val="CharSectno"/>
        </w:rPr>
        <w:t>50.25</w:t>
      </w:r>
      <w:r w:rsidRPr="0049400B">
        <w:t xml:space="preserve">  Standard 2—Annual review of overseas activities and record</w:t>
      </w:r>
      <w:r w:rsidR="0049400B">
        <w:noBreakHyphen/>
      </w:r>
      <w:r w:rsidRPr="0049400B">
        <w:t>keeping</w:t>
      </w:r>
      <w:bookmarkEnd w:id="46"/>
    </w:p>
    <w:p w:rsidR="00276009" w:rsidRPr="0049400B" w:rsidRDefault="00276009" w:rsidP="00276009">
      <w:pPr>
        <w:pStyle w:val="SubsectionHead"/>
      </w:pPr>
      <w:r w:rsidRPr="0049400B">
        <w:t>Object</w:t>
      </w:r>
    </w:p>
    <w:p w:rsidR="00276009" w:rsidRPr="0049400B" w:rsidRDefault="00276009" w:rsidP="00276009">
      <w:pPr>
        <w:pStyle w:val="subsection"/>
      </w:pPr>
      <w:r w:rsidRPr="0049400B">
        <w:tab/>
        <w:t>(1)</w:t>
      </w:r>
      <w:r w:rsidRPr="0049400B">
        <w:tab/>
        <w:t>The object of this external conduct standard is to ensure that a registered entity to which the standard applies is transparent and accountable to the public in relation to its activities carried out outside Australia.</w:t>
      </w:r>
    </w:p>
    <w:p w:rsidR="00276009" w:rsidRPr="0049400B" w:rsidRDefault="00276009" w:rsidP="00276009">
      <w:pPr>
        <w:pStyle w:val="SubsectionHead"/>
      </w:pPr>
      <w:r w:rsidRPr="0049400B">
        <w:t>Application</w:t>
      </w:r>
    </w:p>
    <w:p w:rsidR="00276009" w:rsidRPr="0049400B" w:rsidRDefault="00276009" w:rsidP="00276009">
      <w:pPr>
        <w:pStyle w:val="subsection"/>
      </w:pPr>
      <w:r w:rsidRPr="0049400B">
        <w:tab/>
        <w:t>(2)</w:t>
      </w:r>
      <w:r w:rsidRPr="0049400B">
        <w:tab/>
        <w:t>This standard applies to a registered entity that is:</w:t>
      </w:r>
    </w:p>
    <w:p w:rsidR="00276009" w:rsidRPr="0049400B" w:rsidRDefault="00276009" w:rsidP="00276009">
      <w:pPr>
        <w:pStyle w:val="paragraph"/>
      </w:pPr>
      <w:r w:rsidRPr="0049400B">
        <w:tab/>
        <w:t>(a)</w:t>
      </w:r>
      <w:r w:rsidRPr="0049400B">
        <w:tab/>
        <w:t>operating outside Australia; or</w:t>
      </w:r>
    </w:p>
    <w:p w:rsidR="00276009" w:rsidRPr="0049400B" w:rsidRDefault="00276009" w:rsidP="00276009">
      <w:pPr>
        <w:pStyle w:val="paragraph"/>
      </w:pPr>
      <w:r w:rsidRPr="0049400B">
        <w:tab/>
        <w:t>(b)</w:t>
      </w:r>
      <w:r w:rsidRPr="0049400B">
        <w:tab/>
        <w:t>working with third parties that are operating outside Australia.</w:t>
      </w:r>
    </w:p>
    <w:p w:rsidR="00276009" w:rsidRPr="0049400B" w:rsidRDefault="00276009" w:rsidP="00276009">
      <w:pPr>
        <w:pStyle w:val="SubsectionHead"/>
      </w:pPr>
      <w:r w:rsidRPr="0049400B">
        <w:t>Standard</w:t>
      </w:r>
    </w:p>
    <w:p w:rsidR="00276009" w:rsidRPr="0049400B" w:rsidRDefault="00276009" w:rsidP="00276009">
      <w:pPr>
        <w:pStyle w:val="subsection"/>
      </w:pPr>
      <w:r w:rsidRPr="0049400B">
        <w:tab/>
        <w:t>(3)</w:t>
      </w:r>
      <w:r w:rsidRPr="0049400B">
        <w:tab/>
        <w:t>The registered entity must obtain and keep records necessary to prepare a summary of its activities outside Australia on a country by country basis for each financial year during which it:</w:t>
      </w:r>
    </w:p>
    <w:p w:rsidR="00276009" w:rsidRPr="0049400B" w:rsidRDefault="00276009" w:rsidP="00276009">
      <w:pPr>
        <w:pStyle w:val="paragraph"/>
      </w:pPr>
      <w:r w:rsidRPr="0049400B">
        <w:tab/>
        <w:t>(a)</w:t>
      </w:r>
      <w:r w:rsidRPr="0049400B">
        <w:tab/>
        <w:t>operates outside Australia; or</w:t>
      </w:r>
    </w:p>
    <w:p w:rsidR="00276009" w:rsidRPr="0049400B" w:rsidRDefault="00276009" w:rsidP="00276009">
      <w:pPr>
        <w:pStyle w:val="paragraph"/>
      </w:pPr>
      <w:r w:rsidRPr="0049400B">
        <w:tab/>
        <w:t>(b)</w:t>
      </w:r>
      <w:r w:rsidRPr="0049400B">
        <w:tab/>
        <w:t>gives resources (including funds) to third parties outside Australia (or within Australia for use outside Australia).</w:t>
      </w:r>
    </w:p>
    <w:p w:rsidR="00276009" w:rsidRPr="0049400B" w:rsidRDefault="00276009" w:rsidP="00276009">
      <w:pPr>
        <w:pStyle w:val="notetext"/>
      </w:pPr>
      <w:r w:rsidRPr="0049400B">
        <w:t>Example:</w:t>
      </w:r>
      <w:r w:rsidRPr="0049400B">
        <w:tab/>
        <w:t>Records should be obtained and kept about the following information:</w:t>
      </w:r>
    </w:p>
    <w:p w:rsidR="00276009" w:rsidRPr="0049400B" w:rsidRDefault="00276009" w:rsidP="00276009">
      <w:pPr>
        <w:pStyle w:val="notepara"/>
      </w:pPr>
      <w:r w:rsidRPr="0049400B">
        <w:t>(a)</w:t>
      </w:r>
      <w:r w:rsidRPr="0049400B">
        <w:tab/>
        <w:t>the kinds of activities that the registered entity conducted outside Australia;</w:t>
      </w:r>
    </w:p>
    <w:p w:rsidR="00276009" w:rsidRPr="0049400B" w:rsidRDefault="00276009" w:rsidP="00276009">
      <w:pPr>
        <w:pStyle w:val="notepara"/>
      </w:pPr>
      <w:r w:rsidRPr="0049400B">
        <w:t>(b)</w:t>
      </w:r>
      <w:r w:rsidRPr="0049400B">
        <w:tab/>
        <w:t>details of how the registered entity’s activities outside Australia enabled it to pursue and achieve its purpose;</w:t>
      </w:r>
    </w:p>
    <w:p w:rsidR="00276009" w:rsidRPr="0049400B" w:rsidRDefault="00276009" w:rsidP="00276009">
      <w:pPr>
        <w:pStyle w:val="notepara"/>
      </w:pPr>
      <w:r w:rsidRPr="0049400B">
        <w:t>(c)</w:t>
      </w:r>
      <w:r w:rsidRPr="0049400B">
        <w:tab/>
        <w:t>details of any procedures and processes that the registered entity used to monitor its overseas activities;</w:t>
      </w:r>
    </w:p>
    <w:p w:rsidR="00276009" w:rsidRPr="0049400B" w:rsidRDefault="00276009" w:rsidP="00276009">
      <w:pPr>
        <w:pStyle w:val="notepara"/>
      </w:pPr>
      <w:r w:rsidRPr="0049400B">
        <w:t>(d)</w:t>
      </w:r>
      <w:r w:rsidRPr="0049400B">
        <w:tab/>
        <w:t>a list of the third parties that the registered entity worked with outside Australia;</w:t>
      </w:r>
    </w:p>
    <w:p w:rsidR="00276009" w:rsidRPr="0049400B" w:rsidRDefault="00276009" w:rsidP="00276009">
      <w:pPr>
        <w:pStyle w:val="notepara"/>
      </w:pPr>
      <w:r w:rsidRPr="0049400B">
        <w:t>(e)</w:t>
      </w:r>
      <w:r w:rsidRPr="0049400B">
        <w:tab/>
        <w:t>details of any documented claims of inappropriate behaviour by the registered entity’s employees or responsible entities outside Australia, and subsequent actions taken by the registered entity as a result.</w:t>
      </w:r>
    </w:p>
    <w:p w:rsidR="00276009" w:rsidRPr="0049400B" w:rsidRDefault="00276009" w:rsidP="00276009">
      <w:pPr>
        <w:pStyle w:val="subsection"/>
      </w:pPr>
      <w:r w:rsidRPr="0049400B">
        <w:tab/>
        <w:t>(4)</w:t>
      </w:r>
      <w:r w:rsidRPr="0049400B">
        <w:tab/>
        <w:t>The records obtained and kept must include information on the registered entity’s expenditure relating to its activities outside Australia on a country by country basis for the financial year.</w:t>
      </w:r>
    </w:p>
    <w:p w:rsidR="00276009" w:rsidRPr="0049400B" w:rsidRDefault="00276009" w:rsidP="00276009">
      <w:pPr>
        <w:pStyle w:val="ActHead4"/>
      </w:pPr>
      <w:bookmarkStart w:id="47" w:name="_Toc81905195"/>
      <w:r w:rsidRPr="0049400B">
        <w:rPr>
          <w:rStyle w:val="CharSubdNo"/>
        </w:rPr>
        <w:t>Subdivision</w:t>
      </w:r>
      <w:r w:rsidR="002F2B52" w:rsidRPr="0049400B">
        <w:rPr>
          <w:rStyle w:val="CharSubdNo"/>
        </w:rPr>
        <w:t> </w:t>
      </w:r>
      <w:r w:rsidRPr="0049400B">
        <w:rPr>
          <w:rStyle w:val="CharSubdNo"/>
        </w:rPr>
        <w:t>50</w:t>
      </w:r>
      <w:r w:rsidR="0049400B" w:rsidRPr="0049400B">
        <w:rPr>
          <w:rStyle w:val="CharSubdNo"/>
        </w:rPr>
        <w:noBreakHyphen/>
      </w:r>
      <w:r w:rsidRPr="0049400B">
        <w:rPr>
          <w:rStyle w:val="CharSubdNo"/>
        </w:rPr>
        <w:t>C</w:t>
      </w:r>
      <w:r w:rsidRPr="0049400B">
        <w:t>—</w:t>
      </w:r>
      <w:r w:rsidRPr="0049400B">
        <w:rPr>
          <w:rStyle w:val="CharSubdText"/>
        </w:rPr>
        <w:t>Standards about conduct outside Australia</w:t>
      </w:r>
      <w:bookmarkEnd w:id="47"/>
    </w:p>
    <w:p w:rsidR="00276009" w:rsidRPr="0049400B" w:rsidRDefault="00276009" w:rsidP="00276009">
      <w:pPr>
        <w:pStyle w:val="ActHead5"/>
      </w:pPr>
      <w:bookmarkStart w:id="48" w:name="_Toc81905196"/>
      <w:r w:rsidRPr="0049400B">
        <w:rPr>
          <w:rStyle w:val="CharSectno"/>
        </w:rPr>
        <w:t>50.30</w:t>
      </w:r>
      <w:r w:rsidRPr="0049400B">
        <w:t xml:space="preserve">  Standard 3—Anti</w:t>
      </w:r>
      <w:r w:rsidR="0049400B">
        <w:noBreakHyphen/>
      </w:r>
      <w:r w:rsidRPr="0049400B">
        <w:t>fraud and anti</w:t>
      </w:r>
      <w:r w:rsidR="0049400B">
        <w:noBreakHyphen/>
      </w:r>
      <w:r w:rsidRPr="0049400B">
        <w:t>corruption</w:t>
      </w:r>
      <w:bookmarkEnd w:id="48"/>
    </w:p>
    <w:p w:rsidR="00276009" w:rsidRPr="0049400B" w:rsidRDefault="00276009" w:rsidP="00276009">
      <w:pPr>
        <w:pStyle w:val="SubsectionHead"/>
      </w:pPr>
      <w:r w:rsidRPr="0049400B">
        <w:t>Object</w:t>
      </w:r>
    </w:p>
    <w:p w:rsidR="00276009" w:rsidRPr="0049400B" w:rsidRDefault="00276009" w:rsidP="00276009">
      <w:pPr>
        <w:pStyle w:val="subsection"/>
      </w:pPr>
      <w:r w:rsidRPr="0049400B">
        <w:tab/>
        <w:t>(1)</w:t>
      </w:r>
      <w:r w:rsidRPr="0049400B">
        <w:tab/>
        <w:t>The object of this external conduct standard is to give the public (including members, donors, employees, volunteers and benefit recipients of a registered entity to which the standard applies) confidence that the registered entity is managed in a way that:</w:t>
      </w:r>
    </w:p>
    <w:p w:rsidR="00276009" w:rsidRPr="0049400B" w:rsidRDefault="00276009" w:rsidP="00276009">
      <w:pPr>
        <w:pStyle w:val="paragraph"/>
      </w:pPr>
      <w:r w:rsidRPr="0049400B">
        <w:tab/>
        <w:t>(a)</w:t>
      </w:r>
      <w:r w:rsidRPr="0049400B">
        <w:tab/>
        <w:t>ensures that the registered entity remains solvent; and</w:t>
      </w:r>
    </w:p>
    <w:p w:rsidR="00276009" w:rsidRPr="0049400B" w:rsidRDefault="00276009" w:rsidP="00276009">
      <w:pPr>
        <w:pStyle w:val="paragraph"/>
      </w:pPr>
      <w:r w:rsidRPr="0049400B">
        <w:tab/>
        <w:t>(b)</w:t>
      </w:r>
      <w:r w:rsidRPr="0049400B">
        <w:tab/>
        <w:t>minimises the risks to the registered entity’s assets; and</w:t>
      </w:r>
    </w:p>
    <w:p w:rsidR="00276009" w:rsidRPr="0049400B" w:rsidRDefault="00276009" w:rsidP="00276009">
      <w:pPr>
        <w:pStyle w:val="paragraph"/>
      </w:pPr>
      <w:r w:rsidRPr="0049400B">
        <w:tab/>
        <w:t>(c)</w:t>
      </w:r>
      <w:r w:rsidRPr="0049400B">
        <w:tab/>
        <w:t>ensures that the registered entity, and its resources, are furthering the registered entity’s purposes; and</w:t>
      </w:r>
    </w:p>
    <w:p w:rsidR="00276009" w:rsidRPr="0049400B" w:rsidRDefault="00276009" w:rsidP="00276009">
      <w:pPr>
        <w:pStyle w:val="paragraph"/>
      </w:pPr>
      <w:r w:rsidRPr="0049400B">
        <w:tab/>
        <w:t>(d)</w:t>
      </w:r>
      <w:r w:rsidRPr="0049400B">
        <w:tab/>
        <w:t>ensures that the registered entity is operating in a way that is consistent with its purpose and character as a not</w:t>
      </w:r>
      <w:r w:rsidR="0049400B">
        <w:noBreakHyphen/>
      </w:r>
      <w:r w:rsidRPr="0049400B">
        <w:t>for</w:t>
      </w:r>
      <w:r w:rsidR="0049400B">
        <w:noBreakHyphen/>
      </w:r>
      <w:r w:rsidRPr="0049400B">
        <w:t>profit entity.</w:t>
      </w:r>
    </w:p>
    <w:p w:rsidR="00276009" w:rsidRPr="0049400B" w:rsidRDefault="00276009" w:rsidP="00276009">
      <w:pPr>
        <w:pStyle w:val="SubsectionHead"/>
      </w:pPr>
      <w:r w:rsidRPr="0049400B">
        <w:t>Application</w:t>
      </w:r>
    </w:p>
    <w:p w:rsidR="00276009" w:rsidRPr="0049400B" w:rsidRDefault="00276009" w:rsidP="00276009">
      <w:pPr>
        <w:pStyle w:val="subsection"/>
      </w:pPr>
      <w:r w:rsidRPr="0049400B">
        <w:tab/>
        <w:t>(2)</w:t>
      </w:r>
      <w:r w:rsidRPr="0049400B">
        <w:tab/>
        <w:t>This standard applies to a registered entity that is:</w:t>
      </w:r>
    </w:p>
    <w:p w:rsidR="00276009" w:rsidRPr="0049400B" w:rsidRDefault="00276009" w:rsidP="00276009">
      <w:pPr>
        <w:pStyle w:val="paragraph"/>
      </w:pPr>
      <w:r w:rsidRPr="0049400B">
        <w:tab/>
        <w:t>(a)</w:t>
      </w:r>
      <w:r w:rsidRPr="0049400B">
        <w:tab/>
        <w:t>operating outside Australia; or</w:t>
      </w:r>
    </w:p>
    <w:p w:rsidR="00276009" w:rsidRPr="0049400B" w:rsidRDefault="00276009" w:rsidP="00276009">
      <w:pPr>
        <w:pStyle w:val="paragraph"/>
      </w:pPr>
      <w:r w:rsidRPr="0049400B">
        <w:tab/>
        <w:t>(b)</w:t>
      </w:r>
      <w:r w:rsidRPr="0049400B">
        <w:tab/>
        <w:t>working with third parties that are operating outside Australia.</w:t>
      </w:r>
    </w:p>
    <w:p w:rsidR="00276009" w:rsidRPr="0049400B" w:rsidRDefault="00276009" w:rsidP="00276009">
      <w:pPr>
        <w:pStyle w:val="SubsectionHead"/>
      </w:pPr>
      <w:r w:rsidRPr="0049400B">
        <w:t>Standard</w:t>
      </w:r>
    </w:p>
    <w:p w:rsidR="00276009" w:rsidRPr="0049400B" w:rsidRDefault="00276009" w:rsidP="00276009">
      <w:pPr>
        <w:pStyle w:val="subsection"/>
      </w:pPr>
      <w:r w:rsidRPr="0049400B">
        <w:tab/>
        <w:t>(3)</w:t>
      </w:r>
      <w:r w:rsidRPr="0049400B">
        <w:tab/>
        <w:t>The registered entity must take reasonable steps to:</w:t>
      </w:r>
    </w:p>
    <w:p w:rsidR="00276009" w:rsidRPr="0049400B" w:rsidRDefault="00276009" w:rsidP="00276009">
      <w:pPr>
        <w:pStyle w:val="paragraph"/>
      </w:pPr>
      <w:r w:rsidRPr="0049400B">
        <w:tab/>
        <w:t>(a)</w:t>
      </w:r>
      <w:r w:rsidRPr="0049400B">
        <w:tab/>
        <w:t>minimise any risk of corruption, fraud, bribery or other financial impropriety by its responsible entities, employees, volunteers and third parties outside Australia; and</w:t>
      </w:r>
    </w:p>
    <w:p w:rsidR="00276009" w:rsidRPr="0049400B" w:rsidRDefault="00276009" w:rsidP="00276009">
      <w:pPr>
        <w:pStyle w:val="paragraph"/>
      </w:pPr>
      <w:r w:rsidRPr="0049400B">
        <w:tab/>
        <w:t>(b)</w:t>
      </w:r>
      <w:r w:rsidRPr="0049400B">
        <w:tab/>
        <w:t>identify and document any perceived or actual material conflicts of interest for their employees, volunteers, third parties and responsible entities outside Australia.</w:t>
      </w:r>
    </w:p>
    <w:p w:rsidR="00276009" w:rsidRPr="0049400B" w:rsidRDefault="00276009" w:rsidP="00276009">
      <w:pPr>
        <w:pStyle w:val="notetext"/>
      </w:pPr>
      <w:r w:rsidRPr="0049400B">
        <w:t>Note:</w:t>
      </w:r>
      <w:r w:rsidRPr="0049400B">
        <w:tab/>
        <w:t>A responsible entity of a registered entity must also disclose all material conflicts of interest as one of their duties under governance standard 5—see section</w:t>
      </w:r>
      <w:r w:rsidR="002F2B52" w:rsidRPr="0049400B">
        <w:t> </w:t>
      </w:r>
      <w:r w:rsidRPr="0049400B">
        <w:t>45.25.</w:t>
      </w:r>
    </w:p>
    <w:p w:rsidR="00276009" w:rsidRPr="0049400B" w:rsidRDefault="00276009" w:rsidP="00276009">
      <w:pPr>
        <w:pStyle w:val="ActHead5"/>
      </w:pPr>
      <w:bookmarkStart w:id="49" w:name="_Toc81905197"/>
      <w:r w:rsidRPr="0049400B">
        <w:rPr>
          <w:rStyle w:val="CharSectno"/>
        </w:rPr>
        <w:t>50.35</w:t>
      </w:r>
      <w:r w:rsidRPr="0049400B">
        <w:t xml:space="preserve">  Standard 4—Protection of vulnerable individuals</w:t>
      </w:r>
      <w:bookmarkEnd w:id="49"/>
    </w:p>
    <w:p w:rsidR="00276009" w:rsidRPr="0049400B" w:rsidRDefault="00276009" w:rsidP="00276009">
      <w:pPr>
        <w:pStyle w:val="SubsectionHead"/>
      </w:pPr>
      <w:r w:rsidRPr="0049400B">
        <w:t>Object</w:t>
      </w:r>
    </w:p>
    <w:p w:rsidR="00276009" w:rsidRPr="0049400B" w:rsidRDefault="00276009" w:rsidP="00276009">
      <w:pPr>
        <w:pStyle w:val="subsection"/>
      </w:pPr>
      <w:r w:rsidRPr="0049400B">
        <w:tab/>
        <w:t>(1)</w:t>
      </w:r>
      <w:r w:rsidRPr="0049400B">
        <w:tab/>
        <w:t>The object of this external conduct standard is to ensure that when a registered entity to which the standard applies operates outside Australia, it operates in a manner that minimises the risk to vulnerable individuals of exploitation or abuse.</w:t>
      </w:r>
    </w:p>
    <w:p w:rsidR="00276009" w:rsidRPr="0049400B" w:rsidRDefault="00276009" w:rsidP="00276009">
      <w:pPr>
        <w:pStyle w:val="SubsectionHead"/>
      </w:pPr>
      <w:r w:rsidRPr="0049400B">
        <w:t>Application</w:t>
      </w:r>
    </w:p>
    <w:p w:rsidR="00276009" w:rsidRPr="0049400B" w:rsidRDefault="00276009" w:rsidP="00276009">
      <w:pPr>
        <w:pStyle w:val="subsection"/>
      </w:pPr>
      <w:r w:rsidRPr="0049400B">
        <w:tab/>
        <w:t>(2)</w:t>
      </w:r>
      <w:r w:rsidRPr="0049400B">
        <w:tab/>
        <w:t>This standard applies to a registered entity that is:</w:t>
      </w:r>
    </w:p>
    <w:p w:rsidR="00276009" w:rsidRPr="0049400B" w:rsidRDefault="00276009" w:rsidP="00276009">
      <w:pPr>
        <w:pStyle w:val="paragraph"/>
      </w:pPr>
      <w:r w:rsidRPr="0049400B">
        <w:tab/>
        <w:t>(a)</w:t>
      </w:r>
      <w:r w:rsidRPr="0049400B">
        <w:tab/>
        <w:t>operating outside Australia; or</w:t>
      </w:r>
    </w:p>
    <w:p w:rsidR="00276009" w:rsidRPr="0049400B" w:rsidRDefault="00276009" w:rsidP="00276009">
      <w:pPr>
        <w:pStyle w:val="paragraph"/>
      </w:pPr>
      <w:r w:rsidRPr="0049400B">
        <w:tab/>
        <w:t>(b)</w:t>
      </w:r>
      <w:r w:rsidRPr="0049400B">
        <w:tab/>
        <w:t>working with third parties that are operating outside Australia.</w:t>
      </w:r>
    </w:p>
    <w:p w:rsidR="00276009" w:rsidRPr="0049400B" w:rsidRDefault="00276009" w:rsidP="00276009">
      <w:pPr>
        <w:pStyle w:val="SubsectionHead"/>
      </w:pPr>
      <w:r w:rsidRPr="0049400B">
        <w:t>Standard</w:t>
      </w:r>
    </w:p>
    <w:p w:rsidR="00276009" w:rsidRPr="0049400B" w:rsidRDefault="00276009" w:rsidP="00276009">
      <w:pPr>
        <w:pStyle w:val="subsection"/>
      </w:pPr>
      <w:r w:rsidRPr="0049400B">
        <w:tab/>
        <w:t>(3)</w:t>
      </w:r>
      <w:r w:rsidRPr="0049400B">
        <w:tab/>
        <w:t>The registered entity must take reasonable steps to ensure the safety of vulnerable individuals outside Australia to the extent that those individuals are being provided with services, or accessing benefits, under programs provided by:</w:t>
      </w:r>
    </w:p>
    <w:p w:rsidR="00276009" w:rsidRPr="0049400B" w:rsidRDefault="00276009" w:rsidP="00276009">
      <w:pPr>
        <w:pStyle w:val="paragraph"/>
      </w:pPr>
      <w:r w:rsidRPr="0049400B">
        <w:tab/>
        <w:t>(a)</w:t>
      </w:r>
      <w:r w:rsidRPr="0049400B">
        <w:tab/>
        <w:t>the registered entity; or</w:t>
      </w:r>
    </w:p>
    <w:p w:rsidR="00276009" w:rsidRPr="0049400B" w:rsidRDefault="00276009" w:rsidP="00276009">
      <w:pPr>
        <w:pStyle w:val="paragraph"/>
      </w:pPr>
      <w:r w:rsidRPr="0049400B">
        <w:tab/>
        <w:t>(b)</w:t>
      </w:r>
      <w:r w:rsidRPr="0049400B">
        <w:tab/>
        <w:t>a third party in collaboration with the registered entity.</w:t>
      </w:r>
    </w:p>
    <w:p w:rsidR="00276009" w:rsidRPr="0049400B" w:rsidRDefault="00276009" w:rsidP="00276009">
      <w:pPr>
        <w:pStyle w:val="subsection"/>
      </w:pPr>
      <w:r w:rsidRPr="0049400B">
        <w:tab/>
        <w:t>(4)</w:t>
      </w:r>
      <w:r w:rsidRPr="0049400B">
        <w:tab/>
        <w:t>The registered entity must take reasonable steps to ensure the safety of vulnerable individuals outside Australia to the extent that those individuals are engaged by:</w:t>
      </w:r>
    </w:p>
    <w:p w:rsidR="00276009" w:rsidRPr="0049400B" w:rsidRDefault="00276009" w:rsidP="00276009">
      <w:pPr>
        <w:pStyle w:val="paragraph"/>
      </w:pPr>
      <w:r w:rsidRPr="0049400B">
        <w:tab/>
        <w:t>(a)</w:t>
      </w:r>
      <w:r w:rsidRPr="0049400B">
        <w:tab/>
        <w:t>the registered entity; or</w:t>
      </w:r>
    </w:p>
    <w:p w:rsidR="00276009" w:rsidRPr="0049400B" w:rsidRDefault="00276009" w:rsidP="00276009">
      <w:pPr>
        <w:pStyle w:val="paragraph"/>
      </w:pPr>
      <w:r w:rsidRPr="0049400B">
        <w:tab/>
        <w:t>(b)</w:t>
      </w:r>
      <w:r w:rsidRPr="0049400B">
        <w:tab/>
        <w:t>a third party in collaboration with the registered entity;</w:t>
      </w:r>
    </w:p>
    <w:p w:rsidR="00276009" w:rsidRPr="0049400B" w:rsidRDefault="00276009" w:rsidP="00276009">
      <w:pPr>
        <w:pStyle w:val="subsection2"/>
      </w:pPr>
      <w:r w:rsidRPr="0049400B">
        <w:t>to provide services or benefits on behalf of the registered entity or the third party.</w:t>
      </w:r>
    </w:p>
    <w:p w:rsidR="001D4068" w:rsidRPr="0049400B" w:rsidRDefault="001D4068" w:rsidP="00476272">
      <w:pPr>
        <w:pStyle w:val="ActHead3"/>
        <w:pageBreakBefore/>
      </w:pPr>
      <w:bookmarkStart w:id="50" w:name="_Toc81905198"/>
      <w:r w:rsidRPr="0049400B">
        <w:rPr>
          <w:rStyle w:val="CharDivNo"/>
        </w:rPr>
        <w:t>Division</w:t>
      </w:r>
      <w:r w:rsidR="002F2B52" w:rsidRPr="0049400B">
        <w:rPr>
          <w:rStyle w:val="CharDivNo"/>
        </w:rPr>
        <w:t> </w:t>
      </w:r>
      <w:r w:rsidRPr="0049400B">
        <w:rPr>
          <w:rStyle w:val="CharDivNo"/>
        </w:rPr>
        <w:t>60</w:t>
      </w:r>
      <w:r w:rsidRPr="0049400B">
        <w:t>—</w:t>
      </w:r>
      <w:r w:rsidRPr="0049400B">
        <w:rPr>
          <w:rStyle w:val="CharDivText"/>
        </w:rPr>
        <w:t>Requirements for annual financial reports</w:t>
      </w:r>
      <w:bookmarkEnd w:id="50"/>
    </w:p>
    <w:p w:rsidR="001D4068" w:rsidRPr="0049400B" w:rsidRDefault="001E4BB9" w:rsidP="001D4068">
      <w:pPr>
        <w:pStyle w:val="ActHead4"/>
      </w:pPr>
      <w:bookmarkStart w:id="51" w:name="_Toc81905199"/>
      <w:r w:rsidRPr="0049400B">
        <w:rPr>
          <w:rStyle w:val="CharSubdNo"/>
        </w:rPr>
        <w:t>Subdivision 6</w:t>
      </w:r>
      <w:r w:rsidR="001D4068" w:rsidRPr="0049400B">
        <w:rPr>
          <w:rStyle w:val="CharSubdNo"/>
        </w:rPr>
        <w:t>0</w:t>
      </w:r>
      <w:r w:rsidR="0049400B" w:rsidRPr="0049400B">
        <w:rPr>
          <w:rStyle w:val="CharSubdNo"/>
        </w:rPr>
        <w:noBreakHyphen/>
      </w:r>
      <w:r w:rsidR="001D4068" w:rsidRPr="0049400B">
        <w:rPr>
          <w:rStyle w:val="CharSubdNo"/>
        </w:rPr>
        <w:t>A</w:t>
      </w:r>
      <w:r w:rsidR="001D4068" w:rsidRPr="0049400B">
        <w:t>—</w:t>
      </w:r>
      <w:r w:rsidR="001D4068" w:rsidRPr="0049400B">
        <w:rPr>
          <w:rStyle w:val="CharSubdText"/>
        </w:rPr>
        <w:t>Purpose of Division</w:t>
      </w:r>
      <w:r w:rsidR="002F2B52" w:rsidRPr="0049400B">
        <w:rPr>
          <w:rStyle w:val="CharSubdText"/>
        </w:rPr>
        <w:t> </w:t>
      </w:r>
      <w:r w:rsidR="001D4068" w:rsidRPr="0049400B">
        <w:rPr>
          <w:rStyle w:val="CharSubdText"/>
        </w:rPr>
        <w:t>60</w:t>
      </w:r>
      <w:bookmarkEnd w:id="51"/>
    </w:p>
    <w:p w:rsidR="001D4068" w:rsidRPr="0049400B" w:rsidRDefault="001D4068" w:rsidP="001D4068">
      <w:pPr>
        <w:pStyle w:val="ActHead5"/>
      </w:pPr>
      <w:bookmarkStart w:id="52" w:name="_Toc81905200"/>
      <w:r w:rsidRPr="0049400B">
        <w:rPr>
          <w:rStyle w:val="CharSectno"/>
        </w:rPr>
        <w:t>60.1</w:t>
      </w:r>
      <w:r w:rsidRPr="0049400B">
        <w:t xml:space="preserve">  Purpose</w:t>
      </w:r>
      <w:bookmarkEnd w:id="52"/>
    </w:p>
    <w:p w:rsidR="001D4068" w:rsidRPr="0049400B" w:rsidRDefault="001D4068" w:rsidP="001D4068">
      <w:pPr>
        <w:pStyle w:val="subsection"/>
      </w:pPr>
      <w:r w:rsidRPr="0049400B">
        <w:tab/>
      </w:r>
      <w:r w:rsidRPr="0049400B">
        <w:tab/>
        <w:t>For subsection</w:t>
      </w:r>
      <w:r w:rsidR="002F2B52" w:rsidRPr="0049400B">
        <w:t> </w:t>
      </w:r>
      <w:r w:rsidRPr="0049400B">
        <w:t>60</w:t>
      </w:r>
      <w:r w:rsidR="0049400B">
        <w:noBreakHyphen/>
      </w:r>
      <w:r w:rsidRPr="0049400B">
        <w:t xml:space="preserve">15(1) of the Act, </w:t>
      </w:r>
      <w:r w:rsidR="004A5A19" w:rsidRPr="0049400B">
        <w:t>Subdivisions 60</w:t>
      </w:r>
      <w:r w:rsidR="0049400B">
        <w:noBreakHyphen/>
      </w:r>
      <w:r w:rsidR="004A5A19" w:rsidRPr="0049400B">
        <w:t>B, 60</w:t>
      </w:r>
      <w:r w:rsidR="0049400B">
        <w:noBreakHyphen/>
      </w:r>
      <w:r w:rsidR="004A5A19" w:rsidRPr="0049400B">
        <w:t>C and 60</w:t>
      </w:r>
      <w:r w:rsidR="0049400B">
        <w:noBreakHyphen/>
      </w:r>
      <w:r w:rsidR="004A5A19" w:rsidRPr="0049400B">
        <w:t>D of this Division prescribe</w:t>
      </w:r>
      <w:r w:rsidRPr="0049400B">
        <w:t xml:space="preserve"> requirements for annual financial reports.</w:t>
      </w:r>
    </w:p>
    <w:p w:rsidR="001D4068" w:rsidRPr="0049400B" w:rsidRDefault="001E4BB9" w:rsidP="001D4068">
      <w:pPr>
        <w:pStyle w:val="ActHead4"/>
        <w:rPr>
          <w:color w:val="000000" w:themeColor="text1"/>
        </w:rPr>
      </w:pPr>
      <w:bookmarkStart w:id="53" w:name="_Toc81905201"/>
      <w:r w:rsidRPr="0049400B">
        <w:rPr>
          <w:rStyle w:val="CharSubdNo"/>
        </w:rPr>
        <w:t>Subdivision 6</w:t>
      </w:r>
      <w:r w:rsidR="001D4068" w:rsidRPr="0049400B">
        <w:rPr>
          <w:rStyle w:val="CharSubdNo"/>
        </w:rPr>
        <w:t>0</w:t>
      </w:r>
      <w:r w:rsidR="0049400B" w:rsidRPr="0049400B">
        <w:rPr>
          <w:rStyle w:val="CharSubdNo"/>
        </w:rPr>
        <w:noBreakHyphen/>
      </w:r>
      <w:r w:rsidR="001D4068" w:rsidRPr="0049400B">
        <w:rPr>
          <w:rStyle w:val="CharSubdNo"/>
        </w:rPr>
        <w:t>B</w:t>
      </w:r>
      <w:r w:rsidR="001D4068" w:rsidRPr="0049400B">
        <w:rPr>
          <w:color w:val="000000" w:themeColor="text1"/>
        </w:rPr>
        <w:t>—</w:t>
      </w:r>
      <w:r w:rsidR="001D4068" w:rsidRPr="0049400B">
        <w:rPr>
          <w:rStyle w:val="CharSubdText"/>
        </w:rPr>
        <w:t>Requirements for annual financial reports (core rules)</w:t>
      </w:r>
      <w:bookmarkEnd w:id="53"/>
    </w:p>
    <w:p w:rsidR="001D4068" w:rsidRPr="0049400B" w:rsidRDefault="001D4068" w:rsidP="001D4068">
      <w:pPr>
        <w:pStyle w:val="ActHead5"/>
        <w:rPr>
          <w:color w:val="000000" w:themeColor="text1"/>
        </w:rPr>
      </w:pPr>
      <w:bookmarkStart w:id="54" w:name="_Toc81905202"/>
      <w:r w:rsidRPr="0049400B">
        <w:rPr>
          <w:rStyle w:val="CharSectno"/>
        </w:rPr>
        <w:t>60.5</w:t>
      </w:r>
      <w:r w:rsidRPr="0049400B">
        <w:rPr>
          <w:color w:val="000000" w:themeColor="text1"/>
        </w:rPr>
        <w:t xml:space="preserve">  Contents of annual financial report</w:t>
      </w:r>
      <w:bookmarkEnd w:id="54"/>
    </w:p>
    <w:p w:rsidR="001D4068" w:rsidRPr="0049400B" w:rsidRDefault="001D4068" w:rsidP="001D4068">
      <w:pPr>
        <w:pStyle w:val="subsection"/>
        <w:rPr>
          <w:color w:val="000000" w:themeColor="text1"/>
        </w:rPr>
      </w:pPr>
      <w:r w:rsidRPr="0049400B">
        <w:rPr>
          <w:color w:val="000000" w:themeColor="text1"/>
        </w:rPr>
        <w:tab/>
      </w:r>
      <w:r w:rsidRPr="0049400B">
        <w:rPr>
          <w:color w:val="000000" w:themeColor="text1"/>
        </w:rPr>
        <w:tab/>
        <w:t>A registered entity’s financial report for a financial year consists of:</w:t>
      </w:r>
    </w:p>
    <w:p w:rsidR="001D4068" w:rsidRPr="0049400B" w:rsidRDefault="001D4068" w:rsidP="001D4068">
      <w:pPr>
        <w:pStyle w:val="paragraph"/>
        <w:rPr>
          <w:color w:val="000000" w:themeColor="text1"/>
        </w:rPr>
      </w:pPr>
      <w:r w:rsidRPr="0049400B">
        <w:rPr>
          <w:color w:val="000000" w:themeColor="text1"/>
        </w:rPr>
        <w:tab/>
        <w:t>(a)</w:t>
      </w:r>
      <w:r w:rsidRPr="0049400B">
        <w:rPr>
          <w:color w:val="000000" w:themeColor="text1"/>
        </w:rPr>
        <w:tab/>
        <w:t>the registered entity’s financial statements for the year (see section</w:t>
      </w:r>
      <w:r w:rsidR="002F2B52" w:rsidRPr="0049400B">
        <w:rPr>
          <w:color w:val="000000" w:themeColor="text1"/>
        </w:rPr>
        <w:t> </w:t>
      </w:r>
      <w:r w:rsidRPr="0049400B">
        <w:rPr>
          <w:color w:val="000000" w:themeColor="text1"/>
        </w:rPr>
        <w:t>60.10); and</w:t>
      </w:r>
    </w:p>
    <w:p w:rsidR="001D4068" w:rsidRPr="0049400B" w:rsidRDefault="001D4068" w:rsidP="001D4068">
      <w:pPr>
        <w:pStyle w:val="paragraph"/>
        <w:rPr>
          <w:color w:val="000000" w:themeColor="text1"/>
        </w:rPr>
      </w:pPr>
      <w:r w:rsidRPr="0049400B">
        <w:rPr>
          <w:color w:val="000000" w:themeColor="text1"/>
        </w:rPr>
        <w:tab/>
        <w:t>(b)</w:t>
      </w:r>
      <w:r w:rsidRPr="0049400B">
        <w:rPr>
          <w:color w:val="000000" w:themeColor="text1"/>
        </w:rPr>
        <w:tab/>
        <w:t>the notes to the financial statements (see section</w:t>
      </w:r>
      <w:r w:rsidR="002F2B52" w:rsidRPr="0049400B">
        <w:rPr>
          <w:color w:val="000000" w:themeColor="text1"/>
        </w:rPr>
        <w:t> </w:t>
      </w:r>
      <w:r w:rsidRPr="0049400B">
        <w:rPr>
          <w:color w:val="000000" w:themeColor="text1"/>
        </w:rPr>
        <w:t>60.10); and</w:t>
      </w:r>
    </w:p>
    <w:p w:rsidR="001D4068" w:rsidRPr="0049400B" w:rsidRDefault="001D4068" w:rsidP="001D4068">
      <w:pPr>
        <w:pStyle w:val="paragraph"/>
        <w:rPr>
          <w:color w:val="000000" w:themeColor="text1"/>
        </w:rPr>
      </w:pPr>
      <w:r w:rsidRPr="0049400B">
        <w:rPr>
          <w:color w:val="000000" w:themeColor="text1"/>
        </w:rPr>
        <w:tab/>
        <w:t>(c)</w:t>
      </w:r>
      <w:r w:rsidRPr="0049400B">
        <w:rPr>
          <w:color w:val="000000" w:themeColor="text1"/>
        </w:rPr>
        <w:tab/>
        <w:t>the responsible entities’ declaration about the statements and notes (see section</w:t>
      </w:r>
      <w:r w:rsidR="002F2B52" w:rsidRPr="0049400B">
        <w:rPr>
          <w:color w:val="000000" w:themeColor="text1"/>
        </w:rPr>
        <w:t> </w:t>
      </w:r>
      <w:r w:rsidRPr="0049400B">
        <w:rPr>
          <w:color w:val="000000" w:themeColor="text1"/>
        </w:rPr>
        <w:t>60.15).</w:t>
      </w:r>
    </w:p>
    <w:p w:rsidR="001D4068" w:rsidRPr="0049400B" w:rsidRDefault="001D4068" w:rsidP="001D4068">
      <w:pPr>
        <w:pStyle w:val="ActHead5"/>
        <w:rPr>
          <w:color w:val="000000" w:themeColor="text1"/>
        </w:rPr>
      </w:pPr>
      <w:bookmarkStart w:id="55" w:name="_Toc81905203"/>
      <w:r w:rsidRPr="0049400B">
        <w:rPr>
          <w:rStyle w:val="CharSectno"/>
        </w:rPr>
        <w:t>60.10</w:t>
      </w:r>
      <w:r w:rsidRPr="0049400B">
        <w:rPr>
          <w:color w:val="000000" w:themeColor="text1"/>
        </w:rPr>
        <w:t xml:space="preserve">  Financial statements and notes</w:t>
      </w:r>
      <w:bookmarkEnd w:id="55"/>
    </w:p>
    <w:p w:rsidR="001D4068" w:rsidRPr="0049400B" w:rsidRDefault="001D4068" w:rsidP="001D4068">
      <w:pPr>
        <w:pStyle w:val="subsection"/>
        <w:rPr>
          <w:color w:val="000000" w:themeColor="text1"/>
        </w:rPr>
      </w:pPr>
      <w:r w:rsidRPr="0049400B">
        <w:rPr>
          <w:color w:val="000000" w:themeColor="text1"/>
        </w:rPr>
        <w:tab/>
        <w:t>(1)</w:t>
      </w:r>
      <w:r w:rsidRPr="0049400B">
        <w:rPr>
          <w:color w:val="000000" w:themeColor="text1"/>
        </w:rPr>
        <w:tab/>
        <w:t>The financial statements for the financial year are the financial statements in relation to the registered entity that are required to be prepared by the accounting standards.</w:t>
      </w:r>
    </w:p>
    <w:p w:rsidR="001D4068" w:rsidRPr="0049400B" w:rsidRDefault="001D4068" w:rsidP="001D4068">
      <w:pPr>
        <w:pStyle w:val="subsection"/>
        <w:rPr>
          <w:color w:val="000000" w:themeColor="text1"/>
        </w:rPr>
      </w:pPr>
      <w:r w:rsidRPr="0049400B">
        <w:rPr>
          <w:color w:val="000000" w:themeColor="text1"/>
        </w:rPr>
        <w:tab/>
        <w:t>(2)</w:t>
      </w:r>
      <w:r w:rsidRPr="0049400B">
        <w:rPr>
          <w:color w:val="000000" w:themeColor="text1"/>
        </w:rPr>
        <w:tab/>
        <w:t>The notes to the financial statements are:</w:t>
      </w:r>
    </w:p>
    <w:p w:rsidR="001D4068" w:rsidRPr="0049400B" w:rsidRDefault="001D4068" w:rsidP="001D4068">
      <w:pPr>
        <w:pStyle w:val="paragraph"/>
        <w:rPr>
          <w:color w:val="000000" w:themeColor="text1"/>
        </w:rPr>
      </w:pPr>
      <w:r w:rsidRPr="0049400B">
        <w:rPr>
          <w:color w:val="000000" w:themeColor="text1"/>
        </w:rPr>
        <w:tab/>
        <w:t>(a)</w:t>
      </w:r>
      <w:r w:rsidRPr="0049400B">
        <w:rPr>
          <w:color w:val="000000" w:themeColor="text1"/>
        </w:rPr>
        <w:tab/>
        <w:t>notes required by the accounting standards; and</w:t>
      </w:r>
    </w:p>
    <w:p w:rsidR="001D4068" w:rsidRPr="0049400B" w:rsidRDefault="001D4068" w:rsidP="001D4068">
      <w:pPr>
        <w:pStyle w:val="paragraph"/>
        <w:rPr>
          <w:color w:val="000000" w:themeColor="text1"/>
        </w:rPr>
      </w:pPr>
      <w:r w:rsidRPr="0049400B">
        <w:rPr>
          <w:color w:val="000000" w:themeColor="text1"/>
        </w:rPr>
        <w:tab/>
        <w:t>(b)</w:t>
      </w:r>
      <w:r w:rsidRPr="0049400B">
        <w:rPr>
          <w:color w:val="000000" w:themeColor="text1"/>
        </w:rPr>
        <w:tab/>
        <w:t>any other information necessary to give a true and fair view of the financial position and performance of the registered entity.</w:t>
      </w:r>
    </w:p>
    <w:p w:rsidR="001D4068" w:rsidRPr="0049400B" w:rsidRDefault="001D4068" w:rsidP="001D4068">
      <w:pPr>
        <w:pStyle w:val="subsection"/>
        <w:rPr>
          <w:color w:val="000000" w:themeColor="text1"/>
        </w:rPr>
      </w:pPr>
      <w:r w:rsidRPr="0049400B">
        <w:rPr>
          <w:color w:val="000000" w:themeColor="text1"/>
        </w:rPr>
        <w:tab/>
        <w:t>(3)</w:t>
      </w:r>
      <w:r w:rsidRPr="0049400B">
        <w:rPr>
          <w:color w:val="000000" w:themeColor="text1"/>
        </w:rPr>
        <w:tab/>
        <w:t>The financial statements and notes:</w:t>
      </w:r>
    </w:p>
    <w:p w:rsidR="001D4068" w:rsidRPr="0049400B" w:rsidRDefault="001D4068" w:rsidP="001D4068">
      <w:pPr>
        <w:pStyle w:val="paragraph"/>
        <w:rPr>
          <w:color w:val="000000" w:themeColor="text1"/>
        </w:rPr>
      </w:pPr>
      <w:r w:rsidRPr="0049400B">
        <w:rPr>
          <w:color w:val="000000" w:themeColor="text1"/>
        </w:rPr>
        <w:tab/>
        <w:t>(a)</w:t>
      </w:r>
      <w:r w:rsidRPr="0049400B">
        <w:rPr>
          <w:color w:val="000000" w:themeColor="text1"/>
        </w:rPr>
        <w:tab/>
        <w:t>must give a true and fair view of the financial position and performance of the registered entity; and</w:t>
      </w:r>
    </w:p>
    <w:p w:rsidR="001D4068" w:rsidRPr="0049400B" w:rsidRDefault="001D4068" w:rsidP="001D4068">
      <w:pPr>
        <w:pStyle w:val="paragraph"/>
        <w:rPr>
          <w:color w:val="000000" w:themeColor="text1"/>
        </w:rPr>
      </w:pPr>
      <w:r w:rsidRPr="0049400B">
        <w:rPr>
          <w:color w:val="000000" w:themeColor="text1"/>
        </w:rPr>
        <w:tab/>
        <w:t>(b)</w:t>
      </w:r>
      <w:r w:rsidRPr="0049400B">
        <w:rPr>
          <w:color w:val="000000" w:themeColor="text1"/>
        </w:rPr>
        <w:tab/>
        <w:t xml:space="preserve">subject to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C, must comply with the accounting standards.</w:t>
      </w:r>
    </w:p>
    <w:p w:rsidR="001D4068" w:rsidRPr="0049400B" w:rsidRDefault="001D4068" w:rsidP="001D4068">
      <w:pPr>
        <w:pStyle w:val="notetext"/>
        <w:rPr>
          <w:color w:val="000000" w:themeColor="text1"/>
        </w:rPr>
      </w:pPr>
      <w:r w:rsidRPr="0049400B">
        <w:rPr>
          <w:color w:val="000000" w:themeColor="text1"/>
        </w:rPr>
        <w:t>Note 1:</w:t>
      </w:r>
      <w:r w:rsidRPr="0049400B">
        <w:rPr>
          <w:color w:val="000000" w:themeColor="text1"/>
        </w:rPr>
        <w:tab/>
        <w:t>The accounting standards set out the test for whether a registered entity will need to prepare a general purpose financial statement or can instead prepare a special purpose financial statement. See section</w:t>
      </w:r>
      <w:r w:rsidR="002F2B52" w:rsidRPr="0049400B">
        <w:rPr>
          <w:color w:val="000000" w:themeColor="text1"/>
        </w:rPr>
        <w:t> </w:t>
      </w:r>
      <w:r w:rsidRPr="0049400B">
        <w:rPr>
          <w:color w:val="000000" w:themeColor="text1"/>
        </w:rPr>
        <w:t>60.30 for the accounting standards that must be complied with in preparing a special purpose financial statement.</w:t>
      </w:r>
    </w:p>
    <w:p w:rsidR="001D4068" w:rsidRPr="0049400B" w:rsidRDefault="001D4068" w:rsidP="001D4068">
      <w:pPr>
        <w:pStyle w:val="notetext"/>
        <w:rPr>
          <w:color w:val="000000" w:themeColor="text1"/>
        </w:rPr>
      </w:pPr>
      <w:r w:rsidRPr="0049400B">
        <w:rPr>
          <w:color w:val="000000" w:themeColor="text1"/>
        </w:rPr>
        <w:t>Note 2:</w:t>
      </w:r>
      <w:r w:rsidRPr="0049400B">
        <w:rPr>
          <w:color w:val="000000" w:themeColor="text1"/>
        </w:rPr>
        <w:tab/>
        <w:t>If the financial statements and notes prepared in compliance with the accounting standards would not give a true and fair view, additional</w:t>
      </w:r>
      <w:r w:rsidRPr="0049400B">
        <w:rPr>
          <w:b/>
          <w:bCs/>
          <w:color w:val="000000" w:themeColor="text1"/>
        </w:rPr>
        <w:t xml:space="preserve"> </w:t>
      </w:r>
      <w:r w:rsidRPr="0049400B">
        <w:rPr>
          <w:color w:val="000000" w:themeColor="text1"/>
        </w:rPr>
        <w:t xml:space="preserve">information must be included in the notes to the financial statements under </w:t>
      </w:r>
      <w:r w:rsidR="002F2B52" w:rsidRPr="0049400B">
        <w:rPr>
          <w:color w:val="000000" w:themeColor="text1"/>
        </w:rPr>
        <w:t>paragraph (</w:t>
      </w:r>
      <w:r w:rsidRPr="0049400B">
        <w:rPr>
          <w:color w:val="000000" w:themeColor="text1"/>
        </w:rPr>
        <w:t>2)(b).</w:t>
      </w:r>
    </w:p>
    <w:p w:rsidR="001D4068" w:rsidRPr="0049400B" w:rsidRDefault="001D4068" w:rsidP="001D4068">
      <w:pPr>
        <w:pStyle w:val="ActHead5"/>
        <w:rPr>
          <w:color w:val="000000" w:themeColor="text1"/>
        </w:rPr>
      </w:pPr>
      <w:bookmarkStart w:id="56" w:name="_Toc81905204"/>
      <w:r w:rsidRPr="0049400B">
        <w:rPr>
          <w:rStyle w:val="CharSectno"/>
        </w:rPr>
        <w:t>60.15</w:t>
      </w:r>
      <w:r w:rsidRPr="0049400B">
        <w:rPr>
          <w:color w:val="000000" w:themeColor="text1"/>
        </w:rPr>
        <w:t xml:space="preserve">  Responsible entities’ declaration</w:t>
      </w:r>
      <w:bookmarkEnd w:id="56"/>
    </w:p>
    <w:p w:rsidR="001D4068" w:rsidRPr="0049400B" w:rsidRDefault="001D4068" w:rsidP="001D4068">
      <w:pPr>
        <w:pStyle w:val="subsection"/>
        <w:rPr>
          <w:color w:val="000000" w:themeColor="text1"/>
        </w:rPr>
      </w:pPr>
      <w:r w:rsidRPr="0049400B">
        <w:rPr>
          <w:color w:val="000000" w:themeColor="text1"/>
        </w:rPr>
        <w:tab/>
        <w:t>(1)</w:t>
      </w:r>
      <w:r w:rsidRPr="0049400B">
        <w:rPr>
          <w:color w:val="000000" w:themeColor="text1"/>
        </w:rPr>
        <w:tab/>
        <w:t xml:space="preserve">The </w:t>
      </w:r>
      <w:r w:rsidRPr="0049400B">
        <w:rPr>
          <w:b/>
          <w:i/>
          <w:color w:val="000000" w:themeColor="text1"/>
        </w:rPr>
        <w:t>responsible entities’ declaration</w:t>
      </w:r>
      <w:r w:rsidRPr="0049400B">
        <w:rPr>
          <w:color w:val="000000" w:themeColor="text1"/>
        </w:rPr>
        <w:t xml:space="preserve"> is a declaration by the responsible entities of the registered entity that states:</w:t>
      </w:r>
    </w:p>
    <w:p w:rsidR="001D4068" w:rsidRPr="0049400B" w:rsidRDefault="001D4068" w:rsidP="001D4068">
      <w:pPr>
        <w:pStyle w:val="paragraph"/>
        <w:rPr>
          <w:color w:val="000000" w:themeColor="text1"/>
        </w:rPr>
      </w:pPr>
      <w:r w:rsidRPr="0049400B">
        <w:rPr>
          <w:color w:val="000000" w:themeColor="text1"/>
        </w:rPr>
        <w:tab/>
        <w:t>(a)</w:t>
      </w:r>
      <w:r w:rsidRPr="0049400B">
        <w:rPr>
          <w:color w:val="000000" w:themeColor="text1"/>
        </w:rPr>
        <w:tab/>
        <w:t>whether, in their opinion, there are reasonable grounds to believe that the registered entity is able to pay all of its debts, as and when they become due and payable; and</w:t>
      </w:r>
    </w:p>
    <w:p w:rsidR="001D4068" w:rsidRPr="0049400B" w:rsidRDefault="001D4068" w:rsidP="001D4068">
      <w:pPr>
        <w:pStyle w:val="paragraph"/>
        <w:rPr>
          <w:color w:val="000000" w:themeColor="text1"/>
        </w:rPr>
      </w:pPr>
      <w:r w:rsidRPr="0049400B">
        <w:rPr>
          <w:color w:val="000000" w:themeColor="text1"/>
        </w:rPr>
        <w:tab/>
        <w:t>(b)</w:t>
      </w:r>
      <w:r w:rsidRPr="0049400B">
        <w:rPr>
          <w:color w:val="000000" w:themeColor="text1"/>
        </w:rPr>
        <w:tab/>
        <w:t>whether, in their opinion, the financial statements and notes satisfy the requirements of the Act.</w:t>
      </w:r>
    </w:p>
    <w:p w:rsidR="001D4068" w:rsidRPr="0049400B" w:rsidRDefault="001D4068" w:rsidP="001D4068">
      <w:pPr>
        <w:pStyle w:val="subsection"/>
        <w:rPr>
          <w:color w:val="000000" w:themeColor="text1"/>
        </w:rPr>
      </w:pPr>
      <w:r w:rsidRPr="0049400B">
        <w:rPr>
          <w:color w:val="000000" w:themeColor="text1"/>
        </w:rPr>
        <w:tab/>
        <w:t>(2)</w:t>
      </w:r>
      <w:r w:rsidRPr="0049400B">
        <w:rPr>
          <w:color w:val="000000" w:themeColor="text1"/>
        </w:rPr>
        <w:tab/>
        <w:t>The declaration must be signed by a responsible entity that is authorised to do so by the responsible entities.</w:t>
      </w:r>
    </w:p>
    <w:p w:rsidR="004A5A19" w:rsidRPr="0049400B" w:rsidRDefault="001E4BB9" w:rsidP="004A5A19">
      <w:pPr>
        <w:pStyle w:val="ActHead4"/>
      </w:pPr>
      <w:bookmarkStart w:id="57" w:name="_Toc81905205"/>
      <w:r w:rsidRPr="0049400B">
        <w:rPr>
          <w:rStyle w:val="CharSubdNo"/>
        </w:rPr>
        <w:t>Subdivision 6</w:t>
      </w:r>
      <w:r w:rsidR="004A5A19" w:rsidRPr="0049400B">
        <w:rPr>
          <w:rStyle w:val="CharSubdNo"/>
        </w:rPr>
        <w:t>0</w:t>
      </w:r>
      <w:r w:rsidR="0049400B" w:rsidRPr="0049400B">
        <w:rPr>
          <w:rStyle w:val="CharSubdNo"/>
        </w:rPr>
        <w:noBreakHyphen/>
      </w:r>
      <w:r w:rsidR="004A5A19" w:rsidRPr="0049400B">
        <w:rPr>
          <w:rStyle w:val="CharSubdNo"/>
        </w:rPr>
        <w:t>BA</w:t>
      </w:r>
      <w:r w:rsidR="004A5A19" w:rsidRPr="0049400B">
        <w:t>—</w:t>
      </w:r>
      <w:r w:rsidR="004A5A19" w:rsidRPr="0049400B">
        <w:rPr>
          <w:rStyle w:val="CharSubdText"/>
        </w:rPr>
        <w:t>Auditors</w:t>
      </w:r>
      <w:bookmarkEnd w:id="57"/>
    </w:p>
    <w:p w:rsidR="004A5A19" w:rsidRPr="0049400B" w:rsidRDefault="004A5A19" w:rsidP="004A5A19">
      <w:pPr>
        <w:pStyle w:val="ActHead5"/>
      </w:pPr>
      <w:bookmarkStart w:id="58" w:name="_Toc81905206"/>
      <w:r w:rsidRPr="0049400B">
        <w:rPr>
          <w:rStyle w:val="CharSectno"/>
        </w:rPr>
        <w:t>60.17</w:t>
      </w:r>
      <w:r w:rsidRPr="0049400B">
        <w:t xml:space="preserve">  Prescribed entities undertaking audits or reviews</w:t>
      </w:r>
      <w:bookmarkEnd w:id="58"/>
    </w:p>
    <w:p w:rsidR="004A5A19" w:rsidRPr="0049400B" w:rsidRDefault="004A5A19" w:rsidP="004A5A19">
      <w:pPr>
        <w:pStyle w:val="subsection"/>
      </w:pPr>
      <w:r w:rsidRPr="0049400B">
        <w:tab/>
      </w:r>
      <w:r w:rsidRPr="0049400B">
        <w:tab/>
        <w:t>The following entities are prescribed for the purposes of paragraph 60</w:t>
      </w:r>
      <w:r w:rsidR="0049400B">
        <w:noBreakHyphen/>
      </w:r>
      <w:r w:rsidRPr="0049400B">
        <w:t>30(1)(d) of the Act:</w:t>
      </w:r>
    </w:p>
    <w:p w:rsidR="004A5A19" w:rsidRPr="0049400B" w:rsidRDefault="004A5A19" w:rsidP="004A5A19">
      <w:pPr>
        <w:pStyle w:val="paragraph"/>
      </w:pPr>
      <w:r w:rsidRPr="0049400B">
        <w:tab/>
        <w:t>(a)</w:t>
      </w:r>
      <w:r w:rsidRPr="0049400B">
        <w:tab/>
        <w:t>an individual who holds office as, or is for the time being exercising the powers and performing the duties of:</w:t>
      </w:r>
    </w:p>
    <w:p w:rsidR="004A5A19" w:rsidRPr="0049400B" w:rsidRDefault="004A5A19" w:rsidP="004A5A19">
      <w:pPr>
        <w:pStyle w:val="paragraphsub"/>
      </w:pPr>
      <w:r w:rsidRPr="0049400B">
        <w:tab/>
        <w:t>(i)</w:t>
      </w:r>
      <w:r w:rsidRPr="0049400B">
        <w:tab/>
        <w:t>the Auditor</w:t>
      </w:r>
      <w:r w:rsidR="0049400B">
        <w:noBreakHyphen/>
      </w:r>
      <w:r w:rsidRPr="0049400B">
        <w:t>General; or</w:t>
      </w:r>
    </w:p>
    <w:p w:rsidR="004A5A19" w:rsidRPr="0049400B" w:rsidRDefault="004A5A19" w:rsidP="004A5A19">
      <w:pPr>
        <w:pStyle w:val="paragraphsub"/>
      </w:pPr>
      <w:r w:rsidRPr="0049400B">
        <w:tab/>
        <w:t>(ii)</w:t>
      </w:r>
      <w:r w:rsidRPr="0049400B">
        <w:tab/>
        <w:t>the Auditor</w:t>
      </w:r>
      <w:r w:rsidR="0049400B">
        <w:noBreakHyphen/>
      </w:r>
      <w:r w:rsidRPr="0049400B">
        <w:t>General for a State or Territory;</w:t>
      </w:r>
    </w:p>
    <w:p w:rsidR="004A5A19" w:rsidRPr="0049400B" w:rsidRDefault="004A5A19" w:rsidP="004A5A19">
      <w:pPr>
        <w:pStyle w:val="paragraph"/>
      </w:pPr>
      <w:r w:rsidRPr="0049400B">
        <w:tab/>
        <w:t>(b)</w:t>
      </w:r>
      <w:r w:rsidRPr="0049400B">
        <w:tab/>
        <w:t>an individual to whom the Auditor</w:t>
      </w:r>
      <w:r w:rsidR="0049400B">
        <w:noBreakHyphen/>
      </w:r>
      <w:r w:rsidRPr="0049400B">
        <w:t>General for the Commonwealth, or for a State or Territory, delegates:</w:t>
      </w:r>
    </w:p>
    <w:p w:rsidR="004A5A19" w:rsidRPr="0049400B" w:rsidRDefault="004A5A19" w:rsidP="004A5A19">
      <w:pPr>
        <w:pStyle w:val="paragraphsub"/>
      </w:pPr>
      <w:r w:rsidRPr="0049400B">
        <w:tab/>
        <w:t>(i)</w:t>
      </w:r>
      <w:r w:rsidRPr="0049400B">
        <w:tab/>
        <w:t>the function of conducting an audit; or</w:t>
      </w:r>
    </w:p>
    <w:p w:rsidR="004A5A19" w:rsidRPr="0049400B" w:rsidRDefault="004A5A19" w:rsidP="004A5A19">
      <w:pPr>
        <w:pStyle w:val="paragraphsub"/>
      </w:pPr>
      <w:r w:rsidRPr="0049400B">
        <w:tab/>
        <w:t>(ii)</w:t>
      </w:r>
      <w:r w:rsidRPr="0049400B">
        <w:tab/>
        <w:t>the power to conduct an audit.</w:t>
      </w:r>
    </w:p>
    <w:p w:rsidR="001D4068" w:rsidRPr="0049400B" w:rsidRDefault="001E4BB9" w:rsidP="001D4068">
      <w:pPr>
        <w:pStyle w:val="ActHead4"/>
        <w:rPr>
          <w:color w:val="000000" w:themeColor="text1"/>
        </w:rPr>
      </w:pPr>
      <w:bookmarkStart w:id="59" w:name="_Toc81905207"/>
      <w:r w:rsidRPr="0049400B">
        <w:rPr>
          <w:rStyle w:val="CharSubdNo"/>
        </w:rPr>
        <w:t>Subdivision 6</w:t>
      </w:r>
      <w:r w:rsidR="001D4068" w:rsidRPr="0049400B">
        <w:rPr>
          <w:rStyle w:val="CharSubdNo"/>
        </w:rPr>
        <w:t>0</w:t>
      </w:r>
      <w:r w:rsidR="0049400B" w:rsidRPr="0049400B">
        <w:rPr>
          <w:rStyle w:val="CharSubdNo"/>
        </w:rPr>
        <w:noBreakHyphen/>
      </w:r>
      <w:r w:rsidR="001D4068" w:rsidRPr="0049400B">
        <w:rPr>
          <w:rStyle w:val="CharSubdNo"/>
        </w:rPr>
        <w:t>C</w:t>
      </w:r>
      <w:r w:rsidR="001D4068" w:rsidRPr="0049400B">
        <w:rPr>
          <w:color w:val="000000" w:themeColor="text1"/>
        </w:rPr>
        <w:t>—</w:t>
      </w:r>
      <w:r w:rsidR="001D4068" w:rsidRPr="0049400B">
        <w:rPr>
          <w:rStyle w:val="CharSubdText"/>
        </w:rPr>
        <w:t>Requirements for annual financial reports (special rules)</w:t>
      </w:r>
      <w:bookmarkEnd w:id="59"/>
    </w:p>
    <w:p w:rsidR="001D4068" w:rsidRPr="0049400B" w:rsidRDefault="001D4068" w:rsidP="001D4068">
      <w:pPr>
        <w:pStyle w:val="ActHead5"/>
        <w:rPr>
          <w:color w:val="000000" w:themeColor="text1"/>
        </w:rPr>
      </w:pPr>
      <w:bookmarkStart w:id="60" w:name="_Toc81905208"/>
      <w:r w:rsidRPr="0049400B">
        <w:rPr>
          <w:rStyle w:val="CharSectno"/>
        </w:rPr>
        <w:t>60.20</w:t>
      </w:r>
      <w:r w:rsidRPr="0049400B">
        <w:rPr>
          <w:color w:val="000000" w:themeColor="text1"/>
        </w:rPr>
        <w:t xml:space="preserve">  Application of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C</w:t>
      </w:r>
      <w:bookmarkEnd w:id="60"/>
    </w:p>
    <w:p w:rsidR="001D4068" w:rsidRPr="0049400B" w:rsidRDefault="001D4068" w:rsidP="001D4068">
      <w:pPr>
        <w:pStyle w:val="subsection"/>
        <w:rPr>
          <w:color w:val="000000" w:themeColor="text1"/>
        </w:rPr>
      </w:pPr>
      <w:r w:rsidRPr="0049400B">
        <w:rPr>
          <w:color w:val="000000" w:themeColor="text1"/>
        </w:rPr>
        <w:tab/>
      </w:r>
      <w:r w:rsidRPr="0049400B">
        <w:rPr>
          <w:color w:val="000000" w:themeColor="text1"/>
        </w:rPr>
        <w:tab/>
        <w:t>This Subdivision applies if the accounting standards are inconsistent with Subdivisions</w:t>
      </w:r>
      <w:r w:rsidR="002F2B52" w:rsidRPr="0049400B">
        <w:rPr>
          <w:color w:val="000000" w:themeColor="text1"/>
        </w:rPr>
        <w:t> </w:t>
      </w:r>
      <w:r w:rsidRPr="0049400B">
        <w:rPr>
          <w:color w:val="000000" w:themeColor="text1"/>
        </w:rPr>
        <w:t>60</w:t>
      </w:r>
      <w:r w:rsidR="0049400B">
        <w:rPr>
          <w:color w:val="000000" w:themeColor="text1"/>
        </w:rPr>
        <w:noBreakHyphen/>
      </w:r>
      <w:r w:rsidRPr="0049400B">
        <w:rPr>
          <w:color w:val="000000" w:themeColor="text1"/>
        </w:rPr>
        <w:t>E and 60</w:t>
      </w:r>
      <w:r w:rsidR="0049400B">
        <w:rPr>
          <w:color w:val="000000" w:themeColor="text1"/>
        </w:rPr>
        <w:noBreakHyphen/>
      </w:r>
      <w:r w:rsidRPr="0049400B">
        <w:rPr>
          <w:color w:val="000000" w:themeColor="text1"/>
        </w:rPr>
        <w:t>G of the Act.</w:t>
      </w:r>
    </w:p>
    <w:p w:rsidR="001D4068" w:rsidRPr="0049400B" w:rsidRDefault="001D4068" w:rsidP="001D4068">
      <w:pPr>
        <w:pStyle w:val="ActHead5"/>
        <w:rPr>
          <w:color w:val="000000" w:themeColor="text1"/>
        </w:rPr>
      </w:pPr>
      <w:bookmarkStart w:id="61" w:name="_Toc81905209"/>
      <w:r w:rsidRPr="0049400B">
        <w:rPr>
          <w:rStyle w:val="CharSectno"/>
        </w:rPr>
        <w:t>60.25</w:t>
      </w:r>
      <w:r w:rsidRPr="0049400B">
        <w:rPr>
          <w:color w:val="000000" w:themeColor="text1"/>
        </w:rPr>
        <w:t xml:space="preserve">  Resolution of inconsistency</w:t>
      </w:r>
      <w:bookmarkEnd w:id="61"/>
    </w:p>
    <w:p w:rsidR="001D4068" w:rsidRPr="0049400B" w:rsidRDefault="001D4068" w:rsidP="001D4068">
      <w:pPr>
        <w:pStyle w:val="subsection"/>
        <w:rPr>
          <w:color w:val="000000" w:themeColor="text1"/>
        </w:rPr>
      </w:pPr>
      <w:r w:rsidRPr="0049400B">
        <w:rPr>
          <w:color w:val="000000" w:themeColor="text1"/>
        </w:rPr>
        <w:tab/>
      </w:r>
      <w:r w:rsidRPr="0049400B">
        <w:rPr>
          <w:color w:val="000000" w:themeColor="text1"/>
        </w:rPr>
        <w:tab/>
        <w:t xml:space="preserve">The financial statements and notes mentioned in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B do not have to comply with the accounting standards to the extent to which the accounting standards are inconsistent with Subdivisions</w:t>
      </w:r>
      <w:r w:rsidR="002F2B52" w:rsidRPr="0049400B">
        <w:rPr>
          <w:color w:val="000000" w:themeColor="text1"/>
        </w:rPr>
        <w:t> </w:t>
      </w:r>
      <w:r w:rsidRPr="0049400B">
        <w:rPr>
          <w:color w:val="000000" w:themeColor="text1"/>
        </w:rPr>
        <w:t>60</w:t>
      </w:r>
      <w:r w:rsidR="0049400B">
        <w:rPr>
          <w:color w:val="000000" w:themeColor="text1"/>
        </w:rPr>
        <w:noBreakHyphen/>
      </w:r>
      <w:r w:rsidRPr="0049400B">
        <w:rPr>
          <w:color w:val="000000" w:themeColor="text1"/>
        </w:rPr>
        <w:t>E and 60</w:t>
      </w:r>
      <w:r w:rsidR="0049400B">
        <w:rPr>
          <w:color w:val="000000" w:themeColor="text1"/>
        </w:rPr>
        <w:noBreakHyphen/>
      </w:r>
      <w:r w:rsidRPr="0049400B">
        <w:rPr>
          <w:color w:val="000000" w:themeColor="text1"/>
        </w:rPr>
        <w:t>G of the Act.</w:t>
      </w:r>
    </w:p>
    <w:p w:rsidR="001D4068" w:rsidRPr="0049400B" w:rsidRDefault="001D4068" w:rsidP="001D4068">
      <w:pPr>
        <w:pStyle w:val="notetext"/>
        <w:rPr>
          <w:color w:val="000000" w:themeColor="text1"/>
        </w:rPr>
      </w:pPr>
      <w:r w:rsidRPr="0049400B">
        <w:rPr>
          <w:color w:val="000000" w:themeColor="text1"/>
        </w:rPr>
        <w:t>Note 1:</w:t>
      </w:r>
      <w:r w:rsidRPr="0049400B">
        <w:rPr>
          <w:color w:val="000000" w:themeColor="text1"/>
        </w:rPr>
        <w:tab/>
        <w:t xml:space="preserve">In requiring further information under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 xml:space="preserve">E, or allowing joint and collective reporting under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G, the Commissioner may specify requirements relating to the information or reports, including particular accounting standards that do not need to be complied with.</w:t>
      </w:r>
    </w:p>
    <w:p w:rsidR="001D4068" w:rsidRPr="0049400B" w:rsidRDefault="001D4068" w:rsidP="001D4068">
      <w:pPr>
        <w:pStyle w:val="notetext"/>
        <w:rPr>
          <w:color w:val="000000" w:themeColor="text1"/>
        </w:rPr>
      </w:pPr>
      <w:r w:rsidRPr="0049400B">
        <w:rPr>
          <w:color w:val="000000" w:themeColor="text1"/>
        </w:rPr>
        <w:t>Note 2:</w:t>
      </w:r>
      <w:r w:rsidRPr="0049400B">
        <w:rPr>
          <w:color w:val="000000" w:themeColor="text1"/>
        </w:rPr>
        <w:tab/>
        <w:t>A registered entity would not breach a requirement in the accounting standards to prepare a general purpose financial statement if this Subdivision does not require the entity to comply with the requirement.</w:t>
      </w:r>
    </w:p>
    <w:p w:rsidR="001D4068" w:rsidRPr="0049400B" w:rsidRDefault="001D4068" w:rsidP="001D4068">
      <w:pPr>
        <w:pStyle w:val="ActHead5"/>
        <w:rPr>
          <w:color w:val="000000" w:themeColor="text1"/>
        </w:rPr>
      </w:pPr>
      <w:bookmarkStart w:id="62" w:name="_Toc81905210"/>
      <w:r w:rsidRPr="0049400B">
        <w:rPr>
          <w:rStyle w:val="CharSectno"/>
        </w:rPr>
        <w:t>60.30</w:t>
      </w:r>
      <w:r w:rsidRPr="0049400B">
        <w:rPr>
          <w:color w:val="000000" w:themeColor="text1"/>
        </w:rPr>
        <w:t xml:space="preserve">  Special purpose financial statements</w:t>
      </w:r>
      <w:bookmarkEnd w:id="62"/>
    </w:p>
    <w:p w:rsidR="001D4068" w:rsidRPr="0049400B" w:rsidRDefault="001D4068" w:rsidP="001D4068">
      <w:pPr>
        <w:pStyle w:val="subsection"/>
      </w:pPr>
      <w:r w:rsidRPr="0049400B">
        <w:tab/>
        <w:t>(1)</w:t>
      </w:r>
      <w:r w:rsidRPr="0049400B">
        <w:tab/>
        <w:t>This section applies if a registered entity:</w:t>
      </w:r>
    </w:p>
    <w:p w:rsidR="001D4068" w:rsidRPr="0049400B" w:rsidRDefault="001D4068" w:rsidP="001D4068">
      <w:pPr>
        <w:pStyle w:val="paragraph"/>
      </w:pPr>
      <w:r w:rsidRPr="0049400B">
        <w:tab/>
        <w:t>(a)</w:t>
      </w:r>
      <w:r w:rsidRPr="0049400B">
        <w:tab/>
        <w:t>is not required to prepare a general purpose financial statement; and</w:t>
      </w:r>
    </w:p>
    <w:p w:rsidR="001D4068" w:rsidRPr="0049400B" w:rsidRDefault="001D4068" w:rsidP="001D4068">
      <w:pPr>
        <w:pStyle w:val="paragraph"/>
      </w:pPr>
      <w:r w:rsidRPr="0049400B">
        <w:tab/>
        <w:t>(b)</w:t>
      </w:r>
      <w:r w:rsidRPr="0049400B">
        <w:tab/>
        <w:t>does not propose to prepare a general purpose financial statement.</w:t>
      </w:r>
    </w:p>
    <w:p w:rsidR="001D4068" w:rsidRPr="0049400B" w:rsidRDefault="001D4068" w:rsidP="001D4068">
      <w:pPr>
        <w:pStyle w:val="subsection"/>
      </w:pPr>
      <w:r w:rsidRPr="0049400B">
        <w:tab/>
        <w:t>(2)</w:t>
      </w:r>
      <w:r w:rsidRPr="0049400B">
        <w:tab/>
        <w:t>Each accounting standard mentioned in the following table is taken to apply in relation to the registered entity and the preparation of a special purpose financial statement unless the Commissioner allows the registered entity not to comply with part or all of the accounting standard.</w:t>
      </w:r>
    </w:p>
    <w:p w:rsidR="001D4068" w:rsidRPr="0049400B" w:rsidRDefault="001D4068" w:rsidP="001D406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1"/>
        <w:gridCol w:w="7748"/>
      </w:tblGrid>
      <w:tr w:rsidR="001D4068" w:rsidRPr="0049400B" w:rsidTr="00CE5BCD">
        <w:trPr>
          <w:tblHeader/>
        </w:trPr>
        <w:tc>
          <w:tcPr>
            <w:tcW w:w="5000" w:type="pct"/>
            <w:gridSpan w:val="2"/>
            <w:tcBorders>
              <w:top w:val="single" w:sz="12" w:space="0" w:color="auto"/>
              <w:bottom w:val="single" w:sz="6" w:space="0" w:color="auto"/>
            </w:tcBorders>
            <w:shd w:val="clear" w:color="auto" w:fill="auto"/>
          </w:tcPr>
          <w:p w:rsidR="001D4068" w:rsidRPr="0049400B" w:rsidRDefault="001D4068" w:rsidP="001D4068">
            <w:pPr>
              <w:pStyle w:val="TableHeading"/>
            </w:pPr>
            <w:r w:rsidRPr="0049400B">
              <w:t>Accounting standards</w:t>
            </w:r>
          </w:p>
        </w:tc>
      </w:tr>
      <w:tr w:rsidR="001D4068" w:rsidRPr="0049400B" w:rsidTr="00CE5BCD">
        <w:trPr>
          <w:tblHeader/>
        </w:trPr>
        <w:tc>
          <w:tcPr>
            <w:tcW w:w="458"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Item</w:t>
            </w:r>
          </w:p>
        </w:tc>
        <w:tc>
          <w:tcPr>
            <w:tcW w:w="4542"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Standard</w:t>
            </w:r>
          </w:p>
        </w:tc>
      </w:tr>
      <w:tr w:rsidR="001D4068" w:rsidRPr="0049400B" w:rsidTr="00CE5BCD">
        <w:tc>
          <w:tcPr>
            <w:tcW w:w="458" w:type="pct"/>
            <w:tcBorders>
              <w:top w:val="single" w:sz="12" w:space="0" w:color="auto"/>
            </w:tcBorders>
            <w:shd w:val="clear" w:color="auto" w:fill="auto"/>
          </w:tcPr>
          <w:p w:rsidR="001D4068" w:rsidRPr="0049400B" w:rsidRDefault="001D4068" w:rsidP="001D4068">
            <w:pPr>
              <w:pStyle w:val="Tabletext"/>
            </w:pPr>
            <w:r w:rsidRPr="0049400B">
              <w:t>1</w:t>
            </w:r>
          </w:p>
        </w:tc>
        <w:tc>
          <w:tcPr>
            <w:tcW w:w="4542" w:type="pct"/>
            <w:tcBorders>
              <w:top w:val="single" w:sz="12" w:space="0" w:color="auto"/>
            </w:tcBorders>
            <w:shd w:val="clear" w:color="auto" w:fill="auto"/>
          </w:tcPr>
          <w:p w:rsidR="001D4068" w:rsidRPr="0049400B" w:rsidRDefault="001D4068" w:rsidP="001D4068">
            <w:pPr>
              <w:pStyle w:val="Tabletext"/>
            </w:pPr>
            <w:r w:rsidRPr="0049400B">
              <w:t xml:space="preserve">AASB 101, </w:t>
            </w:r>
            <w:r w:rsidRPr="0049400B">
              <w:rPr>
                <w:i/>
              </w:rPr>
              <w:t>Presentation of Financial Statements</w:t>
            </w:r>
          </w:p>
        </w:tc>
      </w:tr>
      <w:tr w:rsidR="001D4068" w:rsidRPr="0049400B" w:rsidTr="00CE5BCD">
        <w:tc>
          <w:tcPr>
            <w:tcW w:w="458" w:type="pct"/>
            <w:shd w:val="clear" w:color="auto" w:fill="auto"/>
          </w:tcPr>
          <w:p w:rsidR="001D4068" w:rsidRPr="0049400B" w:rsidRDefault="001D4068" w:rsidP="001D4068">
            <w:pPr>
              <w:pStyle w:val="Tabletext"/>
            </w:pPr>
            <w:r w:rsidRPr="0049400B">
              <w:t>2</w:t>
            </w:r>
          </w:p>
        </w:tc>
        <w:tc>
          <w:tcPr>
            <w:tcW w:w="4542" w:type="pct"/>
            <w:shd w:val="clear" w:color="auto" w:fill="auto"/>
          </w:tcPr>
          <w:p w:rsidR="001D4068" w:rsidRPr="0049400B" w:rsidRDefault="001D4068" w:rsidP="001D4068">
            <w:pPr>
              <w:pStyle w:val="Tabletext"/>
            </w:pPr>
            <w:r w:rsidRPr="0049400B">
              <w:t xml:space="preserve">AASB 107, </w:t>
            </w:r>
            <w:r w:rsidRPr="0049400B">
              <w:rPr>
                <w:i/>
              </w:rPr>
              <w:t>Statement of Cash Flows</w:t>
            </w:r>
          </w:p>
        </w:tc>
      </w:tr>
      <w:tr w:rsidR="001D4068" w:rsidRPr="0049400B" w:rsidTr="00CE5BCD">
        <w:tc>
          <w:tcPr>
            <w:tcW w:w="458" w:type="pct"/>
            <w:shd w:val="clear" w:color="auto" w:fill="auto"/>
          </w:tcPr>
          <w:p w:rsidR="001D4068" w:rsidRPr="0049400B" w:rsidRDefault="001D4068" w:rsidP="001D4068">
            <w:pPr>
              <w:pStyle w:val="Tabletext"/>
            </w:pPr>
            <w:r w:rsidRPr="0049400B">
              <w:t>3</w:t>
            </w:r>
          </w:p>
        </w:tc>
        <w:tc>
          <w:tcPr>
            <w:tcW w:w="4542" w:type="pct"/>
            <w:shd w:val="clear" w:color="auto" w:fill="auto"/>
          </w:tcPr>
          <w:p w:rsidR="001D4068" w:rsidRPr="0049400B" w:rsidRDefault="001D4068" w:rsidP="001D4068">
            <w:pPr>
              <w:pStyle w:val="Tabletext"/>
            </w:pPr>
            <w:r w:rsidRPr="0049400B">
              <w:t xml:space="preserve">AASB 108, </w:t>
            </w:r>
            <w:r w:rsidRPr="0049400B">
              <w:rPr>
                <w:i/>
              </w:rPr>
              <w:t>Accounting Policies, Changes in Accounting Estimates and Errors</w:t>
            </w:r>
          </w:p>
        </w:tc>
      </w:tr>
      <w:tr w:rsidR="001D4068" w:rsidRPr="0049400B" w:rsidTr="00CE5BCD">
        <w:tc>
          <w:tcPr>
            <w:tcW w:w="458" w:type="pct"/>
            <w:tcBorders>
              <w:bottom w:val="single" w:sz="4" w:space="0" w:color="auto"/>
            </w:tcBorders>
            <w:shd w:val="clear" w:color="auto" w:fill="auto"/>
          </w:tcPr>
          <w:p w:rsidR="001D4068" w:rsidRPr="0049400B" w:rsidRDefault="001D4068" w:rsidP="001D4068">
            <w:pPr>
              <w:pStyle w:val="Tabletext"/>
            </w:pPr>
            <w:r w:rsidRPr="0049400B">
              <w:t>5</w:t>
            </w:r>
          </w:p>
        </w:tc>
        <w:tc>
          <w:tcPr>
            <w:tcW w:w="4542" w:type="pct"/>
            <w:tcBorders>
              <w:bottom w:val="single" w:sz="4" w:space="0" w:color="auto"/>
            </w:tcBorders>
            <w:shd w:val="clear" w:color="auto" w:fill="auto"/>
          </w:tcPr>
          <w:p w:rsidR="001D4068" w:rsidRPr="0049400B" w:rsidRDefault="001D4068" w:rsidP="001D4068">
            <w:pPr>
              <w:pStyle w:val="Tabletext"/>
            </w:pPr>
            <w:r w:rsidRPr="0049400B">
              <w:t xml:space="preserve">AASB 1048, </w:t>
            </w:r>
            <w:r w:rsidRPr="0049400B">
              <w:rPr>
                <w:i/>
              </w:rPr>
              <w:t>Interpretation of Standards</w:t>
            </w:r>
          </w:p>
        </w:tc>
      </w:tr>
      <w:tr w:rsidR="001D4068" w:rsidRPr="0049400B" w:rsidTr="00CE5BCD">
        <w:tc>
          <w:tcPr>
            <w:tcW w:w="458" w:type="pct"/>
            <w:tcBorders>
              <w:bottom w:val="single" w:sz="12" w:space="0" w:color="auto"/>
            </w:tcBorders>
            <w:shd w:val="clear" w:color="auto" w:fill="auto"/>
          </w:tcPr>
          <w:p w:rsidR="001D4068" w:rsidRPr="0049400B" w:rsidRDefault="001D4068" w:rsidP="001D4068">
            <w:pPr>
              <w:pStyle w:val="Tabletext"/>
            </w:pPr>
            <w:r w:rsidRPr="0049400B">
              <w:t>6</w:t>
            </w:r>
          </w:p>
        </w:tc>
        <w:tc>
          <w:tcPr>
            <w:tcW w:w="4542" w:type="pct"/>
            <w:tcBorders>
              <w:bottom w:val="single" w:sz="12" w:space="0" w:color="auto"/>
            </w:tcBorders>
            <w:shd w:val="clear" w:color="auto" w:fill="auto"/>
          </w:tcPr>
          <w:p w:rsidR="001D4068" w:rsidRPr="0049400B" w:rsidRDefault="001D4068" w:rsidP="001D4068">
            <w:pPr>
              <w:pStyle w:val="Tabletext"/>
            </w:pPr>
            <w:r w:rsidRPr="0049400B">
              <w:t xml:space="preserve">AASB 1054, </w:t>
            </w:r>
            <w:r w:rsidRPr="0049400B">
              <w:rPr>
                <w:i/>
              </w:rPr>
              <w:t>Australian Additional Disclosures</w:t>
            </w:r>
          </w:p>
        </w:tc>
      </w:tr>
    </w:tbl>
    <w:p w:rsidR="001D4068" w:rsidRPr="0049400B" w:rsidRDefault="001D4068" w:rsidP="001D4068">
      <w:pPr>
        <w:pStyle w:val="subsection"/>
      </w:pPr>
      <w:r w:rsidRPr="0049400B">
        <w:tab/>
        <w:t>(3)</w:t>
      </w:r>
      <w:r w:rsidRPr="0049400B">
        <w:tab/>
        <w:t xml:space="preserve">However, </w:t>
      </w:r>
      <w:r w:rsidR="002F2B52" w:rsidRPr="0049400B">
        <w:t>subsection (</w:t>
      </w:r>
      <w:r w:rsidRPr="0049400B">
        <w:t>2) does not apply to any part of an accounting standard referred to in the table in that subsection that is expressed to apply only to a reporting entity.</w:t>
      </w:r>
    </w:p>
    <w:p w:rsidR="001D4068" w:rsidRPr="0049400B" w:rsidRDefault="001E4BB9" w:rsidP="001D4068">
      <w:pPr>
        <w:pStyle w:val="ActHead4"/>
        <w:rPr>
          <w:color w:val="000000" w:themeColor="text1"/>
        </w:rPr>
      </w:pPr>
      <w:bookmarkStart w:id="63" w:name="_Toc81905211"/>
      <w:r w:rsidRPr="0049400B">
        <w:rPr>
          <w:rStyle w:val="CharSubdNo"/>
        </w:rPr>
        <w:t>Subdivision 6</w:t>
      </w:r>
      <w:r w:rsidR="001D4068" w:rsidRPr="0049400B">
        <w:rPr>
          <w:rStyle w:val="CharSubdNo"/>
        </w:rPr>
        <w:t>0</w:t>
      </w:r>
      <w:r w:rsidR="0049400B" w:rsidRPr="0049400B">
        <w:rPr>
          <w:rStyle w:val="CharSubdNo"/>
        </w:rPr>
        <w:noBreakHyphen/>
      </w:r>
      <w:r w:rsidR="001D4068" w:rsidRPr="0049400B">
        <w:rPr>
          <w:rStyle w:val="CharSubdNo"/>
        </w:rPr>
        <w:t>D</w:t>
      </w:r>
      <w:r w:rsidR="001D4068" w:rsidRPr="0049400B">
        <w:rPr>
          <w:color w:val="000000" w:themeColor="text1"/>
        </w:rPr>
        <w:t>—</w:t>
      </w:r>
      <w:r w:rsidR="001D4068" w:rsidRPr="0049400B">
        <w:rPr>
          <w:rStyle w:val="CharSubdText"/>
        </w:rPr>
        <w:t>Requirements for annual financial reports (transitional rules)</w:t>
      </w:r>
      <w:bookmarkEnd w:id="63"/>
    </w:p>
    <w:p w:rsidR="001D4068" w:rsidRPr="0049400B" w:rsidRDefault="001D4068" w:rsidP="001D4068">
      <w:pPr>
        <w:pStyle w:val="ActHead5"/>
        <w:rPr>
          <w:color w:val="000000" w:themeColor="text1"/>
        </w:rPr>
      </w:pPr>
      <w:bookmarkStart w:id="64" w:name="_Toc81905212"/>
      <w:r w:rsidRPr="0049400B">
        <w:rPr>
          <w:rStyle w:val="CharSectno"/>
        </w:rPr>
        <w:t>60.35</w:t>
      </w:r>
      <w:r w:rsidRPr="0049400B">
        <w:rPr>
          <w:color w:val="000000" w:themeColor="text1"/>
        </w:rPr>
        <w:t xml:space="preserve">  Application of </w:t>
      </w:r>
      <w:r w:rsidR="001E4BB9" w:rsidRPr="0049400B">
        <w:rPr>
          <w:color w:val="000000" w:themeColor="text1"/>
        </w:rPr>
        <w:t>Subdivision 6</w:t>
      </w:r>
      <w:r w:rsidRPr="0049400B">
        <w:rPr>
          <w:color w:val="000000" w:themeColor="text1"/>
        </w:rPr>
        <w:t>0</w:t>
      </w:r>
      <w:r w:rsidR="0049400B">
        <w:rPr>
          <w:color w:val="000000" w:themeColor="text1"/>
        </w:rPr>
        <w:noBreakHyphen/>
      </w:r>
      <w:r w:rsidRPr="0049400B">
        <w:rPr>
          <w:color w:val="000000" w:themeColor="text1"/>
        </w:rPr>
        <w:t>D</w:t>
      </w:r>
      <w:bookmarkEnd w:id="64"/>
    </w:p>
    <w:p w:rsidR="001D4068" w:rsidRPr="0049400B" w:rsidRDefault="001D4068" w:rsidP="001D4068">
      <w:pPr>
        <w:pStyle w:val="subsection"/>
        <w:rPr>
          <w:color w:val="000000" w:themeColor="text1"/>
        </w:rPr>
      </w:pPr>
      <w:r w:rsidRPr="0049400B">
        <w:rPr>
          <w:color w:val="000000" w:themeColor="text1"/>
        </w:rPr>
        <w:tab/>
      </w:r>
      <w:r w:rsidRPr="0049400B">
        <w:rPr>
          <w:color w:val="000000" w:themeColor="text1"/>
        </w:rPr>
        <w:tab/>
        <w:t>This Subdivision applies if a registered entity:</w:t>
      </w:r>
    </w:p>
    <w:p w:rsidR="001D4068" w:rsidRPr="0049400B" w:rsidRDefault="001D4068" w:rsidP="001D4068">
      <w:pPr>
        <w:pStyle w:val="paragraph"/>
      </w:pPr>
      <w:r w:rsidRPr="0049400B">
        <w:tab/>
        <w:t>(a)</w:t>
      </w:r>
      <w:r w:rsidRPr="0049400B">
        <w:tab/>
        <w:t xml:space="preserve">was not required, under an Australian law, to prepare a financial report that complied with the accounting standards </w:t>
      </w:r>
      <w:r w:rsidRPr="0049400B">
        <w:rPr>
          <w:color w:val="000000" w:themeColor="text1"/>
        </w:rPr>
        <w:t xml:space="preserve">in the </w:t>
      </w:r>
      <w:r w:rsidRPr="0049400B">
        <w:t>2012</w:t>
      </w:r>
      <w:r w:rsidR="0049400B">
        <w:noBreakHyphen/>
      </w:r>
      <w:r w:rsidRPr="0049400B">
        <w:t xml:space="preserve">13 financial year, or a substituted accounting period that commenced during </w:t>
      </w:r>
      <w:r w:rsidRPr="0049400B">
        <w:rPr>
          <w:color w:val="000000" w:themeColor="text1"/>
        </w:rPr>
        <w:t xml:space="preserve">the </w:t>
      </w:r>
      <w:r w:rsidRPr="0049400B">
        <w:t>2012</w:t>
      </w:r>
      <w:r w:rsidR="0049400B">
        <w:noBreakHyphen/>
      </w:r>
      <w:r w:rsidRPr="0049400B">
        <w:t>13 financial year; and</w:t>
      </w:r>
    </w:p>
    <w:p w:rsidR="001D4068" w:rsidRPr="0049400B" w:rsidRDefault="001D4068" w:rsidP="001D4068">
      <w:pPr>
        <w:pStyle w:val="paragraph"/>
      </w:pPr>
      <w:r w:rsidRPr="0049400B">
        <w:tab/>
        <w:t>(b)</w:t>
      </w:r>
      <w:r w:rsidRPr="0049400B">
        <w:tab/>
        <w:t>did not prepare a financial report for that financial year, or substituted accounting period, that:</w:t>
      </w:r>
    </w:p>
    <w:p w:rsidR="001D4068" w:rsidRPr="0049400B" w:rsidRDefault="001D4068" w:rsidP="001D4068">
      <w:pPr>
        <w:pStyle w:val="paragraphsub"/>
      </w:pPr>
      <w:r w:rsidRPr="0049400B">
        <w:tab/>
        <w:t>(i)</w:t>
      </w:r>
      <w:r w:rsidRPr="0049400B">
        <w:tab/>
        <w:t>complied with the accounting standards; or</w:t>
      </w:r>
    </w:p>
    <w:p w:rsidR="001D4068" w:rsidRPr="0049400B" w:rsidRDefault="001D4068" w:rsidP="001D4068">
      <w:pPr>
        <w:pStyle w:val="paragraphsub"/>
      </w:pPr>
      <w:r w:rsidRPr="0049400B">
        <w:tab/>
        <w:t>(ii)</w:t>
      </w:r>
      <w:r w:rsidRPr="0049400B">
        <w:tab/>
        <w:t>purported to comply with the accounting standards.</w:t>
      </w:r>
    </w:p>
    <w:p w:rsidR="001D4068" w:rsidRPr="0049400B" w:rsidRDefault="001D4068" w:rsidP="001D4068">
      <w:pPr>
        <w:pStyle w:val="ActHead5"/>
        <w:rPr>
          <w:color w:val="000000" w:themeColor="text1"/>
        </w:rPr>
      </w:pPr>
      <w:bookmarkStart w:id="65" w:name="_Toc81905213"/>
      <w:r w:rsidRPr="0049400B">
        <w:rPr>
          <w:rStyle w:val="CharSectno"/>
        </w:rPr>
        <w:t>60.40</w:t>
      </w:r>
      <w:r w:rsidRPr="0049400B">
        <w:rPr>
          <w:color w:val="000000" w:themeColor="text1"/>
        </w:rPr>
        <w:t xml:space="preserve">  Financial statement</w:t>
      </w:r>
      <w:bookmarkEnd w:id="65"/>
    </w:p>
    <w:p w:rsidR="001D4068" w:rsidRPr="0049400B" w:rsidRDefault="001D4068" w:rsidP="001D4068">
      <w:pPr>
        <w:pStyle w:val="subsection"/>
      </w:pPr>
      <w:r w:rsidRPr="0049400B">
        <w:tab/>
        <w:t>(1)</w:t>
      </w:r>
      <w:r w:rsidRPr="0049400B">
        <w:tab/>
        <w:t xml:space="preserve">The registered entity’s </w:t>
      </w:r>
      <w:r w:rsidRPr="0049400B">
        <w:rPr>
          <w:color w:val="000000" w:themeColor="text1"/>
        </w:rPr>
        <w:t xml:space="preserve">financial statement for the </w:t>
      </w:r>
      <w:r w:rsidRPr="0049400B">
        <w:t>2013</w:t>
      </w:r>
      <w:r w:rsidR="0049400B">
        <w:noBreakHyphen/>
      </w:r>
      <w:r w:rsidRPr="0049400B">
        <w:t xml:space="preserve">14 financial year, or a substituted accounting period that commences during </w:t>
      </w:r>
      <w:r w:rsidRPr="0049400B">
        <w:rPr>
          <w:color w:val="000000" w:themeColor="text1"/>
        </w:rPr>
        <w:t xml:space="preserve">the </w:t>
      </w:r>
      <w:r w:rsidRPr="0049400B">
        <w:t>2013</w:t>
      </w:r>
      <w:r w:rsidR="0049400B">
        <w:noBreakHyphen/>
      </w:r>
      <w:r w:rsidRPr="0049400B">
        <w:t>14 financial year, must comply with section</w:t>
      </w:r>
      <w:r w:rsidR="002F2B52" w:rsidRPr="0049400B">
        <w:t> </w:t>
      </w:r>
      <w:r w:rsidRPr="0049400B">
        <w:t xml:space="preserve">60.10, </w:t>
      </w:r>
      <w:r w:rsidR="002F2B52" w:rsidRPr="0049400B">
        <w:t>subsection (</w:t>
      </w:r>
      <w:r w:rsidRPr="0049400B">
        <w:t xml:space="preserve">2) or </w:t>
      </w:r>
      <w:r w:rsidR="002F2B52" w:rsidRPr="0049400B">
        <w:t>subsection (</w:t>
      </w:r>
      <w:r w:rsidRPr="0049400B">
        <w:t>3).</w:t>
      </w:r>
    </w:p>
    <w:p w:rsidR="001D4068" w:rsidRPr="0049400B" w:rsidRDefault="001D4068" w:rsidP="001D4068">
      <w:pPr>
        <w:pStyle w:val="subsection"/>
      </w:pPr>
      <w:r w:rsidRPr="0049400B">
        <w:tab/>
        <w:t>(2)</w:t>
      </w:r>
      <w:r w:rsidRPr="0049400B">
        <w:tab/>
        <w:t>For a medium registered entity, a statement that complies with this subsection must consist of the information set out in the following table.</w:t>
      </w:r>
    </w:p>
    <w:p w:rsidR="001D4068" w:rsidRPr="0049400B" w:rsidRDefault="001D4068" w:rsidP="001D406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1"/>
        <w:gridCol w:w="7748"/>
      </w:tblGrid>
      <w:tr w:rsidR="001D4068" w:rsidRPr="0049400B" w:rsidTr="00CE5BCD">
        <w:trPr>
          <w:tblHeader/>
        </w:trPr>
        <w:tc>
          <w:tcPr>
            <w:tcW w:w="5000" w:type="pct"/>
            <w:gridSpan w:val="2"/>
            <w:tcBorders>
              <w:top w:val="single" w:sz="12" w:space="0" w:color="auto"/>
              <w:bottom w:val="single" w:sz="6" w:space="0" w:color="auto"/>
            </w:tcBorders>
            <w:shd w:val="clear" w:color="auto" w:fill="auto"/>
          </w:tcPr>
          <w:p w:rsidR="001D4068" w:rsidRPr="0049400B" w:rsidRDefault="001D4068" w:rsidP="001D4068">
            <w:pPr>
              <w:pStyle w:val="TableHeading"/>
            </w:pPr>
            <w:r w:rsidRPr="0049400B">
              <w:t>Information</w:t>
            </w:r>
          </w:p>
        </w:tc>
      </w:tr>
      <w:tr w:rsidR="001D4068" w:rsidRPr="0049400B" w:rsidTr="00CE5BCD">
        <w:trPr>
          <w:tblHeader/>
        </w:trPr>
        <w:tc>
          <w:tcPr>
            <w:tcW w:w="458"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Item</w:t>
            </w:r>
          </w:p>
        </w:tc>
        <w:tc>
          <w:tcPr>
            <w:tcW w:w="4542"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Information</w:t>
            </w:r>
          </w:p>
        </w:tc>
      </w:tr>
      <w:tr w:rsidR="001D4068" w:rsidRPr="0049400B" w:rsidTr="00CE5BCD">
        <w:tc>
          <w:tcPr>
            <w:tcW w:w="458" w:type="pct"/>
            <w:tcBorders>
              <w:top w:val="single" w:sz="12" w:space="0" w:color="auto"/>
            </w:tcBorders>
            <w:shd w:val="clear" w:color="auto" w:fill="auto"/>
          </w:tcPr>
          <w:p w:rsidR="001D4068" w:rsidRPr="0049400B" w:rsidRDefault="001D4068" w:rsidP="001D4068">
            <w:pPr>
              <w:pStyle w:val="Tabletext"/>
            </w:pPr>
          </w:p>
        </w:tc>
        <w:tc>
          <w:tcPr>
            <w:tcW w:w="4542" w:type="pct"/>
            <w:tcBorders>
              <w:top w:val="single" w:sz="12" w:space="0" w:color="auto"/>
            </w:tcBorders>
            <w:shd w:val="clear" w:color="auto" w:fill="auto"/>
          </w:tcPr>
          <w:p w:rsidR="001D4068" w:rsidRPr="0049400B" w:rsidRDefault="001D4068" w:rsidP="001D4068">
            <w:pPr>
              <w:pStyle w:val="TableHeading"/>
              <w:rPr>
                <w:i/>
              </w:rPr>
            </w:pPr>
            <w:r w:rsidRPr="0049400B">
              <w:rPr>
                <w:i/>
              </w:rPr>
              <w:t>Income statement—gross income</w:t>
            </w:r>
          </w:p>
        </w:tc>
      </w:tr>
      <w:tr w:rsidR="001D4068" w:rsidRPr="0049400B" w:rsidTr="00CE5BCD">
        <w:tc>
          <w:tcPr>
            <w:tcW w:w="458" w:type="pct"/>
            <w:shd w:val="clear" w:color="auto" w:fill="auto"/>
          </w:tcPr>
          <w:p w:rsidR="001D4068" w:rsidRPr="0049400B" w:rsidRDefault="001D4068" w:rsidP="001D4068">
            <w:pPr>
              <w:pStyle w:val="Tabletext"/>
            </w:pPr>
            <w:r w:rsidRPr="0049400B">
              <w:t>1</w:t>
            </w:r>
          </w:p>
        </w:tc>
        <w:tc>
          <w:tcPr>
            <w:tcW w:w="4542" w:type="pct"/>
            <w:shd w:val="clear" w:color="auto" w:fill="auto"/>
          </w:tcPr>
          <w:p w:rsidR="001D4068" w:rsidRPr="0049400B" w:rsidRDefault="001D4068" w:rsidP="001D4068">
            <w:pPr>
              <w:pStyle w:val="Tabletext"/>
            </w:pPr>
            <w:r w:rsidRPr="0049400B">
              <w:t>Government grants</w:t>
            </w:r>
          </w:p>
        </w:tc>
      </w:tr>
      <w:tr w:rsidR="001D4068" w:rsidRPr="0049400B" w:rsidTr="00CE5BCD">
        <w:tc>
          <w:tcPr>
            <w:tcW w:w="458" w:type="pct"/>
            <w:shd w:val="clear" w:color="auto" w:fill="auto"/>
          </w:tcPr>
          <w:p w:rsidR="001D4068" w:rsidRPr="0049400B" w:rsidRDefault="001D4068" w:rsidP="001D4068">
            <w:pPr>
              <w:pStyle w:val="Tabletext"/>
            </w:pPr>
            <w:r w:rsidRPr="0049400B">
              <w:t>2</w:t>
            </w:r>
          </w:p>
        </w:tc>
        <w:tc>
          <w:tcPr>
            <w:tcW w:w="4542" w:type="pct"/>
            <w:shd w:val="clear" w:color="auto" w:fill="auto"/>
          </w:tcPr>
          <w:p w:rsidR="001D4068" w:rsidRPr="0049400B" w:rsidRDefault="001D4068" w:rsidP="001D4068">
            <w:pPr>
              <w:pStyle w:val="Tabletext"/>
            </w:pPr>
            <w:r w:rsidRPr="0049400B">
              <w:t>Donations and bequests</w:t>
            </w:r>
          </w:p>
        </w:tc>
      </w:tr>
      <w:tr w:rsidR="001D4068" w:rsidRPr="0049400B" w:rsidTr="00CE5BCD">
        <w:tc>
          <w:tcPr>
            <w:tcW w:w="458" w:type="pct"/>
            <w:shd w:val="clear" w:color="auto" w:fill="auto"/>
          </w:tcPr>
          <w:p w:rsidR="001D4068" w:rsidRPr="0049400B" w:rsidRDefault="001D4068" w:rsidP="001D4068">
            <w:pPr>
              <w:pStyle w:val="Tabletext"/>
            </w:pPr>
            <w:r w:rsidRPr="0049400B">
              <w:t>3</w:t>
            </w:r>
          </w:p>
        </w:tc>
        <w:tc>
          <w:tcPr>
            <w:tcW w:w="4542" w:type="pct"/>
            <w:shd w:val="clear" w:color="auto" w:fill="auto"/>
          </w:tcPr>
          <w:p w:rsidR="001D4068" w:rsidRPr="0049400B" w:rsidRDefault="001D4068" w:rsidP="001D4068">
            <w:pPr>
              <w:pStyle w:val="Tabletext"/>
            </w:pPr>
            <w:r w:rsidRPr="0049400B">
              <w:t>All other revenue</w:t>
            </w:r>
          </w:p>
        </w:tc>
      </w:tr>
      <w:tr w:rsidR="001D4068" w:rsidRPr="0049400B" w:rsidTr="00CE5BCD">
        <w:tc>
          <w:tcPr>
            <w:tcW w:w="458" w:type="pct"/>
            <w:shd w:val="clear" w:color="auto" w:fill="auto"/>
          </w:tcPr>
          <w:p w:rsidR="001D4068" w:rsidRPr="0049400B" w:rsidRDefault="001D4068" w:rsidP="001D4068">
            <w:pPr>
              <w:pStyle w:val="Tabletext"/>
            </w:pPr>
            <w:r w:rsidRPr="0049400B">
              <w:t>4</w:t>
            </w:r>
          </w:p>
        </w:tc>
        <w:tc>
          <w:tcPr>
            <w:tcW w:w="4542" w:type="pct"/>
            <w:shd w:val="clear" w:color="auto" w:fill="auto"/>
          </w:tcPr>
          <w:p w:rsidR="001D4068" w:rsidRPr="0049400B" w:rsidRDefault="001D4068" w:rsidP="001D4068">
            <w:pPr>
              <w:pStyle w:val="Tabletext"/>
            </w:pPr>
            <w:r w:rsidRPr="0049400B">
              <w:t>Total revenue</w:t>
            </w:r>
          </w:p>
        </w:tc>
      </w:tr>
      <w:tr w:rsidR="001D4068" w:rsidRPr="0049400B" w:rsidTr="00CE5BCD">
        <w:tc>
          <w:tcPr>
            <w:tcW w:w="458" w:type="pct"/>
            <w:shd w:val="clear" w:color="auto" w:fill="auto"/>
          </w:tcPr>
          <w:p w:rsidR="001D4068" w:rsidRPr="0049400B" w:rsidRDefault="001D4068" w:rsidP="001D4068">
            <w:pPr>
              <w:pStyle w:val="Tabletext"/>
            </w:pPr>
            <w:r w:rsidRPr="0049400B">
              <w:t>5</w:t>
            </w:r>
          </w:p>
        </w:tc>
        <w:tc>
          <w:tcPr>
            <w:tcW w:w="4542" w:type="pct"/>
            <w:shd w:val="clear" w:color="auto" w:fill="auto"/>
          </w:tcPr>
          <w:p w:rsidR="001D4068" w:rsidRPr="0049400B" w:rsidRDefault="001D4068" w:rsidP="001D4068">
            <w:pPr>
              <w:pStyle w:val="Tabletext"/>
            </w:pPr>
            <w:r w:rsidRPr="0049400B">
              <w:t>Other income</w:t>
            </w:r>
          </w:p>
        </w:tc>
      </w:tr>
      <w:tr w:rsidR="001D4068" w:rsidRPr="0049400B" w:rsidTr="00CE5BCD">
        <w:tc>
          <w:tcPr>
            <w:tcW w:w="458" w:type="pct"/>
            <w:shd w:val="clear" w:color="auto" w:fill="auto"/>
          </w:tcPr>
          <w:p w:rsidR="001D4068" w:rsidRPr="0049400B" w:rsidRDefault="001D4068" w:rsidP="001D4068">
            <w:pPr>
              <w:pStyle w:val="Tabletext"/>
            </w:pPr>
            <w:r w:rsidRPr="0049400B">
              <w:t>6</w:t>
            </w:r>
          </w:p>
        </w:tc>
        <w:tc>
          <w:tcPr>
            <w:tcW w:w="4542" w:type="pct"/>
            <w:shd w:val="clear" w:color="auto" w:fill="auto"/>
          </w:tcPr>
          <w:p w:rsidR="001D4068" w:rsidRPr="0049400B" w:rsidRDefault="001D4068" w:rsidP="001D4068">
            <w:pPr>
              <w:pStyle w:val="Tabletext"/>
            </w:pPr>
            <w:r w:rsidRPr="0049400B">
              <w:t>Total gross income</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Income statement—expenses</w:t>
            </w:r>
          </w:p>
        </w:tc>
      </w:tr>
      <w:tr w:rsidR="001D4068" w:rsidRPr="0049400B" w:rsidTr="00CE5BCD">
        <w:tc>
          <w:tcPr>
            <w:tcW w:w="458" w:type="pct"/>
            <w:shd w:val="clear" w:color="auto" w:fill="auto"/>
          </w:tcPr>
          <w:p w:rsidR="001D4068" w:rsidRPr="0049400B" w:rsidRDefault="001D4068" w:rsidP="001D4068">
            <w:pPr>
              <w:pStyle w:val="Tabletext"/>
            </w:pPr>
            <w:r w:rsidRPr="0049400B">
              <w:t>7</w:t>
            </w:r>
          </w:p>
        </w:tc>
        <w:tc>
          <w:tcPr>
            <w:tcW w:w="4542" w:type="pct"/>
            <w:shd w:val="clear" w:color="auto" w:fill="auto"/>
          </w:tcPr>
          <w:p w:rsidR="001D4068" w:rsidRPr="0049400B" w:rsidRDefault="001D4068" w:rsidP="001D4068">
            <w:pPr>
              <w:pStyle w:val="Tabletext"/>
            </w:pPr>
            <w:r w:rsidRPr="0049400B">
              <w:t>Employee expenses</w:t>
            </w:r>
          </w:p>
        </w:tc>
      </w:tr>
      <w:tr w:rsidR="001D4068" w:rsidRPr="0049400B" w:rsidTr="00CE5BCD">
        <w:tc>
          <w:tcPr>
            <w:tcW w:w="458" w:type="pct"/>
            <w:shd w:val="clear" w:color="auto" w:fill="auto"/>
          </w:tcPr>
          <w:p w:rsidR="001D4068" w:rsidRPr="0049400B" w:rsidRDefault="001D4068" w:rsidP="001D4068">
            <w:pPr>
              <w:pStyle w:val="Tabletext"/>
            </w:pPr>
            <w:r w:rsidRPr="0049400B">
              <w:t>8</w:t>
            </w:r>
          </w:p>
        </w:tc>
        <w:tc>
          <w:tcPr>
            <w:tcW w:w="4542" w:type="pct"/>
            <w:shd w:val="clear" w:color="auto" w:fill="auto"/>
          </w:tcPr>
          <w:p w:rsidR="001D4068" w:rsidRPr="0049400B" w:rsidRDefault="001D4068" w:rsidP="001D4068">
            <w:pPr>
              <w:pStyle w:val="Tabletext"/>
            </w:pPr>
            <w:r w:rsidRPr="0049400B">
              <w:t>Grants and donations made by the registered entity for use in Australia</w:t>
            </w:r>
          </w:p>
        </w:tc>
      </w:tr>
      <w:tr w:rsidR="001D4068" w:rsidRPr="0049400B" w:rsidTr="00CE5BCD">
        <w:tc>
          <w:tcPr>
            <w:tcW w:w="458" w:type="pct"/>
            <w:shd w:val="clear" w:color="auto" w:fill="auto"/>
          </w:tcPr>
          <w:p w:rsidR="001D4068" w:rsidRPr="0049400B" w:rsidRDefault="001D4068" w:rsidP="001D4068">
            <w:pPr>
              <w:pStyle w:val="Tabletext"/>
            </w:pPr>
            <w:r w:rsidRPr="0049400B">
              <w:t>9</w:t>
            </w:r>
          </w:p>
        </w:tc>
        <w:tc>
          <w:tcPr>
            <w:tcW w:w="4542" w:type="pct"/>
            <w:shd w:val="clear" w:color="auto" w:fill="auto"/>
          </w:tcPr>
          <w:p w:rsidR="001D4068" w:rsidRPr="0049400B" w:rsidRDefault="001D4068" w:rsidP="001D4068">
            <w:pPr>
              <w:pStyle w:val="Tabletext"/>
            </w:pPr>
            <w:r w:rsidRPr="0049400B">
              <w:t>Grants and donations made by the registered entity for use outside Australia</w:t>
            </w:r>
          </w:p>
        </w:tc>
      </w:tr>
      <w:tr w:rsidR="001D4068" w:rsidRPr="0049400B" w:rsidTr="00CE5BCD">
        <w:tc>
          <w:tcPr>
            <w:tcW w:w="458" w:type="pct"/>
            <w:shd w:val="clear" w:color="auto" w:fill="auto"/>
          </w:tcPr>
          <w:p w:rsidR="001D4068" w:rsidRPr="0049400B" w:rsidRDefault="001D4068" w:rsidP="001D4068">
            <w:pPr>
              <w:pStyle w:val="Tabletext"/>
            </w:pPr>
            <w:r w:rsidRPr="0049400B">
              <w:t>10</w:t>
            </w:r>
          </w:p>
        </w:tc>
        <w:tc>
          <w:tcPr>
            <w:tcW w:w="4542" w:type="pct"/>
            <w:shd w:val="clear" w:color="auto" w:fill="auto"/>
          </w:tcPr>
          <w:p w:rsidR="001D4068" w:rsidRPr="0049400B" w:rsidRDefault="001D4068" w:rsidP="001D4068">
            <w:pPr>
              <w:pStyle w:val="Tabletext"/>
            </w:pPr>
            <w:r w:rsidRPr="0049400B">
              <w:t>All other expenses</w:t>
            </w:r>
          </w:p>
        </w:tc>
      </w:tr>
      <w:tr w:rsidR="001D4068" w:rsidRPr="0049400B" w:rsidTr="00CE5BCD">
        <w:tc>
          <w:tcPr>
            <w:tcW w:w="458" w:type="pct"/>
            <w:shd w:val="clear" w:color="auto" w:fill="auto"/>
          </w:tcPr>
          <w:p w:rsidR="001D4068" w:rsidRPr="0049400B" w:rsidRDefault="001D4068" w:rsidP="001D4068">
            <w:pPr>
              <w:pStyle w:val="Tabletext"/>
            </w:pPr>
            <w:r w:rsidRPr="0049400B">
              <w:t>11</w:t>
            </w:r>
          </w:p>
        </w:tc>
        <w:tc>
          <w:tcPr>
            <w:tcW w:w="4542" w:type="pct"/>
            <w:shd w:val="clear" w:color="auto" w:fill="auto"/>
          </w:tcPr>
          <w:p w:rsidR="001D4068" w:rsidRPr="0049400B" w:rsidRDefault="001D4068" w:rsidP="001D4068">
            <w:pPr>
              <w:pStyle w:val="Tabletext"/>
            </w:pPr>
            <w:r w:rsidRPr="0049400B">
              <w:t>Total expenses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Income statement—net surplus/deficit</w:t>
            </w:r>
          </w:p>
        </w:tc>
      </w:tr>
      <w:tr w:rsidR="001D4068" w:rsidRPr="0049400B" w:rsidTr="00CE5BCD">
        <w:tc>
          <w:tcPr>
            <w:tcW w:w="458" w:type="pct"/>
            <w:shd w:val="clear" w:color="auto" w:fill="auto"/>
          </w:tcPr>
          <w:p w:rsidR="001D4068" w:rsidRPr="0049400B" w:rsidRDefault="001D4068" w:rsidP="001D4068">
            <w:pPr>
              <w:pStyle w:val="Tabletext"/>
            </w:pPr>
            <w:r w:rsidRPr="0049400B">
              <w:t>12</w:t>
            </w:r>
          </w:p>
        </w:tc>
        <w:tc>
          <w:tcPr>
            <w:tcW w:w="4542" w:type="pct"/>
            <w:shd w:val="clear" w:color="auto" w:fill="auto"/>
          </w:tcPr>
          <w:p w:rsidR="001D4068" w:rsidRPr="0049400B" w:rsidRDefault="001D4068" w:rsidP="001D4068">
            <w:pPr>
              <w:pStyle w:val="Tabletext"/>
            </w:pPr>
            <w:r w:rsidRPr="0049400B">
              <w:t>Net surplus/deficit</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Balance sheet—assets</w:t>
            </w:r>
          </w:p>
        </w:tc>
      </w:tr>
      <w:tr w:rsidR="001D4068" w:rsidRPr="0049400B" w:rsidTr="00CE5BCD">
        <w:tc>
          <w:tcPr>
            <w:tcW w:w="458" w:type="pct"/>
            <w:shd w:val="clear" w:color="auto" w:fill="auto"/>
          </w:tcPr>
          <w:p w:rsidR="001D4068" w:rsidRPr="0049400B" w:rsidRDefault="001D4068" w:rsidP="001D4068">
            <w:pPr>
              <w:pStyle w:val="Tabletext"/>
            </w:pPr>
            <w:r w:rsidRPr="0049400B">
              <w:t>13</w:t>
            </w:r>
          </w:p>
        </w:tc>
        <w:tc>
          <w:tcPr>
            <w:tcW w:w="4542" w:type="pct"/>
            <w:shd w:val="clear" w:color="auto" w:fill="auto"/>
          </w:tcPr>
          <w:p w:rsidR="001D4068" w:rsidRPr="0049400B" w:rsidRDefault="001D4068" w:rsidP="001D4068">
            <w:pPr>
              <w:pStyle w:val="Tabletext"/>
            </w:pPr>
            <w:r w:rsidRPr="0049400B">
              <w:t>Total current assets</w:t>
            </w:r>
          </w:p>
        </w:tc>
      </w:tr>
      <w:tr w:rsidR="001D4068" w:rsidRPr="0049400B" w:rsidTr="00CE5BCD">
        <w:tc>
          <w:tcPr>
            <w:tcW w:w="458" w:type="pct"/>
            <w:shd w:val="clear" w:color="auto" w:fill="auto"/>
          </w:tcPr>
          <w:p w:rsidR="001D4068" w:rsidRPr="0049400B" w:rsidRDefault="001D4068" w:rsidP="001D4068">
            <w:pPr>
              <w:pStyle w:val="Tabletext"/>
            </w:pPr>
            <w:r w:rsidRPr="0049400B">
              <w:t>14</w:t>
            </w:r>
          </w:p>
        </w:tc>
        <w:tc>
          <w:tcPr>
            <w:tcW w:w="4542" w:type="pct"/>
            <w:shd w:val="clear" w:color="auto" w:fill="auto"/>
          </w:tcPr>
          <w:p w:rsidR="001D4068" w:rsidRPr="0049400B" w:rsidRDefault="001D4068" w:rsidP="001D4068">
            <w:pPr>
              <w:pStyle w:val="Tabletext"/>
            </w:pPr>
            <w:r w:rsidRPr="0049400B">
              <w:t>Total non</w:t>
            </w:r>
            <w:r w:rsidR="0049400B">
              <w:noBreakHyphen/>
            </w:r>
            <w:r w:rsidRPr="0049400B">
              <w:t>current assets</w:t>
            </w:r>
          </w:p>
        </w:tc>
      </w:tr>
      <w:tr w:rsidR="001D4068" w:rsidRPr="0049400B" w:rsidTr="00CE5BCD">
        <w:tc>
          <w:tcPr>
            <w:tcW w:w="458" w:type="pct"/>
            <w:shd w:val="clear" w:color="auto" w:fill="auto"/>
          </w:tcPr>
          <w:p w:rsidR="001D4068" w:rsidRPr="0049400B" w:rsidRDefault="001D4068" w:rsidP="001D4068">
            <w:pPr>
              <w:pStyle w:val="Tabletext"/>
            </w:pPr>
            <w:r w:rsidRPr="0049400B">
              <w:t>15</w:t>
            </w:r>
          </w:p>
        </w:tc>
        <w:tc>
          <w:tcPr>
            <w:tcW w:w="4542" w:type="pct"/>
            <w:shd w:val="clear" w:color="auto" w:fill="auto"/>
          </w:tcPr>
          <w:p w:rsidR="001D4068" w:rsidRPr="0049400B" w:rsidRDefault="001D4068" w:rsidP="001D4068">
            <w:pPr>
              <w:pStyle w:val="Tabletext"/>
            </w:pPr>
            <w:r w:rsidRPr="0049400B">
              <w:t>Total assets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Balance sheet—liabilities</w:t>
            </w:r>
          </w:p>
        </w:tc>
      </w:tr>
      <w:tr w:rsidR="001D4068" w:rsidRPr="0049400B" w:rsidTr="00CE5BCD">
        <w:tc>
          <w:tcPr>
            <w:tcW w:w="458" w:type="pct"/>
            <w:shd w:val="clear" w:color="auto" w:fill="auto"/>
          </w:tcPr>
          <w:p w:rsidR="001D4068" w:rsidRPr="0049400B" w:rsidRDefault="001D4068" w:rsidP="001D4068">
            <w:pPr>
              <w:pStyle w:val="Tabletext"/>
            </w:pPr>
            <w:r w:rsidRPr="0049400B">
              <w:t>16</w:t>
            </w:r>
          </w:p>
        </w:tc>
        <w:tc>
          <w:tcPr>
            <w:tcW w:w="4542" w:type="pct"/>
            <w:shd w:val="clear" w:color="auto" w:fill="auto"/>
          </w:tcPr>
          <w:p w:rsidR="001D4068" w:rsidRPr="0049400B" w:rsidRDefault="001D4068" w:rsidP="001D4068">
            <w:pPr>
              <w:pStyle w:val="Tabletext"/>
            </w:pPr>
            <w:r w:rsidRPr="0049400B">
              <w:t>Total current liabilities</w:t>
            </w:r>
          </w:p>
        </w:tc>
      </w:tr>
      <w:tr w:rsidR="001D4068" w:rsidRPr="0049400B" w:rsidTr="00CE5BCD">
        <w:tc>
          <w:tcPr>
            <w:tcW w:w="458" w:type="pct"/>
            <w:shd w:val="clear" w:color="auto" w:fill="auto"/>
          </w:tcPr>
          <w:p w:rsidR="001D4068" w:rsidRPr="0049400B" w:rsidRDefault="001D4068" w:rsidP="001D4068">
            <w:pPr>
              <w:pStyle w:val="Tabletext"/>
            </w:pPr>
            <w:r w:rsidRPr="0049400B">
              <w:t>17</w:t>
            </w:r>
          </w:p>
        </w:tc>
        <w:tc>
          <w:tcPr>
            <w:tcW w:w="4542" w:type="pct"/>
            <w:shd w:val="clear" w:color="auto" w:fill="auto"/>
          </w:tcPr>
          <w:p w:rsidR="001D4068" w:rsidRPr="0049400B" w:rsidRDefault="001D4068" w:rsidP="001D4068">
            <w:pPr>
              <w:pStyle w:val="Tabletext"/>
            </w:pPr>
            <w:r w:rsidRPr="0049400B">
              <w:t>Total non</w:t>
            </w:r>
            <w:r w:rsidR="0049400B">
              <w:noBreakHyphen/>
            </w:r>
            <w:r w:rsidRPr="0049400B">
              <w:t>current liabilities</w:t>
            </w:r>
          </w:p>
        </w:tc>
      </w:tr>
      <w:tr w:rsidR="001D4068" w:rsidRPr="0049400B" w:rsidTr="00CE5BCD">
        <w:tc>
          <w:tcPr>
            <w:tcW w:w="458" w:type="pct"/>
            <w:shd w:val="clear" w:color="auto" w:fill="auto"/>
          </w:tcPr>
          <w:p w:rsidR="001D4068" w:rsidRPr="0049400B" w:rsidRDefault="001D4068" w:rsidP="001D4068">
            <w:pPr>
              <w:pStyle w:val="Tabletext"/>
            </w:pPr>
            <w:r w:rsidRPr="0049400B">
              <w:t>18</w:t>
            </w:r>
          </w:p>
        </w:tc>
        <w:tc>
          <w:tcPr>
            <w:tcW w:w="4542" w:type="pct"/>
            <w:shd w:val="clear" w:color="auto" w:fill="auto"/>
          </w:tcPr>
          <w:p w:rsidR="001D4068" w:rsidRPr="0049400B" w:rsidRDefault="001D4068" w:rsidP="001D4068">
            <w:pPr>
              <w:pStyle w:val="Tabletext"/>
            </w:pPr>
            <w:r w:rsidRPr="0049400B">
              <w:t>Total liabilities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text"/>
              <w:rPr>
                <w:b/>
                <w:i/>
              </w:rPr>
            </w:pPr>
            <w:r w:rsidRPr="0049400B">
              <w:rPr>
                <w:b/>
                <w:i/>
              </w:rPr>
              <w:t>Balance sheet—net assets/liabilities</w:t>
            </w:r>
          </w:p>
        </w:tc>
      </w:tr>
      <w:tr w:rsidR="001D4068" w:rsidRPr="0049400B" w:rsidTr="00CE5BCD">
        <w:tc>
          <w:tcPr>
            <w:tcW w:w="458" w:type="pct"/>
            <w:tcBorders>
              <w:bottom w:val="single" w:sz="12" w:space="0" w:color="auto"/>
            </w:tcBorders>
            <w:shd w:val="clear" w:color="auto" w:fill="auto"/>
          </w:tcPr>
          <w:p w:rsidR="001D4068" w:rsidRPr="0049400B" w:rsidRDefault="001D4068" w:rsidP="001D4068">
            <w:pPr>
              <w:pStyle w:val="Tabletext"/>
            </w:pPr>
            <w:r w:rsidRPr="0049400B">
              <w:t>19</w:t>
            </w:r>
          </w:p>
        </w:tc>
        <w:tc>
          <w:tcPr>
            <w:tcW w:w="4542" w:type="pct"/>
            <w:tcBorders>
              <w:bottom w:val="single" w:sz="12" w:space="0" w:color="auto"/>
            </w:tcBorders>
            <w:shd w:val="clear" w:color="auto" w:fill="auto"/>
          </w:tcPr>
          <w:p w:rsidR="001D4068" w:rsidRPr="0049400B" w:rsidRDefault="001D4068" w:rsidP="001D4068">
            <w:pPr>
              <w:pStyle w:val="Tabletext"/>
            </w:pPr>
            <w:r w:rsidRPr="0049400B">
              <w:t>Net assets/liabilities</w:t>
            </w:r>
          </w:p>
        </w:tc>
      </w:tr>
    </w:tbl>
    <w:p w:rsidR="001D4068" w:rsidRPr="0049400B" w:rsidRDefault="001D4068" w:rsidP="001D4068">
      <w:pPr>
        <w:pStyle w:val="notetext"/>
      </w:pPr>
      <w:bookmarkStart w:id="66" w:name="OPCSB_AmendSchdB5"/>
      <w:r w:rsidRPr="0049400B">
        <w:t>Note 1:</w:t>
      </w:r>
      <w:r w:rsidRPr="0049400B">
        <w:tab/>
        <w:t>This information is also proposed to be contained in the medium registered entity’s 2014 Annual Information Statement.</w:t>
      </w:r>
    </w:p>
    <w:p w:rsidR="001D4068" w:rsidRPr="0049400B" w:rsidRDefault="001D4068" w:rsidP="001D4068">
      <w:pPr>
        <w:pStyle w:val="notetext"/>
      </w:pPr>
      <w:r w:rsidRPr="0049400B">
        <w:t>Note 2:</w:t>
      </w:r>
      <w:r w:rsidRPr="0049400B">
        <w:tab/>
        <w:t>Government grants are grants that the medium registered entity receives from the Commonwealth, a State or Territory or a local government body.</w:t>
      </w:r>
    </w:p>
    <w:p w:rsidR="001D4068" w:rsidRPr="0049400B" w:rsidRDefault="001D4068" w:rsidP="001D4068">
      <w:pPr>
        <w:pStyle w:val="subsection"/>
      </w:pPr>
      <w:r w:rsidRPr="0049400B">
        <w:tab/>
        <w:t>(3)</w:t>
      </w:r>
      <w:r w:rsidRPr="0049400B">
        <w:tab/>
        <w:t>For a large registered entity, a statement that complies with this subsection must consist of the information set out in the following table.</w:t>
      </w:r>
    </w:p>
    <w:p w:rsidR="001D4068" w:rsidRPr="0049400B" w:rsidRDefault="001D4068" w:rsidP="001D406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1"/>
        <w:gridCol w:w="7748"/>
      </w:tblGrid>
      <w:tr w:rsidR="001D4068" w:rsidRPr="0049400B" w:rsidTr="00CE5BCD">
        <w:trPr>
          <w:tblHeader/>
        </w:trPr>
        <w:tc>
          <w:tcPr>
            <w:tcW w:w="5000" w:type="pct"/>
            <w:gridSpan w:val="2"/>
            <w:tcBorders>
              <w:top w:val="single" w:sz="12" w:space="0" w:color="auto"/>
              <w:bottom w:val="single" w:sz="6" w:space="0" w:color="auto"/>
            </w:tcBorders>
            <w:shd w:val="clear" w:color="auto" w:fill="auto"/>
          </w:tcPr>
          <w:p w:rsidR="001D4068" w:rsidRPr="0049400B" w:rsidRDefault="001D4068" w:rsidP="001D4068">
            <w:pPr>
              <w:pStyle w:val="TableHeading"/>
            </w:pPr>
            <w:r w:rsidRPr="0049400B">
              <w:t>Information</w:t>
            </w:r>
          </w:p>
        </w:tc>
      </w:tr>
      <w:tr w:rsidR="001D4068" w:rsidRPr="0049400B" w:rsidTr="00CE5BCD">
        <w:trPr>
          <w:tblHeader/>
        </w:trPr>
        <w:tc>
          <w:tcPr>
            <w:tcW w:w="458"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Item</w:t>
            </w:r>
          </w:p>
        </w:tc>
        <w:tc>
          <w:tcPr>
            <w:tcW w:w="4542" w:type="pct"/>
            <w:tcBorders>
              <w:top w:val="single" w:sz="6" w:space="0" w:color="auto"/>
              <w:bottom w:val="single" w:sz="12" w:space="0" w:color="auto"/>
            </w:tcBorders>
            <w:shd w:val="clear" w:color="auto" w:fill="auto"/>
          </w:tcPr>
          <w:p w:rsidR="001D4068" w:rsidRPr="0049400B" w:rsidRDefault="001D4068" w:rsidP="001D4068">
            <w:pPr>
              <w:pStyle w:val="TableHeading"/>
            </w:pPr>
            <w:r w:rsidRPr="0049400B">
              <w:t>Information</w:t>
            </w:r>
          </w:p>
        </w:tc>
      </w:tr>
      <w:tr w:rsidR="001D4068" w:rsidRPr="0049400B" w:rsidTr="00CE5BCD">
        <w:tc>
          <w:tcPr>
            <w:tcW w:w="458" w:type="pct"/>
            <w:tcBorders>
              <w:top w:val="single" w:sz="12" w:space="0" w:color="auto"/>
            </w:tcBorders>
            <w:shd w:val="clear" w:color="auto" w:fill="auto"/>
          </w:tcPr>
          <w:p w:rsidR="001D4068" w:rsidRPr="0049400B" w:rsidRDefault="001D4068" w:rsidP="001D4068">
            <w:pPr>
              <w:pStyle w:val="Tabletext"/>
            </w:pPr>
          </w:p>
        </w:tc>
        <w:tc>
          <w:tcPr>
            <w:tcW w:w="4542" w:type="pct"/>
            <w:tcBorders>
              <w:top w:val="single" w:sz="12" w:space="0" w:color="auto"/>
            </w:tcBorders>
            <w:shd w:val="clear" w:color="auto" w:fill="auto"/>
          </w:tcPr>
          <w:p w:rsidR="001D4068" w:rsidRPr="0049400B" w:rsidRDefault="001D4068" w:rsidP="001D4068">
            <w:pPr>
              <w:pStyle w:val="TableHeading"/>
              <w:rPr>
                <w:i/>
              </w:rPr>
            </w:pPr>
            <w:r w:rsidRPr="0049400B">
              <w:rPr>
                <w:i/>
              </w:rPr>
              <w:t>Income statement—gross income</w:t>
            </w:r>
          </w:p>
        </w:tc>
      </w:tr>
      <w:tr w:rsidR="001D4068" w:rsidRPr="0049400B" w:rsidTr="00CE5BCD">
        <w:tc>
          <w:tcPr>
            <w:tcW w:w="458" w:type="pct"/>
            <w:shd w:val="clear" w:color="auto" w:fill="auto"/>
          </w:tcPr>
          <w:p w:rsidR="001D4068" w:rsidRPr="0049400B" w:rsidRDefault="001D4068" w:rsidP="001D4068">
            <w:pPr>
              <w:pStyle w:val="Tabletext"/>
            </w:pPr>
            <w:r w:rsidRPr="0049400B">
              <w:t>1</w:t>
            </w:r>
          </w:p>
        </w:tc>
        <w:tc>
          <w:tcPr>
            <w:tcW w:w="4542" w:type="pct"/>
            <w:shd w:val="clear" w:color="auto" w:fill="auto"/>
          </w:tcPr>
          <w:p w:rsidR="001D4068" w:rsidRPr="0049400B" w:rsidRDefault="001D4068" w:rsidP="001D4068">
            <w:pPr>
              <w:pStyle w:val="Tabletext"/>
            </w:pPr>
            <w:r w:rsidRPr="0049400B">
              <w:t>Government grants</w:t>
            </w:r>
          </w:p>
        </w:tc>
      </w:tr>
      <w:tr w:rsidR="001D4068" w:rsidRPr="0049400B" w:rsidTr="00CE5BCD">
        <w:tc>
          <w:tcPr>
            <w:tcW w:w="458" w:type="pct"/>
            <w:shd w:val="clear" w:color="auto" w:fill="auto"/>
          </w:tcPr>
          <w:p w:rsidR="001D4068" w:rsidRPr="0049400B" w:rsidRDefault="001D4068" w:rsidP="001D4068">
            <w:pPr>
              <w:pStyle w:val="Tabletext"/>
            </w:pPr>
            <w:r w:rsidRPr="0049400B">
              <w:t>2</w:t>
            </w:r>
          </w:p>
        </w:tc>
        <w:tc>
          <w:tcPr>
            <w:tcW w:w="4542" w:type="pct"/>
            <w:shd w:val="clear" w:color="auto" w:fill="auto"/>
          </w:tcPr>
          <w:p w:rsidR="001D4068" w:rsidRPr="0049400B" w:rsidRDefault="001D4068" w:rsidP="001D4068">
            <w:pPr>
              <w:pStyle w:val="Tabletext"/>
            </w:pPr>
            <w:r w:rsidRPr="0049400B">
              <w:t>Donations and bequests</w:t>
            </w:r>
          </w:p>
        </w:tc>
      </w:tr>
      <w:tr w:rsidR="001D4068" w:rsidRPr="0049400B" w:rsidTr="00CE5BCD">
        <w:tc>
          <w:tcPr>
            <w:tcW w:w="458" w:type="pct"/>
            <w:shd w:val="clear" w:color="auto" w:fill="auto"/>
          </w:tcPr>
          <w:p w:rsidR="001D4068" w:rsidRPr="0049400B" w:rsidRDefault="001D4068" w:rsidP="001D4068">
            <w:pPr>
              <w:pStyle w:val="Tabletext"/>
            </w:pPr>
            <w:r w:rsidRPr="0049400B">
              <w:t>3</w:t>
            </w:r>
          </w:p>
        </w:tc>
        <w:tc>
          <w:tcPr>
            <w:tcW w:w="4542" w:type="pct"/>
            <w:shd w:val="clear" w:color="auto" w:fill="auto"/>
          </w:tcPr>
          <w:p w:rsidR="001D4068" w:rsidRPr="0049400B" w:rsidRDefault="001D4068" w:rsidP="001D4068">
            <w:pPr>
              <w:pStyle w:val="Tabletext"/>
            </w:pPr>
            <w:r w:rsidRPr="0049400B">
              <w:t>All other revenue</w:t>
            </w:r>
          </w:p>
        </w:tc>
      </w:tr>
      <w:tr w:rsidR="001D4068" w:rsidRPr="0049400B" w:rsidTr="00CE5BCD">
        <w:tc>
          <w:tcPr>
            <w:tcW w:w="458" w:type="pct"/>
            <w:shd w:val="clear" w:color="auto" w:fill="auto"/>
          </w:tcPr>
          <w:p w:rsidR="001D4068" w:rsidRPr="0049400B" w:rsidRDefault="001D4068" w:rsidP="001D4068">
            <w:pPr>
              <w:pStyle w:val="Tabletext"/>
            </w:pPr>
            <w:r w:rsidRPr="0049400B">
              <w:t>4</w:t>
            </w:r>
          </w:p>
        </w:tc>
        <w:tc>
          <w:tcPr>
            <w:tcW w:w="4542" w:type="pct"/>
            <w:shd w:val="clear" w:color="auto" w:fill="auto"/>
          </w:tcPr>
          <w:p w:rsidR="001D4068" w:rsidRPr="0049400B" w:rsidRDefault="001D4068" w:rsidP="001D4068">
            <w:pPr>
              <w:pStyle w:val="Tabletext"/>
            </w:pPr>
            <w:r w:rsidRPr="0049400B">
              <w:t>Total revenue</w:t>
            </w:r>
          </w:p>
        </w:tc>
      </w:tr>
      <w:tr w:rsidR="001D4068" w:rsidRPr="0049400B" w:rsidTr="00CE5BCD">
        <w:tc>
          <w:tcPr>
            <w:tcW w:w="458" w:type="pct"/>
            <w:shd w:val="clear" w:color="auto" w:fill="auto"/>
          </w:tcPr>
          <w:p w:rsidR="001D4068" w:rsidRPr="0049400B" w:rsidRDefault="001D4068" w:rsidP="001D4068">
            <w:pPr>
              <w:pStyle w:val="Tabletext"/>
            </w:pPr>
            <w:r w:rsidRPr="0049400B">
              <w:t>5</w:t>
            </w:r>
          </w:p>
        </w:tc>
        <w:tc>
          <w:tcPr>
            <w:tcW w:w="4542" w:type="pct"/>
            <w:shd w:val="clear" w:color="auto" w:fill="auto"/>
          </w:tcPr>
          <w:p w:rsidR="001D4068" w:rsidRPr="0049400B" w:rsidRDefault="001D4068" w:rsidP="001D4068">
            <w:pPr>
              <w:pStyle w:val="Tabletext"/>
            </w:pPr>
            <w:r w:rsidRPr="0049400B">
              <w:t>Other income</w:t>
            </w:r>
          </w:p>
        </w:tc>
      </w:tr>
      <w:tr w:rsidR="001D4068" w:rsidRPr="0049400B" w:rsidTr="00CE5BCD">
        <w:tc>
          <w:tcPr>
            <w:tcW w:w="458" w:type="pct"/>
            <w:shd w:val="clear" w:color="auto" w:fill="auto"/>
          </w:tcPr>
          <w:p w:rsidR="001D4068" w:rsidRPr="0049400B" w:rsidRDefault="001D4068" w:rsidP="001D4068">
            <w:pPr>
              <w:pStyle w:val="Tabletext"/>
            </w:pPr>
            <w:r w:rsidRPr="0049400B">
              <w:t>6</w:t>
            </w:r>
          </w:p>
        </w:tc>
        <w:tc>
          <w:tcPr>
            <w:tcW w:w="4542" w:type="pct"/>
            <w:shd w:val="clear" w:color="auto" w:fill="auto"/>
          </w:tcPr>
          <w:p w:rsidR="001D4068" w:rsidRPr="0049400B" w:rsidRDefault="001D4068" w:rsidP="001D4068">
            <w:pPr>
              <w:pStyle w:val="Tabletext"/>
            </w:pPr>
            <w:r w:rsidRPr="0049400B">
              <w:t>Total gross income</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Income statement—expenses</w:t>
            </w:r>
          </w:p>
        </w:tc>
      </w:tr>
      <w:tr w:rsidR="001D4068" w:rsidRPr="0049400B" w:rsidTr="00CE5BCD">
        <w:tc>
          <w:tcPr>
            <w:tcW w:w="458" w:type="pct"/>
            <w:shd w:val="clear" w:color="auto" w:fill="auto"/>
          </w:tcPr>
          <w:p w:rsidR="001D4068" w:rsidRPr="0049400B" w:rsidRDefault="001D4068" w:rsidP="001D4068">
            <w:pPr>
              <w:pStyle w:val="Tabletext"/>
            </w:pPr>
            <w:r w:rsidRPr="0049400B">
              <w:t>7</w:t>
            </w:r>
          </w:p>
        </w:tc>
        <w:tc>
          <w:tcPr>
            <w:tcW w:w="4542" w:type="pct"/>
            <w:shd w:val="clear" w:color="auto" w:fill="auto"/>
          </w:tcPr>
          <w:p w:rsidR="001D4068" w:rsidRPr="0049400B" w:rsidRDefault="001D4068" w:rsidP="001D4068">
            <w:pPr>
              <w:pStyle w:val="Tabletext"/>
            </w:pPr>
            <w:r w:rsidRPr="0049400B">
              <w:t>Employee expenses</w:t>
            </w:r>
          </w:p>
        </w:tc>
      </w:tr>
      <w:tr w:rsidR="001D4068" w:rsidRPr="0049400B" w:rsidTr="00CE5BCD">
        <w:tc>
          <w:tcPr>
            <w:tcW w:w="458" w:type="pct"/>
            <w:shd w:val="clear" w:color="auto" w:fill="auto"/>
          </w:tcPr>
          <w:p w:rsidR="001D4068" w:rsidRPr="0049400B" w:rsidRDefault="001D4068" w:rsidP="001D4068">
            <w:pPr>
              <w:pStyle w:val="Tabletext"/>
            </w:pPr>
            <w:r w:rsidRPr="0049400B">
              <w:t>8</w:t>
            </w:r>
          </w:p>
        </w:tc>
        <w:tc>
          <w:tcPr>
            <w:tcW w:w="4542" w:type="pct"/>
            <w:shd w:val="clear" w:color="auto" w:fill="auto"/>
          </w:tcPr>
          <w:p w:rsidR="001D4068" w:rsidRPr="0049400B" w:rsidRDefault="001D4068" w:rsidP="001D4068">
            <w:pPr>
              <w:pStyle w:val="Tabletext"/>
            </w:pPr>
            <w:r w:rsidRPr="0049400B">
              <w:t>Interest</w:t>
            </w:r>
          </w:p>
        </w:tc>
      </w:tr>
      <w:tr w:rsidR="001D4068" w:rsidRPr="0049400B" w:rsidTr="00CE5BCD">
        <w:tc>
          <w:tcPr>
            <w:tcW w:w="458" w:type="pct"/>
            <w:shd w:val="clear" w:color="auto" w:fill="auto"/>
          </w:tcPr>
          <w:p w:rsidR="001D4068" w:rsidRPr="0049400B" w:rsidRDefault="001D4068" w:rsidP="001D4068">
            <w:pPr>
              <w:pStyle w:val="Tabletext"/>
            </w:pPr>
            <w:r w:rsidRPr="0049400B">
              <w:t>9</w:t>
            </w:r>
          </w:p>
        </w:tc>
        <w:tc>
          <w:tcPr>
            <w:tcW w:w="4542" w:type="pct"/>
            <w:shd w:val="clear" w:color="auto" w:fill="auto"/>
          </w:tcPr>
          <w:p w:rsidR="001D4068" w:rsidRPr="0049400B" w:rsidRDefault="001D4068" w:rsidP="001D4068">
            <w:pPr>
              <w:pStyle w:val="Tabletext"/>
            </w:pPr>
            <w:r w:rsidRPr="0049400B">
              <w:t>Grants and donations made by the registered entity for use in Australia</w:t>
            </w:r>
          </w:p>
        </w:tc>
      </w:tr>
      <w:tr w:rsidR="001D4068" w:rsidRPr="0049400B" w:rsidTr="00CE5BCD">
        <w:tc>
          <w:tcPr>
            <w:tcW w:w="458" w:type="pct"/>
            <w:shd w:val="clear" w:color="auto" w:fill="auto"/>
          </w:tcPr>
          <w:p w:rsidR="001D4068" w:rsidRPr="0049400B" w:rsidRDefault="001D4068" w:rsidP="001D4068">
            <w:pPr>
              <w:pStyle w:val="Tabletext"/>
            </w:pPr>
            <w:r w:rsidRPr="0049400B">
              <w:t>10</w:t>
            </w:r>
          </w:p>
        </w:tc>
        <w:tc>
          <w:tcPr>
            <w:tcW w:w="4542" w:type="pct"/>
            <w:shd w:val="clear" w:color="auto" w:fill="auto"/>
          </w:tcPr>
          <w:p w:rsidR="001D4068" w:rsidRPr="0049400B" w:rsidRDefault="001D4068" w:rsidP="001D4068">
            <w:pPr>
              <w:pStyle w:val="Tabletext"/>
            </w:pPr>
            <w:r w:rsidRPr="0049400B">
              <w:t>Grants and donations made by the registered entity for use outside Australia</w:t>
            </w:r>
          </w:p>
        </w:tc>
      </w:tr>
      <w:tr w:rsidR="001D4068" w:rsidRPr="0049400B" w:rsidTr="00CE5BCD">
        <w:tc>
          <w:tcPr>
            <w:tcW w:w="458" w:type="pct"/>
            <w:shd w:val="clear" w:color="auto" w:fill="auto"/>
          </w:tcPr>
          <w:p w:rsidR="001D4068" w:rsidRPr="0049400B" w:rsidRDefault="001D4068" w:rsidP="001D4068">
            <w:pPr>
              <w:pStyle w:val="Tabletext"/>
            </w:pPr>
            <w:r w:rsidRPr="0049400B">
              <w:t>11</w:t>
            </w:r>
          </w:p>
        </w:tc>
        <w:tc>
          <w:tcPr>
            <w:tcW w:w="4542" w:type="pct"/>
            <w:shd w:val="clear" w:color="auto" w:fill="auto"/>
          </w:tcPr>
          <w:p w:rsidR="001D4068" w:rsidRPr="0049400B" w:rsidRDefault="001D4068" w:rsidP="001D4068">
            <w:pPr>
              <w:pStyle w:val="Tabletext"/>
            </w:pPr>
            <w:r w:rsidRPr="0049400B">
              <w:t>All other expenses</w:t>
            </w:r>
          </w:p>
        </w:tc>
      </w:tr>
      <w:tr w:rsidR="001D4068" w:rsidRPr="0049400B" w:rsidTr="00CE5BCD">
        <w:tc>
          <w:tcPr>
            <w:tcW w:w="458" w:type="pct"/>
            <w:shd w:val="clear" w:color="auto" w:fill="auto"/>
          </w:tcPr>
          <w:p w:rsidR="001D4068" w:rsidRPr="0049400B" w:rsidRDefault="001D4068" w:rsidP="001D4068">
            <w:pPr>
              <w:pStyle w:val="Tabletext"/>
            </w:pPr>
            <w:r w:rsidRPr="0049400B">
              <w:t>12</w:t>
            </w:r>
          </w:p>
        </w:tc>
        <w:tc>
          <w:tcPr>
            <w:tcW w:w="4542" w:type="pct"/>
            <w:shd w:val="clear" w:color="auto" w:fill="auto"/>
          </w:tcPr>
          <w:p w:rsidR="001D4068" w:rsidRPr="0049400B" w:rsidRDefault="001D4068" w:rsidP="001D4068">
            <w:pPr>
              <w:pStyle w:val="Tabletext"/>
            </w:pPr>
            <w:r w:rsidRPr="0049400B">
              <w:t>Total expenses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Income statement—net surplus/deficit</w:t>
            </w:r>
          </w:p>
        </w:tc>
      </w:tr>
      <w:tr w:rsidR="001D4068" w:rsidRPr="0049400B" w:rsidTr="00CE5BCD">
        <w:tc>
          <w:tcPr>
            <w:tcW w:w="458" w:type="pct"/>
            <w:shd w:val="clear" w:color="auto" w:fill="auto"/>
          </w:tcPr>
          <w:p w:rsidR="001D4068" w:rsidRPr="0049400B" w:rsidRDefault="001D4068" w:rsidP="001D4068">
            <w:pPr>
              <w:pStyle w:val="Tabletext"/>
            </w:pPr>
            <w:r w:rsidRPr="0049400B">
              <w:t>13</w:t>
            </w:r>
          </w:p>
        </w:tc>
        <w:tc>
          <w:tcPr>
            <w:tcW w:w="4542" w:type="pct"/>
            <w:shd w:val="clear" w:color="auto" w:fill="auto"/>
          </w:tcPr>
          <w:p w:rsidR="001D4068" w:rsidRPr="0049400B" w:rsidRDefault="001D4068" w:rsidP="001D4068">
            <w:pPr>
              <w:pStyle w:val="Tabletext"/>
            </w:pPr>
            <w:r w:rsidRPr="0049400B">
              <w:t>Net surplus/deficit</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Balance sheet—assets</w:t>
            </w:r>
          </w:p>
        </w:tc>
      </w:tr>
      <w:tr w:rsidR="001D4068" w:rsidRPr="0049400B" w:rsidTr="00CE5BCD">
        <w:tc>
          <w:tcPr>
            <w:tcW w:w="458" w:type="pct"/>
            <w:shd w:val="clear" w:color="auto" w:fill="auto"/>
          </w:tcPr>
          <w:p w:rsidR="001D4068" w:rsidRPr="0049400B" w:rsidRDefault="001D4068" w:rsidP="001D4068">
            <w:pPr>
              <w:pStyle w:val="Tabletext"/>
            </w:pPr>
            <w:r w:rsidRPr="0049400B">
              <w:t>14</w:t>
            </w:r>
          </w:p>
        </w:tc>
        <w:tc>
          <w:tcPr>
            <w:tcW w:w="4542" w:type="pct"/>
            <w:shd w:val="clear" w:color="auto" w:fill="auto"/>
          </w:tcPr>
          <w:p w:rsidR="001D4068" w:rsidRPr="0049400B" w:rsidRDefault="001D4068" w:rsidP="001D4068">
            <w:pPr>
              <w:pStyle w:val="Tabletext"/>
            </w:pPr>
            <w:r w:rsidRPr="0049400B">
              <w:t>Total current assets</w:t>
            </w:r>
          </w:p>
        </w:tc>
      </w:tr>
      <w:tr w:rsidR="001D4068" w:rsidRPr="0049400B" w:rsidTr="00CE5BCD">
        <w:tc>
          <w:tcPr>
            <w:tcW w:w="458" w:type="pct"/>
            <w:shd w:val="clear" w:color="auto" w:fill="auto"/>
          </w:tcPr>
          <w:p w:rsidR="001D4068" w:rsidRPr="0049400B" w:rsidRDefault="001D4068" w:rsidP="001D4068">
            <w:pPr>
              <w:pStyle w:val="Tabletext"/>
            </w:pPr>
            <w:r w:rsidRPr="0049400B">
              <w:t>15</w:t>
            </w:r>
          </w:p>
        </w:tc>
        <w:tc>
          <w:tcPr>
            <w:tcW w:w="4542" w:type="pct"/>
            <w:shd w:val="clear" w:color="auto" w:fill="auto"/>
          </w:tcPr>
          <w:p w:rsidR="001D4068" w:rsidRPr="0049400B" w:rsidRDefault="001D4068" w:rsidP="001D4068">
            <w:pPr>
              <w:pStyle w:val="Tabletext"/>
            </w:pPr>
            <w:r w:rsidRPr="0049400B">
              <w:t>Non</w:t>
            </w:r>
            <w:r w:rsidR="0049400B">
              <w:noBreakHyphen/>
            </w:r>
            <w:r w:rsidRPr="0049400B">
              <w:t>current loans</w:t>
            </w:r>
          </w:p>
        </w:tc>
      </w:tr>
      <w:tr w:rsidR="001D4068" w:rsidRPr="0049400B" w:rsidTr="00CE5BCD">
        <w:tc>
          <w:tcPr>
            <w:tcW w:w="458" w:type="pct"/>
            <w:shd w:val="clear" w:color="auto" w:fill="auto"/>
          </w:tcPr>
          <w:p w:rsidR="001D4068" w:rsidRPr="0049400B" w:rsidRDefault="001D4068" w:rsidP="001D4068">
            <w:pPr>
              <w:pStyle w:val="Tabletext"/>
            </w:pPr>
            <w:r w:rsidRPr="0049400B">
              <w:t>16</w:t>
            </w:r>
          </w:p>
        </w:tc>
        <w:tc>
          <w:tcPr>
            <w:tcW w:w="4542" w:type="pct"/>
            <w:shd w:val="clear" w:color="auto" w:fill="auto"/>
          </w:tcPr>
          <w:p w:rsidR="001D4068" w:rsidRPr="0049400B" w:rsidRDefault="001D4068" w:rsidP="001D4068">
            <w:pPr>
              <w:pStyle w:val="Tabletext"/>
            </w:pPr>
            <w:r w:rsidRPr="0049400B">
              <w:t>Other non</w:t>
            </w:r>
            <w:r w:rsidR="0049400B">
              <w:noBreakHyphen/>
            </w:r>
            <w:r w:rsidRPr="0049400B">
              <w:t>current assets</w:t>
            </w:r>
          </w:p>
        </w:tc>
      </w:tr>
      <w:tr w:rsidR="001D4068" w:rsidRPr="0049400B" w:rsidTr="00CE5BCD">
        <w:tc>
          <w:tcPr>
            <w:tcW w:w="458" w:type="pct"/>
            <w:shd w:val="clear" w:color="auto" w:fill="auto"/>
          </w:tcPr>
          <w:p w:rsidR="001D4068" w:rsidRPr="0049400B" w:rsidRDefault="001D4068" w:rsidP="001D4068">
            <w:pPr>
              <w:pStyle w:val="Tabletext"/>
            </w:pPr>
            <w:r w:rsidRPr="0049400B">
              <w:t>17</w:t>
            </w:r>
          </w:p>
        </w:tc>
        <w:tc>
          <w:tcPr>
            <w:tcW w:w="4542" w:type="pct"/>
            <w:shd w:val="clear" w:color="auto" w:fill="auto"/>
          </w:tcPr>
          <w:p w:rsidR="001D4068" w:rsidRPr="0049400B" w:rsidRDefault="001D4068" w:rsidP="001D4068">
            <w:pPr>
              <w:pStyle w:val="Tabletext"/>
            </w:pPr>
            <w:r w:rsidRPr="0049400B">
              <w:t>Total non</w:t>
            </w:r>
            <w:r w:rsidR="0049400B">
              <w:noBreakHyphen/>
            </w:r>
            <w:r w:rsidRPr="0049400B">
              <w:t>current assets</w:t>
            </w:r>
          </w:p>
        </w:tc>
      </w:tr>
      <w:tr w:rsidR="001D4068" w:rsidRPr="0049400B" w:rsidTr="00CE5BCD">
        <w:tc>
          <w:tcPr>
            <w:tcW w:w="458" w:type="pct"/>
            <w:shd w:val="clear" w:color="auto" w:fill="auto"/>
          </w:tcPr>
          <w:p w:rsidR="001D4068" w:rsidRPr="0049400B" w:rsidRDefault="001D4068" w:rsidP="001D4068">
            <w:pPr>
              <w:pStyle w:val="Tabletext"/>
            </w:pPr>
            <w:r w:rsidRPr="0049400B">
              <w:t>18</w:t>
            </w:r>
          </w:p>
        </w:tc>
        <w:tc>
          <w:tcPr>
            <w:tcW w:w="4542" w:type="pct"/>
            <w:shd w:val="clear" w:color="auto" w:fill="auto"/>
          </w:tcPr>
          <w:p w:rsidR="001D4068" w:rsidRPr="0049400B" w:rsidRDefault="001D4068" w:rsidP="001D4068">
            <w:pPr>
              <w:pStyle w:val="Tabletext"/>
            </w:pPr>
            <w:r w:rsidRPr="0049400B">
              <w:t>Total assets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Heading"/>
              <w:rPr>
                <w:i/>
              </w:rPr>
            </w:pPr>
            <w:r w:rsidRPr="0049400B">
              <w:rPr>
                <w:i/>
              </w:rPr>
              <w:t>Balance sheet—liabilities</w:t>
            </w:r>
          </w:p>
        </w:tc>
      </w:tr>
      <w:tr w:rsidR="001D4068" w:rsidRPr="0049400B" w:rsidTr="00CE5BCD">
        <w:tc>
          <w:tcPr>
            <w:tcW w:w="458" w:type="pct"/>
            <w:shd w:val="clear" w:color="auto" w:fill="auto"/>
          </w:tcPr>
          <w:p w:rsidR="001D4068" w:rsidRPr="0049400B" w:rsidRDefault="001D4068" w:rsidP="001D4068">
            <w:pPr>
              <w:pStyle w:val="Tabletext"/>
            </w:pPr>
            <w:r w:rsidRPr="0049400B">
              <w:t>19</w:t>
            </w:r>
          </w:p>
        </w:tc>
        <w:tc>
          <w:tcPr>
            <w:tcW w:w="4542" w:type="pct"/>
            <w:shd w:val="clear" w:color="auto" w:fill="auto"/>
          </w:tcPr>
          <w:p w:rsidR="001D4068" w:rsidRPr="0049400B" w:rsidRDefault="001D4068" w:rsidP="001D4068">
            <w:pPr>
              <w:pStyle w:val="Tabletext"/>
            </w:pPr>
            <w:r w:rsidRPr="0049400B">
              <w:t>Total current liabilities</w:t>
            </w:r>
          </w:p>
        </w:tc>
      </w:tr>
      <w:tr w:rsidR="001D4068" w:rsidRPr="0049400B" w:rsidTr="00CE5BCD">
        <w:tc>
          <w:tcPr>
            <w:tcW w:w="458" w:type="pct"/>
            <w:shd w:val="clear" w:color="auto" w:fill="auto"/>
          </w:tcPr>
          <w:p w:rsidR="001D4068" w:rsidRPr="0049400B" w:rsidRDefault="001D4068" w:rsidP="001D4068">
            <w:pPr>
              <w:pStyle w:val="Tabletext"/>
            </w:pPr>
            <w:r w:rsidRPr="0049400B">
              <w:t>20</w:t>
            </w:r>
          </w:p>
        </w:tc>
        <w:tc>
          <w:tcPr>
            <w:tcW w:w="4542" w:type="pct"/>
            <w:shd w:val="clear" w:color="auto" w:fill="auto"/>
          </w:tcPr>
          <w:p w:rsidR="001D4068" w:rsidRPr="0049400B" w:rsidRDefault="001D4068" w:rsidP="001D4068">
            <w:pPr>
              <w:pStyle w:val="Tabletext"/>
            </w:pPr>
            <w:r w:rsidRPr="0049400B">
              <w:t>Non</w:t>
            </w:r>
            <w:r w:rsidR="0049400B">
              <w:noBreakHyphen/>
            </w:r>
            <w:r w:rsidRPr="0049400B">
              <w:t>current loans</w:t>
            </w:r>
          </w:p>
        </w:tc>
      </w:tr>
      <w:tr w:rsidR="001D4068" w:rsidRPr="0049400B" w:rsidTr="00CE5BCD">
        <w:tc>
          <w:tcPr>
            <w:tcW w:w="458" w:type="pct"/>
            <w:shd w:val="clear" w:color="auto" w:fill="auto"/>
          </w:tcPr>
          <w:p w:rsidR="001D4068" w:rsidRPr="0049400B" w:rsidRDefault="001D4068" w:rsidP="001D4068">
            <w:pPr>
              <w:pStyle w:val="Tabletext"/>
            </w:pPr>
            <w:r w:rsidRPr="0049400B">
              <w:t>21</w:t>
            </w:r>
          </w:p>
        </w:tc>
        <w:tc>
          <w:tcPr>
            <w:tcW w:w="4542" w:type="pct"/>
            <w:shd w:val="clear" w:color="auto" w:fill="auto"/>
          </w:tcPr>
          <w:p w:rsidR="001D4068" w:rsidRPr="0049400B" w:rsidRDefault="001D4068" w:rsidP="001D4068">
            <w:pPr>
              <w:pStyle w:val="Tabletext"/>
            </w:pPr>
            <w:r w:rsidRPr="0049400B">
              <w:t>Other non</w:t>
            </w:r>
            <w:r w:rsidR="0049400B">
              <w:noBreakHyphen/>
            </w:r>
            <w:r w:rsidRPr="0049400B">
              <w:t>current liabilities</w:t>
            </w:r>
          </w:p>
        </w:tc>
      </w:tr>
      <w:tr w:rsidR="001D4068" w:rsidRPr="0049400B" w:rsidTr="00CE5BCD">
        <w:tc>
          <w:tcPr>
            <w:tcW w:w="458" w:type="pct"/>
            <w:shd w:val="clear" w:color="auto" w:fill="auto"/>
          </w:tcPr>
          <w:p w:rsidR="001D4068" w:rsidRPr="0049400B" w:rsidRDefault="001D4068" w:rsidP="001D4068">
            <w:pPr>
              <w:pStyle w:val="Tabletext"/>
            </w:pPr>
            <w:r w:rsidRPr="0049400B">
              <w:t>22</w:t>
            </w:r>
          </w:p>
        </w:tc>
        <w:tc>
          <w:tcPr>
            <w:tcW w:w="4542" w:type="pct"/>
            <w:shd w:val="clear" w:color="auto" w:fill="auto"/>
          </w:tcPr>
          <w:p w:rsidR="001D4068" w:rsidRPr="0049400B" w:rsidRDefault="001D4068" w:rsidP="001D4068">
            <w:pPr>
              <w:pStyle w:val="Tabletext"/>
            </w:pPr>
            <w:r w:rsidRPr="0049400B">
              <w:t>Total non</w:t>
            </w:r>
            <w:r w:rsidR="0049400B">
              <w:noBreakHyphen/>
            </w:r>
            <w:r w:rsidRPr="0049400B">
              <w:t>current liabilities</w:t>
            </w:r>
          </w:p>
        </w:tc>
      </w:tr>
      <w:tr w:rsidR="001D4068" w:rsidRPr="0049400B" w:rsidTr="00CE5BCD">
        <w:tc>
          <w:tcPr>
            <w:tcW w:w="458" w:type="pct"/>
            <w:shd w:val="clear" w:color="auto" w:fill="auto"/>
          </w:tcPr>
          <w:p w:rsidR="001D4068" w:rsidRPr="0049400B" w:rsidRDefault="001D4068" w:rsidP="001D4068">
            <w:pPr>
              <w:pStyle w:val="Tabletext"/>
            </w:pPr>
            <w:r w:rsidRPr="0049400B">
              <w:t>23</w:t>
            </w:r>
          </w:p>
        </w:tc>
        <w:tc>
          <w:tcPr>
            <w:tcW w:w="4542" w:type="pct"/>
            <w:shd w:val="clear" w:color="auto" w:fill="auto"/>
          </w:tcPr>
          <w:p w:rsidR="001D4068" w:rsidRPr="0049400B" w:rsidRDefault="001D4068" w:rsidP="001D4068">
            <w:pPr>
              <w:pStyle w:val="Tabletext"/>
            </w:pPr>
            <w:r w:rsidRPr="0049400B">
              <w:t>Total liabilities</w:t>
            </w:r>
          </w:p>
        </w:tc>
      </w:tr>
      <w:tr w:rsidR="001D4068" w:rsidRPr="0049400B" w:rsidTr="00CE5BCD">
        <w:tc>
          <w:tcPr>
            <w:tcW w:w="458" w:type="pct"/>
            <w:shd w:val="clear" w:color="auto" w:fill="auto"/>
          </w:tcPr>
          <w:p w:rsidR="001D4068" w:rsidRPr="0049400B" w:rsidRDefault="001D4068" w:rsidP="001D4068">
            <w:pPr>
              <w:pStyle w:val="Tabletext"/>
            </w:pPr>
          </w:p>
        </w:tc>
        <w:tc>
          <w:tcPr>
            <w:tcW w:w="4542" w:type="pct"/>
            <w:shd w:val="clear" w:color="auto" w:fill="auto"/>
          </w:tcPr>
          <w:p w:rsidR="001D4068" w:rsidRPr="0049400B" w:rsidRDefault="001D4068" w:rsidP="001D4068">
            <w:pPr>
              <w:pStyle w:val="Tabletext"/>
              <w:rPr>
                <w:b/>
                <w:i/>
              </w:rPr>
            </w:pPr>
            <w:r w:rsidRPr="0049400B">
              <w:rPr>
                <w:b/>
                <w:i/>
              </w:rPr>
              <w:t>Balance sheet—net assets/liabilities</w:t>
            </w:r>
          </w:p>
        </w:tc>
      </w:tr>
      <w:tr w:rsidR="001D4068" w:rsidRPr="0049400B" w:rsidTr="00CE5BCD">
        <w:tc>
          <w:tcPr>
            <w:tcW w:w="458" w:type="pct"/>
            <w:tcBorders>
              <w:bottom w:val="single" w:sz="12" w:space="0" w:color="auto"/>
            </w:tcBorders>
            <w:shd w:val="clear" w:color="auto" w:fill="auto"/>
          </w:tcPr>
          <w:p w:rsidR="001D4068" w:rsidRPr="0049400B" w:rsidRDefault="001D4068" w:rsidP="001D4068">
            <w:pPr>
              <w:pStyle w:val="Tabletext"/>
            </w:pPr>
            <w:r w:rsidRPr="0049400B">
              <w:t>24</w:t>
            </w:r>
          </w:p>
        </w:tc>
        <w:tc>
          <w:tcPr>
            <w:tcW w:w="4542" w:type="pct"/>
            <w:tcBorders>
              <w:bottom w:val="single" w:sz="12" w:space="0" w:color="auto"/>
            </w:tcBorders>
            <w:shd w:val="clear" w:color="auto" w:fill="auto"/>
          </w:tcPr>
          <w:p w:rsidR="001D4068" w:rsidRPr="0049400B" w:rsidRDefault="001D4068" w:rsidP="001D4068">
            <w:pPr>
              <w:pStyle w:val="Tabletext"/>
            </w:pPr>
            <w:r w:rsidRPr="0049400B">
              <w:t>Net assets/liabilities</w:t>
            </w:r>
          </w:p>
        </w:tc>
      </w:tr>
    </w:tbl>
    <w:p w:rsidR="001D4068" w:rsidRPr="0049400B" w:rsidRDefault="001D4068" w:rsidP="001D4068">
      <w:pPr>
        <w:pStyle w:val="notetext"/>
      </w:pPr>
      <w:bookmarkStart w:id="67" w:name="CB_S5P9L5C1"/>
      <w:bookmarkEnd w:id="66"/>
      <w:bookmarkEnd w:id="67"/>
      <w:r w:rsidRPr="0049400B">
        <w:t>Note 1:</w:t>
      </w:r>
      <w:r w:rsidRPr="0049400B">
        <w:tab/>
        <w:t>This information is also proposed to be contained in the large registered entity’s 2014 Annual Information Statement.</w:t>
      </w:r>
    </w:p>
    <w:p w:rsidR="001D4068" w:rsidRPr="0049400B" w:rsidRDefault="001D4068" w:rsidP="001D4068">
      <w:pPr>
        <w:pStyle w:val="notetext"/>
      </w:pPr>
      <w:r w:rsidRPr="0049400B">
        <w:t>Note 2:</w:t>
      </w:r>
      <w:r w:rsidRPr="0049400B">
        <w:tab/>
        <w:t>Government grants are grants that the large registered entity receives from the Commonwealth, a State or Territory or a local government body.</w:t>
      </w:r>
    </w:p>
    <w:p w:rsidR="00060390" w:rsidRPr="0049400B" w:rsidRDefault="00060390" w:rsidP="00F72876">
      <w:pPr>
        <w:sectPr w:rsidR="00060390" w:rsidRPr="0049400B" w:rsidSect="000308A2">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360"/>
        </w:sectPr>
      </w:pPr>
    </w:p>
    <w:p w:rsidR="00BB6452" w:rsidRPr="0049400B" w:rsidRDefault="00BB6452" w:rsidP="00CE5BCD">
      <w:pPr>
        <w:pStyle w:val="ENotesHeading1"/>
        <w:outlineLvl w:val="9"/>
      </w:pPr>
      <w:bookmarkStart w:id="68" w:name="_Toc81905214"/>
      <w:r w:rsidRPr="0049400B">
        <w:t>Endnotes</w:t>
      </w:r>
      <w:bookmarkEnd w:id="68"/>
    </w:p>
    <w:p w:rsidR="00BB6452" w:rsidRPr="0049400B" w:rsidRDefault="00BB6452" w:rsidP="0057159C">
      <w:pPr>
        <w:pStyle w:val="ENotesHeading2"/>
        <w:spacing w:line="240" w:lineRule="auto"/>
        <w:outlineLvl w:val="9"/>
      </w:pPr>
      <w:bookmarkStart w:id="69" w:name="_Toc81905215"/>
      <w:r w:rsidRPr="0049400B">
        <w:t>Endnote 1—About the endnotes</w:t>
      </w:r>
      <w:bookmarkEnd w:id="69"/>
    </w:p>
    <w:p w:rsidR="00BB6452" w:rsidRPr="0049400B" w:rsidRDefault="00BB6452" w:rsidP="0057159C">
      <w:pPr>
        <w:spacing w:after="120"/>
      </w:pPr>
      <w:r w:rsidRPr="0049400B">
        <w:t>The endnotes provide information about this compilation and the compiled law.</w:t>
      </w:r>
    </w:p>
    <w:p w:rsidR="00BB6452" w:rsidRPr="0049400B" w:rsidRDefault="00BB6452" w:rsidP="0057159C">
      <w:pPr>
        <w:spacing w:after="120"/>
      </w:pPr>
      <w:r w:rsidRPr="0049400B">
        <w:t>The following endnotes are included in every compilation:</w:t>
      </w:r>
    </w:p>
    <w:p w:rsidR="00BB6452" w:rsidRPr="0049400B" w:rsidRDefault="00BB6452" w:rsidP="0057159C">
      <w:r w:rsidRPr="0049400B">
        <w:t>Endnote 1—About the endnotes</w:t>
      </w:r>
    </w:p>
    <w:p w:rsidR="00BB6452" w:rsidRPr="0049400B" w:rsidRDefault="00BB6452" w:rsidP="0057159C">
      <w:r w:rsidRPr="0049400B">
        <w:t>Endnote 2—Abbreviation key</w:t>
      </w:r>
    </w:p>
    <w:p w:rsidR="00BB6452" w:rsidRPr="0049400B" w:rsidRDefault="00BB6452" w:rsidP="0057159C">
      <w:r w:rsidRPr="0049400B">
        <w:t>Endnote 3—Legislation history</w:t>
      </w:r>
    </w:p>
    <w:p w:rsidR="00BB6452" w:rsidRPr="0049400B" w:rsidRDefault="00BB6452" w:rsidP="0057159C">
      <w:pPr>
        <w:spacing w:after="120"/>
      </w:pPr>
      <w:r w:rsidRPr="0049400B">
        <w:t>Endnote 4—Amendment history</w:t>
      </w:r>
    </w:p>
    <w:p w:rsidR="00BB6452" w:rsidRPr="0049400B" w:rsidRDefault="00BB6452" w:rsidP="0057159C">
      <w:r w:rsidRPr="0049400B">
        <w:rPr>
          <w:b/>
        </w:rPr>
        <w:t>Abbreviation key—Endnote 2</w:t>
      </w:r>
    </w:p>
    <w:p w:rsidR="00BB6452" w:rsidRPr="0049400B" w:rsidRDefault="00BB6452" w:rsidP="0057159C">
      <w:pPr>
        <w:spacing w:after="120"/>
      </w:pPr>
      <w:r w:rsidRPr="0049400B">
        <w:t>The abbreviation key sets out abbreviations that may be used in the endnotes.</w:t>
      </w:r>
    </w:p>
    <w:p w:rsidR="00BB6452" w:rsidRPr="0049400B" w:rsidRDefault="00BB6452" w:rsidP="0057159C">
      <w:pPr>
        <w:rPr>
          <w:b/>
        </w:rPr>
      </w:pPr>
      <w:r w:rsidRPr="0049400B">
        <w:rPr>
          <w:b/>
        </w:rPr>
        <w:t>Legislation history and amendment history—Endnotes 3 and 4</w:t>
      </w:r>
    </w:p>
    <w:p w:rsidR="00BB6452" w:rsidRPr="0049400B" w:rsidRDefault="00BB6452" w:rsidP="0057159C">
      <w:pPr>
        <w:spacing w:after="120"/>
      </w:pPr>
      <w:r w:rsidRPr="0049400B">
        <w:t>Amending laws are annotated in the legislation history and amendment history.</w:t>
      </w:r>
    </w:p>
    <w:p w:rsidR="00BB6452" w:rsidRPr="0049400B" w:rsidRDefault="00BB6452" w:rsidP="0057159C">
      <w:pPr>
        <w:spacing w:after="120"/>
      </w:pPr>
      <w:r w:rsidRPr="0049400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B6452" w:rsidRPr="0049400B" w:rsidRDefault="00BB6452" w:rsidP="0057159C">
      <w:pPr>
        <w:spacing w:after="120"/>
      </w:pPr>
      <w:r w:rsidRPr="0049400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B6452" w:rsidRPr="0049400B" w:rsidRDefault="00BB6452" w:rsidP="0057159C">
      <w:pPr>
        <w:rPr>
          <w:b/>
        </w:rPr>
      </w:pPr>
      <w:r w:rsidRPr="0049400B">
        <w:rPr>
          <w:b/>
        </w:rPr>
        <w:t>Editorial changes</w:t>
      </w:r>
    </w:p>
    <w:p w:rsidR="00BB6452" w:rsidRPr="0049400B" w:rsidRDefault="00BB6452" w:rsidP="0057159C">
      <w:pPr>
        <w:spacing w:after="120"/>
      </w:pPr>
      <w:r w:rsidRPr="0049400B">
        <w:t xml:space="preserve">The </w:t>
      </w:r>
      <w:r w:rsidRPr="0049400B">
        <w:rPr>
          <w:i/>
        </w:rPr>
        <w:t>Legislation Act 2003</w:t>
      </w:r>
      <w:r w:rsidRPr="0049400B">
        <w:t xml:space="preserve"> authorises First Parliamentary Counsel to make editorial and presentational changes to a compiled l</w:t>
      </w:r>
      <w:bookmarkStart w:id="70" w:name="opcCurrentPosition"/>
      <w:bookmarkEnd w:id="70"/>
      <w:r w:rsidRPr="0049400B">
        <w:t>aw in preparing a compilation of the law for registration. The changes must not change the effect of the law. Editorial changes take effect from the compilation registration date.</w:t>
      </w:r>
    </w:p>
    <w:p w:rsidR="00BB6452" w:rsidRPr="0049400B" w:rsidRDefault="00BB6452" w:rsidP="0057159C">
      <w:pPr>
        <w:spacing w:after="120"/>
      </w:pPr>
      <w:r w:rsidRPr="0049400B">
        <w:t xml:space="preserve">If the compilation includes editorial changes, the endnotes include a brief outline of the changes in general terms. Full details of any changes can be obtained from the Office of Parliamentary Counsel. </w:t>
      </w:r>
    </w:p>
    <w:p w:rsidR="00BB6452" w:rsidRPr="0049400B" w:rsidRDefault="00BB6452" w:rsidP="0057159C">
      <w:pPr>
        <w:keepNext/>
      </w:pPr>
      <w:r w:rsidRPr="0049400B">
        <w:rPr>
          <w:b/>
        </w:rPr>
        <w:t>Misdescribed amendments</w:t>
      </w:r>
    </w:p>
    <w:p w:rsidR="00BB6452" w:rsidRPr="0049400B" w:rsidRDefault="00BB6452" w:rsidP="0057159C">
      <w:pPr>
        <w:spacing w:after="120"/>
      </w:pPr>
      <w:r w:rsidRPr="0049400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B6452" w:rsidRPr="0049400B" w:rsidRDefault="00BB6452" w:rsidP="0057159C">
      <w:pPr>
        <w:spacing w:before="120"/>
      </w:pPr>
      <w:r w:rsidRPr="0049400B">
        <w:t>If a misdescribed amendment cannot be given effect as intended, the abbreviation “(md not incorp)” is added to the details of the amendment included in the amendment history.</w:t>
      </w:r>
    </w:p>
    <w:p w:rsidR="00EB3839" w:rsidRPr="0049400B" w:rsidRDefault="00EB3839" w:rsidP="0057159C">
      <w:pPr>
        <w:spacing w:before="120"/>
      </w:pPr>
    </w:p>
    <w:p w:rsidR="00BB6452" w:rsidRPr="0049400B" w:rsidRDefault="00BB6452" w:rsidP="0057159C">
      <w:pPr>
        <w:pStyle w:val="ENotesHeading2"/>
        <w:pageBreakBefore/>
        <w:outlineLvl w:val="9"/>
      </w:pPr>
      <w:bookmarkStart w:id="71" w:name="_Toc81905216"/>
      <w:r w:rsidRPr="0049400B">
        <w:t>Endnote 2—Abbreviation key</w:t>
      </w:r>
      <w:bookmarkEnd w:id="71"/>
    </w:p>
    <w:p w:rsidR="00BB6452" w:rsidRPr="0049400B" w:rsidRDefault="00BB6452" w:rsidP="0057159C">
      <w:pPr>
        <w:pStyle w:val="Tabletext"/>
      </w:pPr>
    </w:p>
    <w:tbl>
      <w:tblPr>
        <w:tblW w:w="5000" w:type="pct"/>
        <w:tblLook w:val="0000" w:firstRow="0" w:lastRow="0" w:firstColumn="0" w:lastColumn="0" w:noHBand="0" w:noVBand="0"/>
      </w:tblPr>
      <w:tblGrid>
        <w:gridCol w:w="4570"/>
        <w:gridCol w:w="3959"/>
      </w:tblGrid>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ad = added or inserted</w:t>
            </w:r>
          </w:p>
        </w:tc>
        <w:tc>
          <w:tcPr>
            <w:tcW w:w="2321" w:type="pct"/>
            <w:shd w:val="clear" w:color="auto" w:fill="auto"/>
          </w:tcPr>
          <w:p w:rsidR="00BB6452" w:rsidRPr="0049400B" w:rsidRDefault="00BB6452" w:rsidP="0057159C">
            <w:pPr>
              <w:spacing w:before="60"/>
              <w:ind w:left="34"/>
              <w:rPr>
                <w:sz w:val="20"/>
              </w:rPr>
            </w:pPr>
            <w:r w:rsidRPr="0049400B">
              <w:rPr>
                <w:sz w:val="20"/>
              </w:rPr>
              <w:t>o = order(s)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am = amended</w:t>
            </w:r>
          </w:p>
        </w:tc>
        <w:tc>
          <w:tcPr>
            <w:tcW w:w="2321" w:type="pct"/>
            <w:shd w:val="clear" w:color="auto" w:fill="auto"/>
          </w:tcPr>
          <w:p w:rsidR="00BB6452" w:rsidRPr="0049400B" w:rsidRDefault="00BB6452" w:rsidP="0057159C">
            <w:pPr>
              <w:spacing w:before="60"/>
              <w:ind w:left="34"/>
              <w:rPr>
                <w:sz w:val="20"/>
              </w:rPr>
            </w:pPr>
            <w:r w:rsidRPr="0049400B">
              <w:rPr>
                <w:sz w:val="20"/>
              </w:rPr>
              <w:t>Ord = Ordinance</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amdt = amendment</w:t>
            </w:r>
          </w:p>
        </w:tc>
        <w:tc>
          <w:tcPr>
            <w:tcW w:w="2321" w:type="pct"/>
            <w:shd w:val="clear" w:color="auto" w:fill="auto"/>
          </w:tcPr>
          <w:p w:rsidR="00BB6452" w:rsidRPr="0049400B" w:rsidRDefault="00BB6452" w:rsidP="0057159C">
            <w:pPr>
              <w:spacing w:before="60"/>
              <w:ind w:left="34"/>
              <w:rPr>
                <w:sz w:val="20"/>
              </w:rPr>
            </w:pPr>
            <w:r w:rsidRPr="0049400B">
              <w:rPr>
                <w:sz w:val="20"/>
              </w:rPr>
              <w:t>orig = original</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c = clause(s)</w:t>
            </w:r>
          </w:p>
        </w:tc>
        <w:tc>
          <w:tcPr>
            <w:tcW w:w="2321" w:type="pct"/>
            <w:shd w:val="clear" w:color="auto" w:fill="auto"/>
          </w:tcPr>
          <w:p w:rsidR="00BB6452" w:rsidRPr="0049400B" w:rsidRDefault="00BB6452" w:rsidP="0057159C">
            <w:pPr>
              <w:spacing w:before="60"/>
              <w:ind w:left="34"/>
              <w:rPr>
                <w:sz w:val="20"/>
              </w:rPr>
            </w:pPr>
            <w:r w:rsidRPr="0049400B">
              <w:rPr>
                <w:sz w:val="20"/>
              </w:rPr>
              <w:t>par = paragraph(s)/subparagraph(s)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C[x] = Compilation No. x</w:t>
            </w:r>
          </w:p>
        </w:tc>
        <w:tc>
          <w:tcPr>
            <w:tcW w:w="2321" w:type="pct"/>
            <w:shd w:val="clear" w:color="auto" w:fill="auto"/>
          </w:tcPr>
          <w:p w:rsidR="00BB6452" w:rsidRPr="0049400B" w:rsidRDefault="00A92600" w:rsidP="00A92600">
            <w:pPr>
              <w:ind w:left="34" w:firstLine="249"/>
              <w:rPr>
                <w:sz w:val="20"/>
              </w:rPr>
            </w:pPr>
            <w:r w:rsidRPr="0049400B">
              <w:rPr>
                <w:sz w:val="20"/>
              </w:rPr>
              <w:t>/</w:t>
            </w:r>
            <w:r w:rsidR="00BB6452" w:rsidRPr="0049400B">
              <w:rPr>
                <w:sz w:val="20"/>
              </w:rPr>
              <w:t>sub</w:t>
            </w:r>
            <w:r w:rsidR="0049400B">
              <w:rPr>
                <w:sz w:val="20"/>
              </w:rPr>
              <w:noBreakHyphen/>
            </w:r>
            <w:r w:rsidR="00BB6452" w:rsidRPr="0049400B">
              <w:rPr>
                <w:sz w:val="20"/>
              </w:rPr>
              <w:t>subparagraph(s)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Ch = Chapter(s)</w:t>
            </w:r>
          </w:p>
        </w:tc>
        <w:tc>
          <w:tcPr>
            <w:tcW w:w="2321" w:type="pct"/>
            <w:shd w:val="clear" w:color="auto" w:fill="auto"/>
          </w:tcPr>
          <w:p w:rsidR="00BB6452" w:rsidRPr="0049400B" w:rsidRDefault="00BB6452" w:rsidP="0057159C">
            <w:pPr>
              <w:spacing w:before="60"/>
              <w:ind w:left="34"/>
              <w:rPr>
                <w:sz w:val="20"/>
              </w:rPr>
            </w:pPr>
            <w:r w:rsidRPr="0049400B">
              <w:rPr>
                <w:sz w:val="20"/>
              </w:rPr>
              <w:t>pres = present</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def = definition(s)</w:t>
            </w:r>
          </w:p>
        </w:tc>
        <w:tc>
          <w:tcPr>
            <w:tcW w:w="2321" w:type="pct"/>
            <w:shd w:val="clear" w:color="auto" w:fill="auto"/>
          </w:tcPr>
          <w:p w:rsidR="00BB6452" w:rsidRPr="0049400B" w:rsidRDefault="00BB6452" w:rsidP="0057159C">
            <w:pPr>
              <w:spacing w:before="60"/>
              <w:ind w:left="34"/>
              <w:rPr>
                <w:sz w:val="20"/>
              </w:rPr>
            </w:pPr>
            <w:r w:rsidRPr="0049400B">
              <w:rPr>
                <w:sz w:val="20"/>
              </w:rPr>
              <w:t>prev = previous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Dict = Dictionary</w:t>
            </w:r>
          </w:p>
        </w:tc>
        <w:tc>
          <w:tcPr>
            <w:tcW w:w="2321" w:type="pct"/>
            <w:shd w:val="clear" w:color="auto" w:fill="auto"/>
          </w:tcPr>
          <w:p w:rsidR="00BB6452" w:rsidRPr="0049400B" w:rsidRDefault="00BB6452" w:rsidP="0057159C">
            <w:pPr>
              <w:spacing w:before="60"/>
              <w:ind w:left="34"/>
              <w:rPr>
                <w:sz w:val="20"/>
              </w:rPr>
            </w:pPr>
            <w:r w:rsidRPr="0049400B">
              <w:rPr>
                <w:sz w:val="20"/>
              </w:rPr>
              <w:t>(prev…) = previously</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disallowed = disallowed by Parliament</w:t>
            </w:r>
          </w:p>
        </w:tc>
        <w:tc>
          <w:tcPr>
            <w:tcW w:w="2321" w:type="pct"/>
            <w:shd w:val="clear" w:color="auto" w:fill="auto"/>
          </w:tcPr>
          <w:p w:rsidR="00BB6452" w:rsidRPr="0049400B" w:rsidRDefault="00BB6452" w:rsidP="0057159C">
            <w:pPr>
              <w:spacing w:before="60"/>
              <w:ind w:left="34"/>
              <w:rPr>
                <w:sz w:val="20"/>
              </w:rPr>
            </w:pPr>
            <w:r w:rsidRPr="0049400B">
              <w:rPr>
                <w:sz w:val="20"/>
              </w:rPr>
              <w:t>Pt = Part(s)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Div = Division(s)</w:t>
            </w:r>
          </w:p>
        </w:tc>
        <w:tc>
          <w:tcPr>
            <w:tcW w:w="2321" w:type="pct"/>
            <w:shd w:val="clear" w:color="auto" w:fill="auto"/>
          </w:tcPr>
          <w:p w:rsidR="00BB6452" w:rsidRPr="0049400B" w:rsidRDefault="00BB6452" w:rsidP="0057159C">
            <w:pPr>
              <w:spacing w:before="60"/>
              <w:ind w:left="34"/>
              <w:rPr>
                <w:sz w:val="20"/>
              </w:rPr>
            </w:pPr>
            <w:r w:rsidRPr="0049400B">
              <w:rPr>
                <w:sz w:val="20"/>
              </w:rPr>
              <w:t>r = regulation(s)/rule(s)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ed = editorial change</w:t>
            </w:r>
          </w:p>
        </w:tc>
        <w:tc>
          <w:tcPr>
            <w:tcW w:w="2321" w:type="pct"/>
            <w:shd w:val="clear" w:color="auto" w:fill="auto"/>
          </w:tcPr>
          <w:p w:rsidR="00BB6452" w:rsidRPr="0049400B" w:rsidRDefault="00BB6452" w:rsidP="0057159C">
            <w:pPr>
              <w:spacing w:before="60"/>
              <w:ind w:left="34"/>
              <w:rPr>
                <w:sz w:val="20"/>
              </w:rPr>
            </w:pPr>
            <w:r w:rsidRPr="0049400B">
              <w:rPr>
                <w:sz w:val="20"/>
              </w:rPr>
              <w:t>reloc = relocated</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exp = expires/expired or ceases/ceased to have</w:t>
            </w:r>
          </w:p>
        </w:tc>
        <w:tc>
          <w:tcPr>
            <w:tcW w:w="2321" w:type="pct"/>
            <w:shd w:val="clear" w:color="auto" w:fill="auto"/>
          </w:tcPr>
          <w:p w:rsidR="00BB6452" w:rsidRPr="0049400B" w:rsidRDefault="00BB6452" w:rsidP="0057159C">
            <w:pPr>
              <w:spacing w:before="60"/>
              <w:ind w:left="34"/>
              <w:rPr>
                <w:sz w:val="20"/>
              </w:rPr>
            </w:pPr>
            <w:r w:rsidRPr="0049400B">
              <w:rPr>
                <w:sz w:val="20"/>
              </w:rPr>
              <w:t>renum = renumbered</w:t>
            </w:r>
          </w:p>
        </w:tc>
      </w:tr>
      <w:tr w:rsidR="00BB6452" w:rsidRPr="0049400B" w:rsidTr="00CE5BCD">
        <w:tc>
          <w:tcPr>
            <w:tcW w:w="2679" w:type="pct"/>
            <w:shd w:val="clear" w:color="auto" w:fill="auto"/>
          </w:tcPr>
          <w:p w:rsidR="00BB6452" w:rsidRPr="0049400B" w:rsidRDefault="00A92600" w:rsidP="00A92600">
            <w:pPr>
              <w:ind w:left="34" w:firstLine="249"/>
              <w:rPr>
                <w:sz w:val="20"/>
              </w:rPr>
            </w:pPr>
            <w:r w:rsidRPr="0049400B">
              <w:rPr>
                <w:sz w:val="20"/>
              </w:rPr>
              <w:t>e</w:t>
            </w:r>
            <w:r w:rsidR="00BB6452" w:rsidRPr="0049400B">
              <w:rPr>
                <w:sz w:val="20"/>
              </w:rPr>
              <w:t>ffect</w:t>
            </w:r>
          </w:p>
        </w:tc>
        <w:tc>
          <w:tcPr>
            <w:tcW w:w="2321" w:type="pct"/>
            <w:shd w:val="clear" w:color="auto" w:fill="auto"/>
          </w:tcPr>
          <w:p w:rsidR="00BB6452" w:rsidRPr="0049400B" w:rsidRDefault="00BB6452" w:rsidP="0057159C">
            <w:pPr>
              <w:spacing w:before="60"/>
              <w:ind w:left="34"/>
              <w:rPr>
                <w:sz w:val="20"/>
              </w:rPr>
            </w:pPr>
            <w:r w:rsidRPr="0049400B">
              <w:rPr>
                <w:sz w:val="20"/>
              </w:rPr>
              <w:t>rep = repealed</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F = Federal Register of Legislation</w:t>
            </w:r>
          </w:p>
        </w:tc>
        <w:tc>
          <w:tcPr>
            <w:tcW w:w="2321" w:type="pct"/>
            <w:shd w:val="clear" w:color="auto" w:fill="auto"/>
          </w:tcPr>
          <w:p w:rsidR="00BB6452" w:rsidRPr="0049400B" w:rsidRDefault="00BB6452" w:rsidP="0057159C">
            <w:pPr>
              <w:spacing w:before="60"/>
              <w:ind w:left="34"/>
              <w:rPr>
                <w:sz w:val="20"/>
              </w:rPr>
            </w:pPr>
            <w:r w:rsidRPr="0049400B">
              <w:rPr>
                <w:sz w:val="20"/>
              </w:rPr>
              <w:t>rs = repealed and substituted</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gaz = gazette</w:t>
            </w:r>
          </w:p>
        </w:tc>
        <w:tc>
          <w:tcPr>
            <w:tcW w:w="2321" w:type="pct"/>
            <w:shd w:val="clear" w:color="auto" w:fill="auto"/>
          </w:tcPr>
          <w:p w:rsidR="00BB6452" w:rsidRPr="0049400B" w:rsidRDefault="00BB6452" w:rsidP="0057159C">
            <w:pPr>
              <w:spacing w:before="60"/>
              <w:ind w:left="34"/>
              <w:rPr>
                <w:sz w:val="20"/>
              </w:rPr>
            </w:pPr>
            <w:r w:rsidRPr="0049400B">
              <w:rPr>
                <w:sz w:val="20"/>
              </w:rPr>
              <w:t>s = section(s)/subsection(s)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 xml:space="preserve">LA = </w:t>
            </w:r>
            <w:r w:rsidRPr="0049400B">
              <w:rPr>
                <w:i/>
                <w:sz w:val="20"/>
              </w:rPr>
              <w:t>Legislation Act 2003</w:t>
            </w:r>
          </w:p>
        </w:tc>
        <w:tc>
          <w:tcPr>
            <w:tcW w:w="2321" w:type="pct"/>
            <w:shd w:val="clear" w:color="auto" w:fill="auto"/>
          </w:tcPr>
          <w:p w:rsidR="00BB6452" w:rsidRPr="0049400B" w:rsidRDefault="00BB6452" w:rsidP="0057159C">
            <w:pPr>
              <w:spacing w:before="60"/>
              <w:ind w:left="34"/>
              <w:rPr>
                <w:sz w:val="20"/>
              </w:rPr>
            </w:pPr>
            <w:r w:rsidRPr="0049400B">
              <w:rPr>
                <w:sz w:val="20"/>
              </w:rPr>
              <w:t>Sch = Schedule(s)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 xml:space="preserve">LIA = </w:t>
            </w:r>
            <w:r w:rsidRPr="0049400B">
              <w:rPr>
                <w:i/>
                <w:sz w:val="20"/>
              </w:rPr>
              <w:t>Legislative Instruments Act 2003</w:t>
            </w:r>
          </w:p>
        </w:tc>
        <w:tc>
          <w:tcPr>
            <w:tcW w:w="2321" w:type="pct"/>
            <w:shd w:val="clear" w:color="auto" w:fill="auto"/>
          </w:tcPr>
          <w:p w:rsidR="00BB6452" w:rsidRPr="0049400B" w:rsidRDefault="00BB6452" w:rsidP="0057159C">
            <w:pPr>
              <w:spacing w:before="60"/>
              <w:ind w:left="34"/>
              <w:rPr>
                <w:sz w:val="20"/>
              </w:rPr>
            </w:pPr>
            <w:r w:rsidRPr="0049400B">
              <w:rPr>
                <w:sz w:val="20"/>
              </w:rPr>
              <w:t>Sdiv = Subdivision(s)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(md) = misdescribed amendment can be given</w:t>
            </w:r>
          </w:p>
        </w:tc>
        <w:tc>
          <w:tcPr>
            <w:tcW w:w="2321" w:type="pct"/>
            <w:shd w:val="clear" w:color="auto" w:fill="auto"/>
          </w:tcPr>
          <w:p w:rsidR="00BB6452" w:rsidRPr="0049400B" w:rsidRDefault="00BB6452" w:rsidP="0057159C">
            <w:pPr>
              <w:spacing w:before="60"/>
              <w:ind w:left="34"/>
              <w:rPr>
                <w:sz w:val="20"/>
              </w:rPr>
            </w:pPr>
            <w:r w:rsidRPr="0049400B">
              <w:rPr>
                <w:sz w:val="20"/>
              </w:rPr>
              <w:t>SLI = Select Legislative Instrument</w:t>
            </w:r>
          </w:p>
        </w:tc>
      </w:tr>
      <w:tr w:rsidR="00BB6452" w:rsidRPr="0049400B" w:rsidTr="00CE5BCD">
        <w:tc>
          <w:tcPr>
            <w:tcW w:w="2679" w:type="pct"/>
            <w:shd w:val="clear" w:color="auto" w:fill="auto"/>
          </w:tcPr>
          <w:p w:rsidR="00BB6452" w:rsidRPr="0049400B" w:rsidRDefault="00A92600" w:rsidP="00A92600">
            <w:pPr>
              <w:ind w:left="34" w:firstLine="249"/>
              <w:rPr>
                <w:sz w:val="20"/>
              </w:rPr>
            </w:pPr>
            <w:r w:rsidRPr="0049400B">
              <w:rPr>
                <w:sz w:val="20"/>
              </w:rPr>
              <w:t>e</w:t>
            </w:r>
            <w:r w:rsidR="00BB6452" w:rsidRPr="0049400B">
              <w:rPr>
                <w:sz w:val="20"/>
              </w:rPr>
              <w:t>ffect</w:t>
            </w:r>
          </w:p>
        </w:tc>
        <w:tc>
          <w:tcPr>
            <w:tcW w:w="2321" w:type="pct"/>
            <w:shd w:val="clear" w:color="auto" w:fill="auto"/>
          </w:tcPr>
          <w:p w:rsidR="00BB6452" w:rsidRPr="0049400B" w:rsidRDefault="00BB6452" w:rsidP="0057159C">
            <w:pPr>
              <w:spacing w:before="60"/>
              <w:ind w:left="34"/>
              <w:rPr>
                <w:sz w:val="20"/>
              </w:rPr>
            </w:pPr>
            <w:r w:rsidRPr="0049400B">
              <w:rPr>
                <w:sz w:val="20"/>
              </w:rPr>
              <w:t>SR = Statutory Rules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(md not incorp) = misdescribed amendment</w:t>
            </w:r>
          </w:p>
        </w:tc>
        <w:tc>
          <w:tcPr>
            <w:tcW w:w="2321" w:type="pct"/>
            <w:shd w:val="clear" w:color="auto" w:fill="auto"/>
          </w:tcPr>
          <w:p w:rsidR="00BB6452" w:rsidRPr="0049400B" w:rsidRDefault="00BB6452" w:rsidP="0057159C">
            <w:pPr>
              <w:spacing w:before="60"/>
              <w:ind w:left="34"/>
              <w:rPr>
                <w:sz w:val="20"/>
              </w:rPr>
            </w:pPr>
            <w:r w:rsidRPr="0049400B">
              <w:rPr>
                <w:sz w:val="20"/>
              </w:rPr>
              <w:t>Sub</w:t>
            </w:r>
            <w:r w:rsidR="0049400B">
              <w:rPr>
                <w:sz w:val="20"/>
              </w:rPr>
              <w:noBreakHyphen/>
            </w:r>
            <w:r w:rsidRPr="0049400B">
              <w:rPr>
                <w:sz w:val="20"/>
              </w:rPr>
              <w:t>Ch = Sub</w:t>
            </w:r>
            <w:r w:rsidR="0049400B">
              <w:rPr>
                <w:sz w:val="20"/>
              </w:rPr>
              <w:noBreakHyphen/>
            </w:r>
            <w:r w:rsidRPr="0049400B">
              <w:rPr>
                <w:sz w:val="20"/>
              </w:rPr>
              <w:t>Chapter(s)</w:t>
            </w:r>
          </w:p>
        </w:tc>
      </w:tr>
      <w:tr w:rsidR="00BB6452" w:rsidRPr="0049400B" w:rsidTr="00CE5BCD">
        <w:tc>
          <w:tcPr>
            <w:tcW w:w="2679" w:type="pct"/>
            <w:shd w:val="clear" w:color="auto" w:fill="auto"/>
          </w:tcPr>
          <w:p w:rsidR="00BB6452" w:rsidRPr="0049400B" w:rsidRDefault="00A92600" w:rsidP="00A92600">
            <w:pPr>
              <w:ind w:left="34" w:firstLine="249"/>
              <w:rPr>
                <w:sz w:val="20"/>
              </w:rPr>
            </w:pPr>
            <w:r w:rsidRPr="0049400B">
              <w:rPr>
                <w:sz w:val="20"/>
              </w:rPr>
              <w:t>c</w:t>
            </w:r>
            <w:r w:rsidR="00BB6452" w:rsidRPr="0049400B">
              <w:rPr>
                <w:sz w:val="20"/>
              </w:rPr>
              <w:t>annot be given effect</w:t>
            </w:r>
          </w:p>
        </w:tc>
        <w:tc>
          <w:tcPr>
            <w:tcW w:w="2321" w:type="pct"/>
            <w:shd w:val="clear" w:color="auto" w:fill="auto"/>
          </w:tcPr>
          <w:p w:rsidR="00BB6452" w:rsidRPr="0049400B" w:rsidRDefault="00BB6452" w:rsidP="0057159C">
            <w:pPr>
              <w:spacing w:before="60"/>
              <w:ind w:left="34"/>
              <w:rPr>
                <w:sz w:val="20"/>
              </w:rPr>
            </w:pPr>
            <w:r w:rsidRPr="0049400B">
              <w:rPr>
                <w:sz w:val="20"/>
              </w:rPr>
              <w:t>SubPt = Subpart(s)</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mod = modified/modification</w:t>
            </w:r>
          </w:p>
        </w:tc>
        <w:tc>
          <w:tcPr>
            <w:tcW w:w="2321" w:type="pct"/>
            <w:shd w:val="clear" w:color="auto" w:fill="auto"/>
          </w:tcPr>
          <w:p w:rsidR="00BB6452" w:rsidRPr="0049400B" w:rsidRDefault="00BB6452" w:rsidP="0057159C">
            <w:pPr>
              <w:spacing w:before="60"/>
              <w:ind w:left="34"/>
              <w:rPr>
                <w:sz w:val="20"/>
              </w:rPr>
            </w:pPr>
            <w:r w:rsidRPr="0049400B">
              <w:rPr>
                <w:sz w:val="20"/>
                <w:u w:val="single"/>
              </w:rPr>
              <w:t>underlining</w:t>
            </w:r>
            <w:r w:rsidRPr="0049400B">
              <w:rPr>
                <w:sz w:val="20"/>
              </w:rPr>
              <w:t xml:space="preserve"> = whole or part not</w:t>
            </w:r>
          </w:p>
        </w:tc>
      </w:tr>
      <w:tr w:rsidR="00BB6452" w:rsidRPr="0049400B" w:rsidTr="00CE5BCD">
        <w:tc>
          <w:tcPr>
            <w:tcW w:w="2679" w:type="pct"/>
            <w:shd w:val="clear" w:color="auto" w:fill="auto"/>
          </w:tcPr>
          <w:p w:rsidR="00BB6452" w:rsidRPr="0049400B" w:rsidRDefault="00BB6452" w:rsidP="0057159C">
            <w:pPr>
              <w:spacing w:before="60"/>
              <w:ind w:left="34"/>
              <w:rPr>
                <w:sz w:val="20"/>
              </w:rPr>
            </w:pPr>
            <w:r w:rsidRPr="0049400B">
              <w:rPr>
                <w:sz w:val="20"/>
              </w:rPr>
              <w:t>No. = Number(s)</w:t>
            </w:r>
          </w:p>
        </w:tc>
        <w:tc>
          <w:tcPr>
            <w:tcW w:w="2321" w:type="pct"/>
            <w:shd w:val="clear" w:color="auto" w:fill="auto"/>
          </w:tcPr>
          <w:p w:rsidR="00BB6452" w:rsidRPr="0049400B" w:rsidRDefault="00A92600" w:rsidP="00A92600">
            <w:pPr>
              <w:ind w:left="34" w:firstLine="249"/>
              <w:rPr>
                <w:sz w:val="20"/>
              </w:rPr>
            </w:pPr>
            <w:r w:rsidRPr="0049400B">
              <w:rPr>
                <w:sz w:val="20"/>
              </w:rPr>
              <w:t>c</w:t>
            </w:r>
            <w:r w:rsidR="00BB6452" w:rsidRPr="0049400B">
              <w:rPr>
                <w:sz w:val="20"/>
              </w:rPr>
              <w:t>ommenced or to be commenced</w:t>
            </w:r>
          </w:p>
        </w:tc>
      </w:tr>
    </w:tbl>
    <w:p w:rsidR="00BB6452" w:rsidRPr="0049400B" w:rsidRDefault="00BB6452" w:rsidP="0057159C">
      <w:pPr>
        <w:pStyle w:val="Tabletext"/>
      </w:pPr>
    </w:p>
    <w:p w:rsidR="00BB6452" w:rsidRPr="0049400B" w:rsidRDefault="00BB6452" w:rsidP="00CE5BCD">
      <w:pPr>
        <w:pStyle w:val="ENotesHeading2"/>
        <w:pageBreakBefore/>
        <w:outlineLvl w:val="9"/>
      </w:pPr>
      <w:bookmarkStart w:id="72" w:name="_Toc81905217"/>
      <w:r w:rsidRPr="0049400B">
        <w:t>Endnote 3—Legislation history</w:t>
      </w:r>
      <w:bookmarkEnd w:id="72"/>
    </w:p>
    <w:p w:rsidR="00C62E1A" w:rsidRPr="0049400B" w:rsidRDefault="00C62E1A" w:rsidP="00C62E1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99"/>
        <w:gridCol w:w="2018"/>
        <w:gridCol w:w="2206"/>
        <w:gridCol w:w="2206"/>
      </w:tblGrid>
      <w:tr w:rsidR="00BB6452" w:rsidRPr="0049400B" w:rsidTr="00CE5BCD">
        <w:trPr>
          <w:cantSplit/>
          <w:tblHeader/>
        </w:trPr>
        <w:tc>
          <w:tcPr>
            <w:tcW w:w="1231"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Number and year</w:t>
            </w:r>
          </w:p>
        </w:tc>
        <w:tc>
          <w:tcPr>
            <w:tcW w:w="1183" w:type="pct"/>
            <w:tcBorders>
              <w:top w:val="single" w:sz="12" w:space="0" w:color="auto"/>
              <w:bottom w:val="single" w:sz="12" w:space="0" w:color="auto"/>
            </w:tcBorders>
            <w:shd w:val="clear" w:color="auto" w:fill="auto"/>
          </w:tcPr>
          <w:p w:rsidR="00BB6452" w:rsidRPr="0049400B" w:rsidRDefault="00BB6452" w:rsidP="00D24D36">
            <w:pPr>
              <w:pStyle w:val="ENoteTableHeading"/>
            </w:pPr>
            <w:r w:rsidRPr="0049400B">
              <w:t>FRLI registration</w:t>
            </w:r>
          </w:p>
        </w:tc>
        <w:tc>
          <w:tcPr>
            <w:tcW w:w="1293" w:type="pct"/>
            <w:tcBorders>
              <w:top w:val="single" w:sz="12" w:space="0" w:color="auto"/>
              <w:bottom w:val="single" w:sz="12" w:space="0" w:color="auto"/>
            </w:tcBorders>
            <w:shd w:val="clear" w:color="auto" w:fill="auto"/>
          </w:tcPr>
          <w:p w:rsidR="00BB6452" w:rsidRPr="0049400B" w:rsidRDefault="00D24D36" w:rsidP="00D24D36">
            <w:pPr>
              <w:pStyle w:val="ENoteTableHeading"/>
            </w:pPr>
            <w:r w:rsidRPr="0049400B">
              <w:t>Commencement</w:t>
            </w:r>
          </w:p>
        </w:tc>
        <w:tc>
          <w:tcPr>
            <w:tcW w:w="1293"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Application, saving and transitional provisions</w:t>
            </w:r>
          </w:p>
        </w:tc>
      </w:tr>
      <w:tr w:rsidR="00BB6452" w:rsidRPr="0049400B" w:rsidTr="00CE5BCD">
        <w:trPr>
          <w:cantSplit/>
        </w:trPr>
        <w:tc>
          <w:tcPr>
            <w:tcW w:w="1231" w:type="pct"/>
            <w:tcBorders>
              <w:top w:val="single" w:sz="12" w:space="0" w:color="auto"/>
              <w:bottom w:val="single" w:sz="4" w:space="0" w:color="auto"/>
            </w:tcBorders>
            <w:shd w:val="clear" w:color="auto" w:fill="auto"/>
          </w:tcPr>
          <w:p w:rsidR="00BB6452" w:rsidRPr="0049400B" w:rsidRDefault="00BB6452" w:rsidP="0057159C">
            <w:pPr>
              <w:pStyle w:val="ENoteTableText"/>
            </w:pPr>
            <w:r w:rsidRPr="0049400B">
              <w:t>22, 2013</w:t>
            </w:r>
          </w:p>
        </w:tc>
        <w:tc>
          <w:tcPr>
            <w:tcW w:w="1183" w:type="pct"/>
            <w:tcBorders>
              <w:top w:val="single" w:sz="12" w:space="0" w:color="auto"/>
              <w:bottom w:val="single" w:sz="4" w:space="0" w:color="auto"/>
            </w:tcBorders>
            <w:shd w:val="clear" w:color="auto" w:fill="auto"/>
          </w:tcPr>
          <w:p w:rsidR="00BB6452" w:rsidRPr="0049400B" w:rsidRDefault="00BB6452" w:rsidP="00D24D36">
            <w:pPr>
              <w:pStyle w:val="ENoteTableText"/>
            </w:pPr>
            <w:r w:rsidRPr="0049400B">
              <w:rPr>
                <w:szCs w:val="16"/>
              </w:rPr>
              <w:t>5 Mar 2013 (F2013L00401)</w:t>
            </w:r>
          </w:p>
        </w:tc>
        <w:tc>
          <w:tcPr>
            <w:tcW w:w="1293" w:type="pct"/>
            <w:tcBorders>
              <w:top w:val="single" w:sz="12" w:space="0" w:color="auto"/>
              <w:bottom w:val="single" w:sz="4" w:space="0" w:color="auto"/>
            </w:tcBorders>
            <w:shd w:val="clear" w:color="auto" w:fill="auto"/>
          </w:tcPr>
          <w:p w:rsidR="00BB6452" w:rsidRPr="0049400B" w:rsidRDefault="00BB6452" w:rsidP="0057159C">
            <w:pPr>
              <w:pStyle w:val="ENoteTableText"/>
            </w:pPr>
            <w:r w:rsidRPr="0049400B">
              <w:t>6 Mar 2013</w:t>
            </w:r>
            <w:r w:rsidR="00E0088C" w:rsidRPr="0049400B">
              <w:t xml:space="preserve"> (s</w:t>
            </w:r>
            <w:r w:rsidR="00D24D36" w:rsidRPr="0049400B">
              <w:t xml:space="preserve"> 2)</w:t>
            </w:r>
          </w:p>
        </w:tc>
        <w:tc>
          <w:tcPr>
            <w:tcW w:w="1293" w:type="pct"/>
            <w:tcBorders>
              <w:top w:val="single" w:sz="12" w:space="0" w:color="auto"/>
              <w:bottom w:val="single" w:sz="4" w:space="0" w:color="auto"/>
            </w:tcBorders>
            <w:shd w:val="clear" w:color="auto" w:fill="auto"/>
          </w:tcPr>
          <w:p w:rsidR="00BB6452" w:rsidRPr="0049400B" w:rsidRDefault="00BB6452" w:rsidP="0057159C">
            <w:pPr>
              <w:pStyle w:val="ENoteTableText"/>
            </w:pPr>
          </w:p>
        </w:tc>
      </w:tr>
      <w:tr w:rsidR="00BB6452" w:rsidRPr="0049400B" w:rsidTr="00CE5BCD">
        <w:trPr>
          <w:cantSplit/>
        </w:trPr>
        <w:tc>
          <w:tcPr>
            <w:tcW w:w="1231" w:type="pct"/>
            <w:shd w:val="clear" w:color="auto" w:fill="auto"/>
          </w:tcPr>
          <w:p w:rsidR="00BB6452" w:rsidRPr="0049400B" w:rsidRDefault="00BB6452" w:rsidP="0057159C">
            <w:pPr>
              <w:pStyle w:val="ENoteTableText"/>
            </w:pPr>
            <w:r w:rsidRPr="0049400B">
              <w:t>23, 2013</w:t>
            </w:r>
          </w:p>
        </w:tc>
        <w:tc>
          <w:tcPr>
            <w:tcW w:w="1183" w:type="pct"/>
            <w:shd w:val="clear" w:color="auto" w:fill="auto"/>
          </w:tcPr>
          <w:p w:rsidR="00BB6452" w:rsidRPr="0049400B" w:rsidRDefault="00BB6452" w:rsidP="00D24D36">
            <w:pPr>
              <w:pStyle w:val="ENoteTableText"/>
            </w:pPr>
            <w:r w:rsidRPr="0049400B">
              <w:t xml:space="preserve">5 Mar 2013 </w:t>
            </w:r>
            <w:r w:rsidRPr="0049400B">
              <w:rPr>
                <w:szCs w:val="16"/>
              </w:rPr>
              <w:t>(F2013L00402)</w:t>
            </w:r>
          </w:p>
        </w:tc>
        <w:tc>
          <w:tcPr>
            <w:tcW w:w="1293" w:type="pct"/>
            <w:shd w:val="clear" w:color="auto" w:fill="auto"/>
          </w:tcPr>
          <w:p w:rsidR="00BB6452" w:rsidRPr="0049400B" w:rsidRDefault="00BB6452" w:rsidP="0057159C">
            <w:pPr>
              <w:pStyle w:val="ENoteTableText"/>
            </w:pPr>
            <w:r w:rsidRPr="0049400B">
              <w:rPr>
                <w:szCs w:val="16"/>
              </w:rPr>
              <w:t>1</w:t>
            </w:r>
            <w:r w:rsidR="002F2B52" w:rsidRPr="0049400B">
              <w:rPr>
                <w:szCs w:val="16"/>
              </w:rPr>
              <w:t> </w:t>
            </w:r>
            <w:r w:rsidRPr="0049400B">
              <w:rPr>
                <w:szCs w:val="16"/>
              </w:rPr>
              <w:t>July 2013</w:t>
            </w:r>
            <w:r w:rsidR="00E0088C" w:rsidRPr="0049400B">
              <w:rPr>
                <w:szCs w:val="16"/>
              </w:rPr>
              <w:t xml:space="preserve"> (s</w:t>
            </w:r>
            <w:r w:rsidR="00D24D36" w:rsidRPr="0049400B">
              <w:rPr>
                <w:szCs w:val="16"/>
              </w:rPr>
              <w:t xml:space="preserve"> 2)</w:t>
            </w:r>
          </w:p>
        </w:tc>
        <w:tc>
          <w:tcPr>
            <w:tcW w:w="1293" w:type="pct"/>
            <w:shd w:val="clear" w:color="auto" w:fill="auto"/>
          </w:tcPr>
          <w:p w:rsidR="00BB6452" w:rsidRPr="0049400B" w:rsidRDefault="00BB6452" w:rsidP="0057159C">
            <w:pPr>
              <w:pStyle w:val="ENoteTableText"/>
              <w:rPr>
                <w:szCs w:val="16"/>
              </w:rPr>
            </w:pPr>
            <w:r w:rsidRPr="0049400B">
              <w:rPr>
                <w:szCs w:val="16"/>
              </w:rPr>
              <w:t>—</w:t>
            </w:r>
          </w:p>
        </w:tc>
      </w:tr>
      <w:tr w:rsidR="00BB6452" w:rsidRPr="0049400B" w:rsidTr="00CE5BCD">
        <w:trPr>
          <w:cantSplit/>
        </w:trPr>
        <w:tc>
          <w:tcPr>
            <w:tcW w:w="1231" w:type="pct"/>
            <w:shd w:val="clear" w:color="auto" w:fill="auto"/>
          </w:tcPr>
          <w:p w:rsidR="00BB6452" w:rsidRPr="0049400B" w:rsidRDefault="00BB6452" w:rsidP="0057159C">
            <w:pPr>
              <w:pStyle w:val="ENoteTableText"/>
            </w:pPr>
            <w:r w:rsidRPr="0049400B">
              <w:t>82, 2013</w:t>
            </w:r>
          </w:p>
        </w:tc>
        <w:tc>
          <w:tcPr>
            <w:tcW w:w="1183" w:type="pct"/>
            <w:shd w:val="clear" w:color="auto" w:fill="auto"/>
          </w:tcPr>
          <w:p w:rsidR="00BB6452" w:rsidRPr="0049400B" w:rsidRDefault="00BB6452" w:rsidP="00D24D36">
            <w:pPr>
              <w:pStyle w:val="ENoteTableText"/>
            </w:pPr>
            <w:r w:rsidRPr="0049400B">
              <w:t>17</w:t>
            </w:r>
            <w:r w:rsidR="002F2B52" w:rsidRPr="0049400B">
              <w:t> </w:t>
            </w:r>
            <w:r w:rsidRPr="0049400B">
              <w:t xml:space="preserve">May 2013 </w:t>
            </w:r>
            <w:r w:rsidRPr="0049400B">
              <w:rPr>
                <w:szCs w:val="16"/>
              </w:rPr>
              <w:t>(F2013L00793)</w:t>
            </w:r>
          </w:p>
        </w:tc>
        <w:tc>
          <w:tcPr>
            <w:tcW w:w="1293" w:type="pct"/>
            <w:shd w:val="clear" w:color="auto" w:fill="auto"/>
          </w:tcPr>
          <w:p w:rsidR="00BB6452" w:rsidRPr="0049400B" w:rsidRDefault="00BB6452" w:rsidP="00E0088C">
            <w:pPr>
              <w:pStyle w:val="ENoteTableText"/>
              <w:rPr>
                <w:szCs w:val="16"/>
              </w:rPr>
            </w:pPr>
            <w:r w:rsidRPr="0049400B">
              <w:t>18</w:t>
            </w:r>
            <w:r w:rsidR="002F2B52" w:rsidRPr="0049400B">
              <w:t> </w:t>
            </w:r>
            <w:r w:rsidRPr="0049400B">
              <w:t>May 2013</w:t>
            </w:r>
            <w:r w:rsidR="00C62E1A" w:rsidRPr="0049400B">
              <w:t xml:space="preserve"> (</w:t>
            </w:r>
            <w:r w:rsidR="00E0088C" w:rsidRPr="0049400B">
              <w:t>s</w:t>
            </w:r>
            <w:r w:rsidR="00C62E1A" w:rsidRPr="0049400B">
              <w:t xml:space="preserve"> 2)</w:t>
            </w:r>
          </w:p>
        </w:tc>
        <w:tc>
          <w:tcPr>
            <w:tcW w:w="1293" w:type="pct"/>
            <w:shd w:val="clear" w:color="auto" w:fill="auto"/>
          </w:tcPr>
          <w:p w:rsidR="00BB6452" w:rsidRPr="0049400B" w:rsidRDefault="00BB6452" w:rsidP="0057159C">
            <w:pPr>
              <w:pStyle w:val="ENoteTableText"/>
              <w:rPr>
                <w:szCs w:val="16"/>
              </w:rPr>
            </w:pPr>
            <w:r w:rsidRPr="0049400B">
              <w:rPr>
                <w:szCs w:val="16"/>
              </w:rPr>
              <w:t>—</w:t>
            </w:r>
          </w:p>
        </w:tc>
      </w:tr>
      <w:tr w:rsidR="00BB6452" w:rsidRPr="0049400B" w:rsidTr="00CE5BCD">
        <w:trPr>
          <w:cantSplit/>
        </w:trPr>
        <w:tc>
          <w:tcPr>
            <w:tcW w:w="1231" w:type="pct"/>
            <w:tcBorders>
              <w:bottom w:val="single" w:sz="12" w:space="0" w:color="auto"/>
            </w:tcBorders>
            <w:shd w:val="clear" w:color="auto" w:fill="auto"/>
          </w:tcPr>
          <w:p w:rsidR="00BB6452" w:rsidRPr="0049400B" w:rsidRDefault="00BB6452" w:rsidP="0057159C">
            <w:pPr>
              <w:pStyle w:val="ENoteTableText"/>
            </w:pPr>
            <w:r w:rsidRPr="0049400B">
              <w:t>124, 2013</w:t>
            </w:r>
          </w:p>
        </w:tc>
        <w:tc>
          <w:tcPr>
            <w:tcW w:w="1183" w:type="pct"/>
            <w:tcBorders>
              <w:bottom w:val="single" w:sz="12" w:space="0" w:color="auto"/>
            </w:tcBorders>
            <w:shd w:val="clear" w:color="auto" w:fill="auto"/>
          </w:tcPr>
          <w:p w:rsidR="00BB6452" w:rsidRPr="0049400B" w:rsidRDefault="00BB6452" w:rsidP="00D24D36">
            <w:pPr>
              <w:pStyle w:val="ENoteTableText"/>
            </w:pPr>
            <w:r w:rsidRPr="0049400B">
              <w:t>17</w:t>
            </w:r>
            <w:r w:rsidR="002F2B52" w:rsidRPr="0049400B">
              <w:t> </w:t>
            </w:r>
            <w:r w:rsidRPr="0049400B">
              <w:t xml:space="preserve">June 2013 </w:t>
            </w:r>
            <w:r w:rsidRPr="0049400B">
              <w:rPr>
                <w:szCs w:val="16"/>
              </w:rPr>
              <w:t>(F2013L01015)</w:t>
            </w:r>
          </w:p>
        </w:tc>
        <w:tc>
          <w:tcPr>
            <w:tcW w:w="1293" w:type="pct"/>
            <w:tcBorders>
              <w:bottom w:val="single" w:sz="12" w:space="0" w:color="auto"/>
            </w:tcBorders>
            <w:shd w:val="clear" w:color="auto" w:fill="auto"/>
          </w:tcPr>
          <w:p w:rsidR="00BB6452" w:rsidRPr="0049400B" w:rsidRDefault="00BB6452" w:rsidP="0057159C">
            <w:pPr>
              <w:pStyle w:val="ENoteTableText"/>
            </w:pPr>
            <w:r w:rsidRPr="0049400B">
              <w:t>18</w:t>
            </w:r>
            <w:r w:rsidR="002F2B52" w:rsidRPr="0049400B">
              <w:t> </w:t>
            </w:r>
            <w:r w:rsidRPr="0049400B">
              <w:t>June 2013</w:t>
            </w:r>
            <w:r w:rsidR="00E0088C" w:rsidRPr="0049400B">
              <w:t xml:space="preserve"> (s</w:t>
            </w:r>
            <w:r w:rsidR="00C62E1A" w:rsidRPr="0049400B">
              <w:t xml:space="preserve"> 2)</w:t>
            </w:r>
          </w:p>
        </w:tc>
        <w:tc>
          <w:tcPr>
            <w:tcW w:w="1293" w:type="pct"/>
            <w:tcBorders>
              <w:bottom w:val="single" w:sz="12" w:space="0" w:color="auto"/>
            </w:tcBorders>
            <w:shd w:val="clear" w:color="auto" w:fill="auto"/>
          </w:tcPr>
          <w:p w:rsidR="00BB6452" w:rsidRPr="0049400B" w:rsidRDefault="00BB6452" w:rsidP="0057159C">
            <w:pPr>
              <w:pStyle w:val="ENoteTableText"/>
              <w:rPr>
                <w:szCs w:val="16"/>
              </w:rPr>
            </w:pPr>
            <w:r w:rsidRPr="0049400B">
              <w:rPr>
                <w:szCs w:val="16"/>
              </w:rPr>
              <w:t>—</w:t>
            </w:r>
          </w:p>
        </w:tc>
      </w:tr>
    </w:tbl>
    <w:p w:rsidR="00BB6452" w:rsidRPr="0049400B" w:rsidRDefault="00BB6452" w:rsidP="0057159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02"/>
        <w:gridCol w:w="1912"/>
        <w:gridCol w:w="2061"/>
        <w:gridCol w:w="2354"/>
      </w:tblGrid>
      <w:tr w:rsidR="00BB6452" w:rsidRPr="0049400B" w:rsidTr="00CE5BCD">
        <w:trPr>
          <w:cantSplit/>
          <w:tblHeader/>
        </w:trPr>
        <w:tc>
          <w:tcPr>
            <w:tcW w:w="1291"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Name</w:t>
            </w:r>
          </w:p>
        </w:tc>
        <w:tc>
          <w:tcPr>
            <w:tcW w:w="1121"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Registration</w:t>
            </w:r>
          </w:p>
        </w:tc>
        <w:tc>
          <w:tcPr>
            <w:tcW w:w="1208"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Commencement</w:t>
            </w:r>
          </w:p>
        </w:tc>
        <w:tc>
          <w:tcPr>
            <w:tcW w:w="1380" w:type="pct"/>
            <w:tcBorders>
              <w:top w:val="single" w:sz="12" w:space="0" w:color="auto"/>
              <w:bottom w:val="single" w:sz="12" w:space="0" w:color="auto"/>
            </w:tcBorders>
            <w:shd w:val="clear" w:color="auto" w:fill="auto"/>
          </w:tcPr>
          <w:p w:rsidR="00BB6452" w:rsidRPr="0049400B" w:rsidRDefault="00BB6452" w:rsidP="0057159C">
            <w:pPr>
              <w:pStyle w:val="ENoteTableHeading"/>
            </w:pPr>
            <w:r w:rsidRPr="0049400B">
              <w:t>Application, saving and transitional provisions</w:t>
            </w:r>
          </w:p>
        </w:tc>
      </w:tr>
      <w:tr w:rsidR="00BB6452" w:rsidRPr="0049400B" w:rsidTr="001C7FB0">
        <w:trPr>
          <w:cantSplit/>
        </w:trPr>
        <w:tc>
          <w:tcPr>
            <w:tcW w:w="1291" w:type="pct"/>
            <w:shd w:val="clear" w:color="auto" w:fill="auto"/>
          </w:tcPr>
          <w:p w:rsidR="00BB6452" w:rsidRPr="0049400B" w:rsidRDefault="00FB0530" w:rsidP="00FB0530">
            <w:pPr>
              <w:pStyle w:val="ENoteTableText"/>
            </w:pPr>
            <w:r w:rsidRPr="0049400B">
              <w:t>Australian Charities and Not</w:t>
            </w:r>
            <w:r w:rsidR="0049400B">
              <w:noBreakHyphen/>
            </w:r>
            <w:r w:rsidRPr="0049400B">
              <w:t>for</w:t>
            </w:r>
            <w:r w:rsidR="0049400B">
              <w:noBreakHyphen/>
            </w:r>
            <w:r w:rsidRPr="0049400B">
              <w:t>profits Commission Amendment (2018 Measures No.</w:t>
            </w:r>
            <w:r w:rsidR="002F2B52" w:rsidRPr="0049400B">
              <w:t> </w:t>
            </w:r>
            <w:r w:rsidRPr="0049400B">
              <w:t xml:space="preserve">1) </w:t>
            </w:r>
            <w:r w:rsidR="0049400B">
              <w:t>Regulations 2</w:t>
            </w:r>
            <w:r w:rsidRPr="0049400B">
              <w:t>018</w:t>
            </w:r>
          </w:p>
        </w:tc>
        <w:tc>
          <w:tcPr>
            <w:tcW w:w="1121" w:type="pct"/>
            <w:shd w:val="clear" w:color="auto" w:fill="auto"/>
          </w:tcPr>
          <w:p w:rsidR="00BB6452" w:rsidRPr="0049400B" w:rsidRDefault="00C1135E" w:rsidP="0057159C">
            <w:pPr>
              <w:pStyle w:val="ENoteTableText"/>
            </w:pPr>
            <w:r w:rsidRPr="0049400B">
              <w:t>29</w:t>
            </w:r>
            <w:r w:rsidR="002F2B52" w:rsidRPr="0049400B">
              <w:t> </w:t>
            </w:r>
            <w:r w:rsidRPr="0049400B">
              <w:t>June 2018 (F2018L00964)</w:t>
            </w:r>
          </w:p>
        </w:tc>
        <w:tc>
          <w:tcPr>
            <w:tcW w:w="1208" w:type="pct"/>
            <w:shd w:val="clear" w:color="auto" w:fill="auto"/>
          </w:tcPr>
          <w:p w:rsidR="00BB6452" w:rsidRPr="0049400B" w:rsidRDefault="00C1135E" w:rsidP="0057159C">
            <w:pPr>
              <w:pStyle w:val="ENoteTableText"/>
            </w:pPr>
            <w:r w:rsidRPr="0049400B">
              <w:t>1</w:t>
            </w:r>
            <w:r w:rsidR="002F2B52" w:rsidRPr="0049400B">
              <w:t> </w:t>
            </w:r>
            <w:r w:rsidRPr="0049400B">
              <w:t xml:space="preserve">July 2018 (s 2(1) </w:t>
            </w:r>
            <w:r w:rsidR="009242B8" w:rsidRPr="0049400B">
              <w:t>item 1</w:t>
            </w:r>
            <w:r w:rsidRPr="0049400B">
              <w:t>)</w:t>
            </w:r>
          </w:p>
        </w:tc>
        <w:tc>
          <w:tcPr>
            <w:tcW w:w="1380" w:type="pct"/>
            <w:shd w:val="clear" w:color="auto" w:fill="auto"/>
          </w:tcPr>
          <w:p w:rsidR="00BB6452" w:rsidRPr="0049400B" w:rsidRDefault="00C1135E" w:rsidP="0057159C">
            <w:pPr>
              <w:pStyle w:val="ENoteTableText"/>
            </w:pPr>
            <w:r w:rsidRPr="0049400B">
              <w:rPr>
                <w:szCs w:val="16"/>
              </w:rPr>
              <w:t>—</w:t>
            </w:r>
          </w:p>
        </w:tc>
      </w:tr>
      <w:tr w:rsidR="00276009" w:rsidRPr="0049400B" w:rsidTr="00EE7D28">
        <w:trPr>
          <w:cantSplit/>
        </w:trPr>
        <w:tc>
          <w:tcPr>
            <w:tcW w:w="1291" w:type="pct"/>
            <w:shd w:val="clear" w:color="auto" w:fill="auto"/>
          </w:tcPr>
          <w:p w:rsidR="00276009" w:rsidRPr="0049400B" w:rsidRDefault="00BD1251" w:rsidP="00FB0530">
            <w:pPr>
              <w:pStyle w:val="ENoteTableText"/>
            </w:pPr>
            <w:r w:rsidRPr="0049400B">
              <w:rPr>
                <w:noProof/>
              </w:rPr>
              <w:t>Australian Charities and Not for profits Commission Amendment (2018 Measures No.</w:t>
            </w:r>
            <w:r w:rsidR="002F2B52" w:rsidRPr="0049400B">
              <w:rPr>
                <w:noProof/>
              </w:rPr>
              <w:t> </w:t>
            </w:r>
            <w:r w:rsidRPr="0049400B">
              <w:rPr>
                <w:noProof/>
              </w:rPr>
              <w:t xml:space="preserve">2) </w:t>
            </w:r>
            <w:r w:rsidR="0049400B">
              <w:rPr>
                <w:noProof/>
              </w:rPr>
              <w:t>Regulations 2</w:t>
            </w:r>
            <w:r w:rsidRPr="0049400B">
              <w:rPr>
                <w:noProof/>
              </w:rPr>
              <w:t>018</w:t>
            </w:r>
          </w:p>
        </w:tc>
        <w:tc>
          <w:tcPr>
            <w:tcW w:w="1121" w:type="pct"/>
            <w:shd w:val="clear" w:color="auto" w:fill="auto"/>
          </w:tcPr>
          <w:p w:rsidR="00276009" w:rsidRPr="0049400B" w:rsidRDefault="00276009" w:rsidP="0057159C">
            <w:pPr>
              <w:pStyle w:val="ENoteTableText"/>
            </w:pPr>
            <w:r w:rsidRPr="0049400B">
              <w:t>26 Nov 2018 (F2018L01601)</w:t>
            </w:r>
          </w:p>
        </w:tc>
        <w:tc>
          <w:tcPr>
            <w:tcW w:w="1208" w:type="pct"/>
            <w:shd w:val="clear" w:color="auto" w:fill="auto"/>
          </w:tcPr>
          <w:p w:rsidR="00276009" w:rsidRPr="0049400B" w:rsidRDefault="00276009" w:rsidP="0057159C">
            <w:pPr>
              <w:pStyle w:val="ENoteTableText"/>
            </w:pPr>
            <w:r w:rsidRPr="0049400B">
              <w:t>23</w:t>
            </w:r>
            <w:r w:rsidR="002F2B52" w:rsidRPr="0049400B">
              <w:t> </w:t>
            </w:r>
            <w:r w:rsidRPr="0049400B">
              <w:t xml:space="preserve">July 2019 (s 2(1) </w:t>
            </w:r>
            <w:r w:rsidR="009242B8" w:rsidRPr="0049400B">
              <w:t>item 1</w:t>
            </w:r>
            <w:r w:rsidRPr="0049400B">
              <w:t>)</w:t>
            </w:r>
          </w:p>
        </w:tc>
        <w:tc>
          <w:tcPr>
            <w:tcW w:w="1380" w:type="pct"/>
            <w:shd w:val="clear" w:color="auto" w:fill="auto"/>
          </w:tcPr>
          <w:p w:rsidR="00276009" w:rsidRPr="0049400B" w:rsidRDefault="00276009" w:rsidP="0057159C">
            <w:pPr>
              <w:pStyle w:val="ENoteTableText"/>
              <w:rPr>
                <w:szCs w:val="16"/>
              </w:rPr>
            </w:pPr>
            <w:r w:rsidRPr="0049400B">
              <w:rPr>
                <w:szCs w:val="16"/>
              </w:rPr>
              <w:t>—</w:t>
            </w:r>
          </w:p>
        </w:tc>
      </w:tr>
      <w:tr w:rsidR="00352E6C" w:rsidRPr="0049400B" w:rsidTr="00B87D8D">
        <w:trPr>
          <w:cantSplit/>
        </w:trPr>
        <w:tc>
          <w:tcPr>
            <w:tcW w:w="1291" w:type="pct"/>
            <w:shd w:val="clear" w:color="auto" w:fill="auto"/>
          </w:tcPr>
          <w:p w:rsidR="00352E6C" w:rsidRPr="0049400B" w:rsidRDefault="00352E6C" w:rsidP="00FB0530">
            <w:pPr>
              <w:pStyle w:val="ENoteTableText"/>
              <w:rPr>
                <w:noProof/>
              </w:rPr>
            </w:pPr>
            <w:r w:rsidRPr="0049400B">
              <w:rPr>
                <w:noProof/>
              </w:rPr>
              <w:t xml:space="preserve">Treasury Laws Amendment (Miscellaneous and Technical Amendments) </w:t>
            </w:r>
            <w:r w:rsidR="0049400B">
              <w:rPr>
                <w:noProof/>
              </w:rPr>
              <w:t>Regulations 2</w:t>
            </w:r>
            <w:r w:rsidRPr="0049400B">
              <w:rPr>
                <w:noProof/>
              </w:rPr>
              <w:t>020</w:t>
            </w:r>
          </w:p>
        </w:tc>
        <w:tc>
          <w:tcPr>
            <w:tcW w:w="1121" w:type="pct"/>
            <w:shd w:val="clear" w:color="auto" w:fill="auto"/>
          </w:tcPr>
          <w:p w:rsidR="00352E6C" w:rsidRPr="0049400B" w:rsidRDefault="00352E6C" w:rsidP="0057159C">
            <w:pPr>
              <w:pStyle w:val="ENoteTableText"/>
            </w:pPr>
            <w:r w:rsidRPr="0049400B">
              <w:t>14 Dec 2020 (F2020L01610)</w:t>
            </w:r>
          </w:p>
        </w:tc>
        <w:tc>
          <w:tcPr>
            <w:tcW w:w="1208" w:type="pct"/>
            <w:shd w:val="clear" w:color="auto" w:fill="auto"/>
          </w:tcPr>
          <w:p w:rsidR="00352E6C" w:rsidRPr="0049400B" w:rsidRDefault="007C1675" w:rsidP="0057159C">
            <w:pPr>
              <w:pStyle w:val="ENoteTableText"/>
            </w:pPr>
            <w:r w:rsidRPr="0049400B">
              <w:t>Sch 1 (</w:t>
            </w:r>
            <w:r w:rsidR="001E4BB9" w:rsidRPr="0049400B">
              <w:t>items 1</w:t>
            </w:r>
            <w:r w:rsidRPr="0049400B">
              <w:t xml:space="preserve">–3): 15 Dec 2020 (s 2(1) </w:t>
            </w:r>
            <w:r w:rsidR="001E4BB9" w:rsidRPr="0049400B">
              <w:t>item 2</w:t>
            </w:r>
            <w:r w:rsidRPr="0049400B">
              <w:t>)</w:t>
            </w:r>
          </w:p>
        </w:tc>
        <w:tc>
          <w:tcPr>
            <w:tcW w:w="1380" w:type="pct"/>
            <w:shd w:val="clear" w:color="auto" w:fill="auto"/>
          </w:tcPr>
          <w:p w:rsidR="00352E6C" w:rsidRPr="0049400B" w:rsidRDefault="007C1675" w:rsidP="0057159C">
            <w:pPr>
              <w:pStyle w:val="ENoteTableText"/>
              <w:rPr>
                <w:szCs w:val="16"/>
              </w:rPr>
            </w:pPr>
            <w:r w:rsidRPr="0049400B">
              <w:rPr>
                <w:szCs w:val="16"/>
              </w:rPr>
              <w:t>—</w:t>
            </w:r>
          </w:p>
        </w:tc>
      </w:tr>
      <w:tr w:rsidR="002B1C2C" w:rsidRPr="0049400B" w:rsidTr="00313B4A">
        <w:trPr>
          <w:cantSplit/>
        </w:trPr>
        <w:tc>
          <w:tcPr>
            <w:tcW w:w="1291" w:type="pct"/>
            <w:shd w:val="clear" w:color="auto" w:fill="auto"/>
          </w:tcPr>
          <w:p w:rsidR="002B1C2C" w:rsidRPr="0049400B" w:rsidRDefault="002B1C2C" w:rsidP="00FB0530">
            <w:pPr>
              <w:pStyle w:val="ENoteTableText"/>
              <w:rPr>
                <w:noProof/>
              </w:rPr>
            </w:pPr>
            <w:r w:rsidRPr="0049400B">
              <w:rPr>
                <w:noProof/>
              </w:rPr>
              <w:t>Australian Charities and Not</w:t>
            </w:r>
            <w:r w:rsidR="0049400B">
              <w:rPr>
                <w:noProof/>
              </w:rPr>
              <w:noBreakHyphen/>
            </w:r>
            <w:r w:rsidRPr="0049400B">
              <w:rPr>
                <w:noProof/>
              </w:rPr>
              <w:t>for</w:t>
            </w:r>
            <w:r w:rsidR="0049400B">
              <w:rPr>
                <w:noProof/>
              </w:rPr>
              <w:noBreakHyphen/>
            </w:r>
            <w:r w:rsidRPr="0049400B">
              <w:rPr>
                <w:noProof/>
              </w:rPr>
              <w:t xml:space="preserve">profits Commission Amendment (2021 Measures No. 1) </w:t>
            </w:r>
            <w:r w:rsidR="0049400B">
              <w:rPr>
                <w:noProof/>
              </w:rPr>
              <w:t>Regulations 2</w:t>
            </w:r>
            <w:r w:rsidRPr="0049400B">
              <w:rPr>
                <w:noProof/>
              </w:rPr>
              <w:t>021</w:t>
            </w:r>
          </w:p>
        </w:tc>
        <w:tc>
          <w:tcPr>
            <w:tcW w:w="1121" w:type="pct"/>
            <w:shd w:val="clear" w:color="auto" w:fill="auto"/>
          </w:tcPr>
          <w:p w:rsidR="002B1C2C" w:rsidRPr="0049400B" w:rsidRDefault="002B1C2C" w:rsidP="0057159C">
            <w:pPr>
              <w:pStyle w:val="ENoteTableText"/>
            </w:pPr>
            <w:r w:rsidRPr="0049400B">
              <w:t>22</w:t>
            </w:r>
            <w:r w:rsidR="00EB65E5" w:rsidRPr="0049400B">
              <w:t xml:space="preserve"> Feb 2021 </w:t>
            </w:r>
            <w:r w:rsidR="00B87D8D" w:rsidRPr="0049400B">
              <w:t>(</w:t>
            </w:r>
            <w:r w:rsidR="00EB65E5" w:rsidRPr="0049400B">
              <w:t>F2021L00134)</w:t>
            </w:r>
          </w:p>
        </w:tc>
        <w:tc>
          <w:tcPr>
            <w:tcW w:w="1208" w:type="pct"/>
            <w:shd w:val="clear" w:color="auto" w:fill="auto"/>
          </w:tcPr>
          <w:p w:rsidR="002B1C2C" w:rsidRPr="0049400B" w:rsidRDefault="00EB65E5" w:rsidP="0057159C">
            <w:pPr>
              <w:pStyle w:val="ENoteTableText"/>
            </w:pPr>
            <w:r w:rsidRPr="0049400B">
              <w:t xml:space="preserve">25 Feb 2021 (s 2(1) </w:t>
            </w:r>
            <w:r w:rsidR="009242B8" w:rsidRPr="0049400B">
              <w:t>item 1</w:t>
            </w:r>
            <w:r w:rsidRPr="0049400B">
              <w:t>)</w:t>
            </w:r>
          </w:p>
        </w:tc>
        <w:tc>
          <w:tcPr>
            <w:tcW w:w="1380" w:type="pct"/>
            <w:shd w:val="clear" w:color="auto" w:fill="auto"/>
          </w:tcPr>
          <w:p w:rsidR="002B1C2C" w:rsidRPr="0049400B" w:rsidRDefault="00EB65E5" w:rsidP="0057159C">
            <w:pPr>
              <w:pStyle w:val="ENoteTableText"/>
              <w:rPr>
                <w:szCs w:val="16"/>
              </w:rPr>
            </w:pPr>
            <w:r w:rsidRPr="0049400B">
              <w:rPr>
                <w:szCs w:val="16"/>
              </w:rPr>
              <w:t>—</w:t>
            </w:r>
          </w:p>
        </w:tc>
      </w:tr>
      <w:tr w:rsidR="00F51836" w:rsidRPr="0049400B" w:rsidTr="00CE5BCD">
        <w:trPr>
          <w:cantSplit/>
        </w:trPr>
        <w:tc>
          <w:tcPr>
            <w:tcW w:w="1291" w:type="pct"/>
            <w:tcBorders>
              <w:bottom w:val="single" w:sz="12" w:space="0" w:color="auto"/>
            </w:tcBorders>
            <w:shd w:val="clear" w:color="auto" w:fill="auto"/>
          </w:tcPr>
          <w:p w:rsidR="00F51836" w:rsidRPr="0049400B" w:rsidRDefault="00F51836" w:rsidP="00FB0530">
            <w:pPr>
              <w:pStyle w:val="ENoteTableText"/>
              <w:rPr>
                <w:noProof/>
              </w:rPr>
            </w:pPr>
            <w:r w:rsidRPr="0049400B">
              <w:rPr>
                <w:noProof/>
              </w:rPr>
              <w:t>Australian Charities and Not</w:t>
            </w:r>
            <w:r w:rsidR="0049400B">
              <w:rPr>
                <w:noProof/>
              </w:rPr>
              <w:noBreakHyphen/>
            </w:r>
            <w:r w:rsidRPr="0049400B">
              <w:rPr>
                <w:noProof/>
              </w:rPr>
              <w:t>for</w:t>
            </w:r>
            <w:r w:rsidR="0049400B">
              <w:rPr>
                <w:noProof/>
              </w:rPr>
              <w:noBreakHyphen/>
            </w:r>
            <w:r w:rsidRPr="0049400B">
              <w:rPr>
                <w:noProof/>
              </w:rPr>
              <w:t xml:space="preserve">profits Commission Amendment (Register Information) </w:t>
            </w:r>
            <w:r w:rsidR="0049400B">
              <w:rPr>
                <w:noProof/>
              </w:rPr>
              <w:t>Regulations 2</w:t>
            </w:r>
            <w:r w:rsidRPr="0049400B">
              <w:rPr>
                <w:noProof/>
              </w:rPr>
              <w:t>021</w:t>
            </w:r>
          </w:p>
        </w:tc>
        <w:tc>
          <w:tcPr>
            <w:tcW w:w="1121" w:type="pct"/>
            <w:tcBorders>
              <w:bottom w:val="single" w:sz="12" w:space="0" w:color="auto"/>
            </w:tcBorders>
            <w:shd w:val="clear" w:color="auto" w:fill="auto"/>
          </w:tcPr>
          <w:p w:rsidR="00F51836" w:rsidRPr="0049400B" w:rsidRDefault="00F51836" w:rsidP="0057159C">
            <w:pPr>
              <w:pStyle w:val="ENoteTableText"/>
            </w:pPr>
            <w:r w:rsidRPr="0049400B">
              <w:t>30 Apr 2021 (F2021L00530)</w:t>
            </w:r>
          </w:p>
        </w:tc>
        <w:tc>
          <w:tcPr>
            <w:tcW w:w="1208" w:type="pct"/>
            <w:tcBorders>
              <w:bottom w:val="single" w:sz="12" w:space="0" w:color="auto"/>
            </w:tcBorders>
            <w:shd w:val="clear" w:color="auto" w:fill="auto"/>
          </w:tcPr>
          <w:p w:rsidR="00F51836" w:rsidRPr="0049400B" w:rsidRDefault="0049400B" w:rsidP="0057159C">
            <w:pPr>
              <w:pStyle w:val="ENoteTableText"/>
            </w:pPr>
            <w:r>
              <w:t>30 July</w:t>
            </w:r>
            <w:r w:rsidR="00F51836" w:rsidRPr="0049400B">
              <w:t xml:space="preserve"> 2021 (s 2(1) item 1)</w:t>
            </w:r>
          </w:p>
        </w:tc>
        <w:tc>
          <w:tcPr>
            <w:tcW w:w="1380" w:type="pct"/>
            <w:tcBorders>
              <w:bottom w:val="single" w:sz="12" w:space="0" w:color="auto"/>
            </w:tcBorders>
            <w:shd w:val="clear" w:color="auto" w:fill="auto"/>
          </w:tcPr>
          <w:p w:rsidR="00F51836" w:rsidRPr="0049400B" w:rsidRDefault="00F51836" w:rsidP="0057159C">
            <w:pPr>
              <w:pStyle w:val="ENoteTableText"/>
              <w:rPr>
                <w:szCs w:val="16"/>
              </w:rPr>
            </w:pPr>
            <w:r w:rsidRPr="0049400B">
              <w:rPr>
                <w:szCs w:val="16"/>
              </w:rPr>
              <w:t>—</w:t>
            </w:r>
          </w:p>
        </w:tc>
      </w:tr>
    </w:tbl>
    <w:p w:rsidR="00BB6452" w:rsidRPr="0049400B" w:rsidRDefault="00BB6452" w:rsidP="00FB0530">
      <w:pPr>
        <w:pStyle w:val="Tabletext"/>
      </w:pPr>
    </w:p>
    <w:p w:rsidR="00BB6452" w:rsidRPr="0049400B" w:rsidRDefault="00BB6452" w:rsidP="00CE5BCD">
      <w:pPr>
        <w:pStyle w:val="ENotesHeading2"/>
        <w:pageBreakBefore/>
        <w:outlineLvl w:val="9"/>
      </w:pPr>
      <w:bookmarkStart w:id="73" w:name="_Toc81905218"/>
      <w:r w:rsidRPr="0049400B">
        <w:t>Endnote 4—Amendment history</w:t>
      </w:r>
      <w:bookmarkEnd w:id="73"/>
    </w:p>
    <w:p w:rsidR="00BB6452" w:rsidRPr="0049400B" w:rsidRDefault="00BB6452" w:rsidP="0057159C">
      <w:pPr>
        <w:pStyle w:val="Tabletext"/>
      </w:pPr>
    </w:p>
    <w:tbl>
      <w:tblPr>
        <w:tblW w:w="5000" w:type="pct"/>
        <w:tblLook w:val="0000" w:firstRow="0" w:lastRow="0" w:firstColumn="0" w:lastColumn="0" w:noHBand="0" w:noVBand="0"/>
      </w:tblPr>
      <w:tblGrid>
        <w:gridCol w:w="2302"/>
        <w:gridCol w:w="6227"/>
      </w:tblGrid>
      <w:tr w:rsidR="00BB6452" w:rsidRPr="0049400B" w:rsidTr="00CE5BCD">
        <w:trPr>
          <w:cantSplit/>
          <w:tblHeader/>
        </w:trPr>
        <w:tc>
          <w:tcPr>
            <w:tcW w:w="1302" w:type="pct"/>
            <w:tcBorders>
              <w:top w:val="single" w:sz="12" w:space="0" w:color="auto"/>
              <w:bottom w:val="single" w:sz="12" w:space="0" w:color="auto"/>
            </w:tcBorders>
            <w:shd w:val="clear" w:color="auto" w:fill="auto"/>
          </w:tcPr>
          <w:p w:rsidR="00BB6452" w:rsidRPr="0049400B" w:rsidRDefault="00BB6452" w:rsidP="0057159C">
            <w:pPr>
              <w:pStyle w:val="ENoteTableHeading"/>
              <w:tabs>
                <w:tab w:val="center" w:leader="dot" w:pos="2268"/>
              </w:tabs>
            </w:pPr>
            <w:r w:rsidRPr="0049400B">
              <w:t>Provision affected</w:t>
            </w:r>
          </w:p>
        </w:tc>
        <w:tc>
          <w:tcPr>
            <w:tcW w:w="3698" w:type="pct"/>
            <w:tcBorders>
              <w:top w:val="single" w:sz="12" w:space="0" w:color="auto"/>
              <w:bottom w:val="single" w:sz="12" w:space="0" w:color="auto"/>
            </w:tcBorders>
            <w:shd w:val="clear" w:color="auto" w:fill="auto"/>
          </w:tcPr>
          <w:p w:rsidR="00BB6452" w:rsidRPr="0049400B" w:rsidRDefault="00BB6452" w:rsidP="0057159C">
            <w:pPr>
              <w:pStyle w:val="ENoteTableHeading"/>
              <w:tabs>
                <w:tab w:val="center" w:leader="dot" w:pos="2268"/>
              </w:tabs>
            </w:pPr>
            <w:r w:rsidRPr="0049400B">
              <w:t>How affected</w:t>
            </w:r>
          </w:p>
        </w:tc>
      </w:tr>
      <w:tr w:rsidR="00BB6452" w:rsidRPr="0049400B" w:rsidTr="00CE5BCD">
        <w:trPr>
          <w:cantSplit/>
        </w:trPr>
        <w:tc>
          <w:tcPr>
            <w:tcW w:w="1302" w:type="pct"/>
            <w:tcBorders>
              <w:top w:val="single" w:sz="12" w:space="0" w:color="auto"/>
            </w:tcBorders>
            <w:shd w:val="clear" w:color="auto" w:fill="auto"/>
          </w:tcPr>
          <w:p w:rsidR="00BB6452" w:rsidRPr="0049400B" w:rsidRDefault="00BB6452" w:rsidP="0057159C">
            <w:pPr>
              <w:pStyle w:val="ENoteTableText"/>
              <w:tabs>
                <w:tab w:val="center" w:leader="dot" w:pos="2268"/>
              </w:tabs>
            </w:pPr>
            <w:r w:rsidRPr="0049400B">
              <w:rPr>
                <w:b/>
                <w:szCs w:val="16"/>
              </w:rPr>
              <w:t>Part</w:t>
            </w:r>
            <w:r w:rsidR="002F2B52" w:rsidRPr="0049400B">
              <w:rPr>
                <w:b/>
                <w:szCs w:val="16"/>
              </w:rPr>
              <w:t> </w:t>
            </w:r>
            <w:r w:rsidRPr="0049400B">
              <w:rPr>
                <w:b/>
                <w:szCs w:val="16"/>
              </w:rPr>
              <w:t>1</w:t>
            </w:r>
          </w:p>
        </w:tc>
        <w:tc>
          <w:tcPr>
            <w:tcW w:w="3698" w:type="pct"/>
            <w:tcBorders>
              <w:top w:val="single" w:sz="12" w:space="0" w:color="auto"/>
            </w:tcBorders>
            <w:shd w:val="clear" w:color="auto" w:fill="auto"/>
          </w:tcPr>
          <w:p w:rsidR="00BB6452" w:rsidRPr="0049400B" w:rsidRDefault="00BB6452" w:rsidP="0057159C">
            <w:pPr>
              <w:pStyle w:val="ENoteTableText"/>
              <w:tabs>
                <w:tab w:val="center" w:leader="dot" w:pos="2268"/>
              </w:tabs>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2</w:t>
            </w:r>
            <w:r w:rsidRPr="0049400B">
              <w:rPr>
                <w:szCs w:val="16"/>
              </w:rPr>
              <w:tab/>
            </w:r>
          </w:p>
        </w:tc>
        <w:tc>
          <w:tcPr>
            <w:tcW w:w="3698" w:type="pct"/>
            <w:shd w:val="clear" w:color="auto" w:fill="auto"/>
          </w:tcPr>
          <w:p w:rsidR="00BB6452" w:rsidRPr="0049400B" w:rsidRDefault="00BB6452" w:rsidP="0049409A">
            <w:pPr>
              <w:pStyle w:val="ENoteTableText"/>
              <w:tabs>
                <w:tab w:val="center" w:leader="dot" w:pos="2268"/>
              </w:tabs>
            </w:pPr>
            <w:r w:rsidRPr="0049400B">
              <w:rPr>
                <w:szCs w:val="16"/>
              </w:rPr>
              <w:t>rep LIA s 48D</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w:t>
            </w:r>
            <w:r w:rsidRPr="0049400B">
              <w:rPr>
                <w:szCs w:val="16"/>
              </w:rPr>
              <w:tab/>
            </w:r>
          </w:p>
        </w:tc>
        <w:tc>
          <w:tcPr>
            <w:tcW w:w="3698" w:type="pct"/>
            <w:shd w:val="clear" w:color="auto" w:fill="auto"/>
          </w:tcPr>
          <w:p w:rsidR="00BB6452" w:rsidRPr="0049400B" w:rsidRDefault="00BB6452" w:rsidP="0049409A">
            <w:pPr>
              <w:pStyle w:val="ENoteTableText"/>
              <w:tabs>
                <w:tab w:val="center" w:leader="dot" w:pos="2268"/>
              </w:tabs>
            </w:pPr>
            <w:r w:rsidRPr="0049400B">
              <w:rPr>
                <w:szCs w:val="16"/>
              </w:rPr>
              <w:t>am No</w:t>
            </w:r>
            <w:r w:rsidR="0049409A" w:rsidRPr="0049400B">
              <w:rPr>
                <w:szCs w:val="16"/>
              </w:rPr>
              <w:t xml:space="preserve"> </w:t>
            </w:r>
            <w:r w:rsidRPr="0049400B">
              <w:rPr>
                <w:szCs w:val="16"/>
              </w:rPr>
              <w:t>82, 2013; No 23</w:t>
            </w:r>
            <w:r w:rsidR="0049409A" w:rsidRPr="0049400B">
              <w:rPr>
                <w:szCs w:val="16"/>
              </w:rPr>
              <w:t>, 2013; No</w:t>
            </w:r>
            <w:r w:rsidRPr="0049400B">
              <w:rPr>
                <w:szCs w:val="16"/>
              </w:rPr>
              <w:t xml:space="preserve"> 124, 2013</w:t>
            </w:r>
            <w:r w:rsidR="00276009" w:rsidRPr="0049400B">
              <w:rPr>
                <w:szCs w:val="16"/>
              </w:rPr>
              <w:t xml:space="preserve">; </w:t>
            </w:r>
            <w:r w:rsidR="00276009" w:rsidRPr="0049400B">
              <w:t>F2018L01601</w:t>
            </w:r>
            <w:r w:rsidR="00EB65E5" w:rsidRPr="0049400B">
              <w:t>; F2021L00134</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Part</w:t>
            </w:r>
            <w:r w:rsidR="002F2B52" w:rsidRPr="0049400B">
              <w:rPr>
                <w:b/>
                <w:szCs w:val="16"/>
              </w:rPr>
              <w:t> </w:t>
            </w:r>
            <w:r w:rsidRPr="0049400B">
              <w:rPr>
                <w:b/>
                <w:szCs w:val="16"/>
              </w:rPr>
              <w:t>2</w:t>
            </w:r>
            <w:r w:rsidR="0049400B">
              <w:rPr>
                <w:b/>
                <w:szCs w:val="16"/>
              </w:rPr>
              <w:noBreakHyphen/>
            </w:r>
            <w:r w:rsidRPr="0049400B">
              <w:rPr>
                <w:b/>
                <w:szCs w:val="16"/>
              </w:rPr>
              <w:t>2</w:t>
            </w:r>
          </w:p>
        </w:tc>
        <w:tc>
          <w:tcPr>
            <w:tcW w:w="3698" w:type="pct"/>
            <w:shd w:val="clear" w:color="auto" w:fill="auto"/>
          </w:tcPr>
          <w:p w:rsidR="00BB6452" w:rsidRPr="0049400B" w:rsidRDefault="00BB6452" w:rsidP="0057159C">
            <w:pPr>
              <w:pStyle w:val="ENoteTableText"/>
              <w:tabs>
                <w:tab w:val="center" w:leader="dot" w:pos="2268"/>
              </w:tabs>
            </w:pP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rPr>
              <w:t>Division</w:t>
            </w:r>
            <w:r w:rsidR="002F2B52" w:rsidRPr="0049400B">
              <w:rPr>
                <w:b/>
              </w:rPr>
              <w:t> </w:t>
            </w:r>
            <w:r w:rsidRPr="0049400B">
              <w:rPr>
                <w:b/>
              </w:rPr>
              <w:t>40</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rPr>
              <w:t>Subdivision</w:t>
            </w:r>
            <w:r w:rsidR="002F2B52" w:rsidRPr="0049400B">
              <w:rPr>
                <w:b/>
              </w:rPr>
              <w:t> </w:t>
            </w:r>
            <w:r w:rsidRPr="0049400B">
              <w:rPr>
                <w:b/>
              </w:rPr>
              <w:t>40</w:t>
            </w:r>
            <w:r w:rsidR="0049400B">
              <w:rPr>
                <w:b/>
              </w:rPr>
              <w:noBreakHyphen/>
            </w:r>
            <w:r w:rsidRPr="0049400B">
              <w:rPr>
                <w:b/>
              </w:rPr>
              <w:t>A</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t>s 40.1</w:t>
            </w:r>
            <w:r w:rsidRPr="0049400B">
              <w:tab/>
            </w:r>
          </w:p>
        </w:tc>
        <w:tc>
          <w:tcPr>
            <w:tcW w:w="3698" w:type="pct"/>
            <w:shd w:val="clear" w:color="auto" w:fill="auto"/>
          </w:tcPr>
          <w:p w:rsidR="00BB6452" w:rsidRPr="0049400B" w:rsidRDefault="00BB6452" w:rsidP="0057159C">
            <w:pPr>
              <w:pStyle w:val="ENoteTableText"/>
            </w:pPr>
            <w:r w:rsidRPr="0049400B">
              <w:t>am No 23, 2013</w:t>
            </w:r>
            <w:r w:rsidR="00C1135E" w:rsidRPr="0049400B">
              <w:t>; F2018L00964</w:t>
            </w:r>
            <w:r w:rsidR="00F51836" w:rsidRPr="0049400B">
              <w:t>; F2021L00530</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rPr>
              <w:t>Subdivision</w:t>
            </w:r>
            <w:r w:rsidR="002F2B52" w:rsidRPr="0049400B">
              <w:rPr>
                <w:b/>
              </w:rPr>
              <w:t> </w:t>
            </w:r>
            <w:r w:rsidRPr="0049400B">
              <w:rPr>
                <w:b/>
              </w:rPr>
              <w:t>40</w:t>
            </w:r>
            <w:r w:rsidR="0049400B">
              <w:rPr>
                <w:b/>
              </w:rPr>
              <w:noBreakHyphen/>
            </w:r>
            <w:r w:rsidRPr="0049400B">
              <w:rPr>
                <w:b/>
              </w:rPr>
              <w:t>B</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Subdiv</w:t>
            </w:r>
            <w:r w:rsidR="0049409A" w:rsidRPr="0049400B">
              <w:rPr>
                <w:szCs w:val="16"/>
              </w:rPr>
              <w:t>ision</w:t>
            </w:r>
            <w:r w:rsidR="002F2B52" w:rsidRPr="0049400B">
              <w:rPr>
                <w:szCs w:val="16"/>
              </w:rPr>
              <w:t> </w:t>
            </w:r>
            <w:r w:rsidRPr="0049400B">
              <w:rPr>
                <w:szCs w:val="16"/>
              </w:rPr>
              <w:t>40</w:t>
            </w:r>
            <w:r w:rsidR="0049400B">
              <w:rPr>
                <w:szCs w:val="16"/>
              </w:rPr>
              <w:noBreakHyphen/>
            </w:r>
            <w:r w:rsidRPr="0049400B">
              <w:rPr>
                <w:szCs w:val="16"/>
              </w:rPr>
              <w:t>B</w:t>
            </w:r>
            <w:r w:rsidRPr="0049400B">
              <w:rPr>
                <w:szCs w:val="16"/>
              </w:rPr>
              <w:tab/>
            </w:r>
          </w:p>
        </w:tc>
        <w:tc>
          <w:tcPr>
            <w:tcW w:w="3698" w:type="pct"/>
            <w:shd w:val="clear" w:color="auto" w:fill="auto"/>
          </w:tcPr>
          <w:p w:rsidR="00BB6452" w:rsidRPr="0049400B" w:rsidRDefault="00BB6452" w:rsidP="0049409A">
            <w:pPr>
              <w:pStyle w:val="ENoteTableText"/>
            </w:pPr>
            <w:r w:rsidRPr="0049400B">
              <w:rPr>
                <w:szCs w:val="16"/>
              </w:rPr>
              <w:t>ad No</w:t>
            </w:r>
            <w:r w:rsidR="0049409A" w:rsidRPr="0049400B">
              <w:rPr>
                <w:szCs w:val="16"/>
              </w:rPr>
              <w:t xml:space="preserve"> </w:t>
            </w:r>
            <w:r w:rsidRPr="0049400B">
              <w:rPr>
                <w:szCs w:val="16"/>
              </w:rPr>
              <w:t>82, 2013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40.10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82, 2013</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Division</w:t>
            </w:r>
            <w:r w:rsidR="002F2B52" w:rsidRPr="0049400B">
              <w:rPr>
                <w:b/>
                <w:szCs w:val="16"/>
              </w:rPr>
              <w:t> </w:t>
            </w:r>
            <w:r w:rsidRPr="0049400B">
              <w:rPr>
                <w:b/>
                <w:szCs w:val="16"/>
              </w:rPr>
              <w:t>45</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Div</w:t>
            </w:r>
            <w:r w:rsidR="0049409A" w:rsidRPr="0049400B">
              <w:rPr>
                <w:szCs w:val="16"/>
              </w:rPr>
              <w:t>ision</w:t>
            </w:r>
            <w:r w:rsidR="002F2B52" w:rsidRPr="0049400B">
              <w:rPr>
                <w:szCs w:val="16"/>
              </w:rPr>
              <w:t> </w:t>
            </w:r>
            <w:r w:rsidRPr="0049400B">
              <w:rPr>
                <w:szCs w:val="16"/>
              </w:rPr>
              <w:t>45</w:t>
            </w:r>
            <w:r w:rsidRPr="0049400B">
              <w:rPr>
                <w:szCs w:val="16"/>
              </w:rPr>
              <w:tab/>
            </w:r>
          </w:p>
        </w:tc>
        <w:tc>
          <w:tcPr>
            <w:tcW w:w="3698" w:type="pct"/>
            <w:shd w:val="clear" w:color="auto" w:fill="auto"/>
          </w:tcPr>
          <w:p w:rsidR="00BB6452" w:rsidRPr="0049400B" w:rsidRDefault="00BB6452" w:rsidP="0049409A">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Subdivision</w:t>
            </w:r>
            <w:r w:rsidR="002F2B52" w:rsidRPr="0049400B">
              <w:rPr>
                <w:b/>
                <w:szCs w:val="16"/>
              </w:rPr>
              <w:t> </w:t>
            </w:r>
            <w:r w:rsidRPr="0049400B">
              <w:rPr>
                <w:b/>
                <w:szCs w:val="16"/>
              </w:rPr>
              <w:t>45</w:t>
            </w:r>
            <w:r w:rsidR="0049400B">
              <w:rPr>
                <w:b/>
                <w:szCs w:val="16"/>
              </w:rPr>
              <w:noBreakHyphen/>
            </w:r>
            <w:r w:rsidRPr="0049400B">
              <w:rPr>
                <w:b/>
                <w:szCs w:val="16"/>
              </w:rPr>
              <w:t>A</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45.2</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45.3</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Subdivision</w:t>
            </w:r>
            <w:r w:rsidR="002F2B52" w:rsidRPr="0049400B">
              <w:rPr>
                <w:b/>
                <w:szCs w:val="16"/>
              </w:rPr>
              <w:t> </w:t>
            </w:r>
            <w:r w:rsidRPr="0049400B">
              <w:rPr>
                <w:b/>
                <w:szCs w:val="16"/>
              </w:rPr>
              <w:t>45</w:t>
            </w:r>
            <w:r w:rsidR="0049400B">
              <w:rPr>
                <w:b/>
                <w:szCs w:val="16"/>
              </w:rPr>
              <w:noBreakHyphen/>
            </w:r>
            <w:r w:rsidRPr="0049400B">
              <w:rPr>
                <w:b/>
                <w:szCs w:val="16"/>
              </w:rPr>
              <w:t>B</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45.20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45.25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EB65E5" w:rsidRPr="0049400B" w:rsidTr="00CE5BCD">
        <w:trPr>
          <w:cantSplit/>
        </w:trPr>
        <w:tc>
          <w:tcPr>
            <w:tcW w:w="1302" w:type="pct"/>
            <w:shd w:val="clear" w:color="auto" w:fill="auto"/>
          </w:tcPr>
          <w:p w:rsidR="00EB65E5" w:rsidRPr="0049400B" w:rsidRDefault="00EB65E5" w:rsidP="0049409A">
            <w:pPr>
              <w:pStyle w:val="ENoteTableText"/>
              <w:tabs>
                <w:tab w:val="center" w:leader="dot" w:pos="2268"/>
              </w:tabs>
              <w:rPr>
                <w:szCs w:val="16"/>
              </w:rPr>
            </w:pPr>
            <w:r w:rsidRPr="0049400B">
              <w:rPr>
                <w:szCs w:val="16"/>
              </w:rPr>
              <w:t>s 45.30</w:t>
            </w:r>
            <w:r w:rsidRPr="0049400B">
              <w:rPr>
                <w:szCs w:val="16"/>
              </w:rPr>
              <w:tab/>
            </w:r>
          </w:p>
        </w:tc>
        <w:tc>
          <w:tcPr>
            <w:tcW w:w="3698" w:type="pct"/>
            <w:shd w:val="clear" w:color="auto" w:fill="auto"/>
          </w:tcPr>
          <w:p w:rsidR="00EB65E5" w:rsidRPr="0049400B" w:rsidRDefault="00EB65E5" w:rsidP="0057159C">
            <w:pPr>
              <w:pStyle w:val="ENoteTableText"/>
              <w:rPr>
                <w:szCs w:val="16"/>
              </w:rPr>
            </w:pPr>
            <w:r w:rsidRPr="0049400B">
              <w:rPr>
                <w:szCs w:val="16"/>
              </w:rPr>
              <w:t>ad F2021L00134</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Subdivision</w:t>
            </w:r>
            <w:r w:rsidR="002F2B52" w:rsidRPr="0049400B">
              <w:rPr>
                <w:b/>
                <w:szCs w:val="16"/>
              </w:rPr>
              <w:t> </w:t>
            </w:r>
            <w:r w:rsidRPr="0049400B">
              <w:rPr>
                <w:b/>
                <w:szCs w:val="16"/>
              </w:rPr>
              <w:t>45</w:t>
            </w:r>
            <w:r w:rsidR="0049400B">
              <w:rPr>
                <w:b/>
                <w:szCs w:val="16"/>
              </w:rPr>
              <w:noBreakHyphen/>
            </w:r>
            <w:r w:rsidRPr="0049400B">
              <w:rPr>
                <w:b/>
                <w:szCs w:val="16"/>
              </w:rPr>
              <w:t>C</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45.100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45.105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45.110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45.115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45.120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Subdivision</w:t>
            </w:r>
            <w:r w:rsidR="002F2B52" w:rsidRPr="0049400B">
              <w:rPr>
                <w:b/>
                <w:szCs w:val="16"/>
              </w:rPr>
              <w:t> </w:t>
            </w:r>
            <w:r w:rsidRPr="0049400B">
              <w:rPr>
                <w:b/>
                <w:szCs w:val="16"/>
              </w:rPr>
              <w:t>45</w:t>
            </w:r>
            <w:r w:rsidR="0049400B">
              <w:rPr>
                <w:b/>
                <w:szCs w:val="16"/>
              </w:rPr>
              <w:noBreakHyphen/>
            </w:r>
            <w:r w:rsidRPr="0049400B">
              <w:rPr>
                <w:b/>
                <w:szCs w:val="16"/>
              </w:rPr>
              <w:t>D</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45.130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Subdivision</w:t>
            </w:r>
            <w:r w:rsidR="002F2B52" w:rsidRPr="0049400B">
              <w:rPr>
                <w:b/>
                <w:szCs w:val="16"/>
              </w:rPr>
              <w:t> </w:t>
            </w:r>
            <w:r w:rsidRPr="0049400B">
              <w:rPr>
                <w:b/>
                <w:szCs w:val="16"/>
              </w:rPr>
              <w:t>45</w:t>
            </w:r>
            <w:r w:rsidR="0049400B">
              <w:rPr>
                <w:b/>
                <w:szCs w:val="16"/>
              </w:rPr>
              <w:noBreakHyphen/>
            </w:r>
            <w:r w:rsidRPr="0049400B">
              <w:rPr>
                <w:b/>
                <w:szCs w:val="16"/>
              </w:rPr>
              <w:t>E</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45.150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23, 2013</w:t>
            </w:r>
          </w:p>
        </w:tc>
      </w:tr>
      <w:tr w:rsidR="00276009" w:rsidRPr="0049400B" w:rsidTr="00CE5BCD">
        <w:trPr>
          <w:cantSplit/>
        </w:trPr>
        <w:tc>
          <w:tcPr>
            <w:tcW w:w="1302" w:type="pct"/>
            <w:shd w:val="clear" w:color="auto" w:fill="auto"/>
          </w:tcPr>
          <w:p w:rsidR="00276009" w:rsidRPr="0049400B" w:rsidRDefault="00276009" w:rsidP="0057159C">
            <w:pPr>
              <w:pStyle w:val="ENoteTableText"/>
              <w:tabs>
                <w:tab w:val="center" w:leader="dot" w:pos="2268"/>
              </w:tabs>
              <w:rPr>
                <w:b/>
                <w:szCs w:val="16"/>
              </w:rPr>
            </w:pPr>
            <w:r w:rsidRPr="0049400B">
              <w:rPr>
                <w:b/>
                <w:szCs w:val="16"/>
              </w:rPr>
              <w:t>Division</w:t>
            </w:r>
            <w:r w:rsidR="002F2B52" w:rsidRPr="0049400B">
              <w:rPr>
                <w:b/>
                <w:szCs w:val="16"/>
              </w:rPr>
              <w:t> </w:t>
            </w:r>
            <w:r w:rsidRPr="0049400B">
              <w:rPr>
                <w:b/>
                <w:szCs w:val="16"/>
              </w:rPr>
              <w:t>50</w:t>
            </w:r>
          </w:p>
        </w:tc>
        <w:tc>
          <w:tcPr>
            <w:tcW w:w="3698" w:type="pct"/>
            <w:shd w:val="clear" w:color="auto" w:fill="auto"/>
          </w:tcPr>
          <w:p w:rsidR="00276009" w:rsidRPr="0049400B" w:rsidRDefault="00276009" w:rsidP="0057159C">
            <w:pPr>
              <w:pStyle w:val="ENoteTableText"/>
            </w:pPr>
          </w:p>
        </w:tc>
      </w:tr>
      <w:tr w:rsidR="00276009" w:rsidRPr="0049400B" w:rsidTr="00CE5BCD">
        <w:trPr>
          <w:cantSplit/>
        </w:trPr>
        <w:tc>
          <w:tcPr>
            <w:tcW w:w="1302" w:type="pct"/>
            <w:shd w:val="clear" w:color="auto" w:fill="auto"/>
          </w:tcPr>
          <w:p w:rsidR="00276009" w:rsidRPr="0049400B" w:rsidRDefault="00BD1251" w:rsidP="0057159C">
            <w:pPr>
              <w:pStyle w:val="ENoteTableText"/>
              <w:tabs>
                <w:tab w:val="center" w:leader="dot" w:pos="2268"/>
              </w:tabs>
              <w:rPr>
                <w:szCs w:val="16"/>
              </w:rPr>
            </w:pPr>
            <w:r w:rsidRPr="0049400B">
              <w:rPr>
                <w:szCs w:val="16"/>
              </w:rPr>
              <w:t>Division</w:t>
            </w:r>
            <w:r w:rsidR="002F2B52" w:rsidRPr="0049400B">
              <w:rPr>
                <w:szCs w:val="16"/>
              </w:rPr>
              <w:t> </w:t>
            </w:r>
            <w:r w:rsidRPr="0049400B">
              <w:rPr>
                <w:szCs w:val="16"/>
              </w:rPr>
              <w:t>50</w:t>
            </w:r>
            <w:r w:rsidRPr="0049400B">
              <w:rPr>
                <w:szCs w:val="16"/>
              </w:rPr>
              <w:tab/>
            </w:r>
          </w:p>
        </w:tc>
        <w:tc>
          <w:tcPr>
            <w:tcW w:w="3698" w:type="pct"/>
            <w:shd w:val="clear" w:color="auto" w:fill="auto"/>
          </w:tcPr>
          <w:p w:rsidR="00276009" w:rsidRPr="0049400B" w:rsidRDefault="00BD1251" w:rsidP="0057159C">
            <w:pPr>
              <w:pStyle w:val="ENoteTableText"/>
            </w:pPr>
            <w:r w:rsidRPr="0049400B">
              <w:t>ad F2018L01601</w:t>
            </w:r>
          </w:p>
        </w:tc>
      </w:tr>
      <w:tr w:rsidR="00BD1251" w:rsidRPr="0049400B" w:rsidTr="00CE5BCD">
        <w:trPr>
          <w:cantSplit/>
        </w:trPr>
        <w:tc>
          <w:tcPr>
            <w:tcW w:w="1302" w:type="pct"/>
            <w:shd w:val="clear" w:color="auto" w:fill="auto"/>
          </w:tcPr>
          <w:p w:rsidR="00BD1251" w:rsidRPr="0049400B" w:rsidRDefault="007B09BA" w:rsidP="0057159C">
            <w:pPr>
              <w:pStyle w:val="ENoteTableText"/>
              <w:tabs>
                <w:tab w:val="center" w:leader="dot" w:pos="2268"/>
              </w:tabs>
              <w:rPr>
                <w:b/>
                <w:szCs w:val="16"/>
              </w:rPr>
            </w:pPr>
            <w:r w:rsidRPr="0049400B">
              <w:rPr>
                <w:b/>
                <w:szCs w:val="16"/>
              </w:rPr>
              <w:t>Subdivision</w:t>
            </w:r>
            <w:r w:rsidR="002F2B52" w:rsidRPr="0049400B">
              <w:rPr>
                <w:b/>
                <w:szCs w:val="16"/>
              </w:rPr>
              <w:t> </w:t>
            </w:r>
            <w:r w:rsidRPr="0049400B">
              <w:rPr>
                <w:b/>
                <w:szCs w:val="16"/>
              </w:rPr>
              <w:t>50</w:t>
            </w:r>
            <w:r w:rsidR="0049400B">
              <w:rPr>
                <w:b/>
                <w:szCs w:val="16"/>
              </w:rPr>
              <w:noBreakHyphen/>
            </w:r>
            <w:r w:rsidRPr="0049400B">
              <w:rPr>
                <w:b/>
                <w:szCs w:val="16"/>
              </w:rPr>
              <w:t>A</w:t>
            </w:r>
          </w:p>
        </w:tc>
        <w:tc>
          <w:tcPr>
            <w:tcW w:w="3698" w:type="pct"/>
            <w:shd w:val="clear" w:color="auto" w:fill="auto"/>
          </w:tcPr>
          <w:p w:rsidR="00BD1251" w:rsidRPr="0049400B" w:rsidRDefault="00BD1251" w:rsidP="0057159C">
            <w:pPr>
              <w:pStyle w:val="ENoteTableText"/>
            </w:pPr>
          </w:p>
        </w:tc>
      </w:tr>
      <w:tr w:rsidR="00BD1251" w:rsidRPr="0049400B" w:rsidTr="00CE5BCD">
        <w:trPr>
          <w:cantSplit/>
        </w:trPr>
        <w:tc>
          <w:tcPr>
            <w:tcW w:w="1302" w:type="pct"/>
            <w:shd w:val="clear" w:color="auto" w:fill="auto"/>
          </w:tcPr>
          <w:p w:rsidR="00BD1251" w:rsidRPr="0049400B" w:rsidRDefault="00BD1251" w:rsidP="0057159C">
            <w:pPr>
              <w:pStyle w:val="ENoteTableText"/>
              <w:tabs>
                <w:tab w:val="center" w:leader="dot" w:pos="2268"/>
              </w:tabs>
              <w:rPr>
                <w:szCs w:val="16"/>
              </w:rPr>
            </w:pPr>
            <w:r w:rsidRPr="0049400B">
              <w:rPr>
                <w:szCs w:val="16"/>
              </w:rPr>
              <w:t>s 50.1</w:t>
            </w:r>
            <w:r w:rsidRPr="0049400B">
              <w:rPr>
                <w:szCs w:val="16"/>
              </w:rPr>
              <w:tab/>
            </w:r>
          </w:p>
        </w:tc>
        <w:tc>
          <w:tcPr>
            <w:tcW w:w="3698" w:type="pct"/>
            <w:shd w:val="clear" w:color="auto" w:fill="auto"/>
          </w:tcPr>
          <w:p w:rsidR="00BD1251" w:rsidRPr="0049400B" w:rsidRDefault="00BD1251" w:rsidP="0057159C">
            <w:pPr>
              <w:pStyle w:val="ENoteTableText"/>
            </w:pPr>
            <w:r w:rsidRPr="0049400B">
              <w:t>ad F2018L01601</w:t>
            </w:r>
          </w:p>
        </w:tc>
      </w:tr>
      <w:tr w:rsidR="00BD1251" w:rsidRPr="0049400B" w:rsidTr="00CE5BCD">
        <w:trPr>
          <w:cantSplit/>
        </w:trPr>
        <w:tc>
          <w:tcPr>
            <w:tcW w:w="1302" w:type="pct"/>
            <w:shd w:val="clear" w:color="auto" w:fill="auto"/>
          </w:tcPr>
          <w:p w:rsidR="00BD1251" w:rsidRPr="0049400B" w:rsidRDefault="007B09BA" w:rsidP="0057159C">
            <w:pPr>
              <w:pStyle w:val="ENoteTableText"/>
              <w:tabs>
                <w:tab w:val="center" w:leader="dot" w:pos="2268"/>
              </w:tabs>
              <w:rPr>
                <w:szCs w:val="16"/>
              </w:rPr>
            </w:pPr>
            <w:r w:rsidRPr="0049400B">
              <w:rPr>
                <w:szCs w:val="16"/>
              </w:rPr>
              <w:t>s 50.2</w:t>
            </w:r>
            <w:r w:rsidRPr="0049400B">
              <w:rPr>
                <w:szCs w:val="16"/>
              </w:rPr>
              <w:tab/>
            </w:r>
          </w:p>
        </w:tc>
        <w:tc>
          <w:tcPr>
            <w:tcW w:w="3698" w:type="pct"/>
            <w:shd w:val="clear" w:color="auto" w:fill="auto"/>
          </w:tcPr>
          <w:p w:rsidR="00BD1251" w:rsidRPr="0049400B" w:rsidRDefault="007B09BA"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7B09BA" w:rsidP="0057159C">
            <w:pPr>
              <w:pStyle w:val="ENoteTableText"/>
              <w:tabs>
                <w:tab w:val="center" w:leader="dot" w:pos="2268"/>
              </w:tabs>
              <w:rPr>
                <w:szCs w:val="16"/>
              </w:rPr>
            </w:pPr>
            <w:r w:rsidRPr="0049400B">
              <w:rPr>
                <w:szCs w:val="16"/>
              </w:rPr>
              <w:t>s 50.3</w:t>
            </w:r>
            <w:r w:rsidRPr="0049400B">
              <w:rPr>
                <w:szCs w:val="16"/>
              </w:rPr>
              <w:tab/>
            </w:r>
          </w:p>
        </w:tc>
        <w:tc>
          <w:tcPr>
            <w:tcW w:w="3698" w:type="pct"/>
            <w:shd w:val="clear" w:color="auto" w:fill="auto"/>
          </w:tcPr>
          <w:p w:rsidR="007B09BA" w:rsidRPr="0049400B" w:rsidRDefault="007B09BA"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7B09BA" w:rsidP="0057159C">
            <w:pPr>
              <w:pStyle w:val="ENoteTableText"/>
              <w:tabs>
                <w:tab w:val="center" w:leader="dot" w:pos="2268"/>
              </w:tabs>
              <w:rPr>
                <w:szCs w:val="16"/>
              </w:rPr>
            </w:pPr>
            <w:r w:rsidRPr="0049400B">
              <w:rPr>
                <w:szCs w:val="16"/>
              </w:rPr>
              <w:t>s 50.4</w:t>
            </w:r>
            <w:r w:rsidRPr="0049400B">
              <w:rPr>
                <w:szCs w:val="16"/>
              </w:rPr>
              <w:tab/>
            </w:r>
          </w:p>
        </w:tc>
        <w:tc>
          <w:tcPr>
            <w:tcW w:w="3698" w:type="pct"/>
            <w:shd w:val="clear" w:color="auto" w:fill="auto"/>
          </w:tcPr>
          <w:p w:rsidR="007B09BA" w:rsidRPr="0049400B" w:rsidRDefault="007B09BA"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7B09BA" w:rsidP="0057159C">
            <w:pPr>
              <w:pStyle w:val="ENoteTableText"/>
              <w:tabs>
                <w:tab w:val="center" w:leader="dot" w:pos="2268"/>
              </w:tabs>
              <w:rPr>
                <w:szCs w:val="16"/>
              </w:rPr>
            </w:pPr>
            <w:r w:rsidRPr="0049400B">
              <w:rPr>
                <w:b/>
                <w:szCs w:val="16"/>
              </w:rPr>
              <w:t>Subdivision</w:t>
            </w:r>
            <w:r w:rsidR="002F2B52" w:rsidRPr="0049400B">
              <w:rPr>
                <w:b/>
                <w:szCs w:val="16"/>
              </w:rPr>
              <w:t> </w:t>
            </w:r>
            <w:r w:rsidRPr="0049400B">
              <w:rPr>
                <w:b/>
                <w:szCs w:val="16"/>
              </w:rPr>
              <w:t>50</w:t>
            </w:r>
            <w:r w:rsidR="0049400B">
              <w:rPr>
                <w:b/>
                <w:szCs w:val="16"/>
              </w:rPr>
              <w:noBreakHyphen/>
            </w:r>
            <w:r w:rsidRPr="0049400B">
              <w:rPr>
                <w:b/>
                <w:szCs w:val="16"/>
              </w:rPr>
              <w:t>B</w:t>
            </w:r>
          </w:p>
        </w:tc>
        <w:tc>
          <w:tcPr>
            <w:tcW w:w="3698" w:type="pct"/>
            <w:shd w:val="clear" w:color="auto" w:fill="auto"/>
          </w:tcPr>
          <w:p w:rsidR="007B09BA" w:rsidRPr="0049400B" w:rsidRDefault="007B09BA" w:rsidP="0057159C">
            <w:pPr>
              <w:pStyle w:val="ENoteTableText"/>
            </w:pPr>
          </w:p>
        </w:tc>
      </w:tr>
      <w:tr w:rsidR="007B09BA" w:rsidRPr="0049400B" w:rsidTr="00CE5BCD">
        <w:trPr>
          <w:cantSplit/>
        </w:trPr>
        <w:tc>
          <w:tcPr>
            <w:tcW w:w="1302" w:type="pct"/>
            <w:shd w:val="clear" w:color="auto" w:fill="auto"/>
          </w:tcPr>
          <w:p w:rsidR="007B09BA" w:rsidRPr="0049400B" w:rsidRDefault="007B09BA" w:rsidP="0057159C">
            <w:pPr>
              <w:pStyle w:val="ENoteTableText"/>
              <w:tabs>
                <w:tab w:val="center" w:leader="dot" w:pos="2268"/>
              </w:tabs>
              <w:rPr>
                <w:szCs w:val="16"/>
              </w:rPr>
            </w:pPr>
            <w:r w:rsidRPr="0049400B">
              <w:rPr>
                <w:szCs w:val="16"/>
              </w:rPr>
              <w:t>s 50.20</w:t>
            </w:r>
            <w:r w:rsidRPr="0049400B">
              <w:rPr>
                <w:szCs w:val="16"/>
              </w:rPr>
              <w:tab/>
            </w:r>
          </w:p>
        </w:tc>
        <w:tc>
          <w:tcPr>
            <w:tcW w:w="3698" w:type="pct"/>
            <w:shd w:val="clear" w:color="auto" w:fill="auto"/>
          </w:tcPr>
          <w:p w:rsidR="007B09BA" w:rsidRPr="0049400B" w:rsidRDefault="007B09BA"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7B09BA" w:rsidP="0057159C">
            <w:pPr>
              <w:pStyle w:val="ENoteTableText"/>
              <w:tabs>
                <w:tab w:val="center" w:leader="dot" w:pos="2268"/>
              </w:tabs>
              <w:rPr>
                <w:szCs w:val="16"/>
              </w:rPr>
            </w:pPr>
            <w:r w:rsidRPr="0049400B">
              <w:rPr>
                <w:szCs w:val="16"/>
              </w:rPr>
              <w:t>s 50.25</w:t>
            </w:r>
            <w:r w:rsidRPr="0049400B">
              <w:rPr>
                <w:szCs w:val="16"/>
              </w:rPr>
              <w:tab/>
            </w:r>
          </w:p>
        </w:tc>
        <w:tc>
          <w:tcPr>
            <w:tcW w:w="3698" w:type="pct"/>
            <w:shd w:val="clear" w:color="auto" w:fill="auto"/>
          </w:tcPr>
          <w:p w:rsidR="007B09BA" w:rsidRPr="0049400B" w:rsidRDefault="007B09BA"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9D55AD" w:rsidP="0057159C">
            <w:pPr>
              <w:pStyle w:val="ENoteTableText"/>
              <w:tabs>
                <w:tab w:val="center" w:leader="dot" w:pos="2268"/>
              </w:tabs>
              <w:rPr>
                <w:b/>
                <w:szCs w:val="16"/>
              </w:rPr>
            </w:pPr>
            <w:r w:rsidRPr="0049400B">
              <w:rPr>
                <w:b/>
                <w:szCs w:val="16"/>
              </w:rPr>
              <w:t>Subdivision</w:t>
            </w:r>
            <w:r w:rsidR="002F2B52" w:rsidRPr="0049400B">
              <w:rPr>
                <w:b/>
                <w:szCs w:val="16"/>
              </w:rPr>
              <w:t> </w:t>
            </w:r>
            <w:r w:rsidRPr="0049400B">
              <w:rPr>
                <w:b/>
                <w:szCs w:val="16"/>
              </w:rPr>
              <w:t>50</w:t>
            </w:r>
            <w:r w:rsidR="0049400B">
              <w:rPr>
                <w:b/>
                <w:szCs w:val="16"/>
              </w:rPr>
              <w:noBreakHyphen/>
            </w:r>
            <w:r w:rsidRPr="0049400B">
              <w:rPr>
                <w:b/>
                <w:szCs w:val="16"/>
              </w:rPr>
              <w:t>C</w:t>
            </w:r>
          </w:p>
        </w:tc>
        <w:tc>
          <w:tcPr>
            <w:tcW w:w="3698" w:type="pct"/>
            <w:shd w:val="clear" w:color="auto" w:fill="auto"/>
          </w:tcPr>
          <w:p w:rsidR="007B09BA" w:rsidRPr="0049400B" w:rsidRDefault="007B09BA" w:rsidP="0057159C">
            <w:pPr>
              <w:pStyle w:val="ENoteTableText"/>
            </w:pPr>
          </w:p>
        </w:tc>
      </w:tr>
      <w:tr w:rsidR="007B09BA" w:rsidRPr="0049400B" w:rsidTr="00CE5BCD">
        <w:trPr>
          <w:cantSplit/>
        </w:trPr>
        <w:tc>
          <w:tcPr>
            <w:tcW w:w="1302" w:type="pct"/>
            <w:shd w:val="clear" w:color="auto" w:fill="auto"/>
          </w:tcPr>
          <w:p w:rsidR="007B09BA" w:rsidRPr="0049400B" w:rsidRDefault="009D55AD" w:rsidP="0057159C">
            <w:pPr>
              <w:pStyle w:val="ENoteTableText"/>
              <w:tabs>
                <w:tab w:val="center" w:leader="dot" w:pos="2268"/>
              </w:tabs>
              <w:rPr>
                <w:szCs w:val="16"/>
              </w:rPr>
            </w:pPr>
            <w:r w:rsidRPr="0049400B">
              <w:rPr>
                <w:szCs w:val="16"/>
              </w:rPr>
              <w:t>s 50.30</w:t>
            </w:r>
            <w:r w:rsidRPr="0049400B">
              <w:rPr>
                <w:szCs w:val="16"/>
              </w:rPr>
              <w:tab/>
            </w:r>
          </w:p>
        </w:tc>
        <w:tc>
          <w:tcPr>
            <w:tcW w:w="3698" w:type="pct"/>
            <w:shd w:val="clear" w:color="auto" w:fill="auto"/>
          </w:tcPr>
          <w:p w:rsidR="007B09BA" w:rsidRPr="0049400B" w:rsidRDefault="009D55AD" w:rsidP="0057159C">
            <w:pPr>
              <w:pStyle w:val="ENoteTableText"/>
            </w:pPr>
            <w:r w:rsidRPr="0049400B">
              <w:t>ad F2018L01601</w:t>
            </w:r>
          </w:p>
        </w:tc>
      </w:tr>
      <w:tr w:rsidR="007B09BA" w:rsidRPr="0049400B" w:rsidTr="00CE5BCD">
        <w:trPr>
          <w:cantSplit/>
        </w:trPr>
        <w:tc>
          <w:tcPr>
            <w:tcW w:w="1302" w:type="pct"/>
            <w:shd w:val="clear" w:color="auto" w:fill="auto"/>
          </w:tcPr>
          <w:p w:rsidR="007B09BA" w:rsidRPr="0049400B" w:rsidRDefault="009D55AD" w:rsidP="0057159C">
            <w:pPr>
              <w:pStyle w:val="ENoteTableText"/>
              <w:tabs>
                <w:tab w:val="center" w:leader="dot" w:pos="2268"/>
              </w:tabs>
              <w:rPr>
                <w:szCs w:val="16"/>
              </w:rPr>
            </w:pPr>
            <w:r w:rsidRPr="0049400B">
              <w:rPr>
                <w:szCs w:val="16"/>
              </w:rPr>
              <w:t>s 50.35</w:t>
            </w:r>
            <w:r w:rsidRPr="0049400B">
              <w:rPr>
                <w:szCs w:val="16"/>
              </w:rPr>
              <w:tab/>
            </w:r>
          </w:p>
        </w:tc>
        <w:tc>
          <w:tcPr>
            <w:tcW w:w="3698" w:type="pct"/>
            <w:shd w:val="clear" w:color="auto" w:fill="auto"/>
          </w:tcPr>
          <w:p w:rsidR="007B09BA" w:rsidRPr="0049400B" w:rsidRDefault="009D55AD" w:rsidP="0057159C">
            <w:pPr>
              <w:pStyle w:val="ENoteTableText"/>
            </w:pPr>
            <w:r w:rsidRPr="0049400B">
              <w:t>ad F2018L01601</w:t>
            </w:r>
          </w:p>
        </w:tc>
      </w:tr>
      <w:tr w:rsidR="00BB6452" w:rsidRPr="0049400B" w:rsidTr="00CE5BCD">
        <w:trPr>
          <w:cantSplit/>
        </w:trPr>
        <w:tc>
          <w:tcPr>
            <w:tcW w:w="1302" w:type="pct"/>
            <w:shd w:val="clear" w:color="auto" w:fill="auto"/>
          </w:tcPr>
          <w:p w:rsidR="00BB6452" w:rsidRPr="0049400B" w:rsidRDefault="00BB6452" w:rsidP="0057159C">
            <w:pPr>
              <w:pStyle w:val="ENoteTableText"/>
              <w:tabs>
                <w:tab w:val="center" w:leader="dot" w:pos="2268"/>
              </w:tabs>
            </w:pPr>
            <w:r w:rsidRPr="0049400B">
              <w:rPr>
                <w:b/>
                <w:szCs w:val="16"/>
              </w:rPr>
              <w:t>Division</w:t>
            </w:r>
            <w:r w:rsidR="002F2B52" w:rsidRPr="0049400B">
              <w:rPr>
                <w:b/>
                <w:szCs w:val="16"/>
              </w:rPr>
              <w:t> </w:t>
            </w:r>
            <w:r w:rsidRPr="0049400B">
              <w:rPr>
                <w:b/>
                <w:szCs w:val="16"/>
              </w:rPr>
              <w:t>60</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Div</w:t>
            </w:r>
            <w:r w:rsidR="0049409A" w:rsidRPr="0049400B">
              <w:rPr>
                <w:szCs w:val="16"/>
              </w:rPr>
              <w:t>ision</w:t>
            </w:r>
            <w:r w:rsidR="002F2B52" w:rsidRPr="0049400B">
              <w:rPr>
                <w:szCs w:val="16"/>
              </w:rPr>
              <w:t> </w:t>
            </w:r>
            <w:r w:rsidRPr="0049400B">
              <w:rPr>
                <w:szCs w:val="16"/>
              </w:rPr>
              <w:t>60</w:t>
            </w:r>
            <w:r w:rsidRPr="0049400B">
              <w:rPr>
                <w:szCs w:val="16"/>
              </w:rPr>
              <w:tab/>
            </w:r>
          </w:p>
        </w:tc>
        <w:tc>
          <w:tcPr>
            <w:tcW w:w="3698" w:type="pct"/>
            <w:shd w:val="clear" w:color="auto" w:fill="auto"/>
          </w:tcPr>
          <w:p w:rsidR="00BB6452" w:rsidRPr="0049400B" w:rsidRDefault="00BB6452" w:rsidP="0049409A">
            <w:pPr>
              <w:pStyle w:val="ENoteTableText"/>
            </w:pPr>
            <w:r w:rsidRPr="0049400B">
              <w:rPr>
                <w:szCs w:val="16"/>
              </w:rPr>
              <w:t>ad No 124, 2013</w:t>
            </w:r>
          </w:p>
        </w:tc>
      </w:tr>
      <w:tr w:rsidR="00BB6452" w:rsidRPr="0049400B" w:rsidTr="00CE5BCD">
        <w:trPr>
          <w:cantSplit/>
        </w:trPr>
        <w:tc>
          <w:tcPr>
            <w:tcW w:w="1302" w:type="pct"/>
            <w:shd w:val="clear" w:color="auto" w:fill="auto"/>
          </w:tcPr>
          <w:p w:rsidR="00BB6452" w:rsidRPr="0049400B" w:rsidRDefault="001E4BB9" w:rsidP="0057159C">
            <w:pPr>
              <w:pStyle w:val="ENoteTableText"/>
              <w:tabs>
                <w:tab w:val="center" w:leader="dot" w:pos="2268"/>
              </w:tabs>
            </w:pPr>
            <w:r w:rsidRPr="0049400B">
              <w:rPr>
                <w:b/>
                <w:szCs w:val="16"/>
              </w:rPr>
              <w:t>Subdivision 6</w:t>
            </w:r>
            <w:r w:rsidR="00BB6452" w:rsidRPr="0049400B">
              <w:rPr>
                <w:b/>
                <w:szCs w:val="16"/>
              </w:rPr>
              <w:t>0</w:t>
            </w:r>
            <w:r w:rsidR="0049400B">
              <w:rPr>
                <w:b/>
                <w:szCs w:val="16"/>
              </w:rPr>
              <w:noBreakHyphen/>
            </w:r>
            <w:r w:rsidR="00BB6452" w:rsidRPr="0049400B">
              <w:rPr>
                <w:b/>
                <w:szCs w:val="16"/>
              </w:rPr>
              <w:t>A</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60.1</w:t>
            </w:r>
            <w:r w:rsidRPr="0049400B">
              <w:rPr>
                <w:szCs w:val="16"/>
              </w:rPr>
              <w:tab/>
            </w:r>
          </w:p>
        </w:tc>
        <w:tc>
          <w:tcPr>
            <w:tcW w:w="3698" w:type="pct"/>
            <w:shd w:val="clear" w:color="auto" w:fill="auto"/>
          </w:tcPr>
          <w:p w:rsidR="00BB6452" w:rsidRPr="0049400B" w:rsidRDefault="00BB6452" w:rsidP="0049409A">
            <w:pPr>
              <w:pStyle w:val="ENoteTableText"/>
            </w:pPr>
            <w:r w:rsidRPr="0049400B">
              <w:rPr>
                <w:szCs w:val="16"/>
              </w:rPr>
              <w:t>ad No 124, 2013</w:t>
            </w:r>
          </w:p>
        </w:tc>
      </w:tr>
      <w:tr w:rsidR="00511449" w:rsidRPr="0049400B" w:rsidTr="00CE5BCD">
        <w:trPr>
          <w:cantSplit/>
        </w:trPr>
        <w:tc>
          <w:tcPr>
            <w:tcW w:w="1302" w:type="pct"/>
            <w:shd w:val="clear" w:color="auto" w:fill="auto"/>
          </w:tcPr>
          <w:p w:rsidR="00511449" w:rsidRPr="0049400B" w:rsidRDefault="00511449" w:rsidP="0049409A">
            <w:pPr>
              <w:pStyle w:val="ENoteTableText"/>
              <w:tabs>
                <w:tab w:val="center" w:leader="dot" w:pos="2268"/>
              </w:tabs>
              <w:rPr>
                <w:szCs w:val="16"/>
              </w:rPr>
            </w:pPr>
          </w:p>
        </w:tc>
        <w:tc>
          <w:tcPr>
            <w:tcW w:w="3698" w:type="pct"/>
            <w:shd w:val="clear" w:color="auto" w:fill="auto"/>
          </w:tcPr>
          <w:p w:rsidR="00511449" w:rsidRPr="0049400B" w:rsidRDefault="00511449" w:rsidP="0049409A">
            <w:pPr>
              <w:pStyle w:val="ENoteTableText"/>
              <w:rPr>
                <w:szCs w:val="16"/>
              </w:rPr>
            </w:pPr>
            <w:r w:rsidRPr="0049400B">
              <w:rPr>
                <w:szCs w:val="16"/>
              </w:rPr>
              <w:t>am F2020L01610</w:t>
            </w:r>
          </w:p>
        </w:tc>
      </w:tr>
      <w:tr w:rsidR="00BB6452" w:rsidRPr="0049400B" w:rsidTr="00CE5BCD">
        <w:trPr>
          <w:cantSplit/>
        </w:trPr>
        <w:tc>
          <w:tcPr>
            <w:tcW w:w="1302" w:type="pct"/>
            <w:shd w:val="clear" w:color="auto" w:fill="auto"/>
          </w:tcPr>
          <w:p w:rsidR="00BB6452" w:rsidRPr="0049400B" w:rsidRDefault="001E4BB9" w:rsidP="00517BDA">
            <w:pPr>
              <w:pStyle w:val="ENoteTableText"/>
              <w:keepNext/>
              <w:tabs>
                <w:tab w:val="center" w:leader="dot" w:pos="2268"/>
              </w:tabs>
            </w:pPr>
            <w:r w:rsidRPr="0049400B">
              <w:rPr>
                <w:b/>
                <w:szCs w:val="16"/>
              </w:rPr>
              <w:t>Subdivision 6</w:t>
            </w:r>
            <w:r w:rsidR="00BB6452" w:rsidRPr="0049400B">
              <w:rPr>
                <w:b/>
                <w:szCs w:val="16"/>
              </w:rPr>
              <w:t>0</w:t>
            </w:r>
            <w:r w:rsidR="0049400B">
              <w:rPr>
                <w:b/>
                <w:szCs w:val="16"/>
              </w:rPr>
              <w:noBreakHyphen/>
            </w:r>
            <w:r w:rsidR="00BB6452" w:rsidRPr="0049400B">
              <w:rPr>
                <w:b/>
                <w:szCs w:val="16"/>
              </w:rPr>
              <w:t>B</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60.5</w:t>
            </w:r>
            <w:r w:rsidRPr="0049400B">
              <w:rPr>
                <w:szCs w:val="16"/>
              </w:rPr>
              <w:tab/>
            </w:r>
          </w:p>
        </w:tc>
        <w:tc>
          <w:tcPr>
            <w:tcW w:w="3698" w:type="pct"/>
            <w:shd w:val="clear" w:color="auto" w:fill="auto"/>
          </w:tcPr>
          <w:p w:rsidR="00BB6452" w:rsidRPr="0049400B" w:rsidRDefault="00BB6452" w:rsidP="0049409A">
            <w:pPr>
              <w:pStyle w:val="ENoteTableText"/>
            </w:pPr>
            <w:r w:rsidRPr="0049400B">
              <w:rPr>
                <w:szCs w:val="16"/>
              </w:rPr>
              <w:t>ad No 124,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60.10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60.15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511449" w:rsidRPr="0049400B" w:rsidTr="00CE5BCD">
        <w:trPr>
          <w:cantSplit/>
        </w:trPr>
        <w:tc>
          <w:tcPr>
            <w:tcW w:w="1302" w:type="pct"/>
            <w:shd w:val="clear" w:color="auto" w:fill="auto"/>
          </w:tcPr>
          <w:p w:rsidR="00511449" w:rsidRPr="0049400B" w:rsidRDefault="001E4BB9" w:rsidP="0049409A">
            <w:pPr>
              <w:pStyle w:val="ENoteTableText"/>
              <w:tabs>
                <w:tab w:val="center" w:leader="dot" w:pos="2268"/>
              </w:tabs>
              <w:rPr>
                <w:b/>
                <w:szCs w:val="16"/>
              </w:rPr>
            </w:pPr>
            <w:r w:rsidRPr="0049400B">
              <w:rPr>
                <w:b/>
                <w:szCs w:val="16"/>
              </w:rPr>
              <w:t>Subdivision 6</w:t>
            </w:r>
            <w:r w:rsidR="00511449" w:rsidRPr="0049400B">
              <w:rPr>
                <w:b/>
                <w:szCs w:val="16"/>
              </w:rPr>
              <w:t>0</w:t>
            </w:r>
            <w:r w:rsidR="0049400B">
              <w:rPr>
                <w:b/>
                <w:szCs w:val="16"/>
              </w:rPr>
              <w:noBreakHyphen/>
            </w:r>
            <w:r w:rsidR="00511449" w:rsidRPr="0049400B">
              <w:rPr>
                <w:b/>
                <w:szCs w:val="16"/>
              </w:rPr>
              <w:t>BA</w:t>
            </w:r>
          </w:p>
        </w:tc>
        <w:tc>
          <w:tcPr>
            <w:tcW w:w="3698" w:type="pct"/>
            <w:shd w:val="clear" w:color="auto" w:fill="auto"/>
          </w:tcPr>
          <w:p w:rsidR="00511449" w:rsidRPr="0049400B" w:rsidRDefault="00511449" w:rsidP="0057159C">
            <w:pPr>
              <w:pStyle w:val="ENoteTableText"/>
              <w:rPr>
                <w:szCs w:val="16"/>
              </w:rPr>
            </w:pPr>
          </w:p>
        </w:tc>
      </w:tr>
      <w:tr w:rsidR="00511449" w:rsidRPr="0049400B" w:rsidTr="00CE5BCD">
        <w:trPr>
          <w:cantSplit/>
        </w:trPr>
        <w:tc>
          <w:tcPr>
            <w:tcW w:w="1302" w:type="pct"/>
            <w:shd w:val="clear" w:color="auto" w:fill="auto"/>
          </w:tcPr>
          <w:p w:rsidR="00511449" w:rsidRPr="0049400B" w:rsidRDefault="001E4BB9" w:rsidP="0049409A">
            <w:pPr>
              <w:pStyle w:val="ENoteTableText"/>
              <w:tabs>
                <w:tab w:val="center" w:leader="dot" w:pos="2268"/>
              </w:tabs>
              <w:rPr>
                <w:szCs w:val="16"/>
              </w:rPr>
            </w:pPr>
            <w:r w:rsidRPr="0049400B">
              <w:rPr>
                <w:szCs w:val="16"/>
              </w:rPr>
              <w:t>Subdivision 6</w:t>
            </w:r>
            <w:r w:rsidR="00511449" w:rsidRPr="0049400B">
              <w:rPr>
                <w:szCs w:val="16"/>
              </w:rPr>
              <w:t>0</w:t>
            </w:r>
            <w:r w:rsidR="0049400B">
              <w:rPr>
                <w:szCs w:val="16"/>
              </w:rPr>
              <w:noBreakHyphen/>
            </w:r>
            <w:r w:rsidR="00511449" w:rsidRPr="0049400B">
              <w:rPr>
                <w:szCs w:val="16"/>
              </w:rPr>
              <w:t>BA</w:t>
            </w:r>
            <w:r w:rsidR="00511449" w:rsidRPr="0049400B">
              <w:rPr>
                <w:szCs w:val="16"/>
              </w:rPr>
              <w:tab/>
            </w:r>
          </w:p>
        </w:tc>
        <w:tc>
          <w:tcPr>
            <w:tcW w:w="3698" w:type="pct"/>
            <w:shd w:val="clear" w:color="auto" w:fill="auto"/>
          </w:tcPr>
          <w:p w:rsidR="00511449" w:rsidRPr="0049400B" w:rsidRDefault="00511449" w:rsidP="0057159C">
            <w:pPr>
              <w:pStyle w:val="ENoteTableText"/>
              <w:rPr>
                <w:szCs w:val="16"/>
              </w:rPr>
            </w:pPr>
            <w:r w:rsidRPr="0049400B">
              <w:rPr>
                <w:szCs w:val="16"/>
              </w:rPr>
              <w:t>ad F2020L01610</w:t>
            </w:r>
          </w:p>
        </w:tc>
      </w:tr>
      <w:tr w:rsidR="00511449" w:rsidRPr="0049400B" w:rsidTr="00CE5BCD">
        <w:trPr>
          <w:cantSplit/>
        </w:trPr>
        <w:tc>
          <w:tcPr>
            <w:tcW w:w="1302" w:type="pct"/>
            <w:shd w:val="clear" w:color="auto" w:fill="auto"/>
          </w:tcPr>
          <w:p w:rsidR="00511449" w:rsidRPr="0049400B" w:rsidRDefault="00511449" w:rsidP="0049409A">
            <w:pPr>
              <w:pStyle w:val="ENoteTableText"/>
              <w:tabs>
                <w:tab w:val="center" w:leader="dot" w:pos="2268"/>
              </w:tabs>
              <w:rPr>
                <w:szCs w:val="16"/>
              </w:rPr>
            </w:pPr>
            <w:r w:rsidRPr="0049400B">
              <w:rPr>
                <w:szCs w:val="16"/>
              </w:rPr>
              <w:t>s 60.17</w:t>
            </w:r>
            <w:r w:rsidRPr="0049400B">
              <w:rPr>
                <w:szCs w:val="16"/>
              </w:rPr>
              <w:tab/>
            </w:r>
          </w:p>
        </w:tc>
        <w:tc>
          <w:tcPr>
            <w:tcW w:w="3698" w:type="pct"/>
            <w:shd w:val="clear" w:color="auto" w:fill="auto"/>
          </w:tcPr>
          <w:p w:rsidR="00511449" w:rsidRPr="0049400B" w:rsidRDefault="00511449" w:rsidP="0057159C">
            <w:pPr>
              <w:pStyle w:val="ENoteTableText"/>
              <w:rPr>
                <w:szCs w:val="16"/>
              </w:rPr>
            </w:pPr>
            <w:r w:rsidRPr="0049400B">
              <w:rPr>
                <w:szCs w:val="16"/>
              </w:rPr>
              <w:t>ad F2020L01610</w:t>
            </w:r>
          </w:p>
        </w:tc>
      </w:tr>
      <w:tr w:rsidR="00BB6452" w:rsidRPr="0049400B" w:rsidTr="00CE5BCD">
        <w:trPr>
          <w:cantSplit/>
        </w:trPr>
        <w:tc>
          <w:tcPr>
            <w:tcW w:w="1302" w:type="pct"/>
            <w:shd w:val="clear" w:color="auto" w:fill="auto"/>
          </w:tcPr>
          <w:p w:rsidR="00BB6452" w:rsidRPr="0049400B" w:rsidRDefault="001E4BB9" w:rsidP="0057159C">
            <w:pPr>
              <w:pStyle w:val="ENoteTableText"/>
              <w:tabs>
                <w:tab w:val="center" w:leader="dot" w:pos="2268"/>
              </w:tabs>
            </w:pPr>
            <w:r w:rsidRPr="0049400B">
              <w:rPr>
                <w:b/>
                <w:szCs w:val="16"/>
              </w:rPr>
              <w:t>Subdivision 6</w:t>
            </w:r>
            <w:r w:rsidR="00BB6452" w:rsidRPr="0049400B">
              <w:rPr>
                <w:b/>
                <w:szCs w:val="16"/>
              </w:rPr>
              <w:t>0</w:t>
            </w:r>
            <w:r w:rsidR="0049400B">
              <w:rPr>
                <w:b/>
                <w:szCs w:val="16"/>
              </w:rPr>
              <w:noBreakHyphen/>
            </w:r>
            <w:r w:rsidR="00BB6452" w:rsidRPr="0049400B">
              <w:rPr>
                <w:b/>
                <w:szCs w:val="16"/>
              </w:rPr>
              <w:t>C</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60.20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60.25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w:t>
            </w:r>
            <w:r w:rsidR="00517BDA" w:rsidRPr="0049400B">
              <w:rPr>
                <w:szCs w:val="16"/>
              </w:rPr>
              <w:t>.</w:t>
            </w:r>
            <w:r w:rsidRPr="0049400B">
              <w:rPr>
                <w:szCs w:val="16"/>
              </w:rPr>
              <w:t>30</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511449" w:rsidRPr="0049400B" w:rsidTr="00CE5BCD">
        <w:trPr>
          <w:cantSplit/>
        </w:trPr>
        <w:tc>
          <w:tcPr>
            <w:tcW w:w="1302" w:type="pct"/>
            <w:shd w:val="clear" w:color="auto" w:fill="auto"/>
          </w:tcPr>
          <w:p w:rsidR="00511449" w:rsidRPr="0049400B" w:rsidRDefault="00511449" w:rsidP="0049409A">
            <w:pPr>
              <w:pStyle w:val="ENoteTableText"/>
              <w:tabs>
                <w:tab w:val="center" w:leader="dot" w:pos="2268"/>
              </w:tabs>
              <w:rPr>
                <w:szCs w:val="16"/>
              </w:rPr>
            </w:pPr>
          </w:p>
        </w:tc>
        <w:tc>
          <w:tcPr>
            <w:tcW w:w="3698" w:type="pct"/>
            <w:shd w:val="clear" w:color="auto" w:fill="auto"/>
          </w:tcPr>
          <w:p w:rsidR="00511449" w:rsidRPr="0049400B" w:rsidRDefault="00511449" w:rsidP="0057159C">
            <w:pPr>
              <w:pStyle w:val="ENoteTableText"/>
              <w:rPr>
                <w:szCs w:val="16"/>
              </w:rPr>
            </w:pPr>
            <w:r w:rsidRPr="0049400B">
              <w:rPr>
                <w:szCs w:val="16"/>
              </w:rPr>
              <w:t>am F2020L01610</w:t>
            </w:r>
          </w:p>
        </w:tc>
      </w:tr>
      <w:tr w:rsidR="00BB6452" w:rsidRPr="0049400B" w:rsidTr="00CE5BCD">
        <w:trPr>
          <w:cantSplit/>
        </w:trPr>
        <w:tc>
          <w:tcPr>
            <w:tcW w:w="1302" w:type="pct"/>
            <w:shd w:val="clear" w:color="auto" w:fill="auto"/>
          </w:tcPr>
          <w:p w:rsidR="00BB6452" w:rsidRPr="0049400B" w:rsidRDefault="001E4BB9" w:rsidP="0057159C">
            <w:pPr>
              <w:pStyle w:val="ENoteTableText"/>
              <w:tabs>
                <w:tab w:val="center" w:leader="dot" w:pos="2268"/>
              </w:tabs>
            </w:pPr>
            <w:r w:rsidRPr="0049400B">
              <w:rPr>
                <w:b/>
                <w:szCs w:val="16"/>
              </w:rPr>
              <w:t>Subdivision 6</w:t>
            </w:r>
            <w:r w:rsidR="00BB6452" w:rsidRPr="0049400B">
              <w:rPr>
                <w:b/>
                <w:szCs w:val="16"/>
              </w:rPr>
              <w:t>0</w:t>
            </w:r>
            <w:r w:rsidR="0049400B">
              <w:rPr>
                <w:b/>
                <w:szCs w:val="16"/>
              </w:rPr>
              <w:noBreakHyphen/>
            </w:r>
            <w:r w:rsidR="00BB6452" w:rsidRPr="0049400B">
              <w:rPr>
                <w:b/>
                <w:szCs w:val="16"/>
              </w:rPr>
              <w:t>D</w:t>
            </w:r>
          </w:p>
        </w:tc>
        <w:tc>
          <w:tcPr>
            <w:tcW w:w="3698" w:type="pct"/>
            <w:shd w:val="clear" w:color="auto" w:fill="auto"/>
          </w:tcPr>
          <w:p w:rsidR="00BB6452" w:rsidRPr="0049400B" w:rsidRDefault="00BB6452" w:rsidP="0057159C">
            <w:pPr>
              <w:pStyle w:val="ENoteTableText"/>
            </w:pPr>
          </w:p>
        </w:tc>
      </w:tr>
      <w:tr w:rsidR="00BB6452" w:rsidRPr="0049400B" w:rsidTr="00CE5BCD">
        <w:trPr>
          <w:cantSplit/>
        </w:trPr>
        <w:tc>
          <w:tcPr>
            <w:tcW w:w="1302" w:type="pct"/>
            <w:shd w:val="clear" w:color="auto" w:fill="auto"/>
          </w:tcPr>
          <w:p w:rsidR="00BB6452" w:rsidRPr="0049400B" w:rsidRDefault="00BB6452" w:rsidP="0049409A">
            <w:pPr>
              <w:pStyle w:val="ENoteTableText"/>
              <w:tabs>
                <w:tab w:val="center" w:leader="dot" w:pos="2268"/>
              </w:tabs>
            </w:pPr>
            <w:r w:rsidRPr="0049400B">
              <w:rPr>
                <w:szCs w:val="16"/>
              </w:rPr>
              <w:t>s 60.35</w:t>
            </w:r>
            <w:r w:rsidRPr="0049400B">
              <w:rPr>
                <w:szCs w:val="16"/>
              </w:rPr>
              <w:tab/>
            </w:r>
          </w:p>
        </w:tc>
        <w:tc>
          <w:tcPr>
            <w:tcW w:w="3698" w:type="pct"/>
            <w:shd w:val="clear" w:color="auto" w:fill="auto"/>
          </w:tcPr>
          <w:p w:rsidR="00BB6452" w:rsidRPr="0049400B" w:rsidRDefault="0049409A" w:rsidP="0057159C">
            <w:pPr>
              <w:pStyle w:val="ENoteTableText"/>
            </w:pPr>
            <w:r w:rsidRPr="0049400B">
              <w:rPr>
                <w:szCs w:val="16"/>
              </w:rPr>
              <w:t>ad No 124, 2013</w:t>
            </w:r>
          </w:p>
        </w:tc>
      </w:tr>
      <w:tr w:rsidR="00BB6452" w:rsidRPr="0049400B" w:rsidTr="00CE5BCD">
        <w:trPr>
          <w:cantSplit/>
        </w:trPr>
        <w:tc>
          <w:tcPr>
            <w:tcW w:w="1302" w:type="pct"/>
            <w:tcBorders>
              <w:bottom w:val="single" w:sz="12" w:space="0" w:color="auto"/>
            </w:tcBorders>
            <w:shd w:val="clear" w:color="auto" w:fill="auto"/>
          </w:tcPr>
          <w:p w:rsidR="00BB6452" w:rsidRPr="0049400B" w:rsidRDefault="00BB6452" w:rsidP="0049409A">
            <w:pPr>
              <w:pStyle w:val="ENoteTableText"/>
              <w:tabs>
                <w:tab w:val="center" w:leader="dot" w:pos="2268"/>
              </w:tabs>
            </w:pPr>
            <w:r w:rsidRPr="0049400B">
              <w:rPr>
                <w:szCs w:val="16"/>
              </w:rPr>
              <w:t>s 60</w:t>
            </w:r>
            <w:r w:rsidR="00517BDA" w:rsidRPr="0049400B">
              <w:rPr>
                <w:szCs w:val="16"/>
              </w:rPr>
              <w:t>.</w:t>
            </w:r>
            <w:r w:rsidRPr="0049400B">
              <w:rPr>
                <w:szCs w:val="16"/>
              </w:rPr>
              <w:t>40</w:t>
            </w:r>
            <w:r w:rsidRPr="0049400B">
              <w:rPr>
                <w:szCs w:val="16"/>
              </w:rPr>
              <w:tab/>
            </w:r>
          </w:p>
        </w:tc>
        <w:tc>
          <w:tcPr>
            <w:tcW w:w="3698" w:type="pct"/>
            <w:tcBorders>
              <w:bottom w:val="single" w:sz="12" w:space="0" w:color="auto"/>
            </w:tcBorders>
            <w:shd w:val="clear" w:color="auto" w:fill="auto"/>
          </w:tcPr>
          <w:p w:rsidR="00BB6452" w:rsidRPr="0049400B" w:rsidRDefault="0049409A" w:rsidP="0057159C">
            <w:pPr>
              <w:pStyle w:val="ENoteTableText"/>
            </w:pPr>
            <w:r w:rsidRPr="0049400B">
              <w:rPr>
                <w:szCs w:val="16"/>
              </w:rPr>
              <w:t>ad No 124, 2013</w:t>
            </w:r>
          </w:p>
        </w:tc>
      </w:tr>
    </w:tbl>
    <w:p w:rsidR="002B3833" w:rsidRPr="0049400B" w:rsidRDefault="002B3833" w:rsidP="00E95887">
      <w:pPr>
        <w:pStyle w:val="Tabletext"/>
      </w:pPr>
    </w:p>
    <w:p w:rsidR="002B3833" w:rsidRPr="0049400B" w:rsidRDefault="002B3833" w:rsidP="00E95887">
      <w:pPr>
        <w:sectPr w:rsidR="002B3833" w:rsidRPr="0049400B" w:rsidSect="000308A2">
          <w:headerReference w:type="even" r:id="rId26"/>
          <w:headerReference w:type="default" r:id="rId27"/>
          <w:footerReference w:type="even" r:id="rId28"/>
          <w:footerReference w:type="default" r:id="rId29"/>
          <w:pgSz w:w="11907" w:h="16839"/>
          <w:pgMar w:top="2325" w:right="1797" w:bottom="1440" w:left="1797" w:header="720" w:footer="709" w:gutter="0"/>
          <w:cols w:space="708"/>
          <w:docGrid w:linePitch="360"/>
        </w:sectPr>
      </w:pPr>
    </w:p>
    <w:p w:rsidR="00A31F38" w:rsidRPr="0049400B" w:rsidRDefault="00A31F38" w:rsidP="0057159C"/>
    <w:sectPr w:rsidR="00A31F38" w:rsidRPr="0049400B" w:rsidSect="000308A2">
      <w:headerReference w:type="even" r:id="rId30"/>
      <w:headerReference w:type="default" r:id="rId31"/>
      <w:footerReference w:type="even" r:id="rId32"/>
      <w:footerReference w:type="default" r:id="rId33"/>
      <w:type w:val="continuous"/>
      <w:pgSz w:w="11907" w:h="16839" w:code="9"/>
      <w:pgMar w:top="2325" w:right="1797" w:bottom="1440" w:left="1797" w:header="720"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00B" w:rsidRDefault="0049400B">
      <w:r>
        <w:separator/>
      </w:r>
    </w:p>
  </w:endnote>
  <w:endnote w:type="continuationSeparator" w:id="0">
    <w:p w:rsidR="0049400B" w:rsidRDefault="0049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i/>
              <w:sz w:val="16"/>
              <w:szCs w:val="16"/>
            </w:rPr>
          </w:pP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r>
    <w:tr w:rsidR="0049400B" w:rsidRPr="00130F37" w:rsidTr="00CE5BCD">
      <w:tc>
        <w:tcPr>
          <w:tcW w:w="1499" w:type="pct"/>
          <w:gridSpan w:val="2"/>
        </w:tcPr>
        <w:p w:rsidR="0049400B" w:rsidRPr="00130F37" w:rsidRDefault="0049400B" w:rsidP="005715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047D">
            <w:rPr>
              <w:sz w:val="16"/>
              <w:szCs w:val="16"/>
            </w:rPr>
            <w:t>8</w:t>
          </w:r>
          <w:r w:rsidRPr="00130F37">
            <w:rPr>
              <w:sz w:val="16"/>
              <w:szCs w:val="16"/>
            </w:rPr>
            <w:fldChar w:fldCharType="end"/>
          </w:r>
        </w:p>
      </w:tc>
      <w:tc>
        <w:tcPr>
          <w:tcW w:w="1999" w:type="pct"/>
        </w:tcPr>
        <w:p w:rsidR="0049400B" w:rsidRPr="00130F37" w:rsidRDefault="0049400B" w:rsidP="0057159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9047D">
            <w:rPr>
              <w:sz w:val="16"/>
              <w:szCs w:val="16"/>
            </w:rPr>
            <w:t>30/07/2021</w:t>
          </w:r>
          <w:r w:rsidRPr="00130F37">
            <w:rPr>
              <w:sz w:val="16"/>
              <w:szCs w:val="16"/>
            </w:rPr>
            <w:fldChar w:fldCharType="end"/>
          </w:r>
        </w:p>
      </w:tc>
      <w:tc>
        <w:tcPr>
          <w:tcW w:w="1501" w:type="pct"/>
          <w:gridSpan w:val="2"/>
        </w:tcPr>
        <w:p w:rsidR="0049400B" w:rsidRPr="00130F37" w:rsidRDefault="0049400B" w:rsidP="005715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047D">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9047D">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047D">
            <w:rPr>
              <w:noProof/>
              <w:sz w:val="16"/>
              <w:szCs w:val="16"/>
            </w:rPr>
            <w:t>07/09/2021</w:t>
          </w:r>
          <w:r w:rsidRPr="00130F37">
            <w:rPr>
              <w:sz w:val="16"/>
              <w:szCs w:val="16"/>
            </w:rPr>
            <w:fldChar w:fldCharType="end"/>
          </w:r>
        </w:p>
      </w:tc>
    </w:tr>
  </w:tbl>
  <w:p w:rsidR="0049400B" w:rsidRPr="00BB6452" w:rsidRDefault="0049400B" w:rsidP="00BB645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2B0EA5" w:rsidRDefault="0049400B" w:rsidP="0057159C">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49400B" w:rsidTr="00CE5BCD">
      <w:tc>
        <w:tcPr>
          <w:tcW w:w="365" w:type="pct"/>
        </w:tcPr>
        <w:p w:rsidR="0049400B" w:rsidRDefault="0049400B" w:rsidP="005715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30</w:t>
          </w:r>
          <w:r w:rsidRPr="00ED79B6">
            <w:rPr>
              <w:i/>
              <w:sz w:val="18"/>
            </w:rPr>
            <w:fldChar w:fldCharType="end"/>
          </w:r>
        </w:p>
      </w:tc>
      <w:tc>
        <w:tcPr>
          <w:tcW w:w="3688" w:type="pct"/>
        </w:tcPr>
        <w:p w:rsidR="0049400B" w:rsidRDefault="0049400B" w:rsidP="005715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9047D">
            <w:rPr>
              <w:i/>
              <w:sz w:val="18"/>
            </w:rPr>
            <w:t>Australian Charities and Not-for-profits Commission Regulation 2013</w:t>
          </w:r>
          <w:r w:rsidRPr="007A1328">
            <w:rPr>
              <w:i/>
              <w:sz w:val="18"/>
            </w:rPr>
            <w:fldChar w:fldCharType="end"/>
          </w:r>
        </w:p>
      </w:tc>
      <w:tc>
        <w:tcPr>
          <w:tcW w:w="947" w:type="pct"/>
        </w:tcPr>
        <w:p w:rsidR="0049400B" w:rsidRDefault="0049400B" w:rsidP="0057159C">
          <w:pPr>
            <w:spacing w:line="0" w:lineRule="atLeast"/>
            <w:jc w:val="right"/>
            <w:rPr>
              <w:sz w:val="18"/>
            </w:rPr>
          </w:pPr>
        </w:p>
      </w:tc>
    </w:tr>
  </w:tbl>
  <w:p w:rsidR="0049400B" w:rsidRPr="00ED79B6" w:rsidRDefault="0049400B" w:rsidP="0057159C">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2B0EA5" w:rsidRDefault="0049400B" w:rsidP="0057159C">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49400B" w:rsidTr="00CE5BCD">
      <w:tc>
        <w:tcPr>
          <w:tcW w:w="947" w:type="pct"/>
        </w:tcPr>
        <w:p w:rsidR="0049400B" w:rsidRDefault="0049400B" w:rsidP="0057159C">
          <w:pPr>
            <w:spacing w:line="0" w:lineRule="atLeast"/>
            <w:rPr>
              <w:sz w:val="18"/>
            </w:rPr>
          </w:pPr>
        </w:p>
      </w:tc>
      <w:tc>
        <w:tcPr>
          <w:tcW w:w="3688" w:type="pct"/>
        </w:tcPr>
        <w:p w:rsidR="0049400B" w:rsidRDefault="0049400B" w:rsidP="005715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9047D">
            <w:rPr>
              <w:i/>
              <w:sz w:val="18"/>
            </w:rPr>
            <w:t>Australian Charities and Not-for-profits Commission Regulation 2013</w:t>
          </w:r>
          <w:r w:rsidRPr="007A1328">
            <w:rPr>
              <w:i/>
              <w:sz w:val="18"/>
            </w:rPr>
            <w:fldChar w:fldCharType="end"/>
          </w:r>
        </w:p>
      </w:tc>
      <w:tc>
        <w:tcPr>
          <w:tcW w:w="365" w:type="pct"/>
        </w:tcPr>
        <w:p w:rsidR="0049400B" w:rsidRDefault="0049400B" w:rsidP="005715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30</w:t>
          </w:r>
          <w:r w:rsidRPr="00ED79B6">
            <w:rPr>
              <w:i/>
              <w:sz w:val="18"/>
            </w:rPr>
            <w:fldChar w:fldCharType="end"/>
          </w:r>
        </w:p>
      </w:tc>
    </w:tr>
  </w:tbl>
  <w:p w:rsidR="0049400B" w:rsidRPr="00ED79B6" w:rsidRDefault="0049400B" w:rsidP="0057159C">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rsidP="0057159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ED79B6" w:rsidRDefault="0049400B" w:rsidP="005715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p>
      </w:tc>
    </w:tr>
    <w:tr w:rsidR="0049400B" w:rsidRPr="0055472E" w:rsidTr="00CE5BCD">
      <w:tc>
        <w:tcPr>
          <w:tcW w:w="1499" w:type="pct"/>
          <w:gridSpan w:val="2"/>
        </w:tcPr>
        <w:p w:rsidR="0049400B" w:rsidRPr="0055472E" w:rsidRDefault="0049400B" w:rsidP="005715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047D">
            <w:rPr>
              <w:sz w:val="16"/>
              <w:szCs w:val="16"/>
            </w:rPr>
            <w:t>8</w:t>
          </w:r>
          <w:r w:rsidRPr="0055472E">
            <w:rPr>
              <w:sz w:val="16"/>
              <w:szCs w:val="16"/>
            </w:rPr>
            <w:fldChar w:fldCharType="end"/>
          </w:r>
        </w:p>
      </w:tc>
      <w:tc>
        <w:tcPr>
          <w:tcW w:w="1999" w:type="pct"/>
        </w:tcPr>
        <w:p w:rsidR="0049400B" w:rsidRPr="0055472E" w:rsidRDefault="0049400B" w:rsidP="0057159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9047D">
            <w:rPr>
              <w:sz w:val="16"/>
              <w:szCs w:val="16"/>
            </w:rPr>
            <w:t>30 July 2021</w:t>
          </w:r>
          <w:r w:rsidRPr="0055472E">
            <w:rPr>
              <w:sz w:val="16"/>
              <w:szCs w:val="16"/>
            </w:rPr>
            <w:fldChar w:fldCharType="end"/>
          </w:r>
        </w:p>
      </w:tc>
      <w:tc>
        <w:tcPr>
          <w:tcW w:w="1501" w:type="pct"/>
          <w:gridSpan w:val="2"/>
        </w:tcPr>
        <w:p w:rsidR="0049400B" w:rsidRPr="0055472E" w:rsidRDefault="0049400B" w:rsidP="005715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047D">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9047D">
            <w:rPr>
              <w:sz w:val="16"/>
              <w:szCs w:val="16"/>
            </w:rPr>
            <w:instrText>7 September 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047D">
            <w:rPr>
              <w:noProof/>
              <w:sz w:val="16"/>
              <w:szCs w:val="16"/>
            </w:rPr>
            <w:t>7 September 2021</w:t>
          </w:r>
          <w:r w:rsidRPr="0055472E">
            <w:rPr>
              <w:sz w:val="16"/>
              <w:szCs w:val="16"/>
            </w:rPr>
            <w:fldChar w:fldCharType="end"/>
          </w:r>
        </w:p>
      </w:tc>
    </w:tr>
  </w:tbl>
  <w:p w:rsidR="0049400B" w:rsidRPr="00BB6452" w:rsidRDefault="0049400B" w:rsidP="00BB64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i/>
              <w:sz w:val="16"/>
              <w:szCs w:val="16"/>
            </w:rPr>
          </w:pP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9400B" w:rsidRPr="00130F37" w:rsidTr="00CE5BCD">
      <w:tc>
        <w:tcPr>
          <w:tcW w:w="1499" w:type="pct"/>
          <w:gridSpan w:val="2"/>
        </w:tcPr>
        <w:p w:rsidR="0049400B" w:rsidRPr="00130F37" w:rsidRDefault="0049400B" w:rsidP="005715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047D">
            <w:rPr>
              <w:sz w:val="16"/>
              <w:szCs w:val="16"/>
            </w:rPr>
            <w:t>8</w:t>
          </w:r>
          <w:r w:rsidRPr="00130F37">
            <w:rPr>
              <w:sz w:val="16"/>
              <w:szCs w:val="16"/>
            </w:rPr>
            <w:fldChar w:fldCharType="end"/>
          </w:r>
        </w:p>
      </w:tc>
      <w:tc>
        <w:tcPr>
          <w:tcW w:w="1999" w:type="pct"/>
        </w:tcPr>
        <w:p w:rsidR="0049400B" w:rsidRPr="00130F37" w:rsidRDefault="0049400B" w:rsidP="00352EF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9047D">
            <w:rPr>
              <w:sz w:val="16"/>
              <w:szCs w:val="16"/>
            </w:rPr>
            <w:t>30/07/2021</w:t>
          </w:r>
          <w:r w:rsidRPr="00130F37">
            <w:rPr>
              <w:sz w:val="16"/>
              <w:szCs w:val="16"/>
            </w:rPr>
            <w:fldChar w:fldCharType="end"/>
          </w:r>
        </w:p>
      </w:tc>
      <w:tc>
        <w:tcPr>
          <w:tcW w:w="1501" w:type="pct"/>
          <w:gridSpan w:val="2"/>
        </w:tcPr>
        <w:p w:rsidR="0049400B" w:rsidRPr="00130F37" w:rsidRDefault="0049400B" w:rsidP="00352E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047D">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9047D">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047D">
            <w:rPr>
              <w:noProof/>
              <w:sz w:val="16"/>
              <w:szCs w:val="16"/>
            </w:rPr>
            <w:t>07/09/2021</w:t>
          </w:r>
          <w:r w:rsidRPr="00130F37">
            <w:rPr>
              <w:sz w:val="16"/>
              <w:szCs w:val="16"/>
            </w:rPr>
            <w:fldChar w:fldCharType="end"/>
          </w:r>
        </w:p>
      </w:tc>
    </w:tr>
  </w:tbl>
  <w:p w:rsidR="0049400B" w:rsidRPr="00BB6452" w:rsidRDefault="0049400B" w:rsidP="00BB64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p>
      </w:tc>
    </w:tr>
    <w:tr w:rsidR="0049400B" w:rsidRPr="0055472E" w:rsidTr="00CE5BCD">
      <w:tc>
        <w:tcPr>
          <w:tcW w:w="1499" w:type="pct"/>
          <w:gridSpan w:val="2"/>
        </w:tcPr>
        <w:p w:rsidR="0049400B" w:rsidRPr="0055472E" w:rsidRDefault="0049400B" w:rsidP="005715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047D">
            <w:rPr>
              <w:sz w:val="16"/>
              <w:szCs w:val="16"/>
            </w:rPr>
            <w:t>8</w:t>
          </w:r>
          <w:r w:rsidRPr="0055472E">
            <w:rPr>
              <w:sz w:val="16"/>
              <w:szCs w:val="16"/>
            </w:rPr>
            <w:fldChar w:fldCharType="end"/>
          </w:r>
        </w:p>
      </w:tc>
      <w:tc>
        <w:tcPr>
          <w:tcW w:w="1999" w:type="pct"/>
        </w:tcPr>
        <w:p w:rsidR="0049400B" w:rsidRPr="0055472E" w:rsidRDefault="0049400B" w:rsidP="0057159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9047D">
            <w:rPr>
              <w:sz w:val="16"/>
              <w:szCs w:val="16"/>
            </w:rPr>
            <w:t>30 July 2021</w:t>
          </w:r>
          <w:r w:rsidRPr="0055472E">
            <w:rPr>
              <w:sz w:val="16"/>
              <w:szCs w:val="16"/>
            </w:rPr>
            <w:fldChar w:fldCharType="end"/>
          </w:r>
        </w:p>
      </w:tc>
      <w:tc>
        <w:tcPr>
          <w:tcW w:w="1501" w:type="pct"/>
          <w:gridSpan w:val="2"/>
        </w:tcPr>
        <w:p w:rsidR="0049400B" w:rsidRPr="0055472E" w:rsidRDefault="0049400B" w:rsidP="005715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047D">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9047D">
            <w:rPr>
              <w:sz w:val="16"/>
              <w:szCs w:val="16"/>
            </w:rPr>
            <w:instrText>7 September 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047D">
            <w:rPr>
              <w:noProof/>
              <w:sz w:val="16"/>
              <w:szCs w:val="16"/>
            </w:rPr>
            <w:t>7 September 2021</w:t>
          </w:r>
          <w:r w:rsidRPr="0055472E">
            <w:rPr>
              <w:sz w:val="16"/>
              <w:szCs w:val="16"/>
            </w:rPr>
            <w:fldChar w:fldCharType="end"/>
          </w:r>
        </w:p>
      </w:tc>
    </w:tr>
  </w:tbl>
  <w:p w:rsidR="0049400B" w:rsidRPr="00BB6452" w:rsidRDefault="0049400B" w:rsidP="00BB64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i/>
              <w:sz w:val="16"/>
              <w:szCs w:val="16"/>
            </w:rPr>
          </w:pP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9400B" w:rsidRPr="00130F37" w:rsidTr="00CE5BCD">
      <w:tc>
        <w:tcPr>
          <w:tcW w:w="1499" w:type="pct"/>
          <w:gridSpan w:val="2"/>
        </w:tcPr>
        <w:p w:rsidR="0049400B" w:rsidRPr="00130F37" w:rsidRDefault="0049400B" w:rsidP="0057159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9047D">
            <w:rPr>
              <w:sz w:val="16"/>
              <w:szCs w:val="16"/>
            </w:rPr>
            <w:t>8</w:t>
          </w:r>
          <w:r w:rsidRPr="00130F37">
            <w:rPr>
              <w:sz w:val="16"/>
              <w:szCs w:val="16"/>
            </w:rPr>
            <w:fldChar w:fldCharType="end"/>
          </w:r>
        </w:p>
      </w:tc>
      <w:tc>
        <w:tcPr>
          <w:tcW w:w="1999" w:type="pct"/>
        </w:tcPr>
        <w:p w:rsidR="0049400B" w:rsidRPr="00130F37" w:rsidRDefault="0049400B" w:rsidP="0057159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9047D">
            <w:rPr>
              <w:sz w:val="16"/>
              <w:szCs w:val="16"/>
            </w:rPr>
            <w:t>30/07/2021</w:t>
          </w:r>
          <w:r w:rsidRPr="00130F37">
            <w:rPr>
              <w:sz w:val="16"/>
              <w:szCs w:val="16"/>
            </w:rPr>
            <w:fldChar w:fldCharType="end"/>
          </w:r>
        </w:p>
      </w:tc>
      <w:tc>
        <w:tcPr>
          <w:tcW w:w="1501" w:type="pct"/>
          <w:gridSpan w:val="2"/>
        </w:tcPr>
        <w:p w:rsidR="0049400B" w:rsidRPr="00130F37" w:rsidRDefault="0049400B" w:rsidP="0057159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9047D">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9047D">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9047D">
            <w:rPr>
              <w:noProof/>
              <w:sz w:val="16"/>
              <w:szCs w:val="16"/>
            </w:rPr>
            <w:t>07/09/2021</w:t>
          </w:r>
          <w:r w:rsidRPr="00130F37">
            <w:rPr>
              <w:sz w:val="16"/>
              <w:szCs w:val="16"/>
            </w:rPr>
            <w:fldChar w:fldCharType="end"/>
          </w:r>
        </w:p>
      </w:tc>
    </w:tr>
  </w:tbl>
  <w:p w:rsidR="0049400B" w:rsidRPr="00BB6452" w:rsidRDefault="0049400B" w:rsidP="00BB64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B3B51" w:rsidRDefault="0049400B" w:rsidP="0057159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9400B" w:rsidRPr="007B3B51" w:rsidTr="00CE5BCD">
      <w:tc>
        <w:tcPr>
          <w:tcW w:w="854" w:type="pct"/>
        </w:tcPr>
        <w:p w:rsidR="0049400B" w:rsidRPr="007B3B51" w:rsidRDefault="0049400B" w:rsidP="0057159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w:t>
          </w:r>
          <w:r w:rsidRPr="007B3B51">
            <w:rPr>
              <w:i/>
              <w:sz w:val="16"/>
              <w:szCs w:val="16"/>
            </w:rPr>
            <w:fldChar w:fldCharType="end"/>
          </w:r>
        </w:p>
      </w:tc>
      <w:tc>
        <w:tcPr>
          <w:tcW w:w="3688" w:type="pct"/>
          <w:gridSpan w:val="3"/>
        </w:tcPr>
        <w:p w:rsidR="0049400B" w:rsidRPr="007B3B51" w:rsidRDefault="0049400B" w:rsidP="0057159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8A2">
            <w:rPr>
              <w:i/>
              <w:noProof/>
              <w:sz w:val="16"/>
              <w:szCs w:val="16"/>
            </w:rPr>
            <w:t>Australian Charities and Not-for-profits Commission Regulation 2013</w:t>
          </w:r>
          <w:r w:rsidRPr="007B3B51">
            <w:rPr>
              <w:i/>
              <w:sz w:val="16"/>
              <w:szCs w:val="16"/>
            </w:rPr>
            <w:fldChar w:fldCharType="end"/>
          </w:r>
        </w:p>
      </w:tc>
      <w:tc>
        <w:tcPr>
          <w:tcW w:w="458" w:type="pct"/>
        </w:tcPr>
        <w:p w:rsidR="0049400B" w:rsidRPr="007B3B51" w:rsidRDefault="0049400B" w:rsidP="0057159C">
          <w:pPr>
            <w:jc w:val="right"/>
            <w:rPr>
              <w:sz w:val="16"/>
              <w:szCs w:val="16"/>
            </w:rPr>
          </w:pPr>
        </w:p>
      </w:tc>
    </w:tr>
    <w:tr w:rsidR="0049400B" w:rsidRPr="0055472E" w:rsidTr="00CE5BCD">
      <w:tc>
        <w:tcPr>
          <w:tcW w:w="1499" w:type="pct"/>
          <w:gridSpan w:val="2"/>
        </w:tcPr>
        <w:p w:rsidR="0049400B" w:rsidRPr="0055472E" w:rsidRDefault="0049400B" w:rsidP="0057159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9047D">
            <w:rPr>
              <w:sz w:val="16"/>
              <w:szCs w:val="16"/>
            </w:rPr>
            <w:t>8</w:t>
          </w:r>
          <w:r w:rsidRPr="0055472E">
            <w:rPr>
              <w:sz w:val="16"/>
              <w:szCs w:val="16"/>
            </w:rPr>
            <w:fldChar w:fldCharType="end"/>
          </w:r>
        </w:p>
      </w:tc>
      <w:tc>
        <w:tcPr>
          <w:tcW w:w="1999" w:type="pct"/>
        </w:tcPr>
        <w:p w:rsidR="0049400B" w:rsidRPr="0055472E" w:rsidRDefault="0049400B" w:rsidP="0057159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9047D">
            <w:rPr>
              <w:sz w:val="16"/>
              <w:szCs w:val="16"/>
            </w:rPr>
            <w:t>30/07/2021</w:t>
          </w:r>
          <w:r w:rsidRPr="0055472E">
            <w:rPr>
              <w:sz w:val="16"/>
              <w:szCs w:val="16"/>
            </w:rPr>
            <w:fldChar w:fldCharType="end"/>
          </w:r>
        </w:p>
      </w:tc>
      <w:tc>
        <w:tcPr>
          <w:tcW w:w="1501" w:type="pct"/>
          <w:gridSpan w:val="2"/>
        </w:tcPr>
        <w:p w:rsidR="0049400B" w:rsidRPr="0055472E" w:rsidRDefault="0049400B" w:rsidP="0057159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9047D">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9047D">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9047D">
            <w:rPr>
              <w:noProof/>
              <w:sz w:val="16"/>
              <w:szCs w:val="16"/>
            </w:rPr>
            <w:t>07/09/2021</w:t>
          </w:r>
          <w:r w:rsidRPr="0055472E">
            <w:rPr>
              <w:sz w:val="16"/>
              <w:szCs w:val="16"/>
            </w:rPr>
            <w:fldChar w:fldCharType="end"/>
          </w:r>
        </w:p>
      </w:tc>
    </w:tr>
  </w:tbl>
  <w:p w:rsidR="0049400B" w:rsidRPr="00BB6452" w:rsidRDefault="0049400B" w:rsidP="00BB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00B" w:rsidRDefault="0049400B">
      <w:r>
        <w:separator/>
      </w:r>
    </w:p>
  </w:footnote>
  <w:footnote w:type="continuationSeparator" w:id="0">
    <w:p w:rsidR="0049400B" w:rsidRDefault="0049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rsidP="0057159C">
    <w:pPr>
      <w:pStyle w:val="Header"/>
      <w:pBdr>
        <w:bottom w:val="single" w:sz="6" w:space="1" w:color="auto"/>
      </w:pBdr>
    </w:pPr>
  </w:p>
  <w:p w:rsidR="0049400B" w:rsidRDefault="0049400B" w:rsidP="0057159C">
    <w:pPr>
      <w:pStyle w:val="Header"/>
      <w:pBdr>
        <w:bottom w:val="single" w:sz="6" w:space="1" w:color="auto"/>
      </w:pBdr>
    </w:pPr>
  </w:p>
  <w:p w:rsidR="0049400B" w:rsidRPr="001E77D2" w:rsidRDefault="0049400B" w:rsidP="0057159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BE5CD2" w:rsidRDefault="0049400B" w:rsidP="00E95887">
    <w:pPr>
      <w:jc w:val="right"/>
      <w:rPr>
        <w:sz w:val="26"/>
        <w:szCs w:val="26"/>
      </w:rPr>
    </w:pPr>
  </w:p>
  <w:p w:rsidR="0049400B" w:rsidRPr="0020230A" w:rsidRDefault="0049400B" w:rsidP="00E95887">
    <w:pPr>
      <w:jc w:val="right"/>
      <w:rPr>
        <w:b/>
        <w:sz w:val="20"/>
      </w:rPr>
    </w:pPr>
    <w:r w:rsidRPr="0020230A">
      <w:rPr>
        <w:b/>
        <w:sz w:val="20"/>
      </w:rPr>
      <w:t>Endnotes</w:t>
    </w:r>
  </w:p>
  <w:p w:rsidR="0049400B" w:rsidRPr="007A1328" w:rsidRDefault="0049400B" w:rsidP="00E95887">
    <w:pPr>
      <w:jc w:val="right"/>
      <w:rPr>
        <w:sz w:val="20"/>
      </w:rPr>
    </w:pPr>
  </w:p>
  <w:p w:rsidR="0049400B" w:rsidRPr="007A1328" w:rsidRDefault="0049400B" w:rsidP="00E95887">
    <w:pPr>
      <w:jc w:val="right"/>
      <w:rPr>
        <w:b/>
        <w:sz w:val="24"/>
      </w:rPr>
    </w:pPr>
  </w:p>
  <w:p w:rsidR="0049400B" w:rsidRPr="00BE5CD2" w:rsidRDefault="0049400B" w:rsidP="00E9588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308A2">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BE5CD2" w:rsidRDefault="0049400B" w:rsidP="0057159C">
    <w:pPr>
      <w:rPr>
        <w:sz w:val="26"/>
        <w:szCs w:val="26"/>
      </w:rPr>
    </w:pPr>
  </w:p>
  <w:p w:rsidR="0049400B" w:rsidRPr="0020230A" w:rsidRDefault="0049400B" w:rsidP="0057159C">
    <w:pPr>
      <w:rPr>
        <w:b/>
        <w:sz w:val="20"/>
      </w:rPr>
    </w:pPr>
    <w:r w:rsidRPr="0020230A">
      <w:rPr>
        <w:b/>
        <w:sz w:val="20"/>
      </w:rPr>
      <w:t>Endnotes</w:t>
    </w:r>
  </w:p>
  <w:p w:rsidR="0049400B" w:rsidRPr="007A1328" w:rsidRDefault="0049400B" w:rsidP="0057159C">
    <w:pPr>
      <w:rPr>
        <w:sz w:val="20"/>
      </w:rPr>
    </w:pPr>
  </w:p>
  <w:p w:rsidR="0049400B" w:rsidRPr="007A1328" w:rsidRDefault="0049400B" w:rsidP="0057159C">
    <w:pPr>
      <w:rPr>
        <w:b/>
        <w:sz w:val="24"/>
      </w:rPr>
    </w:pPr>
  </w:p>
  <w:p w:rsidR="0049400B" w:rsidRPr="00BE5CD2" w:rsidRDefault="0049400B" w:rsidP="0057159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9047D">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BE5CD2" w:rsidRDefault="0049400B" w:rsidP="0057159C">
    <w:pPr>
      <w:jc w:val="right"/>
      <w:rPr>
        <w:sz w:val="26"/>
        <w:szCs w:val="26"/>
      </w:rPr>
    </w:pPr>
  </w:p>
  <w:p w:rsidR="0049400B" w:rsidRPr="0020230A" w:rsidRDefault="0049400B" w:rsidP="0057159C">
    <w:pPr>
      <w:jc w:val="right"/>
      <w:rPr>
        <w:b/>
        <w:sz w:val="20"/>
      </w:rPr>
    </w:pPr>
    <w:r w:rsidRPr="0020230A">
      <w:rPr>
        <w:b/>
        <w:sz w:val="20"/>
      </w:rPr>
      <w:t>Endnotes</w:t>
    </w:r>
  </w:p>
  <w:p w:rsidR="0049400B" w:rsidRPr="007A1328" w:rsidRDefault="0049400B" w:rsidP="0057159C">
    <w:pPr>
      <w:jc w:val="right"/>
      <w:rPr>
        <w:sz w:val="20"/>
      </w:rPr>
    </w:pPr>
  </w:p>
  <w:p w:rsidR="0049400B" w:rsidRPr="007A1328" w:rsidRDefault="0049400B" w:rsidP="0057159C">
    <w:pPr>
      <w:jc w:val="right"/>
      <w:rPr>
        <w:b/>
        <w:sz w:val="24"/>
      </w:rPr>
    </w:pPr>
  </w:p>
  <w:p w:rsidR="0049400B" w:rsidRPr="00BE5CD2" w:rsidRDefault="0049400B" w:rsidP="0057159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9047D">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rsidP="0057159C">
    <w:pPr>
      <w:pStyle w:val="Header"/>
      <w:pBdr>
        <w:bottom w:val="single" w:sz="4" w:space="1" w:color="auto"/>
      </w:pBdr>
    </w:pPr>
  </w:p>
  <w:p w:rsidR="0049400B" w:rsidRDefault="0049400B" w:rsidP="0057159C">
    <w:pPr>
      <w:pStyle w:val="Header"/>
      <w:pBdr>
        <w:bottom w:val="single" w:sz="4" w:space="1" w:color="auto"/>
      </w:pBdr>
    </w:pPr>
  </w:p>
  <w:p w:rsidR="0049400B" w:rsidRPr="001E77D2" w:rsidRDefault="0049400B" w:rsidP="0057159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5F1388" w:rsidRDefault="0049400B" w:rsidP="005715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ED79B6" w:rsidRDefault="0049400B" w:rsidP="00BB645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ED79B6" w:rsidRDefault="0049400B" w:rsidP="00BB645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ED79B6" w:rsidRDefault="0049400B" w:rsidP="001D406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Default="0049400B" w:rsidP="0045093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9400B" w:rsidRDefault="0049400B" w:rsidP="0045093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9400B" w:rsidRPr="007A1328" w:rsidRDefault="0049400B" w:rsidP="0045093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9400B" w:rsidRPr="007A1328" w:rsidRDefault="0049400B" w:rsidP="00450939">
    <w:pPr>
      <w:rPr>
        <w:b/>
        <w:sz w:val="24"/>
      </w:rPr>
    </w:pPr>
  </w:p>
  <w:p w:rsidR="0049400B" w:rsidRPr="007A1328" w:rsidRDefault="0049400B" w:rsidP="0031535A">
    <w:pPr>
      <w:pBdr>
        <w:bottom w:val="single" w:sz="6" w:space="1" w:color="auto"/>
      </w:pBdr>
      <w:spacing w:after="240"/>
      <w:rPr>
        <w:sz w:val="24"/>
      </w:rPr>
    </w:pPr>
    <w:r>
      <w:rPr>
        <w:sz w:val="24"/>
      </w:rPr>
      <w:fldChar w:fldCharType="begin"/>
    </w:r>
    <w:r>
      <w:rPr>
        <w:sz w:val="24"/>
      </w:rPr>
      <w:instrText xml:space="preserve"> DOCPROPERTY  Header </w:instrText>
    </w:r>
    <w:r>
      <w:rPr>
        <w:sz w:val="24"/>
      </w:rPr>
      <w:fldChar w:fldCharType="separate"/>
    </w:r>
    <w:r w:rsidR="00F9047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8A2">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7A1328" w:rsidRDefault="0049400B" w:rsidP="0045093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9400B" w:rsidRPr="007A1328" w:rsidRDefault="0049400B" w:rsidP="0045093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9400B" w:rsidRPr="007A1328" w:rsidRDefault="0049400B" w:rsidP="0045093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9400B" w:rsidRPr="007A1328" w:rsidRDefault="0049400B" w:rsidP="00450939">
    <w:pPr>
      <w:jc w:val="right"/>
      <w:rPr>
        <w:b/>
        <w:sz w:val="24"/>
      </w:rPr>
    </w:pPr>
  </w:p>
  <w:p w:rsidR="0049400B" w:rsidRPr="007A1328" w:rsidRDefault="0049400B" w:rsidP="0031535A">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F9047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308A2">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0B" w:rsidRPr="00BE5CD2" w:rsidRDefault="0049400B" w:rsidP="00E95887">
    <w:pPr>
      <w:rPr>
        <w:sz w:val="26"/>
        <w:szCs w:val="26"/>
      </w:rPr>
    </w:pPr>
  </w:p>
  <w:p w:rsidR="0049400B" w:rsidRPr="0020230A" w:rsidRDefault="0049400B" w:rsidP="00E95887">
    <w:pPr>
      <w:rPr>
        <w:b/>
        <w:sz w:val="20"/>
      </w:rPr>
    </w:pPr>
    <w:r w:rsidRPr="0020230A">
      <w:rPr>
        <w:b/>
        <w:sz w:val="20"/>
      </w:rPr>
      <w:t>Endnotes</w:t>
    </w:r>
  </w:p>
  <w:p w:rsidR="0049400B" w:rsidRPr="007A1328" w:rsidRDefault="0049400B" w:rsidP="00E95887">
    <w:pPr>
      <w:rPr>
        <w:sz w:val="20"/>
      </w:rPr>
    </w:pPr>
  </w:p>
  <w:p w:rsidR="0049400B" w:rsidRPr="007A1328" w:rsidRDefault="0049400B" w:rsidP="00E95887">
    <w:pPr>
      <w:rPr>
        <w:b/>
        <w:sz w:val="24"/>
      </w:rPr>
    </w:pPr>
  </w:p>
  <w:p w:rsidR="0049400B" w:rsidRPr="00BE5CD2" w:rsidRDefault="0049400B" w:rsidP="00E9588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308A2">
      <w:rPr>
        <w:noProof/>
        <w:szCs w:val="22"/>
      </w:rPr>
      <w:t>Endnote 1—About the endnotes</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F28C3"/>
    <w:multiLevelType w:val="multilevel"/>
    <w:tmpl w:val="5982263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BE0F06"/>
    <w:multiLevelType w:val="hybridMultilevel"/>
    <w:tmpl w:val="28A81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387284D"/>
    <w:multiLevelType w:val="hybridMultilevel"/>
    <w:tmpl w:val="A2504A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3"/>
  </w:num>
  <w:num w:numId="16">
    <w:abstractNumId w:val="16"/>
  </w:num>
  <w:num w:numId="17">
    <w:abstractNumId w:val="20"/>
  </w:num>
  <w:num w:numId="18">
    <w:abstractNumId w:val="14"/>
  </w:num>
  <w:num w:numId="19">
    <w:abstractNumId w:val="11"/>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50B"/>
    <w:rsid w:val="00000622"/>
    <w:rsid w:val="00002328"/>
    <w:rsid w:val="000047FD"/>
    <w:rsid w:val="00005547"/>
    <w:rsid w:val="000056EE"/>
    <w:rsid w:val="00010203"/>
    <w:rsid w:val="0001068B"/>
    <w:rsid w:val="000127A2"/>
    <w:rsid w:val="00012A4E"/>
    <w:rsid w:val="00013A38"/>
    <w:rsid w:val="0001739E"/>
    <w:rsid w:val="00020180"/>
    <w:rsid w:val="00020FFD"/>
    <w:rsid w:val="000225F6"/>
    <w:rsid w:val="0002348A"/>
    <w:rsid w:val="00023FD2"/>
    <w:rsid w:val="000308A2"/>
    <w:rsid w:val="0003434D"/>
    <w:rsid w:val="0003498B"/>
    <w:rsid w:val="00035CB1"/>
    <w:rsid w:val="00036ACC"/>
    <w:rsid w:val="0004081D"/>
    <w:rsid w:val="000472C2"/>
    <w:rsid w:val="000510B9"/>
    <w:rsid w:val="00051C9B"/>
    <w:rsid w:val="000551A3"/>
    <w:rsid w:val="00055E25"/>
    <w:rsid w:val="00060390"/>
    <w:rsid w:val="00065A0E"/>
    <w:rsid w:val="0006722F"/>
    <w:rsid w:val="00067A16"/>
    <w:rsid w:val="00071791"/>
    <w:rsid w:val="00071E55"/>
    <w:rsid w:val="000721B0"/>
    <w:rsid w:val="000736B2"/>
    <w:rsid w:val="000753EE"/>
    <w:rsid w:val="00075B3D"/>
    <w:rsid w:val="00076B35"/>
    <w:rsid w:val="000804B6"/>
    <w:rsid w:val="000807A1"/>
    <w:rsid w:val="00085877"/>
    <w:rsid w:val="00086090"/>
    <w:rsid w:val="00086E1D"/>
    <w:rsid w:val="00087EBD"/>
    <w:rsid w:val="00092802"/>
    <w:rsid w:val="00095CC4"/>
    <w:rsid w:val="000A2A77"/>
    <w:rsid w:val="000A3C52"/>
    <w:rsid w:val="000B0A20"/>
    <w:rsid w:val="000B26C3"/>
    <w:rsid w:val="000B52F3"/>
    <w:rsid w:val="000B6307"/>
    <w:rsid w:val="000B68A5"/>
    <w:rsid w:val="000B7FFE"/>
    <w:rsid w:val="000C1379"/>
    <w:rsid w:val="000C1EFC"/>
    <w:rsid w:val="000C2AB1"/>
    <w:rsid w:val="000C2F25"/>
    <w:rsid w:val="000C56FE"/>
    <w:rsid w:val="000C78B5"/>
    <w:rsid w:val="000D112D"/>
    <w:rsid w:val="000D363E"/>
    <w:rsid w:val="000D7167"/>
    <w:rsid w:val="000D736B"/>
    <w:rsid w:val="000E081D"/>
    <w:rsid w:val="000E108D"/>
    <w:rsid w:val="000E279F"/>
    <w:rsid w:val="000E43E7"/>
    <w:rsid w:val="000E470D"/>
    <w:rsid w:val="000F140F"/>
    <w:rsid w:val="000F3758"/>
    <w:rsid w:val="000F3EEF"/>
    <w:rsid w:val="000F5453"/>
    <w:rsid w:val="00102347"/>
    <w:rsid w:val="0010403F"/>
    <w:rsid w:val="00110F98"/>
    <w:rsid w:val="0011161E"/>
    <w:rsid w:val="0011172E"/>
    <w:rsid w:val="00111E48"/>
    <w:rsid w:val="0011314E"/>
    <w:rsid w:val="00114286"/>
    <w:rsid w:val="00116130"/>
    <w:rsid w:val="00117290"/>
    <w:rsid w:val="00121B18"/>
    <w:rsid w:val="0012216A"/>
    <w:rsid w:val="00122CA1"/>
    <w:rsid w:val="0012560F"/>
    <w:rsid w:val="00126D00"/>
    <w:rsid w:val="00133419"/>
    <w:rsid w:val="00134204"/>
    <w:rsid w:val="001363F5"/>
    <w:rsid w:val="00137EF4"/>
    <w:rsid w:val="00141E5F"/>
    <w:rsid w:val="0014349F"/>
    <w:rsid w:val="00145C33"/>
    <w:rsid w:val="00145F8C"/>
    <w:rsid w:val="0014660D"/>
    <w:rsid w:val="00147F0D"/>
    <w:rsid w:val="001509A9"/>
    <w:rsid w:val="001510F9"/>
    <w:rsid w:val="001518A8"/>
    <w:rsid w:val="00152706"/>
    <w:rsid w:val="00152824"/>
    <w:rsid w:val="00153593"/>
    <w:rsid w:val="001544DD"/>
    <w:rsid w:val="0015688C"/>
    <w:rsid w:val="00156A5A"/>
    <w:rsid w:val="0015711D"/>
    <w:rsid w:val="00157E82"/>
    <w:rsid w:val="0016044D"/>
    <w:rsid w:val="00161757"/>
    <w:rsid w:val="001629E2"/>
    <w:rsid w:val="0016552E"/>
    <w:rsid w:val="001661B3"/>
    <w:rsid w:val="00171A0A"/>
    <w:rsid w:val="00171DC6"/>
    <w:rsid w:val="0017420C"/>
    <w:rsid w:val="00176457"/>
    <w:rsid w:val="0017669E"/>
    <w:rsid w:val="00176BCE"/>
    <w:rsid w:val="00180CD3"/>
    <w:rsid w:val="001821E6"/>
    <w:rsid w:val="001840EA"/>
    <w:rsid w:val="0018685A"/>
    <w:rsid w:val="00190D22"/>
    <w:rsid w:val="00191B57"/>
    <w:rsid w:val="001A062E"/>
    <w:rsid w:val="001A25BD"/>
    <w:rsid w:val="001A2921"/>
    <w:rsid w:val="001A2B82"/>
    <w:rsid w:val="001A7148"/>
    <w:rsid w:val="001A745A"/>
    <w:rsid w:val="001B4168"/>
    <w:rsid w:val="001B680B"/>
    <w:rsid w:val="001B750D"/>
    <w:rsid w:val="001B7DFC"/>
    <w:rsid w:val="001C2D2D"/>
    <w:rsid w:val="001C48B6"/>
    <w:rsid w:val="001C52FA"/>
    <w:rsid w:val="001C55D2"/>
    <w:rsid w:val="001C6C78"/>
    <w:rsid w:val="001C6E23"/>
    <w:rsid w:val="001C768C"/>
    <w:rsid w:val="001C7FB0"/>
    <w:rsid w:val="001D1730"/>
    <w:rsid w:val="001D4068"/>
    <w:rsid w:val="001D49E7"/>
    <w:rsid w:val="001D551B"/>
    <w:rsid w:val="001D6880"/>
    <w:rsid w:val="001D7DD2"/>
    <w:rsid w:val="001E1FF9"/>
    <w:rsid w:val="001E4BB9"/>
    <w:rsid w:val="001E551F"/>
    <w:rsid w:val="001E5EB1"/>
    <w:rsid w:val="001E6E96"/>
    <w:rsid w:val="001F0F35"/>
    <w:rsid w:val="001F1819"/>
    <w:rsid w:val="001F204C"/>
    <w:rsid w:val="001F24CF"/>
    <w:rsid w:val="001F2B1C"/>
    <w:rsid w:val="001F3D0A"/>
    <w:rsid w:val="001F4BDA"/>
    <w:rsid w:val="001F68D5"/>
    <w:rsid w:val="001F7EEF"/>
    <w:rsid w:val="00200459"/>
    <w:rsid w:val="0020253A"/>
    <w:rsid w:val="0020488A"/>
    <w:rsid w:val="00204C8D"/>
    <w:rsid w:val="0020650F"/>
    <w:rsid w:val="00207F04"/>
    <w:rsid w:val="00211B2D"/>
    <w:rsid w:val="002125DA"/>
    <w:rsid w:val="00220EDA"/>
    <w:rsid w:val="00222DA1"/>
    <w:rsid w:val="00223A7F"/>
    <w:rsid w:val="00223DCD"/>
    <w:rsid w:val="0022509F"/>
    <w:rsid w:val="002250FB"/>
    <w:rsid w:val="002271DC"/>
    <w:rsid w:val="0022783B"/>
    <w:rsid w:val="00230352"/>
    <w:rsid w:val="002341DB"/>
    <w:rsid w:val="00236609"/>
    <w:rsid w:val="0023784B"/>
    <w:rsid w:val="00240CD1"/>
    <w:rsid w:val="00241F83"/>
    <w:rsid w:val="00242AF6"/>
    <w:rsid w:val="00244805"/>
    <w:rsid w:val="002526BE"/>
    <w:rsid w:val="00253EE7"/>
    <w:rsid w:val="00254B2F"/>
    <w:rsid w:val="00254C12"/>
    <w:rsid w:val="00260641"/>
    <w:rsid w:val="00262431"/>
    <w:rsid w:val="00264B42"/>
    <w:rsid w:val="00265E15"/>
    <w:rsid w:val="00265ED0"/>
    <w:rsid w:val="002673BD"/>
    <w:rsid w:val="00270826"/>
    <w:rsid w:val="0027106F"/>
    <w:rsid w:val="002757D6"/>
    <w:rsid w:val="00276009"/>
    <w:rsid w:val="00276BCD"/>
    <w:rsid w:val="00280849"/>
    <w:rsid w:val="002870C2"/>
    <w:rsid w:val="00291FD0"/>
    <w:rsid w:val="002937F9"/>
    <w:rsid w:val="00293C63"/>
    <w:rsid w:val="002957A9"/>
    <w:rsid w:val="00296435"/>
    <w:rsid w:val="0029646C"/>
    <w:rsid w:val="00296E69"/>
    <w:rsid w:val="002A1697"/>
    <w:rsid w:val="002A57A4"/>
    <w:rsid w:val="002A7BC5"/>
    <w:rsid w:val="002B1C2C"/>
    <w:rsid w:val="002B2A9A"/>
    <w:rsid w:val="002B3833"/>
    <w:rsid w:val="002B6317"/>
    <w:rsid w:val="002C0290"/>
    <w:rsid w:val="002C0E89"/>
    <w:rsid w:val="002C42F1"/>
    <w:rsid w:val="002C6780"/>
    <w:rsid w:val="002C77BC"/>
    <w:rsid w:val="002C79E4"/>
    <w:rsid w:val="002C7F8D"/>
    <w:rsid w:val="002D22EC"/>
    <w:rsid w:val="002D35D3"/>
    <w:rsid w:val="002D58EC"/>
    <w:rsid w:val="002D658C"/>
    <w:rsid w:val="002D727F"/>
    <w:rsid w:val="002E0598"/>
    <w:rsid w:val="002E1511"/>
    <w:rsid w:val="002E4402"/>
    <w:rsid w:val="002F05DB"/>
    <w:rsid w:val="002F11AE"/>
    <w:rsid w:val="002F149C"/>
    <w:rsid w:val="002F2B52"/>
    <w:rsid w:val="002F5C51"/>
    <w:rsid w:val="002F7F66"/>
    <w:rsid w:val="00302D1D"/>
    <w:rsid w:val="00304382"/>
    <w:rsid w:val="00304F86"/>
    <w:rsid w:val="0030627F"/>
    <w:rsid w:val="00307011"/>
    <w:rsid w:val="00307F6E"/>
    <w:rsid w:val="00310A67"/>
    <w:rsid w:val="00311D81"/>
    <w:rsid w:val="003122FC"/>
    <w:rsid w:val="0031265B"/>
    <w:rsid w:val="00312BF2"/>
    <w:rsid w:val="00313B4A"/>
    <w:rsid w:val="003151AD"/>
    <w:rsid w:val="0031535A"/>
    <w:rsid w:val="00315C41"/>
    <w:rsid w:val="003229AA"/>
    <w:rsid w:val="00322F04"/>
    <w:rsid w:val="00323901"/>
    <w:rsid w:val="003242D2"/>
    <w:rsid w:val="0032535A"/>
    <w:rsid w:val="00325C10"/>
    <w:rsid w:val="003269CD"/>
    <w:rsid w:val="00327AAB"/>
    <w:rsid w:val="0033106A"/>
    <w:rsid w:val="00332345"/>
    <w:rsid w:val="003328BD"/>
    <w:rsid w:val="003332AF"/>
    <w:rsid w:val="00336768"/>
    <w:rsid w:val="00336E26"/>
    <w:rsid w:val="003409D9"/>
    <w:rsid w:val="003412DC"/>
    <w:rsid w:val="00341576"/>
    <w:rsid w:val="00343A1B"/>
    <w:rsid w:val="00343EA6"/>
    <w:rsid w:val="00344280"/>
    <w:rsid w:val="0034680E"/>
    <w:rsid w:val="00347380"/>
    <w:rsid w:val="00347ABE"/>
    <w:rsid w:val="00351600"/>
    <w:rsid w:val="003526D3"/>
    <w:rsid w:val="00352E6C"/>
    <w:rsid w:val="00352EFA"/>
    <w:rsid w:val="003567D5"/>
    <w:rsid w:val="00356FDD"/>
    <w:rsid w:val="003570F6"/>
    <w:rsid w:val="00363C3E"/>
    <w:rsid w:val="0036497C"/>
    <w:rsid w:val="00364DB8"/>
    <w:rsid w:val="00365485"/>
    <w:rsid w:val="003654A1"/>
    <w:rsid w:val="00365707"/>
    <w:rsid w:val="00366209"/>
    <w:rsid w:val="003666EB"/>
    <w:rsid w:val="00367EE7"/>
    <w:rsid w:val="003722D5"/>
    <w:rsid w:val="00374857"/>
    <w:rsid w:val="00374925"/>
    <w:rsid w:val="00374DBE"/>
    <w:rsid w:val="003764BF"/>
    <w:rsid w:val="00377613"/>
    <w:rsid w:val="00377C91"/>
    <w:rsid w:val="0038715C"/>
    <w:rsid w:val="00390E65"/>
    <w:rsid w:val="00393A96"/>
    <w:rsid w:val="00395FAC"/>
    <w:rsid w:val="00396732"/>
    <w:rsid w:val="003A0C0D"/>
    <w:rsid w:val="003A1BF1"/>
    <w:rsid w:val="003A271A"/>
    <w:rsid w:val="003A3291"/>
    <w:rsid w:val="003A358A"/>
    <w:rsid w:val="003A35A7"/>
    <w:rsid w:val="003A3951"/>
    <w:rsid w:val="003A4C15"/>
    <w:rsid w:val="003B4AE7"/>
    <w:rsid w:val="003B55ED"/>
    <w:rsid w:val="003B7C6C"/>
    <w:rsid w:val="003C0CA8"/>
    <w:rsid w:val="003C0E8E"/>
    <w:rsid w:val="003C1016"/>
    <w:rsid w:val="003C25B6"/>
    <w:rsid w:val="003C41F2"/>
    <w:rsid w:val="003C6D45"/>
    <w:rsid w:val="003C700C"/>
    <w:rsid w:val="003D0A16"/>
    <w:rsid w:val="003D1133"/>
    <w:rsid w:val="003D1F25"/>
    <w:rsid w:val="003D20DD"/>
    <w:rsid w:val="003D5B35"/>
    <w:rsid w:val="003D6738"/>
    <w:rsid w:val="003E2001"/>
    <w:rsid w:val="003E4204"/>
    <w:rsid w:val="003E55A4"/>
    <w:rsid w:val="003E5662"/>
    <w:rsid w:val="003E64C5"/>
    <w:rsid w:val="003F18D4"/>
    <w:rsid w:val="003F1A97"/>
    <w:rsid w:val="003F1AF9"/>
    <w:rsid w:val="003F644B"/>
    <w:rsid w:val="003F79DD"/>
    <w:rsid w:val="00402561"/>
    <w:rsid w:val="00402E52"/>
    <w:rsid w:val="00403373"/>
    <w:rsid w:val="00403AE4"/>
    <w:rsid w:val="0040581C"/>
    <w:rsid w:val="0040694B"/>
    <w:rsid w:val="00406A94"/>
    <w:rsid w:val="004070A9"/>
    <w:rsid w:val="00411455"/>
    <w:rsid w:val="004120B2"/>
    <w:rsid w:val="004126DE"/>
    <w:rsid w:val="00416A06"/>
    <w:rsid w:val="004207D7"/>
    <w:rsid w:val="00420E93"/>
    <w:rsid w:val="00424431"/>
    <w:rsid w:val="0042496B"/>
    <w:rsid w:val="00425581"/>
    <w:rsid w:val="00427249"/>
    <w:rsid w:val="00427D7B"/>
    <w:rsid w:val="004343B3"/>
    <w:rsid w:val="00435A2A"/>
    <w:rsid w:val="004374C3"/>
    <w:rsid w:val="00440DE0"/>
    <w:rsid w:val="00441257"/>
    <w:rsid w:val="00442444"/>
    <w:rsid w:val="004454CF"/>
    <w:rsid w:val="00446286"/>
    <w:rsid w:val="0044728E"/>
    <w:rsid w:val="004479B5"/>
    <w:rsid w:val="00447FF1"/>
    <w:rsid w:val="0045063A"/>
    <w:rsid w:val="00450939"/>
    <w:rsid w:val="00450FD5"/>
    <w:rsid w:val="004520B9"/>
    <w:rsid w:val="00454D0B"/>
    <w:rsid w:val="00456454"/>
    <w:rsid w:val="00463065"/>
    <w:rsid w:val="00463990"/>
    <w:rsid w:val="00471344"/>
    <w:rsid w:val="0047221D"/>
    <w:rsid w:val="004742DF"/>
    <w:rsid w:val="00476272"/>
    <w:rsid w:val="00477B83"/>
    <w:rsid w:val="00480BB9"/>
    <w:rsid w:val="004825F7"/>
    <w:rsid w:val="00482B0A"/>
    <w:rsid w:val="00487A4B"/>
    <w:rsid w:val="004917D1"/>
    <w:rsid w:val="00492AF6"/>
    <w:rsid w:val="0049400B"/>
    <w:rsid w:val="0049409A"/>
    <w:rsid w:val="00495EBA"/>
    <w:rsid w:val="00495FD3"/>
    <w:rsid w:val="00496BDD"/>
    <w:rsid w:val="00496C0C"/>
    <w:rsid w:val="00497DA1"/>
    <w:rsid w:val="004A3561"/>
    <w:rsid w:val="004A5A19"/>
    <w:rsid w:val="004B088C"/>
    <w:rsid w:val="004B0996"/>
    <w:rsid w:val="004B1E60"/>
    <w:rsid w:val="004B3683"/>
    <w:rsid w:val="004B717C"/>
    <w:rsid w:val="004C0190"/>
    <w:rsid w:val="004C2516"/>
    <w:rsid w:val="004C3A75"/>
    <w:rsid w:val="004C6D83"/>
    <w:rsid w:val="004D04F0"/>
    <w:rsid w:val="004D25B2"/>
    <w:rsid w:val="004D2CCB"/>
    <w:rsid w:val="004D460F"/>
    <w:rsid w:val="004D5851"/>
    <w:rsid w:val="004E01BE"/>
    <w:rsid w:val="004E1500"/>
    <w:rsid w:val="004E3375"/>
    <w:rsid w:val="004E3516"/>
    <w:rsid w:val="004E5812"/>
    <w:rsid w:val="004E5971"/>
    <w:rsid w:val="004E59F6"/>
    <w:rsid w:val="004E6672"/>
    <w:rsid w:val="004E70BA"/>
    <w:rsid w:val="004E7123"/>
    <w:rsid w:val="004F05F1"/>
    <w:rsid w:val="004F0A32"/>
    <w:rsid w:val="004F586F"/>
    <w:rsid w:val="004F6F63"/>
    <w:rsid w:val="0050425A"/>
    <w:rsid w:val="005069EE"/>
    <w:rsid w:val="00507C08"/>
    <w:rsid w:val="0051012D"/>
    <w:rsid w:val="00511449"/>
    <w:rsid w:val="00512C3B"/>
    <w:rsid w:val="0051543A"/>
    <w:rsid w:val="005154C9"/>
    <w:rsid w:val="00517BDA"/>
    <w:rsid w:val="00517E9B"/>
    <w:rsid w:val="0052196C"/>
    <w:rsid w:val="005236D1"/>
    <w:rsid w:val="00524BE1"/>
    <w:rsid w:val="00524C2B"/>
    <w:rsid w:val="0052732A"/>
    <w:rsid w:val="00535BFA"/>
    <w:rsid w:val="00536926"/>
    <w:rsid w:val="00537479"/>
    <w:rsid w:val="005430FE"/>
    <w:rsid w:val="005504B7"/>
    <w:rsid w:val="00553BBD"/>
    <w:rsid w:val="00553CCE"/>
    <w:rsid w:val="005547EB"/>
    <w:rsid w:val="005548F9"/>
    <w:rsid w:val="00555098"/>
    <w:rsid w:val="00560D28"/>
    <w:rsid w:val="00561460"/>
    <w:rsid w:val="00564001"/>
    <w:rsid w:val="0056559C"/>
    <w:rsid w:val="005665B2"/>
    <w:rsid w:val="005678B9"/>
    <w:rsid w:val="0057159C"/>
    <w:rsid w:val="00571FCD"/>
    <w:rsid w:val="005732A7"/>
    <w:rsid w:val="00574A09"/>
    <w:rsid w:val="00574CAE"/>
    <w:rsid w:val="00577475"/>
    <w:rsid w:val="00580E49"/>
    <w:rsid w:val="0058116E"/>
    <w:rsid w:val="005818B9"/>
    <w:rsid w:val="00584A71"/>
    <w:rsid w:val="00584E63"/>
    <w:rsid w:val="00586035"/>
    <w:rsid w:val="005867F2"/>
    <w:rsid w:val="0059079A"/>
    <w:rsid w:val="00590B66"/>
    <w:rsid w:val="00591473"/>
    <w:rsid w:val="005914FF"/>
    <w:rsid w:val="00594F6A"/>
    <w:rsid w:val="00595248"/>
    <w:rsid w:val="0059689D"/>
    <w:rsid w:val="00596B78"/>
    <w:rsid w:val="005A04A5"/>
    <w:rsid w:val="005A0F53"/>
    <w:rsid w:val="005A2A56"/>
    <w:rsid w:val="005A388A"/>
    <w:rsid w:val="005A4A12"/>
    <w:rsid w:val="005A5E49"/>
    <w:rsid w:val="005B19A9"/>
    <w:rsid w:val="005B2816"/>
    <w:rsid w:val="005C20BB"/>
    <w:rsid w:val="005C3553"/>
    <w:rsid w:val="005C4F30"/>
    <w:rsid w:val="005C5586"/>
    <w:rsid w:val="005C70B1"/>
    <w:rsid w:val="005C713B"/>
    <w:rsid w:val="005C7760"/>
    <w:rsid w:val="005C7BB8"/>
    <w:rsid w:val="005D06A4"/>
    <w:rsid w:val="005D40F1"/>
    <w:rsid w:val="005D491C"/>
    <w:rsid w:val="005D5651"/>
    <w:rsid w:val="005D68FA"/>
    <w:rsid w:val="005D6F22"/>
    <w:rsid w:val="005E3C9E"/>
    <w:rsid w:val="005E42DE"/>
    <w:rsid w:val="005E5309"/>
    <w:rsid w:val="005E5BF6"/>
    <w:rsid w:val="005E6D7C"/>
    <w:rsid w:val="005F17D7"/>
    <w:rsid w:val="005F3684"/>
    <w:rsid w:val="005F4B7C"/>
    <w:rsid w:val="005F5365"/>
    <w:rsid w:val="005F667E"/>
    <w:rsid w:val="005F6728"/>
    <w:rsid w:val="0060247F"/>
    <w:rsid w:val="0060499E"/>
    <w:rsid w:val="00610CB1"/>
    <w:rsid w:val="00612688"/>
    <w:rsid w:val="006133D2"/>
    <w:rsid w:val="00617ECD"/>
    <w:rsid w:val="0062109B"/>
    <w:rsid w:val="006228F8"/>
    <w:rsid w:val="00625EBE"/>
    <w:rsid w:val="00626972"/>
    <w:rsid w:val="006272C7"/>
    <w:rsid w:val="00630C62"/>
    <w:rsid w:val="006334F8"/>
    <w:rsid w:val="006350D0"/>
    <w:rsid w:val="00637E7E"/>
    <w:rsid w:val="00641CB9"/>
    <w:rsid w:val="00642014"/>
    <w:rsid w:val="0064304E"/>
    <w:rsid w:val="00643415"/>
    <w:rsid w:val="00645165"/>
    <w:rsid w:val="00645A49"/>
    <w:rsid w:val="00647421"/>
    <w:rsid w:val="006503AC"/>
    <w:rsid w:val="0065051F"/>
    <w:rsid w:val="00650D4C"/>
    <w:rsid w:val="00651A97"/>
    <w:rsid w:val="006548E6"/>
    <w:rsid w:val="00657009"/>
    <w:rsid w:val="00657047"/>
    <w:rsid w:val="0065794A"/>
    <w:rsid w:val="00661AB3"/>
    <w:rsid w:val="00664696"/>
    <w:rsid w:val="00664F6C"/>
    <w:rsid w:val="00666109"/>
    <w:rsid w:val="006671F5"/>
    <w:rsid w:val="006710DF"/>
    <w:rsid w:val="00672003"/>
    <w:rsid w:val="00672979"/>
    <w:rsid w:val="00675602"/>
    <w:rsid w:val="00675DB2"/>
    <w:rsid w:val="00680DF0"/>
    <w:rsid w:val="00686152"/>
    <w:rsid w:val="00686485"/>
    <w:rsid w:val="00686FE5"/>
    <w:rsid w:val="00691AD5"/>
    <w:rsid w:val="00693873"/>
    <w:rsid w:val="006A0A80"/>
    <w:rsid w:val="006A1BED"/>
    <w:rsid w:val="006A4638"/>
    <w:rsid w:val="006A4BA5"/>
    <w:rsid w:val="006B00D9"/>
    <w:rsid w:val="006B02ED"/>
    <w:rsid w:val="006B110F"/>
    <w:rsid w:val="006B141F"/>
    <w:rsid w:val="006B182C"/>
    <w:rsid w:val="006B28EE"/>
    <w:rsid w:val="006B3F9E"/>
    <w:rsid w:val="006B6FE0"/>
    <w:rsid w:val="006C263D"/>
    <w:rsid w:val="006C31CA"/>
    <w:rsid w:val="006C4BED"/>
    <w:rsid w:val="006C53D2"/>
    <w:rsid w:val="006C795D"/>
    <w:rsid w:val="006D0603"/>
    <w:rsid w:val="006D18DE"/>
    <w:rsid w:val="006D6624"/>
    <w:rsid w:val="006E23CD"/>
    <w:rsid w:val="006E6AF8"/>
    <w:rsid w:val="006F2504"/>
    <w:rsid w:val="006F4850"/>
    <w:rsid w:val="007003DB"/>
    <w:rsid w:val="007014F3"/>
    <w:rsid w:val="0070264A"/>
    <w:rsid w:val="007037DD"/>
    <w:rsid w:val="0070756E"/>
    <w:rsid w:val="00711719"/>
    <w:rsid w:val="00714984"/>
    <w:rsid w:val="00715B04"/>
    <w:rsid w:val="00717563"/>
    <w:rsid w:val="00717A88"/>
    <w:rsid w:val="007211EE"/>
    <w:rsid w:val="00725A68"/>
    <w:rsid w:val="00730AB3"/>
    <w:rsid w:val="00732425"/>
    <w:rsid w:val="00733D1E"/>
    <w:rsid w:val="00733ED9"/>
    <w:rsid w:val="0073521A"/>
    <w:rsid w:val="007352EF"/>
    <w:rsid w:val="00735B24"/>
    <w:rsid w:val="00736117"/>
    <w:rsid w:val="007364E5"/>
    <w:rsid w:val="0073761F"/>
    <w:rsid w:val="00740FBA"/>
    <w:rsid w:val="00741706"/>
    <w:rsid w:val="00742BE4"/>
    <w:rsid w:val="007435E2"/>
    <w:rsid w:val="0074530F"/>
    <w:rsid w:val="007507CB"/>
    <w:rsid w:val="00750F54"/>
    <w:rsid w:val="00755E18"/>
    <w:rsid w:val="00757387"/>
    <w:rsid w:val="007576E3"/>
    <w:rsid w:val="00757D9D"/>
    <w:rsid w:val="007600AC"/>
    <w:rsid w:val="00760BDE"/>
    <w:rsid w:val="00761E10"/>
    <w:rsid w:val="00763A53"/>
    <w:rsid w:val="007640FB"/>
    <w:rsid w:val="0076708B"/>
    <w:rsid w:val="00767850"/>
    <w:rsid w:val="00772F15"/>
    <w:rsid w:val="007755B6"/>
    <w:rsid w:val="00776570"/>
    <w:rsid w:val="0077765E"/>
    <w:rsid w:val="007803FF"/>
    <w:rsid w:val="0078324E"/>
    <w:rsid w:val="00785DFE"/>
    <w:rsid w:val="00787D5F"/>
    <w:rsid w:val="00787E97"/>
    <w:rsid w:val="007907A4"/>
    <w:rsid w:val="007916FB"/>
    <w:rsid w:val="00792C57"/>
    <w:rsid w:val="00792D08"/>
    <w:rsid w:val="0079372B"/>
    <w:rsid w:val="007952D3"/>
    <w:rsid w:val="0079643C"/>
    <w:rsid w:val="0079710F"/>
    <w:rsid w:val="00797C09"/>
    <w:rsid w:val="007A0273"/>
    <w:rsid w:val="007A1349"/>
    <w:rsid w:val="007A18FD"/>
    <w:rsid w:val="007A3567"/>
    <w:rsid w:val="007A7801"/>
    <w:rsid w:val="007B09BA"/>
    <w:rsid w:val="007B0E83"/>
    <w:rsid w:val="007B2B47"/>
    <w:rsid w:val="007B424A"/>
    <w:rsid w:val="007B5948"/>
    <w:rsid w:val="007C012A"/>
    <w:rsid w:val="007C0378"/>
    <w:rsid w:val="007C1675"/>
    <w:rsid w:val="007C18C3"/>
    <w:rsid w:val="007C23A0"/>
    <w:rsid w:val="007C27A1"/>
    <w:rsid w:val="007C32B1"/>
    <w:rsid w:val="007C378E"/>
    <w:rsid w:val="007C49D9"/>
    <w:rsid w:val="007C7ED2"/>
    <w:rsid w:val="007D1730"/>
    <w:rsid w:val="007D2042"/>
    <w:rsid w:val="007D3770"/>
    <w:rsid w:val="007D383A"/>
    <w:rsid w:val="007D4230"/>
    <w:rsid w:val="007D4D7B"/>
    <w:rsid w:val="007E21C3"/>
    <w:rsid w:val="007E623A"/>
    <w:rsid w:val="007F1ACD"/>
    <w:rsid w:val="007F42BB"/>
    <w:rsid w:val="007F6065"/>
    <w:rsid w:val="007F6B43"/>
    <w:rsid w:val="008003A8"/>
    <w:rsid w:val="00800EE9"/>
    <w:rsid w:val="00801248"/>
    <w:rsid w:val="008013CE"/>
    <w:rsid w:val="00802693"/>
    <w:rsid w:val="00805B1D"/>
    <w:rsid w:val="00806FDC"/>
    <w:rsid w:val="00812E73"/>
    <w:rsid w:val="00813A8A"/>
    <w:rsid w:val="00815795"/>
    <w:rsid w:val="00815C54"/>
    <w:rsid w:val="008200F1"/>
    <w:rsid w:val="00820E6A"/>
    <w:rsid w:val="00824913"/>
    <w:rsid w:val="00826D3D"/>
    <w:rsid w:val="0083232E"/>
    <w:rsid w:val="00832A45"/>
    <w:rsid w:val="00833881"/>
    <w:rsid w:val="00834026"/>
    <w:rsid w:val="00836200"/>
    <w:rsid w:val="00836F81"/>
    <w:rsid w:val="00837950"/>
    <w:rsid w:val="008405E8"/>
    <w:rsid w:val="008421EA"/>
    <w:rsid w:val="0084293C"/>
    <w:rsid w:val="008529D0"/>
    <w:rsid w:val="00855B7C"/>
    <w:rsid w:val="008571E5"/>
    <w:rsid w:val="008621D6"/>
    <w:rsid w:val="008625B9"/>
    <w:rsid w:val="00867E00"/>
    <w:rsid w:val="00871BD1"/>
    <w:rsid w:val="00872D79"/>
    <w:rsid w:val="00874D58"/>
    <w:rsid w:val="008800E2"/>
    <w:rsid w:val="00880302"/>
    <w:rsid w:val="00882B8F"/>
    <w:rsid w:val="00884158"/>
    <w:rsid w:val="00884A91"/>
    <w:rsid w:val="00884AF0"/>
    <w:rsid w:val="00885A66"/>
    <w:rsid w:val="00885FE1"/>
    <w:rsid w:val="00890489"/>
    <w:rsid w:val="00890A16"/>
    <w:rsid w:val="008911A6"/>
    <w:rsid w:val="00893545"/>
    <w:rsid w:val="008A0D3A"/>
    <w:rsid w:val="008A0EF2"/>
    <w:rsid w:val="008A1B60"/>
    <w:rsid w:val="008A3078"/>
    <w:rsid w:val="008A3D32"/>
    <w:rsid w:val="008A5870"/>
    <w:rsid w:val="008A5DD5"/>
    <w:rsid w:val="008A5F5B"/>
    <w:rsid w:val="008A6553"/>
    <w:rsid w:val="008A69B8"/>
    <w:rsid w:val="008B02F9"/>
    <w:rsid w:val="008B09DB"/>
    <w:rsid w:val="008B20DA"/>
    <w:rsid w:val="008B21D6"/>
    <w:rsid w:val="008B3E2E"/>
    <w:rsid w:val="008B7DD7"/>
    <w:rsid w:val="008C117F"/>
    <w:rsid w:val="008C15A7"/>
    <w:rsid w:val="008C1D70"/>
    <w:rsid w:val="008C2B87"/>
    <w:rsid w:val="008C35FD"/>
    <w:rsid w:val="008C38FE"/>
    <w:rsid w:val="008C53D4"/>
    <w:rsid w:val="008C628F"/>
    <w:rsid w:val="008C6FFC"/>
    <w:rsid w:val="008D027A"/>
    <w:rsid w:val="008D12EE"/>
    <w:rsid w:val="008D2C3B"/>
    <w:rsid w:val="008D2F4A"/>
    <w:rsid w:val="008D3896"/>
    <w:rsid w:val="008D38EB"/>
    <w:rsid w:val="008D3FB6"/>
    <w:rsid w:val="008D64ED"/>
    <w:rsid w:val="008D73E6"/>
    <w:rsid w:val="008E02E5"/>
    <w:rsid w:val="008E1131"/>
    <w:rsid w:val="008E45F9"/>
    <w:rsid w:val="008E59E9"/>
    <w:rsid w:val="008E74ED"/>
    <w:rsid w:val="008E7648"/>
    <w:rsid w:val="008E7D39"/>
    <w:rsid w:val="008F3888"/>
    <w:rsid w:val="008F3BDD"/>
    <w:rsid w:val="008F5EC2"/>
    <w:rsid w:val="008F7FAE"/>
    <w:rsid w:val="0090022A"/>
    <w:rsid w:val="00901DA5"/>
    <w:rsid w:val="00902FB5"/>
    <w:rsid w:val="0090335E"/>
    <w:rsid w:val="009042F5"/>
    <w:rsid w:val="00905A06"/>
    <w:rsid w:val="00906D49"/>
    <w:rsid w:val="009070F5"/>
    <w:rsid w:val="009123E3"/>
    <w:rsid w:val="009125B8"/>
    <w:rsid w:val="00913ECD"/>
    <w:rsid w:val="009149F1"/>
    <w:rsid w:val="00914CC9"/>
    <w:rsid w:val="00915994"/>
    <w:rsid w:val="00915AF9"/>
    <w:rsid w:val="00917823"/>
    <w:rsid w:val="00922335"/>
    <w:rsid w:val="00923493"/>
    <w:rsid w:val="009242B8"/>
    <w:rsid w:val="00924C24"/>
    <w:rsid w:val="0093033C"/>
    <w:rsid w:val="00930C1D"/>
    <w:rsid w:val="0093430B"/>
    <w:rsid w:val="0093450B"/>
    <w:rsid w:val="009356C5"/>
    <w:rsid w:val="009360BD"/>
    <w:rsid w:val="009413BF"/>
    <w:rsid w:val="00942C0F"/>
    <w:rsid w:val="009437DF"/>
    <w:rsid w:val="00944599"/>
    <w:rsid w:val="00944671"/>
    <w:rsid w:val="00944A2A"/>
    <w:rsid w:val="00945EC8"/>
    <w:rsid w:val="00946AE0"/>
    <w:rsid w:val="0095024D"/>
    <w:rsid w:val="00950375"/>
    <w:rsid w:val="00950B11"/>
    <w:rsid w:val="0095322A"/>
    <w:rsid w:val="00953777"/>
    <w:rsid w:val="009553F5"/>
    <w:rsid w:val="00960E91"/>
    <w:rsid w:val="00966987"/>
    <w:rsid w:val="009669B2"/>
    <w:rsid w:val="00966D2A"/>
    <w:rsid w:val="0096757D"/>
    <w:rsid w:val="009676B9"/>
    <w:rsid w:val="00970DE9"/>
    <w:rsid w:val="009746D4"/>
    <w:rsid w:val="00976081"/>
    <w:rsid w:val="00976BAB"/>
    <w:rsid w:val="00982FFF"/>
    <w:rsid w:val="00983F35"/>
    <w:rsid w:val="00985B59"/>
    <w:rsid w:val="00987DF2"/>
    <w:rsid w:val="009901D6"/>
    <w:rsid w:val="00990F55"/>
    <w:rsid w:val="00992087"/>
    <w:rsid w:val="00992710"/>
    <w:rsid w:val="009955A7"/>
    <w:rsid w:val="00996B0A"/>
    <w:rsid w:val="009A4BDC"/>
    <w:rsid w:val="009A595E"/>
    <w:rsid w:val="009A69C3"/>
    <w:rsid w:val="009B10B3"/>
    <w:rsid w:val="009B242B"/>
    <w:rsid w:val="009B252C"/>
    <w:rsid w:val="009B55CB"/>
    <w:rsid w:val="009B6883"/>
    <w:rsid w:val="009D23DD"/>
    <w:rsid w:val="009D34B0"/>
    <w:rsid w:val="009D443A"/>
    <w:rsid w:val="009D55AD"/>
    <w:rsid w:val="009D757F"/>
    <w:rsid w:val="009E1EC4"/>
    <w:rsid w:val="009E2539"/>
    <w:rsid w:val="009E3171"/>
    <w:rsid w:val="009E39CE"/>
    <w:rsid w:val="009E5220"/>
    <w:rsid w:val="009E6F97"/>
    <w:rsid w:val="009F1106"/>
    <w:rsid w:val="009F3211"/>
    <w:rsid w:val="009F3F34"/>
    <w:rsid w:val="009F46E7"/>
    <w:rsid w:val="009F5798"/>
    <w:rsid w:val="00A01333"/>
    <w:rsid w:val="00A01FB2"/>
    <w:rsid w:val="00A04F67"/>
    <w:rsid w:val="00A07733"/>
    <w:rsid w:val="00A11EBE"/>
    <w:rsid w:val="00A12816"/>
    <w:rsid w:val="00A1281A"/>
    <w:rsid w:val="00A12B40"/>
    <w:rsid w:val="00A162E6"/>
    <w:rsid w:val="00A17D1D"/>
    <w:rsid w:val="00A20966"/>
    <w:rsid w:val="00A2158C"/>
    <w:rsid w:val="00A240E5"/>
    <w:rsid w:val="00A26EC4"/>
    <w:rsid w:val="00A30A15"/>
    <w:rsid w:val="00A30B59"/>
    <w:rsid w:val="00A31BE9"/>
    <w:rsid w:val="00A31F38"/>
    <w:rsid w:val="00A33B65"/>
    <w:rsid w:val="00A33BCC"/>
    <w:rsid w:val="00A3491E"/>
    <w:rsid w:val="00A37E7E"/>
    <w:rsid w:val="00A403BF"/>
    <w:rsid w:val="00A40509"/>
    <w:rsid w:val="00A40923"/>
    <w:rsid w:val="00A40E8D"/>
    <w:rsid w:val="00A41806"/>
    <w:rsid w:val="00A428C2"/>
    <w:rsid w:val="00A43AF6"/>
    <w:rsid w:val="00A45C34"/>
    <w:rsid w:val="00A45C77"/>
    <w:rsid w:val="00A4716C"/>
    <w:rsid w:val="00A5794C"/>
    <w:rsid w:val="00A60B79"/>
    <w:rsid w:val="00A611D5"/>
    <w:rsid w:val="00A64421"/>
    <w:rsid w:val="00A64ADB"/>
    <w:rsid w:val="00A64D50"/>
    <w:rsid w:val="00A650BA"/>
    <w:rsid w:val="00A65E59"/>
    <w:rsid w:val="00A67535"/>
    <w:rsid w:val="00A6754C"/>
    <w:rsid w:val="00A67927"/>
    <w:rsid w:val="00A715A3"/>
    <w:rsid w:val="00A7238F"/>
    <w:rsid w:val="00A725A4"/>
    <w:rsid w:val="00A74546"/>
    <w:rsid w:val="00A76252"/>
    <w:rsid w:val="00A91F48"/>
    <w:rsid w:val="00A920FE"/>
    <w:rsid w:val="00A92600"/>
    <w:rsid w:val="00A93260"/>
    <w:rsid w:val="00A939BC"/>
    <w:rsid w:val="00A9492D"/>
    <w:rsid w:val="00A955D9"/>
    <w:rsid w:val="00AA04DF"/>
    <w:rsid w:val="00AA43E4"/>
    <w:rsid w:val="00AA64FB"/>
    <w:rsid w:val="00AA6BD2"/>
    <w:rsid w:val="00AB0406"/>
    <w:rsid w:val="00AB0482"/>
    <w:rsid w:val="00AB0DDA"/>
    <w:rsid w:val="00AB1792"/>
    <w:rsid w:val="00AB301E"/>
    <w:rsid w:val="00AB3442"/>
    <w:rsid w:val="00AB3647"/>
    <w:rsid w:val="00AB370F"/>
    <w:rsid w:val="00AB3AB7"/>
    <w:rsid w:val="00AB492E"/>
    <w:rsid w:val="00AB539C"/>
    <w:rsid w:val="00AB53CF"/>
    <w:rsid w:val="00AC03AF"/>
    <w:rsid w:val="00AC0714"/>
    <w:rsid w:val="00AC2749"/>
    <w:rsid w:val="00AC34C9"/>
    <w:rsid w:val="00AC4206"/>
    <w:rsid w:val="00AC5561"/>
    <w:rsid w:val="00AC6686"/>
    <w:rsid w:val="00AC7CC2"/>
    <w:rsid w:val="00AD2D39"/>
    <w:rsid w:val="00AD2FDA"/>
    <w:rsid w:val="00AD3862"/>
    <w:rsid w:val="00AD4C82"/>
    <w:rsid w:val="00AD56E0"/>
    <w:rsid w:val="00AD56FF"/>
    <w:rsid w:val="00AD6369"/>
    <w:rsid w:val="00AD69B7"/>
    <w:rsid w:val="00AD7490"/>
    <w:rsid w:val="00AE3BDB"/>
    <w:rsid w:val="00AE3CAD"/>
    <w:rsid w:val="00AE5649"/>
    <w:rsid w:val="00AF319F"/>
    <w:rsid w:val="00AF4A7F"/>
    <w:rsid w:val="00AF77CA"/>
    <w:rsid w:val="00B022E4"/>
    <w:rsid w:val="00B02301"/>
    <w:rsid w:val="00B02802"/>
    <w:rsid w:val="00B0347E"/>
    <w:rsid w:val="00B06D12"/>
    <w:rsid w:val="00B07D2B"/>
    <w:rsid w:val="00B11FF4"/>
    <w:rsid w:val="00B1270A"/>
    <w:rsid w:val="00B12ACE"/>
    <w:rsid w:val="00B12CAA"/>
    <w:rsid w:val="00B13F8C"/>
    <w:rsid w:val="00B14ED8"/>
    <w:rsid w:val="00B15265"/>
    <w:rsid w:val="00B17428"/>
    <w:rsid w:val="00B20DCA"/>
    <w:rsid w:val="00B23D22"/>
    <w:rsid w:val="00B267A3"/>
    <w:rsid w:val="00B269B3"/>
    <w:rsid w:val="00B2730F"/>
    <w:rsid w:val="00B30277"/>
    <w:rsid w:val="00B312AC"/>
    <w:rsid w:val="00B32109"/>
    <w:rsid w:val="00B341F1"/>
    <w:rsid w:val="00B35329"/>
    <w:rsid w:val="00B4067E"/>
    <w:rsid w:val="00B41A08"/>
    <w:rsid w:val="00B425A5"/>
    <w:rsid w:val="00B42846"/>
    <w:rsid w:val="00B4372D"/>
    <w:rsid w:val="00B440EB"/>
    <w:rsid w:val="00B44A30"/>
    <w:rsid w:val="00B46C5A"/>
    <w:rsid w:val="00B50B2D"/>
    <w:rsid w:val="00B51889"/>
    <w:rsid w:val="00B520F3"/>
    <w:rsid w:val="00B5254D"/>
    <w:rsid w:val="00B564FE"/>
    <w:rsid w:val="00B56B8D"/>
    <w:rsid w:val="00B602AB"/>
    <w:rsid w:val="00B60E4C"/>
    <w:rsid w:val="00B61209"/>
    <w:rsid w:val="00B64636"/>
    <w:rsid w:val="00B64D46"/>
    <w:rsid w:val="00B65B18"/>
    <w:rsid w:val="00B65D30"/>
    <w:rsid w:val="00B6604D"/>
    <w:rsid w:val="00B664EF"/>
    <w:rsid w:val="00B713F5"/>
    <w:rsid w:val="00B71A96"/>
    <w:rsid w:val="00B73D2C"/>
    <w:rsid w:val="00B74EBD"/>
    <w:rsid w:val="00B750D0"/>
    <w:rsid w:val="00B75420"/>
    <w:rsid w:val="00B75D7B"/>
    <w:rsid w:val="00B76F60"/>
    <w:rsid w:val="00B779A9"/>
    <w:rsid w:val="00B82EAA"/>
    <w:rsid w:val="00B83763"/>
    <w:rsid w:val="00B83997"/>
    <w:rsid w:val="00B8549E"/>
    <w:rsid w:val="00B85D2B"/>
    <w:rsid w:val="00B87D8D"/>
    <w:rsid w:val="00B90CAC"/>
    <w:rsid w:val="00B9160A"/>
    <w:rsid w:val="00B91BFB"/>
    <w:rsid w:val="00B922ED"/>
    <w:rsid w:val="00B92644"/>
    <w:rsid w:val="00B94594"/>
    <w:rsid w:val="00B947B5"/>
    <w:rsid w:val="00B94967"/>
    <w:rsid w:val="00BA3AA3"/>
    <w:rsid w:val="00BA454E"/>
    <w:rsid w:val="00BA4CD6"/>
    <w:rsid w:val="00BA4E2C"/>
    <w:rsid w:val="00BA56DA"/>
    <w:rsid w:val="00BA5A9A"/>
    <w:rsid w:val="00BA61EE"/>
    <w:rsid w:val="00BA761C"/>
    <w:rsid w:val="00BB0921"/>
    <w:rsid w:val="00BB4AFF"/>
    <w:rsid w:val="00BB626D"/>
    <w:rsid w:val="00BB6452"/>
    <w:rsid w:val="00BC3D9E"/>
    <w:rsid w:val="00BC63F3"/>
    <w:rsid w:val="00BC65DC"/>
    <w:rsid w:val="00BC66FE"/>
    <w:rsid w:val="00BD0739"/>
    <w:rsid w:val="00BD1251"/>
    <w:rsid w:val="00BD12AB"/>
    <w:rsid w:val="00BD1A10"/>
    <w:rsid w:val="00BD3F1E"/>
    <w:rsid w:val="00BD4BF4"/>
    <w:rsid w:val="00BD687F"/>
    <w:rsid w:val="00BE3917"/>
    <w:rsid w:val="00BE63CA"/>
    <w:rsid w:val="00BF039D"/>
    <w:rsid w:val="00BF12B8"/>
    <w:rsid w:val="00BF45FB"/>
    <w:rsid w:val="00BF65E6"/>
    <w:rsid w:val="00BF6D49"/>
    <w:rsid w:val="00BF7D22"/>
    <w:rsid w:val="00C00E04"/>
    <w:rsid w:val="00C01793"/>
    <w:rsid w:val="00C01E41"/>
    <w:rsid w:val="00C026BB"/>
    <w:rsid w:val="00C02DBF"/>
    <w:rsid w:val="00C03332"/>
    <w:rsid w:val="00C0430D"/>
    <w:rsid w:val="00C04DF9"/>
    <w:rsid w:val="00C06014"/>
    <w:rsid w:val="00C071C9"/>
    <w:rsid w:val="00C1135E"/>
    <w:rsid w:val="00C13C8E"/>
    <w:rsid w:val="00C143E8"/>
    <w:rsid w:val="00C17668"/>
    <w:rsid w:val="00C24D82"/>
    <w:rsid w:val="00C2512A"/>
    <w:rsid w:val="00C26338"/>
    <w:rsid w:val="00C2651E"/>
    <w:rsid w:val="00C27FF7"/>
    <w:rsid w:val="00C321EA"/>
    <w:rsid w:val="00C332D3"/>
    <w:rsid w:val="00C33604"/>
    <w:rsid w:val="00C33891"/>
    <w:rsid w:val="00C33E69"/>
    <w:rsid w:val="00C34B2A"/>
    <w:rsid w:val="00C415B4"/>
    <w:rsid w:val="00C41769"/>
    <w:rsid w:val="00C47091"/>
    <w:rsid w:val="00C4790B"/>
    <w:rsid w:val="00C50FB8"/>
    <w:rsid w:val="00C5123D"/>
    <w:rsid w:val="00C518E2"/>
    <w:rsid w:val="00C534C8"/>
    <w:rsid w:val="00C54244"/>
    <w:rsid w:val="00C56074"/>
    <w:rsid w:val="00C5685E"/>
    <w:rsid w:val="00C56B4F"/>
    <w:rsid w:val="00C56C15"/>
    <w:rsid w:val="00C62E1A"/>
    <w:rsid w:val="00C637FE"/>
    <w:rsid w:val="00C63AF5"/>
    <w:rsid w:val="00C63BD4"/>
    <w:rsid w:val="00C642B9"/>
    <w:rsid w:val="00C65016"/>
    <w:rsid w:val="00C70AEF"/>
    <w:rsid w:val="00C70FAF"/>
    <w:rsid w:val="00C71CAD"/>
    <w:rsid w:val="00C73929"/>
    <w:rsid w:val="00C7413D"/>
    <w:rsid w:val="00C757B2"/>
    <w:rsid w:val="00C7691A"/>
    <w:rsid w:val="00C77407"/>
    <w:rsid w:val="00C77B97"/>
    <w:rsid w:val="00C802B9"/>
    <w:rsid w:val="00C82B39"/>
    <w:rsid w:val="00C82D38"/>
    <w:rsid w:val="00C839E5"/>
    <w:rsid w:val="00C83FC3"/>
    <w:rsid w:val="00C84977"/>
    <w:rsid w:val="00C85260"/>
    <w:rsid w:val="00C861D2"/>
    <w:rsid w:val="00C87A75"/>
    <w:rsid w:val="00C92281"/>
    <w:rsid w:val="00C92CDA"/>
    <w:rsid w:val="00C9472B"/>
    <w:rsid w:val="00C957D3"/>
    <w:rsid w:val="00C95A4E"/>
    <w:rsid w:val="00C96597"/>
    <w:rsid w:val="00C969F3"/>
    <w:rsid w:val="00C97211"/>
    <w:rsid w:val="00CA1044"/>
    <w:rsid w:val="00CA12A7"/>
    <w:rsid w:val="00CA1EB2"/>
    <w:rsid w:val="00CA2653"/>
    <w:rsid w:val="00CA3591"/>
    <w:rsid w:val="00CA3FD4"/>
    <w:rsid w:val="00CA57E2"/>
    <w:rsid w:val="00CB2099"/>
    <w:rsid w:val="00CB418B"/>
    <w:rsid w:val="00CB7F0D"/>
    <w:rsid w:val="00CC0028"/>
    <w:rsid w:val="00CC1069"/>
    <w:rsid w:val="00CC4A67"/>
    <w:rsid w:val="00CC4EF4"/>
    <w:rsid w:val="00CC5842"/>
    <w:rsid w:val="00CC5A7E"/>
    <w:rsid w:val="00CC60E7"/>
    <w:rsid w:val="00CC7753"/>
    <w:rsid w:val="00CD0C0E"/>
    <w:rsid w:val="00CD11C3"/>
    <w:rsid w:val="00CD2143"/>
    <w:rsid w:val="00CD22C1"/>
    <w:rsid w:val="00CD5BDA"/>
    <w:rsid w:val="00CD5C01"/>
    <w:rsid w:val="00CD5DCD"/>
    <w:rsid w:val="00CE020C"/>
    <w:rsid w:val="00CE1AC0"/>
    <w:rsid w:val="00CE233A"/>
    <w:rsid w:val="00CE5BCD"/>
    <w:rsid w:val="00CE797D"/>
    <w:rsid w:val="00CF1CA0"/>
    <w:rsid w:val="00CF504D"/>
    <w:rsid w:val="00CF60F8"/>
    <w:rsid w:val="00D035FA"/>
    <w:rsid w:val="00D10555"/>
    <w:rsid w:val="00D10A94"/>
    <w:rsid w:val="00D1206A"/>
    <w:rsid w:val="00D15F00"/>
    <w:rsid w:val="00D222D8"/>
    <w:rsid w:val="00D24D36"/>
    <w:rsid w:val="00D27412"/>
    <w:rsid w:val="00D27EAA"/>
    <w:rsid w:val="00D30298"/>
    <w:rsid w:val="00D304D1"/>
    <w:rsid w:val="00D33DA9"/>
    <w:rsid w:val="00D349B9"/>
    <w:rsid w:val="00D34D9F"/>
    <w:rsid w:val="00D36966"/>
    <w:rsid w:val="00D40E4E"/>
    <w:rsid w:val="00D4327E"/>
    <w:rsid w:val="00D43C47"/>
    <w:rsid w:val="00D449C0"/>
    <w:rsid w:val="00D4502B"/>
    <w:rsid w:val="00D457D7"/>
    <w:rsid w:val="00D46996"/>
    <w:rsid w:val="00D50A88"/>
    <w:rsid w:val="00D50AA7"/>
    <w:rsid w:val="00D50D04"/>
    <w:rsid w:val="00D51A6A"/>
    <w:rsid w:val="00D52833"/>
    <w:rsid w:val="00D608D7"/>
    <w:rsid w:val="00D61C41"/>
    <w:rsid w:val="00D62311"/>
    <w:rsid w:val="00D62BB9"/>
    <w:rsid w:val="00D66422"/>
    <w:rsid w:val="00D70FF0"/>
    <w:rsid w:val="00D72203"/>
    <w:rsid w:val="00D72818"/>
    <w:rsid w:val="00D72D29"/>
    <w:rsid w:val="00D75FA3"/>
    <w:rsid w:val="00D81A97"/>
    <w:rsid w:val="00D81D67"/>
    <w:rsid w:val="00D843F4"/>
    <w:rsid w:val="00D873E7"/>
    <w:rsid w:val="00D918DD"/>
    <w:rsid w:val="00D93293"/>
    <w:rsid w:val="00D9415C"/>
    <w:rsid w:val="00D94C31"/>
    <w:rsid w:val="00D9574F"/>
    <w:rsid w:val="00D96034"/>
    <w:rsid w:val="00D96FAA"/>
    <w:rsid w:val="00D97C6A"/>
    <w:rsid w:val="00D97F3C"/>
    <w:rsid w:val="00DA320F"/>
    <w:rsid w:val="00DA322A"/>
    <w:rsid w:val="00DA39B1"/>
    <w:rsid w:val="00DA4878"/>
    <w:rsid w:val="00DA5F8E"/>
    <w:rsid w:val="00DB2833"/>
    <w:rsid w:val="00DB6AD2"/>
    <w:rsid w:val="00DB6EFB"/>
    <w:rsid w:val="00DB7013"/>
    <w:rsid w:val="00DB7352"/>
    <w:rsid w:val="00DB78AA"/>
    <w:rsid w:val="00DB7978"/>
    <w:rsid w:val="00DC09A7"/>
    <w:rsid w:val="00DC13C7"/>
    <w:rsid w:val="00DC686D"/>
    <w:rsid w:val="00DD15C2"/>
    <w:rsid w:val="00DD3616"/>
    <w:rsid w:val="00DD5257"/>
    <w:rsid w:val="00DD5FEB"/>
    <w:rsid w:val="00DE0A50"/>
    <w:rsid w:val="00DE0B13"/>
    <w:rsid w:val="00DE2089"/>
    <w:rsid w:val="00DE20A0"/>
    <w:rsid w:val="00DE2A58"/>
    <w:rsid w:val="00DF58CB"/>
    <w:rsid w:val="00DF7A67"/>
    <w:rsid w:val="00DF7F87"/>
    <w:rsid w:val="00E0088C"/>
    <w:rsid w:val="00E0170F"/>
    <w:rsid w:val="00E01972"/>
    <w:rsid w:val="00E046CD"/>
    <w:rsid w:val="00E06384"/>
    <w:rsid w:val="00E115EE"/>
    <w:rsid w:val="00E147C5"/>
    <w:rsid w:val="00E14C28"/>
    <w:rsid w:val="00E166D7"/>
    <w:rsid w:val="00E1675D"/>
    <w:rsid w:val="00E17D62"/>
    <w:rsid w:val="00E212D0"/>
    <w:rsid w:val="00E21C9C"/>
    <w:rsid w:val="00E22161"/>
    <w:rsid w:val="00E2378E"/>
    <w:rsid w:val="00E25989"/>
    <w:rsid w:val="00E26CDE"/>
    <w:rsid w:val="00E27F3B"/>
    <w:rsid w:val="00E3021A"/>
    <w:rsid w:val="00E30A5B"/>
    <w:rsid w:val="00E30BFD"/>
    <w:rsid w:val="00E326F4"/>
    <w:rsid w:val="00E34B83"/>
    <w:rsid w:val="00E36DF4"/>
    <w:rsid w:val="00E371BB"/>
    <w:rsid w:val="00E42A9F"/>
    <w:rsid w:val="00E42DB0"/>
    <w:rsid w:val="00E476B6"/>
    <w:rsid w:val="00E51B0C"/>
    <w:rsid w:val="00E51F7D"/>
    <w:rsid w:val="00E51FF8"/>
    <w:rsid w:val="00E529BC"/>
    <w:rsid w:val="00E537B4"/>
    <w:rsid w:val="00E55A2E"/>
    <w:rsid w:val="00E57907"/>
    <w:rsid w:val="00E61DD6"/>
    <w:rsid w:val="00E62BED"/>
    <w:rsid w:val="00E6659E"/>
    <w:rsid w:val="00E71924"/>
    <w:rsid w:val="00E722C5"/>
    <w:rsid w:val="00E73A1B"/>
    <w:rsid w:val="00E73ADC"/>
    <w:rsid w:val="00E76310"/>
    <w:rsid w:val="00E7672E"/>
    <w:rsid w:val="00E83CB5"/>
    <w:rsid w:val="00E876A1"/>
    <w:rsid w:val="00E91131"/>
    <w:rsid w:val="00E91A76"/>
    <w:rsid w:val="00E924EE"/>
    <w:rsid w:val="00E93485"/>
    <w:rsid w:val="00E94FEE"/>
    <w:rsid w:val="00E95887"/>
    <w:rsid w:val="00E95A6B"/>
    <w:rsid w:val="00EA0056"/>
    <w:rsid w:val="00EA14B9"/>
    <w:rsid w:val="00EA3E70"/>
    <w:rsid w:val="00EB00FD"/>
    <w:rsid w:val="00EB0254"/>
    <w:rsid w:val="00EB31CA"/>
    <w:rsid w:val="00EB3839"/>
    <w:rsid w:val="00EB65E5"/>
    <w:rsid w:val="00EB7BDE"/>
    <w:rsid w:val="00EC0C5E"/>
    <w:rsid w:val="00EC1470"/>
    <w:rsid w:val="00EC18DC"/>
    <w:rsid w:val="00EC6938"/>
    <w:rsid w:val="00EC79FC"/>
    <w:rsid w:val="00ED148F"/>
    <w:rsid w:val="00ED153A"/>
    <w:rsid w:val="00ED2FFD"/>
    <w:rsid w:val="00ED310D"/>
    <w:rsid w:val="00ED3249"/>
    <w:rsid w:val="00ED3432"/>
    <w:rsid w:val="00ED3B47"/>
    <w:rsid w:val="00EE54A3"/>
    <w:rsid w:val="00EE7017"/>
    <w:rsid w:val="00EE7651"/>
    <w:rsid w:val="00EE7D28"/>
    <w:rsid w:val="00EF108B"/>
    <w:rsid w:val="00EF2A15"/>
    <w:rsid w:val="00EF2F9D"/>
    <w:rsid w:val="00EF4880"/>
    <w:rsid w:val="00EF4F03"/>
    <w:rsid w:val="00EF54B3"/>
    <w:rsid w:val="00EF54E6"/>
    <w:rsid w:val="00EF75B6"/>
    <w:rsid w:val="00F009E0"/>
    <w:rsid w:val="00F00C4C"/>
    <w:rsid w:val="00F010C2"/>
    <w:rsid w:val="00F02FB6"/>
    <w:rsid w:val="00F03BA0"/>
    <w:rsid w:val="00F043C4"/>
    <w:rsid w:val="00F04553"/>
    <w:rsid w:val="00F04F54"/>
    <w:rsid w:val="00F057F6"/>
    <w:rsid w:val="00F069DB"/>
    <w:rsid w:val="00F07689"/>
    <w:rsid w:val="00F10548"/>
    <w:rsid w:val="00F126D4"/>
    <w:rsid w:val="00F1343A"/>
    <w:rsid w:val="00F13B15"/>
    <w:rsid w:val="00F1449F"/>
    <w:rsid w:val="00F15D8C"/>
    <w:rsid w:val="00F1653F"/>
    <w:rsid w:val="00F21027"/>
    <w:rsid w:val="00F2408D"/>
    <w:rsid w:val="00F25E6D"/>
    <w:rsid w:val="00F3058D"/>
    <w:rsid w:val="00F31374"/>
    <w:rsid w:val="00F33606"/>
    <w:rsid w:val="00F34D49"/>
    <w:rsid w:val="00F35903"/>
    <w:rsid w:val="00F3623A"/>
    <w:rsid w:val="00F3797F"/>
    <w:rsid w:val="00F41EA3"/>
    <w:rsid w:val="00F430A0"/>
    <w:rsid w:val="00F4594E"/>
    <w:rsid w:val="00F4771F"/>
    <w:rsid w:val="00F504C6"/>
    <w:rsid w:val="00F51836"/>
    <w:rsid w:val="00F5332E"/>
    <w:rsid w:val="00F54B0B"/>
    <w:rsid w:val="00F54EC9"/>
    <w:rsid w:val="00F55371"/>
    <w:rsid w:val="00F574BB"/>
    <w:rsid w:val="00F57858"/>
    <w:rsid w:val="00F60524"/>
    <w:rsid w:val="00F60AAA"/>
    <w:rsid w:val="00F61562"/>
    <w:rsid w:val="00F6212D"/>
    <w:rsid w:val="00F65172"/>
    <w:rsid w:val="00F72662"/>
    <w:rsid w:val="00F72876"/>
    <w:rsid w:val="00F73D38"/>
    <w:rsid w:val="00F7544B"/>
    <w:rsid w:val="00F8004D"/>
    <w:rsid w:val="00F80AF7"/>
    <w:rsid w:val="00F81BE7"/>
    <w:rsid w:val="00F8464C"/>
    <w:rsid w:val="00F85736"/>
    <w:rsid w:val="00F8632C"/>
    <w:rsid w:val="00F86FBF"/>
    <w:rsid w:val="00F87B42"/>
    <w:rsid w:val="00F9047D"/>
    <w:rsid w:val="00F92617"/>
    <w:rsid w:val="00F93381"/>
    <w:rsid w:val="00F94F72"/>
    <w:rsid w:val="00F96701"/>
    <w:rsid w:val="00F96E32"/>
    <w:rsid w:val="00FA18DD"/>
    <w:rsid w:val="00FA2260"/>
    <w:rsid w:val="00FA33E4"/>
    <w:rsid w:val="00FA61AA"/>
    <w:rsid w:val="00FA6DE7"/>
    <w:rsid w:val="00FB0530"/>
    <w:rsid w:val="00FB2A3E"/>
    <w:rsid w:val="00FB515C"/>
    <w:rsid w:val="00FC1CF1"/>
    <w:rsid w:val="00FD06D9"/>
    <w:rsid w:val="00FD0E8A"/>
    <w:rsid w:val="00FD189C"/>
    <w:rsid w:val="00FD212A"/>
    <w:rsid w:val="00FD41B2"/>
    <w:rsid w:val="00FD4915"/>
    <w:rsid w:val="00FD4B3A"/>
    <w:rsid w:val="00FD4C92"/>
    <w:rsid w:val="00FD5493"/>
    <w:rsid w:val="00FE0BA6"/>
    <w:rsid w:val="00FE14F0"/>
    <w:rsid w:val="00FE4743"/>
    <w:rsid w:val="00FE57D2"/>
    <w:rsid w:val="00FE624F"/>
    <w:rsid w:val="00FE6284"/>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oNotEmbedSmartTags/>
  <w:decimalSymbol w:val="."/>
  <w:listSeparator w:val=","/>
  <w14:docId w14:val="0042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9400B"/>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4940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400B"/>
  </w:style>
  <w:style w:type="paragraph" w:styleId="Footer">
    <w:name w:val="footer"/>
    <w:link w:val="FooterChar"/>
    <w:rsid w:val="0049400B"/>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49400B"/>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OPCCharBase"/>
    <w:uiPriority w:val="99"/>
    <w:unhideWhenUsed/>
    <w:rsid w:val="0049400B"/>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F65172"/>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9400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49400B"/>
  </w:style>
  <w:style w:type="character" w:customStyle="1" w:styleId="CharAmSchText">
    <w:name w:val="CharAmSchText"/>
    <w:basedOn w:val="OPCCharBase"/>
    <w:uiPriority w:val="1"/>
    <w:qFormat/>
    <w:rsid w:val="0049400B"/>
  </w:style>
  <w:style w:type="character" w:customStyle="1" w:styleId="CharChapNo">
    <w:name w:val="CharChapNo"/>
    <w:basedOn w:val="OPCCharBase"/>
    <w:qFormat/>
    <w:rsid w:val="0049400B"/>
  </w:style>
  <w:style w:type="character" w:customStyle="1" w:styleId="CharChapText">
    <w:name w:val="CharChapText"/>
    <w:basedOn w:val="OPCCharBase"/>
    <w:qFormat/>
    <w:rsid w:val="0049400B"/>
  </w:style>
  <w:style w:type="character" w:customStyle="1" w:styleId="CharDivNo">
    <w:name w:val="CharDivNo"/>
    <w:basedOn w:val="OPCCharBase"/>
    <w:qFormat/>
    <w:rsid w:val="0049400B"/>
  </w:style>
  <w:style w:type="character" w:customStyle="1" w:styleId="CharDivText">
    <w:name w:val="CharDivText"/>
    <w:basedOn w:val="OPCCharBase"/>
    <w:qFormat/>
    <w:rsid w:val="0049400B"/>
  </w:style>
  <w:style w:type="character" w:customStyle="1" w:styleId="CharPartNo">
    <w:name w:val="CharPartNo"/>
    <w:basedOn w:val="OPCCharBase"/>
    <w:qFormat/>
    <w:rsid w:val="0049400B"/>
  </w:style>
  <w:style w:type="character" w:customStyle="1" w:styleId="CharPartText">
    <w:name w:val="CharPartText"/>
    <w:basedOn w:val="OPCCharBase"/>
    <w:qFormat/>
    <w:rsid w:val="0049400B"/>
  </w:style>
  <w:style w:type="character" w:customStyle="1" w:styleId="OPCCharBase">
    <w:name w:val="OPCCharBase"/>
    <w:uiPriority w:val="1"/>
    <w:qFormat/>
    <w:rsid w:val="0049400B"/>
  </w:style>
  <w:style w:type="paragraph" w:customStyle="1" w:styleId="OPCParaBase">
    <w:name w:val="OPCParaBase"/>
    <w:qFormat/>
    <w:rsid w:val="0049400B"/>
    <w:pPr>
      <w:spacing w:line="260" w:lineRule="atLeast"/>
    </w:pPr>
    <w:rPr>
      <w:sz w:val="22"/>
    </w:rPr>
  </w:style>
  <w:style w:type="character" w:customStyle="1" w:styleId="CharSectno">
    <w:name w:val="CharSectno"/>
    <w:basedOn w:val="OPCCharBase"/>
    <w:qFormat/>
    <w:rsid w:val="0049400B"/>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49400B"/>
    <w:pPr>
      <w:spacing w:line="240" w:lineRule="auto"/>
      <w:ind w:left="1134"/>
    </w:pPr>
    <w:rPr>
      <w:sz w:val="20"/>
    </w:rPr>
  </w:style>
  <w:style w:type="paragraph" w:customStyle="1" w:styleId="ShortT">
    <w:name w:val="ShortT"/>
    <w:basedOn w:val="OPCParaBase"/>
    <w:next w:val="Normal"/>
    <w:qFormat/>
    <w:rsid w:val="0049400B"/>
    <w:pPr>
      <w:spacing w:line="240" w:lineRule="auto"/>
    </w:pPr>
    <w:rPr>
      <w:b/>
      <w:sz w:val="40"/>
    </w:rPr>
  </w:style>
  <w:style w:type="paragraph" w:customStyle="1" w:styleId="Penalty">
    <w:name w:val="Penalty"/>
    <w:basedOn w:val="OPCParaBase"/>
    <w:rsid w:val="0049400B"/>
    <w:pPr>
      <w:tabs>
        <w:tab w:val="left" w:pos="2977"/>
      </w:tabs>
      <w:spacing w:before="180" w:line="240" w:lineRule="auto"/>
      <w:ind w:left="1985" w:hanging="851"/>
    </w:pPr>
  </w:style>
  <w:style w:type="paragraph" w:customStyle="1" w:styleId="ActHead6">
    <w:name w:val="ActHead 6"/>
    <w:aliases w:val="as"/>
    <w:basedOn w:val="OPCParaBase"/>
    <w:next w:val="ActHead7"/>
    <w:qFormat/>
    <w:rsid w:val="0049400B"/>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4940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940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940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940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9400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940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940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940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9400B"/>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9400B"/>
    <w:pPr>
      <w:spacing w:line="240" w:lineRule="auto"/>
    </w:pPr>
    <w:rPr>
      <w:sz w:val="20"/>
    </w:rPr>
  </w:style>
  <w:style w:type="paragraph" w:customStyle="1" w:styleId="ActHead7">
    <w:name w:val="ActHead 7"/>
    <w:aliases w:val="ap"/>
    <w:basedOn w:val="OPCParaBase"/>
    <w:next w:val="ItemHead"/>
    <w:qFormat/>
    <w:rsid w:val="0049400B"/>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49400B"/>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link w:val="CommentTextChar"/>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3">
    <w:name w:val="ActHead 3"/>
    <w:aliases w:val="d"/>
    <w:basedOn w:val="OPCParaBase"/>
    <w:next w:val="ActHead4"/>
    <w:link w:val="ActHead3Char"/>
    <w:qFormat/>
    <w:rsid w:val="004940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4940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9400B"/>
    <w:pPr>
      <w:keepNext/>
      <w:keepLines/>
      <w:spacing w:before="280" w:line="240" w:lineRule="auto"/>
      <w:ind w:left="1134" w:hanging="1134"/>
      <w:outlineLvl w:val="4"/>
    </w:pPr>
    <w:rPr>
      <w:b/>
      <w:kern w:val="28"/>
      <w:sz w:val="24"/>
    </w:rPr>
  </w:style>
  <w:style w:type="paragraph" w:customStyle="1" w:styleId="BoxText">
    <w:name w:val="BoxText"/>
    <w:aliases w:val="bt"/>
    <w:basedOn w:val="OPCParaBase"/>
    <w:qFormat/>
    <w:rsid w:val="0049400B"/>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SubdNo">
    <w:name w:val="CharSubdNo"/>
    <w:basedOn w:val="OPCCharBase"/>
    <w:uiPriority w:val="1"/>
    <w:qFormat/>
    <w:rsid w:val="0049400B"/>
  </w:style>
  <w:style w:type="character" w:customStyle="1" w:styleId="CharSubdText">
    <w:name w:val="CharSubdText"/>
    <w:basedOn w:val="OPCCharBase"/>
    <w:uiPriority w:val="1"/>
    <w:qFormat/>
    <w:rsid w:val="0049400B"/>
  </w:style>
  <w:style w:type="paragraph" w:customStyle="1" w:styleId="subsection">
    <w:name w:val="subsection"/>
    <w:aliases w:val="ss"/>
    <w:basedOn w:val="OPCParaBase"/>
    <w:link w:val="subsectionChar"/>
    <w:rsid w:val="0049400B"/>
    <w:pPr>
      <w:tabs>
        <w:tab w:val="right" w:pos="1021"/>
      </w:tabs>
      <w:spacing w:before="180" w:line="240" w:lineRule="auto"/>
      <w:ind w:left="1134" w:hanging="1134"/>
    </w:pPr>
  </w:style>
  <w:style w:type="paragraph" w:customStyle="1" w:styleId="notedraft">
    <w:name w:val="note(draft)"/>
    <w:aliases w:val="nd"/>
    <w:basedOn w:val="OPCParaBase"/>
    <w:rsid w:val="0049400B"/>
    <w:pPr>
      <w:spacing w:before="240" w:line="240" w:lineRule="auto"/>
      <w:ind w:left="284" w:hanging="284"/>
    </w:pPr>
    <w:rPr>
      <w:i/>
      <w:sz w:val="24"/>
    </w:rPr>
  </w:style>
  <w:style w:type="paragraph" w:customStyle="1" w:styleId="notetext">
    <w:name w:val="note(text)"/>
    <w:aliases w:val="n"/>
    <w:basedOn w:val="OPCParaBase"/>
    <w:link w:val="notetextChar"/>
    <w:rsid w:val="0049400B"/>
    <w:pPr>
      <w:spacing w:before="122" w:line="240" w:lineRule="auto"/>
      <w:ind w:left="1985" w:hanging="851"/>
    </w:pPr>
    <w:rPr>
      <w:sz w:val="18"/>
    </w:rPr>
  </w:style>
  <w:style w:type="paragraph" w:customStyle="1" w:styleId="paragraphsub">
    <w:name w:val="paragraph(sub)"/>
    <w:aliases w:val="aa"/>
    <w:basedOn w:val="OPCParaBase"/>
    <w:rsid w:val="0049400B"/>
    <w:pPr>
      <w:tabs>
        <w:tab w:val="right" w:pos="1985"/>
      </w:tabs>
      <w:spacing w:before="40" w:line="240" w:lineRule="auto"/>
      <w:ind w:left="2098" w:hanging="2098"/>
    </w:pPr>
  </w:style>
  <w:style w:type="paragraph" w:customStyle="1" w:styleId="paragraph">
    <w:name w:val="paragraph"/>
    <w:aliases w:val="a"/>
    <w:basedOn w:val="OPCParaBase"/>
    <w:link w:val="paragraphChar"/>
    <w:rsid w:val="0049400B"/>
    <w:pPr>
      <w:tabs>
        <w:tab w:val="right" w:pos="1531"/>
      </w:tabs>
      <w:spacing w:before="40" w:line="240" w:lineRule="auto"/>
      <w:ind w:left="1644" w:hanging="1644"/>
    </w:pPr>
  </w:style>
  <w:style w:type="paragraph" w:customStyle="1" w:styleId="subsection2">
    <w:name w:val="subsection2"/>
    <w:aliases w:val="ss2"/>
    <w:basedOn w:val="OPCParaBase"/>
    <w:next w:val="subsection"/>
    <w:rsid w:val="0049400B"/>
    <w:pPr>
      <w:spacing w:before="40" w:line="240" w:lineRule="auto"/>
      <w:ind w:left="1134"/>
    </w:pPr>
  </w:style>
  <w:style w:type="paragraph" w:customStyle="1" w:styleId="SubsectionHead">
    <w:name w:val="SubsectionHead"/>
    <w:aliases w:val="ssh"/>
    <w:basedOn w:val="OPCParaBase"/>
    <w:next w:val="subsection"/>
    <w:rsid w:val="0049400B"/>
    <w:pPr>
      <w:keepNext/>
      <w:keepLines/>
      <w:spacing w:before="240" w:line="240" w:lineRule="auto"/>
      <w:ind w:left="1134"/>
    </w:pPr>
    <w:rPr>
      <w:i/>
    </w:rPr>
  </w:style>
  <w:style w:type="character" w:customStyle="1" w:styleId="paragraphChar">
    <w:name w:val="paragraph Char"/>
    <w:aliases w:val="a Char"/>
    <w:basedOn w:val="DefaultParagraphFont"/>
    <w:link w:val="paragraph"/>
    <w:rsid w:val="00377613"/>
    <w:rPr>
      <w:sz w:val="22"/>
    </w:rPr>
  </w:style>
  <w:style w:type="character" w:customStyle="1" w:styleId="ActHead4Char">
    <w:name w:val="ActHead 4 Char"/>
    <w:aliases w:val="sd Char"/>
    <w:basedOn w:val="DefaultParagraphFont"/>
    <w:link w:val="ActHead4"/>
    <w:rsid w:val="00377613"/>
    <w:rPr>
      <w:b/>
      <w:kern w:val="28"/>
      <w:sz w:val="26"/>
    </w:rPr>
  </w:style>
  <w:style w:type="character" w:customStyle="1" w:styleId="subsectionChar">
    <w:name w:val="subsection Char"/>
    <w:aliases w:val="ss Char"/>
    <w:basedOn w:val="DefaultParagraphFont"/>
    <w:link w:val="subsection"/>
    <w:rsid w:val="00377613"/>
    <w:rPr>
      <w:sz w:val="22"/>
    </w:rPr>
  </w:style>
  <w:style w:type="character" w:customStyle="1" w:styleId="CommentTextChar">
    <w:name w:val="Comment Text Char"/>
    <w:basedOn w:val="DefaultParagraphFont"/>
    <w:link w:val="CommentText"/>
    <w:rsid w:val="00377613"/>
  </w:style>
  <w:style w:type="character" w:customStyle="1" w:styleId="notetextChar">
    <w:name w:val="note(text) Char"/>
    <w:aliases w:val="n Char"/>
    <w:basedOn w:val="DefaultParagraphFont"/>
    <w:link w:val="notetext"/>
    <w:rsid w:val="00377613"/>
    <w:rPr>
      <w:sz w:val="18"/>
    </w:rPr>
  </w:style>
  <w:style w:type="character" w:customStyle="1" w:styleId="ActHead5Char">
    <w:name w:val="ActHead 5 Char"/>
    <w:aliases w:val="s Char"/>
    <w:basedOn w:val="DefaultParagraphFont"/>
    <w:link w:val="ActHead5"/>
    <w:rsid w:val="00377613"/>
    <w:rPr>
      <w:b/>
      <w:kern w:val="28"/>
      <w:sz w:val="24"/>
    </w:rPr>
  </w:style>
  <w:style w:type="character" w:customStyle="1" w:styleId="ActHead3Char">
    <w:name w:val="ActHead 3 Char"/>
    <w:aliases w:val="d Char"/>
    <w:basedOn w:val="DefaultParagraphFont"/>
    <w:link w:val="ActHead3"/>
    <w:rsid w:val="00377613"/>
    <w:rPr>
      <w:b/>
      <w:kern w:val="28"/>
      <w:sz w:val="28"/>
    </w:rPr>
  </w:style>
  <w:style w:type="paragraph" w:customStyle="1" w:styleId="ActHead1">
    <w:name w:val="ActHead 1"/>
    <w:aliases w:val="c"/>
    <w:basedOn w:val="OPCParaBase"/>
    <w:next w:val="Normal"/>
    <w:qFormat/>
    <w:rsid w:val="004940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400B"/>
    <w:pPr>
      <w:keepNext/>
      <w:keepLines/>
      <w:spacing w:before="280" w:line="240" w:lineRule="auto"/>
      <w:ind w:left="1134" w:hanging="1134"/>
      <w:outlineLvl w:val="1"/>
    </w:pPr>
    <w:rPr>
      <w:b/>
      <w:kern w:val="28"/>
      <w:sz w:val="32"/>
    </w:rPr>
  </w:style>
  <w:style w:type="paragraph" w:customStyle="1" w:styleId="noteToPara">
    <w:name w:val="noteToPara"/>
    <w:aliases w:val="ntp"/>
    <w:basedOn w:val="OPCParaBase"/>
    <w:rsid w:val="0049400B"/>
    <w:pPr>
      <w:spacing w:before="122" w:line="198" w:lineRule="exact"/>
      <w:ind w:left="2353" w:hanging="709"/>
    </w:pPr>
    <w:rPr>
      <w:sz w:val="18"/>
    </w:rPr>
  </w:style>
  <w:style w:type="paragraph" w:styleId="ListParagraph">
    <w:name w:val="List Paragraph"/>
    <w:basedOn w:val="Normal"/>
    <w:uiPriority w:val="34"/>
    <w:qFormat/>
    <w:rsid w:val="0032535A"/>
    <w:pPr>
      <w:ind w:left="720"/>
    </w:pPr>
    <w:rPr>
      <w:rFonts w:eastAsia="Calibri"/>
    </w:rPr>
  </w:style>
  <w:style w:type="paragraph" w:customStyle="1" w:styleId="ActHead8">
    <w:name w:val="ActHead 8"/>
    <w:aliases w:val="ad"/>
    <w:basedOn w:val="OPCParaBase"/>
    <w:next w:val="ItemHead"/>
    <w:qFormat/>
    <w:rsid w:val="004940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400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400B"/>
  </w:style>
  <w:style w:type="paragraph" w:customStyle="1" w:styleId="Blocks">
    <w:name w:val="Blocks"/>
    <w:aliases w:val="bb"/>
    <w:basedOn w:val="OPCParaBase"/>
    <w:qFormat/>
    <w:rsid w:val="0049400B"/>
    <w:pPr>
      <w:spacing w:line="240" w:lineRule="auto"/>
    </w:pPr>
    <w:rPr>
      <w:sz w:val="24"/>
    </w:rPr>
  </w:style>
  <w:style w:type="paragraph" w:customStyle="1" w:styleId="BoxHeadBold">
    <w:name w:val="BoxHeadBold"/>
    <w:aliases w:val="bhb"/>
    <w:basedOn w:val="BoxText"/>
    <w:next w:val="BoxText"/>
    <w:qFormat/>
    <w:rsid w:val="0049400B"/>
    <w:rPr>
      <w:b/>
    </w:rPr>
  </w:style>
  <w:style w:type="paragraph" w:customStyle="1" w:styleId="BoxHeadItalic">
    <w:name w:val="BoxHeadItalic"/>
    <w:aliases w:val="bhi"/>
    <w:basedOn w:val="BoxText"/>
    <w:next w:val="BoxStep"/>
    <w:qFormat/>
    <w:rsid w:val="0049400B"/>
    <w:rPr>
      <w:i/>
    </w:rPr>
  </w:style>
  <w:style w:type="paragraph" w:customStyle="1" w:styleId="BoxList">
    <w:name w:val="BoxList"/>
    <w:aliases w:val="bl"/>
    <w:basedOn w:val="BoxText"/>
    <w:qFormat/>
    <w:rsid w:val="0049400B"/>
    <w:pPr>
      <w:ind w:left="1559" w:hanging="425"/>
    </w:pPr>
  </w:style>
  <w:style w:type="paragraph" w:customStyle="1" w:styleId="BoxNote">
    <w:name w:val="BoxNote"/>
    <w:aliases w:val="bn"/>
    <w:basedOn w:val="BoxText"/>
    <w:qFormat/>
    <w:rsid w:val="0049400B"/>
    <w:pPr>
      <w:tabs>
        <w:tab w:val="left" w:pos="1985"/>
      </w:tabs>
      <w:spacing w:before="122" w:line="198" w:lineRule="exact"/>
      <w:ind w:left="2948" w:hanging="1814"/>
    </w:pPr>
    <w:rPr>
      <w:sz w:val="18"/>
    </w:rPr>
  </w:style>
  <w:style w:type="paragraph" w:customStyle="1" w:styleId="BoxPara">
    <w:name w:val="BoxPara"/>
    <w:aliases w:val="bp"/>
    <w:basedOn w:val="BoxText"/>
    <w:qFormat/>
    <w:rsid w:val="0049400B"/>
    <w:pPr>
      <w:tabs>
        <w:tab w:val="right" w:pos="2268"/>
      </w:tabs>
      <w:ind w:left="2552" w:hanging="1418"/>
    </w:pPr>
  </w:style>
  <w:style w:type="paragraph" w:customStyle="1" w:styleId="BoxStep">
    <w:name w:val="BoxStep"/>
    <w:aliases w:val="bs"/>
    <w:basedOn w:val="BoxText"/>
    <w:qFormat/>
    <w:rsid w:val="0049400B"/>
    <w:pPr>
      <w:ind w:left="1985" w:hanging="851"/>
    </w:pPr>
  </w:style>
  <w:style w:type="character" w:customStyle="1" w:styleId="CharAmPartNo">
    <w:name w:val="CharAmPartNo"/>
    <w:basedOn w:val="OPCCharBase"/>
    <w:uiPriority w:val="1"/>
    <w:qFormat/>
    <w:rsid w:val="0049400B"/>
  </w:style>
  <w:style w:type="character" w:customStyle="1" w:styleId="CharAmPartText">
    <w:name w:val="CharAmPartText"/>
    <w:basedOn w:val="OPCCharBase"/>
    <w:uiPriority w:val="1"/>
    <w:qFormat/>
    <w:rsid w:val="0049400B"/>
  </w:style>
  <w:style w:type="character" w:customStyle="1" w:styleId="CharBoldItalic">
    <w:name w:val="CharBoldItalic"/>
    <w:basedOn w:val="OPCCharBase"/>
    <w:uiPriority w:val="1"/>
    <w:qFormat/>
    <w:rsid w:val="0049400B"/>
    <w:rPr>
      <w:b/>
      <w:i/>
    </w:rPr>
  </w:style>
  <w:style w:type="character" w:customStyle="1" w:styleId="CharItalic">
    <w:name w:val="CharItalic"/>
    <w:basedOn w:val="OPCCharBase"/>
    <w:uiPriority w:val="1"/>
    <w:qFormat/>
    <w:rsid w:val="0049400B"/>
    <w:rPr>
      <w:i/>
    </w:rPr>
  </w:style>
  <w:style w:type="paragraph" w:customStyle="1" w:styleId="CTA--">
    <w:name w:val="CTA --"/>
    <w:basedOn w:val="OPCParaBase"/>
    <w:next w:val="Normal"/>
    <w:rsid w:val="0049400B"/>
    <w:pPr>
      <w:spacing w:before="60" w:line="240" w:lineRule="atLeast"/>
      <w:ind w:left="142" w:hanging="142"/>
    </w:pPr>
    <w:rPr>
      <w:sz w:val="20"/>
    </w:rPr>
  </w:style>
  <w:style w:type="paragraph" w:customStyle="1" w:styleId="CTA-">
    <w:name w:val="CTA -"/>
    <w:basedOn w:val="OPCParaBase"/>
    <w:rsid w:val="0049400B"/>
    <w:pPr>
      <w:spacing w:before="60" w:line="240" w:lineRule="atLeast"/>
      <w:ind w:left="85" w:hanging="85"/>
    </w:pPr>
    <w:rPr>
      <w:sz w:val="20"/>
    </w:rPr>
  </w:style>
  <w:style w:type="paragraph" w:customStyle="1" w:styleId="CTA---">
    <w:name w:val="CTA ---"/>
    <w:basedOn w:val="OPCParaBase"/>
    <w:next w:val="Normal"/>
    <w:rsid w:val="0049400B"/>
    <w:pPr>
      <w:spacing w:before="60" w:line="240" w:lineRule="atLeast"/>
      <w:ind w:left="198" w:hanging="198"/>
    </w:pPr>
    <w:rPr>
      <w:sz w:val="20"/>
    </w:rPr>
  </w:style>
  <w:style w:type="paragraph" w:customStyle="1" w:styleId="CTA----">
    <w:name w:val="CTA ----"/>
    <w:basedOn w:val="OPCParaBase"/>
    <w:next w:val="Normal"/>
    <w:rsid w:val="0049400B"/>
    <w:pPr>
      <w:spacing w:before="60" w:line="240" w:lineRule="atLeast"/>
      <w:ind w:left="255" w:hanging="255"/>
    </w:pPr>
    <w:rPr>
      <w:sz w:val="20"/>
    </w:rPr>
  </w:style>
  <w:style w:type="paragraph" w:customStyle="1" w:styleId="CTA1a">
    <w:name w:val="CTA 1(a)"/>
    <w:basedOn w:val="OPCParaBase"/>
    <w:rsid w:val="0049400B"/>
    <w:pPr>
      <w:tabs>
        <w:tab w:val="right" w:pos="414"/>
      </w:tabs>
      <w:spacing w:before="40" w:line="240" w:lineRule="atLeast"/>
      <w:ind w:left="675" w:hanging="675"/>
    </w:pPr>
    <w:rPr>
      <w:sz w:val="20"/>
    </w:rPr>
  </w:style>
  <w:style w:type="paragraph" w:customStyle="1" w:styleId="CTA1ai">
    <w:name w:val="CTA 1(a)(i)"/>
    <w:basedOn w:val="OPCParaBase"/>
    <w:rsid w:val="0049400B"/>
    <w:pPr>
      <w:tabs>
        <w:tab w:val="right" w:pos="1004"/>
      </w:tabs>
      <w:spacing w:before="40" w:line="240" w:lineRule="atLeast"/>
      <w:ind w:left="1253" w:hanging="1253"/>
    </w:pPr>
    <w:rPr>
      <w:sz w:val="20"/>
    </w:rPr>
  </w:style>
  <w:style w:type="paragraph" w:customStyle="1" w:styleId="CTA2a">
    <w:name w:val="CTA 2(a)"/>
    <w:basedOn w:val="OPCParaBase"/>
    <w:rsid w:val="0049400B"/>
    <w:pPr>
      <w:tabs>
        <w:tab w:val="right" w:pos="482"/>
      </w:tabs>
      <w:spacing w:before="40" w:line="240" w:lineRule="atLeast"/>
      <w:ind w:left="748" w:hanging="748"/>
    </w:pPr>
    <w:rPr>
      <w:sz w:val="20"/>
    </w:rPr>
  </w:style>
  <w:style w:type="paragraph" w:customStyle="1" w:styleId="CTA2ai">
    <w:name w:val="CTA 2(a)(i)"/>
    <w:basedOn w:val="OPCParaBase"/>
    <w:rsid w:val="0049400B"/>
    <w:pPr>
      <w:tabs>
        <w:tab w:val="right" w:pos="1089"/>
      </w:tabs>
      <w:spacing w:before="40" w:line="240" w:lineRule="atLeast"/>
      <w:ind w:left="1327" w:hanging="1327"/>
    </w:pPr>
    <w:rPr>
      <w:sz w:val="20"/>
    </w:rPr>
  </w:style>
  <w:style w:type="paragraph" w:customStyle="1" w:styleId="CTA3a">
    <w:name w:val="CTA 3(a)"/>
    <w:basedOn w:val="OPCParaBase"/>
    <w:rsid w:val="0049400B"/>
    <w:pPr>
      <w:tabs>
        <w:tab w:val="right" w:pos="556"/>
      </w:tabs>
      <w:spacing w:before="40" w:line="240" w:lineRule="atLeast"/>
      <w:ind w:left="805" w:hanging="805"/>
    </w:pPr>
    <w:rPr>
      <w:sz w:val="20"/>
    </w:rPr>
  </w:style>
  <w:style w:type="paragraph" w:customStyle="1" w:styleId="CTA3ai">
    <w:name w:val="CTA 3(a)(i)"/>
    <w:basedOn w:val="OPCParaBase"/>
    <w:rsid w:val="0049400B"/>
    <w:pPr>
      <w:tabs>
        <w:tab w:val="right" w:pos="1140"/>
      </w:tabs>
      <w:spacing w:before="40" w:line="240" w:lineRule="atLeast"/>
      <w:ind w:left="1361" w:hanging="1361"/>
    </w:pPr>
    <w:rPr>
      <w:sz w:val="20"/>
    </w:rPr>
  </w:style>
  <w:style w:type="paragraph" w:customStyle="1" w:styleId="CTA4a">
    <w:name w:val="CTA 4(a)"/>
    <w:basedOn w:val="OPCParaBase"/>
    <w:rsid w:val="0049400B"/>
    <w:pPr>
      <w:tabs>
        <w:tab w:val="right" w:pos="624"/>
      </w:tabs>
      <w:spacing w:before="40" w:line="240" w:lineRule="atLeast"/>
      <w:ind w:left="873" w:hanging="873"/>
    </w:pPr>
    <w:rPr>
      <w:sz w:val="20"/>
    </w:rPr>
  </w:style>
  <w:style w:type="paragraph" w:customStyle="1" w:styleId="CTA4ai">
    <w:name w:val="CTA 4(a)(i)"/>
    <w:basedOn w:val="OPCParaBase"/>
    <w:rsid w:val="0049400B"/>
    <w:pPr>
      <w:tabs>
        <w:tab w:val="right" w:pos="1213"/>
      </w:tabs>
      <w:spacing w:before="40" w:line="240" w:lineRule="atLeast"/>
      <w:ind w:left="1452" w:hanging="1452"/>
    </w:pPr>
    <w:rPr>
      <w:sz w:val="20"/>
    </w:rPr>
  </w:style>
  <w:style w:type="paragraph" w:customStyle="1" w:styleId="CTACAPS">
    <w:name w:val="CTA CAPS"/>
    <w:basedOn w:val="OPCParaBase"/>
    <w:rsid w:val="0049400B"/>
    <w:pPr>
      <w:spacing w:before="60" w:line="240" w:lineRule="atLeast"/>
    </w:pPr>
    <w:rPr>
      <w:sz w:val="20"/>
    </w:rPr>
  </w:style>
  <w:style w:type="paragraph" w:customStyle="1" w:styleId="CTAright">
    <w:name w:val="CTA right"/>
    <w:basedOn w:val="OPCParaBase"/>
    <w:rsid w:val="0049400B"/>
    <w:pPr>
      <w:spacing w:before="60" w:line="240" w:lineRule="auto"/>
      <w:jc w:val="right"/>
    </w:pPr>
    <w:rPr>
      <w:sz w:val="20"/>
    </w:rPr>
  </w:style>
  <w:style w:type="paragraph" w:customStyle="1" w:styleId="Definition">
    <w:name w:val="Definition"/>
    <w:aliases w:val="dd"/>
    <w:basedOn w:val="OPCParaBase"/>
    <w:rsid w:val="0049400B"/>
    <w:pPr>
      <w:spacing w:before="180" w:line="240" w:lineRule="auto"/>
      <w:ind w:left="1134"/>
    </w:pPr>
  </w:style>
  <w:style w:type="character" w:customStyle="1" w:styleId="HeaderChar">
    <w:name w:val="Header Char"/>
    <w:basedOn w:val="DefaultParagraphFont"/>
    <w:link w:val="Header"/>
    <w:rsid w:val="0049400B"/>
    <w:rPr>
      <w:sz w:val="16"/>
    </w:rPr>
  </w:style>
  <w:style w:type="paragraph" w:customStyle="1" w:styleId="House">
    <w:name w:val="House"/>
    <w:basedOn w:val="OPCParaBase"/>
    <w:rsid w:val="0049400B"/>
    <w:pPr>
      <w:spacing w:line="240" w:lineRule="auto"/>
    </w:pPr>
    <w:rPr>
      <w:sz w:val="28"/>
    </w:rPr>
  </w:style>
  <w:style w:type="paragraph" w:customStyle="1" w:styleId="Item">
    <w:name w:val="Item"/>
    <w:aliases w:val="i"/>
    <w:basedOn w:val="OPCParaBase"/>
    <w:next w:val="ItemHead"/>
    <w:rsid w:val="0049400B"/>
    <w:pPr>
      <w:keepLines/>
      <w:spacing w:before="80" w:line="240" w:lineRule="auto"/>
      <w:ind w:left="709"/>
    </w:pPr>
  </w:style>
  <w:style w:type="paragraph" w:customStyle="1" w:styleId="ItemHead">
    <w:name w:val="ItemHead"/>
    <w:aliases w:val="ih"/>
    <w:basedOn w:val="OPCParaBase"/>
    <w:next w:val="Item"/>
    <w:rsid w:val="0049400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9400B"/>
    <w:pPr>
      <w:spacing w:line="240" w:lineRule="auto"/>
    </w:pPr>
    <w:rPr>
      <w:b/>
      <w:sz w:val="32"/>
    </w:rPr>
  </w:style>
  <w:style w:type="paragraph" w:customStyle="1" w:styleId="notemargin">
    <w:name w:val="note(margin)"/>
    <w:aliases w:val="nm"/>
    <w:basedOn w:val="OPCParaBase"/>
    <w:rsid w:val="0049400B"/>
    <w:pPr>
      <w:tabs>
        <w:tab w:val="left" w:pos="709"/>
      </w:tabs>
      <w:spacing w:before="122" w:line="198" w:lineRule="exact"/>
      <w:ind w:left="709" w:hanging="709"/>
    </w:pPr>
    <w:rPr>
      <w:sz w:val="18"/>
    </w:rPr>
  </w:style>
  <w:style w:type="paragraph" w:customStyle="1" w:styleId="notepara">
    <w:name w:val="note(para)"/>
    <w:aliases w:val="na"/>
    <w:basedOn w:val="OPCParaBase"/>
    <w:rsid w:val="0049400B"/>
    <w:pPr>
      <w:spacing w:before="40" w:line="198" w:lineRule="exact"/>
      <w:ind w:left="2354" w:hanging="369"/>
    </w:pPr>
    <w:rPr>
      <w:sz w:val="18"/>
    </w:rPr>
  </w:style>
  <w:style w:type="paragraph" w:customStyle="1" w:styleId="noteParlAmend">
    <w:name w:val="note(ParlAmend)"/>
    <w:aliases w:val="npp"/>
    <w:basedOn w:val="OPCParaBase"/>
    <w:next w:val="ParlAmend"/>
    <w:rsid w:val="0049400B"/>
    <w:pPr>
      <w:spacing w:line="240" w:lineRule="auto"/>
      <w:jc w:val="right"/>
    </w:pPr>
    <w:rPr>
      <w:rFonts w:ascii="Arial" w:hAnsi="Arial"/>
      <w:b/>
      <w:i/>
    </w:rPr>
  </w:style>
  <w:style w:type="paragraph" w:customStyle="1" w:styleId="Page1">
    <w:name w:val="Page1"/>
    <w:basedOn w:val="OPCParaBase"/>
    <w:rsid w:val="0049400B"/>
    <w:pPr>
      <w:spacing w:before="5600" w:line="240" w:lineRule="auto"/>
    </w:pPr>
    <w:rPr>
      <w:b/>
      <w:sz w:val="32"/>
    </w:rPr>
  </w:style>
  <w:style w:type="paragraph" w:customStyle="1" w:styleId="paragraphsub-sub">
    <w:name w:val="paragraph(sub-sub)"/>
    <w:aliases w:val="aaa"/>
    <w:basedOn w:val="OPCParaBase"/>
    <w:rsid w:val="0049400B"/>
    <w:pPr>
      <w:tabs>
        <w:tab w:val="right" w:pos="2722"/>
      </w:tabs>
      <w:spacing w:before="40" w:line="240" w:lineRule="auto"/>
      <w:ind w:left="2835" w:hanging="2835"/>
    </w:pPr>
  </w:style>
  <w:style w:type="paragraph" w:customStyle="1" w:styleId="ParlAmend">
    <w:name w:val="ParlAmend"/>
    <w:aliases w:val="pp"/>
    <w:basedOn w:val="OPCParaBase"/>
    <w:rsid w:val="0049400B"/>
    <w:pPr>
      <w:spacing w:before="240" w:line="240" w:lineRule="atLeast"/>
      <w:ind w:hanging="567"/>
    </w:pPr>
    <w:rPr>
      <w:sz w:val="24"/>
    </w:rPr>
  </w:style>
  <w:style w:type="paragraph" w:customStyle="1" w:styleId="Portfolio">
    <w:name w:val="Portfolio"/>
    <w:basedOn w:val="OPCParaBase"/>
    <w:rsid w:val="0049400B"/>
    <w:pPr>
      <w:spacing w:line="240" w:lineRule="auto"/>
    </w:pPr>
    <w:rPr>
      <w:i/>
      <w:sz w:val="20"/>
    </w:rPr>
  </w:style>
  <w:style w:type="paragraph" w:customStyle="1" w:styleId="Preamble">
    <w:name w:val="Preamble"/>
    <w:basedOn w:val="OPCParaBase"/>
    <w:next w:val="Normal"/>
    <w:rsid w:val="004940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400B"/>
    <w:pPr>
      <w:spacing w:line="240" w:lineRule="auto"/>
    </w:pPr>
    <w:rPr>
      <w:i/>
      <w:sz w:val="20"/>
    </w:rPr>
  </w:style>
  <w:style w:type="paragraph" w:customStyle="1" w:styleId="Session">
    <w:name w:val="Session"/>
    <w:basedOn w:val="OPCParaBase"/>
    <w:rsid w:val="0049400B"/>
    <w:pPr>
      <w:spacing w:line="240" w:lineRule="auto"/>
    </w:pPr>
    <w:rPr>
      <w:sz w:val="28"/>
    </w:rPr>
  </w:style>
  <w:style w:type="paragraph" w:customStyle="1" w:styleId="Sponsor">
    <w:name w:val="Sponsor"/>
    <w:basedOn w:val="OPCParaBase"/>
    <w:rsid w:val="0049400B"/>
    <w:pPr>
      <w:spacing w:line="240" w:lineRule="auto"/>
    </w:pPr>
    <w:rPr>
      <w:i/>
    </w:rPr>
  </w:style>
  <w:style w:type="paragraph" w:customStyle="1" w:styleId="Subitem">
    <w:name w:val="Subitem"/>
    <w:aliases w:val="iss"/>
    <w:basedOn w:val="OPCParaBase"/>
    <w:rsid w:val="0049400B"/>
    <w:pPr>
      <w:spacing w:before="180" w:line="240" w:lineRule="auto"/>
      <w:ind w:left="709" w:hanging="709"/>
    </w:pPr>
  </w:style>
  <w:style w:type="paragraph" w:customStyle="1" w:styleId="SubitemHead">
    <w:name w:val="SubitemHead"/>
    <w:aliases w:val="issh"/>
    <w:basedOn w:val="OPCParaBase"/>
    <w:rsid w:val="0049400B"/>
    <w:pPr>
      <w:keepNext/>
      <w:keepLines/>
      <w:spacing w:before="220" w:line="240" w:lineRule="auto"/>
      <w:ind w:left="709"/>
    </w:pPr>
    <w:rPr>
      <w:rFonts w:ascii="Arial" w:hAnsi="Arial"/>
      <w:i/>
      <w:kern w:val="28"/>
    </w:rPr>
  </w:style>
  <w:style w:type="paragraph" w:customStyle="1" w:styleId="Tablea">
    <w:name w:val="Table(a)"/>
    <w:aliases w:val="ta"/>
    <w:basedOn w:val="OPCParaBase"/>
    <w:rsid w:val="0049400B"/>
    <w:pPr>
      <w:spacing w:before="60" w:line="240" w:lineRule="auto"/>
      <w:ind w:left="284" w:hanging="284"/>
    </w:pPr>
    <w:rPr>
      <w:sz w:val="20"/>
    </w:rPr>
  </w:style>
  <w:style w:type="paragraph" w:customStyle="1" w:styleId="TableAA">
    <w:name w:val="Table(AA)"/>
    <w:aliases w:val="taaa"/>
    <w:basedOn w:val="OPCParaBase"/>
    <w:rsid w:val="004940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940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9400B"/>
    <w:pPr>
      <w:spacing w:before="60" w:line="240" w:lineRule="atLeast"/>
    </w:pPr>
    <w:rPr>
      <w:sz w:val="20"/>
    </w:rPr>
  </w:style>
  <w:style w:type="paragraph" w:customStyle="1" w:styleId="TLPBoxTextnote">
    <w:name w:val="TLPBoxText(note"/>
    <w:aliases w:val="right)"/>
    <w:basedOn w:val="OPCParaBase"/>
    <w:rsid w:val="004940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400B"/>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400B"/>
    <w:pPr>
      <w:spacing w:before="122" w:line="198" w:lineRule="exact"/>
      <w:ind w:left="1985" w:hanging="851"/>
      <w:jc w:val="right"/>
    </w:pPr>
    <w:rPr>
      <w:sz w:val="18"/>
    </w:rPr>
  </w:style>
  <w:style w:type="paragraph" w:customStyle="1" w:styleId="TLPTableBullet">
    <w:name w:val="TLPTableBullet"/>
    <w:aliases w:val="ttb"/>
    <w:basedOn w:val="OPCParaBase"/>
    <w:rsid w:val="0049400B"/>
    <w:pPr>
      <w:spacing w:line="240" w:lineRule="exact"/>
      <w:ind w:left="284" w:hanging="284"/>
    </w:pPr>
    <w:rPr>
      <w:sz w:val="20"/>
    </w:rPr>
  </w:style>
  <w:style w:type="paragraph" w:customStyle="1" w:styleId="TofSectsGroupHeading">
    <w:name w:val="TofSects(GroupHeading)"/>
    <w:basedOn w:val="OPCParaBase"/>
    <w:next w:val="TofSectsSection"/>
    <w:rsid w:val="0049400B"/>
    <w:pPr>
      <w:keepLines/>
      <w:spacing w:before="240" w:after="120" w:line="240" w:lineRule="auto"/>
      <w:ind w:left="794"/>
    </w:pPr>
    <w:rPr>
      <w:b/>
      <w:kern w:val="28"/>
      <w:sz w:val="20"/>
    </w:rPr>
  </w:style>
  <w:style w:type="paragraph" w:customStyle="1" w:styleId="TofSectsHeading">
    <w:name w:val="TofSects(Heading)"/>
    <w:basedOn w:val="OPCParaBase"/>
    <w:rsid w:val="0049400B"/>
    <w:pPr>
      <w:spacing w:before="240" w:after="120" w:line="240" w:lineRule="auto"/>
    </w:pPr>
    <w:rPr>
      <w:b/>
      <w:sz w:val="24"/>
    </w:rPr>
  </w:style>
  <w:style w:type="paragraph" w:customStyle="1" w:styleId="TofSectsSection">
    <w:name w:val="TofSects(Section)"/>
    <w:basedOn w:val="OPCParaBase"/>
    <w:rsid w:val="0049400B"/>
    <w:pPr>
      <w:keepLines/>
      <w:spacing w:before="40" w:line="240" w:lineRule="auto"/>
      <w:ind w:left="1588" w:hanging="794"/>
    </w:pPr>
    <w:rPr>
      <w:kern w:val="28"/>
      <w:sz w:val="18"/>
    </w:rPr>
  </w:style>
  <w:style w:type="paragraph" w:customStyle="1" w:styleId="TofSectsSubdiv">
    <w:name w:val="TofSects(Subdiv)"/>
    <w:basedOn w:val="OPCParaBase"/>
    <w:rsid w:val="0049400B"/>
    <w:pPr>
      <w:keepLines/>
      <w:spacing w:before="80" w:line="240" w:lineRule="auto"/>
      <w:ind w:left="1588" w:hanging="794"/>
    </w:pPr>
    <w:rPr>
      <w:kern w:val="28"/>
    </w:rPr>
  </w:style>
  <w:style w:type="paragraph" w:customStyle="1" w:styleId="WRStyle">
    <w:name w:val="WR Style"/>
    <w:aliases w:val="WR"/>
    <w:basedOn w:val="OPCParaBase"/>
    <w:rsid w:val="0049400B"/>
    <w:pPr>
      <w:spacing w:before="240" w:line="240" w:lineRule="auto"/>
      <w:ind w:left="284" w:hanging="284"/>
    </w:pPr>
    <w:rPr>
      <w:b/>
      <w:i/>
      <w:kern w:val="28"/>
      <w:sz w:val="24"/>
    </w:rPr>
  </w:style>
  <w:style w:type="numbering" w:customStyle="1" w:styleId="OPCBodyList">
    <w:name w:val="OPCBodyList"/>
    <w:uiPriority w:val="99"/>
    <w:rsid w:val="00F65172"/>
    <w:pPr>
      <w:numPr>
        <w:numId w:val="18"/>
      </w:numPr>
    </w:pPr>
  </w:style>
  <w:style w:type="character" w:customStyle="1" w:styleId="FooterChar">
    <w:name w:val="Footer Char"/>
    <w:basedOn w:val="DefaultParagraphFont"/>
    <w:link w:val="Footer"/>
    <w:rsid w:val="0049400B"/>
    <w:rPr>
      <w:sz w:val="22"/>
      <w:szCs w:val="24"/>
    </w:rPr>
  </w:style>
  <w:style w:type="character" w:customStyle="1" w:styleId="BalloonTextChar">
    <w:name w:val="Balloon Text Char"/>
    <w:basedOn w:val="DefaultParagraphFont"/>
    <w:link w:val="BalloonText"/>
    <w:uiPriority w:val="99"/>
    <w:rsid w:val="0049400B"/>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4940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40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40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400B"/>
    <w:pPr>
      <w:tabs>
        <w:tab w:val="right" w:pos="1412"/>
      </w:tabs>
      <w:spacing w:before="60" w:line="240" w:lineRule="auto"/>
      <w:ind w:left="1525" w:hanging="1525"/>
    </w:pPr>
    <w:rPr>
      <w:sz w:val="20"/>
    </w:rPr>
  </w:style>
  <w:style w:type="table" w:customStyle="1" w:styleId="CFlag">
    <w:name w:val="CFlag"/>
    <w:basedOn w:val="TableNormal"/>
    <w:uiPriority w:val="99"/>
    <w:rsid w:val="0049400B"/>
    <w:tblPr/>
  </w:style>
  <w:style w:type="paragraph" w:customStyle="1" w:styleId="InstNo">
    <w:name w:val="InstNo"/>
    <w:basedOn w:val="OPCParaBase"/>
    <w:next w:val="Normal"/>
    <w:rsid w:val="0049400B"/>
    <w:rPr>
      <w:b/>
      <w:sz w:val="28"/>
      <w:szCs w:val="32"/>
    </w:rPr>
  </w:style>
  <w:style w:type="paragraph" w:customStyle="1" w:styleId="TerritoryT">
    <w:name w:val="TerritoryT"/>
    <w:basedOn w:val="OPCParaBase"/>
    <w:next w:val="Normal"/>
    <w:rsid w:val="0049400B"/>
    <w:rPr>
      <w:b/>
      <w:sz w:val="32"/>
    </w:rPr>
  </w:style>
  <w:style w:type="paragraph" w:customStyle="1" w:styleId="LegislationMadeUnder">
    <w:name w:val="LegislationMadeUnder"/>
    <w:basedOn w:val="OPCParaBase"/>
    <w:next w:val="Normal"/>
    <w:rsid w:val="0049400B"/>
    <w:rPr>
      <w:i/>
      <w:sz w:val="32"/>
      <w:szCs w:val="32"/>
    </w:rPr>
  </w:style>
  <w:style w:type="paragraph" w:customStyle="1" w:styleId="SignCoverPageEnd">
    <w:name w:val="SignCoverPageEnd"/>
    <w:basedOn w:val="OPCParaBase"/>
    <w:next w:val="Normal"/>
    <w:rsid w:val="004940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400B"/>
    <w:pPr>
      <w:pBdr>
        <w:top w:val="single" w:sz="4" w:space="1" w:color="auto"/>
      </w:pBdr>
      <w:spacing w:before="360"/>
      <w:ind w:right="397"/>
      <w:jc w:val="both"/>
    </w:pPr>
  </w:style>
  <w:style w:type="paragraph" w:customStyle="1" w:styleId="NotesHeading2">
    <w:name w:val="NotesHeading 2"/>
    <w:basedOn w:val="OPCParaBase"/>
    <w:next w:val="Normal"/>
    <w:rsid w:val="0049400B"/>
    <w:rPr>
      <w:b/>
      <w:sz w:val="28"/>
      <w:szCs w:val="28"/>
    </w:rPr>
  </w:style>
  <w:style w:type="paragraph" w:customStyle="1" w:styleId="NotesHeading1">
    <w:name w:val="NotesHeading 1"/>
    <w:basedOn w:val="OPCParaBase"/>
    <w:next w:val="Normal"/>
    <w:rsid w:val="0049400B"/>
    <w:rPr>
      <w:b/>
      <w:sz w:val="28"/>
      <w:szCs w:val="28"/>
    </w:rPr>
  </w:style>
  <w:style w:type="paragraph" w:customStyle="1" w:styleId="CompiledActNo">
    <w:name w:val="CompiledActNo"/>
    <w:basedOn w:val="OPCParaBase"/>
    <w:next w:val="Normal"/>
    <w:rsid w:val="0049400B"/>
    <w:rPr>
      <w:b/>
      <w:sz w:val="24"/>
      <w:szCs w:val="24"/>
    </w:rPr>
  </w:style>
  <w:style w:type="paragraph" w:customStyle="1" w:styleId="ENotesHeading1">
    <w:name w:val="ENotesHeading 1"/>
    <w:aliases w:val="Enh1"/>
    <w:basedOn w:val="OPCParaBase"/>
    <w:next w:val="Normal"/>
    <w:rsid w:val="0049400B"/>
    <w:pPr>
      <w:spacing w:before="120"/>
      <w:outlineLvl w:val="1"/>
    </w:pPr>
    <w:rPr>
      <w:b/>
      <w:sz w:val="28"/>
      <w:szCs w:val="28"/>
    </w:rPr>
  </w:style>
  <w:style w:type="paragraph" w:customStyle="1" w:styleId="ENotesHeading2">
    <w:name w:val="ENotesHeading 2"/>
    <w:aliases w:val="Enh2"/>
    <w:basedOn w:val="OPCParaBase"/>
    <w:next w:val="Normal"/>
    <w:rsid w:val="0049400B"/>
    <w:pPr>
      <w:spacing w:before="120" w:after="120"/>
      <w:outlineLvl w:val="2"/>
    </w:pPr>
    <w:rPr>
      <w:b/>
      <w:sz w:val="24"/>
      <w:szCs w:val="28"/>
    </w:rPr>
  </w:style>
  <w:style w:type="paragraph" w:customStyle="1" w:styleId="ENotesHeading3">
    <w:name w:val="ENotesHeading 3"/>
    <w:aliases w:val="Enh3"/>
    <w:basedOn w:val="OPCParaBase"/>
    <w:next w:val="Normal"/>
    <w:rsid w:val="0049400B"/>
    <w:pPr>
      <w:keepNext/>
      <w:spacing w:before="120" w:line="240" w:lineRule="auto"/>
      <w:outlineLvl w:val="4"/>
    </w:pPr>
    <w:rPr>
      <w:b/>
      <w:szCs w:val="24"/>
    </w:rPr>
  </w:style>
  <w:style w:type="paragraph" w:customStyle="1" w:styleId="ENotesText">
    <w:name w:val="ENotesText"/>
    <w:aliases w:val="Ent"/>
    <w:basedOn w:val="OPCParaBase"/>
    <w:next w:val="Normal"/>
    <w:rsid w:val="0049400B"/>
    <w:pPr>
      <w:spacing w:before="120"/>
    </w:pPr>
  </w:style>
  <w:style w:type="paragraph" w:customStyle="1" w:styleId="CompiledMadeUnder">
    <w:name w:val="CompiledMadeUnder"/>
    <w:basedOn w:val="OPCParaBase"/>
    <w:next w:val="Normal"/>
    <w:rsid w:val="0049400B"/>
    <w:rPr>
      <w:i/>
      <w:sz w:val="24"/>
      <w:szCs w:val="24"/>
    </w:rPr>
  </w:style>
  <w:style w:type="paragraph" w:customStyle="1" w:styleId="Paragraphsub-sub-sub">
    <w:name w:val="Paragraph(sub-sub-sub)"/>
    <w:aliases w:val="aaaa"/>
    <w:basedOn w:val="OPCParaBase"/>
    <w:rsid w:val="0049400B"/>
    <w:pPr>
      <w:tabs>
        <w:tab w:val="right" w:pos="3402"/>
      </w:tabs>
      <w:spacing w:before="40" w:line="240" w:lineRule="auto"/>
      <w:ind w:left="3402" w:hanging="3402"/>
    </w:pPr>
  </w:style>
  <w:style w:type="paragraph" w:customStyle="1" w:styleId="TableTextEndNotes">
    <w:name w:val="TableTextEndNotes"/>
    <w:aliases w:val="Tten"/>
    <w:basedOn w:val="Normal"/>
    <w:rsid w:val="0049400B"/>
    <w:pPr>
      <w:spacing w:before="60" w:line="240" w:lineRule="auto"/>
    </w:pPr>
    <w:rPr>
      <w:rFonts w:cs="Arial"/>
      <w:sz w:val="20"/>
      <w:szCs w:val="22"/>
    </w:rPr>
  </w:style>
  <w:style w:type="paragraph" w:customStyle="1" w:styleId="SubPartCASA">
    <w:name w:val="SubPart(CASA)"/>
    <w:aliases w:val="csp"/>
    <w:basedOn w:val="OPCParaBase"/>
    <w:next w:val="ActHead3"/>
    <w:rsid w:val="0049400B"/>
    <w:pPr>
      <w:keepNext/>
      <w:keepLines/>
      <w:spacing w:before="280"/>
      <w:ind w:left="1134" w:hanging="1134"/>
      <w:outlineLvl w:val="1"/>
    </w:pPr>
    <w:rPr>
      <w:b/>
      <w:kern w:val="28"/>
      <w:sz w:val="32"/>
    </w:rPr>
  </w:style>
  <w:style w:type="paragraph" w:customStyle="1" w:styleId="MadeunderText">
    <w:name w:val="MadeunderText"/>
    <w:basedOn w:val="OPCParaBase"/>
    <w:next w:val="CompiledMadeUnder"/>
    <w:rsid w:val="0049400B"/>
    <w:pPr>
      <w:spacing w:before="240"/>
    </w:pPr>
    <w:rPr>
      <w:sz w:val="24"/>
      <w:szCs w:val="24"/>
    </w:rPr>
  </w:style>
  <w:style w:type="paragraph" w:customStyle="1" w:styleId="ENoteTableHeading">
    <w:name w:val="ENoteTableHeading"/>
    <w:aliases w:val="enth"/>
    <w:basedOn w:val="OPCParaBase"/>
    <w:rsid w:val="0049400B"/>
    <w:pPr>
      <w:keepNext/>
      <w:spacing w:before="60" w:line="240" w:lineRule="atLeast"/>
    </w:pPr>
    <w:rPr>
      <w:rFonts w:ascii="Arial" w:hAnsi="Arial"/>
      <w:b/>
      <w:sz w:val="16"/>
    </w:rPr>
  </w:style>
  <w:style w:type="paragraph" w:customStyle="1" w:styleId="ENoteTableText">
    <w:name w:val="ENoteTableText"/>
    <w:aliases w:val="entt"/>
    <w:basedOn w:val="OPCParaBase"/>
    <w:rsid w:val="0049400B"/>
    <w:pPr>
      <w:spacing w:before="60" w:line="240" w:lineRule="atLeast"/>
    </w:pPr>
    <w:rPr>
      <w:sz w:val="16"/>
    </w:rPr>
  </w:style>
  <w:style w:type="paragraph" w:customStyle="1" w:styleId="ActHead10">
    <w:name w:val="ActHead 10"/>
    <w:aliases w:val="sp"/>
    <w:basedOn w:val="OPCParaBase"/>
    <w:next w:val="ActHead3"/>
    <w:rsid w:val="0049400B"/>
    <w:pPr>
      <w:keepNext/>
      <w:spacing w:before="280" w:line="240" w:lineRule="auto"/>
      <w:outlineLvl w:val="1"/>
    </w:pPr>
    <w:rPr>
      <w:b/>
      <w:sz w:val="32"/>
      <w:szCs w:val="30"/>
    </w:rPr>
  </w:style>
  <w:style w:type="paragraph" w:customStyle="1" w:styleId="TableHeading">
    <w:name w:val="TableHeading"/>
    <w:aliases w:val="th"/>
    <w:basedOn w:val="OPCParaBase"/>
    <w:next w:val="Tabletext"/>
    <w:rsid w:val="0049400B"/>
    <w:pPr>
      <w:keepNext/>
      <w:spacing w:before="60" w:line="240" w:lineRule="atLeast"/>
    </w:pPr>
    <w:rPr>
      <w:b/>
      <w:sz w:val="20"/>
    </w:rPr>
  </w:style>
  <w:style w:type="paragraph" w:customStyle="1" w:styleId="NoteToSubpara">
    <w:name w:val="NoteToSubpara"/>
    <w:aliases w:val="nts"/>
    <w:basedOn w:val="OPCParaBase"/>
    <w:rsid w:val="0049400B"/>
    <w:pPr>
      <w:spacing w:before="40" w:line="198" w:lineRule="exact"/>
      <w:ind w:left="2835" w:hanging="709"/>
    </w:pPr>
    <w:rPr>
      <w:sz w:val="18"/>
    </w:rPr>
  </w:style>
  <w:style w:type="paragraph" w:customStyle="1" w:styleId="ENoteTTi">
    <w:name w:val="ENoteTTi"/>
    <w:aliases w:val="entti"/>
    <w:basedOn w:val="OPCParaBase"/>
    <w:rsid w:val="0049400B"/>
    <w:pPr>
      <w:keepNext/>
      <w:spacing w:before="60" w:line="240" w:lineRule="atLeast"/>
      <w:ind w:left="170"/>
    </w:pPr>
    <w:rPr>
      <w:sz w:val="16"/>
    </w:rPr>
  </w:style>
  <w:style w:type="paragraph" w:customStyle="1" w:styleId="ENoteTTIndentHeading">
    <w:name w:val="ENoteTTIndentHeading"/>
    <w:aliases w:val="enTTHi"/>
    <w:basedOn w:val="OPCParaBase"/>
    <w:rsid w:val="0049400B"/>
    <w:pPr>
      <w:keepNext/>
      <w:spacing w:before="60" w:line="240" w:lineRule="atLeast"/>
      <w:ind w:left="170"/>
    </w:pPr>
    <w:rPr>
      <w:rFonts w:cs="Arial"/>
      <w:b/>
      <w:sz w:val="16"/>
      <w:szCs w:val="16"/>
    </w:rPr>
  </w:style>
  <w:style w:type="character" w:customStyle="1" w:styleId="CharSubPartTextCASA">
    <w:name w:val="CharSubPartText(CASA)"/>
    <w:basedOn w:val="OPCCharBase"/>
    <w:uiPriority w:val="1"/>
    <w:rsid w:val="0049400B"/>
  </w:style>
  <w:style w:type="character" w:customStyle="1" w:styleId="CharSubPartNoCASA">
    <w:name w:val="CharSubPartNo(CASA)"/>
    <w:basedOn w:val="OPCCharBase"/>
    <w:uiPriority w:val="1"/>
    <w:rsid w:val="0049400B"/>
  </w:style>
  <w:style w:type="paragraph" w:customStyle="1" w:styleId="ENoteTTIndentHeadingSub">
    <w:name w:val="ENoteTTIndentHeadingSub"/>
    <w:aliases w:val="enTTHis"/>
    <w:basedOn w:val="OPCParaBase"/>
    <w:rsid w:val="0049400B"/>
    <w:pPr>
      <w:keepNext/>
      <w:spacing w:before="60" w:line="240" w:lineRule="atLeast"/>
      <w:ind w:left="340"/>
    </w:pPr>
    <w:rPr>
      <w:b/>
      <w:sz w:val="16"/>
    </w:rPr>
  </w:style>
  <w:style w:type="paragraph" w:customStyle="1" w:styleId="ENoteTTiSub">
    <w:name w:val="ENoteTTiSub"/>
    <w:aliases w:val="enttis"/>
    <w:basedOn w:val="OPCParaBase"/>
    <w:rsid w:val="0049400B"/>
    <w:pPr>
      <w:keepNext/>
      <w:spacing w:before="60" w:line="240" w:lineRule="atLeast"/>
      <w:ind w:left="340"/>
    </w:pPr>
    <w:rPr>
      <w:sz w:val="16"/>
    </w:rPr>
  </w:style>
  <w:style w:type="paragraph" w:customStyle="1" w:styleId="SubDivisionMigration">
    <w:name w:val="SubDivisionMigration"/>
    <w:aliases w:val="sdm"/>
    <w:basedOn w:val="OPCParaBase"/>
    <w:rsid w:val="004940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400B"/>
    <w:pPr>
      <w:keepNext/>
      <w:keepLines/>
      <w:spacing w:before="240" w:line="240" w:lineRule="auto"/>
      <w:ind w:left="1134" w:hanging="1134"/>
    </w:pPr>
    <w:rPr>
      <w:b/>
      <w:sz w:val="28"/>
    </w:rPr>
  </w:style>
  <w:style w:type="paragraph" w:customStyle="1" w:styleId="FreeForm">
    <w:name w:val="FreeForm"/>
    <w:rsid w:val="0049400B"/>
    <w:rPr>
      <w:rFonts w:ascii="Arial" w:eastAsiaTheme="minorHAnsi" w:hAnsi="Arial" w:cstheme="minorBidi"/>
      <w:sz w:val="22"/>
      <w:lang w:eastAsia="en-US"/>
    </w:rPr>
  </w:style>
  <w:style w:type="paragraph" w:customStyle="1" w:styleId="SOText">
    <w:name w:val="SO Text"/>
    <w:aliases w:val="sot"/>
    <w:link w:val="SOTextChar"/>
    <w:rsid w:val="0049400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9400B"/>
    <w:rPr>
      <w:rFonts w:eastAsiaTheme="minorHAnsi" w:cstheme="minorBidi"/>
      <w:sz w:val="22"/>
      <w:lang w:eastAsia="en-US"/>
    </w:rPr>
  </w:style>
  <w:style w:type="paragraph" w:customStyle="1" w:styleId="SOTextNote">
    <w:name w:val="SO TextNote"/>
    <w:aliases w:val="sont"/>
    <w:basedOn w:val="SOText"/>
    <w:qFormat/>
    <w:rsid w:val="0049400B"/>
    <w:pPr>
      <w:spacing w:before="122" w:line="198" w:lineRule="exact"/>
      <w:ind w:left="1843" w:hanging="709"/>
    </w:pPr>
    <w:rPr>
      <w:sz w:val="18"/>
    </w:rPr>
  </w:style>
  <w:style w:type="paragraph" w:customStyle="1" w:styleId="SOPara">
    <w:name w:val="SO Para"/>
    <w:aliases w:val="soa"/>
    <w:basedOn w:val="SOText"/>
    <w:link w:val="SOParaChar"/>
    <w:qFormat/>
    <w:rsid w:val="0049400B"/>
    <w:pPr>
      <w:tabs>
        <w:tab w:val="right" w:pos="1786"/>
      </w:tabs>
      <w:spacing w:before="40"/>
      <w:ind w:left="2070" w:hanging="936"/>
    </w:pPr>
  </w:style>
  <w:style w:type="character" w:customStyle="1" w:styleId="SOParaChar">
    <w:name w:val="SO Para Char"/>
    <w:aliases w:val="soa Char"/>
    <w:basedOn w:val="DefaultParagraphFont"/>
    <w:link w:val="SOPara"/>
    <w:rsid w:val="0049400B"/>
    <w:rPr>
      <w:rFonts w:eastAsiaTheme="minorHAnsi" w:cstheme="minorBidi"/>
      <w:sz w:val="22"/>
      <w:lang w:eastAsia="en-US"/>
    </w:rPr>
  </w:style>
  <w:style w:type="paragraph" w:customStyle="1" w:styleId="FileName">
    <w:name w:val="FileName"/>
    <w:basedOn w:val="Normal"/>
    <w:rsid w:val="0049400B"/>
  </w:style>
  <w:style w:type="paragraph" w:customStyle="1" w:styleId="SOHeadBold">
    <w:name w:val="SO HeadBold"/>
    <w:aliases w:val="sohb"/>
    <w:basedOn w:val="SOText"/>
    <w:next w:val="SOText"/>
    <w:link w:val="SOHeadBoldChar"/>
    <w:qFormat/>
    <w:rsid w:val="0049400B"/>
    <w:rPr>
      <w:b/>
    </w:rPr>
  </w:style>
  <w:style w:type="character" w:customStyle="1" w:styleId="SOHeadBoldChar">
    <w:name w:val="SO HeadBold Char"/>
    <w:aliases w:val="sohb Char"/>
    <w:basedOn w:val="DefaultParagraphFont"/>
    <w:link w:val="SOHeadBold"/>
    <w:rsid w:val="0049400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9400B"/>
    <w:rPr>
      <w:i/>
    </w:rPr>
  </w:style>
  <w:style w:type="character" w:customStyle="1" w:styleId="SOHeadItalicChar">
    <w:name w:val="SO HeadItalic Char"/>
    <w:aliases w:val="sohi Char"/>
    <w:basedOn w:val="DefaultParagraphFont"/>
    <w:link w:val="SOHeadItalic"/>
    <w:rsid w:val="0049400B"/>
    <w:rPr>
      <w:rFonts w:eastAsiaTheme="minorHAnsi" w:cstheme="minorBidi"/>
      <w:i/>
      <w:sz w:val="22"/>
      <w:lang w:eastAsia="en-US"/>
    </w:rPr>
  </w:style>
  <w:style w:type="paragraph" w:customStyle="1" w:styleId="SOBullet">
    <w:name w:val="SO Bullet"/>
    <w:aliases w:val="sotb"/>
    <w:basedOn w:val="SOText"/>
    <w:link w:val="SOBulletChar"/>
    <w:qFormat/>
    <w:rsid w:val="0049400B"/>
    <w:pPr>
      <w:ind w:left="1559" w:hanging="425"/>
    </w:pPr>
  </w:style>
  <w:style w:type="character" w:customStyle="1" w:styleId="SOBulletChar">
    <w:name w:val="SO Bullet Char"/>
    <w:aliases w:val="sotb Char"/>
    <w:basedOn w:val="DefaultParagraphFont"/>
    <w:link w:val="SOBullet"/>
    <w:rsid w:val="0049400B"/>
    <w:rPr>
      <w:rFonts w:eastAsiaTheme="minorHAnsi" w:cstheme="minorBidi"/>
      <w:sz w:val="22"/>
      <w:lang w:eastAsia="en-US"/>
    </w:rPr>
  </w:style>
  <w:style w:type="paragraph" w:customStyle="1" w:styleId="SOBulletNote">
    <w:name w:val="SO BulletNote"/>
    <w:aliases w:val="sonb"/>
    <w:basedOn w:val="SOTextNote"/>
    <w:link w:val="SOBulletNoteChar"/>
    <w:qFormat/>
    <w:rsid w:val="0049400B"/>
    <w:pPr>
      <w:tabs>
        <w:tab w:val="left" w:pos="1560"/>
      </w:tabs>
      <w:ind w:left="2268" w:hanging="1134"/>
    </w:pPr>
  </w:style>
  <w:style w:type="character" w:customStyle="1" w:styleId="SOBulletNoteChar">
    <w:name w:val="SO BulletNote Char"/>
    <w:aliases w:val="sonb Char"/>
    <w:basedOn w:val="DefaultParagraphFont"/>
    <w:link w:val="SOBulletNote"/>
    <w:rsid w:val="0049400B"/>
    <w:rPr>
      <w:rFonts w:eastAsiaTheme="minorHAnsi" w:cstheme="minorBidi"/>
      <w:sz w:val="18"/>
      <w:lang w:eastAsia="en-US"/>
    </w:rPr>
  </w:style>
  <w:style w:type="paragraph" w:customStyle="1" w:styleId="EnStatement">
    <w:name w:val="EnStatement"/>
    <w:basedOn w:val="Normal"/>
    <w:rsid w:val="0049400B"/>
    <w:pPr>
      <w:numPr>
        <w:numId w:val="21"/>
      </w:numPr>
    </w:pPr>
    <w:rPr>
      <w:rFonts w:eastAsia="Times New Roman" w:cs="Times New Roman"/>
      <w:lang w:eastAsia="en-AU"/>
    </w:rPr>
  </w:style>
  <w:style w:type="paragraph" w:customStyle="1" w:styleId="EnStatementHeading">
    <w:name w:val="EnStatementHeading"/>
    <w:basedOn w:val="Normal"/>
    <w:rsid w:val="0049400B"/>
    <w:rPr>
      <w:rFonts w:eastAsia="Times New Roman" w:cs="Times New Roman"/>
      <w:b/>
      <w:lang w:eastAsia="en-AU"/>
    </w:rPr>
  </w:style>
  <w:style w:type="paragraph" w:customStyle="1" w:styleId="Transitional">
    <w:name w:val="Transitional"/>
    <w:aliases w:val="tr"/>
    <w:basedOn w:val="Normal"/>
    <w:next w:val="Normal"/>
    <w:rsid w:val="0049400B"/>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C87A7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110">
      <w:bodyDiv w:val="1"/>
      <w:marLeft w:val="0"/>
      <w:marRight w:val="0"/>
      <w:marTop w:val="0"/>
      <w:marBottom w:val="0"/>
      <w:divBdr>
        <w:top w:val="none" w:sz="0" w:space="0" w:color="auto"/>
        <w:left w:val="none" w:sz="0" w:space="0" w:color="auto"/>
        <w:bottom w:val="none" w:sz="0" w:space="0" w:color="auto"/>
        <w:right w:val="none" w:sz="0" w:space="0" w:color="auto"/>
      </w:divBdr>
    </w:div>
    <w:div w:id="75909261">
      <w:bodyDiv w:val="1"/>
      <w:marLeft w:val="0"/>
      <w:marRight w:val="0"/>
      <w:marTop w:val="0"/>
      <w:marBottom w:val="0"/>
      <w:divBdr>
        <w:top w:val="none" w:sz="0" w:space="0" w:color="auto"/>
        <w:left w:val="none" w:sz="0" w:space="0" w:color="auto"/>
        <w:bottom w:val="none" w:sz="0" w:space="0" w:color="auto"/>
        <w:right w:val="none" w:sz="0" w:space="0" w:color="auto"/>
      </w:divBdr>
      <w:divsChild>
        <w:div w:id="1590115676">
          <w:marLeft w:val="0"/>
          <w:marRight w:val="0"/>
          <w:marTop w:val="0"/>
          <w:marBottom w:val="0"/>
          <w:divBdr>
            <w:top w:val="none" w:sz="0" w:space="0" w:color="auto"/>
            <w:left w:val="none" w:sz="0" w:space="0" w:color="auto"/>
            <w:bottom w:val="none" w:sz="0" w:space="0" w:color="auto"/>
            <w:right w:val="none" w:sz="0" w:space="0" w:color="auto"/>
          </w:divBdr>
          <w:divsChild>
            <w:div w:id="191001203">
              <w:marLeft w:val="0"/>
              <w:marRight w:val="0"/>
              <w:marTop w:val="0"/>
              <w:marBottom w:val="0"/>
              <w:divBdr>
                <w:top w:val="none" w:sz="0" w:space="0" w:color="auto"/>
                <w:left w:val="none" w:sz="0" w:space="0" w:color="auto"/>
                <w:bottom w:val="none" w:sz="0" w:space="0" w:color="auto"/>
                <w:right w:val="none" w:sz="0" w:space="0" w:color="auto"/>
              </w:divBdr>
              <w:divsChild>
                <w:div w:id="1360355675">
                  <w:marLeft w:val="0"/>
                  <w:marRight w:val="0"/>
                  <w:marTop w:val="0"/>
                  <w:marBottom w:val="0"/>
                  <w:divBdr>
                    <w:top w:val="none" w:sz="0" w:space="0" w:color="auto"/>
                    <w:left w:val="none" w:sz="0" w:space="0" w:color="auto"/>
                    <w:bottom w:val="none" w:sz="0" w:space="0" w:color="auto"/>
                    <w:right w:val="none" w:sz="0" w:space="0" w:color="auto"/>
                  </w:divBdr>
                  <w:divsChild>
                    <w:div w:id="1519544409">
                      <w:marLeft w:val="0"/>
                      <w:marRight w:val="0"/>
                      <w:marTop w:val="0"/>
                      <w:marBottom w:val="0"/>
                      <w:divBdr>
                        <w:top w:val="none" w:sz="0" w:space="0" w:color="auto"/>
                        <w:left w:val="none" w:sz="0" w:space="0" w:color="auto"/>
                        <w:bottom w:val="none" w:sz="0" w:space="0" w:color="auto"/>
                        <w:right w:val="none" w:sz="0" w:space="0" w:color="auto"/>
                      </w:divBdr>
                      <w:divsChild>
                        <w:div w:id="1399521532">
                          <w:marLeft w:val="0"/>
                          <w:marRight w:val="0"/>
                          <w:marTop w:val="0"/>
                          <w:marBottom w:val="0"/>
                          <w:divBdr>
                            <w:top w:val="single" w:sz="6" w:space="0" w:color="828282"/>
                            <w:left w:val="single" w:sz="6" w:space="0" w:color="828282"/>
                            <w:bottom w:val="single" w:sz="6" w:space="0" w:color="828282"/>
                            <w:right w:val="single" w:sz="6" w:space="0" w:color="828282"/>
                          </w:divBdr>
                          <w:divsChild>
                            <w:div w:id="1078019853">
                              <w:marLeft w:val="0"/>
                              <w:marRight w:val="0"/>
                              <w:marTop w:val="0"/>
                              <w:marBottom w:val="0"/>
                              <w:divBdr>
                                <w:top w:val="none" w:sz="0" w:space="0" w:color="auto"/>
                                <w:left w:val="none" w:sz="0" w:space="0" w:color="auto"/>
                                <w:bottom w:val="none" w:sz="0" w:space="0" w:color="auto"/>
                                <w:right w:val="none" w:sz="0" w:space="0" w:color="auto"/>
                              </w:divBdr>
                              <w:divsChild>
                                <w:div w:id="87045806">
                                  <w:marLeft w:val="0"/>
                                  <w:marRight w:val="0"/>
                                  <w:marTop w:val="0"/>
                                  <w:marBottom w:val="0"/>
                                  <w:divBdr>
                                    <w:top w:val="none" w:sz="0" w:space="0" w:color="auto"/>
                                    <w:left w:val="none" w:sz="0" w:space="0" w:color="auto"/>
                                    <w:bottom w:val="none" w:sz="0" w:space="0" w:color="auto"/>
                                    <w:right w:val="none" w:sz="0" w:space="0" w:color="auto"/>
                                  </w:divBdr>
                                  <w:divsChild>
                                    <w:div w:id="403995083">
                                      <w:marLeft w:val="0"/>
                                      <w:marRight w:val="0"/>
                                      <w:marTop w:val="0"/>
                                      <w:marBottom w:val="0"/>
                                      <w:divBdr>
                                        <w:top w:val="none" w:sz="0" w:space="0" w:color="auto"/>
                                        <w:left w:val="none" w:sz="0" w:space="0" w:color="auto"/>
                                        <w:bottom w:val="none" w:sz="0" w:space="0" w:color="auto"/>
                                        <w:right w:val="none" w:sz="0" w:space="0" w:color="auto"/>
                                      </w:divBdr>
                                      <w:divsChild>
                                        <w:div w:id="963269642">
                                          <w:marLeft w:val="0"/>
                                          <w:marRight w:val="0"/>
                                          <w:marTop w:val="0"/>
                                          <w:marBottom w:val="0"/>
                                          <w:divBdr>
                                            <w:top w:val="none" w:sz="0" w:space="0" w:color="auto"/>
                                            <w:left w:val="none" w:sz="0" w:space="0" w:color="auto"/>
                                            <w:bottom w:val="none" w:sz="0" w:space="0" w:color="auto"/>
                                            <w:right w:val="none" w:sz="0" w:space="0" w:color="auto"/>
                                          </w:divBdr>
                                          <w:divsChild>
                                            <w:div w:id="1163856104">
                                              <w:marLeft w:val="0"/>
                                              <w:marRight w:val="0"/>
                                              <w:marTop w:val="0"/>
                                              <w:marBottom w:val="0"/>
                                              <w:divBdr>
                                                <w:top w:val="none" w:sz="0" w:space="0" w:color="auto"/>
                                                <w:left w:val="none" w:sz="0" w:space="0" w:color="auto"/>
                                                <w:bottom w:val="none" w:sz="0" w:space="0" w:color="auto"/>
                                                <w:right w:val="none" w:sz="0" w:space="0" w:color="auto"/>
                                              </w:divBdr>
                                              <w:divsChild>
                                                <w:div w:id="13615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30818">
      <w:bodyDiv w:val="1"/>
      <w:marLeft w:val="0"/>
      <w:marRight w:val="0"/>
      <w:marTop w:val="0"/>
      <w:marBottom w:val="0"/>
      <w:divBdr>
        <w:top w:val="none" w:sz="0" w:space="0" w:color="auto"/>
        <w:left w:val="none" w:sz="0" w:space="0" w:color="auto"/>
        <w:bottom w:val="none" w:sz="0" w:space="0" w:color="auto"/>
        <w:right w:val="none" w:sz="0" w:space="0" w:color="auto"/>
      </w:divBdr>
    </w:div>
    <w:div w:id="544099132">
      <w:bodyDiv w:val="1"/>
      <w:marLeft w:val="0"/>
      <w:marRight w:val="0"/>
      <w:marTop w:val="0"/>
      <w:marBottom w:val="0"/>
      <w:divBdr>
        <w:top w:val="none" w:sz="0" w:space="0" w:color="auto"/>
        <w:left w:val="none" w:sz="0" w:space="0" w:color="auto"/>
        <w:bottom w:val="none" w:sz="0" w:space="0" w:color="auto"/>
        <w:right w:val="none" w:sz="0" w:space="0" w:color="auto"/>
      </w:divBdr>
    </w:div>
    <w:div w:id="1340892259">
      <w:bodyDiv w:val="1"/>
      <w:marLeft w:val="0"/>
      <w:marRight w:val="0"/>
      <w:marTop w:val="0"/>
      <w:marBottom w:val="0"/>
      <w:divBdr>
        <w:top w:val="none" w:sz="0" w:space="0" w:color="auto"/>
        <w:left w:val="none" w:sz="0" w:space="0" w:color="auto"/>
        <w:bottom w:val="none" w:sz="0" w:space="0" w:color="auto"/>
        <w:right w:val="none" w:sz="0" w:space="0" w:color="auto"/>
      </w:divBdr>
    </w:div>
    <w:div w:id="1449935745">
      <w:bodyDiv w:val="1"/>
      <w:marLeft w:val="0"/>
      <w:marRight w:val="0"/>
      <w:marTop w:val="0"/>
      <w:marBottom w:val="0"/>
      <w:divBdr>
        <w:top w:val="none" w:sz="0" w:space="0" w:color="auto"/>
        <w:left w:val="none" w:sz="0" w:space="0" w:color="auto"/>
        <w:bottom w:val="none" w:sz="0" w:space="0" w:color="auto"/>
        <w:right w:val="none" w:sz="0" w:space="0" w:color="auto"/>
      </w:divBdr>
    </w:div>
    <w:div w:id="1841191281">
      <w:bodyDiv w:val="1"/>
      <w:marLeft w:val="0"/>
      <w:marRight w:val="0"/>
      <w:marTop w:val="0"/>
      <w:marBottom w:val="0"/>
      <w:divBdr>
        <w:top w:val="none" w:sz="0" w:space="0" w:color="auto"/>
        <w:left w:val="none" w:sz="0" w:space="0" w:color="auto"/>
        <w:bottom w:val="none" w:sz="0" w:space="0" w:color="auto"/>
        <w:right w:val="none" w:sz="0" w:space="0" w:color="auto"/>
      </w:divBdr>
    </w:div>
    <w:div w:id="19567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B11E-EF46-477B-8485-B27EAE4F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36</Pages>
  <Words>10098</Words>
  <Characters>54851</Characters>
  <Application>Microsoft Office Word</Application>
  <DocSecurity>0</DocSecurity>
  <PresentationFormat/>
  <Lines>1535</Lines>
  <Paragraphs>938</Paragraphs>
  <ScaleCrop>false</ScaleCrop>
  <HeadingPairs>
    <vt:vector size="2" baseType="variant">
      <vt:variant>
        <vt:lpstr>Title</vt:lpstr>
      </vt:variant>
      <vt:variant>
        <vt:i4>1</vt:i4>
      </vt:variant>
    </vt:vector>
  </HeadingPairs>
  <TitlesOfParts>
    <vt:vector size="1" baseType="lpstr">
      <vt:lpstr>Australian Charities and Not-for-profits Commission Regulation 2013</vt:lpstr>
    </vt:vector>
  </TitlesOfParts>
  <Manager/>
  <Company/>
  <LinksUpToDate>false</LinksUpToDate>
  <CharactersWithSpaces>64228</CharactersWithSpaces>
  <SharedDoc>false</SharedDoc>
  <HyperlinkBase/>
  <HLinks>
    <vt:vector size="6" baseType="variant">
      <vt:variant>
        <vt:i4>6160468</vt:i4>
      </vt:variant>
      <vt:variant>
        <vt:i4>3</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Charities and Not-for-profits Commission Regulation 2013</dc:title>
  <dc:subject/>
  <dc:creator/>
  <cp:keywords/>
  <dc:description/>
  <cp:lastModifiedBy/>
  <cp:revision>1</cp:revision>
  <cp:lastPrinted>2013-02-12T03:07:00Z</cp:lastPrinted>
  <dcterms:created xsi:type="dcterms:W3CDTF">2021-09-07T01:25:00Z</dcterms:created>
  <dcterms:modified xsi:type="dcterms:W3CDTF">2021-09-07T01:25:00Z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976</vt:lpwstr>
  </property>
  <property fmtid="{D5CDD505-2E9C-101B-9397-08002B2CF9AE}" pid="3" name="IndexMatter">
    <vt:lpwstr>1208481A</vt:lpwstr>
  </property>
  <property fmtid="{D5CDD505-2E9C-101B-9397-08002B2CF9AE}" pid="4" name="Converted">
    <vt:bool>true</vt:bool>
  </property>
  <property fmtid="{D5CDD505-2E9C-101B-9397-08002B2CF9AE}" pid="5" name="Classification">
    <vt:lpwstr>OFFICIAL</vt:lpwstr>
  </property>
  <property fmtid="{D5CDD505-2E9C-101B-9397-08002B2CF9AE}" pid="6" name="Header">
    <vt:lpwstr>Section</vt:lpwstr>
  </property>
  <property fmtid="{D5CDD505-2E9C-101B-9397-08002B2CF9AE}" pid="7" name="ShortT">
    <vt:lpwstr>Australian Charities and Not-for-profits Commission Regulation 2013</vt:lpwstr>
  </property>
  <property fmtid="{D5CDD505-2E9C-101B-9397-08002B2CF9AE}" pid="8" name="Class">
    <vt:lpwstr>Regulation</vt:lpwstr>
  </property>
  <property fmtid="{D5CDD505-2E9C-101B-9397-08002B2CF9AE}" pid="9" name="Type">
    <vt:lpwstr>SLI</vt:lpwstr>
  </property>
  <property fmtid="{D5CDD505-2E9C-101B-9397-08002B2CF9AE}" pid="10" name="DocType">
    <vt:lpwstr>NEW</vt:lpwstr>
  </property>
  <property fmtid="{D5CDD505-2E9C-101B-9397-08002B2CF9AE}" pid="11" name="Exco">
    <vt:lpwstr>Yes</vt:lpwstr>
  </property>
  <property fmtid="{D5CDD505-2E9C-101B-9397-08002B2CF9AE}" pid="12" name="Authority">
    <vt:lpwstr/>
  </property>
  <property fmtid="{D5CDD505-2E9C-101B-9397-08002B2CF9AE}" pid="13" name="DateMade">
    <vt:lpwstr>2013</vt:lpwstr>
  </property>
  <property fmtid="{D5CDD505-2E9C-101B-9397-08002B2CF9AE}" pid="14" name="ID">
    <vt:lpwstr>OPC50154</vt:lpwstr>
  </property>
  <property fmtid="{D5CDD505-2E9C-101B-9397-08002B2CF9AE}" pid="15" name="DoNotAsk">
    <vt:lpwstr>0</vt:lpwstr>
  </property>
  <property fmtid="{D5CDD505-2E9C-101B-9397-08002B2CF9AE}" pid="16" name="ChangedTitle">
    <vt:lpwstr/>
  </property>
  <property fmtid="{D5CDD505-2E9C-101B-9397-08002B2CF9AE}" pid="17" name="ActNo">
    <vt:lpwstr/>
  </property>
  <property fmtid="{D5CDD505-2E9C-101B-9397-08002B2CF9AE}" pid="18" name="ExcoDate">
    <vt:lpwstr>01 March 2013</vt:lpwstr>
  </property>
  <property fmtid="{D5CDD505-2E9C-101B-9397-08002B2CF9AE}" pid="19" name="Compilation">
    <vt:lpwstr>Yes</vt:lpwstr>
  </property>
  <property fmtid="{D5CDD505-2E9C-101B-9397-08002B2CF9AE}" pid="20" name="DLM">
    <vt:lpwstr> </vt:lpwstr>
  </property>
  <property fmtid="{D5CDD505-2E9C-101B-9397-08002B2CF9AE}" pid="21" name="CompilationVersion">
    <vt:i4>3</vt:i4>
  </property>
  <property fmtid="{D5CDD505-2E9C-101B-9397-08002B2CF9AE}" pid="22" name="CompilationNumber">
    <vt:lpwstr>8</vt:lpwstr>
  </property>
  <property fmtid="{D5CDD505-2E9C-101B-9397-08002B2CF9AE}" pid="23" name="StartDate">
    <vt:lpwstr>30 July 2021</vt:lpwstr>
  </property>
  <property fmtid="{D5CDD505-2E9C-101B-9397-08002B2CF9AE}" pid="24" name="IncludesUpTo">
    <vt:lpwstr>F2021L00530</vt:lpwstr>
  </property>
  <property fmtid="{D5CDD505-2E9C-101B-9397-08002B2CF9AE}" pid="25" name="RegisteredDate">
    <vt:lpwstr>7 September 2021</vt:lpwstr>
  </property>
</Properties>
</file>