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D83" w:rsidRPr="00D47FBA" w:rsidRDefault="00A07D83" w:rsidP="006D0324">
      <w:pPr>
        <w:pStyle w:val="Heading1nooutline"/>
        <w:spacing w:after="0"/>
        <w:rPr>
          <w:rFonts w:ascii="Times" w:hAnsi="Times"/>
          <w:sz w:val="24"/>
          <w:szCs w:val="24"/>
          <w:u w:val="single"/>
        </w:rPr>
      </w:pPr>
      <w:r w:rsidRPr="00D47FBA">
        <w:rPr>
          <w:rFonts w:ascii="Times" w:hAnsi="Times"/>
          <w:sz w:val="24"/>
          <w:szCs w:val="24"/>
          <w:u w:val="single"/>
        </w:rPr>
        <w:t>EXPLANATORY STATEMENT</w:t>
      </w:r>
    </w:p>
    <w:p w:rsidR="00D47FBA" w:rsidRPr="00D47FBA" w:rsidRDefault="00D47FBA" w:rsidP="00D47FBA">
      <w:pPr>
        <w:rPr>
          <w:lang w:eastAsia="en-AU"/>
        </w:rPr>
      </w:pPr>
    </w:p>
    <w:p w:rsidR="00D47FBA" w:rsidRPr="00D47FBA" w:rsidRDefault="00D47FBA" w:rsidP="00D47FBA">
      <w:pPr>
        <w:jc w:val="center"/>
        <w:rPr>
          <w:rFonts w:ascii="Times New Roman" w:hAnsi="Times New Roman"/>
          <w:b/>
          <w:u w:val="single"/>
          <w:lang w:eastAsia="en-AU"/>
        </w:rPr>
      </w:pPr>
      <w:r w:rsidRPr="00D47FBA">
        <w:rPr>
          <w:rFonts w:ascii="Times New Roman" w:hAnsi="Times New Roman"/>
          <w:b/>
          <w:u w:val="single"/>
          <w:lang w:eastAsia="en-AU"/>
        </w:rPr>
        <w:t>Select Legislative Instrument 2013 No. 16</w:t>
      </w:r>
    </w:p>
    <w:p w:rsidR="00943A6C" w:rsidRPr="00D47FBA" w:rsidRDefault="00943A6C" w:rsidP="00BA6FF2">
      <w:pPr>
        <w:spacing w:after="0"/>
        <w:rPr>
          <w:lang w:eastAsia="en-AU"/>
        </w:rPr>
      </w:pPr>
    </w:p>
    <w:p w:rsidR="00A07D83" w:rsidRPr="00D47FBA" w:rsidRDefault="00A07D83" w:rsidP="006D0324">
      <w:pPr>
        <w:pStyle w:val="Heading2numbered"/>
        <w:numPr>
          <w:ilvl w:val="0"/>
          <w:numId w:val="0"/>
        </w:numPr>
        <w:spacing w:before="0"/>
        <w:jc w:val="center"/>
        <w:rPr>
          <w:b w:val="0"/>
          <w:i w:val="0"/>
          <w:u w:val="single"/>
        </w:rPr>
      </w:pPr>
      <w:r w:rsidRPr="00D47FBA">
        <w:rPr>
          <w:b w:val="0"/>
          <w:i w:val="0"/>
          <w:u w:val="single"/>
        </w:rPr>
        <w:t>Issued by Authority of the Attorney-General</w:t>
      </w:r>
    </w:p>
    <w:p w:rsidR="00943A6C" w:rsidRPr="00D47FBA" w:rsidRDefault="00943A6C" w:rsidP="00BA6FF2">
      <w:pPr>
        <w:spacing w:after="0"/>
        <w:rPr>
          <w:lang w:eastAsia="en-AU"/>
        </w:rPr>
      </w:pPr>
    </w:p>
    <w:p w:rsidR="00376104" w:rsidRPr="00D47FBA" w:rsidRDefault="008A2E17" w:rsidP="008A2E17">
      <w:pPr>
        <w:pStyle w:val="Heading2numbered"/>
        <w:numPr>
          <w:ilvl w:val="0"/>
          <w:numId w:val="0"/>
        </w:numPr>
        <w:spacing w:before="0"/>
        <w:jc w:val="center"/>
        <w:rPr>
          <w:b w:val="0"/>
          <w:iCs/>
        </w:rPr>
      </w:pPr>
      <w:r w:rsidRPr="00D47FBA">
        <w:rPr>
          <w:b w:val="0"/>
          <w:iCs/>
        </w:rPr>
        <w:t>Family Law Act 1975</w:t>
      </w:r>
    </w:p>
    <w:p w:rsidR="00B02186" w:rsidRPr="00D47FBA" w:rsidRDefault="00376104" w:rsidP="00376104">
      <w:pPr>
        <w:pStyle w:val="Heading2numbered"/>
        <w:numPr>
          <w:ilvl w:val="0"/>
          <w:numId w:val="0"/>
        </w:numPr>
        <w:spacing w:before="0"/>
        <w:jc w:val="center"/>
        <w:rPr>
          <w:b w:val="0"/>
          <w:iCs/>
        </w:rPr>
      </w:pPr>
      <w:r w:rsidRPr="00D47FBA">
        <w:rPr>
          <w:b w:val="0"/>
          <w:iCs/>
        </w:rPr>
        <w:t>Family Law (Superannuation</w:t>
      </w:r>
      <w:r w:rsidR="00015EA3" w:rsidRPr="00D47FBA">
        <w:rPr>
          <w:b w:val="0"/>
          <w:iCs/>
        </w:rPr>
        <w:t>) Amendment Regulation 2013</w:t>
      </w:r>
      <w:r w:rsidR="00D47FBA" w:rsidRPr="00D47FBA">
        <w:rPr>
          <w:b w:val="0"/>
          <w:iCs/>
        </w:rPr>
        <w:t xml:space="preserve"> (No. 1</w:t>
      </w:r>
      <w:r w:rsidRPr="00D47FBA">
        <w:rPr>
          <w:b w:val="0"/>
          <w:iCs/>
        </w:rPr>
        <w:t>)</w:t>
      </w:r>
    </w:p>
    <w:p w:rsidR="00114F50" w:rsidRPr="00D47FBA" w:rsidRDefault="008A2E17" w:rsidP="00376104">
      <w:pPr>
        <w:pStyle w:val="Paragraph"/>
      </w:pPr>
      <w:r w:rsidRPr="00D47FBA">
        <w:t xml:space="preserve">Subsection 125(1) of the </w:t>
      </w:r>
      <w:r w:rsidRPr="00D47FBA">
        <w:rPr>
          <w:i/>
        </w:rPr>
        <w:t>Family Law Act 1975</w:t>
      </w:r>
      <w:r w:rsidRPr="00D47FBA">
        <w:t xml:space="preserve"> (the Family Law Act) provides, in part, that the Governor-General may make regulations, not inconsistent with the Family Law Act, prescribing all matters required or permitted by the Family Law Act to be prescribed, or necessary or convenient to be prescribed for carrying out or giving effect to the Family</w:t>
      </w:r>
      <w:r w:rsidR="00D53FEB" w:rsidRPr="00D47FBA">
        <w:t> </w:t>
      </w:r>
      <w:r w:rsidRPr="00D47FBA">
        <w:t>Law</w:t>
      </w:r>
      <w:r w:rsidR="00D53FEB" w:rsidRPr="00D47FBA">
        <w:t> </w:t>
      </w:r>
      <w:r w:rsidRPr="00D47FBA">
        <w:t>Act.</w:t>
      </w:r>
    </w:p>
    <w:p w:rsidR="008A2E17" w:rsidRPr="00D47FBA" w:rsidRDefault="008A2E17" w:rsidP="00376104">
      <w:pPr>
        <w:pStyle w:val="Paragraph"/>
      </w:pPr>
      <w:r w:rsidRPr="00D47FBA">
        <w:t xml:space="preserve">The </w:t>
      </w:r>
      <w:r w:rsidRPr="00D47FBA">
        <w:rPr>
          <w:i/>
        </w:rPr>
        <w:t>Family Law (Superannuation) Regulations 2001</w:t>
      </w:r>
      <w:r w:rsidRPr="00D47FBA">
        <w:t xml:space="preserve"> (the Principal Regulations) have been prescribed to give effect to the distribution of superannuation interests under Part </w:t>
      </w:r>
      <w:proofErr w:type="spellStart"/>
      <w:r w:rsidR="00C62CA7" w:rsidRPr="00D47FBA">
        <w:t>VIIIB</w:t>
      </w:r>
      <w:proofErr w:type="spellEnd"/>
      <w:r w:rsidR="00C62CA7" w:rsidRPr="00D47FBA">
        <w:t xml:space="preserve"> of the Family Law Act</w:t>
      </w:r>
      <w:r w:rsidRPr="00D47FBA">
        <w:t>.</w:t>
      </w:r>
      <w:r w:rsidR="00114F50" w:rsidRPr="00D47FBA">
        <w:t xml:space="preserve">  The Principal Regulations contain a default method for valuing superannuation interests.  If a trustee believes that the design of a particular superannuation plan differs markedly from the assumed design underpinning the default method in the Principal Regulations, they may apply to the Attorney-General for approval of a method specific to their plan.</w:t>
      </w:r>
    </w:p>
    <w:p w:rsidR="00C62CA7" w:rsidRPr="00D47FBA" w:rsidRDefault="00C62CA7" w:rsidP="00376104">
      <w:pPr>
        <w:pStyle w:val="Paragraph"/>
      </w:pPr>
      <w:r w:rsidRPr="00D47FBA">
        <w:t xml:space="preserve">The purpose of the </w:t>
      </w:r>
      <w:r w:rsidRPr="00D47FBA">
        <w:rPr>
          <w:i/>
        </w:rPr>
        <w:t>Family Law (Superannuation) Amendment Regulation 2013</w:t>
      </w:r>
      <w:r w:rsidR="00D47FBA" w:rsidRPr="00D47FBA">
        <w:t xml:space="preserve"> </w:t>
      </w:r>
      <w:r w:rsidR="00D47FBA" w:rsidRPr="00D47FBA">
        <w:rPr>
          <w:i/>
        </w:rPr>
        <w:t>(No. 1</w:t>
      </w:r>
      <w:r w:rsidRPr="00D47FBA">
        <w:rPr>
          <w:i/>
        </w:rPr>
        <w:t>)</w:t>
      </w:r>
      <w:r w:rsidRPr="00D47FBA">
        <w:t xml:space="preserve"> (the Regulation) is to amend the Principal Regulations to ensure that the Judges’ Pensions Act Scheme (the scheme constituted by the </w:t>
      </w:r>
      <w:r w:rsidRPr="00D47FBA">
        <w:rPr>
          <w:i/>
        </w:rPr>
        <w:t>Judges’ Pensions Act 1968</w:t>
      </w:r>
      <w:r w:rsidRPr="00D47FBA">
        <w:t xml:space="preserve"> for the provision of retirement and other benefits to and in respect of Judges, within the meaning of that Act) is no longer prescribed as a ‘percentage-only interest’ in the Principal Regulations.</w:t>
      </w:r>
    </w:p>
    <w:p w:rsidR="00114F50" w:rsidRPr="00D47FBA" w:rsidRDefault="00CF2352" w:rsidP="00114F50">
      <w:pPr>
        <w:pStyle w:val="Paragraph"/>
      </w:pPr>
      <w:r w:rsidRPr="00D47FBA">
        <w:t>P</w:t>
      </w:r>
      <w:r w:rsidR="00114F50" w:rsidRPr="00D47FBA">
        <w:t>aragraph 9A(1)(a) of the Principal Regulations prescribe</w:t>
      </w:r>
      <w:r w:rsidR="007D66ED" w:rsidRPr="00D47FBA">
        <w:t>s</w:t>
      </w:r>
      <w:r w:rsidR="00114F50" w:rsidRPr="00D47FBA">
        <w:t xml:space="preserve"> that a superannuation interest in t</w:t>
      </w:r>
      <w:r w:rsidRPr="00D47FBA">
        <w:t>h</w:t>
      </w:r>
      <w:r w:rsidR="007D66ED" w:rsidRPr="00D47FBA">
        <w:t>e Judges’ Pensions Act Scheme i</w:t>
      </w:r>
      <w:r w:rsidR="00114F50" w:rsidRPr="00D47FBA">
        <w:t>s a percentage-only interest for the purposes of section 90MD of the Family Law Act.  The Regulation omits paragraph 9A(1)(a) from the Principal Regulations.</w:t>
      </w:r>
    </w:p>
    <w:p w:rsidR="00114F50" w:rsidRPr="00D47FBA" w:rsidRDefault="00114F50" w:rsidP="00376104">
      <w:pPr>
        <w:pStyle w:val="Paragraph"/>
      </w:pPr>
      <w:r w:rsidRPr="00D47FBA">
        <w:t>A percentage-only interest is not valued and split in the same way as other superannuation interests.  In this case, this is because the Judges’ Pensions Act Scheme does not vest progressively, but only vests once the member of the fund satisfies certain conditions.  The current ‘percentage-only’ splitting arrangements mean that any property settlement/split involving the pension of a Judge occurs only when payments are made to a retired Judge.  Payments to a former spouse do not commence until the Judge retires and cease upon the death of the Judge.  There is no certainty as to the overall quantum of benefit that the former spouse is entitled to receive.</w:t>
      </w:r>
    </w:p>
    <w:p w:rsidR="00376104" w:rsidRPr="00D47FBA" w:rsidRDefault="00376104" w:rsidP="00376104">
      <w:pPr>
        <w:pStyle w:val="Paragraph"/>
      </w:pPr>
      <w:r w:rsidRPr="00D47FBA">
        <w:t>The Judges’ Pension</w:t>
      </w:r>
      <w:r w:rsidR="000A32D5" w:rsidRPr="00D47FBA">
        <w:t>s</w:t>
      </w:r>
      <w:r w:rsidRPr="00D47FBA">
        <w:t xml:space="preserve"> Act Scheme </w:t>
      </w:r>
      <w:r w:rsidR="00114F50" w:rsidRPr="00D47FBA">
        <w:t>will</w:t>
      </w:r>
      <w:r w:rsidRPr="00D47FBA">
        <w:t xml:space="preserve"> be amended by the </w:t>
      </w:r>
      <w:r w:rsidRPr="00D47FBA">
        <w:rPr>
          <w:i/>
        </w:rPr>
        <w:t>Judges and Governors-General Legislation Amendment (Family Law) Act 2012</w:t>
      </w:r>
      <w:r w:rsidRPr="00D47FBA">
        <w:t xml:space="preserve"> </w:t>
      </w:r>
      <w:r w:rsidR="00D53FEB" w:rsidRPr="00D47FBA">
        <w:t xml:space="preserve">(the Judges and Governors-General Act) </w:t>
      </w:r>
      <w:r w:rsidRPr="00D47FBA">
        <w:t>to implement new superannuation splitting arrangements</w:t>
      </w:r>
      <w:r w:rsidR="00114F50" w:rsidRPr="00D47FBA">
        <w:t xml:space="preserve"> in relation to Federal Judges.  </w:t>
      </w:r>
      <w:r w:rsidRPr="00D47FBA">
        <w:t xml:space="preserve">The amendments </w:t>
      </w:r>
      <w:r w:rsidR="00114F50" w:rsidRPr="00D47FBA">
        <w:t xml:space="preserve">to the Judges’ Pensions Act Scheme </w:t>
      </w:r>
      <w:r w:rsidRPr="00D47FBA">
        <w:t xml:space="preserve">introduce scheme-specific methods and factors for the splitting of a Judges’ pension at the time of a property </w:t>
      </w:r>
      <w:r w:rsidR="00114F50" w:rsidRPr="00D47FBA">
        <w:t>settlement/</w:t>
      </w:r>
      <w:r w:rsidRPr="00D47FBA">
        <w:t xml:space="preserve">split, rather </w:t>
      </w:r>
      <w:r w:rsidRPr="00D47FBA">
        <w:lastRenderedPageBreak/>
        <w:t>than rely on the ‘percentage-only’ splitting arrangements whereby any split in a property settlement of the pension of a Judge occurs only when payments are made to a retired Judge.</w:t>
      </w:r>
    </w:p>
    <w:p w:rsidR="0037099F" w:rsidRPr="00D47FBA" w:rsidRDefault="005B5DC4" w:rsidP="00376104">
      <w:pPr>
        <w:pStyle w:val="Paragraph"/>
      </w:pPr>
      <w:r w:rsidRPr="00D47FBA">
        <w:t>The</w:t>
      </w:r>
      <w:r w:rsidR="00376104" w:rsidRPr="00D47FBA">
        <w:t xml:space="preserve"> methodology for calculating interests in the Judges’ Pension</w:t>
      </w:r>
      <w:r w:rsidR="000A32D5" w:rsidRPr="00D47FBA">
        <w:t>s</w:t>
      </w:r>
      <w:r w:rsidR="00376104" w:rsidRPr="00D47FBA">
        <w:t xml:space="preserve"> Act Scheme will be set out in</w:t>
      </w:r>
      <w:r w:rsidR="00114F50" w:rsidRPr="00D47FBA">
        <w:t xml:space="preserve"> the</w:t>
      </w:r>
      <w:r w:rsidR="00376104" w:rsidRPr="00D47FBA">
        <w:t xml:space="preserve"> </w:t>
      </w:r>
      <w:r w:rsidR="00114F50" w:rsidRPr="00D47FBA">
        <w:rPr>
          <w:i/>
        </w:rPr>
        <w:t>Family Law (Superannuation)(Methods and Factors for Valuing Particular Superannuation Interests) Approval 2003</w:t>
      </w:r>
      <w:r w:rsidR="00376104" w:rsidRPr="00D47FBA">
        <w:t>.  Therefore, interests in the Judges’ Pensions Act Scheme should no longer be prescribed as ‘percentage-only’</w:t>
      </w:r>
      <w:r w:rsidR="00015EA3" w:rsidRPr="00D47FBA">
        <w:t xml:space="preserve"> in the Principal Regulations</w:t>
      </w:r>
      <w:r w:rsidR="00376104" w:rsidRPr="00D47FBA">
        <w:t>.</w:t>
      </w:r>
    </w:p>
    <w:p w:rsidR="00015EA3" w:rsidRPr="00D47FBA" w:rsidRDefault="00103105" w:rsidP="00015EA3">
      <w:pPr>
        <w:pStyle w:val="Paragraph"/>
        <w:rPr>
          <w:szCs w:val="24"/>
        </w:rPr>
      </w:pPr>
      <w:r w:rsidRPr="00D47FBA">
        <w:rPr>
          <w:szCs w:val="24"/>
        </w:rPr>
        <w:t xml:space="preserve">Consultation on the </w:t>
      </w:r>
      <w:r w:rsidR="00015EA3" w:rsidRPr="00D47FBA">
        <w:rPr>
          <w:szCs w:val="24"/>
        </w:rPr>
        <w:t>form of the Regulation</w:t>
      </w:r>
      <w:r w:rsidRPr="00D47FBA">
        <w:rPr>
          <w:szCs w:val="24"/>
        </w:rPr>
        <w:t xml:space="preserve"> occurred between the </w:t>
      </w:r>
      <w:r w:rsidR="00E22EEF" w:rsidRPr="00D47FBA">
        <w:rPr>
          <w:szCs w:val="24"/>
        </w:rPr>
        <w:t>Attorney-General’s Department and the Department of Finance and Deregulation</w:t>
      </w:r>
      <w:r w:rsidRPr="00D47FBA">
        <w:rPr>
          <w:szCs w:val="24"/>
        </w:rPr>
        <w:t xml:space="preserve"> </w:t>
      </w:r>
      <w:r w:rsidR="00015EA3" w:rsidRPr="00D47FBA">
        <w:rPr>
          <w:szCs w:val="24"/>
        </w:rPr>
        <w:t xml:space="preserve">(the Secretary of the Department of Finance and Deregulation is the trustee of the Judges’ Pensions Act Scheme) </w:t>
      </w:r>
      <w:r w:rsidRPr="00D47FBA">
        <w:rPr>
          <w:szCs w:val="24"/>
        </w:rPr>
        <w:t>by way of email and telephone exchange.</w:t>
      </w:r>
    </w:p>
    <w:p w:rsidR="00015EA3" w:rsidRPr="00D47FBA" w:rsidRDefault="00DA26D0" w:rsidP="00015EA3">
      <w:pPr>
        <w:pStyle w:val="Paragraph"/>
        <w:rPr>
          <w:szCs w:val="24"/>
        </w:rPr>
      </w:pPr>
      <w:r w:rsidRPr="00D47FBA">
        <w:rPr>
          <w:szCs w:val="24"/>
        </w:rPr>
        <w:t xml:space="preserve">The </w:t>
      </w:r>
      <w:r w:rsidR="005B5DC4" w:rsidRPr="00D47FBA">
        <w:rPr>
          <w:szCs w:val="24"/>
        </w:rPr>
        <w:t>Regulation</w:t>
      </w:r>
      <w:r w:rsidRPr="00D47FBA">
        <w:rPr>
          <w:szCs w:val="24"/>
        </w:rPr>
        <w:t xml:space="preserve"> commences on </w:t>
      </w:r>
      <w:r w:rsidR="005B5DC4" w:rsidRPr="00D47FBA">
        <w:rPr>
          <w:szCs w:val="24"/>
        </w:rPr>
        <w:t>15 March 2013</w:t>
      </w:r>
      <w:r w:rsidRPr="00D47FBA">
        <w:rPr>
          <w:szCs w:val="24"/>
        </w:rPr>
        <w:t>.</w:t>
      </w:r>
    </w:p>
    <w:p w:rsidR="00015EA3" w:rsidRPr="00D47FBA" w:rsidRDefault="00DA26D0" w:rsidP="00015EA3">
      <w:pPr>
        <w:pStyle w:val="Paragraph"/>
        <w:rPr>
          <w:szCs w:val="24"/>
        </w:rPr>
      </w:pPr>
      <w:r w:rsidRPr="00D47FBA">
        <w:rPr>
          <w:szCs w:val="24"/>
        </w:rPr>
        <w:t xml:space="preserve">The </w:t>
      </w:r>
      <w:r w:rsidR="005B5DC4" w:rsidRPr="00D47FBA">
        <w:rPr>
          <w:szCs w:val="24"/>
        </w:rPr>
        <w:t>Regulation</w:t>
      </w:r>
      <w:r w:rsidRPr="00D47FBA">
        <w:rPr>
          <w:szCs w:val="24"/>
        </w:rPr>
        <w:t xml:space="preserve"> is a legislative instrument for the purposes of the </w:t>
      </w:r>
      <w:r w:rsidRPr="00D47FBA">
        <w:rPr>
          <w:i/>
          <w:szCs w:val="24"/>
        </w:rPr>
        <w:t>Legislative Instruments</w:t>
      </w:r>
      <w:r w:rsidR="00015EA3" w:rsidRPr="00D47FBA">
        <w:rPr>
          <w:i/>
          <w:szCs w:val="24"/>
        </w:rPr>
        <w:t xml:space="preserve"> A</w:t>
      </w:r>
      <w:r w:rsidRPr="00D47FBA">
        <w:rPr>
          <w:i/>
          <w:szCs w:val="24"/>
        </w:rPr>
        <w:t>ct 2003</w:t>
      </w:r>
      <w:r w:rsidRPr="00D47FBA">
        <w:rPr>
          <w:szCs w:val="24"/>
        </w:rPr>
        <w:t>.</w:t>
      </w:r>
    </w:p>
    <w:p w:rsidR="00015EA3" w:rsidRPr="00D47FBA" w:rsidRDefault="00DA26D0" w:rsidP="00015EA3">
      <w:pPr>
        <w:pStyle w:val="Paragraph"/>
        <w:rPr>
          <w:szCs w:val="24"/>
        </w:rPr>
      </w:pPr>
      <w:r w:rsidRPr="00D47FBA">
        <w:rPr>
          <w:szCs w:val="24"/>
        </w:rPr>
        <w:t>Details of the</w:t>
      </w:r>
      <w:r w:rsidR="00015EA3" w:rsidRPr="00D47FBA">
        <w:rPr>
          <w:szCs w:val="24"/>
        </w:rPr>
        <w:t xml:space="preserve"> Regulation</w:t>
      </w:r>
      <w:r w:rsidRPr="00D47FBA">
        <w:rPr>
          <w:szCs w:val="24"/>
        </w:rPr>
        <w:t xml:space="preserve"> </w:t>
      </w:r>
      <w:r w:rsidR="00FB409E" w:rsidRPr="00D47FBA">
        <w:rPr>
          <w:szCs w:val="24"/>
        </w:rPr>
        <w:t>are</w:t>
      </w:r>
      <w:r w:rsidRPr="00D47FBA">
        <w:rPr>
          <w:szCs w:val="24"/>
        </w:rPr>
        <w:t xml:space="preserve"> as follows:</w:t>
      </w:r>
    </w:p>
    <w:p w:rsidR="00015EA3" w:rsidRPr="00D47FBA" w:rsidRDefault="00015EA3" w:rsidP="00015EA3">
      <w:pPr>
        <w:pStyle w:val="Paragraph"/>
        <w:rPr>
          <w:szCs w:val="24"/>
        </w:rPr>
      </w:pPr>
    </w:p>
    <w:p w:rsidR="00DA26D0" w:rsidRPr="00D47FBA" w:rsidRDefault="005B5DC4" w:rsidP="00015EA3">
      <w:pPr>
        <w:pStyle w:val="Heading2numbered"/>
        <w:numPr>
          <w:ilvl w:val="0"/>
          <w:numId w:val="0"/>
        </w:numPr>
        <w:spacing w:before="0"/>
      </w:pPr>
      <w:r w:rsidRPr="00D47FBA">
        <w:t>Section</w:t>
      </w:r>
      <w:r w:rsidR="00DA26D0" w:rsidRPr="00D47FBA">
        <w:t xml:space="preserve"> 1 — Name of </w:t>
      </w:r>
      <w:r w:rsidR="005C584A" w:rsidRPr="00D47FBA">
        <w:t>regulation</w:t>
      </w:r>
    </w:p>
    <w:p w:rsidR="00DA26D0" w:rsidRPr="00D47FBA" w:rsidRDefault="00DA26D0" w:rsidP="00C074D5">
      <w:pPr>
        <w:pStyle w:val="Paragraph"/>
        <w:rPr>
          <w:i/>
        </w:rPr>
      </w:pPr>
      <w:r w:rsidRPr="00D47FBA">
        <w:t xml:space="preserve">Section 1 provides that the title of the </w:t>
      </w:r>
      <w:r w:rsidR="005B5DC4" w:rsidRPr="00D47FBA">
        <w:t>r</w:t>
      </w:r>
      <w:r w:rsidR="00015EA3" w:rsidRPr="00D47FBA">
        <w:t>egulation</w:t>
      </w:r>
      <w:r w:rsidRPr="00D47FBA">
        <w:t xml:space="preserve"> is the </w:t>
      </w:r>
      <w:r w:rsidR="005C584A" w:rsidRPr="00D47FBA">
        <w:rPr>
          <w:i/>
        </w:rPr>
        <w:t>Family Law (Superannuation) Ame</w:t>
      </w:r>
      <w:r w:rsidR="00376104" w:rsidRPr="00D47FBA">
        <w:rPr>
          <w:i/>
        </w:rPr>
        <w:t>n</w:t>
      </w:r>
      <w:r w:rsidR="005C584A" w:rsidRPr="00D47FBA">
        <w:rPr>
          <w:i/>
        </w:rPr>
        <w:t>d</w:t>
      </w:r>
      <w:r w:rsidR="00015EA3" w:rsidRPr="00D47FBA">
        <w:rPr>
          <w:i/>
        </w:rPr>
        <w:t>ment Regulation 2013</w:t>
      </w:r>
      <w:r w:rsidR="00D47FBA" w:rsidRPr="00D47FBA">
        <w:rPr>
          <w:i/>
        </w:rPr>
        <w:t xml:space="preserve"> (No. 1</w:t>
      </w:r>
      <w:r w:rsidR="005C584A" w:rsidRPr="00D47FBA">
        <w:rPr>
          <w:i/>
        </w:rPr>
        <w:t>)</w:t>
      </w:r>
      <w:r w:rsidR="00B02186" w:rsidRPr="00D47FBA">
        <w:t>.</w:t>
      </w:r>
    </w:p>
    <w:p w:rsidR="00B262EB" w:rsidRPr="00D47FBA" w:rsidRDefault="00B262EB" w:rsidP="006D0324">
      <w:pPr>
        <w:pStyle w:val="Paragraph"/>
        <w:spacing w:before="0"/>
      </w:pPr>
    </w:p>
    <w:p w:rsidR="00DA26D0" w:rsidRPr="00D47FBA" w:rsidRDefault="005B5DC4" w:rsidP="006D0324">
      <w:pPr>
        <w:pStyle w:val="Heading2numbered"/>
        <w:numPr>
          <w:ilvl w:val="0"/>
          <w:numId w:val="0"/>
        </w:numPr>
        <w:spacing w:before="0"/>
      </w:pPr>
      <w:r w:rsidRPr="00D47FBA">
        <w:t>Section</w:t>
      </w:r>
      <w:r w:rsidR="00DA26D0" w:rsidRPr="00D47FBA">
        <w:t xml:space="preserve"> 2 — Commencement</w:t>
      </w:r>
    </w:p>
    <w:p w:rsidR="00DA26D0" w:rsidRPr="00D47FBA" w:rsidRDefault="00DA26D0" w:rsidP="00C074D5">
      <w:pPr>
        <w:pStyle w:val="Paragraph"/>
      </w:pPr>
      <w:r w:rsidRPr="00D47FBA">
        <w:t xml:space="preserve">Section 2 provides that the </w:t>
      </w:r>
      <w:r w:rsidR="005B5DC4" w:rsidRPr="00D47FBA">
        <w:t>r</w:t>
      </w:r>
      <w:r w:rsidR="00015EA3" w:rsidRPr="00D47FBA">
        <w:t>egulation</w:t>
      </w:r>
      <w:r w:rsidR="00E63DCC" w:rsidRPr="00D47FBA">
        <w:t xml:space="preserve"> </w:t>
      </w:r>
      <w:r w:rsidRPr="00D47FBA">
        <w:t xml:space="preserve">commences on </w:t>
      </w:r>
      <w:r w:rsidR="005B5DC4" w:rsidRPr="00D47FBA">
        <w:t>15 March 2013</w:t>
      </w:r>
      <w:r w:rsidRPr="00D47FBA">
        <w:t>.</w:t>
      </w:r>
    </w:p>
    <w:p w:rsidR="00E63DCC" w:rsidRPr="00D47FBA" w:rsidRDefault="00E63DCC" w:rsidP="006D0324">
      <w:pPr>
        <w:spacing w:after="0"/>
        <w:rPr>
          <w:lang w:eastAsia="en-AU"/>
        </w:rPr>
      </w:pPr>
    </w:p>
    <w:p w:rsidR="005B5DC4" w:rsidRPr="00D47FBA" w:rsidRDefault="005B5DC4" w:rsidP="00E22EEF">
      <w:pPr>
        <w:pStyle w:val="Heading2numbered"/>
        <w:numPr>
          <w:ilvl w:val="0"/>
          <w:numId w:val="0"/>
        </w:numPr>
        <w:spacing w:before="0"/>
      </w:pPr>
      <w:r w:rsidRPr="00D47FBA">
        <w:t>Sect</w:t>
      </w:r>
      <w:r w:rsidR="00B61F0B" w:rsidRPr="00D47FBA">
        <w:t>ion</w:t>
      </w:r>
      <w:r w:rsidR="00DA26D0" w:rsidRPr="00D47FBA">
        <w:t xml:space="preserve"> 3 — </w:t>
      </w:r>
      <w:r w:rsidRPr="00D47FBA">
        <w:t>Authority</w:t>
      </w:r>
    </w:p>
    <w:p w:rsidR="005B5DC4" w:rsidRPr="00D47FBA" w:rsidRDefault="005B5DC4" w:rsidP="005B5DC4">
      <w:pPr>
        <w:pStyle w:val="Paragraph"/>
      </w:pPr>
      <w:r w:rsidRPr="00D47FBA">
        <w:t xml:space="preserve">Section 3 provides that the regulation is made under the </w:t>
      </w:r>
      <w:r w:rsidRPr="00D47FBA">
        <w:rPr>
          <w:i/>
        </w:rPr>
        <w:t>Family Law Act 1975</w:t>
      </w:r>
      <w:r w:rsidRPr="00D47FBA">
        <w:t>.</w:t>
      </w:r>
    </w:p>
    <w:p w:rsidR="005B5DC4" w:rsidRPr="00D47FBA" w:rsidRDefault="005B5DC4" w:rsidP="00E22EEF">
      <w:pPr>
        <w:pStyle w:val="Heading2numbered"/>
        <w:numPr>
          <w:ilvl w:val="0"/>
          <w:numId w:val="0"/>
        </w:numPr>
        <w:spacing w:before="0"/>
      </w:pPr>
    </w:p>
    <w:p w:rsidR="00DA26D0" w:rsidRPr="00D47FBA" w:rsidRDefault="005B5DC4" w:rsidP="00E22EEF">
      <w:pPr>
        <w:pStyle w:val="Heading2numbered"/>
        <w:numPr>
          <w:ilvl w:val="0"/>
          <w:numId w:val="0"/>
        </w:numPr>
        <w:spacing w:before="0"/>
      </w:pPr>
      <w:r w:rsidRPr="00D47FBA">
        <w:t>Section 4 - Schedules</w:t>
      </w:r>
    </w:p>
    <w:p w:rsidR="005C584A" w:rsidRPr="00D47FBA" w:rsidRDefault="005C584A" w:rsidP="005C584A">
      <w:pPr>
        <w:pStyle w:val="Paragraph"/>
      </w:pPr>
      <w:r w:rsidRPr="00D47FBA">
        <w:t>Section</w:t>
      </w:r>
      <w:r w:rsidR="005B5DC4" w:rsidRPr="00D47FBA">
        <w:t xml:space="preserve"> 4</w:t>
      </w:r>
      <w:r w:rsidRPr="00D47FBA">
        <w:t xml:space="preserve"> provides that </w:t>
      </w:r>
      <w:r w:rsidR="00376104" w:rsidRPr="00D47FBA">
        <w:t xml:space="preserve">the </w:t>
      </w:r>
      <w:r w:rsidR="00376104" w:rsidRPr="00D47FBA">
        <w:rPr>
          <w:i/>
        </w:rPr>
        <w:t>Family Law (Superannuation) Regulations 2001</w:t>
      </w:r>
      <w:r w:rsidR="00015EA3" w:rsidRPr="00D47FBA">
        <w:t xml:space="preserve"> are</w:t>
      </w:r>
      <w:r w:rsidR="00376104" w:rsidRPr="00D47FBA">
        <w:t xml:space="preserve"> amended as set out in Schedul</w:t>
      </w:r>
      <w:r w:rsidRPr="00D47FBA">
        <w:t>e 1.</w:t>
      </w:r>
    </w:p>
    <w:p w:rsidR="005C584A" w:rsidRPr="00D47FBA" w:rsidRDefault="005C584A" w:rsidP="005C584A">
      <w:pPr>
        <w:spacing w:after="0"/>
        <w:rPr>
          <w:lang w:eastAsia="en-AU"/>
        </w:rPr>
      </w:pPr>
    </w:p>
    <w:p w:rsidR="005C584A" w:rsidRPr="00D47FBA" w:rsidRDefault="005C584A" w:rsidP="005C584A">
      <w:pPr>
        <w:pStyle w:val="Heading2numbered"/>
        <w:numPr>
          <w:ilvl w:val="0"/>
          <w:numId w:val="0"/>
        </w:numPr>
        <w:spacing w:before="0"/>
      </w:pPr>
      <w:r w:rsidRPr="00D47FBA">
        <w:t>Schedule 1 – Amendment</w:t>
      </w:r>
      <w:r w:rsidR="005B5DC4" w:rsidRPr="00D47FBA">
        <w:t>s</w:t>
      </w:r>
    </w:p>
    <w:p w:rsidR="005B332F" w:rsidRPr="00D47FBA" w:rsidRDefault="005B332F" w:rsidP="005C584A">
      <w:pPr>
        <w:pStyle w:val="Paragraph"/>
        <w:rPr>
          <w:b/>
        </w:rPr>
      </w:pPr>
      <w:r w:rsidRPr="00D47FBA">
        <w:rPr>
          <w:b/>
        </w:rPr>
        <w:t>Item [1] – Paragraph 9A(1)(a)</w:t>
      </w:r>
    </w:p>
    <w:p w:rsidR="005C584A" w:rsidRPr="00D47FBA" w:rsidRDefault="00376104" w:rsidP="005C584A">
      <w:pPr>
        <w:pStyle w:val="Paragraph"/>
      </w:pPr>
      <w:r w:rsidRPr="00D47FBA">
        <w:t xml:space="preserve">Item 1 </w:t>
      </w:r>
      <w:r w:rsidR="005B5DC4" w:rsidRPr="00D47FBA">
        <w:t>repeals</w:t>
      </w:r>
      <w:r w:rsidR="005C584A" w:rsidRPr="00D47FBA">
        <w:t xml:space="preserve"> paragraph 9A(1)(a) </w:t>
      </w:r>
      <w:r w:rsidR="005B5DC4" w:rsidRPr="00D47FBA">
        <w:t>of</w:t>
      </w:r>
      <w:r w:rsidR="005C584A" w:rsidRPr="00D47FBA">
        <w:t xml:space="preserve"> the </w:t>
      </w:r>
      <w:r w:rsidRPr="00D47FBA">
        <w:rPr>
          <w:i/>
        </w:rPr>
        <w:t>Family Law (Superannuation) Regulations 2001</w:t>
      </w:r>
      <w:r w:rsidR="005C584A" w:rsidRPr="00D47FBA">
        <w:t>.</w:t>
      </w:r>
    </w:p>
    <w:p w:rsidR="005C1B43" w:rsidRPr="00D47FBA" w:rsidRDefault="005C1B43" w:rsidP="00DA26D0">
      <w:pPr>
        <w:spacing w:after="360" w:line="240" w:lineRule="auto"/>
        <w:jc w:val="center"/>
        <w:rPr>
          <w:rFonts w:ascii="Times New Roman" w:eastAsia="Times New Roman" w:hAnsi="Times New Roman"/>
          <w:b/>
          <w:sz w:val="24"/>
          <w:szCs w:val="24"/>
          <w:u w:val="single"/>
          <w:lang w:eastAsia="en-AU"/>
        </w:rPr>
      </w:pPr>
      <w:r w:rsidRPr="00D47FBA">
        <w:rPr>
          <w:rFonts w:ascii="Times New Roman" w:hAnsi="Times New Roman"/>
          <w:sz w:val="24"/>
          <w:szCs w:val="24"/>
        </w:rPr>
        <w:br w:type="page"/>
      </w:r>
      <w:r w:rsidRPr="00D47FBA">
        <w:rPr>
          <w:rFonts w:ascii="Times New Roman" w:eastAsia="Times New Roman" w:hAnsi="Times New Roman"/>
          <w:b/>
          <w:sz w:val="24"/>
          <w:szCs w:val="24"/>
          <w:u w:val="single"/>
          <w:lang w:eastAsia="en-AU"/>
        </w:rPr>
        <w:lastRenderedPageBreak/>
        <w:t>Statement of Compatibility with Human Rights</w:t>
      </w:r>
    </w:p>
    <w:p w:rsidR="007F6972" w:rsidRPr="00D47FBA" w:rsidRDefault="005C1B43" w:rsidP="005C1B43">
      <w:pPr>
        <w:spacing w:after="0" w:line="240" w:lineRule="auto"/>
        <w:jc w:val="center"/>
        <w:rPr>
          <w:rFonts w:ascii="Times New Roman" w:eastAsia="Times New Roman" w:hAnsi="Times New Roman"/>
          <w:i/>
          <w:sz w:val="24"/>
          <w:szCs w:val="24"/>
          <w:lang w:eastAsia="en-AU"/>
        </w:rPr>
      </w:pPr>
      <w:r w:rsidRPr="00D47FBA">
        <w:rPr>
          <w:rFonts w:ascii="Times New Roman" w:eastAsia="Times New Roman" w:hAnsi="Times New Roman"/>
          <w:i/>
          <w:sz w:val="24"/>
          <w:szCs w:val="24"/>
          <w:lang w:eastAsia="en-AU"/>
        </w:rPr>
        <w:t>Prepared in accordance with Part 3 of the Human Rights (Parliamentary Scrutiny) Act 2011</w:t>
      </w:r>
    </w:p>
    <w:p w:rsidR="00C074D5" w:rsidRPr="00D47FBA" w:rsidRDefault="00C074D5" w:rsidP="005C1B43">
      <w:pPr>
        <w:spacing w:after="0" w:line="240" w:lineRule="auto"/>
        <w:jc w:val="center"/>
        <w:rPr>
          <w:rFonts w:ascii="Times New Roman" w:eastAsia="Times New Roman" w:hAnsi="Times New Roman"/>
          <w:b/>
          <w:i/>
          <w:sz w:val="24"/>
          <w:szCs w:val="24"/>
          <w:lang w:eastAsia="en-AU"/>
        </w:rPr>
      </w:pPr>
    </w:p>
    <w:p w:rsidR="005C1B43" w:rsidRPr="00D47FBA" w:rsidRDefault="005C1B43" w:rsidP="005C1B43">
      <w:pPr>
        <w:spacing w:after="0" w:line="240" w:lineRule="auto"/>
        <w:jc w:val="center"/>
        <w:rPr>
          <w:rFonts w:ascii="Times New Roman" w:eastAsia="Times New Roman" w:hAnsi="Times New Roman"/>
          <w:b/>
          <w:i/>
          <w:sz w:val="24"/>
          <w:szCs w:val="24"/>
          <w:lang w:eastAsia="en-AU"/>
        </w:rPr>
      </w:pPr>
      <w:r w:rsidRPr="00D47FBA">
        <w:rPr>
          <w:rFonts w:ascii="Times New Roman" w:eastAsia="Times New Roman" w:hAnsi="Times New Roman"/>
          <w:b/>
          <w:i/>
          <w:sz w:val="24"/>
          <w:szCs w:val="24"/>
          <w:lang w:eastAsia="en-AU"/>
        </w:rPr>
        <w:t xml:space="preserve">Family Law (Superannuation) </w:t>
      </w:r>
      <w:r w:rsidR="008602EB" w:rsidRPr="00D47FBA">
        <w:rPr>
          <w:rFonts w:ascii="Times New Roman" w:eastAsia="Times New Roman" w:hAnsi="Times New Roman"/>
          <w:b/>
          <w:i/>
          <w:sz w:val="24"/>
          <w:szCs w:val="24"/>
          <w:lang w:eastAsia="en-AU"/>
        </w:rPr>
        <w:t xml:space="preserve">Amendment Regulation 2013 </w:t>
      </w:r>
      <w:r w:rsidRPr="00D47FBA">
        <w:rPr>
          <w:rFonts w:ascii="Times New Roman" w:eastAsia="Times New Roman" w:hAnsi="Times New Roman"/>
          <w:b/>
          <w:i/>
          <w:sz w:val="24"/>
          <w:szCs w:val="24"/>
          <w:lang w:eastAsia="en-AU"/>
        </w:rPr>
        <w:t>(No.</w:t>
      </w:r>
      <w:r w:rsidR="00D47FBA" w:rsidRPr="00D47FBA">
        <w:rPr>
          <w:rFonts w:ascii="Times New Roman" w:eastAsia="Times New Roman" w:hAnsi="Times New Roman"/>
          <w:b/>
          <w:i/>
          <w:sz w:val="24"/>
          <w:szCs w:val="24"/>
          <w:lang w:eastAsia="en-AU"/>
        </w:rPr>
        <w:t xml:space="preserve"> 1</w:t>
      </w:r>
      <w:r w:rsidRPr="00D47FBA">
        <w:rPr>
          <w:rFonts w:ascii="Times New Roman" w:eastAsia="Times New Roman" w:hAnsi="Times New Roman"/>
          <w:b/>
          <w:i/>
          <w:sz w:val="24"/>
          <w:szCs w:val="24"/>
          <w:lang w:eastAsia="en-AU"/>
        </w:rPr>
        <w:t>)</w:t>
      </w:r>
    </w:p>
    <w:p w:rsidR="007F6972" w:rsidRPr="00D47FBA" w:rsidRDefault="007F6972" w:rsidP="005C1B43">
      <w:pPr>
        <w:spacing w:after="0" w:line="240" w:lineRule="auto"/>
        <w:jc w:val="center"/>
        <w:rPr>
          <w:rFonts w:ascii="Times New Roman" w:eastAsia="Times New Roman" w:hAnsi="Times New Roman"/>
          <w:b/>
          <w:i/>
          <w:sz w:val="24"/>
          <w:szCs w:val="24"/>
          <w:lang w:eastAsia="en-AU"/>
        </w:rPr>
      </w:pPr>
    </w:p>
    <w:p w:rsidR="005C1B43" w:rsidRPr="00D47FBA" w:rsidRDefault="005C1B43" w:rsidP="006D0324">
      <w:pPr>
        <w:spacing w:after="360" w:line="240" w:lineRule="auto"/>
        <w:jc w:val="center"/>
        <w:rPr>
          <w:rFonts w:ascii="Times New Roman" w:eastAsia="Times New Roman" w:hAnsi="Times New Roman"/>
          <w:sz w:val="24"/>
          <w:szCs w:val="24"/>
          <w:lang w:eastAsia="en-AU"/>
        </w:rPr>
      </w:pPr>
      <w:r w:rsidRPr="00D47FBA">
        <w:rPr>
          <w:rFonts w:ascii="Times New Roman" w:eastAsia="Times New Roman" w:hAnsi="Times New Roman"/>
          <w:sz w:val="24"/>
          <w:szCs w:val="24"/>
          <w:lang w:eastAsia="en-AU"/>
        </w:rPr>
        <w:t xml:space="preserve">This Legislative Instrument is compatible with the human rights and freedoms recognised or declared in the international instruments listed in section 3 of the </w:t>
      </w:r>
      <w:r w:rsidR="00E41B0A" w:rsidRPr="00D47FBA">
        <w:rPr>
          <w:rFonts w:ascii="Times New Roman" w:eastAsia="Times New Roman" w:hAnsi="Times New Roman"/>
          <w:i/>
          <w:sz w:val="24"/>
          <w:szCs w:val="20"/>
          <w:lang w:eastAsia="en-AU"/>
        </w:rPr>
        <w:t>Human </w:t>
      </w:r>
      <w:r w:rsidRPr="00D47FBA">
        <w:rPr>
          <w:rFonts w:ascii="Times New Roman" w:eastAsia="Times New Roman" w:hAnsi="Times New Roman"/>
          <w:i/>
          <w:sz w:val="24"/>
          <w:szCs w:val="20"/>
          <w:lang w:eastAsia="en-AU"/>
        </w:rPr>
        <w:t>Rights</w:t>
      </w:r>
      <w:r w:rsidR="00E41B0A" w:rsidRPr="00D47FBA">
        <w:rPr>
          <w:rFonts w:ascii="Times New Roman" w:eastAsia="Times New Roman" w:hAnsi="Times New Roman"/>
          <w:i/>
          <w:sz w:val="24"/>
          <w:szCs w:val="20"/>
          <w:lang w:eastAsia="en-AU"/>
        </w:rPr>
        <w:t> </w:t>
      </w:r>
      <w:r w:rsidRPr="00D47FBA">
        <w:rPr>
          <w:rFonts w:ascii="Times New Roman" w:eastAsia="Times New Roman" w:hAnsi="Times New Roman"/>
          <w:i/>
          <w:sz w:val="24"/>
          <w:szCs w:val="20"/>
          <w:lang w:eastAsia="en-AU"/>
        </w:rPr>
        <w:t>(Parliamentary Scrutiny) Act 2011</w:t>
      </w:r>
      <w:r w:rsidRPr="00D47FBA">
        <w:rPr>
          <w:rFonts w:ascii="Times New Roman" w:eastAsia="Times New Roman" w:hAnsi="Times New Roman"/>
          <w:sz w:val="24"/>
          <w:szCs w:val="24"/>
          <w:lang w:eastAsia="en-AU"/>
        </w:rPr>
        <w:t>.</w:t>
      </w:r>
    </w:p>
    <w:p w:rsidR="005C1B43" w:rsidRPr="00D47FBA" w:rsidRDefault="005C1B43" w:rsidP="005C1B43">
      <w:pPr>
        <w:spacing w:before="240" w:after="0" w:line="240" w:lineRule="auto"/>
        <w:rPr>
          <w:rFonts w:ascii="Times New Roman" w:eastAsia="Times New Roman" w:hAnsi="Times New Roman"/>
          <w:b/>
          <w:sz w:val="24"/>
          <w:szCs w:val="20"/>
          <w:lang w:eastAsia="en-AU"/>
        </w:rPr>
      </w:pPr>
      <w:r w:rsidRPr="00D47FBA">
        <w:rPr>
          <w:rFonts w:ascii="Times New Roman" w:eastAsia="Times New Roman" w:hAnsi="Times New Roman"/>
          <w:b/>
          <w:sz w:val="24"/>
          <w:szCs w:val="20"/>
          <w:lang w:eastAsia="en-AU"/>
        </w:rPr>
        <w:t>Overview of the Legislative Instrument</w:t>
      </w:r>
    </w:p>
    <w:p w:rsidR="008602EB" w:rsidRPr="00D47FBA" w:rsidRDefault="008602EB" w:rsidP="008602EB">
      <w:pPr>
        <w:pStyle w:val="Paragraph"/>
      </w:pPr>
      <w:r w:rsidRPr="00D47FBA">
        <w:t xml:space="preserve">The Regulation amends the </w:t>
      </w:r>
      <w:r w:rsidRPr="00D47FBA">
        <w:rPr>
          <w:i/>
        </w:rPr>
        <w:t>Family Law (Superannuation) Regulation</w:t>
      </w:r>
      <w:r w:rsidR="00D47FBA" w:rsidRPr="00D47FBA">
        <w:rPr>
          <w:i/>
        </w:rPr>
        <w:t>s</w:t>
      </w:r>
      <w:r w:rsidRPr="00D47FBA">
        <w:rPr>
          <w:i/>
        </w:rPr>
        <w:t xml:space="preserve"> 2001</w:t>
      </w:r>
      <w:r w:rsidRPr="00D47FBA">
        <w:t xml:space="preserve"> (the Principal Regulations) to ensure that the Judges’ Pensions Act Scheme is no longer prescribed as ‘percentage-only’.</w:t>
      </w:r>
    </w:p>
    <w:p w:rsidR="00C24D3A" w:rsidRPr="00D47FBA" w:rsidRDefault="008602EB" w:rsidP="008602EB">
      <w:pPr>
        <w:pStyle w:val="Paragraph"/>
      </w:pPr>
      <w:r w:rsidRPr="00D47FBA">
        <w:t>The Judges’ Pension</w:t>
      </w:r>
      <w:r w:rsidR="000A32D5" w:rsidRPr="00D47FBA">
        <w:t>s</w:t>
      </w:r>
      <w:r w:rsidRPr="00D47FBA">
        <w:t xml:space="preserve"> Act Scheme is being amended by the </w:t>
      </w:r>
      <w:r w:rsidRPr="00D47FBA">
        <w:rPr>
          <w:i/>
        </w:rPr>
        <w:t>Judges and Governors-General Legislation Amendment (Family Law) Act 2012</w:t>
      </w:r>
      <w:r w:rsidRPr="00D47FBA">
        <w:t xml:space="preserve"> </w:t>
      </w:r>
      <w:r w:rsidR="004D37D7" w:rsidRPr="00D47FBA">
        <w:t xml:space="preserve">(Judges and Governors-General Act) </w:t>
      </w:r>
      <w:r w:rsidRPr="00D47FBA">
        <w:t>to introduce scheme-specific methods and factors for the splitting of a Judges’ pension at the time of a property split, rather than rely on the ‘percentage-only’ splitting arrangements whereby any split in a property settlement of the pension of a Judge occurs only when payments are made to a retired Judge.</w:t>
      </w:r>
    </w:p>
    <w:p w:rsidR="00E22EEF" w:rsidRPr="00D47FBA" w:rsidRDefault="004D37D7" w:rsidP="004D37D7">
      <w:pPr>
        <w:spacing w:before="240" w:after="0" w:line="240" w:lineRule="auto"/>
        <w:rPr>
          <w:rFonts w:ascii="Times New Roman" w:eastAsia="Times New Roman" w:hAnsi="Times New Roman"/>
          <w:b/>
          <w:sz w:val="24"/>
          <w:szCs w:val="20"/>
          <w:lang w:eastAsia="en-AU"/>
        </w:rPr>
      </w:pPr>
      <w:r w:rsidRPr="00D47FBA">
        <w:rPr>
          <w:rFonts w:ascii="Times New Roman" w:eastAsia="Times New Roman" w:hAnsi="Times New Roman"/>
          <w:b/>
          <w:sz w:val="24"/>
          <w:szCs w:val="20"/>
          <w:lang w:eastAsia="en-AU"/>
        </w:rPr>
        <w:t>Human rights implications</w:t>
      </w:r>
    </w:p>
    <w:p w:rsidR="004D37D7" w:rsidRPr="00D47FBA" w:rsidRDefault="004D37D7" w:rsidP="004D37D7">
      <w:pPr>
        <w:pStyle w:val="Paragraph"/>
        <w:rPr>
          <w:szCs w:val="24"/>
        </w:rPr>
      </w:pPr>
      <w:r w:rsidRPr="00D47FBA">
        <w:rPr>
          <w:szCs w:val="24"/>
        </w:rPr>
        <w:t xml:space="preserve">The amendment to un-prescribe the Judges’ Pensions Act Scheme is a technical change required to reflect the amendments </w:t>
      </w:r>
      <w:r w:rsidR="00CC0613" w:rsidRPr="00D47FBA">
        <w:rPr>
          <w:szCs w:val="24"/>
        </w:rPr>
        <w:t>made</w:t>
      </w:r>
      <w:r w:rsidRPr="00D47FBA">
        <w:rPr>
          <w:szCs w:val="24"/>
        </w:rPr>
        <w:t xml:space="preserve"> by the Judges and Governors</w:t>
      </w:r>
      <w:r w:rsidRPr="00D47FBA">
        <w:rPr>
          <w:szCs w:val="24"/>
        </w:rPr>
        <w:noBreakHyphen/>
        <w:t>General Act</w:t>
      </w:r>
      <w:r w:rsidR="00CC0613" w:rsidRPr="00D47FBA">
        <w:rPr>
          <w:szCs w:val="24"/>
        </w:rPr>
        <w:t xml:space="preserve"> </w:t>
      </w:r>
      <w:r w:rsidRPr="00D47FBA">
        <w:rPr>
          <w:szCs w:val="24"/>
        </w:rPr>
        <w:t xml:space="preserve">and therefore does not </w:t>
      </w:r>
      <w:r w:rsidR="0095371D" w:rsidRPr="00D47FBA">
        <w:rPr>
          <w:szCs w:val="24"/>
        </w:rPr>
        <w:t>directly impact on</w:t>
      </w:r>
      <w:r w:rsidRPr="00D47FBA">
        <w:rPr>
          <w:szCs w:val="24"/>
        </w:rPr>
        <w:t xml:space="preserve"> any human rights.</w:t>
      </w:r>
    </w:p>
    <w:p w:rsidR="004D37D7" w:rsidRPr="00D47FBA" w:rsidRDefault="004D37D7" w:rsidP="004D37D7">
      <w:pPr>
        <w:pStyle w:val="Paragraph"/>
        <w:rPr>
          <w:szCs w:val="24"/>
        </w:rPr>
      </w:pPr>
      <w:r w:rsidRPr="00D47FBA">
        <w:rPr>
          <w:szCs w:val="24"/>
        </w:rPr>
        <w:t>However, t</w:t>
      </w:r>
      <w:r w:rsidR="00E22EEF" w:rsidRPr="00D47FBA">
        <w:rPr>
          <w:szCs w:val="24"/>
        </w:rPr>
        <w:t xml:space="preserve">he </w:t>
      </w:r>
      <w:r w:rsidR="0095371D" w:rsidRPr="00D47FBA">
        <w:rPr>
          <w:szCs w:val="24"/>
        </w:rPr>
        <w:t xml:space="preserve">effect of the </w:t>
      </w:r>
      <w:r w:rsidRPr="00D47FBA">
        <w:rPr>
          <w:szCs w:val="24"/>
        </w:rPr>
        <w:t>Regulation</w:t>
      </w:r>
      <w:r w:rsidR="00E22EEF" w:rsidRPr="00D47FBA">
        <w:rPr>
          <w:szCs w:val="24"/>
        </w:rPr>
        <w:t xml:space="preserve"> is compatible with the human rights and freedoms recognised or declared in the international instruments listed in section 3 of the </w:t>
      </w:r>
      <w:r w:rsidR="00E22EEF" w:rsidRPr="00D47FBA">
        <w:rPr>
          <w:i/>
          <w:szCs w:val="24"/>
        </w:rPr>
        <w:t>Human Rights (Parliamentary Scrutiny) Act 2011</w:t>
      </w:r>
      <w:r w:rsidR="00E22EEF" w:rsidRPr="00D47FBA">
        <w:rPr>
          <w:szCs w:val="24"/>
        </w:rPr>
        <w:t xml:space="preserve"> as it advances the protection of human rights.</w:t>
      </w:r>
    </w:p>
    <w:p w:rsidR="004D37D7" w:rsidRPr="00D47FBA" w:rsidRDefault="00E22EEF" w:rsidP="004D37D7">
      <w:pPr>
        <w:pStyle w:val="Paragraph"/>
        <w:rPr>
          <w:szCs w:val="24"/>
        </w:rPr>
      </w:pPr>
      <w:r w:rsidRPr="00D47FBA">
        <w:rPr>
          <w:szCs w:val="24"/>
        </w:rPr>
        <w:t xml:space="preserve">The </w:t>
      </w:r>
      <w:r w:rsidR="004D37D7" w:rsidRPr="00D47FBA">
        <w:rPr>
          <w:szCs w:val="24"/>
        </w:rPr>
        <w:t>Regulation</w:t>
      </w:r>
      <w:r w:rsidRPr="00D47FBA">
        <w:rPr>
          <w:szCs w:val="24"/>
        </w:rPr>
        <w:t xml:space="preserve"> </w:t>
      </w:r>
      <w:r w:rsidR="0095371D" w:rsidRPr="00D47FBA">
        <w:rPr>
          <w:szCs w:val="24"/>
        </w:rPr>
        <w:t xml:space="preserve">will assist in promoting the </w:t>
      </w:r>
      <w:r w:rsidRPr="00D47FBA">
        <w:rPr>
          <w:szCs w:val="24"/>
        </w:rPr>
        <w:t>human rights recognised in the Convention on the Elimination of All Forms of Discrimination against Women (</w:t>
      </w:r>
      <w:proofErr w:type="spellStart"/>
      <w:r w:rsidRPr="00D47FBA">
        <w:rPr>
          <w:szCs w:val="24"/>
        </w:rPr>
        <w:t>CEDAW</w:t>
      </w:r>
      <w:proofErr w:type="spellEnd"/>
      <w:r w:rsidRPr="00D47FBA">
        <w:rPr>
          <w:szCs w:val="24"/>
        </w:rPr>
        <w:t>)</w:t>
      </w:r>
      <w:r w:rsidR="0095371D" w:rsidRPr="00D47FBA">
        <w:rPr>
          <w:szCs w:val="24"/>
        </w:rPr>
        <w:t>, particularly Article 16</w:t>
      </w:r>
      <w:r w:rsidRPr="00D47FBA">
        <w:rPr>
          <w:szCs w:val="24"/>
        </w:rPr>
        <w:t>.</w:t>
      </w:r>
      <w:r w:rsidR="0095371D" w:rsidRPr="00D47FBA">
        <w:rPr>
          <w:szCs w:val="24"/>
        </w:rPr>
        <w:t xml:space="preserve">  Article 16 requires that States’ parties take all appropriate measures to eliminate discrimination against women in all matters relating to marriage.</w:t>
      </w:r>
    </w:p>
    <w:p w:rsidR="004D37D7" w:rsidRPr="00D47FBA" w:rsidRDefault="00E22EEF" w:rsidP="004D37D7">
      <w:pPr>
        <w:pStyle w:val="Paragraph"/>
        <w:rPr>
          <w:szCs w:val="24"/>
        </w:rPr>
      </w:pPr>
      <w:r w:rsidRPr="00D47FBA">
        <w:rPr>
          <w:szCs w:val="24"/>
        </w:rPr>
        <w:t>In 2008, Sex Discrimination Commissioner Elizabeth Broderick advised the then Attorney</w:t>
      </w:r>
      <w:r w:rsidR="004D37D7" w:rsidRPr="00D47FBA">
        <w:rPr>
          <w:szCs w:val="24"/>
        </w:rPr>
        <w:noBreakHyphen/>
      </w:r>
      <w:r w:rsidRPr="00D47FBA">
        <w:rPr>
          <w:szCs w:val="24"/>
        </w:rPr>
        <w:t xml:space="preserve">General that, in her view, the </w:t>
      </w:r>
      <w:r w:rsidRPr="00D47FBA">
        <w:rPr>
          <w:i/>
          <w:szCs w:val="24"/>
        </w:rPr>
        <w:t>Judges Pension Act 1968</w:t>
      </w:r>
      <w:r w:rsidRPr="00D47FBA">
        <w:rPr>
          <w:szCs w:val="24"/>
        </w:rPr>
        <w:t xml:space="preserve"> may be inconsistent with the objects of the </w:t>
      </w:r>
      <w:r w:rsidRPr="00D47FBA">
        <w:rPr>
          <w:i/>
          <w:szCs w:val="24"/>
        </w:rPr>
        <w:t>Sex Discrimination Act 1984</w:t>
      </w:r>
      <w:r w:rsidRPr="00D47FBA">
        <w:rPr>
          <w:szCs w:val="24"/>
        </w:rPr>
        <w:t xml:space="preserve"> and may also violate Article 16 of </w:t>
      </w:r>
      <w:proofErr w:type="spellStart"/>
      <w:r w:rsidRPr="00D47FBA">
        <w:rPr>
          <w:szCs w:val="24"/>
        </w:rPr>
        <w:t>CEDAW</w:t>
      </w:r>
      <w:proofErr w:type="spellEnd"/>
      <w:r w:rsidRPr="00D47FBA">
        <w:rPr>
          <w:szCs w:val="24"/>
        </w:rPr>
        <w:t xml:space="preserve">. </w:t>
      </w:r>
      <w:r w:rsidR="004D37D7" w:rsidRPr="00D47FBA">
        <w:rPr>
          <w:szCs w:val="24"/>
        </w:rPr>
        <w:t xml:space="preserve"> </w:t>
      </w:r>
      <w:r w:rsidRPr="00D47FBA">
        <w:rPr>
          <w:szCs w:val="24"/>
        </w:rPr>
        <w:t>She explained that, as a consequence of the current family law splitting arrangements for Federal Judges, three major disadvantages for divorcing spous</w:t>
      </w:r>
      <w:r w:rsidR="00CC0613" w:rsidRPr="00D47FBA">
        <w:rPr>
          <w:szCs w:val="24"/>
        </w:rPr>
        <w:t>es of Federal Judges are likely:</w:t>
      </w:r>
    </w:p>
    <w:p w:rsidR="00E22EEF" w:rsidRPr="00D47FBA" w:rsidRDefault="00E22EEF" w:rsidP="004D37D7">
      <w:pPr>
        <w:numPr>
          <w:ilvl w:val="0"/>
          <w:numId w:val="5"/>
        </w:numPr>
        <w:spacing w:before="120" w:after="120" w:line="240" w:lineRule="auto"/>
        <w:ind w:left="567" w:hanging="567"/>
        <w:rPr>
          <w:rFonts w:ascii="Times New Roman" w:eastAsia="Times New Roman" w:hAnsi="Times New Roman"/>
          <w:sz w:val="24"/>
          <w:szCs w:val="24"/>
        </w:rPr>
      </w:pPr>
      <w:r w:rsidRPr="00D47FBA">
        <w:rPr>
          <w:rFonts w:ascii="Times New Roman" w:eastAsia="Times New Roman" w:hAnsi="Times New Roman"/>
          <w:sz w:val="24"/>
          <w:szCs w:val="24"/>
        </w:rPr>
        <w:t>Commencement of pension payments is timed with the Judge's retire</w:t>
      </w:r>
      <w:r w:rsidR="00CC0613" w:rsidRPr="00D47FBA">
        <w:rPr>
          <w:rFonts w:ascii="Times New Roman" w:eastAsia="Times New Roman" w:hAnsi="Times New Roman"/>
          <w:sz w:val="24"/>
          <w:szCs w:val="24"/>
        </w:rPr>
        <w:t>ment and is therefore uncertain</w:t>
      </w:r>
    </w:p>
    <w:p w:rsidR="00E22EEF" w:rsidRPr="00D47FBA" w:rsidRDefault="00E22EEF" w:rsidP="00E22EEF">
      <w:pPr>
        <w:numPr>
          <w:ilvl w:val="0"/>
          <w:numId w:val="5"/>
        </w:numPr>
        <w:spacing w:after="120" w:line="240" w:lineRule="auto"/>
        <w:ind w:left="567" w:hanging="567"/>
        <w:rPr>
          <w:rFonts w:ascii="Times New Roman" w:eastAsia="Times New Roman" w:hAnsi="Times New Roman"/>
          <w:sz w:val="24"/>
          <w:szCs w:val="24"/>
        </w:rPr>
      </w:pPr>
      <w:r w:rsidRPr="00D47FBA">
        <w:rPr>
          <w:rFonts w:ascii="Times New Roman" w:eastAsia="Times New Roman" w:hAnsi="Times New Roman"/>
          <w:sz w:val="24"/>
          <w:szCs w:val="24"/>
        </w:rPr>
        <w:t>For women non-members there may be a gap between their retirement and their entitlement to pension payments, given that men tend to work lo</w:t>
      </w:r>
      <w:r w:rsidR="00CC0613" w:rsidRPr="00D47FBA">
        <w:rPr>
          <w:rFonts w:ascii="Times New Roman" w:eastAsia="Times New Roman" w:hAnsi="Times New Roman"/>
          <w:sz w:val="24"/>
          <w:szCs w:val="24"/>
        </w:rPr>
        <w:t>nger than women before retiring, and</w:t>
      </w:r>
    </w:p>
    <w:p w:rsidR="00E22EEF" w:rsidRPr="00D47FBA" w:rsidRDefault="00E22EEF" w:rsidP="00E22EEF">
      <w:pPr>
        <w:numPr>
          <w:ilvl w:val="0"/>
          <w:numId w:val="5"/>
        </w:numPr>
        <w:spacing w:after="0" w:line="240" w:lineRule="auto"/>
        <w:ind w:left="567" w:hanging="567"/>
        <w:rPr>
          <w:rFonts w:ascii="Times New Roman" w:eastAsia="Times New Roman" w:hAnsi="Times New Roman"/>
          <w:sz w:val="24"/>
          <w:szCs w:val="24"/>
        </w:rPr>
      </w:pPr>
      <w:r w:rsidRPr="00D47FBA">
        <w:rPr>
          <w:rFonts w:ascii="Times New Roman" w:eastAsia="Times New Roman" w:hAnsi="Times New Roman"/>
          <w:sz w:val="24"/>
          <w:szCs w:val="24"/>
        </w:rPr>
        <w:lastRenderedPageBreak/>
        <w:t xml:space="preserve">There is no entitlement to pension payments after the Judge dies. </w:t>
      </w:r>
      <w:r w:rsidR="00F650CA" w:rsidRPr="00D47FBA">
        <w:rPr>
          <w:rFonts w:ascii="Times New Roman" w:eastAsia="Times New Roman" w:hAnsi="Times New Roman"/>
          <w:sz w:val="24"/>
          <w:szCs w:val="24"/>
        </w:rPr>
        <w:t xml:space="preserve"> </w:t>
      </w:r>
      <w:r w:rsidRPr="00D47FBA">
        <w:rPr>
          <w:rFonts w:ascii="Times New Roman" w:eastAsia="Times New Roman" w:hAnsi="Times New Roman"/>
          <w:sz w:val="24"/>
          <w:szCs w:val="24"/>
        </w:rPr>
        <w:t>Given the differential life expectancies of women and men, this means that women affected are unlikely to receive pension payments for the duration of their retirement.</w:t>
      </w:r>
    </w:p>
    <w:p w:rsidR="00E22EEF" w:rsidRPr="00D47FBA" w:rsidRDefault="00E22EEF" w:rsidP="00CC0613">
      <w:pPr>
        <w:pStyle w:val="Paragraph"/>
        <w:rPr>
          <w:szCs w:val="24"/>
        </w:rPr>
      </w:pPr>
      <w:r w:rsidRPr="00D47FBA">
        <w:rPr>
          <w:szCs w:val="24"/>
        </w:rPr>
        <w:t xml:space="preserve">The </w:t>
      </w:r>
      <w:r w:rsidR="00CC0613" w:rsidRPr="00D47FBA">
        <w:rPr>
          <w:szCs w:val="24"/>
        </w:rPr>
        <w:t>amendments made by the Judges and Governors-General Act</w:t>
      </w:r>
      <w:r w:rsidRPr="00D47FBA">
        <w:rPr>
          <w:szCs w:val="24"/>
        </w:rPr>
        <w:t xml:space="preserve"> promotes the human rights of women by allowing former spouses of Judges and Governors-General</w:t>
      </w:r>
      <w:r w:rsidR="00DD6BE5" w:rsidRPr="00D47FBA">
        <w:rPr>
          <w:szCs w:val="24"/>
        </w:rPr>
        <w:t>, who have until relatively recently predominantly been women,</w:t>
      </w:r>
      <w:r w:rsidRPr="00D47FBA">
        <w:rPr>
          <w:szCs w:val="24"/>
        </w:rPr>
        <w:t xml:space="preserve"> to receive a separate interest benefit in the event of a family law split.  This approach resolves the issues identified by the Sex Discrimination Commissioner.</w:t>
      </w:r>
    </w:p>
    <w:p w:rsidR="005C1B43" w:rsidRPr="00D47FBA" w:rsidRDefault="005C1B43" w:rsidP="005C1B43">
      <w:pPr>
        <w:spacing w:before="240" w:after="0" w:line="240" w:lineRule="auto"/>
        <w:rPr>
          <w:rFonts w:ascii="Times New Roman" w:eastAsia="Times New Roman" w:hAnsi="Times New Roman"/>
          <w:b/>
          <w:sz w:val="24"/>
          <w:szCs w:val="24"/>
          <w:lang w:eastAsia="en-AU"/>
        </w:rPr>
      </w:pPr>
      <w:r w:rsidRPr="00D47FBA">
        <w:rPr>
          <w:rFonts w:ascii="Times New Roman" w:eastAsia="Times New Roman" w:hAnsi="Times New Roman"/>
          <w:b/>
          <w:sz w:val="24"/>
          <w:szCs w:val="24"/>
          <w:lang w:eastAsia="en-AU"/>
        </w:rPr>
        <w:t>Conclusion</w:t>
      </w:r>
    </w:p>
    <w:p w:rsidR="00753DB1" w:rsidRPr="00DD6BE5" w:rsidRDefault="005C1B43" w:rsidP="00DD6BE5">
      <w:pPr>
        <w:spacing w:before="240" w:after="0" w:line="240" w:lineRule="auto"/>
        <w:rPr>
          <w:rFonts w:ascii="Times New Roman" w:eastAsia="Times New Roman" w:hAnsi="Times New Roman"/>
          <w:sz w:val="24"/>
          <w:szCs w:val="24"/>
          <w:lang w:eastAsia="en-AU"/>
        </w:rPr>
      </w:pPr>
      <w:r w:rsidRPr="00D47FBA">
        <w:rPr>
          <w:rFonts w:ascii="Times New Roman" w:eastAsia="Times New Roman" w:hAnsi="Times New Roman"/>
          <w:sz w:val="24"/>
          <w:szCs w:val="24"/>
          <w:lang w:eastAsia="en-AU"/>
        </w:rPr>
        <w:t xml:space="preserve">The </w:t>
      </w:r>
      <w:r w:rsidR="00CC0613" w:rsidRPr="00D47FBA">
        <w:rPr>
          <w:rFonts w:ascii="Times New Roman" w:eastAsia="Times New Roman" w:hAnsi="Times New Roman"/>
          <w:sz w:val="24"/>
          <w:szCs w:val="24"/>
          <w:lang w:eastAsia="en-AU"/>
        </w:rPr>
        <w:t>Regulation</w:t>
      </w:r>
      <w:r w:rsidR="000F51AC" w:rsidRPr="00D47FBA">
        <w:rPr>
          <w:rFonts w:ascii="Times New Roman" w:eastAsia="Times New Roman" w:hAnsi="Times New Roman"/>
          <w:sz w:val="24"/>
          <w:szCs w:val="24"/>
          <w:lang w:eastAsia="en-AU"/>
        </w:rPr>
        <w:t xml:space="preserve"> </w:t>
      </w:r>
      <w:r w:rsidRPr="00D47FBA">
        <w:rPr>
          <w:rFonts w:ascii="Times New Roman" w:eastAsia="Times New Roman" w:hAnsi="Times New Roman"/>
          <w:sz w:val="24"/>
          <w:szCs w:val="24"/>
          <w:lang w:eastAsia="en-AU"/>
        </w:rPr>
        <w:t>is compatible with human rights</w:t>
      </w:r>
      <w:r w:rsidR="00E22EEF" w:rsidRPr="00D47FBA">
        <w:rPr>
          <w:rFonts w:ascii="Times New Roman" w:eastAsia="Times New Roman" w:hAnsi="Times New Roman"/>
          <w:sz w:val="24"/>
          <w:szCs w:val="24"/>
          <w:lang w:eastAsia="en-AU"/>
        </w:rPr>
        <w:t xml:space="preserve"> </w:t>
      </w:r>
      <w:r w:rsidR="00E22EEF" w:rsidRPr="00D47FBA">
        <w:rPr>
          <w:rFonts w:ascii="Times New Roman" w:eastAsia="Times New Roman" w:hAnsi="Times New Roman"/>
          <w:sz w:val="24"/>
          <w:szCs w:val="24"/>
        </w:rPr>
        <w:t xml:space="preserve">freedoms </w:t>
      </w:r>
      <w:r w:rsidR="00CC0613" w:rsidRPr="00D47FBA">
        <w:rPr>
          <w:rFonts w:ascii="Times New Roman" w:eastAsia="Times New Roman" w:hAnsi="Times New Roman"/>
          <w:sz w:val="24"/>
          <w:szCs w:val="24"/>
        </w:rPr>
        <w:t>because</w:t>
      </w:r>
      <w:r w:rsidR="00E22EEF" w:rsidRPr="00D47FBA">
        <w:rPr>
          <w:rFonts w:ascii="Times New Roman" w:eastAsia="Times New Roman" w:hAnsi="Times New Roman"/>
          <w:sz w:val="24"/>
          <w:szCs w:val="24"/>
        </w:rPr>
        <w:t xml:space="preserve"> it advances the protection of human rights.</w:t>
      </w:r>
      <w:bookmarkStart w:id="0" w:name="_GoBack"/>
      <w:bookmarkEnd w:id="0"/>
    </w:p>
    <w:sectPr w:rsidR="00753DB1" w:rsidRPr="00DD6BE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C4A" w:rsidRDefault="001F0C4A" w:rsidP="00E953ED">
      <w:pPr>
        <w:spacing w:after="0" w:line="240" w:lineRule="auto"/>
      </w:pPr>
      <w:r>
        <w:separator/>
      </w:r>
    </w:p>
  </w:endnote>
  <w:endnote w:type="continuationSeparator" w:id="0">
    <w:p w:rsidR="001F0C4A" w:rsidRDefault="001F0C4A" w:rsidP="00E95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3ED" w:rsidRPr="00C24D3A" w:rsidRDefault="00E953ED" w:rsidP="00E953ED">
    <w:pPr>
      <w:pStyle w:val="Footer"/>
      <w:tabs>
        <w:tab w:val="clear" w:pos="4513"/>
        <w:tab w:val="clear" w:pos="9026"/>
      </w:tabs>
      <w:spacing w:after="0" w:line="240" w:lineRule="auto"/>
      <w:jc w:val="right"/>
      <w:rPr>
        <w:rFonts w:ascii="Times New Roman" w:eastAsia="Times New Roman" w:hAnsi="Times New Roman"/>
        <w:i/>
        <w:lang w:eastAsia="en-AU"/>
      </w:rPr>
    </w:pPr>
    <w:r w:rsidRPr="00C24D3A">
      <w:rPr>
        <w:rFonts w:ascii="Times New Roman" w:hAnsi="Times New Roman"/>
        <w:i/>
        <w:iCs/>
      </w:rPr>
      <w:t>Family Law (Superannuation)</w:t>
    </w:r>
    <w:r w:rsidR="00D47FBA">
      <w:rPr>
        <w:rFonts w:ascii="Times New Roman" w:hAnsi="Times New Roman"/>
        <w:i/>
        <w:iCs/>
      </w:rPr>
      <w:t xml:space="preserve"> Amendment</w:t>
    </w:r>
    <w:r w:rsidRPr="00C24D3A">
      <w:rPr>
        <w:rFonts w:ascii="Times New Roman" w:hAnsi="Times New Roman"/>
        <w:i/>
        <w:iCs/>
      </w:rPr>
      <w:t xml:space="preserve"> </w:t>
    </w:r>
    <w:r w:rsidR="00D47FBA">
      <w:rPr>
        <w:rFonts w:ascii="Times New Roman" w:hAnsi="Times New Roman"/>
        <w:i/>
        <w:iCs/>
      </w:rPr>
      <w:t>Regulation 2013 (No .1)</w:t>
    </w:r>
    <w:r w:rsidRPr="00C24D3A">
      <w:rPr>
        <w:rFonts w:ascii="Times New Roman" w:eastAsia="Times New Roman" w:hAnsi="Times New Roman"/>
        <w:i/>
        <w:lang w:eastAsia="en-AU"/>
      </w:rPr>
      <w:t xml:space="preserve">: </w:t>
    </w:r>
  </w:p>
  <w:p w:rsidR="00E953ED" w:rsidRPr="00E953ED" w:rsidRDefault="00E953ED" w:rsidP="00E953ED">
    <w:pPr>
      <w:pStyle w:val="Footer"/>
      <w:tabs>
        <w:tab w:val="clear" w:pos="4513"/>
        <w:tab w:val="clear" w:pos="9026"/>
      </w:tabs>
      <w:spacing w:after="0" w:line="240" w:lineRule="auto"/>
      <w:jc w:val="right"/>
      <w:rPr>
        <w:rFonts w:ascii="Times New Roman" w:eastAsia="Times New Roman" w:hAnsi="Times New Roman"/>
        <w:szCs w:val="20"/>
        <w:lang w:eastAsia="en-AU"/>
      </w:rPr>
    </w:pPr>
    <w:r w:rsidRPr="00E953ED">
      <w:rPr>
        <w:rFonts w:ascii="Times New Roman" w:eastAsia="Times New Roman" w:hAnsi="Times New Roman"/>
        <w:szCs w:val="20"/>
        <w:lang w:eastAsia="en-AU"/>
      </w:rPr>
      <w:t xml:space="preserve">Explanatory Statement and Statement of Compatibility with Human Rights — </w:t>
    </w:r>
    <w:r w:rsidRPr="00E953ED">
      <w:rPr>
        <w:rFonts w:ascii="Times New Roman" w:eastAsia="Times New Roman" w:hAnsi="Times New Roman"/>
        <w:szCs w:val="20"/>
        <w:lang w:eastAsia="en-AU"/>
      </w:rPr>
      <w:fldChar w:fldCharType="begin"/>
    </w:r>
    <w:r w:rsidRPr="00E953ED">
      <w:rPr>
        <w:rFonts w:ascii="Times New Roman" w:eastAsia="Times New Roman" w:hAnsi="Times New Roman"/>
        <w:szCs w:val="20"/>
        <w:lang w:eastAsia="en-AU"/>
      </w:rPr>
      <w:instrText xml:space="preserve"> PAGE </w:instrText>
    </w:r>
    <w:r w:rsidRPr="00E953ED">
      <w:rPr>
        <w:rFonts w:ascii="Times New Roman" w:eastAsia="Times New Roman" w:hAnsi="Times New Roman"/>
        <w:szCs w:val="20"/>
        <w:lang w:eastAsia="en-AU"/>
      </w:rPr>
      <w:fldChar w:fldCharType="separate"/>
    </w:r>
    <w:r w:rsidR="00D47FBA">
      <w:rPr>
        <w:rFonts w:ascii="Times New Roman" w:eastAsia="Times New Roman" w:hAnsi="Times New Roman"/>
        <w:noProof/>
        <w:szCs w:val="20"/>
        <w:lang w:eastAsia="en-AU"/>
      </w:rPr>
      <w:t>1</w:t>
    </w:r>
    <w:r w:rsidRPr="00E953ED">
      <w:rPr>
        <w:rFonts w:ascii="Times New Roman" w:eastAsia="Times New Roman" w:hAnsi="Times New Roman"/>
        <w:szCs w:val="20"/>
        <w:lang w:eastAsia="en-AU"/>
      </w:rPr>
      <w:fldChar w:fldCharType="end"/>
    </w:r>
    <w:r w:rsidRPr="00E953ED">
      <w:rPr>
        <w:rFonts w:ascii="Times New Roman" w:eastAsia="Times New Roman" w:hAnsi="Times New Roman"/>
        <w:szCs w:val="20"/>
        <w:lang w:eastAsia="en-AU"/>
      </w:rPr>
      <w:t xml:space="preserve"> of </w:t>
    </w:r>
    <w:r w:rsidRPr="00E953ED">
      <w:rPr>
        <w:rFonts w:ascii="Times New Roman" w:eastAsia="Times New Roman" w:hAnsi="Times New Roman"/>
        <w:szCs w:val="20"/>
        <w:lang w:eastAsia="en-AU"/>
      </w:rPr>
      <w:fldChar w:fldCharType="begin"/>
    </w:r>
    <w:r w:rsidRPr="00E953ED">
      <w:rPr>
        <w:rFonts w:ascii="Times New Roman" w:eastAsia="Times New Roman" w:hAnsi="Times New Roman"/>
        <w:szCs w:val="20"/>
        <w:lang w:eastAsia="en-AU"/>
      </w:rPr>
      <w:instrText xml:space="preserve"> NUMPAGES </w:instrText>
    </w:r>
    <w:r w:rsidRPr="00E953ED">
      <w:rPr>
        <w:rFonts w:ascii="Times New Roman" w:eastAsia="Times New Roman" w:hAnsi="Times New Roman"/>
        <w:szCs w:val="20"/>
        <w:lang w:eastAsia="en-AU"/>
      </w:rPr>
      <w:fldChar w:fldCharType="separate"/>
    </w:r>
    <w:r w:rsidR="00D47FBA">
      <w:rPr>
        <w:rFonts w:ascii="Times New Roman" w:eastAsia="Times New Roman" w:hAnsi="Times New Roman"/>
        <w:noProof/>
        <w:szCs w:val="20"/>
        <w:lang w:eastAsia="en-AU"/>
      </w:rPr>
      <w:t>4</w:t>
    </w:r>
    <w:r w:rsidRPr="00E953ED">
      <w:rPr>
        <w:rFonts w:ascii="Times New Roman" w:eastAsia="Times New Roman" w:hAnsi="Times New Roman"/>
        <w:szCs w:val="20"/>
        <w:lang w:eastAsia="en-AU"/>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C4A" w:rsidRDefault="001F0C4A" w:rsidP="00E953ED">
      <w:pPr>
        <w:spacing w:after="0" w:line="240" w:lineRule="auto"/>
      </w:pPr>
      <w:r>
        <w:separator/>
      </w:r>
    </w:p>
  </w:footnote>
  <w:footnote w:type="continuationSeparator" w:id="0">
    <w:p w:rsidR="001F0C4A" w:rsidRDefault="001F0C4A" w:rsidP="00E953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B0658"/>
    <w:multiLevelType w:val="multilevel"/>
    <w:tmpl w:val="99E43D82"/>
    <w:lvl w:ilvl="0">
      <w:start w:val="1"/>
      <w:numFmt w:val="decimal"/>
      <w:pStyle w:val="Heading1numbered"/>
      <w:lvlText w:val="%1"/>
      <w:lvlJc w:val="left"/>
      <w:pPr>
        <w:tabs>
          <w:tab w:val="num" w:pos="360"/>
        </w:tabs>
        <w:ind w:left="0" w:firstLine="0"/>
      </w:pPr>
    </w:lvl>
    <w:lvl w:ilvl="1">
      <w:start w:val="1"/>
      <w:numFmt w:val="decimal"/>
      <w:pStyle w:val="Heading2numbered"/>
      <w:lvlText w:val="%1.%2"/>
      <w:lvlJc w:val="left"/>
      <w:pPr>
        <w:tabs>
          <w:tab w:val="num" w:pos="720"/>
        </w:tabs>
        <w:ind w:left="0" w:firstLine="0"/>
      </w:pPr>
    </w:lvl>
    <w:lvl w:ilvl="2">
      <w:start w:val="1"/>
      <w:numFmt w:val="decimal"/>
      <w:pStyle w:val="Heading3numbered"/>
      <w:lvlText w:val="%1.%2.%3"/>
      <w:lvlJc w:val="left"/>
      <w:pPr>
        <w:tabs>
          <w:tab w:val="num" w:pos="720"/>
        </w:tabs>
        <w:ind w:left="0" w:firstLine="0"/>
      </w:pPr>
    </w:lvl>
    <w:lvl w:ilvl="3">
      <w:start w:val="1"/>
      <w:numFmt w:val="decimal"/>
      <w:pStyle w:val="Heading4numbered"/>
      <w:lvlText w:val="%1.%2.%3.%4"/>
      <w:lvlJc w:val="left"/>
      <w:pPr>
        <w:tabs>
          <w:tab w:val="num" w:pos="1080"/>
        </w:tabs>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3F404D0C"/>
    <w:multiLevelType w:val="hybridMultilevel"/>
    <w:tmpl w:val="FBFCA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1565C4E"/>
    <w:multiLevelType w:val="hybridMultilevel"/>
    <w:tmpl w:val="DAA6B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9430971"/>
    <w:multiLevelType w:val="hybridMultilevel"/>
    <w:tmpl w:val="CB865A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1"/>
  </w:num>
  <w:num w:numId="5">
    <w:abstractNumId w:val="3"/>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DB1"/>
    <w:rsid w:val="00015EA3"/>
    <w:rsid w:val="00022639"/>
    <w:rsid w:val="0002400A"/>
    <w:rsid w:val="00047F40"/>
    <w:rsid w:val="00090DE3"/>
    <w:rsid w:val="000A32D5"/>
    <w:rsid w:val="000B174F"/>
    <w:rsid w:val="000D19D7"/>
    <w:rsid w:val="000F51AC"/>
    <w:rsid w:val="00103105"/>
    <w:rsid w:val="00114F50"/>
    <w:rsid w:val="001170BE"/>
    <w:rsid w:val="001479C4"/>
    <w:rsid w:val="001552FC"/>
    <w:rsid w:val="00164C57"/>
    <w:rsid w:val="001A3041"/>
    <w:rsid w:val="001E1D2D"/>
    <w:rsid w:val="001F0C4A"/>
    <w:rsid w:val="00203E1D"/>
    <w:rsid w:val="00234469"/>
    <w:rsid w:val="00246644"/>
    <w:rsid w:val="00257412"/>
    <w:rsid w:val="00265EAE"/>
    <w:rsid w:val="00291AEE"/>
    <w:rsid w:val="002951F2"/>
    <w:rsid w:val="002A682D"/>
    <w:rsid w:val="002D4DFD"/>
    <w:rsid w:val="002D5722"/>
    <w:rsid w:val="002D622E"/>
    <w:rsid w:val="002F3FF9"/>
    <w:rsid w:val="0031679D"/>
    <w:rsid w:val="0037099F"/>
    <w:rsid w:val="00376104"/>
    <w:rsid w:val="003F0DA6"/>
    <w:rsid w:val="004445CA"/>
    <w:rsid w:val="004546FD"/>
    <w:rsid w:val="004918F9"/>
    <w:rsid w:val="004D37D7"/>
    <w:rsid w:val="005272E6"/>
    <w:rsid w:val="005521DB"/>
    <w:rsid w:val="005B332F"/>
    <w:rsid w:val="005B5DC4"/>
    <w:rsid w:val="005C1B43"/>
    <w:rsid w:val="005C584A"/>
    <w:rsid w:val="00602529"/>
    <w:rsid w:val="00615CD9"/>
    <w:rsid w:val="00633FA9"/>
    <w:rsid w:val="00635A81"/>
    <w:rsid w:val="006C62AB"/>
    <w:rsid w:val="006D0324"/>
    <w:rsid w:val="007201CD"/>
    <w:rsid w:val="007234BF"/>
    <w:rsid w:val="0074578D"/>
    <w:rsid w:val="007529C1"/>
    <w:rsid w:val="00753DB1"/>
    <w:rsid w:val="007C0D26"/>
    <w:rsid w:val="007C18A0"/>
    <w:rsid w:val="007D66ED"/>
    <w:rsid w:val="007F58A3"/>
    <w:rsid w:val="007F6972"/>
    <w:rsid w:val="0080021A"/>
    <w:rsid w:val="00813BAC"/>
    <w:rsid w:val="00826102"/>
    <w:rsid w:val="00844B8A"/>
    <w:rsid w:val="00854424"/>
    <w:rsid w:val="008602EB"/>
    <w:rsid w:val="0088494A"/>
    <w:rsid w:val="008908F9"/>
    <w:rsid w:val="008A2E17"/>
    <w:rsid w:val="009015CC"/>
    <w:rsid w:val="00925413"/>
    <w:rsid w:val="0093299B"/>
    <w:rsid w:val="00943A6C"/>
    <w:rsid w:val="0095371D"/>
    <w:rsid w:val="00956D95"/>
    <w:rsid w:val="009870D9"/>
    <w:rsid w:val="009E5F69"/>
    <w:rsid w:val="009F1321"/>
    <w:rsid w:val="009F4247"/>
    <w:rsid w:val="00A07D83"/>
    <w:rsid w:val="00A40BDA"/>
    <w:rsid w:val="00A52C34"/>
    <w:rsid w:val="00B02186"/>
    <w:rsid w:val="00B262EB"/>
    <w:rsid w:val="00B61F0B"/>
    <w:rsid w:val="00B84123"/>
    <w:rsid w:val="00B85DF1"/>
    <w:rsid w:val="00B96D46"/>
    <w:rsid w:val="00BA6FF2"/>
    <w:rsid w:val="00BB4441"/>
    <w:rsid w:val="00C074D5"/>
    <w:rsid w:val="00C2086E"/>
    <w:rsid w:val="00C24D3A"/>
    <w:rsid w:val="00C44B6A"/>
    <w:rsid w:val="00C62CA7"/>
    <w:rsid w:val="00C66797"/>
    <w:rsid w:val="00C862A1"/>
    <w:rsid w:val="00CA06EA"/>
    <w:rsid w:val="00CB4C34"/>
    <w:rsid w:val="00CC0613"/>
    <w:rsid w:val="00CC3A1F"/>
    <w:rsid w:val="00CF2352"/>
    <w:rsid w:val="00CF78F7"/>
    <w:rsid w:val="00D00CC7"/>
    <w:rsid w:val="00D270C2"/>
    <w:rsid w:val="00D47FBA"/>
    <w:rsid w:val="00D53FEB"/>
    <w:rsid w:val="00D81F3B"/>
    <w:rsid w:val="00DA26D0"/>
    <w:rsid w:val="00DD29A4"/>
    <w:rsid w:val="00DD6BE5"/>
    <w:rsid w:val="00E16F73"/>
    <w:rsid w:val="00E22EEF"/>
    <w:rsid w:val="00E41B0A"/>
    <w:rsid w:val="00E63DCC"/>
    <w:rsid w:val="00E953ED"/>
    <w:rsid w:val="00F02603"/>
    <w:rsid w:val="00F55C2A"/>
    <w:rsid w:val="00F650CA"/>
    <w:rsid w:val="00F66BF8"/>
    <w:rsid w:val="00FA1D8C"/>
    <w:rsid w:val="00FA4C9A"/>
    <w:rsid w:val="00FB40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A07D8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A07D8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A07D83"/>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A07D83"/>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2">
    <w:name w:val="r2"/>
    <w:basedOn w:val="Normal"/>
    <w:rsid w:val="00753DB1"/>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1">
    <w:name w:val="p1"/>
    <w:basedOn w:val="Normal"/>
    <w:rsid w:val="00753DB1"/>
    <w:pPr>
      <w:spacing w:before="100" w:beforeAutospacing="1" w:after="100" w:afterAutospacing="1" w:line="240" w:lineRule="auto"/>
    </w:pPr>
    <w:rPr>
      <w:rFonts w:ascii="Times New Roman" w:eastAsia="Times New Roman" w:hAnsi="Times New Roman"/>
      <w:sz w:val="24"/>
      <w:szCs w:val="24"/>
      <w:lang w:eastAsia="en-AU"/>
    </w:rPr>
  </w:style>
  <w:style w:type="paragraph" w:styleId="BalloonText">
    <w:name w:val="Balloon Text"/>
    <w:basedOn w:val="Normal"/>
    <w:link w:val="BalloonTextChar"/>
    <w:uiPriority w:val="99"/>
    <w:semiHidden/>
    <w:unhideWhenUsed/>
    <w:rsid w:val="00A07D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07D83"/>
    <w:rPr>
      <w:rFonts w:ascii="Tahoma" w:hAnsi="Tahoma" w:cs="Tahoma"/>
      <w:sz w:val="16"/>
      <w:szCs w:val="16"/>
      <w:lang w:eastAsia="en-US"/>
    </w:rPr>
  </w:style>
  <w:style w:type="paragraph" w:customStyle="1" w:styleId="Heading1nooutline">
    <w:name w:val="Heading 1 (no outline)"/>
    <w:basedOn w:val="Normal"/>
    <w:next w:val="Normal"/>
    <w:rsid w:val="00A07D83"/>
    <w:pPr>
      <w:keepNext/>
      <w:keepLines/>
      <w:pageBreakBefore/>
      <w:spacing w:after="360" w:line="240" w:lineRule="auto"/>
      <w:jc w:val="center"/>
    </w:pPr>
    <w:rPr>
      <w:rFonts w:ascii="Times New Roman" w:eastAsia="Times New Roman" w:hAnsi="Times New Roman"/>
      <w:b/>
      <w:smallCaps/>
      <w:sz w:val="32"/>
      <w:szCs w:val="20"/>
      <w:lang w:eastAsia="en-AU"/>
    </w:rPr>
  </w:style>
  <w:style w:type="paragraph" w:customStyle="1" w:styleId="Heading1numbered">
    <w:name w:val="Heading 1 (numbered)"/>
    <w:basedOn w:val="Heading1"/>
    <w:next w:val="Normal"/>
    <w:rsid w:val="00A07D83"/>
    <w:pPr>
      <w:keepLines/>
      <w:pageBreakBefore/>
      <w:numPr>
        <w:numId w:val="1"/>
      </w:numPr>
      <w:tabs>
        <w:tab w:val="clear" w:pos="360"/>
      </w:tabs>
      <w:spacing w:before="0" w:after="360" w:line="240" w:lineRule="auto"/>
      <w:jc w:val="center"/>
    </w:pPr>
    <w:rPr>
      <w:rFonts w:ascii="Times New Roman" w:hAnsi="Times New Roman"/>
      <w:bCs w:val="0"/>
      <w:smallCaps/>
      <w:kern w:val="0"/>
      <w:szCs w:val="20"/>
      <w:lang w:eastAsia="en-AU"/>
    </w:rPr>
  </w:style>
  <w:style w:type="paragraph" w:customStyle="1" w:styleId="Heading2numbered">
    <w:name w:val="Heading 2 (numbered)"/>
    <w:basedOn w:val="Heading2"/>
    <w:next w:val="Normal"/>
    <w:rsid w:val="00A07D83"/>
    <w:pPr>
      <w:keepLines/>
      <w:numPr>
        <w:ilvl w:val="1"/>
        <w:numId w:val="1"/>
      </w:numPr>
      <w:tabs>
        <w:tab w:val="left" w:pos="851"/>
      </w:tabs>
      <w:spacing w:before="480" w:after="0" w:line="240" w:lineRule="auto"/>
    </w:pPr>
    <w:rPr>
      <w:rFonts w:ascii="Times New Roman" w:hAnsi="Times New Roman"/>
      <w:bCs w:val="0"/>
      <w:iCs w:val="0"/>
      <w:sz w:val="24"/>
      <w:szCs w:val="20"/>
      <w:lang w:eastAsia="en-AU"/>
    </w:rPr>
  </w:style>
  <w:style w:type="paragraph" w:customStyle="1" w:styleId="Heading3numbered">
    <w:name w:val="Heading 3 (numbered)"/>
    <w:basedOn w:val="Heading3"/>
    <w:next w:val="Normal"/>
    <w:rsid w:val="00A07D83"/>
    <w:pPr>
      <w:keepLines/>
      <w:numPr>
        <w:ilvl w:val="2"/>
        <w:numId w:val="1"/>
      </w:numPr>
      <w:tabs>
        <w:tab w:val="clear" w:pos="720"/>
        <w:tab w:val="num" w:pos="360"/>
        <w:tab w:val="left" w:pos="1134"/>
      </w:tabs>
      <w:spacing w:before="360" w:after="0" w:line="240" w:lineRule="auto"/>
      <w:ind w:left="1134" w:hanging="1134"/>
    </w:pPr>
    <w:rPr>
      <w:rFonts w:ascii="Times New Roman" w:hAnsi="Times New Roman"/>
      <w:b w:val="0"/>
      <w:bCs w:val="0"/>
      <w:i/>
      <w:sz w:val="24"/>
      <w:szCs w:val="20"/>
      <w:lang w:eastAsia="en-AU"/>
    </w:rPr>
  </w:style>
  <w:style w:type="paragraph" w:customStyle="1" w:styleId="Heading4numbered">
    <w:name w:val="Heading 4 (numbered)"/>
    <w:basedOn w:val="Heading4"/>
    <w:next w:val="Normal"/>
    <w:rsid w:val="00A07D83"/>
    <w:pPr>
      <w:keepLines/>
      <w:numPr>
        <w:ilvl w:val="3"/>
        <w:numId w:val="1"/>
      </w:numPr>
      <w:tabs>
        <w:tab w:val="clear" w:pos="1080"/>
        <w:tab w:val="num" w:pos="360"/>
        <w:tab w:val="left" w:pos="1134"/>
      </w:tabs>
      <w:spacing w:after="0" w:line="240" w:lineRule="auto"/>
      <w:ind w:left="1134" w:hanging="1134"/>
    </w:pPr>
    <w:rPr>
      <w:rFonts w:ascii="Times New Roman" w:hAnsi="Times New Roman"/>
      <w:b w:val="0"/>
      <w:bCs w:val="0"/>
      <w:sz w:val="24"/>
      <w:szCs w:val="20"/>
      <w:lang w:eastAsia="en-AU"/>
    </w:rPr>
  </w:style>
  <w:style w:type="character" w:customStyle="1" w:styleId="Heading1Char">
    <w:name w:val="Heading 1 Char"/>
    <w:link w:val="Heading1"/>
    <w:uiPriority w:val="9"/>
    <w:rsid w:val="00A07D83"/>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A07D83"/>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A07D83"/>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A07D83"/>
    <w:rPr>
      <w:rFonts w:ascii="Calibri" w:eastAsia="Times New Roman" w:hAnsi="Calibri" w:cs="Times New Roman"/>
      <w:b/>
      <w:bCs/>
      <w:sz w:val="28"/>
      <w:szCs w:val="28"/>
      <w:lang w:eastAsia="en-US"/>
    </w:rPr>
  </w:style>
  <w:style w:type="character" w:styleId="CommentReference">
    <w:name w:val="annotation reference"/>
    <w:uiPriority w:val="99"/>
    <w:semiHidden/>
    <w:unhideWhenUsed/>
    <w:rsid w:val="00633FA9"/>
    <w:rPr>
      <w:sz w:val="16"/>
      <w:szCs w:val="16"/>
    </w:rPr>
  </w:style>
  <w:style w:type="paragraph" w:styleId="CommentText">
    <w:name w:val="annotation text"/>
    <w:basedOn w:val="Normal"/>
    <w:link w:val="CommentTextChar"/>
    <w:uiPriority w:val="99"/>
    <w:semiHidden/>
    <w:unhideWhenUsed/>
    <w:rsid w:val="00633FA9"/>
    <w:rPr>
      <w:sz w:val="20"/>
      <w:szCs w:val="20"/>
    </w:rPr>
  </w:style>
  <w:style w:type="character" w:customStyle="1" w:styleId="CommentTextChar">
    <w:name w:val="Comment Text Char"/>
    <w:link w:val="CommentText"/>
    <w:uiPriority w:val="99"/>
    <w:semiHidden/>
    <w:rsid w:val="00633FA9"/>
    <w:rPr>
      <w:lang w:eastAsia="en-US"/>
    </w:rPr>
  </w:style>
  <w:style w:type="paragraph" w:styleId="CommentSubject">
    <w:name w:val="annotation subject"/>
    <w:basedOn w:val="CommentText"/>
    <w:next w:val="CommentText"/>
    <w:link w:val="CommentSubjectChar"/>
    <w:uiPriority w:val="99"/>
    <w:semiHidden/>
    <w:unhideWhenUsed/>
    <w:rsid w:val="00633FA9"/>
    <w:rPr>
      <w:b/>
      <w:bCs/>
    </w:rPr>
  </w:style>
  <w:style w:type="character" w:customStyle="1" w:styleId="CommentSubjectChar">
    <w:name w:val="Comment Subject Char"/>
    <w:link w:val="CommentSubject"/>
    <w:uiPriority w:val="99"/>
    <w:semiHidden/>
    <w:rsid w:val="00633FA9"/>
    <w:rPr>
      <w:b/>
      <w:bCs/>
      <w:lang w:eastAsia="en-US"/>
    </w:rPr>
  </w:style>
  <w:style w:type="character" w:styleId="Hyperlink">
    <w:name w:val="Hyperlink"/>
    <w:uiPriority w:val="99"/>
    <w:unhideWhenUsed/>
    <w:rsid w:val="007C0D26"/>
    <w:rPr>
      <w:color w:val="0000FF"/>
      <w:u w:val="single"/>
    </w:rPr>
  </w:style>
  <w:style w:type="paragraph" w:customStyle="1" w:styleId="Paragraph">
    <w:name w:val="Paragraph"/>
    <w:basedOn w:val="Normal"/>
    <w:link w:val="ParagraphChar"/>
    <w:rsid w:val="00DA26D0"/>
    <w:pPr>
      <w:numPr>
        <w:ilvl w:val="12"/>
      </w:numPr>
      <w:spacing w:before="240" w:after="0" w:line="240" w:lineRule="auto"/>
    </w:pPr>
    <w:rPr>
      <w:rFonts w:ascii="Times New Roman" w:eastAsia="Times New Roman" w:hAnsi="Times New Roman"/>
      <w:sz w:val="24"/>
      <w:szCs w:val="20"/>
      <w:lang w:eastAsia="en-AU"/>
    </w:rPr>
  </w:style>
  <w:style w:type="character" w:customStyle="1" w:styleId="ParagraphChar">
    <w:name w:val="Paragraph Char"/>
    <w:link w:val="Paragraph"/>
    <w:rsid w:val="00DA26D0"/>
    <w:rPr>
      <w:rFonts w:ascii="Times New Roman" w:eastAsia="Times New Roman" w:hAnsi="Times New Roman"/>
      <w:sz w:val="24"/>
    </w:rPr>
  </w:style>
  <w:style w:type="paragraph" w:styleId="Header">
    <w:name w:val="header"/>
    <w:basedOn w:val="Normal"/>
    <w:link w:val="HeaderChar"/>
    <w:uiPriority w:val="99"/>
    <w:unhideWhenUsed/>
    <w:rsid w:val="00E953ED"/>
    <w:pPr>
      <w:tabs>
        <w:tab w:val="center" w:pos="4513"/>
        <w:tab w:val="right" w:pos="9026"/>
      </w:tabs>
    </w:pPr>
  </w:style>
  <w:style w:type="character" w:customStyle="1" w:styleId="HeaderChar">
    <w:name w:val="Header Char"/>
    <w:link w:val="Header"/>
    <w:uiPriority w:val="99"/>
    <w:rsid w:val="00E953ED"/>
    <w:rPr>
      <w:sz w:val="22"/>
      <w:szCs w:val="22"/>
      <w:lang w:eastAsia="en-US"/>
    </w:rPr>
  </w:style>
  <w:style w:type="paragraph" w:styleId="Footer">
    <w:name w:val="footer"/>
    <w:basedOn w:val="Normal"/>
    <w:link w:val="FooterChar"/>
    <w:unhideWhenUsed/>
    <w:rsid w:val="00E953ED"/>
    <w:pPr>
      <w:tabs>
        <w:tab w:val="center" w:pos="4513"/>
        <w:tab w:val="right" w:pos="9026"/>
      </w:tabs>
    </w:pPr>
  </w:style>
  <w:style w:type="character" w:customStyle="1" w:styleId="FooterChar">
    <w:name w:val="Footer Char"/>
    <w:link w:val="Footer"/>
    <w:uiPriority w:val="99"/>
    <w:rsid w:val="00E953ED"/>
    <w:rPr>
      <w:sz w:val="22"/>
      <w:szCs w:val="22"/>
      <w:lang w:eastAsia="en-US"/>
    </w:rPr>
  </w:style>
  <w:style w:type="paragraph" w:styleId="ListParagraph">
    <w:name w:val="List Paragraph"/>
    <w:basedOn w:val="Normal"/>
    <w:uiPriority w:val="34"/>
    <w:qFormat/>
    <w:rsid w:val="005521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A07D8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A07D8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A07D83"/>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A07D83"/>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2">
    <w:name w:val="r2"/>
    <w:basedOn w:val="Normal"/>
    <w:rsid w:val="00753DB1"/>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1">
    <w:name w:val="p1"/>
    <w:basedOn w:val="Normal"/>
    <w:rsid w:val="00753DB1"/>
    <w:pPr>
      <w:spacing w:before="100" w:beforeAutospacing="1" w:after="100" w:afterAutospacing="1" w:line="240" w:lineRule="auto"/>
    </w:pPr>
    <w:rPr>
      <w:rFonts w:ascii="Times New Roman" w:eastAsia="Times New Roman" w:hAnsi="Times New Roman"/>
      <w:sz w:val="24"/>
      <w:szCs w:val="24"/>
      <w:lang w:eastAsia="en-AU"/>
    </w:rPr>
  </w:style>
  <w:style w:type="paragraph" w:styleId="BalloonText">
    <w:name w:val="Balloon Text"/>
    <w:basedOn w:val="Normal"/>
    <w:link w:val="BalloonTextChar"/>
    <w:uiPriority w:val="99"/>
    <w:semiHidden/>
    <w:unhideWhenUsed/>
    <w:rsid w:val="00A07D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07D83"/>
    <w:rPr>
      <w:rFonts w:ascii="Tahoma" w:hAnsi="Tahoma" w:cs="Tahoma"/>
      <w:sz w:val="16"/>
      <w:szCs w:val="16"/>
      <w:lang w:eastAsia="en-US"/>
    </w:rPr>
  </w:style>
  <w:style w:type="paragraph" w:customStyle="1" w:styleId="Heading1nooutline">
    <w:name w:val="Heading 1 (no outline)"/>
    <w:basedOn w:val="Normal"/>
    <w:next w:val="Normal"/>
    <w:rsid w:val="00A07D83"/>
    <w:pPr>
      <w:keepNext/>
      <w:keepLines/>
      <w:pageBreakBefore/>
      <w:spacing w:after="360" w:line="240" w:lineRule="auto"/>
      <w:jc w:val="center"/>
    </w:pPr>
    <w:rPr>
      <w:rFonts w:ascii="Times New Roman" w:eastAsia="Times New Roman" w:hAnsi="Times New Roman"/>
      <w:b/>
      <w:smallCaps/>
      <w:sz w:val="32"/>
      <w:szCs w:val="20"/>
      <w:lang w:eastAsia="en-AU"/>
    </w:rPr>
  </w:style>
  <w:style w:type="paragraph" w:customStyle="1" w:styleId="Heading1numbered">
    <w:name w:val="Heading 1 (numbered)"/>
    <w:basedOn w:val="Heading1"/>
    <w:next w:val="Normal"/>
    <w:rsid w:val="00A07D83"/>
    <w:pPr>
      <w:keepLines/>
      <w:pageBreakBefore/>
      <w:numPr>
        <w:numId w:val="1"/>
      </w:numPr>
      <w:tabs>
        <w:tab w:val="clear" w:pos="360"/>
      </w:tabs>
      <w:spacing w:before="0" w:after="360" w:line="240" w:lineRule="auto"/>
      <w:jc w:val="center"/>
    </w:pPr>
    <w:rPr>
      <w:rFonts w:ascii="Times New Roman" w:hAnsi="Times New Roman"/>
      <w:bCs w:val="0"/>
      <w:smallCaps/>
      <w:kern w:val="0"/>
      <w:szCs w:val="20"/>
      <w:lang w:eastAsia="en-AU"/>
    </w:rPr>
  </w:style>
  <w:style w:type="paragraph" w:customStyle="1" w:styleId="Heading2numbered">
    <w:name w:val="Heading 2 (numbered)"/>
    <w:basedOn w:val="Heading2"/>
    <w:next w:val="Normal"/>
    <w:rsid w:val="00A07D83"/>
    <w:pPr>
      <w:keepLines/>
      <w:numPr>
        <w:ilvl w:val="1"/>
        <w:numId w:val="1"/>
      </w:numPr>
      <w:tabs>
        <w:tab w:val="left" w:pos="851"/>
      </w:tabs>
      <w:spacing w:before="480" w:after="0" w:line="240" w:lineRule="auto"/>
    </w:pPr>
    <w:rPr>
      <w:rFonts w:ascii="Times New Roman" w:hAnsi="Times New Roman"/>
      <w:bCs w:val="0"/>
      <w:iCs w:val="0"/>
      <w:sz w:val="24"/>
      <w:szCs w:val="20"/>
      <w:lang w:eastAsia="en-AU"/>
    </w:rPr>
  </w:style>
  <w:style w:type="paragraph" w:customStyle="1" w:styleId="Heading3numbered">
    <w:name w:val="Heading 3 (numbered)"/>
    <w:basedOn w:val="Heading3"/>
    <w:next w:val="Normal"/>
    <w:rsid w:val="00A07D83"/>
    <w:pPr>
      <w:keepLines/>
      <w:numPr>
        <w:ilvl w:val="2"/>
        <w:numId w:val="1"/>
      </w:numPr>
      <w:tabs>
        <w:tab w:val="clear" w:pos="720"/>
        <w:tab w:val="num" w:pos="360"/>
        <w:tab w:val="left" w:pos="1134"/>
      </w:tabs>
      <w:spacing w:before="360" w:after="0" w:line="240" w:lineRule="auto"/>
      <w:ind w:left="1134" w:hanging="1134"/>
    </w:pPr>
    <w:rPr>
      <w:rFonts w:ascii="Times New Roman" w:hAnsi="Times New Roman"/>
      <w:b w:val="0"/>
      <w:bCs w:val="0"/>
      <w:i/>
      <w:sz w:val="24"/>
      <w:szCs w:val="20"/>
      <w:lang w:eastAsia="en-AU"/>
    </w:rPr>
  </w:style>
  <w:style w:type="paragraph" w:customStyle="1" w:styleId="Heading4numbered">
    <w:name w:val="Heading 4 (numbered)"/>
    <w:basedOn w:val="Heading4"/>
    <w:next w:val="Normal"/>
    <w:rsid w:val="00A07D83"/>
    <w:pPr>
      <w:keepLines/>
      <w:numPr>
        <w:ilvl w:val="3"/>
        <w:numId w:val="1"/>
      </w:numPr>
      <w:tabs>
        <w:tab w:val="clear" w:pos="1080"/>
        <w:tab w:val="num" w:pos="360"/>
        <w:tab w:val="left" w:pos="1134"/>
      </w:tabs>
      <w:spacing w:after="0" w:line="240" w:lineRule="auto"/>
      <w:ind w:left="1134" w:hanging="1134"/>
    </w:pPr>
    <w:rPr>
      <w:rFonts w:ascii="Times New Roman" w:hAnsi="Times New Roman"/>
      <w:b w:val="0"/>
      <w:bCs w:val="0"/>
      <w:sz w:val="24"/>
      <w:szCs w:val="20"/>
      <w:lang w:eastAsia="en-AU"/>
    </w:rPr>
  </w:style>
  <w:style w:type="character" w:customStyle="1" w:styleId="Heading1Char">
    <w:name w:val="Heading 1 Char"/>
    <w:link w:val="Heading1"/>
    <w:uiPriority w:val="9"/>
    <w:rsid w:val="00A07D83"/>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A07D83"/>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A07D83"/>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A07D83"/>
    <w:rPr>
      <w:rFonts w:ascii="Calibri" w:eastAsia="Times New Roman" w:hAnsi="Calibri" w:cs="Times New Roman"/>
      <w:b/>
      <w:bCs/>
      <w:sz w:val="28"/>
      <w:szCs w:val="28"/>
      <w:lang w:eastAsia="en-US"/>
    </w:rPr>
  </w:style>
  <w:style w:type="character" w:styleId="CommentReference">
    <w:name w:val="annotation reference"/>
    <w:uiPriority w:val="99"/>
    <w:semiHidden/>
    <w:unhideWhenUsed/>
    <w:rsid w:val="00633FA9"/>
    <w:rPr>
      <w:sz w:val="16"/>
      <w:szCs w:val="16"/>
    </w:rPr>
  </w:style>
  <w:style w:type="paragraph" w:styleId="CommentText">
    <w:name w:val="annotation text"/>
    <w:basedOn w:val="Normal"/>
    <w:link w:val="CommentTextChar"/>
    <w:uiPriority w:val="99"/>
    <w:semiHidden/>
    <w:unhideWhenUsed/>
    <w:rsid w:val="00633FA9"/>
    <w:rPr>
      <w:sz w:val="20"/>
      <w:szCs w:val="20"/>
    </w:rPr>
  </w:style>
  <w:style w:type="character" w:customStyle="1" w:styleId="CommentTextChar">
    <w:name w:val="Comment Text Char"/>
    <w:link w:val="CommentText"/>
    <w:uiPriority w:val="99"/>
    <w:semiHidden/>
    <w:rsid w:val="00633FA9"/>
    <w:rPr>
      <w:lang w:eastAsia="en-US"/>
    </w:rPr>
  </w:style>
  <w:style w:type="paragraph" w:styleId="CommentSubject">
    <w:name w:val="annotation subject"/>
    <w:basedOn w:val="CommentText"/>
    <w:next w:val="CommentText"/>
    <w:link w:val="CommentSubjectChar"/>
    <w:uiPriority w:val="99"/>
    <w:semiHidden/>
    <w:unhideWhenUsed/>
    <w:rsid w:val="00633FA9"/>
    <w:rPr>
      <w:b/>
      <w:bCs/>
    </w:rPr>
  </w:style>
  <w:style w:type="character" w:customStyle="1" w:styleId="CommentSubjectChar">
    <w:name w:val="Comment Subject Char"/>
    <w:link w:val="CommentSubject"/>
    <w:uiPriority w:val="99"/>
    <w:semiHidden/>
    <w:rsid w:val="00633FA9"/>
    <w:rPr>
      <w:b/>
      <w:bCs/>
      <w:lang w:eastAsia="en-US"/>
    </w:rPr>
  </w:style>
  <w:style w:type="character" w:styleId="Hyperlink">
    <w:name w:val="Hyperlink"/>
    <w:uiPriority w:val="99"/>
    <w:unhideWhenUsed/>
    <w:rsid w:val="007C0D26"/>
    <w:rPr>
      <w:color w:val="0000FF"/>
      <w:u w:val="single"/>
    </w:rPr>
  </w:style>
  <w:style w:type="paragraph" w:customStyle="1" w:styleId="Paragraph">
    <w:name w:val="Paragraph"/>
    <w:basedOn w:val="Normal"/>
    <w:link w:val="ParagraphChar"/>
    <w:rsid w:val="00DA26D0"/>
    <w:pPr>
      <w:numPr>
        <w:ilvl w:val="12"/>
      </w:numPr>
      <w:spacing w:before="240" w:after="0" w:line="240" w:lineRule="auto"/>
    </w:pPr>
    <w:rPr>
      <w:rFonts w:ascii="Times New Roman" w:eastAsia="Times New Roman" w:hAnsi="Times New Roman"/>
      <w:sz w:val="24"/>
      <w:szCs w:val="20"/>
      <w:lang w:eastAsia="en-AU"/>
    </w:rPr>
  </w:style>
  <w:style w:type="character" w:customStyle="1" w:styleId="ParagraphChar">
    <w:name w:val="Paragraph Char"/>
    <w:link w:val="Paragraph"/>
    <w:rsid w:val="00DA26D0"/>
    <w:rPr>
      <w:rFonts w:ascii="Times New Roman" w:eastAsia="Times New Roman" w:hAnsi="Times New Roman"/>
      <w:sz w:val="24"/>
    </w:rPr>
  </w:style>
  <w:style w:type="paragraph" w:styleId="Header">
    <w:name w:val="header"/>
    <w:basedOn w:val="Normal"/>
    <w:link w:val="HeaderChar"/>
    <w:uiPriority w:val="99"/>
    <w:unhideWhenUsed/>
    <w:rsid w:val="00E953ED"/>
    <w:pPr>
      <w:tabs>
        <w:tab w:val="center" w:pos="4513"/>
        <w:tab w:val="right" w:pos="9026"/>
      </w:tabs>
    </w:pPr>
  </w:style>
  <w:style w:type="character" w:customStyle="1" w:styleId="HeaderChar">
    <w:name w:val="Header Char"/>
    <w:link w:val="Header"/>
    <w:uiPriority w:val="99"/>
    <w:rsid w:val="00E953ED"/>
    <w:rPr>
      <w:sz w:val="22"/>
      <w:szCs w:val="22"/>
      <w:lang w:eastAsia="en-US"/>
    </w:rPr>
  </w:style>
  <w:style w:type="paragraph" w:styleId="Footer">
    <w:name w:val="footer"/>
    <w:basedOn w:val="Normal"/>
    <w:link w:val="FooterChar"/>
    <w:unhideWhenUsed/>
    <w:rsid w:val="00E953ED"/>
    <w:pPr>
      <w:tabs>
        <w:tab w:val="center" w:pos="4513"/>
        <w:tab w:val="right" w:pos="9026"/>
      </w:tabs>
    </w:pPr>
  </w:style>
  <w:style w:type="character" w:customStyle="1" w:styleId="FooterChar">
    <w:name w:val="Footer Char"/>
    <w:link w:val="Footer"/>
    <w:uiPriority w:val="99"/>
    <w:rsid w:val="00E953ED"/>
    <w:rPr>
      <w:sz w:val="22"/>
      <w:szCs w:val="22"/>
      <w:lang w:eastAsia="en-US"/>
    </w:rPr>
  </w:style>
  <w:style w:type="paragraph" w:styleId="ListParagraph">
    <w:name w:val="List Paragraph"/>
    <w:basedOn w:val="Normal"/>
    <w:uiPriority w:val="34"/>
    <w:qFormat/>
    <w:rsid w:val="005521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474183">
      <w:bodyDiv w:val="1"/>
      <w:marLeft w:val="0"/>
      <w:marRight w:val="0"/>
      <w:marTop w:val="0"/>
      <w:marBottom w:val="0"/>
      <w:divBdr>
        <w:top w:val="none" w:sz="0" w:space="0" w:color="auto"/>
        <w:left w:val="none" w:sz="0" w:space="0" w:color="auto"/>
        <w:bottom w:val="none" w:sz="0" w:space="0" w:color="auto"/>
        <w:right w:val="none" w:sz="0" w:space="0" w:color="auto"/>
      </w:divBdr>
      <w:divsChild>
        <w:div w:id="757092335">
          <w:marLeft w:val="0"/>
          <w:marRight w:val="0"/>
          <w:marTop w:val="0"/>
          <w:marBottom w:val="0"/>
          <w:divBdr>
            <w:top w:val="none" w:sz="0" w:space="0" w:color="auto"/>
            <w:left w:val="none" w:sz="0" w:space="0" w:color="auto"/>
            <w:bottom w:val="none" w:sz="0" w:space="0" w:color="auto"/>
            <w:right w:val="none" w:sz="0" w:space="0" w:color="auto"/>
          </w:divBdr>
          <w:divsChild>
            <w:div w:id="1458570165">
              <w:marLeft w:val="0"/>
              <w:marRight w:val="0"/>
              <w:marTop w:val="0"/>
              <w:marBottom w:val="0"/>
              <w:divBdr>
                <w:top w:val="none" w:sz="0" w:space="0" w:color="auto"/>
                <w:left w:val="none" w:sz="0" w:space="0" w:color="auto"/>
                <w:bottom w:val="none" w:sz="0" w:space="0" w:color="auto"/>
                <w:right w:val="none" w:sz="0" w:space="0" w:color="auto"/>
              </w:divBdr>
              <w:divsChild>
                <w:div w:id="1800298111">
                  <w:marLeft w:val="0"/>
                  <w:marRight w:val="0"/>
                  <w:marTop w:val="0"/>
                  <w:marBottom w:val="0"/>
                  <w:divBdr>
                    <w:top w:val="none" w:sz="0" w:space="0" w:color="auto"/>
                    <w:left w:val="none" w:sz="0" w:space="0" w:color="auto"/>
                    <w:bottom w:val="none" w:sz="0" w:space="0" w:color="auto"/>
                    <w:right w:val="none" w:sz="0" w:space="0" w:color="auto"/>
                  </w:divBdr>
                  <w:divsChild>
                    <w:div w:id="2131895144">
                      <w:marLeft w:val="0"/>
                      <w:marRight w:val="0"/>
                      <w:marTop w:val="0"/>
                      <w:marBottom w:val="0"/>
                      <w:divBdr>
                        <w:top w:val="none" w:sz="0" w:space="0" w:color="auto"/>
                        <w:left w:val="none" w:sz="0" w:space="0" w:color="auto"/>
                        <w:bottom w:val="none" w:sz="0" w:space="0" w:color="auto"/>
                        <w:right w:val="none" w:sz="0" w:space="0" w:color="auto"/>
                      </w:divBdr>
                      <w:divsChild>
                        <w:div w:id="1817725083">
                          <w:marLeft w:val="0"/>
                          <w:marRight w:val="0"/>
                          <w:marTop w:val="0"/>
                          <w:marBottom w:val="0"/>
                          <w:divBdr>
                            <w:top w:val="single" w:sz="6" w:space="0" w:color="828282"/>
                            <w:left w:val="single" w:sz="6" w:space="0" w:color="828282"/>
                            <w:bottom w:val="single" w:sz="6" w:space="0" w:color="828282"/>
                            <w:right w:val="single" w:sz="6" w:space="0" w:color="828282"/>
                          </w:divBdr>
                          <w:divsChild>
                            <w:div w:id="904101029">
                              <w:marLeft w:val="0"/>
                              <w:marRight w:val="0"/>
                              <w:marTop w:val="0"/>
                              <w:marBottom w:val="0"/>
                              <w:divBdr>
                                <w:top w:val="none" w:sz="0" w:space="0" w:color="auto"/>
                                <w:left w:val="none" w:sz="0" w:space="0" w:color="auto"/>
                                <w:bottom w:val="none" w:sz="0" w:space="0" w:color="auto"/>
                                <w:right w:val="none" w:sz="0" w:space="0" w:color="auto"/>
                              </w:divBdr>
                              <w:divsChild>
                                <w:div w:id="572589191">
                                  <w:marLeft w:val="0"/>
                                  <w:marRight w:val="0"/>
                                  <w:marTop w:val="0"/>
                                  <w:marBottom w:val="0"/>
                                  <w:divBdr>
                                    <w:top w:val="none" w:sz="0" w:space="0" w:color="auto"/>
                                    <w:left w:val="none" w:sz="0" w:space="0" w:color="auto"/>
                                    <w:bottom w:val="none" w:sz="0" w:space="0" w:color="auto"/>
                                    <w:right w:val="none" w:sz="0" w:space="0" w:color="auto"/>
                                  </w:divBdr>
                                  <w:divsChild>
                                    <w:div w:id="588274804">
                                      <w:marLeft w:val="0"/>
                                      <w:marRight w:val="0"/>
                                      <w:marTop w:val="0"/>
                                      <w:marBottom w:val="0"/>
                                      <w:divBdr>
                                        <w:top w:val="none" w:sz="0" w:space="0" w:color="auto"/>
                                        <w:left w:val="none" w:sz="0" w:space="0" w:color="auto"/>
                                        <w:bottom w:val="none" w:sz="0" w:space="0" w:color="auto"/>
                                        <w:right w:val="none" w:sz="0" w:space="0" w:color="auto"/>
                                      </w:divBdr>
                                      <w:divsChild>
                                        <w:div w:id="1097097233">
                                          <w:marLeft w:val="0"/>
                                          <w:marRight w:val="0"/>
                                          <w:marTop w:val="0"/>
                                          <w:marBottom w:val="0"/>
                                          <w:divBdr>
                                            <w:top w:val="none" w:sz="0" w:space="0" w:color="auto"/>
                                            <w:left w:val="none" w:sz="0" w:space="0" w:color="auto"/>
                                            <w:bottom w:val="none" w:sz="0" w:space="0" w:color="auto"/>
                                            <w:right w:val="none" w:sz="0" w:space="0" w:color="auto"/>
                                          </w:divBdr>
                                          <w:divsChild>
                                            <w:div w:id="2133087186">
                                              <w:marLeft w:val="0"/>
                                              <w:marRight w:val="0"/>
                                              <w:marTop w:val="0"/>
                                              <w:marBottom w:val="0"/>
                                              <w:divBdr>
                                                <w:top w:val="none" w:sz="0" w:space="0" w:color="auto"/>
                                                <w:left w:val="none" w:sz="0" w:space="0" w:color="auto"/>
                                                <w:bottom w:val="none" w:sz="0" w:space="0" w:color="auto"/>
                                                <w:right w:val="none" w:sz="0" w:space="0" w:color="auto"/>
                                              </w:divBdr>
                                              <w:divsChild>
                                                <w:div w:id="183750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0221929">
      <w:bodyDiv w:val="1"/>
      <w:marLeft w:val="0"/>
      <w:marRight w:val="0"/>
      <w:marTop w:val="0"/>
      <w:marBottom w:val="0"/>
      <w:divBdr>
        <w:top w:val="none" w:sz="0" w:space="0" w:color="auto"/>
        <w:left w:val="none" w:sz="0" w:space="0" w:color="auto"/>
        <w:bottom w:val="none" w:sz="0" w:space="0" w:color="auto"/>
        <w:right w:val="none" w:sz="0" w:space="0" w:color="auto"/>
      </w:divBdr>
      <w:divsChild>
        <w:div w:id="88819328">
          <w:marLeft w:val="0"/>
          <w:marRight w:val="0"/>
          <w:marTop w:val="0"/>
          <w:marBottom w:val="0"/>
          <w:divBdr>
            <w:top w:val="none" w:sz="0" w:space="0" w:color="auto"/>
            <w:left w:val="none" w:sz="0" w:space="0" w:color="auto"/>
            <w:bottom w:val="none" w:sz="0" w:space="0" w:color="auto"/>
            <w:right w:val="none" w:sz="0" w:space="0" w:color="auto"/>
          </w:divBdr>
          <w:divsChild>
            <w:div w:id="1258825430">
              <w:marLeft w:val="0"/>
              <w:marRight w:val="0"/>
              <w:marTop w:val="0"/>
              <w:marBottom w:val="0"/>
              <w:divBdr>
                <w:top w:val="none" w:sz="0" w:space="0" w:color="auto"/>
                <w:left w:val="none" w:sz="0" w:space="0" w:color="auto"/>
                <w:bottom w:val="none" w:sz="0" w:space="0" w:color="auto"/>
                <w:right w:val="none" w:sz="0" w:space="0" w:color="auto"/>
              </w:divBdr>
              <w:divsChild>
                <w:div w:id="525796134">
                  <w:marLeft w:val="0"/>
                  <w:marRight w:val="0"/>
                  <w:marTop w:val="0"/>
                  <w:marBottom w:val="0"/>
                  <w:divBdr>
                    <w:top w:val="none" w:sz="0" w:space="0" w:color="auto"/>
                    <w:left w:val="none" w:sz="0" w:space="0" w:color="auto"/>
                    <w:bottom w:val="none" w:sz="0" w:space="0" w:color="auto"/>
                    <w:right w:val="none" w:sz="0" w:space="0" w:color="auto"/>
                  </w:divBdr>
                  <w:divsChild>
                    <w:div w:id="1659730470">
                      <w:marLeft w:val="0"/>
                      <w:marRight w:val="0"/>
                      <w:marTop w:val="0"/>
                      <w:marBottom w:val="0"/>
                      <w:divBdr>
                        <w:top w:val="none" w:sz="0" w:space="0" w:color="auto"/>
                        <w:left w:val="none" w:sz="0" w:space="0" w:color="auto"/>
                        <w:bottom w:val="none" w:sz="0" w:space="0" w:color="auto"/>
                        <w:right w:val="none" w:sz="0" w:space="0" w:color="auto"/>
                      </w:divBdr>
                      <w:divsChild>
                        <w:div w:id="463279932">
                          <w:marLeft w:val="0"/>
                          <w:marRight w:val="0"/>
                          <w:marTop w:val="0"/>
                          <w:marBottom w:val="0"/>
                          <w:divBdr>
                            <w:top w:val="single" w:sz="6" w:space="0" w:color="828282"/>
                            <w:left w:val="single" w:sz="6" w:space="0" w:color="828282"/>
                            <w:bottom w:val="single" w:sz="6" w:space="0" w:color="828282"/>
                            <w:right w:val="single" w:sz="6" w:space="0" w:color="828282"/>
                          </w:divBdr>
                          <w:divsChild>
                            <w:div w:id="28183510">
                              <w:marLeft w:val="0"/>
                              <w:marRight w:val="0"/>
                              <w:marTop w:val="0"/>
                              <w:marBottom w:val="0"/>
                              <w:divBdr>
                                <w:top w:val="none" w:sz="0" w:space="0" w:color="auto"/>
                                <w:left w:val="none" w:sz="0" w:space="0" w:color="auto"/>
                                <w:bottom w:val="none" w:sz="0" w:space="0" w:color="auto"/>
                                <w:right w:val="none" w:sz="0" w:space="0" w:color="auto"/>
                              </w:divBdr>
                              <w:divsChild>
                                <w:div w:id="1092505042">
                                  <w:marLeft w:val="0"/>
                                  <w:marRight w:val="0"/>
                                  <w:marTop w:val="0"/>
                                  <w:marBottom w:val="0"/>
                                  <w:divBdr>
                                    <w:top w:val="none" w:sz="0" w:space="0" w:color="auto"/>
                                    <w:left w:val="none" w:sz="0" w:space="0" w:color="auto"/>
                                    <w:bottom w:val="none" w:sz="0" w:space="0" w:color="auto"/>
                                    <w:right w:val="none" w:sz="0" w:space="0" w:color="auto"/>
                                  </w:divBdr>
                                  <w:divsChild>
                                    <w:div w:id="659621720">
                                      <w:marLeft w:val="0"/>
                                      <w:marRight w:val="0"/>
                                      <w:marTop w:val="0"/>
                                      <w:marBottom w:val="0"/>
                                      <w:divBdr>
                                        <w:top w:val="none" w:sz="0" w:space="0" w:color="auto"/>
                                        <w:left w:val="none" w:sz="0" w:space="0" w:color="auto"/>
                                        <w:bottom w:val="none" w:sz="0" w:space="0" w:color="auto"/>
                                        <w:right w:val="none" w:sz="0" w:space="0" w:color="auto"/>
                                      </w:divBdr>
                                      <w:divsChild>
                                        <w:div w:id="732001039">
                                          <w:marLeft w:val="0"/>
                                          <w:marRight w:val="0"/>
                                          <w:marTop w:val="0"/>
                                          <w:marBottom w:val="0"/>
                                          <w:divBdr>
                                            <w:top w:val="none" w:sz="0" w:space="0" w:color="auto"/>
                                            <w:left w:val="none" w:sz="0" w:space="0" w:color="auto"/>
                                            <w:bottom w:val="none" w:sz="0" w:space="0" w:color="auto"/>
                                            <w:right w:val="none" w:sz="0" w:space="0" w:color="auto"/>
                                          </w:divBdr>
                                          <w:divsChild>
                                            <w:div w:id="1666737934">
                                              <w:marLeft w:val="0"/>
                                              <w:marRight w:val="0"/>
                                              <w:marTop w:val="0"/>
                                              <w:marBottom w:val="0"/>
                                              <w:divBdr>
                                                <w:top w:val="none" w:sz="0" w:space="0" w:color="auto"/>
                                                <w:left w:val="none" w:sz="0" w:space="0" w:color="auto"/>
                                                <w:bottom w:val="none" w:sz="0" w:space="0" w:color="auto"/>
                                                <w:right w:val="none" w:sz="0" w:space="0" w:color="auto"/>
                                              </w:divBdr>
                                              <w:divsChild>
                                                <w:div w:id="55450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1457280">
      <w:bodyDiv w:val="1"/>
      <w:marLeft w:val="0"/>
      <w:marRight w:val="0"/>
      <w:marTop w:val="0"/>
      <w:marBottom w:val="0"/>
      <w:divBdr>
        <w:top w:val="none" w:sz="0" w:space="0" w:color="auto"/>
        <w:left w:val="none" w:sz="0" w:space="0" w:color="auto"/>
        <w:bottom w:val="none" w:sz="0" w:space="0" w:color="auto"/>
        <w:right w:val="none" w:sz="0" w:space="0" w:color="auto"/>
      </w:divBdr>
      <w:divsChild>
        <w:div w:id="1884905744">
          <w:marLeft w:val="0"/>
          <w:marRight w:val="0"/>
          <w:marTop w:val="0"/>
          <w:marBottom w:val="0"/>
          <w:divBdr>
            <w:top w:val="none" w:sz="0" w:space="0" w:color="auto"/>
            <w:left w:val="none" w:sz="0" w:space="0" w:color="auto"/>
            <w:bottom w:val="none" w:sz="0" w:space="0" w:color="auto"/>
            <w:right w:val="none" w:sz="0" w:space="0" w:color="auto"/>
          </w:divBdr>
          <w:divsChild>
            <w:div w:id="2080591897">
              <w:marLeft w:val="0"/>
              <w:marRight w:val="0"/>
              <w:marTop w:val="0"/>
              <w:marBottom w:val="0"/>
              <w:divBdr>
                <w:top w:val="none" w:sz="0" w:space="0" w:color="auto"/>
                <w:left w:val="none" w:sz="0" w:space="0" w:color="auto"/>
                <w:bottom w:val="none" w:sz="0" w:space="0" w:color="auto"/>
                <w:right w:val="none" w:sz="0" w:space="0" w:color="auto"/>
              </w:divBdr>
              <w:divsChild>
                <w:div w:id="295374005">
                  <w:marLeft w:val="0"/>
                  <w:marRight w:val="0"/>
                  <w:marTop w:val="0"/>
                  <w:marBottom w:val="0"/>
                  <w:divBdr>
                    <w:top w:val="none" w:sz="0" w:space="0" w:color="auto"/>
                    <w:left w:val="none" w:sz="0" w:space="0" w:color="auto"/>
                    <w:bottom w:val="none" w:sz="0" w:space="0" w:color="auto"/>
                    <w:right w:val="none" w:sz="0" w:space="0" w:color="auto"/>
                  </w:divBdr>
                  <w:divsChild>
                    <w:div w:id="1771311266">
                      <w:marLeft w:val="0"/>
                      <w:marRight w:val="0"/>
                      <w:marTop w:val="0"/>
                      <w:marBottom w:val="0"/>
                      <w:divBdr>
                        <w:top w:val="none" w:sz="0" w:space="0" w:color="auto"/>
                        <w:left w:val="none" w:sz="0" w:space="0" w:color="auto"/>
                        <w:bottom w:val="none" w:sz="0" w:space="0" w:color="auto"/>
                        <w:right w:val="none" w:sz="0" w:space="0" w:color="auto"/>
                      </w:divBdr>
                      <w:divsChild>
                        <w:div w:id="1631550135">
                          <w:marLeft w:val="0"/>
                          <w:marRight w:val="0"/>
                          <w:marTop w:val="0"/>
                          <w:marBottom w:val="0"/>
                          <w:divBdr>
                            <w:top w:val="single" w:sz="6" w:space="0" w:color="828282"/>
                            <w:left w:val="single" w:sz="6" w:space="0" w:color="828282"/>
                            <w:bottom w:val="single" w:sz="6" w:space="0" w:color="828282"/>
                            <w:right w:val="single" w:sz="6" w:space="0" w:color="828282"/>
                          </w:divBdr>
                          <w:divsChild>
                            <w:div w:id="2034376825">
                              <w:marLeft w:val="0"/>
                              <w:marRight w:val="0"/>
                              <w:marTop w:val="0"/>
                              <w:marBottom w:val="0"/>
                              <w:divBdr>
                                <w:top w:val="none" w:sz="0" w:space="0" w:color="auto"/>
                                <w:left w:val="none" w:sz="0" w:space="0" w:color="auto"/>
                                <w:bottom w:val="none" w:sz="0" w:space="0" w:color="auto"/>
                                <w:right w:val="none" w:sz="0" w:space="0" w:color="auto"/>
                              </w:divBdr>
                              <w:divsChild>
                                <w:div w:id="565147032">
                                  <w:marLeft w:val="0"/>
                                  <w:marRight w:val="0"/>
                                  <w:marTop w:val="0"/>
                                  <w:marBottom w:val="0"/>
                                  <w:divBdr>
                                    <w:top w:val="none" w:sz="0" w:space="0" w:color="auto"/>
                                    <w:left w:val="none" w:sz="0" w:space="0" w:color="auto"/>
                                    <w:bottom w:val="none" w:sz="0" w:space="0" w:color="auto"/>
                                    <w:right w:val="none" w:sz="0" w:space="0" w:color="auto"/>
                                  </w:divBdr>
                                  <w:divsChild>
                                    <w:div w:id="16278222">
                                      <w:marLeft w:val="0"/>
                                      <w:marRight w:val="0"/>
                                      <w:marTop w:val="0"/>
                                      <w:marBottom w:val="0"/>
                                      <w:divBdr>
                                        <w:top w:val="none" w:sz="0" w:space="0" w:color="auto"/>
                                        <w:left w:val="none" w:sz="0" w:space="0" w:color="auto"/>
                                        <w:bottom w:val="none" w:sz="0" w:space="0" w:color="auto"/>
                                        <w:right w:val="none" w:sz="0" w:space="0" w:color="auto"/>
                                      </w:divBdr>
                                      <w:divsChild>
                                        <w:div w:id="880750438">
                                          <w:marLeft w:val="0"/>
                                          <w:marRight w:val="0"/>
                                          <w:marTop w:val="0"/>
                                          <w:marBottom w:val="0"/>
                                          <w:divBdr>
                                            <w:top w:val="none" w:sz="0" w:space="0" w:color="auto"/>
                                            <w:left w:val="none" w:sz="0" w:space="0" w:color="auto"/>
                                            <w:bottom w:val="none" w:sz="0" w:space="0" w:color="auto"/>
                                            <w:right w:val="none" w:sz="0" w:space="0" w:color="auto"/>
                                          </w:divBdr>
                                          <w:divsChild>
                                            <w:div w:id="475991666">
                                              <w:marLeft w:val="0"/>
                                              <w:marRight w:val="0"/>
                                              <w:marTop w:val="0"/>
                                              <w:marBottom w:val="0"/>
                                              <w:divBdr>
                                                <w:top w:val="none" w:sz="0" w:space="0" w:color="auto"/>
                                                <w:left w:val="none" w:sz="0" w:space="0" w:color="auto"/>
                                                <w:bottom w:val="none" w:sz="0" w:space="0" w:color="auto"/>
                                                <w:right w:val="none" w:sz="0" w:space="0" w:color="auto"/>
                                              </w:divBdr>
                                              <w:divsChild>
                                                <w:div w:id="1548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983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8B08A-E9AC-4CE3-B4D1-AEDEB8656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wilkin</dc:creator>
  <cp:lastModifiedBy>Hilhorst, Matt</cp:lastModifiedBy>
  <cp:revision>2</cp:revision>
  <cp:lastPrinted>2012-06-20T23:34:00Z</cp:lastPrinted>
  <dcterms:created xsi:type="dcterms:W3CDTF">2013-02-27T04:08:00Z</dcterms:created>
  <dcterms:modified xsi:type="dcterms:W3CDTF">2013-02-27T04:08:00Z</dcterms:modified>
</cp:coreProperties>
</file>