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37389" w14:textId="77777777" w:rsidR="005C315B" w:rsidRPr="00FD1969" w:rsidRDefault="004D590B" w:rsidP="00213D05">
      <w:pPr>
        <w:pStyle w:val="Heading1"/>
        <w:jc w:val="center"/>
        <w:rPr>
          <w:b w:val="0"/>
          <w:u w:val="single"/>
        </w:rPr>
      </w:pPr>
      <w:bookmarkStart w:id="0" w:name="_GoBack"/>
      <w:bookmarkEnd w:id="0"/>
      <w:r w:rsidRPr="00FD1969">
        <w:rPr>
          <w:u w:val="single"/>
        </w:rPr>
        <w:t>Explanatory statement</w:t>
      </w:r>
    </w:p>
    <w:p w14:paraId="4484393E" w14:textId="54D2624C" w:rsidR="005C315B" w:rsidRPr="00FD1969" w:rsidRDefault="00FD1969" w:rsidP="00FD1969">
      <w:pPr>
        <w:pStyle w:val="Heading6"/>
        <w:tabs>
          <w:tab w:val="right" w:pos="9072"/>
        </w:tabs>
        <w:spacing w:before="0"/>
        <w:jc w:val="center"/>
        <w:rPr>
          <w:b/>
        </w:rPr>
      </w:pPr>
      <w:r w:rsidRPr="00FD1969">
        <w:rPr>
          <w:b/>
        </w:rPr>
        <w:t>Select Legislative Instrument 2013 No. 26</w:t>
      </w:r>
    </w:p>
    <w:p w14:paraId="1F94DDA3" w14:textId="77777777" w:rsidR="005C315B" w:rsidRPr="00FD1969" w:rsidRDefault="005C315B">
      <w:pPr>
        <w:tabs>
          <w:tab w:val="right" w:pos="9072"/>
        </w:tabs>
        <w:ind w:right="91"/>
        <w:rPr>
          <w:sz w:val="20"/>
        </w:rPr>
      </w:pPr>
    </w:p>
    <w:p w14:paraId="2D076F16" w14:textId="77777777" w:rsidR="00B702E0" w:rsidRPr="00FD1969" w:rsidRDefault="005A3235" w:rsidP="005A3235">
      <w:pPr>
        <w:tabs>
          <w:tab w:val="left" w:pos="1701"/>
          <w:tab w:val="right" w:pos="9072"/>
        </w:tabs>
        <w:ind w:right="91"/>
        <w:rPr>
          <w:i/>
        </w:rPr>
      </w:pPr>
      <w:r w:rsidRPr="00FD1969">
        <w:t>Subject -</w:t>
      </w:r>
      <w:r w:rsidRPr="00FD1969">
        <w:tab/>
      </w:r>
      <w:r w:rsidR="00B702E0" w:rsidRPr="00FD1969">
        <w:rPr>
          <w:i/>
        </w:rPr>
        <w:t>Corporations Act 2001</w:t>
      </w:r>
    </w:p>
    <w:p w14:paraId="113D73AA" w14:textId="77777777" w:rsidR="005A3235" w:rsidRPr="00FD1969" w:rsidRDefault="005A3235" w:rsidP="00265DDB">
      <w:pPr>
        <w:tabs>
          <w:tab w:val="left" w:pos="1701"/>
          <w:tab w:val="right" w:pos="9072"/>
        </w:tabs>
        <w:ind w:left="1701" w:right="91"/>
        <w:rPr>
          <w:i/>
        </w:rPr>
      </w:pPr>
      <w:r w:rsidRPr="00FD1969">
        <w:rPr>
          <w:i/>
        </w:rPr>
        <w:t xml:space="preserve">Superannuation Guarantee (Administration) Act 1992 </w:t>
      </w:r>
    </w:p>
    <w:p w14:paraId="7D8AFDF9" w14:textId="77777777" w:rsidR="00B702E0" w:rsidRPr="00FD1969" w:rsidRDefault="005A3235" w:rsidP="00265DDB">
      <w:pPr>
        <w:tabs>
          <w:tab w:val="left" w:pos="1701"/>
          <w:tab w:val="right" w:pos="9072"/>
        </w:tabs>
        <w:ind w:left="1701" w:right="91"/>
        <w:rPr>
          <w:i/>
        </w:rPr>
      </w:pPr>
      <w:r w:rsidRPr="00FD1969">
        <w:rPr>
          <w:i/>
        </w:rPr>
        <w:t>Superannuation Industry (Supervision) Act 1993</w:t>
      </w:r>
    </w:p>
    <w:p w14:paraId="583E22A8" w14:textId="77777777" w:rsidR="005A3235" w:rsidRPr="00FD1969" w:rsidRDefault="005A3235" w:rsidP="00265DDB">
      <w:pPr>
        <w:tabs>
          <w:tab w:val="left" w:pos="1701"/>
          <w:tab w:val="right" w:pos="9072"/>
        </w:tabs>
        <w:ind w:left="1701" w:right="91"/>
        <w:rPr>
          <w:i/>
        </w:rPr>
      </w:pPr>
    </w:p>
    <w:p w14:paraId="62C461C5" w14:textId="02FBA9F1" w:rsidR="00090EE8" w:rsidRPr="00FD1969" w:rsidRDefault="00090EE8" w:rsidP="00265DDB">
      <w:pPr>
        <w:tabs>
          <w:tab w:val="left" w:pos="1701"/>
          <w:tab w:val="right" w:pos="9072"/>
        </w:tabs>
        <w:ind w:left="1701" w:right="91"/>
        <w:rPr>
          <w:i/>
        </w:rPr>
      </w:pPr>
      <w:r w:rsidRPr="00FD1969">
        <w:rPr>
          <w:i/>
        </w:rPr>
        <w:t xml:space="preserve">Superannuation </w:t>
      </w:r>
      <w:r w:rsidR="004033E2" w:rsidRPr="00FD1969">
        <w:rPr>
          <w:i/>
        </w:rPr>
        <w:t>Legislation</w:t>
      </w:r>
      <w:r w:rsidRPr="00FD1969">
        <w:rPr>
          <w:i/>
        </w:rPr>
        <w:t xml:space="preserve"> Amendment Regulation 201</w:t>
      </w:r>
      <w:r w:rsidR="0082252C" w:rsidRPr="00FD1969">
        <w:rPr>
          <w:i/>
        </w:rPr>
        <w:t>3</w:t>
      </w:r>
      <w:r w:rsidR="00FD1969" w:rsidRPr="00FD1969">
        <w:rPr>
          <w:i/>
        </w:rPr>
        <w:t xml:space="preserve"> (No. 1</w:t>
      </w:r>
      <w:r w:rsidRPr="00FD1969">
        <w:rPr>
          <w:i/>
        </w:rPr>
        <w:t>)</w:t>
      </w:r>
    </w:p>
    <w:p w14:paraId="22E79B22" w14:textId="77777777" w:rsidR="00265DDB" w:rsidRPr="00FD1969" w:rsidRDefault="00265DDB" w:rsidP="00DE49D0">
      <w:pPr>
        <w:tabs>
          <w:tab w:val="left" w:pos="1701"/>
          <w:tab w:val="right" w:pos="9072"/>
        </w:tabs>
        <w:ind w:left="1701" w:right="91"/>
        <w:rPr>
          <w:i/>
        </w:rPr>
      </w:pPr>
    </w:p>
    <w:p w14:paraId="2A3735A7" w14:textId="77777777" w:rsidR="005E127C" w:rsidRPr="00FD1969" w:rsidRDefault="00B52937">
      <w:pPr>
        <w:tabs>
          <w:tab w:val="right" w:pos="9072"/>
        </w:tabs>
        <w:ind w:right="91"/>
      </w:pPr>
      <w:r w:rsidRPr="00FD1969">
        <w:t xml:space="preserve">Subsection 1364(1) of the </w:t>
      </w:r>
      <w:r w:rsidRPr="00FD1969">
        <w:rPr>
          <w:i/>
        </w:rPr>
        <w:t>Corporations Act 2001</w:t>
      </w:r>
      <w:r w:rsidRPr="00FD1969">
        <w:t xml:space="preserve"> (the Corporations Act) provides, in part, that the Governor-General may make regulations prescribing all matters required or permitted by the </w:t>
      </w:r>
      <w:r w:rsidR="00726A2A" w:rsidRPr="00FD1969">
        <w:t>Corporations</w:t>
      </w:r>
      <w:r w:rsidRPr="00FD1969">
        <w:t xml:space="preserve"> Act to be prescribed, or necessary or convenient to be prescribed for carrying out or giving effect to the Corporations Act.</w:t>
      </w:r>
      <w:r w:rsidR="00B702E0" w:rsidRPr="00FD1969">
        <w:t xml:space="preserve">  The </w:t>
      </w:r>
      <w:r w:rsidR="00B702E0" w:rsidRPr="00FD1969">
        <w:rPr>
          <w:i/>
        </w:rPr>
        <w:t>Corporations Regulations 2001</w:t>
      </w:r>
      <w:r w:rsidR="00B702E0" w:rsidRPr="00FD1969">
        <w:t xml:space="preserve"> (the Corporations Regulation</w:t>
      </w:r>
      <w:r w:rsidR="006F349A" w:rsidRPr="00FD1969">
        <w:t>s</w:t>
      </w:r>
      <w:r w:rsidR="00B702E0" w:rsidRPr="00FD1969">
        <w:t xml:space="preserve">) are made under section 1364 of the Corporations Act. </w:t>
      </w:r>
    </w:p>
    <w:p w14:paraId="23121A64" w14:textId="77777777" w:rsidR="005A3235" w:rsidRPr="00FD1969" w:rsidRDefault="005A3235">
      <w:pPr>
        <w:tabs>
          <w:tab w:val="right" w:pos="9072"/>
        </w:tabs>
        <w:ind w:right="91"/>
      </w:pPr>
    </w:p>
    <w:p w14:paraId="088B3630" w14:textId="77777777" w:rsidR="005A3235" w:rsidRPr="00FD1969" w:rsidRDefault="005A3235" w:rsidP="005A3235">
      <w:pPr>
        <w:tabs>
          <w:tab w:val="right" w:pos="9072"/>
        </w:tabs>
        <w:ind w:right="91"/>
      </w:pPr>
      <w:r w:rsidRPr="00FD1969">
        <w:t xml:space="preserve">Section 80 of the </w:t>
      </w:r>
      <w:r w:rsidRPr="00FD1969">
        <w:rPr>
          <w:i/>
        </w:rPr>
        <w:t>Superannuation Guarantee (Administration) Act 1992</w:t>
      </w:r>
      <w:r w:rsidRPr="00FD1969">
        <w:t xml:space="preserve"> (the </w:t>
      </w:r>
      <w:proofErr w:type="spellStart"/>
      <w:r w:rsidRPr="00FD1969">
        <w:t>SGA</w:t>
      </w:r>
      <w:proofErr w:type="spellEnd"/>
      <w:r w:rsidRPr="00FD1969">
        <w:t xml:space="preserve"> Act) provides, in part, that the Governor-General may make regulations prescribing all matters required or permitted by the </w:t>
      </w:r>
      <w:proofErr w:type="spellStart"/>
      <w:r w:rsidRPr="00FD1969">
        <w:t>SGA</w:t>
      </w:r>
      <w:proofErr w:type="spellEnd"/>
      <w:r w:rsidRPr="00FD1969">
        <w:t xml:space="preserve"> Act to be prescribed, or necessary or convenient to be prescribed for carrying out or giving effect to the </w:t>
      </w:r>
      <w:proofErr w:type="spellStart"/>
      <w:r w:rsidRPr="00FD1969">
        <w:t>SGA</w:t>
      </w:r>
      <w:proofErr w:type="spellEnd"/>
      <w:r w:rsidRPr="00FD1969">
        <w:t xml:space="preserve"> Act.  The </w:t>
      </w:r>
      <w:r w:rsidRPr="00FD1969">
        <w:rPr>
          <w:i/>
        </w:rPr>
        <w:t>Superannuation Guarantee (Administration) Regulations 1993</w:t>
      </w:r>
      <w:r w:rsidRPr="00FD1969">
        <w:t xml:space="preserve"> (the </w:t>
      </w:r>
      <w:proofErr w:type="spellStart"/>
      <w:r w:rsidRPr="00FD1969">
        <w:t>SGA</w:t>
      </w:r>
      <w:proofErr w:type="spellEnd"/>
      <w:r w:rsidRPr="00FD1969">
        <w:t xml:space="preserve"> Regulations) are made under section 80 of the </w:t>
      </w:r>
      <w:proofErr w:type="spellStart"/>
      <w:r w:rsidRPr="00FD1969">
        <w:t>SGA</w:t>
      </w:r>
      <w:proofErr w:type="spellEnd"/>
      <w:r w:rsidRPr="00FD1969">
        <w:t xml:space="preserve"> Act.</w:t>
      </w:r>
    </w:p>
    <w:p w14:paraId="5FAA8A54" w14:textId="77777777" w:rsidR="005A3235" w:rsidRPr="00FD1969" w:rsidRDefault="005A3235" w:rsidP="005A3235">
      <w:pPr>
        <w:tabs>
          <w:tab w:val="right" w:pos="9072"/>
        </w:tabs>
        <w:ind w:right="91"/>
      </w:pPr>
    </w:p>
    <w:p w14:paraId="2C89AFE1" w14:textId="77777777" w:rsidR="005A3235" w:rsidRPr="00FD1969" w:rsidRDefault="005A3235" w:rsidP="005A3235">
      <w:pPr>
        <w:tabs>
          <w:tab w:val="right" w:pos="9072"/>
        </w:tabs>
        <w:ind w:right="91"/>
      </w:pPr>
      <w:r w:rsidRPr="00FD1969">
        <w:t xml:space="preserve">Subsection 353(1) of the </w:t>
      </w:r>
      <w:r w:rsidRPr="00FD1969">
        <w:rPr>
          <w:i/>
        </w:rPr>
        <w:t>Superannuation Industry (Supervision) Act 1993</w:t>
      </w:r>
      <w:r w:rsidRPr="00FD1969">
        <w:t xml:space="preserve"> (the SIS Act) provides, in part, that the Governor-General may make regulations prescribing matters required or permitted by the SIS Act to be prescribed, or necessary or convenient to be prescribed for carrying out or giving effect to the SIS Act.  The </w:t>
      </w:r>
      <w:r w:rsidRPr="00FD1969">
        <w:rPr>
          <w:i/>
        </w:rPr>
        <w:t xml:space="preserve">Superannuation Industry (Supervision) Regulations 1994 </w:t>
      </w:r>
      <w:r w:rsidRPr="00FD1969">
        <w:t>(</w:t>
      </w:r>
      <w:r w:rsidR="003937DD" w:rsidRPr="00FD1969">
        <w:t xml:space="preserve">the </w:t>
      </w:r>
      <w:r w:rsidRPr="00FD1969">
        <w:t>SIS Regulations) are made under section 353 of the SIS Act.</w:t>
      </w:r>
    </w:p>
    <w:p w14:paraId="392D0BC7" w14:textId="77777777" w:rsidR="005A3235" w:rsidRPr="00FD1969" w:rsidRDefault="005A3235" w:rsidP="005A3235">
      <w:pPr>
        <w:tabs>
          <w:tab w:val="right" w:pos="9072"/>
        </w:tabs>
        <w:ind w:right="91"/>
      </w:pPr>
    </w:p>
    <w:p w14:paraId="10299E3F" w14:textId="77777777" w:rsidR="00950E37" w:rsidRPr="00FD1969" w:rsidRDefault="00950E37" w:rsidP="00950E37">
      <w:pPr>
        <w:tabs>
          <w:tab w:val="right" w:pos="9072"/>
        </w:tabs>
        <w:ind w:right="91"/>
      </w:pPr>
      <w:r w:rsidRPr="00FD1969">
        <w:t xml:space="preserve">On 16 December 2010, the Government announced </w:t>
      </w:r>
      <w:r w:rsidR="007C1114" w:rsidRPr="00FD1969">
        <w:t xml:space="preserve">the </w:t>
      </w:r>
      <w:r w:rsidRPr="00FD1969">
        <w:t xml:space="preserve">Stronger Super </w:t>
      </w:r>
      <w:r w:rsidR="007C1114" w:rsidRPr="00FD1969">
        <w:t xml:space="preserve">package of reforms </w:t>
      </w:r>
      <w:r w:rsidRPr="00FD1969">
        <w:t xml:space="preserve">in response to the recommendations of the Super System Review final report.  Following extensive consultation, on 21 September 2011 the Government announced its decisions on key design aspects of the Stronger Super reforms.  </w:t>
      </w:r>
    </w:p>
    <w:p w14:paraId="27A89F45" w14:textId="77777777" w:rsidR="0029571B" w:rsidRPr="00FD1969" w:rsidRDefault="0029571B">
      <w:pPr>
        <w:tabs>
          <w:tab w:val="right" w:pos="9072"/>
        </w:tabs>
        <w:ind w:right="91"/>
      </w:pPr>
    </w:p>
    <w:p w14:paraId="0AF2DF61" w14:textId="77777777" w:rsidR="00DE49D0" w:rsidRPr="00FD1969" w:rsidRDefault="00DE49D0" w:rsidP="006052D7">
      <w:pPr>
        <w:tabs>
          <w:tab w:val="right" w:pos="9072"/>
        </w:tabs>
        <w:ind w:right="91"/>
      </w:pPr>
      <w:r w:rsidRPr="00FD1969">
        <w:t xml:space="preserve">The </w:t>
      </w:r>
      <w:r w:rsidR="0082252C" w:rsidRPr="00FD1969">
        <w:t>R</w:t>
      </w:r>
      <w:r w:rsidR="006052D7" w:rsidRPr="00FD1969">
        <w:t xml:space="preserve">egulation </w:t>
      </w:r>
      <w:r w:rsidR="00726A2A" w:rsidRPr="00FD1969">
        <w:t>give</w:t>
      </w:r>
      <w:r w:rsidR="004E390E" w:rsidRPr="00FD1969">
        <w:t>s</w:t>
      </w:r>
      <w:r w:rsidR="00726A2A" w:rsidRPr="00FD1969">
        <w:t xml:space="preserve"> effect to </w:t>
      </w:r>
      <w:r w:rsidRPr="00FD1969">
        <w:t>changes arising from</w:t>
      </w:r>
      <w:r w:rsidR="00726A2A" w:rsidRPr="00FD1969">
        <w:t xml:space="preserve"> </w:t>
      </w:r>
      <w:r w:rsidRPr="00FD1969">
        <w:t>legislation</w:t>
      </w:r>
      <w:r w:rsidR="00726A2A" w:rsidRPr="00FD1969">
        <w:t xml:space="preserve"> </w:t>
      </w:r>
      <w:r w:rsidR="006052D7" w:rsidRPr="00FD1969">
        <w:t>implement</w:t>
      </w:r>
      <w:r w:rsidR="00726A2A" w:rsidRPr="00FD1969">
        <w:t>ing</w:t>
      </w:r>
      <w:r w:rsidR="006052D7" w:rsidRPr="00FD1969">
        <w:t xml:space="preserve"> </w:t>
      </w:r>
      <w:r w:rsidR="00202AB2" w:rsidRPr="00FD1969">
        <w:t xml:space="preserve">the </w:t>
      </w:r>
      <w:proofErr w:type="spellStart"/>
      <w:r w:rsidR="006052D7" w:rsidRPr="00FD1969">
        <w:t>MySuper</w:t>
      </w:r>
      <w:proofErr w:type="spellEnd"/>
      <w:r w:rsidR="006052D7" w:rsidRPr="00FD1969">
        <w:t xml:space="preserve"> and governance reforms. </w:t>
      </w:r>
    </w:p>
    <w:p w14:paraId="22704064" w14:textId="77777777" w:rsidR="00224B62" w:rsidRPr="00FD1969" w:rsidRDefault="00224B62" w:rsidP="006052D7">
      <w:pPr>
        <w:tabs>
          <w:tab w:val="right" w:pos="9072"/>
        </w:tabs>
        <w:ind w:right="91"/>
      </w:pPr>
    </w:p>
    <w:p w14:paraId="4762FFFD" w14:textId="77777777" w:rsidR="00224B62" w:rsidRPr="00FD1969" w:rsidRDefault="004D590B" w:rsidP="00224B62">
      <w:pPr>
        <w:tabs>
          <w:tab w:val="right" w:pos="9072"/>
        </w:tabs>
        <w:ind w:right="91"/>
      </w:pPr>
      <w:r w:rsidRPr="00FD1969">
        <w:t xml:space="preserve">The </w:t>
      </w:r>
      <w:r w:rsidR="0082252C" w:rsidRPr="00FD1969">
        <w:t>R</w:t>
      </w:r>
      <w:r w:rsidR="00224B62" w:rsidRPr="00FD1969">
        <w:t>egulation:</w:t>
      </w:r>
    </w:p>
    <w:p w14:paraId="3C036793" w14:textId="77777777" w:rsidR="00224B62" w:rsidRPr="00FD1969" w:rsidRDefault="00224B62" w:rsidP="00224B62">
      <w:pPr>
        <w:tabs>
          <w:tab w:val="right" w:pos="9072"/>
        </w:tabs>
        <w:ind w:right="91"/>
      </w:pPr>
    </w:p>
    <w:p w14:paraId="69A943FF" w14:textId="77777777" w:rsidR="00726A2A" w:rsidRPr="00FD1969" w:rsidRDefault="00B93F2D" w:rsidP="00B8147D">
      <w:pPr>
        <w:pStyle w:val="Bullet"/>
        <w:tabs>
          <w:tab w:val="clear" w:pos="567"/>
          <w:tab w:val="clear" w:pos="9072"/>
          <w:tab w:val="right" w:pos="1134"/>
        </w:tabs>
        <w:ind w:left="1134"/>
      </w:pPr>
      <w:r w:rsidRPr="00FD1969">
        <w:t>ensure</w:t>
      </w:r>
      <w:r w:rsidR="001665EE" w:rsidRPr="00FD1969">
        <w:t>s</w:t>
      </w:r>
      <w:r w:rsidR="00B649D5" w:rsidRPr="00FD1969">
        <w:t xml:space="preserve"> that a trustee</w:t>
      </w:r>
      <w:r w:rsidR="00726A2A" w:rsidRPr="00FD1969">
        <w:t xml:space="preserve"> provide</w:t>
      </w:r>
      <w:r w:rsidRPr="00FD1969">
        <w:t>s</w:t>
      </w:r>
      <w:r w:rsidR="00726A2A" w:rsidRPr="00FD1969">
        <w:t xml:space="preserve"> a member of a </w:t>
      </w:r>
      <w:proofErr w:type="spellStart"/>
      <w:r w:rsidR="00726A2A" w:rsidRPr="00FD1969">
        <w:t>MySuper</w:t>
      </w:r>
      <w:proofErr w:type="spellEnd"/>
      <w:r w:rsidR="00726A2A" w:rsidRPr="00FD1969">
        <w:t xml:space="preserve"> product</w:t>
      </w:r>
      <w:r w:rsidR="007C1114" w:rsidRPr="00FD1969">
        <w:t xml:space="preserve"> with a notice of a material change or significant event</w:t>
      </w:r>
      <w:r w:rsidR="006510A4" w:rsidRPr="00FD1969">
        <w:t xml:space="preserve">, </w:t>
      </w:r>
      <w:r w:rsidR="00726A2A" w:rsidRPr="00FD1969">
        <w:t>where the member</w:t>
      </w:r>
      <w:r w:rsidRPr="00FD1969">
        <w:t>’s</w:t>
      </w:r>
      <w:r w:rsidR="00726A2A" w:rsidRPr="00FD1969">
        <w:t xml:space="preserve"> </w:t>
      </w:r>
      <w:r w:rsidR="00B649D5" w:rsidRPr="00FD1969">
        <w:t xml:space="preserve">balance </w:t>
      </w:r>
      <w:r w:rsidR="00726A2A" w:rsidRPr="00FD1969">
        <w:t xml:space="preserve">in the </w:t>
      </w:r>
      <w:proofErr w:type="spellStart"/>
      <w:r w:rsidR="00726A2A" w:rsidRPr="00FD1969">
        <w:t>MySuper</w:t>
      </w:r>
      <w:proofErr w:type="spellEnd"/>
      <w:r w:rsidR="00726A2A" w:rsidRPr="00FD1969">
        <w:t xml:space="preserve"> product </w:t>
      </w:r>
      <w:r w:rsidRPr="00FD1969">
        <w:t xml:space="preserve">is moved </w:t>
      </w:r>
      <w:r w:rsidR="00726A2A" w:rsidRPr="00FD1969">
        <w:t>to any other product</w:t>
      </w:r>
      <w:r w:rsidR="00225CA5" w:rsidRPr="00FD1969">
        <w:t xml:space="preserve"> or investment option</w:t>
      </w:r>
      <w:r w:rsidR="00B649D5" w:rsidRPr="00FD1969">
        <w:t>, upon the recommendation of the trustee</w:t>
      </w:r>
      <w:r w:rsidR="00726A2A" w:rsidRPr="00FD1969">
        <w:t xml:space="preserve">; </w:t>
      </w:r>
    </w:p>
    <w:p w14:paraId="1DA2866C" w14:textId="77777777" w:rsidR="006F349A" w:rsidRPr="00FD1969" w:rsidRDefault="006F349A" w:rsidP="006F349A">
      <w:pPr>
        <w:pStyle w:val="Bullet"/>
        <w:numPr>
          <w:ilvl w:val="0"/>
          <w:numId w:val="0"/>
        </w:numPr>
        <w:ind w:left="567" w:hanging="567"/>
      </w:pPr>
    </w:p>
    <w:p w14:paraId="7F0BAF94" w14:textId="77777777" w:rsidR="00726A2A" w:rsidRPr="00FD1969" w:rsidRDefault="00DC1398" w:rsidP="00B8147D">
      <w:pPr>
        <w:pStyle w:val="Bullet"/>
        <w:tabs>
          <w:tab w:val="clear" w:pos="567"/>
          <w:tab w:val="clear" w:pos="9072"/>
          <w:tab w:val="right" w:pos="1134"/>
        </w:tabs>
        <w:ind w:left="1134"/>
      </w:pPr>
      <w:r w:rsidRPr="00FD1969">
        <w:t>require</w:t>
      </w:r>
      <w:r w:rsidR="001665EE" w:rsidRPr="00FD1969">
        <w:t>s</w:t>
      </w:r>
      <w:r w:rsidRPr="00FD1969">
        <w:t xml:space="preserve"> superannuation funds to provide, rather than only offer, a minimum amount of death insurance to members of </w:t>
      </w:r>
      <w:proofErr w:type="spellStart"/>
      <w:r w:rsidRPr="00FD1969">
        <w:t>MySuper</w:t>
      </w:r>
      <w:proofErr w:type="spellEnd"/>
      <w:r w:rsidRPr="00FD1969">
        <w:t xml:space="preserve"> products in order to be able</w:t>
      </w:r>
      <w:r w:rsidR="00726A2A" w:rsidRPr="00FD1969">
        <w:t xml:space="preserve"> </w:t>
      </w:r>
      <w:r w:rsidR="007C1114" w:rsidRPr="00FD1969">
        <w:t>to receive superannuation</w:t>
      </w:r>
      <w:r w:rsidR="00726A2A" w:rsidRPr="00FD1969">
        <w:t xml:space="preserve"> contributions </w:t>
      </w:r>
      <w:r w:rsidR="007C1114" w:rsidRPr="00FD1969">
        <w:t>from employers on behalf of employees who have not chosen a fund</w:t>
      </w:r>
      <w:r w:rsidR="00726A2A" w:rsidRPr="00FD1969">
        <w:t>;</w:t>
      </w:r>
    </w:p>
    <w:p w14:paraId="7E5BB281" w14:textId="77777777" w:rsidR="006F349A" w:rsidRPr="00FD1969" w:rsidRDefault="006F349A" w:rsidP="006F349A">
      <w:pPr>
        <w:pStyle w:val="Bullet"/>
        <w:numPr>
          <w:ilvl w:val="0"/>
          <w:numId w:val="0"/>
        </w:numPr>
        <w:ind w:left="567" w:hanging="567"/>
      </w:pPr>
    </w:p>
    <w:p w14:paraId="1EDBF4BA" w14:textId="77777777" w:rsidR="00726A2A" w:rsidRPr="00FD1969" w:rsidRDefault="009E1C44" w:rsidP="00B8147D">
      <w:pPr>
        <w:pStyle w:val="Bullet"/>
        <w:tabs>
          <w:tab w:val="clear" w:pos="567"/>
          <w:tab w:val="clear" w:pos="9072"/>
          <w:tab w:val="right" w:pos="1134"/>
        </w:tabs>
        <w:ind w:left="1134"/>
      </w:pPr>
      <w:r w:rsidRPr="00FD1969">
        <w:lastRenderedPageBreak/>
        <w:t>ensure</w:t>
      </w:r>
      <w:r w:rsidR="001665EE" w:rsidRPr="00FD1969">
        <w:t>s</w:t>
      </w:r>
      <w:r w:rsidRPr="00FD1969">
        <w:t xml:space="preserve"> that the</w:t>
      </w:r>
      <w:r w:rsidR="00225CA5" w:rsidRPr="00FD1969">
        <w:t xml:space="preserve"> </w:t>
      </w:r>
      <w:r w:rsidR="00726A2A" w:rsidRPr="00FD1969">
        <w:t xml:space="preserve">existing definition of </w:t>
      </w:r>
      <w:r w:rsidR="0082252C" w:rsidRPr="00FD1969">
        <w:t>‘</w:t>
      </w:r>
      <w:r w:rsidR="00726A2A" w:rsidRPr="00FD1969">
        <w:t>permanent incapacity</w:t>
      </w:r>
      <w:r w:rsidR="0082252C" w:rsidRPr="00FD1969">
        <w:t>’</w:t>
      </w:r>
      <w:r w:rsidR="00726A2A" w:rsidRPr="00FD1969">
        <w:t xml:space="preserve"> in the SIS Regulations </w:t>
      </w:r>
      <w:r w:rsidRPr="00FD1969">
        <w:t xml:space="preserve">applies for the purposes of the SIS Act, supporting the new requirement in the SIS Act that superannuation funds provide members of </w:t>
      </w:r>
      <w:proofErr w:type="spellStart"/>
      <w:r w:rsidRPr="00FD1969">
        <w:t>MySuper</w:t>
      </w:r>
      <w:proofErr w:type="spellEnd"/>
      <w:r w:rsidRPr="00FD1969">
        <w:t xml:space="preserve"> products with permanent incapacity benefits</w:t>
      </w:r>
      <w:r w:rsidR="00726A2A" w:rsidRPr="00FD1969">
        <w:t>;</w:t>
      </w:r>
    </w:p>
    <w:p w14:paraId="774852C4" w14:textId="77777777" w:rsidR="00DF1CC2" w:rsidRPr="00FD1969" w:rsidRDefault="00DF1CC2" w:rsidP="00DF1CC2">
      <w:pPr>
        <w:pStyle w:val="Bullet"/>
        <w:numPr>
          <w:ilvl w:val="0"/>
          <w:numId w:val="0"/>
        </w:numPr>
        <w:ind w:left="567" w:hanging="567"/>
      </w:pPr>
    </w:p>
    <w:p w14:paraId="2C9C292F" w14:textId="77777777" w:rsidR="00DF1CC2" w:rsidRPr="00FD1969" w:rsidRDefault="00DF1CC2" w:rsidP="00B8147D">
      <w:pPr>
        <w:pStyle w:val="Bullet"/>
        <w:tabs>
          <w:tab w:val="clear" w:pos="567"/>
          <w:tab w:val="clear" w:pos="9072"/>
          <w:tab w:val="right" w:pos="1134"/>
        </w:tabs>
        <w:ind w:left="1134"/>
        <w:rPr>
          <w:szCs w:val="24"/>
        </w:rPr>
      </w:pPr>
      <w:r w:rsidRPr="00FD1969">
        <w:rPr>
          <w:szCs w:val="24"/>
        </w:rPr>
        <w:t>prohibit</w:t>
      </w:r>
      <w:r w:rsidR="001665EE" w:rsidRPr="00FD1969">
        <w:rPr>
          <w:szCs w:val="24"/>
        </w:rPr>
        <w:t>s</w:t>
      </w:r>
      <w:r w:rsidRPr="00FD1969">
        <w:rPr>
          <w:szCs w:val="24"/>
        </w:rPr>
        <w:t xml:space="preserve"> trustees from providing insured benefits other than those that are consistent with the conditions of release in the SIS Regulations for death, terminal medical condition, permanent incapacity and temporary incapacity, to beneficiaries who join a fund from 1</w:t>
      </w:r>
      <w:r w:rsidR="006A3897" w:rsidRPr="00FD1969">
        <w:rPr>
          <w:szCs w:val="24"/>
        </w:rPr>
        <w:t> </w:t>
      </w:r>
      <w:r w:rsidRPr="00FD1969">
        <w:rPr>
          <w:szCs w:val="24"/>
        </w:rPr>
        <w:t>July 2014;</w:t>
      </w:r>
    </w:p>
    <w:p w14:paraId="7DE4ACD6" w14:textId="77777777" w:rsidR="006F349A" w:rsidRPr="00FD1969" w:rsidRDefault="006F349A" w:rsidP="006F349A">
      <w:pPr>
        <w:pStyle w:val="Bullet"/>
        <w:numPr>
          <w:ilvl w:val="0"/>
          <w:numId w:val="0"/>
        </w:numPr>
        <w:ind w:left="567" w:hanging="567"/>
      </w:pPr>
    </w:p>
    <w:p w14:paraId="48C799DC" w14:textId="77777777" w:rsidR="00726A2A" w:rsidRPr="00FD1969" w:rsidRDefault="00726A2A" w:rsidP="00B8147D">
      <w:pPr>
        <w:pStyle w:val="Bullet"/>
        <w:tabs>
          <w:tab w:val="clear" w:pos="567"/>
          <w:tab w:val="clear" w:pos="9072"/>
          <w:tab w:val="right" w:pos="1134"/>
        </w:tabs>
        <w:ind w:left="1134"/>
        <w:rPr>
          <w:szCs w:val="24"/>
        </w:rPr>
      </w:pPr>
      <w:r w:rsidRPr="00FD1969">
        <w:rPr>
          <w:szCs w:val="24"/>
        </w:rPr>
        <w:t>prohibit</w:t>
      </w:r>
      <w:r w:rsidR="001665EE" w:rsidRPr="00FD1969">
        <w:rPr>
          <w:szCs w:val="24"/>
        </w:rPr>
        <w:t>s</w:t>
      </w:r>
      <w:r w:rsidRPr="00FD1969">
        <w:rPr>
          <w:szCs w:val="24"/>
        </w:rPr>
        <w:t xml:space="preserve"> trustees from providing insured benefits for members unless they are </w:t>
      </w:r>
      <w:r w:rsidR="006A3897" w:rsidRPr="00FD1969">
        <w:rPr>
          <w:szCs w:val="24"/>
        </w:rPr>
        <w:t>supported</w:t>
      </w:r>
      <w:r w:rsidRPr="00FD1969">
        <w:rPr>
          <w:szCs w:val="24"/>
        </w:rPr>
        <w:t xml:space="preserve"> by an insurance policy from an insurer</w:t>
      </w:r>
      <w:r w:rsidR="006A3897" w:rsidRPr="00FD1969">
        <w:rPr>
          <w:szCs w:val="24"/>
        </w:rPr>
        <w:t>, that is, a fund will not be able to self</w:t>
      </w:r>
      <w:r w:rsidR="006A3897" w:rsidRPr="00FD1969">
        <w:rPr>
          <w:szCs w:val="24"/>
        </w:rPr>
        <w:noBreakHyphen/>
        <w:t>insure</w:t>
      </w:r>
      <w:r w:rsidRPr="00FD1969">
        <w:rPr>
          <w:szCs w:val="24"/>
        </w:rPr>
        <w:t>;</w:t>
      </w:r>
    </w:p>
    <w:p w14:paraId="2C665A06" w14:textId="77777777" w:rsidR="006F349A" w:rsidRPr="00FD1969" w:rsidRDefault="006F349A" w:rsidP="00DF1CC2">
      <w:pPr>
        <w:pStyle w:val="Bullet"/>
        <w:numPr>
          <w:ilvl w:val="0"/>
          <w:numId w:val="0"/>
        </w:numPr>
        <w:rPr>
          <w:szCs w:val="24"/>
        </w:rPr>
      </w:pPr>
    </w:p>
    <w:p w14:paraId="6D986E7F" w14:textId="77777777" w:rsidR="00726A2A" w:rsidRPr="00FD1969" w:rsidRDefault="006A3897" w:rsidP="00B8147D">
      <w:pPr>
        <w:pStyle w:val="Bullet"/>
        <w:tabs>
          <w:tab w:val="clear" w:pos="567"/>
          <w:tab w:val="clear" w:pos="9072"/>
          <w:tab w:val="right" w:pos="1134"/>
        </w:tabs>
        <w:ind w:left="1134"/>
      </w:pPr>
      <w:r w:rsidRPr="00FD1969">
        <w:t>provide</w:t>
      </w:r>
      <w:r w:rsidR="001665EE" w:rsidRPr="00FD1969">
        <w:t>s</w:t>
      </w:r>
      <w:r w:rsidRPr="00FD1969">
        <w:t xml:space="preserve"> that the successor fund transfer rules relating to the transfer of a member’s benefit between funds, do not apply to</w:t>
      </w:r>
      <w:r w:rsidR="00726A2A" w:rsidRPr="00FD1969">
        <w:t xml:space="preserve"> the transfer of accrued default amounts to a </w:t>
      </w:r>
      <w:proofErr w:type="spellStart"/>
      <w:r w:rsidR="00726A2A" w:rsidRPr="00FD1969">
        <w:t>MySuper</w:t>
      </w:r>
      <w:proofErr w:type="spellEnd"/>
      <w:r w:rsidR="00726A2A" w:rsidRPr="00FD1969">
        <w:t xml:space="preserve"> product in another fund</w:t>
      </w:r>
      <w:r w:rsidR="00B649D5" w:rsidRPr="00FD1969">
        <w:t xml:space="preserve">, to facilitate the movement of existing default amounts to the new </w:t>
      </w:r>
      <w:proofErr w:type="spellStart"/>
      <w:r w:rsidR="00B649D5" w:rsidRPr="00FD1969">
        <w:t>MySuper</w:t>
      </w:r>
      <w:proofErr w:type="spellEnd"/>
      <w:r w:rsidR="00B649D5" w:rsidRPr="00FD1969">
        <w:t xml:space="preserve"> regime</w:t>
      </w:r>
      <w:r w:rsidR="00726A2A" w:rsidRPr="00FD1969">
        <w:t>;</w:t>
      </w:r>
    </w:p>
    <w:p w14:paraId="0BD3E192" w14:textId="77777777" w:rsidR="006F349A" w:rsidRPr="00FD1969" w:rsidRDefault="006F349A" w:rsidP="006F349A">
      <w:pPr>
        <w:pStyle w:val="Bullet"/>
        <w:numPr>
          <w:ilvl w:val="0"/>
          <w:numId w:val="0"/>
        </w:numPr>
        <w:ind w:left="567" w:hanging="567"/>
      </w:pPr>
    </w:p>
    <w:p w14:paraId="5A815303" w14:textId="77777777" w:rsidR="00726A2A" w:rsidRPr="00FD1969" w:rsidRDefault="00726A2A" w:rsidP="003D0015">
      <w:pPr>
        <w:pStyle w:val="Bullet"/>
        <w:tabs>
          <w:tab w:val="clear" w:pos="567"/>
          <w:tab w:val="clear" w:pos="9072"/>
          <w:tab w:val="right" w:pos="1134"/>
        </w:tabs>
        <w:ind w:left="1134"/>
      </w:pPr>
      <w:r w:rsidRPr="00FD1969">
        <w:t>require</w:t>
      </w:r>
      <w:r w:rsidR="001665EE" w:rsidRPr="00FD1969">
        <w:t>s</w:t>
      </w:r>
      <w:r w:rsidRPr="00FD1969">
        <w:t xml:space="preserve"> trustees to provide a notice </w:t>
      </w:r>
      <w:r w:rsidR="006A3897" w:rsidRPr="00FD1969">
        <w:t xml:space="preserve">of a material change or significant event </w:t>
      </w:r>
      <w:r w:rsidRPr="00FD1969">
        <w:t xml:space="preserve">to a member when they are attributing the member’s accrued default amount to a </w:t>
      </w:r>
      <w:proofErr w:type="spellStart"/>
      <w:r w:rsidRPr="00FD1969">
        <w:t>MySuper</w:t>
      </w:r>
      <w:proofErr w:type="spellEnd"/>
      <w:r w:rsidRPr="00FD1969">
        <w:t xml:space="preserve"> product</w:t>
      </w:r>
      <w:r w:rsidR="00225CA5" w:rsidRPr="00FD1969">
        <w:t xml:space="preserve"> within the fund</w:t>
      </w:r>
      <w:r w:rsidR="006A3897" w:rsidRPr="00FD1969">
        <w:t>,</w:t>
      </w:r>
      <w:r w:rsidRPr="00FD1969">
        <w:t xml:space="preserve"> or </w:t>
      </w:r>
      <w:r w:rsidR="006A3897" w:rsidRPr="00FD1969">
        <w:t xml:space="preserve">are </w:t>
      </w:r>
      <w:r w:rsidRPr="00FD1969">
        <w:t>moving</w:t>
      </w:r>
      <w:r w:rsidR="00225CA5" w:rsidRPr="00FD1969">
        <w:t xml:space="preserve"> the accrued default amount</w:t>
      </w:r>
      <w:r w:rsidRPr="00FD1969">
        <w:t xml:space="preserve"> to another fund; and</w:t>
      </w:r>
    </w:p>
    <w:p w14:paraId="2E5A840A" w14:textId="77777777" w:rsidR="006F349A" w:rsidRPr="00FD1969" w:rsidRDefault="006F349A" w:rsidP="006F349A">
      <w:pPr>
        <w:pStyle w:val="Bullet"/>
        <w:numPr>
          <w:ilvl w:val="0"/>
          <w:numId w:val="0"/>
        </w:numPr>
        <w:ind w:left="567" w:hanging="567"/>
      </w:pPr>
    </w:p>
    <w:p w14:paraId="61884753" w14:textId="77777777" w:rsidR="00726A2A" w:rsidRPr="00FD1969" w:rsidRDefault="006A3897" w:rsidP="003D0015">
      <w:pPr>
        <w:pStyle w:val="Bullet"/>
        <w:tabs>
          <w:tab w:val="clear" w:pos="567"/>
          <w:tab w:val="clear" w:pos="9072"/>
          <w:tab w:val="right" w:pos="1134"/>
        </w:tabs>
        <w:ind w:left="1134"/>
      </w:pPr>
      <w:r w:rsidRPr="00FD1969">
        <w:t>provide</w:t>
      </w:r>
      <w:r w:rsidR="001665EE" w:rsidRPr="00FD1969">
        <w:t>s</w:t>
      </w:r>
      <w:r w:rsidRPr="00FD1969">
        <w:t xml:space="preserve"> that</w:t>
      </w:r>
      <w:r w:rsidR="00726A2A" w:rsidRPr="00FD1969">
        <w:t xml:space="preserve"> life and total and permanent disability (</w:t>
      </w:r>
      <w:proofErr w:type="spellStart"/>
      <w:r w:rsidR="00726A2A" w:rsidRPr="00FD1969">
        <w:t>TPD</w:t>
      </w:r>
      <w:proofErr w:type="spellEnd"/>
      <w:r w:rsidR="00726A2A" w:rsidRPr="00FD1969">
        <w:t xml:space="preserve">) insurance </w:t>
      </w:r>
      <w:r w:rsidRPr="00FD1969">
        <w:t>is</w:t>
      </w:r>
      <w:r w:rsidR="00726A2A" w:rsidRPr="00FD1969">
        <w:t xml:space="preserve"> compulsory for </w:t>
      </w:r>
      <w:proofErr w:type="spellStart"/>
      <w:r w:rsidR="00726A2A" w:rsidRPr="00FD1969">
        <w:t>MySuper</w:t>
      </w:r>
      <w:proofErr w:type="spellEnd"/>
      <w:r w:rsidR="00726A2A" w:rsidRPr="00FD1969">
        <w:t xml:space="preserve"> members if the trustee is reasonably satisfied the insurance cannot be provided on an opt-out basis at reasonable cost</w:t>
      </w:r>
      <w:r w:rsidR="00CE1D9B" w:rsidRPr="00FD1969">
        <w:t>,</w:t>
      </w:r>
      <w:r w:rsidR="00225CA5" w:rsidRPr="00FD1969">
        <w:t xml:space="preserve"> or at all</w:t>
      </w:r>
      <w:r w:rsidR="00726A2A" w:rsidRPr="00FD1969">
        <w:t>.</w:t>
      </w:r>
    </w:p>
    <w:p w14:paraId="4425373C" w14:textId="77777777" w:rsidR="00726A2A" w:rsidRPr="00FD1969" w:rsidRDefault="00726A2A" w:rsidP="00726A2A">
      <w:pPr>
        <w:pStyle w:val="Bullet"/>
        <w:numPr>
          <w:ilvl w:val="0"/>
          <w:numId w:val="0"/>
        </w:numPr>
        <w:ind w:left="567"/>
      </w:pPr>
    </w:p>
    <w:p w14:paraId="62C4CAD7" w14:textId="77777777" w:rsidR="00B050AC" w:rsidRPr="00FD1969" w:rsidRDefault="00B050AC" w:rsidP="00B050AC">
      <w:pPr>
        <w:tabs>
          <w:tab w:val="right" w:pos="9072"/>
        </w:tabs>
        <w:ind w:right="91"/>
      </w:pPr>
      <w:r w:rsidRPr="00FD1969">
        <w:t xml:space="preserve">The Commonwealth consulted publicly on an exposure draft of the Regulation in </w:t>
      </w:r>
      <w:r w:rsidR="002558BF" w:rsidRPr="00FD1969">
        <w:t>November</w:t>
      </w:r>
      <w:r w:rsidRPr="00FD1969">
        <w:t xml:space="preserve"> 2012, and also consulted with superannuation industry associations and individual stakeholders.  The purpose of the consultation was </w:t>
      </w:r>
      <w:r w:rsidR="00A4032D" w:rsidRPr="00FD1969">
        <w:t>to ensure</w:t>
      </w:r>
      <w:r w:rsidR="002558BF" w:rsidRPr="00FD1969">
        <w:t xml:space="preserve"> the changes were technically correct and created no unintended or undesirable consequences for the industry or members.</w:t>
      </w:r>
    </w:p>
    <w:p w14:paraId="32A69656" w14:textId="77777777" w:rsidR="00B050AC" w:rsidRPr="00FD1969" w:rsidRDefault="00B050AC" w:rsidP="00B050AC">
      <w:pPr>
        <w:tabs>
          <w:tab w:val="right" w:pos="9072"/>
        </w:tabs>
        <w:ind w:right="91"/>
      </w:pPr>
    </w:p>
    <w:p w14:paraId="3BE2413A" w14:textId="77777777" w:rsidR="00726A2A" w:rsidRPr="00FD1969" w:rsidRDefault="004D590B" w:rsidP="00726A2A">
      <w:pPr>
        <w:tabs>
          <w:tab w:val="right" w:pos="9072"/>
        </w:tabs>
        <w:ind w:right="91"/>
      </w:pPr>
      <w:r w:rsidRPr="00FD1969">
        <w:t xml:space="preserve">Details of the </w:t>
      </w:r>
      <w:r w:rsidR="0082252C" w:rsidRPr="00FD1969">
        <w:t>R</w:t>
      </w:r>
      <w:r w:rsidR="00726A2A" w:rsidRPr="00FD1969">
        <w:t xml:space="preserve">egulation are </w:t>
      </w:r>
      <w:r w:rsidR="006F349A" w:rsidRPr="00FD1969">
        <w:t xml:space="preserve">set out in </w:t>
      </w:r>
      <w:r w:rsidR="00726A2A" w:rsidRPr="00FD1969">
        <w:rPr>
          <w:u w:val="single"/>
        </w:rPr>
        <w:t>Attachment</w:t>
      </w:r>
      <w:r w:rsidR="004E390E" w:rsidRPr="00FD1969">
        <w:rPr>
          <w:u w:val="single"/>
        </w:rPr>
        <w:t> A</w:t>
      </w:r>
      <w:r w:rsidR="00726A2A" w:rsidRPr="00FD1969">
        <w:t xml:space="preserve">.  </w:t>
      </w:r>
    </w:p>
    <w:p w14:paraId="71ED1BB1" w14:textId="77777777" w:rsidR="004E390E" w:rsidRPr="00FD1969" w:rsidRDefault="004E390E" w:rsidP="00726A2A">
      <w:pPr>
        <w:tabs>
          <w:tab w:val="right" w:pos="9072"/>
        </w:tabs>
        <w:ind w:right="91"/>
      </w:pPr>
    </w:p>
    <w:p w14:paraId="304C5C66" w14:textId="77777777" w:rsidR="004E390E" w:rsidRPr="00FD1969" w:rsidRDefault="004E390E" w:rsidP="00726A2A">
      <w:pPr>
        <w:tabs>
          <w:tab w:val="right" w:pos="9072"/>
        </w:tabs>
        <w:ind w:right="91"/>
      </w:pPr>
      <w:r w:rsidRPr="00FD1969">
        <w:t xml:space="preserve">A statement of the Regulation’s compatibility with human rights is set out in </w:t>
      </w:r>
      <w:r w:rsidRPr="00FD1969">
        <w:rPr>
          <w:u w:val="single"/>
        </w:rPr>
        <w:t>Attachment B</w:t>
      </w:r>
      <w:r w:rsidRPr="00FD1969">
        <w:t>.</w:t>
      </w:r>
    </w:p>
    <w:p w14:paraId="7C817BB5" w14:textId="77777777" w:rsidR="00726A2A" w:rsidRPr="00FD1969" w:rsidRDefault="00726A2A" w:rsidP="00726A2A">
      <w:pPr>
        <w:tabs>
          <w:tab w:val="right" w:pos="9072"/>
        </w:tabs>
        <w:ind w:right="91"/>
      </w:pPr>
    </w:p>
    <w:p w14:paraId="0E73D9F9" w14:textId="77777777" w:rsidR="0032078F" w:rsidRPr="00FD1969" w:rsidRDefault="004D590B" w:rsidP="00726A2A">
      <w:pPr>
        <w:tabs>
          <w:tab w:val="right" w:pos="9072"/>
        </w:tabs>
        <w:ind w:right="91"/>
      </w:pPr>
      <w:r w:rsidRPr="00FD1969">
        <w:t xml:space="preserve">The </w:t>
      </w:r>
      <w:r w:rsidR="0032078F" w:rsidRPr="00FD1969">
        <w:t xml:space="preserve">Regulation </w:t>
      </w:r>
      <w:r w:rsidR="004E390E" w:rsidRPr="00FD1969">
        <w:t>is</w:t>
      </w:r>
      <w:r w:rsidR="0032078F" w:rsidRPr="00FD1969">
        <w:t xml:space="preserve"> a legislative instrument for the purposes of the </w:t>
      </w:r>
      <w:r w:rsidR="0032078F" w:rsidRPr="00FD1969">
        <w:rPr>
          <w:i/>
        </w:rPr>
        <w:t>Legislative Instruments Act 2003</w:t>
      </w:r>
      <w:r w:rsidR="0032078F" w:rsidRPr="00FD1969">
        <w:t>.</w:t>
      </w:r>
    </w:p>
    <w:p w14:paraId="0D7DEBAB" w14:textId="77777777" w:rsidR="0032078F" w:rsidRPr="00FD1969" w:rsidRDefault="0032078F" w:rsidP="00726A2A">
      <w:pPr>
        <w:tabs>
          <w:tab w:val="right" w:pos="9072"/>
        </w:tabs>
        <w:ind w:right="91"/>
      </w:pPr>
    </w:p>
    <w:p w14:paraId="32C6BA2A" w14:textId="77777777" w:rsidR="00726A2A" w:rsidRPr="00FD1969" w:rsidRDefault="00726A2A" w:rsidP="00726A2A">
      <w:pPr>
        <w:tabs>
          <w:tab w:val="right" w:pos="9072"/>
        </w:tabs>
        <w:ind w:right="91"/>
      </w:pPr>
      <w:r w:rsidRPr="00FD1969">
        <w:t xml:space="preserve">The </w:t>
      </w:r>
      <w:r w:rsidR="003937DD" w:rsidRPr="00FD1969">
        <w:t>R</w:t>
      </w:r>
      <w:r w:rsidR="001665EE" w:rsidRPr="00FD1969">
        <w:t xml:space="preserve">egulation </w:t>
      </w:r>
      <w:r w:rsidR="00225CA5" w:rsidRPr="00FD1969">
        <w:t>commence</w:t>
      </w:r>
      <w:r w:rsidR="001665EE" w:rsidRPr="00FD1969">
        <w:t>s</w:t>
      </w:r>
      <w:r w:rsidR="00225CA5" w:rsidRPr="00FD1969">
        <w:t xml:space="preserve"> on 1 July 2013</w:t>
      </w:r>
      <w:r w:rsidR="004D590B" w:rsidRPr="00FD1969">
        <w:t>, e</w:t>
      </w:r>
      <w:r w:rsidR="006510A4" w:rsidRPr="00FD1969">
        <w:t>xcept for Schedule 2</w:t>
      </w:r>
      <w:r w:rsidR="001665EE" w:rsidRPr="00FD1969">
        <w:t>, which</w:t>
      </w:r>
      <w:r w:rsidR="004D590B" w:rsidRPr="00FD1969">
        <w:t xml:space="preserve"> commence</w:t>
      </w:r>
      <w:r w:rsidR="001665EE" w:rsidRPr="00FD1969">
        <w:t>s</w:t>
      </w:r>
      <w:r w:rsidR="004D590B" w:rsidRPr="00FD1969">
        <w:t xml:space="preserve"> on 1 January 2014</w:t>
      </w:r>
      <w:r w:rsidR="00297FDF" w:rsidRPr="00FD1969">
        <w:t>.  R</w:t>
      </w:r>
      <w:r w:rsidR="00225CA5" w:rsidRPr="00FD1969">
        <w:t>egulation</w:t>
      </w:r>
      <w:r w:rsidR="003937DD" w:rsidRPr="00FD1969">
        <w:t> </w:t>
      </w:r>
      <w:r w:rsidR="006510A4" w:rsidRPr="00FD1969">
        <w:t>4.07D under item 2 of Schedule 3</w:t>
      </w:r>
      <w:r w:rsidR="003937DD" w:rsidRPr="00FD1969">
        <w:t>, which</w:t>
      </w:r>
      <w:r w:rsidR="00225CA5" w:rsidRPr="00FD1969">
        <w:t xml:space="preserve"> prohibits trustees from providing insured benefits other than those that are consistent with certain conditions of release</w:t>
      </w:r>
      <w:r w:rsidR="001665EE" w:rsidRPr="00FD1969">
        <w:t xml:space="preserve">, </w:t>
      </w:r>
      <w:r w:rsidR="004D590B" w:rsidRPr="00FD1969">
        <w:t>take</w:t>
      </w:r>
      <w:r w:rsidR="001665EE" w:rsidRPr="00FD1969">
        <w:t>s</w:t>
      </w:r>
      <w:r w:rsidR="004D590B" w:rsidRPr="00FD1969">
        <w:t xml:space="preserve"> effect</w:t>
      </w:r>
      <w:r w:rsidR="00225CA5" w:rsidRPr="00FD1969">
        <w:t xml:space="preserve"> on 1 July 2014.</w:t>
      </w:r>
    </w:p>
    <w:p w14:paraId="0CE0BC32" w14:textId="77777777" w:rsidR="00E76BAE" w:rsidRPr="00FD1969" w:rsidRDefault="00E76BAE" w:rsidP="00726A2A">
      <w:pPr>
        <w:tabs>
          <w:tab w:val="right" w:pos="9072"/>
        </w:tabs>
        <w:ind w:right="91"/>
      </w:pPr>
    </w:p>
    <w:p w14:paraId="24A082F6" w14:textId="77777777" w:rsidR="00726A2A" w:rsidRPr="00FD1969" w:rsidRDefault="00726A2A" w:rsidP="00726A2A">
      <w:pPr>
        <w:tabs>
          <w:tab w:val="right" w:pos="9072"/>
        </w:tabs>
        <w:ind w:right="91"/>
      </w:pPr>
    </w:p>
    <w:p w14:paraId="3CCCE511" w14:textId="77777777" w:rsidR="00277FCC" w:rsidRPr="00FD1969" w:rsidRDefault="00726A2A" w:rsidP="00726A2A">
      <w:pPr>
        <w:tabs>
          <w:tab w:val="left" w:pos="2835"/>
        </w:tabs>
        <w:ind w:right="91"/>
        <w:jc w:val="right"/>
      </w:pPr>
      <w:r w:rsidRPr="00FD1969">
        <w:t>Authority:  S</w:t>
      </w:r>
      <w:r w:rsidR="0082252C" w:rsidRPr="00FD1969">
        <w:t>ubs</w:t>
      </w:r>
      <w:r w:rsidRPr="00FD1969">
        <w:t>ection</w:t>
      </w:r>
      <w:r w:rsidR="0082252C" w:rsidRPr="00FD1969">
        <w:t> 1364(1)</w:t>
      </w:r>
      <w:r w:rsidRPr="00FD1969">
        <w:t xml:space="preserve"> of </w:t>
      </w:r>
      <w:r w:rsidR="0082252C" w:rsidRPr="00FD1969">
        <w:t>the</w:t>
      </w:r>
    </w:p>
    <w:p w14:paraId="1B7CA4E1" w14:textId="77777777" w:rsidR="009F037E" w:rsidRPr="00FD1969" w:rsidRDefault="0082252C" w:rsidP="00277FCC">
      <w:pPr>
        <w:tabs>
          <w:tab w:val="left" w:pos="2835"/>
        </w:tabs>
        <w:ind w:left="5727" w:right="91"/>
        <w:rPr>
          <w:i/>
        </w:rPr>
      </w:pPr>
      <w:r w:rsidRPr="00FD1969">
        <w:rPr>
          <w:i/>
        </w:rPr>
        <w:t xml:space="preserve">Corporations </w:t>
      </w:r>
      <w:r w:rsidR="00726A2A" w:rsidRPr="00FD1969">
        <w:rPr>
          <w:i/>
        </w:rPr>
        <w:t>Act</w:t>
      </w:r>
      <w:r w:rsidRPr="00FD1969">
        <w:rPr>
          <w:i/>
        </w:rPr>
        <w:t xml:space="preserve"> 2001</w:t>
      </w:r>
    </w:p>
    <w:p w14:paraId="17CE0E34" w14:textId="77777777" w:rsidR="009F037E" w:rsidRPr="00FD1969" w:rsidRDefault="009F037E" w:rsidP="00726A2A">
      <w:pPr>
        <w:tabs>
          <w:tab w:val="left" w:pos="2835"/>
        </w:tabs>
        <w:ind w:right="91"/>
        <w:jc w:val="right"/>
        <w:rPr>
          <w:i/>
        </w:rPr>
      </w:pPr>
    </w:p>
    <w:p w14:paraId="570398C9" w14:textId="77777777" w:rsidR="009F037E" w:rsidRPr="00FD1969" w:rsidRDefault="0082252C" w:rsidP="00277FCC">
      <w:pPr>
        <w:tabs>
          <w:tab w:val="left" w:pos="2835"/>
        </w:tabs>
        <w:ind w:left="5727" w:right="91"/>
        <w:rPr>
          <w:i/>
        </w:rPr>
      </w:pPr>
      <w:r w:rsidRPr="00FD1969">
        <w:lastRenderedPageBreak/>
        <w:t xml:space="preserve">Section 80 of the </w:t>
      </w:r>
      <w:r w:rsidRPr="00FD1969">
        <w:rPr>
          <w:i/>
        </w:rPr>
        <w:t>Superannuation Guarantee (Administration) Act 1992</w:t>
      </w:r>
    </w:p>
    <w:p w14:paraId="40094431" w14:textId="77777777" w:rsidR="009F037E" w:rsidRPr="00FD1969" w:rsidRDefault="009F037E" w:rsidP="00726A2A">
      <w:pPr>
        <w:tabs>
          <w:tab w:val="left" w:pos="2835"/>
        </w:tabs>
        <w:ind w:right="91"/>
        <w:jc w:val="right"/>
        <w:rPr>
          <w:i/>
        </w:rPr>
      </w:pPr>
    </w:p>
    <w:p w14:paraId="49390D66" w14:textId="2CDB01A2" w:rsidR="002B37CB" w:rsidRPr="00FD1969" w:rsidRDefault="0082252C" w:rsidP="00D513B5">
      <w:pPr>
        <w:tabs>
          <w:tab w:val="left" w:pos="2835"/>
        </w:tabs>
        <w:ind w:left="5727" w:right="91"/>
        <w:sectPr w:rsidR="002B37CB" w:rsidRPr="00FD1969">
          <w:headerReference w:type="default" r:id="rId12"/>
          <w:pgSz w:w="11906" w:h="16838" w:code="9"/>
          <w:pgMar w:top="1134" w:right="1797" w:bottom="1134" w:left="1797" w:header="720" w:footer="720" w:gutter="0"/>
          <w:cols w:space="708"/>
          <w:titlePg/>
          <w:docGrid w:linePitch="360"/>
        </w:sectPr>
      </w:pPr>
      <w:r w:rsidRPr="00FD1969">
        <w:t xml:space="preserve">Subsection 353(1) of the </w:t>
      </w:r>
      <w:r w:rsidRPr="00FD1969">
        <w:rPr>
          <w:i/>
        </w:rPr>
        <w:t>Superannuation Industry (Supervision) Act 1993</w:t>
      </w:r>
    </w:p>
    <w:p w14:paraId="7216C381" w14:textId="77777777" w:rsidR="00726A2A" w:rsidRPr="00FD1969" w:rsidRDefault="00726A2A" w:rsidP="00726A2A">
      <w:pPr>
        <w:pStyle w:val="Default"/>
        <w:jc w:val="right"/>
        <w:rPr>
          <w:sz w:val="23"/>
          <w:szCs w:val="23"/>
          <w:u w:val="single"/>
        </w:rPr>
      </w:pPr>
      <w:r w:rsidRPr="00FD1969">
        <w:rPr>
          <w:b/>
          <w:bCs/>
          <w:sz w:val="23"/>
          <w:szCs w:val="23"/>
          <w:u w:val="single"/>
        </w:rPr>
        <w:lastRenderedPageBreak/>
        <w:t>ATTACHMENT</w:t>
      </w:r>
      <w:r w:rsidR="00B47EEC" w:rsidRPr="00FD1969">
        <w:rPr>
          <w:b/>
          <w:bCs/>
          <w:sz w:val="23"/>
          <w:szCs w:val="23"/>
          <w:u w:val="single"/>
        </w:rPr>
        <w:t xml:space="preserve"> A</w:t>
      </w:r>
      <w:r w:rsidRPr="00FD1969">
        <w:rPr>
          <w:b/>
          <w:bCs/>
          <w:sz w:val="23"/>
          <w:szCs w:val="23"/>
          <w:u w:val="single"/>
        </w:rPr>
        <w:t xml:space="preserve"> </w:t>
      </w:r>
    </w:p>
    <w:p w14:paraId="6E572E89" w14:textId="77777777" w:rsidR="00726A2A" w:rsidRPr="00FD1969" w:rsidRDefault="00726A2A" w:rsidP="00726A2A">
      <w:pPr>
        <w:rPr>
          <w:b/>
          <w:bCs/>
          <w:szCs w:val="24"/>
        </w:rPr>
      </w:pPr>
    </w:p>
    <w:p w14:paraId="21A13595" w14:textId="11989525" w:rsidR="00726A2A" w:rsidRPr="00FD1969" w:rsidRDefault="00297FDF" w:rsidP="00D26E2C">
      <w:pPr>
        <w:spacing w:after="200" w:line="276" w:lineRule="auto"/>
        <w:rPr>
          <w:b/>
          <w:bCs/>
          <w:i/>
          <w:iCs/>
          <w:szCs w:val="24"/>
          <w:u w:val="single"/>
        </w:rPr>
      </w:pPr>
      <w:r w:rsidRPr="00FD1969">
        <w:rPr>
          <w:b/>
          <w:bCs/>
          <w:szCs w:val="24"/>
          <w:u w:val="single"/>
        </w:rPr>
        <w:t>Details of the</w:t>
      </w:r>
      <w:r w:rsidR="00726A2A" w:rsidRPr="00FD1969">
        <w:rPr>
          <w:b/>
          <w:bCs/>
          <w:szCs w:val="24"/>
          <w:u w:val="single"/>
        </w:rPr>
        <w:t xml:space="preserve"> </w:t>
      </w:r>
      <w:r w:rsidR="00726A2A" w:rsidRPr="00FD1969">
        <w:rPr>
          <w:b/>
          <w:bCs/>
          <w:i/>
          <w:iCs/>
          <w:szCs w:val="24"/>
          <w:u w:val="single"/>
        </w:rPr>
        <w:t>Superannuation Legislation Amendment Regulation 201</w:t>
      </w:r>
      <w:r w:rsidR="0007654D" w:rsidRPr="00FD1969">
        <w:rPr>
          <w:b/>
          <w:bCs/>
          <w:i/>
          <w:iCs/>
          <w:szCs w:val="24"/>
          <w:u w:val="single"/>
        </w:rPr>
        <w:t>3</w:t>
      </w:r>
      <w:r w:rsidR="00FD1969" w:rsidRPr="00FD1969">
        <w:rPr>
          <w:b/>
          <w:bCs/>
          <w:i/>
          <w:iCs/>
          <w:szCs w:val="24"/>
          <w:u w:val="single"/>
        </w:rPr>
        <w:t xml:space="preserve"> (No. 1</w:t>
      </w:r>
      <w:r w:rsidR="00726A2A" w:rsidRPr="00FD1969">
        <w:rPr>
          <w:b/>
          <w:bCs/>
          <w:i/>
          <w:iCs/>
          <w:szCs w:val="24"/>
          <w:u w:val="single"/>
        </w:rPr>
        <w:t>)</w:t>
      </w:r>
    </w:p>
    <w:p w14:paraId="409159B0" w14:textId="77777777" w:rsidR="00D26E2C" w:rsidRPr="00FD1969" w:rsidRDefault="00F57DDA" w:rsidP="00F60A72">
      <w:pPr>
        <w:keepNext/>
        <w:spacing w:after="240"/>
        <w:outlineLvl w:val="1"/>
        <w:rPr>
          <w:szCs w:val="24"/>
          <w:u w:val="single"/>
        </w:rPr>
      </w:pPr>
      <w:r w:rsidRPr="00FD1969">
        <w:rPr>
          <w:szCs w:val="24"/>
          <w:u w:val="single"/>
        </w:rPr>
        <w:t>Section</w:t>
      </w:r>
      <w:r w:rsidR="00D26E2C" w:rsidRPr="00FD1969">
        <w:rPr>
          <w:szCs w:val="24"/>
          <w:u w:val="single"/>
        </w:rPr>
        <w:t xml:space="preserve"> 1 – Name of </w:t>
      </w:r>
      <w:r w:rsidR="00A0771D" w:rsidRPr="00FD1969">
        <w:rPr>
          <w:szCs w:val="24"/>
          <w:u w:val="single"/>
        </w:rPr>
        <w:t>R</w:t>
      </w:r>
      <w:r w:rsidR="00D26E2C" w:rsidRPr="00FD1969">
        <w:rPr>
          <w:szCs w:val="24"/>
          <w:u w:val="single"/>
        </w:rPr>
        <w:t>egulation</w:t>
      </w:r>
    </w:p>
    <w:p w14:paraId="232A967F" w14:textId="3FB025CD" w:rsidR="00D26E2C" w:rsidRPr="00FD1969" w:rsidRDefault="001665EE" w:rsidP="00F60A72">
      <w:pPr>
        <w:keepNext/>
        <w:spacing w:after="240"/>
        <w:outlineLvl w:val="1"/>
        <w:rPr>
          <w:szCs w:val="24"/>
        </w:rPr>
      </w:pPr>
      <w:r w:rsidRPr="00FD1969">
        <w:rPr>
          <w:szCs w:val="24"/>
        </w:rPr>
        <w:t xml:space="preserve">This section </w:t>
      </w:r>
      <w:r w:rsidR="003937DD" w:rsidRPr="00FD1969">
        <w:rPr>
          <w:szCs w:val="24"/>
        </w:rPr>
        <w:t>provide</w:t>
      </w:r>
      <w:r w:rsidRPr="00FD1969">
        <w:rPr>
          <w:szCs w:val="24"/>
        </w:rPr>
        <w:t>s</w:t>
      </w:r>
      <w:r w:rsidR="003937DD" w:rsidRPr="00FD1969">
        <w:rPr>
          <w:szCs w:val="24"/>
        </w:rPr>
        <w:t xml:space="preserve"> that the title of the Regulation is the </w:t>
      </w:r>
      <w:r w:rsidR="003937DD" w:rsidRPr="00FD1969">
        <w:rPr>
          <w:i/>
          <w:szCs w:val="24"/>
        </w:rPr>
        <w:t xml:space="preserve">Superannuation Legislation </w:t>
      </w:r>
      <w:r w:rsidR="00FD1969" w:rsidRPr="00FD1969">
        <w:rPr>
          <w:i/>
          <w:szCs w:val="24"/>
        </w:rPr>
        <w:t>Amendment Regulation 2013 (No. 1</w:t>
      </w:r>
      <w:r w:rsidR="003937DD" w:rsidRPr="00FD1969">
        <w:rPr>
          <w:i/>
          <w:szCs w:val="24"/>
        </w:rPr>
        <w:t>)</w:t>
      </w:r>
      <w:r w:rsidR="003937DD" w:rsidRPr="00FD1969">
        <w:rPr>
          <w:szCs w:val="24"/>
        </w:rPr>
        <w:t>.</w:t>
      </w:r>
    </w:p>
    <w:p w14:paraId="33DC4CA5" w14:textId="77777777" w:rsidR="00D26E2C" w:rsidRPr="00FD1969" w:rsidRDefault="00F57DDA" w:rsidP="00F60A72">
      <w:pPr>
        <w:keepNext/>
        <w:spacing w:after="240"/>
        <w:outlineLvl w:val="1"/>
        <w:rPr>
          <w:szCs w:val="24"/>
          <w:u w:val="single"/>
        </w:rPr>
      </w:pPr>
      <w:r w:rsidRPr="00FD1969">
        <w:rPr>
          <w:szCs w:val="24"/>
          <w:u w:val="single"/>
        </w:rPr>
        <w:t>Section</w:t>
      </w:r>
      <w:r w:rsidR="00D26E2C" w:rsidRPr="00FD1969">
        <w:rPr>
          <w:szCs w:val="24"/>
          <w:u w:val="single"/>
        </w:rPr>
        <w:t> 2 – Commencement</w:t>
      </w:r>
    </w:p>
    <w:p w14:paraId="25752CDC" w14:textId="77777777" w:rsidR="00D26E2C" w:rsidRPr="00FD1969" w:rsidRDefault="001665EE" w:rsidP="00F60A72">
      <w:pPr>
        <w:keepNext/>
        <w:spacing w:after="240"/>
        <w:outlineLvl w:val="1"/>
        <w:rPr>
          <w:szCs w:val="24"/>
        </w:rPr>
      </w:pPr>
      <w:r w:rsidRPr="00FD1969">
        <w:rPr>
          <w:szCs w:val="24"/>
        </w:rPr>
        <w:t xml:space="preserve">This section </w:t>
      </w:r>
      <w:r w:rsidR="003937DD" w:rsidRPr="00FD1969">
        <w:rPr>
          <w:szCs w:val="24"/>
        </w:rPr>
        <w:t>provide</w:t>
      </w:r>
      <w:r w:rsidRPr="00FD1969">
        <w:rPr>
          <w:szCs w:val="24"/>
        </w:rPr>
        <w:t>s</w:t>
      </w:r>
      <w:r w:rsidR="003937DD" w:rsidRPr="00FD1969">
        <w:rPr>
          <w:szCs w:val="24"/>
        </w:rPr>
        <w:t xml:space="preserve"> for </w:t>
      </w:r>
      <w:r w:rsidR="00E34517" w:rsidRPr="00FD1969">
        <w:rPr>
          <w:szCs w:val="24"/>
        </w:rPr>
        <w:t>Schedules 1 and 3</w:t>
      </w:r>
      <w:r w:rsidR="00F315DF" w:rsidRPr="00FD1969">
        <w:rPr>
          <w:szCs w:val="24"/>
        </w:rPr>
        <w:t xml:space="preserve"> of </w:t>
      </w:r>
      <w:r w:rsidR="003937DD" w:rsidRPr="00FD1969">
        <w:rPr>
          <w:szCs w:val="24"/>
        </w:rPr>
        <w:t>the Regulation to commence on 1 July 2013</w:t>
      </w:r>
      <w:r w:rsidR="00E34517" w:rsidRPr="00FD1969">
        <w:rPr>
          <w:szCs w:val="24"/>
        </w:rPr>
        <w:t>, and for Schedule 2</w:t>
      </w:r>
      <w:r w:rsidR="00F315DF" w:rsidRPr="00FD1969">
        <w:rPr>
          <w:szCs w:val="24"/>
        </w:rPr>
        <w:t xml:space="preserve"> of the Regulation to commence on 1 January 2014</w:t>
      </w:r>
      <w:r w:rsidR="003937DD" w:rsidRPr="00FD1969">
        <w:rPr>
          <w:szCs w:val="24"/>
        </w:rPr>
        <w:t>.</w:t>
      </w:r>
    </w:p>
    <w:p w14:paraId="1B46C260" w14:textId="77777777" w:rsidR="00346ED5" w:rsidRPr="00FD1969" w:rsidRDefault="00346ED5" w:rsidP="00346ED5">
      <w:pPr>
        <w:keepNext/>
        <w:spacing w:after="240"/>
        <w:outlineLvl w:val="1"/>
        <w:rPr>
          <w:i/>
          <w:szCs w:val="24"/>
          <w:u w:val="single"/>
        </w:rPr>
      </w:pPr>
      <w:r w:rsidRPr="00FD1969">
        <w:rPr>
          <w:szCs w:val="24"/>
          <w:u w:val="single"/>
        </w:rPr>
        <w:t>Section 3 – Authority</w:t>
      </w:r>
    </w:p>
    <w:p w14:paraId="049B972C" w14:textId="77777777" w:rsidR="00346ED5" w:rsidRPr="00FD1969" w:rsidRDefault="00346ED5" w:rsidP="00346ED5">
      <w:pPr>
        <w:keepNext/>
        <w:spacing w:after="240"/>
        <w:outlineLvl w:val="1"/>
        <w:rPr>
          <w:szCs w:val="24"/>
        </w:rPr>
      </w:pPr>
      <w:r w:rsidRPr="00FD1969">
        <w:rPr>
          <w:szCs w:val="24"/>
        </w:rPr>
        <w:t xml:space="preserve">This section provides that the Regulation is made under the </w:t>
      </w:r>
      <w:r w:rsidRPr="00FD1969">
        <w:rPr>
          <w:i/>
          <w:szCs w:val="24"/>
        </w:rPr>
        <w:t>Corporations Act 2001</w:t>
      </w:r>
      <w:r w:rsidRPr="00FD1969">
        <w:rPr>
          <w:szCs w:val="24"/>
        </w:rPr>
        <w:t xml:space="preserve"> (the Corporations Act), the </w:t>
      </w:r>
      <w:r w:rsidRPr="00FD1969">
        <w:rPr>
          <w:i/>
          <w:szCs w:val="24"/>
        </w:rPr>
        <w:t>Superannuation Guarantee (Administration) Act 1992</w:t>
      </w:r>
      <w:r w:rsidRPr="00FD1969">
        <w:rPr>
          <w:szCs w:val="24"/>
        </w:rPr>
        <w:t xml:space="preserve"> (the </w:t>
      </w:r>
      <w:proofErr w:type="spellStart"/>
      <w:r w:rsidRPr="00FD1969">
        <w:rPr>
          <w:szCs w:val="24"/>
        </w:rPr>
        <w:t>SGA</w:t>
      </w:r>
      <w:proofErr w:type="spellEnd"/>
      <w:r w:rsidRPr="00FD1969">
        <w:rPr>
          <w:szCs w:val="24"/>
        </w:rPr>
        <w:t xml:space="preserve"> Act) and the </w:t>
      </w:r>
      <w:r w:rsidRPr="00FD1969">
        <w:rPr>
          <w:i/>
          <w:szCs w:val="24"/>
        </w:rPr>
        <w:t>Superannuation Industry (Supervision) Act 1993</w:t>
      </w:r>
      <w:r w:rsidRPr="00FD1969">
        <w:rPr>
          <w:szCs w:val="24"/>
        </w:rPr>
        <w:t xml:space="preserve"> (the SIS Act).</w:t>
      </w:r>
    </w:p>
    <w:p w14:paraId="60033299" w14:textId="77777777" w:rsidR="00240D96" w:rsidRPr="00FD1969" w:rsidRDefault="00240D96" w:rsidP="00240D96">
      <w:pPr>
        <w:keepNext/>
        <w:spacing w:after="240"/>
        <w:outlineLvl w:val="1"/>
        <w:rPr>
          <w:i/>
          <w:szCs w:val="24"/>
          <w:u w:val="single"/>
        </w:rPr>
      </w:pPr>
      <w:r w:rsidRPr="00FD1969">
        <w:rPr>
          <w:szCs w:val="24"/>
          <w:u w:val="single"/>
        </w:rPr>
        <w:t>Section 4 – Schedule(s)</w:t>
      </w:r>
    </w:p>
    <w:p w14:paraId="75B8F996" w14:textId="77777777" w:rsidR="00240D96" w:rsidRPr="00FD1969" w:rsidRDefault="00240D96" w:rsidP="00240D96">
      <w:pPr>
        <w:keepNext/>
        <w:spacing w:after="240"/>
        <w:outlineLvl w:val="1"/>
        <w:rPr>
          <w:szCs w:val="24"/>
        </w:rPr>
      </w:pPr>
      <w:r w:rsidRPr="00FD1969">
        <w:rPr>
          <w:szCs w:val="24"/>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544BDFCF" w14:textId="77777777" w:rsidR="00726A2A" w:rsidRPr="00FD1969" w:rsidRDefault="00726A2A" w:rsidP="00F60A72">
      <w:pPr>
        <w:keepNext/>
        <w:spacing w:before="120" w:after="240"/>
        <w:outlineLvl w:val="1"/>
        <w:rPr>
          <w:b/>
          <w:szCs w:val="24"/>
        </w:rPr>
      </w:pPr>
      <w:r w:rsidRPr="00FD1969">
        <w:rPr>
          <w:b/>
          <w:szCs w:val="24"/>
        </w:rPr>
        <w:t xml:space="preserve">Schedule 1, item </w:t>
      </w:r>
      <w:r w:rsidR="00524F3D" w:rsidRPr="00FD1969">
        <w:rPr>
          <w:b/>
          <w:szCs w:val="24"/>
        </w:rPr>
        <w:t>2</w:t>
      </w:r>
      <w:r w:rsidR="00F57DDA" w:rsidRPr="00FD1969">
        <w:rPr>
          <w:b/>
          <w:szCs w:val="24"/>
        </w:rPr>
        <w:br/>
      </w:r>
      <w:r w:rsidRPr="00FD1969">
        <w:rPr>
          <w:b/>
          <w:szCs w:val="24"/>
        </w:rPr>
        <w:t xml:space="preserve">Significant event notice – where replacement of </w:t>
      </w:r>
      <w:proofErr w:type="spellStart"/>
      <w:r w:rsidRPr="00FD1969">
        <w:rPr>
          <w:b/>
          <w:szCs w:val="24"/>
        </w:rPr>
        <w:t>MySuper</w:t>
      </w:r>
      <w:proofErr w:type="spellEnd"/>
      <w:r w:rsidRPr="00FD1969">
        <w:rPr>
          <w:b/>
          <w:szCs w:val="24"/>
        </w:rPr>
        <w:t xml:space="preserve"> is recommended by the trustee</w:t>
      </w:r>
      <w:r w:rsidR="00891B41" w:rsidRPr="00FD1969">
        <w:rPr>
          <w:b/>
          <w:szCs w:val="24"/>
        </w:rPr>
        <w:t xml:space="preserve"> or an associate of the trustee</w:t>
      </w:r>
    </w:p>
    <w:p w14:paraId="7DD5ECD3" w14:textId="77777777" w:rsidR="00726A2A" w:rsidRPr="00FD1969" w:rsidRDefault="00522D68" w:rsidP="00F60A72">
      <w:pPr>
        <w:spacing w:after="240"/>
        <w:rPr>
          <w:szCs w:val="24"/>
        </w:rPr>
      </w:pPr>
      <w:r w:rsidRPr="00FD1969">
        <w:rPr>
          <w:szCs w:val="24"/>
        </w:rPr>
        <w:t xml:space="preserve">The </w:t>
      </w:r>
      <w:r w:rsidR="00A0771D" w:rsidRPr="00FD1969">
        <w:rPr>
          <w:szCs w:val="24"/>
        </w:rPr>
        <w:t>R</w:t>
      </w:r>
      <w:r w:rsidR="00726A2A" w:rsidRPr="00FD1969">
        <w:rPr>
          <w:szCs w:val="24"/>
        </w:rPr>
        <w:t>egulation prescribe</w:t>
      </w:r>
      <w:r w:rsidR="001665EE" w:rsidRPr="00FD1969">
        <w:rPr>
          <w:szCs w:val="24"/>
        </w:rPr>
        <w:t>s</w:t>
      </w:r>
      <w:r w:rsidR="00726A2A" w:rsidRPr="00FD1969">
        <w:rPr>
          <w:szCs w:val="24"/>
        </w:rPr>
        <w:t xml:space="preserve"> that where a member of a </w:t>
      </w:r>
      <w:proofErr w:type="spellStart"/>
      <w:r w:rsidR="00726A2A" w:rsidRPr="00FD1969">
        <w:rPr>
          <w:szCs w:val="24"/>
        </w:rPr>
        <w:t>MySuper</w:t>
      </w:r>
      <w:proofErr w:type="spellEnd"/>
      <w:r w:rsidR="00726A2A" w:rsidRPr="00FD1969">
        <w:rPr>
          <w:szCs w:val="24"/>
        </w:rPr>
        <w:t xml:space="preserve"> product </w:t>
      </w:r>
      <w:r w:rsidR="00B93F2D" w:rsidRPr="00FD1969">
        <w:rPr>
          <w:szCs w:val="24"/>
        </w:rPr>
        <w:t>has</w:t>
      </w:r>
      <w:r w:rsidR="00726A2A" w:rsidRPr="00FD1969">
        <w:rPr>
          <w:szCs w:val="24"/>
        </w:rPr>
        <w:t xml:space="preserve"> their </w:t>
      </w:r>
      <w:r w:rsidR="00B649D5" w:rsidRPr="00FD1969">
        <w:rPr>
          <w:szCs w:val="24"/>
        </w:rPr>
        <w:t xml:space="preserve">balance </w:t>
      </w:r>
      <w:r w:rsidR="00726A2A" w:rsidRPr="00FD1969">
        <w:rPr>
          <w:szCs w:val="24"/>
        </w:rPr>
        <w:t xml:space="preserve">in the </w:t>
      </w:r>
      <w:proofErr w:type="spellStart"/>
      <w:r w:rsidR="00726A2A" w:rsidRPr="00FD1969">
        <w:rPr>
          <w:szCs w:val="24"/>
        </w:rPr>
        <w:t>MySuper</w:t>
      </w:r>
      <w:proofErr w:type="spellEnd"/>
      <w:r w:rsidR="00726A2A" w:rsidRPr="00FD1969">
        <w:rPr>
          <w:szCs w:val="24"/>
        </w:rPr>
        <w:t xml:space="preserve"> product </w:t>
      </w:r>
      <w:r w:rsidR="00B93F2D" w:rsidRPr="00FD1969">
        <w:rPr>
          <w:szCs w:val="24"/>
        </w:rPr>
        <w:t xml:space="preserve">moved </w:t>
      </w:r>
      <w:r w:rsidR="00726A2A" w:rsidRPr="00FD1969">
        <w:rPr>
          <w:szCs w:val="24"/>
        </w:rPr>
        <w:t xml:space="preserve">to any other product, </w:t>
      </w:r>
      <w:r w:rsidR="00B649D5" w:rsidRPr="00FD1969">
        <w:rPr>
          <w:szCs w:val="24"/>
        </w:rPr>
        <w:t>including to</w:t>
      </w:r>
      <w:r w:rsidR="00726A2A" w:rsidRPr="00FD1969">
        <w:rPr>
          <w:szCs w:val="24"/>
        </w:rPr>
        <w:t xml:space="preserve"> another </w:t>
      </w:r>
      <w:proofErr w:type="spellStart"/>
      <w:r w:rsidR="00726A2A" w:rsidRPr="00FD1969">
        <w:rPr>
          <w:szCs w:val="24"/>
        </w:rPr>
        <w:t>MySuper</w:t>
      </w:r>
      <w:proofErr w:type="spellEnd"/>
      <w:r w:rsidR="00726A2A" w:rsidRPr="00FD1969">
        <w:rPr>
          <w:szCs w:val="24"/>
        </w:rPr>
        <w:t xml:space="preserve"> product,</w:t>
      </w:r>
      <w:r w:rsidR="00B649D5" w:rsidRPr="00FD1969">
        <w:rPr>
          <w:szCs w:val="24"/>
        </w:rPr>
        <w:t xml:space="preserve"> upon the recommendation of a trustee,</w:t>
      </w:r>
      <w:r w:rsidR="00726A2A" w:rsidRPr="00FD1969">
        <w:rPr>
          <w:szCs w:val="24"/>
        </w:rPr>
        <w:t xml:space="preserve"> the trustee</w:t>
      </w:r>
      <w:r w:rsidR="00291774" w:rsidRPr="00FD1969">
        <w:rPr>
          <w:szCs w:val="24"/>
        </w:rPr>
        <w:t xml:space="preserve"> </w:t>
      </w:r>
      <w:r w:rsidR="00726A2A" w:rsidRPr="00FD1969">
        <w:rPr>
          <w:szCs w:val="24"/>
        </w:rPr>
        <w:t xml:space="preserve">must provide a significant event notice to that member.  The significant event notice must specify the </w:t>
      </w:r>
      <w:r w:rsidR="00B649D5" w:rsidRPr="00FD1969">
        <w:rPr>
          <w:szCs w:val="24"/>
        </w:rPr>
        <w:t>consequences to the member</w:t>
      </w:r>
      <w:r w:rsidR="00726A2A" w:rsidRPr="00FD1969">
        <w:rPr>
          <w:szCs w:val="24"/>
        </w:rPr>
        <w:t xml:space="preserve"> that </w:t>
      </w:r>
      <w:r w:rsidR="00B649D5" w:rsidRPr="00FD1969">
        <w:rPr>
          <w:szCs w:val="24"/>
        </w:rPr>
        <w:t xml:space="preserve">might </w:t>
      </w:r>
      <w:r w:rsidR="00726A2A" w:rsidRPr="00FD1969">
        <w:rPr>
          <w:szCs w:val="24"/>
        </w:rPr>
        <w:t xml:space="preserve">result from </w:t>
      </w:r>
      <w:r w:rsidR="00B649D5" w:rsidRPr="00FD1969">
        <w:rPr>
          <w:szCs w:val="24"/>
        </w:rPr>
        <w:t xml:space="preserve">moving </w:t>
      </w:r>
      <w:r w:rsidR="00726A2A" w:rsidRPr="00FD1969">
        <w:rPr>
          <w:szCs w:val="24"/>
        </w:rPr>
        <w:t>to another product regardless of whether the information was contained in the product disclosure statement (</w:t>
      </w:r>
      <w:proofErr w:type="spellStart"/>
      <w:r w:rsidR="00726A2A" w:rsidRPr="00FD1969">
        <w:rPr>
          <w:szCs w:val="24"/>
        </w:rPr>
        <w:t>PDS</w:t>
      </w:r>
      <w:proofErr w:type="spellEnd"/>
      <w:r w:rsidR="00726A2A" w:rsidRPr="00FD1969">
        <w:rPr>
          <w:szCs w:val="24"/>
        </w:rPr>
        <w:t xml:space="preserve">). </w:t>
      </w:r>
    </w:p>
    <w:p w14:paraId="12EB58AF" w14:textId="77777777" w:rsidR="00726A2A" w:rsidRPr="00FD1969" w:rsidRDefault="00726A2A" w:rsidP="00F60A72">
      <w:pPr>
        <w:spacing w:after="240"/>
        <w:rPr>
          <w:szCs w:val="24"/>
        </w:rPr>
      </w:pPr>
      <w:r w:rsidRPr="00FD1969">
        <w:rPr>
          <w:szCs w:val="24"/>
        </w:rPr>
        <w:t xml:space="preserve">Section 1017B of the Corporations Act provides that a notice must be given 30 days prior to a </w:t>
      </w:r>
      <w:r w:rsidR="00B649D5" w:rsidRPr="00FD1969">
        <w:rPr>
          <w:szCs w:val="24"/>
        </w:rPr>
        <w:t xml:space="preserve">potential increase </w:t>
      </w:r>
      <w:r w:rsidRPr="00FD1969">
        <w:rPr>
          <w:szCs w:val="24"/>
        </w:rPr>
        <w:t xml:space="preserve">in fees or charges.  This is consistent with requirement in the </w:t>
      </w:r>
      <w:r w:rsidRPr="00FD1969">
        <w:rPr>
          <w:i/>
          <w:szCs w:val="24"/>
        </w:rPr>
        <w:t>Superannuation Legislation Amendment (</w:t>
      </w:r>
      <w:proofErr w:type="spellStart"/>
      <w:r w:rsidRPr="00FD1969">
        <w:rPr>
          <w:i/>
          <w:szCs w:val="24"/>
        </w:rPr>
        <w:t>MySuper</w:t>
      </w:r>
      <w:proofErr w:type="spellEnd"/>
      <w:r w:rsidRPr="00FD1969">
        <w:rPr>
          <w:i/>
          <w:szCs w:val="24"/>
        </w:rPr>
        <w:t xml:space="preserve"> Core Provisions) </w:t>
      </w:r>
      <w:r w:rsidR="0004436F" w:rsidRPr="00FD1969">
        <w:rPr>
          <w:i/>
          <w:szCs w:val="24"/>
        </w:rPr>
        <w:t>Act</w:t>
      </w:r>
      <w:r w:rsidRPr="00FD1969">
        <w:rPr>
          <w:i/>
          <w:szCs w:val="24"/>
        </w:rPr>
        <w:t xml:space="preserve"> 201</w:t>
      </w:r>
      <w:r w:rsidR="00172665" w:rsidRPr="00FD1969">
        <w:rPr>
          <w:i/>
          <w:szCs w:val="24"/>
        </w:rPr>
        <w:t>2</w:t>
      </w:r>
      <w:r w:rsidRPr="00FD1969">
        <w:rPr>
          <w:szCs w:val="24"/>
        </w:rPr>
        <w:t xml:space="preserve"> which requires consent in writing to a transfer from a </w:t>
      </w:r>
      <w:proofErr w:type="spellStart"/>
      <w:r w:rsidRPr="00FD1969">
        <w:rPr>
          <w:szCs w:val="24"/>
        </w:rPr>
        <w:t>MySuper</w:t>
      </w:r>
      <w:proofErr w:type="spellEnd"/>
      <w:r w:rsidRPr="00FD1969">
        <w:rPr>
          <w:szCs w:val="24"/>
        </w:rPr>
        <w:t xml:space="preserve"> product no more than 30</w:t>
      </w:r>
      <w:r w:rsidR="00D30CA7" w:rsidRPr="00FD1969">
        <w:rPr>
          <w:szCs w:val="24"/>
        </w:rPr>
        <w:t> </w:t>
      </w:r>
      <w:r w:rsidRPr="00FD1969">
        <w:rPr>
          <w:szCs w:val="24"/>
        </w:rPr>
        <w:t xml:space="preserve">days before a </w:t>
      </w:r>
      <w:r w:rsidR="00B649D5" w:rsidRPr="00FD1969">
        <w:rPr>
          <w:szCs w:val="24"/>
        </w:rPr>
        <w:t xml:space="preserve">move </w:t>
      </w:r>
      <w:r w:rsidRPr="00FD1969">
        <w:rPr>
          <w:szCs w:val="24"/>
        </w:rPr>
        <w:t xml:space="preserve">occurs.  This ensures the member, prior to deciding to provide consent, is informed of the </w:t>
      </w:r>
      <w:r w:rsidR="00B649D5" w:rsidRPr="00FD1969">
        <w:rPr>
          <w:szCs w:val="24"/>
        </w:rPr>
        <w:t>consequences to them</w:t>
      </w:r>
      <w:r w:rsidRPr="00FD1969">
        <w:rPr>
          <w:szCs w:val="24"/>
        </w:rPr>
        <w:t xml:space="preserve"> that </w:t>
      </w:r>
      <w:r w:rsidR="00B649D5" w:rsidRPr="00FD1969">
        <w:rPr>
          <w:szCs w:val="24"/>
        </w:rPr>
        <w:t xml:space="preserve">might </w:t>
      </w:r>
      <w:r w:rsidRPr="00FD1969">
        <w:rPr>
          <w:szCs w:val="24"/>
        </w:rPr>
        <w:t xml:space="preserve">result from </w:t>
      </w:r>
      <w:r w:rsidR="00B649D5" w:rsidRPr="00FD1969">
        <w:rPr>
          <w:szCs w:val="24"/>
        </w:rPr>
        <w:t xml:space="preserve">moving </w:t>
      </w:r>
      <w:r w:rsidRPr="00FD1969">
        <w:rPr>
          <w:szCs w:val="24"/>
        </w:rPr>
        <w:t xml:space="preserve">to another product. </w:t>
      </w:r>
    </w:p>
    <w:p w14:paraId="69B5F8FB" w14:textId="77777777" w:rsidR="00726A2A" w:rsidRPr="00FD1969" w:rsidRDefault="00726A2A" w:rsidP="00F60A72">
      <w:pPr>
        <w:keepNext/>
        <w:spacing w:before="120" w:after="240"/>
        <w:outlineLvl w:val="1"/>
        <w:rPr>
          <w:b/>
          <w:szCs w:val="24"/>
        </w:rPr>
      </w:pPr>
      <w:r w:rsidRPr="00FD1969">
        <w:rPr>
          <w:b/>
          <w:szCs w:val="24"/>
        </w:rPr>
        <w:t>Schedule 2, item</w:t>
      </w:r>
      <w:r w:rsidR="00172665" w:rsidRPr="00FD1969">
        <w:rPr>
          <w:b/>
          <w:szCs w:val="24"/>
        </w:rPr>
        <w:t>s 1 and 2</w:t>
      </w:r>
      <w:r w:rsidR="00F57DDA" w:rsidRPr="00FD1969">
        <w:rPr>
          <w:b/>
          <w:szCs w:val="24"/>
        </w:rPr>
        <w:br/>
      </w:r>
      <w:r w:rsidRPr="00FD1969">
        <w:rPr>
          <w:b/>
          <w:szCs w:val="24"/>
        </w:rPr>
        <w:t>Requirements for benefits in respect of death</w:t>
      </w:r>
    </w:p>
    <w:p w14:paraId="051D92FF" w14:textId="77777777" w:rsidR="00726A2A" w:rsidRPr="00FD1969" w:rsidRDefault="005F76DD" w:rsidP="00F60A72">
      <w:pPr>
        <w:keepNext/>
        <w:spacing w:after="240"/>
        <w:outlineLvl w:val="3"/>
        <w:rPr>
          <w:szCs w:val="24"/>
        </w:rPr>
      </w:pPr>
      <w:r w:rsidRPr="00FD1969">
        <w:rPr>
          <w:szCs w:val="24"/>
        </w:rPr>
        <w:t xml:space="preserve">The </w:t>
      </w:r>
      <w:proofErr w:type="spellStart"/>
      <w:r w:rsidRPr="00FD1969">
        <w:rPr>
          <w:szCs w:val="24"/>
        </w:rPr>
        <w:t>SGA</w:t>
      </w:r>
      <w:proofErr w:type="spellEnd"/>
      <w:r w:rsidRPr="00FD1969">
        <w:rPr>
          <w:szCs w:val="24"/>
        </w:rPr>
        <w:t xml:space="preserve"> Act contains ‘choice of fund’ provisions, under which employees are able to nominate the superannuation fund into which their compulsory employer superannuation contributions must be made.  </w:t>
      </w:r>
      <w:r w:rsidR="00726A2A" w:rsidRPr="00FD1969">
        <w:rPr>
          <w:szCs w:val="24"/>
        </w:rPr>
        <w:t xml:space="preserve">Section 32C of the </w:t>
      </w:r>
      <w:proofErr w:type="spellStart"/>
      <w:r w:rsidR="00726A2A" w:rsidRPr="00FD1969">
        <w:rPr>
          <w:szCs w:val="24"/>
        </w:rPr>
        <w:t>SGA</w:t>
      </w:r>
      <w:proofErr w:type="spellEnd"/>
      <w:r w:rsidR="00726A2A" w:rsidRPr="00FD1969">
        <w:rPr>
          <w:szCs w:val="24"/>
        </w:rPr>
        <w:t xml:space="preserve"> Act sets out the </w:t>
      </w:r>
      <w:r w:rsidR="00726A2A" w:rsidRPr="00FD1969">
        <w:rPr>
          <w:szCs w:val="24"/>
        </w:rPr>
        <w:lastRenderedPageBreak/>
        <w:t xml:space="preserve">circumstances in which employer superannuation contributions satisfy the </w:t>
      </w:r>
      <w:r w:rsidR="00587272" w:rsidRPr="00FD1969">
        <w:rPr>
          <w:szCs w:val="24"/>
        </w:rPr>
        <w:t>‘</w:t>
      </w:r>
      <w:r w:rsidR="00726A2A" w:rsidRPr="00FD1969">
        <w:rPr>
          <w:szCs w:val="24"/>
        </w:rPr>
        <w:t>choice of fund</w:t>
      </w:r>
      <w:r w:rsidR="00587272" w:rsidRPr="00FD1969">
        <w:rPr>
          <w:szCs w:val="24"/>
        </w:rPr>
        <w:t>’</w:t>
      </w:r>
      <w:r w:rsidR="00726A2A" w:rsidRPr="00FD1969">
        <w:rPr>
          <w:szCs w:val="24"/>
        </w:rPr>
        <w:t xml:space="preserve"> requirements.</w:t>
      </w:r>
    </w:p>
    <w:p w14:paraId="5A9D03FF" w14:textId="77777777" w:rsidR="00E06E4D" w:rsidRPr="00FD1969" w:rsidRDefault="00EB1BEE" w:rsidP="00F60A72">
      <w:pPr>
        <w:spacing w:after="240"/>
        <w:rPr>
          <w:szCs w:val="24"/>
        </w:rPr>
      </w:pPr>
      <w:r w:rsidRPr="00FD1969">
        <w:rPr>
          <w:szCs w:val="24"/>
        </w:rPr>
        <w:t>P</w:t>
      </w:r>
      <w:r w:rsidR="00726A2A" w:rsidRPr="00FD1969">
        <w:rPr>
          <w:szCs w:val="24"/>
        </w:rPr>
        <w:t>aragraph 32C(2)(</w:t>
      </w:r>
      <w:r w:rsidRPr="00FD1969">
        <w:rPr>
          <w:szCs w:val="24"/>
        </w:rPr>
        <w:t>c</w:t>
      </w:r>
      <w:r w:rsidR="00726A2A" w:rsidRPr="00FD1969">
        <w:rPr>
          <w:szCs w:val="24"/>
        </w:rPr>
        <w:t xml:space="preserve">) of the </w:t>
      </w:r>
      <w:proofErr w:type="spellStart"/>
      <w:r w:rsidR="00726A2A" w:rsidRPr="00FD1969">
        <w:rPr>
          <w:szCs w:val="24"/>
        </w:rPr>
        <w:t>SGA</w:t>
      </w:r>
      <w:proofErr w:type="spellEnd"/>
      <w:r w:rsidR="00726A2A" w:rsidRPr="00FD1969">
        <w:rPr>
          <w:szCs w:val="24"/>
        </w:rPr>
        <w:t xml:space="preserve"> Act state</w:t>
      </w:r>
      <w:r w:rsidRPr="00FD1969">
        <w:rPr>
          <w:szCs w:val="24"/>
        </w:rPr>
        <w:t>s</w:t>
      </w:r>
      <w:r w:rsidR="00726A2A" w:rsidRPr="00FD1969">
        <w:rPr>
          <w:szCs w:val="24"/>
        </w:rPr>
        <w:t xml:space="preserve"> that, in order for superannuation contributions to satisfy the choice of fund requirements, the relevant fund must comply with requirements in the </w:t>
      </w:r>
      <w:r w:rsidR="00FA1298" w:rsidRPr="00FD1969">
        <w:rPr>
          <w:i/>
          <w:szCs w:val="24"/>
        </w:rPr>
        <w:t xml:space="preserve">Superannuation Guarantee (Administration) Regulations 1993 </w:t>
      </w:r>
      <w:r w:rsidR="00FA1298" w:rsidRPr="00FD1969">
        <w:rPr>
          <w:szCs w:val="24"/>
        </w:rPr>
        <w:t xml:space="preserve">(the </w:t>
      </w:r>
      <w:proofErr w:type="spellStart"/>
      <w:r w:rsidR="00FA1298" w:rsidRPr="00FD1969">
        <w:rPr>
          <w:szCs w:val="24"/>
        </w:rPr>
        <w:t>SGA</w:t>
      </w:r>
      <w:proofErr w:type="spellEnd"/>
      <w:r w:rsidR="00FA1298" w:rsidRPr="00FD1969">
        <w:rPr>
          <w:szCs w:val="24"/>
        </w:rPr>
        <w:t xml:space="preserve"> Regulations)</w:t>
      </w:r>
      <w:r w:rsidR="00726A2A" w:rsidRPr="00FD1969">
        <w:rPr>
          <w:szCs w:val="24"/>
        </w:rPr>
        <w:t xml:space="preserve"> in relation to insurance in respect of death.</w:t>
      </w:r>
      <w:r w:rsidR="00E06E4D" w:rsidRPr="00FD1969">
        <w:rPr>
          <w:szCs w:val="24"/>
        </w:rPr>
        <w:t xml:space="preserve">  These requirements are set out in regulation 9A of the </w:t>
      </w:r>
      <w:proofErr w:type="spellStart"/>
      <w:r w:rsidR="00E06E4D" w:rsidRPr="00FD1969">
        <w:rPr>
          <w:szCs w:val="24"/>
        </w:rPr>
        <w:t>SGA</w:t>
      </w:r>
      <w:proofErr w:type="spellEnd"/>
      <w:r w:rsidR="00E06E4D" w:rsidRPr="00FD1969">
        <w:rPr>
          <w:szCs w:val="24"/>
        </w:rPr>
        <w:t xml:space="preserve"> Regulations, which sets out the minimum levels of life insurance (otherwise known as death insurance) funds are required to offer their members in order to comply with the choice of fund requirements.</w:t>
      </w:r>
      <w:r w:rsidR="00726A2A" w:rsidRPr="00FD1969">
        <w:rPr>
          <w:szCs w:val="24"/>
        </w:rPr>
        <w:t xml:space="preserve">  </w:t>
      </w:r>
    </w:p>
    <w:p w14:paraId="54AF32CA" w14:textId="77777777" w:rsidR="00FA1298" w:rsidRPr="00FD1969" w:rsidRDefault="00E06E4D" w:rsidP="00F60A72">
      <w:pPr>
        <w:spacing w:after="240"/>
        <w:rPr>
          <w:szCs w:val="24"/>
        </w:rPr>
      </w:pPr>
      <w:r w:rsidRPr="00FD1969">
        <w:rPr>
          <w:szCs w:val="24"/>
        </w:rPr>
        <w:t xml:space="preserve">From 1 July 2013, section 68AA of the SIS Act will require superannuation fund trustees to ensure their funds provide benefits for death in respect of </w:t>
      </w:r>
      <w:proofErr w:type="spellStart"/>
      <w:r w:rsidRPr="00FD1969">
        <w:rPr>
          <w:szCs w:val="24"/>
        </w:rPr>
        <w:t>MySuper</w:t>
      </w:r>
      <w:proofErr w:type="spellEnd"/>
      <w:r w:rsidRPr="00FD1969">
        <w:rPr>
          <w:szCs w:val="24"/>
        </w:rPr>
        <w:t xml:space="preserve"> members (other than a member who is also a defined benefit member) by taking out insurance.</w:t>
      </w:r>
      <w:r w:rsidR="00FA1298" w:rsidRPr="00FD1969">
        <w:rPr>
          <w:szCs w:val="24"/>
        </w:rPr>
        <w:t xml:space="preserve">  </w:t>
      </w:r>
      <w:r w:rsidRPr="00FD1969">
        <w:rPr>
          <w:szCs w:val="24"/>
        </w:rPr>
        <w:t xml:space="preserve"> </w:t>
      </w:r>
      <w:r w:rsidR="00FA1298" w:rsidRPr="00FD1969">
        <w:rPr>
          <w:szCs w:val="24"/>
        </w:rPr>
        <w:t xml:space="preserve">From 1 January 2014, paragraph 32C(2)(c) of the </w:t>
      </w:r>
      <w:proofErr w:type="spellStart"/>
      <w:r w:rsidR="00FA1298" w:rsidRPr="00FD1969">
        <w:rPr>
          <w:szCs w:val="24"/>
        </w:rPr>
        <w:t>SGA</w:t>
      </w:r>
      <w:proofErr w:type="spellEnd"/>
      <w:r w:rsidR="00FA1298" w:rsidRPr="00FD1969">
        <w:rPr>
          <w:szCs w:val="24"/>
        </w:rPr>
        <w:t xml:space="preserve"> Act will be replaced by new paragraphs 32C(2)(d) and (e).  The two new paragraphs will distinguish between the requirement to provide death benefits to </w:t>
      </w:r>
      <w:proofErr w:type="spellStart"/>
      <w:r w:rsidR="00FA1298" w:rsidRPr="00FD1969">
        <w:rPr>
          <w:szCs w:val="24"/>
        </w:rPr>
        <w:t>MySuper</w:t>
      </w:r>
      <w:proofErr w:type="spellEnd"/>
      <w:r w:rsidR="00FA1298" w:rsidRPr="00FD1969">
        <w:rPr>
          <w:szCs w:val="24"/>
        </w:rPr>
        <w:t xml:space="preserve"> members of a fund, which will be reflected in paragraph 32C(2)(d), and to offer death benefits to other members of a fund, which will be reflected in paragraph 32C(2)(e).</w:t>
      </w:r>
      <w:r w:rsidRPr="00FD1969">
        <w:rPr>
          <w:szCs w:val="24"/>
        </w:rPr>
        <w:t xml:space="preserve"> </w:t>
      </w:r>
    </w:p>
    <w:p w14:paraId="603C5176" w14:textId="77777777" w:rsidR="00E06E4D" w:rsidRPr="00FD1969" w:rsidRDefault="00344C45" w:rsidP="00F60A72">
      <w:pPr>
        <w:spacing w:after="240"/>
        <w:rPr>
          <w:szCs w:val="24"/>
        </w:rPr>
      </w:pPr>
      <w:r w:rsidRPr="00FD1969">
        <w:rPr>
          <w:szCs w:val="24"/>
        </w:rPr>
        <w:t>Accordingly</w:t>
      </w:r>
      <w:r w:rsidR="00522D68" w:rsidRPr="00FD1969">
        <w:rPr>
          <w:szCs w:val="24"/>
        </w:rPr>
        <w:t xml:space="preserve">, </w:t>
      </w:r>
      <w:r w:rsidR="00E06E4D" w:rsidRPr="00FD1969">
        <w:rPr>
          <w:szCs w:val="24"/>
        </w:rPr>
        <w:t xml:space="preserve">regulation 9A of the </w:t>
      </w:r>
      <w:proofErr w:type="spellStart"/>
      <w:r w:rsidR="001B1E50" w:rsidRPr="00FD1969">
        <w:rPr>
          <w:szCs w:val="24"/>
        </w:rPr>
        <w:t>SGA</w:t>
      </w:r>
      <w:proofErr w:type="spellEnd"/>
      <w:r w:rsidR="00E06E4D" w:rsidRPr="00FD1969">
        <w:rPr>
          <w:szCs w:val="24"/>
        </w:rPr>
        <w:t xml:space="preserve"> Regulations</w:t>
      </w:r>
      <w:r w:rsidRPr="00FD1969">
        <w:rPr>
          <w:szCs w:val="24"/>
        </w:rPr>
        <w:t>, which details the requirements for insurance in respect of death,</w:t>
      </w:r>
      <w:r w:rsidR="00522D68" w:rsidRPr="00FD1969">
        <w:rPr>
          <w:szCs w:val="24"/>
        </w:rPr>
        <w:t xml:space="preserve"> </w:t>
      </w:r>
      <w:r w:rsidR="001665EE" w:rsidRPr="00FD1969">
        <w:rPr>
          <w:szCs w:val="24"/>
        </w:rPr>
        <w:t>is</w:t>
      </w:r>
      <w:r w:rsidR="00522D68" w:rsidRPr="00FD1969">
        <w:rPr>
          <w:szCs w:val="24"/>
        </w:rPr>
        <w:t xml:space="preserve"> amended</w:t>
      </w:r>
      <w:r w:rsidR="00E06E4D" w:rsidRPr="00FD1969">
        <w:rPr>
          <w:szCs w:val="24"/>
        </w:rPr>
        <w:t xml:space="preserve">.  </w:t>
      </w:r>
      <w:r w:rsidR="001665EE" w:rsidRPr="00FD1969">
        <w:rPr>
          <w:szCs w:val="24"/>
        </w:rPr>
        <w:t>This</w:t>
      </w:r>
      <w:r w:rsidR="00E06E4D" w:rsidRPr="00FD1969">
        <w:rPr>
          <w:szCs w:val="24"/>
        </w:rPr>
        <w:t xml:space="preserve"> involve</w:t>
      </w:r>
      <w:r w:rsidR="001665EE" w:rsidRPr="00FD1969">
        <w:rPr>
          <w:szCs w:val="24"/>
        </w:rPr>
        <w:t>s</w:t>
      </w:r>
      <w:r w:rsidR="00E06E4D" w:rsidRPr="00FD1969">
        <w:rPr>
          <w:szCs w:val="24"/>
        </w:rPr>
        <w:t xml:space="preserve"> a reference to actually providing death benefits in respect of </w:t>
      </w:r>
      <w:proofErr w:type="spellStart"/>
      <w:r w:rsidR="00E06E4D" w:rsidRPr="00FD1969">
        <w:rPr>
          <w:szCs w:val="24"/>
        </w:rPr>
        <w:t>MySuper</w:t>
      </w:r>
      <w:proofErr w:type="spellEnd"/>
      <w:r w:rsidR="00E06E4D" w:rsidRPr="00FD1969">
        <w:rPr>
          <w:szCs w:val="24"/>
        </w:rPr>
        <w:t xml:space="preserve"> members (other than members who are also defined benefit members), rather than merely offering death benefits (which would apply in respect of other members).</w:t>
      </w:r>
    </w:p>
    <w:p w14:paraId="050E1328" w14:textId="77777777" w:rsidR="00726A2A" w:rsidRPr="00FD1969" w:rsidRDefault="00522D68" w:rsidP="00CA3F66">
      <w:pPr>
        <w:spacing w:after="240"/>
        <w:outlineLvl w:val="3"/>
        <w:rPr>
          <w:szCs w:val="24"/>
        </w:rPr>
      </w:pPr>
      <w:r w:rsidRPr="00FD1969">
        <w:rPr>
          <w:szCs w:val="24"/>
        </w:rPr>
        <w:t>R</w:t>
      </w:r>
      <w:r w:rsidR="00726A2A" w:rsidRPr="00FD1969">
        <w:rPr>
          <w:szCs w:val="24"/>
        </w:rPr>
        <w:t xml:space="preserve">egulation 9A </w:t>
      </w:r>
      <w:r w:rsidR="00B22871" w:rsidRPr="00FD1969">
        <w:rPr>
          <w:szCs w:val="24"/>
        </w:rPr>
        <w:t>is also</w:t>
      </w:r>
      <w:r w:rsidRPr="00FD1969">
        <w:rPr>
          <w:szCs w:val="24"/>
        </w:rPr>
        <w:t xml:space="preserve"> amended </w:t>
      </w:r>
      <w:r w:rsidR="00726A2A" w:rsidRPr="00FD1969">
        <w:rPr>
          <w:szCs w:val="24"/>
        </w:rPr>
        <w:t xml:space="preserve">to reflect the requirement, which will be contained in section 68AA of the SIS Act, to allow </w:t>
      </w:r>
      <w:proofErr w:type="spellStart"/>
      <w:r w:rsidR="00726A2A" w:rsidRPr="00FD1969">
        <w:rPr>
          <w:szCs w:val="24"/>
        </w:rPr>
        <w:t>MySuper</w:t>
      </w:r>
      <w:proofErr w:type="spellEnd"/>
      <w:r w:rsidR="00726A2A" w:rsidRPr="00FD1969">
        <w:rPr>
          <w:szCs w:val="24"/>
        </w:rPr>
        <w:t xml:space="preserve"> members to elect that death benefits not be provided in respect of the member by the f</w:t>
      </w:r>
      <w:r w:rsidR="00B22871" w:rsidRPr="00FD1969">
        <w:rPr>
          <w:szCs w:val="24"/>
        </w:rPr>
        <w:t xml:space="preserve">und.  While the regulation </w:t>
      </w:r>
      <w:r w:rsidR="00726A2A" w:rsidRPr="00FD1969">
        <w:rPr>
          <w:szCs w:val="24"/>
        </w:rPr>
        <w:t>now require</w:t>
      </w:r>
      <w:r w:rsidR="00B22871" w:rsidRPr="00FD1969">
        <w:rPr>
          <w:szCs w:val="24"/>
        </w:rPr>
        <w:t>s</w:t>
      </w:r>
      <w:r w:rsidR="00726A2A" w:rsidRPr="00FD1969">
        <w:rPr>
          <w:szCs w:val="24"/>
        </w:rPr>
        <w:t xml:space="preserve"> funds to provide a minimum level of death benefits in respect of </w:t>
      </w:r>
      <w:proofErr w:type="spellStart"/>
      <w:r w:rsidR="00726A2A" w:rsidRPr="00FD1969">
        <w:rPr>
          <w:szCs w:val="24"/>
        </w:rPr>
        <w:t>MySuper</w:t>
      </w:r>
      <w:proofErr w:type="spellEnd"/>
      <w:r w:rsidR="00726A2A" w:rsidRPr="00FD1969">
        <w:rPr>
          <w:szCs w:val="24"/>
        </w:rPr>
        <w:t xml:space="preserve"> members, in order to comply with the choice o</w:t>
      </w:r>
      <w:r w:rsidRPr="00FD1969">
        <w:rPr>
          <w:szCs w:val="24"/>
        </w:rPr>
        <w:t xml:space="preserve">f fund requirements, there </w:t>
      </w:r>
      <w:r w:rsidR="00B22871" w:rsidRPr="00FD1969">
        <w:rPr>
          <w:szCs w:val="24"/>
        </w:rPr>
        <w:t>is</w:t>
      </w:r>
      <w:r w:rsidR="00726A2A" w:rsidRPr="00FD1969">
        <w:rPr>
          <w:szCs w:val="24"/>
        </w:rPr>
        <w:t xml:space="preserve"> an exception for cases where a member has elected that the benefits will not be provided or, if it is permitted by the fund, the member </w:t>
      </w:r>
      <w:r w:rsidR="003D49AA" w:rsidRPr="00FD1969">
        <w:rPr>
          <w:szCs w:val="24"/>
        </w:rPr>
        <w:t>has elected</w:t>
      </w:r>
      <w:r w:rsidR="00726A2A" w:rsidRPr="00FD1969">
        <w:rPr>
          <w:szCs w:val="24"/>
        </w:rPr>
        <w:t xml:space="preserve"> to hold a</w:t>
      </w:r>
      <w:r w:rsidR="00A5656C" w:rsidRPr="00FD1969">
        <w:rPr>
          <w:szCs w:val="24"/>
        </w:rPr>
        <w:t>n</w:t>
      </w:r>
      <w:r w:rsidR="00726A2A" w:rsidRPr="00FD1969">
        <w:rPr>
          <w:szCs w:val="24"/>
        </w:rPr>
        <w:t xml:space="preserve"> amount of life insurance</w:t>
      </w:r>
      <w:r w:rsidR="00A5656C" w:rsidRPr="00FD1969">
        <w:rPr>
          <w:szCs w:val="24"/>
        </w:rPr>
        <w:t xml:space="preserve"> that is lower than that set out in regulation 9A</w:t>
      </w:r>
      <w:r w:rsidR="00726A2A" w:rsidRPr="00FD1969">
        <w:rPr>
          <w:szCs w:val="24"/>
        </w:rPr>
        <w:t>.</w:t>
      </w:r>
    </w:p>
    <w:p w14:paraId="08019F9B" w14:textId="77777777" w:rsidR="003D5EE1" w:rsidRPr="00FD1969" w:rsidRDefault="003D5EE1" w:rsidP="00CA3F66">
      <w:pPr>
        <w:spacing w:after="240"/>
        <w:outlineLvl w:val="3"/>
        <w:rPr>
          <w:szCs w:val="24"/>
        </w:rPr>
      </w:pPr>
      <w:r w:rsidRPr="00FD1969">
        <w:rPr>
          <w:szCs w:val="24"/>
        </w:rPr>
        <w:t xml:space="preserve">Finally, regulation 9A is amended to reflect the </w:t>
      </w:r>
      <w:proofErr w:type="spellStart"/>
      <w:r w:rsidRPr="00FD1969">
        <w:rPr>
          <w:szCs w:val="24"/>
        </w:rPr>
        <w:t>provisio</w:t>
      </w:r>
      <w:proofErr w:type="spellEnd"/>
      <w:r w:rsidRPr="00FD1969">
        <w:rPr>
          <w:szCs w:val="24"/>
        </w:rPr>
        <w:t xml:space="preserve">, which will be contained in section 68AA of the SIS Act, that the provision of death benefits to </w:t>
      </w:r>
      <w:proofErr w:type="spellStart"/>
      <w:r w:rsidRPr="00FD1969">
        <w:rPr>
          <w:szCs w:val="24"/>
        </w:rPr>
        <w:t>MySuper</w:t>
      </w:r>
      <w:proofErr w:type="spellEnd"/>
      <w:r w:rsidRPr="00FD1969">
        <w:rPr>
          <w:szCs w:val="24"/>
        </w:rPr>
        <w:t xml:space="preserve"> members of a fund is subject to such reasonable conditions as the trustees of the fund determine.</w:t>
      </w:r>
    </w:p>
    <w:p w14:paraId="4154A805" w14:textId="77777777" w:rsidR="00726A2A" w:rsidRPr="00FD1969" w:rsidRDefault="00726A2A" w:rsidP="00CA3F66">
      <w:pPr>
        <w:spacing w:after="240"/>
        <w:outlineLvl w:val="3"/>
        <w:rPr>
          <w:szCs w:val="24"/>
        </w:rPr>
      </w:pPr>
      <w:r w:rsidRPr="00FD1969">
        <w:rPr>
          <w:szCs w:val="24"/>
        </w:rPr>
        <w:t>The</w:t>
      </w:r>
      <w:r w:rsidR="00587272" w:rsidRPr="00FD1969">
        <w:rPr>
          <w:szCs w:val="24"/>
        </w:rPr>
        <w:t>se</w:t>
      </w:r>
      <w:r w:rsidR="00522D68" w:rsidRPr="00FD1969">
        <w:rPr>
          <w:szCs w:val="24"/>
        </w:rPr>
        <w:t xml:space="preserve"> </w:t>
      </w:r>
      <w:r w:rsidR="001665EE" w:rsidRPr="00FD1969">
        <w:rPr>
          <w:szCs w:val="24"/>
        </w:rPr>
        <w:t xml:space="preserve">amendments </w:t>
      </w:r>
      <w:r w:rsidRPr="00FD1969">
        <w:rPr>
          <w:szCs w:val="24"/>
        </w:rPr>
        <w:t xml:space="preserve">take effect on </w:t>
      </w:r>
      <w:r w:rsidR="003D5EE1" w:rsidRPr="00FD1969">
        <w:rPr>
          <w:szCs w:val="24"/>
        </w:rPr>
        <w:t>1 January 2014</w:t>
      </w:r>
      <w:r w:rsidRPr="00FD1969">
        <w:rPr>
          <w:szCs w:val="24"/>
        </w:rPr>
        <w:t>.</w:t>
      </w:r>
    </w:p>
    <w:p w14:paraId="67BE8FD2" w14:textId="77777777" w:rsidR="00726A2A" w:rsidRPr="00FD1969" w:rsidRDefault="00726A2A" w:rsidP="00F60A72">
      <w:pPr>
        <w:keepNext/>
        <w:spacing w:before="120" w:after="240"/>
        <w:outlineLvl w:val="1"/>
        <w:rPr>
          <w:b/>
          <w:szCs w:val="24"/>
        </w:rPr>
      </w:pPr>
      <w:r w:rsidRPr="00FD1969">
        <w:rPr>
          <w:b/>
          <w:szCs w:val="24"/>
        </w:rPr>
        <w:t>Schedule </w:t>
      </w:r>
      <w:r w:rsidR="00F67CFB" w:rsidRPr="00FD1969">
        <w:rPr>
          <w:b/>
          <w:szCs w:val="24"/>
        </w:rPr>
        <w:t>3</w:t>
      </w:r>
      <w:r w:rsidRPr="00FD1969">
        <w:rPr>
          <w:b/>
          <w:szCs w:val="24"/>
        </w:rPr>
        <w:t>, items 1 and 3</w:t>
      </w:r>
      <w:r w:rsidR="00F57DDA" w:rsidRPr="00FD1969">
        <w:rPr>
          <w:b/>
          <w:szCs w:val="24"/>
        </w:rPr>
        <w:br/>
      </w:r>
      <w:r w:rsidRPr="00FD1969">
        <w:rPr>
          <w:b/>
          <w:szCs w:val="24"/>
        </w:rPr>
        <w:t>Meaning of permanent incapacity</w:t>
      </w:r>
    </w:p>
    <w:p w14:paraId="14A05A7C" w14:textId="77777777" w:rsidR="00726A2A" w:rsidRPr="00FD1969" w:rsidRDefault="007C6938" w:rsidP="00F60A72">
      <w:pPr>
        <w:spacing w:after="240"/>
        <w:rPr>
          <w:szCs w:val="24"/>
        </w:rPr>
      </w:pPr>
      <w:r w:rsidRPr="00FD1969">
        <w:rPr>
          <w:szCs w:val="24"/>
        </w:rPr>
        <w:t>The</w:t>
      </w:r>
      <w:r w:rsidR="00726A2A" w:rsidRPr="00FD1969">
        <w:rPr>
          <w:szCs w:val="24"/>
        </w:rPr>
        <w:t xml:space="preserve"> existing definition of </w:t>
      </w:r>
      <w:r w:rsidR="00A0771D" w:rsidRPr="00FD1969">
        <w:rPr>
          <w:szCs w:val="24"/>
        </w:rPr>
        <w:t>‘</w:t>
      </w:r>
      <w:r w:rsidR="00726A2A" w:rsidRPr="00FD1969">
        <w:rPr>
          <w:szCs w:val="24"/>
        </w:rPr>
        <w:t>permanent incapacity</w:t>
      </w:r>
      <w:r w:rsidR="00A0771D" w:rsidRPr="00FD1969">
        <w:rPr>
          <w:szCs w:val="24"/>
        </w:rPr>
        <w:t>’</w:t>
      </w:r>
      <w:r w:rsidR="00726A2A" w:rsidRPr="00FD1969">
        <w:rPr>
          <w:szCs w:val="24"/>
        </w:rPr>
        <w:t xml:space="preserve"> in the </w:t>
      </w:r>
      <w:r w:rsidR="00F67CFB" w:rsidRPr="00FD1969">
        <w:rPr>
          <w:i/>
          <w:szCs w:val="24"/>
        </w:rPr>
        <w:t>Superannuation Industry (Supervision) Regulations 1994</w:t>
      </w:r>
      <w:r w:rsidR="00F67CFB" w:rsidRPr="00FD1969">
        <w:rPr>
          <w:szCs w:val="24"/>
        </w:rPr>
        <w:t xml:space="preserve"> (the SIS Regulations) </w:t>
      </w:r>
      <w:r w:rsidR="001665EE" w:rsidRPr="00FD1969">
        <w:rPr>
          <w:szCs w:val="24"/>
        </w:rPr>
        <w:t>applies</w:t>
      </w:r>
      <w:r w:rsidR="00726A2A" w:rsidRPr="00FD1969">
        <w:rPr>
          <w:szCs w:val="24"/>
        </w:rPr>
        <w:t xml:space="preserve"> for the purposes of the SIS Act.</w:t>
      </w:r>
    </w:p>
    <w:p w14:paraId="66BC0FCD" w14:textId="77777777" w:rsidR="00726A2A" w:rsidRPr="00FD1969" w:rsidRDefault="00726A2A" w:rsidP="00F60A72">
      <w:pPr>
        <w:spacing w:after="240"/>
        <w:rPr>
          <w:szCs w:val="24"/>
        </w:rPr>
      </w:pPr>
      <w:r w:rsidRPr="00FD1969">
        <w:rPr>
          <w:szCs w:val="24"/>
        </w:rPr>
        <w:t xml:space="preserve">The </w:t>
      </w:r>
      <w:r w:rsidRPr="00FD1969">
        <w:rPr>
          <w:i/>
          <w:szCs w:val="24"/>
        </w:rPr>
        <w:t xml:space="preserve">Superannuation Legislation Amendment (Further </w:t>
      </w:r>
      <w:proofErr w:type="spellStart"/>
      <w:r w:rsidRPr="00FD1969">
        <w:rPr>
          <w:i/>
          <w:szCs w:val="24"/>
        </w:rPr>
        <w:t>MySuper</w:t>
      </w:r>
      <w:proofErr w:type="spellEnd"/>
      <w:r w:rsidRPr="00FD1969">
        <w:rPr>
          <w:i/>
          <w:szCs w:val="24"/>
        </w:rPr>
        <w:t xml:space="preserve"> and Transparency Measures) </w:t>
      </w:r>
      <w:r w:rsidR="008518FA" w:rsidRPr="00FD1969">
        <w:rPr>
          <w:i/>
          <w:szCs w:val="24"/>
        </w:rPr>
        <w:t xml:space="preserve">Act </w:t>
      </w:r>
      <w:r w:rsidRPr="00FD1969">
        <w:rPr>
          <w:i/>
          <w:szCs w:val="24"/>
        </w:rPr>
        <w:t>2012</w:t>
      </w:r>
      <w:r w:rsidRPr="00FD1969">
        <w:rPr>
          <w:szCs w:val="24"/>
        </w:rPr>
        <w:t xml:space="preserve"> amended subsection 10(1) of the SIS Act to insert a definition of </w:t>
      </w:r>
      <w:r w:rsidR="00A0771D" w:rsidRPr="00FD1969">
        <w:rPr>
          <w:szCs w:val="24"/>
        </w:rPr>
        <w:lastRenderedPageBreak/>
        <w:t>‘</w:t>
      </w:r>
      <w:r w:rsidRPr="00FD1969">
        <w:rPr>
          <w:szCs w:val="24"/>
        </w:rPr>
        <w:t>permanent incapacity</w:t>
      </w:r>
      <w:r w:rsidR="00A0771D" w:rsidRPr="00FD1969">
        <w:rPr>
          <w:szCs w:val="24"/>
        </w:rPr>
        <w:t>’</w:t>
      </w:r>
      <w:r w:rsidRPr="00FD1969">
        <w:rPr>
          <w:szCs w:val="24"/>
        </w:rPr>
        <w:t xml:space="preserve">.  This definition will be used in defining the types of insured benefits trustees must provide </w:t>
      </w:r>
      <w:proofErr w:type="spellStart"/>
      <w:r w:rsidR="00A01E0E" w:rsidRPr="00FD1969">
        <w:rPr>
          <w:szCs w:val="24"/>
        </w:rPr>
        <w:t>MySuper</w:t>
      </w:r>
      <w:proofErr w:type="spellEnd"/>
      <w:r w:rsidR="00A01E0E" w:rsidRPr="00FD1969">
        <w:rPr>
          <w:szCs w:val="24"/>
        </w:rPr>
        <w:t xml:space="preserve"> </w:t>
      </w:r>
      <w:r w:rsidRPr="00FD1969">
        <w:rPr>
          <w:szCs w:val="24"/>
        </w:rPr>
        <w:t>members of regulated superannuation funds.</w:t>
      </w:r>
    </w:p>
    <w:p w14:paraId="57B7139F" w14:textId="77777777" w:rsidR="00726A2A" w:rsidRPr="00FD1969" w:rsidRDefault="00726A2A" w:rsidP="00F60A72">
      <w:pPr>
        <w:spacing w:after="240"/>
        <w:rPr>
          <w:szCs w:val="24"/>
        </w:rPr>
      </w:pPr>
      <w:r w:rsidRPr="00FD1969">
        <w:rPr>
          <w:szCs w:val="24"/>
        </w:rPr>
        <w:t>The subsection 10(1) definition of permanent incapacity will state that “a member of a regulated superannuation fund is suffering permanent incapacity if the member is taken, under the regulations, to be suffering permanent incapacity for the purposes of this Act”.</w:t>
      </w:r>
    </w:p>
    <w:p w14:paraId="2578A709" w14:textId="77777777" w:rsidR="00726A2A" w:rsidRPr="00FD1969" w:rsidRDefault="00726A2A" w:rsidP="00F60A72">
      <w:pPr>
        <w:spacing w:after="240"/>
        <w:rPr>
          <w:szCs w:val="24"/>
        </w:rPr>
      </w:pPr>
      <w:r w:rsidRPr="00FD1969">
        <w:rPr>
          <w:szCs w:val="24"/>
        </w:rPr>
        <w:t xml:space="preserve">Currently, </w:t>
      </w:r>
      <w:proofErr w:type="spellStart"/>
      <w:r w:rsidRPr="00FD1969">
        <w:rPr>
          <w:szCs w:val="24"/>
        </w:rPr>
        <w:t>subregulation</w:t>
      </w:r>
      <w:proofErr w:type="spellEnd"/>
      <w:r w:rsidRPr="00FD1969">
        <w:rPr>
          <w:szCs w:val="24"/>
        </w:rPr>
        <w:t xml:space="preserve"> 6.01(2) of the SIS Regulations contains a definition of </w:t>
      </w:r>
      <w:r w:rsidR="00EF0881" w:rsidRPr="00FD1969">
        <w:rPr>
          <w:szCs w:val="24"/>
        </w:rPr>
        <w:t>‘</w:t>
      </w:r>
      <w:r w:rsidRPr="00FD1969">
        <w:rPr>
          <w:szCs w:val="24"/>
        </w:rPr>
        <w:t>permanent incapacity</w:t>
      </w:r>
      <w:r w:rsidR="00EF0881" w:rsidRPr="00FD1969">
        <w:rPr>
          <w:szCs w:val="24"/>
        </w:rPr>
        <w:t>’</w:t>
      </w:r>
      <w:r w:rsidRPr="00FD1969">
        <w:rPr>
          <w:szCs w:val="24"/>
        </w:rPr>
        <w:t xml:space="preserve">, which applies to Part 6 and Schedule 1 of the SIS Regulations, dealing with payment standards and conditions of release of benefits, respectively.  </w:t>
      </w:r>
      <w:r w:rsidR="007C6938" w:rsidRPr="00FD1969">
        <w:rPr>
          <w:szCs w:val="24"/>
        </w:rPr>
        <w:t>This</w:t>
      </w:r>
      <w:r w:rsidRPr="00FD1969">
        <w:rPr>
          <w:szCs w:val="24"/>
        </w:rPr>
        <w:t xml:space="preserve"> definition</w:t>
      </w:r>
      <w:r w:rsidR="007C6938" w:rsidRPr="00FD1969">
        <w:rPr>
          <w:szCs w:val="24"/>
        </w:rPr>
        <w:t xml:space="preserve"> </w:t>
      </w:r>
      <w:r w:rsidR="00B22871" w:rsidRPr="00FD1969">
        <w:rPr>
          <w:szCs w:val="24"/>
        </w:rPr>
        <w:t>is</w:t>
      </w:r>
      <w:r w:rsidR="007C6938" w:rsidRPr="00FD1969">
        <w:rPr>
          <w:szCs w:val="24"/>
        </w:rPr>
        <w:t xml:space="preserve"> moved</w:t>
      </w:r>
      <w:r w:rsidRPr="00FD1969">
        <w:rPr>
          <w:szCs w:val="24"/>
        </w:rPr>
        <w:t xml:space="preserve"> to a new regulation 1.03C to allow it to be employed for the purpose of </w:t>
      </w:r>
      <w:r w:rsidR="00EF0881" w:rsidRPr="00FD1969">
        <w:rPr>
          <w:szCs w:val="24"/>
        </w:rPr>
        <w:t xml:space="preserve">the definition of ‘permanent incapacity’ set out in </w:t>
      </w:r>
      <w:r w:rsidRPr="00FD1969">
        <w:rPr>
          <w:szCs w:val="24"/>
        </w:rPr>
        <w:t>subsection 10(1) of the SIS Act</w:t>
      </w:r>
      <w:r w:rsidR="00EF0881" w:rsidRPr="00FD1969">
        <w:rPr>
          <w:szCs w:val="24"/>
        </w:rPr>
        <w:t>,</w:t>
      </w:r>
      <w:r w:rsidRPr="00FD1969">
        <w:rPr>
          <w:szCs w:val="24"/>
        </w:rPr>
        <w:t xml:space="preserve"> in addition to its existing applications.</w:t>
      </w:r>
    </w:p>
    <w:p w14:paraId="20ACC9CE" w14:textId="77777777" w:rsidR="00ED6BC4" w:rsidRPr="00FD1969" w:rsidRDefault="00ED6BC4" w:rsidP="00F60A72">
      <w:pPr>
        <w:spacing w:after="240"/>
        <w:rPr>
          <w:szCs w:val="24"/>
        </w:rPr>
      </w:pPr>
      <w:r w:rsidRPr="00FD1969">
        <w:rPr>
          <w:szCs w:val="24"/>
        </w:rPr>
        <w:t xml:space="preserve">It is not intended that the meaning of the definition change, rather, simply that the </w:t>
      </w:r>
      <w:r w:rsidR="003A4D36" w:rsidRPr="00FD1969">
        <w:rPr>
          <w:szCs w:val="24"/>
        </w:rPr>
        <w:t xml:space="preserve">existing </w:t>
      </w:r>
      <w:r w:rsidRPr="00FD1969">
        <w:rPr>
          <w:szCs w:val="24"/>
        </w:rPr>
        <w:t>definition is not applicable for the purpose of the Act.</w:t>
      </w:r>
    </w:p>
    <w:p w14:paraId="1FC6ACE5" w14:textId="77777777" w:rsidR="00726A2A" w:rsidRPr="00FD1969" w:rsidRDefault="00726A2A" w:rsidP="00F60A72">
      <w:pPr>
        <w:spacing w:after="240"/>
        <w:rPr>
          <w:szCs w:val="24"/>
        </w:rPr>
      </w:pPr>
      <w:r w:rsidRPr="00FD1969">
        <w:rPr>
          <w:color w:val="000000"/>
          <w:szCs w:val="24"/>
        </w:rPr>
        <w:t>Th</w:t>
      </w:r>
      <w:r w:rsidR="00587272" w:rsidRPr="00FD1969">
        <w:rPr>
          <w:color w:val="000000"/>
          <w:szCs w:val="24"/>
        </w:rPr>
        <w:t>is</w:t>
      </w:r>
      <w:r w:rsidR="007C6938" w:rsidRPr="00FD1969">
        <w:rPr>
          <w:color w:val="000000"/>
          <w:szCs w:val="24"/>
        </w:rPr>
        <w:t xml:space="preserve"> </w:t>
      </w:r>
      <w:r w:rsidRPr="00FD1969">
        <w:rPr>
          <w:color w:val="000000"/>
          <w:szCs w:val="24"/>
        </w:rPr>
        <w:t>amendm</w:t>
      </w:r>
      <w:r w:rsidR="007C6938" w:rsidRPr="00FD1969">
        <w:rPr>
          <w:color w:val="000000"/>
          <w:szCs w:val="24"/>
        </w:rPr>
        <w:t>ent to the SIS Regul</w:t>
      </w:r>
      <w:r w:rsidR="00846C56" w:rsidRPr="00FD1969">
        <w:rPr>
          <w:color w:val="000000"/>
          <w:szCs w:val="24"/>
        </w:rPr>
        <w:t xml:space="preserve">ations </w:t>
      </w:r>
      <w:r w:rsidRPr="00FD1969">
        <w:rPr>
          <w:color w:val="000000"/>
          <w:szCs w:val="24"/>
        </w:rPr>
        <w:t>take</w:t>
      </w:r>
      <w:r w:rsidR="00846C56" w:rsidRPr="00FD1969">
        <w:rPr>
          <w:color w:val="000000"/>
          <w:szCs w:val="24"/>
        </w:rPr>
        <w:t>s</w:t>
      </w:r>
      <w:r w:rsidRPr="00FD1969">
        <w:rPr>
          <w:color w:val="000000"/>
          <w:szCs w:val="24"/>
        </w:rPr>
        <w:t xml:space="preserve"> effect on 1 July 2013.</w:t>
      </w:r>
    </w:p>
    <w:p w14:paraId="23E3847E" w14:textId="77777777" w:rsidR="00726A2A" w:rsidRPr="00FD1969" w:rsidRDefault="00726A2A" w:rsidP="00F60A72">
      <w:pPr>
        <w:keepNext/>
        <w:spacing w:before="120" w:after="240"/>
        <w:outlineLvl w:val="1"/>
        <w:rPr>
          <w:b/>
          <w:szCs w:val="24"/>
        </w:rPr>
      </w:pPr>
      <w:r w:rsidRPr="00FD1969">
        <w:rPr>
          <w:b/>
          <w:szCs w:val="24"/>
        </w:rPr>
        <w:t>Schedule </w:t>
      </w:r>
      <w:r w:rsidR="00F67CFB" w:rsidRPr="00FD1969">
        <w:rPr>
          <w:b/>
          <w:szCs w:val="24"/>
        </w:rPr>
        <w:t>3</w:t>
      </w:r>
      <w:r w:rsidRPr="00FD1969">
        <w:rPr>
          <w:b/>
          <w:szCs w:val="24"/>
        </w:rPr>
        <w:t>, item 2, regulations 4.07C and 4.07</w:t>
      </w:r>
      <w:r w:rsidR="000F66C6" w:rsidRPr="00FD1969">
        <w:rPr>
          <w:b/>
          <w:szCs w:val="24"/>
        </w:rPr>
        <w:t>D</w:t>
      </w:r>
      <w:r w:rsidR="00F57DDA" w:rsidRPr="00FD1969">
        <w:rPr>
          <w:b/>
          <w:szCs w:val="24"/>
        </w:rPr>
        <w:br/>
      </w:r>
      <w:r w:rsidRPr="00FD1969">
        <w:rPr>
          <w:b/>
          <w:szCs w:val="24"/>
        </w:rPr>
        <w:t>Operating standard – permitted types of insurance</w:t>
      </w:r>
    </w:p>
    <w:p w14:paraId="6A5E8B32" w14:textId="77777777" w:rsidR="00EB0DBD" w:rsidRPr="00FD1969" w:rsidRDefault="00EB0DBD" w:rsidP="00EB0DBD">
      <w:pPr>
        <w:spacing w:after="240"/>
        <w:rPr>
          <w:szCs w:val="24"/>
        </w:rPr>
      </w:pPr>
      <w:r w:rsidRPr="00FD1969">
        <w:rPr>
          <w:szCs w:val="24"/>
        </w:rPr>
        <w:t>Subsection 31(1) of the SIS Act allows operating standards to be prescribed in relation to the operation of regulated superannuation funds and to trustees and registrable superannuation licensees of those funds.</w:t>
      </w:r>
    </w:p>
    <w:p w14:paraId="480EEA8F" w14:textId="77777777" w:rsidR="00726A2A" w:rsidRPr="00FD1969" w:rsidRDefault="00B22871" w:rsidP="00F60A72">
      <w:pPr>
        <w:spacing w:after="240"/>
        <w:rPr>
          <w:szCs w:val="24"/>
        </w:rPr>
      </w:pPr>
      <w:r w:rsidRPr="00FD1969">
        <w:rPr>
          <w:szCs w:val="24"/>
        </w:rPr>
        <w:t>An</w:t>
      </w:r>
      <w:r w:rsidR="00726A2A" w:rsidRPr="00FD1969">
        <w:rPr>
          <w:szCs w:val="24"/>
        </w:rPr>
        <w:t xml:space="preserve"> operating</w:t>
      </w:r>
      <w:r w:rsidR="003A4D36" w:rsidRPr="00FD1969">
        <w:rPr>
          <w:szCs w:val="24"/>
        </w:rPr>
        <w:t xml:space="preserve"> standard </w:t>
      </w:r>
      <w:r w:rsidRPr="00FD1969">
        <w:rPr>
          <w:szCs w:val="24"/>
        </w:rPr>
        <w:t xml:space="preserve">is prescribed </w:t>
      </w:r>
      <w:r w:rsidR="003A4D36" w:rsidRPr="00FD1969">
        <w:rPr>
          <w:szCs w:val="24"/>
        </w:rPr>
        <w:t>under which the</w:t>
      </w:r>
      <w:r w:rsidR="00726A2A" w:rsidRPr="00FD1969">
        <w:rPr>
          <w:szCs w:val="24"/>
        </w:rPr>
        <w:t xml:space="preserve"> trustee of a </w:t>
      </w:r>
      <w:r w:rsidR="002A4D6E" w:rsidRPr="00FD1969">
        <w:rPr>
          <w:szCs w:val="24"/>
        </w:rPr>
        <w:t xml:space="preserve">regulated </w:t>
      </w:r>
      <w:r w:rsidR="00726A2A" w:rsidRPr="00FD1969">
        <w:rPr>
          <w:szCs w:val="24"/>
        </w:rPr>
        <w:t xml:space="preserve">superannuation fund is prohibited from providing </w:t>
      </w:r>
      <w:r w:rsidR="005401CB" w:rsidRPr="00FD1969">
        <w:rPr>
          <w:szCs w:val="24"/>
        </w:rPr>
        <w:t xml:space="preserve">members with </w:t>
      </w:r>
      <w:r w:rsidR="00726A2A" w:rsidRPr="00FD1969">
        <w:rPr>
          <w:szCs w:val="24"/>
        </w:rPr>
        <w:t xml:space="preserve">insured benefits other than those that satisfy the conditions of release at Schedule 1 of the SIS Regulations for death, terminal medical condition, permanent incapacity and temporary incapacity.  </w:t>
      </w:r>
    </w:p>
    <w:p w14:paraId="7F495147" w14:textId="77777777" w:rsidR="008518FA" w:rsidRPr="00FD1969" w:rsidRDefault="008518FA" w:rsidP="00F60A72">
      <w:pPr>
        <w:spacing w:after="240"/>
        <w:rPr>
          <w:szCs w:val="24"/>
        </w:rPr>
      </w:pPr>
      <w:r w:rsidRPr="00FD1969">
        <w:rPr>
          <w:szCs w:val="24"/>
        </w:rPr>
        <w:t xml:space="preserve">In order to comply, a trustee </w:t>
      </w:r>
      <w:r w:rsidR="00846C56" w:rsidRPr="00FD1969">
        <w:rPr>
          <w:szCs w:val="24"/>
        </w:rPr>
        <w:t>does</w:t>
      </w:r>
      <w:r w:rsidRPr="00FD1969">
        <w:rPr>
          <w:szCs w:val="24"/>
        </w:rPr>
        <w:t xml:space="preserve"> not need to adopt the </w:t>
      </w:r>
      <w:r w:rsidR="003A4D36" w:rsidRPr="00FD1969">
        <w:rPr>
          <w:szCs w:val="24"/>
        </w:rPr>
        <w:t xml:space="preserve">SIS Regulations </w:t>
      </w:r>
      <w:r w:rsidRPr="00FD1969">
        <w:rPr>
          <w:szCs w:val="24"/>
        </w:rPr>
        <w:t>definition</w:t>
      </w:r>
      <w:r w:rsidR="003A4D36" w:rsidRPr="00FD1969">
        <w:rPr>
          <w:szCs w:val="24"/>
        </w:rPr>
        <w:t>s</w:t>
      </w:r>
      <w:r w:rsidRPr="00FD1969">
        <w:rPr>
          <w:szCs w:val="24"/>
        </w:rPr>
        <w:t xml:space="preserve"> of these terms.  However, the definition</w:t>
      </w:r>
      <w:r w:rsidR="003A4D36" w:rsidRPr="00FD1969">
        <w:rPr>
          <w:szCs w:val="24"/>
        </w:rPr>
        <w:t>s</w:t>
      </w:r>
      <w:r w:rsidRPr="00FD1969">
        <w:rPr>
          <w:szCs w:val="24"/>
        </w:rPr>
        <w:t xml:space="preserve"> that </w:t>
      </w:r>
      <w:r w:rsidR="003A4D36" w:rsidRPr="00FD1969">
        <w:rPr>
          <w:szCs w:val="24"/>
        </w:rPr>
        <w:t>are</w:t>
      </w:r>
      <w:r w:rsidRPr="00FD1969">
        <w:rPr>
          <w:szCs w:val="24"/>
        </w:rPr>
        <w:t xml:space="preserve"> used must be consistent with the conditions of release and</w:t>
      </w:r>
      <w:r w:rsidR="003A4D36" w:rsidRPr="00FD1969">
        <w:rPr>
          <w:szCs w:val="24"/>
        </w:rPr>
        <w:t xml:space="preserve"> the insured benefits</w:t>
      </w:r>
      <w:r w:rsidRPr="00FD1969">
        <w:rPr>
          <w:szCs w:val="24"/>
        </w:rPr>
        <w:t xml:space="preserve"> must be able, in all circumstances, to be released to members.</w:t>
      </w:r>
    </w:p>
    <w:p w14:paraId="3AC00F1F" w14:textId="77777777" w:rsidR="00726A2A" w:rsidRPr="00FD1969" w:rsidRDefault="00846C56" w:rsidP="00F60A72">
      <w:pPr>
        <w:spacing w:after="240"/>
        <w:rPr>
          <w:szCs w:val="24"/>
        </w:rPr>
      </w:pPr>
      <w:r w:rsidRPr="00FD1969">
        <w:rPr>
          <w:szCs w:val="24"/>
        </w:rPr>
        <w:t xml:space="preserve">The </w:t>
      </w:r>
      <w:r w:rsidR="00726A2A" w:rsidRPr="00FD1969">
        <w:rPr>
          <w:szCs w:val="24"/>
        </w:rPr>
        <w:t xml:space="preserve">prohibition </w:t>
      </w:r>
      <w:r w:rsidRPr="00FD1969">
        <w:rPr>
          <w:szCs w:val="24"/>
        </w:rPr>
        <w:t>does not</w:t>
      </w:r>
      <w:r w:rsidR="00726A2A" w:rsidRPr="00FD1969">
        <w:rPr>
          <w:szCs w:val="24"/>
        </w:rPr>
        <w:t xml:space="preserve"> apply in respect of regulated superannuation funds.</w:t>
      </w:r>
    </w:p>
    <w:p w14:paraId="7510FB8A" w14:textId="77777777" w:rsidR="00726A2A" w:rsidRPr="00FD1969" w:rsidRDefault="00846C56" w:rsidP="00F60A72">
      <w:pPr>
        <w:spacing w:after="240"/>
        <w:rPr>
          <w:szCs w:val="24"/>
        </w:rPr>
      </w:pPr>
      <w:r w:rsidRPr="00FD1969">
        <w:rPr>
          <w:szCs w:val="24"/>
        </w:rPr>
        <w:t xml:space="preserve">The </w:t>
      </w:r>
      <w:r w:rsidR="00726A2A" w:rsidRPr="00FD1969">
        <w:rPr>
          <w:szCs w:val="24"/>
        </w:rPr>
        <w:t xml:space="preserve">prohibition </w:t>
      </w:r>
      <w:r w:rsidRPr="00FD1969">
        <w:rPr>
          <w:szCs w:val="24"/>
        </w:rPr>
        <w:t>does</w:t>
      </w:r>
      <w:r w:rsidR="00726A2A" w:rsidRPr="00FD1969">
        <w:rPr>
          <w:szCs w:val="24"/>
        </w:rPr>
        <w:t xml:space="preserve"> </w:t>
      </w:r>
      <w:r w:rsidR="005401CB" w:rsidRPr="00FD1969">
        <w:rPr>
          <w:szCs w:val="24"/>
        </w:rPr>
        <w:t>not apply to the continued provision of insured benefits to members who joined a fund before</w:t>
      </w:r>
      <w:r w:rsidR="003A4D36" w:rsidRPr="00FD1969">
        <w:rPr>
          <w:szCs w:val="24"/>
        </w:rPr>
        <w:t xml:space="preserve"> 1 July 2014 </w:t>
      </w:r>
      <w:r w:rsidR="00DF1CC2" w:rsidRPr="00FD1969">
        <w:rPr>
          <w:szCs w:val="24"/>
        </w:rPr>
        <w:t>and</w:t>
      </w:r>
      <w:r w:rsidR="003A4D36" w:rsidRPr="00FD1969">
        <w:rPr>
          <w:szCs w:val="24"/>
        </w:rPr>
        <w:t xml:space="preserve"> were </w:t>
      </w:r>
      <w:r w:rsidR="00B20E44" w:rsidRPr="00FD1969">
        <w:rPr>
          <w:szCs w:val="24"/>
        </w:rPr>
        <w:t>covered in respect of that in</w:t>
      </w:r>
      <w:r w:rsidR="003A4D36" w:rsidRPr="00FD1969">
        <w:rPr>
          <w:szCs w:val="24"/>
        </w:rPr>
        <w:t>sured benefit before 1 July 2014</w:t>
      </w:r>
      <w:r w:rsidR="00726A2A" w:rsidRPr="00FD1969">
        <w:rPr>
          <w:szCs w:val="24"/>
        </w:rPr>
        <w:t xml:space="preserve">.  </w:t>
      </w:r>
      <w:r w:rsidR="00944D88" w:rsidRPr="00FD1969">
        <w:rPr>
          <w:szCs w:val="24"/>
        </w:rPr>
        <w:t xml:space="preserve">This exemption </w:t>
      </w:r>
      <w:r w:rsidR="00B20E44" w:rsidRPr="00FD1969">
        <w:rPr>
          <w:szCs w:val="24"/>
        </w:rPr>
        <w:t xml:space="preserve">only </w:t>
      </w:r>
      <w:r w:rsidR="00944D88" w:rsidRPr="00FD1969">
        <w:rPr>
          <w:szCs w:val="24"/>
        </w:rPr>
        <w:t>extend</w:t>
      </w:r>
      <w:r w:rsidR="00B20E44" w:rsidRPr="00FD1969">
        <w:rPr>
          <w:szCs w:val="24"/>
        </w:rPr>
        <w:t>s</w:t>
      </w:r>
      <w:r w:rsidR="00944D88" w:rsidRPr="00FD1969">
        <w:rPr>
          <w:szCs w:val="24"/>
        </w:rPr>
        <w:t xml:space="preserve"> to circumstances where a member was </w:t>
      </w:r>
      <w:r w:rsidR="000F66C6" w:rsidRPr="00FD1969">
        <w:rPr>
          <w:szCs w:val="24"/>
        </w:rPr>
        <w:t xml:space="preserve">actually </w:t>
      </w:r>
      <w:r w:rsidR="00944D88" w:rsidRPr="00FD1969">
        <w:rPr>
          <w:szCs w:val="24"/>
        </w:rPr>
        <w:t>covered in respect of an insu</w:t>
      </w:r>
      <w:r w:rsidR="003A4D36" w:rsidRPr="00FD1969">
        <w:rPr>
          <w:szCs w:val="24"/>
        </w:rPr>
        <w:t>red benefit prior to 1 July 2014</w:t>
      </w:r>
      <w:r w:rsidR="00944D88" w:rsidRPr="00FD1969">
        <w:rPr>
          <w:szCs w:val="24"/>
        </w:rPr>
        <w:t>.</w:t>
      </w:r>
      <w:r w:rsidR="003A4D36" w:rsidRPr="00FD1969">
        <w:rPr>
          <w:szCs w:val="24"/>
        </w:rPr>
        <w:t xml:space="preserve">  From 1 July 2014 the exemption </w:t>
      </w:r>
      <w:r w:rsidRPr="00FD1969">
        <w:rPr>
          <w:szCs w:val="24"/>
        </w:rPr>
        <w:t>cannot</w:t>
      </w:r>
      <w:r w:rsidR="003A4D36" w:rsidRPr="00FD1969">
        <w:rPr>
          <w:szCs w:val="24"/>
        </w:rPr>
        <w:t xml:space="preserve"> be used to provide a member with a type of cover they did not have prior to 1 July 2014</w:t>
      </w:r>
      <w:r w:rsidR="000F66C6" w:rsidRPr="00FD1969">
        <w:rPr>
          <w:szCs w:val="24"/>
        </w:rPr>
        <w:t>.  However, a member c</w:t>
      </w:r>
      <w:r w:rsidRPr="00FD1969">
        <w:rPr>
          <w:szCs w:val="24"/>
        </w:rPr>
        <w:t>an</w:t>
      </w:r>
      <w:r w:rsidR="000F66C6" w:rsidRPr="00FD1969">
        <w:rPr>
          <w:szCs w:val="24"/>
        </w:rPr>
        <w:t xml:space="preserve"> vary the</w:t>
      </w:r>
      <w:r w:rsidR="003A4D36" w:rsidRPr="00FD1969">
        <w:rPr>
          <w:szCs w:val="24"/>
        </w:rPr>
        <w:t>ir</w:t>
      </w:r>
      <w:r w:rsidR="000F66C6" w:rsidRPr="00FD1969">
        <w:rPr>
          <w:szCs w:val="24"/>
        </w:rPr>
        <w:t xml:space="preserve"> level of cover</w:t>
      </w:r>
      <w:r w:rsidR="003A4D36" w:rsidRPr="00FD1969">
        <w:rPr>
          <w:szCs w:val="24"/>
        </w:rPr>
        <w:t xml:space="preserve"> from 1 July 2014.  F</w:t>
      </w:r>
      <w:r w:rsidR="000F66C6" w:rsidRPr="00FD1969">
        <w:rPr>
          <w:szCs w:val="24"/>
        </w:rPr>
        <w:t>or example, the cover could be increased or decreased, and associated premiums adjusted</w:t>
      </w:r>
      <w:r w:rsidR="003A4D36" w:rsidRPr="00FD1969">
        <w:rPr>
          <w:szCs w:val="24"/>
        </w:rPr>
        <w:t>, after 1 July 2014</w:t>
      </w:r>
      <w:r w:rsidR="000F66C6" w:rsidRPr="00FD1969">
        <w:rPr>
          <w:szCs w:val="24"/>
        </w:rPr>
        <w:t>.</w:t>
      </w:r>
      <w:r w:rsidR="00944D88" w:rsidRPr="00FD1969">
        <w:rPr>
          <w:szCs w:val="24"/>
        </w:rPr>
        <w:t xml:space="preserve">  </w:t>
      </w:r>
    </w:p>
    <w:p w14:paraId="278ED0D3" w14:textId="77777777" w:rsidR="000F66C6" w:rsidRPr="00FD1969" w:rsidRDefault="000F66C6" w:rsidP="00F60A72">
      <w:pPr>
        <w:spacing w:after="240"/>
        <w:rPr>
          <w:szCs w:val="24"/>
        </w:rPr>
      </w:pPr>
      <w:r w:rsidRPr="00FD1969">
        <w:rPr>
          <w:szCs w:val="24"/>
        </w:rPr>
        <w:t>This exemption sti</w:t>
      </w:r>
      <w:r w:rsidR="00846C56" w:rsidRPr="00FD1969">
        <w:rPr>
          <w:szCs w:val="24"/>
        </w:rPr>
        <w:t>ll applies</w:t>
      </w:r>
      <w:r w:rsidRPr="00FD1969">
        <w:rPr>
          <w:szCs w:val="24"/>
        </w:rPr>
        <w:t xml:space="preserve"> if the member is transferred to another fund under the successor fund transfer rules at regulation 6.29.  </w:t>
      </w:r>
      <w:r w:rsidR="003A4D36" w:rsidRPr="00FD1969">
        <w:rPr>
          <w:szCs w:val="24"/>
        </w:rPr>
        <w:t xml:space="preserve">The insurance arrangements they had in place prior to 1 July 2014 </w:t>
      </w:r>
      <w:r w:rsidR="00846C56" w:rsidRPr="00FD1969">
        <w:rPr>
          <w:szCs w:val="24"/>
        </w:rPr>
        <w:t>can</w:t>
      </w:r>
      <w:r w:rsidR="00570679" w:rsidRPr="00FD1969">
        <w:rPr>
          <w:szCs w:val="24"/>
        </w:rPr>
        <w:t xml:space="preserve"> continue in the new fund.</w:t>
      </w:r>
    </w:p>
    <w:p w14:paraId="2CEDF383" w14:textId="77777777" w:rsidR="00726A2A" w:rsidRPr="00FD1969" w:rsidRDefault="00726A2A" w:rsidP="00F60A72">
      <w:pPr>
        <w:spacing w:after="240"/>
        <w:rPr>
          <w:szCs w:val="24"/>
        </w:rPr>
      </w:pPr>
      <w:r w:rsidRPr="00FD1969">
        <w:rPr>
          <w:szCs w:val="24"/>
        </w:rPr>
        <w:lastRenderedPageBreak/>
        <w:t>In addition, where an approval has been g</w:t>
      </w:r>
      <w:r w:rsidR="003A4D36" w:rsidRPr="00FD1969">
        <w:rPr>
          <w:szCs w:val="24"/>
        </w:rPr>
        <w:t>ranted, prior to 1 July 2014</w:t>
      </w:r>
      <w:r w:rsidRPr="00FD1969">
        <w:rPr>
          <w:szCs w:val="24"/>
        </w:rPr>
        <w:t xml:space="preserve">, under subparagraph 62(1)(b)(v) of the SIS Act for the provision of and release to beneficiaries of particular insured benefits, those benefits </w:t>
      </w:r>
      <w:r w:rsidR="00846C56" w:rsidRPr="00FD1969">
        <w:rPr>
          <w:szCs w:val="24"/>
        </w:rPr>
        <w:t>are</w:t>
      </w:r>
      <w:r w:rsidRPr="00FD1969">
        <w:rPr>
          <w:szCs w:val="24"/>
        </w:rPr>
        <w:t xml:space="preserve"> exempted from the restrictions on providing types of i</w:t>
      </w:r>
      <w:r w:rsidR="00846C56" w:rsidRPr="00FD1969">
        <w:rPr>
          <w:szCs w:val="24"/>
        </w:rPr>
        <w:t xml:space="preserve">nsured benefits.  This exemption </w:t>
      </w:r>
      <w:r w:rsidRPr="00FD1969">
        <w:rPr>
          <w:szCs w:val="24"/>
        </w:rPr>
        <w:t>include</w:t>
      </w:r>
      <w:r w:rsidR="00846C56" w:rsidRPr="00FD1969">
        <w:rPr>
          <w:szCs w:val="24"/>
        </w:rPr>
        <w:t>s</w:t>
      </w:r>
      <w:r w:rsidRPr="00FD1969">
        <w:rPr>
          <w:szCs w:val="24"/>
        </w:rPr>
        <w:t xml:space="preserve"> the provision of such benefits to beneficiaries who </w:t>
      </w:r>
      <w:r w:rsidR="003A4D36" w:rsidRPr="00FD1969">
        <w:rPr>
          <w:szCs w:val="24"/>
        </w:rPr>
        <w:t>joined the fund from 1 July 2014</w:t>
      </w:r>
      <w:r w:rsidR="00846C56" w:rsidRPr="00FD1969">
        <w:rPr>
          <w:szCs w:val="24"/>
        </w:rPr>
        <w:t>.  The exemption only applies</w:t>
      </w:r>
      <w:r w:rsidRPr="00FD1969">
        <w:rPr>
          <w:szCs w:val="24"/>
        </w:rPr>
        <w:t xml:space="preserve"> while the approval under subparagraph 62(1)(b)(v) remains in force. </w:t>
      </w:r>
    </w:p>
    <w:p w14:paraId="3FA3BFA8" w14:textId="77777777" w:rsidR="00726A2A" w:rsidRPr="00FD1969" w:rsidRDefault="00726A2A" w:rsidP="00F60A72">
      <w:pPr>
        <w:spacing w:after="240"/>
        <w:rPr>
          <w:szCs w:val="24"/>
        </w:rPr>
      </w:pPr>
      <w:r w:rsidRPr="00FD1969">
        <w:rPr>
          <w:szCs w:val="24"/>
        </w:rPr>
        <w:t>Where a trustee is unable to amend the governing rules of a f</w:t>
      </w:r>
      <w:r w:rsidR="00846C56" w:rsidRPr="00FD1969">
        <w:rPr>
          <w:szCs w:val="24"/>
        </w:rPr>
        <w:t xml:space="preserve">und to comply with the </w:t>
      </w:r>
      <w:r w:rsidRPr="00FD1969">
        <w:rPr>
          <w:szCs w:val="24"/>
        </w:rPr>
        <w:t>restrictions on providing insure</w:t>
      </w:r>
      <w:r w:rsidR="00846C56" w:rsidRPr="00FD1969">
        <w:rPr>
          <w:szCs w:val="24"/>
        </w:rPr>
        <w:t xml:space="preserve">d benefits, </w:t>
      </w:r>
      <w:r w:rsidRPr="00FD1969">
        <w:rPr>
          <w:szCs w:val="24"/>
        </w:rPr>
        <w:t xml:space="preserve">those terms of the governing rules </w:t>
      </w:r>
      <w:r w:rsidR="00846C56" w:rsidRPr="00FD1969">
        <w:rPr>
          <w:szCs w:val="24"/>
        </w:rPr>
        <w:t>are</w:t>
      </w:r>
      <w:r w:rsidRPr="00FD1969">
        <w:rPr>
          <w:szCs w:val="24"/>
        </w:rPr>
        <w:t xml:space="preserve"> deemed to be omitted from the governing rules and replaced by terms that allow the provision of benefits that are permitted. </w:t>
      </w:r>
    </w:p>
    <w:p w14:paraId="07FC6C6C" w14:textId="77777777" w:rsidR="00726A2A" w:rsidRPr="00FD1969" w:rsidRDefault="00726A2A" w:rsidP="00F60A72">
      <w:pPr>
        <w:spacing w:after="240"/>
        <w:rPr>
          <w:szCs w:val="24"/>
        </w:rPr>
      </w:pPr>
      <w:r w:rsidRPr="00FD1969">
        <w:rPr>
          <w:szCs w:val="24"/>
        </w:rPr>
        <w:t>Currently, superannuation funds offer a range of benefits to members as permitted by the core and ancillary purposes of the sole purpose test at section 62 of the SIS Act.</w:t>
      </w:r>
    </w:p>
    <w:p w14:paraId="79D81D49" w14:textId="77777777" w:rsidR="00726A2A" w:rsidRPr="00FD1969" w:rsidRDefault="00726A2A" w:rsidP="00F60A72">
      <w:pPr>
        <w:spacing w:after="240"/>
        <w:rPr>
          <w:szCs w:val="24"/>
        </w:rPr>
      </w:pPr>
      <w:r w:rsidRPr="00FD1969">
        <w:rPr>
          <w:szCs w:val="24"/>
        </w:rPr>
        <w:t>The wording of section 62 allows funds to offer insured benefits that are not consistent with the conditions of release in Schedule 1 of the SIS Regulations.  As a result, they cannot be released to members at the time of their disability</w:t>
      </w:r>
      <w:r w:rsidR="0037327C" w:rsidRPr="00FD1969">
        <w:rPr>
          <w:szCs w:val="24"/>
        </w:rPr>
        <w:t xml:space="preserve">, but must remain within a member’s superannuation account until a condition of release, such as </w:t>
      </w:r>
      <w:r w:rsidR="00443613" w:rsidRPr="00FD1969">
        <w:rPr>
          <w:szCs w:val="24"/>
        </w:rPr>
        <w:t xml:space="preserve">the member </w:t>
      </w:r>
      <w:r w:rsidR="0037327C" w:rsidRPr="00FD1969">
        <w:rPr>
          <w:szCs w:val="24"/>
        </w:rPr>
        <w:t>reaching the</w:t>
      </w:r>
      <w:r w:rsidR="00443613" w:rsidRPr="00FD1969">
        <w:rPr>
          <w:szCs w:val="24"/>
        </w:rPr>
        <w:t>ir</w:t>
      </w:r>
      <w:r w:rsidR="0037327C" w:rsidRPr="00FD1969">
        <w:rPr>
          <w:szCs w:val="24"/>
        </w:rPr>
        <w:t xml:space="preserve"> superannuation preservation age, is met.</w:t>
      </w:r>
      <w:r w:rsidRPr="00FD1969">
        <w:rPr>
          <w:szCs w:val="24"/>
        </w:rPr>
        <w:t xml:space="preserve"> </w:t>
      </w:r>
    </w:p>
    <w:p w14:paraId="72E8603E" w14:textId="77777777" w:rsidR="00726A2A" w:rsidRPr="00FD1969" w:rsidRDefault="00B15590" w:rsidP="00F60A72">
      <w:pPr>
        <w:spacing w:after="240"/>
        <w:rPr>
          <w:szCs w:val="24"/>
        </w:rPr>
      </w:pPr>
      <w:r w:rsidRPr="00FD1969">
        <w:rPr>
          <w:szCs w:val="24"/>
        </w:rPr>
        <w:t xml:space="preserve">The operating standard </w:t>
      </w:r>
      <w:r w:rsidR="000F66C6" w:rsidRPr="00FD1969">
        <w:rPr>
          <w:szCs w:val="24"/>
        </w:rPr>
        <w:t>take</w:t>
      </w:r>
      <w:r w:rsidRPr="00FD1969">
        <w:rPr>
          <w:szCs w:val="24"/>
        </w:rPr>
        <w:t>s</w:t>
      </w:r>
      <w:r w:rsidR="000F66C6" w:rsidRPr="00FD1969">
        <w:rPr>
          <w:szCs w:val="24"/>
        </w:rPr>
        <w:t xml:space="preserve"> effect from 1 July 2014</w:t>
      </w:r>
      <w:r w:rsidR="00726A2A" w:rsidRPr="00FD1969">
        <w:rPr>
          <w:szCs w:val="24"/>
        </w:rPr>
        <w:t>.</w:t>
      </w:r>
    </w:p>
    <w:p w14:paraId="57C12BEC" w14:textId="77777777" w:rsidR="000F66C6" w:rsidRPr="00FD1969" w:rsidRDefault="000F66C6" w:rsidP="00F60A72">
      <w:pPr>
        <w:keepNext/>
        <w:spacing w:before="120" w:after="240"/>
        <w:outlineLvl w:val="1"/>
        <w:rPr>
          <w:b/>
          <w:szCs w:val="24"/>
        </w:rPr>
      </w:pPr>
      <w:r w:rsidRPr="00FD1969">
        <w:rPr>
          <w:b/>
          <w:szCs w:val="24"/>
        </w:rPr>
        <w:t>Schedule </w:t>
      </w:r>
      <w:r w:rsidR="00F67CFB" w:rsidRPr="00FD1969">
        <w:rPr>
          <w:b/>
          <w:szCs w:val="24"/>
        </w:rPr>
        <w:t>3</w:t>
      </w:r>
      <w:r w:rsidRPr="00FD1969">
        <w:rPr>
          <w:b/>
          <w:szCs w:val="24"/>
        </w:rPr>
        <w:t>, item 2, regulation 4.07E</w:t>
      </w:r>
      <w:r w:rsidR="00F57DDA" w:rsidRPr="00FD1969">
        <w:rPr>
          <w:b/>
          <w:szCs w:val="24"/>
        </w:rPr>
        <w:br/>
      </w:r>
      <w:r w:rsidRPr="00FD1969">
        <w:rPr>
          <w:b/>
          <w:szCs w:val="24"/>
        </w:rPr>
        <w:t>Operating standard – self-insurance</w:t>
      </w:r>
    </w:p>
    <w:p w14:paraId="28BEF140" w14:textId="77777777" w:rsidR="00286A00" w:rsidRPr="00FD1969" w:rsidRDefault="00CA3DF6" w:rsidP="00286A00">
      <w:pPr>
        <w:spacing w:after="240"/>
        <w:rPr>
          <w:szCs w:val="24"/>
        </w:rPr>
      </w:pPr>
      <w:r w:rsidRPr="00FD1969">
        <w:rPr>
          <w:szCs w:val="24"/>
        </w:rPr>
        <w:t>P</w:t>
      </w:r>
      <w:r w:rsidR="000F66C6" w:rsidRPr="00FD1969">
        <w:rPr>
          <w:szCs w:val="24"/>
        </w:rPr>
        <w:t>aragraph 31(2)(</w:t>
      </w:r>
      <w:proofErr w:type="spellStart"/>
      <w:r w:rsidR="000F66C6" w:rsidRPr="00FD1969">
        <w:rPr>
          <w:szCs w:val="24"/>
        </w:rPr>
        <w:t>eb</w:t>
      </w:r>
      <w:proofErr w:type="spellEnd"/>
      <w:r w:rsidR="000F66C6" w:rsidRPr="00FD1969">
        <w:rPr>
          <w:szCs w:val="24"/>
        </w:rPr>
        <w:t>) of the SIS Act will allow operating standards to be prescribed in relation to the kinds of benefits that must not be provided other than by taking out insurance, or insurance of a particular kind.</w:t>
      </w:r>
    </w:p>
    <w:p w14:paraId="4039E909" w14:textId="77777777" w:rsidR="00EA208E" w:rsidRPr="00FD1969" w:rsidRDefault="003B5C5D" w:rsidP="00286A00">
      <w:pPr>
        <w:spacing w:after="240"/>
        <w:rPr>
          <w:szCs w:val="24"/>
        </w:rPr>
      </w:pPr>
      <w:r w:rsidRPr="00FD1969">
        <w:rPr>
          <w:szCs w:val="24"/>
        </w:rPr>
        <w:t>A</w:t>
      </w:r>
      <w:r w:rsidR="000F66C6" w:rsidRPr="00FD1969">
        <w:rPr>
          <w:szCs w:val="24"/>
        </w:rPr>
        <w:t xml:space="preserve">n operating standard </w:t>
      </w:r>
      <w:r w:rsidRPr="00FD1969">
        <w:rPr>
          <w:szCs w:val="24"/>
        </w:rPr>
        <w:t xml:space="preserve">is prescribed </w:t>
      </w:r>
      <w:r w:rsidR="000F66C6" w:rsidRPr="00FD1969">
        <w:rPr>
          <w:szCs w:val="24"/>
        </w:rPr>
        <w:t xml:space="preserve">under which trustees of regulated funds </w:t>
      </w:r>
      <w:r w:rsidRPr="00FD1969">
        <w:rPr>
          <w:szCs w:val="24"/>
        </w:rPr>
        <w:t>are not</w:t>
      </w:r>
      <w:r w:rsidR="000F66C6" w:rsidRPr="00FD1969">
        <w:rPr>
          <w:szCs w:val="24"/>
        </w:rPr>
        <w:t xml:space="preserve"> permitted to provide insured benefits unless they are backed by an insurance policy</w:t>
      </w:r>
      <w:r w:rsidR="00EA208E" w:rsidRPr="00FD1969">
        <w:rPr>
          <w:szCs w:val="24"/>
        </w:rPr>
        <w:t xml:space="preserve"> provided by an insurer</w:t>
      </w:r>
      <w:r w:rsidR="000F66C6" w:rsidRPr="00FD1969">
        <w:rPr>
          <w:szCs w:val="24"/>
        </w:rPr>
        <w:t>.</w:t>
      </w:r>
      <w:r w:rsidRPr="00FD1969">
        <w:rPr>
          <w:szCs w:val="24"/>
        </w:rPr>
        <w:t xml:space="preserve">  This </w:t>
      </w:r>
      <w:r w:rsidR="00EA208E" w:rsidRPr="00FD1969">
        <w:rPr>
          <w:szCs w:val="24"/>
        </w:rPr>
        <w:t>include</w:t>
      </w:r>
      <w:r w:rsidRPr="00FD1969">
        <w:rPr>
          <w:szCs w:val="24"/>
        </w:rPr>
        <w:t>s</w:t>
      </w:r>
      <w:r w:rsidR="00EA208E" w:rsidRPr="00FD1969">
        <w:rPr>
          <w:szCs w:val="24"/>
        </w:rPr>
        <w:t xml:space="preserve"> insurance from a Lloyd’s underwriter.</w:t>
      </w:r>
      <w:r w:rsidR="000F66C6" w:rsidRPr="00FD1969">
        <w:rPr>
          <w:szCs w:val="24"/>
        </w:rPr>
        <w:t xml:space="preserve">  </w:t>
      </w:r>
    </w:p>
    <w:p w14:paraId="08ADCE5F" w14:textId="77777777" w:rsidR="000F66C6" w:rsidRPr="00FD1969" w:rsidRDefault="00CA3DF6" w:rsidP="00286A00">
      <w:pPr>
        <w:spacing w:after="240"/>
        <w:outlineLvl w:val="3"/>
        <w:rPr>
          <w:szCs w:val="24"/>
        </w:rPr>
      </w:pPr>
      <w:r w:rsidRPr="00FD1969">
        <w:rPr>
          <w:szCs w:val="24"/>
        </w:rPr>
        <w:t xml:space="preserve">For funds that do not self-insure, this </w:t>
      </w:r>
      <w:r w:rsidR="003B5C5D" w:rsidRPr="00FD1969">
        <w:rPr>
          <w:szCs w:val="24"/>
        </w:rPr>
        <w:t xml:space="preserve">standard </w:t>
      </w:r>
      <w:r w:rsidRPr="00FD1969">
        <w:rPr>
          <w:szCs w:val="24"/>
        </w:rPr>
        <w:t>take</w:t>
      </w:r>
      <w:r w:rsidR="003B5C5D" w:rsidRPr="00FD1969">
        <w:rPr>
          <w:szCs w:val="24"/>
        </w:rPr>
        <w:t>s</w:t>
      </w:r>
      <w:r w:rsidRPr="00FD1969">
        <w:rPr>
          <w:szCs w:val="24"/>
        </w:rPr>
        <w:t xml:space="preserve"> effect on 1 July 2013.</w:t>
      </w:r>
    </w:p>
    <w:p w14:paraId="0ED2CCA9" w14:textId="77777777" w:rsidR="00CA3DF6" w:rsidRPr="00FD1969" w:rsidRDefault="00CA3DF6" w:rsidP="00286A00">
      <w:pPr>
        <w:spacing w:after="240"/>
        <w:outlineLvl w:val="3"/>
        <w:rPr>
          <w:szCs w:val="24"/>
        </w:rPr>
      </w:pPr>
      <w:r w:rsidRPr="00FD1969">
        <w:rPr>
          <w:szCs w:val="24"/>
        </w:rPr>
        <w:t xml:space="preserve">For funds that do self-insure </w:t>
      </w:r>
      <w:r w:rsidR="00DF1CC2" w:rsidRPr="00FD1969">
        <w:rPr>
          <w:szCs w:val="24"/>
        </w:rPr>
        <w:t>at 1 July 2013</w:t>
      </w:r>
      <w:r w:rsidRPr="00FD1969">
        <w:rPr>
          <w:szCs w:val="24"/>
        </w:rPr>
        <w:t xml:space="preserve">, this </w:t>
      </w:r>
      <w:r w:rsidR="003B5C5D" w:rsidRPr="00FD1969">
        <w:rPr>
          <w:szCs w:val="24"/>
        </w:rPr>
        <w:t xml:space="preserve">standard </w:t>
      </w:r>
      <w:r w:rsidR="00EA208E" w:rsidRPr="00FD1969">
        <w:rPr>
          <w:szCs w:val="24"/>
        </w:rPr>
        <w:t>take</w:t>
      </w:r>
      <w:r w:rsidR="003B5C5D" w:rsidRPr="00FD1969">
        <w:rPr>
          <w:szCs w:val="24"/>
        </w:rPr>
        <w:t>s</w:t>
      </w:r>
      <w:r w:rsidRPr="00FD1969">
        <w:rPr>
          <w:szCs w:val="24"/>
        </w:rPr>
        <w:t xml:space="preserve"> effect on 1 July 2016.  This provides a three year transitional period for funds to move from self</w:t>
      </w:r>
      <w:r w:rsidR="00881612" w:rsidRPr="00FD1969">
        <w:rPr>
          <w:szCs w:val="24"/>
        </w:rPr>
        <w:noBreakHyphen/>
      </w:r>
      <w:r w:rsidRPr="00FD1969">
        <w:rPr>
          <w:szCs w:val="24"/>
        </w:rPr>
        <w:t xml:space="preserve">insurance to </w:t>
      </w:r>
      <w:r w:rsidR="00570679" w:rsidRPr="00FD1969">
        <w:rPr>
          <w:szCs w:val="24"/>
        </w:rPr>
        <w:t>external insurance arrangements.  During this period, those funds c</w:t>
      </w:r>
      <w:r w:rsidR="003B5C5D" w:rsidRPr="00FD1969">
        <w:rPr>
          <w:szCs w:val="24"/>
        </w:rPr>
        <w:t>an</w:t>
      </w:r>
      <w:r w:rsidR="00570679" w:rsidRPr="00FD1969">
        <w:rPr>
          <w:szCs w:val="24"/>
        </w:rPr>
        <w:t xml:space="preserve"> continue to self-insure in respect of new members.  In addition, i</w:t>
      </w:r>
      <w:r w:rsidRPr="00FD1969">
        <w:rPr>
          <w:szCs w:val="24"/>
        </w:rPr>
        <w:t>f a fund is self</w:t>
      </w:r>
      <w:r w:rsidR="00881612" w:rsidRPr="00FD1969">
        <w:rPr>
          <w:szCs w:val="24"/>
        </w:rPr>
        <w:noBreakHyphen/>
      </w:r>
      <w:r w:rsidRPr="00FD1969">
        <w:rPr>
          <w:szCs w:val="24"/>
        </w:rPr>
        <w:t xml:space="preserve">insuring </w:t>
      </w:r>
      <w:r w:rsidR="00E22930" w:rsidRPr="00FD1969">
        <w:rPr>
          <w:szCs w:val="24"/>
        </w:rPr>
        <w:t xml:space="preserve">in respect of members that become </w:t>
      </w:r>
      <w:proofErr w:type="spellStart"/>
      <w:r w:rsidR="00E22930" w:rsidRPr="00FD1969">
        <w:rPr>
          <w:szCs w:val="24"/>
        </w:rPr>
        <w:t>MySuper</w:t>
      </w:r>
      <w:proofErr w:type="spellEnd"/>
      <w:r w:rsidR="00E22930" w:rsidRPr="00FD1969">
        <w:rPr>
          <w:szCs w:val="24"/>
        </w:rPr>
        <w:t xml:space="preserve"> members on or after 1</w:t>
      </w:r>
      <w:r w:rsidR="00881612" w:rsidRPr="00FD1969">
        <w:rPr>
          <w:szCs w:val="24"/>
        </w:rPr>
        <w:t> </w:t>
      </w:r>
      <w:r w:rsidR="00E22930" w:rsidRPr="00FD1969">
        <w:rPr>
          <w:szCs w:val="24"/>
        </w:rPr>
        <w:t>July</w:t>
      </w:r>
      <w:r w:rsidR="00881612" w:rsidRPr="00FD1969">
        <w:rPr>
          <w:szCs w:val="24"/>
        </w:rPr>
        <w:t> </w:t>
      </w:r>
      <w:r w:rsidR="00E22930" w:rsidRPr="00FD1969">
        <w:rPr>
          <w:szCs w:val="24"/>
        </w:rPr>
        <w:t>2013, then under this regulation the insured benefits of these members may continue to be provided by way of self-insurance until 1 July 2016.</w:t>
      </w:r>
      <w:r w:rsidR="00253CDD" w:rsidRPr="00FD1969">
        <w:rPr>
          <w:szCs w:val="24"/>
        </w:rPr>
        <w:t xml:space="preserve">  The requirement to provide benefits under section 68AA of the </w:t>
      </w:r>
      <w:r w:rsidR="00DF1CC2" w:rsidRPr="00FD1969">
        <w:rPr>
          <w:szCs w:val="24"/>
        </w:rPr>
        <w:t>SIS Act</w:t>
      </w:r>
      <w:r w:rsidR="00253CDD" w:rsidRPr="00FD1969">
        <w:rPr>
          <w:szCs w:val="24"/>
        </w:rPr>
        <w:t>, by taking out insurance, encompasses self-insurance.</w:t>
      </w:r>
    </w:p>
    <w:p w14:paraId="48022112" w14:textId="77777777" w:rsidR="00DF1CC2" w:rsidRPr="00FD1969" w:rsidRDefault="00D81C68" w:rsidP="00286A00">
      <w:pPr>
        <w:spacing w:after="240"/>
        <w:outlineLvl w:val="3"/>
        <w:rPr>
          <w:szCs w:val="24"/>
        </w:rPr>
      </w:pPr>
      <w:r w:rsidRPr="00FD1969">
        <w:rPr>
          <w:szCs w:val="24"/>
        </w:rPr>
        <w:t>W</w:t>
      </w:r>
      <w:r w:rsidR="00DF1CC2" w:rsidRPr="00FD1969">
        <w:rPr>
          <w:szCs w:val="24"/>
        </w:rPr>
        <w:t>here a member is transferred from a fund</w:t>
      </w:r>
      <w:r w:rsidRPr="00FD1969">
        <w:rPr>
          <w:szCs w:val="24"/>
        </w:rPr>
        <w:t xml:space="preserve"> that is self-insured to one that</w:t>
      </w:r>
      <w:r w:rsidR="00742F9A" w:rsidRPr="00FD1969">
        <w:rPr>
          <w:szCs w:val="24"/>
        </w:rPr>
        <w:t>, prior to the transfer of the member,</w:t>
      </w:r>
      <w:r w:rsidRPr="00FD1969">
        <w:rPr>
          <w:szCs w:val="24"/>
        </w:rPr>
        <w:t xml:space="preserve"> d</w:t>
      </w:r>
      <w:r w:rsidR="00742F9A" w:rsidRPr="00FD1969">
        <w:rPr>
          <w:szCs w:val="24"/>
        </w:rPr>
        <w:t>id</w:t>
      </w:r>
      <w:r w:rsidRPr="00FD1969">
        <w:rPr>
          <w:szCs w:val="24"/>
        </w:rPr>
        <w:t xml:space="preserve"> not self-insure, the trustee of the receiving fund </w:t>
      </w:r>
      <w:r w:rsidR="003B5C5D" w:rsidRPr="00FD1969">
        <w:rPr>
          <w:szCs w:val="24"/>
        </w:rPr>
        <w:t>is</w:t>
      </w:r>
      <w:r w:rsidRPr="00FD1969">
        <w:rPr>
          <w:szCs w:val="24"/>
        </w:rPr>
        <w:t xml:space="preserve"> able to continue to self-insure in respect of that member until 1 July 2016.</w:t>
      </w:r>
      <w:r w:rsidR="003B5C5D" w:rsidRPr="00FD1969">
        <w:rPr>
          <w:szCs w:val="24"/>
        </w:rPr>
        <w:t xml:space="preserve">  This applies</w:t>
      </w:r>
      <w:r w:rsidR="006D493B" w:rsidRPr="00FD1969">
        <w:rPr>
          <w:szCs w:val="24"/>
        </w:rPr>
        <w:t xml:space="preserve"> only to </w:t>
      </w:r>
      <w:r w:rsidR="00F4290B" w:rsidRPr="00FD1969">
        <w:rPr>
          <w:szCs w:val="24"/>
        </w:rPr>
        <w:t xml:space="preserve">successor fund transfers and to transfers under Part 33 of the SIS Act, which deals with moving accrued default amounts to </w:t>
      </w:r>
      <w:proofErr w:type="spellStart"/>
      <w:r w:rsidR="00F4290B" w:rsidRPr="00FD1969">
        <w:rPr>
          <w:szCs w:val="24"/>
        </w:rPr>
        <w:t>MySuper</w:t>
      </w:r>
      <w:proofErr w:type="spellEnd"/>
      <w:r w:rsidR="00F4290B" w:rsidRPr="00FD1969">
        <w:rPr>
          <w:szCs w:val="24"/>
        </w:rPr>
        <w:t xml:space="preserve"> products.</w:t>
      </w:r>
    </w:p>
    <w:p w14:paraId="14BB99CA" w14:textId="77777777" w:rsidR="000F66C6" w:rsidRPr="00FD1969" w:rsidRDefault="00253CDD" w:rsidP="00F60A72">
      <w:pPr>
        <w:spacing w:after="240"/>
        <w:rPr>
          <w:szCs w:val="24"/>
        </w:rPr>
      </w:pPr>
      <w:r w:rsidRPr="00FD1969">
        <w:rPr>
          <w:szCs w:val="24"/>
        </w:rPr>
        <w:lastRenderedPageBreak/>
        <w:t>Furthermore, t</w:t>
      </w:r>
      <w:r w:rsidR="003B5C5D" w:rsidRPr="00FD1969">
        <w:rPr>
          <w:szCs w:val="24"/>
        </w:rPr>
        <w:t xml:space="preserve">he </w:t>
      </w:r>
      <w:r w:rsidR="000F66C6" w:rsidRPr="00FD1969">
        <w:rPr>
          <w:szCs w:val="24"/>
        </w:rPr>
        <w:t xml:space="preserve">prohibition on self-insurance </w:t>
      </w:r>
      <w:r w:rsidR="003B5C5D" w:rsidRPr="00FD1969">
        <w:rPr>
          <w:szCs w:val="24"/>
        </w:rPr>
        <w:t>does</w:t>
      </w:r>
      <w:r w:rsidR="000F66C6" w:rsidRPr="00FD1969">
        <w:rPr>
          <w:szCs w:val="24"/>
        </w:rPr>
        <w:t xml:space="preserve"> not apply to the provision of insured benefits to defined benefit members of funds (or sub-funds) that, as at 1 July 2013, are self-insuring in respect of their defined benefit members and are not prohibited from doing so by means of a condition on their trustee’s licence.  </w:t>
      </w:r>
    </w:p>
    <w:p w14:paraId="7C07A396" w14:textId="77777777" w:rsidR="000F66C6" w:rsidRPr="00FD1969" w:rsidRDefault="000F66C6" w:rsidP="00F60A72">
      <w:pPr>
        <w:spacing w:after="240"/>
        <w:rPr>
          <w:szCs w:val="24"/>
        </w:rPr>
      </w:pPr>
      <w:r w:rsidRPr="00FD1969">
        <w:rPr>
          <w:szCs w:val="24"/>
        </w:rPr>
        <w:t xml:space="preserve">The proposed prohibition </w:t>
      </w:r>
      <w:r w:rsidR="003B5C5D" w:rsidRPr="00FD1969">
        <w:rPr>
          <w:szCs w:val="24"/>
        </w:rPr>
        <w:t>does</w:t>
      </w:r>
      <w:r w:rsidRPr="00FD1969">
        <w:rPr>
          <w:szCs w:val="24"/>
        </w:rPr>
        <w:t xml:space="preserve"> also not apply to the trustees of any fund where the insured benefits are provided by or their provision is guaranteed by the Commonwealth Government or the government of a State or Territory.</w:t>
      </w:r>
    </w:p>
    <w:p w14:paraId="4C1B9D17" w14:textId="77777777" w:rsidR="000F66C6" w:rsidRPr="00FD1969" w:rsidRDefault="000F66C6" w:rsidP="00F60A72">
      <w:pPr>
        <w:spacing w:after="240"/>
        <w:rPr>
          <w:szCs w:val="24"/>
        </w:rPr>
      </w:pPr>
      <w:r w:rsidRPr="00FD1969">
        <w:rPr>
          <w:szCs w:val="24"/>
        </w:rPr>
        <w:t xml:space="preserve">In addition, where a </w:t>
      </w:r>
      <w:r w:rsidR="00F1131A" w:rsidRPr="00FD1969">
        <w:rPr>
          <w:szCs w:val="24"/>
        </w:rPr>
        <w:t>beneficiary</w:t>
      </w:r>
      <w:r w:rsidRPr="00FD1969">
        <w:rPr>
          <w:szCs w:val="24"/>
        </w:rPr>
        <w:t xml:space="preserve"> is receiving benefit payments, has made a claim for benefit payments, or has experienced an insured event, during the period when self</w:t>
      </w:r>
      <w:r w:rsidRPr="00FD1969">
        <w:rPr>
          <w:szCs w:val="24"/>
        </w:rPr>
        <w:noBreakHyphen/>
        <w:t xml:space="preserve">insurance is permitted in respect of their fund, that </w:t>
      </w:r>
      <w:r w:rsidR="00F1131A" w:rsidRPr="00FD1969">
        <w:rPr>
          <w:szCs w:val="24"/>
        </w:rPr>
        <w:t>beneficiary</w:t>
      </w:r>
      <w:r w:rsidRPr="00FD1969">
        <w:rPr>
          <w:szCs w:val="24"/>
        </w:rPr>
        <w:t xml:space="preserve">’s ability to continue to receive benefit payments, to lodge a claim, to have a claim determined or to </w:t>
      </w:r>
      <w:r w:rsidR="003B5C5D" w:rsidRPr="00FD1969">
        <w:rPr>
          <w:szCs w:val="24"/>
        </w:rPr>
        <w:t xml:space="preserve">have further benefits paid is not </w:t>
      </w:r>
      <w:r w:rsidRPr="00FD1969">
        <w:rPr>
          <w:szCs w:val="24"/>
        </w:rPr>
        <w:t xml:space="preserve">affected.  </w:t>
      </w:r>
    </w:p>
    <w:p w14:paraId="5A664EE6" w14:textId="77777777" w:rsidR="000F66C6" w:rsidRPr="00FD1969" w:rsidRDefault="003B5C5D" w:rsidP="00F60A72">
      <w:pPr>
        <w:spacing w:after="240"/>
        <w:rPr>
          <w:szCs w:val="24"/>
        </w:rPr>
      </w:pPr>
      <w:r w:rsidRPr="00FD1969">
        <w:rPr>
          <w:szCs w:val="24"/>
        </w:rPr>
        <w:t xml:space="preserve">The operating standard </w:t>
      </w:r>
      <w:r w:rsidR="000F66C6" w:rsidRPr="00FD1969">
        <w:rPr>
          <w:szCs w:val="24"/>
        </w:rPr>
        <w:t>reflect</w:t>
      </w:r>
      <w:r w:rsidRPr="00FD1969">
        <w:rPr>
          <w:szCs w:val="24"/>
        </w:rPr>
        <w:t>s</w:t>
      </w:r>
      <w:r w:rsidR="000F66C6" w:rsidRPr="00FD1969">
        <w:rPr>
          <w:szCs w:val="24"/>
        </w:rPr>
        <w:t xml:space="preserve"> concerns raised in the Super System Review, which concluded there are significant risks</w:t>
      </w:r>
      <w:r w:rsidR="003A4D36" w:rsidRPr="00FD1969">
        <w:rPr>
          <w:szCs w:val="24"/>
        </w:rPr>
        <w:t xml:space="preserve"> associated with self-insurance.</w:t>
      </w:r>
    </w:p>
    <w:p w14:paraId="21EDBBB4" w14:textId="77777777" w:rsidR="000F66C6" w:rsidRPr="00FD1969" w:rsidRDefault="000F66C6" w:rsidP="00F60A72">
      <w:pPr>
        <w:spacing w:after="240"/>
        <w:rPr>
          <w:szCs w:val="24"/>
        </w:rPr>
      </w:pPr>
      <w:r w:rsidRPr="00FD1969">
        <w:rPr>
          <w:szCs w:val="24"/>
        </w:rPr>
        <w:t>Where the governing rules of a fund do not permit a trustee to obtain an external insurance policy in respect of benefits previ</w:t>
      </w:r>
      <w:r w:rsidR="003B5C5D" w:rsidRPr="00FD1969">
        <w:rPr>
          <w:szCs w:val="24"/>
        </w:rPr>
        <w:t>ously self-insured the standard</w:t>
      </w:r>
      <w:r w:rsidRPr="00FD1969">
        <w:rPr>
          <w:szCs w:val="24"/>
        </w:rPr>
        <w:t>, if necessary, deem</w:t>
      </w:r>
      <w:r w:rsidR="003B5C5D" w:rsidRPr="00FD1969">
        <w:rPr>
          <w:szCs w:val="24"/>
        </w:rPr>
        <w:t>s</w:t>
      </w:r>
      <w:r w:rsidRPr="00FD1969">
        <w:rPr>
          <w:szCs w:val="24"/>
        </w:rPr>
        <w:t xml:space="preserve"> the governing rules to be amended to allow the trustee to obtain such a policy.</w:t>
      </w:r>
    </w:p>
    <w:p w14:paraId="38469C51" w14:textId="77777777" w:rsidR="000F66C6" w:rsidRPr="00FD1969" w:rsidRDefault="003B5C5D" w:rsidP="00F60A72">
      <w:pPr>
        <w:spacing w:after="240"/>
        <w:rPr>
          <w:szCs w:val="24"/>
        </w:rPr>
      </w:pPr>
      <w:r w:rsidRPr="00FD1969">
        <w:rPr>
          <w:szCs w:val="24"/>
        </w:rPr>
        <w:t xml:space="preserve">The operating standard </w:t>
      </w:r>
      <w:r w:rsidR="00253CDD" w:rsidRPr="00FD1969">
        <w:rPr>
          <w:szCs w:val="24"/>
        </w:rPr>
        <w:t>commence</w:t>
      </w:r>
      <w:r w:rsidRPr="00FD1969">
        <w:rPr>
          <w:szCs w:val="24"/>
        </w:rPr>
        <w:t>s</w:t>
      </w:r>
      <w:r w:rsidR="000F66C6" w:rsidRPr="00FD1969">
        <w:rPr>
          <w:szCs w:val="24"/>
        </w:rPr>
        <w:t xml:space="preserve"> </w:t>
      </w:r>
      <w:r w:rsidR="00A0771D" w:rsidRPr="00FD1969">
        <w:rPr>
          <w:szCs w:val="24"/>
        </w:rPr>
        <w:t>on</w:t>
      </w:r>
      <w:r w:rsidR="000F66C6" w:rsidRPr="00FD1969">
        <w:rPr>
          <w:szCs w:val="24"/>
        </w:rPr>
        <w:t xml:space="preserve"> 1 July 2013.  </w:t>
      </w:r>
    </w:p>
    <w:p w14:paraId="07E7A48C" w14:textId="77777777" w:rsidR="00726A2A" w:rsidRPr="00FD1969" w:rsidRDefault="00726A2A" w:rsidP="00F60A72">
      <w:pPr>
        <w:keepNext/>
        <w:spacing w:before="120" w:after="240"/>
        <w:outlineLvl w:val="1"/>
        <w:rPr>
          <w:b/>
          <w:szCs w:val="24"/>
        </w:rPr>
      </w:pPr>
      <w:r w:rsidRPr="00FD1969">
        <w:rPr>
          <w:b/>
          <w:szCs w:val="24"/>
        </w:rPr>
        <w:t>Schedule </w:t>
      </w:r>
      <w:r w:rsidR="00F67CFB" w:rsidRPr="00FD1969">
        <w:rPr>
          <w:b/>
          <w:szCs w:val="24"/>
        </w:rPr>
        <w:t>3, item 4</w:t>
      </w:r>
      <w:r w:rsidR="00F57DDA" w:rsidRPr="00FD1969">
        <w:rPr>
          <w:b/>
          <w:szCs w:val="24"/>
        </w:rPr>
        <w:br/>
      </w:r>
      <w:r w:rsidRPr="00FD1969">
        <w:rPr>
          <w:b/>
          <w:szCs w:val="24"/>
        </w:rPr>
        <w:t>Successor fund transfer rules not to apply to the transfer of accrued default amounts</w:t>
      </w:r>
    </w:p>
    <w:p w14:paraId="5CA04F85" w14:textId="77777777" w:rsidR="00726A2A" w:rsidRPr="00FD1969" w:rsidRDefault="003B5C5D" w:rsidP="00F60A72">
      <w:pPr>
        <w:spacing w:after="240"/>
        <w:rPr>
          <w:szCs w:val="24"/>
        </w:rPr>
      </w:pPr>
      <w:r w:rsidRPr="00FD1969">
        <w:rPr>
          <w:szCs w:val="24"/>
        </w:rPr>
        <w:t xml:space="preserve">The </w:t>
      </w:r>
      <w:r w:rsidR="00726A2A" w:rsidRPr="00FD1969">
        <w:rPr>
          <w:szCs w:val="24"/>
        </w:rPr>
        <w:t xml:space="preserve">amendment provides that transfers required </w:t>
      </w:r>
      <w:r w:rsidR="00365330" w:rsidRPr="00FD1969">
        <w:rPr>
          <w:szCs w:val="24"/>
        </w:rPr>
        <w:t xml:space="preserve">under </w:t>
      </w:r>
      <w:r w:rsidR="00726A2A" w:rsidRPr="00FD1969">
        <w:rPr>
          <w:szCs w:val="24"/>
        </w:rPr>
        <w:t>prudential standards are permitted by regulation 6.29 of the SIS Regulations, which relate to the transfer of member benefits to another fund (for example</w:t>
      </w:r>
      <w:r w:rsidR="005A3235" w:rsidRPr="00FD1969">
        <w:rPr>
          <w:szCs w:val="24"/>
        </w:rPr>
        <w:t>,</w:t>
      </w:r>
      <w:r w:rsidR="00726A2A" w:rsidRPr="00FD1969">
        <w:rPr>
          <w:szCs w:val="24"/>
        </w:rPr>
        <w:t xml:space="preserve"> in a fund merger situation).  </w:t>
      </w:r>
    </w:p>
    <w:p w14:paraId="0D179828" w14:textId="77777777" w:rsidR="00726A2A" w:rsidRPr="00FD1969" w:rsidRDefault="00726A2A" w:rsidP="00F60A72">
      <w:pPr>
        <w:spacing w:after="240"/>
        <w:rPr>
          <w:szCs w:val="24"/>
        </w:rPr>
      </w:pPr>
      <w:r w:rsidRPr="00FD1969">
        <w:rPr>
          <w:szCs w:val="24"/>
        </w:rPr>
        <w:t>This is necessary as prudential standards are of no effect to the extent that they conflict with the regulations.  Therefore, transfers under prudential standards would have to otherwise satisfy one of the existing requirements of regulation 6.29.</w:t>
      </w:r>
    </w:p>
    <w:p w14:paraId="5D34ED27" w14:textId="77777777" w:rsidR="00726A2A" w:rsidRPr="00FD1969" w:rsidRDefault="00726A2A" w:rsidP="00F60A72">
      <w:pPr>
        <w:spacing w:after="240"/>
        <w:rPr>
          <w:szCs w:val="24"/>
        </w:rPr>
      </w:pPr>
      <w:r w:rsidRPr="00FD1969">
        <w:rPr>
          <w:szCs w:val="24"/>
        </w:rPr>
        <w:t xml:space="preserve">The successor fund transfer rules will not apply to the transfer of accrued default amounts to a </w:t>
      </w:r>
      <w:proofErr w:type="spellStart"/>
      <w:r w:rsidRPr="00FD1969">
        <w:rPr>
          <w:szCs w:val="24"/>
        </w:rPr>
        <w:t>MySuper</w:t>
      </w:r>
      <w:proofErr w:type="spellEnd"/>
      <w:r w:rsidRPr="00FD1969">
        <w:rPr>
          <w:szCs w:val="24"/>
        </w:rPr>
        <w:t xml:space="preserve"> product in another fund.  </w:t>
      </w:r>
      <w:r w:rsidR="00F05B02" w:rsidRPr="00FD1969">
        <w:rPr>
          <w:szCs w:val="24"/>
        </w:rPr>
        <w:t>A</w:t>
      </w:r>
      <w:r w:rsidRPr="00FD1969">
        <w:rPr>
          <w:szCs w:val="24"/>
        </w:rPr>
        <w:t xml:space="preserve"> prudential standard, made </w:t>
      </w:r>
      <w:r w:rsidR="00884E72" w:rsidRPr="00FD1969">
        <w:rPr>
          <w:szCs w:val="24"/>
        </w:rPr>
        <w:t xml:space="preserve">under section 34C for the purpose of </w:t>
      </w:r>
      <w:r w:rsidR="00F05B02" w:rsidRPr="00FD1969">
        <w:rPr>
          <w:szCs w:val="24"/>
        </w:rPr>
        <w:t>section</w:t>
      </w:r>
      <w:r w:rsidR="007A7547" w:rsidRPr="00FD1969">
        <w:rPr>
          <w:szCs w:val="24"/>
        </w:rPr>
        <w:t> </w:t>
      </w:r>
      <w:r w:rsidRPr="00FD1969">
        <w:rPr>
          <w:szCs w:val="24"/>
        </w:rPr>
        <w:t xml:space="preserve">29SAA, 29SAB, 387, 388 </w:t>
      </w:r>
      <w:r w:rsidR="00F05B02" w:rsidRPr="00FD1969">
        <w:rPr>
          <w:szCs w:val="24"/>
        </w:rPr>
        <w:t>or</w:t>
      </w:r>
      <w:r w:rsidRPr="00FD1969">
        <w:rPr>
          <w:szCs w:val="24"/>
        </w:rPr>
        <w:t xml:space="preserve"> 394 of the SIS Act,</w:t>
      </w:r>
      <w:r w:rsidR="00F05B02" w:rsidRPr="00FD1969">
        <w:rPr>
          <w:szCs w:val="24"/>
        </w:rPr>
        <w:t xml:space="preserve"> will</w:t>
      </w:r>
      <w:r w:rsidRPr="00FD1969">
        <w:rPr>
          <w:szCs w:val="24"/>
        </w:rPr>
        <w:t xml:space="preserve"> require the transfer of the accrued default amounts to another fund in the following circumstances: </w:t>
      </w:r>
    </w:p>
    <w:p w14:paraId="527ADAF7" w14:textId="77777777" w:rsidR="00726A2A" w:rsidRPr="00FD1969" w:rsidRDefault="00726A2A" w:rsidP="00EF0881">
      <w:pPr>
        <w:pStyle w:val="Bullet"/>
        <w:tabs>
          <w:tab w:val="clear" w:pos="567"/>
          <w:tab w:val="clear" w:pos="9072"/>
          <w:tab w:val="right" w:pos="1134"/>
        </w:tabs>
        <w:spacing w:after="240"/>
        <w:ind w:left="1134"/>
        <w:rPr>
          <w:szCs w:val="24"/>
        </w:rPr>
      </w:pPr>
      <w:r w:rsidRPr="00FD1969">
        <w:rPr>
          <w:szCs w:val="24"/>
        </w:rPr>
        <w:t xml:space="preserve">Paragraphs 29SAA(1)(b) and 387(1)(b) require the trustee to take the action required under the prudential standards in relation to accrued default amounts where the trustee has sought </w:t>
      </w:r>
      <w:proofErr w:type="spellStart"/>
      <w:r w:rsidRPr="00FD1969">
        <w:rPr>
          <w:szCs w:val="24"/>
        </w:rPr>
        <w:t>MySuper</w:t>
      </w:r>
      <w:proofErr w:type="spellEnd"/>
      <w:r w:rsidRPr="00FD1969">
        <w:rPr>
          <w:szCs w:val="24"/>
        </w:rPr>
        <w:t xml:space="preserve"> authorisation but the member is not eligible to be in the fund’s </w:t>
      </w:r>
      <w:proofErr w:type="spellStart"/>
      <w:r w:rsidRPr="00FD1969">
        <w:rPr>
          <w:szCs w:val="24"/>
        </w:rPr>
        <w:t>MySuper</w:t>
      </w:r>
      <w:proofErr w:type="spellEnd"/>
      <w:r w:rsidRPr="00FD1969">
        <w:rPr>
          <w:szCs w:val="24"/>
        </w:rPr>
        <w:t xml:space="preserve"> product. </w:t>
      </w:r>
    </w:p>
    <w:p w14:paraId="4E2F21DA" w14:textId="77777777" w:rsidR="00726A2A" w:rsidRPr="00FD1969" w:rsidRDefault="00726A2A" w:rsidP="00EF0881">
      <w:pPr>
        <w:pStyle w:val="Bullet"/>
        <w:tabs>
          <w:tab w:val="clear" w:pos="567"/>
          <w:tab w:val="clear" w:pos="9072"/>
          <w:tab w:val="right" w:pos="1134"/>
        </w:tabs>
        <w:spacing w:after="240"/>
        <w:ind w:left="1134"/>
        <w:rPr>
          <w:szCs w:val="24"/>
        </w:rPr>
      </w:pPr>
      <w:r w:rsidRPr="00FD1969">
        <w:rPr>
          <w:szCs w:val="24"/>
        </w:rPr>
        <w:t xml:space="preserve">Section 29SAB requires action to be taken under the prudential standards if the authorisation to offer a </w:t>
      </w:r>
      <w:proofErr w:type="spellStart"/>
      <w:r w:rsidRPr="00FD1969">
        <w:rPr>
          <w:szCs w:val="24"/>
        </w:rPr>
        <w:t>MySuper</w:t>
      </w:r>
      <w:proofErr w:type="spellEnd"/>
      <w:r w:rsidRPr="00FD1969">
        <w:rPr>
          <w:szCs w:val="24"/>
        </w:rPr>
        <w:t xml:space="preserve"> product is cancelled under subsection 29U(1).</w:t>
      </w:r>
    </w:p>
    <w:p w14:paraId="01328629" w14:textId="77777777" w:rsidR="00726A2A" w:rsidRPr="00FD1969" w:rsidRDefault="00726A2A" w:rsidP="00EF0881">
      <w:pPr>
        <w:pStyle w:val="Bullet"/>
        <w:tabs>
          <w:tab w:val="clear" w:pos="567"/>
          <w:tab w:val="clear" w:pos="9072"/>
          <w:tab w:val="right" w:pos="1134"/>
        </w:tabs>
        <w:spacing w:after="240"/>
        <w:ind w:left="1134"/>
        <w:rPr>
          <w:szCs w:val="24"/>
        </w:rPr>
      </w:pPr>
      <w:r w:rsidRPr="00FD1969">
        <w:rPr>
          <w:szCs w:val="24"/>
        </w:rPr>
        <w:lastRenderedPageBreak/>
        <w:t xml:space="preserve">Section 388 requires the trustee to take the action required by the prudential standards if the trustee holds accrued default amounts and has not applied for </w:t>
      </w:r>
      <w:proofErr w:type="spellStart"/>
      <w:r w:rsidRPr="00FD1969">
        <w:rPr>
          <w:szCs w:val="24"/>
        </w:rPr>
        <w:t>MySuper</w:t>
      </w:r>
      <w:proofErr w:type="spellEnd"/>
      <w:r w:rsidRPr="00FD1969">
        <w:rPr>
          <w:szCs w:val="24"/>
        </w:rPr>
        <w:t xml:space="preserve"> authorisation before 1 July 2017.</w:t>
      </w:r>
    </w:p>
    <w:p w14:paraId="0A517DD5" w14:textId="77777777" w:rsidR="00726A2A" w:rsidRPr="00FD1969" w:rsidRDefault="00726A2A" w:rsidP="00EF0881">
      <w:pPr>
        <w:pStyle w:val="Bullet"/>
        <w:tabs>
          <w:tab w:val="clear" w:pos="567"/>
          <w:tab w:val="clear" w:pos="9072"/>
          <w:tab w:val="right" w:pos="1134"/>
        </w:tabs>
        <w:spacing w:after="240"/>
        <w:ind w:left="1134"/>
        <w:rPr>
          <w:szCs w:val="24"/>
        </w:rPr>
      </w:pPr>
      <w:r w:rsidRPr="00FD1969">
        <w:rPr>
          <w:szCs w:val="24"/>
        </w:rPr>
        <w:t xml:space="preserve">Section 394 requires trustees that are not authorised to operate an eligible rollover fund at 1 January 2014, to transfer </w:t>
      </w:r>
      <w:r w:rsidR="006F349A" w:rsidRPr="00FD1969">
        <w:rPr>
          <w:szCs w:val="24"/>
        </w:rPr>
        <w:t>the</w:t>
      </w:r>
      <w:r w:rsidRPr="00FD1969">
        <w:rPr>
          <w:szCs w:val="24"/>
        </w:rPr>
        <w:t xml:space="preserve"> amounts held in existing eligible rollover funds to an authorised eligible rollover fund or a fund that offers a </w:t>
      </w:r>
      <w:proofErr w:type="spellStart"/>
      <w:r w:rsidRPr="00FD1969">
        <w:rPr>
          <w:szCs w:val="24"/>
        </w:rPr>
        <w:t>MySuper</w:t>
      </w:r>
      <w:proofErr w:type="spellEnd"/>
      <w:r w:rsidRPr="00FD1969">
        <w:rPr>
          <w:szCs w:val="24"/>
        </w:rPr>
        <w:t xml:space="preserve"> product in accordance with the prudential standards.</w:t>
      </w:r>
    </w:p>
    <w:p w14:paraId="73550AED" w14:textId="77777777" w:rsidR="00726A2A" w:rsidRPr="00FD1969" w:rsidRDefault="00F23913" w:rsidP="00F60A72">
      <w:pPr>
        <w:keepNext/>
        <w:spacing w:before="120" w:after="240"/>
        <w:outlineLvl w:val="1"/>
        <w:rPr>
          <w:b/>
          <w:szCs w:val="24"/>
        </w:rPr>
      </w:pPr>
      <w:r w:rsidRPr="00FD1969">
        <w:rPr>
          <w:b/>
          <w:szCs w:val="24"/>
        </w:rPr>
        <w:t xml:space="preserve">Schedule 1, item </w:t>
      </w:r>
      <w:r w:rsidR="00524F3D" w:rsidRPr="00FD1969">
        <w:rPr>
          <w:b/>
          <w:szCs w:val="24"/>
        </w:rPr>
        <w:t>1</w:t>
      </w:r>
      <w:r w:rsidR="00640C85" w:rsidRPr="00FD1969">
        <w:rPr>
          <w:b/>
          <w:szCs w:val="24"/>
        </w:rPr>
        <w:t>,</w:t>
      </w:r>
      <w:r w:rsidR="00F05B02" w:rsidRPr="00FD1969">
        <w:rPr>
          <w:b/>
          <w:szCs w:val="24"/>
        </w:rPr>
        <w:t xml:space="preserve"> </w:t>
      </w:r>
      <w:r w:rsidR="00881612" w:rsidRPr="00FD1969">
        <w:rPr>
          <w:b/>
          <w:szCs w:val="24"/>
        </w:rPr>
        <w:t>regulation</w:t>
      </w:r>
      <w:r w:rsidR="00615DF6" w:rsidRPr="00FD1969">
        <w:rPr>
          <w:b/>
          <w:szCs w:val="24"/>
        </w:rPr>
        <w:t>s 7.9.11A and</w:t>
      </w:r>
      <w:r w:rsidR="00881612" w:rsidRPr="00FD1969">
        <w:rPr>
          <w:b/>
          <w:szCs w:val="24"/>
        </w:rPr>
        <w:t xml:space="preserve"> 7.9.11LB, </w:t>
      </w:r>
      <w:r w:rsidRPr="00FD1969">
        <w:rPr>
          <w:b/>
          <w:szCs w:val="24"/>
        </w:rPr>
        <w:t xml:space="preserve">and </w:t>
      </w:r>
      <w:r w:rsidR="00726A2A" w:rsidRPr="00FD1969">
        <w:rPr>
          <w:b/>
          <w:szCs w:val="24"/>
        </w:rPr>
        <w:t>Schedule </w:t>
      </w:r>
      <w:r w:rsidR="00F67CFB" w:rsidRPr="00FD1969">
        <w:rPr>
          <w:b/>
          <w:szCs w:val="24"/>
        </w:rPr>
        <w:t>3, item 5</w:t>
      </w:r>
      <w:r w:rsidR="00726A2A" w:rsidRPr="00FD1969">
        <w:rPr>
          <w:b/>
          <w:szCs w:val="24"/>
        </w:rPr>
        <w:t>, regulation 9.46</w:t>
      </w:r>
      <w:r w:rsidR="00F57DDA" w:rsidRPr="00FD1969">
        <w:rPr>
          <w:b/>
          <w:szCs w:val="24"/>
        </w:rPr>
        <w:br/>
      </w:r>
      <w:r w:rsidR="00726A2A" w:rsidRPr="00FD1969">
        <w:rPr>
          <w:b/>
          <w:szCs w:val="24"/>
        </w:rPr>
        <w:t>Notifi</w:t>
      </w:r>
      <w:r w:rsidR="00BE0C68" w:rsidRPr="00FD1969">
        <w:rPr>
          <w:b/>
          <w:szCs w:val="24"/>
        </w:rPr>
        <w:t>cation – accrued default amount</w:t>
      </w:r>
      <w:r w:rsidR="00726A2A" w:rsidRPr="00FD1969">
        <w:rPr>
          <w:b/>
          <w:szCs w:val="24"/>
        </w:rPr>
        <w:t xml:space="preserve"> attributed to </w:t>
      </w:r>
      <w:proofErr w:type="spellStart"/>
      <w:r w:rsidR="00726A2A" w:rsidRPr="00FD1969">
        <w:rPr>
          <w:b/>
          <w:szCs w:val="24"/>
        </w:rPr>
        <w:t>MySuper</w:t>
      </w:r>
      <w:proofErr w:type="spellEnd"/>
      <w:r w:rsidR="00726A2A" w:rsidRPr="00FD1969">
        <w:rPr>
          <w:b/>
          <w:szCs w:val="24"/>
        </w:rPr>
        <w:t xml:space="preserve"> product </w:t>
      </w:r>
    </w:p>
    <w:p w14:paraId="2091146F" w14:textId="77777777" w:rsidR="00726A2A" w:rsidRPr="00FD1969" w:rsidRDefault="00354CED" w:rsidP="00F60A72">
      <w:pPr>
        <w:spacing w:after="240"/>
        <w:rPr>
          <w:szCs w:val="24"/>
        </w:rPr>
      </w:pPr>
      <w:r w:rsidRPr="00FD1969">
        <w:rPr>
          <w:szCs w:val="24"/>
        </w:rPr>
        <w:t xml:space="preserve">The amendment </w:t>
      </w:r>
      <w:r w:rsidR="00726A2A" w:rsidRPr="00FD1969">
        <w:rPr>
          <w:szCs w:val="24"/>
        </w:rPr>
        <w:t>require</w:t>
      </w:r>
      <w:r w:rsidRPr="00FD1969">
        <w:rPr>
          <w:szCs w:val="24"/>
        </w:rPr>
        <w:t>s</w:t>
      </w:r>
      <w:r w:rsidR="00726A2A" w:rsidRPr="00FD1969">
        <w:rPr>
          <w:szCs w:val="24"/>
        </w:rPr>
        <w:t xml:space="preserve"> trustees to provide members with a notice </w:t>
      </w:r>
      <w:r w:rsidR="00600DAD" w:rsidRPr="00FD1969">
        <w:rPr>
          <w:szCs w:val="24"/>
        </w:rPr>
        <w:t>when</w:t>
      </w:r>
      <w:r w:rsidR="00726A2A" w:rsidRPr="00FD1969">
        <w:rPr>
          <w:szCs w:val="24"/>
        </w:rPr>
        <w:t xml:space="preserve"> attributing an accrued default amount to a </w:t>
      </w:r>
      <w:proofErr w:type="spellStart"/>
      <w:r w:rsidR="00726A2A" w:rsidRPr="00FD1969">
        <w:rPr>
          <w:szCs w:val="24"/>
        </w:rPr>
        <w:t>MySuper</w:t>
      </w:r>
      <w:proofErr w:type="spellEnd"/>
      <w:r w:rsidR="00726A2A" w:rsidRPr="00FD1969">
        <w:rPr>
          <w:szCs w:val="24"/>
        </w:rPr>
        <w:t xml:space="preserve"> product in the fund, or transferring that accrued default amount to another fund because the member is not eligible to hold a </w:t>
      </w:r>
      <w:proofErr w:type="spellStart"/>
      <w:r w:rsidR="00726A2A" w:rsidRPr="00FD1969">
        <w:rPr>
          <w:szCs w:val="24"/>
        </w:rPr>
        <w:t>MySuper</w:t>
      </w:r>
      <w:proofErr w:type="spellEnd"/>
      <w:r w:rsidR="00726A2A" w:rsidRPr="00FD1969">
        <w:rPr>
          <w:szCs w:val="24"/>
        </w:rPr>
        <w:t xml:space="preserve"> product offered by that fund.  </w:t>
      </w:r>
    </w:p>
    <w:p w14:paraId="78C99873" w14:textId="77777777" w:rsidR="00F23913" w:rsidRPr="00FD1969" w:rsidRDefault="00546F3E" w:rsidP="00F60A72">
      <w:pPr>
        <w:spacing w:after="240"/>
        <w:rPr>
          <w:szCs w:val="24"/>
        </w:rPr>
      </w:pPr>
      <w:r w:rsidRPr="00FD1969">
        <w:rPr>
          <w:szCs w:val="24"/>
        </w:rPr>
        <w:t>T</w:t>
      </w:r>
      <w:r w:rsidR="00726A2A" w:rsidRPr="00FD1969">
        <w:rPr>
          <w:szCs w:val="24"/>
        </w:rPr>
        <w:t>he notice</w:t>
      </w:r>
      <w:r w:rsidR="00F23913" w:rsidRPr="00FD1969">
        <w:rPr>
          <w:szCs w:val="24"/>
        </w:rPr>
        <w:t xml:space="preserve"> must mention the following:</w:t>
      </w:r>
    </w:p>
    <w:p w14:paraId="68EA6178" w14:textId="77777777" w:rsidR="00F23913" w:rsidRPr="00FD1969" w:rsidRDefault="00F23913" w:rsidP="00A0771D">
      <w:pPr>
        <w:pStyle w:val="Bullet"/>
        <w:tabs>
          <w:tab w:val="clear" w:pos="567"/>
          <w:tab w:val="clear" w:pos="9072"/>
          <w:tab w:val="right" w:pos="1134"/>
        </w:tabs>
        <w:spacing w:after="240"/>
        <w:ind w:left="1701" w:hanging="1134"/>
      </w:pPr>
      <w:r w:rsidRPr="00FD1969">
        <w:t xml:space="preserve">the amount that will be attributed; </w:t>
      </w:r>
    </w:p>
    <w:p w14:paraId="02AA35CE" w14:textId="77777777" w:rsidR="00F23913" w:rsidRPr="00FD1969" w:rsidRDefault="00F23913" w:rsidP="00A0771D">
      <w:pPr>
        <w:pStyle w:val="Bullet"/>
        <w:tabs>
          <w:tab w:val="clear" w:pos="567"/>
          <w:tab w:val="clear" w:pos="9072"/>
          <w:tab w:val="right" w:pos="1134"/>
        </w:tabs>
        <w:spacing w:after="240"/>
        <w:ind w:left="1701" w:hanging="1134"/>
      </w:pPr>
      <w:r w:rsidRPr="00FD1969">
        <w:t xml:space="preserve">the name of the </w:t>
      </w:r>
      <w:proofErr w:type="spellStart"/>
      <w:r w:rsidRPr="00FD1969">
        <w:t>MySuper</w:t>
      </w:r>
      <w:proofErr w:type="spellEnd"/>
      <w:r w:rsidRPr="00FD1969">
        <w:t xml:space="preserve"> product to which the amount will be attributed; </w:t>
      </w:r>
    </w:p>
    <w:p w14:paraId="56DEC0F4" w14:textId="77777777" w:rsidR="00F23913" w:rsidRPr="00FD1969" w:rsidRDefault="00F23913" w:rsidP="00A0771D">
      <w:pPr>
        <w:pStyle w:val="Bullet"/>
        <w:tabs>
          <w:tab w:val="clear" w:pos="567"/>
          <w:tab w:val="clear" w:pos="9072"/>
          <w:tab w:val="right" w:pos="1134"/>
        </w:tabs>
        <w:spacing w:after="240"/>
        <w:ind w:left="1134"/>
      </w:pPr>
      <w:r w:rsidRPr="00FD1969">
        <w:t xml:space="preserve">how the member may obtain a </w:t>
      </w:r>
      <w:r w:rsidR="00A0771D" w:rsidRPr="00FD1969">
        <w:t>Product Disclosure Statement (</w:t>
      </w:r>
      <w:proofErr w:type="spellStart"/>
      <w:r w:rsidRPr="00FD1969">
        <w:t>PDS</w:t>
      </w:r>
      <w:proofErr w:type="spellEnd"/>
      <w:r w:rsidR="00A0771D" w:rsidRPr="00FD1969">
        <w:t>)</w:t>
      </w:r>
      <w:r w:rsidRPr="00FD1969">
        <w:t xml:space="preserve"> for the </w:t>
      </w:r>
      <w:proofErr w:type="spellStart"/>
      <w:r w:rsidRPr="00FD1969">
        <w:t>MySuper</w:t>
      </w:r>
      <w:proofErr w:type="spellEnd"/>
      <w:r w:rsidRPr="00FD1969">
        <w:t xml:space="preserve"> product; </w:t>
      </w:r>
      <w:r w:rsidR="00A605F4" w:rsidRPr="00FD1969">
        <w:t>and</w:t>
      </w:r>
    </w:p>
    <w:p w14:paraId="3A9D356C" w14:textId="77777777" w:rsidR="00F23913" w:rsidRPr="00FD1969" w:rsidRDefault="00F23913" w:rsidP="00A0771D">
      <w:pPr>
        <w:pStyle w:val="Bullet"/>
        <w:tabs>
          <w:tab w:val="clear" w:pos="567"/>
          <w:tab w:val="clear" w:pos="9072"/>
          <w:tab w:val="right" w:pos="1134"/>
        </w:tabs>
        <w:spacing w:after="240"/>
        <w:ind w:left="1701" w:hanging="1134"/>
      </w:pPr>
      <w:r w:rsidRPr="00FD1969">
        <w:t>any other information the member needs to understand the attribution.</w:t>
      </w:r>
    </w:p>
    <w:p w14:paraId="3C17467A" w14:textId="77777777" w:rsidR="00600DAD" w:rsidRPr="00FD1969" w:rsidRDefault="00600DAD" w:rsidP="00F60A72">
      <w:pPr>
        <w:pStyle w:val="Bullet"/>
        <w:numPr>
          <w:ilvl w:val="0"/>
          <w:numId w:val="0"/>
        </w:numPr>
        <w:spacing w:after="240"/>
        <w:rPr>
          <w:szCs w:val="24"/>
        </w:rPr>
      </w:pPr>
      <w:r w:rsidRPr="00FD1969">
        <w:rPr>
          <w:szCs w:val="24"/>
        </w:rPr>
        <w:t xml:space="preserve">This notice is a modified significant event notice, and under the requirements of the significant event regime may be given 12 months after the change, which would be the attribution of the accrued default amount to a </w:t>
      </w:r>
      <w:proofErr w:type="spellStart"/>
      <w:r w:rsidRPr="00FD1969">
        <w:rPr>
          <w:szCs w:val="24"/>
        </w:rPr>
        <w:t>MySuper</w:t>
      </w:r>
      <w:proofErr w:type="spellEnd"/>
      <w:r w:rsidRPr="00FD1969">
        <w:rPr>
          <w:szCs w:val="24"/>
        </w:rPr>
        <w:t xml:space="preserve"> product.</w:t>
      </w:r>
    </w:p>
    <w:p w14:paraId="63F792C8" w14:textId="77777777" w:rsidR="00726A2A" w:rsidRPr="00FD1969" w:rsidRDefault="00AE0CF2" w:rsidP="00F60A72">
      <w:pPr>
        <w:spacing w:after="240"/>
        <w:rPr>
          <w:szCs w:val="24"/>
        </w:rPr>
      </w:pPr>
      <w:r w:rsidRPr="00FD1969">
        <w:rPr>
          <w:szCs w:val="24"/>
        </w:rPr>
        <w:t>However, where</w:t>
      </w:r>
      <w:r w:rsidR="00726A2A" w:rsidRPr="00FD1969">
        <w:rPr>
          <w:szCs w:val="24"/>
        </w:rPr>
        <w:t xml:space="preserve"> the attribution of the accrued default amount would result in one or more of the following:</w:t>
      </w:r>
    </w:p>
    <w:p w14:paraId="2BC6E20B" w14:textId="77777777" w:rsidR="00726A2A" w:rsidRPr="00FD1969" w:rsidRDefault="00726A2A" w:rsidP="00A0771D">
      <w:pPr>
        <w:pStyle w:val="Bullet"/>
        <w:tabs>
          <w:tab w:val="clear" w:pos="567"/>
          <w:tab w:val="clear" w:pos="9072"/>
          <w:tab w:val="right" w:pos="1134"/>
        </w:tabs>
        <w:spacing w:after="240"/>
        <w:ind w:left="1134"/>
        <w:rPr>
          <w:szCs w:val="24"/>
        </w:rPr>
      </w:pPr>
      <w:r w:rsidRPr="00FD1969">
        <w:rPr>
          <w:szCs w:val="24"/>
        </w:rPr>
        <w:t xml:space="preserve">an increase in a fee or charge that applies to the amount; </w:t>
      </w:r>
    </w:p>
    <w:p w14:paraId="07DA7C3E" w14:textId="77777777" w:rsidR="00726A2A" w:rsidRPr="00FD1969" w:rsidRDefault="00726A2A" w:rsidP="00A0771D">
      <w:pPr>
        <w:pStyle w:val="Bullet"/>
        <w:tabs>
          <w:tab w:val="clear" w:pos="567"/>
          <w:tab w:val="clear" w:pos="9072"/>
          <w:tab w:val="right" w:pos="1134"/>
        </w:tabs>
        <w:spacing w:after="240"/>
        <w:ind w:left="1134"/>
        <w:rPr>
          <w:szCs w:val="24"/>
        </w:rPr>
      </w:pPr>
      <w:r w:rsidRPr="00FD1969">
        <w:rPr>
          <w:szCs w:val="24"/>
        </w:rPr>
        <w:t>a reduction in an insured benefit;</w:t>
      </w:r>
    </w:p>
    <w:p w14:paraId="63DD0B7F" w14:textId="77777777" w:rsidR="00726A2A" w:rsidRPr="00FD1969" w:rsidRDefault="00726A2A" w:rsidP="00A0771D">
      <w:pPr>
        <w:pStyle w:val="Bullet"/>
        <w:tabs>
          <w:tab w:val="clear" w:pos="567"/>
          <w:tab w:val="clear" w:pos="9072"/>
          <w:tab w:val="right" w:pos="1134"/>
        </w:tabs>
        <w:spacing w:after="240"/>
        <w:ind w:left="1134"/>
        <w:rPr>
          <w:szCs w:val="24"/>
        </w:rPr>
      </w:pPr>
      <w:r w:rsidRPr="00FD1969">
        <w:rPr>
          <w:szCs w:val="24"/>
        </w:rPr>
        <w:t xml:space="preserve">an increase in an insurance premium attributable to the member; or </w:t>
      </w:r>
    </w:p>
    <w:p w14:paraId="320EF116" w14:textId="77777777" w:rsidR="00726A2A" w:rsidRPr="00FD1969" w:rsidRDefault="00726A2A" w:rsidP="00A0771D">
      <w:pPr>
        <w:pStyle w:val="Bullet"/>
        <w:tabs>
          <w:tab w:val="clear" w:pos="567"/>
          <w:tab w:val="clear" w:pos="9072"/>
          <w:tab w:val="right" w:pos="1134"/>
        </w:tabs>
        <w:spacing w:after="240"/>
        <w:ind w:left="1134"/>
        <w:rPr>
          <w:szCs w:val="24"/>
        </w:rPr>
      </w:pPr>
      <w:r w:rsidRPr="00FD1969">
        <w:rPr>
          <w:szCs w:val="24"/>
        </w:rPr>
        <w:t>a change in the investment strategy that relates to the amount</w:t>
      </w:r>
      <w:r w:rsidR="00881612" w:rsidRPr="00FD1969">
        <w:rPr>
          <w:szCs w:val="24"/>
        </w:rPr>
        <w:t>,</w:t>
      </w:r>
    </w:p>
    <w:p w14:paraId="0243ACB1" w14:textId="77777777" w:rsidR="00881612" w:rsidRPr="00FD1969" w:rsidRDefault="00881612" w:rsidP="00F60A72">
      <w:pPr>
        <w:spacing w:after="240"/>
        <w:rPr>
          <w:szCs w:val="24"/>
        </w:rPr>
      </w:pPr>
      <w:r w:rsidRPr="00FD1969">
        <w:rPr>
          <w:szCs w:val="24"/>
        </w:rPr>
        <w:t>t</w:t>
      </w:r>
      <w:r w:rsidR="00600DAD" w:rsidRPr="00FD1969">
        <w:rPr>
          <w:szCs w:val="24"/>
        </w:rPr>
        <w:t xml:space="preserve">hen a </w:t>
      </w:r>
      <w:r w:rsidR="00726A2A" w:rsidRPr="00FD1969">
        <w:rPr>
          <w:szCs w:val="24"/>
        </w:rPr>
        <w:t xml:space="preserve">notice must </w:t>
      </w:r>
      <w:r w:rsidR="00600DAD" w:rsidRPr="00FD1969">
        <w:rPr>
          <w:szCs w:val="24"/>
        </w:rPr>
        <w:t xml:space="preserve">be provided 90 days prior to the accrued default amount being attributed to the </w:t>
      </w:r>
      <w:proofErr w:type="spellStart"/>
      <w:r w:rsidR="00600DAD" w:rsidRPr="00FD1969">
        <w:rPr>
          <w:szCs w:val="24"/>
        </w:rPr>
        <w:t>MySuper</w:t>
      </w:r>
      <w:proofErr w:type="spellEnd"/>
      <w:r w:rsidR="00600DAD" w:rsidRPr="00FD1969">
        <w:rPr>
          <w:szCs w:val="24"/>
        </w:rPr>
        <w:t xml:space="preserve"> product.  </w:t>
      </w:r>
    </w:p>
    <w:p w14:paraId="7944B1A7" w14:textId="77777777" w:rsidR="00726A2A" w:rsidRPr="00FD1969" w:rsidRDefault="00600DAD" w:rsidP="00F60A72">
      <w:pPr>
        <w:spacing w:after="240"/>
        <w:rPr>
          <w:szCs w:val="24"/>
        </w:rPr>
      </w:pPr>
      <w:r w:rsidRPr="00FD1969">
        <w:rPr>
          <w:szCs w:val="24"/>
        </w:rPr>
        <w:t xml:space="preserve">This requirement is made under the regulations that a trustee elects to comply with under section 29SAA of the </w:t>
      </w:r>
      <w:r w:rsidR="008E1E32" w:rsidRPr="00FD1969">
        <w:rPr>
          <w:szCs w:val="24"/>
        </w:rPr>
        <w:t>SIS Act</w:t>
      </w:r>
      <w:r w:rsidRPr="00FD1969">
        <w:rPr>
          <w:szCs w:val="24"/>
        </w:rPr>
        <w:t xml:space="preserve">.  In this case, the notice must </w:t>
      </w:r>
      <w:r w:rsidR="00B20E44" w:rsidRPr="00FD1969">
        <w:rPr>
          <w:szCs w:val="24"/>
        </w:rPr>
        <w:t xml:space="preserve">instead </w:t>
      </w:r>
      <w:r w:rsidR="00726A2A" w:rsidRPr="00FD1969">
        <w:rPr>
          <w:szCs w:val="24"/>
        </w:rPr>
        <w:t>mention the</w:t>
      </w:r>
      <w:r w:rsidR="00AE0CF2" w:rsidRPr="00FD1969">
        <w:rPr>
          <w:szCs w:val="24"/>
        </w:rPr>
        <w:t xml:space="preserve"> </w:t>
      </w:r>
      <w:r w:rsidR="00726A2A" w:rsidRPr="00FD1969">
        <w:rPr>
          <w:szCs w:val="24"/>
        </w:rPr>
        <w:t>following:</w:t>
      </w:r>
    </w:p>
    <w:p w14:paraId="5B604C14" w14:textId="77777777" w:rsidR="00726A2A" w:rsidRPr="00FD1969" w:rsidRDefault="00726A2A" w:rsidP="00A0771D">
      <w:pPr>
        <w:pStyle w:val="Bullet"/>
        <w:tabs>
          <w:tab w:val="clear" w:pos="567"/>
          <w:tab w:val="clear" w:pos="9072"/>
          <w:tab w:val="right" w:pos="1134"/>
        </w:tabs>
        <w:spacing w:after="240"/>
        <w:ind w:left="1134"/>
        <w:rPr>
          <w:szCs w:val="24"/>
        </w:rPr>
      </w:pPr>
      <w:r w:rsidRPr="00FD1969">
        <w:rPr>
          <w:szCs w:val="24"/>
        </w:rPr>
        <w:t xml:space="preserve">the amount that </w:t>
      </w:r>
      <w:r w:rsidR="0067131F" w:rsidRPr="00FD1969">
        <w:rPr>
          <w:szCs w:val="24"/>
        </w:rPr>
        <w:t>is</w:t>
      </w:r>
      <w:r w:rsidRPr="00FD1969">
        <w:rPr>
          <w:szCs w:val="24"/>
        </w:rPr>
        <w:t xml:space="preserve"> attribut</w:t>
      </w:r>
      <w:r w:rsidR="0067131F" w:rsidRPr="00FD1969">
        <w:rPr>
          <w:szCs w:val="24"/>
        </w:rPr>
        <w:t>able to the member at the time the notice is sent</w:t>
      </w:r>
      <w:r w:rsidRPr="00FD1969">
        <w:rPr>
          <w:szCs w:val="24"/>
        </w:rPr>
        <w:t xml:space="preserve">; </w:t>
      </w:r>
    </w:p>
    <w:p w14:paraId="18538824" w14:textId="77777777" w:rsidR="00726A2A" w:rsidRPr="00FD1969" w:rsidRDefault="00726A2A" w:rsidP="00A0771D">
      <w:pPr>
        <w:pStyle w:val="Bullet"/>
        <w:tabs>
          <w:tab w:val="clear" w:pos="567"/>
          <w:tab w:val="clear" w:pos="9072"/>
          <w:tab w:val="right" w:pos="1134"/>
        </w:tabs>
        <w:spacing w:after="240"/>
        <w:ind w:left="1134"/>
        <w:rPr>
          <w:szCs w:val="24"/>
        </w:rPr>
      </w:pPr>
      <w:r w:rsidRPr="00FD1969">
        <w:rPr>
          <w:szCs w:val="24"/>
        </w:rPr>
        <w:lastRenderedPageBreak/>
        <w:t xml:space="preserve">the name of the </w:t>
      </w:r>
      <w:proofErr w:type="spellStart"/>
      <w:r w:rsidRPr="00FD1969">
        <w:rPr>
          <w:szCs w:val="24"/>
        </w:rPr>
        <w:t>MySuper</w:t>
      </w:r>
      <w:proofErr w:type="spellEnd"/>
      <w:r w:rsidRPr="00FD1969">
        <w:rPr>
          <w:szCs w:val="24"/>
        </w:rPr>
        <w:t xml:space="preserve"> product to which the amount will be attributed; </w:t>
      </w:r>
    </w:p>
    <w:p w14:paraId="579A7DA1" w14:textId="77777777" w:rsidR="00726A2A" w:rsidRPr="00FD1969" w:rsidRDefault="00726A2A" w:rsidP="00A0771D">
      <w:pPr>
        <w:pStyle w:val="Bullet"/>
        <w:tabs>
          <w:tab w:val="clear" w:pos="567"/>
          <w:tab w:val="clear" w:pos="9072"/>
          <w:tab w:val="right" w:pos="1134"/>
        </w:tabs>
        <w:spacing w:after="240"/>
        <w:ind w:left="1134"/>
        <w:rPr>
          <w:szCs w:val="24"/>
        </w:rPr>
      </w:pPr>
      <w:r w:rsidRPr="00FD1969">
        <w:rPr>
          <w:szCs w:val="24"/>
        </w:rPr>
        <w:t>how the member can elect, in writing, to opt out of the attribution;</w:t>
      </w:r>
    </w:p>
    <w:p w14:paraId="5CD27E4D" w14:textId="77777777" w:rsidR="00726A2A" w:rsidRPr="00FD1969" w:rsidRDefault="00726A2A" w:rsidP="00A0771D">
      <w:pPr>
        <w:pStyle w:val="Bullet"/>
        <w:tabs>
          <w:tab w:val="clear" w:pos="567"/>
          <w:tab w:val="clear" w:pos="9072"/>
          <w:tab w:val="right" w:pos="1134"/>
        </w:tabs>
        <w:spacing w:after="240"/>
        <w:ind w:left="1134"/>
        <w:rPr>
          <w:szCs w:val="24"/>
        </w:rPr>
      </w:pPr>
      <w:r w:rsidRPr="00FD1969">
        <w:rPr>
          <w:szCs w:val="24"/>
        </w:rPr>
        <w:t xml:space="preserve">how the member may obtain a </w:t>
      </w:r>
      <w:r w:rsidR="00A0771D" w:rsidRPr="00FD1969">
        <w:rPr>
          <w:szCs w:val="24"/>
        </w:rPr>
        <w:t>Product Disclosure Statement (</w:t>
      </w:r>
      <w:proofErr w:type="spellStart"/>
      <w:r w:rsidRPr="00FD1969">
        <w:rPr>
          <w:szCs w:val="24"/>
        </w:rPr>
        <w:t>PDS</w:t>
      </w:r>
      <w:proofErr w:type="spellEnd"/>
      <w:r w:rsidR="00A0771D" w:rsidRPr="00FD1969">
        <w:rPr>
          <w:szCs w:val="24"/>
        </w:rPr>
        <w:t>)</w:t>
      </w:r>
      <w:r w:rsidRPr="00FD1969">
        <w:rPr>
          <w:szCs w:val="24"/>
        </w:rPr>
        <w:t xml:space="preserve"> for the </w:t>
      </w:r>
      <w:proofErr w:type="spellStart"/>
      <w:r w:rsidRPr="00FD1969">
        <w:rPr>
          <w:szCs w:val="24"/>
        </w:rPr>
        <w:t>MySuper</w:t>
      </w:r>
      <w:proofErr w:type="spellEnd"/>
      <w:r w:rsidRPr="00FD1969">
        <w:rPr>
          <w:szCs w:val="24"/>
        </w:rPr>
        <w:t xml:space="preserve"> product; </w:t>
      </w:r>
    </w:p>
    <w:p w14:paraId="124430A2" w14:textId="77777777" w:rsidR="00726A2A" w:rsidRPr="00FD1969" w:rsidRDefault="00726A2A" w:rsidP="00A0771D">
      <w:pPr>
        <w:pStyle w:val="Bullet"/>
        <w:tabs>
          <w:tab w:val="clear" w:pos="567"/>
          <w:tab w:val="clear" w:pos="9072"/>
          <w:tab w:val="right" w:pos="1134"/>
        </w:tabs>
        <w:spacing w:after="240"/>
        <w:ind w:left="1134"/>
        <w:rPr>
          <w:szCs w:val="24"/>
        </w:rPr>
      </w:pPr>
      <w:r w:rsidRPr="00FD1969">
        <w:rPr>
          <w:szCs w:val="24"/>
        </w:rPr>
        <w:t>any change to fees or charges that appl</w:t>
      </w:r>
      <w:r w:rsidR="00A0771D" w:rsidRPr="00FD1969">
        <w:rPr>
          <w:szCs w:val="24"/>
        </w:rPr>
        <w:t>y</w:t>
      </w:r>
      <w:r w:rsidRPr="00FD1969">
        <w:rPr>
          <w:szCs w:val="24"/>
        </w:rPr>
        <w:t xml:space="preserve"> to the amount; </w:t>
      </w:r>
    </w:p>
    <w:p w14:paraId="5D0A7677" w14:textId="77777777" w:rsidR="00726A2A" w:rsidRPr="00FD1969" w:rsidRDefault="00726A2A" w:rsidP="00A0771D">
      <w:pPr>
        <w:pStyle w:val="Bullet"/>
        <w:tabs>
          <w:tab w:val="clear" w:pos="567"/>
          <w:tab w:val="clear" w:pos="9072"/>
          <w:tab w:val="right" w:pos="1134"/>
        </w:tabs>
        <w:spacing w:after="240"/>
        <w:ind w:left="1134"/>
        <w:rPr>
          <w:szCs w:val="24"/>
        </w:rPr>
      </w:pPr>
      <w:r w:rsidRPr="00FD1969">
        <w:rPr>
          <w:szCs w:val="24"/>
        </w:rPr>
        <w:t>a</w:t>
      </w:r>
      <w:r w:rsidR="00546F3E" w:rsidRPr="00FD1969">
        <w:rPr>
          <w:szCs w:val="24"/>
        </w:rPr>
        <w:t>ny</w:t>
      </w:r>
      <w:r w:rsidRPr="00FD1969">
        <w:rPr>
          <w:szCs w:val="24"/>
        </w:rPr>
        <w:t xml:space="preserve"> change  to the member’s insured benefits as a result of the attribution; </w:t>
      </w:r>
    </w:p>
    <w:p w14:paraId="756F953C" w14:textId="77777777" w:rsidR="00726A2A" w:rsidRPr="00FD1969" w:rsidRDefault="00726A2A" w:rsidP="00A0771D">
      <w:pPr>
        <w:pStyle w:val="Bullet"/>
        <w:tabs>
          <w:tab w:val="clear" w:pos="567"/>
          <w:tab w:val="clear" w:pos="9072"/>
          <w:tab w:val="right" w:pos="1134"/>
        </w:tabs>
        <w:spacing w:after="240"/>
        <w:ind w:left="1134"/>
        <w:rPr>
          <w:szCs w:val="24"/>
        </w:rPr>
      </w:pPr>
      <w:r w:rsidRPr="00FD1969">
        <w:rPr>
          <w:szCs w:val="24"/>
        </w:rPr>
        <w:t>a</w:t>
      </w:r>
      <w:r w:rsidR="00546F3E" w:rsidRPr="00FD1969">
        <w:rPr>
          <w:szCs w:val="24"/>
        </w:rPr>
        <w:t>ny</w:t>
      </w:r>
      <w:r w:rsidRPr="00FD1969">
        <w:rPr>
          <w:szCs w:val="24"/>
        </w:rPr>
        <w:t xml:space="preserve"> change to the investment strategy applicable to the amount as a result of the attribution; and</w:t>
      </w:r>
    </w:p>
    <w:p w14:paraId="54BD0F1D" w14:textId="77777777" w:rsidR="00726A2A" w:rsidRPr="00FD1969" w:rsidRDefault="00726A2A" w:rsidP="00A0771D">
      <w:pPr>
        <w:pStyle w:val="Bullet"/>
        <w:tabs>
          <w:tab w:val="clear" w:pos="567"/>
          <w:tab w:val="clear" w:pos="9072"/>
          <w:tab w:val="right" w:pos="1134"/>
        </w:tabs>
        <w:spacing w:after="240"/>
        <w:ind w:left="1134"/>
        <w:rPr>
          <w:szCs w:val="24"/>
        </w:rPr>
      </w:pPr>
      <w:r w:rsidRPr="00FD1969">
        <w:rPr>
          <w:szCs w:val="24"/>
        </w:rPr>
        <w:t>any other information the member needs to understand the attribution.</w:t>
      </w:r>
    </w:p>
    <w:p w14:paraId="73F9B029" w14:textId="77777777" w:rsidR="008518FA" w:rsidRPr="00FD1969" w:rsidRDefault="008518FA" w:rsidP="00F60A72">
      <w:pPr>
        <w:spacing w:after="240"/>
        <w:rPr>
          <w:szCs w:val="24"/>
        </w:rPr>
      </w:pPr>
      <w:r w:rsidRPr="00FD1969">
        <w:rPr>
          <w:szCs w:val="24"/>
        </w:rPr>
        <w:t>A member that op</w:t>
      </w:r>
      <w:r w:rsidR="001256D1" w:rsidRPr="00FD1969">
        <w:rPr>
          <w:szCs w:val="24"/>
        </w:rPr>
        <w:t>t</w:t>
      </w:r>
      <w:r w:rsidRPr="00FD1969">
        <w:rPr>
          <w:szCs w:val="24"/>
        </w:rPr>
        <w:t xml:space="preserve">s-out of the attribution of their accrued default amount to a </w:t>
      </w:r>
      <w:proofErr w:type="spellStart"/>
      <w:r w:rsidRPr="00FD1969">
        <w:rPr>
          <w:szCs w:val="24"/>
        </w:rPr>
        <w:t>MySuper</w:t>
      </w:r>
      <w:proofErr w:type="spellEnd"/>
      <w:r w:rsidRPr="00FD1969">
        <w:rPr>
          <w:szCs w:val="24"/>
        </w:rPr>
        <w:t xml:space="preserve"> product may opt to remain in their existing investment option where it continues to exist.  However, in cases where the existing investment option is </w:t>
      </w:r>
      <w:r w:rsidR="00615DF6" w:rsidRPr="00FD1969">
        <w:rPr>
          <w:szCs w:val="24"/>
        </w:rPr>
        <w:t>no longer available</w:t>
      </w:r>
      <w:r w:rsidRPr="00FD1969">
        <w:rPr>
          <w:szCs w:val="24"/>
        </w:rPr>
        <w:t>, the trustee may require a member to nominate an investment option for their accrued default amount to be transferred to, in order for the member to validly opt</w:t>
      </w:r>
      <w:r w:rsidR="00881612" w:rsidRPr="00FD1969">
        <w:rPr>
          <w:szCs w:val="24"/>
        </w:rPr>
        <w:noBreakHyphen/>
      </w:r>
      <w:r w:rsidRPr="00FD1969">
        <w:rPr>
          <w:szCs w:val="24"/>
        </w:rPr>
        <w:t>out.</w:t>
      </w:r>
    </w:p>
    <w:p w14:paraId="4CE812EC" w14:textId="77777777" w:rsidR="00AE0CF2" w:rsidRPr="00FD1969" w:rsidRDefault="00AE0CF2" w:rsidP="00F60A72">
      <w:pPr>
        <w:spacing w:after="240"/>
        <w:rPr>
          <w:szCs w:val="24"/>
        </w:rPr>
      </w:pPr>
      <w:r w:rsidRPr="00FD1969">
        <w:rPr>
          <w:szCs w:val="24"/>
        </w:rPr>
        <w:t xml:space="preserve">Fees and charges must be expressed in dollars except where </w:t>
      </w:r>
      <w:r w:rsidR="00A0771D" w:rsidRPr="00FD1969">
        <w:rPr>
          <w:szCs w:val="24"/>
        </w:rPr>
        <w:t xml:space="preserve">the </w:t>
      </w:r>
      <w:r w:rsidRPr="00FD1969">
        <w:rPr>
          <w:szCs w:val="24"/>
        </w:rPr>
        <w:t>A</w:t>
      </w:r>
      <w:r w:rsidR="00A0771D" w:rsidRPr="00FD1969">
        <w:rPr>
          <w:szCs w:val="24"/>
        </w:rPr>
        <w:t xml:space="preserve">ustralian </w:t>
      </w:r>
      <w:r w:rsidRPr="00FD1969">
        <w:rPr>
          <w:szCs w:val="24"/>
        </w:rPr>
        <w:t>S</w:t>
      </w:r>
      <w:r w:rsidR="00A0771D" w:rsidRPr="00FD1969">
        <w:rPr>
          <w:szCs w:val="24"/>
        </w:rPr>
        <w:t xml:space="preserve">ecurities and </w:t>
      </w:r>
      <w:r w:rsidRPr="00FD1969">
        <w:rPr>
          <w:szCs w:val="24"/>
        </w:rPr>
        <w:t>I</w:t>
      </w:r>
      <w:r w:rsidR="00A0771D" w:rsidRPr="00FD1969">
        <w:rPr>
          <w:szCs w:val="24"/>
        </w:rPr>
        <w:t xml:space="preserve">nvestments </w:t>
      </w:r>
      <w:r w:rsidRPr="00FD1969">
        <w:rPr>
          <w:szCs w:val="24"/>
        </w:rPr>
        <w:t>C</w:t>
      </w:r>
      <w:r w:rsidR="00A0771D" w:rsidRPr="00FD1969">
        <w:rPr>
          <w:szCs w:val="24"/>
        </w:rPr>
        <w:t>ommission</w:t>
      </w:r>
      <w:r w:rsidRPr="00FD1969">
        <w:rPr>
          <w:szCs w:val="24"/>
        </w:rPr>
        <w:t xml:space="preserve"> determines that</w:t>
      </w:r>
      <w:r w:rsidR="00615DF6" w:rsidRPr="00FD1969">
        <w:rPr>
          <w:szCs w:val="24"/>
        </w:rPr>
        <w:t>,</w:t>
      </w:r>
      <w:r w:rsidRPr="00FD1969">
        <w:rPr>
          <w:szCs w:val="24"/>
        </w:rPr>
        <w:t xml:space="preserve"> due to the nature of the fee and the charge</w:t>
      </w:r>
      <w:r w:rsidR="001256D1" w:rsidRPr="00FD1969">
        <w:rPr>
          <w:szCs w:val="24"/>
        </w:rPr>
        <w:t xml:space="preserve">, </w:t>
      </w:r>
      <w:r w:rsidR="00615DF6" w:rsidRPr="00FD1969">
        <w:rPr>
          <w:szCs w:val="24"/>
        </w:rPr>
        <w:t>there is a compelling reason to allow them to be</w:t>
      </w:r>
      <w:r w:rsidRPr="00FD1969">
        <w:rPr>
          <w:szCs w:val="24"/>
        </w:rPr>
        <w:t xml:space="preserve"> expressed in another way.</w:t>
      </w:r>
    </w:p>
    <w:p w14:paraId="7E2AD580" w14:textId="77777777" w:rsidR="008518FA" w:rsidRPr="00FD1969" w:rsidRDefault="008518FA" w:rsidP="00F60A72">
      <w:pPr>
        <w:spacing w:after="240"/>
        <w:rPr>
          <w:szCs w:val="24"/>
        </w:rPr>
      </w:pPr>
      <w:r w:rsidRPr="00FD1969">
        <w:rPr>
          <w:szCs w:val="24"/>
        </w:rPr>
        <w:t>These notices must be provided in writing.  This does include electronic forms of communication such as email.</w:t>
      </w:r>
    </w:p>
    <w:p w14:paraId="4C4D93AC" w14:textId="77777777" w:rsidR="00726A2A" w:rsidRPr="00FD1969" w:rsidRDefault="00AE0CF2" w:rsidP="00F60A72">
      <w:pPr>
        <w:spacing w:after="240"/>
        <w:rPr>
          <w:szCs w:val="24"/>
        </w:rPr>
      </w:pPr>
      <w:r w:rsidRPr="00FD1969">
        <w:rPr>
          <w:szCs w:val="24"/>
        </w:rPr>
        <w:t xml:space="preserve">Schedule 1, item </w:t>
      </w:r>
      <w:r w:rsidR="00443613" w:rsidRPr="00FD1969">
        <w:rPr>
          <w:szCs w:val="24"/>
        </w:rPr>
        <w:t>1</w:t>
      </w:r>
      <w:r w:rsidRPr="00FD1969">
        <w:rPr>
          <w:szCs w:val="24"/>
        </w:rPr>
        <w:t xml:space="preserve"> </w:t>
      </w:r>
      <w:r w:rsidR="00600DAD" w:rsidRPr="00FD1969">
        <w:rPr>
          <w:szCs w:val="24"/>
        </w:rPr>
        <w:t xml:space="preserve">also </w:t>
      </w:r>
      <w:r w:rsidRPr="00FD1969">
        <w:rPr>
          <w:szCs w:val="24"/>
        </w:rPr>
        <w:t xml:space="preserve">amends the </w:t>
      </w:r>
      <w:r w:rsidRPr="00FD1969">
        <w:rPr>
          <w:i/>
          <w:szCs w:val="24"/>
        </w:rPr>
        <w:t>Corporations Regulations</w:t>
      </w:r>
      <w:r w:rsidR="00F67CFB" w:rsidRPr="00FD1969">
        <w:rPr>
          <w:i/>
          <w:szCs w:val="24"/>
        </w:rPr>
        <w:t xml:space="preserve"> 2001</w:t>
      </w:r>
      <w:r w:rsidRPr="00FD1969">
        <w:rPr>
          <w:szCs w:val="24"/>
        </w:rPr>
        <w:t xml:space="preserve"> to ensure that w</w:t>
      </w:r>
      <w:r w:rsidR="00726A2A" w:rsidRPr="00FD1969">
        <w:rPr>
          <w:szCs w:val="24"/>
        </w:rPr>
        <w:t>here a</w:t>
      </w:r>
      <w:r w:rsidRPr="00FD1969">
        <w:rPr>
          <w:szCs w:val="24"/>
        </w:rPr>
        <w:t xml:space="preserve"> </w:t>
      </w:r>
      <w:r w:rsidR="00A0771D" w:rsidRPr="00FD1969">
        <w:rPr>
          <w:szCs w:val="24"/>
        </w:rPr>
        <w:t>registrable superannuation entity (</w:t>
      </w:r>
      <w:proofErr w:type="spellStart"/>
      <w:r w:rsidRPr="00FD1969">
        <w:rPr>
          <w:szCs w:val="24"/>
        </w:rPr>
        <w:t>RSE</w:t>
      </w:r>
      <w:proofErr w:type="spellEnd"/>
      <w:r w:rsidR="00A0771D" w:rsidRPr="00FD1969">
        <w:rPr>
          <w:szCs w:val="24"/>
        </w:rPr>
        <w:t>)</w:t>
      </w:r>
      <w:r w:rsidRPr="00FD1969">
        <w:rPr>
          <w:szCs w:val="24"/>
        </w:rPr>
        <w:t xml:space="preserve"> licensee </w:t>
      </w:r>
      <w:r w:rsidR="00726A2A" w:rsidRPr="00FD1969">
        <w:rPr>
          <w:szCs w:val="24"/>
        </w:rPr>
        <w:t xml:space="preserve">is required to provide this notice </w:t>
      </w:r>
      <w:r w:rsidRPr="00FD1969">
        <w:rPr>
          <w:szCs w:val="24"/>
        </w:rPr>
        <w:t>they</w:t>
      </w:r>
      <w:r w:rsidR="00443613" w:rsidRPr="00FD1969">
        <w:rPr>
          <w:szCs w:val="24"/>
        </w:rPr>
        <w:t xml:space="preserve"> would</w:t>
      </w:r>
      <w:r w:rsidR="00726A2A" w:rsidRPr="00FD1969">
        <w:rPr>
          <w:szCs w:val="24"/>
        </w:rPr>
        <w:t xml:space="preserve"> not </w:t>
      </w:r>
      <w:r w:rsidRPr="00FD1969">
        <w:rPr>
          <w:szCs w:val="24"/>
        </w:rPr>
        <w:t xml:space="preserve">also </w:t>
      </w:r>
      <w:r w:rsidR="00726A2A" w:rsidRPr="00FD1969">
        <w:rPr>
          <w:szCs w:val="24"/>
        </w:rPr>
        <w:t>have an obligation to provide a significant event notice that would usually be required by section 1017B of the Corporations Act.</w:t>
      </w:r>
    </w:p>
    <w:p w14:paraId="57271735" w14:textId="77777777" w:rsidR="00726A2A" w:rsidRPr="00FD1969" w:rsidRDefault="00726A2A" w:rsidP="00F60A72">
      <w:pPr>
        <w:keepNext/>
        <w:spacing w:before="120" w:after="240"/>
        <w:outlineLvl w:val="1"/>
        <w:rPr>
          <w:b/>
          <w:szCs w:val="24"/>
        </w:rPr>
      </w:pPr>
      <w:r w:rsidRPr="00FD1969">
        <w:rPr>
          <w:b/>
          <w:szCs w:val="24"/>
        </w:rPr>
        <w:t>Sch</w:t>
      </w:r>
      <w:r w:rsidR="00106A81" w:rsidRPr="00FD1969">
        <w:rPr>
          <w:b/>
          <w:szCs w:val="24"/>
        </w:rPr>
        <w:t>edule </w:t>
      </w:r>
      <w:r w:rsidR="00F67CFB" w:rsidRPr="00FD1969">
        <w:rPr>
          <w:b/>
          <w:szCs w:val="24"/>
        </w:rPr>
        <w:t>3, item 5</w:t>
      </w:r>
      <w:r w:rsidR="00106A81" w:rsidRPr="00FD1969">
        <w:rPr>
          <w:b/>
          <w:szCs w:val="24"/>
        </w:rPr>
        <w:t>, regulation 9.4</w:t>
      </w:r>
      <w:r w:rsidR="00FE7D97" w:rsidRPr="00FD1969">
        <w:rPr>
          <w:b/>
          <w:szCs w:val="24"/>
        </w:rPr>
        <w:t>9</w:t>
      </w:r>
      <w:r w:rsidR="00F57DDA" w:rsidRPr="00FD1969">
        <w:rPr>
          <w:b/>
          <w:szCs w:val="24"/>
        </w:rPr>
        <w:br/>
      </w:r>
      <w:r w:rsidRPr="00FD1969">
        <w:rPr>
          <w:b/>
          <w:szCs w:val="24"/>
        </w:rPr>
        <w:t>Opt</w:t>
      </w:r>
      <w:r w:rsidRPr="00FD1969">
        <w:rPr>
          <w:b/>
          <w:szCs w:val="24"/>
        </w:rPr>
        <w:noBreakHyphen/>
        <w:t xml:space="preserve">out insurance covering </w:t>
      </w:r>
      <w:proofErr w:type="spellStart"/>
      <w:r w:rsidRPr="00FD1969">
        <w:rPr>
          <w:b/>
          <w:szCs w:val="24"/>
        </w:rPr>
        <w:t>MySuper</w:t>
      </w:r>
      <w:proofErr w:type="spellEnd"/>
      <w:r w:rsidRPr="00FD1969">
        <w:rPr>
          <w:b/>
          <w:szCs w:val="24"/>
        </w:rPr>
        <w:t xml:space="preserve"> members cannot be obtained at reasonable cost </w:t>
      </w:r>
    </w:p>
    <w:p w14:paraId="11B23169" w14:textId="77777777" w:rsidR="00B47EEC" w:rsidRPr="00FD1969" w:rsidRDefault="00354CED" w:rsidP="00F60A72">
      <w:pPr>
        <w:spacing w:after="240"/>
        <w:rPr>
          <w:szCs w:val="24"/>
        </w:rPr>
      </w:pPr>
      <w:r w:rsidRPr="00FD1969">
        <w:rPr>
          <w:szCs w:val="24"/>
        </w:rPr>
        <w:t xml:space="preserve">The </w:t>
      </w:r>
      <w:r w:rsidR="00726A2A" w:rsidRPr="00FD1969">
        <w:rPr>
          <w:szCs w:val="24"/>
        </w:rPr>
        <w:t xml:space="preserve">regulation provides that life and </w:t>
      </w:r>
      <w:proofErr w:type="spellStart"/>
      <w:r w:rsidR="00726A2A" w:rsidRPr="00FD1969">
        <w:rPr>
          <w:szCs w:val="24"/>
        </w:rPr>
        <w:t>TPD</w:t>
      </w:r>
      <w:proofErr w:type="spellEnd"/>
      <w:r w:rsidR="00726A2A" w:rsidRPr="00FD1969">
        <w:rPr>
          <w:szCs w:val="24"/>
        </w:rPr>
        <w:t xml:space="preserve"> insurance must be offered on a compulsory basis for </w:t>
      </w:r>
      <w:proofErr w:type="spellStart"/>
      <w:r w:rsidR="00726A2A" w:rsidRPr="00FD1969">
        <w:rPr>
          <w:szCs w:val="24"/>
        </w:rPr>
        <w:t>MySuper</w:t>
      </w:r>
      <w:proofErr w:type="spellEnd"/>
      <w:r w:rsidR="00726A2A" w:rsidRPr="00FD1969">
        <w:rPr>
          <w:szCs w:val="24"/>
        </w:rPr>
        <w:t xml:space="preserve"> members if the trustee is reasonably satisfied that the insurance cannot be provided on an opt</w:t>
      </w:r>
      <w:r w:rsidR="00726A2A" w:rsidRPr="00FD1969">
        <w:rPr>
          <w:szCs w:val="24"/>
        </w:rPr>
        <w:noBreakHyphen/>
        <w:t>out basis at reasonable cost</w:t>
      </w:r>
      <w:r w:rsidR="007109BB" w:rsidRPr="00FD1969">
        <w:rPr>
          <w:szCs w:val="24"/>
        </w:rPr>
        <w:t xml:space="preserve"> or cannot be obtained </w:t>
      </w:r>
      <w:r w:rsidR="007330DA" w:rsidRPr="00FD1969">
        <w:rPr>
          <w:szCs w:val="24"/>
        </w:rPr>
        <w:t xml:space="preserve">from an insurer on opt-out basis </w:t>
      </w:r>
      <w:r w:rsidR="007109BB" w:rsidRPr="00FD1969">
        <w:rPr>
          <w:szCs w:val="24"/>
        </w:rPr>
        <w:t>at all</w:t>
      </w:r>
      <w:r w:rsidR="00726A2A" w:rsidRPr="00FD1969">
        <w:rPr>
          <w:szCs w:val="24"/>
        </w:rPr>
        <w:t xml:space="preserve">.  Subsection 68AA(7) of the </w:t>
      </w:r>
      <w:r w:rsidR="00443613" w:rsidRPr="00FD1969">
        <w:rPr>
          <w:szCs w:val="24"/>
        </w:rPr>
        <w:t>SIS Act will provide</w:t>
      </w:r>
      <w:r w:rsidR="00726A2A" w:rsidRPr="00FD1969">
        <w:rPr>
          <w:szCs w:val="24"/>
        </w:rPr>
        <w:t xml:space="preserve"> that regulations may specify conditions where funds are not required to provide members holding a </w:t>
      </w:r>
      <w:proofErr w:type="spellStart"/>
      <w:r w:rsidR="00726A2A" w:rsidRPr="00FD1969">
        <w:rPr>
          <w:szCs w:val="24"/>
        </w:rPr>
        <w:t>MySuper</w:t>
      </w:r>
      <w:proofErr w:type="spellEnd"/>
      <w:r w:rsidR="00726A2A" w:rsidRPr="00FD1969">
        <w:rPr>
          <w:szCs w:val="24"/>
        </w:rPr>
        <w:t xml:space="preserve"> product with the ability to opt</w:t>
      </w:r>
      <w:r w:rsidR="00F57DDA" w:rsidRPr="00FD1969">
        <w:rPr>
          <w:szCs w:val="24"/>
        </w:rPr>
        <w:noBreakHyphen/>
      </w:r>
      <w:r w:rsidR="00726A2A" w:rsidRPr="00FD1969">
        <w:rPr>
          <w:szCs w:val="24"/>
        </w:rPr>
        <w:t>out.</w:t>
      </w:r>
    </w:p>
    <w:p w14:paraId="7C1E44DC" w14:textId="77777777" w:rsidR="00B47EEC" w:rsidRPr="00FD1969" w:rsidRDefault="00B47EEC" w:rsidP="00B47EEC">
      <w:r w:rsidRPr="00FD1969">
        <w:br w:type="page"/>
      </w:r>
    </w:p>
    <w:p w14:paraId="3044A336" w14:textId="77777777" w:rsidR="00726A2A" w:rsidRPr="00FD1969" w:rsidRDefault="00B47EEC" w:rsidP="00B47EEC">
      <w:pPr>
        <w:pStyle w:val="Default"/>
        <w:jc w:val="right"/>
        <w:rPr>
          <w:b/>
          <w:bCs/>
          <w:sz w:val="23"/>
          <w:szCs w:val="23"/>
          <w:u w:val="single"/>
        </w:rPr>
      </w:pPr>
      <w:r w:rsidRPr="00FD1969">
        <w:rPr>
          <w:b/>
          <w:bCs/>
          <w:sz w:val="23"/>
          <w:szCs w:val="23"/>
          <w:u w:val="single"/>
        </w:rPr>
        <w:lastRenderedPageBreak/>
        <w:t>ATTACHMENT B</w:t>
      </w:r>
    </w:p>
    <w:p w14:paraId="543608B0" w14:textId="77777777" w:rsidR="00B47EEC" w:rsidRPr="00FD1969" w:rsidRDefault="00B47EEC" w:rsidP="00B47EEC">
      <w:pPr>
        <w:pStyle w:val="Default"/>
        <w:jc w:val="right"/>
        <w:rPr>
          <w:b/>
          <w:bCs/>
          <w:sz w:val="23"/>
          <w:szCs w:val="23"/>
          <w:u w:val="single"/>
        </w:rPr>
      </w:pPr>
    </w:p>
    <w:p w14:paraId="37F81903" w14:textId="77777777" w:rsidR="00B47EEC" w:rsidRPr="00FD1969" w:rsidRDefault="00B47EEC" w:rsidP="00B47EEC">
      <w:pPr>
        <w:jc w:val="center"/>
        <w:rPr>
          <w:b/>
          <w:sz w:val="28"/>
          <w:szCs w:val="28"/>
          <w:lang w:val="en-US"/>
        </w:rPr>
      </w:pPr>
      <w:r w:rsidRPr="00FD1969">
        <w:rPr>
          <w:b/>
          <w:sz w:val="28"/>
          <w:szCs w:val="28"/>
          <w:lang w:val="en-US"/>
        </w:rPr>
        <w:t>Statement of Compatibility with Human Rights</w:t>
      </w:r>
    </w:p>
    <w:p w14:paraId="43E45019" w14:textId="77777777" w:rsidR="00B73747" w:rsidRPr="00FD1969" w:rsidRDefault="00B73747" w:rsidP="00B47EEC">
      <w:pPr>
        <w:jc w:val="center"/>
      </w:pPr>
    </w:p>
    <w:p w14:paraId="28E197EA" w14:textId="77777777" w:rsidR="00B47EEC" w:rsidRPr="00FD1969" w:rsidRDefault="00B47EEC" w:rsidP="00B47EEC">
      <w:pPr>
        <w:jc w:val="center"/>
        <w:rPr>
          <w:i/>
          <w:lang w:val="en-US"/>
        </w:rPr>
      </w:pPr>
      <w:r w:rsidRPr="00FD1969">
        <w:rPr>
          <w:i/>
          <w:lang w:val="en-US"/>
        </w:rPr>
        <w:t>Prepared in accordance with Part 3 of the Human Rights (Parliamentary Scrutiny) Act 2011</w:t>
      </w:r>
    </w:p>
    <w:p w14:paraId="718DB4C3" w14:textId="77777777" w:rsidR="00B73747" w:rsidRPr="00FD1969" w:rsidRDefault="00B73747" w:rsidP="00B47EEC">
      <w:pPr>
        <w:jc w:val="center"/>
        <w:rPr>
          <w:lang w:val="en-US"/>
        </w:rPr>
      </w:pPr>
    </w:p>
    <w:p w14:paraId="645C84FD" w14:textId="063CE31B" w:rsidR="00B47EEC" w:rsidRPr="00FD1969" w:rsidRDefault="00B47EEC" w:rsidP="00B47EEC">
      <w:pPr>
        <w:pStyle w:val="Heading3"/>
        <w:jc w:val="center"/>
        <w:rPr>
          <w:i/>
        </w:rPr>
      </w:pPr>
      <w:r w:rsidRPr="00FD1969">
        <w:rPr>
          <w:i/>
        </w:rPr>
        <w:t>Superannuation Legisla</w:t>
      </w:r>
      <w:r w:rsidR="00FD1969" w:rsidRPr="00FD1969">
        <w:rPr>
          <w:i/>
        </w:rPr>
        <w:t xml:space="preserve">tion Amendment Regulation </w:t>
      </w:r>
      <w:r w:rsidRPr="00FD1969">
        <w:rPr>
          <w:i/>
        </w:rPr>
        <w:t>2013</w:t>
      </w:r>
      <w:r w:rsidR="00AD3D17">
        <w:rPr>
          <w:i/>
        </w:rPr>
        <w:t xml:space="preserve"> </w:t>
      </w:r>
      <w:r w:rsidR="00AD3D17" w:rsidRPr="00FD1969">
        <w:rPr>
          <w:i/>
        </w:rPr>
        <w:t>(No. 1</w:t>
      </w:r>
      <w:r w:rsidR="00AD3D17">
        <w:rPr>
          <w:i/>
        </w:rPr>
        <w:t>)</w:t>
      </w:r>
    </w:p>
    <w:p w14:paraId="4C66CA2E" w14:textId="77777777" w:rsidR="00B73747" w:rsidRPr="00FD1969" w:rsidRDefault="00B73747" w:rsidP="00B73747"/>
    <w:p w14:paraId="1E67329C" w14:textId="77777777" w:rsidR="00B47EEC" w:rsidRPr="00FD1969" w:rsidRDefault="00B47EEC" w:rsidP="00B47EEC">
      <w:pPr>
        <w:pStyle w:val="Heading3"/>
      </w:pPr>
      <w:r w:rsidRPr="00FD1969">
        <w:t xml:space="preserve">This Regulation is compatible with the human rights and freedoms recognised or declared in the international instruments listed in section 3 of the </w:t>
      </w:r>
      <w:r w:rsidRPr="00FD1969">
        <w:rPr>
          <w:i/>
        </w:rPr>
        <w:t>Human Rights (Parliamentary Scrutiny) Act 2011</w:t>
      </w:r>
      <w:r w:rsidRPr="00FD1969">
        <w:t>.</w:t>
      </w:r>
    </w:p>
    <w:p w14:paraId="780D53B9" w14:textId="77777777" w:rsidR="00B47EEC" w:rsidRPr="00FD1969" w:rsidRDefault="00B47EEC" w:rsidP="00B47EEC">
      <w:pPr>
        <w:pStyle w:val="base-text-paragraph"/>
      </w:pPr>
    </w:p>
    <w:p w14:paraId="3251E43B" w14:textId="77777777" w:rsidR="00B47EEC" w:rsidRPr="00FD1969" w:rsidRDefault="00B47EEC" w:rsidP="00B47EEC">
      <w:pPr>
        <w:pStyle w:val="NoSpacing"/>
        <w:rPr>
          <w:b/>
        </w:rPr>
      </w:pPr>
      <w:r w:rsidRPr="00FD1969">
        <w:rPr>
          <w:b/>
        </w:rPr>
        <w:t>Overview</w:t>
      </w:r>
    </w:p>
    <w:p w14:paraId="0AAD8739" w14:textId="77777777" w:rsidR="00B47EEC" w:rsidRPr="00FD1969" w:rsidRDefault="00B47EEC" w:rsidP="00B47EEC">
      <w:pPr>
        <w:pStyle w:val="NoSpacing"/>
        <w:rPr>
          <w:b/>
        </w:rPr>
      </w:pPr>
    </w:p>
    <w:p w14:paraId="3E295CBD" w14:textId="4A306BE9" w:rsidR="00B47EEC" w:rsidRPr="00FD1969" w:rsidRDefault="00B47EEC" w:rsidP="00B47EEC">
      <w:pPr>
        <w:pStyle w:val="NoSpacing"/>
        <w:keepNext/>
        <w:rPr>
          <w:rFonts w:cs="Helvetica"/>
          <w:i/>
        </w:rPr>
      </w:pPr>
      <w:r w:rsidRPr="00FD1969">
        <w:rPr>
          <w:rFonts w:cs="Helvetica"/>
          <w:i/>
        </w:rPr>
        <w:t xml:space="preserve">Superannuation Legislation Amendment Regulation </w:t>
      </w:r>
      <w:r w:rsidR="00FD1969" w:rsidRPr="00FD1969">
        <w:rPr>
          <w:rFonts w:cs="Helvetica"/>
          <w:i/>
        </w:rPr>
        <w:t>2013 (No. 1)</w:t>
      </w:r>
      <w:r w:rsidRPr="00FD1969">
        <w:rPr>
          <w:rFonts w:cs="Helvetica"/>
          <w:i/>
        </w:rPr>
        <w:t xml:space="preserve"> </w:t>
      </w:r>
      <w:r w:rsidRPr="00FD1969">
        <w:t xml:space="preserve">amends the </w:t>
      </w:r>
      <w:r w:rsidRPr="00FD1969">
        <w:rPr>
          <w:i/>
        </w:rPr>
        <w:t xml:space="preserve">Superannuation Industry (Supervision) Regulations 1994 </w:t>
      </w:r>
      <w:r w:rsidRPr="00FD1969">
        <w:t>(the SIS Regulations)</w:t>
      </w:r>
      <w:r w:rsidRPr="00FD1969">
        <w:rPr>
          <w:rFonts w:cs="Helvetica"/>
        </w:rPr>
        <w:t xml:space="preserve">, the </w:t>
      </w:r>
      <w:r w:rsidRPr="00FD1969">
        <w:rPr>
          <w:rFonts w:cs="Helvetica"/>
          <w:i/>
        </w:rPr>
        <w:t xml:space="preserve">Corporations Regulations 2001 </w:t>
      </w:r>
      <w:r w:rsidRPr="00FD1969">
        <w:rPr>
          <w:rFonts w:cs="Helvetica"/>
        </w:rPr>
        <w:t xml:space="preserve">and the </w:t>
      </w:r>
      <w:r w:rsidRPr="00FD1969">
        <w:rPr>
          <w:rFonts w:cs="Helvetica"/>
          <w:i/>
        </w:rPr>
        <w:t>Superannuation Guarantee (Administration) Regulations 1993.</w:t>
      </w:r>
    </w:p>
    <w:p w14:paraId="53D79FFE" w14:textId="77777777" w:rsidR="00B47EEC" w:rsidRPr="00FD1969" w:rsidRDefault="00B47EEC" w:rsidP="00B47EEC">
      <w:pPr>
        <w:pStyle w:val="NoSpacing"/>
        <w:keepNext/>
        <w:rPr>
          <w:rFonts w:cs="Helvetica"/>
          <w:i/>
        </w:rPr>
      </w:pPr>
    </w:p>
    <w:p w14:paraId="1221AB3E" w14:textId="77777777" w:rsidR="00B47EEC" w:rsidRPr="00FD1969" w:rsidRDefault="00B47EEC" w:rsidP="00B47EEC">
      <w:pPr>
        <w:pStyle w:val="NoSpacing"/>
      </w:pPr>
      <w:r w:rsidRPr="00FD1969">
        <w:t xml:space="preserve">On 16 December 2010, the Government announced the Stronger Super package of reforms in response to the recommendations of the Super System Review final report.  Following extensive consultation, on 21 September 2011 the Government announced its decisions on key design aspects of the Stronger Super reforms.  </w:t>
      </w:r>
    </w:p>
    <w:p w14:paraId="30B32671" w14:textId="77777777" w:rsidR="00B47EEC" w:rsidRPr="00FD1969" w:rsidRDefault="00B47EEC" w:rsidP="00B47EEC">
      <w:pPr>
        <w:pStyle w:val="NoSpacing"/>
      </w:pPr>
    </w:p>
    <w:p w14:paraId="63D68A60" w14:textId="77777777" w:rsidR="00B47EEC" w:rsidRPr="00FD1969" w:rsidRDefault="00B47EEC" w:rsidP="00B47EEC">
      <w:pPr>
        <w:pStyle w:val="NoSpacing"/>
      </w:pPr>
      <w:r w:rsidRPr="00FD1969">
        <w:t xml:space="preserve">The purpose of the Regulation is to give effect to changes arising from legislation implementing the </w:t>
      </w:r>
      <w:proofErr w:type="spellStart"/>
      <w:r w:rsidRPr="00FD1969">
        <w:t>MySuper</w:t>
      </w:r>
      <w:proofErr w:type="spellEnd"/>
      <w:r w:rsidRPr="00FD1969">
        <w:t xml:space="preserve"> and governance reforms. </w:t>
      </w:r>
    </w:p>
    <w:p w14:paraId="38877019" w14:textId="77777777" w:rsidR="00B73747" w:rsidRPr="00FD1969" w:rsidRDefault="00B73747" w:rsidP="00B47EEC">
      <w:pPr>
        <w:pStyle w:val="NoSpacing"/>
      </w:pPr>
    </w:p>
    <w:p w14:paraId="3EE44626" w14:textId="77777777" w:rsidR="00B47EEC" w:rsidRPr="00FD1969" w:rsidRDefault="00B47EEC" w:rsidP="00B47EEC">
      <w:pPr>
        <w:tabs>
          <w:tab w:val="right" w:pos="9072"/>
        </w:tabs>
        <w:ind w:right="91"/>
      </w:pPr>
      <w:r w:rsidRPr="00FD1969">
        <w:t>The Regulation:</w:t>
      </w:r>
    </w:p>
    <w:p w14:paraId="5663FC31" w14:textId="77777777" w:rsidR="00B73747" w:rsidRPr="00FD1969" w:rsidRDefault="00B73747" w:rsidP="00B47EEC">
      <w:pPr>
        <w:tabs>
          <w:tab w:val="right" w:pos="9072"/>
        </w:tabs>
        <w:ind w:right="91"/>
      </w:pPr>
    </w:p>
    <w:p w14:paraId="54CEBC37" w14:textId="77777777" w:rsidR="00B47EEC" w:rsidRPr="00FD1969" w:rsidRDefault="00B47EEC" w:rsidP="00B47EEC">
      <w:pPr>
        <w:pStyle w:val="Bullet"/>
        <w:numPr>
          <w:ilvl w:val="0"/>
          <w:numId w:val="3"/>
        </w:numPr>
        <w:tabs>
          <w:tab w:val="clear" w:pos="567"/>
          <w:tab w:val="right" w:pos="1134"/>
        </w:tabs>
        <w:ind w:left="1134"/>
      </w:pPr>
      <w:r w:rsidRPr="00FD1969">
        <w:t xml:space="preserve">ensures that a trustee provides a member of a </w:t>
      </w:r>
      <w:proofErr w:type="spellStart"/>
      <w:r w:rsidRPr="00FD1969">
        <w:t>MySuper</w:t>
      </w:r>
      <w:proofErr w:type="spellEnd"/>
      <w:r w:rsidRPr="00FD1969">
        <w:t xml:space="preserve"> product with a notice of a material change or significant event,  where the member’s balance in the </w:t>
      </w:r>
      <w:proofErr w:type="spellStart"/>
      <w:r w:rsidRPr="00FD1969">
        <w:t>MySuper</w:t>
      </w:r>
      <w:proofErr w:type="spellEnd"/>
      <w:r w:rsidRPr="00FD1969">
        <w:t xml:space="preserve"> product is moved to any other product or investment option, upon the recommendation of the trustee; </w:t>
      </w:r>
    </w:p>
    <w:p w14:paraId="1A1770B6" w14:textId="77777777" w:rsidR="00B47EEC" w:rsidRPr="00FD1969" w:rsidRDefault="00B47EEC" w:rsidP="00B47EEC">
      <w:pPr>
        <w:pStyle w:val="Bullet"/>
        <w:numPr>
          <w:ilvl w:val="0"/>
          <w:numId w:val="0"/>
        </w:numPr>
        <w:ind w:left="567" w:hanging="567"/>
      </w:pPr>
    </w:p>
    <w:p w14:paraId="104BAAB8" w14:textId="77777777" w:rsidR="00B47EEC" w:rsidRPr="00FD1969" w:rsidRDefault="00B47EEC" w:rsidP="00B47EEC">
      <w:pPr>
        <w:pStyle w:val="Bullet"/>
        <w:numPr>
          <w:ilvl w:val="0"/>
          <w:numId w:val="3"/>
        </w:numPr>
        <w:tabs>
          <w:tab w:val="clear" w:pos="567"/>
          <w:tab w:val="right" w:pos="1134"/>
        </w:tabs>
        <w:ind w:left="1134"/>
      </w:pPr>
      <w:r w:rsidRPr="00FD1969">
        <w:t xml:space="preserve">requires superannuation funds to provide, rather than only offer, a minimum amount of death insurance to members of </w:t>
      </w:r>
      <w:proofErr w:type="spellStart"/>
      <w:r w:rsidRPr="00FD1969">
        <w:t>MySuper</w:t>
      </w:r>
      <w:proofErr w:type="spellEnd"/>
      <w:r w:rsidRPr="00FD1969">
        <w:t xml:space="preserve"> products in order to be able to receive superannuation contributions from employers on behalf of employees who have not chosen a fund;</w:t>
      </w:r>
    </w:p>
    <w:p w14:paraId="41E11BF3" w14:textId="77777777" w:rsidR="00B47EEC" w:rsidRPr="00FD1969" w:rsidRDefault="00B47EEC" w:rsidP="00B47EEC">
      <w:pPr>
        <w:pStyle w:val="Bullet"/>
        <w:numPr>
          <w:ilvl w:val="0"/>
          <w:numId w:val="0"/>
        </w:numPr>
        <w:ind w:left="567" w:hanging="567"/>
      </w:pPr>
    </w:p>
    <w:p w14:paraId="73FA2193" w14:textId="77777777" w:rsidR="00B47EEC" w:rsidRPr="00FD1969" w:rsidRDefault="00B47EEC" w:rsidP="00B47EEC">
      <w:pPr>
        <w:pStyle w:val="Bullet"/>
        <w:numPr>
          <w:ilvl w:val="0"/>
          <w:numId w:val="3"/>
        </w:numPr>
        <w:tabs>
          <w:tab w:val="clear" w:pos="567"/>
          <w:tab w:val="right" w:pos="1134"/>
        </w:tabs>
        <w:ind w:left="1134"/>
      </w:pPr>
      <w:r w:rsidRPr="00FD1969">
        <w:t xml:space="preserve">ensures that the existing definition of ‘permanent incapacity’ in the SIS Regulations applies for the purposes of the SIS Act, supporting the new requirement in the SIS Act that superannuation funds provide members of </w:t>
      </w:r>
      <w:proofErr w:type="spellStart"/>
      <w:r w:rsidRPr="00FD1969">
        <w:t>MySuper</w:t>
      </w:r>
      <w:proofErr w:type="spellEnd"/>
      <w:r w:rsidRPr="00FD1969">
        <w:t xml:space="preserve"> products with permanent incapacity benefits;</w:t>
      </w:r>
    </w:p>
    <w:p w14:paraId="5DE6FE9C" w14:textId="77777777" w:rsidR="00B47EEC" w:rsidRPr="00FD1969" w:rsidRDefault="00B47EEC" w:rsidP="00B47EEC">
      <w:pPr>
        <w:pStyle w:val="Bullet"/>
        <w:numPr>
          <w:ilvl w:val="0"/>
          <w:numId w:val="0"/>
        </w:numPr>
        <w:ind w:left="567" w:hanging="567"/>
      </w:pPr>
    </w:p>
    <w:p w14:paraId="01C28A68" w14:textId="77777777" w:rsidR="00B47EEC" w:rsidRPr="00FD1969" w:rsidRDefault="00B47EEC" w:rsidP="00B47EEC">
      <w:pPr>
        <w:pStyle w:val="Bullet"/>
        <w:numPr>
          <w:ilvl w:val="0"/>
          <w:numId w:val="3"/>
        </w:numPr>
        <w:tabs>
          <w:tab w:val="clear" w:pos="567"/>
          <w:tab w:val="right" w:pos="1134"/>
        </w:tabs>
        <w:ind w:left="1134"/>
        <w:rPr>
          <w:szCs w:val="24"/>
        </w:rPr>
      </w:pPr>
      <w:r w:rsidRPr="00FD1969">
        <w:rPr>
          <w:szCs w:val="24"/>
        </w:rPr>
        <w:t>prohibits trustees from providing insured benefits other than those that are consistent with the conditions of release in the SIS Regulations for death, terminal medical condition, permanent incapacity and temporary incapacity, to beneficiaries who join a fund from 1 July 2014;</w:t>
      </w:r>
    </w:p>
    <w:p w14:paraId="1F446231" w14:textId="77777777" w:rsidR="00B47EEC" w:rsidRPr="00FD1969" w:rsidRDefault="00B47EEC" w:rsidP="00B47EEC">
      <w:pPr>
        <w:pStyle w:val="Bullet"/>
        <w:numPr>
          <w:ilvl w:val="0"/>
          <w:numId w:val="0"/>
        </w:numPr>
        <w:ind w:left="567" w:hanging="567"/>
      </w:pPr>
    </w:p>
    <w:p w14:paraId="1D77C44D" w14:textId="77777777" w:rsidR="00B47EEC" w:rsidRPr="00FD1969" w:rsidRDefault="00B47EEC" w:rsidP="00B47EEC">
      <w:pPr>
        <w:pStyle w:val="Bullet"/>
        <w:numPr>
          <w:ilvl w:val="0"/>
          <w:numId w:val="3"/>
        </w:numPr>
        <w:tabs>
          <w:tab w:val="clear" w:pos="567"/>
          <w:tab w:val="right" w:pos="1134"/>
        </w:tabs>
        <w:ind w:left="1134"/>
        <w:rPr>
          <w:szCs w:val="24"/>
        </w:rPr>
      </w:pPr>
      <w:r w:rsidRPr="00FD1969">
        <w:rPr>
          <w:szCs w:val="24"/>
        </w:rPr>
        <w:lastRenderedPageBreak/>
        <w:t>prohibits trustees from providing insured benefits for members unless they are supported by an insurance policy from an insurer, that is, a fund will not be able to self</w:t>
      </w:r>
      <w:r w:rsidRPr="00FD1969">
        <w:rPr>
          <w:szCs w:val="24"/>
        </w:rPr>
        <w:noBreakHyphen/>
        <w:t>insure;</w:t>
      </w:r>
    </w:p>
    <w:p w14:paraId="16B287EE" w14:textId="77777777" w:rsidR="00B47EEC" w:rsidRPr="00FD1969" w:rsidRDefault="00B47EEC" w:rsidP="00B47EEC">
      <w:pPr>
        <w:pStyle w:val="Bullet"/>
        <w:numPr>
          <w:ilvl w:val="0"/>
          <w:numId w:val="0"/>
        </w:numPr>
        <w:rPr>
          <w:szCs w:val="24"/>
        </w:rPr>
      </w:pPr>
    </w:p>
    <w:p w14:paraId="5A1573A6" w14:textId="77777777" w:rsidR="00B47EEC" w:rsidRPr="00FD1969" w:rsidRDefault="00B47EEC" w:rsidP="00B47EEC">
      <w:pPr>
        <w:pStyle w:val="Bullet"/>
        <w:numPr>
          <w:ilvl w:val="0"/>
          <w:numId w:val="3"/>
        </w:numPr>
        <w:tabs>
          <w:tab w:val="clear" w:pos="567"/>
          <w:tab w:val="right" w:pos="1134"/>
        </w:tabs>
        <w:ind w:left="1134"/>
      </w:pPr>
      <w:r w:rsidRPr="00FD1969">
        <w:t xml:space="preserve">provides that the successor fund transfer rules relating to the transfer of a member’s benefit between funds, do not apply to the transfer of accrued default amounts to a </w:t>
      </w:r>
      <w:proofErr w:type="spellStart"/>
      <w:r w:rsidRPr="00FD1969">
        <w:t>MySuper</w:t>
      </w:r>
      <w:proofErr w:type="spellEnd"/>
      <w:r w:rsidRPr="00FD1969">
        <w:t xml:space="preserve"> product in another fund, to facilitate the movement of existing default amounts to the new </w:t>
      </w:r>
      <w:proofErr w:type="spellStart"/>
      <w:r w:rsidRPr="00FD1969">
        <w:t>MySuper</w:t>
      </w:r>
      <w:proofErr w:type="spellEnd"/>
      <w:r w:rsidRPr="00FD1969">
        <w:t xml:space="preserve"> regime;</w:t>
      </w:r>
    </w:p>
    <w:p w14:paraId="04029E5F" w14:textId="77777777" w:rsidR="00B47EEC" w:rsidRPr="00FD1969" w:rsidRDefault="00B47EEC" w:rsidP="00B47EEC">
      <w:pPr>
        <w:pStyle w:val="Bullet"/>
        <w:numPr>
          <w:ilvl w:val="0"/>
          <w:numId w:val="0"/>
        </w:numPr>
        <w:ind w:left="567" w:hanging="567"/>
      </w:pPr>
    </w:p>
    <w:p w14:paraId="738247AC" w14:textId="77777777" w:rsidR="00B47EEC" w:rsidRPr="00FD1969" w:rsidRDefault="00B47EEC" w:rsidP="00B47EEC">
      <w:pPr>
        <w:pStyle w:val="Bullet"/>
        <w:numPr>
          <w:ilvl w:val="0"/>
          <w:numId w:val="3"/>
        </w:numPr>
        <w:tabs>
          <w:tab w:val="clear" w:pos="567"/>
          <w:tab w:val="right" w:pos="1134"/>
        </w:tabs>
        <w:ind w:left="1134"/>
      </w:pPr>
      <w:r w:rsidRPr="00FD1969">
        <w:t xml:space="preserve">requires trustees to provide a notice of a material change or significant event to a member when they are attributing the member’s accrued default amount to a </w:t>
      </w:r>
      <w:proofErr w:type="spellStart"/>
      <w:r w:rsidRPr="00FD1969">
        <w:t>MySuper</w:t>
      </w:r>
      <w:proofErr w:type="spellEnd"/>
      <w:r w:rsidRPr="00FD1969">
        <w:t xml:space="preserve"> product within the fund, or are moving the accrued default amount to another fund; and</w:t>
      </w:r>
    </w:p>
    <w:p w14:paraId="68049548" w14:textId="77777777" w:rsidR="00B47EEC" w:rsidRPr="00FD1969" w:rsidRDefault="00B47EEC" w:rsidP="00B47EEC">
      <w:pPr>
        <w:pStyle w:val="Bullet"/>
        <w:numPr>
          <w:ilvl w:val="0"/>
          <w:numId w:val="0"/>
        </w:numPr>
        <w:tabs>
          <w:tab w:val="right" w:pos="1134"/>
        </w:tabs>
        <w:ind w:left="1134"/>
      </w:pPr>
    </w:p>
    <w:p w14:paraId="12DFD87B" w14:textId="77777777" w:rsidR="00B47EEC" w:rsidRPr="00FD1969" w:rsidRDefault="00B47EEC" w:rsidP="00B47EEC">
      <w:pPr>
        <w:pStyle w:val="Bullet"/>
        <w:numPr>
          <w:ilvl w:val="0"/>
          <w:numId w:val="3"/>
        </w:numPr>
        <w:tabs>
          <w:tab w:val="clear" w:pos="567"/>
          <w:tab w:val="right" w:pos="1134"/>
        </w:tabs>
        <w:ind w:left="1134"/>
      </w:pPr>
      <w:r w:rsidRPr="00FD1969">
        <w:t>provides that life and total and permanent disability (</w:t>
      </w:r>
      <w:proofErr w:type="spellStart"/>
      <w:r w:rsidRPr="00FD1969">
        <w:t>TPD</w:t>
      </w:r>
      <w:proofErr w:type="spellEnd"/>
      <w:r w:rsidRPr="00FD1969">
        <w:t xml:space="preserve">) insurance is compulsory for </w:t>
      </w:r>
      <w:proofErr w:type="spellStart"/>
      <w:r w:rsidRPr="00FD1969">
        <w:t>MySuper</w:t>
      </w:r>
      <w:proofErr w:type="spellEnd"/>
      <w:r w:rsidRPr="00FD1969">
        <w:t xml:space="preserve"> members if the trustee is reasonably satisfied the insurance cannot be provided on an opt-out basis at reasonable cost, or at all.</w:t>
      </w:r>
    </w:p>
    <w:p w14:paraId="30809AAF" w14:textId="77777777" w:rsidR="00B47EEC" w:rsidRPr="00FD1969" w:rsidRDefault="00B47EEC" w:rsidP="00B47EEC">
      <w:pPr>
        <w:pStyle w:val="Bullet"/>
        <w:numPr>
          <w:ilvl w:val="0"/>
          <w:numId w:val="0"/>
        </w:numPr>
        <w:tabs>
          <w:tab w:val="right" w:pos="1134"/>
        </w:tabs>
        <w:ind w:left="567" w:hanging="567"/>
      </w:pPr>
    </w:p>
    <w:p w14:paraId="50BB07A9" w14:textId="77777777" w:rsidR="00B47EEC" w:rsidRPr="00FD1969" w:rsidRDefault="00B47EEC" w:rsidP="00B47EEC">
      <w:pPr>
        <w:pStyle w:val="NoSpacing"/>
      </w:pPr>
      <w:r w:rsidRPr="00FD1969">
        <w:t>Further information on these amendments is contained in the explanatory materials accompanying the Regulation.</w:t>
      </w:r>
    </w:p>
    <w:p w14:paraId="3221C14D" w14:textId="77777777" w:rsidR="00B47EEC" w:rsidRPr="00FD1969" w:rsidRDefault="00B47EEC" w:rsidP="00B47EEC">
      <w:pPr>
        <w:pStyle w:val="NoSpacing"/>
        <w:rPr>
          <w:rFonts w:cs="Helvetica"/>
        </w:rPr>
      </w:pPr>
    </w:p>
    <w:p w14:paraId="540177D2" w14:textId="77777777" w:rsidR="00B47EEC" w:rsidRPr="00FD1969" w:rsidRDefault="00B47EEC" w:rsidP="00B47EEC">
      <w:pPr>
        <w:pStyle w:val="NoSpacing"/>
        <w:rPr>
          <w:b/>
        </w:rPr>
      </w:pPr>
      <w:r w:rsidRPr="00FD1969">
        <w:rPr>
          <w:b/>
        </w:rPr>
        <w:t>Human rights implications</w:t>
      </w:r>
    </w:p>
    <w:p w14:paraId="575E8CC1" w14:textId="77777777" w:rsidR="00B47EEC" w:rsidRPr="00FD1969" w:rsidRDefault="00B47EEC" w:rsidP="00B47EEC">
      <w:pPr>
        <w:pStyle w:val="NoSpacing"/>
        <w:rPr>
          <w:b/>
        </w:rPr>
      </w:pPr>
    </w:p>
    <w:p w14:paraId="614A9D4E" w14:textId="77777777" w:rsidR="00B47EEC" w:rsidRPr="00FD1969" w:rsidRDefault="00B47EEC" w:rsidP="00B47EEC">
      <w:pPr>
        <w:pStyle w:val="NoSpacing"/>
        <w:rPr>
          <w:szCs w:val="24"/>
        </w:rPr>
      </w:pPr>
      <w:r w:rsidRPr="00FD1969">
        <w:rPr>
          <w:szCs w:val="24"/>
        </w:rPr>
        <w:t>The Regulation engages the right to health under the Article 12 of the International Covenant on Economic, Social and Cultural Rights (</w:t>
      </w:r>
      <w:proofErr w:type="spellStart"/>
      <w:r w:rsidRPr="00FD1969">
        <w:rPr>
          <w:szCs w:val="24"/>
        </w:rPr>
        <w:t>ICESCR</w:t>
      </w:r>
      <w:proofErr w:type="spellEnd"/>
      <w:r w:rsidRPr="00FD1969">
        <w:rPr>
          <w:szCs w:val="24"/>
        </w:rPr>
        <w:t>).</w:t>
      </w:r>
    </w:p>
    <w:p w14:paraId="0681A756" w14:textId="77777777" w:rsidR="00B47EEC" w:rsidRPr="00FD1969" w:rsidRDefault="00B47EEC" w:rsidP="00B47EEC">
      <w:pPr>
        <w:pStyle w:val="NoSpacing"/>
        <w:rPr>
          <w:szCs w:val="24"/>
        </w:rPr>
      </w:pPr>
    </w:p>
    <w:p w14:paraId="36FD343B" w14:textId="77777777" w:rsidR="00B47EEC" w:rsidRPr="00FD1969" w:rsidRDefault="00B47EEC" w:rsidP="00B47EEC">
      <w:pPr>
        <w:pStyle w:val="NoSpacing"/>
        <w:rPr>
          <w:szCs w:val="24"/>
        </w:rPr>
      </w:pPr>
      <w:r w:rsidRPr="00FD1969">
        <w:rPr>
          <w:szCs w:val="24"/>
        </w:rPr>
        <w:t>Article 12 recognises the right of everyone to the enjoyment of the highest attainable standard of physical and mental health.  According to the United Nations Committee on Economic, Social and Cultural Rights, this includes a right to the enjoyment of a variety of facilities, goods, services and conditions necessary for the realisation of the highest attainable standard of health. Such facilities, goods and services must be accessible to everyone.</w:t>
      </w:r>
    </w:p>
    <w:p w14:paraId="2AC998CC" w14:textId="77777777" w:rsidR="00B47EEC" w:rsidRPr="00FD1969" w:rsidRDefault="00B47EEC" w:rsidP="00B47EEC">
      <w:pPr>
        <w:pStyle w:val="NoSpacing"/>
        <w:rPr>
          <w:szCs w:val="24"/>
        </w:rPr>
      </w:pPr>
    </w:p>
    <w:p w14:paraId="12F78A07" w14:textId="77777777" w:rsidR="00B47EEC" w:rsidRPr="00FD1969" w:rsidRDefault="00B47EEC" w:rsidP="00B47EEC">
      <w:pPr>
        <w:pStyle w:val="NoSpacing"/>
        <w:rPr>
          <w:szCs w:val="24"/>
        </w:rPr>
      </w:pPr>
      <w:r w:rsidRPr="00FD1969">
        <w:rPr>
          <w:szCs w:val="24"/>
        </w:rPr>
        <w:t xml:space="preserve">Under Article 4 of the </w:t>
      </w:r>
      <w:proofErr w:type="spellStart"/>
      <w:r w:rsidRPr="00FD1969">
        <w:rPr>
          <w:szCs w:val="24"/>
        </w:rPr>
        <w:t>ICESCR</w:t>
      </w:r>
      <w:proofErr w:type="spellEnd"/>
      <w:r w:rsidRPr="00FD1969">
        <w:rPr>
          <w:szCs w:val="24"/>
        </w:rPr>
        <w:t>, the right to health may be subject to only such limitations as are determined by law which are compatible with the nature of the right and solely for the purpose of promoting the general welfare in a democratic society.  Such limitations must pursue a legitimate objective and be reasonable, necessary and proportionate to that objective.</w:t>
      </w:r>
    </w:p>
    <w:p w14:paraId="3D76DFB2" w14:textId="77777777" w:rsidR="00B47EEC" w:rsidRPr="00FD1969" w:rsidRDefault="00B47EEC" w:rsidP="00B47EEC">
      <w:pPr>
        <w:pStyle w:val="NoSpacing"/>
        <w:rPr>
          <w:szCs w:val="24"/>
        </w:rPr>
      </w:pPr>
    </w:p>
    <w:p w14:paraId="14708F80" w14:textId="77777777" w:rsidR="00B47EEC" w:rsidRPr="00FD1969" w:rsidRDefault="00B47EEC" w:rsidP="00B47EEC">
      <w:pPr>
        <w:pStyle w:val="NoSpacing"/>
        <w:rPr>
          <w:szCs w:val="24"/>
        </w:rPr>
      </w:pPr>
      <w:r w:rsidRPr="00FD1969">
        <w:rPr>
          <w:szCs w:val="24"/>
        </w:rPr>
        <w:t>Two of the provisions described above limit the circumstances in which superannuation fund trustees can provide fund members with insurance coverage.  These are the prohibitions on self-insurance by funds and on providing insured benefits that are inconsistent with the SIS Regulations conditions of release.  The prohibition on self-insurance does not limit the type or level of insurance cover that trustees can provide members.  Rather, it deals with how trustees are able to fund the provision of this cover.</w:t>
      </w:r>
    </w:p>
    <w:p w14:paraId="3D3DE131" w14:textId="77777777" w:rsidR="00B47EEC" w:rsidRPr="00FD1969" w:rsidRDefault="00B47EEC" w:rsidP="00B47EEC">
      <w:pPr>
        <w:pStyle w:val="NoSpacing"/>
        <w:rPr>
          <w:szCs w:val="24"/>
        </w:rPr>
      </w:pPr>
    </w:p>
    <w:p w14:paraId="09F4D76A" w14:textId="77777777" w:rsidR="00B47EEC" w:rsidRPr="00FD1969" w:rsidRDefault="00B47EEC" w:rsidP="00B47EEC">
      <w:pPr>
        <w:pStyle w:val="NoSpacing"/>
        <w:rPr>
          <w:szCs w:val="24"/>
        </w:rPr>
      </w:pPr>
      <w:r w:rsidRPr="00FD1969">
        <w:rPr>
          <w:szCs w:val="24"/>
        </w:rPr>
        <w:t xml:space="preserve">The restriction on the types of insured benefits that trustees are able to provide will have an impact on fund members.  From 1 July 2014, new superannuation fund members will only receive insurance coverage where the insurance benefits satisfy the conditions of release at Schedule 1 of the SIS Regulations for death, terminal medical </w:t>
      </w:r>
      <w:r w:rsidRPr="00FD1969">
        <w:rPr>
          <w:szCs w:val="24"/>
        </w:rPr>
        <w:lastRenderedPageBreak/>
        <w:t xml:space="preserve">condition, permanent incapacity and temporary incapacity.  The conditions of release set out the circumstances in which a trustee may make payments to a fund member.  </w:t>
      </w:r>
    </w:p>
    <w:p w14:paraId="10F8C358" w14:textId="77777777" w:rsidR="00B47EEC" w:rsidRPr="00FD1969" w:rsidRDefault="00B47EEC" w:rsidP="00B47EEC">
      <w:pPr>
        <w:pStyle w:val="NoSpacing"/>
        <w:rPr>
          <w:szCs w:val="24"/>
        </w:rPr>
      </w:pPr>
    </w:p>
    <w:p w14:paraId="326AC589" w14:textId="77777777" w:rsidR="00B47EEC" w:rsidRPr="00FD1969" w:rsidRDefault="00B47EEC" w:rsidP="00B47EEC">
      <w:pPr>
        <w:pStyle w:val="NoSpacing"/>
        <w:rPr>
          <w:szCs w:val="24"/>
        </w:rPr>
      </w:pPr>
      <w:r w:rsidRPr="00FD1969">
        <w:rPr>
          <w:szCs w:val="24"/>
        </w:rPr>
        <w:t>Currently, funds are able to provide their members with types of disability insurance cover that are broader in scope or have less restrictive eligibility criteria than the definitions of permanent and temporary incapacity employed in the SIS Regulations.  As a result, there are circumstances where a member may suffer a disability that satisfies the terms of their insurance coverage but does not satisfy either the permanent or temporary incapacity condition of release.</w:t>
      </w:r>
    </w:p>
    <w:p w14:paraId="4528E5F2" w14:textId="77777777" w:rsidR="00B47EEC" w:rsidRPr="00FD1969" w:rsidRDefault="00B47EEC" w:rsidP="00B47EEC">
      <w:pPr>
        <w:pStyle w:val="NoSpacing"/>
        <w:rPr>
          <w:szCs w:val="24"/>
        </w:rPr>
      </w:pPr>
    </w:p>
    <w:p w14:paraId="4D0A5233" w14:textId="77777777" w:rsidR="00B47EEC" w:rsidRPr="00FD1969" w:rsidRDefault="00B47EEC" w:rsidP="00B47EEC">
      <w:pPr>
        <w:pStyle w:val="NoSpacing"/>
        <w:rPr>
          <w:szCs w:val="24"/>
        </w:rPr>
      </w:pPr>
      <w:r w:rsidRPr="00FD1969">
        <w:rPr>
          <w:szCs w:val="24"/>
        </w:rPr>
        <w:t>Where a fund member receives an insurance benefit that does not satisfy a disability-related condition of release, that benefit remains within the member’s superannuation account until another condition of release, such as reaching preservation age, is met.  It cannot be immediately accessed by the member at the time of their disability, even though they may have been paying premiums for that insurance cover for many years.</w:t>
      </w:r>
    </w:p>
    <w:p w14:paraId="20004DD7" w14:textId="77777777" w:rsidR="00B47EEC" w:rsidRPr="00FD1969" w:rsidRDefault="00B47EEC" w:rsidP="00B47EEC">
      <w:pPr>
        <w:pStyle w:val="NoSpacing"/>
        <w:rPr>
          <w:szCs w:val="24"/>
        </w:rPr>
      </w:pPr>
    </w:p>
    <w:p w14:paraId="46B6E661" w14:textId="77777777" w:rsidR="00B47EEC" w:rsidRPr="00FD1969" w:rsidRDefault="00B47EEC" w:rsidP="00B47EEC">
      <w:pPr>
        <w:pStyle w:val="NoSpacing"/>
        <w:rPr>
          <w:szCs w:val="24"/>
        </w:rPr>
      </w:pPr>
      <w:r w:rsidRPr="00FD1969">
        <w:rPr>
          <w:szCs w:val="24"/>
        </w:rPr>
        <w:t>The objective of restricting the types of insurance cover for new members to those that are consistent with the SIS Regulations conditions of release is to ensure that, where a member receives insurance cover through their superannuation fund, the insurance benefits are available to the member at the time of their disability.  The Regulation does not affect the cover of existing members and does not reduce the insurance payments that a member can receive at the time of their disability.  The provision is a necessary, reasonable and proportionate response to the problem of members paying for insurance cover that they are unable to access at the time of their disability.</w:t>
      </w:r>
    </w:p>
    <w:p w14:paraId="71B0F6B2" w14:textId="77777777" w:rsidR="00B47EEC" w:rsidRPr="00FD1969" w:rsidRDefault="00B47EEC" w:rsidP="00B47EEC">
      <w:pPr>
        <w:pStyle w:val="NoSpacing"/>
        <w:rPr>
          <w:szCs w:val="24"/>
        </w:rPr>
      </w:pPr>
    </w:p>
    <w:p w14:paraId="2CF4F43D" w14:textId="77777777" w:rsidR="00B47EEC" w:rsidRPr="00FD1969" w:rsidRDefault="00B47EEC" w:rsidP="00B47EEC">
      <w:pPr>
        <w:pStyle w:val="NoSpacing"/>
        <w:rPr>
          <w:szCs w:val="24"/>
        </w:rPr>
      </w:pPr>
      <w:r w:rsidRPr="00FD1969">
        <w:rPr>
          <w:szCs w:val="24"/>
        </w:rPr>
        <w:t xml:space="preserve">Where a member wishes to obtain insurance that will cover them in circumstances that fall outside the conditions of release, they will still be able to seek this cover outside of superannuation.  Members will be able to receive any benefits under such cover at the time of their disability.   </w:t>
      </w:r>
    </w:p>
    <w:p w14:paraId="4C4A9F74" w14:textId="77777777" w:rsidR="00B47EEC" w:rsidRPr="00FD1969" w:rsidRDefault="00B47EEC" w:rsidP="00B47EEC">
      <w:pPr>
        <w:pStyle w:val="NoSpacing"/>
        <w:rPr>
          <w:b/>
        </w:rPr>
      </w:pPr>
    </w:p>
    <w:p w14:paraId="65D3F011" w14:textId="77777777" w:rsidR="00B47EEC" w:rsidRPr="00FD1969" w:rsidRDefault="00B47EEC" w:rsidP="00B47EEC">
      <w:pPr>
        <w:pStyle w:val="NoSpacing"/>
        <w:rPr>
          <w:b/>
        </w:rPr>
      </w:pPr>
      <w:r w:rsidRPr="00FD1969">
        <w:rPr>
          <w:b/>
        </w:rPr>
        <w:t>Conclusion</w:t>
      </w:r>
    </w:p>
    <w:p w14:paraId="0EADAE98" w14:textId="77777777" w:rsidR="00B47EEC" w:rsidRPr="00FD1969" w:rsidRDefault="00B47EEC" w:rsidP="00B47EEC">
      <w:pPr>
        <w:pStyle w:val="NoSpacing"/>
        <w:rPr>
          <w:b/>
        </w:rPr>
      </w:pPr>
    </w:p>
    <w:p w14:paraId="380FBEB5" w14:textId="77777777" w:rsidR="00B47EEC" w:rsidRPr="00F57DDA" w:rsidRDefault="00B47EEC" w:rsidP="00B47EEC">
      <w:pPr>
        <w:spacing w:after="240"/>
        <w:rPr>
          <w:szCs w:val="24"/>
        </w:rPr>
      </w:pPr>
      <w:r w:rsidRPr="00FD1969">
        <w:t xml:space="preserve">This Regulation is </w:t>
      </w:r>
      <w:r w:rsidRPr="00FD1969">
        <w:rPr>
          <w:szCs w:val="24"/>
        </w:rPr>
        <w:t xml:space="preserve">compatible with human rights because </w:t>
      </w:r>
      <w:r w:rsidRPr="00FD1969">
        <w:rPr>
          <w:szCs w:val="24"/>
          <w:lang w:val="en-GB"/>
        </w:rPr>
        <w:t>to the extent that it limits human rights, those limitations are reasonable, necessary and proportionate</w:t>
      </w:r>
      <w:r w:rsidRPr="00FD1969">
        <w:t>.</w:t>
      </w:r>
    </w:p>
    <w:sectPr w:rsidR="00B47EEC" w:rsidRPr="00F57DDA" w:rsidSect="002B37CB">
      <w:type w:val="oddPage"/>
      <w:pgSz w:w="11906" w:h="16838" w:code="9"/>
      <w:pgMar w:top="1134" w:right="1797" w:bottom="1134" w:left="1797"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4214C" w14:textId="77777777" w:rsidR="007330DA" w:rsidRDefault="007330DA" w:rsidP="005A3235">
      <w:r>
        <w:separator/>
      </w:r>
    </w:p>
  </w:endnote>
  <w:endnote w:type="continuationSeparator" w:id="0">
    <w:p w14:paraId="7A33EAA0" w14:textId="77777777" w:rsidR="007330DA" w:rsidRDefault="007330DA" w:rsidP="005A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3F627" w14:textId="77777777" w:rsidR="007330DA" w:rsidRDefault="007330DA" w:rsidP="005A3235">
      <w:r>
        <w:separator/>
      </w:r>
    </w:p>
  </w:footnote>
  <w:footnote w:type="continuationSeparator" w:id="0">
    <w:p w14:paraId="13FB54FF" w14:textId="77777777" w:rsidR="007330DA" w:rsidRDefault="007330DA" w:rsidP="005A3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541075"/>
      <w:docPartObj>
        <w:docPartGallery w:val="Page Numbers (Top of Page)"/>
        <w:docPartUnique/>
      </w:docPartObj>
    </w:sdtPr>
    <w:sdtEndPr>
      <w:rPr>
        <w:noProof/>
      </w:rPr>
    </w:sdtEndPr>
    <w:sdtContent>
      <w:p w14:paraId="4F688870" w14:textId="77777777" w:rsidR="00EC1B19" w:rsidRDefault="00EC1B19">
        <w:pPr>
          <w:pStyle w:val="Header"/>
          <w:jc w:val="center"/>
        </w:pPr>
        <w:r>
          <w:fldChar w:fldCharType="begin"/>
        </w:r>
        <w:r>
          <w:instrText xml:space="preserve"> PAGE   \* MERGEFORMAT </w:instrText>
        </w:r>
        <w:r>
          <w:fldChar w:fldCharType="separate"/>
        </w:r>
        <w:r w:rsidR="00A473C4">
          <w:rPr>
            <w:noProof/>
          </w:rPr>
          <w:t>10</w:t>
        </w:r>
        <w:r>
          <w:rPr>
            <w:noProof/>
          </w:rPr>
          <w:fldChar w:fldCharType="end"/>
        </w:r>
      </w:p>
    </w:sdtContent>
  </w:sdt>
  <w:p w14:paraId="784707C0" w14:textId="77777777" w:rsidR="00EC1B19" w:rsidRDefault="00EC1B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5708D"/>
    <w:multiLevelType w:val="multilevel"/>
    <w:tmpl w:val="DF127364"/>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77EB4D4E"/>
    <w:multiLevelType w:val="multilevel"/>
    <w:tmpl w:val="1EAE4B2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102401"/>
  </w:hdrShapeDefaults>
  <w:footnotePr>
    <w:footnote w:id="-1"/>
    <w:footnote w:id="0"/>
  </w:footnotePr>
  <w:endnotePr>
    <w:endnote w:id="-1"/>
    <w:endnote w:id="0"/>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222"/>
    <w:rsid w:val="0004436F"/>
    <w:rsid w:val="00070045"/>
    <w:rsid w:val="0007654D"/>
    <w:rsid w:val="00090EE8"/>
    <w:rsid w:val="000C0EAA"/>
    <w:rsid w:val="000C4288"/>
    <w:rsid w:val="000F3A7D"/>
    <w:rsid w:val="000F66C6"/>
    <w:rsid w:val="00106A81"/>
    <w:rsid w:val="001256D1"/>
    <w:rsid w:val="001308E1"/>
    <w:rsid w:val="00146222"/>
    <w:rsid w:val="00160FE8"/>
    <w:rsid w:val="001665EE"/>
    <w:rsid w:val="00171878"/>
    <w:rsid w:val="00172665"/>
    <w:rsid w:val="001A67CD"/>
    <w:rsid w:val="001B0B2D"/>
    <w:rsid w:val="001B1E50"/>
    <w:rsid w:val="001B58F5"/>
    <w:rsid w:val="00202AB2"/>
    <w:rsid w:val="00204F85"/>
    <w:rsid w:val="00213D05"/>
    <w:rsid w:val="00224B62"/>
    <w:rsid w:val="00225CA5"/>
    <w:rsid w:val="00240D96"/>
    <w:rsid w:val="0024174D"/>
    <w:rsid w:val="00253CDD"/>
    <w:rsid w:val="002558BF"/>
    <w:rsid w:val="00265DDB"/>
    <w:rsid w:val="00277FCC"/>
    <w:rsid w:val="00286A00"/>
    <w:rsid w:val="00287828"/>
    <w:rsid w:val="00291774"/>
    <w:rsid w:val="0029571B"/>
    <w:rsid w:val="00297FDF"/>
    <w:rsid w:val="002A4D6E"/>
    <w:rsid w:val="002B37CB"/>
    <w:rsid w:val="002D2444"/>
    <w:rsid w:val="002D57EF"/>
    <w:rsid w:val="002E2265"/>
    <w:rsid w:val="00304E27"/>
    <w:rsid w:val="00310A6B"/>
    <w:rsid w:val="0032078F"/>
    <w:rsid w:val="00344C45"/>
    <w:rsid w:val="00346ED5"/>
    <w:rsid w:val="00354CED"/>
    <w:rsid w:val="00357966"/>
    <w:rsid w:val="00365330"/>
    <w:rsid w:val="0037327C"/>
    <w:rsid w:val="00377D3D"/>
    <w:rsid w:val="00381D0D"/>
    <w:rsid w:val="003937DD"/>
    <w:rsid w:val="003A03C2"/>
    <w:rsid w:val="003A4D36"/>
    <w:rsid w:val="003B5C5D"/>
    <w:rsid w:val="003C3C0D"/>
    <w:rsid w:val="003D0015"/>
    <w:rsid w:val="003D13A4"/>
    <w:rsid w:val="003D49AA"/>
    <w:rsid w:val="003D5EE1"/>
    <w:rsid w:val="003F38B6"/>
    <w:rsid w:val="004033E2"/>
    <w:rsid w:val="00413A94"/>
    <w:rsid w:val="00437FD5"/>
    <w:rsid w:val="00443613"/>
    <w:rsid w:val="00460560"/>
    <w:rsid w:val="004941E6"/>
    <w:rsid w:val="004B1B66"/>
    <w:rsid w:val="004C13AA"/>
    <w:rsid w:val="004C6F08"/>
    <w:rsid w:val="004D1303"/>
    <w:rsid w:val="004D590B"/>
    <w:rsid w:val="004D727C"/>
    <w:rsid w:val="004E322A"/>
    <w:rsid w:val="004E390E"/>
    <w:rsid w:val="004F0BB2"/>
    <w:rsid w:val="00522D68"/>
    <w:rsid w:val="00524F3D"/>
    <w:rsid w:val="00531857"/>
    <w:rsid w:val="005401CB"/>
    <w:rsid w:val="00546F3E"/>
    <w:rsid w:val="00564CAD"/>
    <w:rsid w:val="00570679"/>
    <w:rsid w:val="00587272"/>
    <w:rsid w:val="005A2DEA"/>
    <w:rsid w:val="005A3235"/>
    <w:rsid w:val="005A64EB"/>
    <w:rsid w:val="005B0A5B"/>
    <w:rsid w:val="005C315B"/>
    <w:rsid w:val="005D6B58"/>
    <w:rsid w:val="005E127C"/>
    <w:rsid w:val="005E28D3"/>
    <w:rsid w:val="005F76DD"/>
    <w:rsid w:val="00600DAD"/>
    <w:rsid w:val="006052D7"/>
    <w:rsid w:val="00615DF6"/>
    <w:rsid w:val="00630755"/>
    <w:rsid w:val="0063640F"/>
    <w:rsid w:val="00640C85"/>
    <w:rsid w:val="006510A4"/>
    <w:rsid w:val="0067131F"/>
    <w:rsid w:val="00682DF4"/>
    <w:rsid w:val="006A3897"/>
    <w:rsid w:val="006D493B"/>
    <w:rsid w:val="006D50F4"/>
    <w:rsid w:val="006F349A"/>
    <w:rsid w:val="00701003"/>
    <w:rsid w:val="007109BB"/>
    <w:rsid w:val="007135FB"/>
    <w:rsid w:val="00726A2A"/>
    <w:rsid w:val="00731168"/>
    <w:rsid w:val="007330DA"/>
    <w:rsid w:val="00742F9A"/>
    <w:rsid w:val="00753341"/>
    <w:rsid w:val="00771482"/>
    <w:rsid w:val="00775351"/>
    <w:rsid w:val="007A5631"/>
    <w:rsid w:val="007A7547"/>
    <w:rsid w:val="007B556E"/>
    <w:rsid w:val="007C1114"/>
    <w:rsid w:val="007C6938"/>
    <w:rsid w:val="007F09E8"/>
    <w:rsid w:val="008117D1"/>
    <w:rsid w:val="00813F61"/>
    <w:rsid w:val="0082252C"/>
    <w:rsid w:val="008326B1"/>
    <w:rsid w:val="00846C56"/>
    <w:rsid w:val="008518FA"/>
    <w:rsid w:val="00870645"/>
    <w:rsid w:val="008712DC"/>
    <w:rsid w:val="008768EC"/>
    <w:rsid w:val="00881612"/>
    <w:rsid w:val="00884E72"/>
    <w:rsid w:val="00891B41"/>
    <w:rsid w:val="008A4C65"/>
    <w:rsid w:val="008C2463"/>
    <w:rsid w:val="008E1E32"/>
    <w:rsid w:val="008F65ED"/>
    <w:rsid w:val="0091067C"/>
    <w:rsid w:val="009422FA"/>
    <w:rsid w:val="00944D88"/>
    <w:rsid w:val="00947BEE"/>
    <w:rsid w:val="00950E37"/>
    <w:rsid w:val="00995746"/>
    <w:rsid w:val="009A24E0"/>
    <w:rsid w:val="009D026A"/>
    <w:rsid w:val="009E1C44"/>
    <w:rsid w:val="009F037E"/>
    <w:rsid w:val="00A01E0E"/>
    <w:rsid w:val="00A0771D"/>
    <w:rsid w:val="00A129EB"/>
    <w:rsid w:val="00A32B49"/>
    <w:rsid w:val="00A4032D"/>
    <w:rsid w:val="00A473C4"/>
    <w:rsid w:val="00A5656C"/>
    <w:rsid w:val="00A605F4"/>
    <w:rsid w:val="00A91079"/>
    <w:rsid w:val="00AB4160"/>
    <w:rsid w:val="00AD3D17"/>
    <w:rsid w:val="00AE0CF2"/>
    <w:rsid w:val="00B050AC"/>
    <w:rsid w:val="00B15590"/>
    <w:rsid w:val="00B16D88"/>
    <w:rsid w:val="00B20E44"/>
    <w:rsid w:val="00B22871"/>
    <w:rsid w:val="00B47EEC"/>
    <w:rsid w:val="00B52937"/>
    <w:rsid w:val="00B649D5"/>
    <w:rsid w:val="00B702E0"/>
    <w:rsid w:val="00B73747"/>
    <w:rsid w:val="00B8147D"/>
    <w:rsid w:val="00B93F2D"/>
    <w:rsid w:val="00BC5A03"/>
    <w:rsid w:val="00BE0C68"/>
    <w:rsid w:val="00BF29D0"/>
    <w:rsid w:val="00C32C21"/>
    <w:rsid w:val="00C84100"/>
    <w:rsid w:val="00C9410A"/>
    <w:rsid w:val="00CA3DF6"/>
    <w:rsid w:val="00CA3F66"/>
    <w:rsid w:val="00CC4E1A"/>
    <w:rsid w:val="00CD22F5"/>
    <w:rsid w:val="00CE1D9B"/>
    <w:rsid w:val="00CE3E4D"/>
    <w:rsid w:val="00CF316D"/>
    <w:rsid w:val="00D05320"/>
    <w:rsid w:val="00D07094"/>
    <w:rsid w:val="00D1452B"/>
    <w:rsid w:val="00D223C0"/>
    <w:rsid w:val="00D26E2C"/>
    <w:rsid w:val="00D30CA7"/>
    <w:rsid w:val="00D513B5"/>
    <w:rsid w:val="00D61DE4"/>
    <w:rsid w:val="00D81C68"/>
    <w:rsid w:val="00DB5AAD"/>
    <w:rsid w:val="00DB6E8F"/>
    <w:rsid w:val="00DC1398"/>
    <w:rsid w:val="00DC3D16"/>
    <w:rsid w:val="00DC710C"/>
    <w:rsid w:val="00DE49D0"/>
    <w:rsid w:val="00DF1CC2"/>
    <w:rsid w:val="00E04713"/>
    <w:rsid w:val="00E06E4D"/>
    <w:rsid w:val="00E16182"/>
    <w:rsid w:val="00E22930"/>
    <w:rsid w:val="00E34517"/>
    <w:rsid w:val="00E37D2A"/>
    <w:rsid w:val="00E65AD6"/>
    <w:rsid w:val="00E72F62"/>
    <w:rsid w:val="00E7693B"/>
    <w:rsid w:val="00E76BAE"/>
    <w:rsid w:val="00EA208E"/>
    <w:rsid w:val="00EB0DBD"/>
    <w:rsid w:val="00EB12A8"/>
    <w:rsid w:val="00EB1BEE"/>
    <w:rsid w:val="00EB3ABE"/>
    <w:rsid w:val="00EB62C0"/>
    <w:rsid w:val="00EC1B19"/>
    <w:rsid w:val="00EC520C"/>
    <w:rsid w:val="00ED08F1"/>
    <w:rsid w:val="00ED6BC4"/>
    <w:rsid w:val="00EF0881"/>
    <w:rsid w:val="00EF43B3"/>
    <w:rsid w:val="00EF6333"/>
    <w:rsid w:val="00F05B02"/>
    <w:rsid w:val="00F1131A"/>
    <w:rsid w:val="00F23913"/>
    <w:rsid w:val="00F315DF"/>
    <w:rsid w:val="00F4290B"/>
    <w:rsid w:val="00F57DDA"/>
    <w:rsid w:val="00F60A72"/>
    <w:rsid w:val="00F67CFB"/>
    <w:rsid w:val="00FA1298"/>
    <w:rsid w:val="00FA455A"/>
    <w:rsid w:val="00FB50CA"/>
    <w:rsid w:val="00FC2678"/>
    <w:rsid w:val="00FD1969"/>
    <w:rsid w:val="00FE7D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1CF7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9D0"/>
    <w:rPr>
      <w:sz w:val="24"/>
    </w:rPr>
  </w:style>
  <w:style w:type="paragraph" w:styleId="Heading1">
    <w:name w:val="heading 1"/>
    <w:basedOn w:val="Normal"/>
    <w:next w:val="Normal"/>
    <w:qFormat/>
    <w:pPr>
      <w:keepNext/>
      <w:spacing w:before="240" w:after="360"/>
      <w:outlineLvl w:val="0"/>
    </w:pPr>
    <w:rPr>
      <w:b/>
      <w:caps/>
      <w:sz w:val="28"/>
    </w:rPr>
  </w:style>
  <w:style w:type="paragraph" w:styleId="Heading2">
    <w:name w:val="heading 2"/>
    <w:basedOn w:val="Normal"/>
    <w:next w:val="Normal"/>
    <w:qFormat/>
    <w:pPr>
      <w:keepNext/>
      <w:spacing w:before="120"/>
      <w:outlineLvl w:val="1"/>
    </w:pPr>
    <w:rPr>
      <w:b/>
      <w:caps/>
    </w:rPr>
  </w:style>
  <w:style w:type="paragraph" w:styleId="Heading3">
    <w:name w:val="heading 3"/>
    <w:basedOn w:val="Normal"/>
    <w:next w:val="Normal"/>
    <w:qFormat/>
    <w:pPr>
      <w:keepNext/>
      <w:spacing w:before="60"/>
      <w:outlineLvl w:val="2"/>
    </w:pPr>
    <w:rPr>
      <w:b/>
    </w:rPr>
  </w:style>
  <w:style w:type="paragraph" w:styleId="Heading4">
    <w:name w:val="heading 4"/>
    <w:basedOn w:val="Normal"/>
    <w:next w:val="Normal"/>
    <w:qFormat/>
    <w:pPr>
      <w:keepNext/>
      <w:outlineLvl w:val="3"/>
    </w:pPr>
    <w:rPr>
      <w:i/>
      <w:sz w:val="20"/>
    </w:rPr>
  </w:style>
  <w:style w:type="paragraph" w:styleId="Heading6">
    <w:name w:val="heading 6"/>
    <w:basedOn w:val="Normal"/>
    <w:next w:val="Normal"/>
    <w:qFormat/>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style>
  <w:style w:type="paragraph" w:customStyle="1" w:styleId="ChartMainHeading">
    <w:name w:val="Chart Main Heading"/>
    <w:basedOn w:val="SingleParagraph"/>
    <w:next w:val="Normal"/>
    <w:pPr>
      <w:jc w:val="center"/>
    </w:pPr>
    <w:rPr>
      <w:b/>
      <w:caps/>
    </w:rPr>
  </w:style>
  <w:style w:type="paragraph" w:customStyle="1" w:styleId="ChartSecondHeading">
    <w:name w:val="Chart Second Heading"/>
    <w:basedOn w:val="SingleParagraph"/>
    <w:next w:val="Normal"/>
    <w:pPr>
      <w:jc w:val="center"/>
    </w:pPr>
    <w:rPr>
      <w:b/>
    </w:rPr>
  </w:style>
  <w:style w:type="paragraph" w:customStyle="1" w:styleId="TableMainHeading">
    <w:name w:val="Table Main Heading"/>
    <w:basedOn w:val="Heading2"/>
    <w:next w:val="Normal"/>
    <w:pPr>
      <w:spacing w:before="240"/>
      <w:outlineLvl w:val="9"/>
    </w:pPr>
    <w:rPr>
      <w:rFonts w:ascii="Helvetica" w:hAnsi="Helvetica"/>
      <w:b w:val="0"/>
      <w:caps w:val="0"/>
      <w:spacing w:val="30"/>
      <w:sz w:val="22"/>
    </w:rPr>
  </w:style>
  <w:style w:type="paragraph" w:styleId="BalloonText">
    <w:name w:val="Balloon Text"/>
    <w:basedOn w:val="Normal"/>
    <w:link w:val="BalloonTextChar"/>
    <w:uiPriority w:val="99"/>
    <w:semiHidden/>
    <w:unhideWhenUsed/>
    <w:rsid w:val="004C6F08"/>
    <w:rPr>
      <w:rFonts w:ascii="Tahoma" w:hAnsi="Tahoma" w:cs="Tahoma"/>
      <w:sz w:val="16"/>
      <w:szCs w:val="16"/>
    </w:rPr>
  </w:style>
  <w:style w:type="character" w:customStyle="1" w:styleId="BalloonTextChar">
    <w:name w:val="Balloon Text Char"/>
    <w:basedOn w:val="DefaultParagraphFont"/>
    <w:link w:val="BalloonText"/>
    <w:uiPriority w:val="99"/>
    <w:semiHidden/>
    <w:rsid w:val="004C6F08"/>
    <w:rPr>
      <w:rFonts w:ascii="Tahoma" w:hAnsi="Tahoma" w:cs="Tahoma"/>
      <w:sz w:val="16"/>
      <w:szCs w:val="16"/>
    </w:rPr>
  </w:style>
  <w:style w:type="paragraph" w:customStyle="1" w:styleId="Default">
    <w:name w:val="Default"/>
    <w:rsid w:val="00EB3ABE"/>
    <w:pPr>
      <w:autoSpaceDE w:val="0"/>
      <w:autoSpaceDN w:val="0"/>
      <w:adjustRightInd w:val="0"/>
    </w:pPr>
    <w:rPr>
      <w:color w:val="000000"/>
      <w:sz w:val="24"/>
      <w:szCs w:val="24"/>
    </w:rPr>
  </w:style>
  <w:style w:type="paragraph" w:customStyle="1" w:styleId="Bullet">
    <w:name w:val="Bullet"/>
    <w:basedOn w:val="Normal"/>
    <w:link w:val="BulletChar"/>
    <w:rsid w:val="0029571B"/>
    <w:pPr>
      <w:numPr>
        <w:numId w:val="2"/>
      </w:numPr>
      <w:tabs>
        <w:tab w:val="right" w:pos="9072"/>
      </w:tabs>
      <w:ind w:right="91"/>
    </w:pPr>
  </w:style>
  <w:style w:type="character" w:customStyle="1" w:styleId="BulletChar">
    <w:name w:val="Bullet Char"/>
    <w:basedOn w:val="DefaultParagraphFont"/>
    <w:link w:val="Bullet"/>
    <w:rsid w:val="0029571B"/>
    <w:rPr>
      <w:sz w:val="24"/>
    </w:rPr>
  </w:style>
  <w:style w:type="paragraph" w:customStyle="1" w:styleId="Dash">
    <w:name w:val="Dash"/>
    <w:basedOn w:val="Normal"/>
    <w:link w:val="DashChar"/>
    <w:rsid w:val="0029571B"/>
    <w:pPr>
      <w:numPr>
        <w:ilvl w:val="1"/>
        <w:numId w:val="2"/>
      </w:numPr>
      <w:tabs>
        <w:tab w:val="right" w:pos="9072"/>
      </w:tabs>
      <w:ind w:right="91"/>
    </w:pPr>
  </w:style>
  <w:style w:type="character" w:customStyle="1" w:styleId="DashChar">
    <w:name w:val="Dash Char"/>
    <w:basedOn w:val="DefaultParagraphFont"/>
    <w:link w:val="Dash"/>
    <w:rsid w:val="0029571B"/>
    <w:rPr>
      <w:sz w:val="24"/>
    </w:rPr>
  </w:style>
  <w:style w:type="paragraph" w:customStyle="1" w:styleId="DoubleDot">
    <w:name w:val="Double Dot"/>
    <w:basedOn w:val="Normal"/>
    <w:link w:val="DoubleDotChar"/>
    <w:rsid w:val="0029571B"/>
    <w:pPr>
      <w:numPr>
        <w:ilvl w:val="2"/>
        <w:numId w:val="2"/>
      </w:numPr>
      <w:tabs>
        <w:tab w:val="right" w:pos="9072"/>
      </w:tabs>
      <w:ind w:right="91"/>
    </w:pPr>
  </w:style>
  <w:style w:type="character" w:customStyle="1" w:styleId="DoubleDotChar">
    <w:name w:val="Double Dot Char"/>
    <w:basedOn w:val="DefaultParagraphFont"/>
    <w:link w:val="DoubleDot"/>
    <w:rsid w:val="0029571B"/>
    <w:rPr>
      <w:sz w:val="24"/>
    </w:rPr>
  </w:style>
  <w:style w:type="character" w:styleId="CommentReference">
    <w:name w:val="annotation reference"/>
    <w:basedOn w:val="DefaultParagraphFont"/>
    <w:uiPriority w:val="99"/>
    <w:rsid w:val="002D2444"/>
    <w:rPr>
      <w:sz w:val="16"/>
      <w:szCs w:val="16"/>
    </w:rPr>
  </w:style>
  <w:style w:type="paragraph" w:styleId="CommentText">
    <w:name w:val="annotation text"/>
    <w:basedOn w:val="Normal"/>
    <w:link w:val="CommentTextChar"/>
    <w:rsid w:val="002D2444"/>
    <w:pPr>
      <w:spacing w:before="120" w:after="120"/>
    </w:pPr>
    <w:rPr>
      <w:sz w:val="20"/>
    </w:rPr>
  </w:style>
  <w:style w:type="character" w:customStyle="1" w:styleId="CommentTextChar">
    <w:name w:val="Comment Text Char"/>
    <w:basedOn w:val="DefaultParagraphFont"/>
    <w:link w:val="CommentText"/>
    <w:rsid w:val="002D2444"/>
  </w:style>
  <w:style w:type="paragraph" w:styleId="CommentSubject">
    <w:name w:val="annotation subject"/>
    <w:basedOn w:val="CommentText"/>
    <w:next w:val="CommentText"/>
    <w:link w:val="CommentSubjectChar"/>
    <w:uiPriority w:val="99"/>
    <w:semiHidden/>
    <w:unhideWhenUsed/>
    <w:rsid w:val="00224B62"/>
    <w:pPr>
      <w:spacing w:before="0" w:after="0"/>
    </w:pPr>
    <w:rPr>
      <w:b/>
      <w:bCs/>
    </w:rPr>
  </w:style>
  <w:style w:type="character" w:customStyle="1" w:styleId="CommentSubjectChar">
    <w:name w:val="Comment Subject Char"/>
    <w:basedOn w:val="CommentTextChar"/>
    <w:link w:val="CommentSubject"/>
    <w:uiPriority w:val="99"/>
    <w:semiHidden/>
    <w:rsid w:val="00224B62"/>
    <w:rPr>
      <w:b/>
      <w:bCs/>
    </w:rPr>
  </w:style>
  <w:style w:type="paragraph" w:styleId="Header">
    <w:name w:val="header"/>
    <w:basedOn w:val="Normal"/>
    <w:link w:val="HeaderChar"/>
    <w:uiPriority w:val="99"/>
    <w:unhideWhenUsed/>
    <w:rsid w:val="005A3235"/>
    <w:pPr>
      <w:tabs>
        <w:tab w:val="center" w:pos="4513"/>
        <w:tab w:val="right" w:pos="9026"/>
      </w:tabs>
    </w:pPr>
  </w:style>
  <w:style w:type="character" w:customStyle="1" w:styleId="HeaderChar">
    <w:name w:val="Header Char"/>
    <w:basedOn w:val="DefaultParagraphFont"/>
    <w:link w:val="Header"/>
    <w:uiPriority w:val="99"/>
    <w:rsid w:val="005A3235"/>
    <w:rPr>
      <w:sz w:val="24"/>
    </w:rPr>
  </w:style>
  <w:style w:type="paragraph" w:styleId="Footer">
    <w:name w:val="footer"/>
    <w:basedOn w:val="Normal"/>
    <w:link w:val="FooterChar"/>
    <w:uiPriority w:val="99"/>
    <w:unhideWhenUsed/>
    <w:rsid w:val="005A3235"/>
    <w:pPr>
      <w:tabs>
        <w:tab w:val="center" w:pos="4513"/>
        <w:tab w:val="right" w:pos="9026"/>
      </w:tabs>
    </w:pPr>
  </w:style>
  <w:style w:type="character" w:customStyle="1" w:styleId="FooterChar">
    <w:name w:val="Footer Char"/>
    <w:basedOn w:val="DefaultParagraphFont"/>
    <w:link w:val="Footer"/>
    <w:uiPriority w:val="99"/>
    <w:rsid w:val="005A3235"/>
    <w:rPr>
      <w:sz w:val="24"/>
    </w:rPr>
  </w:style>
  <w:style w:type="paragraph" w:customStyle="1" w:styleId="base-text-paragraph">
    <w:name w:val="base-text-paragraph"/>
    <w:link w:val="base-text-paragraphChar"/>
    <w:rsid w:val="00B47EEC"/>
    <w:pPr>
      <w:tabs>
        <w:tab w:val="left" w:pos="1987"/>
      </w:tabs>
      <w:spacing w:before="120" w:after="120"/>
      <w:ind w:left="1140"/>
    </w:pPr>
    <w:rPr>
      <w:sz w:val="24"/>
    </w:rPr>
  </w:style>
  <w:style w:type="paragraph" w:styleId="NoSpacing">
    <w:name w:val="No Spacing"/>
    <w:uiPriority w:val="1"/>
    <w:qFormat/>
    <w:rsid w:val="00B47EEC"/>
    <w:rPr>
      <w:sz w:val="24"/>
    </w:rPr>
  </w:style>
  <w:style w:type="character" w:customStyle="1" w:styleId="base-text-paragraphChar">
    <w:name w:val="base-text-paragraph Char"/>
    <w:link w:val="base-text-paragraph"/>
    <w:locked/>
    <w:rsid w:val="00B47EE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9D0"/>
    <w:rPr>
      <w:sz w:val="24"/>
    </w:rPr>
  </w:style>
  <w:style w:type="paragraph" w:styleId="Heading1">
    <w:name w:val="heading 1"/>
    <w:basedOn w:val="Normal"/>
    <w:next w:val="Normal"/>
    <w:qFormat/>
    <w:pPr>
      <w:keepNext/>
      <w:spacing w:before="240" w:after="360"/>
      <w:outlineLvl w:val="0"/>
    </w:pPr>
    <w:rPr>
      <w:b/>
      <w:caps/>
      <w:sz w:val="28"/>
    </w:rPr>
  </w:style>
  <w:style w:type="paragraph" w:styleId="Heading2">
    <w:name w:val="heading 2"/>
    <w:basedOn w:val="Normal"/>
    <w:next w:val="Normal"/>
    <w:qFormat/>
    <w:pPr>
      <w:keepNext/>
      <w:spacing w:before="120"/>
      <w:outlineLvl w:val="1"/>
    </w:pPr>
    <w:rPr>
      <w:b/>
      <w:caps/>
    </w:rPr>
  </w:style>
  <w:style w:type="paragraph" w:styleId="Heading3">
    <w:name w:val="heading 3"/>
    <w:basedOn w:val="Normal"/>
    <w:next w:val="Normal"/>
    <w:qFormat/>
    <w:pPr>
      <w:keepNext/>
      <w:spacing w:before="60"/>
      <w:outlineLvl w:val="2"/>
    </w:pPr>
    <w:rPr>
      <w:b/>
    </w:rPr>
  </w:style>
  <w:style w:type="paragraph" w:styleId="Heading4">
    <w:name w:val="heading 4"/>
    <w:basedOn w:val="Normal"/>
    <w:next w:val="Normal"/>
    <w:qFormat/>
    <w:pPr>
      <w:keepNext/>
      <w:outlineLvl w:val="3"/>
    </w:pPr>
    <w:rPr>
      <w:i/>
      <w:sz w:val="20"/>
    </w:rPr>
  </w:style>
  <w:style w:type="paragraph" w:styleId="Heading6">
    <w:name w:val="heading 6"/>
    <w:basedOn w:val="Normal"/>
    <w:next w:val="Normal"/>
    <w:qFormat/>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style>
  <w:style w:type="paragraph" w:customStyle="1" w:styleId="ChartMainHeading">
    <w:name w:val="Chart Main Heading"/>
    <w:basedOn w:val="SingleParagraph"/>
    <w:next w:val="Normal"/>
    <w:pPr>
      <w:jc w:val="center"/>
    </w:pPr>
    <w:rPr>
      <w:b/>
      <w:caps/>
    </w:rPr>
  </w:style>
  <w:style w:type="paragraph" w:customStyle="1" w:styleId="ChartSecondHeading">
    <w:name w:val="Chart Second Heading"/>
    <w:basedOn w:val="SingleParagraph"/>
    <w:next w:val="Normal"/>
    <w:pPr>
      <w:jc w:val="center"/>
    </w:pPr>
    <w:rPr>
      <w:b/>
    </w:rPr>
  </w:style>
  <w:style w:type="paragraph" w:customStyle="1" w:styleId="TableMainHeading">
    <w:name w:val="Table Main Heading"/>
    <w:basedOn w:val="Heading2"/>
    <w:next w:val="Normal"/>
    <w:pPr>
      <w:spacing w:before="240"/>
      <w:outlineLvl w:val="9"/>
    </w:pPr>
    <w:rPr>
      <w:rFonts w:ascii="Helvetica" w:hAnsi="Helvetica"/>
      <w:b w:val="0"/>
      <w:caps w:val="0"/>
      <w:spacing w:val="30"/>
      <w:sz w:val="22"/>
    </w:rPr>
  </w:style>
  <w:style w:type="paragraph" w:styleId="BalloonText">
    <w:name w:val="Balloon Text"/>
    <w:basedOn w:val="Normal"/>
    <w:link w:val="BalloonTextChar"/>
    <w:uiPriority w:val="99"/>
    <w:semiHidden/>
    <w:unhideWhenUsed/>
    <w:rsid w:val="004C6F08"/>
    <w:rPr>
      <w:rFonts w:ascii="Tahoma" w:hAnsi="Tahoma" w:cs="Tahoma"/>
      <w:sz w:val="16"/>
      <w:szCs w:val="16"/>
    </w:rPr>
  </w:style>
  <w:style w:type="character" w:customStyle="1" w:styleId="BalloonTextChar">
    <w:name w:val="Balloon Text Char"/>
    <w:basedOn w:val="DefaultParagraphFont"/>
    <w:link w:val="BalloonText"/>
    <w:uiPriority w:val="99"/>
    <w:semiHidden/>
    <w:rsid w:val="004C6F08"/>
    <w:rPr>
      <w:rFonts w:ascii="Tahoma" w:hAnsi="Tahoma" w:cs="Tahoma"/>
      <w:sz w:val="16"/>
      <w:szCs w:val="16"/>
    </w:rPr>
  </w:style>
  <w:style w:type="paragraph" w:customStyle="1" w:styleId="Default">
    <w:name w:val="Default"/>
    <w:rsid w:val="00EB3ABE"/>
    <w:pPr>
      <w:autoSpaceDE w:val="0"/>
      <w:autoSpaceDN w:val="0"/>
      <w:adjustRightInd w:val="0"/>
    </w:pPr>
    <w:rPr>
      <w:color w:val="000000"/>
      <w:sz w:val="24"/>
      <w:szCs w:val="24"/>
    </w:rPr>
  </w:style>
  <w:style w:type="paragraph" w:customStyle="1" w:styleId="Bullet">
    <w:name w:val="Bullet"/>
    <w:basedOn w:val="Normal"/>
    <w:link w:val="BulletChar"/>
    <w:rsid w:val="0029571B"/>
    <w:pPr>
      <w:numPr>
        <w:numId w:val="2"/>
      </w:numPr>
      <w:tabs>
        <w:tab w:val="right" w:pos="9072"/>
      </w:tabs>
      <w:ind w:right="91"/>
    </w:pPr>
  </w:style>
  <w:style w:type="character" w:customStyle="1" w:styleId="BulletChar">
    <w:name w:val="Bullet Char"/>
    <w:basedOn w:val="DefaultParagraphFont"/>
    <w:link w:val="Bullet"/>
    <w:rsid w:val="0029571B"/>
    <w:rPr>
      <w:sz w:val="24"/>
    </w:rPr>
  </w:style>
  <w:style w:type="paragraph" w:customStyle="1" w:styleId="Dash">
    <w:name w:val="Dash"/>
    <w:basedOn w:val="Normal"/>
    <w:link w:val="DashChar"/>
    <w:rsid w:val="0029571B"/>
    <w:pPr>
      <w:numPr>
        <w:ilvl w:val="1"/>
        <w:numId w:val="2"/>
      </w:numPr>
      <w:tabs>
        <w:tab w:val="right" w:pos="9072"/>
      </w:tabs>
      <w:ind w:right="91"/>
    </w:pPr>
  </w:style>
  <w:style w:type="character" w:customStyle="1" w:styleId="DashChar">
    <w:name w:val="Dash Char"/>
    <w:basedOn w:val="DefaultParagraphFont"/>
    <w:link w:val="Dash"/>
    <w:rsid w:val="0029571B"/>
    <w:rPr>
      <w:sz w:val="24"/>
    </w:rPr>
  </w:style>
  <w:style w:type="paragraph" w:customStyle="1" w:styleId="DoubleDot">
    <w:name w:val="Double Dot"/>
    <w:basedOn w:val="Normal"/>
    <w:link w:val="DoubleDotChar"/>
    <w:rsid w:val="0029571B"/>
    <w:pPr>
      <w:numPr>
        <w:ilvl w:val="2"/>
        <w:numId w:val="2"/>
      </w:numPr>
      <w:tabs>
        <w:tab w:val="right" w:pos="9072"/>
      </w:tabs>
      <w:ind w:right="91"/>
    </w:pPr>
  </w:style>
  <w:style w:type="character" w:customStyle="1" w:styleId="DoubleDotChar">
    <w:name w:val="Double Dot Char"/>
    <w:basedOn w:val="DefaultParagraphFont"/>
    <w:link w:val="DoubleDot"/>
    <w:rsid w:val="0029571B"/>
    <w:rPr>
      <w:sz w:val="24"/>
    </w:rPr>
  </w:style>
  <w:style w:type="character" w:styleId="CommentReference">
    <w:name w:val="annotation reference"/>
    <w:basedOn w:val="DefaultParagraphFont"/>
    <w:uiPriority w:val="99"/>
    <w:rsid w:val="002D2444"/>
    <w:rPr>
      <w:sz w:val="16"/>
      <w:szCs w:val="16"/>
    </w:rPr>
  </w:style>
  <w:style w:type="paragraph" w:styleId="CommentText">
    <w:name w:val="annotation text"/>
    <w:basedOn w:val="Normal"/>
    <w:link w:val="CommentTextChar"/>
    <w:rsid w:val="002D2444"/>
    <w:pPr>
      <w:spacing w:before="120" w:after="120"/>
    </w:pPr>
    <w:rPr>
      <w:sz w:val="20"/>
    </w:rPr>
  </w:style>
  <w:style w:type="character" w:customStyle="1" w:styleId="CommentTextChar">
    <w:name w:val="Comment Text Char"/>
    <w:basedOn w:val="DefaultParagraphFont"/>
    <w:link w:val="CommentText"/>
    <w:rsid w:val="002D2444"/>
  </w:style>
  <w:style w:type="paragraph" w:styleId="CommentSubject">
    <w:name w:val="annotation subject"/>
    <w:basedOn w:val="CommentText"/>
    <w:next w:val="CommentText"/>
    <w:link w:val="CommentSubjectChar"/>
    <w:uiPriority w:val="99"/>
    <w:semiHidden/>
    <w:unhideWhenUsed/>
    <w:rsid w:val="00224B62"/>
    <w:pPr>
      <w:spacing w:before="0" w:after="0"/>
    </w:pPr>
    <w:rPr>
      <w:b/>
      <w:bCs/>
    </w:rPr>
  </w:style>
  <w:style w:type="character" w:customStyle="1" w:styleId="CommentSubjectChar">
    <w:name w:val="Comment Subject Char"/>
    <w:basedOn w:val="CommentTextChar"/>
    <w:link w:val="CommentSubject"/>
    <w:uiPriority w:val="99"/>
    <w:semiHidden/>
    <w:rsid w:val="00224B62"/>
    <w:rPr>
      <w:b/>
      <w:bCs/>
    </w:rPr>
  </w:style>
  <w:style w:type="paragraph" w:styleId="Header">
    <w:name w:val="header"/>
    <w:basedOn w:val="Normal"/>
    <w:link w:val="HeaderChar"/>
    <w:uiPriority w:val="99"/>
    <w:unhideWhenUsed/>
    <w:rsid w:val="005A3235"/>
    <w:pPr>
      <w:tabs>
        <w:tab w:val="center" w:pos="4513"/>
        <w:tab w:val="right" w:pos="9026"/>
      </w:tabs>
    </w:pPr>
  </w:style>
  <w:style w:type="character" w:customStyle="1" w:styleId="HeaderChar">
    <w:name w:val="Header Char"/>
    <w:basedOn w:val="DefaultParagraphFont"/>
    <w:link w:val="Header"/>
    <w:uiPriority w:val="99"/>
    <w:rsid w:val="005A3235"/>
    <w:rPr>
      <w:sz w:val="24"/>
    </w:rPr>
  </w:style>
  <w:style w:type="paragraph" w:styleId="Footer">
    <w:name w:val="footer"/>
    <w:basedOn w:val="Normal"/>
    <w:link w:val="FooterChar"/>
    <w:uiPriority w:val="99"/>
    <w:unhideWhenUsed/>
    <w:rsid w:val="005A3235"/>
    <w:pPr>
      <w:tabs>
        <w:tab w:val="center" w:pos="4513"/>
        <w:tab w:val="right" w:pos="9026"/>
      </w:tabs>
    </w:pPr>
  </w:style>
  <w:style w:type="character" w:customStyle="1" w:styleId="FooterChar">
    <w:name w:val="Footer Char"/>
    <w:basedOn w:val="DefaultParagraphFont"/>
    <w:link w:val="Footer"/>
    <w:uiPriority w:val="99"/>
    <w:rsid w:val="005A3235"/>
    <w:rPr>
      <w:sz w:val="24"/>
    </w:rPr>
  </w:style>
  <w:style w:type="paragraph" w:customStyle="1" w:styleId="base-text-paragraph">
    <w:name w:val="base-text-paragraph"/>
    <w:link w:val="base-text-paragraphChar"/>
    <w:rsid w:val="00B47EEC"/>
    <w:pPr>
      <w:tabs>
        <w:tab w:val="left" w:pos="1987"/>
      </w:tabs>
      <w:spacing w:before="120" w:after="120"/>
      <w:ind w:left="1140"/>
    </w:pPr>
    <w:rPr>
      <w:sz w:val="24"/>
    </w:rPr>
  </w:style>
  <w:style w:type="paragraph" w:styleId="NoSpacing">
    <w:name w:val="No Spacing"/>
    <w:uiPriority w:val="1"/>
    <w:qFormat/>
    <w:rsid w:val="00B47EEC"/>
    <w:rPr>
      <w:sz w:val="24"/>
    </w:rPr>
  </w:style>
  <w:style w:type="character" w:customStyle="1" w:styleId="base-text-paragraphChar">
    <w:name w:val="base-text-paragraph Char"/>
    <w:link w:val="base-text-paragraph"/>
    <w:locked/>
    <w:rsid w:val="00B47EE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50168">
      <w:bodyDiv w:val="1"/>
      <w:marLeft w:val="0"/>
      <w:marRight w:val="0"/>
      <w:marTop w:val="0"/>
      <w:marBottom w:val="0"/>
      <w:divBdr>
        <w:top w:val="none" w:sz="0" w:space="0" w:color="auto"/>
        <w:left w:val="none" w:sz="0" w:space="0" w:color="auto"/>
        <w:bottom w:val="none" w:sz="0" w:space="0" w:color="auto"/>
        <w:right w:val="none" w:sz="0" w:space="0" w:color="auto"/>
      </w:divBdr>
    </w:div>
    <w:div w:id="110430609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Memorandum%20-%20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080350834F0B46469CE5D2ECAC346F75" ma:contentTypeVersion="0" ma:contentTypeDescription="If you are creating a Word, PowerPoint or Excel document use the options available in the drop down list; for all other documents leave the content type as General Content." ma:contentTypeScope="" ma:versionID="ff9f6d2aa4bc77db93e65de572d08b4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32170-FAFD-492F-A43E-FCE12BBD6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46417B-CD54-435D-935B-C7B8BEC8F267}">
  <ds:schemaRefs>
    <ds:schemaRef ds:uri="http://schemas.microsoft.com/sharepoint/v3/contenttype/forms"/>
  </ds:schemaRefs>
</ds:datastoreItem>
</file>

<file path=customXml/itemProps3.xml><?xml version="1.0" encoding="utf-8"?>
<ds:datastoreItem xmlns:ds="http://schemas.openxmlformats.org/officeDocument/2006/customXml" ds:itemID="{2C17C67E-14D3-456B-9DCA-F602827A2017}">
  <ds:schemaRefs>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5E5C1D24-649A-4BC3-8C8F-83688B36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Memorandum - General.dotx</Template>
  <TotalTime>0</TotalTime>
  <Pages>13</Pages>
  <Words>4941</Words>
  <Characters>26424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The Treasury</Company>
  <LinksUpToDate>false</LinksUpToDate>
  <CharactersWithSpaces>31303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Trinh, Katarina</dc:creator>
  <cp:lastModifiedBy>Hilhorst, Matt</cp:lastModifiedBy>
  <cp:revision>2</cp:revision>
  <cp:lastPrinted>2013-01-22T04:34:00Z</cp:lastPrinted>
  <dcterms:created xsi:type="dcterms:W3CDTF">2013-05-16T00:00:00Z</dcterms:created>
  <dcterms:modified xsi:type="dcterms:W3CDTF">2013-05-16T00:00:00Z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1226220150</vt:i4>
  </property>
  <property fmtid="{D5CDD505-2E9C-101B-9397-08002B2CF9AE}" pid="3" name="_NewReviewCycle">
    <vt:lpwstr/>
  </property>
  <property fmtid="{D5CDD505-2E9C-101B-9397-08002B2CF9AE}" pid="4" name="_EmailSubject">
    <vt:lpwstr>Superannuation Legislation Amendment Regulation 2013 [SEC=UNCLASSIFIED]</vt:lpwstr>
  </property>
  <property fmtid="{D5CDD505-2E9C-101B-9397-08002B2CF9AE}" pid="5" name="_AuthorEmail">
    <vt:lpwstr>Timothy.Goodland@TREASURY.GOV.AU</vt:lpwstr>
  </property>
  <property fmtid="{D5CDD505-2E9C-101B-9397-08002B2CF9AE}" pid="6" name="_AuthorEmailDisplayName">
    <vt:lpwstr>Goodland, Timothy</vt:lpwstr>
  </property>
  <property fmtid="{D5CDD505-2E9C-101B-9397-08002B2CF9AE}" pid="7" name="_ReviewingToolsShownOnce">
    <vt:lpwstr/>
  </property>
  <property fmtid="{D5CDD505-2E9C-101B-9397-08002B2CF9AE}" pid="8" name="ContentTypeId">
    <vt:lpwstr>0x010100E726210826AA43828690450C811EB923009CA11FFD1E014DF4B1FA162D0F61129800080350834F0B46469CE5D2ECAC346F75</vt:lpwstr>
  </property>
</Properties>
</file>