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45" w:rsidRPr="00491731" w:rsidRDefault="00E14945" w:rsidP="0057738E">
      <w:pPr>
        <w:pStyle w:val="LDClauseHeading"/>
        <w:spacing w:before="0"/>
      </w:pPr>
      <w:r w:rsidRPr="00491731">
        <w:t>Explanatory Statement</w:t>
      </w:r>
    </w:p>
    <w:p w:rsidR="00E14945" w:rsidRPr="00491731" w:rsidRDefault="00E14945" w:rsidP="00E14945">
      <w:pPr>
        <w:pStyle w:val="LDClauseHeading"/>
      </w:pPr>
      <w:r w:rsidRPr="00491731">
        <w:t xml:space="preserve">Civil Aviation </w:t>
      </w:r>
      <w:r w:rsidR="00510199">
        <w:t xml:space="preserve">Safety </w:t>
      </w:r>
      <w:r w:rsidRPr="00491731">
        <w:t>Regulations 19</w:t>
      </w:r>
      <w:r w:rsidR="00510199">
        <w:t>9</w:t>
      </w:r>
      <w:r w:rsidRPr="00491731">
        <w:t>8</w:t>
      </w:r>
    </w:p>
    <w:p w:rsidR="00E14945" w:rsidRPr="00E96E76" w:rsidRDefault="00E14945" w:rsidP="00E14945">
      <w:pPr>
        <w:pStyle w:val="LDClauseHeading"/>
        <w:ind w:left="0" w:firstLine="0"/>
      </w:pPr>
      <w:r w:rsidRPr="00E96E76">
        <w:t>Exemption</w:t>
      </w:r>
      <w:r w:rsidR="00510199">
        <w:t> </w:t>
      </w:r>
      <w:r>
        <w:t>—</w:t>
      </w:r>
      <w:r w:rsidRPr="00E96E76">
        <w:t xml:space="preserve"> carriage of cockpit voice recorders and flight data recorders</w:t>
      </w:r>
    </w:p>
    <w:p w:rsidR="00E14945" w:rsidRPr="00E14945" w:rsidRDefault="00E14945" w:rsidP="00EA45E5">
      <w:pPr>
        <w:spacing w:before="200"/>
        <w:jc w:val="left"/>
        <w:rPr>
          <w:sz w:val="24"/>
          <w:szCs w:val="24"/>
        </w:rPr>
      </w:pPr>
      <w:r w:rsidRPr="00E14945">
        <w:rPr>
          <w:sz w:val="24"/>
          <w:szCs w:val="24"/>
        </w:rPr>
        <w:t xml:space="preserve">Section 98 of the </w:t>
      </w:r>
      <w:r w:rsidRPr="00E14945">
        <w:rPr>
          <w:i/>
          <w:sz w:val="24"/>
          <w:szCs w:val="24"/>
        </w:rPr>
        <w:t>Civil Aviation Act 1988</w:t>
      </w:r>
      <w:r w:rsidRPr="00E14945">
        <w:rPr>
          <w:sz w:val="24"/>
          <w:szCs w:val="24"/>
        </w:rPr>
        <w:t xml:space="preserve"> empowers the Governor-General to make regulations</w:t>
      </w:r>
      <w:r w:rsidR="00F05A23">
        <w:rPr>
          <w:sz w:val="24"/>
          <w:szCs w:val="24"/>
        </w:rPr>
        <w:t xml:space="preserve"> for the safety of air navigation</w:t>
      </w:r>
      <w:r w:rsidRPr="00E14945">
        <w:rPr>
          <w:sz w:val="24"/>
          <w:szCs w:val="24"/>
        </w:rPr>
        <w:t>.</w:t>
      </w:r>
    </w:p>
    <w:p w:rsidR="00591108" w:rsidRDefault="00591108" w:rsidP="00591108">
      <w:pPr>
        <w:jc w:val="left"/>
        <w:rPr>
          <w:b/>
          <w:sz w:val="24"/>
          <w:szCs w:val="24"/>
        </w:rPr>
      </w:pPr>
    </w:p>
    <w:p w:rsidR="00591108" w:rsidRPr="00591108" w:rsidRDefault="00591108" w:rsidP="00591108">
      <w:pPr>
        <w:jc w:val="left"/>
        <w:rPr>
          <w:b/>
          <w:sz w:val="24"/>
          <w:szCs w:val="24"/>
        </w:rPr>
      </w:pPr>
      <w:r w:rsidRPr="00591108">
        <w:rPr>
          <w:b/>
          <w:sz w:val="24"/>
          <w:szCs w:val="24"/>
        </w:rPr>
        <w:t>Legislation</w:t>
      </w:r>
    </w:p>
    <w:p w:rsidR="00E14945" w:rsidRPr="00E14945" w:rsidRDefault="00E14945" w:rsidP="00591108">
      <w:pPr>
        <w:jc w:val="left"/>
        <w:rPr>
          <w:sz w:val="24"/>
          <w:szCs w:val="24"/>
        </w:rPr>
      </w:pPr>
      <w:r w:rsidRPr="00591108">
        <w:rPr>
          <w:sz w:val="24"/>
          <w:szCs w:val="24"/>
        </w:rPr>
        <w:t xml:space="preserve">Subregulation 207 (2) of the </w:t>
      </w:r>
      <w:r w:rsidRPr="00745F3B">
        <w:rPr>
          <w:i/>
          <w:sz w:val="24"/>
          <w:szCs w:val="24"/>
        </w:rPr>
        <w:t>Civil Aviation Regulations 1988</w:t>
      </w:r>
      <w:r w:rsidRPr="00591108">
        <w:rPr>
          <w:sz w:val="24"/>
          <w:szCs w:val="24"/>
        </w:rPr>
        <w:t xml:space="preserve"> (</w:t>
      </w:r>
      <w:r w:rsidRPr="00745F3B">
        <w:rPr>
          <w:b/>
          <w:i/>
          <w:sz w:val="24"/>
          <w:szCs w:val="24"/>
        </w:rPr>
        <w:t>CAR 1988</w:t>
      </w:r>
      <w:r w:rsidRPr="00591108">
        <w:rPr>
          <w:sz w:val="24"/>
          <w:szCs w:val="24"/>
        </w:rPr>
        <w:t>) provides that a</w:t>
      </w:r>
      <w:r w:rsidR="00F05A23" w:rsidRPr="00591108">
        <w:rPr>
          <w:sz w:val="24"/>
          <w:szCs w:val="24"/>
        </w:rPr>
        <w:t xml:space="preserve"> person m</w:t>
      </w:r>
      <w:r w:rsidR="00F05A23">
        <w:rPr>
          <w:sz w:val="24"/>
          <w:szCs w:val="24"/>
        </w:rPr>
        <w:t>ust not use a</w:t>
      </w:r>
      <w:r w:rsidRPr="00E14945">
        <w:rPr>
          <w:sz w:val="24"/>
          <w:szCs w:val="24"/>
        </w:rPr>
        <w:t xml:space="preserve">n Australian aircraft in any class of operations unless it is fitted with </w:t>
      </w:r>
      <w:r w:rsidR="00F05A23">
        <w:rPr>
          <w:sz w:val="24"/>
          <w:szCs w:val="24"/>
        </w:rPr>
        <w:t xml:space="preserve">such </w:t>
      </w:r>
      <w:r w:rsidRPr="00E14945">
        <w:rPr>
          <w:sz w:val="24"/>
          <w:szCs w:val="24"/>
        </w:rPr>
        <w:t>instruments</w:t>
      </w:r>
      <w:r w:rsidR="00F05A23">
        <w:rPr>
          <w:sz w:val="24"/>
          <w:szCs w:val="24"/>
        </w:rPr>
        <w:t>,</w:t>
      </w:r>
      <w:r w:rsidRPr="00E14945">
        <w:rPr>
          <w:sz w:val="24"/>
          <w:szCs w:val="24"/>
        </w:rPr>
        <w:t xml:space="preserve"> and</w:t>
      </w:r>
      <w:r w:rsidR="00F05A23">
        <w:rPr>
          <w:sz w:val="24"/>
          <w:szCs w:val="24"/>
        </w:rPr>
        <w:t xml:space="preserve"> is</w:t>
      </w:r>
      <w:r w:rsidRPr="00E14945">
        <w:rPr>
          <w:sz w:val="24"/>
          <w:szCs w:val="24"/>
        </w:rPr>
        <w:t xml:space="preserve"> fitted with or carries such equipment</w:t>
      </w:r>
      <w:r w:rsidR="00F05A23">
        <w:rPr>
          <w:sz w:val="24"/>
          <w:szCs w:val="24"/>
        </w:rPr>
        <w:t>,</w:t>
      </w:r>
      <w:r w:rsidRPr="00E14945">
        <w:rPr>
          <w:sz w:val="24"/>
          <w:szCs w:val="24"/>
        </w:rPr>
        <w:t xml:space="preserve"> as the Civil Aviation Safety Authority (</w:t>
      </w:r>
      <w:r w:rsidRPr="0057738E">
        <w:rPr>
          <w:b/>
          <w:i/>
          <w:sz w:val="24"/>
          <w:szCs w:val="24"/>
        </w:rPr>
        <w:t>CASA</w:t>
      </w:r>
      <w:r w:rsidRPr="00E14945">
        <w:rPr>
          <w:sz w:val="24"/>
          <w:szCs w:val="24"/>
        </w:rPr>
        <w:t>) approves or directs.</w:t>
      </w:r>
      <w:r w:rsidR="00F05A23">
        <w:rPr>
          <w:sz w:val="24"/>
          <w:szCs w:val="24"/>
        </w:rPr>
        <w:t xml:space="preserve"> Under regulation 5</w:t>
      </w:r>
      <w:r w:rsidR="00745F3B">
        <w:rPr>
          <w:sz w:val="24"/>
          <w:szCs w:val="24"/>
        </w:rPr>
        <w:t> </w:t>
      </w:r>
      <w:r w:rsidR="00F05A23">
        <w:rPr>
          <w:sz w:val="24"/>
          <w:szCs w:val="24"/>
        </w:rPr>
        <w:t>(1) of CAR 19</w:t>
      </w:r>
      <w:r w:rsidR="00745F3B">
        <w:rPr>
          <w:sz w:val="24"/>
          <w:szCs w:val="24"/>
        </w:rPr>
        <w:t>8</w:t>
      </w:r>
      <w:r w:rsidR="00F05A23">
        <w:rPr>
          <w:sz w:val="24"/>
          <w:szCs w:val="24"/>
        </w:rPr>
        <w:t>8, where CASA may issue directions under CAR 1988, it may do so in the form of Civil Aviation Orders (</w:t>
      </w:r>
      <w:r w:rsidR="00F05A23" w:rsidRPr="00F05A23">
        <w:rPr>
          <w:b/>
          <w:i/>
          <w:sz w:val="24"/>
          <w:szCs w:val="24"/>
        </w:rPr>
        <w:t>CAO</w:t>
      </w:r>
      <w:r w:rsidR="00F05A23" w:rsidRPr="00745F3B">
        <w:rPr>
          <w:b/>
          <w:i/>
          <w:sz w:val="24"/>
          <w:szCs w:val="24"/>
        </w:rPr>
        <w:t>s</w:t>
      </w:r>
      <w:r w:rsidR="00F05A23">
        <w:rPr>
          <w:sz w:val="24"/>
          <w:szCs w:val="24"/>
        </w:rPr>
        <w:t>).</w:t>
      </w:r>
    </w:p>
    <w:p w:rsidR="00E14945" w:rsidRPr="00E14945" w:rsidRDefault="00BA6B26" w:rsidP="00176FB4">
      <w:pPr>
        <w:spacing w:before="200"/>
        <w:jc w:val="left"/>
        <w:rPr>
          <w:sz w:val="24"/>
          <w:szCs w:val="24"/>
        </w:rPr>
      </w:pPr>
      <w:r w:rsidRPr="00E14945">
        <w:rPr>
          <w:sz w:val="24"/>
          <w:szCs w:val="24"/>
        </w:rPr>
        <w:t>Civil Aviation Order</w:t>
      </w:r>
      <w:r>
        <w:rPr>
          <w:sz w:val="24"/>
          <w:szCs w:val="24"/>
        </w:rPr>
        <w:t xml:space="preserve"> </w:t>
      </w:r>
      <w:r w:rsidR="0057738E">
        <w:rPr>
          <w:sz w:val="24"/>
          <w:szCs w:val="24"/>
        </w:rPr>
        <w:t>20.18</w:t>
      </w:r>
      <w:r w:rsidR="00E14945" w:rsidRPr="00E14945">
        <w:rPr>
          <w:sz w:val="24"/>
          <w:szCs w:val="24"/>
        </w:rPr>
        <w:t xml:space="preserve"> (</w:t>
      </w:r>
      <w:r w:rsidR="0057738E" w:rsidRPr="0057738E">
        <w:rPr>
          <w:b/>
          <w:i/>
          <w:sz w:val="24"/>
          <w:szCs w:val="24"/>
        </w:rPr>
        <w:t>CAO 20.18</w:t>
      </w:r>
      <w:r w:rsidR="00E14945" w:rsidRPr="00E14945">
        <w:rPr>
          <w:sz w:val="24"/>
          <w:szCs w:val="24"/>
        </w:rPr>
        <w:t>) sets out instruments and equipment required for Australian aircraft engaged in certain classes of operations.</w:t>
      </w:r>
    </w:p>
    <w:p w:rsidR="00E14945" w:rsidRPr="00E14945" w:rsidRDefault="00E14945" w:rsidP="00EA45E5">
      <w:pPr>
        <w:spacing w:before="200"/>
        <w:jc w:val="left"/>
        <w:rPr>
          <w:sz w:val="24"/>
          <w:szCs w:val="24"/>
        </w:rPr>
      </w:pPr>
      <w:r w:rsidRPr="00E14945">
        <w:rPr>
          <w:sz w:val="24"/>
          <w:szCs w:val="24"/>
        </w:rPr>
        <w:t xml:space="preserve">Paragraph 6.1 of </w:t>
      </w:r>
      <w:r w:rsidR="0057738E">
        <w:rPr>
          <w:sz w:val="24"/>
          <w:szCs w:val="24"/>
        </w:rPr>
        <w:t>CAO 20.18</w:t>
      </w:r>
      <w:r w:rsidRPr="00E14945">
        <w:rPr>
          <w:sz w:val="24"/>
          <w:szCs w:val="24"/>
        </w:rPr>
        <w:t xml:space="preserve"> provides that certain aircraft referred to in the paragraph must not be flown unless equipped with an approved flight data recorder system and </w:t>
      </w:r>
      <w:r w:rsidR="00F05A23">
        <w:rPr>
          <w:sz w:val="24"/>
          <w:szCs w:val="24"/>
        </w:rPr>
        <w:t xml:space="preserve">an </w:t>
      </w:r>
      <w:r w:rsidRPr="00E14945">
        <w:rPr>
          <w:sz w:val="24"/>
          <w:szCs w:val="24"/>
        </w:rPr>
        <w:t>approved cockpit voic</w:t>
      </w:r>
      <w:r w:rsidR="0014170A">
        <w:rPr>
          <w:sz w:val="24"/>
          <w:szCs w:val="24"/>
        </w:rPr>
        <w:t>e recorder system. Paragraph 6.2</w:t>
      </w:r>
      <w:r w:rsidRPr="00E14945">
        <w:rPr>
          <w:sz w:val="24"/>
          <w:szCs w:val="24"/>
        </w:rPr>
        <w:t xml:space="preserve"> of </w:t>
      </w:r>
      <w:r w:rsidR="0057738E">
        <w:rPr>
          <w:sz w:val="24"/>
          <w:szCs w:val="24"/>
        </w:rPr>
        <w:t>CAO 20.18</w:t>
      </w:r>
      <w:r w:rsidR="0014170A">
        <w:rPr>
          <w:sz w:val="24"/>
          <w:szCs w:val="24"/>
        </w:rPr>
        <w:t xml:space="preserve"> requires these systems to meet standards specified in </w:t>
      </w:r>
      <w:r w:rsidR="00745F3B">
        <w:rPr>
          <w:sz w:val="24"/>
          <w:szCs w:val="24"/>
        </w:rPr>
        <w:t xml:space="preserve">CAO </w:t>
      </w:r>
      <w:r w:rsidR="0014170A">
        <w:rPr>
          <w:sz w:val="24"/>
          <w:szCs w:val="24"/>
        </w:rPr>
        <w:t xml:space="preserve">103.19 and </w:t>
      </w:r>
      <w:r w:rsidR="00745F3B">
        <w:rPr>
          <w:sz w:val="24"/>
          <w:szCs w:val="24"/>
        </w:rPr>
        <w:t xml:space="preserve">CAO </w:t>
      </w:r>
      <w:r w:rsidR="0014170A">
        <w:rPr>
          <w:sz w:val="24"/>
          <w:szCs w:val="24"/>
        </w:rPr>
        <w:t>103.20 and makes the approval subject to a condition relating to replay (subparagraph 6.2</w:t>
      </w:r>
      <w:r w:rsidR="00BA6B26">
        <w:rPr>
          <w:sz w:val="24"/>
          <w:szCs w:val="24"/>
        </w:rPr>
        <w:t> </w:t>
      </w:r>
      <w:r w:rsidR="0014170A">
        <w:rPr>
          <w:sz w:val="24"/>
          <w:szCs w:val="24"/>
        </w:rPr>
        <w:t>(b)</w:t>
      </w:r>
      <w:r w:rsidR="00745F3B">
        <w:rPr>
          <w:sz w:val="24"/>
          <w:szCs w:val="24"/>
        </w:rPr>
        <w:t xml:space="preserve"> of CAO 20.18</w:t>
      </w:r>
      <w:r w:rsidR="0014170A">
        <w:rPr>
          <w:sz w:val="24"/>
          <w:szCs w:val="24"/>
        </w:rPr>
        <w:t>)</w:t>
      </w:r>
      <w:r w:rsidRPr="00E14945">
        <w:rPr>
          <w:sz w:val="24"/>
          <w:szCs w:val="24"/>
        </w:rPr>
        <w:t>.</w:t>
      </w:r>
    </w:p>
    <w:p w:rsidR="0014170A" w:rsidRPr="0014170A" w:rsidRDefault="0014170A" w:rsidP="00EA45E5">
      <w:pPr>
        <w:spacing w:before="200"/>
        <w:jc w:val="left"/>
        <w:rPr>
          <w:sz w:val="24"/>
          <w:szCs w:val="24"/>
        </w:rPr>
      </w:pPr>
      <w:r w:rsidRPr="0014170A">
        <w:rPr>
          <w:sz w:val="24"/>
          <w:szCs w:val="24"/>
        </w:rPr>
        <w:t xml:space="preserve">These requirements are considered </w:t>
      </w:r>
      <w:r w:rsidR="00FF7319">
        <w:rPr>
          <w:sz w:val="24"/>
          <w:szCs w:val="24"/>
        </w:rPr>
        <w:t>too restrictive</w:t>
      </w:r>
      <w:r w:rsidRPr="0014170A">
        <w:rPr>
          <w:sz w:val="24"/>
          <w:szCs w:val="24"/>
        </w:rPr>
        <w:t xml:space="preserve">. The standards set out in the </w:t>
      </w:r>
      <w:r w:rsidR="00745F3B">
        <w:rPr>
          <w:sz w:val="24"/>
          <w:szCs w:val="24"/>
        </w:rPr>
        <w:t>CAOs</w:t>
      </w:r>
      <w:r w:rsidRPr="0014170A">
        <w:rPr>
          <w:sz w:val="24"/>
          <w:szCs w:val="24"/>
        </w:rPr>
        <w:t xml:space="preserve">, which date from the 1960s, have been superseded by new standards issued in the </w:t>
      </w:r>
      <w:smartTag w:uri="urn:schemas-microsoft-com:office:smarttags" w:element="country-region">
        <w:r w:rsidRPr="0014170A">
          <w:rPr>
            <w:sz w:val="24"/>
            <w:szCs w:val="24"/>
          </w:rPr>
          <w:t>U</w:t>
        </w:r>
        <w:r w:rsidR="00745F3B">
          <w:rPr>
            <w:sz w:val="24"/>
            <w:szCs w:val="24"/>
          </w:rPr>
          <w:t xml:space="preserve">nited </w:t>
        </w:r>
        <w:r w:rsidRPr="0014170A">
          <w:rPr>
            <w:sz w:val="24"/>
            <w:szCs w:val="24"/>
          </w:rPr>
          <w:t>S</w:t>
        </w:r>
        <w:r w:rsidR="00745F3B">
          <w:rPr>
            <w:sz w:val="24"/>
            <w:szCs w:val="24"/>
          </w:rPr>
          <w:t xml:space="preserve">tates of </w:t>
        </w:r>
        <w:r w:rsidRPr="0014170A">
          <w:rPr>
            <w:sz w:val="24"/>
            <w:szCs w:val="24"/>
          </w:rPr>
          <w:t>A</w:t>
        </w:r>
        <w:r w:rsidR="00745F3B">
          <w:rPr>
            <w:sz w:val="24"/>
            <w:szCs w:val="24"/>
          </w:rPr>
          <w:t>merica</w:t>
        </w:r>
      </w:smartTag>
      <w:r w:rsidRPr="0014170A">
        <w:rPr>
          <w:sz w:val="24"/>
          <w:szCs w:val="24"/>
        </w:rPr>
        <w:t xml:space="preserve"> and </w:t>
      </w:r>
      <w:smartTag w:uri="urn:schemas-microsoft-com:office:smarttags" w:element="place">
        <w:r w:rsidRPr="0014170A">
          <w:rPr>
            <w:sz w:val="24"/>
            <w:szCs w:val="24"/>
          </w:rPr>
          <w:t>Europe</w:t>
        </w:r>
      </w:smartTag>
      <w:r w:rsidR="00F05A23">
        <w:rPr>
          <w:sz w:val="24"/>
          <w:szCs w:val="24"/>
        </w:rPr>
        <w:t>. In addition,</w:t>
      </w:r>
      <w:r w:rsidRPr="0014170A">
        <w:rPr>
          <w:sz w:val="24"/>
          <w:szCs w:val="24"/>
        </w:rPr>
        <w:t xml:space="preserve"> approval by CASA of the individual instruments in accordance with subparagraph 6.2</w:t>
      </w:r>
      <w:r w:rsidR="00BA6B26">
        <w:rPr>
          <w:sz w:val="24"/>
          <w:szCs w:val="24"/>
        </w:rPr>
        <w:t> </w:t>
      </w:r>
      <w:r w:rsidRPr="0014170A">
        <w:rPr>
          <w:sz w:val="24"/>
          <w:szCs w:val="24"/>
        </w:rPr>
        <w:t xml:space="preserve">(b) </w:t>
      </w:r>
      <w:r w:rsidR="00745F3B">
        <w:rPr>
          <w:sz w:val="24"/>
          <w:szCs w:val="24"/>
        </w:rPr>
        <w:t xml:space="preserve">of CAO 20.18 </w:t>
      </w:r>
      <w:r w:rsidRPr="0014170A">
        <w:rPr>
          <w:sz w:val="24"/>
          <w:szCs w:val="24"/>
        </w:rPr>
        <w:t>is no longer required.</w:t>
      </w:r>
    </w:p>
    <w:p w:rsidR="0014170A" w:rsidRDefault="0014170A" w:rsidP="008D66FF">
      <w:pPr>
        <w:spacing w:before="200"/>
        <w:jc w:val="left"/>
        <w:rPr>
          <w:sz w:val="24"/>
          <w:szCs w:val="24"/>
        </w:rPr>
      </w:pPr>
      <w:r w:rsidRPr="0014170A">
        <w:rPr>
          <w:sz w:val="24"/>
          <w:szCs w:val="24"/>
        </w:rPr>
        <w:t>The exemption</w:t>
      </w:r>
      <w:r w:rsidR="00BA6B26">
        <w:rPr>
          <w:sz w:val="24"/>
          <w:szCs w:val="24"/>
        </w:rPr>
        <w:t>,</w:t>
      </w:r>
      <w:r w:rsidRPr="0014170A">
        <w:rPr>
          <w:sz w:val="24"/>
          <w:szCs w:val="24"/>
        </w:rPr>
        <w:t xml:space="preserve"> therefore</w:t>
      </w:r>
      <w:r w:rsidR="00BA6B26">
        <w:rPr>
          <w:sz w:val="24"/>
          <w:szCs w:val="24"/>
        </w:rPr>
        <w:t>,</w:t>
      </w:r>
      <w:r w:rsidRPr="0014170A">
        <w:rPr>
          <w:sz w:val="24"/>
          <w:szCs w:val="24"/>
        </w:rPr>
        <w:t xml:space="preserve"> exempts the </w:t>
      </w:r>
      <w:r w:rsidR="00FF7319">
        <w:rPr>
          <w:sz w:val="24"/>
          <w:szCs w:val="24"/>
        </w:rPr>
        <w:t xml:space="preserve">specified </w:t>
      </w:r>
      <w:r w:rsidRPr="0014170A">
        <w:rPr>
          <w:sz w:val="24"/>
          <w:szCs w:val="24"/>
        </w:rPr>
        <w:t>aircraft from compliance with paragraphs 6.1 and 6.2</w:t>
      </w:r>
      <w:r w:rsidR="00745F3B">
        <w:rPr>
          <w:sz w:val="24"/>
          <w:szCs w:val="24"/>
        </w:rPr>
        <w:t xml:space="preserve"> of CAO 20.18</w:t>
      </w:r>
      <w:r w:rsidRPr="0014170A">
        <w:rPr>
          <w:sz w:val="24"/>
          <w:szCs w:val="24"/>
        </w:rPr>
        <w:t>, if they meet standards at least equivalent to th</w:t>
      </w:r>
      <w:r w:rsidR="008D66FF">
        <w:rPr>
          <w:sz w:val="24"/>
          <w:szCs w:val="24"/>
        </w:rPr>
        <w:t>e</w:t>
      </w:r>
      <w:r w:rsidRPr="0014170A">
        <w:rPr>
          <w:sz w:val="24"/>
          <w:szCs w:val="24"/>
        </w:rPr>
        <w:t xml:space="preserve"> requirements </w:t>
      </w:r>
      <w:r w:rsidR="00FF7319">
        <w:rPr>
          <w:sz w:val="24"/>
          <w:szCs w:val="24"/>
        </w:rPr>
        <w:t xml:space="preserve">mentioned </w:t>
      </w:r>
      <w:r w:rsidR="00745F3B">
        <w:rPr>
          <w:sz w:val="24"/>
          <w:szCs w:val="24"/>
        </w:rPr>
        <w:t>in paragraph </w:t>
      </w:r>
      <w:proofErr w:type="gramStart"/>
      <w:r w:rsidRPr="0014170A">
        <w:rPr>
          <w:sz w:val="24"/>
          <w:szCs w:val="24"/>
        </w:rPr>
        <w:t>6.</w:t>
      </w:r>
      <w:r w:rsidR="00FF7319">
        <w:rPr>
          <w:sz w:val="24"/>
          <w:szCs w:val="24"/>
        </w:rPr>
        <w:t>2</w:t>
      </w:r>
      <w:r w:rsidR="005F771C">
        <w:rPr>
          <w:sz w:val="24"/>
          <w:szCs w:val="24"/>
        </w:rPr>
        <w:t>,</w:t>
      </w:r>
      <w:r w:rsidR="00BA6B26">
        <w:rPr>
          <w:sz w:val="24"/>
          <w:szCs w:val="24"/>
        </w:rPr>
        <w:t xml:space="preserve"> </w:t>
      </w:r>
      <w:r w:rsidR="00FF7319">
        <w:rPr>
          <w:sz w:val="24"/>
          <w:szCs w:val="24"/>
        </w:rPr>
        <w:t>that</w:t>
      </w:r>
      <w:r w:rsidR="008D66FF">
        <w:rPr>
          <w:sz w:val="24"/>
          <w:szCs w:val="24"/>
        </w:rPr>
        <w:t xml:space="preserve"> </w:t>
      </w:r>
      <w:r w:rsidRPr="0014170A">
        <w:rPr>
          <w:sz w:val="24"/>
          <w:szCs w:val="24"/>
        </w:rPr>
        <w:t>have been determined by the type certificating authority for the aircraft</w:t>
      </w:r>
      <w:r w:rsidR="008D66FF">
        <w:rPr>
          <w:sz w:val="24"/>
          <w:szCs w:val="24"/>
        </w:rPr>
        <w:t>,</w:t>
      </w:r>
      <w:proofErr w:type="gramEnd"/>
      <w:r w:rsidRPr="0014170A">
        <w:rPr>
          <w:sz w:val="24"/>
          <w:szCs w:val="24"/>
        </w:rPr>
        <w:t xml:space="preserve"> or</w:t>
      </w:r>
      <w:r w:rsidR="008D66FF">
        <w:rPr>
          <w:sz w:val="24"/>
          <w:szCs w:val="24"/>
        </w:rPr>
        <w:t xml:space="preserve"> </w:t>
      </w:r>
      <w:r w:rsidRPr="0014170A">
        <w:rPr>
          <w:sz w:val="24"/>
          <w:szCs w:val="24"/>
        </w:rPr>
        <w:t xml:space="preserve">are </w:t>
      </w:r>
      <w:r w:rsidR="008D66FF">
        <w:rPr>
          <w:sz w:val="24"/>
          <w:szCs w:val="24"/>
        </w:rPr>
        <w:t xml:space="preserve">requirements </w:t>
      </w:r>
      <w:r w:rsidRPr="0014170A">
        <w:rPr>
          <w:sz w:val="24"/>
          <w:szCs w:val="24"/>
        </w:rPr>
        <w:t>acceptable to CASA.</w:t>
      </w:r>
    </w:p>
    <w:p w:rsidR="00F05A23" w:rsidRDefault="00F05A23" w:rsidP="00F05A23">
      <w:pPr>
        <w:tabs>
          <w:tab w:val="clear" w:pos="1134"/>
          <w:tab w:val="clear" w:pos="1276"/>
          <w:tab w:val="clear" w:pos="1843"/>
          <w:tab w:val="clear" w:pos="1985"/>
          <w:tab w:val="clear" w:pos="2552"/>
          <w:tab w:val="clear" w:pos="2693"/>
          <w:tab w:val="left" w:pos="567"/>
        </w:tabs>
        <w:jc w:val="left"/>
        <w:rPr>
          <w:sz w:val="24"/>
          <w:szCs w:val="24"/>
        </w:rPr>
      </w:pPr>
    </w:p>
    <w:p w:rsidR="00591108" w:rsidRPr="00591108" w:rsidRDefault="00591108" w:rsidP="00F05A23">
      <w:pPr>
        <w:tabs>
          <w:tab w:val="clear" w:pos="1134"/>
          <w:tab w:val="clear" w:pos="1276"/>
          <w:tab w:val="clear" w:pos="1843"/>
          <w:tab w:val="clear" w:pos="1985"/>
          <w:tab w:val="clear" w:pos="2552"/>
          <w:tab w:val="clear" w:pos="2693"/>
          <w:tab w:val="left" w:pos="567"/>
        </w:tabs>
        <w:jc w:val="left"/>
        <w:rPr>
          <w:b/>
          <w:sz w:val="24"/>
          <w:szCs w:val="24"/>
        </w:rPr>
      </w:pPr>
      <w:r w:rsidRPr="00591108">
        <w:rPr>
          <w:b/>
          <w:sz w:val="24"/>
          <w:szCs w:val="24"/>
        </w:rPr>
        <w:t>Background</w:t>
      </w:r>
    </w:p>
    <w:p w:rsidR="008D66FF" w:rsidRDefault="00F05A23" w:rsidP="00F05A23">
      <w:pPr>
        <w:tabs>
          <w:tab w:val="clear" w:pos="1134"/>
          <w:tab w:val="clear" w:pos="1276"/>
          <w:tab w:val="clear" w:pos="1843"/>
          <w:tab w:val="clear" w:pos="1985"/>
          <w:tab w:val="clear" w:pos="2552"/>
          <w:tab w:val="clear" w:pos="2693"/>
          <w:tab w:val="left" w:pos="567"/>
        </w:tabs>
        <w:jc w:val="left"/>
        <w:rPr>
          <w:sz w:val="24"/>
          <w:szCs w:val="24"/>
        </w:rPr>
      </w:pPr>
      <w:r>
        <w:rPr>
          <w:sz w:val="24"/>
          <w:szCs w:val="24"/>
        </w:rPr>
        <w:t xml:space="preserve">The instrument is a re-issue of an exemption </w:t>
      </w:r>
      <w:r w:rsidR="008860F9">
        <w:rPr>
          <w:sz w:val="24"/>
          <w:szCs w:val="24"/>
        </w:rPr>
        <w:t>in the same terms issued in 2011</w:t>
      </w:r>
      <w:r>
        <w:rPr>
          <w:sz w:val="24"/>
          <w:szCs w:val="24"/>
        </w:rPr>
        <w:t xml:space="preserve"> (</w:t>
      </w:r>
      <w:r w:rsidR="008860F9">
        <w:rPr>
          <w:sz w:val="24"/>
          <w:szCs w:val="24"/>
        </w:rPr>
        <w:t>CASA </w:t>
      </w:r>
      <w:r>
        <w:rPr>
          <w:sz w:val="24"/>
          <w:szCs w:val="24"/>
        </w:rPr>
        <w:t>E</w:t>
      </w:r>
      <w:r w:rsidR="005369F6">
        <w:rPr>
          <w:sz w:val="24"/>
          <w:szCs w:val="24"/>
        </w:rPr>
        <w:t>X</w:t>
      </w:r>
      <w:r w:rsidR="008860F9">
        <w:rPr>
          <w:sz w:val="24"/>
          <w:szCs w:val="24"/>
        </w:rPr>
        <w:t xml:space="preserve">12/11) which expired </w:t>
      </w:r>
      <w:r w:rsidR="00510199">
        <w:rPr>
          <w:sz w:val="24"/>
          <w:szCs w:val="24"/>
        </w:rPr>
        <w:t xml:space="preserve">at the end of </w:t>
      </w:r>
      <w:r w:rsidR="008860F9">
        <w:rPr>
          <w:sz w:val="24"/>
          <w:szCs w:val="24"/>
        </w:rPr>
        <w:t>January</w:t>
      </w:r>
      <w:r>
        <w:rPr>
          <w:sz w:val="24"/>
          <w:szCs w:val="24"/>
        </w:rPr>
        <w:t xml:space="preserve"> 201</w:t>
      </w:r>
      <w:r w:rsidR="008860F9">
        <w:rPr>
          <w:sz w:val="24"/>
          <w:szCs w:val="24"/>
        </w:rPr>
        <w:t>1</w:t>
      </w:r>
      <w:r>
        <w:rPr>
          <w:sz w:val="24"/>
          <w:szCs w:val="24"/>
        </w:rPr>
        <w:t>.</w:t>
      </w:r>
      <w:r w:rsidR="00591108">
        <w:rPr>
          <w:sz w:val="24"/>
          <w:szCs w:val="24"/>
        </w:rPr>
        <w:t xml:space="preserve"> It was o</w:t>
      </w:r>
      <w:r w:rsidR="008860F9">
        <w:rPr>
          <w:sz w:val="24"/>
          <w:szCs w:val="24"/>
        </w:rPr>
        <w:t>riginally proposed to amend CAO </w:t>
      </w:r>
      <w:r w:rsidR="00591108">
        <w:rPr>
          <w:sz w:val="24"/>
          <w:szCs w:val="24"/>
        </w:rPr>
        <w:t xml:space="preserve">20.18 to incorporate the new </w:t>
      </w:r>
      <w:r w:rsidR="00234727">
        <w:rPr>
          <w:sz w:val="24"/>
          <w:szCs w:val="24"/>
        </w:rPr>
        <w:t xml:space="preserve">recording systems </w:t>
      </w:r>
      <w:r w:rsidR="00591108">
        <w:rPr>
          <w:sz w:val="24"/>
          <w:szCs w:val="24"/>
        </w:rPr>
        <w:t xml:space="preserve">standards but this was deferred because it was considered that new regulations would supercede the CAO. </w:t>
      </w:r>
      <w:r w:rsidR="00234727">
        <w:rPr>
          <w:sz w:val="24"/>
          <w:szCs w:val="24"/>
        </w:rPr>
        <w:t>However, f</w:t>
      </w:r>
      <w:r w:rsidR="00591108">
        <w:rPr>
          <w:sz w:val="24"/>
          <w:szCs w:val="24"/>
        </w:rPr>
        <w:t xml:space="preserve">inalisation of the new regulations is not </w:t>
      </w:r>
      <w:r w:rsidR="00234727">
        <w:rPr>
          <w:sz w:val="24"/>
          <w:szCs w:val="24"/>
        </w:rPr>
        <w:t xml:space="preserve">yet </w:t>
      </w:r>
      <w:r w:rsidR="00591108">
        <w:rPr>
          <w:sz w:val="24"/>
          <w:szCs w:val="24"/>
        </w:rPr>
        <w:t>comple</w:t>
      </w:r>
      <w:r w:rsidR="00234727">
        <w:rPr>
          <w:sz w:val="24"/>
          <w:szCs w:val="24"/>
        </w:rPr>
        <w:t>t</w:t>
      </w:r>
      <w:r w:rsidR="00591108">
        <w:rPr>
          <w:sz w:val="24"/>
          <w:szCs w:val="24"/>
        </w:rPr>
        <w:t>e</w:t>
      </w:r>
      <w:r w:rsidR="008860F9">
        <w:rPr>
          <w:sz w:val="24"/>
          <w:szCs w:val="24"/>
        </w:rPr>
        <w:t>.</w:t>
      </w:r>
    </w:p>
    <w:p w:rsidR="008D66FF" w:rsidRDefault="008D66FF" w:rsidP="00F05A23">
      <w:pPr>
        <w:tabs>
          <w:tab w:val="clear" w:pos="1134"/>
          <w:tab w:val="clear" w:pos="1276"/>
          <w:tab w:val="clear" w:pos="1843"/>
          <w:tab w:val="clear" w:pos="1985"/>
          <w:tab w:val="clear" w:pos="2552"/>
          <w:tab w:val="clear" w:pos="2693"/>
          <w:tab w:val="left" w:pos="567"/>
        </w:tabs>
        <w:jc w:val="left"/>
        <w:rPr>
          <w:sz w:val="24"/>
          <w:szCs w:val="24"/>
        </w:rPr>
      </w:pPr>
    </w:p>
    <w:p w:rsidR="00F05A23" w:rsidRPr="0014170A" w:rsidRDefault="008D66FF" w:rsidP="00F05A23">
      <w:pPr>
        <w:tabs>
          <w:tab w:val="clear" w:pos="1134"/>
          <w:tab w:val="clear" w:pos="1276"/>
          <w:tab w:val="clear" w:pos="1843"/>
          <w:tab w:val="clear" w:pos="1985"/>
          <w:tab w:val="clear" w:pos="2552"/>
          <w:tab w:val="clear" w:pos="2693"/>
          <w:tab w:val="left" w:pos="567"/>
        </w:tabs>
        <w:jc w:val="left"/>
        <w:rPr>
          <w:sz w:val="24"/>
          <w:szCs w:val="24"/>
        </w:rPr>
      </w:pPr>
      <w:r>
        <w:rPr>
          <w:sz w:val="24"/>
          <w:szCs w:val="24"/>
        </w:rPr>
        <w:t xml:space="preserve">The majority of commercial air transport aircraft currently operating in </w:t>
      </w:r>
      <w:smartTag w:uri="urn:schemas-microsoft-com:office:smarttags" w:element="country-region">
        <w:smartTag w:uri="urn:schemas-microsoft-com:office:smarttags" w:element="place">
          <w:r>
            <w:rPr>
              <w:sz w:val="24"/>
              <w:szCs w:val="24"/>
            </w:rPr>
            <w:t>Australia</w:t>
          </w:r>
        </w:smartTag>
      </w:smartTag>
      <w:r>
        <w:rPr>
          <w:sz w:val="24"/>
          <w:szCs w:val="24"/>
        </w:rPr>
        <w:t xml:space="preserve"> are fitted with equipment meeting the newer standards. Strictly speaking they cannot comply with the older standard in paragraph 6.2 of CAO 20.18. It is necessary, therefore, to re-issue the exemption for a further period to accommodate this circumstance. Aircraft which comply with the existing standard are not affected by the exemption.</w:t>
      </w:r>
    </w:p>
    <w:p w:rsidR="005658DB" w:rsidRDefault="005658DB" w:rsidP="005658DB">
      <w:pPr>
        <w:jc w:val="left"/>
        <w:rPr>
          <w:sz w:val="24"/>
          <w:szCs w:val="24"/>
        </w:rPr>
      </w:pPr>
    </w:p>
    <w:p w:rsidR="005658DB" w:rsidRPr="005658DB" w:rsidRDefault="005658DB" w:rsidP="00F2156E">
      <w:pPr>
        <w:pageBreakBefore/>
        <w:jc w:val="left"/>
        <w:rPr>
          <w:b/>
          <w:sz w:val="24"/>
          <w:szCs w:val="24"/>
        </w:rPr>
      </w:pPr>
      <w:r w:rsidRPr="005658DB">
        <w:rPr>
          <w:b/>
          <w:sz w:val="24"/>
          <w:szCs w:val="24"/>
        </w:rPr>
        <w:lastRenderedPageBreak/>
        <w:t>Legislative Instruments Act</w:t>
      </w:r>
    </w:p>
    <w:p w:rsidR="00510199" w:rsidRPr="00CB41A3" w:rsidRDefault="00510199" w:rsidP="00510199">
      <w:pPr>
        <w:outlineLvl w:val="0"/>
        <w:rPr>
          <w:iCs/>
          <w:sz w:val="24"/>
          <w:szCs w:val="24"/>
        </w:rPr>
      </w:pPr>
      <w:r w:rsidRPr="00CB41A3">
        <w:rPr>
          <w:sz w:val="24"/>
          <w:szCs w:val="24"/>
          <w:lang w:eastAsia="en-AU"/>
        </w:rPr>
        <w:t xml:space="preserve">Subregulation 11.160 (1) of the </w:t>
      </w:r>
      <w:r w:rsidRPr="00CB41A3">
        <w:rPr>
          <w:i/>
          <w:sz w:val="24"/>
          <w:szCs w:val="24"/>
          <w:lang w:eastAsia="en-AU"/>
        </w:rPr>
        <w:t xml:space="preserve">Civil Aviation Safety Regulations 1998 </w:t>
      </w:r>
      <w:r w:rsidRPr="00CB41A3">
        <w:rPr>
          <w:sz w:val="24"/>
          <w:szCs w:val="24"/>
          <w:lang w:eastAsia="en-AU"/>
        </w:rPr>
        <w:t>(</w:t>
      </w:r>
      <w:r w:rsidRPr="00CB41A3">
        <w:rPr>
          <w:b/>
          <w:i/>
          <w:sz w:val="24"/>
          <w:szCs w:val="24"/>
          <w:lang w:eastAsia="en-AU"/>
        </w:rPr>
        <w:t>CASR 1998</w:t>
      </w:r>
      <w:r w:rsidRPr="00CB41A3">
        <w:rPr>
          <w:sz w:val="24"/>
          <w:szCs w:val="24"/>
          <w:lang w:eastAsia="en-AU"/>
        </w:rPr>
        <w:t xml:space="preserve">) provides that, for subsection 98 (5A) of the Act, CASA may grant an exemption from a provision of the regulations, including CAR 1988, or a provision of the </w:t>
      </w:r>
      <w:r>
        <w:rPr>
          <w:sz w:val="24"/>
          <w:szCs w:val="24"/>
          <w:lang w:eastAsia="en-AU"/>
        </w:rPr>
        <w:t>CAOs</w:t>
      </w:r>
      <w:r w:rsidRPr="00CB41A3">
        <w:rPr>
          <w:sz w:val="24"/>
          <w:szCs w:val="24"/>
          <w:lang w:eastAsia="en-AU"/>
        </w:rPr>
        <w:t xml:space="preserve">, in relation to a matter mentioned in that subsection. </w:t>
      </w:r>
      <w:r w:rsidRPr="00CB41A3">
        <w:rPr>
          <w:sz w:val="24"/>
          <w:szCs w:val="24"/>
        </w:rPr>
        <w:t xml:space="preserve">An instrument issued under paragraph 98 (5A) (a) of the Act is a legislative instrument if the instrument is expressed to apply to a class of persons or aircraft. The exemption applies to a class of aircraft. The exemption is, therefore, a legislative instrument </w:t>
      </w:r>
      <w:r w:rsidRPr="00CB41A3">
        <w:rPr>
          <w:iCs/>
          <w:sz w:val="24"/>
          <w:szCs w:val="24"/>
        </w:rPr>
        <w:t xml:space="preserve">subject to tabling and disallowance in the Parliament under sections 38 and 42 of the </w:t>
      </w:r>
      <w:r w:rsidRPr="00CB41A3">
        <w:rPr>
          <w:i/>
          <w:iCs/>
          <w:sz w:val="24"/>
          <w:szCs w:val="24"/>
        </w:rPr>
        <w:t>Legislative Instrument Act 2003</w:t>
      </w:r>
      <w:r w:rsidRPr="00CB41A3">
        <w:rPr>
          <w:iCs/>
          <w:sz w:val="24"/>
          <w:szCs w:val="24"/>
        </w:rPr>
        <w:t xml:space="preserve"> (the </w:t>
      </w:r>
      <w:r w:rsidRPr="00CB41A3">
        <w:rPr>
          <w:b/>
          <w:i/>
          <w:iCs/>
          <w:sz w:val="24"/>
          <w:szCs w:val="24"/>
        </w:rPr>
        <w:t>LIA</w:t>
      </w:r>
      <w:r w:rsidRPr="00CB41A3">
        <w:rPr>
          <w:iCs/>
          <w:sz w:val="24"/>
          <w:szCs w:val="24"/>
        </w:rPr>
        <w:t>).</w:t>
      </w:r>
    </w:p>
    <w:p w:rsidR="00510199" w:rsidRPr="00E67C9B" w:rsidRDefault="00510199" w:rsidP="00510199">
      <w:pPr>
        <w:outlineLvl w:val="0"/>
        <w:rPr>
          <w:sz w:val="24"/>
          <w:szCs w:val="24"/>
          <w:lang w:eastAsia="en-AU"/>
        </w:rPr>
      </w:pPr>
    </w:p>
    <w:p w:rsidR="00234727" w:rsidRPr="00234727" w:rsidRDefault="00E14945" w:rsidP="00234727">
      <w:pPr>
        <w:tabs>
          <w:tab w:val="clear" w:pos="1134"/>
          <w:tab w:val="clear" w:pos="1276"/>
          <w:tab w:val="clear" w:pos="1843"/>
          <w:tab w:val="clear" w:pos="1985"/>
          <w:tab w:val="clear" w:pos="2552"/>
          <w:tab w:val="clear" w:pos="2693"/>
          <w:tab w:val="left" w:pos="567"/>
        </w:tabs>
        <w:jc w:val="left"/>
        <w:rPr>
          <w:b/>
          <w:sz w:val="24"/>
          <w:szCs w:val="24"/>
        </w:rPr>
      </w:pPr>
      <w:r w:rsidRPr="00234727">
        <w:rPr>
          <w:b/>
          <w:sz w:val="24"/>
          <w:szCs w:val="24"/>
        </w:rPr>
        <w:t>Consultation</w:t>
      </w:r>
    </w:p>
    <w:p w:rsidR="00E14945" w:rsidRDefault="00E14945" w:rsidP="00234727">
      <w:pPr>
        <w:tabs>
          <w:tab w:val="clear" w:pos="1134"/>
          <w:tab w:val="clear" w:pos="1276"/>
          <w:tab w:val="clear" w:pos="1843"/>
          <w:tab w:val="clear" w:pos="1985"/>
          <w:tab w:val="clear" w:pos="2552"/>
          <w:tab w:val="clear" w:pos="2693"/>
          <w:tab w:val="left" w:pos="567"/>
        </w:tabs>
        <w:jc w:val="left"/>
        <w:rPr>
          <w:sz w:val="24"/>
          <w:szCs w:val="24"/>
        </w:rPr>
      </w:pPr>
      <w:r w:rsidRPr="00E14945">
        <w:rPr>
          <w:sz w:val="24"/>
          <w:szCs w:val="24"/>
        </w:rPr>
        <w:t xml:space="preserve">Consultation under section 17 of the LIA has not been undertaken in this case. The instrument is </w:t>
      </w:r>
      <w:r w:rsidR="008D66FF">
        <w:rPr>
          <w:sz w:val="24"/>
          <w:szCs w:val="24"/>
        </w:rPr>
        <w:t>a re-issue of an expired exemption which is of beneficial effect to those operators who may continue to take advantage of it</w:t>
      </w:r>
      <w:r>
        <w:rPr>
          <w:sz w:val="24"/>
          <w:szCs w:val="24"/>
        </w:rPr>
        <w:t>.</w:t>
      </w:r>
    </w:p>
    <w:p w:rsidR="000C5870" w:rsidRDefault="000C5870" w:rsidP="00234727">
      <w:pPr>
        <w:tabs>
          <w:tab w:val="clear" w:pos="1134"/>
          <w:tab w:val="clear" w:pos="1276"/>
          <w:tab w:val="clear" w:pos="1843"/>
          <w:tab w:val="clear" w:pos="1985"/>
          <w:tab w:val="clear" w:pos="2552"/>
          <w:tab w:val="clear" w:pos="2693"/>
          <w:tab w:val="left" w:pos="567"/>
        </w:tabs>
        <w:jc w:val="left"/>
        <w:rPr>
          <w:sz w:val="24"/>
          <w:szCs w:val="24"/>
        </w:rPr>
      </w:pPr>
    </w:p>
    <w:p w:rsidR="000C5870" w:rsidRPr="008860F9" w:rsidRDefault="000C5870" w:rsidP="00234727">
      <w:pPr>
        <w:tabs>
          <w:tab w:val="clear" w:pos="1134"/>
          <w:tab w:val="clear" w:pos="1276"/>
          <w:tab w:val="clear" w:pos="1843"/>
          <w:tab w:val="clear" w:pos="1985"/>
          <w:tab w:val="clear" w:pos="2552"/>
          <w:tab w:val="clear" w:pos="2693"/>
          <w:tab w:val="left" w:pos="567"/>
        </w:tabs>
        <w:jc w:val="left"/>
        <w:rPr>
          <w:b/>
          <w:sz w:val="24"/>
          <w:szCs w:val="24"/>
        </w:rPr>
      </w:pPr>
      <w:r w:rsidRPr="008860F9">
        <w:rPr>
          <w:b/>
          <w:sz w:val="24"/>
          <w:szCs w:val="24"/>
        </w:rPr>
        <w:t>Statement of Compatibility with Human Rights</w:t>
      </w:r>
    </w:p>
    <w:p w:rsidR="000C5870" w:rsidRDefault="000C5870" w:rsidP="00234727">
      <w:pPr>
        <w:tabs>
          <w:tab w:val="clear" w:pos="1134"/>
          <w:tab w:val="clear" w:pos="1276"/>
          <w:tab w:val="clear" w:pos="1843"/>
          <w:tab w:val="clear" w:pos="1985"/>
          <w:tab w:val="clear" w:pos="2552"/>
          <w:tab w:val="clear" w:pos="2693"/>
          <w:tab w:val="left" w:pos="567"/>
        </w:tabs>
        <w:jc w:val="left"/>
        <w:rPr>
          <w:sz w:val="24"/>
          <w:szCs w:val="24"/>
        </w:rPr>
      </w:pPr>
      <w:r>
        <w:rPr>
          <w:sz w:val="24"/>
          <w:szCs w:val="24"/>
        </w:rPr>
        <w:t xml:space="preserve">A </w:t>
      </w:r>
      <w:r w:rsidR="00510199">
        <w:rPr>
          <w:sz w:val="24"/>
          <w:szCs w:val="24"/>
        </w:rPr>
        <w:t>S</w:t>
      </w:r>
      <w:r>
        <w:rPr>
          <w:sz w:val="24"/>
          <w:szCs w:val="24"/>
        </w:rPr>
        <w:t xml:space="preserve">tatement of </w:t>
      </w:r>
      <w:r w:rsidR="00510199">
        <w:rPr>
          <w:sz w:val="24"/>
          <w:szCs w:val="24"/>
        </w:rPr>
        <w:t>C</w:t>
      </w:r>
      <w:r>
        <w:rPr>
          <w:sz w:val="24"/>
          <w:szCs w:val="24"/>
        </w:rPr>
        <w:t>ompatibility with Human Rights is at Attachment 1.</w:t>
      </w:r>
    </w:p>
    <w:p w:rsidR="000C5870" w:rsidRDefault="000C5870" w:rsidP="00234727">
      <w:pPr>
        <w:tabs>
          <w:tab w:val="clear" w:pos="1134"/>
          <w:tab w:val="clear" w:pos="1276"/>
          <w:tab w:val="clear" w:pos="1843"/>
          <w:tab w:val="clear" w:pos="1985"/>
          <w:tab w:val="clear" w:pos="2552"/>
          <w:tab w:val="clear" w:pos="2693"/>
          <w:tab w:val="left" w:pos="567"/>
        </w:tabs>
        <w:jc w:val="left"/>
        <w:rPr>
          <w:sz w:val="24"/>
          <w:szCs w:val="24"/>
        </w:rPr>
      </w:pPr>
    </w:p>
    <w:p w:rsidR="008860F9" w:rsidRDefault="008860F9" w:rsidP="000C5870">
      <w:pPr>
        <w:tabs>
          <w:tab w:val="clear" w:pos="1134"/>
          <w:tab w:val="clear" w:pos="1276"/>
          <w:tab w:val="clear" w:pos="1843"/>
          <w:tab w:val="clear" w:pos="1985"/>
          <w:tab w:val="clear" w:pos="2552"/>
          <w:tab w:val="clear" w:pos="2693"/>
          <w:tab w:val="left" w:pos="567"/>
        </w:tabs>
        <w:jc w:val="left"/>
        <w:rPr>
          <w:b/>
          <w:sz w:val="24"/>
          <w:szCs w:val="24"/>
        </w:rPr>
      </w:pPr>
      <w:r>
        <w:rPr>
          <w:b/>
          <w:sz w:val="24"/>
          <w:szCs w:val="24"/>
        </w:rPr>
        <w:t>Making and C</w:t>
      </w:r>
      <w:r w:rsidR="000C5870" w:rsidRPr="000C5870">
        <w:rPr>
          <w:b/>
          <w:sz w:val="24"/>
          <w:szCs w:val="24"/>
        </w:rPr>
        <w:t>ommencement</w:t>
      </w:r>
    </w:p>
    <w:p w:rsidR="00FF7319" w:rsidRPr="00FF7319" w:rsidRDefault="00422E0B" w:rsidP="000C5870">
      <w:pPr>
        <w:tabs>
          <w:tab w:val="clear" w:pos="1134"/>
          <w:tab w:val="clear" w:pos="1276"/>
          <w:tab w:val="clear" w:pos="1843"/>
          <w:tab w:val="clear" w:pos="1985"/>
          <w:tab w:val="clear" w:pos="2552"/>
          <w:tab w:val="clear" w:pos="2693"/>
          <w:tab w:val="left" w:pos="567"/>
        </w:tabs>
        <w:jc w:val="left"/>
        <w:rPr>
          <w:sz w:val="24"/>
          <w:szCs w:val="24"/>
        </w:rPr>
      </w:pPr>
      <w:r w:rsidRPr="00E14945">
        <w:rPr>
          <w:sz w:val="24"/>
          <w:szCs w:val="24"/>
        </w:rPr>
        <w:t xml:space="preserve">The exemption has been </w:t>
      </w:r>
      <w:r w:rsidR="00FF7319" w:rsidRPr="00FF7319">
        <w:rPr>
          <w:sz w:val="24"/>
          <w:szCs w:val="24"/>
        </w:rPr>
        <w:t xml:space="preserve">made </w:t>
      </w:r>
      <w:r w:rsidRPr="00E14945">
        <w:rPr>
          <w:sz w:val="24"/>
          <w:szCs w:val="24"/>
        </w:rPr>
        <w:t xml:space="preserve">by </w:t>
      </w:r>
      <w:r w:rsidR="00CA2E8A">
        <w:rPr>
          <w:sz w:val="24"/>
          <w:szCs w:val="24"/>
        </w:rPr>
        <w:t>a</w:t>
      </w:r>
      <w:r w:rsidR="00302200">
        <w:rPr>
          <w:sz w:val="24"/>
          <w:szCs w:val="24"/>
        </w:rPr>
        <w:t xml:space="preserve"> delegate of CASA</w:t>
      </w:r>
      <w:r w:rsidR="0044779C" w:rsidRPr="0044779C">
        <w:rPr>
          <w:sz w:val="24"/>
          <w:szCs w:val="24"/>
        </w:rPr>
        <w:t xml:space="preserve"> </w:t>
      </w:r>
      <w:r w:rsidR="00302200">
        <w:rPr>
          <w:sz w:val="24"/>
          <w:szCs w:val="24"/>
        </w:rPr>
        <w:t>relying on</w:t>
      </w:r>
      <w:r w:rsidR="00CA2E8A">
        <w:rPr>
          <w:sz w:val="24"/>
          <w:szCs w:val="24"/>
        </w:rPr>
        <w:t xml:space="preserve"> the</w:t>
      </w:r>
      <w:r w:rsidR="00302200">
        <w:rPr>
          <w:sz w:val="24"/>
          <w:szCs w:val="24"/>
        </w:rPr>
        <w:t xml:space="preserve"> power of delegation</w:t>
      </w:r>
      <w:r w:rsidR="0044779C" w:rsidRPr="0044779C">
        <w:rPr>
          <w:sz w:val="24"/>
          <w:szCs w:val="24"/>
        </w:rPr>
        <w:t xml:space="preserve"> </w:t>
      </w:r>
      <w:r w:rsidR="00CA2E8A">
        <w:rPr>
          <w:sz w:val="24"/>
          <w:szCs w:val="24"/>
        </w:rPr>
        <w:t xml:space="preserve">in </w:t>
      </w:r>
      <w:r w:rsidR="0044779C" w:rsidRPr="0044779C">
        <w:rPr>
          <w:sz w:val="24"/>
          <w:szCs w:val="24"/>
        </w:rPr>
        <w:t>sub</w:t>
      </w:r>
      <w:r w:rsidR="008860F9">
        <w:rPr>
          <w:sz w:val="24"/>
          <w:szCs w:val="24"/>
        </w:rPr>
        <w:t>regulation 11.</w:t>
      </w:r>
      <w:r w:rsidR="00510199">
        <w:rPr>
          <w:sz w:val="24"/>
          <w:szCs w:val="24"/>
        </w:rPr>
        <w:t>2</w:t>
      </w:r>
      <w:r w:rsidR="008860F9">
        <w:rPr>
          <w:sz w:val="24"/>
          <w:szCs w:val="24"/>
        </w:rPr>
        <w:t>60 </w:t>
      </w:r>
      <w:r w:rsidR="00302200">
        <w:rPr>
          <w:sz w:val="24"/>
          <w:szCs w:val="24"/>
        </w:rPr>
        <w:t>(1) of CASR 1998</w:t>
      </w:r>
      <w:r w:rsidR="0044779C" w:rsidRPr="0044779C">
        <w:rPr>
          <w:sz w:val="24"/>
          <w:szCs w:val="24"/>
        </w:rPr>
        <w:t>.</w:t>
      </w:r>
    </w:p>
    <w:p w:rsidR="00E14945" w:rsidRDefault="00E14945" w:rsidP="00EA45E5">
      <w:pPr>
        <w:spacing w:before="200"/>
        <w:jc w:val="left"/>
        <w:rPr>
          <w:sz w:val="24"/>
          <w:szCs w:val="24"/>
        </w:rPr>
      </w:pPr>
      <w:r w:rsidRPr="00E14945">
        <w:rPr>
          <w:sz w:val="24"/>
          <w:szCs w:val="24"/>
        </w:rPr>
        <w:t xml:space="preserve">The exemption </w:t>
      </w:r>
      <w:r w:rsidR="00745F3B">
        <w:rPr>
          <w:sz w:val="24"/>
          <w:szCs w:val="24"/>
        </w:rPr>
        <w:t xml:space="preserve">commences </w:t>
      </w:r>
      <w:r w:rsidR="005F771C">
        <w:rPr>
          <w:sz w:val="24"/>
          <w:szCs w:val="24"/>
        </w:rPr>
        <w:t xml:space="preserve">on </w:t>
      </w:r>
      <w:r w:rsidR="00510199">
        <w:rPr>
          <w:sz w:val="24"/>
          <w:szCs w:val="24"/>
        </w:rPr>
        <w:t>1 February 2013</w:t>
      </w:r>
      <w:r w:rsidRPr="00E14945">
        <w:rPr>
          <w:sz w:val="24"/>
          <w:szCs w:val="24"/>
        </w:rPr>
        <w:t xml:space="preserve"> and stops having effect at the end of </w:t>
      </w:r>
      <w:r w:rsidR="005A1A37">
        <w:rPr>
          <w:sz w:val="24"/>
          <w:szCs w:val="24"/>
        </w:rPr>
        <w:t>3</w:t>
      </w:r>
      <w:r w:rsidR="00BF280E">
        <w:rPr>
          <w:sz w:val="24"/>
          <w:szCs w:val="24"/>
        </w:rPr>
        <w:t>1</w:t>
      </w:r>
      <w:r w:rsidR="00510199">
        <w:rPr>
          <w:sz w:val="24"/>
          <w:szCs w:val="24"/>
        </w:rPr>
        <w:t> </w:t>
      </w:r>
      <w:r w:rsidR="008D66FF">
        <w:rPr>
          <w:sz w:val="24"/>
          <w:szCs w:val="24"/>
        </w:rPr>
        <w:t>January 201</w:t>
      </w:r>
      <w:r w:rsidR="008637CA">
        <w:rPr>
          <w:sz w:val="24"/>
          <w:szCs w:val="24"/>
        </w:rPr>
        <w:t>4</w:t>
      </w:r>
      <w:bookmarkStart w:id="0" w:name="_GoBack"/>
      <w:bookmarkEnd w:id="0"/>
      <w:r w:rsidRPr="00E14945">
        <w:rPr>
          <w:sz w:val="24"/>
          <w:szCs w:val="24"/>
        </w:rPr>
        <w:t>.</w:t>
      </w:r>
    </w:p>
    <w:p w:rsidR="00937420" w:rsidRDefault="00E14945" w:rsidP="0057738E">
      <w:pPr>
        <w:spacing w:before="240"/>
        <w:rPr>
          <w:sz w:val="20"/>
        </w:rPr>
      </w:pPr>
      <w:r w:rsidRPr="00E14945">
        <w:rPr>
          <w:sz w:val="20"/>
        </w:rPr>
        <w:t>[Instrument number CASA EX</w:t>
      </w:r>
      <w:r w:rsidR="00C3713E">
        <w:rPr>
          <w:sz w:val="20"/>
        </w:rPr>
        <w:t>07</w:t>
      </w:r>
      <w:r w:rsidRPr="00E14945">
        <w:rPr>
          <w:sz w:val="20"/>
        </w:rPr>
        <w:t>/</w:t>
      </w:r>
      <w:r w:rsidR="00CA2E8A">
        <w:rPr>
          <w:sz w:val="20"/>
        </w:rPr>
        <w:t>13</w:t>
      </w:r>
      <w:r w:rsidR="00510199">
        <w:rPr>
          <w:sz w:val="20"/>
        </w:rPr>
        <w:t>]</w:t>
      </w:r>
    </w:p>
    <w:p w:rsidR="00937420" w:rsidRPr="008860F9" w:rsidRDefault="00937420" w:rsidP="00F2156E">
      <w:pPr>
        <w:keepNext/>
        <w:pageBreakBefore/>
        <w:spacing w:before="360" w:after="120"/>
        <w:jc w:val="right"/>
        <w:rPr>
          <w:b/>
          <w:sz w:val="24"/>
          <w:szCs w:val="24"/>
        </w:rPr>
      </w:pPr>
      <w:r w:rsidRPr="008860F9">
        <w:rPr>
          <w:b/>
          <w:sz w:val="24"/>
          <w:szCs w:val="24"/>
        </w:rPr>
        <w:lastRenderedPageBreak/>
        <w:t>Attachment 1</w:t>
      </w:r>
    </w:p>
    <w:p w:rsidR="00937420" w:rsidRPr="00E4135E" w:rsidRDefault="00937420" w:rsidP="00937420">
      <w:pPr>
        <w:spacing w:before="360" w:after="120"/>
        <w:jc w:val="center"/>
        <w:rPr>
          <w:b/>
          <w:sz w:val="28"/>
          <w:szCs w:val="28"/>
        </w:rPr>
      </w:pPr>
      <w:r w:rsidRPr="00E4135E">
        <w:rPr>
          <w:b/>
          <w:sz w:val="28"/>
          <w:szCs w:val="28"/>
        </w:rPr>
        <w:t>Statement of Compatibility with Human Rights</w:t>
      </w:r>
    </w:p>
    <w:p w:rsidR="00937420" w:rsidRPr="008860F9" w:rsidRDefault="00937420" w:rsidP="00937420">
      <w:pPr>
        <w:spacing w:before="120" w:after="120"/>
        <w:jc w:val="center"/>
        <w:rPr>
          <w:sz w:val="24"/>
          <w:szCs w:val="24"/>
        </w:rPr>
      </w:pPr>
      <w:r w:rsidRPr="008860F9">
        <w:rPr>
          <w:i/>
          <w:sz w:val="24"/>
          <w:szCs w:val="24"/>
        </w:rPr>
        <w:t>Prepared in accordance with Part 3 of the Human Rights (Parliamentary Scrutiny) Act 2011</w:t>
      </w:r>
    </w:p>
    <w:p w:rsidR="00937420" w:rsidRPr="008860F9" w:rsidRDefault="00937420" w:rsidP="00937420">
      <w:pPr>
        <w:spacing w:before="120" w:after="120"/>
        <w:jc w:val="center"/>
        <w:rPr>
          <w:sz w:val="24"/>
          <w:szCs w:val="24"/>
        </w:rPr>
      </w:pPr>
    </w:p>
    <w:p w:rsidR="00937420" w:rsidRPr="008860F9" w:rsidRDefault="00937420" w:rsidP="00F84161">
      <w:pPr>
        <w:spacing w:before="120" w:after="120"/>
        <w:jc w:val="left"/>
        <w:rPr>
          <w:b/>
          <w:sz w:val="24"/>
          <w:szCs w:val="24"/>
        </w:rPr>
      </w:pPr>
      <w:r w:rsidRPr="008860F9">
        <w:rPr>
          <w:b/>
          <w:sz w:val="24"/>
          <w:szCs w:val="24"/>
        </w:rPr>
        <w:t>Exemption</w:t>
      </w:r>
      <w:r w:rsidR="006A1E8F">
        <w:rPr>
          <w:b/>
          <w:sz w:val="24"/>
          <w:szCs w:val="24"/>
        </w:rPr>
        <w:t> </w:t>
      </w:r>
      <w:r w:rsidRPr="008860F9">
        <w:rPr>
          <w:b/>
          <w:sz w:val="24"/>
          <w:szCs w:val="24"/>
        </w:rPr>
        <w:t>– carriage of cockpit voice recorders and flight data recorders</w:t>
      </w:r>
    </w:p>
    <w:p w:rsidR="00937420" w:rsidRDefault="00937420" w:rsidP="00937420">
      <w:pPr>
        <w:spacing w:before="120" w:after="120"/>
        <w:jc w:val="center"/>
        <w:rPr>
          <w:sz w:val="24"/>
          <w:szCs w:val="24"/>
        </w:rPr>
      </w:pPr>
      <w:r w:rsidRPr="008860F9">
        <w:rPr>
          <w:sz w:val="24"/>
          <w:szCs w:val="24"/>
        </w:rPr>
        <w:t xml:space="preserve">This Legislative Instrument is compatible with the human rights and freedoms recognised or declared in the international instruments listed in section 3 of the </w:t>
      </w:r>
      <w:r w:rsidRPr="008860F9">
        <w:rPr>
          <w:i/>
          <w:sz w:val="24"/>
          <w:szCs w:val="24"/>
        </w:rPr>
        <w:t>Human Rights (Parliamentary Scrutiny) Act 2011</w:t>
      </w:r>
      <w:r w:rsidRPr="008860F9">
        <w:rPr>
          <w:sz w:val="24"/>
          <w:szCs w:val="24"/>
        </w:rPr>
        <w:t>.</w:t>
      </w:r>
    </w:p>
    <w:p w:rsidR="008860F9" w:rsidRPr="008860F9" w:rsidRDefault="008860F9" w:rsidP="00937420">
      <w:pPr>
        <w:spacing w:before="120" w:after="120"/>
        <w:jc w:val="center"/>
        <w:rPr>
          <w:sz w:val="24"/>
          <w:szCs w:val="24"/>
        </w:rPr>
      </w:pPr>
    </w:p>
    <w:p w:rsidR="008860F9" w:rsidRDefault="00937420" w:rsidP="00937420">
      <w:pPr>
        <w:spacing w:before="120" w:after="120"/>
        <w:rPr>
          <w:b/>
          <w:sz w:val="24"/>
          <w:szCs w:val="24"/>
        </w:rPr>
      </w:pPr>
      <w:r w:rsidRPr="008860F9">
        <w:rPr>
          <w:b/>
          <w:sz w:val="24"/>
          <w:szCs w:val="24"/>
        </w:rPr>
        <w:t>Overview of the Legislative Instrument</w:t>
      </w:r>
    </w:p>
    <w:p w:rsidR="00937420" w:rsidRPr="008860F9" w:rsidRDefault="00937420" w:rsidP="00F84161">
      <w:pPr>
        <w:spacing w:before="120" w:after="120"/>
        <w:jc w:val="left"/>
        <w:rPr>
          <w:b/>
          <w:sz w:val="24"/>
          <w:szCs w:val="24"/>
        </w:rPr>
      </w:pPr>
      <w:r w:rsidRPr="008860F9">
        <w:rPr>
          <w:sz w:val="24"/>
          <w:szCs w:val="24"/>
        </w:rPr>
        <w:t>The Legislative Instrument exempts specified aircraft from compliance with paragraphs 6.1 and 6.2 of C</w:t>
      </w:r>
      <w:r w:rsidR="006A1E8F">
        <w:rPr>
          <w:sz w:val="24"/>
          <w:szCs w:val="24"/>
        </w:rPr>
        <w:t xml:space="preserve">ivil Aviation </w:t>
      </w:r>
      <w:r w:rsidRPr="008860F9">
        <w:rPr>
          <w:sz w:val="24"/>
          <w:szCs w:val="24"/>
        </w:rPr>
        <w:t>O</w:t>
      </w:r>
      <w:r w:rsidR="006A1E8F">
        <w:rPr>
          <w:sz w:val="24"/>
          <w:szCs w:val="24"/>
        </w:rPr>
        <w:t>rder</w:t>
      </w:r>
      <w:r w:rsidRPr="008860F9">
        <w:rPr>
          <w:sz w:val="24"/>
          <w:szCs w:val="24"/>
        </w:rPr>
        <w:t xml:space="preserve"> 20.18</w:t>
      </w:r>
      <w:r w:rsidR="006A1E8F">
        <w:rPr>
          <w:sz w:val="24"/>
          <w:szCs w:val="24"/>
        </w:rPr>
        <w:t xml:space="preserve"> (</w:t>
      </w:r>
      <w:r w:rsidR="006A1E8F" w:rsidRPr="00C8039E">
        <w:rPr>
          <w:b/>
          <w:i/>
          <w:sz w:val="24"/>
          <w:szCs w:val="24"/>
        </w:rPr>
        <w:t>CAO 20.18</w:t>
      </w:r>
      <w:r w:rsidR="006A1E8F">
        <w:rPr>
          <w:sz w:val="24"/>
          <w:szCs w:val="24"/>
        </w:rPr>
        <w:t>)</w:t>
      </w:r>
      <w:r w:rsidRPr="008860F9">
        <w:rPr>
          <w:sz w:val="24"/>
          <w:szCs w:val="24"/>
        </w:rPr>
        <w:t>, if they meet standards at least equivalent to the requirements mentioned in paragraph </w:t>
      </w:r>
      <w:proofErr w:type="gramStart"/>
      <w:r w:rsidRPr="008860F9">
        <w:rPr>
          <w:sz w:val="24"/>
          <w:szCs w:val="24"/>
        </w:rPr>
        <w:t>6.2, that have been determined by the type certificating authority for the aircraft,</w:t>
      </w:r>
      <w:proofErr w:type="gramEnd"/>
      <w:r w:rsidRPr="008860F9">
        <w:rPr>
          <w:sz w:val="24"/>
          <w:szCs w:val="24"/>
        </w:rPr>
        <w:t xml:space="preserve"> or are requirements acceptable to CASA. The majority of commercial air transport aircraft currently operating in Australia are fitted with equipment meeting the newer standards. Strictly speaking they cannot comply with the older standard in paragraph 6.2 of CAO 20.18.</w:t>
      </w:r>
    </w:p>
    <w:p w:rsidR="00937420" w:rsidRPr="008860F9" w:rsidRDefault="00937420" w:rsidP="00F84161">
      <w:pPr>
        <w:pStyle w:val="BodyText"/>
        <w:rPr>
          <w:rFonts w:ascii="Times New Roman" w:hAnsi="Times New Roman"/>
          <w:b/>
        </w:rPr>
      </w:pPr>
      <w:r w:rsidRPr="008860F9">
        <w:rPr>
          <w:rFonts w:ascii="Times New Roman" w:hAnsi="Times New Roman"/>
          <w:b/>
        </w:rPr>
        <w:t>Human rights implications</w:t>
      </w:r>
    </w:p>
    <w:p w:rsidR="00937420" w:rsidRPr="008860F9" w:rsidRDefault="00937420" w:rsidP="00F84161">
      <w:pPr>
        <w:spacing w:before="120" w:after="120"/>
        <w:jc w:val="left"/>
        <w:rPr>
          <w:sz w:val="24"/>
          <w:szCs w:val="24"/>
        </w:rPr>
      </w:pPr>
      <w:r w:rsidRPr="008860F9">
        <w:rPr>
          <w:sz w:val="24"/>
          <w:szCs w:val="24"/>
        </w:rPr>
        <w:t>This Legislative Instrument does not engage any of the applicable rights or freedoms.</w:t>
      </w:r>
    </w:p>
    <w:p w:rsidR="00937420" w:rsidRPr="008860F9" w:rsidRDefault="00937420" w:rsidP="00F84161">
      <w:pPr>
        <w:spacing w:before="120" w:after="120"/>
        <w:jc w:val="left"/>
        <w:rPr>
          <w:b/>
          <w:sz w:val="24"/>
          <w:szCs w:val="24"/>
        </w:rPr>
      </w:pPr>
      <w:r w:rsidRPr="008860F9">
        <w:rPr>
          <w:b/>
          <w:sz w:val="24"/>
          <w:szCs w:val="24"/>
        </w:rPr>
        <w:t>Conclusion</w:t>
      </w:r>
    </w:p>
    <w:p w:rsidR="00937420" w:rsidRPr="008860F9" w:rsidRDefault="00937420" w:rsidP="00F84161">
      <w:pPr>
        <w:spacing w:before="120" w:after="120"/>
        <w:jc w:val="left"/>
        <w:rPr>
          <w:sz w:val="24"/>
          <w:szCs w:val="24"/>
        </w:rPr>
      </w:pPr>
      <w:r w:rsidRPr="008860F9">
        <w:rPr>
          <w:sz w:val="24"/>
          <w:szCs w:val="24"/>
        </w:rPr>
        <w:t>This Legislative Instrument is compatible with human rights as it does not raise any human rights issues.</w:t>
      </w:r>
    </w:p>
    <w:p w:rsidR="00937420" w:rsidRPr="008860F9" w:rsidRDefault="00937420" w:rsidP="00937420">
      <w:pPr>
        <w:spacing w:before="120" w:after="120"/>
        <w:jc w:val="center"/>
        <w:rPr>
          <w:sz w:val="24"/>
          <w:szCs w:val="24"/>
        </w:rPr>
      </w:pPr>
      <w:r w:rsidRPr="008860F9">
        <w:rPr>
          <w:b/>
          <w:bCs/>
          <w:sz w:val="24"/>
          <w:szCs w:val="24"/>
        </w:rPr>
        <w:t>Civil Aviation Safety Authority</w:t>
      </w:r>
    </w:p>
    <w:sectPr w:rsidR="00937420" w:rsidRPr="008860F9" w:rsidSect="00745F3B">
      <w:headerReference w:type="even" r:id="rId8"/>
      <w:headerReference w:type="default" r:id="rId9"/>
      <w:pgSz w:w="11907" w:h="16840" w:code="9"/>
      <w:pgMar w:top="1276"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80" w:rsidRDefault="00FF7680">
      <w:r>
        <w:separator/>
      </w:r>
    </w:p>
  </w:endnote>
  <w:endnote w:type="continuationSeparator" w:id="0">
    <w:p w:rsidR="00FF7680" w:rsidRDefault="00FF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80" w:rsidRDefault="00FF7680">
      <w:r>
        <w:separator/>
      </w:r>
    </w:p>
  </w:footnote>
  <w:footnote w:type="continuationSeparator" w:id="0">
    <w:p w:rsidR="00FF7680" w:rsidRDefault="00FF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3B" w:rsidRDefault="00745F3B" w:rsidP="00166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F3B" w:rsidRDefault="00745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3B" w:rsidRDefault="00745F3B" w:rsidP="00166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7CA">
      <w:rPr>
        <w:rStyle w:val="PageNumber"/>
        <w:noProof/>
      </w:rPr>
      <w:t>2</w:t>
    </w:r>
    <w:r>
      <w:rPr>
        <w:rStyle w:val="PageNumber"/>
      </w:rPr>
      <w:fldChar w:fldCharType="end"/>
    </w:r>
  </w:p>
  <w:p w:rsidR="00745F3B" w:rsidRDefault="00745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96A"/>
    <w:multiLevelType w:val="hybridMultilevel"/>
    <w:tmpl w:val="E934F6E8"/>
    <w:lvl w:ilvl="0" w:tplc="CB7CFE92">
      <w:start w:val="1"/>
      <w:numFmt w:val="lowerLetter"/>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45"/>
    <w:rsid w:val="000C5870"/>
    <w:rsid w:val="0014170A"/>
    <w:rsid w:val="0016633B"/>
    <w:rsid w:val="00166EDE"/>
    <w:rsid w:val="00176FB4"/>
    <w:rsid w:val="00234727"/>
    <w:rsid w:val="002A4E00"/>
    <w:rsid w:val="00302200"/>
    <w:rsid w:val="00370EF6"/>
    <w:rsid w:val="00386D2B"/>
    <w:rsid w:val="003C0152"/>
    <w:rsid w:val="00422E0B"/>
    <w:rsid w:val="0044779C"/>
    <w:rsid w:val="00510199"/>
    <w:rsid w:val="005369F6"/>
    <w:rsid w:val="005658DB"/>
    <w:rsid w:val="0057738E"/>
    <w:rsid w:val="00591108"/>
    <w:rsid w:val="005A1A37"/>
    <w:rsid w:val="005F771C"/>
    <w:rsid w:val="0068097E"/>
    <w:rsid w:val="006A1E8F"/>
    <w:rsid w:val="00745F3B"/>
    <w:rsid w:val="00751999"/>
    <w:rsid w:val="00772674"/>
    <w:rsid w:val="00806FEC"/>
    <w:rsid w:val="008637CA"/>
    <w:rsid w:val="008860F9"/>
    <w:rsid w:val="00893364"/>
    <w:rsid w:val="0089750C"/>
    <w:rsid w:val="008D66FF"/>
    <w:rsid w:val="00937420"/>
    <w:rsid w:val="009A4A2F"/>
    <w:rsid w:val="00A33812"/>
    <w:rsid w:val="00B91713"/>
    <w:rsid w:val="00BA6B26"/>
    <w:rsid w:val="00BF280E"/>
    <w:rsid w:val="00C243DF"/>
    <w:rsid w:val="00C3713E"/>
    <w:rsid w:val="00C54396"/>
    <w:rsid w:val="00C8039E"/>
    <w:rsid w:val="00CA2E8A"/>
    <w:rsid w:val="00CE2C70"/>
    <w:rsid w:val="00E14945"/>
    <w:rsid w:val="00EA45E5"/>
    <w:rsid w:val="00EB2971"/>
    <w:rsid w:val="00F05A23"/>
    <w:rsid w:val="00F2156E"/>
    <w:rsid w:val="00F53C7D"/>
    <w:rsid w:val="00F70B5D"/>
    <w:rsid w:val="00F84161"/>
    <w:rsid w:val="00FE2865"/>
    <w:rsid w:val="00FF7319"/>
    <w:rsid w:val="00FF7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lauseHeading">
    <w:name w:val="LDClauseHeading"/>
    <w:basedOn w:val="Normal"/>
    <w:next w:val="Normal"/>
    <w:rsid w:val="00E14945"/>
    <w:pPr>
      <w:keepNext/>
      <w:tabs>
        <w:tab w:val="clear" w:pos="1134"/>
        <w:tab w:val="clear" w:pos="1276"/>
        <w:tab w:val="clear" w:pos="1843"/>
        <w:tab w:val="clear" w:pos="1985"/>
        <w:tab w:val="clear" w:pos="2552"/>
        <w:tab w:val="clear" w:pos="2693"/>
        <w:tab w:val="left" w:pos="737"/>
      </w:tabs>
      <w:overflowPunct/>
      <w:autoSpaceDE/>
      <w:autoSpaceDN/>
      <w:adjustRightInd/>
      <w:spacing w:before="180" w:after="60"/>
      <w:ind w:left="737" w:hanging="737"/>
      <w:jc w:val="left"/>
      <w:textAlignment w:val="auto"/>
    </w:pPr>
    <w:rPr>
      <w:rFonts w:ascii="Arial" w:hAnsi="Arial"/>
      <w:b/>
      <w:sz w:val="24"/>
      <w:szCs w:val="24"/>
    </w:rPr>
  </w:style>
  <w:style w:type="paragraph" w:styleId="BalloonText">
    <w:name w:val="Balloon Text"/>
    <w:basedOn w:val="Normal"/>
    <w:semiHidden/>
    <w:rsid w:val="00B91713"/>
    <w:rPr>
      <w:rFonts w:ascii="Tahoma" w:hAnsi="Tahoma" w:cs="Tahoma"/>
      <w:sz w:val="16"/>
      <w:szCs w:val="16"/>
    </w:rPr>
  </w:style>
  <w:style w:type="paragraph" w:styleId="Header">
    <w:name w:val="header"/>
    <w:basedOn w:val="Normal"/>
    <w:rsid w:val="00745F3B"/>
    <w:pPr>
      <w:tabs>
        <w:tab w:val="clear" w:pos="1134"/>
        <w:tab w:val="clear" w:pos="1276"/>
        <w:tab w:val="clear" w:pos="1843"/>
        <w:tab w:val="clear" w:pos="1985"/>
        <w:tab w:val="clear" w:pos="2552"/>
        <w:tab w:val="clear" w:pos="2693"/>
        <w:tab w:val="center" w:pos="4153"/>
        <w:tab w:val="right" w:pos="8306"/>
      </w:tabs>
    </w:pPr>
  </w:style>
  <w:style w:type="character" w:styleId="PageNumber">
    <w:name w:val="page number"/>
    <w:basedOn w:val="DefaultParagraphFont"/>
    <w:rsid w:val="00745F3B"/>
  </w:style>
  <w:style w:type="paragraph" w:styleId="BodyText">
    <w:name w:val="Body Text"/>
    <w:basedOn w:val="Normal"/>
    <w:link w:val="BodyTextChar"/>
    <w:rsid w:val="00937420"/>
    <w:pPr>
      <w:tabs>
        <w:tab w:val="clear" w:pos="1134"/>
        <w:tab w:val="clear" w:pos="1276"/>
        <w:tab w:val="clear" w:pos="1843"/>
        <w:tab w:val="clear" w:pos="1985"/>
        <w:tab w:val="clear" w:pos="2552"/>
        <w:tab w:val="clear" w:pos="2693"/>
      </w:tabs>
      <w:overflowPunct/>
      <w:autoSpaceDE/>
      <w:autoSpaceDN/>
      <w:adjustRightInd/>
      <w:jc w:val="left"/>
      <w:textAlignment w:val="auto"/>
    </w:pPr>
    <w:rPr>
      <w:rFonts w:ascii="Times New (W1)" w:hAnsi="Times New (W1)"/>
      <w:sz w:val="24"/>
      <w:szCs w:val="24"/>
    </w:rPr>
  </w:style>
  <w:style w:type="character" w:customStyle="1" w:styleId="BodyTextChar">
    <w:name w:val="Body Text Char"/>
    <w:link w:val="BodyText"/>
    <w:rsid w:val="00937420"/>
    <w:rPr>
      <w:rFonts w:ascii="Times New (W1)" w:hAnsi="Times New (W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lauseHeading">
    <w:name w:val="LDClauseHeading"/>
    <w:basedOn w:val="Normal"/>
    <w:next w:val="Normal"/>
    <w:rsid w:val="00E14945"/>
    <w:pPr>
      <w:keepNext/>
      <w:tabs>
        <w:tab w:val="clear" w:pos="1134"/>
        <w:tab w:val="clear" w:pos="1276"/>
        <w:tab w:val="clear" w:pos="1843"/>
        <w:tab w:val="clear" w:pos="1985"/>
        <w:tab w:val="clear" w:pos="2552"/>
        <w:tab w:val="clear" w:pos="2693"/>
        <w:tab w:val="left" w:pos="737"/>
      </w:tabs>
      <w:overflowPunct/>
      <w:autoSpaceDE/>
      <w:autoSpaceDN/>
      <w:adjustRightInd/>
      <w:spacing w:before="180" w:after="60"/>
      <w:ind w:left="737" w:hanging="737"/>
      <w:jc w:val="left"/>
      <w:textAlignment w:val="auto"/>
    </w:pPr>
    <w:rPr>
      <w:rFonts w:ascii="Arial" w:hAnsi="Arial"/>
      <w:b/>
      <w:sz w:val="24"/>
      <w:szCs w:val="24"/>
    </w:rPr>
  </w:style>
  <w:style w:type="paragraph" w:styleId="BalloonText">
    <w:name w:val="Balloon Text"/>
    <w:basedOn w:val="Normal"/>
    <w:semiHidden/>
    <w:rsid w:val="00B91713"/>
    <w:rPr>
      <w:rFonts w:ascii="Tahoma" w:hAnsi="Tahoma" w:cs="Tahoma"/>
      <w:sz w:val="16"/>
      <w:szCs w:val="16"/>
    </w:rPr>
  </w:style>
  <w:style w:type="paragraph" w:styleId="Header">
    <w:name w:val="header"/>
    <w:basedOn w:val="Normal"/>
    <w:rsid w:val="00745F3B"/>
    <w:pPr>
      <w:tabs>
        <w:tab w:val="clear" w:pos="1134"/>
        <w:tab w:val="clear" w:pos="1276"/>
        <w:tab w:val="clear" w:pos="1843"/>
        <w:tab w:val="clear" w:pos="1985"/>
        <w:tab w:val="clear" w:pos="2552"/>
        <w:tab w:val="clear" w:pos="2693"/>
        <w:tab w:val="center" w:pos="4153"/>
        <w:tab w:val="right" w:pos="8306"/>
      </w:tabs>
    </w:pPr>
  </w:style>
  <w:style w:type="character" w:styleId="PageNumber">
    <w:name w:val="page number"/>
    <w:basedOn w:val="DefaultParagraphFont"/>
    <w:rsid w:val="00745F3B"/>
  </w:style>
  <w:style w:type="paragraph" w:styleId="BodyText">
    <w:name w:val="Body Text"/>
    <w:basedOn w:val="Normal"/>
    <w:link w:val="BodyTextChar"/>
    <w:rsid w:val="00937420"/>
    <w:pPr>
      <w:tabs>
        <w:tab w:val="clear" w:pos="1134"/>
        <w:tab w:val="clear" w:pos="1276"/>
        <w:tab w:val="clear" w:pos="1843"/>
        <w:tab w:val="clear" w:pos="1985"/>
        <w:tab w:val="clear" w:pos="2552"/>
        <w:tab w:val="clear" w:pos="2693"/>
      </w:tabs>
      <w:overflowPunct/>
      <w:autoSpaceDE/>
      <w:autoSpaceDN/>
      <w:adjustRightInd/>
      <w:jc w:val="left"/>
      <w:textAlignment w:val="auto"/>
    </w:pPr>
    <w:rPr>
      <w:rFonts w:ascii="Times New (W1)" w:hAnsi="Times New (W1)"/>
      <w:sz w:val="24"/>
      <w:szCs w:val="24"/>
    </w:rPr>
  </w:style>
  <w:style w:type="character" w:customStyle="1" w:styleId="BodyTextChar">
    <w:name w:val="Body Text Char"/>
    <w:link w:val="BodyText"/>
    <w:rsid w:val="00937420"/>
    <w:rPr>
      <w:rFonts w:ascii="Times New (W1)" w:hAnsi="Times New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853</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CASA EX07/13 — EXPLANATORY STATEMENT</vt:lpstr>
    </vt:vector>
  </TitlesOfParts>
  <Company>Civil Aviation Safety Authority</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EX07/13 — EXPLANATORY STATEMENT</dc:title>
  <dc:subject>Exemption— carriage of cockpit voice recorders and flight data recorders</dc:subject>
  <dc:creator>Civil Aviation Safety Authority</dc:creator>
  <cp:lastModifiedBy>Nadia Spesyvy</cp:lastModifiedBy>
  <cp:revision>5</cp:revision>
  <cp:lastPrinted>2013-01-20T22:54:00Z</cp:lastPrinted>
  <dcterms:created xsi:type="dcterms:W3CDTF">2013-01-20T22:54:00Z</dcterms:created>
  <dcterms:modified xsi:type="dcterms:W3CDTF">2013-01-31T00:42:00Z</dcterms:modified>
</cp:coreProperties>
</file>