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28A" w:rsidRPr="0086668E" w:rsidRDefault="00AD6EF8" w:rsidP="001F7349">
      <w:pPr>
        <w:pStyle w:val="Heading"/>
        <w:spacing w:before="0" w:after="240"/>
        <w:jc w:val="center"/>
        <w:rPr>
          <w:rFonts w:ascii="Times New Roman" w:hAnsi="Times New Roman" w:cs="Times New Roman"/>
          <w:sz w:val="24"/>
          <w:szCs w:val="24"/>
        </w:rPr>
      </w:pPr>
      <w:bookmarkStart w:id="0" w:name="bkInstrumentSubTitle"/>
      <w:bookmarkEnd w:id="0"/>
      <w:r w:rsidRPr="0086668E">
        <w:rPr>
          <w:rFonts w:ascii="Times New Roman" w:hAnsi="Times New Roman" w:cs="Times New Roman"/>
          <w:sz w:val="24"/>
          <w:szCs w:val="24"/>
        </w:rPr>
        <w:t>Financial Sector (Collection of Data) (reporting standard) determination Nos. 42 to 60 of 201</w:t>
      </w:r>
      <w:r w:rsidR="004B5AC3">
        <w:rPr>
          <w:rFonts w:ascii="Times New Roman" w:hAnsi="Times New Roman" w:cs="Times New Roman"/>
          <w:sz w:val="24"/>
          <w:szCs w:val="24"/>
        </w:rPr>
        <w:t>3</w:t>
      </w:r>
    </w:p>
    <w:p w:rsidR="005941E1" w:rsidRPr="0086668E" w:rsidRDefault="00AD6EF8" w:rsidP="001F7349">
      <w:pPr>
        <w:pStyle w:val="Heading"/>
        <w:tabs>
          <w:tab w:val="left" w:pos="360"/>
        </w:tabs>
        <w:spacing w:before="0" w:after="240"/>
        <w:ind w:left="-360"/>
        <w:jc w:val="center"/>
        <w:rPr>
          <w:rFonts w:ascii="Times New Roman" w:hAnsi="Times New Roman" w:cs="Times New Roman"/>
          <w:sz w:val="24"/>
          <w:szCs w:val="24"/>
          <w:u w:val="single"/>
        </w:rPr>
      </w:pPr>
      <w:bookmarkStart w:id="1" w:name="bkStart"/>
      <w:bookmarkEnd w:id="1"/>
      <w:r w:rsidRPr="0086668E">
        <w:rPr>
          <w:rFonts w:ascii="Times New Roman" w:hAnsi="Times New Roman" w:cs="Times New Roman"/>
          <w:sz w:val="24"/>
          <w:szCs w:val="24"/>
          <w:u w:val="single"/>
        </w:rPr>
        <w:t>EXPLANATORY STATEMENT</w:t>
      </w:r>
    </w:p>
    <w:p w:rsidR="00102F9E" w:rsidRPr="0086668E" w:rsidRDefault="00AD6EF8" w:rsidP="005131F0">
      <w:pPr>
        <w:pStyle w:val="Heading"/>
        <w:spacing w:before="0" w:after="240"/>
        <w:jc w:val="center"/>
        <w:rPr>
          <w:rFonts w:ascii="Times New Roman" w:hAnsi="Times New Roman" w:cs="Times New Roman"/>
          <w:sz w:val="24"/>
          <w:szCs w:val="24"/>
        </w:rPr>
      </w:pPr>
      <w:r w:rsidRPr="0086668E">
        <w:rPr>
          <w:rFonts w:ascii="Times New Roman" w:hAnsi="Times New Roman" w:cs="Times New Roman"/>
          <w:sz w:val="24"/>
          <w:szCs w:val="24"/>
        </w:rPr>
        <w:t>Prepared by the Australian Prudential Regulation Authority</w:t>
      </w:r>
      <w:r w:rsidR="00796F5A" w:rsidRPr="0086668E">
        <w:rPr>
          <w:rFonts w:ascii="Times New Roman" w:hAnsi="Times New Roman" w:cs="Times New Roman"/>
          <w:sz w:val="24"/>
          <w:szCs w:val="24"/>
        </w:rPr>
        <w:t xml:space="preserve"> (APRA)</w:t>
      </w:r>
    </w:p>
    <w:p w:rsidR="00746F83" w:rsidRPr="0086668E" w:rsidRDefault="00AD6EF8" w:rsidP="009D1F0D">
      <w:pPr>
        <w:spacing w:after="240"/>
        <w:jc w:val="center"/>
        <w:rPr>
          <w:rFonts w:ascii="Times New Roman" w:hAnsi="Times New Roman"/>
          <w:sz w:val="24"/>
        </w:rPr>
      </w:pPr>
      <w:bookmarkStart w:id="2" w:name="bkAct"/>
      <w:bookmarkStart w:id="3" w:name="bkExplanatory"/>
      <w:bookmarkEnd w:id="2"/>
      <w:bookmarkEnd w:id="3"/>
      <w:r w:rsidRPr="0086668E">
        <w:rPr>
          <w:rFonts w:ascii="Times New Roman" w:hAnsi="Times New Roman"/>
          <w:i/>
          <w:sz w:val="24"/>
        </w:rPr>
        <w:t>Financial Sector (Collection of Data) Act 2001</w:t>
      </w:r>
      <w:r w:rsidRPr="0086668E">
        <w:rPr>
          <w:rFonts w:ascii="Times New Roman" w:hAnsi="Times New Roman"/>
          <w:sz w:val="24"/>
        </w:rPr>
        <w:t xml:space="preserve">, </w:t>
      </w:r>
      <w:r w:rsidR="00796F5A" w:rsidRPr="0086668E">
        <w:rPr>
          <w:rFonts w:ascii="Times New Roman" w:hAnsi="Times New Roman"/>
          <w:sz w:val="24"/>
        </w:rPr>
        <w:t>subsections</w:t>
      </w:r>
      <w:r w:rsidRPr="0086668E">
        <w:rPr>
          <w:rFonts w:ascii="Times New Roman" w:hAnsi="Times New Roman"/>
          <w:sz w:val="24"/>
        </w:rPr>
        <w:t xml:space="preserve"> 13(1) and 15</w:t>
      </w:r>
      <w:r w:rsidR="00796F5A" w:rsidRPr="0086668E">
        <w:rPr>
          <w:rFonts w:ascii="Times New Roman" w:hAnsi="Times New Roman"/>
          <w:sz w:val="24"/>
        </w:rPr>
        <w:t>(1)</w:t>
      </w:r>
      <w:r w:rsidRPr="0086668E">
        <w:rPr>
          <w:rFonts w:ascii="Times New Roman" w:hAnsi="Times New Roman"/>
          <w:sz w:val="24"/>
        </w:rPr>
        <w:br/>
      </w:r>
      <w:r w:rsidRPr="0086668E">
        <w:rPr>
          <w:rFonts w:ascii="Times New Roman" w:hAnsi="Times New Roman"/>
          <w:i/>
          <w:sz w:val="24"/>
        </w:rPr>
        <w:t>Acts Interpretation Act 1901</w:t>
      </w:r>
      <w:r w:rsidRPr="0086668E">
        <w:rPr>
          <w:rFonts w:ascii="Times New Roman" w:hAnsi="Times New Roman"/>
          <w:sz w:val="24"/>
        </w:rPr>
        <w:t>, subsection 33(3)</w:t>
      </w:r>
    </w:p>
    <w:p w:rsidR="00B067E0" w:rsidRPr="0086668E" w:rsidRDefault="00796F5A" w:rsidP="005131F0">
      <w:pPr>
        <w:spacing w:after="240"/>
        <w:jc w:val="both"/>
        <w:rPr>
          <w:rFonts w:ascii="Times New Roman" w:hAnsi="Times New Roman"/>
          <w:sz w:val="24"/>
        </w:rPr>
      </w:pPr>
      <w:r w:rsidRPr="0086668E">
        <w:rPr>
          <w:rFonts w:ascii="Times New Roman" w:hAnsi="Times New Roman"/>
          <w:sz w:val="24"/>
        </w:rPr>
        <w:t>Under</w:t>
      </w:r>
      <w:r w:rsidR="00AD6EF8" w:rsidRPr="0086668E">
        <w:rPr>
          <w:rFonts w:ascii="Times New Roman" w:hAnsi="Times New Roman"/>
          <w:sz w:val="24"/>
        </w:rPr>
        <w:t xml:space="preserve"> paragraph 13(1)(a) of the </w:t>
      </w:r>
      <w:r w:rsidR="00AD6EF8" w:rsidRPr="0086668E">
        <w:rPr>
          <w:rFonts w:ascii="Times New Roman" w:hAnsi="Times New Roman"/>
          <w:i/>
          <w:sz w:val="24"/>
        </w:rPr>
        <w:t xml:space="preserve">Financial Sector (Collection of Data) Act 2001 </w:t>
      </w:r>
      <w:r w:rsidR="00AD6EF8" w:rsidRPr="0086668E">
        <w:rPr>
          <w:rFonts w:ascii="Times New Roman" w:hAnsi="Times New Roman"/>
          <w:sz w:val="24"/>
        </w:rPr>
        <w:t xml:space="preserve">(FSCODA), APRA </w:t>
      </w:r>
      <w:r w:rsidRPr="0086668E">
        <w:rPr>
          <w:rFonts w:ascii="Times New Roman" w:hAnsi="Times New Roman"/>
          <w:sz w:val="24"/>
        </w:rPr>
        <w:t>has the power to</w:t>
      </w:r>
      <w:r w:rsidR="00AD6EF8" w:rsidRPr="0086668E">
        <w:rPr>
          <w:rFonts w:ascii="Times New Roman" w:hAnsi="Times New Roman"/>
          <w:sz w:val="24"/>
        </w:rPr>
        <w:t xml:space="preserve"> determine reporting standards</w:t>
      </w:r>
      <w:r w:rsidRPr="0086668E">
        <w:rPr>
          <w:rFonts w:ascii="Times New Roman" w:hAnsi="Times New Roman"/>
          <w:sz w:val="24"/>
        </w:rPr>
        <w:t>, in writing,</w:t>
      </w:r>
      <w:r w:rsidR="00AD6EF8" w:rsidRPr="0086668E">
        <w:rPr>
          <w:rFonts w:ascii="Times New Roman" w:hAnsi="Times New Roman"/>
          <w:sz w:val="24"/>
        </w:rPr>
        <w:t xml:space="preserve"> with which financial sector entities must comply. Such standards relate to reporting financial or accounting data and other information regarding the business or activities of the entities.  S</w:t>
      </w:r>
      <w:r w:rsidRPr="0086668E">
        <w:rPr>
          <w:rFonts w:ascii="Times New Roman" w:hAnsi="Times New Roman"/>
          <w:sz w:val="24"/>
        </w:rPr>
        <w:t>ubs</w:t>
      </w:r>
      <w:r w:rsidR="00AD6EF8" w:rsidRPr="0086668E">
        <w:rPr>
          <w:rFonts w:ascii="Times New Roman" w:hAnsi="Times New Roman"/>
          <w:sz w:val="24"/>
        </w:rPr>
        <w:t>ection 15</w:t>
      </w:r>
      <w:r w:rsidRPr="0086668E">
        <w:rPr>
          <w:rFonts w:ascii="Times New Roman" w:hAnsi="Times New Roman"/>
          <w:sz w:val="24"/>
        </w:rPr>
        <w:t>(1)</w:t>
      </w:r>
      <w:r w:rsidR="00AD6EF8" w:rsidRPr="0086668E">
        <w:rPr>
          <w:rFonts w:ascii="Times New Roman" w:hAnsi="Times New Roman"/>
          <w:sz w:val="24"/>
        </w:rPr>
        <w:t xml:space="preserve"> of FSCODA </w:t>
      </w:r>
      <w:r w:rsidRPr="0086668E">
        <w:rPr>
          <w:rFonts w:ascii="Times New Roman" w:hAnsi="Times New Roman"/>
          <w:sz w:val="24"/>
        </w:rPr>
        <w:t>provides that</w:t>
      </w:r>
      <w:r w:rsidR="00AD6EF8" w:rsidRPr="0086668E">
        <w:rPr>
          <w:rFonts w:ascii="Times New Roman" w:hAnsi="Times New Roman"/>
          <w:sz w:val="24"/>
        </w:rPr>
        <w:t xml:space="preserve"> APRA </w:t>
      </w:r>
      <w:r w:rsidRPr="0086668E">
        <w:rPr>
          <w:rFonts w:ascii="Times New Roman" w:hAnsi="Times New Roman"/>
          <w:sz w:val="24"/>
        </w:rPr>
        <w:t>may</w:t>
      </w:r>
      <w:r w:rsidR="00AD6EF8" w:rsidRPr="0086668E">
        <w:rPr>
          <w:rFonts w:ascii="Times New Roman" w:hAnsi="Times New Roman"/>
          <w:sz w:val="24"/>
        </w:rPr>
        <w:t xml:space="preserve"> declar</w:t>
      </w:r>
      <w:r w:rsidRPr="0086668E">
        <w:rPr>
          <w:rFonts w:ascii="Times New Roman" w:hAnsi="Times New Roman"/>
          <w:sz w:val="24"/>
        </w:rPr>
        <w:t>e a</w:t>
      </w:r>
      <w:r w:rsidR="00AD6EF8" w:rsidRPr="0086668E">
        <w:rPr>
          <w:rFonts w:ascii="Times New Roman" w:hAnsi="Times New Roman"/>
          <w:sz w:val="24"/>
        </w:rPr>
        <w:t xml:space="preserve"> date </w:t>
      </w:r>
      <w:r w:rsidRPr="0086668E">
        <w:rPr>
          <w:rFonts w:ascii="Times New Roman" w:hAnsi="Times New Roman"/>
          <w:sz w:val="24"/>
        </w:rPr>
        <w:t>on and after which</w:t>
      </w:r>
      <w:r w:rsidR="00AD6EF8" w:rsidRPr="0086668E">
        <w:rPr>
          <w:rFonts w:ascii="Times New Roman" w:hAnsi="Times New Roman"/>
          <w:sz w:val="24"/>
        </w:rPr>
        <w:t xml:space="preserve"> reporting standards </w:t>
      </w:r>
      <w:r w:rsidRPr="0086668E">
        <w:rPr>
          <w:rFonts w:ascii="Times New Roman" w:hAnsi="Times New Roman"/>
          <w:sz w:val="24"/>
        </w:rPr>
        <w:t>are</w:t>
      </w:r>
      <w:r w:rsidR="00AD6EF8" w:rsidRPr="0086668E">
        <w:rPr>
          <w:rFonts w:ascii="Times New Roman" w:hAnsi="Times New Roman"/>
          <w:sz w:val="24"/>
        </w:rPr>
        <w:t xml:space="preserve"> to apply. </w:t>
      </w:r>
    </w:p>
    <w:p w:rsidR="001F7349" w:rsidRPr="0086668E" w:rsidRDefault="00AD6EF8" w:rsidP="005131F0">
      <w:pPr>
        <w:spacing w:after="240"/>
        <w:jc w:val="both"/>
        <w:rPr>
          <w:rFonts w:ascii="Times New Roman" w:hAnsi="Times New Roman"/>
          <w:sz w:val="24"/>
        </w:rPr>
      </w:pPr>
      <w:r w:rsidRPr="0086668E">
        <w:rPr>
          <w:rFonts w:ascii="Times New Roman" w:hAnsi="Times New Roman"/>
          <w:sz w:val="24"/>
        </w:rPr>
        <w:t xml:space="preserve">Subsection 33(3) of the </w:t>
      </w:r>
      <w:r w:rsidRPr="0086668E">
        <w:rPr>
          <w:rFonts w:ascii="Times New Roman" w:hAnsi="Times New Roman"/>
          <w:i/>
          <w:sz w:val="24"/>
        </w:rPr>
        <w:t>Acts Interpretation Act</w:t>
      </w:r>
      <w:r w:rsidRPr="0086668E">
        <w:rPr>
          <w:rFonts w:ascii="Times New Roman" w:hAnsi="Times New Roman"/>
          <w:sz w:val="24"/>
        </w:rPr>
        <w:t xml:space="preserve"> </w:t>
      </w:r>
      <w:r w:rsidRPr="0086668E">
        <w:rPr>
          <w:rFonts w:ascii="Times New Roman" w:hAnsi="Times New Roman"/>
          <w:i/>
          <w:sz w:val="24"/>
        </w:rPr>
        <w:t>1901</w:t>
      </w:r>
      <w:r w:rsidRPr="0086668E">
        <w:rPr>
          <w:rFonts w:ascii="Times New Roman" w:hAnsi="Times New Roman"/>
          <w:sz w:val="24"/>
        </w:rPr>
        <w:t xml:space="preserve"> provides that where an Act confers a power to issue an instrument the power shall, unless the contrary intention appears, be construed as including a power exercisable in the like manner and subject to the like conditions (if any) to revoke </w:t>
      </w:r>
      <w:r w:rsidR="0086668E" w:rsidRPr="0086668E">
        <w:rPr>
          <w:rFonts w:ascii="Times New Roman" w:hAnsi="Times New Roman"/>
          <w:sz w:val="24"/>
        </w:rPr>
        <w:t xml:space="preserve">and </w:t>
      </w:r>
      <w:r w:rsidRPr="0086668E">
        <w:rPr>
          <w:rFonts w:ascii="Times New Roman" w:hAnsi="Times New Roman"/>
          <w:sz w:val="24"/>
        </w:rPr>
        <w:t xml:space="preserve">vary any such instrument. </w:t>
      </w:r>
    </w:p>
    <w:p w:rsidR="00796F5A" w:rsidRPr="0086668E" w:rsidRDefault="00796F5A" w:rsidP="00796F5A">
      <w:pPr>
        <w:spacing w:after="240"/>
        <w:jc w:val="both"/>
        <w:rPr>
          <w:rFonts w:ascii="Times New Roman" w:hAnsi="Times New Roman"/>
          <w:sz w:val="24"/>
          <w:lang w:eastAsia="en-AU"/>
        </w:rPr>
      </w:pPr>
      <w:r w:rsidRPr="0086668E">
        <w:rPr>
          <w:rFonts w:ascii="Times New Roman" w:hAnsi="Times New Roman"/>
          <w:sz w:val="24"/>
          <w:lang w:eastAsia="en-AU"/>
        </w:rPr>
        <w:t xml:space="preserve">On 20 December 2012, APRA made the following determinations (the instruments) under </w:t>
      </w:r>
      <w:r w:rsidRPr="0086668E">
        <w:rPr>
          <w:rFonts w:ascii="Times New Roman" w:hAnsi="Times New Roman"/>
          <w:sz w:val="24"/>
        </w:rPr>
        <w:t>the relevant provisions of the FSCODA and Acts Interpretation Act for life companies</w:t>
      </w:r>
      <w:r w:rsidRPr="0086668E">
        <w:rPr>
          <w:rFonts w:ascii="Times New Roman" w:hAnsi="Times New Roman"/>
          <w:sz w:val="24"/>
          <w:lang w:eastAsia="en-AU"/>
        </w:rPr>
        <w:t>:</w:t>
      </w:r>
    </w:p>
    <w:p w:rsidR="00796F5A" w:rsidRPr="0086668E" w:rsidRDefault="00796F5A" w:rsidP="00796F5A">
      <w:pPr>
        <w:pStyle w:val="ListParagraph"/>
        <w:numPr>
          <w:ilvl w:val="0"/>
          <w:numId w:val="18"/>
        </w:numPr>
        <w:spacing w:after="240"/>
        <w:ind w:left="567" w:hanging="567"/>
        <w:jc w:val="both"/>
        <w:rPr>
          <w:sz w:val="24"/>
          <w:szCs w:val="24"/>
        </w:rPr>
      </w:pPr>
      <w:r w:rsidRPr="0086668E">
        <w:rPr>
          <w:sz w:val="24"/>
          <w:szCs w:val="24"/>
        </w:rPr>
        <w:t xml:space="preserve">Financial Sector (Collection of Data) (reporting standard) determination No. 42 of 2013, which makes </w:t>
      </w:r>
      <w:r w:rsidRPr="0086668E">
        <w:rPr>
          <w:i/>
          <w:sz w:val="24"/>
          <w:szCs w:val="24"/>
        </w:rPr>
        <w:t>Reporting Standard LRS 001 Reporting Requirements</w:t>
      </w:r>
      <w:r w:rsidRPr="0086668E">
        <w:rPr>
          <w:sz w:val="24"/>
          <w:szCs w:val="24"/>
        </w:rPr>
        <w:t>;</w:t>
      </w:r>
    </w:p>
    <w:p w:rsidR="00796F5A" w:rsidRPr="0086668E" w:rsidRDefault="00796F5A" w:rsidP="00796F5A">
      <w:pPr>
        <w:pStyle w:val="ListParagraph"/>
        <w:numPr>
          <w:ilvl w:val="0"/>
          <w:numId w:val="18"/>
        </w:numPr>
        <w:spacing w:after="240"/>
        <w:ind w:left="567" w:hanging="567"/>
        <w:jc w:val="both"/>
        <w:rPr>
          <w:sz w:val="24"/>
          <w:szCs w:val="24"/>
        </w:rPr>
      </w:pPr>
      <w:r w:rsidRPr="0086668E">
        <w:rPr>
          <w:sz w:val="24"/>
          <w:szCs w:val="24"/>
        </w:rPr>
        <w:t xml:space="preserve">Financial Sector (Collection of Data) (reporting standard) determination No. 43 of 2013, which revokes </w:t>
      </w:r>
      <w:r w:rsidRPr="0086668E">
        <w:rPr>
          <w:i/>
          <w:sz w:val="24"/>
          <w:szCs w:val="24"/>
        </w:rPr>
        <w:t xml:space="preserve">Reporting Standard LRS 110.0 Capital Adequacy </w:t>
      </w:r>
      <w:r w:rsidRPr="0086668E">
        <w:rPr>
          <w:sz w:val="24"/>
          <w:szCs w:val="24"/>
        </w:rPr>
        <w:t>made on 17 July 2009</w:t>
      </w:r>
      <w:r w:rsidR="002B7815" w:rsidRPr="0086668E">
        <w:rPr>
          <w:sz w:val="24"/>
          <w:szCs w:val="24"/>
        </w:rPr>
        <w:t xml:space="preserve"> </w:t>
      </w:r>
      <w:r w:rsidRPr="0086668E">
        <w:rPr>
          <w:sz w:val="24"/>
          <w:szCs w:val="24"/>
        </w:rPr>
        <w:t xml:space="preserve">and </w:t>
      </w:r>
      <w:r w:rsidR="00475D94" w:rsidRPr="0086668E">
        <w:rPr>
          <w:sz w:val="24"/>
          <w:szCs w:val="24"/>
        </w:rPr>
        <w:t>makes</w:t>
      </w:r>
      <w:r w:rsidRPr="0086668E">
        <w:rPr>
          <w:sz w:val="24"/>
          <w:szCs w:val="24"/>
        </w:rPr>
        <w:t xml:space="preserve"> a new </w:t>
      </w:r>
      <w:r w:rsidRPr="0086668E">
        <w:rPr>
          <w:i/>
          <w:sz w:val="24"/>
          <w:szCs w:val="24"/>
        </w:rPr>
        <w:t>Reporting Standard LRS 110.1 Prescribed Capital Amount</w:t>
      </w:r>
      <w:r w:rsidRPr="0086668E">
        <w:rPr>
          <w:sz w:val="24"/>
          <w:szCs w:val="24"/>
        </w:rPr>
        <w:t>;</w:t>
      </w:r>
    </w:p>
    <w:p w:rsidR="00796F5A" w:rsidRPr="0086668E" w:rsidRDefault="00796F5A" w:rsidP="00796F5A">
      <w:pPr>
        <w:pStyle w:val="ListParagraph"/>
        <w:numPr>
          <w:ilvl w:val="0"/>
          <w:numId w:val="18"/>
        </w:numPr>
        <w:spacing w:after="240"/>
        <w:ind w:left="567" w:hanging="567"/>
        <w:jc w:val="both"/>
        <w:rPr>
          <w:sz w:val="24"/>
          <w:szCs w:val="24"/>
        </w:rPr>
      </w:pPr>
      <w:r w:rsidRPr="0086668E">
        <w:rPr>
          <w:sz w:val="24"/>
          <w:szCs w:val="24"/>
        </w:rPr>
        <w:t xml:space="preserve">Financial Sector (Collection of Data) (reporting standard) determination No. 44 of 2013, which makes </w:t>
      </w:r>
      <w:r w:rsidRPr="0086668E">
        <w:rPr>
          <w:i/>
          <w:sz w:val="24"/>
          <w:szCs w:val="24"/>
        </w:rPr>
        <w:t>Reporting Standard LRS 112.0 Determination of Capital Base</w:t>
      </w:r>
      <w:r w:rsidRPr="0086668E">
        <w:rPr>
          <w:sz w:val="24"/>
          <w:szCs w:val="24"/>
        </w:rPr>
        <w:t>;</w:t>
      </w:r>
    </w:p>
    <w:p w:rsidR="00796F5A" w:rsidRPr="0086668E" w:rsidRDefault="00796F5A" w:rsidP="00796F5A">
      <w:pPr>
        <w:pStyle w:val="ListParagraph"/>
        <w:numPr>
          <w:ilvl w:val="0"/>
          <w:numId w:val="18"/>
        </w:numPr>
        <w:spacing w:after="240"/>
        <w:ind w:left="567" w:hanging="567"/>
        <w:jc w:val="both"/>
        <w:rPr>
          <w:sz w:val="24"/>
          <w:szCs w:val="24"/>
        </w:rPr>
      </w:pPr>
      <w:r w:rsidRPr="0086668E">
        <w:rPr>
          <w:sz w:val="24"/>
          <w:szCs w:val="24"/>
        </w:rPr>
        <w:t xml:space="preserve">Financial Sector (Collection of Data) (reporting standard) determination No. 45 of 2013, which makes </w:t>
      </w:r>
      <w:r w:rsidRPr="0086668E">
        <w:rPr>
          <w:i/>
          <w:sz w:val="24"/>
          <w:szCs w:val="24"/>
        </w:rPr>
        <w:t>Reporting Standard LRS 112.3 Related Party Exposures</w:t>
      </w:r>
      <w:r w:rsidRPr="0086668E">
        <w:rPr>
          <w:sz w:val="24"/>
          <w:szCs w:val="24"/>
        </w:rPr>
        <w:t>;</w:t>
      </w:r>
    </w:p>
    <w:p w:rsidR="00796F5A" w:rsidRPr="0086668E" w:rsidRDefault="00796F5A" w:rsidP="00796F5A">
      <w:pPr>
        <w:pStyle w:val="ListParagraph"/>
        <w:numPr>
          <w:ilvl w:val="0"/>
          <w:numId w:val="18"/>
        </w:numPr>
        <w:spacing w:after="240"/>
        <w:ind w:left="567" w:hanging="567"/>
        <w:jc w:val="both"/>
        <w:rPr>
          <w:sz w:val="24"/>
          <w:szCs w:val="24"/>
        </w:rPr>
      </w:pPr>
      <w:r w:rsidRPr="0086668E">
        <w:rPr>
          <w:sz w:val="24"/>
          <w:szCs w:val="24"/>
        </w:rPr>
        <w:t xml:space="preserve">Financial Sector (Collection of Data) (reporting standard) determination No. 46 of 2013, which makes </w:t>
      </w:r>
      <w:r w:rsidRPr="0086668E">
        <w:rPr>
          <w:i/>
          <w:sz w:val="24"/>
          <w:szCs w:val="24"/>
        </w:rPr>
        <w:t>Reporting Standard LRS 114.0 Asset Risk Charge</w:t>
      </w:r>
      <w:r w:rsidRPr="0086668E">
        <w:rPr>
          <w:sz w:val="24"/>
          <w:szCs w:val="24"/>
        </w:rPr>
        <w:t>;</w:t>
      </w:r>
    </w:p>
    <w:p w:rsidR="00796F5A" w:rsidRPr="0086668E" w:rsidRDefault="00796F5A" w:rsidP="00796F5A">
      <w:pPr>
        <w:pStyle w:val="ListParagraph"/>
        <w:numPr>
          <w:ilvl w:val="0"/>
          <w:numId w:val="18"/>
        </w:numPr>
        <w:spacing w:after="240"/>
        <w:ind w:left="567" w:hanging="567"/>
        <w:jc w:val="both"/>
        <w:rPr>
          <w:sz w:val="24"/>
          <w:szCs w:val="24"/>
        </w:rPr>
      </w:pPr>
      <w:r w:rsidRPr="0086668E">
        <w:rPr>
          <w:sz w:val="24"/>
          <w:szCs w:val="24"/>
        </w:rPr>
        <w:t xml:space="preserve">Financial Sector (Collection of Data) (reporting standard) determination No. 47 of 2013, which makes </w:t>
      </w:r>
      <w:r w:rsidRPr="0086668E">
        <w:rPr>
          <w:i/>
          <w:sz w:val="24"/>
          <w:szCs w:val="24"/>
        </w:rPr>
        <w:t>Reporting Standard LRS 114.2 Derivatives Activity</w:t>
      </w:r>
      <w:r w:rsidRPr="0086668E">
        <w:rPr>
          <w:sz w:val="24"/>
          <w:szCs w:val="24"/>
        </w:rPr>
        <w:t>;</w:t>
      </w:r>
    </w:p>
    <w:p w:rsidR="00796F5A" w:rsidRPr="0086668E" w:rsidRDefault="00796F5A" w:rsidP="00796F5A">
      <w:pPr>
        <w:pStyle w:val="ListParagraph"/>
        <w:numPr>
          <w:ilvl w:val="0"/>
          <w:numId w:val="18"/>
        </w:numPr>
        <w:spacing w:after="240"/>
        <w:ind w:left="567" w:hanging="567"/>
        <w:jc w:val="both"/>
        <w:rPr>
          <w:sz w:val="24"/>
          <w:szCs w:val="24"/>
        </w:rPr>
      </w:pPr>
      <w:r w:rsidRPr="0086668E">
        <w:rPr>
          <w:sz w:val="24"/>
          <w:szCs w:val="24"/>
        </w:rPr>
        <w:t xml:space="preserve">Financial Sector (Collection of Data) (reporting standard) determination No. 48 of 2013, which makes </w:t>
      </w:r>
      <w:r w:rsidRPr="0086668E">
        <w:rPr>
          <w:i/>
          <w:sz w:val="24"/>
          <w:szCs w:val="24"/>
        </w:rPr>
        <w:t>Reporting Standard LRS 114.3 Off-balance Sheet Business</w:t>
      </w:r>
      <w:r w:rsidRPr="0086668E">
        <w:rPr>
          <w:sz w:val="24"/>
          <w:szCs w:val="24"/>
        </w:rPr>
        <w:t>;</w:t>
      </w:r>
    </w:p>
    <w:p w:rsidR="00796F5A" w:rsidRPr="0086668E" w:rsidRDefault="00796F5A" w:rsidP="00796F5A">
      <w:pPr>
        <w:pStyle w:val="ListParagraph"/>
        <w:numPr>
          <w:ilvl w:val="0"/>
          <w:numId w:val="18"/>
        </w:numPr>
        <w:spacing w:after="240"/>
        <w:ind w:left="567" w:hanging="567"/>
        <w:jc w:val="both"/>
        <w:rPr>
          <w:sz w:val="24"/>
          <w:szCs w:val="24"/>
        </w:rPr>
      </w:pPr>
      <w:r w:rsidRPr="0086668E">
        <w:rPr>
          <w:sz w:val="24"/>
          <w:szCs w:val="24"/>
        </w:rPr>
        <w:lastRenderedPageBreak/>
        <w:t xml:space="preserve">Financial Sector (Collection of Data) (reporting standard) determination No. 49 of 2013, which makes </w:t>
      </w:r>
      <w:r w:rsidRPr="0086668E">
        <w:rPr>
          <w:i/>
          <w:sz w:val="24"/>
          <w:szCs w:val="24"/>
        </w:rPr>
        <w:t>Reporting Standard LRS 115.0 Insurance Risk Charge</w:t>
      </w:r>
      <w:r w:rsidRPr="0086668E">
        <w:rPr>
          <w:sz w:val="24"/>
          <w:szCs w:val="24"/>
        </w:rPr>
        <w:t>;</w:t>
      </w:r>
    </w:p>
    <w:p w:rsidR="00796F5A" w:rsidRPr="0086668E" w:rsidRDefault="00796F5A" w:rsidP="00796F5A">
      <w:pPr>
        <w:pStyle w:val="ListParagraph"/>
        <w:numPr>
          <w:ilvl w:val="0"/>
          <w:numId w:val="18"/>
        </w:numPr>
        <w:spacing w:after="240"/>
        <w:ind w:left="567" w:hanging="567"/>
        <w:jc w:val="both"/>
        <w:rPr>
          <w:sz w:val="24"/>
          <w:szCs w:val="24"/>
        </w:rPr>
      </w:pPr>
      <w:r w:rsidRPr="0086668E">
        <w:rPr>
          <w:sz w:val="24"/>
          <w:szCs w:val="24"/>
        </w:rPr>
        <w:t xml:space="preserve">Financial Sector (Collection of Data) (reporting standard) determination No. 50 of 2013, which makes </w:t>
      </w:r>
      <w:r w:rsidRPr="0086668E">
        <w:rPr>
          <w:i/>
          <w:sz w:val="24"/>
          <w:szCs w:val="24"/>
        </w:rPr>
        <w:t>Reporting Standard LRS 117.0 Asset Concentration Risk Charge</w:t>
      </w:r>
      <w:r w:rsidRPr="0086668E">
        <w:rPr>
          <w:sz w:val="24"/>
          <w:szCs w:val="24"/>
        </w:rPr>
        <w:t>;</w:t>
      </w:r>
    </w:p>
    <w:p w:rsidR="00796F5A" w:rsidRPr="0086668E" w:rsidRDefault="00796F5A" w:rsidP="00796F5A">
      <w:pPr>
        <w:pStyle w:val="ListParagraph"/>
        <w:numPr>
          <w:ilvl w:val="0"/>
          <w:numId w:val="18"/>
        </w:numPr>
        <w:spacing w:after="240"/>
        <w:ind w:left="567" w:hanging="567"/>
        <w:jc w:val="both"/>
        <w:rPr>
          <w:sz w:val="24"/>
          <w:szCs w:val="24"/>
        </w:rPr>
      </w:pPr>
      <w:r w:rsidRPr="0086668E">
        <w:rPr>
          <w:sz w:val="24"/>
          <w:szCs w:val="24"/>
        </w:rPr>
        <w:t xml:space="preserve">Financial Sector (Collection of Data) (reporting standard) determination No. 51 of 2013, which makes </w:t>
      </w:r>
      <w:r w:rsidRPr="0086668E">
        <w:rPr>
          <w:i/>
          <w:sz w:val="24"/>
          <w:szCs w:val="24"/>
        </w:rPr>
        <w:t>Reporting Standard LRS 118.0 Operational Risk Charge</w:t>
      </w:r>
      <w:r w:rsidRPr="0086668E">
        <w:rPr>
          <w:sz w:val="24"/>
          <w:szCs w:val="24"/>
        </w:rPr>
        <w:t>;</w:t>
      </w:r>
    </w:p>
    <w:p w:rsidR="00796F5A" w:rsidRPr="0086668E" w:rsidRDefault="00796F5A" w:rsidP="00796F5A">
      <w:pPr>
        <w:pStyle w:val="ListParagraph"/>
        <w:numPr>
          <w:ilvl w:val="0"/>
          <w:numId w:val="18"/>
        </w:numPr>
        <w:spacing w:after="240"/>
        <w:ind w:left="567" w:hanging="567"/>
        <w:jc w:val="both"/>
        <w:rPr>
          <w:sz w:val="24"/>
          <w:szCs w:val="24"/>
        </w:rPr>
      </w:pPr>
      <w:r w:rsidRPr="0086668E">
        <w:rPr>
          <w:sz w:val="24"/>
          <w:szCs w:val="24"/>
        </w:rPr>
        <w:t xml:space="preserve">Financial Sector (Collection of Data) (reporting standard) determination No. 52 of 2013, which makes </w:t>
      </w:r>
      <w:r w:rsidRPr="0086668E">
        <w:rPr>
          <w:i/>
          <w:sz w:val="24"/>
          <w:szCs w:val="24"/>
        </w:rPr>
        <w:t>Reporting Standard LRS 200.0 Capital Adequacy Supplementary Information</w:t>
      </w:r>
      <w:r w:rsidRPr="0086668E">
        <w:rPr>
          <w:sz w:val="24"/>
          <w:szCs w:val="24"/>
        </w:rPr>
        <w:t>;</w:t>
      </w:r>
    </w:p>
    <w:p w:rsidR="00796F5A" w:rsidRPr="0086668E" w:rsidRDefault="00796F5A" w:rsidP="00796F5A">
      <w:pPr>
        <w:pStyle w:val="ListParagraph"/>
        <w:numPr>
          <w:ilvl w:val="0"/>
          <w:numId w:val="18"/>
        </w:numPr>
        <w:spacing w:after="240"/>
        <w:ind w:left="567" w:hanging="567"/>
        <w:jc w:val="both"/>
        <w:rPr>
          <w:sz w:val="24"/>
          <w:szCs w:val="24"/>
        </w:rPr>
      </w:pPr>
      <w:r w:rsidRPr="0086668E">
        <w:rPr>
          <w:sz w:val="24"/>
          <w:szCs w:val="24"/>
        </w:rPr>
        <w:t xml:space="preserve">Financial Sector (Collection of Data) (reporting standard) determination No. 53 of 2013, which revokes </w:t>
      </w:r>
      <w:r w:rsidRPr="0086668E">
        <w:rPr>
          <w:i/>
          <w:sz w:val="24"/>
          <w:szCs w:val="24"/>
        </w:rPr>
        <w:t xml:space="preserve">Reporting Standard LRS 300.0 Statement of Financial Position </w:t>
      </w:r>
      <w:r w:rsidRPr="0086668E">
        <w:rPr>
          <w:sz w:val="24"/>
          <w:szCs w:val="24"/>
        </w:rPr>
        <w:t xml:space="preserve">made on 17 July 2009 and </w:t>
      </w:r>
      <w:r w:rsidR="00475D94" w:rsidRPr="0086668E">
        <w:rPr>
          <w:sz w:val="24"/>
          <w:szCs w:val="24"/>
        </w:rPr>
        <w:t>makes</w:t>
      </w:r>
      <w:r w:rsidRPr="0086668E">
        <w:rPr>
          <w:sz w:val="24"/>
          <w:szCs w:val="24"/>
        </w:rPr>
        <w:t xml:space="preserve"> a new </w:t>
      </w:r>
      <w:r w:rsidRPr="0086668E">
        <w:rPr>
          <w:i/>
          <w:sz w:val="24"/>
          <w:szCs w:val="24"/>
        </w:rPr>
        <w:t>Reporting Standard LRS 300.0 Statement of Financial Position</w:t>
      </w:r>
      <w:r w:rsidRPr="0086668E">
        <w:rPr>
          <w:sz w:val="24"/>
          <w:szCs w:val="24"/>
        </w:rPr>
        <w:t>;</w:t>
      </w:r>
    </w:p>
    <w:p w:rsidR="00796F5A" w:rsidRPr="0086668E" w:rsidRDefault="00796F5A" w:rsidP="00796F5A">
      <w:pPr>
        <w:pStyle w:val="ListParagraph"/>
        <w:numPr>
          <w:ilvl w:val="0"/>
          <w:numId w:val="18"/>
        </w:numPr>
        <w:spacing w:after="240"/>
        <w:ind w:left="567" w:hanging="567"/>
        <w:jc w:val="both"/>
        <w:rPr>
          <w:sz w:val="24"/>
          <w:szCs w:val="24"/>
        </w:rPr>
      </w:pPr>
      <w:r w:rsidRPr="0086668E">
        <w:rPr>
          <w:sz w:val="24"/>
          <w:szCs w:val="24"/>
        </w:rPr>
        <w:t xml:space="preserve">Financial Sector (Collection of Data) (reporting standard) determination No. 54 of 2013, which revokes </w:t>
      </w:r>
      <w:r w:rsidRPr="0086668E">
        <w:rPr>
          <w:i/>
          <w:sz w:val="24"/>
          <w:szCs w:val="24"/>
        </w:rPr>
        <w:t xml:space="preserve">Reporting Standard LRS 310.0 Statement of Financial Performance </w:t>
      </w:r>
      <w:r w:rsidRPr="0086668E">
        <w:rPr>
          <w:sz w:val="24"/>
          <w:szCs w:val="24"/>
        </w:rPr>
        <w:t xml:space="preserve">made on 17 July 2009 and </w:t>
      </w:r>
      <w:r w:rsidR="00475D94" w:rsidRPr="0086668E">
        <w:rPr>
          <w:sz w:val="24"/>
          <w:szCs w:val="24"/>
        </w:rPr>
        <w:t>makes</w:t>
      </w:r>
      <w:r w:rsidRPr="0086668E">
        <w:rPr>
          <w:sz w:val="24"/>
          <w:szCs w:val="24"/>
        </w:rPr>
        <w:t xml:space="preserve"> a new </w:t>
      </w:r>
      <w:r w:rsidRPr="0086668E">
        <w:rPr>
          <w:i/>
          <w:sz w:val="24"/>
          <w:szCs w:val="24"/>
        </w:rPr>
        <w:t>Reporting Standard LRS 310.0 Income Statement</w:t>
      </w:r>
      <w:r w:rsidRPr="0086668E">
        <w:rPr>
          <w:sz w:val="24"/>
          <w:szCs w:val="24"/>
        </w:rPr>
        <w:t>;</w:t>
      </w:r>
    </w:p>
    <w:p w:rsidR="00796F5A" w:rsidRPr="0086668E" w:rsidRDefault="00796F5A" w:rsidP="00796F5A">
      <w:pPr>
        <w:pStyle w:val="ListParagraph"/>
        <w:numPr>
          <w:ilvl w:val="0"/>
          <w:numId w:val="18"/>
        </w:numPr>
        <w:spacing w:after="240"/>
        <w:ind w:left="567" w:hanging="567"/>
        <w:jc w:val="both"/>
        <w:rPr>
          <w:sz w:val="24"/>
          <w:szCs w:val="24"/>
        </w:rPr>
      </w:pPr>
      <w:r w:rsidRPr="0086668E">
        <w:rPr>
          <w:sz w:val="24"/>
          <w:szCs w:val="24"/>
        </w:rPr>
        <w:t xml:space="preserve">Financial Sector (Collection of Data) (reporting standard) determination No. 55 of 2013, which revokes </w:t>
      </w:r>
      <w:r w:rsidRPr="0086668E">
        <w:rPr>
          <w:i/>
          <w:sz w:val="24"/>
          <w:szCs w:val="24"/>
        </w:rPr>
        <w:t xml:space="preserve">Reporting Standard LRS 330.0 Summary of Revenue and Expenses </w:t>
      </w:r>
      <w:r w:rsidRPr="0086668E">
        <w:rPr>
          <w:sz w:val="24"/>
          <w:szCs w:val="24"/>
        </w:rPr>
        <w:t xml:space="preserve">made on 17 July 2009 and </w:t>
      </w:r>
      <w:r w:rsidR="00475D94" w:rsidRPr="0086668E">
        <w:rPr>
          <w:sz w:val="24"/>
          <w:szCs w:val="24"/>
        </w:rPr>
        <w:t>makes</w:t>
      </w:r>
      <w:r w:rsidRPr="0086668E">
        <w:rPr>
          <w:sz w:val="24"/>
          <w:szCs w:val="24"/>
        </w:rPr>
        <w:t xml:space="preserve"> a new </w:t>
      </w:r>
      <w:r w:rsidRPr="0086668E">
        <w:rPr>
          <w:i/>
          <w:sz w:val="24"/>
          <w:szCs w:val="24"/>
        </w:rPr>
        <w:t>Reporting Standard LRS 330.0 Summary of Revenue and Expenses</w:t>
      </w:r>
      <w:r w:rsidRPr="0086668E">
        <w:rPr>
          <w:sz w:val="24"/>
          <w:szCs w:val="24"/>
        </w:rPr>
        <w:t>;</w:t>
      </w:r>
    </w:p>
    <w:p w:rsidR="00796F5A" w:rsidRPr="0086668E" w:rsidRDefault="00796F5A" w:rsidP="00796F5A">
      <w:pPr>
        <w:pStyle w:val="ListParagraph"/>
        <w:numPr>
          <w:ilvl w:val="0"/>
          <w:numId w:val="18"/>
        </w:numPr>
        <w:spacing w:after="240"/>
        <w:ind w:left="567" w:hanging="567"/>
        <w:jc w:val="both"/>
        <w:rPr>
          <w:sz w:val="24"/>
          <w:szCs w:val="24"/>
        </w:rPr>
      </w:pPr>
      <w:r w:rsidRPr="0086668E">
        <w:rPr>
          <w:sz w:val="24"/>
          <w:szCs w:val="24"/>
        </w:rPr>
        <w:t xml:space="preserve">Financial Sector (Collection of Data) (reporting standard) determination No. 56 of 2013, which revokes </w:t>
      </w:r>
      <w:r w:rsidRPr="0086668E">
        <w:rPr>
          <w:i/>
          <w:sz w:val="24"/>
          <w:szCs w:val="24"/>
        </w:rPr>
        <w:t xml:space="preserve">Reporting Standard LRS 340.0 Retained Profits </w:t>
      </w:r>
      <w:r w:rsidRPr="0086668E">
        <w:rPr>
          <w:sz w:val="24"/>
          <w:szCs w:val="24"/>
        </w:rPr>
        <w:t xml:space="preserve">made on 17 July 2009 and </w:t>
      </w:r>
      <w:r w:rsidR="00475D94" w:rsidRPr="0086668E">
        <w:rPr>
          <w:sz w:val="24"/>
          <w:szCs w:val="24"/>
        </w:rPr>
        <w:t>makes</w:t>
      </w:r>
      <w:r w:rsidRPr="0086668E">
        <w:rPr>
          <w:sz w:val="24"/>
          <w:szCs w:val="24"/>
        </w:rPr>
        <w:t xml:space="preserve"> a new </w:t>
      </w:r>
      <w:r w:rsidRPr="0086668E">
        <w:rPr>
          <w:i/>
          <w:sz w:val="24"/>
          <w:szCs w:val="24"/>
        </w:rPr>
        <w:t>Reporting Standard LRS 340.0 Retained Profits</w:t>
      </w:r>
      <w:r w:rsidRPr="0086668E">
        <w:rPr>
          <w:sz w:val="24"/>
          <w:szCs w:val="24"/>
        </w:rPr>
        <w:t>;</w:t>
      </w:r>
    </w:p>
    <w:p w:rsidR="00796F5A" w:rsidRPr="0086668E" w:rsidRDefault="00796F5A" w:rsidP="00796F5A">
      <w:pPr>
        <w:pStyle w:val="ListParagraph"/>
        <w:numPr>
          <w:ilvl w:val="0"/>
          <w:numId w:val="18"/>
        </w:numPr>
        <w:spacing w:after="240"/>
        <w:ind w:left="567" w:hanging="567"/>
        <w:jc w:val="both"/>
        <w:rPr>
          <w:sz w:val="24"/>
          <w:szCs w:val="24"/>
        </w:rPr>
      </w:pPr>
      <w:r w:rsidRPr="0086668E">
        <w:rPr>
          <w:sz w:val="24"/>
          <w:szCs w:val="24"/>
        </w:rPr>
        <w:t xml:space="preserve">Financial Sector (Collection of Data) (reporting standard) determination No. 57 of 2013, which revokes </w:t>
      </w:r>
      <w:r w:rsidRPr="0086668E">
        <w:rPr>
          <w:i/>
          <w:sz w:val="24"/>
          <w:szCs w:val="24"/>
        </w:rPr>
        <w:t xml:space="preserve">Reporting Standard LRS 400.0 Statement of Policy Liabilities </w:t>
      </w:r>
      <w:r w:rsidRPr="0086668E">
        <w:rPr>
          <w:sz w:val="24"/>
          <w:szCs w:val="24"/>
        </w:rPr>
        <w:t xml:space="preserve">made on 17 July 2009 and </w:t>
      </w:r>
      <w:r w:rsidR="00475D94" w:rsidRPr="0086668E">
        <w:rPr>
          <w:sz w:val="24"/>
          <w:szCs w:val="24"/>
        </w:rPr>
        <w:t>makes</w:t>
      </w:r>
      <w:r w:rsidRPr="0086668E">
        <w:rPr>
          <w:sz w:val="24"/>
          <w:szCs w:val="24"/>
        </w:rPr>
        <w:t xml:space="preserve"> a new </w:t>
      </w:r>
      <w:r w:rsidRPr="0086668E">
        <w:rPr>
          <w:i/>
          <w:sz w:val="24"/>
          <w:szCs w:val="24"/>
        </w:rPr>
        <w:t>Reporting Standard LRS 400.0 Statement of Policy Liabilities</w:t>
      </w:r>
      <w:r w:rsidRPr="0086668E">
        <w:rPr>
          <w:sz w:val="24"/>
          <w:szCs w:val="24"/>
        </w:rPr>
        <w:t>;</w:t>
      </w:r>
    </w:p>
    <w:p w:rsidR="00796F5A" w:rsidRPr="0086668E" w:rsidRDefault="00796F5A" w:rsidP="00796F5A">
      <w:pPr>
        <w:pStyle w:val="ListParagraph"/>
        <w:numPr>
          <w:ilvl w:val="0"/>
          <w:numId w:val="18"/>
        </w:numPr>
        <w:spacing w:after="240"/>
        <w:ind w:left="567" w:hanging="567"/>
        <w:jc w:val="both"/>
        <w:rPr>
          <w:sz w:val="24"/>
          <w:szCs w:val="24"/>
        </w:rPr>
      </w:pPr>
      <w:r w:rsidRPr="0086668E">
        <w:rPr>
          <w:sz w:val="24"/>
          <w:szCs w:val="24"/>
        </w:rPr>
        <w:t xml:space="preserve">Financial Sector (Collection of Data) (reporting standard) determination No. 58 of 2013, which revokes </w:t>
      </w:r>
      <w:r w:rsidRPr="0086668E">
        <w:rPr>
          <w:i/>
          <w:sz w:val="24"/>
          <w:szCs w:val="24"/>
        </w:rPr>
        <w:t xml:space="preserve">Reporting Standard LRS 420.0 Assets Backing Policy Liabilities </w:t>
      </w:r>
      <w:r w:rsidRPr="0086668E">
        <w:rPr>
          <w:sz w:val="24"/>
          <w:szCs w:val="24"/>
        </w:rPr>
        <w:t xml:space="preserve">made on 17 July 2009 and </w:t>
      </w:r>
      <w:r w:rsidR="00475D94" w:rsidRPr="0086668E">
        <w:rPr>
          <w:sz w:val="24"/>
          <w:szCs w:val="24"/>
        </w:rPr>
        <w:t>makes</w:t>
      </w:r>
      <w:r w:rsidRPr="0086668E">
        <w:rPr>
          <w:sz w:val="24"/>
          <w:szCs w:val="24"/>
        </w:rPr>
        <w:t xml:space="preserve"> a new </w:t>
      </w:r>
      <w:r w:rsidRPr="0086668E">
        <w:rPr>
          <w:i/>
          <w:sz w:val="24"/>
          <w:szCs w:val="24"/>
        </w:rPr>
        <w:t>Reporting Standard LRS 420.0 Assets Backing Policy Liabilities</w:t>
      </w:r>
      <w:r w:rsidRPr="0086668E">
        <w:rPr>
          <w:sz w:val="24"/>
          <w:szCs w:val="24"/>
        </w:rPr>
        <w:t>;</w:t>
      </w:r>
    </w:p>
    <w:p w:rsidR="00796F5A" w:rsidRPr="0086668E" w:rsidRDefault="00796F5A" w:rsidP="00796F5A">
      <w:pPr>
        <w:pStyle w:val="ListParagraph"/>
        <w:numPr>
          <w:ilvl w:val="0"/>
          <w:numId w:val="18"/>
        </w:numPr>
        <w:spacing w:after="240"/>
        <w:ind w:left="567" w:hanging="567"/>
        <w:jc w:val="both"/>
        <w:rPr>
          <w:sz w:val="24"/>
          <w:szCs w:val="24"/>
        </w:rPr>
      </w:pPr>
      <w:r w:rsidRPr="0086668E">
        <w:rPr>
          <w:sz w:val="24"/>
          <w:szCs w:val="24"/>
        </w:rPr>
        <w:t xml:space="preserve">Financial Sector (Collection of Data) (reporting standard) determination No. 59 of 2013, which revokes </w:t>
      </w:r>
      <w:r w:rsidRPr="0086668E">
        <w:rPr>
          <w:i/>
          <w:sz w:val="24"/>
          <w:szCs w:val="24"/>
        </w:rPr>
        <w:t xml:space="preserve">Reporting Standard LRS 430.0 Sources of Profit </w:t>
      </w:r>
      <w:r w:rsidRPr="0086668E">
        <w:rPr>
          <w:sz w:val="24"/>
          <w:szCs w:val="24"/>
        </w:rPr>
        <w:t xml:space="preserve">made on 17 July 2009 and </w:t>
      </w:r>
      <w:r w:rsidR="00475D94" w:rsidRPr="0086668E">
        <w:rPr>
          <w:sz w:val="24"/>
          <w:szCs w:val="24"/>
        </w:rPr>
        <w:t>makes</w:t>
      </w:r>
      <w:r w:rsidRPr="0086668E">
        <w:rPr>
          <w:sz w:val="24"/>
          <w:szCs w:val="24"/>
        </w:rPr>
        <w:t xml:space="preserve"> a new </w:t>
      </w:r>
      <w:r w:rsidRPr="0086668E">
        <w:rPr>
          <w:i/>
          <w:sz w:val="24"/>
          <w:szCs w:val="24"/>
        </w:rPr>
        <w:t>Reporting Standard LRS 430.0 Sources of Profit</w:t>
      </w:r>
      <w:r w:rsidRPr="0086668E">
        <w:rPr>
          <w:sz w:val="24"/>
          <w:szCs w:val="24"/>
        </w:rPr>
        <w:t>;</w:t>
      </w:r>
    </w:p>
    <w:p w:rsidR="00796F5A" w:rsidRPr="0086668E" w:rsidRDefault="00796F5A" w:rsidP="00796F5A">
      <w:pPr>
        <w:pStyle w:val="ListParagraph"/>
        <w:numPr>
          <w:ilvl w:val="0"/>
          <w:numId w:val="18"/>
        </w:numPr>
        <w:spacing w:after="240"/>
        <w:ind w:left="567" w:hanging="567"/>
        <w:jc w:val="both"/>
        <w:rPr>
          <w:sz w:val="24"/>
          <w:szCs w:val="24"/>
        </w:rPr>
      </w:pPr>
      <w:r w:rsidRPr="0086668E">
        <w:rPr>
          <w:sz w:val="24"/>
          <w:szCs w:val="24"/>
        </w:rPr>
        <w:t>Financial Sector (Collection of Data) (reporting standard) determination No. 60 of 2013, which revokes the following reporting standards:</w:t>
      </w:r>
    </w:p>
    <w:p w:rsidR="00796F5A" w:rsidRPr="0086668E" w:rsidRDefault="00796F5A" w:rsidP="00796F5A">
      <w:pPr>
        <w:pStyle w:val="ListParagraph"/>
        <w:numPr>
          <w:ilvl w:val="1"/>
          <w:numId w:val="18"/>
        </w:numPr>
        <w:spacing w:after="240"/>
        <w:jc w:val="both"/>
        <w:rPr>
          <w:sz w:val="24"/>
          <w:szCs w:val="24"/>
        </w:rPr>
      </w:pPr>
      <w:r w:rsidRPr="0086668E">
        <w:rPr>
          <w:i/>
          <w:sz w:val="24"/>
          <w:szCs w:val="24"/>
        </w:rPr>
        <w:lastRenderedPageBreak/>
        <w:t xml:space="preserve">Reporting Standard LRS 100.0 Solvency </w:t>
      </w:r>
      <w:r w:rsidRPr="0086668E">
        <w:rPr>
          <w:sz w:val="24"/>
          <w:szCs w:val="24"/>
        </w:rPr>
        <w:t>made on 17 July 2009;</w:t>
      </w:r>
    </w:p>
    <w:p w:rsidR="00796F5A" w:rsidRPr="0086668E" w:rsidRDefault="00796F5A" w:rsidP="00796F5A">
      <w:pPr>
        <w:pStyle w:val="ListParagraph"/>
        <w:numPr>
          <w:ilvl w:val="1"/>
          <w:numId w:val="18"/>
        </w:numPr>
        <w:spacing w:after="240"/>
        <w:jc w:val="both"/>
        <w:rPr>
          <w:sz w:val="24"/>
          <w:szCs w:val="24"/>
        </w:rPr>
      </w:pPr>
      <w:r w:rsidRPr="0086668E">
        <w:rPr>
          <w:i/>
          <w:sz w:val="24"/>
          <w:szCs w:val="24"/>
          <w:lang w:val="en-AU"/>
        </w:rPr>
        <w:t xml:space="preserve">Reporting Standard LRS 120.0 Management Capital </w:t>
      </w:r>
      <w:r w:rsidRPr="0086668E">
        <w:rPr>
          <w:sz w:val="24"/>
          <w:szCs w:val="24"/>
          <w:lang w:val="en-AU"/>
        </w:rPr>
        <w:t>made on 17 July 2009;</w:t>
      </w:r>
    </w:p>
    <w:p w:rsidR="00796F5A" w:rsidRPr="0086668E" w:rsidRDefault="00796F5A" w:rsidP="00796F5A">
      <w:pPr>
        <w:pStyle w:val="ListParagraph"/>
        <w:numPr>
          <w:ilvl w:val="1"/>
          <w:numId w:val="18"/>
        </w:numPr>
        <w:spacing w:after="240"/>
        <w:jc w:val="both"/>
        <w:rPr>
          <w:sz w:val="24"/>
          <w:szCs w:val="24"/>
        </w:rPr>
      </w:pPr>
      <w:r w:rsidRPr="0086668E">
        <w:rPr>
          <w:i/>
          <w:sz w:val="24"/>
          <w:szCs w:val="24"/>
        </w:rPr>
        <w:t xml:space="preserve">Reporting Standard LRS 210.0 Derivatives, Commitments and Off-Balance Sheet Items </w:t>
      </w:r>
      <w:r w:rsidRPr="0086668E">
        <w:rPr>
          <w:sz w:val="24"/>
          <w:szCs w:val="24"/>
        </w:rPr>
        <w:t>made on 17 July 2009;</w:t>
      </w:r>
    </w:p>
    <w:p w:rsidR="00796F5A" w:rsidRPr="0086668E" w:rsidRDefault="00796F5A" w:rsidP="00796F5A">
      <w:pPr>
        <w:pStyle w:val="ListParagraph"/>
        <w:numPr>
          <w:ilvl w:val="1"/>
          <w:numId w:val="18"/>
        </w:numPr>
        <w:spacing w:after="240"/>
        <w:jc w:val="both"/>
        <w:rPr>
          <w:sz w:val="24"/>
          <w:szCs w:val="24"/>
        </w:rPr>
      </w:pPr>
      <w:r w:rsidRPr="0086668E">
        <w:rPr>
          <w:i/>
          <w:sz w:val="24"/>
          <w:szCs w:val="24"/>
        </w:rPr>
        <w:t xml:space="preserve">Reporting Standard LRS 220.0 Large Exposures </w:t>
      </w:r>
      <w:r w:rsidRPr="0086668E">
        <w:rPr>
          <w:sz w:val="24"/>
          <w:szCs w:val="24"/>
        </w:rPr>
        <w:t>made on 17 July 2009;</w:t>
      </w:r>
    </w:p>
    <w:p w:rsidR="00796F5A" w:rsidRPr="0086668E" w:rsidRDefault="00796F5A" w:rsidP="00796F5A">
      <w:pPr>
        <w:pStyle w:val="ListParagraph"/>
        <w:numPr>
          <w:ilvl w:val="1"/>
          <w:numId w:val="18"/>
        </w:numPr>
        <w:spacing w:after="240"/>
        <w:jc w:val="both"/>
        <w:rPr>
          <w:sz w:val="24"/>
          <w:szCs w:val="24"/>
        </w:rPr>
      </w:pPr>
      <w:r w:rsidRPr="0086668E">
        <w:rPr>
          <w:i/>
          <w:sz w:val="24"/>
          <w:szCs w:val="24"/>
        </w:rPr>
        <w:t xml:space="preserve">Reporting Standard LRS 410.0 Capital Measurement Statistics </w:t>
      </w:r>
      <w:r w:rsidRPr="0086668E">
        <w:rPr>
          <w:sz w:val="24"/>
          <w:szCs w:val="24"/>
        </w:rPr>
        <w:t>made on 17 July 2009; and</w:t>
      </w:r>
    </w:p>
    <w:p w:rsidR="00796F5A" w:rsidRPr="0086668E" w:rsidRDefault="00796F5A" w:rsidP="00796F5A">
      <w:pPr>
        <w:pStyle w:val="ListParagraph"/>
        <w:numPr>
          <w:ilvl w:val="1"/>
          <w:numId w:val="18"/>
        </w:numPr>
        <w:spacing w:after="240"/>
        <w:jc w:val="both"/>
        <w:rPr>
          <w:sz w:val="24"/>
          <w:szCs w:val="24"/>
        </w:rPr>
      </w:pPr>
      <w:r w:rsidRPr="0086668E">
        <w:rPr>
          <w:i/>
          <w:sz w:val="24"/>
          <w:szCs w:val="24"/>
        </w:rPr>
        <w:t xml:space="preserve">Reporting Standard LRS 901 Transitional Arrangements 2008 </w:t>
      </w:r>
      <w:r w:rsidRPr="0086668E">
        <w:rPr>
          <w:sz w:val="24"/>
          <w:szCs w:val="24"/>
        </w:rPr>
        <w:t>made on 6 December 2007.</w:t>
      </w:r>
    </w:p>
    <w:p w:rsidR="00796F5A" w:rsidRPr="0086668E" w:rsidRDefault="00AD6EF8" w:rsidP="00796F5A">
      <w:pPr>
        <w:spacing w:after="240"/>
        <w:jc w:val="both"/>
        <w:rPr>
          <w:rFonts w:ascii="Times New Roman" w:hAnsi="Times New Roman"/>
          <w:sz w:val="24"/>
          <w:lang w:eastAsia="en-AU"/>
        </w:rPr>
      </w:pPr>
      <w:r w:rsidRPr="0086668E">
        <w:rPr>
          <w:rFonts w:ascii="Times New Roman" w:hAnsi="Times New Roman"/>
          <w:sz w:val="24"/>
          <w:lang w:eastAsia="en-AU"/>
        </w:rPr>
        <w:t xml:space="preserve">The instruments </w:t>
      </w:r>
      <w:r w:rsidR="00996F39" w:rsidRPr="0086668E">
        <w:rPr>
          <w:rFonts w:ascii="Times New Roman" w:hAnsi="Times New Roman"/>
          <w:sz w:val="24"/>
          <w:lang w:eastAsia="en-AU"/>
        </w:rPr>
        <w:t>commence</w:t>
      </w:r>
      <w:r w:rsidRPr="0086668E">
        <w:rPr>
          <w:rFonts w:ascii="Times New Roman" w:hAnsi="Times New Roman"/>
          <w:sz w:val="24"/>
          <w:lang w:eastAsia="en-AU"/>
        </w:rPr>
        <w:t xml:space="preserve"> on 1 January 2013.</w:t>
      </w:r>
      <w:r w:rsidR="00ED74C3">
        <w:rPr>
          <w:rFonts w:ascii="Times New Roman" w:hAnsi="Times New Roman"/>
          <w:sz w:val="24"/>
          <w:lang w:eastAsia="en-AU"/>
        </w:rPr>
        <w:t xml:space="preserve"> </w:t>
      </w:r>
      <w:r w:rsidR="009B5DCC" w:rsidRPr="00C108F9">
        <w:rPr>
          <w:rFonts w:ascii="Times New Roman" w:hAnsi="Times New Roman"/>
          <w:sz w:val="24"/>
        </w:rPr>
        <w:t xml:space="preserve">The instruments are being registered </w:t>
      </w:r>
      <w:r w:rsidR="009B5DCC">
        <w:rPr>
          <w:rFonts w:ascii="Times New Roman" w:hAnsi="Times New Roman"/>
          <w:sz w:val="24"/>
        </w:rPr>
        <w:t>after this date;</w:t>
      </w:r>
      <w:r w:rsidR="009B5DCC" w:rsidRPr="00C108F9">
        <w:rPr>
          <w:rFonts w:ascii="Times New Roman" w:hAnsi="Times New Roman"/>
          <w:sz w:val="24"/>
        </w:rPr>
        <w:t xml:space="preserve"> however the requirements apply to reporting periods ending no earlier than 28 February 2013. No insurer </w:t>
      </w:r>
      <w:r w:rsidR="009B5DCC">
        <w:rPr>
          <w:rFonts w:ascii="Times New Roman" w:hAnsi="Times New Roman"/>
          <w:sz w:val="24"/>
        </w:rPr>
        <w:t>will</w:t>
      </w:r>
      <w:r w:rsidR="009B5DCC" w:rsidRPr="00C108F9">
        <w:rPr>
          <w:rFonts w:ascii="Times New Roman" w:hAnsi="Times New Roman"/>
          <w:sz w:val="24"/>
        </w:rPr>
        <w:t xml:space="preserve"> be impacted by the retrospective registration as the time for lodging forms with APRA will arise no earlier than 20 business days after 28 February 2013.</w:t>
      </w:r>
    </w:p>
    <w:p w:rsidR="001D6126" w:rsidRPr="0086668E" w:rsidRDefault="00AD6EF8" w:rsidP="005131F0">
      <w:pPr>
        <w:pStyle w:val="Heading"/>
        <w:numPr>
          <w:ilvl w:val="0"/>
          <w:numId w:val="1"/>
        </w:numPr>
        <w:spacing w:before="0" w:after="240"/>
        <w:ind w:left="567" w:hanging="567"/>
        <w:jc w:val="both"/>
        <w:rPr>
          <w:rFonts w:ascii="Times New Roman" w:hAnsi="Times New Roman" w:cs="Times New Roman"/>
          <w:sz w:val="24"/>
          <w:szCs w:val="24"/>
        </w:rPr>
      </w:pPr>
      <w:r w:rsidRPr="0086668E">
        <w:rPr>
          <w:rFonts w:ascii="Times New Roman" w:hAnsi="Times New Roman" w:cs="Times New Roman"/>
          <w:sz w:val="24"/>
          <w:szCs w:val="24"/>
        </w:rPr>
        <w:t>Background</w:t>
      </w:r>
      <w:bookmarkStart w:id="4" w:name="bkBackground"/>
      <w:bookmarkEnd w:id="4"/>
    </w:p>
    <w:p w:rsidR="0073060A" w:rsidRPr="0086668E" w:rsidRDefault="00AD6EF8" w:rsidP="005131F0">
      <w:pPr>
        <w:spacing w:after="240"/>
        <w:jc w:val="both"/>
        <w:rPr>
          <w:rFonts w:ascii="Times New Roman" w:hAnsi="Times New Roman"/>
          <w:sz w:val="24"/>
          <w:lang w:val="en-GB"/>
        </w:rPr>
      </w:pPr>
      <w:r w:rsidRPr="0086668E">
        <w:rPr>
          <w:rFonts w:ascii="Times New Roman" w:hAnsi="Times New Roman"/>
          <w:sz w:val="24"/>
          <w:lang w:val="en-GB"/>
        </w:rPr>
        <w:t>APRA commenced a review of the regulatory capital framework for general insurers and life companies (LAGIC review) in 2010. The broad aims of the review were to:</w:t>
      </w:r>
    </w:p>
    <w:p w:rsidR="0073060A" w:rsidRPr="0086668E" w:rsidRDefault="00AD6EF8" w:rsidP="005131F0">
      <w:pPr>
        <w:pStyle w:val="ListParagraph"/>
        <w:numPr>
          <w:ilvl w:val="0"/>
          <w:numId w:val="13"/>
        </w:numPr>
        <w:spacing w:after="240"/>
        <w:ind w:left="567" w:hanging="567"/>
        <w:jc w:val="both"/>
        <w:rPr>
          <w:sz w:val="24"/>
          <w:szCs w:val="24"/>
          <w:lang w:val="en-GB"/>
        </w:rPr>
      </w:pPr>
      <w:r w:rsidRPr="0086668E">
        <w:rPr>
          <w:sz w:val="24"/>
          <w:szCs w:val="24"/>
          <w:lang w:val="en-GB"/>
        </w:rPr>
        <w:t>improve the risk sensitivity and appropriateness of the capital standards in general insurance and life insurance (including friendly societies); and</w:t>
      </w:r>
    </w:p>
    <w:p w:rsidR="0073060A" w:rsidRPr="0086668E" w:rsidRDefault="00AD6EF8" w:rsidP="005131F0">
      <w:pPr>
        <w:pStyle w:val="ListParagraph"/>
        <w:numPr>
          <w:ilvl w:val="0"/>
          <w:numId w:val="13"/>
        </w:numPr>
        <w:spacing w:after="240"/>
        <w:ind w:left="567" w:hanging="567"/>
        <w:jc w:val="both"/>
        <w:rPr>
          <w:sz w:val="24"/>
          <w:szCs w:val="24"/>
          <w:lang w:val="en-GB"/>
        </w:rPr>
      </w:pPr>
      <w:r w:rsidRPr="0086668E">
        <w:rPr>
          <w:sz w:val="24"/>
          <w:szCs w:val="24"/>
          <w:lang w:val="en-GB"/>
        </w:rPr>
        <w:t>where appropriate, improve the alignment of the capital standards across the industries that APRA supervises.</w:t>
      </w:r>
    </w:p>
    <w:p w:rsidR="00CE37A0" w:rsidRPr="0086668E" w:rsidRDefault="00AD6EF8" w:rsidP="00CE37A0">
      <w:pPr>
        <w:spacing w:after="240"/>
        <w:jc w:val="both"/>
        <w:rPr>
          <w:rFonts w:ascii="Times New Roman" w:hAnsi="Times New Roman"/>
          <w:sz w:val="24"/>
        </w:rPr>
      </w:pPr>
      <w:r w:rsidRPr="0086668E">
        <w:rPr>
          <w:rFonts w:ascii="Times New Roman" w:hAnsi="Times New Roman"/>
          <w:sz w:val="24"/>
        </w:rPr>
        <w:t xml:space="preserve">APRA has made a range of amendments to its prudential framework to give effect to the findings of the review. The revised approach provides a clearer view of the financial position of life companies through a direct comparison of the amount of eligible capital with required capital. As a result of the changes, there is a common capital framework for required capital and eligible capital across general insurers and life companies. The minimum capital requirement is known as the Prudential Capital Requirement (PCR). This comprises a prescribed capital amount plus any supervisory adjustment determined by APRA. Life companies must at all times satisfy minimum requirements for the composition of their capital bases and ensure that the capital base exceeds the PCR. </w:t>
      </w:r>
    </w:p>
    <w:p w:rsidR="0073060A" w:rsidRPr="0086668E" w:rsidRDefault="00AD6EF8" w:rsidP="00811363">
      <w:pPr>
        <w:spacing w:after="240"/>
        <w:jc w:val="both"/>
        <w:rPr>
          <w:rFonts w:ascii="Times New Roman" w:hAnsi="Times New Roman"/>
          <w:sz w:val="24"/>
        </w:rPr>
      </w:pPr>
      <w:r w:rsidRPr="0086668E">
        <w:rPr>
          <w:rFonts w:ascii="Times New Roman" w:hAnsi="Times New Roman"/>
          <w:sz w:val="24"/>
        </w:rPr>
        <w:t xml:space="preserve"> </w:t>
      </w:r>
    </w:p>
    <w:p w:rsidR="005941E1" w:rsidRPr="0086668E" w:rsidRDefault="00AD6EF8" w:rsidP="00811363">
      <w:pPr>
        <w:pStyle w:val="Heading"/>
        <w:numPr>
          <w:ilvl w:val="0"/>
          <w:numId w:val="1"/>
        </w:numPr>
        <w:spacing w:before="0" w:after="240"/>
        <w:ind w:left="567" w:hanging="567"/>
        <w:jc w:val="both"/>
        <w:rPr>
          <w:rFonts w:ascii="Times New Roman" w:hAnsi="Times New Roman" w:cs="Times New Roman"/>
          <w:sz w:val="24"/>
          <w:szCs w:val="24"/>
        </w:rPr>
      </w:pPr>
      <w:r w:rsidRPr="0086668E">
        <w:rPr>
          <w:rFonts w:ascii="Times New Roman" w:hAnsi="Times New Roman" w:cs="Times New Roman"/>
          <w:sz w:val="24"/>
          <w:szCs w:val="24"/>
        </w:rPr>
        <w:t xml:space="preserve">Purpose </w:t>
      </w:r>
      <w:r w:rsidR="00996F39" w:rsidRPr="0086668E">
        <w:rPr>
          <w:rFonts w:ascii="Times New Roman" w:hAnsi="Times New Roman" w:cs="Times New Roman"/>
          <w:sz w:val="24"/>
          <w:szCs w:val="24"/>
        </w:rPr>
        <w:t xml:space="preserve">and operation </w:t>
      </w:r>
      <w:r w:rsidRPr="0086668E">
        <w:rPr>
          <w:rFonts w:ascii="Times New Roman" w:hAnsi="Times New Roman" w:cs="Times New Roman"/>
          <w:sz w:val="24"/>
          <w:szCs w:val="24"/>
        </w:rPr>
        <w:t>of the instruments</w:t>
      </w:r>
    </w:p>
    <w:p w:rsidR="00E62A0F" w:rsidRPr="0086668E" w:rsidRDefault="00AD6EF8" w:rsidP="00811363">
      <w:pPr>
        <w:spacing w:after="240"/>
        <w:jc w:val="both"/>
        <w:rPr>
          <w:rFonts w:ascii="Times New Roman" w:hAnsi="Times New Roman"/>
          <w:sz w:val="24"/>
          <w:lang w:eastAsia="en-AU"/>
        </w:rPr>
      </w:pPr>
      <w:bookmarkStart w:id="5" w:name="bkPurpose"/>
      <w:bookmarkEnd w:id="5"/>
      <w:r w:rsidRPr="0086668E">
        <w:rPr>
          <w:rFonts w:ascii="Times New Roman" w:hAnsi="Times New Roman"/>
          <w:sz w:val="24"/>
          <w:lang w:eastAsia="en-AU"/>
        </w:rPr>
        <w:t xml:space="preserve">The purpose of making the instruments is to introduce new and amended reporting standards and revoke existing reporting standards in relation to life companies in order to implement the changes arising from the LAGIC review. </w:t>
      </w:r>
    </w:p>
    <w:p w:rsidR="00996F39" w:rsidRPr="0086668E" w:rsidRDefault="00996F39" w:rsidP="00996F39">
      <w:pPr>
        <w:spacing w:after="240"/>
        <w:jc w:val="both"/>
        <w:rPr>
          <w:rFonts w:ascii="Times New Roman" w:hAnsi="Times New Roman"/>
          <w:sz w:val="24"/>
        </w:rPr>
      </w:pPr>
      <w:r w:rsidRPr="0086668E">
        <w:rPr>
          <w:rFonts w:ascii="Times New Roman" w:hAnsi="Times New Roman"/>
          <w:sz w:val="24"/>
        </w:rPr>
        <w:lastRenderedPageBreak/>
        <w:t xml:space="preserve">The implementation of the revised capital framework under LAGIC requires substantive changes to the reporting requirements for both general insurers and life companies. Specifically, in the case of changes to reporting requirements for life companies, definitions of the capital base are included that are consistent with those applicable to general insurers and ADIs. The methodology for calculating the prescribed capital amount is also specified, including the introduction of explicit risk charges for asset risk, asset concentration risk, insurance risk and operational risk. </w:t>
      </w:r>
    </w:p>
    <w:p w:rsidR="00052BB7" w:rsidRPr="0086668E" w:rsidRDefault="00996F39">
      <w:pPr>
        <w:pStyle w:val="Heading"/>
        <w:spacing w:before="0" w:after="240"/>
        <w:jc w:val="both"/>
        <w:rPr>
          <w:rFonts w:ascii="Times New Roman" w:hAnsi="Times New Roman" w:cs="Times New Roman"/>
          <w:b w:val="0"/>
          <w:sz w:val="24"/>
          <w:szCs w:val="24"/>
        </w:rPr>
      </w:pPr>
      <w:r w:rsidRPr="0086668E">
        <w:rPr>
          <w:rFonts w:ascii="Times New Roman" w:hAnsi="Times New Roman" w:cs="Times New Roman"/>
          <w:b w:val="0"/>
          <w:sz w:val="24"/>
          <w:szCs w:val="24"/>
        </w:rPr>
        <w:t>The changes in reporting requirements in relation to life companies and registered NOHCs of life companies are effected through the instruments.</w:t>
      </w:r>
      <w:bookmarkStart w:id="6" w:name="bk3Operation"/>
    </w:p>
    <w:p w:rsidR="00975F78" w:rsidRPr="0086668E" w:rsidRDefault="00AD6EF8" w:rsidP="00FF4DE2">
      <w:pPr>
        <w:spacing w:after="240"/>
        <w:jc w:val="both"/>
        <w:rPr>
          <w:rFonts w:ascii="Times New Roman" w:hAnsi="Times New Roman"/>
          <w:sz w:val="24"/>
        </w:rPr>
      </w:pPr>
      <w:bookmarkStart w:id="7" w:name="bkoperation"/>
      <w:bookmarkEnd w:id="6"/>
      <w:bookmarkEnd w:id="7"/>
      <w:r w:rsidRPr="0086668E">
        <w:rPr>
          <w:rFonts w:ascii="Times New Roman" w:hAnsi="Times New Roman"/>
          <w:sz w:val="24"/>
        </w:rPr>
        <w:t xml:space="preserve">The new reporting standards and associated reporting forms are issued under the FSCODA. These reporting standards enable the reporting requirements of the revised prudential framework to take effect.  </w:t>
      </w:r>
    </w:p>
    <w:p w:rsidR="00052BB7" w:rsidRPr="0086668E" w:rsidRDefault="00AD6EF8">
      <w:pPr>
        <w:pStyle w:val="NoSpacing"/>
        <w:numPr>
          <w:ilvl w:val="0"/>
          <w:numId w:val="0"/>
        </w:numPr>
        <w:jc w:val="both"/>
      </w:pPr>
      <w:r w:rsidRPr="0086668E">
        <w:t>The collection of quarterly and annual data under the new life company prudential reporting requirements will commence for the first reporting period ending on or after 1 January 2013.</w:t>
      </w:r>
    </w:p>
    <w:p w:rsidR="008B7528" w:rsidRPr="0086668E" w:rsidRDefault="00AD6EF8" w:rsidP="00FF4DE2">
      <w:pPr>
        <w:pStyle w:val="Heading"/>
        <w:numPr>
          <w:ilvl w:val="0"/>
          <w:numId w:val="1"/>
        </w:numPr>
        <w:spacing w:before="0" w:after="240"/>
        <w:jc w:val="both"/>
        <w:rPr>
          <w:rFonts w:ascii="Times New Roman" w:hAnsi="Times New Roman" w:cs="Times New Roman"/>
          <w:sz w:val="24"/>
          <w:szCs w:val="24"/>
        </w:rPr>
      </w:pPr>
      <w:r w:rsidRPr="0086668E">
        <w:rPr>
          <w:rFonts w:ascii="Times New Roman" w:hAnsi="Times New Roman" w:cs="Times New Roman"/>
          <w:sz w:val="24"/>
          <w:szCs w:val="24"/>
        </w:rPr>
        <w:t>Consultation</w:t>
      </w:r>
    </w:p>
    <w:p w:rsidR="00210496" w:rsidRPr="0086668E" w:rsidRDefault="00AD6EF8" w:rsidP="00811363">
      <w:pPr>
        <w:spacing w:after="240"/>
        <w:ind w:right="261"/>
        <w:jc w:val="both"/>
        <w:rPr>
          <w:rFonts w:ascii="Times New Roman" w:hAnsi="Times New Roman"/>
          <w:sz w:val="24"/>
          <w:lang w:val="en-GB"/>
        </w:rPr>
      </w:pPr>
      <w:bookmarkStart w:id="8" w:name="bkConsultation"/>
      <w:bookmarkEnd w:id="8"/>
      <w:r w:rsidRPr="0086668E">
        <w:rPr>
          <w:rFonts w:ascii="Times New Roman" w:hAnsi="Times New Roman"/>
          <w:sz w:val="24"/>
          <w:lang w:val="en-GB"/>
        </w:rPr>
        <w:t xml:space="preserve">APRA undertook consultation on the LAGIC review between May 2010 and October 2012, including four rounds of industry consultation, three technical papers and two quantitative impact studies. </w:t>
      </w:r>
    </w:p>
    <w:p w:rsidR="00210496" w:rsidRPr="0086668E" w:rsidRDefault="00AD6EF8" w:rsidP="0065030A">
      <w:pPr>
        <w:keepNext/>
        <w:spacing w:after="240"/>
        <w:ind w:right="261"/>
        <w:jc w:val="both"/>
        <w:rPr>
          <w:rFonts w:ascii="Times New Roman" w:hAnsi="Times New Roman"/>
          <w:sz w:val="24"/>
          <w:lang w:val="en-GB"/>
        </w:rPr>
      </w:pPr>
      <w:r w:rsidRPr="0086668E">
        <w:rPr>
          <w:rFonts w:ascii="Times New Roman" w:hAnsi="Times New Roman"/>
          <w:sz w:val="24"/>
          <w:lang w:val="en-GB"/>
        </w:rPr>
        <w:t xml:space="preserve">In addition to extensive consultation in relation to the prudential requirements, APRA released the following consultation materials in relation to the reporting requirements: </w:t>
      </w:r>
    </w:p>
    <w:p w:rsidR="002A7FD0" w:rsidRPr="0086668E" w:rsidRDefault="00AD6EF8" w:rsidP="002A7FD0">
      <w:pPr>
        <w:pStyle w:val="ListParagraph"/>
        <w:numPr>
          <w:ilvl w:val="0"/>
          <w:numId w:val="19"/>
        </w:numPr>
        <w:spacing w:after="240"/>
        <w:ind w:left="567" w:right="261" w:hanging="567"/>
        <w:jc w:val="both"/>
        <w:rPr>
          <w:sz w:val="24"/>
          <w:szCs w:val="24"/>
          <w:lang w:val="en-GB"/>
        </w:rPr>
      </w:pPr>
      <w:r w:rsidRPr="0086668E">
        <w:rPr>
          <w:sz w:val="24"/>
          <w:szCs w:val="24"/>
          <w:lang w:val="en-GB"/>
        </w:rPr>
        <w:t>June 2012 – Discussion paper ‘Review of capital standards for general insurers and life insurers – proposed revisions to reporting requirements’</w:t>
      </w:r>
      <w:r w:rsidRPr="0086668E">
        <w:rPr>
          <w:rStyle w:val="FootnoteReference"/>
          <w:sz w:val="24"/>
          <w:szCs w:val="24"/>
          <w:lang w:val="en-GB"/>
        </w:rPr>
        <w:footnoteReference w:id="1"/>
      </w:r>
      <w:r w:rsidRPr="0086668E">
        <w:rPr>
          <w:sz w:val="24"/>
          <w:szCs w:val="24"/>
          <w:lang w:val="en-GB"/>
        </w:rPr>
        <w:t>, draft versions of reporting forms and instructions, reporting standards and capital adequacy calculation workbooks and instructions;</w:t>
      </w:r>
    </w:p>
    <w:p w:rsidR="002A7FD0" w:rsidRPr="0086668E" w:rsidRDefault="00AD6EF8" w:rsidP="002A7FD0">
      <w:pPr>
        <w:pStyle w:val="ListParagraph"/>
        <w:numPr>
          <w:ilvl w:val="0"/>
          <w:numId w:val="19"/>
        </w:numPr>
        <w:spacing w:after="240"/>
        <w:ind w:left="567" w:right="261" w:hanging="567"/>
        <w:jc w:val="both"/>
        <w:rPr>
          <w:sz w:val="24"/>
          <w:szCs w:val="24"/>
          <w:lang w:val="en-GB"/>
        </w:rPr>
      </w:pPr>
      <w:r w:rsidRPr="0086668E">
        <w:rPr>
          <w:sz w:val="24"/>
          <w:szCs w:val="24"/>
          <w:lang w:val="en-GB"/>
        </w:rPr>
        <w:t>August 2012 – Letter to insurers ‘Additional proposed changes to the reporting standards’</w:t>
      </w:r>
      <w:r w:rsidRPr="0086668E">
        <w:rPr>
          <w:rStyle w:val="FootnoteReference"/>
          <w:sz w:val="24"/>
          <w:szCs w:val="24"/>
          <w:lang w:val="en-GB"/>
        </w:rPr>
        <w:footnoteReference w:id="2"/>
      </w:r>
      <w:r w:rsidRPr="0086668E">
        <w:rPr>
          <w:sz w:val="24"/>
          <w:szCs w:val="24"/>
          <w:lang w:val="en-GB"/>
        </w:rPr>
        <w:t>; and</w:t>
      </w:r>
    </w:p>
    <w:p w:rsidR="002A7FD0" w:rsidRPr="0086668E" w:rsidRDefault="00AD6EF8" w:rsidP="002A7FD0">
      <w:pPr>
        <w:pStyle w:val="ListParagraph"/>
        <w:numPr>
          <w:ilvl w:val="0"/>
          <w:numId w:val="19"/>
        </w:numPr>
        <w:spacing w:after="240"/>
        <w:ind w:left="567" w:right="261" w:hanging="567"/>
        <w:jc w:val="both"/>
        <w:rPr>
          <w:sz w:val="24"/>
          <w:szCs w:val="24"/>
          <w:lang w:val="en-GB"/>
        </w:rPr>
      </w:pPr>
      <w:r w:rsidRPr="0086668E">
        <w:rPr>
          <w:sz w:val="24"/>
          <w:szCs w:val="24"/>
          <w:lang w:val="en-GB"/>
        </w:rPr>
        <w:t>October 2012 – Response paper ‘Review of capital standards for general insurers and life insurers – reporting requirements’</w:t>
      </w:r>
      <w:r w:rsidRPr="0086668E">
        <w:rPr>
          <w:rStyle w:val="FootnoteReference"/>
          <w:sz w:val="24"/>
          <w:szCs w:val="24"/>
          <w:lang w:val="en-GB"/>
        </w:rPr>
        <w:footnoteReference w:id="3"/>
      </w:r>
      <w:r w:rsidRPr="0086668E">
        <w:rPr>
          <w:sz w:val="24"/>
          <w:szCs w:val="24"/>
          <w:lang w:val="en-GB"/>
        </w:rPr>
        <w:t xml:space="preserve">, final versions of all forms and instructions and reporting standards. </w:t>
      </w:r>
    </w:p>
    <w:p w:rsidR="00052BB7" w:rsidRPr="0086668E" w:rsidRDefault="00AD6EF8">
      <w:pPr>
        <w:spacing w:after="240"/>
        <w:ind w:right="261"/>
        <w:jc w:val="both"/>
        <w:rPr>
          <w:rFonts w:ascii="Times New Roman" w:hAnsi="Times New Roman"/>
          <w:sz w:val="24"/>
        </w:rPr>
      </w:pPr>
      <w:r w:rsidRPr="0086668E">
        <w:rPr>
          <w:rFonts w:ascii="Times New Roman" w:hAnsi="Times New Roman"/>
          <w:sz w:val="24"/>
        </w:rPr>
        <w:t xml:space="preserve">APRA has considered both formal and informal feedback from </w:t>
      </w:r>
      <w:proofErr w:type="spellStart"/>
      <w:r w:rsidRPr="0086668E">
        <w:rPr>
          <w:rFonts w:ascii="Times New Roman" w:hAnsi="Times New Roman"/>
          <w:sz w:val="24"/>
        </w:rPr>
        <w:t>indus</w:t>
      </w:r>
      <w:proofErr w:type="spellEnd"/>
      <w:r w:rsidRPr="0086668E">
        <w:rPr>
          <w:rFonts w:ascii="Times New Roman" w:hAnsi="Times New Roman"/>
          <w:sz w:val="24"/>
          <w:lang w:val="en-GB"/>
        </w:rPr>
        <w:t xml:space="preserve">try throughout the above multi-year process. Submissions received by APRA were broadly supportive of the changes. </w:t>
      </w:r>
      <w:r w:rsidRPr="0086668E">
        <w:rPr>
          <w:rFonts w:ascii="Times New Roman" w:hAnsi="Times New Roman"/>
          <w:color w:val="000000"/>
          <w:sz w:val="24"/>
          <w:lang w:val="en-GB"/>
        </w:rPr>
        <w:t>Issues considered to be significant</w:t>
      </w:r>
      <w:r w:rsidRPr="0086668E">
        <w:rPr>
          <w:rFonts w:ascii="Times New Roman" w:hAnsi="Times New Roman"/>
          <w:color w:val="000000"/>
          <w:sz w:val="24"/>
        </w:rPr>
        <w:t xml:space="preserve"> or to have </w:t>
      </w:r>
      <w:r w:rsidRPr="0086668E">
        <w:rPr>
          <w:rFonts w:ascii="Times New Roman" w:hAnsi="Times New Roman"/>
          <w:sz w:val="24"/>
        </w:rPr>
        <w:t xml:space="preserve">merit were incorporated into the revised capital framework. </w:t>
      </w:r>
    </w:p>
    <w:p w:rsidR="00076969" w:rsidRPr="0086668E" w:rsidRDefault="00AD6EF8" w:rsidP="00CF3028">
      <w:pPr>
        <w:pStyle w:val="Heading"/>
        <w:numPr>
          <w:ilvl w:val="0"/>
          <w:numId w:val="1"/>
        </w:numPr>
        <w:spacing w:before="0" w:after="240"/>
        <w:jc w:val="both"/>
        <w:rPr>
          <w:rFonts w:ascii="Times New Roman" w:hAnsi="Times New Roman" w:cs="Times New Roman"/>
          <w:sz w:val="24"/>
          <w:szCs w:val="24"/>
        </w:rPr>
      </w:pPr>
      <w:bookmarkStart w:id="9" w:name="bkRISNO"/>
      <w:bookmarkStart w:id="10" w:name="bkRIS"/>
      <w:bookmarkEnd w:id="9"/>
      <w:r w:rsidRPr="0086668E">
        <w:rPr>
          <w:rFonts w:ascii="Times New Roman" w:hAnsi="Times New Roman" w:cs="Times New Roman"/>
          <w:sz w:val="24"/>
          <w:szCs w:val="24"/>
        </w:rPr>
        <w:lastRenderedPageBreak/>
        <w:t>Regulation Impact Statement</w:t>
      </w:r>
    </w:p>
    <w:bookmarkEnd w:id="10"/>
    <w:p w:rsidR="009C2EC8" w:rsidRPr="0086668E" w:rsidRDefault="00AD6EF8" w:rsidP="009C2EC8">
      <w:pPr>
        <w:pStyle w:val="Heading"/>
        <w:spacing w:before="0" w:after="240"/>
        <w:jc w:val="both"/>
        <w:rPr>
          <w:rFonts w:ascii="Times New Roman" w:hAnsi="Times New Roman" w:cs="Times New Roman"/>
          <w:b w:val="0"/>
          <w:sz w:val="24"/>
          <w:szCs w:val="24"/>
        </w:rPr>
      </w:pPr>
      <w:r w:rsidRPr="0086668E">
        <w:rPr>
          <w:rFonts w:ascii="Times New Roman" w:hAnsi="Times New Roman" w:cs="Times New Roman"/>
          <w:b w:val="0"/>
          <w:sz w:val="24"/>
          <w:szCs w:val="24"/>
        </w:rPr>
        <w:t xml:space="preserve">A Regulation Impact Statement has been prepared and </w:t>
      </w:r>
      <w:r w:rsidR="006E3E4C" w:rsidRPr="0086668E">
        <w:rPr>
          <w:rFonts w:ascii="Times New Roman" w:hAnsi="Times New Roman" w:cs="Times New Roman"/>
          <w:b w:val="0"/>
          <w:sz w:val="24"/>
          <w:szCs w:val="24"/>
        </w:rPr>
        <w:t>has been lodged</w:t>
      </w:r>
      <w:r w:rsidRPr="0086668E">
        <w:rPr>
          <w:rFonts w:ascii="Times New Roman" w:hAnsi="Times New Roman" w:cs="Times New Roman"/>
          <w:b w:val="0"/>
          <w:sz w:val="24"/>
          <w:szCs w:val="24"/>
        </w:rPr>
        <w:t xml:space="preserve"> as supporting material.</w:t>
      </w:r>
    </w:p>
    <w:p w:rsidR="00052BB7" w:rsidRPr="0086668E" w:rsidRDefault="00AD6EF8">
      <w:pPr>
        <w:pStyle w:val="Heading"/>
        <w:numPr>
          <w:ilvl w:val="0"/>
          <w:numId w:val="1"/>
        </w:numPr>
        <w:spacing w:before="0" w:after="240"/>
        <w:jc w:val="both"/>
        <w:rPr>
          <w:rFonts w:ascii="Times New Roman" w:hAnsi="Times New Roman" w:cs="Times New Roman"/>
          <w:i/>
          <w:sz w:val="24"/>
          <w:szCs w:val="24"/>
        </w:rPr>
      </w:pPr>
      <w:r w:rsidRPr="0086668E">
        <w:rPr>
          <w:rFonts w:ascii="Times New Roman" w:hAnsi="Times New Roman" w:cs="Times New Roman"/>
          <w:sz w:val="24"/>
          <w:szCs w:val="24"/>
        </w:rPr>
        <w:t xml:space="preserve">Statement of compatibility prepared in accordance with Part 3 of the </w:t>
      </w:r>
      <w:r w:rsidRPr="0086668E">
        <w:rPr>
          <w:rFonts w:ascii="Times New Roman" w:hAnsi="Times New Roman" w:cs="Times New Roman"/>
          <w:i/>
          <w:sz w:val="24"/>
          <w:szCs w:val="24"/>
        </w:rPr>
        <w:t>Human Rights (Parliamentary Scrutiny) Act 2011</w:t>
      </w:r>
    </w:p>
    <w:p w:rsidR="00765CA5" w:rsidRPr="0086668E" w:rsidRDefault="00AD6EF8" w:rsidP="00765CA5">
      <w:pPr>
        <w:pStyle w:val="Heading"/>
        <w:spacing w:before="0" w:after="240"/>
        <w:jc w:val="both"/>
        <w:rPr>
          <w:rFonts w:ascii="Times New Roman" w:hAnsi="Times New Roman" w:cs="Times New Roman"/>
          <w:b w:val="0"/>
          <w:sz w:val="24"/>
          <w:szCs w:val="24"/>
        </w:rPr>
      </w:pPr>
      <w:r w:rsidRPr="0086668E">
        <w:rPr>
          <w:rFonts w:ascii="Times New Roman" w:hAnsi="Times New Roman" w:cs="Times New Roman"/>
          <w:b w:val="0"/>
          <w:sz w:val="24"/>
          <w:szCs w:val="24"/>
        </w:rPr>
        <w:t xml:space="preserve">The legislative instruments the subject of this explanatory statement do not engage any of the applicable rights or freedoms recognised or declared in the international instruments listed in section 3 of the </w:t>
      </w:r>
      <w:r w:rsidRPr="0086668E">
        <w:rPr>
          <w:rFonts w:ascii="Times New Roman" w:hAnsi="Times New Roman" w:cs="Times New Roman"/>
          <w:b w:val="0"/>
          <w:i/>
          <w:sz w:val="24"/>
          <w:szCs w:val="24"/>
        </w:rPr>
        <w:t>Human Rights (Parliamentary Scrutiny) Act 2011</w:t>
      </w:r>
      <w:r w:rsidRPr="0086668E">
        <w:rPr>
          <w:rFonts w:ascii="Times New Roman" w:hAnsi="Times New Roman" w:cs="Times New Roman"/>
          <w:b w:val="0"/>
          <w:sz w:val="24"/>
          <w:szCs w:val="24"/>
        </w:rPr>
        <w:t xml:space="preserve">. Accordingly, in APRA’s assessment, these legislative instruments are compatible with human rights. </w:t>
      </w:r>
    </w:p>
    <w:p w:rsidR="00D22D14" w:rsidRPr="0086668E" w:rsidRDefault="00D22D14" w:rsidP="00811363">
      <w:pPr>
        <w:pStyle w:val="Heading"/>
        <w:spacing w:before="0" w:after="240"/>
        <w:jc w:val="both"/>
        <w:rPr>
          <w:rFonts w:ascii="Times New Roman" w:hAnsi="Times New Roman" w:cs="Times New Roman"/>
          <w:sz w:val="24"/>
          <w:szCs w:val="24"/>
        </w:rPr>
      </w:pPr>
    </w:p>
    <w:p w:rsidR="00D22D14" w:rsidRPr="0086668E" w:rsidRDefault="00D22D14" w:rsidP="00811363">
      <w:pPr>
        <w:pStyle w:val="Heading1"/>
        <w:spacing w:before="0" w:after="240"/>
        <w:jc w:val="both"/>
        <w:rPr>
          <w:rFonts w:ascii="Times New Roman" w:hAnsi="Times New Roman" w:cs="Times New Roman"/>
          <w:sz w:val="24"/>
          <w:szCs w:val="24"/>
        </w:rPr>
      </w:pPr>
    </w:p>
    <w:sectPr w:rsidR="00D22D14" w:rsidRPr="0086668E" w:rsidSect="00E33AAB">
      <w:footerReference w:type="even" r:id="rId8"/>
      <w:footerReference w:type="default" r:id="rId9"/>
      <w:pgSz w:w="11906" w:h="16838"/>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74C3" w:rsidRDefault="00ED74C3">
      <w:r>
        <w:separator/>
      </w:r>
    </w:p>
  </w:endnote>
  <w:endnote w:type="continuationSeparator" w:id="0">
    <w:p w:rsidR="00ED74C3" w:rsidRDefault="00ED74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4C3" w:rsidRDefault="00264FEA" w:rsidP="00000AE6">
    <w:pPr>
      <w:pStyle w:val="Footer"/>
      <w:framePr w:wrap="around" w:vAnchor="text" w:hAnchor="margin" w:xAlign="right" w:y="1"/>
      <w:rPr>
        <w:rStyle w:val="PageNumber"/>
      </w:rPr>
    </w:pPr>
    <w:r>
      <w:rPr>
        <w:rStyle w:val="PageNumber"/>
      </w:rPr>
      <w:fldChar w:fldCharType="begin"/>
    </w:r>
    <w:r w:rsidR="00ED74C3">
      <w:rPr>
        <w:rStyle w:val="PageNumber"/>
      </w:rPr>
      <w:instrText xml:space="preserve">PAGE  </w:instrText>
    </w:r>
    <w:r>
      <w:rPr>
        <w:rStyle w:val="PageNumber"/>
      </w:rPr>
      <w:fldChar w:fldCharType="separate"/>
    </w:r>
    <w:r w:rsidR="00ED74C3">
      <w:rPr>
        <w:rStyle w:val="PageNumber"/>
        <w:noProof/>
      </w:rPr>
      <w:t>4</w:t>
    </w:r>
    <w:r>
      <w:rPr>
        <w:rStyle w:val="PageNumber"/>
      </w:rPr>
      <w:fldChar w:fldCharType="end"/>
    </w:r>
  </w:p>
  <w:p w:rsidR="00ED74C3" w:rsidRDefault="00ED74C3" w:rsidP="00000AE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821040"/>
      <w:docPartObj>
        <w:docPartGallery w:val="Page Numbers (Bottom of Page)"/>
        <w:docPartUnique/>
      </w:docPartObj>
    </w:sdtPr>
    <w:sdtContent>
      <w:p w:rsidR="00ED74C3" w:rsidRDefault="00264FEA">
        <w:pPr>
          <w:pStyle w:val="Footer"/>
          <w:jc w:val="right"/>
        </w:pPr>
        <w:r w:rsidRPr="00D73CCF">
          <w:rPr>
            <w:rFonts w:ascii="Times New Roman" w:hAnsi="Times New Roman"/>
            <w:sz w:val="24"/>
          </w:rPr>
          <w:fldChar w:fldCharType="begin"/>
        </w:r>
        <w:r w:rsidR="00ED74C3" w:rsidRPr="00D73CCF">
          <w:rPr>
            <w:rFonts w:ascii="Times New Roman" w:hAnsi="Times New Roman"/>
            <w:sz w:val="24"/>
          </w:rPr>
          <w:instrText xml:space="preserve"> PAGE   \* MERGEFORMAT </w:instrText>
        </w:r>
        <w:r w:rsidRPr="00D73CCF">
          <w:rPr>
            <w:rFonts w:ascii="Times New Roman" w:hAnsi="Times New Roman"/>
            <w:sz w:val="24"/>
          </w:rPr>
          <w:fldChar w:fldCharType="separate"/>
        </w:r>
        <w:r w:rsidR="000E26E7">
          <w:rPr>
            <w:rFonts w:ascii="Times New Roman" w:hAnsi="Times New Roman"/>
            <w:noProof/>
            <w:sz w:val="24"/>
          </w:rPr>
          <w:t>5</w:t>
        </w:r>
        <w:r w:rsidRPr="00D73CCF">
          <w:rPr>
            <w:rFonts w:ascii="Times New Roman" w:hAnsi="Times New Roman"/>
            <w:sz w:val="24"/>
          </w:rPr>
          <w:fldChar w:fldCharType="end"/>
        </w:r>
      </w:p>
    </w:sdtContent>
  </w:sdt>
  <w:p w:rsidR="00ED74C3" w:rsidRDefault="00ED74C3" w:rsidP="00000AE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74C3" w:rsidRDefault="00ED74C3">
      <w:r>
        <w:separator/>
      </w:r>
    </w:p>
  </w:footnote>
  <w:footnote w:type="continuationSeparator" w:id="0">
    <w:p w:rsidR="00ED74C3" w:rsidRDefault="00ED74C3">
      <w:r>
        <w:continuationSeparator/>
      </w:r>
    </w:p>
  </w:footnote>
  <w:footnote w:id="1">
    <w:p w:rsidR="00ED74C3" w:rsidRPr="0086668E" w:rsidRDefault="00ED74C3" w:rsidP="006C4540">
      <w:pPr>
        <w:pStyle w:val="FootnoteText"/>
        <w:ind w:left="567" w:hanging="567"/>
        <w:jc w:val="both"/>
        <w:rPr>
          <w:rFonts w:ascii="Times New Roman" w:hAnsi="Times New Roman"/>
        </w:rPr>
      </w:pPr>
      <w:r w:rsidRPr="0086668E">
        <w:rPr>
          <w:rStyle w:val="FootnoteReference"/>
          <w:rFonts w:ascii="Times New Roman" w:hAnsi="Times New Roman"/>
        </w:rPr>
        <w:footnoteRef/>
      </w:r>
      <w:r w:rsidRPr="0086668E">
        <w:rPr>
          <w:rFonts w:ascii="Times New Roman" w:hAnsi="Times New Roman"/>
        </w:rPr>
        <w:t xml:space="preserve"> </w:t>
      </w:r>
      <w:r w:rsidRPr="0086668E">
        <w:rPr>
          <w:rFonts w:ascii="Times New Roman" w:hAnsi="Times New Roman"/>
        </w:rPr>
        <w:tab/>
      </w:r>
      <w:hyperlink r:id="rId1" w:history="1">
        <w:r w:rsidRPr="0086668E">
          <w:rPr>
            <w:rStyle w:val="Hyperlink"/>
            <w:rFonts w:ascii="Times New Roman" w:hAnsi="Times New Roman"/>
          </w:rPr>
          <w:t>http://www.apra.gov.au/CrossIndustry/Consultations/Pages/LAGIC-Reporting-Requirements-June-2012.aspx</w:t>
        </w:r>
      </w:hyperlink>
      <w:r w:rsidRPr="0086668E">
        <w:rPr>
          <w:rFonts w:ascii="Times New Roman" w:hAnsi="Times New Roman"/>
        </w:rPr>
        <w:t xml:space="preserve"> </w:t>
      </w:r>
    </w:p>
  </w:footnote>
  <w:footnote w:id="2">
    <w:p w:rsidR="00ED74C3" w:rsidRPr="0086668E" w:rsidRDefault="00ED74C3" w:rsidP="006C4540">
      <w:pPr>
        <w:pStyle w:val="FootnoteText"/>
        <w:ind w:left="567" w:hanging="567"/>
        <w:jc w:val="both"/>
        <w:rPr>
          <w:rFonts w:ascii="Times New Roman" w:hAnsi="Times New Roman"/>
        </w:rPr>
      </w:pPr>
      <w:r w:rsidRPr="0086668E">
        <w:rPr>
          <w:rStyle w:val="FootnoteReference"/>
          <w:rFonts w:ascii="Times New Roman" w:hAnsi="Times New Roman"/>
        </w:rPr>
        <w:footnoteRef/>
      </w:r>
      <w:r w:rsidRPr="0086668E">
        <w:rPr>
          <w:rFonts w:ascii="Times New Roman" w:hAnsi="Times New Roman"/>
        </w:rPr>
        <w:t xml:space="preserve"> </w:t>
      </w:r>
      <w:r w:rsidRPr="0086668E">
        <w:rPr>
          <w:rFonts w:ascii="Times New Roman" w:hAnsi="Times New Roman"/>
        </w:rPr>
        <w:tab/>
      </w:r>
      <w:hyperlink r:id="rId2" w:history="1">
        <w:r w:rsidRPr="0086668E">
          <w:rPr>
            <w:rStyle w:val="Hyperlink"/>
            <w:rFonts w:ascii="Times New Roman" w:hAnsi="Times New Roman"/>
          </w:rPr>
          <w:t>http://www.apra.gov.au/CrossIndustry/Consultations/Documents/120806-letter-to-industry-LAGIC-proposed-changes-to-reporting-standards.pdf</w:t>
        </w:r>
      </w:hyperlink>
      <w:r w:rsidRPr="0086668E">
        <w:rPr>
          <w:rFonts w:ascii="Times New Roman" w:hAnsi="Times New Roman"/>
        </w:rPr>
        <w:t xml:space="preserve"> </w:t>
      </w:r>
    </w:p>
  </w:footnote>
  <w:footnote w:id="3">
    <w:p w:rsidR="00ED74C3" w:rsidRPr="0086668E" w:rsidRDefault="00ED74C3" w:rsidP="006C4540">
      <w:pPr>
        <w:pStyle w:val="FootnoteText"/>
        <w:ind w:left="567" w:hanging="567"/>
        <w:jc w:val="both"/>
        <w:rPr>
          <w:rFonts w:ascii="Times New Roman" w:hAnsi="Times New Roman"/>
        </w:rPr>
      </w:pPr>
      <w:r w:rsidRPr="0086668E">
        <w:rPr>
          <w:rStyle w:val="FootnoteReference"/>
          <w:rFonts w:ascii="Times New Roman" w:hAnsi="Times New Roman"/>
        </w:rPr>
        <w:footnoteRef/>
      </w:r>
      <w:r w:rsidRPr="0086668E">
        <w:rPr>
          <w:rFonts w:ascii="Times New Roman" w:hAnsi="Times New Roman"/>
        </w:rPr>
        <w:t xml:space="preserve"> </w:t>
      </w:r>
      <w:r w:rsidRPr="0086668E">
        <w:rPr>
          <w:rFonts w:ascii="Times New Roman" w:hAnsi="Times New Roman"/>
        </w:rPr>
        <w:tab/>
      </w:r>
      <w:hyperlink r:id="rId3" w:history="1">
        <w:r w:rsidRPr="0086668E">
          <w:rPr>
            <w:rStyle w:val="Hyperlink"/>
            <w:rFonts w:ascii="Times New Roman" w:hAnsi="Times New Roman"/>
          </w:rPr>
          <w:t>http://www.apra.gov.au/lifs/ReportingFramework/Pages/LAGIC-final-reporting-requirements-LI-October-2012.aspx</w:t>
        </w:r>
      </w:hyperlink>
      <w:r w:rsidRPr="0086668E">
        <w:rPr>
          <w:rFonts w:ascii="Times New Roman" w:hAnsi="Times New Roman"/>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A5AC3"/>
    <w:multiLevelType w:val="hybridMultilevel"/>
    <w:tmpl w:val="63C2A63A"/>
    <w:lvl w:ilvl="0" w:tplc="0C09000F">
      <w:start w:val="1"/>
      <w:numFmt w:val="decimal"/>
      <w:lvlText w:val="%1."/>
      <w:lvlJc w:val="left"/>
      <w:pPr>
        <w:ind w:left="360" w:hanging="360"/>
      </w:pPr>
      <w:rPr>
        <w:rFonts w:hint="default"/>
      </w:rPr>
    </w:lvl>
    <w:lvl w:ilvl="1" w:tplc="64DA7346">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14A81249"/>
    <w:multiLevelType w:val="hybridMultilevel"/>
    <w:tmpl w:val="CFFEFBF4"/>
    <w:lvl w:ilvl="0" w:tplc="84C04502">
      <w:start w:val="1"/>
      <w:numFmt w:val="decimal"/>
      <w:lvlText w:val="%1."/>
      <w:lvlJc w:val="left"/>
      <w:pPr>
        <w:tabs>
          <w:tab w:val="num" w:pos="360"/>
        </w:tabs>
        <w:ind w:left="360" w:hanging="360"/>
      </w:pPr>
      <w:rPr>
        <w:rFonts w:hint="default"/>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158658A7"/>
    <w:multiLevelType w:val="hybridMultilevel"/>
    <w:tmpl w:val="1EAE596A"/>
    <w:lvl w:ilvl="0" w:tplc="0C090001">
      <w:start w:val="1"/>
      <w:numFmt w:val="bullet"/>
      <w:lvlText w:val=""/>
      <w:lvlJc w:val="left"/>
      <w:pPr>
        <w:tabs>
          <w:tab w:val="num" w:pos="6"/>
        </w:tabs>
        <w:ind w:left="6" w:hanging="360"/>
      </w:pPr>
      <w:rPr>
        <w:rFonts w:ascii="Symbol" w:hAnsi="Symbol" w:hint="default"/>
      </w:rPr>
    </w:lvl>
    <w:lvl w:ilvl="1" w:tplc="0C090003" w:tentative="1">
      <w:start w:val="1"/>
      <w:numFmt w:val="bullet"/>
      <w:lvlText w:val="o"/>
      <w:lvlJc w:val="left"/>
      <w:pPr>
        <w:tabs>
          <w:tab w:val="num" w:pos="726"/>
        </w:tabs>
        <w:ind w:left="726" w:hanging="360"/>
      </w:pPr>
      <w:rPr>
        <w:rFonts w:ascii="Courier New" w:hAnsi="Courier New" w:cs="Symbol" w:hint="default"/>
      </w:rPr>
    </w:lvl>
    <w:lvl w:ilvl="2" w:tplc="0C090005" w:tentative="1">
      <w:start w:val="1"/>
      <w:numFmt w:val="bullet"/>
      <w:lvlText w:val=""/>
      <w:lvlJc w:val="left"/>
      <w:pPr>
        <w:tabs>
          <w:tab w:val="num" w:pos="1446"/>
        </w:tabs>
        <w:ind w:left="1446" w:hanging="360"/>
      </w:pPr>
      <w:rPr>
        <w:rFonts w:ascii="Wingdings" w:hAnsi="Wingdings" w:hint="default"/>
      </w:rPr>
    </w:lvl>
    <w:lvl w:ilvl="3" w:tplc="0C090001" w:tentative="1">
      <w:start w:val="1"/>
      <w:numFmt w:val="bullet"/>
      <w:lvlText w:val=""/>
      <w:lvlJc w:val="left"/>
      <w:pPr>
        <w:tabs>
          <w:tab w:val="num" w:pos="2166"/>
        </w:tabs>
        <w:ind w:left="2166" w:hanging="360"/>
      </w:pPr>
      <w:rPr>
        <w:rFonts w:ascii="Symbol" w:hAnsi="Symbol" w:hint="default"/>
      </w:rPr>
    </w:lvl>
    <w:lvl w:ilvl="4" w:tplc="0C090003" w:tentative="1">
      <w:start w:val="1"/>
      <w:numFmt w:val="bullet"/>
      <w:lvlText w:val="o"/>
      <w:lvlJc w:val="left"/>
      <w:pPr>
        <w:tabs>
          <w:tab w:val="num" w:pos="2886"/>
        </w:tabs>
        <w:ind w:left="2886" w:hanging="360"/>
      </w:pPr>
      <w:rPr>
        <w:rFonts w:ascii="Courier New" w:hAnsi="Courier New" w:cs="Symbol" w:hint="default"/>
      </w:rPr>
    </w:lvl>
    <w:lvl w:ilvl="5" w:tplc="0C090005" w:tentative="1">
      <w:start w:val="1"/>
      <w:numFmt w:val="bullet"/>
      <w:lvlText w:val=""/>
      <w:lvlJc w:val="left"/>
      <w:pPr>
        <w:tabs>
          <w:tab w:val="num" w:pos="3606"/>
        </w:tabs>
        <w:ind w:left="3606" w:hanging="360"/>
      </w:pPr>
      <w:rPr>
        <w:rFonts w:ascii="Wingdings" w:hAnsi="Wingdings" w:hint="default"/>
      </w:rPr>
    </w:lvl>
    <w:lvl w:ilvl="6" w:tplc="0C090001" w:tentative="1">
      <w:start w:val="1"/>
      <w:numFmt w:val="bullet"/>
      <w:lvlText w:val=""/>
      <w:lvlJc w:val="left"/>
      <w:pPr>
        <w:tabs>
          <w:tab w:val="num" w:pos="4326"/>
        </w:tabs>
        <w:ind w:left="4326" w:hanging="360"/>
      </w:pPr>
      <w:rPr>
        <w:rFonts w:ascii="Symbol" w:hAnsi="Symbol" w:hint="default"/>
      </w:rPr>
    </w:lvl>
    <w:lvl w:ilvl="7" w:tplc="0C090003" w:tentative="1">
      <w:start w:val="1"/>
      <w:numFmt w:val="bullet"/>
      <w:lvlText w:val="o"/>
      <w:lvlJc w:val="left"/>
      <w:pPr>
        <w:tabs>
          <w:tab w:val="num" w:pos="5046"/>
        </w:tabs>
        <w:ind w:left="5046" w:hanging="360"/>
      </w:pPr>
      <w:rPr>
        <w:rFonts w:ascii="Courier New" w:hAnsi="Courier New" w:cs="Symbol" w:hint="default"/>
      </w:rPr>
    </w:lvl>
    <w:lvl w:ilvl="8" w:tplc="0C090005" w:tentative="1">
      <w:start w:val="1"/>
      <w:numFmt w:val="bullet"/>
      <w:lvlText w:val=""/>
      <w:lvlJc w:val="left"/>
      <w:pPr>
        <w:tabs>
          <w:tab w:val="num" w:pos="5766"/>
        </w:tabs>
        <w:ind w:left="5766" w:hanging="360"/>
      </w:pPr>
      <w:rPr>
        <w:rFonts w:ascii="Wingdings" w:hAnsi="Wingdings" w:hint="default"/>
      </w:rPr>
    </w:lvl>
  </w:abstractNum>
  <w:abstractNum w:abstractNumId="3">
    <w:nsid w:val="1EA43714"/>
    <w:multiLevelType w:val="hybridMultilevel"/>
    <w:tmpl w:val="64D6FBCA"/>
    <w:lvl w:ilvl="0" w:tplc="E34C62CE">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0691723"/>
    <w:multiLevelType w:val="multilevel"/>
    <w:tmpl w:val="989038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193317B"/>
    <w:multiLevelType w:val="multilevel"/>
    <w:tmpl w:val="98903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75D5DB6"/>
    <w:multiLevelType w:val="multilevel"/>
    <w:tmpl w:val="98903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4247ED2"/>
    <w:multiLevelType w:val="hybridMultilevel"/>
    <w:tmpl w:val="262E2EE6"/>
    <w:lvl w:ilvl="0" w:tplc="0C09000F">
      <w:start w:val="1"/>
      <w:numFmt w:val="decimal"/>
      <w:lvlText w:val="%1."/>
      <w:lvlJc w:val="left"/>
      <w:pPr>
        <w:ind w:left="360" w:hanging="360"/>
      </w:pPr>
      <w:rPr>
        <w:rFonts w:hint="default"/>
      </w:rPr>
    </w:lvl>
    <w:lvl w:ilvl="1" w:tplc="64DA7346">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34E6244F"/>
    <w:multiLevelType w:val="hybridMultilevel"/>
    <w:tmpl w:val="4C5242FA"/>
    <w:lvl w:ilvl="0" w:tplc="B3CE7C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0E29F8"/>
    <w:multiLevelType w:val="hybridMultilevel"/>
    <w:tmpl w:val="84ECD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E24AE6"/>
    <w:multiLevelType w:val="hybridMultilevel"/>
    <w:tmpl w:val="4B6245AE"/>
    <w:lvl w:ilvl="0" w:tplc="FC0ACD4C">
      <w:start w:val="1"/>
      <w:numFmt w:val="bullet"/>
      <w:pStyle w:val="NoSpacing"/>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30857CE"/>
    <w:multiLevelType w:val="hybridMultilevel"/>
    <w:tmpl w:val="88B0636E"/>
    <w:lvl w:ilvl="0" w:tplc="E34C62CE">
      <w:numFmt w:val="bullet"/>
      <w:lvlText w:val=""/>
      <w:lvlJc w:val="left"/>
      <w:pPr>
        <w:ind w:left="360" w:hanging="360"/>
      </w:pPr>
      <w:rPr>
        <w:rFonts w:ascii="Symbol" w:eastAsia="Times New Roman" w:hAnsi="Symbol" w:hint="default"/>
      </w:rPr>
    </w:lvl>
    <w:lvl w:ilvl="1" w:tplc="0C090003" w:tentative="1">
      <w:start w:val="1"/>
      <w:numFmt w:val="bullet"/>
      <w:lvlText w:val="o"/>
      <w:lvlJc w:val="left"/>
      <w:pPr>
        <w:ind w:left="1080" w:hanging="360"/>
      </w:pPr>
      <w:rPr>
        <w:rFonts w:ascii="Courier New" w:hAnsi="Courier New" w:cs="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Symbo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Symbol"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46FE4B7F"/>
    <w:multiLevelType w:val="multilevel"/>
    <w:tmpl w:val="98903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7BD5C63"/>
    <w:multiLevelType w:val="multilevel"/>
    <w:tmpl w:val="98903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88C57F7"/>
    <w:multiLevelType w:val="multilevel"/>
    <w:tmpl w:val="989038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93F3F4D"/>
    <w:multiLevelType w:val="hybridMultilevel"/>
    <w:tmpl w:val="45BED866"/>
    <w:lvl w:ilvl="0" w:tplc="B9129F8C">
      <w:start w:val="1"/>
      <w:numFmt w:val="bullet"/>
      <w:lvlText w:val=""/>
      <w:lvlJc w:val="left"/>
      <w:pPr>
        <w:tabs>
          <w:tab w:val="num" w:pos="454"/>
        </w:tabs>
        <w:ind w:left="454" w:hanging="454"/>
      </w:pPr>
      <w:rPr>
        <w:rFonts w:ascii="Symbol" w:hAnsi="Symbol" w:hint="default"/>
      </w:rPr>
    </w:lvl>
    <w:lvl w:ilvl="1" w:tplc="E34C62CE">
      <w:numFmt w:val="bullet"/>
      <w:lvlText w:val=""/>
      <w:lvlJc w:val="left"/>
      <w:pPr>
        <w:tabs>
          <w:tab w:val="num" w:pos="853"/>
        </w:tabs>
        <w:ind w:left="853" w:hanging="340"/>
      </w:pPr>
      <w:rPr>
        <w:rFonts w:ascii="Symbol" w:eastAsia="Times New Roman" w:hAnsi="Symbol" w:hint="default"/>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Symbol"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Symbol"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16">
    <w:nsid w:val="4B1823B0"/>
    <w:multiLevelType w:val="hybridMultilevel"/>
    <w:tmpl w:val="8570C0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BFB2BC0"/>
    <w:multiLevelType w:val="hybridMultilevel"/>
    <w:tmpl w:val="541E5A08"/>
    <w:lvl w:ilvl="0" w:tplc="0C09000F">
      <w:start w:val="1"/>
      <w:numFmt w:val="decimal"/>
      <w:lvlText w:val="%1."/>
      <w:lvlJc w:val="left"/>
      <w:pPr>
        <w:ind w:left="360" w:hanging="360"/>
      </w:pPr>
      <w:rPr>
        <w:rFonts w:hint="default"/>
      </w:rPr>
    </w:lvl>
    <w:lvl w:ilvl="1" w:tplc="64DA7346">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5E4C441D"/>
    <w:multiLevelType w:val="hybridMultilevel"/>
    <w:tmpl w:val="A73C215C"/>
    <w:lvl w:ilvl="0" w:tplc="B9129F8C">
      <w:start w:val="1"/>
      <w:numFmt w:val="bullet"/>
      <w:lvlText w:val=""/>
      <w:lvlJc w:val="left"/>
      <w:pPr>
        <w:tabs>
          <w:tab w:val="num" w:pos="454"/>
        </w:tabs>
        <w:ind w:left="454" w:hanging="454"/>
      </w:pPr>
      <w:rPr>
        <w:rFonts w:ascii="Symbol" w:hAnsi="Symbol" w:hint="default"/>
      </w:rPr>
    </w:lvl>
    <w:lvl w:ilvl="1" w:tplc="F5126D84">
      <w:start w:val="1"/>
      <w:numFmt w:val="bullet"/>
      <w:lvlText w:val="-"/>
      <w:lvlJc w:val="left"/>
      <w:pPr>
        <w:tabs>
          <w:tab w:val="num" w:pos="853"/>
        </w:tabs>
        <w:ind w:left="853" w:hanging="340"/>
      </w:pPr>
      <w:rPr>
        <w:rFonts w:ascii="Times New Roman" w:hAnsi="Times New Roman" w:cs="Times New Roman" w:hint="default"/>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Symbol"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Symbol"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19">
    <w:nsid w:val="63741E58"/>
    <w:multiLevelType w:val="hybridMultilevel"/>
    <w:tmpl w:val="F6B8766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653A3A1B"/>
    <w:multiLevelType w:val="hybridMultilevel"/>
    <w:tmpl w:val="DC8447C2"/>
    <w:lvl w:ilvl="0" w:tplc="0C09000F">
      <w:start w:val="1"/>
      <w:numFmt w:val="decimal"/>
      <w:lvlText w:val="%1."/>
      <w:lvlJc w:val="left"/>
      <w:pPr>
        <w:ind w:left="360" w:hanging="360"/>
      </w:pPr>
      <w:rPr>
        <w:rFonts w:hint="default"/>
      </w:rPr>
    </w:lvl>
    <w:lvl w:ilvl="1" w:tplc="64DA7346">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6D1C0973"/>
    <w:multiLevelType w:val="hybridMultilevel"/>
    <w:tmpl w:val="7926325E"/>
    <w:lvl w:ilvl="0" w:tplc="E34C62CE">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FE20B63"/>
    <w:multiLevelType w:val="hybridMultilevel"/>
    <w:tmpl w:val="F4DEAD5E"/>
    <w:lvl w:ilvl="0" w:tplc="65945CC8">
      <w:start w:val="1"/>
      <w:numFmt w:val="bullet"/>
      <w:lvlText w:val="—"/>
      <w:lvlJc w:val="left"/>
      <w:pPr>
        <w:ind w:left="720" w:hanging="360"/>
      </w:pPr>
      <w:rPr>
        <w:rFonts w:ascii="Trebuchet MS" w:hAnsi="Trebuchet MS"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1A63786"/>
    <w:multiLevelType w:val="hybridMultilevel"/>
    <w:tmpl w:val="CE483C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A0F5656"/>
    <w:multiLevelType w:val="hybridMultilevel"/>
    <w:tmpl w:val="E6363104"/>
    <w:lvl w:ilvl="0" w:tplc="0C09000F">
      <w:start w:val="1"/>
      <w:numFmt w:val="decimal"/>
      <w:lvlText w:val="%1."/>
      <w:lvlJc w:val="left"/>
      <w:pPr>
        <w:ind w:left="360" w:hanging="360"/>
      </w:pPr>
      <w:rPr>
        <w:rFonts w:hint="default"/>
      </w:rPr>
    </w:lvl>
    <w:lvl w:ilvl="1" w:tplc="64DA7346">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12"/>
  </w:num>
  <w:num w:numId="3">
    <w:abstractNumId w:val="13"/>
  </w:num>
  <w:num w:numId="4">
    <w:abstractNumId w:val="6"/>
  </w:num>
  <w:num w:numId="5">
    <w:abstractNumId w:val="5"/>
  </w:num>
  <w:num w:numId="6">
    <w:abstractNumId w:val="14"/>
  </w:num>
  <w:num w:numId="7">
    <w:abstractNumId w:val="4"/>
  </w:num>
  <w:num w:numId="8">
    <w:abstractNumId w:val="2"/>
  </w:num>
  <w:num w:numId="9">
    <w:abstractNumId w:val="16"/>
  </w:num>
  <w:num w:numId="10">
    <w:abstractNumId w:val="22"/>
  </w:num>
  <w:num w:numId="11">
    <w:abstractNumId w:val="18"/>
  </w:num>
  <w:num w:numId="12">
    <w:abstractNumId w:val="23"/>
  </w:num>
  <w:num w:numId="13">
    <w:abstractNumId w:val="21"/>
  </w:num>
  <w:num w:numId="14">
    <w:abstractNumId w:val="3"/>
  </w:num>
  <w:num w:numId="15">
    <w:abstractNumId w:val="15"/>
  </w:num>
  <w:num w:numId="16">
    <w:abstractNumId w:val="11"/>
  </w:num>
  <w:num w:numId="17">
    <w:abstractNumId w:val="10"/>
  </w:num>
  <w:num w:numId="18">
    <w:abstractNumId w:val="19"/>
  </w:num>
  <w:num w:numId="19">
    <w:abstractNumId w:val="8"/>
  </w:num>
  <w:num w:numId="20">
    <w:abstractNumId w:val="9"/>
  </w:num>
  <w:num w:numId="21">
    <w:abstractNumId w:val="17"/>
  </w:num>
  <w:num w:numId="22">
    <w:abstractNumId w:val="0"/>
  </w:num>
  <w:num w:numId="23">
    <w:abstractNumId w:val="24"/>
  </w:num>
  <w:num w:numId="24">
    <w:abstractNumId w:val="10"/>
  </w:num>
  <w:num w:numId="25">
    <w:abstractNumId w:val="10"/>
  </w:num>
  <w:num w:numId="26">
    <w:abstractNumId w:val="7"/>
  </w:num>
  <w:num w:numId="27">
    <w:abstractNumId w:val="20"/>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701"/>
  <w:doNotTrackMoves/>
  <w:defaultTabStop w:val="720"/>
  <w:drawingGridHorizontalSpacing w:val="110"/>
  <w:displayHorizontalDrawingGridEvery w:val="2"/>
  <w:noPunctuationKerning/>
  <w:characterSpacingControl w:val="doNotCompress"/>
  <w:hdrShapeDefaults>
    <o:shapedefaults v:ext="edit" spidmax="62465"/>
  </w:hdrShapeDefaults>
  <w:footnotePr>
    <w:footnote w:id="-1"/>
    <w:footnote w:id="0"/>
  </w:footnotePr>
  <w:endnotePr>
    <w:endnote w:id="-1"/>
    <w:endnote w:id="0"/>
  </w:endnotePr>
  <w:compat/>
  <w:rsids>
    <w:rsidRoot w:val="00652397"/>
    <w:rsid w:val="00000AE6"/>
    <w:rsid w:val="0000717F"/>
    <w:rsid w:val="00012695"/>
    <w:rsid w:val="00014C4B"/>
    <w:rsid w:val="00016F01"/>
    <w:rsid w:val="000201AE"/>
    <w:rsid w:val="000218B6"/>
    <w:rsid w:val="00022BB1"/>
    <w:rsid w:val="00026726"/>
    <w:rsid w:val="0002731C"/>
    <w:rsid w:val="00027386"/>
    <w:rsid w:val="00030BD8"/>
    <w:rsid w:val="000324C9"/>
    <w:rsid w:val="00032E46"/>
    <w:rsid w:val="000330CF"/>
    <w:rsid w:val="00033B73"/>
    <w:rsid w:val="00034768"/>
    <w:rsid w:val="00035958"/>
    <w:rsid w:val="00040C6F"/>
    <w:rsid w:val="000422DA"/>
    <w:rsid w:val="00043838"/>
    <w:rsid w:val="00044A9D"/>
    <w:rsid w:val="00046998"/>
    <w:rsid w:val="00047834"/>
    <w:rsid w:val="00050E19"/>
    <w:rsid w:val="00052BB7"/>
    <w:rsid w:val="00055C1B"/>
    <w:rsid w:val="00056C6C"/>
    <w:rsid w:val="00056DFC"/>
    <w:rsid w:val="000631DA"/>
    <w:rsid w:val="00063B11"/>
    <w:rsid w:val="00064C4F"/>
    <w:rsid w:val="00076969"/>
    <w:rsid w:val="00080B55"/>
    <w:rsid w:val="00084C06"/>
    <w:rsid w:val="00086488"/>
    <w:rsid w:val="00090200"/>
    <w:rsid w:val="00090673"/>
    <w:rsid w:val="00092A02"/>
    <w:rsid w:val="000A579A"/>
    <w:rsid w:val="000B22C3"/>
    <w:rsid w:val="000B2729"/>
    <w:rsid w:val="000B3626"/>
    <w:rsid w:val="000B5532"/>
    <w:rsid w:val="000B59FF"/>
    <w:rsid w:val="000B694A"/>
    <w:rsid w:val="000C3A21"/>
    <w:rsid w:val="000C49E0"/>
    <w:rsid w:val="000C5437"/>
    <w:rsid w:val="000D046E"/>
    <w:rsid w:val="000D2640"/>
    <w:rsid w:val="000D4071"/>
    <w:rsid w:val="000D6AC0"/>
    <w:rsid w:val="000E055A"/>
    <w:rsid w:val="000E129A"/>
    <w:rsid w:val="000E26E7"/>
    <w:rsid w:val="000E3F23"/>
    <w:rsid w:val="000E5B5A"/>
    <w:rsid w:val="000E5C39"/>
    <w:rsid w:val="000F309E"/>
    <w:rsid w:val="000F3BD1"/>
    <w:rsid w:val="000F3E1E"/>
    <w:rsid w:val="000F6592"/>
    <w:rsid w:val="00102F9E"/>
    <w:rsid w:val="001044BA"/>
    <w:rsid w:val="0010495D"/>
    <w:rsid w:val="00105F5C"/>
    <w:rsid w:val="001064B9"/>
    <w:rsid w:val="00110071"/>
    <w:rsid w:val="00111555"/>
    <w:rsid w:val="00122A9C"/>
    <w:rsid w:val="00123FD3"/>
    <w:rsid w:val="0012491A"/>
    <w:rsid w:val="00124EE2"/>
    <w:rsid w:val="00126BDF"/>
    <w:rsid w:val="001271A7"/>
    <w:rsid w:val="00127F6E"/>
    <w:rsid w:val="00134630"/>
    <w:rsid w:val="00146362"/>
    <w:rsid w:val="00147418"/>
    <w:rsid w:val="00161C0C"/>
    <w:rsid w:val="0016350A"/>
    <w:rsid w:val="001636BF"/>
    <w:rsid w:val="00163AE4"/>
    <w:rsid w:val="00167944"/>
    <w:rsid w:val="00167A02"/>
    <w:rsid w:val="001735C0"/>
    <w:rsid w:val="00176630"/>
    <w:rsid w:val="00183A1C"/>
    <w:rsid w:val="00191382"/>
    <w:rsid w:val="00192C56"/>
    <w:rsid w:val="0019482E"/>
    <w:rsid w:val="001A0790"/>
    <w:rsid w:val="001B13B9"/>
    <w:rsid w:val="001B3893"/>
    <w:rsid w:val="001B6E91"/>
    <w:rsid w:val="001B6EC6"/>
    <w:rsid w:val="001C0BC5"/>
    <w:rsid w:val="001C7082"/>
    <w:rsid w:val="001D16A9"/>
    <w:rsid w:val="001D1DC0"/>
    <w:rsid w:val="001D4C02"/>
    <w:rsid w:val="001D6126"/>
    <w:rsid w:val="001E06CB"/>
    <w:rsid w:val="001E2DB0"/>
    <w:rsid w:val="001E54DD"/>
    <w:rsid w:val="001E623B"/>
    <w:rsid w:val="001E6EA4"/>
    <w:rsid w:val="001E7EA9"/>
    <w:rsid w:val="001F0F70"/>
    <w:rsid w:val="001F4FB6"/>
    <w:rsid w:val="001F5D3D"/>
    <w:rsid w:val="001F7349"/>
    <w:rsid w:val="00200FA4"/>
    <w:rsid w:val="002010C8"/>
    <w:rsid w:val="00204946"/>
    <w:rsid w:val="00206A98"/>
    <w:rsid w:val="00207C73"/>
    <w:rsid w:val="00210496"/>
    <w:rsid w:val="002114F1"/>
    <w:rsid w:val="0021217E"/>
    <w:rsid w:val="002123EC"/>
    <w:rsid w:val="00215426"/>
    <w:rsid w:val="002218CB"/>
    <w:rsid w:val="00222E19"/>
    <w:rsid w:val="00223C69"/>
    <w:rsid w:val="0022477F"/>
    <w:rsid w:val="002248F3"/>
    <w:rsid w:val="00225921"/>
    <w:rsid w:val="00225C10"/>
    <w:rsid w:val="002330A5"/>
    <w:rsid w:val="002341A1"/>
    <w:rsid w:val="00235AA6"/>
    <w:rsid w:val="00237370"/>
    <w:rsid w:val="002430F8"/>
    <w:rsid w:val="002504E2"/>
    <w:rsid w:val="00251164"/>
    <w:rsid w:val="002529DB"/>
    <w:rsid w:val="0025461F"/>
    <w:rsid w:val="00254ED3"/>
    <w:rsid w:val="00260693"/>
    <w:rsid w:val="002642DC"/>
    <w:rsid w:val="00264FEA"/>
    <w:rsid w:val="00265913"/>
    <w:rsid w:val="00280286"/>
    <w:rsid w:val="00281432"/>
    <w:rsid w:val="00282B1D"/>
    <w:rsid w:val="00283D1A"/>
    <w:rsid w:val="00285041"/>
    <w:rsid w:val="00291E78"/>
    <w:rsid w:val="002962EE"/>
    <w:rsid w:val="002A0F36"/>
    <w:rsid w:val="002A47FA"/>
    <w:rsid w:val="002A63B7"/>
    <w:rsid w:val="002A7FD0"/>
    <w:rsid w:val="002B2A6A"/>
    <w:rsid w:val="002B5F9F"/>
    <w:rsid w:val="002B6511"/>
    <w:rsid w:val="002B6780"/>
    <w:rsid w:val="002B6E99"/>
    <w:rsid w:val="002B7815"/>
    <w:rsid w:val="002C3923"/>
    <w:rsid w:val="002C3F98"/>
    <w:rsid w:val="002C7D5C"/>
    <w:rsid w:val="002D003A"/>
    <w:rsid w:val="002D08B3"/>
    <w:rsid w:val="002D15B6"/>
    <w:rsid w:val="002D5680"/>
    <w:rsid w:val="002D7440"/>
    <w:rsid w:val="002E05F9"/>
    <w:rsid w:val="002E10CE"/>
    <w:rsid w:val="002E218C"/>
    <w:rsid w:val="002E39A6"/>
    <w:rsid w:val="002E68FA"/>
    <w:rsid w:val="002F0250"/>
    <w:rsid w:val="002F19D2"/>
    <w:rsid w:val="00300114"/>
    <w:rsid w:val="003024F7"/>
    <w:rsid w:val="003033E4"/>
    <w:rsid w:val="00314F61"/>
    <w:rsid w:val="003168CC"/>
    <w:rsid w:val="003230CB"/>
    <w:rsid w:val="00323DBD"/>
    <w:rsid w:val="00324AC8"/>
    <w:rsid w:val="00326DC9"/>
    <w:rsid w:val="003326CD"/>
    <w:rsid w:val="00341A37"/>
    <w:rsid w:val="0034386A"/>
    <w:rsid w:val="00343B2B"/>
    <w:rsid w:val="00347FCC"/>
    <w:rsid w:val="00352685"/>
    <w:rsid w:val="003574BF"/>
    <w:rsid w:val="0036074D"/>
    <w:rsid w:val="00361A51"/>
    <w:rsid w:val="00363ADD"/>
    <w:rsid w:val="003664C9"/>
    <w:rsid w:val="003671DF"/>
    <w:rsid w:val="0037016D"/>
    <w:rsid w:val="003705A2"/>
    <w:rsid w:val="0037199D"/>
    <w:rsid w:val="00375572"/>
    <w:rsid w:val="00377314"/>
    <w:rsid w:val="003820DA"/>
    <w:rsid w:val="00383E86"/>
    <w:rsid w:val="00384F6E"/>
    <w:rsid w:val="00385EBA"/>
    <w:rsid w:val="00386E9F"/>
    <w:rsid w:val="003A0FB4"/>
    <w:rsid w:val="003A1CD2"/>
    <w:rsid w:val="003A4029"/>
    <w:rsid w:val="003A551B"/>
    <w:rsid w:val="003B2330"/>
    <w:rsid w:val="003B2863"/>
    <w:rsid w:val="003B338C"/>
    <w:rsid w:val="003B4785"/>
    <w:rsid w:val="003B6B84"/>
    <w:rsid w:val="003C1F4C"/>
    <w:rsid w:val="003C3568"/>
    <w:rsid w:val="003D14AA"/>
    <w:rsid w:val="003D2911"/>
    <w:rsid w:val="003D671F"/>
    <w:rsid w:val="003D7D62"/>
    <w:rsid w:val="003E1487"/>
    <w:rsid w:val="003E2F84"/>
    <w:rsid w:val="003E395B"/>
    <w:rsid w:val="003E399F"/>
    <w:rsid w:val="003E7F89"/>
    <w:rsid w:val="003F2D0E"/>
    <w:rsid w:val="00402072"/>
    <w:rsid w:val="00403EA8"/>
    <w:rsid w:val="0040568B"/>
    <w:rsid w:val="00414E21"/>
    <w:rsid w:val="00415C2F"/>
    <w:rsid w:val="00416296"/>
    <w:rsid w:val="00423B0B"/>
    <w:rsid w:val="00426967"/>
    <w:rsid w:val="00426F46"/>
    <w:rsid w:val="00427335"/>
    <w:rsid w:val="00434435"/>
    <w:rsid w:val="00435182"/>
    <w:rsid w:val="00436690"/>
    <w:rsid w:val="00443B03"/>
    <w:rsid w:val="00446793"/>
    <w:rsid w:val="00452BFF"/>
    <w:rsid w:val="00453E71"/>
    <w:rsid w:val="00455CFD"/>
    <w:rsid w:val="00456B13"/>
    <w:rsid w:val="00463269"/>
    <w:rsid w:val="00466BE1"/>
    <w:rsid w:val="00475D94"/>
    <w:rsid w:val="00480AB5"/>
    <w:rsid w:val="00485359"/>
    <w:rsid w:val="00485782"/>
    <w:rsid w:val="0048611E"/>
    <w:rsid w:val="004913BF"/>
    <w:rsid w:val="00491AD1"/>
    <w:rsid w:val="00497480"/>
    <w:rsid w:val="004974E6"/>
    <w:rsid w:val="00497A10"/>
    <w:rsid w:val="004A2CEE"/>
    <w:rsid w:val="004A64B4"/>
    <w:rsid w:val="004A7408"/>
    <w:rsid w:val="004A7EF8"/>
    <w:rsid w:val="004B004C"/>
    <w:rsid w:val="004B2690"/>
    <w:rsid w:val="004B5AC3"/>
    <w:rsid w:val="004B621D"/>
    <w:rsid w:val="004B7CDD"/>
    <w:rsid w:val="004C79A4"/>
    <w:rsid w:val="004D600A"/>
    <w:rsid w:val="004E2AD8"/>
    <w:rsid w:val="004E34CF"/>
    <w:rsid w:val="004F0124"/>
    <w:rsid w:val="004F0E6C"/>
    <w:rsid w:val="004F3053"/>
    <w:rsid w:val="004F4CCA"/>
    <w:rsid w:val="00501A1A"/>
    <w:rsid w:val="005050D5"/>
    <w:rsid w:val="00505C2A"/>
    <w:rsid w:val="005131F0"/>
    <w:rsid w:val="00514E54"/>
    <w:rsid w:val="0051573E"/>
    <w:rsid w:val="00523E14"/>
    <w:rsid w:val="005323E9"/>
    <w:rsid w:val="0053624C"/>
    <w:rsid w:val="005378DF"/>
    <w:rsid w:val="00543F92"/>
    <w:rsid w:val="00544186"/>
    <w:rsid w:val="00544768"/>
    <w:rsid w:val="0054724E"/>
    <w:rsid w:val="00547CEB"/>
    <w:rsid w:val="00553D45"/>
    <w:rsid w:val="005542B8"/>
    <w:rsid w:val="00554D51"/>
    <w:rsid w:val="00561055"/>
    <w:rsid w:val="00562B07"/>
    <w:rsid w:val="00565315"/>
    <w:rsid w:val="00567A9A"/>
    <w:rsid w:val="005718A5"/>
    <w:rsid w:val="00574616"/>
    <w:rsid w:val="005748FE"/>
    <w:rsid w:val="00577EDF"/>
    <w:rsid w:val="005833B9"/>
    <w:rsid w:val="00587962"/>
    <w:rsid w:val="00591630"/>
    <w:rsid w:val="00592576"/>
    <w:rsid w:val="00593BF7"/>
    <w:rsid w:val="005941E1"/>
    <w:rsid w:val="005A60B9"/>
    <w:rsid w:val="005A743A"/>
    <w:rsid w:val="005B2298"/>
    <w:rsid w:val="005B22D9"/>
    <w:rsid w:val="005B7123"/>
    <w:rsid w:val="005C37A6"/>
    <w:rsid w:val="005C3C75"/>
    <w:rsid w:val="005C701A"/>
    <w:rsid w:val="005C7AB3"/>
    <w:rsid w:val="005D0304"/>
    <w:rsid w:val="005D435B"/>
    <w:rsid w:val="005D6649"/>
    <w:rsid w:val="005D7020"/>
    <w:rsid w:val="005D7A53"/>
    <w:rsid w:val="005E355A"/>
    <w:rsid w:val="005E5F1D"/>
    <w:rsid w:val="005E7C59"/>
    <w:rsid w:val="005F0577"/>
    <w:rsid w:val="005F172F"/>
    <w:rsid w:val="005F5DF4"/>
    <w:rsid w:val="005F6428"/>
    <w:rsid w:val="005F6BAC"/>
    <w:rsid w:val="005F6DA4"/>
    <w:rsid w:val="00611A4D"/>
    <w:rsid w:val="0061258F"/>
    <w:rsid w:val="00613E7B"/>
    <w:rsid w:val="006175DC"/>
    <w:rsid w:val="006208F9"/>
    <w:rsid w:val="006210C2"/>
    <w:rsid w:val="00624040"/>
    <w:rsid w:val="00625D6C"/>
    <w:rsid w:val="00634FF0"/>
    <w:rsid w:val="00635A7C"/>
    <w:rsid w:val="006372F5"/>
    <w:rsid w:val="006418AE"/>
    <w:rsid w:val="00643509"/>
    <w:rsid w:val="00643F26"/>
    <w:rsid w:val="00644E2C"/>
    <w:rsid w:val="00644F26"/>
    <w:rsid w:val="00645119"/>
    <w:rsid w:val="00647B94"/>
    <w:rsid w:val="0065030A"/>
    <w:rsid w:val="006503AB"/>
    <w:rsid w:val="00652397"/>
    <w:rsid w:val="0065425A"/>
    <w:rsid w:val="006550E7"/>
    <w:rsid w:val="00657CD6"/>
    <w:rsid w:val="00663C9A"/>
    <w:rsid w:val="00673E01"/>
    <w:rsid w:val="006825F2"/>
    <w:rsid w:val="00685CF1"/>
    <w:rsid w:val="00694F60"/>
    <w:rsid w:val="006967C8"/>
    <w:rsid w:val="006A05FB"/>
    <w:rsid w:val="006A0EBB"/>
    <w:rsid w:val="006A33D5"/>
    <w:rsid w:val="006A5128"/>
    <w:rsid w:val="006A5EAA"/>
    <w:rsid w:val="006A66D4"/>
    <w:rsid w:val="006B4444"/>
    <w:rsid w:val="006B6285"/>
    <w:rsid w:val="006C0777"/>
    <w:rsid w:val="006C0888"/>
    <w:rsid w:val="006C38BF"/>
    <w:rsid w:val="006C4540"/>
    <w:rsid w:val="006C6A19"/>
    <w:rsid w:val="006D1265"/>
    <w:rsid w:val="006D58E9"/>
    <w:rsid w:val="006E15EA"/>
    <w:rsid w:val="006E222F"/>
    <w:rsid w:val="006E3E4C"/>
    <w:rsid w:val="006E79BF"/>
    <w:rsid w:val="006F6C05"/>
    <w:rsid w:val="006F7CED"/>
    <w:rsid w:val="0070223F"/>
    <w:rsid w:val="00702EF7"/>
    <w:rsid w:val="00704E26"/>
    <w:rsid w:val="007060F0"/>
    <w:rsid w:val="00712E3F"/>
    <w:rsid w:val="00717A79"/>
    <w:rsid w:val="0072092B"/>
    <w:rsid w:val="0073060A"/>
    <w:rsid w:val="007328C0"/>
    <w:rsid w:val="00733B48"/>
    <w:rsid w:val="00735B28"/>
    <w:rsid w:val="007366EB"/>
    <w:rsid w:val="0073794E"/>
    <w:rsid w:val="007422E3"/>
    <w:rsid w:val="00743617"/>
    <w:rsid w:val="00744E6B"/>
    <w:rsid w:val="00745714"/>
    <w:rsid w:val="00746F83"/>
    <w:rsid w:val="007605C2"/>
    <w:rsid w:val="00760CF4"/>
    <w:rsid w:val="00765CA5"/>
    <w:rsid w:val="00767ED2"/>
    <w:rsid w:val="00770264"/>
    <w:rsid w:val="0077334D"/>
    <w:rsid w:val="00775053"/>
    <w:rsid w:val="00780C75"/>
    <w:rsid w:val="00781B60"/>
    <w:rsid w:val="00785B77"/>
    <w:rsid w:val="00790DD3"/>
    <w:rsid w:val="00796DE0"/>
    <w:rsid w:val="00796F5A"/>
    <w:rsid w:val="00797B1C"/>
    <w:rsid w:val="007A6B96"/>
    <w:rsid w:val="007B093E"/>
    <w:rsid w:val="007B1BD4"/>
    <w:rsid w:val="007B49C0"/>
    <w:rsid w:val="007C0D87"/>
    <w:rsid w:val="007C3365"/>
    <w:rsid w:val="007D2478"/>
    <w:rsid w:val="007E6DFA"/>
    <w:rsid w:val="007E7C6F"/>
    <w:rsid w:val="007F0138"/>
    <w:rsid w:val="007F2504"/>
    <w:rsid w:val="007F3162"/>
    <w:rsid w:val="007F50A4"/>
    <w:rsid w:val="008015D2"/>
    <w:rsid w:val="00804B20"/>
    <w:rsid w:val="0080552D"/>
    <w:rsid w:val="00806B31"/>
    <w:rsid w:val="00807B3F"/>
    <w:rsid w:val="00811363"/>
    <w:rsid w:val="008124F3"/>
    <w:rsid w:val="00812FFC"/>
    <w:rsid w:val="00815681"/>
    <w:rsid w:val="0082354F"/>
    <w:rsid w:val="00823B7B"/>
    <w:rsid w:val="00826B4E"/>
    <w:rsid w:val="0083007C"/>
    <w:rsid w:val="00830C54"/>
    <w:rsid w:val="00830E90"/>
    <w:rsid w:val="0083482E"/>
    <w:rsid w:val="00837FB3"/>
    <w:rsid w:val="00844445"/>
    <w:rsid w:val="0084490C"/>
    <w:rsid w:val="0084495C"/>
    <w:rsid w:val="008458C3"/>
    <w:rsid w:val="008522ED"/>
    <w:rsid w:val="00853398"/>
    <w:rsid w:val="0086053F"/>
    <w:rsid w:val="00860DC0"/>
    <w:rsid w:val="00863B8C"/>
    <w:rsid w:val="00866218"/>
    <w:rsid w:val="0086668E"/>
    <w:rsid w:val="00870E85"/>
    <w:rsid w:val="008713A5"/>
    <w:rsid w:val="008803C8"/>
    <w:rsid w:val="00881B57"/>
    <w:rsid w:val="008825C2"/>
    <w:rsid w:val="0088539F"/>
    <w:rsid w:val="00885D7C"/>
    <w:rsid w:val="008946D9"/>
    <w:rsid w:val="008A1A5F"/>
    <w:rsid w:val="008A22ED"/>
    <w:rsid w:val="008A7848"/>
    <w:rsid w:val="008B1DD5"/>
    <w:rsid w:val="008B5B9B"/>
    <w:rsid w:val="008B6112"/>
    <w:rsid w:val="008B7528"/>
    <w:rsid w:val="008C0F09"/>
    <w:rsid w:val="008C228A"/>
    <w:rsid w:val="008C49A6"/>
    <w:rsid w:val="008D0E01"/>
    <w:rsid w:val="008D7FBE"/>
    <w:rsid w:val="008E1C9F"/>
    <w:rsid w:val="008E25C7"/>
    <w:rsid w:val="008E445F"/>
    <w:rsid w:val="008E7EB4"/>
    <w:rsid w:val="008F07CE"/>
    <w:rsid w:val="008F458F"/>
    <w:rsid w:val="008F6AA0"/>
    <w:rsid w:val="00910F17"/>
    <w:rsid w:val="009135F9"/>
    <w:rsid w:val="009145A2"/>
    <w:rsid w:val="00915A33"/>
    <w:rsid w:val="00916AAA"/>
    <w:rsid w:val="00921D12"/>
    <w:rsid w:val="00922097"/>
    <w:rsid w:val="009222AD"/>
    <w:rsid w:val="0093196C"/>
    <w:rsid w:val="00931BC1"/>
    <w:rsid w:val="00932D57"/>
    <w:rsid w:val="0093761D"/>
    <w:rsid w:val="009403D0"/>
    <w:rsid w:val="0095037A"/>
    <w:rsid w:val="00953841"/>
    <w:rsid w:val="00956A1C"/>
    <w:rsid w:val="009732D4"/>
    <w:rsid w:val="0097535E"/>
    <w:rsid w:val="00975C92"/>
    <w:rsid w:val="00975F78"/>
    <w:rsid w:val="00980533"/>
    <w:rsid w:val="00984B4D"/>
    <w:rsid w:val="00985A96"/>
    <w:rsid w:val="009965FD"/>
    <w:rsid w:val="00996F39"/>
    <w:rsid w:val="00997B46"/>
    <w:rsid w:val="009B5DCC"/>
    <w:rsid w:val="009C19B4"/>
    <w:rsid w:val="009C2EC8"/>
    <w:rsid w:val="009C2FB3"/>
    <w:rsid w:val="009C4C28"/>
    <w:rsid w:val="009D1F0D"/>
    <w:rsid w:val="009D3E18"/>
    <w:rsid w:val="009E216B"/>
    <w:rsid w:val="009F2DFF"/>
    <w:rsid w:val="009F7058"/>
    <w:rsid w:val="009F788F"/>
    <w:rsid w:val="00A01D19"/>
    <w:rsid w:val="00A026FB"/>
    <w:rsid w:val="00A03AB9"/>
    <w:rsid w:val="00A047B5"/>
    <w:rsid w:val="00A0568A"/>
    <w:rsid w:val="00A10194"/>
    <w:rsid w:val="00A15209"/>
    <w:rsid w:val="00A15E5C"/>
    <w:rsid w:val="00A160F2"/>
    <w:rsid w:val="00A208EB"/>
    <w:rsid w:val="00A221D9"/>
    <w:rsid w:val="00A22BB0"/>
    <w:rsid w:val="00A32B98"/>
    <w:rsid w:val="00A37816"/>
    <w:rsid w:val="00A40D5C"/>
    <w:rsid w:val="00A43FF9"/>
    <w:rsid w:val="00A4657A"/>
    <w:rsid w:val="00A51D19"/>
    <w:rsid w:val="00A55057"/>
    <w:rsid w:val="00A56BEA"/>
    <w:rsid w:val="00A64327"/>
    <w:rsid w:val="00A66958"/>
    <w:rsid w:val="00A66DF3"/>
    <w:rsid w:val="00A70675"/>
    <w:rsid w:val="00A70D00"/>
    <w:rsid w:val="00A82561"/>
    <w:rsid w:val="00A84F11"/>
    <w:rsid w:val="00A90FA4"/>
    <w:rsid w:val="00A94115"/>
    <w:rsid w:val="00A96F6A"/>
    <w:rsid w:val="00AA08EC"/>
    <w:rsid w:val="00AA2735"/>
    <w:rsid w:val="00AB0A7D"/>
    <w:rsid w:val="00AB1F92"/>
    <w:rsid w:val="00AB3FCB"/>
    <w:rsid w:val="00AB3FF5"/>
    <w:rsid w:val="00AB533D"/>
    <w:rsid w:val="00AC031B"/>
    <w:rsid w:val="00AC199A"/>
    <w:rsid w:val="00AC2996"/>
    <w:rsid w:val="00AC3F07"/>
    <w:rsid w:val="00AC3F83"/>
    <w:rsid w:val="00AC55FD"/>
    <w:rsid w:val="00AD31BC"/>
    <w:rsid w:val="00AD62C5"/>
    <w:rsid w:val="00AD6534"/>
    <w:rsid w:val="00AD6EF8"/>
    <w:rsid w:val="00AD6FCA"/>
    <w:rsid w:val="00AE0FFA"/>
    <w:rsid w:val="00AE287A"/>
    <w:rsid w:val="00AE2D97"/>
    <w:rsid w:val="00AE7E64"/>
    <w:rsid w:val="00AF03AC"/>
    <w:rsid w:val="00AF3144"/>
    <w:rsid w:val="00B01A7A"/>
    <w:rsid w:val="00B02043"/>
    <w:rsid w:val="00B02340"/>
    <w:rsid w:val="00B067E0"/>
    <w:rsid w:val="00B12106"/>
    <w:rsid w:val="00B12376"/>
    <w:rsid w:val="00B1355F"/>
    <w:rsid w:val="00B27510"/>
    <w:rsid w:val="00B31959"/>
    <w:rsid w:val="00B41ACA"/>
    <w:rsid w:val="00B44A68"/>
    <w:rsid w:val="00B458A3"/>
    <w:rsid w:val="00B46846"/>
    <w:rsid w:val="00B51CA2"/>
    <w:rsid w:val="00B52C31"/>
    <w:rsid w:val="00B57341"/>
    <w:rsid w:val="00B71A97"/>
    <w:rsid w:val="00B73A23"/>
    <w:rsid w:val="00B77BD4"/>
    <w:rsid w:val="00B84194"/>
    <w:rsid w:val="00B87412"/>
    <w:rsid w:val="00B9215B"/>
    <w:rsid w:val="00B97B6E"/>
    <w:rsid w:val="00BA0BC1"/>
    <w:rsid w:val="00BA3189"/>
    <w:rsid w:val="00BA4FF9"/>
    <w:rsid w:val="00BA6EB3"/>
    <w:rsid w:val="00BB27C5"/>
    <w:rsid w:val="00BB387D"/>
    <w:rsid w:val="00BB506F"/>
    <w:rsid w:val="00BC0D22"/>
    <w:rsid w:val="00BC2BFB"/>
    <w:rsid w:val="00BC5946"/>
    <w:rsid w:val="00BC69B9"/>
    <w:rsid w:val="00BC6A8D"/>
    <w:rsid w:val="00BD739E"/>
    <w:rsid w:val="00BE5F98"/>
    <w:rsid w:val="00BF22F5"/>
    <w:rsid w:val="00C007F6"/>
    <w:rsid w:val="00C03925"/>
    <w:rsid w:val="00C04435"/>
    <w:rsid w:val="00C047E7"/>
    <w:rsid w:val="00C06282"/>
    <w:rsid w:val="00C07ED1"/>
    <w:rsid w:val="00C16BD6"/>
    <w:rsid w:val="00C17D45"/>
    <w:rsid w:val="00C17ED3"/>
    <w:rsid w:val="00C2255E"/>
    <w:rsid w:val="00C23D4E"/>
    <w:rsid w:val="00C2447B"/>
    <w:rsid w:val="00C3411D"/>
    <w:rsid w:val="00C3551A"/>
    <w:rsid w:val="00C41329"/>
    <w:rsid w:val="00C4177F"/>
    <w:rsid w:val="00C43D00"/>
    <w:rsid w:val="00C464F8"/>
    <w:rsid w:val="00C50E0D"/>
    <w:rsid w:val="00C56099"/>
    <w:rsid w:val="00C57B96"/>
    <w:rsid w:val="00C619FF"/>
    <w:rsid w:val="00C62FA1"/>
    <w:rsid w:val="00C66F5F"/>
    <w:rsid w:val="00C72F5E"/>
    <w:rsid w:val="00C737CB"/>
    <w:rsid w:val="00C90010"/>
    <w:rsid w:val="00C9399F"/>
    <w:rsid w:val="00C94DCF"/>
    <w:rsid w:val="00C9694D"/>
    <w:rsid w:val="00C96E5E"/>
    <w:rsid w:val="00C97019"/>
    <w:rsid w:val="00CA29DB"/>
    <w:rsid w:val="00CA5A10"/>
    <w:rsid w:val="00CB6553"/>
    <w:rsid w:val="00CC1195"/>
    <w:rsid w:val="00CC151F"/>
    <w:rsid w:val="00CC2E08"/>
    <w:rsid w:val="00CC4BE4"/>
    <w:rsid w:val="00CC793B"/>
    <w:rsid w:val="00CD0116"/>
    <w:rsid w:val="00CD519A"/>
    <w:rsid w:val="00CE37A0"/>
    <w:rsid w:val="00CF033B"/>
    <w:rsid w:val="00CF3028"/>
    <w:rsid w:val="00CF6510"/>
    <w:rsid w:val="00CF7B05"/>
    <w:rsid w:val="00CF7E04"/>
    <w:rsid w:val="00D04EA3"/>
    <w:rsid w:val="00D161B4"/>
    <w:rsid w:val="00D17E48"/>
    <w:rsid w:val="00D2126B"/>
    <w:rsid w:val="00D22D14"/>
    <w:rsid w:val="00D25F75"/>
    <w:rsid w:val="00D27DE1"/>
    <w:rsid w:val="00D345F6"/>
    <w:rsid w:val="00D34C39"/>
    <w:rsid w:val="00D3515D"/>
    <w:rsid w:val="00D4290F"/>
    <w:rsid w:val="00D4387C"/>
    <w:rsid w:val="00D44DB1"/>
    <w:rsid w:val="00D47D67"/>
    <w:rsid w:val="00D517B8"/>
    <w:rsid w:val="00D56C0A"/>
    <w:rsid w:val="00D612FC"/>
    <w:rsid w:val="00D6284E"/>
    <w:rsid w:val="00D63690"/>
    <w:rsid w:val="00D6548D"/>
    <w:rsid w:val="00D66CB2"/>
    <w:rsid w:val="00D7239F"/>
    <w:rsid w:val="00D7240A"/>
    <w:rsid w:val="00D724D7"/>
    <w:rsid w:val="00D73CCF"/>
    <w:rsid w:val="00D77584"/>
    <w:rsid w:val="00D80BBF"/>
    <w:rsid w:val="00D8116A"/>
    <w:rsid w:val="00D84A02"/>
    <w:rsid w:val="00D8796B"/>
    <w:rsid w:val="00D94F65"/>
    <w:rsid w:val="00D959D7"/>
    <w:rsid w:val="00D9636A"/>
    <w:rsid w:val="00D96744"/>
    <w:rsid w:val="00D96A48"/>
    <w:rsid w:val="00D97D95"/>
    <w:rsid w:val="00DA3F2E"/>
    <w:rsid w:val="00DA572D"/>
    <w:rsid w:val="00DA5D0D"/>
    <w:rsid w:val="00DB2DC5"/>
    <w:rsid w:val="00DB75C3"/>
    <w:rsid w:val="00DC0045"/>
    <w:rsid w:val="00DC2B2A"/>
    <w:rsid w:val="00DC2FCC"/>
    <w:rsid w:val="00DD3416"/>
    <w:rsid w:val="00DD4E4B"/>
    <w:rsid w:val="00DD64C6"/>
    <w:rsid w:val="00DD681C"/>
    <w:rsid w:val="00DE5226"/>
    <w:rsid w:val="00DE6BEB"/>
    <w:rsid w:val="00DF6E38"/>
    <w:rsid w:val="00DF716C"/>
    <w:rsid w:val="00DF78C6"/>
    <w:rsid w:val="00E00123"/>
    <w:rsid w:val="00E01BDE"/>
    <w:rsid w:val="00E0451F"/>
    <w:rsid w:val="00E113C0"/>
    <w:rsid w:val="00E13541"/>
    <w:rsid w:val="00E14D72"/>
    <w:rsid w:val="00E16AFB"/>
    <w:rsid w:val="00E21E01"/>
    <w:rsid w:val="00E22ADE"/>
    <w:rsid w:val="00E23AD1"/>
    <w:rsid w:val="00E240FE"/>
    <w:rsid w:val="00E24DAC"/>
    <w:rsid w:val="00E33AAB"/>
    <w:rsid w:val="00E53839"/>
    <w:rsid w:val="00E566E4"/>
    <w:rsid w:val="00E60B70"/>
    <w:rsid w:val="00E60C03"/>
    <w:rsid w:val="00E62A0F"/>
    <w:rsid w:val="00E62C0E"/>
    <w:rsid w:val="00E651F2"/>
    <w:rsid w:val="00E65CBA"/>
    <w:rsid w:val="00E67C6B"/>
    <w:rsid w:val="00E70870"/>
    <w:rsid w:val="00E8014D"/>
    <w:rsid w:val="00E804F8"/>
    <w:rsid w:val="00E829A2"/>
    <w:rsid w:val="00E83ADE"/>
    <w:rsid w:val="00E854D2"/>
    <w:rsid w:val="00E866D6"/>
    <w:rsid w:val="00E90876"/>
    <w:rsid w:val="00E9434C"/>
    <w:rsid w:val="00EA0357"/>
    <w:rsid w:val="00EA27B3"/>
    <w:rsid w:val="00EA6BF0"/>
    <w:rsid w:val="00EB2024"/>
    <w:rsid w:val="00ED0078"/>
    <w:rsid w:val="00ED4442"/>
    <w:rsid w:val="00ED64E9"/>
    <w:rsid w:val="00ED6A4C"/>
    <w:rsid w:val="00ED74C3"/>
    <w:rsid w:val="00EF4430"/>
    <w:rsid w:val="00EF4CDF"/>
    <w:rsid w:val="00EF4F8A"/>
    <w:rsid w:val="00F0354E"/>
    <w:rsid w:val="00F05FC6"/>
    <w:rsid w:val="00F101EC"/>
    <w:rsid w:val="00F221C2"/>
    <w:rsid w:val="00F32C14"/>
    <w:rsid w:val="00F364DB"/>
    <w:rsid w:val="00F3780C"/>
    <w:rsid w:val="00F4269A"/>
    <w:rsid w:val="00F53DE9"/>
    <w:rsid w:val="00F579EC"/>
    <w:rsid w:val="00F62BE0"/>
    <w:rsid w:val="00F62FDB"/>
    <w:rsid w:val="00F679DE"/>
    <w:rsid w:val="00F71B7F"/>
    <w:rsid w:val="00F7222C"/>
    <w:rsid w:val="00F84B14"/>
    <w:rsid w:val="00F85BE8"/>
    <w:rsid w:val="00F873AF"/>
    <w:rsid w:val="00F9223D"/>
    <w:rsid w:val="00F92B12"/>
    <w:rsid w:val="00F951E9"/>
    <w:rsid w:val="00FA5216"/>
    <w:rsid w:val="00FA70CB"/>
    <w:rsid w:val="00FC1DCC"/>
    <w:rsid w:val="00FC1FD8"/>
    <w:rsid w:val="00FD07C4"/>
    <w:rsid w:val="00FD1524"/>
    <w:rsid w:val="00FD30EE"/>
    <w:rsid w:val="00FD5583"/>
    <w:rsid w:val="00FE0073"/>
    <w:rsid w:val="00FF1429"/>
    <w:rsid w:val="00FF19E9"/>
    <w:rsid w:val="00FF4047"/>
    <w:rsid w:val="00FF472B"/>
    <w:rsid w:val="00FF4DE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267">
    <w:lsdException w:name="footer" w:uiPriority="99"/>
    <w:lsdException w:name="No Spacing" w:uiPriority="1" w:qFormat="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7341"/>
    <w:rPr>
      <w:rFonts w:ascii="Trebuchet MS" w:hAnsi="Trebuchet MS"/>
      <w:sz w:val="22"/>
      <w:lang w:eastAsia="en-US"/>
    </w:rPr>
  </w:style>
  <w:style w:type="paragraph" w:styleId="Heading1">
    <w:name w:val="heading 1"/>
    <w:basedOn w:val="Normal"/>
    <w:next w:val="Normal"/>
    <w:qFormat/>
    <w:rsid w:val="00B5734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5734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5734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SubHeading"/>
    <w:rsid w:val="00B57341"/>
    <w:rPr>
      <w:sz w:val="26"/>
    </w:rPr>
  </w:style>
  <w:style w:type="character" w:styleId="Hyperlink">
    <w:name w:val="Hyperlink"/>
    <w:basedOn w:val="DefaultParagraphFont"/>
    <w:rsid w:val="00076969"/>
    <w:rPr>
      <w:color w:val="0000FF"/>
      <w:u w:val="single"/>
    </w:rPr>
  </w:style>
  <w:style w:type="paragraph" w:styleId="FootnoteText">
    <w:name w:val="footnote text"/>
    <w:basedOn w:val="Normal"/>
    <w:semiHidden/>
    <w:rsid w:val="00611A4D"/>
    <w:rPr>
      <w:sz w:val="20"/>
      <w:szCs w:val="20"/>
    </w:rPr>
  </w:style>
  <w:style w:type="paragraph" w:customStyle="1" w:styleId="SubHeading">
    <w:name w:val="Sub Heading"/>
    <w:basedOn w:val="Normal"/>
    <w:next w:val="FootnoteText"/>
    <w:rsid w:val="00B57341"/>
    <w:pPr>
      <w:keepNext/>
      <w:spacing w:before="240" w:after="60"/>
      <w:outlineLvl w:val="0"/>
    </w:pPr>
    <w:rPr>
      <w:rFonts w:cs="Arial"/>
      <w:b/>
      <w:kern w:val="32"/>
      <w:szCs w:val="32"/>
    </w:rPr>
  </w:style>
  <w:style w:type="character" w:styleId="FootnoteReference">
    <w:name w:val="footnote reference"/>
    <w:basedOn w:val="DefaultParagraphFont"/>
    <w:semiHidden/>
    <w:rsid w:val="00611A4D"/>
    <w:rPr>
      <w:vertAlign w:val="superscript"/>
    </w:rPr>
  </w:style>
  <w:style w:type="paragraph" w:styleId="Header">
    <w:name w:val="header"/>
    <w:basedOn w:val="Normal"/>
    <w:rsid w:val="00807B3F"/>
    <w:pPr>
      <w:tabs>
        <w:tab w:val="center" w:pos="4153"/>
        <w:tab w:val="right" w:pos="8306"/>
      </w:tabs>
    </w:pPr>
  </w:style>
  <w:style w:type="paragraph" w:styleId="Footer">
    <w:name w:val="footer"/>
    <w:basedOn w:val="Normal"/>
    <w:link w:val="FooterChar"/>
    <w:uiPriority w:val="99"/>
    <w:rsid w:val="00807B3F"/>
    <w:pPr>
      <w:tabs>
        <w:tab w:val="center" w:pos="4153"/>
        <w:tab w:val="right" w:pos="8306"/>
      </w:tabs>
    </w:pPr>
  </w:style>
  <w:style w:type="character" w:styleId="PageNumber">
    <w:name w:val="page number"/>
    <w:basedOn w:val="DefaultParagraphFont"/>
    <w:rsid w:val="00807B3F"/>
  </w:style>
  <w:style w:type="paragraph" w:styleId="ListParagraph">
    <w:name w:val="List Paragraph"/>
    <w:basedOn w:val="Normal"/>
    <w:uiPriority w:val="34"/>
    <w:qFormat/>
    <w:rsid w:val="001D6126"/>
    <w:pPr>
      <w:ind w:left="720"/>
    </w:pPr>
    <w:rPr>
      <w:rFonts w:ascii="Times New Roman" w:hAnsi="Times New Roman"/>
      <w:sz w:val="20"/>
      <w:szCs w:val="20"/>
      <w:lang w:val="en-US" w:eastAsia="en-AU"/>
    </w:rPr>
  </w:style>
  <w:style w:type="paragraph" w:customStyle="1" w:styleId="Default">
    <w:name w:val="Default"/>
    <w:rsid w:val="00192C56"/>
    <w:pPr>
      <w:autoSpaceDE w:val="0"/>
      <w:autoSpaceDN w:val="0"/>
      <w:adjustRightInd w:val="0"/>
    </w:pPr>
    <w:rPr>
      <w:rFonts w:ascii="Verdana" w:hAnsi="Verdana" w:cs="Verdana"/>
      <w:color w:val="000000"/>
    </w:rPr>
  </w:style>
  <w:style w:type="paragraph" w:styleId="NoSpacing">
    <w:name w:val="No Spacing"/>
    <w:aliases w:val="Normal bullet list"/>
    <w:uiPriority w:val="1"/>
    <w:qFormat/>
    <w:rsid w:val="008A22ED"/>
    <w:pPr>
      <w:numPr>
        <w:numId w:val="17"/>
      </w:numPr>
      <w:spacing w:after="240"/>
    </w:pPr>
  </w:style>
  <w:style w:type="character" w:styleId="CommentReference">
    <w:name w:val="annotation reference"/>
    <w:basedOn w:val="DefaultParagraphFont"/>
    <w:rsid w:val="009C4C28"/>
    <w:rPr>
      <w:sz w:val="18"/>
      <w:szCs w:val="18"/>
    </w:rPr>
  </w:style>
  <w:style w:type="paragraph" w:styleId="CommentText">
    <w:name w:val="annotation text"/>
    <w:basedOn w:val="Normal"/>
    <w:link w:val="CommentTextChar"/>
    <w:rsid w:val="009C4C28"/>
    <w:rPr>
      <w:sz w:val="24"/>
    </w:rPr>
  </w:style>
  <w:style w:type="character" w:customStyle="1" w:styleId="CommentTextChar">
    <w:name w:val="Comment Text Char"/>
    <w:basedOn w:val="DefaultParagraphFont"/>
    <w:link w:val="CommentText"/>
    <w:rsid w:val="009C4C28"/>
    <w:rPr>
      <w:rFonts w:ascii="Trebuchet MS" w:hAnsi="Trebuchet MS"/>
      <w:lang w:eastAsia="en-US"/>
    </w:rPr>
  </w:style>
  <w:style w:type="paragraph" w:styleId="CommentSubject">
    <w:name w:val="annotation subject"/>
    <w:basedOn w:val="CommentText"/>
    <w:next w:val="CommentText"/>
    <w:link w:val="CommentSubjectChar"/>
    <w:rsid w:val="009C4C28"/>
    <w:rPr>
      <w:b/>
      <w:bCs/>
      <w:sz w:val="20"/>
      <w:szCs w:val="20"/>
    </w:rPr>
  </w:style>
  <w:style w:type="character" w:customStyle="1" w:styleId="CommentSubjectChar">
    <w:name w:val="Comment Subject Char"/>
    <w:basedOn w:val="CommentTextChar"/>
    <w:link w:val="CommentSubject"/>
    <w:rsid w:val="009C4C28"/>
    <w:rPr>
      <w:b/>
      <w:bCs/>
      <w:sz w:val="20"/>
      <w:szCs w:val="20"/>
    </w:rPr>
  </w:style>
  <w:style w:type="paragraph" w:styleId="BalloonText">
    <w:name w:val="Balloon Text"/>
    <w:basedOn w:val="Normal"/>
    <w:link w:val="BalloonTextChar"/>
    <w:rsid w:val="009C4C28"/>
    <w:rPr>
      <w:rFonts w:ascii="Lucida Grande" w:hAnsi="Lucida Grande"/>
      <w:sz w:val="18"/>
      <w:szCs w:val="18"/>
    </w:rPr>
  </w:style>
  <w:style w:type="character" w:customStyle="1" w:styleId="BalloonTextChar">
    <w:name w:val="Balloon Text Char"/>
    <w:basedOn w:val="DefaultParagraphFont"/>
    <w:link w:val="BalloonText"/>
    <w:rsid w:val="009C4C28"/>
    <w:rPr>
      <w:rFonts w:ascii="Lucida Grande" w:hAnsi="Lucida Grande"/>
      <w:sz w:val="18"/>
      <w:szCs w:val="18"/>
      <w:lang w:eastAsia="en-US"/>
    </w:rPr>
  </w:style>
  <w:style w:type="character" w:customStyle="1" w:styleId="FooterChar">
    <w:name w:val="Footer Char"/>
    <w:basedOn w:val="DefaultParagraphFont"/>
    <w:link w:val="Footer"/>
    <w:uiPriority w:val="99"/>
    <w:rsid w:val="00E33AAB"/>
    <w:rPr>
      <w:rFonts w:ascii="Trebuchet MS" w:hAnsi="Trebuchet MS"/>
      <w:sz w:val="22"/>
      <w:lang w:eastAsia="en-US"/>
    </w:rPr>
  </w:style>
</w:styles>
</file>

<file path=word/webSettings.xml><?xml version="1.0" encoding="utf-8"?>
<w:webSettings xmlns:r="http://schemas.openxmlformats.org/officeDocument/2006/relationships" xmlns:w="http://schemas.openxmlformats.org/wordprocessingml/2006/main">
  <w:divs>
    <w:div w:id="374041492">
      <w:bodyDiv w:val="1"/>
      <w:marLeft w:val="0"/>
      <w:marRight w:val="0"/>
      <w:marTop w:val="0"/>
      <w:marBottom w:val="0"/>
      <w:divBdr>
        <w:top w:val="none" w:sz="0" w:space="0" w:color="auto"/>
        <w:left w:val="none" w:sz="0" w:space="0" w:color="auto"/>
        <w:bottom w:val="none" w:sz="0" w:space="0" w:color="auto"/>
        <w:right w:val="none" w:sz="0" w:space="0" w:color="auto"/>
      </w:divBdr>
      <w:divsChild>
        <w:div w:id="1537694850">
          <w:marLeft w:val="0"/>
          <w:marRight w:val="0"/>
          <w:marTop w:val="0"/>
          <w:marBottom w:val="0"/>
          <w:divBdr>
            <w:top w:val="none" w:sz="0" w:space="0" w:color="auto"/>
            <w:left w:val="none" w:sz="0" w:space="0" w:color="auto"/>
            <w:bottom w:val="none" w:sz="0" w:space="0" w:color="auto"/>
            <w:right w:val="none" w:sz="0" w:space="0" w:color="auto"/>
          </w:divBdr>
          <w:divsChild>
            <w:div w:id="914516308">
              <w:marLeft w:val="0"/>
              <w:marRight w:val="0"/>
              <w:marTop w:val="0"/>
              <w:marBottom w:val="0"/>
              <w:divBdr>
                <w:top w:val="none" w:sz="0" w:space="0" w:color="auto"/>
                <w:left w:val="none" w:sz="0" w:space="0" w:color="auto"/>
                <w:bottom w:val="none" w:sz="0" w:space="0" w:color="auto"/>
                <w:right w:val="none" w:sz="0" w:space="0" w:color="auto"/>
              </w:divBdr>
              <w:divsChild>
                <w:div w:id="274875551">
                  <w:marLeft w:val="0"/>
                  <w:marRight w:val="0"/>
                  <w:marTop w:val="0"/>
                  <w:marBottom w:val="0"/>
                  <w:divBdr>
                    <w:top w:val="none" w:sz="0" w:space="0" w:color="auto"/>
                    <w:left w:val="none" w:sz="0" w:space="0" w:color="auto"/>
                    <w:bottom w:val="none" w:sz="0" w:space="0" w:color="auto"/>
                    <w:right w:val="none" w:sz="0" w:space="0" w:color="auto"/>
                  </w:divBdr>
                  <w:divsChild>
                    <w:div w:id="310063852">
                      <w:marLeft w:val="0"/>
                      <w:marRight w:val="0"/>
                      <w:marTop w:val="0"/>
                      <w:marBottom w:val="0"/>
                      <w:divBdr>
                        <w:top w:val="none" w:sz="0" w:space="0" w:color="auto"/>
                        <w:left w:val="none" w:sz="0" w:space="0" w:color="auto"/>
                        <w:bottom w:val="none" w:sz="0" w:space="0" w:color="auto"/>
                        <w:right w:val="none" w:sz="0" w:space="0" w:color="auto"/>
                      </w:divBdr>
                      <w:divsChild>
                        <w:div w:id="590356606">
                          <w:marLeft w:val="0"/>
                          <w:marRight w:val="0"/>
                          <w:marTop w:val="0"/>
                          <w:marBottom w:val="0"/>
                          <w:divBdr>
                            <w:top w:val="single" w:sz="6" w:space="0" w:color="828282"/>
                            <w:left w:val="single" w:sz="6" w:space="0" w:color="828282"/>
                            <w:bottom w:val="single" w:sz="6" w:space="0" w:color="828282"/>
                            <w:right w:val="single" w:sz="6" w:space="0" w:color="828282"/>
                          </w:divBdr>
                          <w:divsChild>
                            <w:div w:id="1459638715">
                              <w:marLeft w:val="0"/>
                              <w:marRight w:val="0"/>
                              <w:marTop w:val="0"/>
                              <w:marBottom w:val="0"/>
                              <w:divBdr>
                                <w:top w:val="none" w:sz="0" w:space="0" w:color="auto"/>
                                <w:left w:val="none" w:sz="0" w:space="0" w:color="auto"/>
                                <w:bottom w:val="none" w:sz="0" w:space="0" w:color="auto"/>
                                <w:right w:val="none" w:sz="0" w:space="0" w:color="auto"/>
                              </w:divBdr>
                              <w:divsChild>
                                <w:div w:id="1337422932">
                                  <w:marLeft w:val="0"/>
                                  <w:marRight w:val="0"/>
                                  <w:marTop w:val="0"/>
                                  <w:marBottom w:val="0"/>
                                  <w:divBdr>
                                    <w:top w:val="none" w:sz="0" w:space="0" w:color="auto"/>
                                    <w:left w:val="none" w:sz="0" w:space="0" w:color="auto"/>
                                    <w:bottom w:val="none" w:sz="0" w:space="0" w:color="auto"/>
                                    <w:right w:val="none" w:sz="0" w:space="0" w:color="auto"/>
                                  </w:divBdr>
                                  <w:divsChild>
                                    <w:div w:id="1331905773">
                                      <w:marLeft w:val="0"/>
                                      <w:marRight w:val="0"/>
                                      <w:marTop w:val="0"/>
                                      <w:marBottom w:val="0"/>
                                      <w:divBdr>
                                        <w:top w:val="none" w:sz="0" w:space="0" w:color="auto"/>
                                        <w:left w:val="none" w:sz="0" w:space="0" w:color="auto"/>
                                        <w:bottom w:val="none" w:sz="0" w:space="0" w:color="auto"/>
                                        <w:right w:val="none" w:sz="0" w:space="0" w:color="auto"/>
                                      </w:divBdr>
                                      <w:divsChild>
                                        <w:div w:id="1899785669">
                                          <w:marLeft w:val="0"/>
                                          <w:marRight w:val="0"/>
                                          <w:marTop w:val="0"/>
                                          <w:marBottom w:val="0"/>
                                          <w:divBdr>
                                            <w:top w:val="none" w:sz="0" w:space="0" w:color="auto"/>
                                            <w:left w:val="none" w:sz="0" w:space="0" w:color="auto"/>
                                            <w:bottom w:val="none" w:sz="0" w:space="0" w:color="auto"/>
                                            <w:right w:val="none" w:sz="0" w:space="0" w:color="auto"/>
                                          </w:divBdr>
                                          <w:divsChild>
                                            <w:div w:id="1468937946">
                                              <w:marLeft w:val="0"/>
                                              <w:marRight w:val="0"/>
                                              <w:marTop w:val="0"/>
                                              <w:marBottom w:val="0"/>
                                              <w:divBdr>
                                                <w:top w:val="none" w:sz="0" w:space="0" w:color="auto"/>
                                                <w:left w:val="none" w:sz="0" w:space="0" w:color="auto"/>
                                                <w:bottom w:val="none" w:sz="0" w:space="0" w:color="auto"/>
                                                <w:right w:val="none" w:sz="0" w:space="0" w:color="auto"/>
                                              </w:divBdr>
                                              <w:divsChild>
                                                <w:div w:id="205550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9387123">
      <w:bodyDiv w:val="1"/>
      <w:marLeft w:val="0"/>
      <w:marRight w:val="0"/>
      <w:marTop w:val="0"/>
      <w:marBottom w:val="0"/>
      <w:divBdr>
        <w:top w:val="none" w:sz="0" w:space="0" w:color="auto"/>
        <w:left w:val="none" w:sz="0" w:space="0" w:color="auto"/>
        <w:bottom w:val="none" w:sz="0" w:space="0" w:color="auto"/>
        <w:right w:val="none" w:sz="0" w:space="0" w:color="auto"/>
      </w:divBdr>
    </w:div>
    <w:div w:id="1605577217">
      <w:bodyDiv w:val="1"/>
      <w:marLeft w:val="0"/>
      <w:marRight w:val="0"/>
      <w:marTop w:val="0"/>
      <w:marBottom w:val="0"/>
      <w:divBdr>
        <w:top w:val="none" w:sz="0" w:space="0" w:color="auto"/>
        <w:left w:val="none" w:sz="0" w:space="0" w:color="auto"/>
        <w:bottom w:val="none" w:sz="0" w:space="0" w:color="auto"/>
        <w:right w:val="none" w:sz="0" w:space="0" w:color="auto"/>
      </w:divBdr>
      <w:divsChild>
        <w:div w:id="7491131">
          <w:marLeft w:val="0"/>
          <w:marRight w:val="0"/>
          <w:marTop w:val="0"/>
          <w:marBottom w:val="0"/>
          <w:divBdr>
            <w:top w:val="none" w:sz="0" w:space="0" w:color="auto"/>
            <w:left w:val="none" w:sz="0" w:space="0" w:color="auto"/>
            <w:bottom w:val="none" w:sz="0" w:space="0" w:color="auto"/>
            <w:right w:val="none" w:sz="0" w:space="0" w:color="auto"/>
          </w:divBdr>
          <w:divsChild>
            <w:div w:id="832139205">
              <w:marLeft w:val="0"/>
              <w:marRight w:val="0"/>
              <w:marTop w:val="0"/>
              <w:marBottom w:val="0"/>
              <w:divBdr>
                <w:top w:val="none" w:sz="0" w:space="0" w:color="auto"/>
                <w:left w:val="none" w:sz="0" w:space="0" w:color="auto"/>
                <w:bottom w:val="none" w:sz="0" w:space="0" w:color="auto"/>
                <w:right w:val="none" w:sz="0" w:space="0" w:color="auto"/>
              </w:divBdr>
              <w:divsChild>
                <w:div w:id="1218781037">
                  <w:marLeft w:val="0"/>
                  <w:marRight w:val="0"/>
                  <w:marTop w:val="0"/>
                  <w:marBottom w:val="0"/>
                  <w:divBdr>
                    <w:top w:val="none" w:sz="0" w:space="0" w:color="auto"/>
                    <w:left w:val="none" w:sz="0" w:space="0" w:color="auto"/>
                    <w:bottom w:val="none" w:sz="0" w:space="0" w:color="auto"/>
                    <w:right w:val="none" w:sz="0" w:space="0" w:color="auto"/>
                  </w:divBdr>
                  <w:divsChild>
                    <w:div w:id="1921476847">
                      <w:marLeft w:val="0"/>
                      <w:marRight w:val="0"/>
                      <w:marTop w:val="0"/>
                      <w:marBottom w:val="0"/>
                      <w:divBdr>
                        <w:top w:val="none" w:sz="0" w:space="0" w:color="auto"/>
                        <w:left w:val="none" w:sz="0" w:space="0" w:color="auto"/>
                        <w:bottom w:val="none" w:sz="0" w:space="0" w:color="auto"/>
                        <w:right w:val="none" w:sz="0" w:space="0" w:color="auto"/>
                      </w:divBdr>
                      <w:divsChild>
                        <w:div w:id="1051002643">
                          <w:marLeft w:val="0"/>
                          <w:marRight w:val="0"/>
                          <w:marTop w:val="0"/>
                          <w:marBottom w:val="0"/>
                          <w:divBdr>
                            <w:top w:val="single" w:sz="6" w:space="0" w:color="828282"/>
                            <w:left w:val="single" w:sz="6" w:space="0" w:color="828282"/>
                            <w:bottom w:val="single" w:sz="6" w:space="0" w:color="828282"/>
                            <w:right w:val="single" w:sz="6" w:space="0" w:color="828282"/>
                          </w:divBdr>
                          <w:divsChild>
                            <w:div w:id="210923833">
                              <w:marLeft w:val="0"/>
                              <w:marRight w:val="0"/>
                              <w:marTop w:val="0"/>
                              <w:marBottom w:val="0"/>
                              <w:divBdr>
                                <w:top w:val="none" w:sz="0" w:space="0" w:color="auto"/>
                                <w:left w:val="none" w:sz="0" w:space="0" w:color="auto"/>
                                <w:bottom w:val="none" w:sz="0" w:space="0" w:color="auto"/>
                                <w:right w:val="none" w:sz="0" w:space="0" w:color="auto"/>
                              </w:divBdr>
                              <w:divsChild>
                                <w:div w:id="1337922848">
                                  <w:marLeft w:val="0"/>
                                  <w:marRight w:val="0"/>
                                  <w:marTop w:val="0"/>
                                  <w:marBottom w:val="0"/>
                                  <w:divBdr>
                                    <w:top w:val="none" w:sz="0" w:space="0" w:color="auto"/>
                                    <w:left w:val="none" w:sz="0" w:space="0" w:color="auto"/>
                                    <w:bottom w:val="none" w:sz="0" w:space="0" w:color="auto"/>
                                    <w:right w:val="none" w:sz="0" w:space="0" w:color="auto"/>
                                  </w:divBdr>
                                  <w:divsChild>
                                    <w:div w:id="1409116830">
                                      <w:marLeft w:val="0"/>
                                      <w:marRight w:val="0"/>
                                      <w:marTop w:val="0"/>
                                      <w:marBottom w:val="0"/>
                                      <w:divBdr>
                                        <w:top w:val="none" w:sz="0" w:space="0" w:color="auto"/>
                                        <w:left w:val="none" w:sz="0" w:space="0" w:color="auto"/>
                                        <w:bottom w:val="none" w:sz="0" w:space="0" w:color="auto"/>
                                        <w:right w:val="none" w:sz="0" w:space="0" w:color="auto"/>
                                      </w:divBdr>
                                      <w:divsChild>
                                        <w:div w:id="72553719">
                                          <w:marLeft w:val="0"/>
                                          <w:marRight w:val="0"/>
                                          <w:marTop w:val="0"/>
                                          <w:marBottom w:val="0"/>
                                          <w:divBdr>
                                            <w:top w:val="none" w:sz="0" w:space="0" w:color="auto"/>
                                            <w:left w:val="none" w:sz="0" w:space="0" w:color="auto"/>
                                            <w:bottom w:val="none" w:sz="0" w:space="0" w:color="auto"/>
                                            <w:right w:val="none" w:sz="0" w:space="0" w:color="auto"/>
                                          </w:divBdr>
                                          <w:divsChild>
                                            <w:div w:id="859123168">
                                              <w:marLeft w:val="0"/>
                                              <w:marRight w:val="0"/>
                                              <w:marTop w:val="0"/>
                                              <w:marBottom w:val="0"/>
                                              <w:divBdr>
                                                <w:top w:val="none" w:sz="0" w:space="0" w:color="auto"/>
                                                <w:left w:val="none" w:sz="0" w:space="0" w:color="auto"/>
                                                <w:bottom w:val="none" w:sz="0" w:space="0" w:color="auto"/>
                                                <w:right w:val="none" w:sz="0" w:space="0" w:color="auto"/>
                                              </w:divBdr>
                                              <w:divsChild>
                                                <w:div w:id="20374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50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apra.gov.au/lifs/ReportingFramework/Pages/LAGIC-final-reporting-requirements-LI-October-2012.aspx" TargetMode="External"/><Relationship Id="rId2" Type="http://schemas.openxmlformats.org/officeDocument/2006/relationships/hyperlink" Target="http://www.apra.gov.au/CrossIndustry/Consultations/Documents/120806-letter-to-industry-LAGIC-proposed-changes-to-reporting-standards.pdf" TargetMode="External"/><Relationship Id="rId1" Type="http://schemas.openxmlformats.org/officeDocument/2006/relationships/hyperlink" Target="http://www.apra.gov.au/CrossIndustry/Consultations/Pages/LAGIC-Reporting-Requirements-June-201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099198-65DF-48E1-8152-DB2C205AF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1529</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&lt;&lt;enter title of instrument, including subtitle (if any)&gt;&gt;</vt:lpstr>
    </vt:vector>
  </TitlesOfParts>
  <Company>APRA</Company>
  <LinksUpToDate>false</LinksUpToDate>
  <CharactersWithSpaces>10225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&lt;&lt;enter title of instrument, including subtitle (if any)&gt;&gt;</dc:title>
  <dc:subject/>
  <dc:creator>vxkart</dc:creator>
  <cp:keywords/>
  <dc:description/>
  <cp:lastModifiedBy>imb1dp</cp:lastModifiedBy>
  <cp:revision>2</cp:revision>
  <cp:lastPrinted>2013-01-21T05:08:00Z</cp:lastPrinted>
  <dcterms:created xsi:type="dcterms:W3CDTF">2013-01-29T01:29:00Z</dcterms:created>
  <dcterms:modified xsi:type="dcterms:W3CDTF">2013-01-29T01:29:00Z</dcterms:modified>
</cp:coreProperties>
</file>