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00" w:rsidRDefault="00797500">
      <w:pPr>
        <w:jc w:val="center"/>
        <w:rPr>
          <w:b/>
          <w:u w:val="single"/>
        </w:rPr>
      </w:pPr>
      <w:bookmarkStart w:id="0" w:name="_GoBack"/>
      <w:bookmarkEnd w:id="0"/>
    </w:p>
    <w:p w:rsidR="00797500" w:rsidRDefault="00797500">
      <w:pPr>
        <w:jc w:val="center"/>
        <w:rPr>
          <w:b/>
          <w:u w:val="single"/>
        </w:rPr>
      </w:pPr>
    </w:p>
    <w:p w:rsidR="00116DB6" w:rsidRPr="00A2181D" w:rsidRDefault="00A2181D">
      <w:pPr>
        <w:jc w:val="center"/>
        <w:rPr>
          <w:b/>
          <w:u w:val="single"/>
        </w:rPr>
      </w:pPr>
      <w:r w:rsidRPr="00A2181D">
        <w:rPr>
          <w:b/>
          <w:u w:val="single"/>
        </w:rPr>
        <w:t xml:space="preserve">EXPLANATORY </w:t>
      </w:r>
      <w:r w:rsidR="00797500">
        <w:rPr>
          <w:b/>
          <w:u w:val="single"/>
        </w:rPr>
        <w:t>STATEMENT</w:t>
      </w:r>
    </w:p>
    <w:p w:rsidR="007E7E48" w:rsidRDefault="007E7E48" w:rsidP="00457E4A">
      <w:pPr>
        <w:rPr>
          <w:b/>
        </w:rPr>
      </w:pPr>
    </w:p>
    <w:p w:rsidR="00A2181D" w:rsidRDefault="00660062" w:rsidP="00660062">
      <w:pPr>
        <w:jc w:val="center"/>
        <w:rPr>
          <w:u w:val="single"/>
        </w:rPr>
      </w:pPr>
      <w:r w:rsidRPr="004B0AE7">
        <w:rPr>
          <w:rFonts w:ascii="Times New Roman" w:hAnsi="Times New Roman"/>
          <w:i/>
          <w:szCs w:val="24"/>
        </w:rPr>
        <w:t>Therapeutic Goods Act 1989</w:t>
      </w:r>
    </w:p>
    <w:p w:rsidR="00660062" w:rsidRDefault="00660062" w:rsidP="00457E4A">
      <w:pPr>
        <w:rPr>
          <w:u w:val="single"/>
        </w:rPr>
      </w:pPr>
    </w:p>
    <w:p w:rsidR="00B16CCB" w:rsidRPr="00660062" w:rsidRDefault="00B16CCB" w:rsidP="00B16CCB">
      <w:pPr>
        <w:jc w:val="center"/>
        <w:rPr>
          <w:b/>
          <w:sz w:val="20"/>
        </w:rPr>
      </w:pPr>
      <w:r w:rsidRPr="00660062">
        <w:rPr>
          <w:b/>
        </w:rPr>
        <w:t xml:space="preserve">Therapeutic Goods Information </w:t>
      </w:r>
      <w:r w:rsidR="00A25BB0">
        <w:rPr>
          <w:b/>
        </w:rPr>
        <w:t>(Stakehol</w:t>
      </w:r>
      <w:r w:rsidR="001D1F60">
        <w:rPr>
          <w:b/>
        </w:rPr>
        <w:t>der Consultation on the System for Australian Recall Actions</w:t>
      </w:r>
      <w:r w:rsidR="00A25BB0">
        <w:rPr>
          <w:b/>
        </w:rPr>
        <w:t xml:space="preserve">) </w:t>
      </w:r>
      <w:r w:rsidRPr="00660062">
        <w:rPr>
          <w:b/>
        </w:rPr>
        <w:t xml:space="preserve">Specification </w:t>
      </w:r>
      <w:r w:rsidR="00F13532" w:rsidRPr="00660062">
        <w:rPr>
          <w:b/>
        </w:rPr>
        <w:t>20</w:t>
      </w:r>
      <w:r w:rsidR="00F13532">
        <w:rPr>
          <w:b/>
        </w:rPr>
        <w:t>13</w:t>
      </w:r>
    </w:p>
    <w:p w:rsidR="00A2181D" w:rsidRDefault="00A2181D">
      <w:pPr>
        <w:jc w:val="center"/>
        <w:rPr>
          <w:b/>
        </w:rPr>
      </w:pPr>
    </w:p>
    <w:p w:rsidR="00270F5B" w:rsidRDefault="00270F5B" w:rsidP="00270F5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660062" w:rsidRPr="004B0AE7">
        <w:rPr>
          <w:rFonts w:ascii="Times New Roman" w:hAnsi="Times New Roman"/>
          <w:i/>
          <w:szCs w:val="24"/>
        </w:rPr>
        <w:t>Therapeutic Goods Act 1989</w:t>
      </w:r>
      <w:r w:rsidR="00660062">
        <w:rPr>
          <w:rFonts w:ascii="Times New Roman" w:hAnsi="Times New Roman"/>
          <w:szCs w:val="24"/>
        </w:rPr>
        <w:t xml:space="preserve"> (the Act)</w:t>
      </w:r>
      <w:r>
        <w:rPr>
          <w:rFonts w:ascii="Times New Roman" w:hAnsi="Times New Roman"/>
          <w:szCs w:val="24"/>
        </w:rPr>
        <w:t xml:space="preserve"> provides for the establishment and maintenance of a national system of controls for the quality, safety, efficacy and timely availability of therapeutic goods that are used in or exported from Australia.  The Therapeutic Goods Administration (the TGA)</w:t>
      </w:r>
      <w:r w:rsidR="001D1F60">
        <w:rPr>
          <w:rFonts w:ascii="Times New Roman" w:hAnsi="Times New Roman"/>
          <w:szCs w:val="24"/>
        </w:rPr>
        <w:t xml:space="preserve">, which is a </w:t>
      </w:r>
      <w:r w:rsidR="00313294">
        <w:rPr>
          <w:rFonts w:ascii="Times New Roman" w:hAnsi="Times New Roman"/>
          <w:szCs w:val="24"/>
        </w:rPr>
        <w:t>d</w:t>
      </w:r>
      <w:r w:rsidR="001D1F60">
        <w:rPr>
          <w:rFonts w:ascii="Times New Roman" w:hAnsi="Times New Roman"/>
          <w:szCs w:val="24"/>
        </w:rPr>
        <w:t>ivision of the Department of Health and Ageing,</w:t>
      </w:r>
      <w:r>
        <w:rPr>
          <w:rFonts w:ascii="Times New Roman" w:hAnsi="Times New Roman"/>
          <w:szCs w:val="24"/>
        </w:rPr>
        <w:t xml:space="preserve"> is responsible for administering the Act.</w:t>
      </w:r>
    </w:p>
    <w:p w:rsidR="00270F5B" w:rsidRDefault="00270F5B" w:rsidP="00270F5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70F5B" w:rsidRDefault="00270F5B" w:rsidP="00270F5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Section 61 of the Act lists a number of persons or organisations</w:t>
      </w:r>
      <w:r w:rsidR="00313294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E91DE1">
        <w:rPr>
          <w:rFonts w:ascii="Times New Roman" w:hAnsi="Times New Roman"/>
          <w:szCs w:val="24"/>
        </w:rPr>
        <w:t xml:space="preserve">such as the World Health Organisation and State </w:t>
      </w:r>
      <w:r w:rsidR="00313294">
        <w:rPr>
          <w:rFonts w:ascii="Times New Roman" w:hAnsi="Times New Roman"/>
          <w:szCs w:val="24"/>
        </w:rPr>
        <w:t xml:space="preserve">and </w:t>
      </w:r>
      <w:r w:rsidR="00E91DE1">
        <w:rPr>
          <w:rFonts w:ascii="Times New Roman" w:hAnsi="Times New Roman"/>
          <w:szCs w:val="24"/>
        </w:rPr>
        <w:t>Territory authorities</w:t>
      </w:r>
      <w:r w:rsidR="00313294">
        <w:rPr>
          <w:rFonts w:ascii="Times New Roman" w:hAnsi="Times New Roman"/>
          <w:szCs w:val="24"/>
        </w:rPr>
        <w:t>,</w:t>
      </w:r>
      <w:r w:rsidR="00E91DE1">
        <w:rPr>
          <w:rFonts w:ascii="Times New Roman" w:hAnsi="Times New Roman"/>
          <w:szCs w:val="24"/>
        </w:rPr>
        <w:t xml:space="preserve"> that have functions relating to therapeutic goods, </w:t>
      </w:r>
      <w:r>
        <w:rPr>
          <w:rFonts w:ascii="Times New Roman" w:hAnsi="Times New Roman"/>
          <w:szCs w:val="24"/>
        </w:rPr>
        <w:t>to whom the Secretary may release specified kinds of therapeutic goods information.</w:t>
      </w:r>
    </w:p>
    <w:p w:rsidR="00270F5B" w:rsidRDefault="00270F5B" w:rsidP="00B16CC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464B2" w:rsidRDefault="0067666F" w:rsidP="00B16CC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4B0AE7">
        <w:rPr>
          <w:rFonts w:ascii="Times New Roman" w:hAnsi="Times New Roman"/>
          <w:szCs w:val="24"/>
        </w:rPr>
        <w:t>Therapeutic Goo</w:t>
      </w:r>
      <w:r w:rsidR="000F42C5">
        <w:rPr>
          <w:rFonts w:ascii="Times New Roman" w:hAnsi="Times New Roman"/>
          <w:szCs w:val="24"/>
        </w:rPr>
        <w:t xml:space="preserve">ds Information </w:t>
      </w:r>
      <w:r>
        <w:rPr>
          <w:rFonts w:ascii="Times New Roman" w:hAnsi="Times New Roman"/>
          <w:szCs w:val="24"/>
        </w:rPr>
        <w:t>(</w:t>
      </w:r>
      <w:r w:rsidR="00191AF0">
        <w:rPr>
          <w:rFonts w:ascii="Times New Roman" w:hAnsi="Times New Roman"/>
          <w:szCs w:val="24"/>
        </w:rPr>
        <w:t>Stakehol</w:t>
      </w:r>
      <w:r w:rsidR="001D1F60">
        <w:rPr>
          <w:rFonts w:ascii="Times New Roman" w:hAnsi="Times New Roman"/>
          <w:szCs w:val="24"/>
        </w:rPr>
        <w:t>der Consultation on the System for Australian Recall Actions</w:t>
      </w:r>
      <w:r>
        <w:rPr>
          <w:rFonts w:ascii="Times New Roman" w:hAnsi="Times New Roman"/>
          <w:szCs w:val="24"/>
        </w:rPr>
        <w:t xml:space="preserve">) </w:t>
      </w:r>
      <w:r w:rsidR="00541205">
        <w:rPr>
          <w:rFonts w:ascii="Times New Roman" w:hAnsi="Times New Roman"/>
          <w:szCs w:val="24"/>
        </w:rPr>
        <w:t xml:space="preserve">Specification </w:t>
      </w:r>
      <w:r w:rsidR="00F13532">
        <w:rPr>
          <w:rFonts w:ascii="Times New Roman" w:hAnsi="Times New Roman"/>
          <w:szCs w:val="24"/>
        </w:rPr>
        <w:t xml:space="preserve">2013 </w:t>
      </w:r>
      <w:r w:rsidR="004B0AE7">
        <w:rPr>
          <w:rFonts w:ascii="Times New Roman" w:hAnsi="Times New Roman"/>
          <w:szCs w:val="24"/>
        </w:rPr>
        <w:t>(the Specification) is made by the Minister under subsection 61(5</w:t>
      </w:r>
      <w:r>
        <w:rPr>
          <w:rFonts w:ascii="Times New Roman" w:hAnsi="Times New Roman"/>
          <w:szCs w:val="24"/>
        </w:rPr>
        <w:t>AB</w:t>
      </w:r>
      <w:r w:rsidR="004B0AE7">
        <w:rPr>
          <w:rFonts w:ascii="Times New Roman" w:hAnsi="Times New Roman"/>
          <w:szCs w:val="24"/>
        </w:rPr>
        <w:t xml:space="preserve">) of </w:t>
      </w:r>
      <w:r w:rsidR="002C5253">
        <w:rPr>
          <w:rFonts w:ascii="Times New Roman" w:hAnsi="Times New Roman"/>
          <w:szCs w:val="24"/>
        </w:rPr>
        <w:t xml:space="preserve">the Act </w:t>
      </w:r>
      <w:r w:rsidR="00696977">
        <w:rPr>
          <w:rFonts w:ascii="Times New Roman" w:hAnsi="Times New Roman"/>
          <w:szCs w:val="24"/>
        </w:rPr>
        <w:t xml:space="preserve">and specifies </w:t>
      </w:r>
      <w:r w:rsidR="004B0AE7">
        <w:rPr>
          <w:rFonts w:ascii="Times New Roman" w:hAnsi="Times New Roman"/>
          <w:szCs w:val="24"/>
        </w:rPr>
        <w:t xml:space="preserve">the kinds of therapeutic goods information </w:t>
      </w:r>
      <w:r w:rsidR="00256F8C">
        <w:rPr>
          <w:rFonts w:ascii="Times New Roman" w:hAnsi="Times New Roman"/>
          <w:szCs w:val="24"/>
        </w:rPr>
        <w:t xml:space="preserve">that the Secretary may then release under subsection 61(5AA) </w:t>
      </w:r>
      <w:r w:rsidR="00B02691">
        <w:rPr>
          <w:rFonts w:ascii="Times New Roman" w:hAnsi="Times New Roman"/>
          <w:szCs w:val="24"/>
        </w:rPr>
        <w:t>of the Act, the persons and bodies</w:t>
      </w:r>
      <w:r w:rsidR="00256F8C">
        <w:rPr>
          <w:rFonts w:ascii="Times New Roman" w:hAnsi="Times New Roman"/>
          <w:szCs w:val="24"/>
        </w:rPr>
        <w:t xml:space="preserve"> to whom the Secretary may release such information under s</w:t>
      </w:r>
      <w:r w:rsidR="00313294">
        <w:rPr>
          <w:rFonts w:ascii="Times New Roman" w:hAnsi="Times New Roman"/>
          <w:szCs w:val="24"/>
        </w:rPr>
        <w:t xml:space="preserve">ubsection </w:t>
      </w:r>
      <w:r w:rsidR="00256F8C">
        <w:rPr>
          <w:rFonts w:ascii="Times New Roman" w:hAnsi="Times New Roman"/>
          <w:szCs w:val="24"/>
        </w:rPr>
        <w:t>61(5AA) and the purposes for which the Secretary may release that information to those persons.</w:t>
      </w:r>
    </w:p>
    <w:p w:rsidR="00B02691" w:rsidRDefault="00B02691" w:rsidP="00B16CC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464B2" w:rsidRDefault="002C5253" w:rsidP="002C525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Therapeutic goods information in this context is defined in subsection 61(1) of the Act as</w:t>
      </w:r>
      <w:r w:rsidR="00256F8C">
        <w:rPr>
          <w:rFonts w:ascii="Times New Roman" w:hAnsi="Times New Roman"/>
          <w:szCs w:val="24"/>
        </w:rPr>
        <w:t>, relevantly,</w:t>
      </w:r>
      <w:r>
        <w:rPr>
          <w:rFonts w:ascii="Times New Roman" w:hAnsi="Times New Roman"/>
          <w:szCs w:val="24"/>
        </w:rPr>
        <w:t xml:space="preserve"> information in relation to therapeutic goods that is held by the Department </w:t>
      </w:r>
      <w:r w:rsidR="00E91DE1">
        <w:rPr>
          <w:rFonts w:ascii="Times New Roman" w:hAnsi="Times New Roman"/>
          <w:szCs w:val="24"/>
        </w:rPr>
        <w:t xml:space="preserve">(of which the TGA is a </w:t>
      </w:r>
      <w:r w:rsidR="00337E71">
        <w:rPr>
          <w:rFonts w:ascii="Times New Roman" w:hAnsi="Times New Roman"/>
          <w:szCs w:val="24"/>
        </w:rPr>
        <w:t>division</w:t>
      </w:r>
      <w:r w:rsidR="00E91DE1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and which relates to the performance of the Department’s functions.</w:t>
      </w:r>
    </w:p>
    <w:p w:rsidR="006464B2" w:rsidRDefault="006464B2" w:rsidP="00B16CC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464B2" w:rsidRDefault="006F7E73" w:rsidP="00B16CC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Specification commenced on the day after it was registered on the Federal Register of Legislative Instruments.</w:t>
      </w:r>
    </w:p>
    <w:p w:rsidR="006464B2" w:rsidRDefault="006464B2" w:rsidP="00B16CC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464B2" w:rsidRPr="00804792" w:rsidRDefault="006F7E73" w:rsidP="00B16CCB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804792">
        <w:rPr>
          <w:rFonts w:ascii="Times New Roman" w:hAnsi="Times New Roman"/>
          <w:b/>
          <w:szCs w:val="24"/>
        </w:rPr>
        <w:t>BACKGROUND</w:t>
      </w:r>
    </w:p>
    <w:p w:rsidR="006464B2" w:rsidRDefault="006464B2" w:rsidP="00B16CC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D24DDA" w:rsidRDefault="00D24DDA" w:rsidP="00D24DDA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 June 2011 the </w:t>
      </w:r>
      <w:r>
        <w:t xml:space="preserve">Australian and New Zealand Governments agreed to proceed with a joint scheme for </w:t>
      </w:r>
      <w:r w:rsidR="009F2EA6">
        <w:t xml:space="preserve">the </w:t>
      </w:r>
      <w:r>
        <w:t>regulation of therapeutic goods.</w:t>
      </w:r>
      <w:r w:rsidRPr="00D24DDA">
        <w:t xml:space="preserve"> </w:t>
      </w:r>
      <w:r>
        <w:t xml:space="preserve"> The creation of a joint regulatory scheme </w:t>
      </w:r>
      <w:r w:rsidR="00313294">
        <w:t xml:space="preserve">applying in </w:t>
      </w:r>
      <w:r>
        <w:t xml:space="preserve">both countries will safeguard public health and safety, while encouraging economic integration and benefitting industry in both countries.  </w:t>
      </w:r>
      <w:r w:rsidR="00AD7A51">
        <w:t xml:space="preserve">The scheme </w:t>
      </w:r>
      <w:r>
        <w:t>will be administered by a single regulatory agency, the Australia New Zealand Therapeutic Products Agency</w:t>
      </w:r>
      <w:r w:rsidR="004C11C2">
        <w:t>.</w:t>
      </w:r>
    </w:p>
    <w:p w:rsidR="00D24DDA" w:rsidRDefault="00D24DDA" w:rsidP="005F3F50">
      <w:pPr>
        <w:autoSpaceDE w:val="0"/>
        <w:autoSpaceDN w:val="0"/>
        <w:adjustRightInd w:val="0"/>
      </w:pPr>
    </w:p>
    <w:p w:rsidR="00266A9F" w:rsidRDefault="00C41AA7" w:rsidP="005F3F5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A05133">
        <w:t xml:space="preserve">As part of </w:t>
      </w:r>
      <w:r w:rsidR="00313294">
        <w:t xml:space="preserve">a </w:t>
      </w:r>
      <w:r w:rsidRPr="00A05133">
        <w:t xml:space="preserve">staged approach to achieving that goal, </w:t>
      </w:r>
      <w:r w:rsidR="00386D9E">
        <w:t xml:space="preserve">the Australian and New Zealand Governments </w:t>
      </w:r>
      <w:r w:rsidRPr="00A05133">
        <w:t xml:space="preserve">agreed that the TGA and </w:t>
      </w:r>
      <w:r w:rsidR="009F2EA6">
        <w:t>the New Zealand Medicines and Medical Devices Safety Authority (</w:t>
      </w:r>
      <w:proofErr w:type="spellStart"/>
      <w:r w:rsidRPr="00A05133">
        <w:t>Medsafe</w:t>
      </w:r>
      <w:proofErr w:type="spellEnd"/>
      <w:r w:rsidR="009F2EA6">
        <w:t>)</w:t>
      </w:r>
      <w:r w:rsidRPr="00A05133">
        <w:t xml:space="preserve"> would begin a program of joint projects</w:t>
      </w:r>
      <w:r w:rsidR="00AD7A51">
        <w:t xml:space="preserve">.  </w:t>
      </w:r>
      <w:r w:rsidR="005B168D">
        <w:rPr>
          <w:rFonts w:ascii="Times New Roman" w:hAnsi="Times New Roman"/>
          <w:szCs w:val="24"/>
        </w:rPr>
        <w:t xml:space="preserve">One of the </w:t>
      </w:r>
      <w:r w:rsidR="004C11C2">
        <w:rPr>
          <w:rFonts w:ascii="Times New Roman" w:hAnsi="Times New Roman"/>
          <w:szCs w:val="24"/>
        </w:rPr>
        <w:t xml:space="preserve">projects </w:t>
      </w:r>
      <w:r w:rsidR="005B168D">
        <w:rPr>
          <w:rFonts w:ascii="Times New Roman" w:hAnsi="Times New Roman"/>
          <w:szCs w:val="24"/>
        </w:rPr>
        <w:t xml:space="preserve">is the establishment of a publicly accessible database of </w:t>
      </w:r>
      <w:r w:rsidR="001D1F60">
        <w:rPr>
          <w:rFonts w:ascii="Times New Roman" w:hAnsi="Times New Roman"/>
          <w:szCs w:val="24"/>
        </w:rPr>
        <w:t>recall actions</w:t>
      </w:r>
      <w:r w:rsidR="005B168D">
        <w:rPr>
          <w:rFonts w:ascii="Times New Roman" w:hAnsi="Times New Roman"/>
          <w:szCs w:val="24"/>
        </w:rPr>
        <w:t xml:space="preserve"> relating to </w:t>
      </w:r>
      <w:r w:rsidR="00F13532">
        <w:rPr>
          <w:rFonts w:ascii="Times New Roman" w:hAnsi="Times New Roman"/>
          <w:szCs w:val="24"/>
        </w:rPr>
        <w:t>therapeutic goods</w:t>
      </w:r>
      <w:r w:rsidR="005B168D">
        <w:rPr>
          <w:rFonts w:ascii="Times New Roman" w:hAnsi="Times New Roman"/>
          <w:szCs w:val="24"/>
        </w:rPr>
        <w:t xml:space="preserve"> in both Australia and New Zealand</w:t>
      </w:r>
      <w:r w:rsidR="00001F46">
        <w:rPr>
          <w:rFonts w:ascii="Times New Roman" w:hAnsi="Times New Roman"/>
          <w:szCs w:val="24"/>
        </w:rPr>
        <w:t>.  Initially, this</w:t>
      </w:r>
      <w:r w:rsidR="002C7FCC">
        <w:rPr>
          <w:rFonts w:ascii="Times New Roman" w:hAnsi="Times New Roman"/>
          <w:szCs w:val="24"/>
        </w:rPr>
        <w:t xml:space="preserve"> will involve</w:t>
      </w:r>
      <w:r w:rsidR="007B5A4A">
        <w:rPr>
          <w:rFonts w:ascii="Times New Roman" w:hAnsi="Times New Roman"/>
          <w:szCs w:val="24"/>
        </w:rPr>
        <w:t xml:space="preserve"> a TGA</w:t>
      </w:r>
      <w:r w:rsidR="00165271">
        <w:rPr>
          <w:rFonts w:ascii="Times New Roman" w:hAnsi="Times New Roman"/>
          <w:szCs w:val="24"/>
        </w:rPr>
        <w:t xml:space="preserve"> database of Australia</w:t>
      </w:r>
      <w:r w:rsidR="00F84D65">
        <w:rPr>
          <w:rFonts w:ascii="Times New Roman" w:hAnsi="Times New Roman"/>
          <w:szCs w:val="24"/>
        </w:rPr>
        <w:t>n recall actions and</w:t>
      </w:r>
      <w:r w:rsidR="006C3747">
        <w:rPr>
          <w:rFonts w:ascii="Times New Roman" w:hAnsi="Times New Roman"/>
          <w:szCs w:val="24"/>
        </w:rPr>
        <w:t>, separately, a</w:t>
      </w:r>
      <w:r w:rsidR="00165271">
        <w:rPr>
          <w:rFonts w:ascii="Times New Roman" w:hAnsi="Times New Roman"/>
          <w:szCs w:val="24"/>
        </w:rPr>
        <w:t xml:space="preserve"> database of New Zealand recall actions</w:t>
      </w:r>
      <w:r w:rsidR="006C3747">
        <w:rPr>
          <w:rFonts w:ascii="Times New Roman" w:hAnsi="Times New Roman"/>
          <w:szCs w:val="24"/>
        </w:rPr>
        <w:t xml:space="preserve"> operated by </w:t>
      </w:r>
      <w:proofErr w:type="spellStart"/>
      <w:r w:rsidR="006C3747">
        <w:rPr>
          <w:rFonts w:ascii="Times New Roman" w:hAnsi="Times New Roman"/>
          <w:szCs w:val="24"/>
        </w:rPr>
        <w:t>Medsafe</w:t>
      </w:r>
      <w:proofErr w:type="spellEnd"/>
      <w:r w:rsidR="005B168D">
        <w:rPr>
          <w:rFonts w:ascii="Times New Roman" w:hAnsi="Times New Roman"/>
          <w:szCs w:val="24"/>
        </w:rPr>
        <w:t>.</w:t>
      </w:r>
      <w:r w:rsidR="00313294">
        <w:rPr>
          <w:rFonts w:ascii="Times New Roman" w:hAnsi="Times New Roman"/>
          <w:szCs w:val="24"/>
        </w:rPr>
        <w:t xml:space="preserve">  </w:t>
      </w:r>
      <w:r w:rsidR="00916A81">
        <w:rPr>
          <w:rFonts w:ascii="Times New Roman" w:hAnsi="Times New Roman"/>
          <w:szCs w:val="24"/>
        </w:rPr>
        <w:t>T</w:t>
      </w:r>
      <w:r w:rsidR="00165271">
        <w:rPr>
          <w:rFonts w:ascii="Times New Roman" w:hAnsi="Times New Roman"/>
          <w:szCs w:val="24"/>
        </w:rPr>
        <w:t>he establishment of a</w:t>
      </w:r>
      <w:r w:rsidR="00266A9F">
        <w:rPr>
          <w:rFonts w:ascii="Times New Roman" w:hAnsi="Times New Roman"/>
          <w:szCs w:val="24"/>
        </w:rPr>
        <w:t xml:space="preserve"> database</w:t>
      </w:r>
      <w:r w:rsidR="002C7FCC">
        <w:rPr>
          <w:rFonts w:ascii="Times New Roman" w:hAnsi="Times New Roman"/>
          <w:szCs w:val="24"/>
        </w:rPr>
        <w:t xml:space="preserve"> of</w:t>
      </w:r>
      <w:r w:rsidR="00165271">
        <w:rPr>
          <w:rFonts w:ascii="Times New Roman" w:hAnsi="Times New Roman"/>
          <w:szCs w:val="24"/>
        </w:rPr>
        <w:t xml:space="preserve"> Australian recall actions</w:t>
      </w:r>
      <w:r w:rsidR="00266A9F">
        <w:rPr>
          <w:rFonts w:ascii="Times New Roman" w:hAnsi="Times New Roman"/>
          <w:szCs w:val="24"/>
        </w:rPr>
        <w:t xml:space="preserve"> </w:t>
      </w:r>
      <w:r w:rsidR="00266A9F">
        <w:rPr>
          <w:rFonts w:ascii="Times New Roman" w:hAnsi="Times New Roman"/>
          <w:szCs w:val="24"/>
        </w:rPr>
        <w:lastRenderedPageBreak/>
        <w:t>is expected to provide a number of benefits for health-related industries and consumers</w:t>
      </w:r>
      <w:r w:rsidR="00916A81">
        <w:rPr>
          <w:rFonts w:ascii="Times New Roman" w:hAnsi="Times New Roman"/>
          <w:szCs w:val="24"/>
        </w:rPr>
        <w:t xml:space="preserve">, including permitting consumers to </w:t>
      </w:r>
      <w:r w:rsidR="00982324">
        <w:rPr>
          <w:rFonts w:ascii="Times New Roman" w:hAnsi="Times New Roman"/>
          <w:szCs w:val="24"/>
        </w:rPr>
        <w:t xml:space="preserve">review </w:t>
      </w:r>
      <w:r w:rsidR="006E09CD">
        <w:rPr>
          <w:rFonts w:ascii="Times New Roman" w:hAnsi="Times New Roman"/>
          <w:szCs w:val="24"/>
        </w:rPr>
        <w:t>r</w:t>
      </w:r>
      <w:r w:rsidR="00F13532">
        <w:rPr>
          <w:rFonts w:ascii="Times New Roman" w:hAnsi="Times New Roman"/>
          <w:szCs w:val="24"/>
        </w:rPr>
        <w:t>ecall</w:t>
      </w:r>
      <w:r w:rsidR="006E09CD">
        <w:rPr>
          <w:rFonts w:ascii="Times New Roman" w:hAnsi="Times New Roman"/>
          <w:szCs w:val="24"/>
        </w:rPr>
        <w:t xml:space="preserve"> a</w:t>
      </w:r>
      <w:r w:rsidR="00982324">
        <w:rPr>
          <w:rFonts w:ascii="Times New Roman" w:hAnsi="Times New Roman"/>
          <w:szCs w:val="24"/>
        </w:rPr>
        <w:t>ctions</w:t>
      </w:r>
      <w:r w:rsidR="00F13532">
        <w:rPr>
          <w:rFonts w:ascii="Times New Roman" w:hAnsi="Times New Roman"/>
          <w:szCs w:val="24"/>
        </w:rPr>
        <w:t xml:space="preserve"> </w:t>
      </w:r>
      <w:r w:rsidR="00A1797C">
        <w:rPr>
          <w:rFonts w:ascii="Times New Roman" w:hAnsi="Times New Roman"/>
          <w:szCs w:val="24"/>
        </w:rPr>
        <w:t>relating to particular</w:t>
      </w:r>
      <w:r w:rsidR="00916A81">
        <w:rPr>
          <w:rFonts w:ascii="Times New Roman" w:hAnsi="Times New Roman"/>
          <w:szCs w:val="24"/>
        </w:rPr>
        <w:t xml:space="preserve"> product</w:t>
      </w:r>
      <w:r w:rsidR="00A1797C">
        <w:rPr>
          <w:rFonts w:ascii="Times New Roman" w:hAnsi="Times New Roman"/>
          <w:szCs w:val="24"/>
        </w:rPr>
        <w:t>s</w:t>
      </w:r>
      <w:r w:rsidR="00266A9F">
        <w:rPr>
          <w:rFonts w:ascii="Times New Roman" w:hAnsi="Times New Roman"/>
          <w:szCs w:val="24"/>
        </w:rPr>
        <w:t>.</w:t>
      </w:r>
    </w:p>
    <w:p w:rsidR="00266A9F" w:rsidRDefault="00266A9F" w:rsidP="005F3F5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4C11C2" w:rsidRDefault="0030541C" w:rsidP="004C11C2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establishment of a</w:t>
      </w:r>
      <w:r w:rsidR="004C11C2" w:rsidRPr="00982324">
        <w:rPr>
          <w:rFonts w:ascii="Times New Roman" w:hAnsi="Times New Roman"/>
          <w:szCs w:val="24"/>
        </w:rPr>
        <w:t xml:space="preserve"> database</w:t>
      </w:r>
      <w:r>
        <w:rPr>
          <w:rFonts w:ascii="Times New Roman" w:hAnsi="Times New Roman"/>
          <w:szCs w:val="24"/>
        </w:rPr>
        <w:t xml:space="preserve"> of</w:t>
      </w:r>
      <w:r w:rsidR="00165271">
        <w:rPr>
          <w:rFonts w:ascii="Times New Roman" w:hAnsi="Times New Roman"/>
          <w:szCs w:val="24"/>
        </w:rPr>
        <w:t xml:space="preserve"> Australian</w:t>
      </w:r>
      <w:r>
        <w:rPr>
          <w:rFonts w:ascii="Times New Roman" w:hAnsi="Times New Roman"/>
          <w:szCs w:val="24"/>
        </w:rPr>
        <w:t xml:space="preserve"> recall actions</w:t>
      </w:r>
      <w:r w:rsidR="004C11C2" w:rsidRPr="00982324">
        <w:rPr>
          <w:rFonts w:ascii="Times New Roman" w:hAnsi="Times New Roman"/>
          <w:szCs w:val="24"/>
        </w:rPr>
        <w:t xml:space="preserve"> will also address recommendation</w:t>
      </w:r>
      <w:r w:rsidR="009F2EA6">
        <w:rPr>
          <w:rFonts w:ascii="Times New Roman" w:hAnsi="Times New Roman"/>
          <w:szCs w:val="24"/>
        </w:rPr>
        <w:t xml:space="preserve"> 16 </w:t>
      </w:r>
      <w:r w:rsidR="004C11C2" w:rsidRPr="00982324">
        <w:rPr>
          <w:rFonts w:ascii="Times New Roman" w:hAnsi="Times New Roman"/>
          <w:szCs w:val="24"/>
        </w:rPr>
        <w:t>of the Report of the Review to improve the transparency of the TGA (released on 21 July 2011)</w:t>
      </w:r>
      <w:r w:rsidR="00CC2866">
        <w:rPr>
          <w:rFonts w:ascii="Times New Roman" w:hAnsi="Times New Roman"/>
          <w:szCs w:val="24"/>
        </w:rPr>
        <w:t xml:space="preserve"> - </w:t>
      </w:r>
      <w:r w:rsidR="004C11C2" w:rsidRPr="00982324">
        <w:rPr>
          <w:rFonts w:ascii="Times New Roman" w:hAnsi="Times New Roman"/>
          <w:szCs w:val="24"/>
        </w:rPr>
        <w:t xml:space="preserve">that </w:t>
      </w:r>
      <w:r w:rsidR="00313294">
        <w:rPr>
          <w:rFonts w:ascii="Times New Roman" w:hAnsi="Times New Roman"/>
          <w:szCs w:val="24"/>
        </w:rPr>
        <w:t>t</w:t>
      </w:r>
      <w:r w:rsidR="006354F3" w:rsidRPr="00982324">
        <w:rPr>
          <w:rFonts w:ascii="Times New Roman" w:hAnsi="Times New Roman"/>
        </w:rPr>
        <w:t>he TGA actively promote the distribution of therapeutic goods safety information, and examine mechanisms for improving the timely communication of alerts and recalls, to health practitioners</w:t>
      </w:r>
      <w:r w:rsidR="00CC2866">
        <w:rPr>
          <w:rFonts w:ascii="Times New Roman" w:hAnsi="Times New Roman"/>
        </w:rPr>
        <w:t xml:space="preserve"> </w:t>
      </w:r>
      <w:r w:rsidR="006354F3" w:rsidRPr="00982324">
        <w:rPr>
          <w:rFonts w:ascii="Times New Roman" w:hAnsi="Times New Roman"/>
        </w:rPr>
        <w:t>and</w:t>
      </w:r>
      <w:r w:rsidR="00CC2866">
        <w:rPr>
          <w:rFonts w:ascii="Times New Roman" w:hAnsi="Times New Roman"/>
        </w:rPr>
        <w:t xml:space="preserve"> </w:t>
      </w:r>
      <w:r w:rsidR="006354F3" w:rsidRPr="00982324">
        <w:rPr>
          <w:rFonts w:ascii="Times New Roman" w:hAnsi="Times New Roman"/>
        </w:rPr>
        <w:t>to consumers</w:t>
      </w:r>
      <w:r w:rsidR="004C11C2" w:rsidRPr="00982324">
        <w:rPr>
          <w:rFonts w:ascii="Times New Roman" w:hAnsi="Times New Roman"/>
          <w:szCs w:val="24"/>
        </w:rPr>
        <w:t>.  The Government agreed to the recommendation in December 2011.</w:t>
      </w:r>
    </w:p>
    <w:p w:rsidR="0030541C" w:rsidRDefault="0030541C" w:rsidP="004C11C2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0541C" w:rsidRPr="00982324" w:rsidRDefault="0030541C" w:rsidP="004C11C2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 t</w:t>
      </w:r>
      <w:r w:rsidR="00F6454B">
        <w:rPr>
          <w:rFonts w:ascii="Times New Roman" w:hAnsi="Times New Roman"/>
          <w:szCs w:val="24"/>
        </w:rPr>
        <w:t>he Specification, recall action</w:t>
      </w:r>
      <w:r>
        <w:rPr>
          <w:rFonts w:ascii="Times New Roman" w:hAnsi="Times New Roman"/>
          <w:szCs w:val="24"/>
        </w:rPr>
        <w:t xml:space="preserve"> is defined as action taken by the Responsibl</w:t>
      </w:r>
      <w:r w:rsidR="00390405">
        <w:rPr>
          <w:rFonts w:ascii="Times New Roman" w:hAnsi="Times New Roman"/>
          <w:szCs w:val="24"/>
        </w:rPr>
        <w:t>e Entity (which includes the person in relation to whom therapeutic goods are included in the Australian Register of Therapeutic Goods</w:t>
      </w:r>
      <w:r>
        <w:rPr>
          <w:rFonts w:ascii="Times New Roman" w:hAnsi="Times New Roman"/>
          <w:szCs w:val="24"/>
        </w:rPr>
        <w:t>)</w:t>
      </w:r>
      <w:r w:rsidR="00390405">
        <w:rPr>
          <w:rFonts w:ascii="Times New Roman" w:hAnsi="Times New Roman"/>
          <w:szCs w:val="24"/>
        </w:rPr>
        <w:t xml:space="preserve"> to resolve a problem with therapeutic goods supplied in the market that have, or may potentially have, deficiencies relating to safety, quality, efficacy or presentation.  The definition also sets out a non exhaustive list of types of recall actions.</w:t>
      </w:r>
    </w:p>
    <w:p w:rsidR="004C11C2" w:rsidRDefault="004C11C2" w:rsidP="004C11C2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66A9F" w:rsidRDefault="00266A9F" w:rsidP="005F3F5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release</w:t>
      </w:r>
      <w:r w:rsidR="008E2EC3">
        <w:rPr>
          <w:rFonts w:ascii="Times New Roman" w:hAnsi="Times New Roman"/>
          <w:szCs w:val="24"/>
        </w:rPr>
        <w:t xml:space="preserve"> of </w:t>
      </w:r>
      <w:r w:rsidR="00921726">
        <w:rPr>
          <w:rFonts w:ascii="Times New Roman" w:hAnsi="Times New Roman"/>
          <w:szCs w:val="24"/>
        </w:rPr>
        <w:t>information about Australian recall actions</w:t>
      </w:r>
      <w:r>
        <w:rPr>
          <w:rFonts w:ascii="Times New Roman" w:hAnsi="Times New Roman"/>
          <w:szCs w:val="24"/>
        </w:rPr>
        <w:t xml:space="preserve"> as part of </w:t>
      </w:r>
      <w:r w:rsidR="00CC2866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publicly available database will</w:t>
      </w:r>
      <w:r w:rsidR="002E3DC8">
        <w:rPr>
          <w:rFonts w:ascii="Times New Roman" w:hAnsi="Times New Roman"/>
          <w:szCs w:val="24"/>
        </w:rPr>
        <w:t>, once it is in its final form,</w:t>
      </w:r>
      <w:r>
        <w:rPr>
          <w:rFonts w:ascii="Times New Roman" w:hAnsi="Times New Roman"/>
          <w:szCs w:val="24"/>
        </w:rPr>
        <w:t xml:space="preserve"> be supported by a legislative instrument </w:t>
      </w:r>
      <w:r w:rsidR="008E2EC3">
        <w:rPr>
          <w:rFonts w:ascii="Times New Roman" w:hAnsi="Times New Roman"/>
          <w:szCs w:val="24"/>
        </w:rPr>
        <w:t xml:space="preserve">under </w:t>
      </w:r>
      <w:r w:rsidR="00916A81">
        <w:rPr>
          <w:rFonts w:ascii="Times New Roman" w:hAnsi="Times New Roman"/>
          <w:szCs w:val="24"/>
        </w:rPr>
        <w:t xml:space="preserve">subsection 61(5D) of the Act.  Subsection </w:t>
      </w:r>
      <w:r w:rsidR="008E2EC3">
        <w:rPr>
          <w:rFonts w:ascii="Times New Roman" w:hAnsi="Times New Roman"/>
          <w:szCs w:val="24"/>
        </w:rPr>
        <w:t>61(5D) enables the Minister to specify in an instrument kinds of therapeutic goods information which the Secretary may then release to the public under</w:t>
      </w:r>
      <w:r w:rsidR="00916A81">
        <w:rPr>
          <w:rFonts w:ascii="Times New Roman" w:hAnsi="Times New Roman"/>
          <w:szCs w:val="24"/>
        </w:rPr>
        <w:t xml:space="preserve"> subsection 61(5C) of the Act</w:t>
      </w:r>
      <w:r w:rsidR="008E2EC3">
        <w:rPr>
          <w:rFonts w:ascii="Times New Roman" w:hAnsi="Times New Roman"/>
          <w:szCs w:val="24"/>
        </w:rPr>
        <w:t>.</w:t>
      </w:r>
    </w:p>
    <w:p w:rsidR="00643C8E" w:rsidRDefault="00643C8E" w:rsidP="005F3F5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E3DC8" w:rsidRDefault="002E3DC8" w:rsidP="002E3DC8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New Zealand Government, through </w:t>
      </w:r>
      <w:proofErr w:type="spellStart"/>
      <w:r>
        <w:rPr>
          <w:rFonts w:ascii="Times New Roman" w:hAnsi="Times New Roman"/>
          <w:szCs w:val="24"/>
        </w:rPr>
        <w:t>Medsafe</w:t>
      </w:r>
      <w:proofErr w:type="spellEnd"/>
      <w:r>
        <w:rPr>
          <w:rFonts w:ascii="Times New Roman" w:hAnsi="Times New Roman"/>
          <w:szCs w:val="24"/>
        </w:rPr>
        <w:t xml:space="preserve">, has already made available a database of New Zealand recall actions on its website, </w:t>
      </w:r>
      <w:hyperlink r:id="rId9" w:history="1">
        <w:r w:rsidRPr="003607CA">
          <w:rPr>
            <w:rStyle w:val="Hyperlink"/>
            <w:rFonts w:ascii="Times New Roman" w:hAnsi="Times New Roman"/>
            <w:szCs w:val="24"/>
          </w:rPr>
          <w:t>www.medsafe.govt.nz</w:t>
        </w:r>
      </w:hyperlink>
      <w:r>
        <w:rPr>
          <w:rFonts w:ascii="Times New Roman" w:hAnsi="Times New Roman"/>
          <w:szCs w:val="24"/>
        </w:rPr>
        <w:t xml:space="preserve">.  The TGA proposes to release information about Australian recall actions on </w:t>
      </w:r>
      <w:hyperlink r:id="rId10" w:history="1">
        <w:r w:rsidRPr="003607CA">
          <w:rPr>
            <w:rStyle w:val="Hyperlink"/>
            <w:rFonts w:ascii="Times New Roman" w:hAnsi="Times New Roman"/>
            <w:szCs w:val="24"/>
          </w:rPr>
          <w:t>www.tga.gov.au</w:t>
        </w:r>
      </w:hyperlink>
      <w:r>
        <w:rPr>
          <w:rFonts w:ascii="Times New Roman" w:hAnsi="Times New Roman"/>
          <w:szCs w:val="24"/>
        </w:rPr>
        <w:t xml:space="preserve">.  </w:t>
      </w:r>
    </w:p>
    <w:p w:rsidR="002E3DC8" w:rsidRDefault="002E3DC8" w:rsidP="002E3DC8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43C8E" w:rsidRDefault="002E3DC8" w:rsidP="005F3F5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210874">
        <w:rPr>
          <w:rFonts w:ascii="Times New Roman" w:hAnsi="Times New Roman"/>
          <w:szCs w:val="24"/>
        </w:rPr>
        <w:t xml:space="preserve">proposed database </w:t>
      </w:r>
      <w:r w:rsidR="00CC2866">
        <w:rPr>
          <w:rFonts w:ascii="Times New Roman" w:hAnsi="Times New Roman"/>
          <w:szCs w:val="24"/>
        </w:rPr>
        <w:t xml:space="preserve">in which this information is to be released </w:t>
      </w:r>
      <w:r w:rsidR="00210874">
        <w:rPr>
          <w:rFonts w:ascii="Times New Roman" w:hAnsi="Times New Roman"/>
          <w:szCs w:val="24"/>
        </w:rPr>
        <w:t>(the System for</w:t>
      </w:r>
      <w:r w:rsidR="00643C8E">
        <w:rPr>
          <w:rFonts w:ascii="Times New Roman" w:hAnsi="Times New Roman"/>
          <w:szCs w:val="24"/>
        </w:rPr>
        <w:t xml:space="preserve"> Australian Recall Actions or </w:t>
      </w:r>
      <w:r w:rsidR="007771FD">
        <w:rPr>
          <w:rFonts w:ascii="Times New Roman" w:hAnsi="Times New Roman"/>
          <w:szCs w:val="24"/>
        </w:rPr>
        <w:t>SARA)</w:t>
      </w:r>
      <w:r w:rsidR="00643C8E">
        <w:rPr>
          <w:rFonts w:ascii="Times New Roman" w:hAnsi="Times New Roman"/>
          <w:szCs w:val="24"/>
        </w:rPr>
        <w:t xml:space="preserve"> is not yet in its final form and there is a need for it to be evaluated and tested by informed users</w:t>
      </w:r>
      <w:r w:rsidR="006C3747">
        <w:rPr>
          <w:rFonts w:ascii="Times New Roman" w:hAnsi="Times New Roman"/>
          <w:szCs w:val="24"/>
        </w:rPr>
        <w:t>.  It is anticipated that t</w:t>
      </w:r>
      <w:r>
        <w:rPr>
          <w:rFonts w:ascii="Times New Roman" w:hAnsi="Times New Roman"/>
          <w:szCs w:val="24"/>
        </w:rPr>
        <w:t xml:space="preserve">he </w:t>
      </w:r>
      <w:r w:rsidR="00643C8E">
        <w:rPr>
          <w:rFonts w:ascii="Times New Roman" w:hAnsi="Times New Roman"/>
          <w:szCs w:val="24"/>
        </w:rPr>
        <w:t xml:space="preserve">feedback </w:t>
      </w:r>
      <w:r>
        <w:rPr>
          <w:rFonts w:ascii="Times New Roman" w:hAnsi="Times New Roman"/>
          <w:szCs w:val="24"/>
        </w:rPr>
        <w:t xml:space="preserve">provided by these users will </w:t>
      </w:r>
      <w:r w:rsidR="00643C8E">
        <w:rPr>
          <w:rFonts w:ascii="Times New Roman" w:hAnsi="Times New Roman"/>
          <w:szCs w:val="24"/>
        </w:rPr>
        <w:t xml:space="preserve">assist </w:t>
      </w:r>
      <w:r>
        <w:rPr>
          <w:rFonts w:ascii="Times New Roman" w:hAnsi="Times New Roman"/>
          <w:szCs w:val="24"/>
        </w:rPr>
        <w:t xml:space="preserve">the TGA to finalise </w:t>
      </w:r>
      <w:r w:rsidR="00643C8E">
        <w:rPr>
          <w:rFonts w:ascii="Times New Roman" w:hAnsi="Times New Roman"/>
          <w:szCs w:val="24"/>
        </w:rPr>
        <w:t xml:space="preserve">the database and the content proposed to be available to </w:t>
      </w:r>
      <w:r>
        <w:rPr>
          <w:rFonts w:ascii="Times New Roman" w:hAnsi="Times New Roman"/>
          <w:szCs w:val="24"/>
        </w:rPr>
        <w:t xml:space="preserve">the public via </w:t>
      </w:r>
      <w:r w:rsidR="00643C8E">
        <w:rPr>
          <w:rFonts w:ascii="Times New Roman" w:hAnsi="Times New Roman"/>
          <w:szCs w:val="24"/>
        </w:rPr>
        <w:t>the database.</w:t>
      </w:r>
    </w:p>
    <w:p w:rsidR="00643C8E" w:rsidRDefault="00643C8E" w:rsidP="005F3F5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A1797C" w:rsidRDefault="00A1797C" w:rsidP="007B3159">
      <w:pPr>
        <w:rPr>
          <w:rFonts w:ascii="Times New Roman" w:hAnsi="Times New Roman"/>
          <w:szCs w:val="24"/>
        </w:rPr>
      </w:pPr>
      <w:r w:rsidRPr="007B3159">
        <w:rPr>
          <w:rFonts w:ascii="Times New Roman" w:hAnsi="Times New Roman"/>
          <w:szCs w:val="24"/>
        </w:rPr>
        <w:t xml:space="preserve">It is therefore proposed that access to a prototype of the </w:t>
      </w:r>
      <w:r w:rsidR="00A121F1" w:rsidRPr="007B3159">
        <w:rPr>
          <w:rFonts w:ascii="Times New Roman" w:hAnsi="Times New Roman"/>
          <w:szCs w:val="24"/>
        </w:rPr>
        <w:t>SARA</w:t>
      </w:r>
      <w:r w:rsidR="00643C8E">
        <w:rPr>
          <w:rFonts w:ascii="Times New Roman" w:hAnsi="Times New Roman"/>
          <w:szCs w:val="24"/>
        </w:rPr>
        <w:t xml:space="preserve"> database</w:t>
      </w:r>
      <w:r w:rsidR="00A121F1" w:rsidRPr="007B3159">
        <w:rPr>
          <w:rFonts w:ascii="Times New Roman" w:hAnsi="Times New Roman"/>
          <w:szCs w:val="24"/>
        </w:rPr>
        <w:t xml:space="preserve"> </w:t>
      </w:r>
      <w:r w:rsidRPr="007B3159">
        <w:rPr>
          <w:rFonts w:ascii="Times New Roman" w:hAnsi="Times New Roman"/>
          <w:szCs w:val="24"/>
        </w:rPr>
        <w:t>be given</w:t>
      </w:r>
      <w:r w:rsidR="00DA22AA" w:rsidRPr="007B3159">
        <w:rPr>
          <w:rFonts w:ascii="Times New Roman" w:hAnsi="Times New Roman"/>
          <w:szCs w:val="24"/>
        </w:rPr>
        <w:t xml:space="preserve"> for a short period</w:t>
      </w:r>
      <w:r w:rsidR="00643C8E">
        <w:rPr>
          <w:rFonts w:ascii="Times New Roman" w:hAnsi="Times New Roman"/>
          <w:szCs w:val="24"/>
        </w:rPr>
        <w:t xml:space="preserve"> to a number persons and</w:t>
      </w:r>
      <w:r w:rsidRPr="007B3159">
        <w:rPr>
          <w:rFonts w:ascii="Times New Roman" w:hAnsi="Times New Roman"/>
          <w:szCs w:val="24"/>
        </w:rPr>
        <w:t xml:space="preserve"> bodies that represent specific</w:t>
      </w:r>
      <w:r w:rsidR="006C3747">
        <w:rPr>
          <w:rFonts w:ascii="Times New Roman" w:hAnsi="Times New Roman"/>
          <w:szCs w:val="24"/>
        </w:rPr>
        <w:t xml:space="preserve"> stakeholders (including industry)</w:t>
      </w:r>
      <w:r w:rsidRPr="007B3159">
        <w:rPr>
          <w:rFonts w:ascii="Times New Roman" w:hAnsi="Times New Roman"/>
          <w:szCs w:val="24"/>
        </w:rPr>
        <w:t xml:space="preserve"> </w:t>
      </w:r>
      <w:r w:rsidR="003469D8" w:rsidRPr="007B3159">
        <w:rPr>
          <w:rFonts w:ascii="Times New Roman" w:hAnsi="Times New Roman"/>
          <w:szCs w:val="24"/>
        </w:rPr>
        <w:t>relating to therapeutic goods</w:t>
      </w:r>
      <w:r w:rsidR="00643C8E">
        <w:rPr>
          <w:rFonts w:ascii="Times New Roman" w:hAnsi="Times New Roman"/>
          <w:szCs w:val="24"/>
        </w:rPr>
        <w:t xml:space="preserve"> as set out in</w:t>
      </w:r>
      <w:r w:rsidR="007771FD">
        <w:rPr>
          <w:rFonts w:ascii="Times New Roman" w:hAnsi="Times New Roman"/>
          <w:szCs w:val="24"/>
        </w:rPr>
        <w:t xml:space="preserve"> Schedule 1 of</w:t>
      </w:r>
      <w:r w:rsidR="00643C8E">
        <w:rPr>
          <w:rFonts w:ascii="Times New Roman" w:hAnsi="Times New Roman"/>
          <w:szCs w:val="24"/>
        </w:rPr>
        <w:t xml:space="preserve"> the Specification</w:t>
      </w:r>
      <w:r w:rsidR="00B42A08" w:rsidRPr="007B3159">
        <w:rPr>
          <w:rFonts w:ascii="Times New Roman" w:hAnsi="Times New Roman"/>
          <w:szCs w:val="24"/>
        </w:rPr>
        <w:t>.</w:t>
      </w:r>
      <w:r w:rsidR="006C3747">
        <w:rPr>
          <w:rFonts w:ascii="Times New Roman" w:hAnsi="Times New Roman"/>
          <w:szCs w:val="24"/>
        </w:rPr>
        <w:t xml:space="preserve">  These stakeholders include, for example, the Australian Medical Association, Medicines Australia, the Complementary Healthcare Council of Australia and the Consumers Health Forum.</w:t>
      </w:r>
    </w:p>
    <w:p w:rsidR="00921726" w:rsidRDefault="00921726" w:rsidP="007B3159">
      <w:pPr>
        <w:rPr>
          <w:rFonts w:ascii="Times New Roman" w:hAnsi="Times New Roman"/>
          <w:szCs w:val="24"/>
        </w:rPr>
      </w:pPr>
    </w:p>
    <w:p w:rsidR="00676A79" w:rsidRDefault="00921726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information proposed to be released by the Secretary through access to the prototype of the SARA database is set out in Schedule 1 of the Specification and will be in either of two forms:</w:t>
      </w:r>
    </w:p>
    <w:p w:rsidR="00676A79" w:rsidRDefault="002E3DC8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21726" w:rsidRPr="00921726">
        <w:rPr>
          <w:rFonts w:ascii="Times New Roman" w:hAnsi="Times New Roman"/>
          <w:sz w:val="24"/>
          <w:szCs w:val="24"/>
        </w:rPr>
        <w:t xml:space="preserve"> list of recalls – this search return will show a list of recall actions that match the search criteria used</w:t>
      </w:r>
      <w:r>
        <w:rPr>
          <w:rFonts w:ascii="Times New Roman" w:hAnsi="Times New Roman"/>
          <w:sz w:val="24"/>
          <w:szCs w:val="24"/>
        </w:rPr>
        <w:t xml:space="preserve"> from which </w:t>
      </w:r>
      <w:r w:rsidR="00921726" w:rsidRPr="00921726">
        <w:rPr>
          <w:rFonts w:ascii="Times New Roman" w:hAnsi="Times New Roman"/>
          <w:sz w:val="24"/>
          <w:szCs w:val="24"/>
        </w:rPr>
        <w:t xml:space="preserve">a specific recall can then be selected </w:t>
      </w:r>
      <w:r>
        <w:rPr>
          <w:rFonts w:ascii="Times New Roman" w:hAnsi="Times New Roman"/>
          <w:sz w:val="24"/>
          <w:szCs w:val="24"/>
        </w:rPr>
        <w:t xml:space="preserve">by the user </w:t>
      </w:r>
      <w:r w:rsidR="00921726" w:rsidRPr="00921726">
        <w:rPr>
          <w:rFonts w:ascii="Times New Roman" w:hAnsi="Times New Roman"/>
          <w:sz w:val="24"/>
          <w:szCs w:val="24"/>
        </w:rPr>
        <w:t>to view the details about that recall; o</w:t>
      </w:r>
      <w:r w:rsidR="00921726">
        <w:rPr>
          <w:rFonts w:ascii="Times New Roman" w:hAnsi="Times New Roman"/>
          <w:sz w:val="24"/>
          <w:szCs w:val="24"/>
        </w:rPr>
        <w:t>r</w:t>
      </w:r>
    </w:p>
    <w:p w:rsidR="00895522" w:rsidRPr="00921726" w:rsidRDefault="002E3DC8" w:rsidP="00921726">
      <w:pPr>
        <w:pStyle w:val="ListParagraph"/>
        <w:numPr>
          <w:ilvl w:val="0"/>
          <w:numId w:val="9"/>
        </w:num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21726" w:rsidRPr="00921726">
        <w:rPr>
          <w:rFonts w:ascii="Times New Roman" w:hAnsi="Times New Roman"/>
          <w:sz w:val="24"/>
          <w:szCs w:val="24"/>
        </w:rPr>
        <w:t xml:space="preserve">ecall details – this search return </w:t>
      </w:r>
      <w:r>
        <w:rPr>
          <w:rFonts w:ascii="Times New Roman" w:hAnsi="Times New Roman"/>
          <w:sz w:val="24"/>
          <w:szCs w:val="24"/>
        </w:rPr>
        <w:t xml:space="preserve">will show </w:t>
      </w:r>
      <w:r w:rsidR="00921726" w:rsidRPr="00921726">
        <w:rPr>
          <w:rFonts w:ascii="Times New Roman" w:hAnsi="Times New Roman"/>
          <w:sz w:val="24"/>
          <w:szCs w:val="24"/>
        </w:rPr>
        <w:t>summary information about a specific recall action that has been selected from the list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921726" w:rsidRPr="00921726">
        <w:rPr>
          <w:rFonts w:ascii="Times New Roman" w:hAnsi="Times New Roman"/>
          <w:sz w:val="24"/>
          <w:szCs w:val="24"/>
        </w:rPr>
        <w:t>provides greater detail than that which is viewable in the list of recall</w:t>
      </w:r>
      <w:r>
        <w:rPr>
          <w:rFonts w:ascii="Times New Roman" w:hAnsi="Times New Roman"/>
          <w:sz w:val="24"/>
          <w:szCs w:val="24"/>
        </w:rPr>
        <w:t xml:space="preserve"> actions</w:t>
      </w:r>
      <w:r w:rsidR="00921726" w:rsidRPr="00921726">
        <w:rPr>
          <w:rFonts w:ascii="Times New Roman" w:hAnsi="Times New Roman"/>
          <w:sz w:val="24"/>
          <w:szCs w:val="24"/>
        </w:rPr>
        <w:t xml:space="preserve">. </w:t>
      </w:r>
    </w:p>
    <w:p w:rsidR="00895522" w:rsidRDefault="00895522" w:rsidP="005F3F5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The Specification has the effect of permitting the Secr</w:t>
      </w:r>
      <w:r w:rsidR="007771FD">
        <w:rPr>
          <w:rFonts w:ascii="Times New Roman" w:hAnsi="Times New Roman"/>
          <w:szCs w:val="24"/>
        </w:rPr>
        <w:t>etary to release to th</w:t>
      </w:r>
      <w:r w:rsidR="00FE7B7C">
        <w:rPr>
          <w:rFonts w:ascii="Times New Roman" w:hAnsi="Times New Roman"/>
          <w:szCs w:val="24"/>
        </w:rPr>
        <w:t xml:space="preserve">ese specified persons and </w:t>
      </w:r>
      <w:r w:rsidR="007771FD">
        <w:rPr>
          <w:rFonts w:ascii="Times New Roman" w:hAnsi="Times New Roman"/>
          <w:szCs w:val="24"/>
        </w:rPr>
        <w:t>bodies, and their</w:t>
      </w:r>
      <w:r w:rsidR="00FE7B7C">
        <w:rPr>
          <w:rFonts w:ascii="Times New Roman" w:hAnsi="Times New Roman"/>
          <w:szCs w:val="24"/>
        </w:rPr>
        <w:t xml:space="preserve"> members, agents or employees</w:t>
      </w:r>
      <w:r w:rsidR="00921726">
        <w:rPr>
          <w:rFonts w:ascii="Times New Roman" w:hAnsi="Times New Roman"/>
          <w:szCs w:val="24"/>
        </w:rPr>
        <w:t>, therapeutic goods information in relation to</w:t>
      </w:r>
      <w:r w:rsidR="00210874">
        <w:rPr>
          <w:rFonts w:ascii="Times New Roman" w:hAnsi="Times New Roman"/>
          <w:szCs w:val="24"/>
        </w:rPr>
        <w:t xml:space="preserve"> Australian</w:t>
      </w:r>
      <w:r w:rsidR="00921726">
        <w:rPr>
          <w:rFonts w:ascii="Times New Roman" w:hAnsi="Times New Roman"/>
          <w:szCs w:val="24"/>
        </w:rPr>
        <w:t xml:space="preserve"> recall actions,</w:t>
      </w:r>
      <w:r w:rsidR="00210874">
        <w:rPr>
          <w:rFonts w:ascii="Times New Roman" w:hAnsi="Times New Roman"/>
          <w:szCs w:val="24"/>
        </w:rPr>
        <w:t xml:space="preserve"> being information kept by the TGA</w:t>
      </w:r>
      <w:r w:rsidR="00921726">
        <w:rPr>
          <w:rFonts w:ascii="Times New Roman" w:hAnsi="Times New Roman"/>
          <w:szCs w:val="24"/>
        </w:rPr>
        <w:t xml:space="preserve"> in</w:t>
      </w:r>
      <w:r w:rsidR="00210874">
        <w:rPr>
          <w:rFonts w:ascii="Times New Roman" w:hAnsi="Times New Roman"/>
          <w:szCs w:val="24"/>
        </w:rPr>
        <w:t xml:space="preserve"> its prototype of</w:t>
      </w:r>
      <w:r w:rsidR="00921726">
        <w:rPr>
          <w:rFonts w:ascii="Times New Roman" w:hAnsi="Times New Roman"/>
          <w:szCs w:val="24"/>
        </w:rPr>
        <w:t xml:space="preserve"> the SARA database</w:t>
      </w:r>
      <w:r w:rsidR="00FE313D">
        <w:rPr>
          <w:rFonts w:ascii="Times New Roman" w:hAnsi="Times New Roman"/>
          <w:szCs w:val="24"/>
        </w:rPr>
        <w:t>, for the purposes of obtaini</w:t>
      </w:r>
      <w:r w:rsidR="00FE7B7C">
        <w:rPr>
          <w:rFonts w:ascii="Times New Roman" w:hAnsi="Times New Roman"/>
          <w:szCs w:val="24"/>
        </w:rPr>
        <w:t>ng feedback from those persons and bodies</w:t>
      </w:r>
      <w:r w:rsidR="00FE313D">
        <w:rPr>
          <w:rFonts w:ascii="Times New Roman" w:hAnsi="Times New Roman"/>
          <w:szCs w:val="24"/>
        </w:rPr>
        <w:t xml:space="preserve"> about the </w:t>
      </w:r>
      <w:r w:rsidR="003F05A3">
        <w:t xml:space="preserve">functionality, suitability (in terms of informing the public about </w:t>
      </w:r>
      <w:r w:rsidR="007771FD">
        <w:t>recall a</w:t>
      </w:r>
      <w:r w:rsidR="00D42254">
        <w:t>ctions</w:t>
      </w:r>
      <w:r w:rsidR="00921726">
        <w:t xml:space="preserve">) and </w:t>
      </w:r>
      <w:r w:rsidR="003F05A3">
        <w:t xml:space="preserve">presentation </w:t>
      </w:r>
      <w:r w:rsidR="00FE313D">
        <w:rPr>
          <w:rFonts w:ascii="Times New Roman" w:hAnsi="Times New Roman"/>
          <w:szCs w:val="24"/>
        </w:rPr>
        <w:t xml:space="preserve">of </w:t>
      </w:r>
      <w:r w:rsidR="00116A76">
        <w:rPr>
          <w:rFonts w:ascii="Times New Roman" w:hAnsi="Times New Roman"/>
          <w:szCs w:val="24"/>
        </w:rPr>
        <w:t>the</w:t>
      </w:r>
      <w:r w:rsidR="00921726">
        <w:rPr>
          <w:rFonts w:ascii="Times New Roman" w:hAnsi="Times New Roman"/>
          <w:szCs w:val="24"/>
        </w:rPr>
        <w:t xml:space="preserve"> TGA’s</w:t>
      </w:r>
      <w:r w:rsidR="00116A76">
        <w:rPr>
          <w:rFonts w:ascii="Times New Roman" w:hAnsi="Times New Roman"/>
          <w:szCs w:val="24"/>
        </w:rPr>
        <w:t xml:space="preserve"> </w:t>
      </w:r>
      <w:r w:rsidR="003F05A3">
        <w:rPr>
          <w:rFonts w:ascii="Times New Roman" w:hAnsi="Times New Roman"/>
          <w:szCs w:val="24"/>
        </w:rPr>
        <w:t>proposed</w:t>
      </w:r>
      <w:r w:rsidR="00921726">
        <w:rPr>
          <w:rFonts w:ascii="Times New Roman" w:hAnsi="Times New Roman"/>
          <w:szCs w:val="24"/>
        </w:rPr>
        <w:t xml:space="preserve"> SARA</w:t>
      </w:r>
      <w:r w:rsidR="003F05A3">
        <w:rPr>
          <w:rFonts w:ascii="Times New Roman" w:hAnsi="Times New Roman"/>
          <w:szCs w:val="24"/>
        </w:rPr>
        <w:t xml:space="preserve"> database</w:t>
      </w:r>
      <w:r w:rsidR="00921726">
        <w:rPr>
          <w:rFonts w:ascii="Times New Roman" w:hAnsi="Times New Roman"/>
          <w:szCs w:val="24"/>
        </w:rPr>
        <w:t>, including</w:t>
      </w:r>
      <w:r w:rsidR="00BD000A">
        <w:rPr>
          <w:rFonts w:ascii="Times New Roman" w:hAnsi="Times New Roman"/>
          <w:szCs w:val="24"/>
        </w:rPr>
        <w:t xml:space="preserve"> </w:t>
      </w:r>
      <w:r w:rsidR="00BD000A" w:rsidRPr="005B3647">
        <w:rPr>
          <w:rFonts w:ascii="Times New Roman" w:hAnsi="Times New Roman"/>
          <w:szCs w:val="24"/>
        </w:rPr>
        <w:t>any impacts on industry that might result from the launch of</w:t>
      </w:r>
      <w:r w:rsidR="007771FD">
        <w:rPr>
          <w:rFonts w:ascii="Times New Roman" w:hAnsi="Times New Roman"/>
          <w:szCs w:val="24"/>
        </w:rPr>
        <w:t xml:space="preserve"> the database</w:t>
      </w:r>
      <w:r w:rsidR="00BD000A">
        <w:rPr>
          <w:rFonts w:ascii="Times New Roman" w:hAnsi="Times New Roman"/>
          <w:szCs w:val="24"/>
        </w:rPr>
        <w:t>.</w:t>
      </w:r>
    </w:p>
    <w:p w:rsidR="002B3E25" w:rsidRDefault="002B3E25" w:rsidP="005F3F5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76A79" w:rsidRDefault="00804792">
      <w:pPr>
        <w:keepNext/>
        <w:ind w:right="-96"/>
        <w:rPr>
          <w:rFonts w:ascii="Times New Roman" w:hAnsi="Times New Roman"/>
          <w:b/>
          <w:szCs w:val="24"/>
        </w:rPr>
      </w:pPr>
      <w:r w:rsidRPr="00804792">
        <w:rPr>
          <w:rFonts w:ascii="Times New Roman" w:hAnsi="Times New Roman"/>
          <w:b/>
          <w:szCs w:val="24"/>
        </w:rPr>
        <w:t>CONSULTATION</w:t>
      </w:r>
    </w:p>
    <w:p w:rsidR="00767767" w:rsidRDefault="00767767" w:rsidP="00AA7276">
      <w:pPr>
        <w:ind w:right="-96"/>
        <w:rPr>
          <w:rFonts w:ascii="Times New Roman" w:hAnsi="Times New Roman"/>
          <w:szCs w:val="24"/>
        </w:rPr>
      </w:pPr>
    </w:p>
    <w:p w:rsidR="001A5407" w:rsidRDefault="001441E8" w:rsidP="00AA7276">
      <w:pPr>
        <w:ind w:right="-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DC3B95">
        <w:rPr>
          <w:rFonts w:ascii="Times New Roman" w:hAnsi="Times New Roman"/>
          <w:szCs w:val="24"/>
        </w:rPr>
        <w:t xml:space="preserve">release of therapeutic goods information in relation to recall actions for the purpose of testing a prototype of the SARA database is </w:t>
      </w:r>
      <w:r w:rsidR="000C3477">
        <w:rPr>
          <w:rFonts w:ascii="Times New Roman" w:hAnsi="Times New Roman"/>
          <w:szCs w:val="24"/>
        </w:rPr>
        <w:t xml:space="preserve">the proposed mechanism for consulting stakeholders on the database.  It is </w:t>
      </w:r>
      <w:r>
        <w:rPr>
          <w:rFonts w:ascii="Times New Roman" w:hAnsi="Times New Roman"/>
          <w:szCs w:val="24"/>
        </w:rPr>
        <w:t>considered to be minor and machinery in nature</w:t>
      </w:r>
      <w:r w:rsidR="00DC3B95">
        <w:rPr>
          <w:rFonts w:ascii="Times New Roman" w:hAnsi="Times New Roman"/>
          <w:szCs w:val="24"/>
        </w:rPr>
        <w:t xml:space="preserve">.  </w:t>
      </w:r>
    </w:p>
    <w:p w:rsidR="000F42C5" w:rsidRDefault="000F42C5" w:rsidP="00AA7276">
      <w:pPr>
        <w:ind w:right="-96"/>
      </w:pPr>
    </w:p>
    <w:p w:rsidR="007336A4" w:rsidRDefault="007336A4" w:rsidP="00121B98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The </w:t>
      </w:r>
      <w:r w:rsidR="00390C68">
        <w:rPr>
          <w:color w:val="000000"/>
          <w:szCs w:val="24"/>
        </w:rPr>
        <w:t>Specification</w:t>
      </w:r>
      <w:r>
        <w:rPr>
          <w:color w:val="000000"/>
          <w:szCs w:val="24"/>
        </w:rPr>
        <w:t xml:space="preserve"> </w:t>
      </w:r>
      <w:r w:rsidR="00797500">
        <w:rPr>
          <w:color w:val="000000"/>
          <w:szCs w:val="24"/>
        </w:rPr>
        <w:t>is</w:t>
      </w:r>
      <w:r>
        <w:rPr>
          <w:color w:val="000000"/>
          <w:szCs w:val="24"/>
        </w:rPr>
        <w:t xml:space="preserve"> a legislative instrument for the purpose</w:t>
      </w:r>
      <w:r w:rsidR="00296766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of the </w:t>
      </w:r>
      <w:r w:rsidRPr="007336A4">
        <w:rPr>
          <w:i/>
          <w:color w:val="000000"/>
          <w:szCs w:val="24"/>
        </w:rPr>
        <w:t>Legislative Instruments Act 2003</w:t>
      </w:r>
      <w:r>
        <w:rPr>
          <w:color w:val="000000"/>
          <w:szCs w:val="24"/>
        </w:rPr>
        <w:t>.</w:t>
      </w:r>
    </w:p>
    <w:p w:rsidR="00804792" w:rsidRDefault="00804792" w:rsidP="00121B98">
      <w:pPr>
        <w:rPr>
          <w:color w:val="000000"/>
          <w:szCs w:val="24"/>
        </w:rPr>
      </w:pPr>
    </w:p>
    <w:p w:rsidR="0062525A" w:rsidRDefault="0062525A" w:rsidP="0062525A">
      <w:r>
        <w:t xml:space="preserve">In relation to compatibility with human rights, it is considered that the Specification is compatible with the human rights and freedoms recognised or declared in the international instruments listed in section 3 of the </w:t>
      </w:r>
      <w:r>
        <w:rPr>
          <w:i/>
        </w:rPr>
        <w:t>Human Rights (Parliamentary Scrutiny) Act 2011</w:t>
      </w:r>
      <w:r>
        <w:t>, and a Statement of Compatibility setting that out in further detail is attached.</w:t>
      </w:r>
    </w:p>
    <w:p w:rsidR="0062525A" w:rsidRDefault="0062525A" w:rsidP="0062525A"/>
    <w:p w:rsidR="0062525A" w:rsidRDefault="0062525A" w:rsidP="0062525A">
      <w:pPr>
        <w:rPr>
          <w:b/>
        </w:rPr>
      </w:pPr>
      <w:r>
        <w:rPr>
          <w:b/>
        </w:rPr>
        <w:t>ATTACHMENTS</w:t>
      </w:r>
    </w:p>
    <w:p w:rsidR="0062525A" w:rsidRDefault="0062525A" w:rsidP="0062525A">
      <w:pPr>
        <w:rPr>
          <w:szCs w:val="24"/>
        </w:rPr>
      </w:pPr>
    </w:p>
    <w:p w:rsidR="002A6928" w:rsidRDefault="0062525A">
      <w:pPr>
        <w:ind w:left="720" w:hanging="720"/>
        <w:rPr>
          <w:color w:val="000000"/>
          <w:szCs w:val="24"/>
        </w:rPr>
      </w:pPr>
      <w:r>
        <w:rPr>
          <w:szCs w:val="24"/>
        </w:rPr>
        <w:t xml:space="preserve">1. </w:t>
      </w:r>
      <w:r w:rsidR="004C1E70">
        <w:rPr>
          <w:szCs w:val="24"/>
        </w:rPr>
        <w:tab/>
      </w:r>
      <w:r w:rsidRPr="00921726">
        <w:rPr>
          <w:bCs/>
        </w:rPr>
        <w:t>Statement of compatibility for a legislative instrument that does not raise any human rights issues (Therapeutic Goods Information (</w:t>
      </w:r>
      <w:r w:rsidR="00792283" w:rsidRPr="00921726">
        <w:rPr>
          <w:bCs/>
        </w:rPr>
        <w:t>Stakehol</w:t>
      </w:r>
      <w:r w:rsidR="00AA76EF">
        <w:rPr>
          <w:bCs/>
        </w:rPr>
        <w:t>der Consultation on the System for Australian Recall Actions) Specification 2013</w:t>
      </w:r>
      <w:r w:rsidRPr="00921726">
        <w:rPr>
          <w:bCs/>
        </w:rPr>
        <w:t>).</w:t>
      </w:r>
    </w:p>
    <w:p w:rsidR="007336A4" w:rsidRDefault="007336A4" w:rsidP="00121B98">
      <w:pPr>
        <w:rPr>
          <w:color w:val="000000"/>
          <w:szCs w:val="24"/>
        </w:rPr>
      </w:pPr>
    </w:p>
    <w:p w:rsidR="00797500" w:rsidRDefault="00797500">
      <w:pPr>
        <w:pStyle w:val="Header"/>
        <w:tabs>
          <w:tab w:val="clear" w:pos="4153"/>
          <w:tab w:val="clear" w:pos="8306"/>
          <w:tab w:val="left" w:pos="4395"/>
          <w:tab w:val="left" w:pos="5529"/>
        </w:tabs>
        <w:ind w:hanging="1797"/>
        <w:rPr>
          <w:i/>
        </w:rPr>
      </w:pPr>
    </w:p>
    <w:sectPr w:rsidR="00797500" w:rsidSect="001E1C95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1134" w:right="147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91" w:rsidRDefault="00B02691">
      <w:r>
        <w:separator/>
      </w:r>
    </w:p>
  </w:endnote>
  <w:endnote w:type="continuationSeparator" w:id="0">
    <w:p w:rsidR="00B02691" w:rsidRDefault="00B0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91" w:rsidRPr="00BD3496" w:rsidRDefault="00B02691" w:rsidP="00BD3496">
    <w:pPr>
      <w:pStyle w:val="Footer"/>
      <w:jc w:val="right"/>
      <w:rPr>
        <w:i/>
        <w:sz w:val="20"/>
      </w:rPr>
    </w:pPr>
    <w:r w:rsidRPr="00BD3496">
      <w:rPr>
        <w:i/>
        <w:snapToGrid w:val="0"/>
        <w:sz w:val="20"/>
        <w:lang w:eastAsia="en-US"/>
      </w:rPr>
      <w:t xml:space="preserve">Page </w:t>
    </w:r>
    <w:r w:rsidRPr="00BD3496">
      <w:rPr>
        <w:i/>
        <w:snapToGrid w:val="0"/>
        <w:sz w:val="20"/>
        <w:lang w:eastAsia="en-US"/>
      </w:rPr>
      <w:fldChar w:fldCharType="begin"/>
    </w:r>
    <w:r w:rsidRPr="00BD3496">
      <w:rPr>
        <w:i/>
        <w:snapToGrid w:val="0"/>
        <w:sz w:val="20"/>
        <w:lang w:eastAsia="en-US"/>
      </w:rPr>
      <w:instrText xml:space="preserve"> PAGE </w:instrText>
    </w:r>
    <w:r w:rsidRPr="00BD3496">
      <w:rPr>
        <w:i/>
        <w:snapToGrid w:val="0"/>
        <w:sz w:val="20"/>
        <w:lang w:eastAsia="en-US"/>
      </w:rPr>
      <w:fldChar w:fldCharType="separate"/>
    </w:r>
    <w:r w:rsidR="004A1CC7">
      <w:rPr>
        <w:i/>
        <w:noProof/>
        <w:snapToGrid w:val="0"/>
        <w:sz w:val="20"/>
        <w:lang w:eastAsia="en-US"/>
      </w:rPr>
      <w:t>3</w:t>
    </w:r>
    <w:r w:rsidRPr="00BD3496">
      <w:rPr>
        <w:i/>
        <w:snapToGrid w:val="0"/>
        <w:sz w:val="20"/>
        <w:lang w:eastAsia="en-US"/>
      </w:rPr>
      <w:fldChar w:fldCharType="end"/>
    </w:r>
    <w:r w:rsidRPr="00BD3496">
      <w:rPr>
        <w:i/>
        <w:snapToGrid w:val="0"/>
        <w:sz w:val="20"/>
        <w:lang w:eastAsia="en-US"/>
      </w:rPr>
      <w:t xml:space="preserve"> of </w:t>
    </w:r>
    <w:r w:rsidRPr="00BD3496">
      <w:rPr>
        <w:i/>
        <w:snapToGrid w:val="0"/>
        <w:sz w:val="20"/>
        <w:lang w:eastAsia="en-US"/>
      </w:rPr>
      <w:fldChar w:fldCharType="begin"/>
    </w:r>
    <w:r w:rsidRPr="00BD3496">
      <w:rPr>
        <w:i/>
        <w:snapToGrid w:val="0"/>
        <w:sz w:val="20"/>
        <w:lang w:eastAsia="en-US"/>
      </w:rPr>
      <w:instrText xml:space="preserve"> NUMPAGES </w:instrText>
    </w:r>
    <w:r w:rsidRPr="00BD3496">
      <w:rPr>
        <w:i/>
        <w:snapToGrid w:val="0"/>
        <w:sz w:val="20"/>
        <w:lang w:eastAsia="en-US"/>
      </w:rPr>
      <w:fldChar w:fldCharType="separate"/>
    </w:r>
    <w:r w:rsidR="004A1CC7">
      <w:rPr>
        <w:i/>
        <w:noProof/>
        <w:snapToGrid w:val="0"/>
        <w:sz w:val="20"/>
        <w:lang w:eastAsia="en-US"/>
      </w:rPr>
      <w:t>3</w:t>
    </w:r>
    <w:r w:rsidRPr="00BD3496">
      <w:rPr>
        <w:i/>
        <w:snapToGrid w:val="0"/>
        <w:sz w:val="20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91" w:rsidRDefault="00B02691" w:rsidP="00457E4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91" w:rsidRDefault="00B02691">
      <w:r>
        <w:separator/>
      </w:r>
    </w:p>
  </w:footnote>
  <w:footnote w:type="continuationSeparator" w:id="0">
    <w:p w:rsidR="00B02691" w:rsidRDefault="00B02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91" w:rsidRDefault="00B02691" w:rsidP="00B24E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2691" w:rsidRDefault="00B026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91" w:rsidRDefault="00B02691" w:rsidP="00B24E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CC7">
      <w:rPr>
        <w:rStyle w:val="PageNumber"/>
        <w:noProof/>
      </w:rPr>
      <w:t>3</w:t>
    </w:r>
    <w:r>
      <w:rPr>
        <w:rStyle w:val="PageNumber"/>
      </w:rPr>
      <w:fldChar w:fldCharType="end"/>
    </w:r>
  </w:p>
  <w:p w:rsidR="00B02691" w:rsidRDefault="00B02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13E9"/>
    <w:multiLevelType w:val="multilevel"/>
    <w:tmpl w:val="DA360B98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>
    <w:nsid w:val="19480C61"/>
    <w:multiLevelType w:val="hybridMultilevel"/>
    <w:tmpl w:val="FF4A8400"/>
    <w:lvl w:ilvl="0" w:tplc="C902E4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6E122D"/>
    <w:multiLevelType w:val="multilevel"/>
    <w:tmpl w:val="087A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F608E"/>
    <w:multiLevelType w:val="hybridMultilevel"/>
    <w:tmpl w:val="60029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D3EA6"/>
    <w:multiLevelType w:val="multilevel"/>
    <w:tmpl w:val="DA360B98"/>
    <w:numStyleLink w:val="ListBullets"/>
  </w:abstractNum>
  <w:abstractNum w:abstractNumId="5">
    <w:nsid w:val="4F676CC2"/>
    <w:multiLevelType w:val="hybridMultilevel"/>
    <w:tmpl w:val="21A04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15CB2"/>
    <w:multiLevelType w:val="hybridMultilevel"/>
    <w:tmpl w:val="D876C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82C75"/>
    <w:multiLevelType w:val="hybridMultilevel"/>
    <w:tmpl w:val="8370E2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753B4B"/>
    <w:multiLevelType w:val="hybridMultilevel"/>
    <w:tmpl w:val="EE8289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00"/>
    <w:rsid w:val="00001F46"/>
    <w:rsid w:val="0000255C"/>
    <w:rsid w:val="000224DD"/>
    <w:rsid w:val="00025FDC"/>
    <w:rsid w:val="00030C6D"/>
    <w:rsid w:val="000323FF"/>
    <w:rsid w:val="00040E20"/>
    <w:rsid w:val="00042160"/>
    <w:rsid w:val="00052DB9"/>
    <w:rsid w:val="00055C58"/>
    <w:rsid w:val="00066612"/>
    <w:rsid w:val="000728FC"/>
    <w:rsid w:val="000735B6"/>
    <w:rsid w:val="00082E89"/>
    <w:rsid w:val="00093702"/>
    <w:rsid w:val="00094D39"/>
    <w:rsid w:val="000A256F"/>
    <w:rsid w:val="000A297F"/>
    <w:rsid w:val="000A4FEF"/>
    <w:rsid w:val="000B04DE"/>
    <w:rsid w:val="000B3CD4"/>
    <w:rsid w:val="000B4733"/>
    <w:rsid w:val="000C0AD7"/>
    <w:rsid w:val="000C3477"/>
    <w:rsid w:val="000D1F50"/>
    <w:rsid w:val="000D59BA"/>
    <w:rsid w:val="000D742C"/>
    <w:rsid w:val="000D7657"/>
    <w:rsid w:val="000E5C91"/>
    <w:rsid w:val="000F2F24"/>
    <w:rsid w:val="000F427F"/>
    <w:rsid w:val="000F42C5"/>
    <w:rsid w:val="000F4945"/>
    <w:rsid w:val="001051B8"/>
    <w:rsid w:val="001115C4"/>
    <w:rsid w:val="001122BC"/>
    <w:rsid w:val="00114FEE"/>
    <w:rsid w:val="00116A76"/>
    <w:rsid w:val="00116DB6"/>
    <w:rsid w:val="00117D4C"/>
    <w:rsid w:val="00121B98"/>
    <w:rsid w:val="00137937"/>
    <w:rsid w:val="0014093C"/>
    <w:rsid w:val="001441E8"/>
    <w:rsid w:val="00160372"/>
    <w:rsid w:val="00161367"/>
    <w:rsid w:val="00165271"/>
    <w:rsid w:val="00167CB8"/>
    <w:rsid w:val="0017129A"/>
    <w:rsid w:val="001738BC"/>
    <w:rsid w:val="00174D05"/>
    <w:rsid w:val="00176D12"/>
    <w:rsid w:val="00182D10"/>
    <w:rsid w:val="001841F4"/>
    <w:rsid w:val="001845E0"/>
    <w:rsid w:val="00191423"/>
    <w:rsid w:val="00191AF0"/>
    <w:rsid w:val="001927C9"/>
    <w:rsid w:val="001966FD"/>
    <w:rsid w:val="001A2EF3"/>
    <w:rsid w:val="001A3B7C"/>
    <w:rsid w:val="001A4CC2"/>
    <w:rsid w:val="001A5407"/>
    <w:rsid w:val="001B36BE"/>
    <w:rsid w:val="001B584F"/>
    <w:rsid w:val="001C0DB5"/>
    <w:rsid w:val="001C55AA"/>
    <w:rsid w:val="001C72F9"/>
    <w:rsid w:val="001D0C9A"/>
    <w:rsid w:val="001D1F60"/>
    <w:rsid w:val="001D25F2"/>
    <w:rsid w:val="001D27B4"/>
    <w:rsid w:val="001E0E76"/>
    <w:rsid w:val="001E1B5E"/>
    <w:rsid w:val="001E1C95"/>
    <w:rsid w:val="001E2835"/>
    <w:rsid w:val="001F6C11"/>
    <w:rsid w:val="00201B31"/>
    <w:rsid w:val="00201E92"/>
    <w:rsid w:val="002030BD"/>
    <w:rsid w:val="00203B2A"/>
    <w:rsid w:val="00205575"/>
    <w:rsid w:val="00210874"/>
    <w:rsid w:val="002239C4"/>
    <w:rsid w:val="00227172"/>
    <w:rsid w:val="00227214"/>
    <w:rsid w:val="00233D67"/>
    <w:rsid w:val="002503C2"/>
    <w:rsid w:val="002506DB"/>
    <w:rsid w:val="00250743"/>
    <w:rsid w:val="0025431F"/>
    <w:rsid w:val="002560A5"/>
    <w:rsid w:val="00256F8C"/>
    <w:rsid w:val="00266A9F"/>
    <w:rsid w:val="002705B7"/>
    <w:rsid w:val="00270F5B"/>
    <w:rsid w:val="00271F07"/>
    <w:rsid w:val="00275391"/>
    <w:rsid w:val="002753A5"/>
    <w:rsid w:val="0028175C"/>
    <w:rsid w:val="00284B51"/>
    <w:rsid w:val="002854B0"/>
    <w:rsid w:val="00285A9D"/>
    <w:rsid w:val="00287FB8"/>
    <w:rsid w:val="002903D1"/>
    <w:rsid w:val="00292825"/>
    <w:rsid w:val="0029310D"/>
    <w:rsid w:val="00294434"/>
    <w:rsid w:val="00294DD7"/>
    <w:rsid w:val="00296766"/>
    <w:rsid w:val="002A1152"/>
    <w:rsid w:val="002A67C8"/>
    <w:rsid w:val="002A691A"/>
    <w:rsid w:val="002A6928"/>
    <w:rsid w:val="002B3978"/>
    <w:rsid w:val="002B3B72"/>
    <w:rsid w:val="002B3E25"/>
    <w:rsid w:val="002B4A3A"/>
    <w:rsid w:val="002C453D"/>
    <w:rsid w:val="002C5253"/>
    <w:rsid w:val="002C62AE"/>
    <w:rsid w:val="002C7FCC"/>
    <w:rsid w:val="002E23EC"/>
    <w:rsid w:val="002E3DC8"/>
    <w:rsid w:val="002E5D2F"/>
    <w:rsid w:val="002F1972"/>
    <w:rsid w:val="00300118"/>
    <w:rsid w:val="003026E8"/>
    <w:rsid w:val="003042B8"/>
    <w:rsid w:val="0030541C"/>
    <w:rsid w:val="00305809"/>
    <w:rsid w:val="00310F35"/>
    <w:rsid w:val="00312343"/>
    <w:rsid w:val="00313294"/>
    <w:rsid w:val="003160C6"/>
    <w:rsid w:val="003168A9"/>
    <w:rsid w:val="00323CBE"/>
    <w:rsid w:val="00325772"/>
    <w:rsid w:val="0033633C"/>
    <w:rsid w:val="00337E71"/>
    <w:rsid w:val="00337FC0"/>
    <w:rsid w:val="00340137"/>
    <w:rsid w:val="00344E3E"/>
    <w:rsid w:val="003469D8"/>
    <w:rsid w:val="00347661"/>
    <w:rsid w:val="00360C3B"/>
    <w:rsid w:val="00361A4E"/>
    <w:rsid w:val="00376F28"/>
    <w:rsid w:val="00386D9E"/>
    <w:rsid w:val="00390405"/>
    <w:rsid w:val="00390C68"/>
    <w:rsid w:val="00394407"/>
    <w:rsid w:val="003965FC"/>
    <w:rsid w:val="003968A2"/>
    <w:rsid w:val="00397C2B"/>
    <w:rsid w:val="003A1334"/>
    <w:rsid w:val="003A133E"/>
    <w:rsid w:val="003A6DA6"/>
    <w:rsid w:val="003C082C"/>
    <w:rsid w:val="003C4F0B"/>
    <w:rsid w:val="003D2F8B"/>
    <w:rsid w:val="003D6392"/>
    <w:rsid w:val="003D78A5"/>
    <w:rsid w:val="003E0EDF"/>
    <w:rsid w:val="003E246D"/>
    <w:rsid w:val="003E54F0"/>
    <w:rsid w:val="003E7E18"/>
    <w:rsid w:val="003F05A3"/>
    <w:rsid w:val="003F1B8E"/>
    <w:rsid w:val="003F37B0"/>
    <w:rsid w:val="003F6BD6"/>
    <w:rsid w:val="00403D71"/>
    <w:rsid w:val="0042386A"/>
    <w:rsid w:val="004263AC"/>
    <w:rsid w:val="004343B8"/>
    <w:rsid w:val="00442753"/>
    <w:rsid w:val="00443637"/>
    <w:rsid w:val="004442C2"/>
    <w:rsid w:val="00447DA4"/>
    <w:rsid w:val="0045006A"/>
    <w:rsid w:val="004509AD"/>
    <w:rsid w:val="004527AB"/>
    <w:rsid w:val="0045337F"/>
    <w:rsid w:val="00457A49"/>
    <w:rsid w:val="00457D99"/>
    <w:rsid w:val="00457E4A"/>
    <w:rsid w:val="00462233"/>
    <w:rsid w:val="00465AA8"/>
    <w:rsid w:val="00467F28"/>
    <w:rsid w:val="00475275"/>
    <w:rsid w:val="00482D78"/>
    <w:rsid w:val="004852D0"/>
    <w:rsid w:val="004A11BC"/>
    <w:rsid w:val="004A1CC7"/>
    <w:rsid w:val="004A3F70"/>
    <w:rsid w:val="004B02BA"/>
    <w:rsid w:val="004B0AE7"/>
    <w:rsid w:val="004B0BD6"/>
    <w:rsid w:val="004B725B"/>
    <w:rsid w:val="004C01C8"/>
    <w:rsid w:val="004C11C2"/>
    <w:rsid w:val="004C1E70"/>
    <w:rsid w:val="004C5180"/>
    <w:rsid w:val="004D3ECD"/>
    <w:rsid w:val="004D4D47"/>
    <w:rsid w:val="004F6F95"/>
    <w:rsid w:val="00501A93"/>
    <w:rsid w:val="00501D89"/>
    <w:rsid w:val="00506B1D"/>
    <w:rsid w:val="00521FF2"/>
    <w:rsid w:val="005227E9"/>
    <w:rsid w:val="00536D03"/>
    <w:rsid w:val="00541205"/>
    <w:rsid w:val="00545926"/>
    <w:rsid w:val="00547DA8"/>
    <w:rsid w:val="005553EE"/>
    <w:rsid w:val="00565460"/>
    <w:rsid w:val="0057030E"/>
    <w:rsid w:val="0058053F"/>
    <w:rsid w:val="00584BDA"/>
    <w:rsid w:val="00587E82"/>
    <w:rsid w:val="00590250"/>
    <w:rsid w:val="00590872"/>
    <w:rsid w:val="00596F43"/>
    <w:rsid w:val="005A637A"/>
    <w:rsid w:val="005A64F2"/>
    <w:rsid w:val="005B168D"/>
    <w:rsid w:val="005B2637"/>
    <w:rsid w:val="005B548D"/>
    <w:rsid w:val="005C0444"/>
    <w:rsid w:val="005C23A0"/>
    <w:rsid w:val="005C5F7B"/>
    <w:rsid w:val="005D69F3"/>
    <w:rsid w:val="005E2709"/>
    <w:rsid w:val="005E4E39"/>
    <w:rsid w:val="005E65E4"/>
    <w:rsid w:val="005F06C6"/>
    <w:rsid w:val="005F28F3"/>
    <w:rsid w:val="005F3F50"/>
    <w:rsid w:val="005F7D9E"/>
    <w:rsid w:val="006110AA"/>
    <w:rsid w:val="0061208E"/>
    <w:rsid w:val="00613606"/>
    <w:rsid w:val="00617085"/>
    <w:rsid w:val="00617887"/>
    <w:rsid w:val="0062525A"/>
    <w:rsid w:val="00631E9B"/>
    <w:rsid w:val="006354F3"/>
    <w:rsid w:val="0064127C"/>
    <w:rsid w:val="00642E5D"/>
    <w:rsid w:val="00643C8E"/>
    <w:rsid w:val="00646167"/>
    <w:rsid w:val="006464B2"/>
    <w:rsid w:val="00650736"/>
    <w:rsid w:val="00650861"/>
    <w:rsid w:val="00660062"/>
    <w:rsid w:val="00665109"/>
    <w:rsid w:val="00667A1C"/>
    <w:rsid w:val="00667A70"/>
    <w:rsid w:val="00670631"/>
    <w:rsid w:val="00675855"/>
    <w:rsid w:val="0067666F"/>
    <w:rsid w:val="00676A79"/>
    <w:rsid w:val="00684D45"/>
    <w:rsid w:val="006873E6"/>
    <w:rsid w:val="006948E9"/>
    <w:rsid w:val="00696977"/>
    <w:rsid w:val="006C0292"/>
    <w:rsid w:val="006C3747"/>
    <w:rsid w:val="006D33F7"/>
    <w:rsid w:val="006D5658"/>
    <w:rsid w:val="006E09CD"/>
    <w:rsid w:val="006E0FEA"/>
    <w:rsid w:val="006E1C15"/>
    <w:rsid w:val="006E2450"/>
    <w:rsid w:val="006E3F38"/>
    <w:rsid w:val="006E4C0A"/>
    <w:rsid w:val="006E7775"/>
    <w:rsid w:val="006F2DDD"/>
    <w:rsid w:val="006F7E73"/>
    <w:rsid w:val="00704644"/>
    <w:rsid w:val="00713099"/>
    <w:rsid w:val="007225AE"/>
    <w:rsid w:val="007336A4"/>
    <w:rsid w:val="0073580B"/>
    <w:rsid w:val="00740631"/>
    <w:rsid w:val="00744A35"/>
    <w:rsid w:val="007532B4"/>
    <w:rsid w:val="007611C5"/>
    <w:rsid w:val="00761A7E"/>
    <w:rsid w:val="00763359"/>
    <w:rsid w:val="00764B01"/>
    <w:rsid w:val="00767767"/>
    <w:rsid w:val="0077206F"/>
    <w:rsid w:val="007758B2"/>
    <w:rsid w:val="007771FD"/>
    <w:rsid w:val="00787D41"/>
    <w:rsid w:val="00792283"/>
    <w:rsid w:val="0079694F"/>
    <w:rsid w:val="00796B78"/>
    <w:rsid w:val="00797500"/>
    <w:rsid w:val="007A0799"/>
    <w:rsid w:val="007A3951"/>
    <w:rsid w:val="007A7DD4"/>
    <w:rsid w:val="007B3159"/>
    <w:rsid w:val="007B5A4A"/>
    <w:rsid w:val="007C06DC"/>
    <w:rsid w:val="007D55DA"/>
    <w:rsid w:val="007D55FB"/>
    <w:rsid w:val="007E277B"/>
    <w:rsid w:val="007E5592"/>
    <w:rsid w:val="007E64B2"/>
    <w:rsid w:val="007E77E7"/>
    <w:rsid w:val="007E7E48"/>
    <w:rsid w:val="007F3023"/>
    <w:rsid w:val="007F7071"/>
    <w:rsid w:val="008005AA"/>
    <w:rsid w:val="00804792"/>
    <w:rsid w:val="008053B3"/>
    <w:rsid w:val="0081111D"/>
    <w:rsid w:val="008112F1"/>
    <w:rsid w:val="008132EC"/>
    <w:rsid w:val="00814F4C"/>
    <w:rsid w:val="0082080E"/>
    <w:rsid w:val="008209B5"/>
    <w:rsid w:val="0082226A"/>
    <w:rsid w:val="00834441"/>
    <w:rsid w:val="0083525F"/>
    <w:rsid w:val="00851EC7"/>
    <w:rsid w:val="00855D71"/>
    <w:rsid w:val="00857E0B"/>
    <w:rsid w:val="00862462"/>
    <w:rsid w:val="00864FF8"/>
    <w:rsid w:val="00865662"/>
    <w:rsid w:val="0086742F"/>
    <w:rsid w:val="00867E77"/>
    <w:rsid w:val="00871B41"/>
    <w:rsid w:val="00871B7C"/>
    <w:rsid w:val="0088763C"/>
    <w:rsid w:val="00892240"/>
    <w:rsid w:val="00895522"/>
    <w:rsid w:val="008A10C3"/>
    <w:rsid w:val="008A1261"/>
    <w:rsid w:val="008A625B"/>
    <w:rsid w:val="008B3AEF"/>
    <w:rsid w:val="008B3D10"/>
    <w:rsid w:val="008B6CC7"/>
    <w:rsid w:val="008B73DC"/>
    <w:rsid w:val="008B75D3"/>
    <w:rsid w:val="008C089F"/>
    <w:rsid w:val="008C0C2A"/>
    <w:rsid w:val="008C213A"/>
    <w:rsid w:val="008C240E"/>
    <w:rsid w:val="008D0530"/>
    <w:rsid w:val="008E12EF"/>
    <w:rsid w:val="008E2EC3"/>
    <w:rsid w:val="008E3C53"/>
    <w:rsid w:val="008E77D9"/>
    <w:rsid w:val="008F250B"/>
    <w:rsid w:val="008F3FC3"/>
    <w:rsid w:val="008F5B37"/>
    <w:rsid w:val="00900A32"/>
    <w:rsid w:val="00901680"/>
    <w:rsid w:val="009034E3"/>
    <w:rsid w:val="00905C83"/>
    <w:rsid w:val="009073EB"/>
    <w:rsid w:val="00910CFE"/>
    <w:rsid w:val="00914A07"/>
    <w:rsid w:val="00916A81"/>
    <w:rsid w:val="00920E79"/>
    <w:rsid w:val="00921726"/>
    <w:rsid w:val="00926D2A"/>
    <w:rsid w:val="00931ECF"/>
    <w:rsid w:val="00944494"/>
    <w:rsid w:val="00947C7B"/>
    <w:rsid w:val="0095276A"/>
    <w:rsid w:val="00953CAF"/>
    <w:rsid w:val="0095693D"/>
    <w:rsid w:val="00971F36"/>
    <w:rsid w:val="00981D5B"/>
    <w:rsid w:val="00982324"/>
    <w:rsid w:val="00983592"/>
    <w:rsid w:val="0098690B"/>
    <w:rsid w:val="009A47D1"/>
    <w:rsid w:val="009A6128"/>
    <w:rsid w:val="009B020E"/>
    <w:rsid w:val="009B1EEF"/>
    <w:rsid w:val="009B6DEE"/>
    <w:rsid w:val="009C7AA3"/>
    <w:rsid w:val="009D7B59"/>
    <w:rsid w:val="009D7F4D"/>
    <w:rsid w:val="009F10B0"/>
    <w:rsid w:val="009F2084"/>
    <w:rsid w:val="009F26FE"/>
    <w:rsid w:val="009F290F"/>
    <w:rsid w:val="009F2EA6"/>
    <w:rsid w:val="00A006C5"/>
    <w:rsid w:val="00A03865"/>
    <w:rsid w:val="00A03977"/>
    <w:rsid w:val="00A05133"/>
    <w:rsid w:val="00A11D17"/>
    <w:rsid w:val="00A121F1"/>
    <w:rsid w:val="00A1797C"/>
    <w:rsid w:val="00A2181D"/>
    <w:rsid w:val="00A25BB0"/>
    <w:rsid w:val="00A25C40"/>
    <w:rsid w:val="00A34B32"/>
    <w:rsid w:val="00A575F2"/>
    <w:rsid w:val="00A57A0D"/>
    <w:rsid w:val="00A6403F"/>
    <w:rsid w:val="00A67247"/>
    <w:rsid w:val="00A7063B"/>
    <w:rsid w:val="00A747FB"/>
    <w:rsid w:val="00A74A79"/>
    <w:rsid w:val="00A767EF"/>
    <w:rsid w:val="00A81EB8"/>
    <w:rsid w:val="00A82411"/>
    <w:rsid w:val="00A90A5C"/>
    <w:rsid w:val="00AA4B3E"/>
    <w:rsid w:val="00AA7276"/>
    <w:rsid w:val="00AA76EF"/>
    <w:rsid w:val="00AB46CB"/>
    <w:rsid w:val="00AB5526"/>
    <w:rsid w:val="00AC06CB"/>
    <w:rsid w:val="00AC38DA"/>
    <w:rsid w:val="00AD16CC"/>
    <w:rsid w:val="00AD1DF8"/>
    <w:rsid w:val="00AD3FBC"/>
    <w:rsid w:val="00AD4BF6"/>
    <w:rsid w:val="00AD5E93"/>
    <w:rsid w:val="00AD7A51"/>
    <w:rsid w:val="00AE193B"/>
    <w:rsid w:val="00AE250C"/>
    <w:rsid w:val="00AE7C9B"/>
    <w:rsid w:val="00AF0039"/>
    <w:rsid w:val="00AF125A"/>
    <w:rsid w:val="00AF64A7"/>
    <w:rsid w:val="00B02691"/>
    <w:rsid w:val="00B10FCE"/>
    <w:rsid w:val="00B11251"/>
    <w:rsid w:val="00B16CCB"/>
    <w:rsid w:val="00B215C1"/>
    <w:rsid w:val="00B23622"/>
    <w:rsid w:val="00B24E0B"/>
    <w:rsid w:val="00B3144C"/>
    <w:rsid w:val="00B31840"/>
    <w:rsid w:val="00B32E0A"/>
    <w:rsid w:val="00B42A08"/>
    <w:rsid w:val="00B4319B"/>
    <w:rsid w:val="00B45106"/>
    <w:rsid w:val="00B5180A"/>
    <w:rsid w:val="00B51882"/>
    <w:rsid w:val="00B52C87"/>
    <w:rsid w:val="00B614E6"/>
    <w:rsid w:val="00B6210E"/>
    <w:rsid w:val="00B71653"/>
    <w:rsid w:val="00B71996"/>
    <w:rsid w:val="00B80B9B"/>
    <w:rsid w:val="00B8527D"/>
    <w:rsid w:val="00B93546"/>
    <w:rsid w:val="00B95780"/>
    <w:rsid w:val="00B958B4"/>
    <w:rsid w:val="00B97C9B"/>
    <w:rsid w:val="00BA1E4A"/>
    <w:rsid w:val="00BA6D02"/>
    <w:rsid w:val="00BB0DE3"/>
    <w:rsid w:val="00BB3DC8"/>
    <w:rsid w:val="00BB4F71"/>
    <w:rsid w:val="00BC3767"/>
    <w:rsid w:val="00BD000A"/>
    <w:rsid w:val="00BD3496"/>
    <w:rsid w:val="00BF5B68"/>
    <w:rsid w:val="00BF6B81"/>
    <w:rsid w:val="00C01D98"/>
    <w:rsid w:val="00C04F8C"/>
    <w:rsid w:val="00C13BAC"/>
    <w:rsid w:val="00C16B28"/>
    <w:rsid w:val="00C25DD3"/>
    <w:rsid w:val="00C31138"/>
    <w:rsid w:val="00C410E1"/>
    <w:rsid w:val="00C41AA7"/>
    <w:rsid w:val="00C45B00"/>
    <w:rsid w:val="00C45C95"/>
    <w:rsid w:val="00C52234"/>
    <w:rsid w:val="00C539E3"/>
    <w:rsid w:val="00C56BD9"/>
    <w:rsid w:val="00C56F64"/>
    <w:rsid w:val="00C60B2D"/>
    <w:rsid w:val="00C60DC2"/>
    <w:rsid w:val="00C610B3"/>
    <w:rsid w:val="00C61B23"/>
    <w:rsid w:val="00C64C1A"/>
    <w:rsid w:val="00C67BCF"/>
    <w:rsid w:val="00C714E2"/>
    <w:rsid w:val="00C71A61"/>
    <w:rsid w:val="00C74327"/>
    <w:rsid w:val="00C77127"/>
    <w:rsid w:val="00C82C11"/>
    <w:rsid w:val="00C834A5"/>
    <w:rsid w:val="00C87066"/>
    <w:rsid w:val="00C91F45"/>
    <w:rsid w:val="00C93A2E"/>
    <w:rsid w:val="00C96B85"/>
    <w:rsid w:val="00CA0FDB"/>
    <w:rsid w:val="00CA5395"/>
    <w:rsid w:val="00CB3D3A"/>
    <w:rsid w:val="00CB5583"/>
    <w:rsid w:val="00CC2866"/>
    <w:rsid w:val="00CC66BE"/>
    <w:rsid w:val="00CD4D81"/>
    <w:rsid w:val="00CE1435"/>
    <w:rsid w:val="00CF1B4D"/>
    <w:rsid w:val="00CF25F7"/>
    <w:rsid w:val="00CF30A1"/>
    <w:rsid w:val="00CF58AB"/>
    <w:rsid w:val="00D03BC8"/>
    <w:rsid w:val="00D13DEE"/>
    <w:rsid w:val="00D15078"/>
    <w:rsid w:val="00D15F29"/>
    <w:rsid w:val="00D16B1D"/>
    <w:rsid w:val="00D20D17"/>
    <w:rsid w:val="00D23922"/>
    <w:rsid w:val="00D24DDA"/>
    <w:rsid w:val="00D33C45"/>
    <w:rsid w:val="00D403E6"/>
    <w:rsid w:val="00D4072C"/>
    <w:rsid w:val="00D42254"/>
    <w:rsid w:val="00D42323"/>
    <w:rsid w:val="00D63E7C"/>
    <w:rsid w:val="00D65A44"/>
    <w:rsid w:val="00D72916"/>
    <w:rsid w:val="00D74ED4"/>
    <w:rsid w:val="00D756A1"/>
    <w:rsid w:val="00D815C3"/>
    <w:rsid w:val="00DA22AA"/>
    <w:rsid w:val="00DB5CCB"/>
    <w:rsid w:val="00DC1875"/>
    <w:rsid w:val="00DC1A0E"/>
    <w:rsid w:val="00DC2EBE"/>
    <w:rsid w:val="00DC3B5B"/>
    <w:rsid w:val="00DC3B95"/>
    <w:rsid w:val="00DD47BB"/>
    <w:rsid w:val="00DE168A"/>
    <w:rsid w:val="00DE5889"/>
    <w:rsid w:val="00DE6DF6"/>
    <w:rsid w:val="00DE6E24"/>
    <w:rsid w:val="00DF58F2"/>
    <w:rsid w:val="00DF6103"/>
    <w:rsid w:val="00E02F3E"/>
    <w:rsid w:val="00E16D5A"/>
    <w:rsid w:val="00E2139E"/>
    <w:rsid w:val="00E22C34"/>
    <w:rsid w:val="00E301C4"/>
    <w:rsid w:val="00E31EF3"/>
    <w:rsid w:val="00E36E95"/>
    <w:rsid w:val="00E3701F"/>
    <w:rsid w:val="00E42923"/>
    <w:rsid w:val="00E47C2B"/>
    <w:rsid w:val="00E61043"/>
    <w:rsid w:val="00E72DE1"/>
    <w:rsid w:val="00E817B1"/>
    <w:rsid w:val="00E91DE1"/>
    <w:rsid w:val="00E927E5"/>
    <w:rsid w:val="00E92B5E"/>
    <w:rsid w:val="00E97349"/>
    <w:rsid w:val="00EA32B7"/>
    <w:rsid w:val="00EB3831"/>
    <w:rsid w:val="00EC182C"/>
    <w:rsid w:val="00ED394E"/>
    <w:rsid w:val="00ED532E"/>
    <w:rsid w:val="00ED6A32"/>
    <w:rsid w:val="00EE1E79"/>
    <w:rsid w:val="00EE2F6D"/>
    <w:rsid w:val="00EE38E0"/>
    <w:rsid w:val="00EF32AB"/>
    <w:rsid w:val="00EF5A92"/>
    <w:rsid w:val="00EF66BF"/>
    <w:rsid w:val="00EF73DE"/>
    <w:rsid w:val="00F01F78"/>
    <w:rsid w:val="00F11349"/>
    <w:rsid w:val="00F119FB"/>
    <w:rsid w:val="00F12EFD"/>
    <w:rsid w:val="00F13532"/>
    <w:rsid w:val="00F152FC"/>
    <w:rsid w:val="00F203E6"/>
    <w:rsid w:val="00F24FAD"/>
    <w:rsid w:val="00F3521A"/>
    <w:rsid w:val="00F37826"/>
    <w:rsid w:val="00F53E48"/>
    <w:rsid w:val="00F56D10"/>
    <w:rsid w:val="00F60E59"/>
    <w:rsid w:val="00F64453"/>
    <w:rsid w:val="00F6454B"/>
    <w:rsid w:val="00F72926"/>
    <w:rsid w:val="00F7399A"/>
    <w:rsid w:val="00F75077"/>
    <w:rsid w:val="00F75C7E"/>
    <w:rsid w:val="00F81147"/>
    <w:rsid w:val="00F81520"/>
    <w:rsid w:val="00F84D65"/>
    <w:rsid w:val="00F87F60"/>
    <w:rsid w:val="00F91C0D"/>
    <w:rsid w:val="00F93260"/>
    <w:rsid w:val="00FA0A07"/>
    <w:rsid w:val="00FA619F"/>
    <w:rsid w:val="00FB0C7A"/>
    <w:rsid w:val="00FB2C29"/>
    <w:rsid w:val="00FB3231"/>
    <w:rsid w:val="00FB4C36"/>
    <w:rsid w:val="00FB6232"/>
    <w:rsid w:val="00FC4BE2"/>
    <w:rsid w:val="00FC675B"/>
    <w:rsid w:val="00FC6F58"/>
    <w:rsid w:val="00FD31F3"/>
    <w:rsid w:val="00FD3ADE"/>
    <w:rsid w:val="00FD409E"/>
    <w:rsid w:val="00FD42B8"/>
    <w:rsid w:val="00FD46F5"/>
    <w:rsid w:val="00FE2BF2"/>
    <w:rsid w:val="00FE313D"/>
    <w:rsid w:val="00FE7B7C"/>
    <w:rsid w:val="00FF2B6A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95"/>
    <w:rPr>
      <w:rFonts w:ascii="Tms Rmn" w:hAnsi="Tms Rmn"/>
      <w:sz w:val="24"/>
    </w:rPr>
  </w:style>
  <w:style w:type="paragraph" w:styleId="Heading1">
    <w:name w:val="heading 1"/>
    <w:basedOn w:val="Normal"/>
    <w:next w:val="Normal"/>
    <w:qFormat/>
    <w:rsid w:val="00457E4A"/>
    <w:pPr>
      <w:keepNext/>
      <w:outlineLvl w:val="0"/>
    </w:pPr>
    <w:rPr>
      <w:rFonts w:ascii="Times New Roman" w:hAnsi="Times New Roman"/>
      <w:b/>
      <w:bCs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para">
    <w:name w:val="numberpara"/>
    <w:basedOn w:val="Footer"/>
    <w:rsid w:val="001E1C95"/>
    <w:pPr>
      <w:tabs>
        <w:tab w:val="clear" w:pos="4153"/>
        <w:tab w:val="clear" w:pos="8306"/>
        <w:tab w:val="left" w:pos="360"/>
        <w:tab w:val="left" w:pos="567"/>
      </w:tabs>
      <w:spacing w:before="120" w:line="360" w:lineRule="auto"/>
    </w:pPr>
    <w:rPr>
      <w:rFonts w:ascii="Times New Roman" w:hAnsi="Times New Roman"/>
      <w:lang w:val="en-US"/>
    </w:rPr>
  </w:style>
  <w:style w:type="paragraph" w:customStyle="1" w:styleId="legcohead3">
    <w:name w:val="legcohead3"/>
    <w:basedOn w:val="Normal"/>
    <w:rsid w:val="001E1C95"/>
    <w:pPr>
      <w:keepNext/>
    </w:pPr>
    <w:rPr>
      <w:rFonts w:ascii="Times New Roman" w:hAnsi="Times New Roman"/>
      <w:b/>
      <w:kern w:val="28"/>
      <w:lang w:val="en-US"/>
    </w:rPr>
  </w:style>
  <w:style w:type="paragraph" w:styleId="Footer">
    <w:name w:val="footer"/>
    <w:basedOn w:val="Normal"/>
    <w:rsid w:val="001E1C9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1E1C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7E4A"/>
  </w:style>
  <w:style w:type="paragraph" w:customStyle="1" w:styleId="a">
    <w:basedOn w:val="Normal"/>
    <w:rsid w:val="00457E4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BalloonText">
    <w:name w:val="Balloon Text"/>
    <w:basedOn w:val="Normal"/>
    <w:semiHidden/>
    <w:rsid w:val="00FD46F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F56D10"/>
    <w:rPr>
      <w:rFonts w:ascii="Arial" w:hAnsi="Arial" w:cs="Arial"/>
      <w:sz w:val="22"/>
      <w:szCs w:val="22"/>
      <w:lang w:eastAsia="en-US"/>
    </w:rPr>
  </w:style>
  <w:style w:type="paragraph" w:customStyle="1" w:styleId="CharCharChar">
    <w:name w:val="Char Char Char"/>
    <w:basedOn w:val="Normal"/>
    <w:rsid w:val="00C60DC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TableGrid">
    <w:name w:val="Table Grid"/>
    <w:basedOn w:val="TableNormal"/>
    <w:rsid w:val="00C60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C74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74327"/>
    <w:rPr>
      <w:sz w:val="20"/>
    </w:rPr>
  </w:style>
  <w:style w:type="paragraph" w:styleId="CommentSubject">
    <w:name w:val="annotation subject"/>
    <w:basedOn w:val="CommentText"/>
    <w:next w:val="CommentText"/>
    <w:semiHidden/>
    <w:rsid w:val="00C74327"/>
    <w:rPr>
      <w:b/>
      <w:bCs/>
    </w:rPr>
  </w:style>
  <w:style w:type="character" w:styleId="Hyperlink">
    <w:name w:val="Hyperlink"/>
    <w:basedOn w:val="DefaultParagraphFont"/>
    <w:rsid w:val="00E301C4"/>
    <w:rPr>
      <w:color w:val="0000FF"/>
      <w:u w:val="single"/>
    </w:rPr>
  </w:style>
  <w:style w:type="paragraph" w:customStyle="1" w:styleId="subsection">
    <w:name w:val="subsection"/>
    <w:aliases w:val="ss"/>
    <w:rsid w:val="00B16CCB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06F"/>
    <w:rPr>
      <w:rFonts w:ascii="Tms Rmn" w:hAnsi="Tms Rmn"/>
    </w:rPr>
  </w:style>
  <w:style w:type="paragraph" w:styleId="FootnoteText">
    <w:name w:val="footnote text"/>
    <w:basedOn w:val="Normal"/>
    <w:link w:val="FootnoteTextChar"/>
    <w:unhideWhenUsed/>
    <w:rsid w:val="00447DA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47DA4"/>
    <w:rPr>
      <w:rFonts w:ascii="Tms Rmn" w:hAnsi="Tms Rmn"/>
    </w:rPr>
  </w:style>
  <w:style w:type="character" w:styleId="FootnoteReference">
    <w:name w:val="footnote reference"/>
    <w:basedOn w:val="DefaultParagraphFont"/>
    <w:uiPriority w:val="99"/>
    <w:semiHidden/>
    <w:unhideWhenUsed/>
    <w:rsid w:val="00447DA4"/>
    <w:rPr>
      <w:vertAlign w:val="superscript"/>
    </w:rPr>
  </w:style>
  <w:style w:type="paragraph" w:styleId="ListBullet">
    <w:name w:val="List Bullet"/>
    <w:basedOn w:val="Normal"/>
    <w:uiPriority w:val="99"/>
    <w:qFormat/>
    <w:rsid w:val="003A6DA6"/>
    <w:pPr>
      <w:numPr>
        <w:numId w:val="6"/>
      </w:numPr>
      <w:spacing w:before="120" w:after="180" w:line="240" w:lineRule="atLeast"/>
    </w:pPr>
    <w:rPr>
      <w:rFonts w:ascii="Cambria" w:eastAsia="Cambria" w:hAnsi="Cambria"/>
      <w:sz w:val="22"/>
      <w:szCs w:val="22"/>
      <w:lang w:eastAsia="en-US"/>
    </w:rPr>
  </w:style>
  <w:style w:type="paragraph" w:styleId="ListBullet2">
    <w:name w:val="List Bullet 2"/>
    <w:basedOn w:val="Normal"/>
    <w:uiPriority w:val="99"/>
    <w:qFormat/>
    <w:rsid w:val="003A6DA6"/>
    <w:pPr>
      <w:numPr>
        <w:ilvl w:val="1"/>
        <w:numId w:val="6"/>
      </w:numPr>
      <w:spacing w:before="120" w:after="180" w:line="240" w:lineRule="atLeast"/>
    </w:pPr>
    <w:rPr>
      <w:rFonts w:ascii="Cambria" w:eastAsia="Cambria" w:hAnsi="Cambria"/>
      <w:sz w:val="22"/>
      <w:szCs w:val="22"/>
      <w:lang w:eastAsia="en-US"/>
    </w:rPr>
  </w:style>
  <w:style w:type="paragraph" w:styleId="ListBullet3">
    <w:name w:val="List Bullet 3"/>
    <w:basedOn w:val="Normal"/>
    <w:uiPriority w:val="99"/>
    <w:qFormat/>
    <w:rsid w:val="003A6DA6"/>
    <w:pPr>
      <w:numPr>
        <w:ilvl w:val="2"/>
        <w:numId w:val="6"/>
      </w:numPr>
      <w:spacing w:before="120" w:after="180" w:line="240" w:lineRule="atLeast"/>
    </w:pPr>
    <w:rPr>
      <w:rFonts w:ascii="Cambria" w:eastAsia="Cambria" w:hAnsi="Cambria"/>
      <w:sz w:val="22"/>
      <w:szCs w:val="22"/>
      <w:lang w:eastAsia="en-US"/>
    </w:rPr>
  </w:style>
  <w:style w:type="numbering" w:customStyle="1" w:styleId="ListBullets">
    <w:name w:val="ListBullets"/>
    <w:uiPriority w:val="99"/>
    <w:locked/>
    <w:rsid w:val="003A6DA6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3A6DA6"/>
    <w:pPr>
      <w:spacing w:after="120" w:line="240" w:lineRule="atLeast"/>
      <w:ind w:left="720"/>
      <w:contextualSpacing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C3B95"/>
    <w:rPr>
      <w:rFonts w:ascii="Tms Rmn" w:hAnsi="Tms Rm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95"/>
    <w:rPr>
      <w:rFonts w:ascii="Tms Rmn" w:hAnsi="Tms Rmn"/>
      <w:sz w:val="24"/>
    </w:rPr>
  </w:style>
  <w:style w:type="paragraph" w:styleId="Heading1">
    <w:name w:val="heading 1"/>
    <w:basedOn w:val="Normal"/>
    <w:next w:val="Normal"/>
    <w:qFormat/>
    <w:rsid w:val="00457E4A"/>
    <w:pPr>
      <w:keepNext/>
      <w:outlineLvl w:val="0"/>
    </w:pPr>
    <w:rPr>
      <w:rFonts w:ascii="Times New Roman" w:hAnsi="Times New Roman"/>
      <w:b/>
      <w:bCs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para">
    <w:name w:val="numberpara"/>
    <w:basedOn w:val="Footer"/>
    <w:rsid w:val="001E1C95"/>
    <w:pPr>
      <w:tabs>
        <w:tab w:val="clear" w:pos="4153"/>
        <w:tab w:val="clear" w:pos="8306"/>
        <w:tab w:val="left" w:pos="360"/>
        <w:tab w:val="left" w:pos="567"/>
      </w:tabs>
      <w:spacing w:before="120" w:line="360" w:lineRule="auto"/>
    </w:pPr>
    <w:rPr>
      <w:rFonts w:ascii="Times New Roman" w:hAnsi="Times New Roman"/>
      <w:lang w:val="en-US"/>
    </w:rPr>
  </w:style>
  <w:style w:type="paragraph" w:customStyle="1" w:styleId="legcohead3">
    <w:name w:val="legcohead3"/>
    <w:basedOn w:val="Normal"/>
    <w:rsid w:val="001E1C95"/>
    <w:pPr>
      <w:keepNext/>
    </w:pPr>
    <w:rPr>
      <w:rFonts w:ascii="Times New Roman" w:hAnsi="Times New Roman"/>
      <w:b/>
      <w:kern w:val="28"/>
      <w:lang w:val="en-US"/>
    </w:rPr>
  </w:style>
  <w:style w:type="paragraph" w:styleId="Footer">
    <w:name w:val="footer"/>
    <w:basedOn w:val="Normal"/>
    <w:rsid w:val="001E1C9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1E1C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7E4A"/>
  </w:style>
  <w:style w:type="paragraph" w:customStyle="1" w:styleId="a">
    <w:basedOn w:val="Normal"/>
    <w:rsid w:val="00457E4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BalloonText">
    <w:name w:val="Balloon Text"/>
    <w:basedOn w:val="Normal"/>
    <w:semiHidden/>
    <w:rsid w:val="00FD46F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F56D10"/>
    <w:rPr>
      <w:rFonts w:ascii="Arial" w:hAnsi="Arial" w:cs="Arial"/>
      <w:sz w:val="22"/>
      <w:szCs w:val="22"/>
      <w:lang w:eastAsia="en-US"/>
    </w:rPr>
  </w:style>
  <w:style w:type="paragraph" w:customStyle="1" w:styleId="CharCharChar">
    <w:name w:val="Char Char Char"/>
    <w:basedOn w:val="Normal"/>
    <w:rsid w:val="00C60DC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TableGrid">
    <w:name w:val="Table Grid"/>
    <w:basedOn w:val="TableNormal"/>
    <w:rsid w:val="00C60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C74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74327"/>
    <w:rPr>
      <w:sz w:val="20"/>
    </w:rPr>
  </w:style>
  <w:style w:type="paragraph" w:styleId="CommentSubject">
    <w:name w:val="annotation subject"/>
    <w:basedOn w:val="CommentText"/>
    <w:next w:val="CommentText"/>
    <w:semiHidden/>
    <w:rsid w:val="00C74327"/>
    <w:rPr>
      <w:b/>
      <w:bCs/>
    </w:rPr>
  </w:style>
  <w:style w:type="character" w:styleId="Hyperlink">
    <w:name w:val="Hyperlink"/>
    <w:basedOn w:val="DefaultParagraphFont"/>
    <w:rsid w:val="00E301C4"/>
    <w:rPr>
      <w:color w:val="0000FF"/>
      <w:u w:val="single"/>
    </w:rPr>
  </w:style>
  <w:style w:type="paragraph" w:customStyle="1" w:styleId="subsection">
    <w:name w:val="subsection"/>
    <w:aliases w:val="ss"/>
    <w:rsid w:val="00B16CCB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06F"/>
    <w:rPr>
      <w:rFonts w:ascii="Tms Rmn" w:hAnsi="Tms Rmn"/>
    </w:rPr>
  </w:style>
  <w:style w:type="paragraph" w:styleId="FootnoteText">
    <w:name w:val="footnote text"/>
    <w:basedOn w:val="Normal"/>
    <w:link w:val="FootnoteTextChar"/>
    <w:unhideWhenUsed/>
    <w:rsid w:val="00447DA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47DA4"/>
    <w:rPr>
      <w:rFonts w:ascii="Tms Rmn" w:hAnsi="Tms Rmn"/>
    </w:rPr>
  </w:style>
  <w:style w:type="character" w:styleId="FootnoteReference">
    <w:name w:val="footnote reference"/>
    <w:basedOn w:val="DefaultParagraphFont"/>
    <w:uiPriority w:val="99"/>
    <w:semiHidden/>
    <w:unhideWhenUsed/>
    <w:rsid w:val="00447DA4"/>
    <w:rPr>
      <w:vertAlign w:val="superscript"/>
    </w:rPr>
  </w:style>
  <w:style w:type="paragraph" w:styleId="ListBullet">
    <w:name w:val="List Bullet"/>
    <w:basedOn w:val="Normal"/>
    <w:uiPriority w:val="99"/>
    <w:qFormat/>
    <w:rsid w:val="003A6DA6"/>
    <w:pPr>
      <w:numPr>
        <w:numId w:val="6"/>
      </w:numPr>
      <w:spacing w:before="120" w:after="180" w:line="240" w:lineRule="atLeast"/>
    </w:pPr>
    <w:rPr>
      <w:rFonts w:ascii="Cambria" w:eastAsia="Cambria" w:hAnsi="Cambria"/>
      <w:sz w:val="22"/>
      <w:szCs w:val="22"/>
      <w:lang w:eastAsia="en-US"/>
    </w:rPr>
  </w:style>
  <w:style w:type="paragraph" w:styleId="ListBullet2">
    <w:name w:val="List Bullet 2"/>
    <w:basedOn w:val="Normal"/>
    <w:uiPriority w:val="99"/>
    <w:qFormat/>
    <w:rsid w:val="003A6DA6"/>
    <w:pPr>
      <w:numPr>
        <w:ilvl w:val="1"/>
        <w:numId w:val="6"/>
      </w:numPr>
      <w:spacing w:before="120" w:after="180" w:line="240" w:lineRule="atLeast"/>
    </w:pPr>
    <w:rPr>
      <w:rFonts w:ascii="Cambria" w:eastAsia="Cambria" w:hAnsi="Cambria"/>
      <w:sz w:val="22"/>
      <w:szCs w:val="22"/>
      <w:lang w:eastAsia="en-US"/>
    </w:rPr>
  </w:style>
  <w:style w:type="paragraph" w:styleId="ListBullet3">
    <w:name w:val="List Bullet 3"/>
    <w:basedOn w:val="Normal"/>
    <w:uiPriority w:val="99"/>
    <w:qFormat/>
    <w:rsid w:val="003A6DA6"/>
    <w:pPr>
      <w:numPr>
        <w:ilvl w:val="2"/>
        <w:numId w:val="6"/>
      </w:numPr>
      <w:spacing w:before="120" w:after="180" w:line="240" w:lineRule="atLeast"/>
    </w:pPr>
    <w:rPr>
      <w:rFonts w:ascii="Cambria" w:eastAsia="Cambria" w:hAnsi="Cambria"/>
      <w:sz w:val="22"/>
      <w:szCs w:val="22"/>
      <w:lang w:eastAsia="en-US"/>
    </w:rPr>
  </w:style>
  <w:style w:type="numbering" w:customStyle="1" w:styleId="ListBullets">
    <w:name w:val="ListBullets"/>
    <w:uiPriority w:val="99"/>
    <w:locked/>
    <w:rsid w:val="003A6DA6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3A6DA6"/>
    <w:pPr>
      <w:spacing w:after="120" w:line="240" w:lineRule="atLeast"/>
      <w:ind w:left="720"/>
      <w:contextualSpacing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C3B95"/>
    <w:rPr>
      <w:rFonts w:ascii="Tms Rmn" w:hAnsi="Tms Rm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ga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dsafe.govt.n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9CAA-AD0A-4683-900D-8892EDEF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/>
  <cp:lastModifiedBy/>
  <cp:revision>1</cp:revision>
  <cp:lastPrinted>2009-11-05T04:54:00Z</cp:lastPrinted>
  <dcterms:created xsi:type="dcterms:W3CDTF">2013-03-18T23:27:00Z</dcterms:created>
  <dcterms:modified xsi:type="dcterms:W3CDTF">2013-03-18T23:27:00Z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