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8A" w:rsidRPr="00760D1E" w:rsidRDefault="00825478" w:rsidP="00056DC2">
      <w:pPr>
        <w:pStyle w:val="Heading"/>
        <w:spacing w:before="0" w:after="240"/>
        <w:jc w:val="center"/>
        <w:rPr>
          <w:rFonts w:ascii="Times New Roman" w:hAnsi="Times New Roman" w:cs="Times New Roman"/>
          <w:sz w:val="24"/>
          <w:szCs w:val="24"/>
        </w:rPr>
      </w:pPr>
      <w:bookmarkStart w:id="0" w:name="bkInstrumentSubTitle"/>
      <w:bookmarkEnd w:id="0"/>
      <w:r w:rsidRPr="00760D1E">
        <w:rPr>
          <w:rFonts w:ascii="Times New Roman" w:hAnsi="Times New Roman" w:cs="Times New Roman"/>
          <w:sz w:val="24"/>
          <w:szCs w:val="24"/>
        </w:rPr>
        <w:t xml:space="preserve">Financial Sector (Collection of Data) (reporting standard) determination Nos. </w:t>
      </w:r>
      <w:r w:rsidR="001B115C" w:rsidRPr="00760D1E">
        <w:rPr>
          <w:rFonts w:ascii="Times New Roman" w:hAnsi="Times New Roman" w:cs="Times New Roman"/>
          <w:sz w:val="24"/>
          <w:szCs w:val="24"/>
        </w:rPr>
        <w:t>1</w:t>
      </w:r>
      <w:r w:rsidRPr="00760D1E">
        <w:rPr>
          <w:rFonts w:ascii="Times New Roman" w:hAnsi="Times New Roman" w:cs="Times New Roman"/>
          <w:sz w:val="24"/>
          <w:szCs w:val="24"/>
        </w:rPr>
        <w:t xml:space="preserve"> to </w:t>
      </w:r>
      <w:r w:rsidR="001B115C" w:rsidRPr="00760D1E">
        <w:rPr>
          <w:rFonts w:ascii="Times New Roman" w:hAnsi="Times New Roman" w:cs="Times New Roman"/>
          <w:sz w:val="24"/>
          <w:szCs w:val="24"/>
        </w:rPr>
        <w:t>26</w:t>
      </w:r>
      <w:r w:rsidRPr="00760D1E">
        <w:rPr>
          <w:rFonts w:ascii="Times New Roman" w:hAnsi="Times New Roman" w:cs="Times New Roman"/>
          <w:sz w:val="24"/>
          <w:szCs w:val="24"/>
        </w:rPr>
        <w:t xml:space="preserve"> of 201</w:t>
      </w:r>
      <w:r w:rsidR="001B115C" w:rsidRPr="00760D1E">
        <w:rPr>
          <w:rFonts w:ascii="Times New Roman" w:hAnsi="Times New Roman" w:cs="Times New Roman"/>
          <w:sz w:val="24"/>
          <w:szCs w:val="24"/>
        </w:rPr>
        <w:t>3</w:t>
      </w:r>
    </w:p>
    <w:p w:rsidR="005941E1" w:rsidRPr="00760D1E" w:rsidRDefault="00825478" w:rsidP="00056DC2">
      <w:pPr>
        <w:pStyle w:val="Heading"/>
        <w:tabs>
          <w:tab w:val="left" w:pos="360"/>
        </w:tabs>
        <w:spacing w:before="0" w:after="240"/>
        <w:ind w:left="-360"/>
        <w:jc w:val="center"/>
        <w:rPr>
          <w:rFonts w:ascii="Times New Roman" w:hAnsi="Times New Roman" w:cs="Times New Roman"/>
          <w:sz w:val="24"/>
          <w:szCs w:val="24"/>
          <w:u w:val="single"/>
        </w:rPr>
      </w:pPr>
      <w:bookmarkStart w:id="1" w:name="bkStart"/>
      <w:bookmarkEnd w:id="1"/>
      <w:r w:rsidRPr="00760D1E">
        <w:rPr>
          <w:rFonts w:ascii="Times New Roman" w:hAnsi="Times New Roman" w:cs="Times New Roman"/>
          <w:sz w:val="24"/>
          <w:szCs w:val="24"/>
          <w:u w:val="single"/>
        </w:rPr>
        <w:t>EXPLANATORY STATEMENT</w:t>
      </w:r>
    </w:p>
    <w:p w:rsidR="00102F9E" w:rsidRPr="00760D1E" w:rsidRDefault="00825478" w:rsidP="00056DC2">
      <w:pPr>
        <w:pStyle w:val="Heading"/>
        <w:spacing w:before="0" w:after="240"/>
        <w:jc w:val="center"/>
        <w:rPr>
          <w:rFonts w:ascii="Times New Roman" w:hAnsi="Times New Roman" w:cs="Times New Roman"/>
          <w:sz w:val="24"/>
          <w:szCs w:val="24"/>
        </w:rPr>
      </w:pPr>
      <w:r w:rsidRPr="00760D1E">
        <w:rPr>
          <w:rFonts w:ascii="Times New Roman" w:hAnsi="Times New Roman" w:cs="Times New Roman"/>
          <w:sz w:val="24"/>
          <w:szCs w:val="24"/>
        </w:rPr>
        <w:t>Prepared by the Australian Prudential Regulation Authority</w:t>
      </w:r>
      <w:r w:rsidR="00882496" w:rsidRPr="00760D1E">
        <w:rPr>
          <w:rFonts w:ascii="Times New Roman" w:hAnsi="Times New Roman" w:cs="Times New Roman"/>
          <w:sz w:val="24"/>
          <w:szCs w:val="24"/>
        </w:rPr>
        <w:t xml:space="preserve"> (APRA)</w:t>
      </w:r>
    </w:p>
    <w:p w:rsidR="00746F83" w:rsidRPr="00760D1E" w:rsidRDefault="00825478" w:rsidP="003F7530">
      <w:pPr>
        <w:spacing w:after="240"/>
        <w:jc w:val="both"/>
        <w:rPr>
          <w:rFonts w:ascii="Times New Roman" w:hAnsi="Times New Roman"/>
          <w:sz w:val="24"/>
        </w:rPr>
      </w:pPr>
      <w:bookmarkStart w:id="2" w:name="bkAct"/>
      <w:bookmarkStart w:id="3" w:name="bkExplanatory"/>
      <w:bookmarkEnd w:id="2"/>
      <w:bookmarkEnd w:id="3"/>
      <w:r w:rsidRPr="00760D1E">
        <w:rPr>
          <w:rFonts w:ascii="Times New Roman" w:hAnsi="Times New Roman"/>
          <w:i/>
          <w:sz w:val="24"/>
        </w:rPr>
        <w:t>Financial Sector (Collection of Data) Act 2001</w:t>
      </w:r>
      <w:r w:rsidRPr="00760D1E">
        <w:rPr>
          <w:rFonts w:ascii="Times New Roman" w:hAnsi="Times New Roman"/>
          <w:sz w:val="24"/>
        </w:rPr>
        <w:t xml:space="preserve">, </w:t>
      </w:r>
      <w:r w:rsidR="00AD78E5" w:rsidRPr="00760D1E">
        <w:rPr>
          <w:rFonts w:ascii="Times New Roman" w:hAnsi="Times New Roman"/>
          <w:sz w:val="24"/>
        </w:rPr>
        <w:t>sub</w:t>
      </w:r>
      <w:r w:rsidR="007A09EC" w:rsidRPr="00760D1E">
        <w:rPr>
          <w:rFonts w:ascii="Times New Roman" w:hAnsi="Times New Roman"/>
          <w:sz w:val="24"/>
        </w:rPr>
        <w:t>sections</w:t>
      </w:r>
      <w:r w:rsidRPr="00760D1E">
        <w:rPr>
          <w:rFonts w:ascii="Times New Roman" w:hAnsi="Times New Roman"/>
          <w:sz w:val="24"/>
        </w:rPr>
        <w:t xml:space="preserve"> 13(1) and 15</w:t>
      </w:r>
      <w:r w:rsidR="00AD78E5" w:rsidRPr="00760D1E">
        <w:rPr>
          <w:rFonts w:ascii="Times New Roman" w:hAnsi="Times New Roman"/>
          <w:sz w:val="24"/>
        </w:rPr>
        <w:t>(1)</w:t>
      </w:r>
      <w:r w:rsidRPr="00760D1E">
        <w:rPr>
          <w:rFonts w:ascii="Times New Roman" w:hAnsi="Times New Roman"/>
          <w:sz w:val="24"/>
        </w:rPr>
        <w:br/>
      </w:r>
      <w:r w:rsidRPr="00760D1E">
        <w:rPr>
          <w:rFonts w:ascii="Times New Roman" w:hAnsi="Times New Roman"/>
          <w:i/>
          <w:sz w:val="24"/>
        </w:rPr>
        <w:t>Acts Interpretation Act 1901</w:t>
      </w:r>
      <w:r w:rsidRPr="00760D1E">
        <w:rPr>
          <w:rFonts w:ascii="Times New Roman" w:hAnsi="Times New Roman"/>
          <w:sz w:val="24"/>
        </w:rPr>
        <w:t>, subsection 33(3)</w:t>
      </w:r>
    </w:p>
    <w:p w:rsidR="00B067E0" w:rsidRPr="00760D1E" w:rsidRDefault="00B31081" w:rsidP="003F7530">
      <w:pPr>
        <w:spacing w:after="240"/>
        <w:jc w:val="both"/>
        <w:rPr>
          <w:rFonts w:ascii="Times New Roman" w:hAnsi="Times New Roman"/>
          <w:sz w:val="24"/>
        </w:rPr>
      </w:pPr>
      <w:r w:rsidRPr="00760D1E">
        <w:rPr>
          <w:rFonts w:ascii="Times New Roman" w:hAnsi="Times New Roman"/>
          <w:sz w:val="24"/>
        </w:rPr>
        <w:t>Under</w:t>
      </w:r>
      <w:r w:rsidR="00825478" w:rsidRPr="00760D1E">
        <w:rPr>
          <w:rFonts w:ascii="Times New Roman" w:hAnsi="Times New Roman"/>
          <w:sz w:val="24"/>
        </w:rPr>
        <w:t xml:space="preserve"> paragraph 13(1)(a) of the </w:t>
      </w:r>
      <w:r w:rsidR="00825478" w:rsidRPr="00760D1E">
        <w:rPr>
          <w:rFonts w:ascii="Times New Roman" w:hAnsi="Times New Roman"/>
          <w:i/>
          <w:sz w:val="24"/>
        </w:rPr>
        <w:t xml:space="preserve">Financial Sector (Collection of Data) Act 2001 </w:t>
      </w:r>
      <w:r w:rsidR="00825478" w:rsidRPr="00760D1E">
        <w:rPr>
          <w:rFonts w:ascii="Times New Roman" w:hAnsi="Times New Roman"/>
          <w:sz w:val="24"/>
        </w:rPr>
        <w:t xml:space="preserve">(FSCODA), APRA </w:t>
      </w:r>
      <w:r w:rsidR="007A09EC" w:rsidRPr="00760D1E">
        <w:rPr>
          <w:rFonts w:ascii="Times New Roman" w:hAnsi="Times New Roman"/>
          <w:sz w:val="24"/>
        </w:rPr>
        <w:t>has the power to</w:t>
      </w:r>
      <w:r w:rsidR="00825478" w:rsidRPr="00760D1E">
        <w:rPr>
          <w:rFonts w:ascii="Times New Roman" w:hAnsi="Times New Roman"/>
          <w:sz w:val="24"/>
        </w:rPr>
        <w:t xml:space="preserve"> determine reporting standards</w:t>
      </w:r>
      <w:r w:rsidR="007A09EC" w:rsidRPr="00760D1E">
        <w:rPr>
          <w:rFonts w:ascii="Times New Roman" w:hAnsi="Times New Roman"/>
          <w:sz w:val="24"/>
        </w:rPr>
        <w:t>, in writing,</w:t>
      </w:r>
      <w:r w:rsidR="00825478" w:rsidRPr="00760D1E">
        <w:rPr>
          <w:rFonts w:ascii="Times New Roman" w:hAnsi="Times New Roman"/>
          <w:sz w:val="24"/>
        </w:rPr>
        <w:t xml:space="preserve"> with which financial sector entities must comply. Such standards relate to reporting financial or accounting data and other information regarding the business or activities of the entities.  S</w:t>
      </w:r>
      <w:r w:rsidR="00AD78E5" w:rsidRPr="00760D1E">
        <w:rPr>
          <w:rFonts w:ascii="Times New Roman" w:hAnsi="Times New Roman"/>
          <w:sz w:val="24"/>
        </w:rPr>
        <w:t>ubs</w:t>
      </w:r>
      <w:r w:rsidR="00825478" w:rsidRPr="00760D1E">
        <w:rPr>
          <w:rFonts w:ascii="Times New Roman" w:hAnsi="Times New Roman"/>
          <w:sz w:val="24"/>
        </w:rPr>
        <w:t>ection 15</w:t>
      </w:r>
      <w:r w:rsidR="00AD78E5" w:rsidRPr="00760D1E">
        <w:rPr>
          <w:rFonts w:ascii="Times New Roman" w:hAnsi="Times New Roman"/>
          <w:sz w:val="24"/>
        </w:rPr>
        <w:t>(1)</w:t>
      </w:r>
      <w:r w:rsidR="00825478" w:rsidRPr="00760D1E">
        <w:rPr>
          <w:rFonts w:ascii="Times New Roman" w:hAnsi="Times New Roman"/>
          <w:sz w:val="24"/>
        </w:rPr>
        <w:t xml:space="preserve"> of FSCODA </w:t>
      </w:r>
      <w:r w:rsidR="00997DB1" w:rsidRPr="00760D1E">
        <w:rPr>
          <w:rFonts w:ascii="Times New Roman" w:hAnsi="Times New Roman"/>
          <w:sz w:val="24"/>
        </w:rPr>
        <w:t xml:space="preserve">provides that </w:t>
      </w:r>
      <w:r w:rsidR="00825478" w:rsidRPr="00760D1E">
        <w:rPr>
          <w:rFonts w:ascii="Times New Roman" w:hAnsi="Times New Roman"/>
          <w:sz w:val="24"/>
        </w:rPr>
        <w:t xml:space="preserve">APRA </w:t>
      </w:r>
      <w:r w:rsidR="00085D6F" w:rsidRPr="00760D1E">
        <w:rPr>
          <w:rFonts w:ascii="Times New Roman" w:hAnsi="Times New Roman"/>
          <w:sz w:val="24"/>
        </w:rPr>
        <w:t xml:space="preserve">may </w:t>
      </w:r>
      <w:r w:rsidR="00825478" w:rsidRPr="00760D1E">
        <w:rPr>
          <w:rFonts w:ascii="Times New Roman" w:hAnsi="Times New Roman"/>
          <w:sz w:val="24"/>
        </w:rPr>
        <w:t>declar</w:t>
      </w:r>
      <w:r w:rsidR="00085D6F" w:rsidRPr="00760D1E">
        <w:rPr>
          <w:rFonts w:ascii="Times New Roman" w:hAnsi="Times New Roman"/>
          <w:sz w:val="24"/>
        </w:rPr>
        <w:t>e a</w:t>
      </w:r>
      <w:r w:rsidR="00825478" w:rsidRPr="00760D1E">
        <w:rPr>
          <w:rFonts w:ascii="Times New Roman" w:hAnsi="Times New Roman"/>
          <w:sz w:val="24"/>
        </w:rPr>
        <w:t xml:space="preserve"> date </w:t>
      </w:r>
      <w:r w:rsidR="00085D6F" w:rsidRPr="00760D1E">
        <w:rPr>
          <w:rFonts w:ascii="Times New Roman" w:hAnsi="Times New Roman"/>
          <w:sz w:val="24"/>
        </w:rPr>
        <w:t>on and after which</w:t>
      </w:r>
      <w:r w:rsidR="00825478" w:rsidRPr="00760D1E">
        <w:rPr>
          <w:rFonts w:ascii="Times New Roman" w:hAnsi="Times New Roman"/>
          <w:sz w:val="24"/>
        </w:rPr>
        <w:t xml:space="preserve"> reporting standards </w:t>
      </w:r>
      <w:r w:rsidR="00085D6F" w:rsidRPr="00760D1E">
        <w:rPr>
          <w:rFonts w:ascii="Times New Roman" w:hAnsi="Times New Roman"/>
          <w:sz w:val="24"/>
        </w:rPr>
        <w:t>are</w:t>
      </w:r>
      <w:r w:rsidR="00825478" w:rsidRPr="00760D1E">
        <w:rPr>
          <w:rFonts w:ascii="Times New Roman" w:hAnsi="Times New Roman"/>
          <w:sz w:val="24"/>
        </w:rPr>
        <w:t xml:space="preserve"> to apply. </w:t>
      </w:r>
    </w:p>
    <w:p w:rsidR="00085D6F" w:rsidRPr="00760D1E" w:rsidRDefault="00825478" w:rsidP="003F7530">
      <w:pPr>
        <w:spacing w:after="240"/>
        <w:jc w:val="both"/>
        <w:rPr>
          <w:rFonts w:ascii="Times New Roman" w:hAnsi="Times New Roman"/>
          <w:sz w:val="24"/>
        </w:rPr>
      </w:pPr>
      <w:r w:rsidRPr="00760D1E">
        <w:rPr>
          <w:rFonts w:ascii="Times New Roman" w:hAnsi="Times New Roman"/>
          <w:sz w:val="24"/>
        </w:rPr>
        <w:t xml:space="preserve">Subsection 33(3) of the </w:t>
      </w:r>
      <w:r w:rsidRPr="00760D1E">
        <w:rPr>
          <w:rFonts w:ascii="Times New Roman" w:hAnsi="Times New Roman"/>
          <w:i/>
          <w:sz w:val="24"/>
        </w:rPr>
        <w:t>Acts Interpretation Act</w:t>
      </w:r>
      <w:r w:rsidRPr="00760D1E">
        <w:rPr>
          <w:rFonts w:ascii="Times New Roman" w:hAnsi="Times New Roman"/>
          <w:sz w:val="24"/>
        </w:rPr>
        <w:t xml:space="preserve"> </w:t>
      </w:r>
      <w:r w:rsidRPr="00760D1E">
        <w:rPr>
          <w:rFonts w:ascii="Times New Roman" w:hAnsi="Times New Roman"/>
          <w:i/>
          <w:sz w:val="24"/>
        </w:rPr>
        <w:t>1901</w:t>
      </w:r>
      <w:r w:rsidRPr="00760D1E">
        <w:rPr>
          <w:rFonts w:ascii="Times New Roman" w:hAnsi="Times New Roman"/>
          <w:color w:val="808080" w:themeColor="background1" w:themeShade="80"/>
          <w:sz w:val="24"/>
        </w:rPr>
        <w:t xml:space="preserve"> </w:t>
      </w:r>
      <w:r w:rsidRPr="00760D1E">
        <w:rPr>
          <w:rFonts w:ascii="Times New Roman" w:hAnsi="Times New Roman"/>
          <w:sz w:val="24"/>
        </w:rPr>
        <w:t>provides that where an Act confers a power to issue an instrument the power shall, unless the contrary intention appears, be construed as including a power exercisable in the like manner and subject to the like conditions (if any) to revoke and vary any such instrument.</w:t>
      </w:r>
    </w:p>
    <w:p w:rsidR="00140948" w:rsidRPr="00760D1E" w:rsidRDefault="00140819" w:rsidP="003F7530">
      <w:pPr>
        <w:widowControl w:val="0"/>
        <w:spacing w:before="120" w:after="240"/>
        <w:jc w:val="both"/>
        <w:rPr>
          <w:rFonts w:ascii="Times New Roman" w:hAnsi="Times New Roman"/>
          <w:sz w:val="24"/>
          <w:lang w:eastAsia="en-AU"/>
        </w:rPr>
      </w:pPr>
      <w:r w:rsidRPr="00760D1E">
        <w:rPr>
          <w:rFonts w:ascii="Times New Roman" w:hAnsi="Times New Roman"/>
          <w:sz w:val="24"/>
          <w:lang w:eastAsia="en-AU"/>
        </w:rPr>
        <w:t>On 20 December 2012, APRA made the following d</w:t>
      </w:r>
      <w:r w:rsidR="00470465" w:rsidRPr="00760D1E">
        <w:rPr>
          <w:rFonts w:ascii="Times New Roman" w:hAnsi="Times New Roman"/>
          <w:sz w:val="24"/>
          <w:lang w:eastAsia="en-AU"/>
        </w:rPr>
        <w:t>eterminations (the instruments)</w:t>
      </w:r>
      <w:r w:rsidRPr="00760D1E">
        <w:rPr>
          <w:rFonts w:ascii="Times New Roman" w:hAnsi="Times New Roman"/>
          <w:sz w:val="24"/>
          <w:lang w:eastAsia="en-AU"/>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 of 2013, which makes </w:t>
      </w:r>
      <w:r w:rsidRPr="00760D1E">
        <w:rPr>
          <w:i/>
          <w:sz w:val="24"/>
          <w:szCs w:val="24"/>
        </w:rPr>
        <w:t>Reporting Standard GRS 001 Reporting Requirements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 of 2013, which revokes </w:t>
      </w:r>
      <w:r w:rsidRPr="00760D1E">
        <w:rPr>
          <w:i/>
          <w:sz w:val="24"/>
          <w:szCs w:val="24"/>
        </w:rPr>
        <w:t xml:space="preserve">Reporting Standard GRS 110.0 (2010) Minimum Capital Requirement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110.1 Prescribed Capital Amount</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3 of 2013, which revokes </w:t>
      </w:r>
      <w:r w:rsidRPr="00760D1E">
        <w:rPr>
          <w:i/>
          <w:sz w:val="24"/>
          <w:szCs w:val="24"/>
        </w:rPr>
        <w:t xml:space="preserve">Reporting Standard GRS 120.0 (2010) Determination of Capital Base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112.0 Determination of Capital Base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4 of 2013, which makes </w:t>
      </w:r>
      <w:r w:rsidRPr="00760D1E">
        <w:rPr>
          <w:i/>
          <w:sz w:val="24"/>
          <w:szCs w:val="24"/>
        </w:rPr>
        <w:t>Reporting Standard GRS 112.3 Related Party Exposures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5 of 2013, which makes </w:t>
      </w:r>
      <w:r w:rsidRPr="00760D1E">
        <w:rPr>
          <w:i/>
          <w:sz w:val="24"/>
          <w:szCs w:val="24"/>
        </w:rPr>
        <w:t>Reporting Standard GRS 114.0 Asset Risk Charge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6 of 2013, which makes </w:t>
      </w:r>
      <w:r w:rsidRPr="00760D1E">
        <w:rPr>
          <w:i/>
          <w:sz w:val="24"/>
          <w:szCs w:val="24"/>
        </w:rPr>
        <w:t>Reporting Standard GRS 114.1 Assets by Counterparty Grade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7 of 2013, which revokes </w:t>
      </w:r>
      <w:r w:rsidRPr="00760D1E">
        <w:rPr>
          <w:i/>
          <w:sz w:val="24"/>
          <w:szCs w:val="24"/>
        </w:rPr>
        <w:t xml:space="preserve">Reporting Standard GRS 160.0 (2010) Derivative Activity and Risk Charge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114.2 Derivatives Activity</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lastRenderedPageBreak/>
        <w:t xml:space="preserve">Financial Sector (Collection of Data) (reporting standard) determination No. 8 of 2013, which revokes: </w:t>
      </w:r>
    </w:p>
    <w:p w:rsidR="00140819" w:rsidRPr="00760D1E" w:rsidRDefault="00140819" w:rsidP="003F7530">
      <w:pPr>
        <w:pStyle w:val="ListParagraph"/>
        <w:numPr>
          <w:ilvl w:val="1"/>
          <w:numId w:val="26"/>
        </w:numPr>
        <w:spacing w:after="240"/>
        <w:ind w:left="1134" w:hanging="567"/>
        <w:jc w:val="both"/>
        <w:rPr>
          <w:sz w:val="24"/>
          <w:szCs w:val="24"/>
        </w:rPr>
      </w:pPr>
      <w:r w:rsidRPr="00760D1E">
        <w:rPr>
          <w:i/>
          <w:sz w:val="24"/>
          <w:szCs w:val="24"/>
        </w:rPr>
        <w:t>Reporting Standard GRS 130.0 (2008) Off</w:t>
      </w:r>
      <w:r w:rsidR="00266C66" w:rsidRPr="00760D1E">
        <w:rPr>
          <w:i/>
          <w:sz w:val="24"/>
          <w:szCs w:val="24"/>
        </w:rPr>
        <w:t xml:space="preserve"> </w:t>
      </w:r>
      <w:r w:rsidRPr="00760D1E">
        <w:rPr>
          <w:i/>
          <w:sz w:val="24"/>
          <w:szCs w:val="24"/>
        </w:rPr>
        <w:t xml:space="preserve">Balance Sheet Business – Credit Substitutes Provided and Risk Charge </w:t>
      </w:r>
      <w:r w:rsidRPr="00760D1E">
        <w:rPr>
          <w:sz w:val="24"/>
          <w:szCs w:val="24"/>
        </w:rPr>
        <w:t>made on 16 October 2008;</w:t>
      </w:r>
    </w:p>
    <w:p w:rsidR="00140819" w:rsidRPr="00760D1E" w:rsidRDefault="00140819" w:rsidP="003F7530">
      <w:pPr>
        <w:pStyle w:val="ListParagraph"/>
        <w:numPr>
          <w:ilvl w:val="1"/>
          <w:numId w:val="26"/>
        </w:numPr>
        <w:spacing w:after="240"/>
        <w:ind w:left="1134" w:hanging="567"/>
        <w:jc w:val="both"/>
        <w:rPr>
          <w:sz w:val="24"/>
          <w:szCs w:val="24"/>
        </w:rPr>
      </w:pPr>
      <w:r w:rsidRPr="00760D1E">
        <w:rPr>
          <w:i/>
          <w:sz w:val="24"/>
          <w:szCs w:val="24"/>
        </w:rPr>
        <w:t xml:space="preserve">Reporting Standard GRS 130.1 (2008) Off Balance Sheet Business – Liquidity Support Facilities Obtained </w:t>
      </w:r>
      <w:r w:rsidRPr="00760D1E">
        <w:rPr>
          <w:sz w:val="24"/>
          <w:szCs w:val="24"/>
        </w:rPr>
        <w:t>made on 16 October 2008;</w:t>
      </w:r>
    </w:p>
    <w:p w:rsidR="00140819" w:rsidRPr="00760D1E" w:rsidRDefault="00140819" w:rsidP="003F7530">
      <w:pPr>
        <w:pStyle w:val="ListParagraph"/>
        <w:numPr>
          <w:ilvl w:val="1"/>
          <w:numId w:val="26"/>
        </w:numPr>
        <w:spacing w:after="240"/>
        <w:ind w:left="1134" w:hanging="567"/>
        <w:jc w:val="both"/>
        <w:rPr>
          <w:sz w:val="24"/>
          <w:szCs w:val="24"/>
        </w:rPr>
      </w:pPr>
      <w:r w:rsidRPr="00760D1E">
        <w:rPr>
          <w:i/>
          <w:sz w:val="24"/>
          <w:szCs w:val="24"/>
        </w:rPr>
        <w:t xml:space="preserve">Reporting Standard GRS 130.2 (2008) Off Balance Sheet Business – Charges Granted and Risk Charge </w:t>
      </w:r>
      <w:r w:rsidRPr="00760D1E">
        <w:rPr>
          <w:sz w:val="24"/>
          <w:szCs w:val="24"/>
        </w:rPr>
        <w:t>made on 16 October 2008;</w:t>
      </w:r>
    </w:p>
    <w:p w:rsidR="00140819" w:rsidRPr="00760D1E" w:rsidRDefault="00140819" w:rsidP="003F7530">
      <w:pPr>
        <w:pStyle w:val="ListParagraph"/>
        <w:numPr>
          <w:ilvl w:val="1"/>
          <w:numId w:val="26"/>
        </w:numPr>
        <w:spacing w:after="240"/>
        <w:ind w:left="1134" w:hanging="567"/>
        <w:jc w:val="both"/>
        <w:rPr>
          <w:sz w:val="24"/>
          <w:szCs w:val="24"/>
        </w:rPr>
      </w:pPr>
      <w:r w:rsidRPr="00760D1E">
        <w:rPr>
          <w:i/>
          <w:sz w:val="24"/>
          <w:szCs w:val="24"/>
        </w:rPr>
        <w:t xml:space="preserve">Reporting Standard GRS 130.3 (2008) Off Balance Sheet Business – Credit Support Received </w:t>
      </w:r>
      <w:r w:rsidRPr="00760D1E">
        <w:rPr>
          <w:sz w:val="24"/>
          <w:szCs w:val="24"/>
        </w:rPr>
        <w:t>made on 16 October 2008;</w:t>
      </w:r>
    </w:p>
    <w:p w:rsidR="00140819" w:rsidRPr="00760D1E" w:rsidRDefault="00140819" w:rsidP="003F7530">
      <w:pPr>
        <w:pStyle w:val="ListParagraph"/>
        <w:spacing w:after="240"/>
        <w:ind w:left="567"/>
        <w:jc w:val="both"/>
        <w:rPr>
          <w:sz w:val="24"/>
          <w:szCs w:val="24"/>
        </w:rPr>
      </w:pPr>
      <w:r w:rsidRPr="00760D1E">
        <w:rPr>
          <w:sz w:val="24"/>
          <w:szCs w:val="24"/>
        </w:rPr>
        <w:t xml:space="preserve">and </w:t>
      </w:r>
      <w:r w:rsidR="008841DB" w:rsidRPr="00760D1E">
        <w:rPr>
          <w:sz w:val="24"/>
          <w:szCs w:val="24"/>
        </w:rPr>
        <w:t>makes</w:t>
      </w:r>
      <w:r w:rsidRPr="00760D1E">
        <w:rPr>
          <w:sz w:val="24"/>
          <w:szCs w:val="24"/>
        </w:rPr>
        <w:t xml:space="preserve"> a new </w:t>
      </w:r>
      <w:r w:rsidRPr="00760D1E">
        <w:rPr>
          <w:i/>
          <w:sz w:val="24"/>
          <w:szCs w:val="24"/>
        </w:rPr>
        <w:t>Reporting Standard GRS 114.3 Off-balance Sheet Business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9 of 2013, which revokes </w:t>
      </w:r>
      <w:r w:rsidRPr="00760D1E">
        <w:rPr>
          <w:i/>
          <w:sz w:val="24"/>
          <w:szCs w:val="24"/>
        </w:rPr>
        <w:t xml:space="preserve">Reporting Standard GRS 140 (2010) Investments </w:t>
      </w:r>
      <w:r w:rsidRPr="00760D1E">
        <w:rPr>
          <w:sz w:val="24"/>
          <w:szCs w:val="24"/>
        </w:rPr>
        <w:t xml:space="preserve">made on 17 August 2010 and </w:t>
      </w:r>
      <w:r w:rsidR="008841DB" w:rsidRPr="00760D1E">
        <w:rPr>
          <w:sz w:val="24"/>
          <w:szCs w:val="24"/>
        </w:rPr>
        <w:t>makes</w:t>
      </w:r>
      <w:r w:rsidRPr="00760D1E">
        <w:rPr>
          <w:sz w:val="24"/>
          <w:szCs w:val="24"/>
        </w:rPr>
        <w:t xml:space="preserve"> a new </w:t>
      </w:r>
      <w:r w:rsidRPr="00760D1E">
        <w:rPr>
          <w:i/>
          <w:sz w:val="24"/>
          <w:szCs w:val="24"/>
        </w:rPr>
        <w:t>Reporting Standard GRS 114.4 Details of Investment Assets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10 of 2013, which revokes </w:t>
      </w:r>
      <w:r w:rsidRPr="00760D1E">
        <w:rPr>
          <w:i/>
          <w:sz w:val="24"/>
          <w:szCs w:val="24"/>
        </w:rPr>
        <w:t xml:space="preserve">Reporting Standard GRS 210 (2010) Insurance Risk Charge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115.0 Outstanding Claims Liabilities – Insurance Risk Charge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11 of 2013, which makes </w:t>
      </w:r>
      <w:r w:rsidRPr="00760D1E">
        <w:rPr>
          <w:i/>
          <w:sz w:val="24"/>
          <w:szCs w:val="24"/>
        </w:rPr>
        <w:t>Reporting Standard GRS 115.1 Premiums Liabilities – Insurance Risk Charge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12 of 2013, which makes </w:t>
      </w:r>
      <w:r w:rsidRPr="00760D1E">
        <w:rPr>
          <w:i/>
          <w:sz w:val="24"/>
          <w:szCs w:val="24"/>
        </w:rPr>
        <w:t>Reporting Standard GRS 116.0 Insurance Concentration Risk Charge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13 of 2013, which revokes </w:t>
      </w:r>
      <w:r w:rsidRPr="00760D1E">
        <w:rPr>
          <w:i/>
          <w:sz w:val="24"/>
          <w:szCs w:val="24"/>
        </w:rPr>
        <w:t xml:space="preserve">Reporting Standard GRS 170.1 (2010) Maximum Event Retention and Risk Charge for Lenders Mortgage Insurers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116.1 Probable Maximum Loss for LMIs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14 of 2013, which revokes </w:t>
      </w:r>
      <w:r w:rsidRPr="00760D1E">
        <w:rPr>
          <w:i/>
          <w:sz w:val="24"/>
          <w:szCs w:val="24"/>
        </w:rPr>
        <w:t xml:space="preserve">Reporting Standard GRS 150.0 (2008) Asset Exposure Concentrations and Risk Charge </w:t>
      </w:r>
      <w:r w:rsidRPr="00760D1E">
        <w:rPr>
          <w:sz w:val="24"/>
          <w:szCs w:val="24"/>
        </w:rPr>
        <w:t xml:space="preserve">made on 16 October 2008 and </w:t>
      </w:r>
      <w:r w:rsidR="008841DB" w:rsidRPr="00760D1E">
        <w:rPr>
          <w:sz w:val="24"/>
          <w:szCs w:val="24"/>
        </w:rPr>
        <w:t>makes</w:t>
      </w:r>
      <w:r w:rsidRPr="00760D1E">
        <w:rPr>
          <w:sz w:val="24"/>
          <w:szCs w:val="24"/>
        </w:rPr>
        <w:t xml:space="preserve"> a new </w:t>
      </w:r>
      <w:r w:rsidRPr="00760D1E">
        <w:rPr>
          <w:i/>
          <w:sz w:val="24"/>
          <w:szCs w:val="24"/>
        </w:rPr>
        <w:t>Reporting Standard GRS 117.0 Asset Concentration Risk Charge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15 of 2013, which makes </w:t>
      </w:r>
      <w:r w:rsidRPr="00760D1E">
        <w:rPr>
          <w:i/>
          <w:sz w:val="24"/>
          <w:szCs w:val="24"/>
        </w:rPr>
        <w:t>Reporting Standard GRS 118.0 Operational Risk Charge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16 of 2013, which revokes: </w:t>
      </w:r>
    </w:p>
    <w:p w:rsidR="00140819" w:rsidRPr="00760D1E" w:rsidRDefault="00140819" w:rsidP="003F7530">
      <w:pPr>
        <w:pStyle w:val="ListParagraph"/>
        <w:numPr>
          <w:ilvl w:val="1"/>
          <w:numId w:val="27"/>
        </w:numPr>
        <w:spacing w:after="240"/>
        <w:ind w:left="1134" w:hanging="567"/>
        <w:jc w:val="both"/>
        <w:rPr>
          <w:sz w:val="24"/>
          <w:szCs w:val="24"/>
        </w:rPr>
      </w:pPr>
      <w:r w:rsidRPr="00760D1E">
        <w:rPr>
          <w:i/>
          <w:sz w:val="24"/>
          <w:szCs w:val="24"/>
        </w:rPr>
        <w:lastRenderedPageBreak/>
        <w:t xml:space="preserve">Reporting Standard GRS 300.0 (2010) Statement of Financial Position </w:t>
      </w:r>
      <w:r w:rsidRPr="00760D1E">
        <w:rPr>
          <w:sz w:val="24"/>
          <w:szCs w:val="24"/>
        </w:rPr>
        <w:t xml:space="preserve">made on 30 July 2010; and </w:t>
      </w:r>
    </w:p>
    <w:p w:rsidR="00140819" w:rsidRPr="00760D1E" w:rsidRDefault="00140819" w:rsidP="003F7530">
      <w:pPr>
        <w:pStyle w:val="ListParagraph"/>
        <w:numPr>
          <w:ilvl w:val="1"/>
          <w:numId w:val="27"/>
        </w:numPr>
        <w:spacing w:after="240"/>
        <w:ind w:left="1134" w:hanging="567"/>
        <w:jc w:val="both"/>
        <w:rPr>
          <w:sz w:val="24"/>
          <w:szCs w:val="24"/>
        </w:rPr>
      </w:pPr>
      <w:r w:rsidRPr="00760D1E">
        <w:rPr>
          <w:i/>
          <w:sz w:val="24"/>
          <w:szCs w:val="24"/>
        </w:rPr>
        <w:t xml:space="preserve">Reporting Standard GRS 301.0 (2010) Reinsurance Assets and Risk Charge </w:t>
      </w:r>
      <w:r w:rsidRPr="00760D1E">
        <w:rPr>
          <w:sz w:val="24"/>
          <w:szCs w:val="24"/>
        </w:rPr>
        <w:t>made on 30 July 2010,</w:t>
      </w:r>
    </w:p>
    <w:p w:rsidR="00140819" w:rsidRPr="00760D1E" w:rsidRDefault="00140819" w:rsidP="003F7530">
      <w:pPr>
        <w:pStyle w:val="ListParagraph"/>
        <w:spacing w:after="240"/>
        <w:ind w:left="567"/>
        <w:jc w:val="both"/>
        <w:rPr>
          <w:sz w:val="24"/>
          <w:szCs w:val="24"/>
        </w:rPr>
      </w:pPr>
      <w:r w:rsidRPr="00760D1E">
        <w:rPr>
          <w:sz w:val="24"/>
          <w:szCs w:val="24"/>
        </w:rPr>
        <w:t xml:space="preserve">and </w:t>
      </w:r>
      <w:r w:rsidR="008841DB" w:rsidRPr="00760D1E">
        <w:rPr>
          <w:sz w:val="24"/>
          <w:szCs w:val="24"/>
        </w:rPr>
        <w:t>makes</w:t>
      </w:r>
      <w:r w:rsidRPr="00760D1E">
        <w:rPr>
          <w:sz w:val="24"/>
          <w:szCs w:val="24"/>
        </w:rPr>
        <w:t xml:space="preserve"> a new </w:t>
      </w:r>
      <w:r w:rsidRPr="00760D1E">
        <w:rPr>
          <w:i/>
          <w:sz w:val="24"/>
          <w:szCs w:val="24"/>
        </w:rPr>
        <w:t>Reporting Standard GRS 300.0 Statement of Financial Position</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17 of 2013, which revokes </w:t>
      </w:r>
      <w:r w:rsidRPr="00760D1E">
        <w:rPr>
          <w:i/>
          <w:sz w:val="24"/>
          <w:szCs w:val="24"/>
        </w:rPr>
        <w:t xml:space="preserve">Reporting Standard GRS 310 (2010) Revenue, Expenses and Statement of Financial Performance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310.0 Income Statement</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18 of 2013, which makes </w:t>
      </w:r>
      <w:r w:rsidRPr="00760D1E">
        <w:rPr>
          <w:i/>
          <w:sz w:val="24"/>
          <w:szCs w:val="24"/>
        </w:rPr>
        <w:t>Reporting Standard GRS 310.1 Premium Revenue and Reinsurance Expense</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19 of 2013, which makes </w:t>
      </w:r>
      <w:r w:rsidRPr="00760D1E">
        <w:rPr>
          <w:i/>
          <w:sz w:val="24"/>
          <w:szCs w:val="24"/>
        </w:rPr>
        <w:t>Reporting Standard GRS 310.2 Claims Expense and Reinsurance Recoveries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20 of 2013, which makes </w:t>
      </w:r>
      <w:r w:rsidRPr="00760D1E">
        <w:rPr>
          <w:i/>
          <w:sz w:val="24"/>
          <w:szCs w:val="24"/>
        </w:rPr>
        <w:t>Reporting Standard GRS 310.3 Details of Income and Expenses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21 of 2013, which revokes </w:t>
      </w:r>
      <w:r w:rsidRPr="00760D1E">
        <w:rPr>
          <w:i/>
          <w:sz w:val="24"/>
          <w:szCs w:val="24"/>
        </w:rPr>
        <w:t xml:space="preserve">Reporting Standard GRS 400 (2010) Supplementary Reporting Information </w:t>
      </w:r>
      <w:r w:rsidRPr="00760D1E">
        <w:rPr>
          <w:sz w:val="24"/>
          <w:szCs w:val="24"/>
        </w:rPr>
        <w:t xml:space="preserve">made on 30 July 2010 and </w:t>
      </w:r>
      <w:r w:rsidR="008841DB" w:rsidRPr="00760D1E">
        <w:rPr>
          <w:sz w:val="24"/>
          <w:szCs w:val="24"/>
        </w:rPr>
        <w:t>makes</w:t>
      </w:r>
      <w:r w:rsidRPr="00760D1E">
        <w:rPr>
          <w:sz w:val="24"/>
          <w:szCs w:val="24"/>
        </w:rPr>
        <w:t xml:space="preserve"> a new </w:t>
      </w:r>
      <w:r w:rsidRPr="00760D1E">
        <w:rPr>
          <w:i/>
          <w:sz w:val="24"/>
          <w:szCs w:val="24"/>
        </w:rPr>
        <w:t>Reporting Standard GRS 400.0 Statement of Risk by Country</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22 of 2013, which makes </w:t>
      </w:r>
      <w:r w:rsidRPr="00760D1E">
        <w:rPr>
          <w:i/>
          <w:sz w:val="24"/>
          <w:szCs w:val="24"/>
        </w:rPr>
        <w:t>Reporting Standard GRS 410.0 Movement in Outstanding Claims Liabilities</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23 of 2013, which makes </w:t>
      </w:r>
      <w:r w:rsidRPr="00760D1E">
        <w:rPr>
          <w:i/>
          <w:sz w:val="24"/>
          <w:szCs w:val="24"/>
        </w:rPr>
        <w:t>Reporting Standard GRS 420.0 Premium Revenue by State and Territory of Australia</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24 of 2013, which makes </w:t>
      </w:r>
      <w:r w:rsidRPr="00760D1E">
        <w:rPr>
          <w:i/>
          <w:sz w:val="24"/>
          <w:szCs w:val="24"/>
        </w:rPr>
        <w:t>Reporting Standard GRS 430.0 Claims Expense by State and Territory of Australia</w:t>
      </w:r>
      <w:r w:rsidRPr="00760D1E">
        <w:rPr>
          <w:sz w:val="24"/>
          <w:szCs w:val="24"/>
        </w:rPr>
        <w:t>;</w:t>
      </w:r>
    </w:p>
    <w:p w:rsidR="00140819"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25 of 2013, which makes </w:t>
      </w:r>
      <w:r w:rsidRPr="00760D1E">
        <w:rPr>
          <w:i/>
          <w:sz w:val="24"/>
          <w:szCs w:val="24"/>
        </w:rPr>
        <w:t>Reporting Standard GRS 440.0 Claims Development Table</w:t>
      </w:r>
      <w:r w:rsidRPr="00760D1E">
        <w:rPr>
          <w:sz w:val="24"/>
          <w:szCs w:val="24"/>
        </w:rPr>
        <w:t>; and</w:t>
      </w:r>
    </w:p>
    <w:p w:rsidR="00266C66" w:rsidRPr="00760D1E" w:rsidRDefault="00140819" w:rsidP="003F7530">
      <w:pPr>
        <w:pStyle w:val="ListParagraph"/>
        <w:numPr>
          <w:ilvl w:val="0"/>
          <w:numId w:val="18"/>
        </w:numPr>
        <w:spacing w:after="240"/>
        <w:ind w:left="567" w:hanging="567"/>
        <w:jc w:val="both"/>
        <w:rPr>
          <w:sz w:val="24"/>
          <w:szCs w:val="24"/>
        </w:rPr>
      </w:pPr>
      <w:r w:rsidRPr="00760D1E">
        <w:rPr>
          <w:sz w:val="24"/>
          <w:szCs w:val="24"/>
        </w:rPr>
        <w:t xml:space="preserve">Financial Sector (Collection of Data) (reporting standard) determination No. 26 of 2013, which revokes </w:t>
      </w:r>
      <w:r w:rsidR="00266C66" w:rsidRPr="00760D1E">
        <w:rPr>
          <w:sz w:val="24"/>
          <w:szCs w:val="24"/>
        </w:rPr>
        <w:t>:</w:t>
      </w:r>
    </w:p>
    <w:p w:rsidR="00BB1F01" w:rsidRPr="00760D1E" w:rsidRDefault="00140819" w:rsidP="003F7530">
      <w:pPr>
        <w:pStyle w:val="ListParagraph"/>
        <w:numPr>
          <w:ilvl w:val="1"/>
          <w:numId w:val="18"/>
        </w:numPr>
        <w:spacing w:after="240"/>
        <w:jc w:val="both"/>
        <w:rPr>
          <w:sz w:val="24"/>
          <w:szCs w:val="24"/>
        </w:rPr>
      </w:pPr>
      <w:r w:rsidRPr="00760D1E">
        <w:rPr>
          <w:i/>
          <w:sz w:val="24"/>
          <w:szCs w:val="24"/>
        </w:rPr>
        <w:t xml:space="preserve">Reporting Standard GRS 170.0 (2008) Concentration Risk Charge </w:t>
      </w:r>
      <w:r w:rsidRPr="00760D1E">
        <w:rPr>
          <w:sz w:val="24"/>
          <w:szCs w:val="24"/>
        </w:rPr>
        <w:t>made on 16 October 2008</w:t>
      </w:r>
      <w:r w:rsidR="00266C66" w:rsidRPr="00760D1E">
        <w:rPr>
          <w:sz w:val="24"/>
          <w:szCs w:val="24"/>
        </w:rPr>
        <w:t>; and</w:t>
      </w:r>
    </w:p>
    <w:p w:rsidR="00BB1F01" w:rsidRPr="00760D1E" w:rsidRDefault="00266C66" w:rsidP="003F7530">
      <w:pPr>
        <w:pStyle w:val="ListParagraph"/>
        <w:numPr>
          <w:ilvl w:val="1"/>
          <w:numId w:val="18"/>
        </w:numPr>
        <w:spacing w:after="240"/>
        <w:jc w:val="both"/>
        <w:rPr>
          <w:sz w:val="24"/>
          <w:szCs w:val="24"/>
        </w:rPr>
      </w:pPr>
      <w:r w:rsidRPr="00760D1E">
        <w:rPr>
          <w:bCs/>
          <w:i/>
          <w:sz w:val="24"/>
          <w:szCs w:val="24"/>
        </w:rPr>
        <w:lastRenderedPageBreak/>
        <w:t xml:space="preserve">Reporting </w:t>
      </w:r>
      <w:r w:rsidR="00446377" w:rsidRPr="00760D1E">
        <w:rPr>
          <w:bCs/>
          <w:i/>
          <w:sz w:val="24"/>
          <w:szCs w:val="24"/>
        </w:rPr>
        <w:t>S</w:t>
      </w:r>
      <w:r w:rsidRPr="00760D1E">
        <w:rPr>
          <w:bCs/>
          <w:i/>
          <w:sz w:val="24"/>
          <w:szCs w:val="24"/>
        </w:rPr>
        <w:t>tandard GRS 900.0 Transitional Arrangements</w:t>
      </w:r>
      <w:r w:rsidR="00446377" w:rsidRPr="00760D1E">
        <w:rPr>
          <w:bCs/>
          <w:i/>
          <w:sz w:val="24"/>
          <w:szCs w:val="24"/>
        </w:rPr>
        <w:t xml:space="preserve"> 2010</w:t>
      </w:r>
      <w:r w:rsidR="00BB1F01" w:rsidRPr="00760D1E">
        <w:rPr>
          <w:bCs/>
          <w:sz w:val="24"/>
          <w:szCs w:val="24"/>
        </w:rPr>
        <w:t>.</w:t>
      </w:r>
    </w:p>
    <w:p w:rsidR="001F7349" w:rsidRPr="00760D1E" w:rsidRDefault="00140819" w:rsidP="003F7530">
      <w:pPr>
        <w:spacing w:after="240"/>
        <w:jc w:val="both"/>
        <w:rPr>
          <w:rFonts w:ascii="Times New Roman" w:hAnsi="Times New Roman"/>
          <w:sz w:val="24"/>
          <w:lang w:eastAsia="en-AU"/>
        </w:rPr>
      </w:pPr>
      <w:r w:rsidRPr="00760D1E">
        <w:rPr>
          <w:rFonts w:ascii="Times New Roman" w:hAnsi="Times New Roman"/>
          <w:sz w:val="24"/>
          <w:lang w:eastAsia="en-AU"/>
        </w:rPr>
        <w:t xml:space="preserve">The instruments </w:t>
      </w:r>
      <w:r w:rsidR="00B212B8" w:rsidRPr="00760D1E">
        <w:rPr>
          <w:rFonts w:ascii="Times New Roman" w:hAnsi="Times New Roman"/>
          <w:sz w:val="24"/>
          <w:lang w:eastAsia="en-AU"/>
        </w:rPr>
        <w:t>commence</w:t>
      </w:r>
      <w:r w:rsidRPr="00760D1E">
        <w:rPr>
          <w:rFonts w:ascii="Times New Roman" w:hAnsi="Times New Roman"/>
          <w:sz w:val="24"/>
          <w:lang w:eastAsia="en-AU"/>
        </w:rPr>
        <w:t xml:space="preserve"> on 1 January 2013.</w:t>
      </w:r>
      <w:r w:rsidR="00825478" w:rsidRPr="00760D1E">
        <w:rPr>
          <w:rFonts w:ascii="Times New Roman" w:hAnsi="Times New Roman"/>
          <w:sz w:val="24"/>
        </w:rPr>
        <w:t xml:space="preserve"> </w:t>
      </w:r>
      <w:r w:rsidR="00C108F9" w:rsidRPr="00760D1E">
        <w:rPr>
          <w:rFonts w:ascii="Times New Roman" w:hAnsi="Times New Roman"/>
          <w:sz w:val="24"/>
        </w:rPr>
        <w:t xml:space="preserve">The instruments are being registered </w:t>
      </w:r>
      <w:r w:rsidR="001A26A9" w:rsidRPr="00760D1E">
        <w:rPr>
          <w:rFonts w:ascii="Times New Roman" w:hAnsi="Times New Roman"/>
          <w:sz w:val="24"/>
        </w:rPr>
        <w:t>after this date</w:t>
      </w:r>
      <w:r w:rsidR="00954943" w:rsidRPr="00760D1E">
        <w:rPr>
          <w:rFonts w:ascii="Times New Roman" w:hAnsi="Times New Roman"/>
          <w:sz w:val="24"/>
        </w:rPr>
        <w:t>;</w:t>
      </w:r>
      <w:r w:rsidR="00C108F9" w:rsidRPr="00760D1E">
        <w:rPr>
          <w:rFonts w:ascii="Times New Roman" w:hAnsi="Times New Roman"/>
          <w:sz w:val="24"/>
        </w:rPr>
        <w:t xml:space="preserve"> however the requirements apply to reporting periods ending no earlier than 28 February 2013. No insurer </w:t>
      </w:r>
      <w:r w:rsidR="001A26A9" w:rsidRPr="00760D1E">
        <w:rPr>
          <w:rFonts w:ascii="Times New Roman" w:hAnsi="Times New Roman"/>
          <w:sz w:val="24"/>
        </w:rPr>
        <w:t>will</w:t>
      </w:r>
      <w:r w:rsidR="00C108F9" w:rsidRPr="00760D1E">
        <w:rPr>
          <w:rFonts w:ascii="Times New Roman" w:hAnsi="Times New Roman"/>
          <w:sz w:val="24"/>
        </w:rPr>
        <w:t xml:space="preserve"> be impacted by the retrospective registration as the time for lodging forms with APRA will arise no earlier than 20 business days after 28 February 2013.</w:t>
      </w:r>
    </w:p>
    <w:p w:rsidR="001D6126" w:rsidRPr="00760D1E" w:rsidRDefault="00825478" w:rsidP="003F7530">
      <w:pPr>
        <w:pStyle w:val="Heading"/>
        <w:numPr>
          <w:ilvl w:val="0"/>
          <w:numId w:val="1"/>
        </w:numPr>
        <w:spacing w:before="0" w:after="240"/>
        <w:ind w:left="567" w:hanging="567"/>
        <w:jc w:val="both"/>
        <w:rPr>
          <w:rFonts w:ascii="Times New Roman" w:hAnsi="Times New Roman" w:cs="Times New Roman"/>
          <w:sz w:val="24"/>
          <w:szCs w:val="24"/>
        </w:rPr>
      </w:pPr>
      <w:r w:rsidRPr="00760D1E">
        <w:rPr>
          <w:rFonts w:ascii="Times New Roman" w:hAnsi="Times New Roman" w:cs="Times New Roman"/>
          <w:sz w:val="24"/>
          <w:szCs w:val="24"/>
        </w:rPr>
        <w:t>Background</w:t>
      </w:r>
      <w:bookmarkStart w:id="4" w:name="bkBackground"/>
      <w:bookmarkEnd w:id="4"/>
    </w:p>
    <w:p w:rsidR="0073060A" w:rsidRPr="00760D1E" w:rsidRDefault="00825478" w:rsidP="003F7530">
      <w:pPr>
        <w:spacing w:after="240"/>
        <w:jc w:val="both"/>
        <w:rPr>
          <w:rFonts w:ascii="Times New Roman" w:hAnsi="Times New Roman"/>
          <w:sz w:val="24"/>
          <w:lang w:val="en-GB"/>
        </w:rPr>
      </w:pPr>
      <w:r w:rsidRPr="00760D1E">
        <w:rPr>
          <w:rFonts w:ascii="Times New Roman" w:hAnsi="Times New Roman"/>
          <w:sz w:val="24"/>
          <w:lang w:val="en-GB"/>
        </w:rPr>
        <w:t>APRA commenced a review of the regulatory capital framework for general insurers and life companies (LAGIC review) in 2010. The broad aims of the review were to:</w:t>
      </w:r>
    </w:p>
    <w:p w:rsidR="0073060A" w:rsidRPr="00760D1E" w:rsidRDefault="00825478" w:rsidP="003F7530">
      <w:pPr>
        <w:pStyle w:val="ListParagraph"/>
        <w:numPr>
          <w:ilvl w:val="0"/>
          <w:numId w:val="13"/>
        </w:numPr>
        <w:spacing w:after="240"/>
        <w:ind w:left="567" w:hanging="567"/>
        <w:jc w:val="both"/>
        <w:rPr>
          <w:sz w:val="24"/>
          <w:szCs w:val="24"/>
          <w:lang w:val="en-GB"/>
        </w:rPr>
      </w:pPr>
      <w:r w:rsidRPr="00760D1E">
        <w:rPr>
          <w:sz w:val="24"/>
          <w:szCs w:val="24"/>
          <w:lang w:val="en-GB"/>
        </w:rPr>
        <w:t>improve the risk sensitivity and appropriateness of the capital standards in general insurance and life insurance (including friendly societies); and</w:t>
      </w:r>
    </w:p>
    <w:p w:rsidR="0073060A" w:rsidRPr="00760D1E" w:rsidRDefault="00825478" w:rsidP="003F7530">
      <w:pPr>
        <w:pStyle w:val="ListParagraph"/>
        <w:numPr>
          <w:ilvl w:val="0"/>
          <w:numId w:val="13"/>
        </w:numPr>
        <w:spacing w:after="240"/>
        <w:ind w:left="567" w:hanging="567"/>
        <w:jc w:val="both"/>
        <w:rPr>
          <w:sz w:val="24"/>
          <w:szCs w:val="24"/>
          <w:lang w:val="en-GB"/>
        </w:rPr>
      </w:pPr>
      <w:r w:rsidRPr="00760D1E">
        <w:rPr>
          <w:sz w:val="24"/>
          <w:szCs w:val="24"/>
          <w:lang w:val="en-GB"/>
        </w:rPr>
        <w:t>where appropriate, improve the alignment of the capital standards across the industries that APRA supervises.</w:t>
      </w:r>
    </w:p>
    <w:p w:rsidR="008155DB" w:rsidRPr="00760D1E" w:rsidRDefault="00825478" w:rsidP="003F7530">
      <w:pPr>
        <w:spacing w:after="240"/>
        <w:jc w:val="both"/>
        <w:rPr>
          <w:rFonts w:ascii="Times New Roman" w:hAnsi="Times New Roman"/>
          <w:sz w:val="24"/>
        </w:rPr>
      </w:pPr>
      <w:r w:rsidRPr="00760D1E">
        <w:rPr>
          <w:rFonts w:ascii="Times New Roman" w:hAnsi="Times New Roman"/>
          <w:sz w:val="24"/>
        </w:rPr>
        <w:t xml:space="preserve">APRA has made a range of amendments to its prudential framework to give effect to the findings of the review. As a result of the changes, there is a common capital framework for required capital and eligible capital across general insurers and life companies. The minimum capital requirement is known as the Prudential Capital Requirement (PCR). This comprises a prescribed capital amount plus any supervisory adjustment determined by APRA. General insurers must at all times satisfy minimum requirements for the composition of their capital bases and ensure that the capital base exceeds the PCR.  </w:t>
      </w:r>
    </w:p>
    <w:p w:rsidR="005941E1" w:rsidRPr="00760D1E" w:rsidRDefault="00825478" w:rsidP="003F7530">
      <w:pPr>
        <w:pStyle w:val="Heading"/>
        <w:numPr>
          <w:ilvl w:val="0"/>
          <w:numId w:val="1"/>
        </w:numPr>
        <w:spacing w:before="0" w:after="240"/>
        <w:ind w:left="567" w:hanging="567"/>
        <w:jc w:val="both"/>
        <w:rPr>
          <w:rFonts w:ascii="Times New Roman" w:hAnsi="Times New Roman" w:cs="Times New Roman"/>
          <w:sz w:val="24"/>
          <w:szCs w:val="24"/>
        </w:rPr>
      </w:pPr>
      <w:r w:rsidRPr="00760D1E">
        <w:rPr>
          <w:rFonts w:ascii="Times New Roman" w:hAnsi="Times New Roman" w:cs="Times New Roman"/>
          <w:sz w:val="24"/>
          <w:szCs w:val="24"/>
        </w:rPr>
        <w:t xml:space="preserve">Purpose </w:t>
      </w:r>
      <w:r w:rsidR="002960FC" w:rsidRPr="00760D1E">
        <w:rPr>
          <w:rFonts w:ascii="Times New Roman" w:hAnsi="Times New Roman" w:cs="Times New Roman"/>
          <w:sz w:val="24"/>
          <w:szCs w:val="24"/>
        </w:rPr>
        <w:t xml:space="preserve">and operation </w:t>
      </w:r>
      <w:r w:rsidRPr="00760D1E">
        <w:rPr>
          <w:rFonts w:ascii="Times New Roman" w:hAnsi="Times New Roman" w:cs="Times New Roman"/>
          <w:sz w:val="24"/>
          <w:szCs w:val="24"/>
        </w:rPr>
        <w:t>of the instruments</w:t>
      </w:r>
    </w:p>
    <w:p w:rsidR="00470465" w:rsidRPr="00760D1E" w:rsidRDefault="00825478" w:rsidP="003F7530">
      <w:pPr>
        <w:spacing w:after="240"/>
        <w:jc w:val="both"/>
        <w:rPr>
          <w:rFonts w:ascii="Times New Roman" w:hAnsi="Times New Roman"/>
          <w:sz w:val="24"/>
          <w:lang w:eastAsia="en-AU"/>
        </w:rPr>
      </w:pPr>
      <w:bookmarkStart w:id="5" w:name="bkPurpose"/>
      <w:bookmarkEnd w:id="5"/>
      <w:r w:rsidRPr="00760D1E">
        <w:rPr>
          <w:rFonts w:ascii="Times New Roman" w:hAnsi="Times New Roman"/>
          <w:sz w:val="24"/>
          <w:lang w:eastAsia="en-AU"/>
        </w:rPr>
        <w:t>The purpose of making the instruments is to introduce new and amended reporting standards and to revoke existing reporting standards in relation to general insurers in order to implement the changes under the LAGIC review.</w:t>
      </w:r>
    </w:p>
    <w:p w:rsidR="00470465" w:rsidRPr="00760D1E" w:rsidRDefault="00470465" w:rsidP="003F7530">
      <w:pPr>
        <w:spacing w:after="240"/>
        <w:jc w:val="both"/>
        <w:rPr>
          <w:rFonts w:ascii="Times New Roman" w:hAnsi="Times New Roman"/>
          <w:sz w:val="24"/>
        </w:rPr>
      </w:pPr>
      <w:r w:rsidRPr="00760D1E">
        <w:rPr>
          <w:rFonts w:ascii="Times New Roman" w:hAnsi="Times New Roman"/>
          <w:sz w:val="24"/>
        </w:rPr>
        <w:t>The implementation of the revised capital framework under LAGIC requires substantive changes to the reporting requirements for both general insurers and life companies. For general insurers, amendments to the methodology for calculating the prescribed capital amount are made. This includes the introduction of an explicit operational risk charge, revisions to the calculation of the asset risk charge, insurance concentration risk charge and asset concentration risk charge. The definitions of capital base and the categories of capital included in the capital base were also revised.</w:t>
      </w:r>
    </w:p>
    <w:p w:rsidR="00470465" w:rsidRPr="00760D1E" w:rsidRDefault="00470465" w:rsidP="003F7530">
      <w:pPr>
        <w:spacing w:after="240"/>
        <w:jc w:val="both"/>
        <w:rPr>
          <w:rFonts w:ascii="Times New Roman" w:hAnsi="Times New Roman"/>
          <w:sz w:val="24"/>
        </w:rPr>
      </w:pPr>
      <w:r w:rsidRPr="00760D1E">
        <w:rPr>
          <w:rFonts w:ascii="Times New Roman" w:hAnsi="Times New Roman"/>
          <w:sz w:val="24"/>
        </w:rPr>
        <w:t>APRA has also taken the opportunity to make improvements to the reporting requirements of general insurers, by implementing a number of changes to enhance the general insurance publications. The timing of submission of annual returns and a small number of technical changes to data submission were also made.</w:t>
      </w:r>
    </w:p>
    <w:p w:rsidR="002960FC" w:rsidRPr="00760D1E" w:rsidRDefault="00470465" w:rsidP="003F7530">
      <w:pPr>
        <w:spacing w:after="240"/>
        <w:jc w:val="both"/>
        <w:rPr>
          <w:rFonts w:ascii="Times New Roman" w:hAnsi="Times New Roman"/>
          <w:sz w:val="24"/>
          <w:lang w:eastAsia="en-AU"/>
        </w:rPr>
      </w:pPr>
      <w:r w:rsidRPr="00760D1E">
        <w:rPr>
          <w:rFonts w:ascii="Times New Roman" w:hAnsi="Times New Roman"/>
          <w:sz w:val="24"/>
        </w:rPr>
        <w:t>For general insurers, the changes to reporting requirements arising from the LAGIC review are effected through the instruments.</w:t>
      </w:r>
    </w:p>
    <w:p w:rsidR="00BB1F01" w:rsidRPr="00760D1E" w:rsidRDefault="00825478" w:rsidP="003F7530">
      <w:pPr>
        <w:jc w:val="both"/>
        <w:rPr>
          <w:rFonts w:ascii="Times New Roman" w:hAnsi="Times New Roman"/>
          <w:sz w:val="24"/>
        </w:rPr>
      </w:pPr>
      <w:bookmarkStart w:id="6" w:name="bkoperation"/>
      <w:bookmarkEnd w:id="6"/>
      <w:r w:rsidRPr="00760D1E">
        <w:rPr>
          <w:rFonts w:ascii="Times New Roman" w:hAnsi="Times New Roman"/>
          <w:sz w:val="24"/>
        </w:rPr>
        <w:lastRenderedPageBreak/>
        <w:t xml:space="preserve">The new reporting standards and associated reporting forms are issued under FSCODA. These reporting standards enable the reporting requirements of the revised prudential framework to take effect. </w:t>
      </w:r>
    </w:p>
    <w:p w:rsidR="00140948" w:rsidRPr="00760D1E" w:rsidRDefault="00140948" w:rsidP="003F7530">
      <w:pPr>
        <w:jc w:val="both"/>
        <w:rPr>
          <w:rFonts w:ascii="Times New Roman" w:hAnsi="Times New Roman"/>
          <w:sz w:val="24"/>
        </w:rPr>
      </w:pPr>
    </w:p>
    <w:p w:rsidR="00140948" w:rsidRPr="00760D1E" w:rsidRDefault="00825478" w:rsidP="003F7530">
      <w:pPr>
        <w:jc w:val="both"/>
        <w:rPr>
          <w:rFonts w:ascii="Times New Roman" w:hAnsi="Times New Roman"/>
          <w:sz w:val="24"/>
        </w:rPr>
      </w:pPr>
      <w:r w:rsidRPr="00760D1E">
        <w:rPr>
          <w:rFonts w:ascii="Times New Roman" w:hAnsi="Times New Roman"/>
          <w:sz w:val="24"/>
        </w:rPr>
        <w:t>The collection of quarterly and annual data under the new general insurance prudential reporting requirements will commence for the first reporting period ending on or after 1 January 2013.</w:t>
      </w:r>
    </w:p>
    <w:p w:rsidR="00140948" w:rsidRPr="00760D1E" w:rsidRDefault="00140948" w:rsidP="003F7530">
      <w:pPr>
        <w:jc w:val="both"/>
        <w:rPr>
          <w:rFonts w:ascii="Times New Roman" w:hAnsi="Times New Roman"/>
          <w:sz w:val="24"/>
        </w:rPr>
      </w:pPr>
    </w:p>
    <w:p w:rsidR="008B7528" w:rsidRPr="00760D1E" w:rsidRDefault="00825478" w:rsidP="003F7530">
      <w:pPr>
        <w:pStyle w:val="Heading"/>
        <w:numPr>
          <w:ilvl w:val="0"/>
          <w:numId w:val="1"/>
        </w:numPr>
        <w:spacing w:before="0" w:after="240"/>
        <w:jc w:val="both"/>
        <w:rPr>
          <w:rFonts w:ascii="Times New Roman" w:hAnsi="Times New Roman" w:cs="Times New Roman"/>
          <w:sz w:val="24"/>
          <w:szCs w:val="24"/>
        </w:rPr>
      </w:pPr>
      <w:r w:rsidRPr="00760D1E">
        <w:rPr>
          <w:rFonts w:ascii="Times New Roman" w:hAnsi="Times New Roman" w:cs="Times New Roman"/>
          <w:sz w:val="24"/>
          <w:szCs w:val="24"/>
        </w:rPr>
        <w:t>Consultation</w:t>
      </w:r>
    </w:p>
    <w:p w:rsidR="00210496" w:rsidRPr="00760D1E" w:rsidRDefault="00825478" w:rsidP="003F7530">
      <w:pPr>
        <w:spacing w:after="240"/>
        <w:ind w:right="261"/>
        <w:jc w:val="both"/>
        <w:rPr>
          <w:rFonts w:ascii="Times New Roman" w:hAnsi="Times New Roman"/>
          <w:sz w:val="24"/>
          <w:lang w:val="en-GB"/>
        </w:rPr>
      </w:pPr>
      <w:bookmarkStart w:id="7" w:name="bkConsultation"/>
      <w:bookmarkEnd w:id="7"/>
      <w:r w:rsidRPr="00760D1E">
        <w:rPr>
          <w:rFonts w:ascii="Times New Roman" w:hAnsi="Times New Roman"/>
          <w:sz w:val="24"/>
          <w:lang w:val="en-GB"/>
        </w:rPr>
        <w:t xml:space="preserve">APRA undertook consultation on the LAGIC review between May 2010 and October 2012, including four rounds of industry consultation, three technical papers and two quantitative impact studies. </w:t>
      </w:r>
    </w:p>
    <w:p w:rsidR="002A7FD0" w:rsidRPr="00760D1E" w:rsidRDefault="00825478" w:rsidP="003F7530">
      <w:pPr>
        <w:pStyle w:val="ListParagraph"/>
        <w:numPr>
          <w:ilvl w:val="0"/>
          <w:numId w:val="19"/>
        </w:numPr>
        <w:spacing w:after="240"/>
        <w:ind w:left="567" w:right="261" w:hanging="567"/>
        <w:jc w:val="both"/>
        <w:rPr>
          <w:sz w:val="24"/>
          <w:szCs w:val="24"/>
          <w:lang w:val="en-GB"/>
        </w:rPr>
      </w:pPr>
      <w:r w:rsidRPr="00760D1E">
        <w:rPr>
          <w:sz w:val="24"/>
          <w:szCs w:val="24"/>
          <w:lang w:val="en-GB"/>
        </w:rPr>
        <w:t>In addition to extensive consultation in relation to the prudential requirements, APRA released the following consultation materials in relation to the reporting requirements: June 2012 – Discussion paper ‘Review of capital standards for general insurers and life insurers – proposed revisions to reporting requirements’</w:t>
      </w:r>
      <w:r w:rsidRPr="00760D1E">
        <w:rPr>
          <w:rStyle w:val="FootnoteReference"/>
          <w:sz w:val="24"/>
          <w:szCs w:val="24"/>
          <w:lang w:val="en-GB"/>
        </w:rPr>
        <w:footnoteReference w:id="1"/>
      </w:r>
      <w:r w:rsidRPr="00760D1E">
        <w:rPr>
          <w:sz w:val="24"/>
          <w:szCs w:val="24"/>
          <w:lang w:val="en-GB"/>
        </w:rPr>
        <w:t>, draft versions of reporting forms and instructions, reporting standards and capital adequacy calculation workbooks and instructions;</w:t>
      </w:r>
    </w:p>
    <w:p w:rsidR="002A7FD0" w:rsidRPr="00760D1E" w:rsidRDefault="00825478" w:rsidP="003F7530">
      <w:pPr>
        <w:pStyle w:val="ListParagraph"/>
        <w:numPr>
          <w:ilvl w:val="0"/>
          <w:numId w:val="19"/>
        </w:numPr>
        <w:spacing w:after="240"/>
        <w:ind w:left="567" w:right="261" w:hanging="567"/>
        <w:jc w:val="both"/>
        <w:rPr>
          <w:sz w:val="24"/>
          <w:szCs w:val="24"/>
          <w:lang w:val="en-GB"/>
        </w:rPr>
      </w:pPr>
      <w:r w:rsidRPr="00760D1E">
        <w:rPr>
          <w:sz w:val="24"/>
          <w:szCs w:val="24"/>
          <w:lang w:val="en-GB"/>
        </w:rPr>
        <w:t>August 2012 – Letter to insurers ‘Additional proposed changes to the reporting standards’</w:t>
      </w:r>
      <w:r w:rsidRPr="00760D1E">
        <w:rPr>
          <w:rStyle w:val="FootnoteReference"/>
          <w:sz w:val="24"/>
          <w:szCs w:val="24"/>
          <w:lang w:val="en-GB"/>
        </w:rPr>
        <w:footnoteReference w:id="2"/>
      </w:r>
      <w:r w:rsidRPr="00760D1E">
        <w:rPr>
          <w:sz w:val="24"/>
          <w:szCs w:val="24"/>
          <w:lang w:val="en-GB"/>
        </w:rPr>
        <w:t>; and</w:t>
      </w:r>
    </w:p>
    <w:p w:rsidR="002A7FD0" w:rsidRPr="00760D1E" w:rsidRDefault="00825478" w:rsidP="003F7530">
      <w:pPr>
        <w:pStyle w:val="ListParagraph"/>
        <w:numPr>
          <w:ilvl w:val="0"/>
          <w:numId w:val="19"/>
        </w:numPr>
        <w:spacing w:after="240"/>
        <w:ind w:left="567" w:right="261" w:hanging="567"/>
        <w:jc w:val="both"/>
        <w:rPr>
          <w:sz w:val="24"/>
          <w:szCs w:val="24"/>
          <w:lang w:val="en-GB"/>
        </w:rPr>
      </w:pPr>
      <w:r w:rsidRPr="00760D1E">
        <w:rPr>
          <w:sz w:val="24"/>
          <w:szCs w:val="24"/>
          <w:lang w:val="en-GB"/>
        </w:rPr>
        <w:t>October 2012 – Response paper ‘Review of capital standards for general insurers and life insurers – reporting requirements’</w:t>
      </w:r>
      <w:r w:rsidRPr="00760D1E">
        <w:rPr>
          <w:rStyle w:val="FootnoteReference"/>
          <w:sz w:val="24"/>
          <w:szCs w:val="24"/>
          <w:lang w:val="en-GB"/>
        </w:rPr>
        <w:footnoteReference w:id="3"/>
      </w:r>
      <w:r w:rsidRPr="00760D1E">
        <w:rPr>
          <w:sz w:val="24"/>
          <w:szCs w:val="24"/>
          <w:lang w:val="en-GB"/>
        </w:rPr>
        <w:t xml:space="preserve">, final versions of all forms and instructions and reporting standards. </w:t>
      </w:r>
    </w:p>
    <w:p w:rsidR="00D9636A" w:rsidRPr="00760D1E" w:rsidRDefault="00825478" w:rsidP="003F7530">
      <w:pPr>
        <w:spacing w:after="240"/>
        <w:ind w:right="261"/>
        <w:jc w:val="both"/>
        <w:rPr>
          <w:rFonts w:ascii="Times New Roman" w:hAnsi="Times New Roman"/>
          <w:i/>
          <w:sz w:val="24"/>
          <w:lang w:val="en-GB"/>
        </w:rPr>
      </w:pPr>
      <w:r w:rsidRPr="00760D1E">
        <w:rPr>
          <w:rFonts w:ascii="Times New Roman" w:hAnsi="Times New Roman"/>
          <w:sz w:val="24"/>
        </w:rPr>
        <w:t xml:space="preserve">APRA has considered both formal and informal feedback from </w:t>
      </w:r>
      <w:proofErr w:type="spellStart"/>
      <w:r w:rsidRPr="00760D1E">
        <w:rPr>
          <w:rFonts w:ascii="Times New Roman" w:hAnsi="Times New Roman"/>
          <w:sz w:val="24"/>
        </w:rPr>
        <w:t>indus</w:t>
      </w:r>
      <w:proofErr w:type="spellEnd"/>
      <w:r w:rsidRPr="00760D1E">
        <w:rPr>
          <w:rFonts w:ascii="Times New Roman" w:hAnsi="Times New Roman"/>
          <w:sz w:val="24"/>
          <w:lang w:val="en-GB"/>
        </w:rPr>
        <w:t xml:space="preserve">try throughout the above multi-year process. Submissions received by APRA were broadly supportive of the changes. </w:t>
      </w:r>
      <w:r w:rsidRPr="00760D1E">
        <w:rPr>
          <w:rFonts w:ascii="Times New Roman" w:hAnsi="Times New Roman"/>
          <w:color w:val="000000"/>
          <w:sz w:val="24"/>
          <w:lang w:val="en-GB"/>
        </w:rPr>
        <w:t>Issues considered to be significant</w:t>
      </w:r>
      <w:r w:rsidRPr="00760D1E">
        <w:rPr>
          <w:rFonts w:ascii="Times New Roman" w:hAnsi="Times New Roman"/>
          <w:color w:val="000000"/>
          <w:sz w:val="24"/>
        </w:rPr>
        <w:t xml:space="preserve"> or to have </w:t>
      </w:r>
      <w:r w:rsidRPr="00760D1E">
        <w:rPr>
          <w:rFonts w:ascii="Times New Roman" w:hAnsi="Times New Roman"/>
          <w:sz w:val="24"/>
        </w:rPr>
        <w:t xml:space="preserve">merit were incorporated into the revised capital framework. </w:t>
      </w:r>
    </w:p>
    <w:p w:rsidR="003E1487" w:rsidRPr="00760D1E" w:rsidRDefault="003E1487" w:rsidP="003F7530">
      <w:pPr>
        <w:pStyle w:val="Heading"/>
        <w:tabs>
          <w:tab w:val="left" w:pos="360"/>
        </w:tabs>
        <w:spacing w:before="0" w:after="240"/>
        <w:ind w:left="360" w:hanging="720"/>
        <w:jc w:val="both"/>
        <w:rPr>
          <w:rFonts w:ascii="Times New Roman" w:hAnsi="Times New Roman" w:cs="Times New Roman"/>
          <w:sz w:val="24"/>
          <w:szCs w:val="24"/>
        </w:rPr>
      </w:pPr>
    </w:p>
    <w:p w:rsidR="00076969" w:rsidRPr="00760D1E" w:rsidRDefault="00825478" w:rsidP="003F7530">
      <w:pPr>
        <w:pStyle w:val="Heading"/>
        <w:numPr>
          <w:ilvl w:val="0"/>
          <w:numId w:val="1"/>
        </w:numPr>
        <w:spacing w:before="0" w:after="240"/>
        <w:jc w:val="both"/>
        <w:rPr>
          <w:rFonts w:ascii="Times New Roman" w:hAnsi="Times New Roman" w:cs="Times New Roman"/>
          <w:sz w:val="24"/>
          <w:szCs w:val="24"/>
        </w:rPr>
      </w:pPr>
      <w:bookmarkStart w:id="8" w:name="bkRISNO"/>
      <w:bookmarkStart w:id="9" w:name="bkRIS"/>
      <w:bookmarkEnd w:id="8"/>
      <w:r w:rsidRPr="00760D1E">
        <w:rPr>
          <w:rFonts w:ascii="Times New Roman" w:hAnsi="Times New Roman" w:cs="Times New Roman"/>
          <w:sz w:val="24"/>
          <w:szCs w:val="24"/>
        </w:rPr>
        <w:t>Regulation Impact Statement</w:t>
      </w:r>
    </w:p>
    <w:bookmarkEnd w:id="9"/>
    <w:p w:rsidR="009C2EC8" w:rsidRPr="00760D1E" w:rsidRDefault="00825478" w:rsidP="003F7530">
      <w:pPr>
        <w:pStyle w:val="Heading"/>
        <w:spacing w:before="0" w:after="240"/>
        <w:jc w:val="both"/>
        <w:rPr>
          <w:rFonts w:ascii="Times New Roman" w:hAnsi="Times New Roman" w:cs="Times New Roman"/>
          <w:b w:val="0"/>
          <w:sz w:val="24"/>
          <w:szCs w:val="24"/>
        </w:rPr>
      </w:pPr>
      <w:r w:rsidRPr="00760D1E">
        <w:rPr>
          <w:rFonts w:ascii="Times New Roman" w:hAnsi="Times New Roman" w:cs="Times New Roman"/>
          <w:b w:val="0"/>
          <w:sz w:val="24"/>
          <w:szCs w:val="24"/>
        </w:rPr>
        <w:t xml:space="preserve">A Regulation Impact Statement has been prepared and </w:t>
      </w:r>
      <w:r w:rsidR="00BF1BB5" w:rsidRPr="00760D1E">
        <w:rPr>
          <w:rFonts w:ascii="Times New Roman" w:hAnsi="Times New Roman" w:cs="Times New Roman"/>
          <w:b w:val="0"/>
          <w:sz w:val="24"/>
          <w:szCs w:val="24"/>
        </w:rPr>
        <w:t>has been lodged</w:t>
      </w:r>
      <w:r w:rsidRPr="00760D1E">
        <w:rPr>
          <w:rFonts w:ascii="Times New Roman" w:hAnsi="Times New Roman" w:cs="Times New Roman"/>
          <w:b w:val="0"/>
          <w:sz w:val="24"/>
          <w:szCs w:val="24"/>
        </w:rPr>
        <w:t xml:space="preserve"> as supporting material.</w:t>
      </w:r>
    </w:p>
    <w:p w:rsidR="00140948" w:rsidRPr="00760D1E" w:rsidRDefault="00825478" w:rsidP="003F7530">
      <w:pPr>
        <w:pStyle w:val="Heading"/>
        <w:numPr>
          <w:ilvl w:val="0"/>
          <w:numId w:val="1"/>
        </w:numPr>
        <w:spacing w:before="0" w:after="240"/>
        <w:jc w:val="both"/>
        <w:rPr>
          <w:rFonts w:ascii="Times New Roman" w:hAnsi="Times New Roman" w:cs="Times New Roman"/>
          <w:i/>
          <w:sz w:val="24"/>
          <w:szCs w:val="24"/>
        </w:rPr>
      </w:pPr>
      <w:r w:rsidRPr="00760D1E">
        <w:rPr>
          <w:rFonts w:ascii="Times New Roman" w:hAnsi="Times New Roman" w:cs="Times New Roman"/>
          <w:sz w:val="24"/>
          <w:szCs w:val="24"/>
        </w:rPr>
        <w:t xml:space="preserve">Statement of compatibility prepared in accordance with Part 3 of the </w:t>
      </w:r>
      <w:r w:rsidRPr="00760D1E">
        <w:rPr>
          <w:rFonts w:ascii="Times New Roman" w:hAnsi="Times New Roman" w:cs="Times New Roman"/>
          <w:i/>
          <w:sz w:val="24"/>
          <w:szCs w:val="24"/>
        </w:rPr>
        <w:t>Human Rights (Parliamentary Scrutiny) Act 2011</w:t>
      </w:r>
    </w:p>
    <w:p w:rsidR="0057786D" w:rsidRPr="003F7530" w:rsidRDefault="00825478" w:rsidP="003F7530">
      <w:pPr>
        <w:pStyle w:val="Heading"/>
        <w:spacing w:before="0" w:after="240"/>
        <w:jc w:val="both"/>
        <w:rPr>
          <w:rFonts w:ascii="Times New Roman" w:hAnsi="Times New Roman" w:cs="Times New Roman"/>
          <w:b w:val="0"/>
          <w:sz w:val="24"/>
          <w:szCs w:val="24"/>
        </w:rPr>
      </w:pPr>
      <w:r w:rsidRPr="00760D1E">
        <w:rPr>
          <w:rFonts w:ascii="Times New Roman" w:hAnsi="Times New Roman" w:cs="Times New Roman"/>
          <w:b w:val="0"/>
          <w:sz w:val="24"/>
          <w:szCs w:val="24"/>
        </w:rPr>
        <w:t xml:space="preserve">The legislative instruments the subject of this explanatory statement do not engage any of the applicable rights or freedoms recognised or declared in the international instruments listed in section 3 of the </w:t>
      </w:r>
      <w:r w:rsidRPr="00760D1E">
        <w:rPr>
          <w:rFonts w:ascii="Times New Roman" w:hAnsi="Times New Roman" w:cs="Times New Roman"/>
          <w:b w:val="0"/>
          <w:i/>
          <w:sz w:val="24"/>
          <w:szCs w:val="24"/>
        </w:rPr>
        <w:t>Human Rights (Parliamentary Scrutiny) Act 2011</w:t>
      </w:r>
      <w:r w:rsidRPr="00760D1E">
        <w:rPr>
          <w:rFonts w:ascii="Times New Roman" w:hAnsi="Times New Roman" w:cs="Times New Roman"/>
          <w:b w:val="0"/>
          <w:sz w:val="24"/>
          <w:szCs w:val="24"/>
        </w:rPr>
        <w:t>. Accordingly, in APRA’s assessment, these legislative instruments are compatible with human rights.</w:t>
      </w:r>
      <w:r w:rsidRPr="003F7530">
        <w:rPr>
          <w:rFonts w:ascii="Times New Roman" w:hAnsi="Times New Roman" w:cs="Times New Roman"/>
          <w:b w:val="0"/>
          <w:sz w:val="24"/>
          <w:szCs w:val="24"/>
        </w:rPr>
        <w:t xml:space="preserve"> </w:t>
      </w:r>
    </w:p>
    <w:p w:rsidR="00D22D14" w:rsidRPr="003F7530" w:rsidRDefault="00D22D14" w:rsidP="003F7530">
      <w:pPr>
        <w:pStyle w:val="Heading"/>
        <w:spacing w:before="0" w:after="240"/>
        <w:jc w:val="both"/>
        <w:rPr>
          <w:rFonts w:ascii="Times New Roman" w:hAnsi="Times New Roman" w:cs="Times New Roman"/>
          <w:sz w:val="24"/>
          <w:szCs w:val="24"/>
        </w:rPr>
      </w:pPr>
    </w:p>
    <w:p w:rsidR="00D22D14" w:rsidRPr="003F7530" w:rsidRDefault="00D22D14" w:rsidP="003F7530">
      <w:pPr>
        <w:pStyle w:val="Heading1"/>
        <w:spacing w:before="0" w:after="240"/>
        <w:jc w:val="both"/>
        <w:rPr>
          <w:rFonts w:ascii="Times New Roman" w:hAnsi="Times New Roman" w:cs="Times New Roman"/>
          <w:sz w:val="24"/>
          <w:szCs w:val="24"/>
        </w:rPr>
      </w:pPr>
    </w:p>
    <w:sectPr w:rsidR="00D22D14" w:rsidRPr="003F7530" w:rsidSect="002330A5">
      <w:footerReference w:type="even" r:id="rId8"/>
      <w:footerReference w:type="default" r:id="rId9"/>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8F9" w:rsidRDefault="00C108F9">
      <w:r>
        <w:separator/>
      </w:r>
    </w:p>
  </w:endnote>
  <w:endnote w:type="continuationSeparator" w:id="0">
    <w:p w:rsidR="00C108F9" w:rsidRDefault="00C10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F9" w:rsidRDefault="001914B6" w:rsidP="00000AE6">
    <w:pPr>
      <w:pStyle w:val="Footer"/>
      <w:framePr w:wrap="around" w:vAnchor="text" w:hAnchor="margin" w:xAlign="right" w:y="1"/>
      <w:rPr>
        <w:rStyle w:val="PageNumber"/>
      </w:rPr>
    </w:pPr>
    <w:r>
      <w:rPr>
        <w:rStyle w:val="PageNumber"/>
      </w:rPr>
      <w:fldChar w:fldCharType="begin"/>
    </w:r>
    <w:r w:rsidR="00C108F9">
      <w:rPr>
        <w:rStyle w:val="PageNumber"/>
      </w:rPr>
      <w:instrText xml:space="preserve">PAGE  </w:instrText>
    </w:r>
    <w:r>
      <w:rPr>
        <w:rStyle w:val="PageNumber"/>
      </w:rPr>
      <w:fldChar w:fldCharType="separate"/>
    </w:r>
    <w:r w:rsidR="00760D1E">
      <w:rPr>
        <w:rStyle w:val="PageNumber"/>
        <w:noProof/>
      </w:rPr>
      <w:t>6</w:t>
    </w:r>
    <w:r>
      <w:rPr>
        <w:rStyle w:val="PageNumber"/>
      </w:rPr>
      <w:fldChar w:fldCharType="end"/>
    </w:r>
  </w:p>
  <w:p w:rsidR="00C108F9" w:rsidRDefault="00C108F9" w:rsidP="00000A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F9" w:rsidRDefault="00C108F9" w:rsidP="00000A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8F9" w:rsidRDefault="00C108F9">
      <w:r>
        <w:separator/>
      </w:r>
    </w:p>
  </w:footnote>
  <w:footnote w:type="continuationSeparator" w:id="0">
    <w:p w:rsidR="00C108F9" w:rsidRDefault="00C108F9">
      <w:r>
        <w:continuationSeparator/>
      </w:r>
    </w:p>
  </w:footnote>
  <w:footnote w:id="1">
    <w:p w:rsidR="00C108F9" w:rsidRPr="003F7530" w:rsidRDefault="00C108F9">
      <w:pPr>
        <w:pStyle w:val="FootnoteText"/>
        <w:ind w:left="567" w:hanging="567"/>
        <w:jc w:val="both"/>
        <w:rPr>
          <w:rFonts w:ascii="Times New Roman" w:hAnsi="Times New Roman"/>
        </w:rPr>
      </w:pPr>
      <w:r w:rsidRPr="003F7530">
        <w:rPr>
          <w:rStyle w:val="FootnoteReference"/>
          <w:rFonts w:ascii="Times New Roman" w:hAnsi="Times New Roman"/>
        </w:rPr>
        <w:footnoteRef/>
      </w:r>
      <w:r w:rsidRPr="003F7530">
        <w:rPr>
          <w:rFonts w:ascii="Times New Roman" w:hAnsi="Times New Roman"/>
        </w:rPr>
        <w:t xml:space="preserve"> </w:t>
      </w:r>
      <w:r w:rsidRPr="003F7530">
        <w:rPr>
          <w:rFonts w:ascii="Times New Roman" w:hAnsi="Times New Roman"/>
        </w:rPr>
        <w:tab/>
      </w:r>
      <w:hyperlink r:id="rId1" w:history="1">
        <w:r w:rsidRPr="003F7530">
          <w:rPr>
            <w:rStyle w:val="Hyperlink"/>
            <w:rFonts w:ascii="Times New Roman" w:hAnsi="Times New Roman"/>
          </w:rPr>
          <w:t>http://www.apra.gov.au/CrossIndustry/Consultations/Pages/LAGIC-Reporting-Requirements-June-2012.aspx</w:t>
        </w:r>
      </w:hyperlink>
      <w:r w:rsidRPr="003F7530">
        <w:rPr>
          <w:rFonts w:ascii="Times New Roman" w:hAnsi="Times New Roman"/>
        </w:rPr>
        <w:t xml:space="preserve"> </w:t>
      </w:r>
    </w:p>
  </w:footnote>
  <w:footnote w:id="2">
    <w:p w:rsidR="00C108F9" w:rsidRPr="003F7530" w:rsidRDefault="00C108F9">
      <w:pPr>
        <w:pStyle w:val="FootnoteText"/>
        <w:ind w:left="567" w:hanging="567"/>
        <w:jc w:val="both"/>
        <w:rPr>
          <w:rFonts w:ascii="Times New Roman" w:hAnsi="Times New Roman"/>
        </w:rPr>
      </w:pPr>
      <w:r w:rsidRPr="003F7530">
        <w:rPr>
          <w:rStyle w:val="FootnoteReference"/>
          <w:rFonts w:ascii="Times New Roman" w:hAnsi="Times New Roman"/>
        </w:rPr>
        <w:footnoteRef/>
      </w:r>
      <w:r w:rsidRPr="003F7530">
        <w:rPr>
          <w:rFonts w:ascii="Times New Roman" w:hAnsi="Times New Roman"/>
        </w:rPr>
        <w:t xml:space="preserve"> </w:t>
      </w:r>
      <w:r w:rsidRPr="003F7530">
        <w:rPr>
          <w:rFonts w:ascii="Times New Roman" w:hAnsi="Times New Roman"/>
        </w:rPr>
        <w:tab/>
      </w:r>
      <w:hyperlink r:id="rId2" w:history="1">
        <w:r w:rsidRPr="003F7530">
          <w:rPr>
            <w:rStyle w:val="Hyperlink"/>
            <w:rFonts w:ascii="Times New Roman" w:hAnsi="Times New Roman"/>
          </w:rPr>
          <w:t>http://www.apra.gov.au/CrossIndustry/Consultations/Documents/120806-letter-to-industry-LAGIC-proposed-changes-to-reporting-standards.pdf</w:t>
        </w:r>
      </w:hyperlink>
      <w:r w:rsidRPr="003F7530">
        <w:rPr>
          <w:rFonts w:ascii="Times New Roman" w:hAnsi="Times New Roman"/>
        </w:rPr>
        <w:t xml:space="preserve"> </w:t>
      </w:r>
    </w:p>
  </w:footnote>
  <w:footnote w:id="3">
    <w:p w:rsidR="00C108F9" w:rsidRPr="003F7530" w:rsidRDefault="00C108F9">
      <w:pPr>
        <w:pStyle w:val="FootnoteText"/>
        <w:ind w:left="567" w:hanging="567"/>
        <w:jc w:val="both"/>
        <w:rPr>
          <w:rFonts w:ascii="Times New Roman" w:hAnsi="Times New Roman"/>
        </w:rPr>
      </w:pPr>
      <w:r w:rsidRPr="003F7530">
        <w:rPr>
          <w:rStyle w:val="FootnoteReference"/>
          <w:rFonts w:ascii="Times New Roman" w:hAnsi="Times New Roman"/>
        </w:rPr>
        <w:footnoteRef/>
      </w:r>
      <w:r w:rsidRPr="003F7530">
        <w:rPr>
          <w:rFonts w:ascii="Times New Roman" w:hAnsi="Times New Roman"/>
        </w:rPr>
        <w:t xml:space="preserve"> </w:t>
      </w:r>
      <w:r w:rsidRPr="003F7530">
        <w:rPr>
          <w:rFonts w:ascii="Times New Roman" w:hAnsi="Times New Roman"/>
        </w:rPr>
        <w:tab/>
      </w:r>
      <w:hyperlink r:id="rId3" w:history="1">
        <w:r w:rsidRPr="003F7530">
          <w:rPr>
            <w:rStyle w:val="Hyperlink"/>
            <w:rFonts w:ascii="Times New Roman" w:hAnsi="Times New Roman"/>
          </w:rPr>
          <w:t>http://www.apra.gov.au/lifs/ReportingFramework/Pages/LAGIC-final-reporting-requirements-LI-October-2012.aspx</w:t>
        </w:r>
      </w:hyperlink>
      <w:r w:rsidRPr="003F7530">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5AC3"/>
    <w:multiLevelType w:val="hybridMultilevel"/>
    <w:tmpl w:val="63C2A63A"/>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4A81249"/>
    <w:multiLevelType w:val="hybridMultilevel"/>
    <w:tmpl w:val="3110BD74"/>
    <w:lvl w:ilvl="0" w:tplc="B3741604">
      <w:start w:val="1"/>
      <w:numFmt w:val="decimal"/>
      <w:lvlText w:val="%1."/>
      <w:lvlJc w:val="left"/>
      <w:pPr>
        <w:tabs>
          <w:tab w:val="num" w:pos="360"/>
        </w:tabs>
        <w:ind w:left="360" w:hanging="360"/>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Symbol"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Symbol"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Symbol"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1EA43714"/>
    <w:multiLevelType w:val="hybridMultilevel"/>
    <w:tmpl w:val="64D6FBCA"/>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247ED2"/>
    <w:multiLevelType w:val="hybridMultilevel"/>
    <w:tmpl w:val="262E2EE6"/>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4E6244F"/>
    <w:multiLevelType w:val="hybridMultilevel"/>
    <w:tmpl w:val="4C5242FA"/>
    <w:lvl w:ilvl="0" w:tplc="B3CE7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E29F8"/>
    <w:multiLevelType w:val="hybridMultilevel"/>
    <w:tmpl w:val="84ECD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0857CE"/>
    <w:multiLevelType w:val="hybridMultilevel"/>
    <w:tmpl w:val="88B0636E"/>
    <w:lvl w:ilvl="0" w:tplc="E34C62CE">
      <w:numFmt w:val="bullet"/>
      <w:lvlText w:val=""/>
      <w:lvlJc w:val="left"/>
      <w:pPr>
        <w:ind w:left="360" w:hanging="360"/>
      </w:pPr>
      <w:rPr>
        <w:rFonts w:ascii="Symbol" w:eastAsia="Times New Roman"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3F3F4D"/>
    <w:multiLevelType w:val="hybridMultilevel"/>
    <w:tmpl w:val="45BED866"/>
    <w:lvl w:ilvl="0" w:tplc="B9129F8C">
      <w:start w:val="1"/>
      <w:numFmt w:val="bullet"/>
      <w:lvlText w:val=""/>
      <w:lvlJc w:val="left"/>
      <w:pPr>
        <w:tabs>
          <w:tab w:val="num" w:pos="454"/>
        </w:tabs>
        <w:ind w:left="454" w:hanging="454"/>
      </w:pPr>
      <w:rPr>
        <w:rFonts w:ascii="Symbol" w:hAnsi="Symbol" w:hint="default"/>
      </w:rPr>
    </w:lvl>
    <w:lvl w:ilvl="1" w:tplc="E34C62CE">
      <w:numFmt w:val="bullet"/>
      <w:lvlText w:val=""/>
      <w:lvlJc w:val="left"/>
      <w:pPr>
        <w:tabs>
          <w:tab w:val="num" w:pos="853"/>
        </w:tabs>
        <w:ind w:left="853" w:hanging="340"/>
      </w:pPr>
      <w:rPr>
        <w:rFonts w:ascii="Symbol" w:eastAsia="Times New Roman" w:hAnsi="Symbol"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6">
    <w:nsid w:val="4B1823B0"/>
    <w:multiLevelType w:val="hybridMultilevel"/>
    <w:tmpl w:val="8570C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BFB2BC0"/>
    <w:multiLevelType w:val="hybridMultilevel"/>
    <w:tmpl w:val="541E5A08"/>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E4C441D"/>
    <w:multiLevelType w:val="hybridMultilevel"/>
    <w:tmpl w:val="A73C215C"/>
    <w:lvl w:ilvl="0" w:tplc="B9129F8C">
      <w:start w:val="1"/>
      <w:numFmt w:val="bullet"/>
      <w:lvlText w:val=""/>
      <w:lvlJc w:val="left"/>
      <w:pPr>
        <w:tabs>
          <w:tab w:val="num" w:pos="454"/>
        </w:tabs>
        <w:ind w:left="454" w:hanging="454"/>
      </w:pPr>
      <w:rPr>
        <w:rFonts w:ascii="Symbol" w:hAnsi="Symbol" w:hint="default"/>
      </w:rPr>
    </w:lvl>
    <w:lvl w:ilvl="1" w:tplc="F5126D84">
      <w:start w:val="1"/>
      <w:numFmt w:val="bullet"/>
      <w:lvlText w:val="-"/>
      <w:lvlJc w:val="left"/>
      <w:pPr>
        <w:tabs>
          <w:tab w:val="num" w:pos="853"/>
        </w:tabs>
        <w:ind w:left="853" w:hanging="340"/>
      </w:pPr>
      <w:rPr>
        <w:rFonts w:ascii="Times New Roman" w:hAnsi="Times New Roman" w:cs="Times New Roman"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Symbol"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Symbol"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9">
    <w:nsid w:val="63741E58"/>
    <w:multiLevelType w:val="hybridMultilevel"/>
    <w:tmpl w:val="A580C1E2"/>
    <w:lvl w:ilvl="0" w:tplc="0C09000F">
      <w:start w:val="1"/>
      <w:numFmt w:val="decimal"/>
      <w:lvlText w:val="%1."/>
      <w:lvlJc w:val="left"/>
      <w:pPr>
        <w:ind w:left="360" w:hanging="360"/>
      </w:pPr>
      <w:rPr>
        <w:rFonts w:hint="default"/>
      </w:rPr>
    </w:lvl>
    <w:lvl w:ilvl="1" w:tplc="ACEC76D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53A3A1B"/>
    <w:multiLevelType w:val="hybridMultilevel"/>
    <w:tmpl w:val="DC8447C2"/>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6D1C0973"/>
    <w:multiLevelType w:val="hybridMultilevel"/>
    <w:tmpl w:val="7926325E"/>
    <w:lvl w:ilvl="0" w:tplc="E34C62C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E20B63"/>
    <w:multiLevelType w:val="hybridMultilevel"/>
    <w:tmpl w:val="F4DEAD5E"/>
    <w:lvl w:ilvl="0" w:tplc="65945CC8">
      <w:start w:val="1"/>
      <w:numFmt w:val="bullet"/>
      <w:lvlText w:val="—"/>
      <w:lvlJc w:val="left"/>
      <w:pPr>
        <w:ind w:left="720"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A63786"/>
    <w:multiLevelType w:val="hybridMultilevel"/>
    <w:tmpl w:val="CE483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A0F5656"/>
    <w:multiLevelType w:val="hybridMultilevel"/>
    <w:tmpl w:val="E6363104"/>
    <w:lvl w:ilvl="0" w:tplc="0C09000F">
      <w:start w:val="1"/>
      <w:numFmt w:val="decimal"/>
      <w:lvlText w:val="%1."/>
      <w:lvlJc w:val="left"/>
      <w:pPr>
        <w:ind w:left="360" w:hanging="360"/>
      </w:pPr>
      <w:rPr>
        <w:rFonts w:hint="default"/>
      </w:rPr>
    </w:lvl>
    <w:lvl w:ilvl="1" w:tplc="64DA73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2"/>
  </w:num>
  <w:num w:numId="3">
    <w:abstractNumId w:val="13"/>
  </w:num>
  <w:num w:numId="4">
    <w:abstractNumId w:val="6"/>
  </w:num>
  <w:num w:numId="5">
    <w:abstractNumId w:val="5"/>
  </w:num>
  <w:num w:numId="6">
    <w:abstractNumId w:val="14"/>
  </w:num>
  <w:num w:numId="7">
    <w:abstractNumId w:val="4"/>
  </w:num>
  <w:num w:numId="8">
    <w:abstractNumId w:val="2"/>
  </w:num>
  <w:num w:numId="9">
    <w:abstractNumId w:val="16"/>
  </w:num>
  <w:num w:numId="10">
    <w:abstractNumId w:val="22"/>
  </w:num>
  <w:num w:numId="11">
    <w:abstractNumId w:val="18"/>
  </w:num>
  <w:num w:numId="12">
    <w:abstractNumId w:val="23"/>
  </w:num>
  <w:num w:numId="13">
    <w:abstractNumId w:val="21"/>
  </w:num>
  <w:num w:numId="14">
    <w:abstractNumId w:val="3"/>
  </w:num>
  <w:num w:numId="15">
    <w:abstractNumId w:val="15"/>
  </w:num>
  <w:num w:numId="16">
    <w:abstractNumId w:val="11"/>
  </w:num>
  <w:num w:numId="17">
    <w:abstractNumId w:val="10"/>
  </w:num>
  <w:num w:numId="18">
    <w:abstractNumId w:val="19"/>
  </w:num>
  <w:num w:numId="19">
    <w:abstractNumId w:val="8"/>
  </w:num>
  <w:num w:numId="20">
    <w:abstractNumId w:val="9"/>
  </w:num>
  <w:num w:numId="21">
    <w:abstractNumId w:val="17"/>
  </w:num>
  <w:num w:numId="22">
    <w:abstractNumId w:val="0"/>
  </w:num>
  <w:num w:numId="23">
    <w:abstractNumId w:val="24"/>
  </w:num>
  <w:num w:numId="24">
    <w:abstractNumId w:val="10"/>
  </w:num>
  <w:num w:numId="25">
    <w:abstractNumId w:val="10"/>
  </w:num>
  <w:num w:numId="26">
    <w:abstractNumId w:val="7"/>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1"/>
  <w:trackRevisions/>
  <w:doNotTrackMoves/>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rsids>
    <w:rsidRoot w:val="00652397"/>
    <w:rsid w:val="00000AE6"/>
    <w:rsid w:val="00012695"/>
    <w:rsid w:val="00014C4B"/>
    <w:rsid w:val="00016F01"/>
    <w:rsid w:val="000201AE"/>
    <w:rsid w:val="000218B6"/>
    <w:rsid w:val="00022BB1"/>
    <w:rsid w:val="00026726"/>
    <w:rsid w:val="0002731C"/>
    <w:rsid w:val="00027386"/>
    <w:rsid w:val="00030BD8"/>
    <w:rsid w:val="000324C9"/>
    <w:rsid w:val="00032E46"/>
    <w:rsid w:val="000330CF"/>
    <w:rsid w:val="00033B73"/>
    <w:rsid w:val="00034768"/>
    <w:rsid w:val="00040C6F"/>
    <w:rsid w:val="000422DA"/>
    <w:rsid w:val="00043838"/>
    <w:rsid w:val="00044A9D"/>
    <w:rsid w:val="000462B2"/>
    <w:rsid w:val="00046998"/>
    <w:rsid w:val="00047834"/>
    <w:rsid w:val="00055C1B"/>
    <w:rsid w:val="00056C6C"/>
    <w:rsid w:val="00056DC2"/>
    <w:rsid w:val="00056DFC"/>
    <w:rsid w:val="000603DB"/>
    <w:rsid w:val="000631DA"/>
    <w:rsid w:val="00063B11"/>
    <w:rsid w:val="00076969"/>
    <w:rsid w:val="00080B55"/>
    <w:rsid w:val="00085D6F"/>
    <w:rsid w:val="00086488"/>
    <w:rsid w:val="00092A02"/>
    <w:rsid w:val="00092C71"/>
    <w:rsid w:val="00095FFB"/>
    <w:rsid w:val="000A2BF0"/>
    <w:rsid w:val="000A579A"/>
    <w:rsid w:val="000B22C3"/>
    <w:rsid w:val="000B2729"/>
    <w:rsid w:val="000B3626"/>
    <w:rsid w:val="000B5532"/>
    <w:rsid w:val="000B59FF"/>
    <w:rsid w:val="000B694A"/>
    <w:rsid w:val="000C3A21"/>
    <w:rsid w:val="000D046E"/>
    <w:rsid w:val="000D2640"/>
    <w:rsid w:val="000D6002"/>
    <w:rsid w:val="000D6AC0"/>
    <w:rsid w:val="000E055A"/>
    <w:rsid w:val="000E129A"/>
    <w:rsid w:val="000E3F23"/>
    <w:rsid w:val="000F1A2A"/>
    <w:rsid w:val="000F309E"/>
    <w:rsid w:val="000F3BD1"/>
    <w:rsid w:val="000F3E1E"/>
    <w:rsid w:val="000F6592"/>
    <w:rsid w:val="00102F9E"/>
    <w:rsid w:val="0010495D"/>
    <w:rsid w:val="00105F5C"/>
    <w:rsid w:val="00110071"/>
    <w:rsid w:val="00111555"/>
    <w:rsid w:val="00122A9C"/>
    <w:rsid w:val="00123FD3"/>
    <w:rsid w:val="0012491A"/>
    <w:rsid w:val="00124EE2"/>
    <w:rsid w:val="00126BDF"/>
    <w:rsid w:val="001271A7"/>
    <w:rsid w:val="00127F6E"/>
    <w:rsid w:val="00134630"/>
    <w:rsid w:val="00140819"/>
    <w:rsid w:val="00140948"/>
    <w:rsid w:val="00146362"/>
    <w:rsid w:val="00147418"/>
    <w:rsid w:val="0016350A"/>
    <w:rsid w:val="001636BF"/>
    <w:rsid w:val="00163AE4"/>
    <w:rsid w:val="001735C0"/>
    <w:rsid w:val="00176630"/>
    <w:rsid w:val="00183A1C"/>
    <w:rsid w:val="00190780"/>
    <w:rsid w:val="00191382"/>
    <w:rsid w:val="001914B6"/>
    <w:rsid w:val="00192C56"/>
    <w:rsid w:val="0019482E"/>
    <w:rsid w:val="001A0790"/>
    <w:rsid w:val="001A26A9"/>
    <w:rsid w:val="001B115C"/>
    <w:rsid w:val="001B13B9"/>
    <w:rsid w:val="001B3893"/>
    <w:rsid w:val="001B6E91"/>
    <w:rsid w:val="001C0BC5"/>
    <w:rsid w:val="001C27C3"/>
    <w:rsid w:val="001C7082"/>
    <w:rsid w:val="001D16A9"/>
    <w:rsid w:val="001D1DC0"/>
    <w:rsid w:val="001D4C02"/>
    <w:rsid w:val="001D6126"/>
    <w:rsid w:val="001E06CB"/>
    <w:rsid w:val="001E2DB0"/>
    <w:rsid w:val="001E54DD"/>
    <w:rsid w:val="001E623B"/>
    <w:rsid w:val="001E6EA4"/>
    <w:rsid w:val="001F0F70"/>
    <w:rsid w:val="001F4FB6"/>
    <w:rsid w:val="001F5D3D"/>
    <w:rsid w:val="001F7349"/>
    <w:rsid w:val="002010C8"/>
    <w:rsid w:val="00204946"/>
    <w:rsid w:val="00206A98"/>
    <w:rsid w:val="00207C73"/>
    <w:rsid w:val="00210496"/>
    <w:rsid w:val="002114F1"/>
    <w:rsid w:val="0021217E"/>
    <w:rsid w:val="002123EC"/>
    <w:rsid w:val="00215426"/>
    <w:rsid w:val="00223C69"/>
    <w:rsid w:val="0022477F"/>
    <w:rsid w:val="002248F3"/>
    <w:rsid w:val="00225921"/>
    <w:rsid w:val="00225C10"/>
    <w:rsid w:val="0023066A"/>
    <w:rsid w:val="002330A5"/>
    <w:rsid w:val="002341A1"/>
    <w:rsid w:val="002430F8"/>
    <w:rsid w:val="00243850"/>
    <w:rsid w:val="002504E2"/>
    <w:rsid w:val="00251164"/>
    <w:rsid w:val="002529DB"/>
    <w:rsid w:val="0025461F"/>
    <w:rsid w:val="00254B41"/>
    <w:rsid w:val="00254ED3"/>
    <w:rsid w:val="00260693"/>
    <w:rsid w:val="002642DC"/>
    <w:rsid w:val="00265913"/>
    <w:rsid w:val="002667D9"/>
    <w:rsid w:val="00266C66"/>
    <w:rsid w:val="00282B1D"/>
    <w:rsid w:val="00283D1A"/>
    <w:rsid w:val="00285041"/>
    <w:rsid w:val="00291E78"/>
    <w:rsid w:val="002960FC"/>
    <w:rsid w:val="002962EE"/>
    <w:rsid w:val="002A0F36"/>
    <w:rsid w:val="002A10B1"/>
    <w:rsid w:val="002A47FA"/>
    <w:rsid w:val="002A7FD0"/>
    <w:rsid w:val="002B2A6A"/>
    <w:rsid w:val="002B5F9F"/>
    <w:rsid w:val="002B6511"/>
    <w:rsid w:val="002B6780"/>
    <w:rsid w:val="002B6E99"/>
    <w:rsid w:val="002C3923"/>
    <w:rsid w:val="002C3F98"/>
    <w:rsid w:val="002C7D5C"/>
    <w:rsid w:val="002D003A"/>
    <w:rsid w:val="002D08B3"/>
    <w:rsid w:val="002D15B6"/>
    <w:rsid w:val="002D5680"/>
    <w:rsid w:val="002D7440"/>
    <w:rsid w:val="002E05F9"/>
    <w:rsid w:val="002E39A6"/>
    <w:rsid w:val="002E453F"/>
    <w:rsid w:val="002E68FA"/>
    <w:rsid w:val="002F0250"/>
    <w:rsid w:val="002F19D2"/>
    <w:rsid w:val="00300114"/>
    <w:rsid w:val="003024F7"/>
    <w:rsid w:val="003033E4"/>
    <w:rsid w:val="00314F61"/>
    <w:rsid w:val="003168CC"/>
    <w:rsid w:val="003230CB"/>
    <w:rsid w:val="00323DBD"/>
    <w:rsid w:val="003256DF"/>
    <w:rsid w:val="00326DC9"/>
    <w:rsid w:val="003318F0"/>
    <w:rsid w:val="003326CD"/>
    <w:rsid w:val="0034386A"/>
    <w:rsid w:val="00347FCC"/>
    <w:rsid w:val="00352685"/>
    <w:rsid w:val="003574BF"/>
    <w:rsid w:val="0036074C"/>
    <w:rsid w:val="0036074D"/>
    <w:rsid w:val="00361A51"/>
    <w:rsid w:val="003664C9"/>
    <w:rsid w:val="003671DF"/>
    <w:rsid w:val="003705A2"/>
    <w:rsid w:val="00377314"/>
    <w:rsid w:val="00384F6E"/>
    <w:rsid w:val="00385EBA"/>
    <w:rsid w:val="00386E9F"/>
    <w:rsid w:val="003A0FB4"/>
    <w:rsid w:val="003A5325"/>
    <w:rsid w:val="003A551B"/>
    <w:rsid w:val="003B2330"/>
    <w:rsid w:val="003B2863"/>
    <w:rsid w:val="003B338C"/>
    <w:rsid w:val="003B4785"/>
    <w:rsid w:val="003B6B84"/>
    <w:rsid w:val="003C1F4C"/>
    <w:rsid w:val="003C3568"/>
    <w:rsid w:val="003D14AA"/>
    <w:rsid w:val="003D671F"/>
    <w:rsid w:val="003D7D62"/>
    <w:rsid w:val="003E1487"/>
    <w:rsid w:val="003E2F84"/>
    <w:rsid w:val="003E35E2"/>
    <w:rsid w:val="003E395B"/>
    <w:rsid w:val="003E399F"/>
    <w:rsid w:val="003E474E"/>
    <w:rsid w:val="003E7F89"/>
    <w:rsid w:val="003F2D0E"/>
    <w:rsid w:val="003F7530"/>
    <w:rsid w:val="00402072"/>
    <w:rsid w:val="00403EA8"/>
    <w:rsid w:val="0040568B"/>
    <w:rsid w:val="0040630F"/>
    <w:rsid w:val="00414E21"/>
    <w:rsid w:val="00415C2F"/>
    <w:rsid w:val="00416296"/>
    <w:rsid w:val="00423543"/>
    <w:rsid w:val="00423B0B"/>
    <w:rsid w:val="00426967"/>
    <w:rsid w:val="00426F46"/>
    <w:rsid w:val="00427335"/>
    <w:rsid w:val="00434435"/>
    <w:rsid w:val="00435182"/>
    <w:rsid w:val="00436690"/>
    <w:rsid w:val="00443B03"/>
    <w:rsid w:val="00446377"/>
    <w:rsid w:val="00446793"/>
    <w:rsid w:val="00452BFF"/>
    <w:rsid w:val="00452F0E"/>
    <w:rsid w:val="00453E71"/>
    <w:rsid w:val="00455CFD"/>
    <w:rsid w:val="00456B13"/>
    <w:rsid w:val="00463269"/>
    <w:rsid w:val="0046392B"/>
    <w:rsid w:val="00466BE1"/>
    <w:rsid w:val="00470465"/>
    <w:rsid w:val="00480AB5"/>
    <w:rsid w:val="00485359"/>
    <w:rsid w:val="00485782"/>
    <w:rsid w:val="004913BF"/>
    <w:rsid w:val="00491AD1"/>
    <w:rsid w:val="004974E6"/>
    <w:rsid w:val="00497A10"/>
    <w:rsid w:val="004A2CEE"/>
    <w:rsid w:val="004A64B4"/>
    <w:rsid w:val="004A7EF8"/>
    <w:rsid w:val="004B004C"/>
    <w:rsid w:val="004B2690"/>
    <w:rsid w:val="004B621D"/>
    <w:rsid w:val="004B7CDD"/>
    <w:rsid w:val="004C79A4"/>
    <w:rsid w:val="004D600A"/>
    <w:rsid w:val="004E34CF"/>
    <w:rsid w:val="004F0124"/>
    <w:rsid w:val="004F0E6C"/>
    <w:rsid w:val="004F3053"/>
    <w:rsid w:val="004F4CCA"/>
    <w:rsid w:val="004F75D0"/>
    <w:rsid w:val="005050D5"/>
    <w:rsid w:val="00505C2A"/>
    <w:rsid w:val="005131F0"/>
    <w:rsid w:val="00514E54"/>
    <w:rsid w:val="0051573E"/>
    <w:rsid w:val="00523E14"/>
    <w:rsid w:val="0053053F"/>
    <w:rsid w:val="005323E9"/>
    <w:rsid w:val="0053624C"/>
    <w:rsid w:val="005378DF"/>
    <w:rsid w:val="00544186"/>
    <w:rsid w:val="00544768"/>
    <w:rsid w:val="0054631D"/>
    <w:rsid w:val="0054724E"/>
    <w:rsid w:val="00550E08"/>
    <w:rsid w:val="00553D45"/>
    <w:rsid w:val="005542B8"/>
    <w:rsid w:val="00554716"/>
    <w:rsid w:val="00554D51"/>
    <w:rsid w:val="00561055"/>
    <w:rsid w:val="00562B07"/>
    <w:rsid w:val="00564D62"/>
    <w:rsid w:val="00565315"/>
    <w:rsid w:val="00567A9A"/>
    <w:rsid w:val="005718A5"/>
    <w:rsid w:val="00574616"/>
    <w:rsid w:val="005748FE"/>
    <w:rsid w:val="0057786D"/>
    <w:rsid w:val="00577EDF"/>
    <w:rsid w:val="005833B9"/>
    <w:rsid w:val="00587962"/>
    <w:rsid w:val="00591630"/>
    <w:rsid w:val="00592576"/>
    <w:rsid w:val="00593BF7"/>
    <w:rsid w:val="005941E1"/>
    <w:rsid w:val="005942A5"/>
    <w:rsid w:val="005A60B9"/>
    <w:rsid w:val="005A743A"/>
    <w:rsid w:val="005A7BE0"/>
    <w:rsid w:val="005B22D9"/>
    <w:rsid w:val="005B7123"/>
    <w:rsid w:val="005C37A6"/>
    <w:rsid w:val="005C3C75"/>
    <w:rsid w:val="005C701A"/>
    <w:rsid w:val="005C7AB3"/>
    <w:rsid w:val="005D0304"/>
    <w:rsid w:val="005D435B"/>
    <w:rsid w:val="005D6649"/>
    <w:rsid w:val="005D7020"/>
    <w:rsid w:val="005D7A53"/>
    <w:rsid w:val="005E5F1D"/>
    <w:rsid w:val="005F0577"/>
    <w:rsid w:val="005F172F"/>
    <w:rsid w:val="005F5DF4"/>
    <w:rsid w:val="005F6428"/>
    <w:rsid w:val="005F6BAC"/>
    <w:rsid w:val="00601EBA"/>
    <w:rsid w:val="00610833"/>
    <w:rsid w:val="00611A4D"/>
    <w:rsid w:val="0061258F"/>
    <w:rsid w:val="00613E7B"/>
    <w:rsid w:val="006175DC"/>
    <w:rsid w:val="0062007F"/>
    <w:rsid w:val="006208F9"/>
    <w:rsid w:val="00620E71"/>
    <w:rsid w:val="006210C2"/>
    <w:rsid w:val="00624040"/>
    <w:rsid w:val="00625D6C"/>
    <w:rsid w:val="00631591"/>
    <w:rsid w:val="00634FF0"/>
    <w:rsid w:val="00635A7C"/>
    <w:rsid w:val="006418AE"/>
    <w:rsid w:val="00643F26"/>
    <w:rsid w:val="00644F26"/>
    <w:rsid w:val="00645119"/>
    <w:rsid w:val="00647B94"/>
    <w:rsid w:val="0065030A"/>
    <w:rsid w:val="006503AB"/>
    <w:rsid w:val="00652397"/>
    <w:rsid w:val="0065425A"/>
    <w:rsid w:val="006550E7"/>
    <w:rsid w:val="00657CD6"/>
    <w:rsid w:val="00663C9A"/>
    <w:rsid w:val="00673E01"/>
    <w:rsid w:val="006752F6"/>
    <w:rsid w:val="006825F2"/>
    <w:rsid w:val="00685CF1"/>
    <w:rsid w:val="00691BE2"/>
    <w:rsid w:val="00694F60"/>
    <w:rsid w:val="006967C8"/>
    <w:rsid w:val="006A05FB"/>
    <w:rsid w:val="006A0EBB"/>
    <w:rsid w:val="006A5128"/>
    <w:rsid w:val="006A66D4"/>
    <w:rsid w:val="006B4444"/>
    <w:rsid w:val="006B49D5"/>
    <w:rsid w:val="006B6285"/>
    <w:rsid w:val="006C0777"/>
    <w:rsid w:val="006C0888"/>
    <w:rsid w:val="006C38BF"/>
    <w:rsid w:val="006C6A19"/>
    <w:rsid w:val="006D1265"/>
    <w:rsid w:val="006E15EA"/>
    <w:rsid w:val="006E222F"/>
    <w:rsid w:val="006F6C05"/>
    <w:rsid w:val="0070223F"/>
    <w:rsid w:val="00702EF7"/>
    <w:rsid w:val="00704E26"/>
    <w:rsid w:val="007060F0"/>
    <w:rsid w:val="00712E3F"/>
    <w:rsid w:val="00717A79"/>
    <w:rsid w:val="0072092B"/>
    <w:rsid w:val="0073060A"/>
    <w:rsid w:val="007328C0"/>
    <w:rsid w:val="00733B48"/>
    <w:rsid w:val="007366EB"/>
    <w:rsid w:val="007422E3"/>
    <w:rsid w:val="00743617"/>
    <w:rsid w:val="00744E6B"/>
    <w:rsid w:val="00746F83"/>
    <w:rsid w:val="007510F4"/>
    <w:rsid w:val="007605C2"/>
    <w:rsid w:val="00760CF4"/>
    <w:rsid w:val="00760D1E"/>
    <w:rsid w:val="007669D4"/>
    <w:rsid w:val="00770264"/>
    <w:rsid w:val="0077334D"/>
    <w:rsid w:val="00775053"/>
    <w:rsid w:val="00776051"/>
    <w:rsid w:val="00780C75"/>
    <w:rsid w:val="00781B60"/>
    <w:rsid w:val="00785B77"/>
    <w:rsid w:val="007929A9"/>
    <w:rsid w:val="00795F4D"/>
    <w:rsid w:val="00796DE0"/>
    <w:rsid w:val="00797B1C"/>
    <w:rsid w:val="007A09EC"/>
    <w:rsid w:val="007B093E"/>
    <w:rsid w:val="007B1BD4"/>
    <w:rsid w:val="007B49C0"/>
    <w:rsid w:val="007B6616"/>
    <w:rsid w:val="007C0D87"/>
    <w:rsid w:val="007C3365"/>
    <w:rsid w:val="007D2478"/>
    <w:rsid w:val="007E6DFA"/>
    <w:rsid w:val="007F2504"/>
    <w:rsid w:val="007F3162"/>
    <w:rsid w:val="007F50A4"/>
    <w:rsid w:val="008015D2"/>
    <w:rsid w:val="00804B20"/>
    <w:rsid w:val="0080552D"/>
    <w:rsid w:val="00806B31"/>
    <w:rsid w:val="00807B3F"/>
    <w:rsid w:val="00811363"/>
    <w:rsid w:val="008124F3"/>
    <w:rsid w:val="00812FFC"/>
    <w:rsid w:val="008155DB"/>
    <w:rsid w:val="00815681"/>
    <w:rsid w:val="0082354F"/>
    <w:rsid w:val="00825478"/>
    <w:rsid w:val="00826B4E"/>
    <w:rsid w:val="0083007C"/>
    <w:rsid w:val="00830C54"/>
    <w:rsid w:val="00830E90"/>
    <w:rsid w:val="0083482E"/>
    <w:rsid w:val="00837FB3"/>
    <w:rsid w:val="00844445"/>
    <w:rsid w:val="0084490C"/>
    <w:rsid w:val="0084495C"/>
    <w:rsid w:val="008458C3"/>
    <w:rsid w:val="008522ED"/>
    <w:rsid w:val="00853398"/>
    <w:rsid w:val="0086053F"/>
    <w:rsid w:val="00860DC0"/>
    <w:rsid w:val="00863B8C"/>
    <w:rsid w:val="00866218"/>
    <w:rsid w:val="00870E85"/>
    <w:rsid w:val="008713A5"/>
    <w:rsid w:val="008803C8"/>
    <w:rsid w:val="00881B57"/>
    <w:rsid w:val="00882496"/>
    <w:rsid w:val="008825C2"/>
    <w:rsid w:val="008841DB"/>
    <w:rsid w:val="0088539F"/>
    <w:rsid w:val="00885D7C"/>
    <w:rsid w:val="008928D2"/>
    <w:rsid w:val="008A1A5F"/>
    <w:rsid w:val="008A22ED"/>
    <w:rsid w:val="008A7848"/>
    <w:rsid w:val="008B0046"/>
    <w:rsid w:val="008B1DD5"/>
    <w:rsid w:val="008B5B9B"/>
    <w:rsid w:val="008B6112"/>
    <w:rsid w:val="008B7528"/>
    <w:rsid w:val="008C0F09"/>
    <w:rsid w:val="008C228A"/>
    <w:rsid w:val="008C49A6"/>
    <w:rsid w:val="008D0E01"/>
    <w:rsid w:val="008E1C9F"/>
    <w:rsid w:val="008E25C7"/>
    <w:rsid w:val="008E445F"/>
    <w:rsid w:val="008E7EB4"/>
    <w:rsid w:val="008F07CE"/>
    <w:rsid w:val="008F458F"/>
    <w:rsid w:val="008F6AA0"/>
    <w:rsid w:val="00910F17"/>
    <w:rsid w:val="009135F9"/>
    <w:rsid w:val="009145A2"/>
    <w:rsid w:val="00915A33"/>
    <w:rsid w:val="00916060"/>
    <w:rsid w:val="00916AAA"/>
    <w:rsid w:val="00921D12"/>
    <w:rsid w:val="00922097"/>
    <w:rsid w:val="009222AD"/>
    <w:rsid w:val="00924CC9"/>
    <w:rsid w:val="0093196C"/>
    <w:rsid w:val="00931BC1"/>
    <w:rsid w:val="00932D57"/>
    <w:rsid w:val="0093761D"/>
    <w:rsid w:val="009403D0"/>
    <w:rsid w:val="0095037A"/>
    <w:rsid w:val="00953841"/>
    <w:rsid w:val="00954943"/>
    <w:rsid w:val="00956A1C"/>
    <w:rsid w:val="009732D4"/>
    <w:rsid w:val="0097535E"/>
    <w:rsid w:val="00975C92"/>
    <w:rsid w:val="00975F78"/>
    <w:rsid w:val="00984B4D"/>
    <w:rsid w:val="00985A96"/>
    <w:rsid w:val="009965FD"/>
    <w:rsid w:val="00997B46"/>
    <w:rsid w:val="00997DB1"/>
    <w:rsid w:val="009B2935"/>
    <w:rsid w:val="009C19B4"/>
    <w:rsid w:val="009C2EC8"/>
    <w:rsid w:val="009C4C28"/>
    <w:rsid w:val="009D1F0D"/>
    <w:rsid w:val="009D3E18"/>
    <w:rsid w:val="009E216B"/>
    <w:rsid w:val="009E6405"/>
    <w:rsid w:val="009F2DFF"/>
    <w:rsid w:val="009F665E"/>
    <w:rsid w:val="00A0071B"/>
    <w:rsid w:val="00A01D19"/>
    <w:rsid w:val="00A03AB9"/>
    <w:rsid w:val="00A047B5"/>
    <w:rsid w:val="00A0568A"/>
    <w:rsid w:val="00A10194"/>
    <w:rsid w:val="00A122B0"/>
    <w:rsid w:val="00A15209"/>
    <w:rsid w:val="00A15E5C"/>
    <w:rsid w:val="00A160F2"/>
    <w:rsid w:val="00A16AE2"/>
    <w:rsid w:val="00A208EB"/>
    <w:rsid w:val="00A22BB0"/>
    <w:rsid w:val="00A32B98"/>
    <w:rsid w:val="00A37816"/>
    <w:rsid w:val="00A40D5C"/>
    <w:rsid w:val="00A43FF9"/>
    <w:rsid w:val="00A4657A"/>
    <w:rsid w:val="00A51D19"/>
    <w:rsid w:val="00A55057"/>
    <w:rsid w:val="00A56BEA"/>
    <w:rsid w:val="00A64327"/>
    <w:rsid w:val="00A66958"/>
    <w:rsid w:val="00A66DF3"/>
    <w:rsid w:val="00A70675"/>
    <w:rsid w:val="00A70D00"/>
    <w:rsid w:val="00A82561"/>
    <w:rsid w:val="00A84F11"/>
    <w:rsid w:val="00A90FA4"/>
    <w:rsid w:val="00A94115"/>
    <w:rsid w:val="00A96F6A"/>
    <w:rsid w:val="00AA08EC"/>
    <w:rsid w:val="00AA2735"/>
    <w:rsid w:val="00AB0A7D"/>
    <w:rsid w:val="00AB1F92"/>
    <w:rsid w:val="00AB3FCB"/>
    <w:rsid w:val="00AB533D"/>
    <w:rsid w:val="00AC031B"/>
    <w:rsid w:val="00AC199A"/>
    <w:rsid w:val="00AC2996"/>
    <w:rsid w:val="00AC3F07"/>
    <w:rsid w:val="00AC3F83"/>
    <w:rsid w:val="00AC55FD"/>
    <w:rsid w:val="00AD31BC"/>
    <w:rsid w:val="00AD62C5"/>
    <w:rsid w:val="00AD6534"/>
    <w:rsid w:val="00AD78E5"/>
    <w:rsid w:val="00AE0FFA"/>
    <w:rsid w:val="00AE287A"/>
    <w:rsid w:val="00AE2D97"/>
    <w:rsid w:val="00AE7E64"/>
    <w:rsid w:val="00AF3144"/>
    <w:rsid w:val="00B01A7A"/>
    <w:rsid w:val="00B02043"/>
    <w:rsid w:val="00B02340"/>
    <w:rsid w:val="00B067E0"/>
    <w:rsid w:val="00B114D3"/>
    <w:rsid w:val="00B12376"/>
    <w:rsid w:val="00B1355F"/>
    <w:rsid w:val="00B212B8"/>
    <w:rsid w:val="00B27510"/>
    <w:rsid w:val="00B31081"/>
    <w:rsid w:val="00B31959"/>
    <w:rsid w:val="00B3501B"/>
    <w:rsid w:val="00B41ACA"/>
    <w:rsid w:val="00B44A68"/>
    <w:rsid w:val="00B458A3"/>
    <w:rsid w:val="00B46846"/>
    <w:rsid w:val="00B51CA2"/>
    <w:rsid w:val="00B52C31"/>
    <w:rsid w:val="00B57341"/>
    <w:rsid w:val="00B71A97"/>
    <w:rsid w:val="00B73A23"/>
    <w:rsid w:val="00B77BD4"/>
    <w:rsid w:val="00B84194"/>
    <w:rsid w:val="00B90DB8"/>
    <w:rsid w:val="00B9215B"/>
    <w:rsid w:val="00B97B6E"/>
    <w:rsid w:val="00BA0BC1"/>
    <w:rsid w:val="00BA3189"/>
    <w:rsid w:val="00BA4FF9"/>
    <w:rsid w:val="00BA6EB3"/>
    <w:rsid w:val="00BB1F01"/>
    <w:rsid w:val="00BB27C5"/>
    <w:rsid w:val="00BB387D"/>
    <w:rsid w:val="00BC0D22"/>
    <w:rsid w:val="00BC27C2"/>
    <w:rsid w:val="00BC2BFB"/>
    <w:rsid w:val="00BC5946"/>
    <w:rsid w:val="00BC69B9"/>
    <w:rsid w:val="00BC6A8D"/>
    <w:rsid w:val="00BE5F98"/>
    <w:rsid w:val="00BF1BB5"/>
    <w:rsid w:val="00BF22F5"/>
    <w:rsid w:val="00BF5B12"/>
    <w:rsid w:val="00BF6437"/>
    <w:rsid w:val="00C007F6"/>
    <w:rsid w:val="00C03925"/>
    <w:rsid w:val="00C047E7"/>
    <w:rsid w:val="00C06282"/>
    <w:rsid w:val="00C07ED1"/>
    <w:rsid w:val="00C108F9"/>
    <w:rsid w:val="00C16BD6"/>
    <w:rsid w:val="00C17D45"/>
    <w:rsid w:val="00C17ED3"/>
    <w:rsid w:val="00C23D4E"/>
    <w:rsid w:val="00C2447B"/>
    <w:rsid w:val="00C3411D"/>
    <w:rsid w:val="00C3551A"/>
    <w:rsid w:val="00C41329"/>
    <w:rsid w:val="00C4177F"/>
    <w:rsid w:val="00C464F8"/>
    <w:rsid w:val="00C50E0D"/>
    <w:rsid w:val="00C56099"/>
    <w:rsid w:val="00C57B96"/>
    <w:rsid w:val="00C619FF"/>
    <w:rsid w:val="00C62FA1"/>
    <w:rsid w:val="00C66F5F"/>
    <w:rsid w:val="00C72F5E"/>
    <w:rsid w:val="00C737CB"/>
    <w:rsid w:val="00C90010"/>
    <w:rsid w:val="00C9399F"/>
    <w:rsid w:val="00C94DCF"/>
    <w:rsid w:val="00C9694D"/>
    <w:rsid w:val="00C96E5E"/>
    <w:rsid w:val="00C97019"/>
    <w:rsid w:val="00CA29DB"/>
    <w:rsid w:val="00CA5A10"/>
    <w:rsid w:val="00CB6553"/>
    <w:rsid w:val="00CC1195"/>
    <w:rsid w:val="00CC151F"/>
    <w:rsid w:val="00CC2E08"/>
    <w:rsid w:val="00CC4BE4"/>
    <w:rsid w:val="00CC793B"/>
    <w:rsid w:val="00CD0116"/>
    <w:rsid w:val="00CD519A"/>
    <w:rsid w:val="00CF033B"/>
    <w:rsid w:val="00CF3028"/>
    <w:rsid w:val="00CF6510"/>
    <w:rsid w:val="00CF7B05"/>
    <w:rsid w:val="00CF7E04"/>
    <w:rsid w:val="00D04EA3"/>
    <w:rsid w:val="00D161B4"/>
    <w:rsid w:val="00D17E48"/>
    <w:rsid w:val="00D2126B"/>
    <w:rsid w:val="00D228BE"/>
    <w:rsid w:val="00D22D14"/>
    <w:rsid w:val="00D25F75"/>
    <w:rsid w:val="00D27DE1"/>
    <w:rsid w:val="00D3515D"/>
    <w:rsid w:val="00D4290F"/>
    <w:rsid w:val="00D4387C"/>
    <w:rsid w:val="00D44DB1"/>
    <w:rsid w:val="00D47D67"/>
    <w:rsid w:val="00D52831"/>
    <w:rsid w:val="00D56C0A"/>
    <w:rsid w:val="00D612FC"/>
    <w:rsid w:val="00D63690"/>
    <w:rsid w:val="00D66CB2"/>
    <w:rsid w:val="00D7240A"/>
    <w:rsid w:val="00D724D7"/>
    <w:rsid w:val="00D77584"/>
    <w:rsid w:val="00D80BBF"/>
    <w:rsid w:val="00D84A02"/>
    <w:rsid w:val="00D8796B"/>
    <w:rsid w:val="00D94F65"/>
    <w:rsid w:val="00D959D7"/>
    <w:rsid w:val="00D9636A"/>
    <w:rsid w:val="00D96744"/>
    <w:rsid w:val="00D96A48"/>
    <w:rsid w:val="00D97D95"/>
    <w:rsid w:val="00DA3F2E"/>
    <w:rsid w:val="00DA572D"/>
    <w:rsid w:val="00DA5D0D"/>
    <w:rsid w:val="00DB2DC5"/>
    <w:rsid w:val="00DB75C3"/>
    <w:rsid w:val="00DC2B2A"/>
    <w:rsid w:val="00DC2FCC"/>
    <w:rsid w:val="00DD3416"/>
    <w:rsid w:val="00DD4E4B"/>
    <w:rsid w:val="00DD64C6"/>
    <w:rsid w:val="00DE5226"/>
    <w:rsid w:val="00DE6BEB"/>
    <w:rsid w:val="00DF65D5"/>
    <w:rsid w:val="00DF716C"/>
    <w:rsid w:val="00E00123"/>
    <w:rsid w:val="00E01BDE"/>
    <w:rsid w:val="00E0451F"/>
    <w:rsid w:val="00E113C0"/>
    <w:rsid w:val="00E13541"/>
    <w:rsid w:val="00E14D72"/>
    <w:rsid w:val="00E16AFB"/>
    <w:rsid w:val="00E21E01"/>
    <w:rsid w:val="00E22ADE"/>
    <w:rsid w:val="00E240FE"/>
    <w:rsid w:val="00E24DAC"/>
    <w:rsid w:val="00E3341A"/>
    <w:rsid w:val="00E53839"/>
    <w:rsid w:val="00E566E4"/>
    <w:rsid w:val="00E60B70"/>
    <w:rsid w:val="00E60C03"/>
    <w:rsid w:val="00E62A0F"/>
    <w:rsid w:val="00E62C0E"/>
    <w:rsid w:val="00E651F2"/>
    <w:rsid w:val="00E65CBA"/>
    <w:rsid w:val="00E67C6B"/>
    <w:rsid w:val="00E8014D"/>
    <w:rsid w:val="00E804F8"/>
    <w:rsid w:val="00E829A2"/>
    <w:rsid w:val="00E83ADE"/>
    <w:rsid w:val="00E83E25"/>
    <w:rsid w:val="00E85324"/>
    <w:rsid w:val="00E854D2"/>
    <w:rsid w:val="00E866D6"/>
    <w:rsid w:val="00E90876"/>
    <w:rsid w:val="00E9434C"/>
    <w:rsid w:val="00EA0357"/>
    <w:rsid w:val="00EA27B3"/>
    <w:rsid w:val="00EA6BF0"/>
    <w:rsid w:val="00EB2024"/>
    <w:rsid w:val="00ED0078"/>
    <w:rsid w:val="00ED5251"/>
    <w:rsid w:val="00ED59D7"/>
    <w:rsid w:val="00ED64E9"/>
    <w:rsid w:val="00ED6A4C"/>
    <w:rsid w:val="00EF4430"/>
    <w:rsid w:val="00EF5C0C"/>
    <w:rsid w:val="00F00627"/>
    <w:rsid w:val="00F0354E"/>
    <w:rsid w:val="00F05FC6"/>
    <w:rsid w:val="00F101EC"/>
    <w:rsid w:val="00F14761"/>
    <w:rsid w:val="00F221C2"/>
    <w:rsid w:val="00F364DB"/>
    <w:rsid w:val="00F3780C"/>
    <w:rsid w:val="00F4269A"/>
    <w:rsid w:val="00F53DE9"/>
    <w:rsid w:val="00F56C3D"/>
    <w:rsid w:val="00F579EC"/>
    <w:rsid w:val="00F62BE0"/>
    <w:rsid w:val="00F62FDB"/>
    <w:rsid w:val="00F679DE"/>
    <w:rsid w:val="00F71B7F"/>
    <w:rsid w:val="00F7222C"/>
    <w:rsid w:val="00F84B14"/>
    <w:rsid w:val="00F85BE8"/>
    <w:rsid w:val="00F873AF"/>
    <w:rsid w:val="00F9223D"/>
    <w:rsid w:val="00F92B12"/>
    <w:rsid w:val="00F951E9"/>
    <w:rsid w:val="00FA5216"/>
    <w:rsid w:val="00FA70CB"/>
    <w:rsid w:val="00FC1DCC"/>
    <w:rsid w:val="00FC1FD8"/>
    <w:rsid w:val="00FD1524"/>
    <w:rsid w:val="00FD30EE"/>
    <w:rsid w:val="00FD5583"/>
    <w:rsid w:val="00FE0073"/>
    <w:rsid w:val="00FF1429"/>
    <w:rsid w:val="00FF19E9"/>
    <w:rsid w:val="00FF4047"/>
    <w:rsid w:val="00FF472B"/>
    <w:rsid w:val="00FF4DE2"/>
    <w:rsid w:val="00FF74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No Spacing" w:uiPriority="1" w:qFormat="1"/>
    <w:lsdException w:name="List Paragraph" w:uiPriority="34" w:qFormat="1"/>
  </w:latentStyles>
  <w:style w:type="paragraph" w:default="1" w:styleId="Normal">
    <w:name w:val="Normal"/>
    <w:qFormat/>
    <w:rsid w:val="00B57341"/>
    <w:rPr>
      <w:rFonts w:ascii="Trebuchet MS" w:hAnsi="Trebuchet MS"/>
      <w:sz w:val="22"/>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rsid w:val="00807B3F"/>
    <w:pPr>
      <w:tabs>
        <w:tab w:val="center" w:pos="4153"/>
        <w:tab w:val="right" w:pos="8306"/>
      </w:tabs>
    </w:pPr>
  </w:style>
  <w:style w:type="character" w:styleId="PageNumber">
    <w:name w:val="page number"/>
    <w:basedOn w:val="DefaultParagraphFont"/>
    <w:rsid w:val="00807B3F"/>
  </w:style>
  <w:style w:type="paragraph" w:styleId="ListParagraph">
    <w:name w:val="List Paragraph"/>
    <w:basedOn w:val="Normal"/>
    <w:uiPriority w:val="34"/>
    <w:qFormat/>
    <w:rsid w:val="001D6126"/>
    <w:pPr>
      <w:ind w:left="720"/>
    </w:pPr>
    <w:rPr>
      <w:rFonts w:ascii="Times New Roman" w:hAnsi="Times New Roman"/>
      <w:sz w:val="20"/>
      <w:szCs w:val="20"/>
      <w:lang w:val="en-US" w:eastAsia="en-AU"/>
    </w:rPr>
  </w:style>
  <w:style w:type="paragraph" w:customStyle="1" w:styleId="Default">
    <w:name w:val="Default"/>
    <w:rsid w:val="00192C56"/>
    <w:pPr>
      <w:autoSpaceDE w:val="0"/>
      <w:autoSpaceDN w:val="0"/>
      <w:adjustRightInd w:val="0"/>
    </w:pPr>
    <w:rPr>
      <w:rFonts w:ascii="Verdana" w:hAnsi="Verdana" w:cs="Verdana"/>
      <w:color w:val="000000"/>
    </w:rPr>
  </w:style>
  <w:style w:type="paragraph" w:styleId="NoSpacing">
    <w:name w:val="No Spacing"/>
    <w:aliases w:val="Normal bullet list"/>
    <w:uiPriority w:val="1"/>
    <w:qFormat/>
    <w:rsid w:val="008A22ED"/>
    <w:pPr>
      <w:numPr>
        <w:numId w:val="17"/>
      </w:numPr>
      <w:spacing w:after="240"/>
    </w:pPr>
  </w:style>
  <w:style w:type="character" w:styleId="CommentReference">
    <w:name w:val="annotation reference"/>
    <w:basedOn w:val="DefaultParagraphFont"/>
    <w:rsid w:val="009C4C28"/>
    <w:rPr>
      <w:sz w:val="18"/>
      <w:szCs w:val="18"/>
    </w:rPr>
  </w:style>
  <w:style w:type="paragraph" w:styleId="CommentText">
    <w:name w:val="annotation text"/>
    <w:basedOn w:val="Normal"/>
    <w:link w:val="CommentTextChar"/>
    <w:rsid w:val="009C4C28"/>
    <w:rPr>
      <w:sz w:val="24"/>
    </w:rPr>
  </w:style>
  <w:style w:type="character" w:customStyle="1" w:styleId="CommentTextChar">
    <w:name w:val="Comment Text Char"/>
    <w:basedOn w:val="DefaultParagraphFont"/>
    <w:link w:val="CommentText"/>
    <w:rsid w:val="009C4C28"/>
    <w:rPr>
      <w:rFonts w:ascii="Trebuchet MS" w:hAnsi="Trebuchet MS"/>
      <w:lang w:eastAsia="en-US"/>
    </w:rPr>
  </w:style>
  <w:style w:type="paragraph" w:styleId="CommentSubject">
    <w:name w:val="annotation subject"/>
    <w:basedOn w:val="CommentText"/>
    <w:next w:val="CommentText"/>
    <w:link w:val="CommentSubjectChar"/>
    <w:rsid w:val="009C4C28"/>
    <w:rPr>
      <w:b/>
      <w:bCs/>
      <w:sz w:val="20"/>
      <w:szCs w:val="20"/>
    </w:rPr>
  </w:style>
  <w:style w:type="character" w:customStyle="1" w:styleId="CommentSubjectChar">
    <w:name w:val="Comment Subject Char"/>
    <w:basedOn w:val="CommentTextChar"/>
    <w:link w:val="CommentSubject"/>
    <w:rsid w:val="009C4C28"/>
    <w:rPr>
      <w:b/>
      <w:bCs/>
      <w:sz w:val="20"/>
      <w:szCs w:val="20"/>
    </w:rPr>
  </w:style>
  <w:style w:type="paragraph" w:styleId="BalloonText">
    <w:name w:val="Balloon Text"/>
    <w:basedOn w:val="Normal"/>
    <w:link w:val="BalloonTextChar"/>
    <w:rsid w:val="009C4C28"/>
    <w:rPr>
      <w:rFonts w:ascii="Lucida Grande" w:hAnsi="Lucida Grande"/>
      <w:sz w:val="18"/>
      <w:szCs w:val="18"/>
    </w:rPr>
  </w:style>
  <w:style w:type="character" w:customStyle="1" w:styleId="BalloonTextChar">
    <w:name w:val="Balloon Text Char"/>
    <w:basedOn w:val="DefaultParagraphFont"/>
    <w:link w:val="BalloonText"/>
    <w:rsid w:val="009C4C28"/>
    <w:rPr>
      <w:rFonts w:ascii="Lucida Grande" w:hAnsi="Lucida Grande"/>
      <w:sz w:val="18"/>
      <w:szCs w:val="18"/>
      <w:lang w:eastAsia="en-US"/>
    </w:rPr>
  </w:style>
</w:styles>
</file>

<file path=word/webSettings.xml><?xml version="1.0" encoding="utf-8"?>
<w:webSettings xmlns:r="http://schemas.openxmlformats.org/officeDocument/2006/relationships" xmlns:w="http://schemas.openxmlformats.org/wordprocessingml/2006/main">
  <w:divs>
    <w:div w:id="374041492">
      <w:bodyDiv w:val="1"/>
      <w:marLeft w:val="0"/>
      <w:marRight w:val="0"/>
      <w:marTop w:val="0"/>
      <w:marBottom w:val="0"/>
      <w:divBdr>
        <w:top w:val="none" w:sz="0" w:space="0" w:color="auto"/>
        <w:left w:val="none" w:sz="0" w:space="0" w:color="auto"/>
        <w:bottom w:val="none" w:sz="0" w:space="0" w:color="auto"/>
        <w:right w:val="none" w:sz="0" w:space="0" w:color="auto"/>
      </w:divBdr>
      <w:divsChild>
        <w:div w:id="1537694850">
          <w:marLeft w:val="0"/>
          <w:marRight w:val="0"/>
          <w:marTop w:val="0"/>
          <w:marBottom w:val="0"/>
          <w:divBdr>
            <w:top w:val="none" w:sz="0" w:space="0" w:color="auto"/>
            <w:left w:val="none" w:sz="0" w:space="0" w:color="auto"/>
            <w:bottom w:val="none" w:sz="0" w:space="0" w:color="auto"/>
            <w:right w:val="none" w:sz="0" w:space="0" w:color="auto"/>
          </w:divBdr>
          <w:divsChild>
            <w:div w:id="914516308">
              <w:marLeft w:val="0"/>
              <w:marRight w:val="0"/>
              <w:marTop w:val="0"/>
              <w:marBottom w:val="0"/>
              <w:divBdr>
                <w:top w:val="none" w:sz="0" w:space="0" w:color="auto"/>
                <w:left w:val="none" w:sz="0" w:space="0" w:color="auto"/>
                <w:bottom w:val="none" w:sz="0" w:space="0" w:color="auto"/>
                <w:right w:val="none" w:sz="0" w:space="0" w:color="auto"/>
              </w:divBdr>
              <w:divsChild>
                <w:div w:id="274875551">
                  <w:marLeft w:val="0"/>
                  <w:marRight w:val="0"/>
                  <w:marTop w:val="0"/>
                  <w:marBottom w:val="0"/>
                  <w:divBdr>
                    <w:top w:val="none" w:sz="0" w:space="0" w:color="auto"/>
                    <w:left w:val="none" w:sz="0" w:space="0" w:color="auto"/>
                    <w:bottom w:val="none" w:sz="0" w:space="0" w:color="auto"/>
                    <w:right w:val="none" w:sz="0" w:space="0" w:color="auto"/>
                  </w:divBdr>
                  <w:divsChild>
                    <w:div w:id="310063852">
                      <w:marLeft w:val="0"/>
                      <w:marRight w:val="0"/>
                      <w:marTop w:val="0"/>
                      <w:marBottom w:val="0"/>
                      <w:divBdr>
                        <w:top w:val="none" w:sz="0" w:space="0" w:color="auto"/>
                        <w:left w:val="none" w:sz="0" w:space="0" w:color="auto"/>
                        <w:bottom w:val="none" w:sz="0" w:space="0" w:color="auto"/>
                        <w:right w:val="none" w:sz="0" w:space="0" w:color="auto"/>
                      </w:divBdr>
                      <w:divsChild>
                        <w:div w:id="590356606">
                          <w:marLeft w:val="0"/>
                          <w:marRight w:val="0"/>
                          <w:marTop w:val="0"/>
                          <w:marBottom w:val="0"/>
                          <w:divBdr>
                            <w:top w:val="single" w:sz="6" w:space="0" w:color="828282"/>
                            <w:left w:val="single" w:sz="6" w:space="0" w:color="828282"/>
                            <w:bottom w:val="single" w:sz="6" w:space="0" w:color="828282"/>
                            <w:right w:val="single" w:sz="6" w:space="0" w:color="828282"/>
                          </w:divBdr>
                          <w:divsChild>
                            <w:div w:id="1459638715">
                              <w:marLeft w:val="0"/>
                              <w:marRight w:val="0"/>
                              <w:marTop w:val="0"/>
                              <w:marBottom w:val="0"/>
                              <w:divBdr>
                                <w:top w:val="none" w:sz="0" w:space="0" w:color="auto"/>
                                <w:left w:val="none" w:sz="0" w:space="0" w:color="auto"/>
                                <w:bottom w:val="none" w:sz="0" w:space="0" w:color="auto"/>
                                <w:right w:val="none" w:sz="0" w:space="0" w:color="auto"/>
                              </w:divBdr>
                              <w:divsChild>
                                <w:div w:id="1337422932">
                                  <w:marLeft w:val="0"/>
                                  <w:marRight w:val="0"/>
                                  <w:marTop w:val="0"/>
                                  <w:marBottom w:val="0"/>
                                  <w:divBdr>
                                    <w:top w:val="none" w:sz="0" w:space="0" w:color="auto"/>
                                    <w:left w:val="none" w:sz="0" w:space="0" w:color="auto"/>
                                    <w:bottom w:val="none" w:sz="0" w:space="0" w:color="auto"/>
                                    <w:right w:val="none" w:sz="0" w:space="0" w:color="auto"/>
                                  </w:divBdr>
                                  <w:divsChild>
                                    <w:div w:id="1331905773">
                                      <w:marLeft w:val="0"/>
                                      <w:marRight w:val="0"/>
                                      <w:marTop w:val="0"/>
                                      <w:marBottom w:val="0"/>
                                      <w:divBdr>
                                        <w:top w:val="none" w:sz="0" w:space="0" w:color="auto"/>
                                        <w:left w:val="none" w:sz="0" w:space="0" w:color="auto"/>
                                        <w:bottom w:val="none" w:sz="0" w:space="0" w:color="auto"/>
                                        <w:right w:val="none" w:sz="0" w:space="0" w:color="auto"/>
                                      </w:divBdr>
                                      <w:divsChild>
                                        <w:div w:id="1899785669">
                                          <w:marLeft w:val="0"/>
                                          <w:marRight w:val="0"/>
                                          <w:marTop w:val="0"/>
                                          <w:marBottom w:val="0"/>
                                          <w:divBdr>
                                            <w:top w:val="none" w:sz="0" w:space="0" w:color="auto"/>
                                            <w:left w:val="none" w:sz="0" w:space="0" w:color="auto"/>
                                            <w:bottom w:val="none" w:sz="0" w:space="0" w:color="auto"/>
                                            <w:right w:val="none" w:sz="0" w:space="0" w:color="auto"/>
                                          </w:divBdr>
                                          <w:divsChild>
                                            <w:div w:id="1468937946">
                                              <w:marLeft w:val="0"/>
                                              <w:marRight w:val="0"/>
                                              <w:marTop w:val="0"/>
                                              <w:marBottom w:val="0"/>
                                              <w:divBdr>
                                                <w:top w:val="none" w:sz="0" w:space="0" w:color="auto"/>
                                                <w:left w:val="none" w:sz="0" w:space="0" w:color="auto"/>
                                                <w:bottom w:val="none" w:sz="0" w:space="0" w:color="auto"/>
                                                <w:right w:val="none" w:sz="0" w:space="0" w:color="auto"/>
                                              </w:divBdr>
                                              <w:divsChild>
                                                <w:div w:id="20555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941763">
      <w:bodyDiv w:val="1"/>
      <w:marLeft w:val="0"/>
      <w:marRight w:val="0"/>
      <w:marTop w:val="0"/>
      <w:marBottom w:val="0"/>
      <w:divBdr>
        <w:top w:val="none" w:sz="0" w:space="0" w:color="auto"/>
        <w:left w:val="none" w:sz="0" w:space="0" w:color="auto"/>
        <w:bottom w:val="none" w:sz="0" w:space="0" w:color="auto"/>
        <w:right w:val="none" w:sz="0" w:space="0" w:color="auto"/>
      </w:divBdr>
    </w:div>
    <w:div w:id="1605577217">
      <w:bodyDiv w:val="1"/>
      <w:marLeft w:val="0"/>
      <w:marRight w:val="0"/>
      <w:marTop w:val="0"/>
      <w:marBottom w:val="0"/>
      <w:divBdr>
        <w:top w:val="none" w:sz="0" w:space="0" w:color="auto"/>
        <w:left w:val="none" w:sz="0" w:space="0" w:color="auto"/>
        <w:bottom w:val="none" w:sz="0" w:space="0" w:color="auto"/>
        <w:right w:val="none" w:sz="0" w:space="0" w:color="auto"/>
      </w:divBdr>
      <w:divsChild>
        <w:div w:id="7491131">
          <w:marLeft w:val="0"/>
          <w:marRight w:val="0"/>
          <w:marTop w:val="0"/>
          <w:marBottom w:val="0"/>
          <w:divBdr>
            <w:top w:val="none" w:sz="0" w:space="0" w:color="auto"/>
            <w:left w:val="none" w:sz="0" w:space="0" w:color="auto"/>
            <w:bottom w:val="none" w:sz="0" w:space="0" w:color="auto"/>
            <w:right w:val="none" w:sz="0" w:space="0" w:color="auto"/>
          </w:divBdr>
          <w:divsChild>
            <w:div w:id="832139205">
              <w:marLeft w:val="0"/>
              <w:marRight w:val="0"/>
              <w:marTop w:val="0"/>
              <w:marBottom w:val="0"/>
              <w:divBdr>
                <w:top w:val="none" w:sz="0" w:space="0" w:color="auto"/>
                <w:left w:val="none" w:sz="0" w:space="0" w:color="auto"/>
                <w:bottom w:val="none" w:sz="0" w:space="0" w:color="auto"/>
                <w:right w:val="none" w:sz="0" w:space="0" w:color="auto"/>
              </w:divBdr>
              <w:divsChild>
                <w:div w:id="1218781037">
                  <w:marLeft w:val="0"/>
                  <w:marRight w:val="0"/>
                  <w:marTop w:val="0"/>
                  <w:marBottom w:val="0"/>
                  <w:divBdr>
                    <w:top w:val="none" w:sz="0" w:space="0" w:color="auto"/>
                    <w:left w:val="none" w:sz="0" w:space="0" w:color="auto"/>
                    <w:bottom w:val="none" w:sz="0" w:space="0" w:color="auto"/>
                    <w:right w:val="none" w:sz="0" w:space="0" w:color="auto"/>
                  </w:divBdr>
                  <w:divsChild>
                    <w:div w:id="1921476847">
                      <w:marLeft w:val="0"/>
                      <w:marRight w:val="0"/>
                      <w:marTop w:val="0"/>
                      <w:marBottom w:val="0"/>
                      <w:divBdr>
                        <w:top w:val="none" w:sz="0" w:space="0" w:color="auto"/>
                        <w:left w:val="none" w:sz="0" w:space="0" w:color="auto"/>
                        <w:bottom w:val="none" w:sz="0" w:space="0" w:color="auto"/>
                        <w:right w:val="none" w:sz="0" w:space="0" w:color="auto"/>
                      </w:divBdr>
                      <w:divsChild>
                        <w:div w:id="1051002643">
                          <w:marLeft w:val="0"/>
                          <w:marRight w:val="0"/>
                          <w:marTop w:val="0"/>
                          <w:marBottom w:val="0"/>
                          <w:divBdr>
                            <w:top w:val="single" w:sz="6" w:space="0" w:color="828282"/>
                            <w:left w:val="single" w:sz="6" w:space="0" w:color="828282"/>
                            <w:bottom w:val="single" w:sz="6" w:space="0" w:color="828282"/>
                            <w:right w:val="single" w:sz="6" w:space="0" w:color="828282"/>
                          </w:divBdr>
                          <w:divsChild>
                            <w:div w:id="210923833">
                              <w:marLeft w:val="0"/>
                              <w:marRight w:val="0"/>
                              <w:marTop w:val="0"/>
                              <w:marBottom w:val="0"/>
                              <w:divBdr>
                                <w:top w:val="none" w:sz="0" w:space="0" w:color="auto"/>
                                <w:left w:val="none" w:sz="0" w:space="0" w:color="auto"/>
                                <w:bottom w:val="none" w:sz="0" w:space="0" w:color="auto"/>
                                <w:right w:val="none" w:sz="0" w:space="0" w:color="auto"/>
                              </w:divBdr>
                              <w:divsChild>
                                <w:div w:id="1337922848">
                                  <w:marLeft w:val="0"/>
                                  <w:marRight w:val="0"/>
                                  <w:marTop w:val="0"/>
                                  <w:marBottom w:val="0"/>
                                  <w:divBdr>
                                    <w:top w:val="none" w:sz="0" w:space="0" w:color="auto"/>
                                    <w:left w:val="none" w:sz="0" w:space="0" w:color="auto"/>
                                    <w:bottom w:val="none" w:sz="0" w:space="0" w:color="auto"/>
                                    <w:right w:val="none" w:sz="0" w:space="0" w:color="auto"/>
                                  </w:divBdr>
                                  <w:divsChild>
                                    <w:div w:id="1409116830">
                                      <w:marLeft w:val="0"/>
                                      <w:marRight w:val="0"/>
                                      <w:marTop w:val="0"/>
                                      <w:marBottom w:val="0"/>
                                      <w:divBdr>
                                        <w:top w:val="none" w:sz="0" w:space="0" w:color="auto"/>
                                        <w:left w:val="none" w:sz="0" w:space="0" w:color="auto"/>
                                        <w:bottom w:val="none" w:sz="0" w:space="0" w:color="auto"/>
                                        <w:right w:val="none" w:sz="0" w:space="0" w:color="auto"/>
                                      </w:divBdr>
                                      <w:divsChild>
                                        <w:div w:id="72553719">
                                          <w:marLeft w:val="0"/>
                                          <w:marRight w:val="0"/>
                                          <w:marTop w:val="0"/>
                                          <w:marBottom w:val="0"/>
                                          <w:divBdr>
                                            <w:top w:val="none" w:sz="0" w:space="0" w:color="auto"/>
                                            <w:left w:val="none" w:sz="0" w:space="0" w:color="auto"/>
                                            <w:bottom w:val="none" w:sz="0" w:space="0" w:color="auto"/>
                                            <w:right w:val="none" w:sz="0" w:space="0" w:color="auto"/>
                                          </w:divBdr>
                                          <w:divsChild>
                                            <w:div w:id="859123168">
                                              <w:marLeft w:val="0"/>
                                              <w:marRight w:val="0"/>
                                              <w:marTop w:val="0"/>
                                              <w:marBottom w:val="0"/>
                                              <w:divBdr>
                                                <w:top w:val="none" w:sz="0" w:space="0" w:color="auto"/>
                                                <w:left w:val="none" w:sz="0" w:space="0" w:color="auto"/>
                                                <w:bottom w:val="none" w:sz="0" w:space="0" w:color="auto"/>
                                                <w:right w:val="none" w:sz="0" w:space="0" w:color="auto"/>
                                              </w:divBdr>
                                              <w:divsChild>
                                                <w:div w:id="20374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pra.gov.au/lifs/ReportingFramework/Pages/LAGIC-final-reporting-requirements-LI-October-2012.aspx" TargetMode="External"/><Relationship Id="rId2" Type="http://schemas.openxmlformats.org/officeDocument/2006/relationships/hyperlink" Target="http://www.apra.gov.au/CrossIndustry/Consultations/Documents/120806-letter-to-industry-LAGIC-proposed-changes-to-reporting-standards.pdf" TargetMode="External"/><Relationship Id="rId1" Type="http://schemas.openxmlformats.org/officeDocument/2006/relationships/hyperlink" Target="http://www.apra.gov.au/CrossIndustry/Consultations/Pages/LAGIC-Reporting-Requirements-June-20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4EF97-9C6C-425E-A7AF-CB09098B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&lt;&lt;enter title of instrument, including subtitle (if any)&gt;&gt;</vt:lpstr>
    </vt:vector>
  </TitlesOfParts>
  <Company>APRA</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&lt;&lt;enter title of instrument, including subtitle (if any)&gt;&gt;</dc:title>
  <dc:subject/>
  <dc:creator>vxkart</dc:creator>
  <cp:keywords/>
  <dc:description/>
  <cp:lastModifiedBy>turekk</cp:lastModifiedBy>
  <cp:revision>3</cp:revision>
  <cp:lastPrinted>2013-01-21T05:07:00Z</cp:lastPrinted>
  <dcterms:created xsi:type="dcterms:W3CDTF">2013-01-21T20:01:00Z</dcterms:created>
  <dcterms:modified xsi:type="dcterms:W3CDTF">2013-01-21T21:50:00Z</dcterms:modified>
</cp:coreProperties>
</file>