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Default="001936A5" w:rsidP="00674B00">
      <w:r>
        <w:t xml:space="preserve"> </w:t>
      </w:r>
      <w:r w:rsidR="00E40607"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744" w:rsidRPr="001409F1" w:rsidRDefault="000A7744">
      <w:pPr>
        <w:pStyle w:val="Title"/>
        <w:pBdr>
          <w:bottom w:val="single" w:sz="4" w:space="3" w:color="auto"/>
        </w:pBdr>
      </w:pPr>
      <w:bookmarkStart w:id="0" w:name="Citation"/>
      <w:r>
        <w:t xml:space="preserve">Telecommunications Labelling (Customer Equipment and Customer Cabling) Amendment Notice </w:t>
      </w:r>
      <w:r w:rsidR="00CE33D8">
        <w:fldChar w:fldCharType="begin"/>
      </w:r>
      <w:r w:rsidR="001A7324">
        <w:instrText xml:space="preserve"> REF year \* charformat </w:instrText>
      </w:r>
      <w:r w:rsidR="00CE33D8">
        <w:fldChar w:fldCharType="separate"/>
      </w:r>
      <w:r w:rsidR="00B86D20">
        <w:t>201</w:t>
      </w:r>
      <w:r w:rsidR="00CE33D8">
        <w:fldChar w:fldCharType="end"/>
      </w:r>
      <w:r w:rsidR="00153401">
        <w:t>3</w:t>
      </w:r>
      <w:r>
        <w:t xml:space="preserve"> (No.</w:t>
      </w:r>
      <w:r w:rsidR="00811A5C">
        <w:t> </w:t>
      </w:r>
      <w:r w:rsidR="00A830EC">
        <w:t>1</w:t>
      </w:r>
      <w:r>
        <w:t>)</w:t>
      </w:r>
      <w:bookmarkEnd w:id="0"/>
    </w:p>
    <w:p w:rsidR="000A7744" w:rsidRDefault="000A7744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Telecommunications Act 1997</w:t>
      </w:r>
    </w:p>
    <w:p w:rsidR="000A7744" w:rsidRPr="000A7744" w:rsidRDefault="000A7744">
      <w:pPr>
        <w:spacing w:before="360"/>
        <w:jc w:val="both"/>
      </w:pPr>
      <w:r>
        <w:t xml:space="preserve">The AUSTRALIAN COMMUNICATIONS AND MEDIA AUTHORITY makes this Notice under section 407 of the </w:t>
      </w:r>
      <w:r w:rsidRPr="000A7744">
        <w:rPr>
          <w:i/>
        </w:rPr>
        <w:t>Telecommunications Act 1997</w:t>
      </w:r>
      <w:r>
        <w:t>.</w:t>
      </w:r>
    </w:p>
    <w:p w:rsidR="000A7744" w:rsidRDefault="000A7744" w:rsidP="000A7744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 w:rsidR="00E828C6" w:rsidRPr="00E828C6">
        <w:rPr>
          <w:i/>
        </w:rPr>
        <w:t>18</w:t>
      </w:r>
      <w:r w:rsidR="00E828C6" w:rsidRPr="00E828C6">
        <w:rPr>
          <w:i/>
          <w:vertAlign w:val="superscript"/>
        </w:rPr>
        <w:t>th</w:t>
      </w:r>
      <w:r w:rsidR="00E828C6" w:rsidRPr="00E828C6">
        <w:rPr>
          <w:i/>
        </w:rPr>
        <w:t xml:space="preserve"> January</w:t>
      </w:r>
      <w:r w:rsidR="00E828C6">
        <w:t xml:space="preserve"> </w:t>
      </w:r>
      <w:bookmarkStart w:id="2" w:name="Year"/>
      <w:r>
        <w:t>20</w:t>
      </w:r>
      <w:r w:rsidR="00224FFD">
        <w:t>1</w:t>
      </w:r>
      <w:bookmarkEnd w:id="2"/>
      <w:r w:rsidR="00153401">
        <w:t>3</w:t>
      </w:r>
    </w:p>
    <w:p w:rsidR="000A7744" w:rsidRDefault="00E828C6">
      <w:pPr>
        <w:tabs>
          <w:tab w:val="right" w:pos="3686"/>
        </w:tabs>
        <w:spacing w:before="1200" w:after="600" w:line="300" w:lineRule="exact"/>
        <w:jc w:val="right"/>
      </w:pPr>
      <w:r w:rsidRPr="00E828C6">
        <w:rPr>
          <w:i/>
        </w:rPr>
        <w:t>Chris Chapman</w:t>
      </w:r>
      <w:r>
        <w:t xml:space="preserve"> </w:t>
      </w:r>
      <w:r>
        <w:br/>
        <w:t xml:space="preserve">[signed] </w:t>
      </w:r>
      <w:r>
        <w:br/>
      </w:r>
      <w:r w:rsidR="00E06A58">
        <w:t>Member</w:t>
      </w:r>
    </w:p>
    <w:p w:rsidR="000A7744" w:rsidRDefault="00E828C6">
      <w:pPr>
        <w:tabs>
          <w:tab w:val="right" w:pos="3686"/>
        </w:tabs>
        <w:spacing w:before="600" w:line="300" w:lineRule="exact"/>
        <w:jc w:val="right"/>
      </w:pPr>
      <w:r w:rsidRPr="00E828C6">
        <w:rPr>
          <w:i/>
        </w:rPr>
        <w:t xml:space="preserve">Richard </w:t>
      </w:r>
      <w:proofErr w:type="gramStart"/>
      <w:r w:rsidRPr="00E828C6">
        <w:rPr>
          <w:i/>
        </w:rPr>
        <w:t>Bean</w:t>
      </w:r>
      <w:proofErr w:type="gramEnd"/>
      <w:r>
        <w:br/>
      </w:r>
      <w:r w:rsidRPr="00E828C6">
        <w:t>[signed]</w:t>
      </w:r>
      <w:r>
        <w:rPr>
          <w:strike/>
        </w:rPr>
        <w:br/>
      </w:r>
      <w:r w:rsidR="00176221" w:rsidRPr="00E828C6">
        <w:rPr>
          <w:strike/>
        </w:rPr>
        <w:t>General Manager</w:t>
      </w:r>
      <w:r w:rsidR="00176221">
        <w:t xml:space="preserve"> / </w:t>
      </w:r>
      <w:r w:rsidR="00E06A58">
        <w:t>Member</w:t>
      </w:r>
    </w:p>
    <w:p w:rsidR="00F766C0" w:rsidRDefault="00F766C0">
      <w:pPr>
        <w:pBdr>
          <w:bottom w:val="single" w:sz="4" w:space="12" w:color="auto"/>
        </w:pBdr>
        <w:spacing w:line="240" w:lineRule="exact"/>
      </w:pPr>
      <w:bookmarkStart w:id="3" w:name="MinisterSign"/>
      <w:bookmarkStart w:id="4" w:name="Minister"/>
      <w:bookmarkEnd w:id="3"/>
    </w:p>
    <w:p w:rsidR="00F766C0" w:rsidRDefault="00F766C0">
      <w:pPr>
        <w:pBdr>
          <w:bottom w:val="single" w:sz="4" w:space="12" w:color="auto"/>
        </w:pBdr>
        <w:spacing w:line="240" w:lineRule="exact"/>
      </w:pPr>
    </w:p>
    <w:p w:rsidR="000A7744" w:rsidRDefault="000A7744">
      <w:pPr>
        <w:pBdr>
          <w:bottom w:val="single" w:sz="4" w:space="12" w:color="auto"/>
        </w:pBdr>
        <w:spacing w:line="240" w:lineRule="exact"/>
      </w:pPr>
      <w:r>
        <w:t>Australian Communications and Media Authority</w:t>
      </w:r>
      <w:bookmarkEnd w:id="4"/>
    </w:p>
    <w:p w:rsidR="000A7744" w:rsidRDefault="000A7744">
      <w:pPr>
        <w:pStyle w:val="SigningPageBreak"/>
        <w:sectPr w:rsidR="000A774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0A7744" w:rsidRDefault="000A7744" w:rsidP="00811A5C">
      <w:pPr>
        <w:pStyle w:val="A1"/>
        <w:pageBreakBefore/>
      </w:pPr>
      <w:r w:rsidRPr="001E0756">
        <w:rPr>
          <w:rStyle w:val="CharSectnoAm"/>
        </w:rPr>
        <w:lastRenderedPageBreak/>
        <w:t>1</w:t>
      </w:r>
      <w:r>
        <w:tab/>
        <w:t>Name of Notice</w:t>
      </w:r>
    </w:p>
    <w:p w:rsidR="000A7744" w:rsidRDefault="000A7744" w:rsidP="000A7744">
      <w:pPr>
        <w:pStyle w:val="A2"/>
      </w:pPr>
      <w:r>
        <w:tab/>
      </w:r>
      <w:r>
        <w:tab/>
        <w:t xml:space="preserve">This Notice is the </w:t>
      </w:r>
      <w:r w:rsidR="00CE33D8">
        <w:rPr>
          <w:i/>
        </w:rPr>
        <w:fldChar w:fldCharType="begin"/>
      </w:r>
      <w:r>
        <w:rPr>
          <w:i/>
        </w:rPr>
        <w:instrText xml:space="preserve"> REF Citation \* charformat </w:instrText>
      </w:r>
      <w:r w:rsidR="00CE33D8">
        <w:rPr>
          <w:i/>
        </w:rPr>
        <w:fldChar w:fldCharType="separate"/>
      </w:r>
      <w:r w:rsidR="00B86D20" w:rsidRPr="00B86D20">
        <w:rPr>
          <w:i/>
        </w:rPr>
        <w:t>Telecommunications Labelling (Customer Equipment and Customer Cabling) Amendment Notice 2013 (No. 1)</w:t>
      </w:r>
      <w:r w:rsidR="00CE33D8">
        <w:rPr>
          <w:i/>
        </w:rPr>
        <w:fldChar w:fldCharType="end"/>
      </w:r>
      <w:r>
        <w:t>.</w:t>
      </w:r>
    </w:p>
    <w:p w:rsidR="000A7744" w:rsidRDefault="000A7744" w:rsidP="000A7744">
      <w:pPr>
        <w:pStyle w:val="A1"/>
      </w:pPr>
      <w:r w:rsidRPr="001E0756">
        <w:rPr>
          <w:rStyle w:val="CharSectnoAm"/>
        </w:rPr>
        <w:t>2</w:t>
      </w:r>
      <w:r>
        <w:tab/>
        <w:t>Commencement</w:t>
      </w:r>
    </w:p>
    <w:p w:rsidR="003C0300" w:rsidRDefault="003C0300" w:rsidP="003C0300">
      <w:pPr>
        <w:pStyle w:val="A2"/>
      </w:pPr>
      <w:r>
        <w:tab/>
      </w:r>
      <w:r>
        <w:tab/>
        <w:t xml:space="preserve">This Notice commences on </w:t>
      </w:r>
      <w:r w:rsidR="00B26174">
        <w:t>1 March 2013</w:t>
      </w:r>
      <w:r w:rsidR="00810951">
        <w:t>.</w:t>
      </w:r>
    </w:p>
    <w:p w:rsidR="00923616" w:rsidRPr="00923616" w:rsidRDefault="00923616" w:rsidP="00923616">
      <w:pPr>
        <w:pStyle w:val="P1"/>
        <w:tabs>
          <w:tab w:val="clear" w:pos="1191"/>
        </w:tabs>
        <w:ind w:left="993" w:hanging="993"/>
        <w:rPr>
          <w:sz w:val="20"/>
          <w:szCs w:val="20"/>
        </w:rPr>
      </w:pPr>
      <w:r>
        <w:rPr>
          <w:i/>
        </w:rPr>
        <w:tab/>
      </w:r>
      <w:r w:rsidRPr="00923616">
        <w:rPr>
          <w:i/>
          <w:sz w:val="20"/>
          <w:szCs w:val="20"/>
        </w:rPr>
        <w:t>Note</w:t>
      </w:r>
      <w:r w:rsidRPr="00923616">
        <w:rPr>
          <w:i/>
          <w:sz w:val="20"/>
          <w:szCs w:val="20"/>
        </w:rPr>
        <w:tab/>
      </w:r>
      <w:r w:rsidR="00B26174">
        <w:rPr>
          <w:i/>
          <w:sz w:val="20"/>
          <w:szCs w:val="20"/>
        </w:rPr>
        <w:tab/>
      </w:r>
      <w:r w:rsidRPr="00923616">
        <w:rPr>
          <w:sz w:val="20"/>
          <w:szCs w:val="20"/>
        </w:rPr>
        <w:t xml:space="preserve">All legislative instruments and compilations are registered on the Federal Register of Legislative Instruments kept under the </w:t>
      </w:r>
      <w:r w:rsidRPr="00923616">
        <w:rPr>
          <w:i/>
          <w:sz w:val="20"/>
          <w:szCs w:val="20"/>
        </w:rPr>
        <w:t xml:space="preserve">Legislative Instruments Act 2003. </w:t>
      </w:r>
      <w:r w:rsidRPr="00923616">
        <w:rPr>
          <w:sz w:val="20"/>
          <w:szCs w:val="20"/>
        </w:rPr>
        <w:t xml:space="preserve">See </w:t>
      </w:r>
      <w:r w:rsidRPr="00923616">
        <w:rPr>
          <w:sz w:val="20"/>
          <w:szCs w:val="20"/>
          <w:u w:val="single"/>
        </w:rPr>
        <w:t>http://www.frli.gov.au</w:t>
      </w:r>
      <w:r w:rsidRPr="00923616">
        <w:rPr>
          <w:sz w:val="20"/>
          <w:szCs w:val="20"/>
        </w:rPr>
        <w:t>.</w:t>
      </w:r>
    </w:p>
    <w:p w:rsidR="000A7744" w:rsidRDefault="000A7744" w:rsidP="000A7744">
      <w:pPr>
        <w:pStyle w:val="A1"/>
      </w:pPr>
      <w:r w:rsidRPr="001E0756">
        <w:rPr>
          <w:rStyle w:val="CharSectnoAm"/>
        </w:rPr>
        <w:t>3</w:t>
      </w:r>
      <w:r>
        <w:tab/>
        <w:t xml:space="preserve">Amendment of </w:t>
      </w:r>
      <w:r w:rsidRPr="000A7744">
        <w:rPr>
          <w:i/>
        </w:rPr>
        <w:t>Telecommunications Labelling (Customer Equipment and Customer Cabling) Notice 2001</w:t>
      </w:r>
    </w:p>
    <w:p w:rsidR="000A7744" w:rsidRPr="000A7744" w:rsidRDefault="000A7744" w:rsidP="000A7744">
      <w:pPr>
        <w:pStyle w:val="A2"/>
      </w:pPr>
      <w:r>
        <w:tab/>
      </w:r>
      <w:r>
        <w:tab/>
        <w:t xml:space="preserve">Schedule 1 amends the </w:t>
      </w:r>
      <w:r w:rsidRPr="000A7744">
        <w:rPr>
          <w:i/>
        </w:rPr>
        <w:t>Telecommunications Labelling (Customer Equipment and Customer Cabling) Notice 2001</w:t>
      </w:r>
      <w:r>
        <w:t>.</w:t>
      </w:r>
    </w:p>
    <w:p w:rsidR="000A7744" w:rsidRDefault="000A7744">
      <w:pPr>
        <w:pStyle w:val="MainBodySectionBreak"/>
        <w:sectPr w:rsidR="000A7744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0A7744" w:rsidRDefault="000A7744">
      <w:pPr>
        <w:pStyle w:val="AS"/>
      </w:pPr>
      <w:r w:rsidRPr="001E0756">
        <w:rPr>
          <w:rStyle w:val="CharAmSchNo"/>
        </w:rPr>
        <w:lastRenderedPageBreak/>
        <w:t>Schedule 1</w:t>
      </w:r>
      <w:r>
        <w:tab/>
      </w:r>
      <w:r w:rsidRPr="001E0756">
        <w:rPr>
          <w:rStyle w:val="CharAmSchText"/>
        </w:rPr>
        <w:t>Amendments</w:t>
      </w:r>
    </w:p>
    <w:p w:rsidR="000A7744" w:rsidRDefault="000A7744">
      <w:pPr>
        <w:pStyle w:val="ASref"/>
      </w:pPr>
      <w:r>
        <w:t>(section 3)</w:t>
      </w:r>
    </w:p>
    <w:p w:rsidR="000571FB" w:rsidRDefault="000571FB" w:rsidP="000571FB">
      <w:pPr>
        <w:pStyle w:val="A1S"/>
      </w:pPr>
      <w:r>
        <w:t>[1]</w:t>
      </w:r>
      <w:r>
        <w:tab/>
        <w:t>Subsection 1.4</w:t>
      </w:r>
      <w:r w:rsidR="00214193">
        <w:t xml:space="preserve"> </w:t>
      </w:r>
      <w:r>
        <w:t>(1)</w:t>
      </w:r>
    </w:p>
    <w:p w:rsidR="000571FB" w:rsidRDefault="000571FB" w:rsidP="000571FB">
      <w:pPr>
        <w:pStyle w:val="A2S"/>
      </w:pPr>
      <w:r>
        <w:t xml:space="preserve">insert </w:t>
      </w:r>
    </w:p>
    <w:p w:rsidR="000571FB" w:rsidRPr="00F65BD7" w:rsidRDefault="000571FB" w:rsidP="000571FB">
      <w:pPr>
        <w:pStyle w:val="definition"/>
      </w:pPr>
      <w:r>
        <w:rPr>
          <w:b/>
          <w:i/>
        </w:rPr>
        <w:t>A-Tick</w:t>
      </w:r>
      <w:r w:rsidR="00942793">
        <w:rPr>
          <w:b/>
          <w:i/>
        </w:rPr>
        <w:t xml:space="preserve"> mark</w:t>
      </w:r>
      <w:r>
        <w:rPr>
          <w:b/>
          <w:i/>
        </w:rPr>
        <w:t xml:space="preserve"> </w:t>
      </w:r>
      <w:r>
        <w:t xml:space="preserve">means the mark set out in </w:t>
      </w:r>
      <w:r w:rsidR="00E92E0C">
        <w:t xml:space="preserve">Part 2 of </w:t>
      </w:r>
      <w:r>
        <w:t>Schedule 3.</w:t>
      </w:r>
    </w:p>
    <w:p w:rsidR="001E0756" w:rsidRPr="00064D5A" w:rsidRDefault="00064D5A" w:rsidP="001E0756">
      <w:pPr>
        <w:pStyle w:val="Header"/>
        <w:rPr>
          <w:vanish/>
        </w:rPr>
      </w:pPr>
      <w:r w:rsidRPr="00064D5A">
        <w:rPr>
          <w:rStyle w:val="CharAmSchPTNo"/>
          <w:vanish/>
        </w:rPr>
        <w:t xml:space="preserve"> </w:t>
      </w:r>
      <w:r w:rsidRPr="00064D5A">
        <w:rPr>
          <w:rStyle w:val="CharAmSchPTText"/>
          <w:vanish/>
        </w:rPr>
        <w:t xml:space="preserve"> </w:t>
      </w:r>
    </w:p>
    <w:p w:rsidR="00282518" w:rsidRPr="00282518" w:rsidRDefault="00282518" w:rsidP="00282518">
      <w:pPr>
        <w:pStyle w:val="A1S"/>
      </w:pPr>
      <w:r>
        <w:t>[2]</w:t>
      </w:r>
      <w:r>
        <w:tab/>
        <w:t>Subsection 1.4</w:t>
      </w:r>
      <w:r w:rsidR="00214193">
        <w:t xml:space="preserve"> </w:t>
      </w:r>
      <w:r>
        <w:t xml:space="preserve">(1), </w:t>
      </w:r>
      <w:r w:rsidR="005F4100">
        <w:t xml:space="preserve">paragraph (b) of </w:t>
      </w:r>
      <w:r>
        <w:t xml:space="preserve">definition of </w:t>
      </w:r>
      <w:r>
        <w:rPr>
          <w:i/>
        </w:rPr>
        <w:t xml:space="preserve">applicable standard </w:t>
      </w:r>
    </w:p>
    <w:p w:rsidR="00282518" w:rsidRDefault="00282518" w:rsidP="00282518">
      <w:pPr>
        <w:pStyle w:val="A2S"/>
      </w:pPr>
      <w:r>
        <w:t>omit</w:t>
      </w:r>
    </w:p>
    <w:p w:rsidR="00282518" w:rsidRPr="00F65BD7" w:rsidRDefault="00282518" w:rsidP="00282518">
      <w:pPr>
        <w:pStyle w:val="definition"/>
      </w:pPr>
      <w:r>
        <w:t>only</w:t>
      </w:r>
    </w:p>
    <w:p w:rsidR="00430720" w:rsidRDefault="00430720" w:rsidP="00282518">
      <w:pPr>
        <w:pStyle w:val="A1S"/>
      </w:pPr>
      <w:r>
        <w:t>[</w:t>
      </w:r>
      <w:r w:rsidR="001855A2">
        <w:t>3</w:t>
      </w:r>
      <w:r>
        <w:t>]</w:t>
      </w:r>
      <w:r>
        <w:tab/>
        <w:t>Subsection 1.4</w:t>
      </w:r>
      <w:r w:rsidR="00214193">
        <w:t xml:space="preserve"> </w:t>
      </w:r>
      <w:r>
        <w:t xml:space="preserve">(1), definition of </w:t>
      </w:r>
      <w:r>
        <w:rPr>
          <w:i/>
        </w:rPr>
        <w:t>compliance mark</w:t>
      </w:r>
    </w:p>
    <w:p w:rsidR="00430720" w:rsidRDefault="00430720" w:rsidP="00430720">
      <w:pPr>
        <w:pStyle w:val="A2S"/>
      </w:pPr>
      <w:r>
        <w:t xml:space="preserve">substitute </w:t>
      </w:r>
    </w:p>
    <w:p w:rsidR="00430720" w:rsidRPr="00F65BD7" w:rsidRDefault="00430720" w:rsidP="00430720">
      <w:pPr>
        <w:pStyle w:val="definition"/>
      </w:pPr>
      <w:r>
        <w:rPr>
          <w:b/>
          <w:i/>
        </w:rPr>
        <w:t xml:space="preserve">compliance mark </w:t>
      </w:r>
      <w:r>
        <w:t xml:space="preserve">means </w:t>
      </w:r>
      <w:r w:rsidR="00D80B21">
        <w:t xml:space="preserve">the </w:t>
      </w:r>
      <w:r w:rsidR="007E02A0">
        <w:t xml:space="preserve">A-Tick </w:t>
      </w:r>
      <w:r w:rsidR="00D80B21">
        <w:t xml:space="preserve">mark </w:t>
      </w:r>
      <w:r w:rsidR="007E02A0">
        <w:t>or the RCM</w:t>
      </w:r>
      <w:r>
        <w:t>.</w:t>
      </w:r>
    </w:p>
    <w:p w:rsidR="00D443E5" w:rsidRDefault="00D443E5" w:rsidP="00D443E5">
      <w:pPr>
        <w:pStyle w:val="A1S"/>
      </w:pPr>
      <w:r>
        <w:lastRenderedPageBreak/>
        <w:t>[</w:t>
      </w:r>
      <w:r w:rsidR="001855A2">
        <w:t>4</w:t>
      </w:r>
      <w:r>
        <w:t>]</w:t>
      </w:r>
      <w:r>
        <w:tab/>
        <w:t>Subsection 1.4</w:t>
      </w:r>
      <w:r w:rsidR="00214193">
        <w:t xml:space="preserve"> </w:t>
      </w:r>
      <w:r>
        <w:t xml:space="preserve">(1), definition of </w:t>
      </w:r>
      <w:r>
        <w:rPr>
          <w:i/>
        </w:rPr>
        <w:t>label</w:t>
      </w:r>
    </w:p>
    <w:p w:rsidR="00D443E5" w:rsidRDefault="00214193" w:rsidP="00D443E5">
      <w:pPr>
        <w:pStyle w:val="A2S"/>
      </w:pPr>
      <w:r>
        <w:t>omit</w:t>
      </w:r>
      <w:r w:rsidR="00D443E5">
        <w:t xml:space="preserve"> </w:t>
      </w:r>
    </w:p>
    <w:p w:rsidR="00430720" w:rsidRDefault="00430720" w:rsidP="00D443E5">
      <w:pPr>
        <w:pStyle w:val="A1S"/>
      </w:pPr>
      <w:r>
        <w:t>[</w:t>
      </w:r>
      <w:r w:rsidR="001855A2">
        <w:t>5</w:t>
      </w:r>
      <w:r>
        <w:t>]</w:t>
      </w:r>
      <w:r>
        <w:tab/>
        <w:t>Subsection 1.4</w:t>
      </w:r>
      <w:r w:rsidR="008B78EA">
        <w:t xml:space="preserve"> </w:t>
      </w:r>
      <w:r>
        <w:t>(1)</w:t>
      </w:r>
    </w:p>
    <w:p w:rsidR="00430720" w:rsidRDefault="00430720" w:rsidP="00430720">
      <w:pPr>
        <w:pStyle w:val="A2S"/>
      </w:pPr>
      <w:r>
        <w:t>insert</w:t>
      </w:r>
    </w:p>
    <w:p w:rsidR="00475597" w:rsidRDefault="00430720" w:rsidP="00475597">
      <w:pPr>
        <w:pStyle w:val="A3S"/>
        <w:ind w:left="964"/>
      </w:pPr>
      <w:proofErr w:type="gramStart"/>
      <w:r>
        <w:rPr>
          <w:b/>
          <w:i/>
        </w:rPr>
        <w:t>national</w:t>
      </w:r>
      <w:proofErr w:type="gramEnd"/>
      <w:r>
        <w:rPr>
          <w:b/>
          <w:i/>
        </w:rPr>
        <w:t xml:space="preserve"> database</w:t>
      </w:r>
      <w:r>
        <w:t xml:space="preserve"> </w:t>
      </w:r>
      <w:r w:rsidR="00475597">
        <w:t xml:space="preserve">means a database designated in writing by the ACMA for the purposes of Division 4.1A.   </w:t>
      </w:r>
    </w:p>
    <w:p w:rsidR="00B26174" w:rsidRPr="00923616" w:rsidRDefault="00475597" w:rsidP="00475597">
      <w:pPr>
        <w:pStyle w:val="definition"/>
        <w:rPr>
          <w:sz w:val="20"/>
          <w:szCs w:val="20"/>
        </w:rPr>
      </w:pPr>
      <w:r w:rsidRPr="00923616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 xml:space="preserve"> </w:t>
      </w:r>
      <w:r w:rsidRPr="00923616">
        <w:rPr>
          <w:i/>
          <w:sz w:val="20"/>
          <w:szCs w:val="20"/>
        </w:rPr>
        <w:tab/>
      </w:r>
      <w:r w:rsidRPr="00AF2B4A">
        <w:rPr>
          <w:sz w:val="20"/>
          <w:szCs w:val="20"/>
        </w:rPr>
        <w:t xml:space="preserve">A database may be designated by the ACMA for the purposes of </w:t>
      </w:r>
      <w:r w:rsidRPr="003E4F54">
        <w:rPr>
          <w:sz w:val="20"/>
          <w:szCs w:val="20"/>
        </w:rPr>
        <w:t xml:space="preserve">Division </w:t>
      </w:r>
      <w:r>
        <w:rPr>
          <w:sz w:val="20"/>
          <w:szCs w:val="20"/>
        </w:rPr>
        <w:t>4.1A</w:t>
      </w:r>
      <w:r w:rsidRPr="003E4F54">
        <w:rPr>
          <w:sz w:val="20"/>
          <w:szCs w:val="20"/>
        </w:rPr>
        <w:t xml:space="preserve"> </w:t>
      </w:r>
      <w:r w:rsidRPr="00AF2B4A">
        <w:rPr>
          <w:sz w:val="20"/>
          <w:szCs w:val="20"/>
        </w:rPr>
        <w:t>even if it forms part of another database or also serves purposes other than purposes provided for in this Notice</w:t>
      </w:r>
      <w:r w:rsidRPr="00923616">
        <w:rPr>
          <w:sz w:val="20"/>
          <w:szCs w:val="20"/>
        </w:rPr>
        <w:t>.</w:t>
      </w:r>
    </w:p>
    <w:p w:rsidR="008B4264" w:rsidRDefault="008B4264">
      <w:pPr>
        <w:pStyle w:val="A1S"/>
        <w:rPr>
          <w:i/>
        </w:rPr>
      </w:pPr>
      <w:r>
        <w:t>[6]</w:t>
      </w:r>
      <w:r>
        <w:tab/>
        <w:t>Subsection 1.4</w:t>
      </w:r>
      <w:r w:rsidR="00E66A9F">
        <w:t xml:space="preserve"> </w:t>
      </w:r>
      <w:r>
        <w:t xml:space="preserve">(1), definition of </w:t>
      </w:r>
      <w:r>
        <w:rPr>
          <w:i/>
        </w:rPr>
        <w:t>non-compliance label</w:t>
      </w:r>
    </w:p>
    <w:p w:rsidR="008B4264" w:rsidRPr="008B4264" w:rsidRDefault="008B4264" w:rsidP="008B4264">
      <w:pPr>
        <w:pStyle w:val="A2S"/>
      </w:pPr>
      <w:r w:rsidRPr="008B4264">
        <w:t>omit</w:t>
      </w:r>
    </w:p>
    <w:p w:rsidR="00970703" w:rsidRPr="00F03806" w:rsidRDefault="00FD0D45">
      <w:pPr>
        <w:pStyle w:val="A1S"/>
        <w:rPr>
          <w:b w:val="0"/>
        </w:rPr>
      </w:pPr>
      <w:r w:rsidRPr="00FD0D45">
        <w:t>[</w:t>
      </w:r>
      <w:r w:rsidR="008B4264">
        <w:t>7</w:t>
      </w:r>
      <w:r w:rsidRPr="00FD0D45">
        <w:t>]</w:t>
      </w:r>
      <w:r w:rsidRPr="00FD0D45">
        <w:tab/>
        <w:t>Subsection 1.4</w:t>
      </w:r>
      <w:r w:rsidR="00370879">
        <w:t xml:space="preserve"> </w:t>
      </w:r>
      <w:r w:rsidRPr="00FD0D45">
        <w:t>(1)</w:t>
      </w:r>
      <w:r w:rsidR="00F03806">
        <w:t xml:space="preserve">, </w:t>
      </w:r>
      <w:r w:rsidR="00F03806" w:rsidRPr="005A09CF">
        <w:t xml:space="preserve">definition of </w:t>
      </w:r>
      <w:r w:rsidR="00F03806" w:rsidRPr="005A09CF">
        <w:rPr>
          <w:i/>
        </w:rPr>
        <w:t>product identification code</w:t>
      </w:r>
    </w:p>
    <w:p w:rsidR="00682D5C" w:rsidRPr="00682D5C" w:rsidRDefault="00370879" w:rsidP="00430720">
      <w:pPr>
        <w:pStyle w:val="definition"/>
        <w:rPr>
          <w:i/>
        </w:rPr>
      </w:pPr>
      <w:r>
        <w:rPr>
          <w:i/>
        </w:rPr>
        <w:t>omit</w:t>
      </w:r>
      <w:r w:rsidR="00F03806">
        <w:rPr>
          <w:i/>
        </w:rPr>
        <w:t xml:space="preserve"> </w:t>
      </w:r>
    </w:p>
    <w:p w:rsidR="00430720" w:rsidRDefault="00430720" w:rsidP="00430720">
      <w:pPr>
        <w:pStyle w:val="A1S"/>
      </w:pPr>
      <w:r>
        <w:t>[</w:t>
      </w:r>
      <w:r w:rsidR="008B4264">
        <w:t>8</w:t>
      </w:r>
      <w:r>
        <w:t>]</w:t>
      </w:r>
      <w:r>
        <w:tab/>
        <w:t>Subsection 1.4</w:t>
      </w:r>
      <w:r w:rsidR="003E453E">
        <w:t xml:space="preserve"> </w:t>
      </w:r>
      <w:r>
        <w:t>(1)</w:t>
      </w:r>
    </w:p>
    <w:p w:rsidR="00430720" w:rsidRDefault="00C70918" w:rsidP="00430720">
      <w:pPr>
        <w:pStyle w:val="A2S"/>
      </w:pPr>
      <w:r>
        <w:t>i</w:t>
      </w:r>
      <w:r w:rsidR="00430720">
        <w:t>nsert</w:t>
      </w:r>
    </w:p>
    <w:p w:rsidR="00430720" w:rsidRPr="00430720" w:rsidRDefault="00430720" w:rsidP="00E92E0C">
      <w:pPr>
        <w:pStyle w:val="definition"/>
      </w:pPr>
      <w:r>
        <w:rPr>
          <w:b/>
          <w:bCs/>
          <w:i/>
          <w:iCs/>
        </w:rPr>
        <w:t>RCM</w:t>
      </w:r>
      <w:r>
        <w:t xml:space="preserve"> means the Regulatory Compliance Mark set out in </w:t>
      </w:r>
      <w:r w:rsidR="00E92E0C">
        <w:t xml:space="preserve">Part 1 of </w:t>
      </w:r>
      <w:r>
        <w:t>Schedule 3.</w:t>
      </w:r>
    </w:p>
    <w:p w:rsidR="00430720" w:rsidRDefault="00F41515" w:rsidP="00430720">
      <w:pPr>
        <w:pStyle w:val="A1S"/>
      </w:pPr>
      <w:r>
        <w:t>[</w:t>
      </w:r>
      <w:r w:rsidR="008B4264">
        <w:t>9</w:t>
      </w:r>
      <w:r w:rsidR="00430720">
        <w:t>]</w:t>
      </w:r>
      <w:r w:rsidR="00430720">
        <w:tab/>
        <w:t>Subsection 1.4</w:t>
      </w:r>
      <w:r w:rsidR="003E453E">
        <w:t xml:space="preserve"> </w:t>
      </w:r>
      <w:r w:rsidR="00430720">
        <w:t xml:space="preserve">(1), definition of </w:t>
      </w:r>
      <w:r w:rsidR="00430720" w:rsidRPr="00FA3DBF">
        <w:rPr>
          <w:i/>
        </w:rPr>
        <w:t>supplier code number</w:t>
      </w:r>
    </w:p>
    <w:p w:rsidR="00430720" w:rsidRDefault="00430720" w:rsidP="00430720">
      <w:pPr>
        <w:pStyle w:val="A2S"/>
      </w:pPr>
      <w:r>
        <w:t xml:space="preserve">substitute </w:t>
      </w:r>
    </w:p>
    <w:p w:rsidR="00430720" w:rsidRPr="00FA3DBF" w:rsidRDefault="00430720" w:rsidP="00430720">
      <w:pPr>
        <w:spacing w:before="80" w:line="260" w:lineRule="exact"/>
        <w:ind w:left="964"/>
        <w:jc w:val="both"/>
        <w:rPr>
          <w:lang w:eastAsia="en-US"/>
        </w:rPr>
      </w:pPr>
      <w:r w:rsidRPr="00FA3DBF">
        <w:rPr>
          <w:b/>
          <w:bCs/>
          <w:i/>
          <w:iCs/>
          <w:lang w:eastAsia="en-US"/>
        </w:rPr>
        <w:t>supplier code number</w:t>
      </w:r>
      <w:r w:rsidRPr="00FA3DBF">
        <w:rPr>
          <w:lang w:eastAsia="en-US"/>
        </w:rPr>
        <w:t xml:space="preserve"> means a code number issued to a person</w:t>
      </w:r>
      <w:r w:rsidRPr="00C25F67">
        <w:rPr>
          <w:lang w:eastAsia="en-US"/>
        </w:rPr>
        <w:t>:</w:t>
      </w:r>
      <w:r w:rsidRPr="00FA3DBF">
        <w:rPr>
          <w:lang w:eastAsia="en-US"/>
        </w:rPr>
        <w:t xml:space="preserve"> </w:t>
      </w:r>
    </w:p>
    <w:p w:rsidR="00430720" w:rsidRPr="00FA3DBF" w:rsidRDefault="00430720" w:rsidP="00430720">
      <w:pPr>
        <w:tabs>
          <w:tab w:val="right" w:pos="1191"/>
        </w:tabs>
        <w:spacing w:before="60" w:line="260" w:lineRule="exact"/>
        <w:ind w:left="1418" w:hanging="1418"/>
        <w:jc w:val="both"/>
        <w:rPr>
          <w:lang w:eastAsia="en-US"/>
        </w:rPr>
      </w:pPr>
      <w:r w:rsidRPr="00FA3DBF">
        <w:rPr>
          <w:lang w:eastAsia="en-US"/>
        </w:rPr>
        <w:tab/>
        <w:t>(a)</w:t>
      </w:r>
      <w:r w:rsidRPr="00FA3DBF">
        <w:rPr>
          <w:lang w:eastAsia="en-US"/>
        </w:rPr>
        <w:tab/>
        <w:t xml:space="preserve">in accordance with a notice made by </w:t>
      </w:r>
      <w:r>
        <w:rPr>
          <w:lang w:eastAsia="en-US"/>
        </w:rPr>
        <w:t xml:space="preserve">the </w:t>
      </w:r>
      <w:r w:rsidRPr="00FA3DBF">
        <w:rPr>
          <w:lang w:eastAsia="en-US"/>
        </w:rPr>
        <w:t xml:space="preserve">ACMA under section 407 of the </w:t>
      </w:r>
      <w:r>
        <w:rPr>
          <w:lang w:eastAsia="en-US"/>
        </w:rPr>
        <w:t>Act</w:t>
      </w:r>
      <w:r w:rsidRPr="00FA3DBF">
        <w:rPr>
          <w:lang w:eastAsia="en-US"/>
        </w:rPr>
        <w:t>; or</w:t>
      </w:r>
    </w:p>
    <w:p w:rsidR="00430720" w:rsidRPr="00FA3DBF" w:rsidRDefault="00430720" w:rsidP="00430720">
      <w:pPr>
        <w:tabs>
          <w:tab w:val="right" w:pos="1191"/>
        </w:tabs>
        <w:spacing w:before="60" w:line="260" w:lineRule="exact"/>
        <w:ind w:left="1418" w:hanging="1418"/>
        <w:jc w:val="both"/>
        <w:rPr>
          <w:lang w:eastAsia="en-US"/>
        </w:rPr>
      </w:pPr>
      <w:r w:rsidRPr="00FA3DBF">
        <w:rPr>
          <w:lang w:eastAsia="en-US"/>
        </w:rPr>
        <w:tab/>
        <w:t>(b)</w:t>
      </w:r>
      <w:r w:rsidRPr="00FA3DBF">
        <w:rPr>
          <w:lang w:eastAsia="en-US"/>
        </w:rPr>
        <w:tab/>
        <w:t xml:space="preserve">in accordance with </w:t>
      </w:r>
      <w:r>
        <w:rPr>
          <w:lang w:eastAsia="en-US"/>
        </w:rPr>
        <w:t xml:space="preserve">a notice made by the ACMA under section 182 of the </w:t>
      </w:r>
      <w:r w:rsidRPr="00430720">
        <w:rPr>
          <w:i/>
          <w:lang w:eastAsia="en-US"/>
        </w:rPr>
        <w:t>Radiocommunications Act 1992</w:t>
      </w:r>
      <w:r w:rsidRPr="00FA3DBF">
        <w:rPr>
          <w:lang w:eastAsia="en-US"/>
        </w:rPr>
        <w:t>; or</w:t>
      </w:r>
    </w:p>
    <w:p w:rsidR="00430720" w:rsidRPr="00FA3DBF" w:rsidRDefault="00430720" w:rsidP="00430720">
      <w:pPr>
        <w:tabs>
          <w:tab w:val="right" w:pos="1191"/>
        </w:tabs>
        <w:spacing w:before="60" w:line="260" w:lineRule="exact"/>
        <w:ind w:left="1418" w:hanging="1418"/>
        <w:jc w:val="both"/>
        <w:rPr>
          <w:lang w:eastAsia="en-US"/>
        </w:rPr>
      </w:pPr>
      <w:r w:rsidRPr="00FA3DBF">
        <w:rPr>
          <w:lang w:eastAsia="en-US"/>
        </w:rPr>
        <w:tab/>
        <w:t>(c)</w:t>
      </w:r>
      <w:r w:rsidRPr="00FA3DBF">
        <w:rPr>
          <w:lang w:eastAsia="en-US"/>
        </w:rPr>
        <w:tab/>
        <w:t>by Standards Australia International Limited under AS/NZS 4417.</w:t>
      </w:r>
    </w:p>
    <w:p w:rsidR="00EF48F3" w:rsidRDefault="00EF48F3" w:rsidP="00EF48F3">
      <w:pPr>
        <w:pStyle w:val="A1S"/>
      </w:pPr>
      <w:r>
        <w:t>[</w:t>
      </w:r>
      <w:r w:rsidR="008B4264">
        <w:t>10</w:t>
      </w:r>
      <w:r>
        <w:t>]</w:t>
      </w:r>
      <w:r>
        <w:tab/>
        <w:t>Subsection 1.5</w:t>
      </w:r>
      <w:r w:rsidR="003E453E">
        <w:t xml:space="preserve"> </w:t>
      </w:r>
      <w:r>
        <w:t>(7)</w:t>
      </w:r>
    </w:p>
    <w:p w:rsidR="00EF48F3" w:rsidRDefault="00EF48F3" w:rsidP="00EF48F3">
      <w:pPr>
        <w:pStyle w:val="A2S"/>
      </w:pPr>
      <w:r>
        <w:t>substitute</w:t>
      </w:r>
    </w:p>
    <w:p w:rsidR="007B3611" w:rsidRDefault="00DC74C2">
      <w:pPr>
        <w:pStyle w:val="R1"/>
        <w:keepLines w:val="0"/>
        <w:rPr>
          <w:color w:val="000000"/>
        </w:rPr>
      </w:pPr>
      <w:r>
        <w:rPr>
          <w:color w:val="000000"/>
        </w:rPr>
        <w:tab/>
      </w:r>
      <w:r w:rsidR="005779A4" w:rsidRPr="005779A4">
        <w:rPr>
          <w:color w:val="000000"/>
        </w:rPr>
        <w:t>(7)</w:t>
      </w:r>
      <w:r w:rsidR="005779A4" w:rsidRPr="005779A4">
        <w:rPr>
          <w:color w:val="000000"/>
        </w:rPr>
        <w:tab/>
        <w:t xml:space="preserve">If a compliance label is not applied to the item because of subsection 3.6 (3) or (4), the compliance records include the records mentioned in subsection 3.6 (6).  </w:t>
      </w:r>
    </w:p>
    <w:p w:rsidR="000D564F" w:rsidRDefault="000D564F" w:rsidP="00EF48F3">
      <w:pPr>
        <w:pStyle w:val="A1S"/>
      </w:pPr>
      <w:r>
        <w:t>[</w:t>
      </w:r>
      <w:r w:rsidR="00EF48F3">
        <w:t>1</w:t>
      </w:r>
      <w:r w:rsidR="008B4264">
        <w:t>1</w:t>
      </w:r>
      <w:r>
        <w:t>]</w:t>
      </w:r>
      <w:r>
        <w:tab/>
      </w:r>
      <w:r w:rsidR="00BE008C">
        <w:t xml:space="preserve">Paragraph </w:t>
      </w:r>
      <w:r>
        <w:t>2A.</w:t>
      </w:r>
      <w:r w:rsidR="00BE008C">
        <w:t>2 (a)</w:t>
      </w:r>
    </w:p>
    <w:p w:rsidR="000D564F" w:rsidRDefault="00BE008C" w:rsidP="001855A2">
      <w:pPr>
        <w:pStyle w:val="A2S"/>
        <w:keepNext w:val="0"/>
      </w:pPr>
      <w:r>
        <w:t>s</w:t>
      </w:r>
      <w:r w:rsidR="000D564F">
        <w:t>ubstitute</w:t>
      </w:r>
    </w:p>
    <w:p w:rsidR="00BE008C" w:rsidRPr="00FA3DBF" w:rsidRDefault="00BE008C" w:rsidP="00BE008C">
      <w:pPr>
        <w:tabs>
          <w:tab w:val="right" w:pos="1191"/>
        </w:tabs>
        <w:spacing w:before="60" w:line="260" w:lineRule="exact"/>
        <w:ind w:left="1418" w:hanging="1418"/>
        <w:jc w:val="both"/>
        <w:rPr>
          <w:lang w:eastAsia="en-US"/>
        </w:rPr>
      </w:pPr>
      <w:r w:rsidRPr="00FA3DBF">
        <w:rPr>
          <w:lang w:eastAsia="en-US"/>
        </w:rPr>
        <w:tab/>
        <w:t>(a)</w:t>
      </w:r>
      <w:r w:rsidRPr="00FA3DBF">
        <w:rPr>
          <w:lang w:eastAsia="en-US"/>
        </w:rPr>
        <w:tab/>
      </w:r>
      <w:r>
        <w:rPr>
          <w:lang w:eastAsia="en-US"/>
        </w:rPr>
        <w:t xml:space="preserve">has complied with the requirements set out in section 2A.3; </w:t>
      </w:r>
      <w:r w:rsidR="00E5302C">
        <w:rPr>
          <w:lang w:eastAsia="en-US"/>
        </w:rPr>
        <w:t xml:space="preserve">and </w:t>
      </w:r>
    </w:p>
    <w:p w:rsidR="00BE008C" w:rsidRDefault="00BE008C" w:rsidP="00BE008C">
      <w:pPr>
        <w:pStyle w:val="A1S"/>
      </w:pPr>
      <w:r>
        <w:t>[</w:t>
      </w:r>
      <w:r w:rsidR="008B4264">
        <w:t>12</w:t>
      </w:r>
      <w:r>
        <w:t>]</w:t>
      </w:r>
      <w:r>
        <w:tab/>
      </w:r>
      <w:r w:rsidR="00B13667">
        <w:t xml:space="preserve">Section </w:t>
      </w:r>
      <w:r>
        <w:t xml:space="preserve">2A.3 </w:t>
      </w:r>
    </w:p>
    <w:p w:rsidR="00BE008C" w:rsidRPr="00BE008C" w:rsidRDefault="00BE008C" w:rsidP="00BE008C">
      <w:pPr>
        <w:pStyle w:val="A2S"/>
        <w:keepNext w:val="0"/>
      </w:pPr>
      <w:r>
        <w:t>substitute</w:t>
      </w:r>
    </w:p>
    <w:p w:rsidR="00F66039" w:rsidRPr="0076781C" w:rsidRDefault="00FC2785">
      <w:pPr>
        <w:keepNext/>
        <w:autoSpaceDE w:val="0"/>
        <w:autoSpaceDN w:val="0"/>
        <w:adjustRightInd w:val="0"/>
        <w:spacing w:before="120"/>
      </w:pPr>
      <w:r w:rsidRPr="0076781C">
        <w:rPr>
          <w:rFonts w:ascii="Arial" w:hAnsi="Arial" w:cs="Arial"/>
          <w:b/>
          <w:bCs/>
        </w:rPr>
        <w:t>2A.3</w:t>
      </w:r>
      <w:r w:rsidRPr="0076781C">
        <w:rPr>
          <w:rFonts w:ascii="Arial" w:hAnsi="Arial" w:cs="Arial"/>
          <w:b/>
          <w:bCs/>
        </w:rPr>
        <w:tab/>
      </w:r>
      <w:r w:rsidR="00BE008C" w:rsidRPr="0076781C">
        <w:rPr>
          <w:rFonts w:ascii="Arial" w:hAnsi="Arial" w:cs="Arial"/>
          <w:b/>
          <w:bCs/>
        </w:rPr>
        <w:t xml:space="preserve">Supply of exempt items without a </w:t>
      </w:r>
      <w:r w:rsidRPr="0076781C">
        <w:rPr>
          <w:rFonts w:ascii="Arial" w:hAnsi="Arial" w:cs="Arial"/>
          <w:b/>
          <w:bCs/>
        </w:rPr>
        <w:t xml:space="preserve">compliance label </w:t>
      </w:r>
    </w:p>
    <w:p w:rsidR="00E7299C" w:rsidRDefault="00E7299C" w:rsidP="00E7299C">
      <w:pPr>
        <w:pStyle w:val="R1"/>
        <w:keepLines w:val="0"/>
        <w:tabs>
          <w:tab w:val="clear" w:pos="794"/>
          <w:tab w:val="right" w:pos="784"/>
        </w:tabs>
      </w:pPr>
      <w:r w:rsidRPr="0076781C">
        <w:rPr>
          <w:color w:val="000000"/>
        </w:rPr>
        <w:tab/>
        <w:t>(1)</w:t>
      </w:r>
      <w:r w:rsidRPr="0076781C">
        <w:rPr>
          <w:color w:val="000000"/>
        </w:rPr>
        <w:tab/>
      </w:r>
      <w:r w:rsidR="00BE008C" w:rsidRPr="0076781C">
        <w:rPr>
          <w:color w:val="000000"/>
        </w:rPr>
        <w:t>A</w:t>
      </w:r>
      <w:r w:rsidR="000D564F" w:rsidRPr="0076781C">
        <w:rPr>
          <w:color w:val="000000"/>
        </w:rPr>
        <w:t xml:space="preserve"> supplier </w:t>
      </w:r>
      <w:r w:rsidR="00BE008C" w:rsidRPr="0076781C">
        <w:rPr>
          <w:color w:val="000000"/>
        </w:rPr>
        <w:t xml:space="preserve">must, before </w:t>
      </w:r>
      <w:r w:rsidR="0076781C" w:rsidRPr="0076781C">
        <w:rPr>
          <w:color w:val="000000"/>
        </w:rPr>
        <w:t xml:space="preserve">supplying an </w:t>
      </w:r>
      <w:r w:rsidR="00BE008C" w:rsidRPr="0076781C">
        <w:rPr>
          <w:color w:val="000000"/>
        </w:rPr>
        <w:t xml:space="preserve">exempt item without a compliance label, </w:t>
      </w:r>
      <w:r w:rsidR="00CE1E72" w:rsidRPr="0076781C">
        <w:t xml:space="preserve">give the ACMA </w:t>
      </w:r>
      <w:r w:rsidR="0076781C" w:rsidRPr="0076781C">
        <w:t xml:space="preserve">a </w:t>
      </w:r>
      <w:r w:rsidR="00CE1E72" w:rsidRPr="0076781C">
        <w:t xml:space="preserve">written notice </w:t>
      </w:r>
      <w:r w:rsidR="00232DD8">
        <w:t xml:space="preserve">that it will be a supplier of exempt items that do not bear a compliance label </w:t>
      </w:r>
      <w:r w:rsidR="00CE1E72" w:rsidRPr="0076781C">
        <w:t>and:</w:t>
      </w:r>
    </w:p>
    <w:p w:rsidR="00A66C7A" w:rsidRPr="0076781C" w:rsidRDefault="00E7299C" w:rsidP="00E7299C">
      <w:pPr>
        <w:pStyle w:val="P1"/>
        <w:keepLines w:val="0"/>
      </w:pPr>
      <w:r w:rsidRPr="0076781C">
        <w:tab/>
        <w:t>(a)</w:t>
      </w:r>
      <w:r w:rsidRPr="0076781C">
        <w:tab/>
      </w:r>
      <w:r w:rsidR="0076781C" w:rsidRPr="0076781C">
        <w:t xml:space="preserve">be </w:t>
      </w:r>
      <w:r w:rsidR="00A66C7A" w:rsidRPr="0076781C">
        <w:t>register</w:t>
      </w:r>
      <w:r w:rsidR="0076781C" w:rsidRPr="0076781C">
        <w:t>ed</w:t>
      </w:r>
      <w:r w:rsidR="00A66C7A" w:rsidRPr="0076781C">
        <w:t xml:space="preserve"> on the national database</w:t>
      </w:r>
      <w:r w:rsidR="00117141" w:rsidRPr="0076781C">
        <w:t xml:space="preserve"> in accordance with section 4.2A</w:t>
      </w:r>
      <w:r w:rsidR="00A66C7A" w:rsidRPr="0076781C">
        <w:t xml:space="preserve">; or </w:t>
      </w:r>
    </w:p>
    <w:p w:rsidR="00E7299C" w:rsidRPr="0076781C" w:rsidRDefault="00E7299C" w:rsidP="00E7299C">
      <w:pPr>
        <w:pStyle w:val="P1"/>
        <w:keepLines w:val="0"/>
      </w:pPr>
      <w:r w:rsidRPr="0076781C">
        <w:tab/>
        <w:t>(b)</w:t>
      </w:r>
      <w:r w:rsidRPr="0076781C">
        <w:tab/>
      </w:r>
      <w:r w:rsidR="00A66C7A" w:rsidRPr="0076781C">
        <w:t>if the ACMA has not designated in writing a national database for the purposes of Division 4.1A–</w:t>
      </w:r>
      <w:r w:rsidR="00DC74C2">
        <w:t xml:space="preserve"> </w:t>
      </w:r>
      <w:r w:rsidR="0076781C" w:rsidRPr="0076781C">
        <w:t xml:space="preserve">have obtained </w:t>
      </w:r>
      <w:r w:rsidR="00A66C7A" w:rsidRPr="0076781C">
        <w:t xml:space="preserve">a supplier code number from the ACMA. </w:t>
      </w:r>
    </w:p>
    <w:p w:rsidR="00BE008C" w:rsidRPr="0076781C" w:rsidRDefault="00357BE8" w:rsidP="00BE008C">
      <w:pPr>
        <w:pStyle w:val="R1"/>
        <w:keepLines w:val="0"/>
        <w:tabs>
          <w:tab w:val="clear" w:pos="794"/>
          <w:tab w:val="right" w:pos="784"/>
        </w:tabs>
        <w:rPr>
          <w:color w:val="000000"/>
        </w:rPr>
      </w:pPr>
      <w:r w:rsidRPr="0076781C">
        <w:rPr>
          <w:color w:val="000000"/>
        </w:rPr>
        <w:tab/>
        <w:t>(</w:t>
      </w:r>
      <w:r w:rsidR="00CE02CC">
        <w:rPr>
          <w:color w:val="000000"/>
        </w:rPr>
        <w:t>2</w:t>
      </w:r>
      <w:r w:rsidRPr="0076781C">
        <w:rPr>
          <w:color w:val="000000"/>
        </w:rPr>
        <w:t>)</w:t>
      </w:r>
      <w:r w:rsidRPr="0076781C">
        <w:rPr>
          <w:color w:val="000000"/>
        </w:rPr>
        <w:tab/>
      </w:r>
      <w:r w:rsidR="00BE008C" w:rsidRPr="0076781C">
        <w:rPr>
          <w:color w:val="000000"/>
        </w:rPr>
        <w:t xml:space="preserve">A supplier is only required to give the ACMA </w:t>
      </w:r>
      <w:r w:rsidR="0076781C" w:rsidRPr="0076781C">
        <w:rPr>
          <w:color w:val="000000"/>
        </w:rPr>
        <w:t xml:space="preserve">one </w:t>
      </w:r>
      <w:r w:rsidR="00BE008C" w:rsidRPr="0076781C">
        <w:rPr>
          <w:color w:val="000000"/>
        </w:rPr>
        <w:t xml:space="preserve">written notice </w:t>
      </w:r>
      <w:r w:rsidR="0076781C" w:rsidRPr="0076781C">
        <w:rPr>
          <w:color w:val="000000"/>
        </w:rPr>
        <w:t xml:space="preserve">under </w:t>
      </w:r>
      <w:r w:rsidR="0076781C">
        <w:rPr>
          <w:color w:val="000000"/>
        </w:rPr>
        <w:t xml:space="preserve">subsection </w:t>
      </w:r>
      <w:r w:rsidR="0076781C" w:rsidRPr="0076781C">
        <w:rPr>
          <w:color w:val="000000"/>
        </w:rPr>
        <w:t xml:space="preserve">(1) even if the supplier supplies more than one type of exempt item without a compliance label. </w:t>
      </w:r>
    </w:p>
    <w:p w:rsidR="00F66039" w:rsidRPr="0076781C" w:rsidRDefault="00BE008C" w:rsidP="00BE008C">
      <w:pPr>
        <w:pStyle w:val="R1"/>
        <w:keepLines w:val="0"/>
        <w:tabs>
          <w:tab w:val="clear" w:pos="794"/>
          <w:tab w:val="right" w:pos="784"/>
        </w:tabs>
        <w:rPr>
          <w:color w:val="000000"/>
        </w:rPr>
      </w:pPr>
      <w:r w:rsidRPr="0076781C">
        <w:rPr>
          <w:color w:val="000000"/>
        </w:rPr>
        <w:tab/>
        <w:t>(</w:t>
      </w:r>
      <w:r w:rsidR="00CE02CC">
        <w:rPr>
          <w:color w:val="000000"/>
        </w:rPr>
        <w:t>3</w:t>
      </w:r>
      <w:r w:rsidRPr="0076781C">
        <w:rPr>
          <w:color w:val="000000"/>
        </w:rPr>
        <w:t>)</w:t>
      </w:r>
      <w:r w:rsidRPr="0076781C">
        <w:rPr>
          <w:color w:val="000000"/>
        </w:rPr>
        <w:tab/>
      </w:r>
      <w:r w:rsidR="00A66C7A" w:rsidRPr="0076781C">
        <w:t>The written notice of intention must be in a form approved by the ACMA.</w:t>
      </w:r>
    </w:p>
    <w:p w:rsidR="00F66039" w:rsidRDefault="00492CAD">
      <w:pPr>
        <w:pStyle w:val="definition"/>
        <w:rPr>
          <w:sz w:val="20"/>
          <w:szCs w:val="20"/>
        </w:rPr>
      </w:pPr>
      <w:r w:rsidRPr="0076781C">
        <w:rPr>
          <w:i/>
          <w:sz w:val="20"/>
          <w:szCs w:val="20"/>
        </w:rPr>
        <w:t>Note</w:t>
      </w:r>
      <w:r w:rsidRPr="0076781C">
        <w:rPr>
          <w:sz w:val="20"/>
          <w:szCs w:val="20"/>
        </w:rPr>
        <w:t xml:space="preserve"> The ACMA makes approved forms available on its website.</w:t>
      </w:r>
      <w:r w:rsidR="00DE734F">
        <w:rPr>
          <w:sz w:val="20"/>
          <w:szCs w:val="20"/>
        </w:rPr>
        <w:t xml:space="preserve"> </w:t>
      </w:r>
    </w:p>
    <w:p w:rsidR="007B3611" w:rsidRDefault="005779A4">
      <w:pPr>
        <w:pStyle w:val="definition"/>
        <w:spacing w:before="240"/>
        <w:rPr>
          <w:rFonts w:ascii="Arial" w:hAnsi="Arial" w:cs="Arial"/>
          <w:i/>
        </w:rPr>
      </w:pPr>
      <w:r w:rsidRPr="005779A4">
        <w:rPr>
          <w:rFonts w:ascii="Arial" w:hAnsi="Arial" w:cs="Arial"/>
          <w:i/>
        </w:rPr>
        <w:t>Transitional arrangements</w:t>
      </w:r>
    </w:p>
    <w:p w:rsidR="007637E9" w:rsidRDefault="007637E9" w:rsidP="007637E9">
      <w:pPr>
        <w:pStyle w:val="R1"/>
        <w:keepLines w:val="0"/>
        <w:tabs>
          <w:tab w:val="clear" w:pos="794"/>
          <w:tab w:val="right" w:pos="784"/>
        </w:tabs>
      </w:pPr>
      <w:r>
        <w:rPr>
          <w:color w:val="000000"/>
        </w:rPr>
        <w:tab/>
      </w:r>
      <w:r w:rsidRPr="0076781C">
        <w:rPr>
          <w:color w:val="000000"/>
        </w:rPr>
        <w:t>(</w:t>
      </w:r>
      <w:r>
        <w:rPr>
          <w:color w:val="000000"/>
        </w:rPr>
        <w:t>4</w:t>
      </w:r>
      <w:r w:rsidRPr="0076781C">
        <w:rPr>
          <w:color w:val="000000"/>
        </w:rPr>
        <w:t>)</w:t>
      </w:r>
      <w:r w:rsidRPr="0076781C">
        <w:rPr>
          <w:color w:val="000000"/>
        </w:rPr>
        <w:tab/>
      </w:r>
      <w:r>
        <w:t>A supplier who</w:t>
      </w:r>
      <w:r w:rsidR="00107563">
        <w:t>, before the commenc</w:t>
      </w:r>
      <w:r w:rsidR="0031570B">
        <w:t>e</w:t>
      </w:r>
      <w:r w:rsidR="00107563">
        <w:t>ment day,</w:t>
      </w:r>
      <w:r>
        <w:t xml:space="preserve"> gave the ACMA a written notice in relation to an exempt item under the former notice provision is taken to have complied with </w:t>
      </w:r>
      <w:r w:rsidR="006A2748">
        <w:t xml:space="preserve">the requirement in </w:t>
      </w:r>
      <w:r>
        <w:t>subsection (1)</w:t>
      </w:r>
      <w:r w:rsidR="006A2748">
        <w:t xml:space="preserve"> to give the ACMA a written notice</w:t>
      </w:r>
      <w:r>
        <w:t>.</w:t>
      </w:r>
    </w:p>
    <w:p w:rsidR="007637E9" w:rsidRDefault="007637E9" w:rsidP="007637E9">
      <w:pPr>
        <w:pStyle w:val="R1"/>
        <w:keepLines w:val="0"/>
        <w:tabs>
          <w:tab w:val="clear" w:pos="794"/>
          <w:tab w:val="right" w:pos="784"/>
        </w:tabs>
      </w:pPr>
      <w:r>
        <w:rPr>
          <w:color w:val="000000"/>
        </w:rPr>
        <w:tab/>
      </w:r>
      <w:r w:rsidRPr="0076781C">
        <w:rPr>
          <w:color w:val="000000"/>
        </w:rPr>
        <w:t>(</w:t>
      </w:r>
      <w:r>
        <w:rPr>
          <w:color w:val="000000"/>
        </w:rPr>
        <w:t>5</w:t>
      </w:r>
      <w:r w:rsidRPr="0076781C">
        <w:rPr>
          <w:color w:val="000000"/>
        </w:rPr>
        <w:t>)</w:t>
      </w:r>
      <w:r w:rsidRPr="0076781C">
        <w:rPr>
          <w:color w:val="000000"/>
        </w:rPr>
        <w:tab/>
      </w:r>
      <w:r>
        <w:t>In this section:</w:t>
      </w:r>
    </w:p>
    <w:p w:rsidR="00107563" w:rsidRDefault="007637E9">
      <w:pPr>
        <w:pStyle w:val="R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107563">
        <w:rPr>
          <w:b/>
          <w:i/>
          <w:color w:val="000000"/>
        </w:rPr>
        <w:t>commenc</w:t>
      </w:r>
      <w:r w:rsidR="005C6503">
        <w:rPr>
          <w:b/>
          <w:i/>
          <w:color w:val="000000"/>
        </w:rPr>
        <w:t>e</w:t>
      </w:r>
      <w:r w:rsidR="00107563">
        <w:rPr>
          <w:b/>
          <w:i/>
          <w:color w:val="000000"/>
        </w:rPr>
        <w:t>ment day</w:t>
      </w:r>
      <w:r w:rsidR="00107563">
        <w:rPr>
          <w:color w:val="000000"/>
        </w:rPr>
        <w:t xml:space="preserve"> means the day </w:t>
      </w:r>
      <w:r w:rsidR="00107563">
        <w:t xml:space="preserve">the </w:t>
      </w:r>
      <w:r w:rsidR="00107563" w:rsidRPr="007637E9">
        <w:rPr>
          <w:i/>
        </w:rPr>
        <w:t>Telecommunications Labelling (Customer Equipment and Customer Cabling) Amendment Notice 201</w:t>
      </w:r>
      <w:r w:rsidR="00153401">
        <w:rPr>
          <w:i/>
        </w:rPr>
        <w:t>3</w:t>
      </w:r>
      <w:r w:rsidR="00107563" w:rsidRPr="007637E9">
        <w:rPr>
          <w:i/>
        </w:rPr>
        <w:t xml:space="preserve"> (No. 1)</w:t>
      </w:r>
      <w:r w:rsidR="00107563">
        <w:t xml:space="preserve"> commences.</w:t>
      </w:r>
    </w:p>
    <w:p w:rsidR="007B3611" w:rsidRDefault="00107563">
      <w:pPr>
        <w:pStyle w:val="R2"/>
      </w:pPr>
      <w:r>
        <w:rPr>
          <w:color w:val="000000"/>
        </w:rPr>
        <w:tab/>
      </w:r>
      <w:r>
        <w:rPr>
          <w:color w:val="000000"/>
        </w:rPr>
        <w:tab/>
      </w:r>
      <w:r w:rsidR="005779A4" w:rsidRPr="005779A4">
        <w:rPr>
          <w:b/>
          <w:i/>
          <w:color w:val="000000"/>
        </w:rPr>
        <w:t>former notice provision</w:t>
      </w:r>
      <w:r w:rsidR="007637E9">
        <w:rPr>
          <w:color w:val="000000"/>
        </w:rPr>
        <w:t xml:space="preserve"> means </w:t>
      </w:r>
      <w:r w:rsidR="007637E9">
        <w:t>paragraph 2A.3 (1) (</w:t>
      </w:r>
      <w:r w:rsidR="00B13667">
        <w:t>a</w:t>
      </w:r>
      <w:r w:rsidR="007637E9">
        <w:t xml:space="preserve">) of the </w:t>
      </w:r>
      <w:r w:rsidR="007637E9" w:rsidRPr="000A7744">
        <w:rPr>
          <w:i/>
        </w:rPr>
        <w:t>Telecommunications Labelling (Customer Equipment and Customer Cabling) Notice 2001</w:t>
      </w:r>
      <w:r w:rsidR="007637E9">
        <w:t xml:space="preserve"> as in force immediately before the commencement </w:t>
      </w:r>
      <w:r w:rsidR="00E66A9F">
        <w:t>day</w:t>
      </w:r>
      <w:r w:rsidR="0072720A">
        <w:t>.</w:t>
      </w:r>
    </w:p>
    <w:p w:rsidR="00BE008C" w:rsidRDefault="00BE008C" w:rsidP="00BE008C">
      <w:pPr>
        <w:pStyle w:val="A1S"/>
      </w:pPr>
      <w:r>
        <w:t>[</w:t>
      </w:r>
      <w:r w:rsidR="008B4264">
        <w:t>13</w:t>
      </w:r>
      <w:r>
        <w:t>]</w:t>
      </w:r>
      <w:r>
        <w:tab/>
        <w:t xml:space="preserve">Subsection 2A.4 (1) </w:t>
      </w:r>
    </w:p>
    <w:p w:rsidR="00BE008C" w:rsidRDefault="0072720A" w:rsidP="00BE008C">
      <w:pPr>
        <w:pStyle w:val="A2S"/>
        <w:keepNext w:val="0"/>
      </w:pPr>
      <w:r>
        <w:t>omit</w:t>
      </w:r>
    </w:p>
    <w:p w:rsidR="000235A7" w:rsidRPr="000235A7" w:rsidRDefault="0072720A" w:rsidP="000235A7">
      <w:pPr>
        <w:pStyle w:val="R1"/>
        <w:keepLines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0235A7" w:rsidRPr="000235A7">
        <w:rPr>
          <w:color w:val="000000"/>
        </w:rPr>
        <w:t>A supplier who intends to supply exempt items that do not bear a compliance label must:</w:t>
      </w:r>
    </w:p>
    <w:p w:rsidR="0072720A" w:rsidRPr="0072720A" w:rsidRDefault="00BE008C" w:rsidP="00BE008C">
      <w:pPr>
        <w:pStyle w:val="R1"/>
        <w:keepLines w:val="0"/>
        <w:tabs>
          <w:tab w:val="clear" w:pos="794"/>
          <w:tab w:val="right" w:pos="784"/>
        </w:tabs>
        <w:rPr>
          <w:i/>
          <w:color w:val="000000"/>
        </w:rPr>
      </w:pPr>
      <w:r w:rsidRPr="00232DD8">
        <w:rPr>
          <w:color w:val="000000"/>
        </w:rPr>
        <w:tab/>
      </w:r>
      <w:r w:rsidR="0072720A">
        <w:rPr>
          <w:color w:val="000000"/>
        </w:rPr>
        <w:tab/>
      </w:r>
      <w:r w:rsidR="005779A4">
        <w:rPr>
          <w:i/>
          <w:color w:val="000000"/>
        </w:rPr>
        <w:t>insert</w:t>
      </w:r>
    </w:p>
    <w:p w:rsidR="00BE008C" w:rsidRPr="00232DD8" w:rsidRDefault="0072720A" w:rsidP="00BE008C">
      <w:pPr>
        <w:pStyle w:val="R1"/>
        <w:keepLines w:val="0"/>
        <w:tabs>
          <w:tab w:val="clear" w:pos="794"/>
          <w:tab w:val="right" w:pos="784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E008C" w:rsidRPr="00232DD8">
        <w:rPr>
          <w:color w:val="000000"/>
        </w:rPr>
        <w:t>A supplier must, before supplying an exempt item without a compliance label:</w:t>
      </w:r>
    </w:p>
    <w:p w:rsidR="0072720A" w:rsidRDefault="0072720A" w:rsidP="0072720A">
      <w:pPr>
        <w:pStyle w:val="A1S"/>
      </w:pPr>
      <w:r>
        <w:t>[</w:t>
      </w:r>
      <w:r w:rsidR="008B4264">
        <w:t>14</w:t>
      </w:r>
      <w:r>
        <w:t>]</w:t>
      </w:r>
      <w:r>
        <w:tab/>
        <w:t xml:space="preserve">After subsection 2A.4 (5) </w:t>
      </w:r>
    </w:p>
    <w:p w:rsidR="0072720A" w:rsidRDefault="0072720A" w:rsidP="0072720A">
      <w:pPr>
        <w:pStyle w:val="A2S"/>
        <w:keepNext w:val="0"/>
      </w:pPr>
      <w:r>
        <w:t>insert</w:t>
      </w:r>
    </w:p>
    <w:p w:rsidR="0072720A" w:rsidRDefault="0072720A" w:rsidP="0072720A">
      <w:pPr>
        <w:pStyle w:val="definition"/>
        <w:spacing w:before="240"/>
        <w:rPr>
          <w:rFonts w:ascii="Arial" w:hAnsi="Arial" w:cs="Arial"/>
          <w:i/>
        </w:rPr>
      </w:pPr>
      <w:r w:rsidRPr="007637E9">
        <w:rPr>
          <w:rFonts w:ascii="Arial" w:hAnsi="Arial" w:cs="Arial"/>
          <w:i/>
        </w:rPr>
        <w:t>Transitional arrangements</w:t>
      </w:r>
    </w:p>
    <w:p w:rsidR="0072720A" w:rsidRDefault="0072720A" w:rsidP="0072720A">
      <w:pPr>
        <w:pStyle w:val="R1"/>
        <w:keepLines w:val="0"/>
        <w:tabs>
          <w:tab w:val="clear" w:pos="794"/>
          <w:tab w:val="right" w:pos="784"/>
        </w:tabs>
      </w:pPr>
      <w:r>
        <w:rPr>
          <w:color w:val="000000"/>
        </w:rPr>
        <w:tab/>
      </w:r>
      <w:r w:rsidRPr="0076781C">
        <w:rPr>
          <w:color w:val="000000"/>
        </w:rPr>
        <w:t>(</w:t>
      </w:r>
      <w:r>
        <w:rPr>
          <w:color w:val="000000"/>
        </w:rPr>
        <w:t>6</w:t>
      </w:r>
      <w:r w:rsidRPr="0076781C">
        <w:rPr>
          <w:color w:val="000000"/>
        </w:rPr>
        <w:t>)</w:t>
      </w:r>
      <w:r w:rsidRPr="0076781C">
        <w:rPr>
          <w:color w:val="000000"/>
        </w:rPr>
        <w:tab/>
      </w:r>
      <w:r>
        <w:t>A supplier who</w:t>
      </w:r>
      <w:r w:rsidR="0031570B">
        <w:t>, before the commencement day,</w:t>
      </w:r>
      <w:r w:rsidR="00DF3132">
        <w:t xml:space="preserve"> established a publicly available register and told the ACMA the internet address for that register in accordance with the </w:t>
      </w:r>
      <w:r w:rsidR="00DF3132" w:rsidRPr="00DF3132">
        <w:t>former exempt items register provision</w:t>
      </w:r>
      <w:r>
        <w:t xml:space="preserve"> is taken to have complied with the requirement in subsection (1).</w:t>
      </w:r>
    </w:p>
    <w:p w:rsidR="0072720A" w:rsidRDefault="0072720A" w:rsidP="0072720A">
      <w:pPr>
        <w:pStyle w:val="R1"/>
        <w:keepLines w:val="0"/>
        <w:tabs>
          <w:tab w:val="clear" w:pos="794"/>
          <w:tab w:val="right" w:pos="784"/>
        </w:tabs>
      </w:pPr>
      <w:r>
        <w:rPr>
          <w:color w:val="000000"/>
        </w:rPr>
        <w:tab/>
      </w:r>
      <w:r w:rsidRPr="0076781C">
        <w:rPr>
          <w:color w:val="000000"/>
        </w:rPr>
        <w:t>(</w:t>
      </w:r>
      <w:r>
        <w:rPr>
          <w:color w:val="000000"/>
        </w:rPr>
        <w:t>7</w:t>
      </w:r>
      <w:r w:rsidRPr="0076781C">
        <w:rPr>
          <w:color w:val="000000"/>
        </w:rPr>
        <w:t>)</w:t>
      </w:r>
      <w:r w:rsidRPr="0076781C">
        <w:rPr>
          <w:color w:val="000000"/>
        </w:rPr>
        <w:tab/>
      </w:r>
      <w:r>
        <w:t>In this section:</w:t>
      </w:r>
    </w:p>
    <w:p w:rsidR="0031570B" w:rsidRDefault="0072720A" w:rsidP="0031570B">
      <w:pPr>
        <w:pStyle w:val="R2"/>
        <w:rPr>
          <w:color w:val="000000"/>
        </w:rPr>
      </w:pPr>
      <w:r>
        <w:rPr>
          <w:color w:val="000000"/>
        </w:rPr>
        <w:tab/>
      </w:r>
      <w:r w:rsidR="0031570B">
        <w:rPr>
          <w:color w:val="000000"/>
        </w:rPr>
        <w:tab/>
      </w:r>
      <w:r w:rsidR="0031570B">
        <w:rPr>
          <w:b/>
          <w:i/>
          <w:color w:val="000000"/>
        </w:rPr>
        <w:t>commenc</w:t>
      </w:r>
      <w:r w:rsidR="005C6503">
        <w:rPr>
          <w:b/>
          <w:i/>
          <w:color w:val="000000"/>
        </w:rPr>
        <w:t>e</w:t>
      </w:r>
      <w:r w:rsidR="0031570B">
        <w:rPr>
          <w:b/>
          <w:i/>
          <w:color w:val="000000"/>
        </w:rPr>
        <w:t>ment day</w:t>
      </w:r>
      <w:r w:rsidR="0031570B">
        <w:rPr>
          <w:color w:val="000000"/>
        </w:rPr>
        <w:t xml:space="preserve"> means the day </w:t>
      </w:r>
      <w:r w:rsidR="0031570B">
        <w:t xml:space="preserve">the </w:t>
      </w:r>
      <w:r w:rsidR="0031570B" w:rsidRPr="007637E9">
        <w:rPr>
          <w:i/>
        </w:rPr>
        <w:t>Telecommunications Labelling (Customer Equipment and Customer Cabling) Amendment Notice 201</w:t>
      </w:r>
      <w:r w:rsidR="00153401">
        <w:rPr>
          <w:i/>
        </w:rPr>
        <w:t>3</w:t>
      </w:r>
      <w:r w:rsidR="0031570B" w:rsidRPr="007637E9">
        <w:rPr>
          <w:i/>
        </w:rPr>
        <w:t xml:space="preserve"> (No. 1)</w:t>
      </w:r>
      <w:r w:rsidR="0031570B">
        <w:t xml:space="preserve"> commences.</w:t>
      </w:r>
    </w:p>
    <w:p w:rsidR="0072720A" w:rsidRPr="0072720A" w:rsidRDefault="0031570B" w:rsidP="0072720A">
      <w:pPr>
        <w:pStyle w:val="R2"/>
      </w:pPr>
      <w:r>
        <w:rPr>
          <w:color w:val="000000"/>
        </w:rPr>
        <w:tab/>
      </w:r>
      <w:r>
        <w:rPr>
          <w:color w:val="000000"/>
        </w:rPr>
        <w:tab/>
      </w:r>
      <w:r w:rsidR="0072720A" w:rsidRPr="007637E9">
        <w:rPr>
          <w:b/>
          <w:i/>
          <w:color w:val="000000"/>
        </w:rPr>
        <w:t xml:space="preserve">former </w:t>
      </w:r>
      <w:r w:rsidR="0072720A">
        <w:rPr>
          <w:b/>
          <w:i/>
          <w:color w:val="000000"/>
        </w:rPr>
        <w:t>exempt items register</w:t>
      </w:r>
      <w:r w:rsidR="0072720A" w:rsidRPr="007637E9">
        <w:rPr>
          <w:b/>
          <w:i/>
          <w:color w:val="000000"/>
        </w:rPr>
        <w:t xml:space="preserve"> provision</w:t>
      </w:r>
      <w:r w:rsidR="0072720A">
        <w:rPr>
          <w:color w:val="000000"/>
        </w:rPr>
        <w:t xml:space="preserve"> means </w:t>
      </w:r>
      <w:r w:rsidR="0072720A">
        <w:t xml:space="preserve">section 2A.4 of the </w:t>
      </w:r>
      <w:r w:rsidR="0072720A" w:rsidRPr="000A7744">
        <w:rPr>
          <w:i/>
        </w:rPr>
        <w:t>Telecommunications Labelling (Customer Equipment and Customer Cabling) Notice 2001</w:t>
      </w:r>
      <w:r w:rsidR="0072720A">
        <w:t xml:space="preserve"> as in force immediately before the commencement </w:t>
      </w:r>
      <w:r w:rsidR="00E66A9F">
        <w:t>day</w:t>
      </w:r>
      <w:r w:rsidR="0072720A">
        <w:t>.</w:t>
      </w:r>
    </w:p>
    <w:p w:rsidR="00E93122" w:rsidRDefault="004247EB" w:rsidP="00BE008C">
      <w:pPr>
        <w:pStyle w:val="A1S"/>
        <w:rPr>
          <w:i/>
        </w:rPr>
      </w:pPr>
      <w:r>
        <w:t>[</w:t>
      </w:r>
      <w:r w:rsidR="008B4264">
        <w:t>15</w:t>
      </w:r>
      <w:r w:rsidR="001A0C1F">
        <w:t>]</w:t>
      </w:r>
      <w:r w:rsidR="001A0C1F">
        <w:tab/>
      </w:r>
      <w:r w:rsidR="00E93122">
        <w:t>Part 3, Simplified outline of Part 3, first dot point</w:t>
      </w:r>
    </w:p>
    <w:p w:rsidR="00E93122" w:rsidRDefault="00E93122" w:rsidP="00E93122">
      <w:pPr>
        <w:pStyle w:val="A2S"/>
        <w:rPr>
          <w:i w:val="0"/>
        </w:rPr>
      </w:pPr>
      <w:r>
        <w:t>substitute</w:t>
      </w:r>
    </w:p>
    <w:p w:rsidR="00E93122" w:rsidRDefault="00E93122" w:rsidP="00E93122">
      <w:pPr>
        <w:pStyle w:val="A3S"/>
        <w:numPr>
          <w:ilvl w:val="0"/>
          <w:numId w:val="11"/>
        </w:numPr>
      </w:pPr>
      <w:r>
        <w:t xml:space="preserve">Compliance labels must have certain characteristics (durability, size and position on the item).  </w:t>
      </w:r>
    </w:p>
    <w:p w:rsidR="00E93122" w:rsidRDefault="00E93122" w:rsidP="00E93122">
      <w:pPr>
        <w:pStyle w:val="A1S"/>
        <w:rPr>
          <w:i/>
        </w:rPr>
      </w:pPr>
      <w:r>
        <w:t>[</w:t>
      </w:r>
      <w:r w:rsidR="008B4264">
        <w:t>16</w:t>
      </w:r>
      <w:r>
        <w:t>]</w:t>
      </w:r>
      <w:r>
        <w:tab/>
        <w:t>Part 3, Simplified outline of Part 3, third dot point</w:t>
      </w:r>
    </w:p>
    <w:p w:rsidR="00E93122" w:rsidRDefault="00487604" w:rsidP="00E93122">
      <w:pPr>
        <w:pStyle w:val="A2S"/>
        <w:rPr>
          <w:i w:val="0"/>
        </w:rPr>
      </w:pPr>
      <w:r>
        <w:t>substitute</w:t>
      </w:r>
    </w:p>
    <w:p w:rsidR="00E93122" w:rsidRPr="00430720" w:rsidRDefault="00487604" w:rsidP="00E93122">
      <w:pPr>
        <w:pStyle w:val="definition"/>
      </w:pPr>
      <w:r>
        <w:t>If an item is non-compliant, statements about non</w:t>
      </w:r>
      <w:r>
        <w:noBreakHyphen/>
        <w:t>compliance must be printed on the external surface of the packaging and also be incorporated into the documentation supplied.</w:t>
      </w:r>
    </w:p>
    <w:p w:rsidR="00E93122" w:rsidRDefault="00487604" w:rsidP="00E93122">
      <w:pPr>
        <w:pStyle w:val="A1S"/>
      </w:pPr>
      <w:r w:rsidDel="00487604">
        <w:t xml:space="preserve"> </w:t>
      </w:r>
      <w:r w:rsidR="00E93122">
        <w:t>[</w:t>
      </w:r>
      <w:r w:rsidR="008B4264">
        <w:t>17</w:t>
      </w:r>
      <w:r w:rsidR="00E93122">
        <w:t>]</w:t>
      </w:r>
      <w:r w:rsidR="00E93122">
        <w:tab/>
        <w:t>Subsection 3.1</w:t>
      </w:r>
      <w:r w:rsidR="00E7299C">
        <w:t xml:space="preserve"> </w:t>
      </w:r>
      <w:r w:rsidR="00E93122">
        <w:t>(2)</w:t>
      </w:r>
    </w:p>
    <w:p w:rsidR="00E93122" w:rsidRDefault="00E93122" w:rsidP="00E93122">
      <w:pPr>
        <w:pStyle w:val="A2S"/>
        <w:keepNext w:val="0"/>
      </w:pPr>
      <w:r>
        <w:t>substitute</w:t>
      </w:r>
    </w:p>
    <w:p w:rsidR="00EF48F3" w:rsidRDefault="00381637">
      <w:pPr>
        <w:pStyle w:val="ZR2"/>
        <w:keepNext w:val="0"/>
        <w:keepLines w:val="0"/>
      </w:pPr>
      <w:r>
        <w:tab/>
        <w:t>(2)</w:t>
      </w:r>
      <w:r>
        <w:tab/>
        <w:t>A compliance label consists of:</w:t>
      </w:r>
    </w:p>
    <w:p w:rsidR="00EF48F3" w:rsidRDefault="00381637">
      <w:pPr>
        <w:pStyle w:val="P1"/>
        <w:keepLines w:val="0"/>
        <w:rPr>
          <w:color w:val="000000"/>
        </w:rPr>
      </w:pPr>
      <w:r>
        <w:rPr>
          <w:color w:val="000000"/>
        </w:rPr>
        <w:tab/>
        <w:t>(a)</w:t>
      </w:r>
      <w:r>
        <w:rPr>
          <w:color w:val="000000"/>
        </w:rPr>
        <w:tab/>
        <w:t>the RCM; or</w:t>
      </w:r>
    </w:p>
    <w:p w:rsidR="00EF48F3" w:rsidRDefault="00381637">
      <w:pPr>
        <w:pStyle w:val="P1"/>
        <w:keepLines w:val="0"/>
        <w:rPr>
          <w:color w:val="000000"/>
        </w:rPr>
      </w:pPr>
      <w:r>
        <w:rPr>
          <w:color w:val="000000"/>
        </w:rPr>
        <w:tab/>
        <w:t>(b)</w:t>
      </w:r>
      <w:r>
        <w:rPr>
          <w:color w:val="000000"/>
        </w:rPr>
        <w:tab/>
        <w:t xml:space="preserve">if the label is applied before 1 March 2016 – either of the compliance marks. </w:t>
      </w:r>
    </w:p>
    <w:p w:rsidR="002A676A" w:rsidRDefault="002A676A" w:rsidP="002A676A">
      <w:pPr>
        <w:pStyle w:val="A1S"/>
      </w:pPr>
      <w:r>
        <w:t>[</w:t>
      </w:r>
      <w:r w:rsidR="008B4264">
        <w:t>18</w:t>
      </w:r>
      <w:r>
        <w:t>]</w:t>
      </w:r>
      <w:r>
        <w:tab/>
        <w:t>Subsection 3.1</w:t>
      </w:r>
      <w:r w:rsidR="00E7299C">
        <w:t xml:space="preserve"> </w:t>
      </w:r>
      <w:r>
        <w:t>(3)</w:t>
      </w:r>
    </w:p>
    <w:p w:rsidR="002A676A" w:rsidRPr="009D2E17" w:rsidRDefault="00B13667" w:rsidP="002A676A">
      <w:pPr>
        <w:pStyle w:val="A2S"/>
        <w:keepNext w:val="0"/>
        <w:rPr>
          <w:i w:val="0"/>
        </w:rPr>
      </w:pPr>
      <w:r>
        <w:t>o</w:t>
      </w:r>
      <w:r w:rsidR="009D2E17">
        <w:t>mit</w:t>
      </w:r>
    </w:p>
    <w:p w:rsidR="002A676A" w:rsidRDefault="002A676A" w:rsidP="002A676A">
      <w:pPr>
        <w:pStyle w:val="A1S"/>
      </w:pPr>
      <w:r>
        <w:t>[</w:t>
      </w:r>
      <w:r w:rsidR="008B4264">
        <w:t>19</w:t>
      </w:r>
      <w:r>
        <w:t>]</w:t>
      </w:r>
      <w:r>
        <w:tab/>
        <w:t>Subsection 3.1</w:t>
      </w:r>
      <w:r w:rsidR="00E7299C">
        <w:t xml:space="preserve"> </w:t>
      </w:r>
      <w:r>
        <w:t xml:space="preserve">(4) </w:t>
      </w:r>
    </w:p>
    <w:p w:rsidR="000235A7" w:rsidRDefault="00754191" w:rsidP="000235A7">
      <w:pPr>
        <w:pStyle w:val="A2S"/>
        <w:keepNext w:val="0"/>
      </w:pPr>
      <w:r>
        <w:t>o</w:t>
      </w:r>
      <w:r w:rsidR="009D2E17">
        <w:t xml:space="preserve">mit </w:t>
      </w:r>
      <w:r w:rsidR="005779A4">
        <w:rPr>
          <w:i w:val="0"/>
        </w:rPr>
        <w:t>“compliance</w:t>
      </w:r>
      <w:r w:rsidR="009D2E17">
        <w:rPr>
          <w:i w:val="0"/>
        </w:rPr>
        <w:t xml:space="preserve">” </w:t>
      </w:r>
      <w:r w:rsidR="009D2E17" w:rsidRPr="00E66A9F">
        <w:t>before</w:t>
      </w:r>
      <w:r w:rsidR="009D2E17">
        <w:rPr>
          <w:i w:val="0"/>
        </w:rPr>
        <w:t xml:space="preserve"> “label”</w:t>
      </w:r>
      <w:r w:rsidR="008B4264">
        <w:rPr>
          <w:i w:val="0"/>
        </w:rPr>
        <w:t xml:space="preserve"> </w:t>
      </w:r>
      <w:r w:rsidR="008B4264" w:rsidRPr="00E66A9F">
        <w:t>and renumber as subsection (3)</w:t>
      </w:r>
      <w:r w:rsidR="009D2E17" w:rsidRPr="00E66A9F">
        <w:t>.</w:t>
      </w:r>
      <w:r w:rsidR="005779A4">
        <w:rPr>
          <w:i w:val="0"/>
        </w:rPr>
        <w:t xml:space="preserve"> </w:t>
      </w:r>
    </w:p>
    <w:p w:rsidR="002A676A" w:rsidRDefault="002A676A" w:rsidP="002A676A">
      <w:pPr>
        <w:pStyle w:val="A1S"/>
      </w:pPr>
      <w:r>
        <w:t>[</w:t>
      </w:r>
      <w:r w:rsidR="008B4264">
        <w:t>20</w:t>
      </w:r>
      <w:r>
        <w:t>]</w:t>
      </w:r>
      <w:r>
        <w:tab/>
        <w:t>Subsection 3.1</w:t>
      </w:r>
      <w:r w:rsidR="00E7299C">
        <w:t xml:space="preserve"> </w:t>
      </w:r>
      <w:r>
        <w:t>(</w:t>
      </w:r>
      <w:r w:rsidR="00A06A87">
        <w:t>4A</w:t>
      </w:r>
      <w:r>
        <w:t xml:space="preserve">) </w:t>
      </w:r>
    </w:p>
    <w:p w:rsidR="009D2E17" w:rsidRPr="009D2E17" w:rsidRDefault="00754191" w:rsidP="009D2E17">
      <w:pPr>
        <w:pStyle w:val="A2S"/>
        <w:keepNext w:val="0"/>
        <w:rPr>
          <w:i w:val="0"/>
        </w:rPr>
      </w:pPr>
      <w:r>
        <w:t>o</w:t>
      </w:r>
      <w:r w:rsidR="009D2E17">
        <w:t xml:space="preserve">mit </w:t>
      </w:r>
      <w:r w:rsidR="009D2E17" w:rsidRPr="009D2E17">
        <w:rPr>
          <w:i w:val="0"/>
        </w:rPr>
        <w:t>“compliance</w:t>
      </w:r>
      <w:r w:rsidR="009D2E17">
        <w:rPr>
          <w:i w:val="0"/>
        </w:rPr>
        <w:t xml:space="preserve">” </w:t>
      </w:r>
      <w:r w:rsidR="009D2E17" w:rsidRPr="00E66A9F">
        <w:t>before</w:t>
      </w:r>
      <w:r w:rsidR="009D2E17">
        <w:rPr>
          <w:i w:val="0"/>
        </w:rPr>
        <w:t xml:space="preserve"> “label”</w:t>
      </w:r>
      <w:r w:rsidR="008B4264">
        <w:rPr>
          <w:i w:val="0"/>
        </w:rPr>
        <w:t xml:space="preserve"> </w:t>
      </w:r>
      <w:r w:rsidR="008B4264" w:rsidRPr="00E66A9F">
        <w:t>and renumber as subsection (4)</w:t>
      </w:r>
      <w:r w:rsidR="009D2E17" w:rsidRPr="00E66A9F">
        <w:t>.</w:t>
      </w:r>
      <w:r w:rsidR="009D2E17" w:rsidRPr="009D2E17">
        <w:rPr>
          <w:i w:val="0"/>
        </w:rPr>
        <w:t xml:space="preserve"> </w:t>
      </w:r>
    </w:p>
    <w:p w:rsidR="00704E4F" w:rsidRDefault="00704E4F" w:rsidP="00704E4F">
      <w:pPr>
        <w:pStyle w:val="A1S"/>
      </w:pPr>
      <w:r w:rsidDel="009D2E17">
        <w:t xml:space="preserve"> </w:t>
      </w:r>
      <w:r>
        <w:t>[21]</w:t>
      </w:r>
      <w:r>
        <w:tab/>
        <w:t>S</w:t>
      </w:r>
      <w:r w:rsidR="00A7602E">
        <w:t>ubs</w:t>
      </w:r>
      <w:r>
        <w:t>ection 3.</w:t>
      </w:r>
      <w:r w:rsidR="00A7602E">
        <w:t>1</w:t>
      </w:r>
      <w:r>
        <w:t xml:space="preserve"> </w:t>
      </w:r>
      <w:r w:rsidR="00A7602E">
        <w:t>(5)</w:t>
      </w:r>
    </w:p>
    <w:p w:rsidR="00704E4F" w:rsidRDefault="00704E4F" w:rsidP="00704E4F">
      <w:pPr>
        <w:pStyle w:val="A2S"/>
        <w:keepNext w:val="0"/>
      </w:pPr>
      <w:r>
        <w:t>substitute</w:t>
      </w:r>
    </w:p>
    <w:p w:rsidR="00704E4F" w:rsidRDefault="00704E4F" w:rsidP="00704E4F">
      <w:pPr>
        <w:pStyle w:val="ZR2"/>
        <w:keepNext w:val="0"/>
        <w:keepLines w:val="0"/>
      </w:pPr>
      <w:r>
        <w:tab/>
        <w:t>(5)</w:t>
      </w:r>
      <w:r>
        <w:tab/>
        <w:t xml:space="preserve">An item to which subsections (3) </w:t>
      </w:r>
      <w:r w:rsidR="00E66A9F">
        <w:t xml:space="preserve">or </w:t>
      </w:r>
      <w:r>
        <w:t xml:space="preserve">(4) applies may also bear a compliance mark. </w:t>
      </w:r>
    </w:p>
    <w:p w:rsidR="002A676A" w:rsidRDefault="00C86CB0" w:rsidP="002A676A">
      <w:pPr>
        <w:pStyle w:val="A1S"/>
      </w:pPr>
      <w:r w:rsidDel="009D2E17">
        <w:t xml:space="preserve"> </w:t>
      </w:r>
      <w:bookmarkStart w:id="5" w:name="_Toc312234253"/>
      <w:r w:rsidR="002A676A">
        <w:t>[</w:t>
      </w:r>
      <w:r w:rsidR="008B4264">
        <w:t>2</w:t>
      </w:r>
      <w:r w:rsidR="00704E4F">
        <w:t>2</w:t>
      </w:r>
      <w:r w:rsidR="002A676A">
        <w:t>]</w:t>
      </w:r>
      <w:r w:rsidR="002A676A">
        <w:tab/>
        <w:t xml:space="preserve">Section 3.2 </w:t>
      </w:r>
    </w:p>
    <w:p w:rsidR="002A676A" w:rsidRDefault="002A676A" w:rsidP="002A676A">
      <w:pPr>
        <w:pStyle w:val="A2S"/>
        <w:keepNext w:val="0"/>
      </w:pPr>
      <w:r>
        <w:t>substitute</w:t>
      </w:r>
    </w:p>
    <w:p w:rsidR="00381637" w:rsidRDefault="00381637" w:rsidP="00381637">
      <w:pPr>
        <w:pStyle w:val="HR"/>
        <w:keepNext w:val="0"/>
        <w:rPr>
          <w:color w:val="000000"/>
        </w:rPr>
      </w:pPr>
      <w:r>
        <w:rPr>
          <w:rStyle w:val="CharSectno"/>
        </w:rPr>
        <w:t>3.2</w:t>
      </w:r>
      <w:r>
        <w:rPr>
          <w:color w:val="000000"/>
        </w:rPr>
        <w:tab/>
      </w:r>
      <w:r w:rsidR="00775278">
        <w:rPr>
          <w:color w:val="000000"/>
        </w:rPr>
        <w:t>Statement</w:t>
      </w:r>
      <w:r w:rsidR="009F6849">
        <w:rPr>
          <w:color w:val="000000"/>
        </w:rPr>
        <w:t>s</w:t>
      </w:r>
      <w:r w:rsidR="00775278">
        <w:rPr>
          <w:color w:val="000000"/>
        </w:rPr>
        <w:t xml:space="preserve"> of </w:t>
      </w:r>
      <w:r>
        <w:rPr>
          <w:color w:val="000000"/>
        </w:rPr>
        <w:t>non</w:t>
      </w:r>
      <w:r>
        <w:rPr>
          <w:color w:val="000000"/>
        </w:rPr>
        <w:noBreakHyphen/>
        <w:t xml:space="preserve">compliance </w:t>
      </w:r>
      <w:bookmarkEnd w:id="5"/>
    </w:p>
    <w:p w:rsidR="00381637" w:rsidRDefault="00381637" w:rsidP="00DB2D23">
      <w:pPr>
        <w:pStyle w:val="R1"/>
        <w:keepLines w:val="0"/>
        <w:rPr>
          <w:color w:val="000000"/>
        </w:rPr>
      </w:pPr>
      <w:r>
        <w:rPr>
          <w:color w:val="000000"/>
        </w:rPr>
        <w:tab/>
        <w:t>(1)</w:t>
      </w:r>
      <w:r>
        <w:rPr>
          <w:color w:val="000000"/>
        </w:rPr>
        <w:tab/>
      </w:r>
      <w:r>
        <w:t>Subject to Part 2A, if</w:t>
      </w:r>
      <w:r>
        <w:rPr>
          <w:color w:val="000000"/>
        </w:rPr>
        <w:t xml:space="preserve"> an item does not meet the requirements of each applicable standard, or has not been tested against each applicable standard, the item must </w:t>
      </w:r>
      <w:r w:rsidR="00B71E8E">
        <w:rPr>
          <w:color w:val="000000"/>
        </w:rPr>
        <w:t xml:space="preserve">be accompanied by </w:t>
      </w:r>
      <w:r w:rsidR="00B34B4F">
        <w:rPr>
          <w:color w:val="000000"/>
        </w:rPr>
        <w:t>the statement</w:t>
      </w:r>
      <w:r w:rsidR="00CE1E72">
        <w:rPr>
          <w:color w:val="000000"/>
        </w:rPr>
        <w:t>s</w:t>
      </w:r>
      <w:r w:rsidR="00B34B4F">
        <w:rPr>
          <w:color w:val="000000"/>
        </w:rPr>
        <w:t xml:space="preserve"> set out in Part</w:t>
      </w:r>
      <w:r w:rsidR="00CE1E72">
        <w:rPr>
          <w:color w:val="000000"/>
        </w:rPr>
        <w:t>s</w:t>
      </w:r>
      <w:r w:rsidR="00B34B4F">
        <w:rPr>
          <w:color w:val="000000"/>
        </w:rPr>
        <w:t xml:space="preserve"> 1</w:t>
      </w:r>
      <w:r w:rsidR="00CE1E72">
        <w:rPr>
          <w:color w:val="000000"/>
        </w:rPr>
        <w:t xml:space="preserve"> and 2</w:t>
      </w:r>
      <w:r w:rsidR="00B34B4F">
        <w:rPr>
          <w:color w:val="000000"/>
        </w:rPr>
        <w:t xml:space="preserve"> of Schedule 9.  </w:t>
      </w:r>
    </w:p>
    <w:p w:rsidR="00EF48F3" w:rsidRDefault="00381637" w:rsidP="00DB2D23">
      <w:pPr>
        <w:pStyle w:val="R2"/>
        <w:keepLines w:val="0"/>
      </w:pPr>
      <w:r>
        <w:tab/>
        <w:t>(2)</w:t>
      </w:r>
      <w:r>
        <w:tab/>
        <w:t>The statement set out in Part 1 of Schedule 9 must be printed on the external surface of the packaging used for the item in capital letters at least 5 mm high.</w:t>
      </w:r>
    </w:p>
    <w:p w:rsidR="00381637" w:rsidRDefault="00381637" w:rsidP="00DB2D23">
      <w:pPr>
        <w:pStyle w:val="ZR2"/>
        <w:keepLines w:val="0"/>
      </w:pPr>
      <w:r>
        <w:tab/>
        <w:t>(</w:t>
      </w:r>
      <w:r w:rsidR="00046C0B">
        <w:t>3</w:t>
      </w:r>
      <w:r>
        <w:t>)</w:t>
      </w:r>
      <w:r>
        <w:tab/>
        <w:t>The statement set out in Part 2 of Schedule 9 must be:</w:t>
      </w:r>
    </w:p>
    <w:p w:rsidR="00381637" w:rsidRDefault="00381637" w:rsidP="00DB2D23">
      <w:pPr>
        <w:pStyle w:val="P1"/>
        <w:keepLines w:val="0"/>
      </w:pPr>
      <w:r>
        <w:tab/>
        <w:t>(a)</w:t>
      </w:r>
      <w:r>
        <w:tab/>
        <w:t>printed on the external surface of the packaging used for the item in letters of at least 12 point; and</w:t>
      </w:r>
    </w:p>
    <w:p w:rsidR="00381637" w:rsidRDefault="00381637" w:rsidP="00DB2D23">
      <w:pPr>
        <w:pStyle w:val="P1"/>
        <w:keepLines w:val="0"/>
      </w:pPr>
      <w:r>
        <w:tab/>
        <w:t>(b)</w:t>
      </w:r>
      <w:r>
        <w:tab/>
        <w:t>incorporated into the documentation supplied with the item.</w:t>
      </w:r>
    </w:p>
    <w:p w:rsidR="007D1D32" w:rsidRPr="00BA6C32" w:rsidRDefault="007D1D32" w:rsidP="007D1D32">
      <w:pPr>
        <w:pStyle w:val="Note"/>
      </w:pPr>
      <w:r w:rsidRPr="00AA7532">
        <w:rPr>
          <w:i/>
        </w:rPr>
        <w:t>Note</w:t>
      </w:r>
      <w:r>
        <w:rPr>
          <w:i/>
        </w:rPr>
        <w:t>   </w:t>
      </w:r>
      <w:r>
        <w:t xml:space="preserve">If an item described in subsection </w:t>
      </w:r>
      <w:r w:rsidR="00A055CF">
        <w:t xml:space="preserve">3.2 </w:t>
      </w:r>
      <w:r>
        <w:t xml:space="preserve">(1) is also an item to which a notice made by the ACMA under section 182 of the </w:t>
      </w:r>
      <w:r>
        <w:rPr>
          <w:i/>
        </w:rPr>
        <w:t>Radiocommunications Act 1992</w:t>
      </w:r>
      <w:r w:rsidRPr="00523C7E">
        <w:t xml:space="preserve"> </w:t>
      </w:r>
      <w:r>
        <w:t>applies and the item meets the requirements of that notice and that notice requires the RCM be ap</w:t>
      </w:r>
      <w:r w:rsidRPr="002A676A">
        <w:t>plied</w:t>
      </w:r>
      <w:r>
        <w:t xml:space="preserve"> to the item, </w:t>
      </w:r>
      <w:r w:rsidRPr="002A676A">
        <w:t>the RCM must be applied to the item in accordance with that notice.</w:t>
      </w:r>
    </w:p>
    <w:p w:rsidR="000235A7" w:rsidRDefault="00192519">
      <w:pPr>
        <w:pStyle w:val="A1S"/>
      </w:pPr>
      <w:bookmarkStart w:id="6" w:name="_Toc312234254"/>
      <w:r>
        <w:t>[</w:t>
      </w:r>
      <w:r w:rsidR="008B4264">
        <w:t>2</w:t>
      </w:r>
      <w:r w:rsidR="00704E4F">
        <w:t>3</w:t>
      </w:r>
      <w:r>
        <w:t>]</w:t>
      </w:r>
      <w:r>
        <w:tab/>
        <w:t xml:space="preserve">Sections 3.3 and 3.4 </w:t>
      </w:r>
    </w:p>
    <w:p w:rsidR="00192519" w:rsidRDefault="00192519" w:rsidP="00192519">
      <w:pPr>
        <w:pStyle w:val="A2S"/>
        <w:keepNext w:val="0"/>
      </w:pPr>
      <w:r>
        <w:t>insert</w:t>
      </w:r>
      <w:r w:rsidR="00551E8F">
        <w:t xml:space="preserve"> </w:t>
      </w:r>
      <w:r w:rsidR="00551E8F">
        <w:rPr>
          <w:i w:val="0"/>
        </w:rPr>
        <w:t xml:space="preserve">“compliance” </w:t>
      </w:r>
      <w:r w:rsidR="005779A4" w:rsidRPr="00E66A9F">
        <w:t>before</w:t>
      </w:r>
      <w:r w:rsidR="00551E8F">
        <w:rPr>
          <w:i w:val="0"/>
        </w:rPr>
        <w:t xml:space="preserve"> </w:t>
      </w:r>
      <w:r w:rsidR="005779A4">
        <w:rPr>
          <w:i w:val="0"/>
        </w:rPr>
        <w:t xml:space="preserve">“label” </w:t>
      </w:r>
      <w:r w:rsidR="00551E8F" w:rsidRPr="00E66A9F">
        <w:t>and</w:t>
      </w:r>
      <w:r w:rsidR="005779A4">
        <w:rPr>
          <w:i w:val="0"/>
        </w:rPr>
        <w:t xml:space="preserve"> “labels” (</w:t>
      </w:r>
      <w:r w:rsidR="005779A4" w:rsidRPr="00E66A9F">
        <w:t>wherever occurring</w:t>
      </w:r>
      <w:r w:rsidR="005779A4">
        <w:rPr>
          <w:i w:val="0"/>
        </w:rPr>
        <w:t>)</w:t>
      </w:r>
      <w:r w:rsidR="00551E8F">
        <w:t>.</w:t>
      </w:r>
    </w:p>
    <w:p w:rsidR="00192519" w:rsidRDefault="001F54F7" w:rsidP="00192519">
      <w:pPr>
        <w:pStyle w:val="A1S"/>
      </w:pPr>
      <w:r w:rsidDel="001F54F7">
        <w:rPr>
          <w:i/>
        </w:rPr>
        <w:t xml:space="preserve"> </w:t>
      </w:r>
      <w:r w:rsidR="00192519">
        <w:t>[</w:t>
      </w:r>
      <w:r w:rsidR="008B4264">
        <w:t>2</w:t>
      </w:r>
      <w:r w:rsidR="00704E4F">
        <w:t>4</w:t>
      </w:r>
      <w:r w:rsidR="00192519">
        <w:t>]</w:t>
      </w:r>
      <w:r w:rsidR="00192519">
        <w:tab/>
        <w:t>Sections 3.5 and 3.6</w:t>
      </w:r>
    </w:p>
    <w:p w:rsidR="00192519" w:rsidRDefault="00192519" w:rsidP="00192519">
      <w:pPr>
        <w:pStyle w:val="A2S"/>
        <w:keepNext w:val="0"/>
      </w:pPr>
      <w:r>
        <w:t>substitute</w:t>
      </w:r>
    </w:p>
    <w:p w:rsidR="00381637" w:rsidRDefault="00381637" w:rsidP="00381637">
      <w:pPr>
        <w:pStyle w:val="HR"/>
        <w:rPr>
          <w:color w:val="000000"/>
        </w:rPr>
      </w:pPr>
      <w:bookmarkStart w:id="7" w:name="_Toc312234256"/>
      <w:bookmarkEnd w:id="6"/>
      <w:r>
        <w:rPr>
          <w:rStyle w:val="CharSectno"/>
        </w:rPr>
        <w:t>3.5</w:t>
      </w:r>
      <w:r>
        <w:rPr>
          <w:color w:val="000000"/>
        </w:rPr>
        <w:tab/>
      </w:r>
      <w:r w:rsidR="009C0148">
        <w:rPr>
          <w:color w:val="000000"/>
        </w:rPr>
        <w:t xml:space="preserve">Size of </w:t>
      </w:r>
      <w:bookmarkEnd w:id="7"/>
      <w:r w:rsidR="002E71B3">
        <w:rPr>
          <w:color w:val="000000"/>
        </w:rPr>
        <w:t xml:space="preserve">compliance </w:t>
      </w:r>
      <w:r w:rsidR="009C0148">
        <w:rPr>
          <w:color w:val="000000"/>
        </w:rPr>
        <w:t xml:space="preserve">mark </w:t>
      </w:r>
    </w:p>
    <w:p w:rsidR="00381637" w:rsidRDefault="00F33D13" w:rsidP="00381637">
      <w:pPr>
        <w:pStyle w:val="R2"/>
      </w:pPr>
      <w:r>
        <w:tab/>
      </w:r>
      <w:r w:rsidR="00192519">
        <w:tab/>
      </w:r>
      <w:r>
        <w:t xml:space="preserve">A </w:t>
      </w:r>
      <w:r w:rsidR="00381637">
        <w:t>compliance mark</w:t>
      </w:r>
      <w:r>
        <w:t xml:space="preserve"> </w:t>
      </w:r>
      <w:r w:rsidR="00381637">
        <w:t>must be at least 3 mm high.</w:t>
      </w:r>
    </w:p>
    <w:p w:rsidR="00121235" w:rsidRPr="00BA6C32" w:rsidRDefault="00121235" w:rsidP="00121235">
      <w:pPr>
        <w:pStyle w:val="Note"/>
      </w:pPr>
      <w:r w:rsidRPr="00AA7532">
        <w:rPr>
          <w:i/>
        </w:rPr>
        <w:t>Note</w:t>
      </w:r>
      <w:r>
        <w:rPr>
          <w:i/>
        </w:rPr>
        <w:tab/>
      </w:r>
      <w:r>
        <w:t>This Notice does not prevent a supplier from applying its own additional supplier identification details onto a</w:t>
      </w:r>
      <w:r w:rsidR="0043058D">
        <w:t>n item</w:t>
      </w:r>
      <w:r>
        <w:t>.</w:t>
      </w:r>
    </w:p>
    <w:p w:rsidR="00381637" w:rsidRPr="00ED0B61" w:rsidRDefault="00381637" w:rsidP="00381637">
      <w:pPr>
        <w:pStyle w:val="HR"/>
      </w:pPr>
      <w:bookmarkStart w:id="8" w:name="_Toc312234257"/>
      <w:r w:rsidRPr="001E0756">
        <w:rPr>
          <w:rStyle w:val="CharSectno"/>
        </w:rPr>
        <w:t>3.6</w:t>
      </w:r>
      <w:r>
        <w:tab/>
        <w:t xml:space="preserve">Placement of </w:t>
      </w:r>
      <w:r w:rsidR="00954B06">
        <w:t xml:space="preserve">compliance </w:t>
      </w:r>
      <w:r>
        <w:t>labels on items</w:t>
      </w:r>
      <w:bookmarkEnd w:id="8"/>
    </w:p>
    <w:p w:rsidR="00381637" w:rsidRDefault="00381637" w:rsidP="00381637">
      <w:pPr>
        <w:pStyle w:val="R1"/>
      </w:pPr>
      <w:r>
        <w:tab/>
        <w:t>(1)</w:t>
      </w:r>
      <w:r>
        <w:tab/>
        <w:t>Subject to subsections (</w:t>
      </w:r>
      <w:r w:rsidR="00D7756F">
        <w:t>3</w:t>
      </w:r>
      <w:r>
        <w:t>) and (</w:t>
      </w:r>
      <w:r w:rsidR="00D7756F">
        <w:t>4</w:t>
      </w:r>
      <w:r>
        <w:t xml:space="preserve">) and section 3.6A, a </w:t>
      </w:r>
      <w:r w:rsidR="00954B06">
        <w:t xml:space="preserve">compliance </w:t>
      </w:r>
      <w:r>
        <w:t>label must be placed on an item on a place that is accessible by the user.</w:t>
      </w:r>
    </w:p>
    <w:p w:rsidR="00381637" w:rsidRPr="00BA6C32" w:rsidRDefault="00381637" w:rsidP="00381637">
      <w:pPr>
        <w:pStyle w:val="Note"/>
      </w:pPr>
      <w:r w:rsidRPr="00AA7532">
        <w:rPr>
          <w:i/>
        </w:rPr>
        <w:t>Note</w:t>
      </w:r>
      <w:r>
        <w:rPr>
          <w:i/>
        </w:rPr>
        <w:t>   </w:t>
      </w:r>
      <w:r>
        <w:t>Subsections (</w:t>
      </w:r>
      <w:r w:rsidR="00D7756F">
        <w:t>3</w:t>
      </w:r>
      <w:r>
        <w:t>) and (</w:t>
      </w:r>
      <w:r w:rsidR="00D7756F">
        <w:t>4</w:t>
      </w:r>
      <w:r>
        <w:t xml:space="preserve">) deal with situations where applying a </w:t>
      </w:r>
      <w:r w:rsidR="00954B06">
        <w:t xml:space="preserve">compliance </w:t>
      </w:r>
      <w:r>
        <w:t>label to the surface of a</w:t>
      </w:r>
      <w:r w:rsidR="0043058D">
        <w:t>n item</w:t>
      </w:r>
      <w:r>
        <w:t xml:space="preserve"> is not possible or practical. </w:t>
      </w:r>
      <w:r w:rsidR="00D7756F">
        <w:t xml:space="preserve"> </w:t>
      </w:r>
      <w:r>
        <w:t>Section 3.6A gives a supplier the option of labelling some types of item electronically.</w:t>
      </w:r>
    </w:p>
    <w:p w:rsidR="00381637" w:rsidRDefault="00381637" w:rsidP="00381637">
      <w:pPr>
        <w:pStyle w:val="R2"/>
      </w:pPr>
      <w:r>
        <w:tab/>
        <w:t>(2)</w:t>
      </w:r>
      <w:r>
        <w:tab/>
        <w:t xml:space="preserve">A </w:t>
      </w:r>
      <w:r w:rsidR="00954B06">
        <w:t xml:space="preserve">compliance </w:t>
      </w:r>
      <w:r>
        <w:t>label is not accessible if it is necessary to use a specialised tool to gain access to it.</w:t>
      </w:r>
    </w:p>
    <w:p w:rsidR="00381637" w:rsidRDefault="00381637" w:rsidP="00381637">
      <w:pPr>
        <w:pStyle w:val="R2"/>
      </w:pPr>
      <w:r>
        <w:tab/>
        <w:t>(</w:t>
      </w:r>
      <w:r w:rsidR="00D7756F">
        <w:t>3</w:t>
      </w:r>
      <w:r>
        <w:t>)</w:t>
      </w:r>
      <w:r>
        <w:tab/>
        <w:t xml:space="preserve">For customer equipment, if it is not possible to apply a </w:t>
      </w:r>
      <w:r w:rsidR="00954B06">
        <w:t xml:space="preserve">compliance </w:t>
      </w:r>
      <w:r>
        <w:t xml:space="preserve">label to the surface of the equipment because of the size or physical nature of the equipment, or it is not practical to apply a </w:t>
      </w:r>
      <w:r w:rsidR="00954B06">
        <w:t xml:space="preserve">compliance </w:t>
      </w:r>
      <w:r>
        <w:t>label to the surface of the equipment, the label must be applied to:</w:t>
      </w:r>
    </w:p>
    <w:p w:rsidR="00381637" w:rsidRDefault="00381637" w:rsidP="00381637">
      <w:pPr>
        <w:pStyle w:val="P1"/>
      </w:pPr>
      <w:r>
        <w:tab/>
        <w:t>(a)</w:t>
      </w:r>
      <w:r>
        <w:tab/>
        <w:t>the external surface of the packaging used for the equipment; and</w:t>
      </w:r>
    </w:p>
    <w:p w:rsidR="00381637" w:rsidRPr="00FE2EE0" w:rsidRDefault="00381637" w:rsidP="00381637">
      <w:pPr>
        <w:pStyle w:val="P1"/>
      </w:pPr>
      <w:r>
        <w:tab/>
        <w:t>(b)</w:t>
      </w:r>
      <w:r>
        <w:tab/>
        <w:t>the documentation (including any warranty or guarantee certificates) that accompanies the equipment when it is supplied to the user.</w:t>
      </w:r>
    </w:p>
    <w:p w:rsidR="00381637" w:rsidRPr="006C77C6" w:rsidRDefault="00381637" w:rsidP="00381637">
      <w:pPr>
        <w:pStyle w:val="R2"/>
      </w:pPr>
      <w:r>
        <w:tab/>
        <w:t>(</w:t>
      </w:r>
      <w:r w:rsidR="00D7756F">
        <w:t>4</w:t>
      </w:r>
      <w:r>
        <w:t>)</w:t>
      </w:r>
      <w:r>
        <w:tab/>
        <w:t xml:space="preserve">For customer cabling, if it is not possible to apply the </w:t>
      </w:r>
      <w:r w:rsidR="00954B06">
        <w:t xml:space="preserve">compliance </w:t>
      </w:r>
      <w:r>
        <w:t>label to a surface of the cabling because of the size or physical nature of the cabling, or it is not practical to apply a label to the surface of the cabling, the label must be applied to the external surface of the packaging used for the cabling.</w:t>
      </w:r>
    </w:p>
    <w:p w:rsidR="00381637" w:rsidRDefault="00381637" w:rsidP="00381637">
      <w:pPr>
        <w:pStyle w:val="R2"/>
      </w:pPr>
      <w:r>
        <w:tab/>
        <w:t>(</w:t>
      </w:r>
      <w:r w:rsidR="00D7756F">
        <w:t>5</w:t>
      </w:r>
      <w:r>
        <w:t>)</w:t>
      </w:r>
      <w:r>
        <w:tab/>
        <w:t xml:space="preserve">A </w:t>
      </w:r>
      <w:r w:rsidR="00954B06">
        <w:t xml:space="preserve">compliance </w:t>
      </w:r>
      <w:r>
        <w:t>label applied to the external surface of the packaging used for an item must:</w:t>
      </w:r>
    </w:p>
    <w:p w:rsidR="00381637" w:rsidRDefault="00381637" w:rsidP="00381637">
      <w:pPr>
        <w:pStyle w:val="P1"/>
      </w:pPr>
      <w:r>
        <w:tab/>
        <w:t>(a)</w:t>
      </w:r>
      <w:r>
        <w:tab/>
        <w:t>occupy an area that is greater than 1% of that external surface; and</w:t>
      </w:r>
    </w:p>
    <w:p w:rsidR="00381637" w:rsidRDefault="00381637" w:rsidP="00381637">
      <w:pPr>
        <w:pStyle w:val="P1"/>
      </w:pPr>
      <w:r>
        <w:tab/>
        <w:t>(b)</w:t>
      </w:r>
      <w:r>
        <w:tab/>
        <w:t>be clearly visible.</w:t>
      </w:r>
    </w:p>
    <w:p w:rsidR="00381637" w:rsidRDefault="00381637" w:rsidP="00381637">
      <w:pPr>
        <w:pStyle w:val="R2"/>
      </w:pPr>
      <w:r>
        <w:tab/>
        <w:t>(</w:t>
      </w:r>
      <w:r w:rsidR="00D7756F">
        <w:t>6</w:t>
      </w:r>
      <w:r>
        <w:t>)</w:t>
      </w:r>
      <w:r>
        <w:tab/>
        <w:t>The supplier of an item to which subsection (</w:t>
      </w:r>
      <w:r w:rsidR="00D7756F">
        <w:t>3</w:t>
      </w:r>
      <w:r>
        <w:t>) or (</w:t>
      </w:r>
      <w:r w:rsidR="00D7756F">
        <w:t>4</w:t>
      </w:r>
      <w:r>
        <w:t>) applies must make and keep a record of:</w:t>
      </w:r>
    </w:p>
    <w:p w:rsidR="00381637" w:rsidRDefault="00381637" w:rsidP="00381637">
      <w:pPr>
        <w:pStyle w:val="P1"/>
      </w:pPr>
      <w:r>
        <w:tab/>
        <w:t>(a)</w:t>
      </w:r>
      <w:r>
        <w:tab/>
        <w:t>the reasons why subsection (</w:t>
      </w:r>
      <w:r w:rsidR="00D7756F">
        <w:t>3</w:t>
      </w:r>
      <w:r>
        <w:t>) or (</w:t>
      </w:r>
      <w:r w:rsidR="00D7756F">
        <w:t>4</w:t>
      </w:r>
      <w:r>
        <w:t>) applies to the item; and</w:t>
      </w:r>
    </w:p>
    <w:p w:rsidR="00381637" w:rsidRPr="00AA41C5" w:rsidRDefault="00381637" w:rsidP="00381637">
      <w:pPr>
        <w:pStyle w:val="P1"/>
      </w:pPr>
      <w:r>
        <w:tab/>
        <w:t>(b)</w:t>
      </w:r>
      <w:r>
        <w:tab/>
        <w:t xml:space="preserve">where each </w:t>
      </w:r>
      <w:r w:rsidR="00954B06">
        <w:t xml:space="preserve">compliance </w:t>
      </w:r>
      <w:r>
        <w:t>label is applied.</w:t>
      </w:r>
    </w:p>
    <w:p w:rsidR="00192519" w:rsidRDefault="00192519" w:rsidP="00192519">
      <w:pPr>
        <w:pStyle w:val="A1S"/>
      </w:pPr>
      <w:bookmarkStart w:id="9" w:name="_Toc312234258"/>
      <w:r>
        <w:t>[</w:t>
      </w:r>
      <w:r w:rsidR="008B4264">
        <w:t>2</w:t>
      </w:r>
      <w:r w:rsidR="00704E4F">
        <w:t>5</w:t>
      </w:r>
      <w:r>
        <w:t>]</w:t>
      </w:r>
      <w:r>
        <w:tab/>
      </w:r>
      <w:r w:rsidR="00E7299C">
        <w:t>Subsection 3.6A (1)</w:t>
      </w:r>
    </w:p>
    <w:p w:rsidR="007B3611" w:rsidRDefault="00B13667">
      <w:pPr>
        <w:pStyle w:val="A2S"/>
        <w:keepNext w:val="0"/>
      </w:pPr>
      <w:r>
        <w:t>i</w:t>
      </w:r>
      <w:r w:rsidR="00097D77">
        <w:t xml:space="preserve">nsert </w:t>
      </w:r>
      <w:r w:rsidR="00097D77">
        <w:rPr>
          <w:i w:val="0"/>
        </w:rPr>
        <w:t xml:space="preserve">“compliance” </w:t>
      </w:r>
      <w:r w:rsidR="005779A4">
        <w:t>before “</w:t>
      </w:r>
      <w:r w:rsidR="005779A4" w:rsidRPr="00AF3D88">
        <w:rPr>
          <w:i w:val="0"/>
        </w:rPr>
        <w:t>label</w:t>
      </w:r>
      <w:r w:rsidR="005779A4">
        <w:t>”</w:t>
      </w:r>
      <w:r w:rsidR="00097D77">
        <w:t>.</w:t>
      </w:r>
    </w:p>
    <w:p w:rsidR="00E7299C" w:rsidRDefault="00E7299C" w:rsidP="00E7299C">
      <w:pPr>
        <w:pStyle w:val="A1S"/>
      </w:pPr>
      <w:r>
        <w:t>[</w:t>
      </w:r>
      <w:r w:rsidR="008B4264">
        <w:t>2</w:t>
      </w:r>
      <w:r w:rsidR="00704E4F">
        <w:t>6</w:t>
      </w:r>
      <w:r>
        <w:t>]</w:t>
      </w:r>
      <w:r>
        <w:tab/>
        <w:t>Subsection 3.6A (4)</w:t>
      </w:r>
    </w:p>
    <w:p w:rsidR="00E7299C" w:rsidRDefault="00E7299C" w:rsidP="00E7299C">
      <w:pPr>
        <w:pStyle w:val="A2S"/>
        <w:keepNext w:val="0"/>
      </w:pPr>
      <w:r>
        <w:t xml:space="preserve">substitute </w:t>
      </w:r>
    </w:p>
    <w:bookmarkEnd w:id="9"/>
    <w:p w:rsidR="00381637" w:rsidRDefault="00381637" w:rsidP="00381637">
      <w:pPr>
        <w:pStyle w:val="R2"/>
      </w:pPr>
      <w:r>
        <w:tab/>
        <w:t>(4)</w:t>
      </w:r>
      <w:r>
        <w:tab/>
        <w:t>Section 3.4 and subsections 3.6 (1), (</w:t>
      </w:r>
      <w:r w:rsidR="00D7756F">
        <w:t>3</w:t>
      </w:r>
      <w:r>
        <w:t>) and (</w:t>
      </w:r>
      <w:r w:rsidR="00D7756F">
        <w:t>5</w:t>
      </w:r>
      <w:r>
        <w:t xml:space="preserve">) do not apply to a </w:t>
      </w:r>
      <w:r w:rsidR="00954B06">
        <w:t xml:space="preserve">compliance </w:t>
      </w:r>
      <w:r>
        <w:t>label applied under this section.</w:t>
      </w:r>
    </w:p>
    <w:p w:rsidR="00430720" w:rsidRDefault="00430720" w:rsidP="00430720">
      <w:pPr>
        <w:pStyle w:val="A1S"/>
        <w:rPr>
          <w:i/>
        </w:rPr>
      </w:pPr>
      <w:r>
        <w:t>[</w:t>
      </w:r>
      <w:r w:rsidR="008B4264">
        <w:t>2</w:t>
      </w:r>
      <w:r w:rsidR="00704E4F">
        <w:t>7</w:t>
      </w:r>
      <w:r>
        <w:t>]</w:t>
      </w:r>
      <w:r>
        <w:tab/>
      </w:r>
      <w:r w:rsidR="008D4514">
        <w:t xml:space="preserve">Division 4.1, </w:t>
      </w:r>
      <w:r w:rsidR="002B706F">
        <w:t xml:space="preserve">Part 4, </w:t>
      </w:r>
      <w:r w:rsidR="00FD0D45">
        <w:t xml:space="preserve">Simplified </w:t>
      </w:r>
      <w:r w:rsidR="00AB0A90">
        <w:t>outline</w:t>
      </w:r>
      <w:r w:rsidR="00FD0D45">
        <w:t xml:space="preserve"> of Part 4</w:t>
      </w:r>
      <w:r w:rsidR="00AB0A90">
        <w:t>, first dot point</w:t>
      </w:r>
    </w:p>
    <w:p w:rsidR="00430720" w:rsidRDefault="00C70918" w:rsidP="00430720">
      <w:pPr>
        <w:pStyle w:val="A2S"/>
        <w:rPr>
          <w:i w:val="0"/>
        </w:rPr>
      </w:pPr>
      <w:r>
        <w:t>s</w:t>
      </w:r>
      <w:r w:rsidR="00430720">
        <w:t>ubstitute</w:t>
      </w:r>
    </w:p>
    <w:p w:rsidR="00F66039" w:rsidRDefault="008D4514">
      <w:pPr>
        <w:pStyle w:val="A3S"/>
        <w:numPr>
          <w:ilvl w:val="0"/>
          <w:numId w:val="11"/>
        </w:numPr>
      </w:pPr>
      <w:r>
        <w:t>Before applying a compliance label to an item, a supplier must:</w:t>
      </w:r>
    </w:p>
    <w:p w:rsidR="00F66039" w:rsidRDefault="008D4514">
      <w:pPr>
        <w:pStyle w:val="A3S"/>
        <w:numPr>
          <w:ilvl w:val="1"/>
          <w:numId w:val="11"/>
        </w:numPr>
      </w:pPr>
      <w:r>
        <w:t>be registered on the national database; or</w:t>
      </w:r>
    </w:p>
    <w:p w:rsidR="00F66039" w:rsidRDefault="00492CAD">
      <w:pPr>
        <w:pStyle w:val="A3S"/>
        <w:numPr>
          <w:ilvl w:val="1"/>
          <w:numId w:val="11"/>
        </w:numPr>
        <w:rPr>
          <w:bCs/>
          <w:lang w:val="en-US"/>
        </w:rPr>
      </w:pPr>
      <w:r w:rsidRPr="00492CAD">
        <w:t>if a national database has not been designated by the ACMA – have been issued a supplier code number</w:t>
      </w:r>
      <w:r w:rsidR="008D4514">
        <w:t>.</w:t>
      </w:r>
    </w:p>
    <w:p w:rsidR="00430720" w:rsidRDefault="00430720" w:rsidP="00430720">
      <w:pPr>
        <w:pStyle w:val="A1S"/>
        <w:rPr>
          <w:i/>
        </w:rPr>
      </w:pPr>
      <w:r>
        <w:t>[</w:t>
      </w:r>
      <w:r w:rsidR="008B4264">
        <w:t>2</w:t>
      </w:r>
      <w:r w:rsidR="00704E4F">
        <w:t>8</w:t>
      </w:r>
      <w:r>
        <w:t>]</w:t>
      </w:r>
      <w:r>
        <w:tab/>
        <w:t>Section</w:t>
      </w:r>
      <w:r w:rsidR="002B706F">
        <w:t xml:space="preserve"> 4.2</w:t>
      </w:r>
    </w:p>
    <w:p w:rsidR="00430720" w:rsidRDefault="00430720" w:rsidP="00430720">
      <w:pPr>
        <w:pStyle w:val="A2S"/>
      </w:pPr>
      <w:r>
        <w:t xml:space="preserve">substitute </w:t>
      </w:r>
    </w:p>
    <w:p w:rsidR="00F66039" w:rsidRDefault="00D844D9">
      <w:pPr>
        <w:pStyle w:val="HR"/>
        <w:ind w:left="2160" w:hanging="2160"/>
        <w:rPr>
          <w:rStyle w:val="CharSectno"/>
          <w:rFonts w:ascii="Times New Roman" w:hAnsi="Times New Roman"/>
          <w:b w:val="0"/>
        </w:rPr>
      </w:pPr>
      <w:r>
        <w:rPr>
          <w:rStyle w:val="CharSectno"/>
        </w:rPr>
        <w:t>Division 4.1</w:t>
      </w:r>
      <w:r w:rsidR="00EF1990">
        <w:rPr>
          <w:rStyle w:val="CharSectno"/>
        </w:rPr>
        <w:t>A</w:t>
      </w:r>
      <w:r>
        <w:rPr>
          <w:rStyle w:val="CharSectno"/>
        </w:rPr>
        <w:tab/>
        <w:t>Registration on national database and issue of supplier code numbers</w:t>
      </w:r>
    </w:p>
    <w:p w:rsidR="00430720" w:rsidRDefault="002B706F" w:rsidP="00430720">
      <w:pPr>
        <w:pStyle w:val="HR"/>
      </w:pPr>
      <w:r>
        <w:rPr>
          <w:rStyle w:val="CharSectno"/>
        </w:rPr>
        <w:t>4.2</w:t>
      </w:r>
      <w:r w:rsidR="00430720">
        <w:tab/>
      </w:r>
      <w:r w:rsidR="00121235">
        <w:t>Use of RCM subject to registration on national database or issue of supplier code number</w:t>
      </w:r>
      <w:r w:rsidR="00430720">
        <w:t xml:space="preserve"> </w:t>
      </w:r>
    </w:p>
    <w:p w:rsidR="00DD304C" w:rsidRPr="00BB7E93" w:rsidRDefault="00121235" w:rsidP="00DD304C">
      <w:pPr>
        <w:pStyle w:val="R1"/>
      </w:pPr>
      <w:r>
        <w:tab/>
      </w:r>
      <w:r w:rsidR="008D4514">
        <w:tab/>
      </w:r>
      <w:r w:rsidR="00DD304C">
        <w:t>A supplier must</w:t>
      </w:r>
      <w:r>
        <w:t>, before a compliance label consisting of the RCM is applied to a</w:t>
      </w:r>
      <w:r w:rsidR="0043058D">
        <w:t>n item</w:t>
      </w:r>
      <w:r>
        <w:t>, either:</w:t>
      </w:r>
    </w:p>
    <w:p w:rsidR="00121235" w:rsidRDefault="00097D77" w:rsidP="00DD304C">
      <w:pPr>
        <w:pStyle w:val="P1"/>
      </w:pPr>
      <w:r>
        <w:tab/>
      </w:r>
      <w:r w:rsidR="00DD304C" w:rsidRPr="006104A6">
        <w:t>(a)</w:t>
      </w:r>
      <w:r w:rsidR="00DD304C" w:rsidRPr="006104A6">
        <w:tab/>
      </w:r>
      <w:r w:rsidR="00121235">
        <w:t>be registered on the national database; or</w:t>
      </w:r>
    </w:p>
    <w:p w:rsidR="00F66039" w:rsidRDefault="00097D77">
      <w:pPr>
        <w:pStyle w:val="P1"/>
      </w:pPr>
      <w:r>
        <w:tab/>
      </w:r>
      <w:r w:rsidR="00DD304C" w:rsidRPr="006104A6">
        <w:t>(b)</w:t>
      </w:r>
      <w:r w:rsidR="00DD304C" w:rsidRPr="006104A6">
        <w:tab/>
      </w:r>
      <w:r w:rsidR="00121235">
        <w:t xml:space="preserve">if the ACMA has not designated in writing a national database for the purposes of this </w:t>
      </w:r>
      <w:r w:rsidR="00A55CE4">
        <w:t>Division</w:t>
      </w:r>
      <w:r w:rsidR="00121235">
        <w:t xml:space="preserve"> – have been issued a supplier code number.  </w:t>
      </w:r>
    </w:p>
    <w:p w:rsidR="00430720" w:rsidRDefault="002B706F" w:rsidP="00430720">
      <w:pPr>
        <w:pStyle w:val="HR"/>
      </w:pPr>
      <w:r>
        <w:rPr>
          <w:rStyle w:val="CharSectno"/>
        </w:rPr>
        <w:t>4.2A</w:t>
      </w:r>
      <w:r w:rsidR="00430720">
        <w:tab/>
        <w:t xml:space="preserve">Registration </w:t>
      </w:r>
      <w:r w:rsidR="00121235">
        <w:t>on national database</w:t>
      </w:r>
    </w:p>
    <w:p w:rsidR="00775278" w:rsidRDefault="007B3C4F" w:rsidP="00775278">
      <w:pPr>
        <w:pStyle w:val="R1"/>
      </w:pPr>
      <w:r>
        <w:rPr>
          <w:color w:val="000000"/>
        </w:rPr>
        <w:tab/>
      </w:r>
      <w:r w:rsidRPr="007B3C4F">
        <w:rPr>
          <w:color w:val="000000"/>
        </w:rPr>
        <w:t>(1)</w:t>
      </w:r>
      <w:r>
        <w:rPr>
          <w:color w:val="000000"/>
        </w:rPr>
        <w:tab/>
      </w:r>
      <w:r w:rsidR="00775278">
        <w:t xml:space="preserve">To be registered on the national database a supplier must, </w:t>
      </w:r>
      <w:r w:rsidR="00775278" w:rsidRPr="00DC68FF">
        <w:t xml:space="preserve">using a method which the database indicates is a method for including information </w:t>
      </w:r>
      <w:r w:rsidR="00775278">
        <w:t>on</w:t>
      </w:r>
      <w:r w:rsidR="00775278" w:rsidRPr="00DC68FF">
        <w:t xml:space="preserve"> the database</w:t>
      </w:r>
      <w:r w:rsidR="00775278">
        <w:t>, provide:</w:t>
      </w:r>
    </w:p>
    <w:p w:rsidR="00775278" w:rsidRDefault="00097D77" w:rsidP="00775278">
      <w:pPr>
        <w:pStyle w:val="P1"/>
      </w:pPr>
      <w:r>
        <w:tab/>
      </w:r>
      <w:r w:rsidR="00775278">
        <w:t>(a)</w:t>
      </w:r>
      <w:r w:rsidR="00775278">
        <w:tab/>
        <w:t>information identifying the supplier;</w:t>
      </w:r>
    </w:p>
    <w:p w:rsidR="00775278" w:rsidRDefault="00097D77" w:rsidP="00775278">
      <w:pPr>
        <w:pStyle w:val="P1"/>
      </w:pPr>
      <w:r>
        <w:tab/>
      </w:r>
      <w:r w:rsidR="00775278">
        <w:t>(b)</w:t>
      </w:r>
      <w:r w:rsidR="00775278">
        <w:tab/>
        <w:t>the supplier’s address in Australia; and</w:t>
      </w:r>
    </w:p>
    <w:p w:rsidR="00430720" w:rsidRDefault="00097D77" w:rsidP="00775278">
      <w:pPr>
        <w:pStyle w:val="P1"/>
        <w:rPr>
          <w:color w:val="000000"/>
        </w:rPr>
      </w:pPr>
      <w:r>
        <w:tab/>
      </w:r>
      <w:r w:rsidR="00775278">
        <w:t>(c)</w:t>
      </w:r>
      <w:r w:rsidR="00775278">
        <w:tab/>
        <w:t>the name and contact details of a representative of the supplier.</w:t>
      </w:r>
    </w:p>
    <w:p w:rsidR="007B3C4F" w:rsidRDefault="007B3C4F" w:rsidP="00430720">
      <w:pPr>
        <w:pStyle w:val="R2"/>
        <w:rPr>
          <w:color w:val="000000"/>
        </w:rPr>
      </w:pPr>
      <w:r>
        <w:rPr>
          <w:color w:val="000000"/>
        </w:rPr>
        <w:tab/>
        <w:t>(2)</w:t>
      </w:r>
      <w:r>
        <w:rPr>
          <w:color w:val="000000"/>
        </w:rPr>
        <w:tab/>
      </w:r>
      <w:r w:rsidR="00775278" w:rsidRPr="00775278">
        <w:t xml:space="preserve"> </w:t>
      </w:r>
      <w:r w:rsidR="00775278">
        <w:t xml:space="preserve">For paragraph (1) (a), information identifying a supplier consists of the </w:t>
      </w:r>
      <w:r w:rsidR="001C1215">
        <w:t xml:space="preserve">supplier’s </w:t>
      </w:r>
      <w:r w:rsidR="00775278">
        <w:t>ABN and 1 of the following pieces of information in relation to the supplier</w:t>
      </w:r>
      <w:r>
        <w:rPr>
          <w:color w:val="000000"/>
        </w:rPr>
        <w:t xml:space="preserve">: </w:t>
      </w:r>
    </w:p>
    <w:p w:rsidR="005A6171" w:rsidRPr="006104A6" w:rsidRDefault="005A6171" w:rsidP="005A6171">
      <w:pPr>
        <w:pStyle w:val="P1"/>
      </w:pPr>
      <w:r>
        <w:tab/>
      </w:r>
      <w:r w:rsidRPr="006104A6">
        <w:t>(a)</w:t>
      </w:r>
      <w:r w:rsidRPr="006104A6">
        <w:tab/>
      </w:r>
      <w:r>
        <w:t>if the supplier is a body corporate, the name of the body corporate</w:t>
      </w:r>
      <w:r w:rsidRPr="006104A6">
        <w:t>;</w:t>
      </w:r>
    </w:p>
    <w:p w:rsidR="001C1215" w:rsidRDefault="005A6171" w:rsidP="005A6171">
      <w:pPr>
        <w:pStyle w:val="P1"/>
      </w:pPr>
      <w:r w:rsidRPr="006104A6">
        <w:tab/>
        <w:t>(b)</w:t>
      </w:r>
      <w:r w:rsidRPr="006104A6">
        <w:tab/>
      </w:r>
      <w:r w:rsidR="001C1215">
        <w:t xml:space="preserve">if the supplier is an individual, the </w:t>
      </w:r>
      <w:r w:rsidR="001C1215" w:rsidRPr="006104A6">
        <w:t>name</w:t>
      </w:r>
      <w:r w:rsidR="001C1215">
        <w:t xml:space="preserve"> of the individual; </w:t>
      </w:r>
    </w:p>
    <w:p w:rsidR="005A6171" w:rsidRPr="006104A6" w:rsidRDefault="001C1215" w:rsidP="005A6171">
      <w:pPr>
        <w:pStyle w:val="P1"/>
      </w:pPr>
      <w:r>
        <w:tab/>
        <w:t>(c)</w:t>
      </w:r>
      <w:r>
        <w:tab/>
      </w:r>
      <w:r w:rsidR="005A6171">
        <w:t xml:space="preserve">a </w:t>
      </w:r>
      <w:r w:rsidR="005A6171" w:rsidRPr="006104A6">
        <w:t xml:space="preserve">business name </w:t>
      </w:r>
      <w:r w:rsidR="005A6171">
        <w:t xml:space="preserve">used by the supplier in connection with its business as a supplier and </w:t>
      </w:r>
      <w:r w:rsidR="005A6171" w:rsidRPr="006104A6">
        <w:t xml:space="preserve">registered </w:t>
      </w:r>
      <w:r>
        <w:t xml:space="preserve">as a business name under the </w:t>
      </w:r>
      <w:r>
        <w:rPr>
          <w:i/>
        </w:rPr>
        <w:t>Business Names Registration Act 2011</w:t>
      </w:r>
      <w:r>
        <w:t xml:space="preserve">. </w:t>
      </w:r>
    </w:p>
    <w:p w:rsidR="005A6171" w:rsidRDefault="005A6171" w:rsidP="005A6171">
      <w:pPr>
        <w:pStyle w:val="R1"/>
      </w:pPr>
      <w:r>
        <w:tab/>
        <w:t>(3)</w:t>
      </w:r>
      <w:r>
        <w:tab/>
      </w:r>
      <w:r w:rsidR="00775278">
        <w:t xml:space="preserve">If the information provided by a supplier for inclusion in the national database subsequently changes, the supplier must, </w:t>
      </w:r>
      <w:r w:rsidR="00775278" w:rsidRPr="00DC68FF">
        <w:t xml:space="preserve">within 30 days </w:t>
      </w:r>
      <w:r w:rsidR="00775278">
        <w:t>after</w:t>
      </w:r>
      <w:r w:rsidR="00775278" w:rsidRPr="00DC68FF">
        <w:t xml:space="preserve"> the change occur</w:t>
      </w:r>
      <w:r w:rsidR="00775278">
        <w:t>s</w:t>
      </w:r>
      <w:r w:rsidR="00775278" w:rsidRPr="00DC68FF">
        <w:t>, update the national database with the changed information using a method which the database indicates is a method for updating information on the database</w:t>
      </w:r>
      <w:r>
        <w:t>.</w:t>
      </w:r>
    </w:p>
    <w:p w:rsidR="00775278" w:rsidRDefault="00775278" w:rsidP="00775278">
      <w:pPr>
        <w:pStyle w:val="R1"/>
      </w:pPr>
      <w:r>
        <w:tab/>
        <w:t>(4)</w:t>
      </w:r>
      <w:r>
        <w:tab/>
        <w:t xml:space="preserve">In this section: </w:t>
      </w:r>
    </w:p>
    <w:p w:rsidR="001C1215" w:rsidRPr="00891717" w:rsidRDefault="001C1215" w:rsidP="001C1215">
      <w:pPr>
        <w:pStyle w:val="R2"/>
      </w:pPr>
      <w:r>
        <w:rPr>
          <w:b/>
          <w:i/>
        </w:rPr>
        <w:tab/>
      </w:r>
      <w:r>
        <w:rPr>
          <w:b/>
          <w:i/>
        </w:rPr>
        <w:tab/>
        <w:t>ABN</w:t>
      </w:r>
      <w:r>
        <w:t xml:space="preserve"> has the same meaning as in the </w:t>
      </w:r>
      <w:r w:rsidRPr="006104A6">
        <w:rPr>
          <w:i/>
          <w:iCs/>
        </w:rPr>
        <w:t>A New Tax System (Australian Business Number) Act 1999</w:t>
      </w:r>
      <w:r>
        <w:rPr>
          <w:iCs/>
        </w:rPr>
        <w:t>.</w:t>
      </w:r>
    </w:p>
    <w:p w:rsidR="00775278" w:rsidRDefault="00775278" w:rsidP="00775278">
      <w:pPr>
        <w:pStyle w:val="R2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Pr="0029554A">
        <w:rPr>
          <w:b/>
          <w:i/>
        </w:rPr>
        <w:t>r</w:t>
      </w:r>
      <w:r>
        <w:rPr>
          <w:b/>
          <w:i/>
        </w:rPr>
        <w:t>epresentative</w:t>
      </w:r>
      <w:r>
        <w:t xml:space="preserve"> </w:t>
      </w:r>
      <w:r w:rsidRPr="0029554A">
        <w:rPr>
          <w:b/>
          <w:i/>
        </w:rPr>
        <w:t>of the supplier</w:t>
      </w:r>
      <w:r w:rsidRPr="0029554A">
        <w:t xml:space="preserve"> means:</w:t>
      </w:r>
    </w:p>
    <w:p w:rsidR="00775278" w:rsidRDefault="00775278" w:rsidP="00775278">
      <w:pPr>
        <w:pStyle w:val="P1"/>
        <w:numPr>
          <w:ilvl w:val="0"/>
          <w:numId w:val="12"/>
        </w:numPr>
      </w:pPr>
      <w:r>
        <w:t xml:space="preserve">an employee of the supplier; </w:t>
      </w:r>
    </w:p>
    <w:p w:rsidR="00775278" w:rsidRDefault="00775278" w:rsidP="00775278">
      <w:pPr>
        <w:pStyle w:val="P1"/>
        <w:numPr>
          <w:ilvl w:val="0"/>
          <w:numId w:val="12"/>
        </w:numPr>
      </w:pPr>
      <w:r>
        <w:t>an officer of the supplier; or</w:t>
      </w:r>
    </w:p>
    <w:p w:rsidR="00775278" w:rsidRDefault="00775278" w:rsidP="00775278">
      <w:pPr>
        <w:pStyle w:val="P1"/>
        <w:numPr>
          <w:ilvl w:val="0"/>
          <w:numId w:val="12"/>
        </w:numPr>
      </w:pPr>
      <w:r>
        <w:t xml:space="preserve">a person authorised in writing for the purposes of this section by the supplier or an employee or officer of the supplier.  </w:t>
      </w:r>
    </w:p>
    <w:p w:rsidR="00775278" w:rsidRDefault="00775278" w:rsidP="00775278">
      <w:pPr>
        <w:pStyle w:val="R2"/>
      </w:pPr>
      <w:r>
        <w:rPr>
          <w:b/>
          <w:i/>
        </w:rPr>
        <w:tab/>
      </w:r>
      <w:r>
        <w:rPr>
          <w:b/>
          <w:i/>
        </w:rPr>
        <w:tab/>
        <w:t>officer</w:t>
      </w:r>
      <w:r w:rsidR="00597CAB">
        <w:rPr>
          <w:b/>
          <w:i/>
        </w:rPr>
        <w:t xml:space="preserve"> of the supplier</w:t>
      </w:r>
      <w:r>
        <w:rPr>
          <w:b/>
          <w:i/>
        </w:rPr>
        <w:t xml:space="preserve"> </w:t>
      </w:r>
      <w:r>
        <w:t>means:</w:t>
      </w:r>
    </w:p>
    <w:p w:rsidR="00775278" w:rsidRDefault="00775278" w:rsidP="00775278">
      <w:pPr>
        <w:pStyle w:val="P1"/>
        <w:numPr>
          <w:ilvl w:val="0"/>
          <w:numId w:val="13"/>
        </w:numPr>
      </w:pPr>
      <w:r>
        <w:t xml:space="preserve">if the supplier is a corporation for the purposes of the </w:t>
      </w:r>
      <w:r>
        <w:rPr>
          <w:i/>
        </w:rPr>
        <w:t xml:space="preserve">Corporations Act </w:t>
      </w:r>
      <w:r w:rsidRPr="000E7F1D">
        <w:rPr>
          <w:i/>
        </w:rPr>
        <w:t>2001</w:t>
      </w:r>
      <w:r>
        <w:t xml:space="preserve">, an officer of a corporation as that term is defined in section 9 of the </w:t>
      </w:r>
      <w:r>
        <w:rPr>
          <w:i/>
        </w:rPr>
        <w:t>Corporations Act 2001</w:t>
      </w:r>
      <w:r>
        <w:t>; or</w:t>
      </w:r>
    </w:p>
    <w:p w:rsidR="00775278" w:rsidRPr="00775278" w:rsidRDefault="00775278" w:rsidP="00775278">
      <w:pPr>
        <w:pStyle w:val="P1"/>
        <w:numPr>
          <w:ilvl w:val="0"/>
          <w:numId w:val="13"/>
        </w:numPr>
      </w:pPr>
      <w:r>
        <w:t xml:space="preserve">if the supplier is an entity that is neither an individual nor a corporation for the purposes of the </w:t>
      </w:r>
      <w:r w:rsidRPr="00775278">
        <w:rPr>
          <w:i/>
        </w:rPr>
        <w:t>Corporations Act 2001</w:t>
      </w:r>
      <w:r>
        <w:t xml:space="preserve">, an officer of that entity as defined in section 9 of the </w:t>
      </w:r>
      <w:r w:rsidRPr="00775278">
        <w:rPr>
          <w:i/>
        </w:rPr>
        <w:t>Corporations Act 2001</w:t>
      </w:r>
      <w:r>
        <w:t xml:space="preserve">.  </w:t>
      </w:r>
    </w:p>
    <w:p w:rsidR="005A6171" w:rsidRDefault="005A6171" w:rsidP="005A6171">
      <w:pPr>
        <w:pStyle w:val="R2"/>
        <w:tabs>
          <w:tab w:val="clear" w:pos="794"/>
        </w:tabs>
        <w:ind w:left="993" w:hanging="29"/>
        <w:rPr>
          <w:sz w:val="20"/>
          <w:szCs w:val="20"/>
        </w:rPr>
      </w:pPr>
      <w:r w:rsidRPr="00D006E5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 xml:space="preserve"> 1</w:t>
      </w:r>
      <w:r w:rsidRPr="007268CE">
        <w:rPr>
          <w:i/>
          <w:sz w:val="20"/>
          <w:szCs w:val="20"/>
        </w:rPr>
        <w:tab/>
      </w:r>
      <w:r w:rsidRPr="007268CE">
        <w:rPr>
          <w:sz w:val="20"/>
          <w:szCs w:val="20"/>
        </w:rPr>
        <w:t xml:space="preserve">The requirement </w:t>
      </w:r>
      <w:r>
        <w:rPr>
          <w:sz w:val="20"/>
          <w:szCs w:val="20"/>
        </w:rPr>
        <w:t xml:space="preserve">for a supplier </w:t>
      </w:r>
      <w:r w:rsidRPr="007268CE">
        <w:rPr>
          <w:sz w:val="20"/>
          <w:szCs w:val="20"/>
        </w:rPr>
        <w:t xml:space="preserve">to update </w:t>
      </w:r>
      <w:r>
        <w:rPr>
          <w:sz w:val="20"/>
          <w:szCs w:val="20"/>
        </w:rPr>
        <w:t>the information provided by it for inclusion in the national database imposed</w:t>
      </w:r>
      <w:r w:rsidRPr="007268CE">
        <w:rPr>
          <w:sz w:val="20"/>
          <w:szCs w:val="20"/>
        </w:rPr>
        <w:t xml:space="preserve"> under </w:t>
      </w:r>
      <w:r>
        <w:rPr>
          <w:sz w:val="20"/>
          <w:szCs w:val="20"/>
        </w:rPr>
        <w:t>sub</w:t>
      </w:r>
      <w:r w:rsidRPr="007268CE">
        <w:rPr>
          <w:sz w:val="20"/>
          <w:szCs w:val="20"/>
        </w:rPr>
        <w:t>section 4.2</w:t>
      </w:r>
      <w:r>
        <w:rPr>
          <w:sz w:val="20"/>
          <w:szCs w:val="20"/>
        </w:rPr>
        <w:t xml:space="preserve">A (3) is an ongoing requirement.  </w:t>
      </w:r>
      <w:r w:rsidRPr="007268CE">
        <w:rPr>
          <w:sz w:val="20"/>
          <w:szCs w:val="20"/>
        </w:rPr>
        <w:t>Under section 187A of the Act, a supplier that fails to comply with a specific requirement that must be met after a label has been applied to a</w:t>
      </w:r>
      <w:r w:rsidR="0043058D">
        <w:rPr>
          <w:sz w:val="20"/>
          <w:szCs w:val="20"/>
        </w:rPr>
        <w:t>n item</w:t>
      </w:r>
      <w:r w:rsidRPr="007268CE">
        <w:rPr>
          <w:sz w:val="20"/>
          <w:szCs w:val="20"/>
        </w:rPr>
        <w:t xml:space="preserve"> may be subject to a </w:t>
      </w:r>
      <w:r>
        <w:rPr>
          <w:sz w:val="20"/>
          <w:szCs w:val="20"/>
        </w:rPr>
        <w:t xml:space="preserve">pecuniary </w:t>
      </w:r>
      <w:r w:rsidRPr="007268CE">
        <w:rPr>
          <w:sz w:val="20"/>
          <w:szCs w:val="20"/>
        </w:rPr>
        <w:t>penalty.</w:t>
      </w:r>
      <w:r>
        <w:rPr>
          <w:sz w:val="20"/>
          <w:szCs w:val="20"/>
        </w:rPr>
        <w:t xml:space="preserve"> </w:t>
      </w:r>
    </w:p>
    <w:p w:rsidR="005A6171" w:rsidRDefault="005A6171" w:rsidP="005A6171">
      <w:pPr>
        <w:pStyle w:val="R2"/>
        <w:tabs>
          <w:tab w:val="clear" w:pos="794"/>
        </w:tabs>
        <w:ind w:left="993" w:hanging="29"/>
        <w:rPr>
          <w:sz w:val="20"/>
          <w:szCs w:val="20"/>
        </w:rPr>
      </w:pPr>
      <w:r>
        <w:rPr>
          <w:i/>
          <w:sz w:val="20"/>
          <w:szCs w:val="20"/>
        </w:rPr>
        <w:t>Note 2</w:t>
      </w:r>
      <w:r>
        <w:rPr>
          <w:sz w:val="20"/>
          <w:szCs w:val="20"/>
        </w:rPr>
        <w:tab/>
      </w:r>
      <w:r w:rsidRPr="00DC68FF">
        <w:rPr>
          <w:sz w:val="20"/>
          <w:szCs w:val="20"/>
        </w:rPr>
        <w:t xml:space="preserve">Information provided by a supplier for inclusion </w:t>
      </w:r>
      <w:r>
        <w:rPr>
          <w:sz w:val="20"/>
          <w:szCs w:val="20"/>
        </w:rPr>
        <w:t>on</w:t>
      </w:r>
      <w:r w:rsidRPr="00DC68FF">
        <w:rPr>
          <w:sz w:val="20"/>
          <w:szCs w:val="20"/>
        </w:rPr>
        <w:t xml:space="preserve"> the national database </w:t>
      </w:r>
      <w:r>
        <w:rPr>
          <w:sz w:val="20"/>
          <w:szCs w:val="20"/>
        </w:rPr>
        <w:t>for the purposes of this Notice will</w:t>
      </w:r>
      <w:r w:rsidRPr="00DC68FF">
        <w:rPr>
          <w:sz w:val="20"/>
          <w:szCs w:val="20"/>
        </w:rPr>
        <w:t xml:space="preserve"> be made publicly available.</w:t>
      </w:r>
    </w:p>
    <w:p w:rsidR="007B3C4F" w:rsidRDefault="007B3C4F" w:rsidP="007B3C4F">
      <w:pPr>
        <w:pStyle w:val="HR"/>
      </w:pPr>
      <w:r>
        <w:rPr>
          <w:rStyle w:val="CharSectno"/>
        </w:rPr>
        <w:t>4.2B</w:t>
      </w:r>
      <w:r>
        <w:tab/>
        <w:t>Use of A-Tick</w:t>
      </w:r>
      <w:r w:rsidR="001875FF">
        <w:t xml:space="preserve"> mark</w:t>
      </w:r>
      <w:r>
        <w:t xml:space="preserve"> </w:t>
      </w:r>
    </w:p>
    <w:p w:rsidR="00D40170" w:rsidRDefault="00D3032F">
      <w:pPr>
        <w:pStyle w:val="definition"/>
        <w:rPr>
          <w:bCs/>
          <w:iCs/>
        </w:rPr>
      </w:pPr>
      <w:r>
        <w:t xml:space="preserve">Before a supplier applies </w:t>
      </w:r>
      <w:r w:rsidR="007B3C4F">
        <w:rPr>
          <w:bCs/>
          <w:iCs/>
        </w:rPr>
        <w:t>a compliance label consisting of the A-Tick</w:t>
      </w:r>
      <w:r w:rsidR="005A5C2F">
        <w:rPr>
          <w:bCs/>
          <w:iCs/>
        </w:rPr>
        <w:t xml:space="preserve"> mark</w:t>
      </w:r>
      <w:r w:rsidR="007B3C4F">
        <w:rPr>
          <w:bCs/>
          <w:iCs/>
        </w:rPr>
        <w:t xml:space="preserve"> to a</w:t>
      </w:r>
      <w:r w:rsidR="0043058D">
        <w:rPr>
          <w:bCs/>
          <w:iCs/>
        </w:rPr>
        <w:t>n item</w:t>
      </w:r>
      <w:r>
        <w:rPr>
          <w:bCs/>
          <w:iCs/>
        </w:rPr>
        <w:t>,</w:t>
      </w:r>
      <w:r w:rsidR="007B3C4F">
        <w:rPr>
          <w:bCs/>
          <w:iCs/>
        </w:rPr>
        <w:t xml:space="preserve"> the supplier </w:t>
      </w:r>
      <w:r>
        <w:rPr>
          <w:bCs/>
          <w:iCs/>
        </w:rPr>
        <w:t xml:space="preserve">must </w:t>
      </w:r>
      <w:r w:rsidR="007B3C4F">
        <w:rPr>
          <w:bCs/>
          <w:iCs/>
        </w:rPr>
        <w:t>ha</w:t>
      </w:r>
      <w:r>
        <w:rPr>
          <w:bCs/>
          <w:iCs/>
        </w:rPr>
        <w:t>ve</w:t>
      </w:r>
      <w:r w:rsidR="007B3C4F">
        <w:rPr>
          <w:bCs/>
          <w:iCs/>
        </w:rPr>
        <w:t xml:space="preserve"> been issued a supplier code number by the ACMA. </w:t>
      </w:r>
    </w:p>
    <w:p w:rsidR="007B3C4F" w:rsidRDefault="007B3C4F" w:rsidP="007B3C4F">
      <w:pPr>
        <w:pStyle w:val="HR"/>
      </w:pPr>
      <w:r>
        <w:rPr>
          <w:rStyle w:val="CharSectno"/>
        </w:rPr>
        <w:t>4.2C</w:t>
      </w:r>
      <w:r>
        <w:tab/>
        <w:t>Issue of a supplier code number</w:t>
      </w:r>
    </w:p>
    <w:p w:rsidR="00D40170" w:rsidRDefault="007B3C4F">
      <w:pPr>
        <w:pStyle w:val="R1"/>
        <w:rPr>
          <w:color w:val="000000"/>
        </w:rPr>
      </w:pPr>
      <w:r>
        <w:rPr>
          <w:color w:val="000000"/>
        </w:rPr>
        <w:tab/>
      </w:r>
      <w:r w:rsidRPr="007B3C4F">
        <w:rPr>
          <w:color w:val="000000"/>
        </w:rPr>
        <w:t>(1)</w:t>
      </w:r>
      <w:r>
        <w:rPr>
          <w:color w:val="000000"/>
        </w:rPr>
        <w:tab/>
        <w:t xml:space="preserve">This section applies unless the ACMA has designated in writing a national database for the purposes of Part 4. </w:t>
      </w:r>
    </w:p>
    <w:p w:rsidR="00D40170" w:rsidRDefault="007B3C4F">
      <w:pPr>
        <w:pStyle w:val="R2"/>
      </w:pPr>
      <w:r>
        <w:tab/>
        <w:t>(2)</w:t>
      </w:r>
      <w:r>
        <w:tab/>
        <w:t xml:space="preserve">A supplier may apply in writing to the ACMA for </w:t>
      </w:r>
      <w:r w:rsidR="00871B88">
        <w:t xml:space="preserve">a </w:t>
      </w:r>
      <w:r>
        <w:t xml:space="preserve">supplier code number. </w:t>
      </w:r>
    </w:p>
    <w:p w:rsidR="00D40170" w:rsidRDefault="007B3C4F">
      <w:pPr>
        <w:pStyle w:val="R2"/>
      </w:pPr>
      <w:r>
        <w:tab/>
        <w:t>(3)</w:t>
      </w:r>
      <w:r>
        <w:tab/>
        <w:t xml:space="preserve">The application must be in a form approved by the ACMA. </w:t>
      </w:r>
    </w:p>
    <w:p w:rsidR="007B3C4F" w:rsidRDefault="007B3C4F" w:rsidP="007B3C4F">
      <w:pPr>
        <w:pStyle w:val="ZNote"/>
        <w:keepNext w:val="0"/>
      </w:pPr>
      <w:r>
        <w:rPr>
          <w:i/>
        </w:rPr>
        <w:t>Note</w:t>
      </w:r>
      <w:r>
        <w:rPr>
          <w:i/>
        </w:rPr>
        <w:tab/>
      </w:r>
      <w:r>
        <w:rPr>
          <w:i/>
        </w:rPr>
        <w:tab/>
      </w:r>
      <w:r>
        <w:t xml:space="preserve">The ACMA makes approved forms available on its website. </w:t>
      </w:r>
    </w:p>
    <w:p w:rsidR="007B3C4F" w:rsidRDefault="007B3C4F" w:rsidP="007B3C4F">
      <w:pPr>
        <w:pStyle w:val="R2"/>
      </w:pPr>
      <w:r>
        <w:tab/>
        <w:t>(4)</w:t>
      </w:r>
      <w:r>
        <w:tab/>
        <w:t xml:space="preserve">Upon such application being made, the ACMA may issue to the supplier a supplier code number. </w:t>
      </w:r>
    </w:p>
    <w:p w:rsidR="00510BEE" w:rsidRDefault="00510BEE" w:rsidP="00510BEE">
      <w:pPr>
        <w:pStyle w:val="A1S"/>
      </w:pPr>
      <w:r>
        <w:t>[</w:t>
      </w:r>
      <w:r w:rsidR="008B4264">
        <w:t>2</w:t>
      </w:r>
      <w:r w:rsidR="00704E4F">
        <w:t>9</w:t>
      </w:r>
      <w:r>
        <w:t>]</w:t>
      </w:r>
      <w:r>
        <w:tab/>
        <w:t>Paragraph 6.1 (3) (c)</w:t>
      </w:r>
    </w:p>
    <w:p w:rsidR="00871B88" w:rsidRDefault="00B13667" w:rsidP="00871B88">
      <w:pPr>
        <w:pStyle w:val="A2S"/>
        <w:keepNext w:val="0"/>
      </w:pPr>
      <w:r>
        <w:t>i</w:t>
      </w:r>
      <w:r w:rsidR="00871B88">
        <w:t xml:space="preserve">nsert </w:t>
      </w:r>
      <w:r w:rsidR="00871B88">
        <w:rPr>
          <w:i w:val="0"/>
        </w:rPr>
        <w:t xml:space="preserve">“compliance” </w:t>
      </w:r>
      <w:r w:rsidR="00871B88" w:rsidRPr="00E66A9F">
        <w:t>before</w:t>
      </w:r>
      <w:r w:rsidR="00871B88" w:rsidRPr="00097D77">
        <w:rPr>
          <w:i w:val="0"/>
        </w:rPr>
        <w:t xml:space="preserve"> “label”</w:t>
      </w:r>
      <w:r w:rsidR="00871B88">
        <w:t>.</w:t>
      </w:r>
    </w:p>
    <w:p w:rsidR="00344D1B" w:rsidRDefault="00871B88" w:rsidP="00344D1B">
      <w:pPr>
        <w:pStyle w:val="A1S"/>
      </w:pPr>
      <w:r w:rsidDel="00871B88">
        <w:t xml:space="preserve"> </w:t>
      </w:r>
      <w:r w:rsidR="00344D1B">
        <w:t>[</w:t>
      </w:r>
      <w:r w:rsidR="00704E4F">
        <w:t>30</w:t>
      </w:r>
      <w:r w:rsidR="00344D1B">
        <w:t>]</w:t>
      </w:r>
      <w:r w:rsidR="00344D1B">
        <w:tab/>
        <w:t>Schedule 2, item 8</w:t>
      </w:r>
      <w:r w:rsidR="00775278">
        <w:t xml:space="preserve"> </w:t>
      </w:r>
      <w:r w:rsidR="00344D1B">
        <w:t>(b)</w:t>
      </w:r>
      <w:r w:rsidR="00775278">
        <w:t xml:space="preserve"> </w:t>
      </w:r>
      <w:r w:rsidR="00344D1B">
        <w:t>(i)</w:t>
      </w:r>
    </w:p>
    <w:p w:rsidR="00871B88" w:rsidRDefault="00B13667" w:rsidP="00871B88">
      <w:pPr>
        <w:pStyle w:val="A2S"/>
        <w:keepNext w:val="0"/>
      </w:pPr>
      <w:r>
        <w:t>i</w:t>
      </w:r>
      <w:r w:rsidR="00871B88">
        <w:t xml:space="preserve">nsert </w:t>
      </w:r>
      <w:r w:rsidR="00871B88">
        <w:rPr>
          <w:i w:val="0"/>
        </w:rPr>
        <w:t xml:space="preserve">“compliance” </w:t>
      </w:r>
      <w:r w:rsidR="00871B88" w:rsidRPr="00E66A9F">
        <w:t>before</w:t>
      </w:r>
      <w:r w:rsidR="00871B88" w:rsidRPr="00097D77">
        <w:rPr>
          <w:i w:val="0"/>
        </w:rPr>
        <w:t xml:space="preserve"> “label”</w:t>
      </w:r>
      <w:r w:rsidR="00871B88">
        <w:t>.</w:t>
      </w:r>
    </w:p>
    <w:p w:rsidR="009F6849" w:rsidRDefault="009F6849" w:rsidP="009F6849">
      <w:pPr>
        <w:pStyle w:val="A1S"/>
      </w:pPr>
      <w:r>
        <w:t>[31]</w:t>
      </w:r>
      <w:r>
        <w:tab/>
      </w:r>
      <w:r w:rsidR="001F111F">
        <w:t>Subsection</w:t>
      </w:r>
      <w:r>
        <w:t xml:space="preserve"> 7.2 (2)</w:t>
      </w:r>
    </w:p>
    <w:p w:rsidR="009F6849" w:rsidRDefault="009F6849" w:rsidP="009F6849">
      <w:pPr>
        <w:pStyle w:val="A2S"/>
        <w:rPr>
          <w:rFonts w:ascii="Arial" w:hAnsi="Arial"/>
          <w:b/>
          <w:sz w:val="32"/>
          <w:lang w:eastAsia="en-US"/>
        </w:rPr>
      </w:pPr>
      <w:r>
        <w:t xml:space="preserve">substitute </w:t>
      </w:r>
    </w:p>
    <w:p w:rsidR="001F111F" w:rsidRDefault="001F111F" w:rsidP="001F111F">
      <w:pPr>
        <w:pStyle w:val="R2"/>
      </w:pPr>
      <w:r>
        <w:tab/>
        <w:t>(2)</w:t>
      </w:r>
      <w:r>
        <w:tab/>
        <w:t xml:space="preserve">The supplier </w:t>
      </w:r>
      <w:r w:rsidRPr="001F111F">
        <w:t>must not apply a compliance label to the item.</w:t>
      </w:r>
      <w:r>
        <w:t xml:space="preserve"> </w:t>
      </w:r>
    </w:p>
    <w:p w:rsidR="009F6849" w:rsidRDefault="009F6849" w:rsidP="009F6849">
      <w:pPr>
        <w:pStyle w:val="definition"/>
        <w:rPr>
          <w:bCs/>
          <w:iCs/>
        </w:rPr>
      </w:pPr>
      <w:r>
        <w:t xml:space="preserve"> </w:t>
      </w:r>
    </w:p>
    <w:p w:rsidR="00430720" w:rsidRDefault="00871B88" w:rsidP="00430720">
      <w:pPr>
        <w:pStyle w:val="A1S"/>
      </w:pPr>
      <w:r w:rsidDel="00871B88">
        <w:t xml:space="preserve"> </w:t>
      </w:r>
      <w:r w:rsidR="00C90F4C">
        <w:t>[</w:t>
      </w:r>
      <w:r w:rsidR="008B4264">
        <w:t>3</w:t>
      </w:r>
      <w:r w:rsidR="009F6849">
        <w:t>2</w:t>
      </w:r>
      <w:r w:rsidR="00E7299C">
        <w:t>]</w:t>
      </w:r>
      <w:r w:rsidR="00430720">
        <w:tab/>
        <w:t xml:space="preserve">Schedule </w:t>
      </w:r>
      <w:r w:rsidR="00155E81">
        <w:t>3</w:t>
      </w:r>
    </w:p>
    <w:p w:rsidR="00B65B1D" w:rsidRDefault="00430720" w:rsidP="00B65B1D">
      <w:pPr>
        <w:pStyle w:val="A2S"/>
        <w:rPr>
          <w:rFonts w:ascii="Arial" w:hAnsi="Arial"/>
          <w:b/>
          <w:sz w:val="32"/>
          <w:lang w:eastAsia="en-US"/>
        </w:rPr>
      </w:pPr>
      <w:r>
        <w:t xml:space="preserve">substitute </w:t>
      </w:r>
      <w:bookmarkStart w:id="10" w:name="_Toc257797348"/>
    </w:p>
    <w:p w:rsidR="00B65B1D" w:rsidRDefault="00B65B1D" w:rsidP="00B65B1D">
      <w:pPr>
        <w:pStyle w:val="A2S"/>
        <w:rPr>
          <w:rFonts w:ascii="Arial" w:hAnsi="Arial"/>
          <w:b/>
          <w:sz w:val="32"/>
          <w:lang w:eastAsia="en-US"/>
        </w:rPr>
      </w:pPr>
    </w:p>
    <w:p w:rsidR="009D7227" w:rsidRPr="00B65B1D" w:rsidRDefault="009D7227" w:rsidP="00B65B1D">
      <w:pPr>
        <w:pStyle w:val="A2S"/>
        <w:ind w:left="0"/>
        <w:rPr>
          <w:rFonts w:ascii="Arial" w:hAnsi="Arial"/>
          <w:b/>
          <w:i w:val="0"/>
          <w:sz w:val="32"/>
          <w:lang w:eastAsia="en-US"/>
        </w:rPr>
      </w:pPr>
      <w:r w:rsidRPr="00B65B1D">
        <w:rPr>
          <w:rFonts w:ascii="Arial" w:hAnsi="Arial"/>
          <w:b/>
          <w:i w:val="0"/>
          <w:sz w:val="32"/>
          <w:lang w:eastAsia="en-US"/>
        </w:rPr>
        <w:t>Schedule 3</w:t>
      </w:r>
      <w:r w:rsidRPr="00B65B1D">
        <w:rPr>
          <w:rFonts w:ascii="Arial" w:hAnsi="Arial"/>
          <w:b/>
          <w:i w:val="0"/>
          <w:sz w:val="32"/>
          <w:lang w:eastAsia="en-US"/>
        </w:rPr>
        <w:tab/>
        <w:t>Compliance marks</w:t>
      </w:r>
      <w:bookmarkEnd w:id="10"/>
    </w:p>
    <w:p w:rsidR="00492CAD" w:rsidRDefault="009D7227" w:rsidP="00492CAD">
      <w:pPr>
        <w:keepLines/>
        <w:spacing w:before="60" w:line="200" w:lineRule="exact"/>
        <w:ind w:left="2160"/>
        <w:rPr>
          <w:rFonts w:ascii="Arial" w:hAnsi="Arial"/>
          <w:sz w:val="18"/>
          <w:lang w:eastAsia="en-US"/>
        </w:rPr>
      </w:pPr>
      <w:r w:rsidRPr="009D7227">
        <w:rPr>
          <w:rFonts w:ascii="Arial" w:hAnsi="Arial"/>
          <w:sz w:val="18"/>
          <w:lang w:eastAsia="en-US"/>
        </w:rPr>
        <w:t>(section 1.4, definition of</w:t>
      </w:r>
      <w:r w:rsidR="005C6736">
        <w:rPr>
          <w:rFonts w:ascii="Arial" w:hAnsi="Arial"/>
          <w:sz w:val="18"/>
          <w:lang w:eastAsia="en-US"/>
        </w:rPr>
        <w:t xml:space="preserve"> </w:t>
      </w:r>
      <w:r w:rsidR="005C6736">
        <w:rPr>
          <w:rFonts w:ascii="Arial" w:hAnsi="Arial"/>
          <w:b/>
          <w:i/>
          <w:sz w:val="18"/>
          <w:lang w:eastAsia="en-US"/>
        </w:rPr>
        <w:t>A-Tick</w:t>
      </w:r>
      <w:r w:rsidR="005A5C2F">
        <w:rPr>
          <w:rFonts w:ascii="Arial" w:hAnsi="Arial"/>
          <w:b/>
          <w:i/>
          <w:sz w:val="18"/>
          <w:lang w:eastAsia="en-US"/>
        </w:rPr>
        <w:t xml:space="preserve"> mark</w:t>
      </w:r>
      <w:r w:rsidR="005C6736">
        <w:rPr>
          <w:rFonts w:ascii="Arial" w:hAnsi="Arial"/>
          <w:b/>
          <w:i/>
          <w:sz w:val="18"/>
          <w:lang w:eastAsia="en-US"/>
        </w:rPr>
        <w:t xml:space="preserve"> </w:t>
      </w:r>
      <w:r w:rsidR="005C6736" w:rsidRPr="005C6736">
        <w:rPr>
          <w:rFonts w:ascii="Arial" w:hAnsi="Arial"/>
          <w:sz w:val="18"/>
          <w:lang w:eastAsia="en-US"/>
        </w:rPr>
        <w:t>and</w:t>
      </w:r>
      <w:r w:rsidR="005C6736">
        <w:rPr>
          <w:rFonts w:ascii="Arial" w:hAnsi="Arial"/>
          <w:b/>
          <w:i/>
          <w:sz w:val="18"/>
          <w:lang w:eastAsia="en-US"/>
        </w:rPr>
        <w:t xml:space="preserve"> RCM</w:t>
      </w:r>
      <w:r w:rsidRPr="009D7227">
        <w:rPr>
          <w:rFonts w:ascii="Arial" w:hAnsi="Arial"/>
          <w:sz w:val="18"/>
          <w:lang w:eastAsia="en-US"/>
        </w:rPr>
        <w:t>)</w:t>
      </w:r>
    </w:p>
    <w:p w:rsidR="009D7227" w:rsidRPr="009D7227" w:rsidRDefault="009D7227" w:rsidP="009D7227">
      <w:pPr>
        <w:keepNext/>
        <w:keepLines/>
        <w:spacing w:before="360"/>
        <w:ind w:left="1559" w:hanging="1559"/>
        <w:rPr>
          <w:rFonts w:ascii="Arial" w:hAnsi="Arial"/>
          <w:b/>
          <w:sz w:val="28"/>
          <w:lang w:eastAsia="en-US"/>
        </w:rPr>
      </w:pPr>
      <w:bookmarkStart w:id="11" w:name="_Toc257797350"/>
      <w:bookmarkStart w:id="12" w:name="_Toc257797349"/>
      <w:r w:rsidRPr="009D7227">
        <w:rPr>
          <w:rFonts w:ascii="Arial" w:hAnsi="Arial"/>
          <w:b/>
          <w:sz w:val="28"/>
          <w:lang w:eastAsia="en-US"/>
        </w:rPr>
        <w:t xml:space="preserve">Part </w:t>
      </w:r>
      <w:r>
        <w:rPr>
          <w:rFonts w:ascii="Arial" w:hAnsi="Arial"/>
          <w:b/>
          <w:sz w:val="28"/>
          <w:lang w:eastAsia="en-US"/>
        </w:rPr>
        <w:t>1</w:t>
      </w:r>
      <w:r w:rsidRPr="009D7227">
        <w:rPr>
          <w:rFonts w:ascii="Arial" w:hAnsi="Arial"/>
          <w:b/>
          <w:sz w:val="28"/>
          <w:lang w:eastAsia="en-US"/>
        </w:rPr>
        <w:tab/>
        <w:t>The RCM</w:t>
      </w:r>
      <w:bookmarkEnd w:id="11"/>
    </w:p>
    <w:p w:rsidR="009D7227" w:rsidRPr="009D7227" w:rsidRDefault="009D7227" w:rsidP="009D7227">
      <w:pPr>
        <w:keepNext/>
      </w:pPr>
    </w:p>
    <w:p w:rsidR="009D7227" w:rsidRPr="009D7227" w:rsidRDefault="009D7227" w:rsidP="009D7227">
      <w:pPr>
        <w:tabs>
          <w:tab w:val="right" w:pos="794"/>
        </w:tabs>
        <w:spacing w:before="1200" w:line="260" w:lineRule="exact"/>
        <w:ind w:left="964" w:hanging="964"/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1228725" cy="895350"/>
            <wp:effectExtent l="19050" t="0" r="9525" b="0"/>
            <wp:docPr id="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27" w:rsidRPr="009D7227" w:rsidRDefault="009D7227" w:rsidP="009D7227">
      <w:pPr>
        <w:keepNext/>
        <w:spacing w:line="220" w:lineRule="exact"/>
        <w:ind w:left="964"/>
        <w:jc w:val="both"/>
        <w:rPr>
          <w:sz w:val="20"/>
        </w:rPr>
      </w:pPr>
    </w:p>
    <w:p w:rsidR="009D7227" w:rsidRPr="009D7227" w:rsidRDefault="009D7227" w:rsidP="009D7227">
      <w:pPr>
        <w:spacing w:before="120" w:line="220" w:lineRule="exact"/>
        <w:jc w:val="both"/>
        <w:rPr>
          <w:sz w:val="20"/>
        </w:rPr>
      </w:pPr>
      <w:r w:rsidRPr="009D7227">
        <w:rPr>
          <w:i/>
          <w:sz w:val="20"/>
        </w:rPr>
        <w:t>Note</w:t>
      </w:r>
      <w:r w:rsidRPr="009D7227">
        <w:rPr>
          <w:sz w:val="20"/>
        </w:rPr>
        <w:t xml:space="preserve">   The RCM is a </w:t>
      </w:r>
      <w:r>
        <w:rPr>
          <w:sz w:val="20"/>
        </w:rPr>
        <w:t>protected symbol for section 417 of the Act</w:t>
      </w:r>
      <w:r w:rsidRPr="009D7227">
        <w:rPr>
          <w:sz w:val="20"/>
        </w:rPr>
        <w:t>.</w:t>
      </w:r>
      <w:r w:rsidR="007B3C4F">
        <w:rPr>
          <w:sz w:val="20"/>
        </w:rPr>
        <w:t xml:space="preserve">  The RCM is a trademark owned by Australian and New Zealand regulators. </w:t>
      </w:r>
    </w:p>
    <w:p w:rsidR="009D7227" w:rsidRPr="009D7227" w:rsidRDefault="009D7227" w:rsidP="009D7227">
      <w:pPr>
        <w:rPr>
          <w:lang w:eastAsia="en-US"/>
        </w:rPr>
      </w:pPr>
    </w:p>
    <w:p w:rsidR="009D7227" w:rsidRPr="009D7227" w:rsidRDefault="009D7227" w:rsidP="00667379">
      <w:pPr>
        <w:keepNext/>
        <w:keepLines/>
        <w:spacing w:before="360"/>
        <w:ind w:left="1559" w:hanging="1559"/>
        <w:rPr>
          <w:rFonts w:ascii="Arial" w:hAnsi="Arial"/>
          <w:b/>
          <w:sz w:val="28"/>
          <w:lang w:eastAsia="en-US"/>
        </w:rPr>
      </w:pPr>
      <w:r w:rsidRPr="009D7227">
        <w:rPr>
          <w:rFonts w:ascii="Arial" w:hAnsi="Arial"/>
          <w:b/>
          <w:sz w:val="28"/>
          <w:lang w:eastAsia="en-US"/>
        </w:rPr>
        <w:t xml:space="preserve">Part </w:t>
      </w:r>
      <w:r>
        <w:rPr>
          <w:rFonts w:ascii="Arial" w:hAnsi="Arial"/>
          <w:b/>
          <w:sz w:val="28"/>
          <w:lang w:eastAsia="en-US"/>
        </w:rPr>
        <w:t>2</w:t>
      </w:r>
      <w:r w:rsidRPr="009D7227">
        <w:rPr>
          <w:rFonts w:ascii="Arial" w:hAnsi="Arial"/>
          <w:b/>
          <w:sz w:val="28"/>
          <w:lang w:eastAsia="en-US"/>
        </w:rPr>
        <w:tab/>
        <w:t xml:space="preserve">The </w:t>
      </w:r>
      <w:r>
        <w:rPr>
          <w:rFonts w:ascii="Arial" w:hAnsi="Arial"/>
          <w:b/>
          <w:sz w:val="28"/>
          <w:lang w:eastAsia="en-US"/>
        </w:rPr>
        <w:t>A</w:t>
      </w:r>
      <w:r w:rsidRPr="009D7227">
        <w:rPr>
          <w:rFonts w:ascii="Arial" w:hAnsi="Arial"/>
          <w:b/>
          <w:sz w:val="28"/>
          <w:lang w:eastAsia="en-US"/>
        </w:rPr>
        <w:noBreakHyphen/>
        <w:t>Tick mark</w:t>
      </w:r>
      <w:bookmarkEnd w:id="12"/>
    </w:p>
    <w:p w:rsidR="009D7227" w:rsidRPr="009D7227" w:rsidRDefault="009D7227" w:rsidP="00667379">
      <w:pPr>
        <w:keepNext/>
        <w:keepLines/>
        <w:tabs>
          <w:tab w:val="right" w:pos="794"/>
        </w:tabs>
        <w:spacing w:line="260" w:lineRule="exact"/>
        <w:ind w:left="964" w:hanging="964"/>
        <w:jc w:val="center"/>
        <w:rPr>
          <w:lang w:eastAsia="en-US"/>
        </w:rPr>
      </w:pPr>
    </w:p>
    <w:p w:rsidR="009D7227" w:rsidRPr="009D7227" w:rsidRDefault="009D7227" w:rsidP="009D7227">
      <w:pPr>
        <w:keepNext/>
        <w:jc w:val="center"/>
        <w:rPr>
          <w:sz w:val="16"/>
          <w:szCs w:val="16"/>
        </w:rPr>
      </w:pPr>
      <w:r>
        <w:rPr>
          <w:noProof/>
          <w:color w:val="000000"/>
          <w:sz w:val="20"/>
        </w:rPr>
        <w:drawing>
          <wp:inline distT="0" distB="0" distL="0" distR="0">
            <wp:extent cx="1152525" cy="903173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-6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26" cy="90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27" w:rsidRPr="009D7227" w:rsidRDefault="009D7227" w:rsidP="009D7227">
      <w:pPr>
        <w:rPr>
          <w:sz w:val="16"/>
          <w:szCs w:val="16"/>
        </w:rPr>
      </w:pPr>
    </w:p>
    <w:p w:rsidR="009D7227" w:rsidRPr="009D7227" w:rsidRDefault="009D7227" w:rsidP="009D7227">
      <w:pPr>
        <w:spacing w:before="120" w:line="220" w:lineRule="exact"/>
        <w:jc w:val="both"/>
        <w:rPr>
          <w:sz w:val="20"/>
        </w:rPr>
      </w:pPr>
      <w:r w:rsidRPr="009D7227">
        <w:rPr>
          <w:i/>
          <w:iCs/>
          <w:sz w:val="20"/>
        </w:rPr>
        <w:t>Note</w:t>
      </w:r>
      <w:r w:rsidRPr="009D7227">
        <w:rPr>
          <w:sz w:val="20"/>
        </w:rPr>
        <w:t xml:space="preserve">   The </w:t>
      </w:r>
      <w:r>
        <w:rPr>
          <w:sz w:val="20"/>
        </w:rPr>
        <w:t>A</w:t>
      </w:r>
      <w:r w:rsidRPr="009D7227">
        <w:rPr>
          <w:sz w:val="20"/>
        </w:rPr>
        <w:noBreakHyphen/>
        <w:t xml:space="preserve">Tick mark is a protected symbol for section </w:t>
      </w:r>
      <w:r>
        <w:rPr>
          <w:sz w:val="20"/>
        </w:rPr>
        <w:t>417 of the Act</w:t>
      </w:r>
      <w:r w:rsidRPr="009D7227">
        <w:rPr>
          <w:sz w:val="20"/>
        </w:rPr>
        <w:t>.</w:t>
      </w:r>
    </w:p>
    <w:p w:rsidR="009D7227" w:rsidRPr="009D7227" w:rsidRDefault="009D7227" w:rsidP="009D7227"/>
    <w:p w:rsidR="00856C91" w:rsidRDefault="00856C91" w:rsidP="00D3032F">
      <w:pPr>
        <w:pStyle w:val="A2S"/>
        <w:ind w:left="0"/>
      </w:pPr>
    </w:p>
    <w:p w:rsidR="00704E4F" w:rsidRDefault="00704E4F" w:rsidP="00704E4F">
      <w:pPr>
        <w:pStyle w:val="A1S"/>
      </w:pPr>
      <w:r>
        <w:t>[3</w:t>
      </w:r>
      <w:r w:rsidR="009F6849">
        <w:t>3</w:t>
      </w:r>
      <w:r>
        <w:t>]</w:t>
      </w:r>
      <w:r>
        <w:tab/>
        <w:t>Schedule 9, heading</w:t>
      </w:r>
    </w:p>
    <w:p w:rsidR="00704E4F" w:rsidRDefault="00704E4F" w:rsidP="00704E4F">
      <w:pPr>
        <w:pStyle w:val="A2S"/>
      </w:pPr>
      <w:r>
        <w:t>omit</w:t>
      </w:r>
    </w:p>
    <w:p w:rsidR="00704E4F" w:rsidRPr="00704E4F" w:rsidRDefault="00704E4F" w:rsidP="00704E4F">
      <w:pPr>
        <w:pStyle w:val="A3S"/>
      </w:pPr>
    </w:p>
    <w:p w:rsidR="00704E4F" w:rsidRPr="00B65B1D" w:rsidRDefault="00704E4F" w:rsidP="00915580">
      <w:pPr>
        <w:pStyle w:val="A2S"/>
        <w:ind w:left="720"/>
        <w:rPr>
          <w:rFonts w:ascii="Arial" w:hAnsi="Arial"/>
          <w:b/>
          <w:i w:val="0"/>
          <w:sz w:val="32"/>
          <w:lang w:eastAsia="en-US"/>
        </w:rPr>
      </w:pPr>
      <w:r>
        <w:rPr>
          <w:rFonts w:ascii="Arial" w:hAnsi="Arial"/>
          <w:b/>
          <w:i w:val="0"/>
          <w:sz w:val="32"/>
          <w:lang w:eastAsia="en-US"/>
        </w:rPr>
        <w:t>for items to be labelled with a non-compliance label</w:t>
      </w:r>
    </w:p>
    <w:p w:rsidR="00704E4F" w:rsidRPr="00704E4F" w:rsidRDefault="00704E4F" w:rsidP="00704E4F">
      <w:pPr>
        <w:pStyle w:val="A3S"/>
      </w:pPr>
    </w:p>
    <w:p w:rsidR="00704E4F" w:rsidRPr="00704E4F" w:rsidRDefault="00704E4F" w:rsidP="00704E4F">
      <w:pPr>
        <w:pStyle w:val="A3S"/>
        <w:sectPr w:rsidR="00704E4F" w:rsidRPr="00704E4F" w:rsidSect="0044632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E06A58" w:rsidRDefault="00E06A58" w:rsidP="00814462">
      <w:pPr>
        <w:pStyle w:val="NoteEnd"/>
        <w:keepNext/>
        <w:pBdr>
          <w:top w:val="single" w:sz="4" w:space="3" w:color="auto"/>
        </w:pBdr>
        <w:spacing w:before="480"/>
        <w:rPr>
          <w:color w:val="000000"/>
        </w:rPr>
      </w:pPr>
      <w:r>
        <w:rPr>
          <w:color w:val="000000"/>
        </w:rPr>
        <w:tab/>
      </w:r>
    </w:p>
    <w:p w:rsidR="00E06A58" w:rsidRDefault="00E06A58" w:rsidP="00005C28">
      <w:pPr>
        <w:pStyle w:val="NotesSectionBreak"/>
        <w:sectPr w:rsidR="00E06A58" w:rsidSect="00005C2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C3987" w:rsidRPr="00091037" w:rsidRDefault="004C3987" w:rsidP="00B61908">
      <w:pPr>
        <w:rPr>
          <w:sz w:val="2"/>
          <w:szCs w:val="2"/>
        </w:rPr>
      </w:pPr>
    </w:p>
    <w:sectPr w:rsidR="004C3987" w:rsidRPr="00091037" w:rsidSect="000A7744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20" w:rsidRDefault="00B86D20">
      <w:r>
        <w:separator/>
      </w:r>
    </w:p>
  </w:endnote>
  <w:endnote w:type="continuationSeparator" w:id="0">
    <w:p w:rsidR="00B86D20" w:rsidRDefault="00B86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Default="00B86D2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86D20" w:rsidRPr="000E1CC4">
      <w:tc>
        <w:tcPr>
          <w:tcW w:w="1134" w:type="dxa"/>
        </w:tcPr>
        <w:p w:rsidR="00B86D20" w:rsidRPr="000E1CC4" w:rsidRDefault="00CE33D8" w:rsidP="00005C28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B86D20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B86D20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86D20" w:rsidRPr="0056689B" w:rsidRDefault="00CE33D8" w:rsidP="00005C28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B86D20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B86D20" w:rsidRPr="00B86D20">
            <w:rPr>
              <w:rFonts w:ascii="Times New Roman" w:hAnsi="Times New Roman"/>
              <w:i w:val="0"/>
              <w:sz w:val="24"/>
              <w:szCs w:val="24"/>
            </w:rPr>
            <w:t>Telecommunications Labelling (Customer Equipment and Customer Cabling) Amendment Notice 2013 (No. 1)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B86D20" w:rsidRPr="000E1CC4" w:rsidRDefault="00B86D20" w:rsidP="00005C28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6D20" w:rsidRDefault="00B86D20">
    <w:pPr>
      <w:pStyle w:val="FooterDraft"/>
      <w:ind w:right="360" w:firstLine="360"/>
    </w:pPr>
  </w:p>
  <w:p w:rsidR="00B86D20" w:rsidRDefault="00B86D20">
    <w:pPr>
      <w:pStyle w:val="FooterInfo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Default="00B86D20" w:rsidP="00005C28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86D20">
      <w:tc>
        <w:tcPr>
          <w:tcW w:w="1134" w:type="dxa"/>
          <w:shd w:val="clear" w:color="auto" w:fill="auto"/>
        </w:tcPr>
        <w:p w:rsidR="00B86D20" w:rsidRDefault="00B86D20" w:rsidP="00005C28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86D20" w:rsidRPr="004F5D6D" w:rsidRDefault="00CE33D8" w:rsidP="00005C28">
          <w:pPr>
            <w:pStyle w:val="FooterCitation"/>
          </w:pPr>
          <w:fldSimple w:instr=" REF  Citation\*charformat ">
            <w:r w:rsidR="00B86D20">
              <w:t>Telecommunications Labelling (Customer Equipment and Customer Cabling) Amendment Notice 2013 (No. 1)</w:t>
            </w:r>
          </w:fldSimple>
        </w:p>
      </w:tc>
      <w:tc>
        <w:tcPr>
          <w:tcW w:w="1134" w:type="dxa"/>
          <w:shd w:val="clear" w:color="auto" w:fill="auto"/>
        </w:tcPr>
        <w:p w:rsidR="00B86D20" w:rsidRPr="003D7214" w:rsidRDefault="00CE33D8" w:rsidP="00005C28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86D20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86D20">
            <w:rPr>
              <w:rStyle w:val="PageNumber"/>
              <w:rFonts w:cs="Arial"/>
              <w:noProof/>
            </w:rPr>
            <w:t>11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86D20" w:rsidRDefault="00B86D20" w:rsidP="00005C28">
    <w:pPr>
      <w:pStyle w:val="FooterDraft"/>
    </w:pPr>
  </w:p>
  <w:p w:rsidR="00B86D20" w:rsidRDefault="00B86D20" w:rsidP="00005C28">
    <w:pPr>
      <w:pStyle w:val="FooterInfo"/>
    </w:pPr>
  </w:p>
  <w:p w:rsidR="00B86D20" w:rsidRPr="00C83A6D" w:rsidRDefault="00B86D20" w:rsidP="00005C28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Pr="00556EB9" w:rsidRDefault="00B86D20" w:rsidP="00005C28">
    <w:pPr>
      <w:pStyle w:val="FooterCitation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Default="00B86D20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86D20">
      <w:tc>
        <w:tcPr>
          <w:tcW w:w="1134" w:type="dxa"/>
        </w:tcPr>
        <w:p w:rsidR="00B86D20" w:rsidRPr="003D7214" w:rsidRDefault="00CE33D8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86D20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86D20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86D20" w:rsidRPr="004F5D6D" w:rsidRDefault="00CE33D8" w:rsidP="00BD545A">
          <w:pPr>
            <w:pStyle w:val="Footer"/>
            <w:spacing w:before="20" w:line="240" w:lineRule="exact"/>
          </w:pPr>
          <w:fldSimple w:instr=" REF  Citation ">
            <w:r w:rsidR="00B86D20">
              <w:t>Telecommunications Labelling (Customer Equipment and Customer Cabling) Amendment Notice 2013 (No. 1)</w:t>
            </w:r>
          </w:fldSimple>
        </w:p>
      </w:tc>
      <w:tc>
        <w:tcPr>
          <w:tcW w:w="1134" w:type="dxa"/>
        </w:tcPr>
        <w:p w:rsidR="00B86D20" w:rsidRPr="00451BF5" w:rsidRDefault="00B86D20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6D20" w:rsidRDefault="00B86D20" w:rsidP="00BD545A">
    <w:pPr>
      <w:pStyle w:val="FooterDraft"/>
      <w:ind w:right="360" w:firstLine="360"/>
    </w:pPr>
  </w:p>
  <w:p w:rsidR="00B86D20" w:rsidRDefault="00B86D20" w:rsidP="00BD545A">
    <w:pPr>
      <w:pStyle w:val="FooterInfo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Default="00B86D20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86D20">
      <w:tc>
        <w:tcPr>
          <w:tcW w:w="1134" w:type="dxa"/>
        </w:tcPr>
        <w:p w:rsidR="00B86D20" w:rsidRDefault="00B86D20" w:rsidP="00BD545A">
          <w:pPr>
            <w:spacing w:line="240" w:lineRule="exact"/>
          </w:pPr>
        </w:p>
      </w:tc>
      <w:tc>
        <w:tcPr>
          <w:tcW w:w="6095" w:type="dxa"/>
        </w:tcPr>
        <w:p w:rsidR="00B86D20" w:rsidRPr="004F5D6D" w:rsidRDefault="00CE33D8" w:rsidP="00BD545A">
          <w:pPr>
            <w:pStyle w:val="FooterCitation"/>
          </w:pPr>
          <w:fldSimple w:instr=" REF  Citation ">
            <w:r w:rsidR="00B86D20">
              <w:t>Telecommunications Labelling (Customer Equipment and Customer Cabling) Amendment Notice 2013 (No. 1)</w:t>
            </w:r>
          </w:fldSimple>
        </w:p>
      </w:tc>
      <w:tc>
        <w:tcPr>
          <w:tcW w:w="1134" w:type="dxa"/>
        </w:tcPr>
        <w:p w:rsidR="00B86D20" w:rsidRPr="003D7214" w:rsidRDefault="00CE33D8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86D20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86D20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86D20" w:rsidRDefault="00B86D20" w:rsidP="00BD545A">
    <w:pPr>
      <w:pStyle w:val="FooterDraft"/>
    </w:pPr>
  </w:p>
  <w:p w:rsidR="00B86D20" w:rsidRDefault="00B86D20" w:rsidP="00BD545A">
    <w:pPr>
      <w:pStyle w:val="FooterInfo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Default="00B86D20">
    <w:pPr>
      <w:pStyle w:val="FooterDraft"/>
    </w:pPr>
  </w:p>
  <w:p w:rsidR="00B86D20" w:rsidRPr="00974D8C" w:rsidRDefault="00B86D20">
    <w:pPr>
      <w:pStyle w:val="FooterInf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Default="00B86D20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86D20" w:rsidRPr="000E1CC4">
      <w:tc>
        <w:tcPr>
          <w:tcW w:w="1134" w:type="dxa"/>
        </w:tcPr>
        <w:p w:rsidR="00B86D20" w:rsidRPr="000E1CC4" w:rsidRDefault="00B86D20" w:rsidP="00005C28">
          <w:pPr>
            <w:spacing w:line="240" w:lineRule="exact"/>
          </w:pPr>
        </w:p>
      </w:tc>
      <w:tc>
        <w:tcPr>
          <w:tcW w:w="6095" w:type="dxa"/>
        </w:tcPr>
        <w:p w:rsidR="00B86D20" w:rsidRPr="0056689B" w:rsidRDefault="00CE33D8" w:rsidP="00005C28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B86D20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B86D20">
            <w:t>Telecommunications Labelling (Customer Equipment and Customer Cabling) Amendment Notice 2013 (No. 1)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B86D20" w:rsidRPr="000E1CC4" w:rsidRDefault="00CE33D8" w:rsidP="00005C28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B86D20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B86D20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86D20" w:rsidRDefault="00B86D20">
    <w:pPr>
      <w:pStyle w:val="FooterDraft"/>
    </w:pPr>
  </w:p>
  <w:p w:rsidR="00B86D20" w:rsidRDefault="00B86D20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Default="00B86D20">
    <w:pPr>
      <w:pStyle w:val="FooterDraft"/>
    </w:pPr>
  </w:p>
  <w:p w:rsidR="00B86D20" w:rsidRPr="00974D8C" w:rsidRDefault="00B86D20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Default="00B86D2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86D20" w:rsidRPr="000E1CC4">
      <w:tc>
        <w:tcPr>
          <w:tcW w:w="1134" w:type="dxa"/>
        </w:tcPr>
        <w:p w:rsidR="00B86D20" w:rsidRPr="000E1CC4" w:rsidRDefault="00CE33D8" w:rsidP="00005C28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B86D20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E828C6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86D20" w:rsidRPr="0056689B" w:rsidRDefault="00CE33D8" w:rsidP="007109F4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rPr>
              <w:rFonts w:ascii="Times New Roman" w:hAnsi="Times New Roman"/>
              <w:i w:val="0"/>
              <w:sz w:val="24"/>
              <w:szCs w:val="24"/>
            </w:rPr>
          </w:pPr>
          <w:fldSimple w:instr="REF Citation \* MERGEFORMAT ">
            <w:r w:rsidR="00B86D20">
              <w:t>Telecommunications Labelling (Customer Equipment and Customer Cabling) Amendment Notice 2013 (No. 1)</w:t>
            </w:r>
          </w:fldSimple>
        </w:p>
      </w:tc>
      <w:tc>
        <w:tcPr>
          <w:tcW w:w="1134" w:type="dxa"/>
        </w:tcPr>
        <w:p w:rsidR="00B86D20" w:rsidRPr="000E1CC4" w:rsidRDefault="00B86D20" w:rsidP="00005C28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6D20" w:rsidRDefault="00B86D20">
    <w:pPr>
      <w:pStyle w:val="FooterDraft"/>
      <w:ind w:right="360" w:firstLine="360"/>
    </w:pPr>
  </w:p>
  <w:p w:rsidR="00B86D20" w:rsidRDefault="00B86D20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Default="00B86D20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86D20" w:rsidRPr="000E1CC4">
      <w:tc>
        <w:tcPr>
          <w:tcW w:w="1134" w:type="dxa"/>
        </w:tcPr>
        <w:p w:rsidR="00B86D20" w:rsidRPr="000E1CC4" w:rsidRDefault="00B86D20" w:rsidP="00005C28">
          <w:pPr>
            <w:spacing w:line="240" w:lineRule="exact"/>
          </w:pPr>
        </w:p>
      </w:tc>
      <w:tc>
        <w:tcPr>
          <w:tcW w:w="6095" w:type="dxa"/>
        </w:tcPr>
        <w:p w:rsidR="00B86D20" w:rsidRPr="0056689B" w:rsidRDefault="00CE33D8" w:rsidP="00005C28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B86D20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B86D20">
            <w:t>Telecommunications Labelling (Customer Equipment and Customer Cabling) Amendment Notice 2013 (No. 1)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B86D20" w:rsidRPr="000E1CC4" w:rsidRDefault="00CE33D8" w:rsidP="00005C28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B86D20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B86D20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86D20" w:rsidRDefault="00B86D20">
    <w:pPr>
      <w:pStyle w:val="FooterDraft"/>
    </w:pPr>
  </w:p>
  <w:p w:rsidR="00B86D20" w:rsidRDefault="00B86D20">
    <w:pPr>
      <w:pStyle w:val="FooterInf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Default="00B86D20" w:rsidP="0044632B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86D20">
      <w:tc>
        <w:tcPr>
          <w:tcW w:w="1134" w:type="dxa"/>
          <w:shd w:val="clear" w:color="auto" w:fill="auto"/>
        </w:tcPr>
        <w:p w:rsidR="00B86D20" w:rsidRPr="003D7214" w:rsidRDefault="00CE33D8" w:rsidP="0044632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86D20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828C6">
            <w:rPr>
              <w:rStyle w:val="PageNumber"/>
              <w:rFonts w:cs="Arial"/>
              <w:noProof/>
            </w:rPr>
            <w:t>10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86D20" w:rsidRPr="004F5D6D" w:rsidRDefault="00CE33D8" w:rsidP="0044632B">
          <w:pPr>
            <w:pStyle w:val="FooterCitation"/>
          </w:pPr>
          <w:fldSimple w:instr=" REF  Citation\*charformat ">
            <w:r w:rsidR="00B86D20">
              <w:t>Telecommunications Labelling (Customer Equipment and Customer Cabling) Amendment Notice 2013 (No. 1)</w:t>
            </w:r>
          </w:fldSimple>
        </w:p>
      </w:tc>
      <w:tc>
        <w:tcPr>
          <w:tcW w:w="1134" w:type="dxa"/>
          <w:shd w:val="clear" w:color="auto" w:fill="auto"/>
        </w:tcPr>
        <w:p w:rsidR="00B86D20" w:rsidRPr="00451BF5" w:rsidRDefault="00B86D20" w:rsidP="0044632B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6D20" w:rsidRDefault="00B86D20" w:rsidP="0044632B">
    <w:pPr>
      <w:pStyle w:val="FooterDraft"/>
      <w:ind w:right="360" w:firstLine="360"/>
    </w:pPr>
  </w:p>
  <w:p w:rsidR="00B86D20" w:rsidRDefault="00B86D20" w:rsidP="0044632B">
    <w:pPr>
      <w:pStyle w:val="FooterInfo"/>
    </w:pPr>
  </w:p>
  <w:p w:rsidR="00B86D20" w:rsidRPr="0055794B" w:rsidRDefault="00B86D20" w:rsidP="0044632B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Default="00B86D20" w:rsidP="0044632B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86D20">
      <w:tc>
        <w:tcPr>
          <w:tcW w:w="1134" w:type="dxa"/>
          <w:shd w:val="clear" w:color="auto" w:fill="auto"/>
        </w:tcPr>
        <w:p w:rsidR="00B86D20" w:rsidRDefault="00B86D20" w:rsidP="0044632B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86D20" w:rsidRPr="004F5D6D" w:rsidRDefault="00CE33D8" w:rsidP="0044632B">
          <w:pPr>
            <w:pStyle w:val="FooterCitation"/>
          </w:pPr>
          <w:fldSimple w:instr=" REF  Citation\*charformat ">
            <w:r w:rsidR="00B86D20">
              <w:t>Telecommunications Labelling (Customer Equipment and Customer Cabling) Amendment Notice 2013 (No. 1)</w:t>
            </w:r>
          </w:fldSimple>
        </w:p>
      </w:tc>
      <w:tc>
        <w:tcPr>
          <w:tcW w:w="1134" w:type="dxa"/>
          <w:shd w:val="clear" w:color="auto" w:fill="auto"/>
        </w:tcPr>
        <w:p w:rsidR="00B86D20" w:rsidRPr="003D7214" w:rsidRDefault="00CE33D8" w:rsidP="0044632B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86D20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828C6">
            <w:rPr>
              <w:rStyle w:val="PageNumber"/>
              <w:rFonts w:cs="Arial"/>
              <w:noProof/>
            </w:rPr>
            <w:t>11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86D20" w:rsidRDefault="00B86D20" w:rsidP="0044632B">
    <w:pPr>
      <w:pStyle w:val="FooterDraft"/>
    </w:pPr>
  </w:p>
  <w:p w:rsidR="00B86D20" w:rsidRDefault="00B86D20" w:rsidP="0044632B">
    <w:pPr>
      <w:pStyle w:val="FooterInfo"/>
    </w:pPr>
  </w:p>
  <w:p w:rsidR="00B86D20" w:rsidRPr="00C83A6D" w:rsidRDefault="00B86D20" w:rsidP="0044632B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Pr="00556EB9" w:rsidRDefault="00B86D20" w:rsidP="0044632B">
    <w:pPr>
      <w:pStyle w:val="FooterCitation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Default="00B86D20" w:rsidP="00005C28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86D20">
      <w:tc>
        <w:tcPr>
          <w:tcW w:w="1134" w:type="dxa"/>
          <w:shd w:val="clear" w:color="auto" w:fill="auto"/>
        </w:tcPr>
        <w:p w:rsidR="00B86D20" w:rsidRPr="003D7214" w:rsidRDefault="00CE33D8" w:rsidP="00005C28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86D20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86D20">
            <w:rPr>
              <w:rStyle w:val="PageNumber"/>
              <w:rFonts w:cs="Arial"/>
              <w:noProof/>
            </w:rPr>
            <w:t>12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86D20" w:rsidRPr="004F5D6D" w:rsidRDefault="00CE33D8" w:rsidP="00005C28">
          <w:pPr>
            <w:pStyle w:val="FooterCitation"/>
          </w:pPr>
          <w:fldSimple w:instr=" REF  Citation\*charformat ">
            <w:r w:rsidR="00B86D20">
              <w:t>Telecommunications Labelling (Customer Equipment and Customer Cabling) Amendment Notice 2013 (No. 1)</w:t>
            </w:r>
          </w:fldSimple>
        </w:p>
      </w:tc>
      <w:tc>
        <w:tcPr>
          <w:tcW w:w="1134" w:type="dxa"/>
          <w:shd w:val="clear" w:color="auto" w:fill="auto"/>
        </w:tcPr>
        <w:p w:rsidR="00B86D20" w:rsidRPr="00451BF5" w:rsidRDefault="00B86D20" w:rsidP="00005C28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6D20" w:rsidRDefault="00B86D20" w:rsidP="00005C28">
    <w:pPr>
      <w:pStyle w:val="FooterDraft"/>
      <w:ind w:right="360" w:firstLine="360"/>
    </w:pPr>
  </w:p>
  <w:p w:rsidR="00B86D20" w:rsidRDefault="00B86D20" w:rsidP="00005C28">
    <w:pPr>
      <w:pStyle w:val="FooterInfo"/>
    </w:pPr>
  </w:p>
  <w:p w:rsidR="00B86D20" w:rsidRPr="0055794B" w:rsidRDefault="00B86D20" w:rsidP="00005C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20" w:rsidRDefault="00B86D20">
      <w:r>
        <w:separator/>
      </w:r>
    </w:p>
  </w:footnote>
  <w:footnote w:type="continuationSeparator" w:id="0">
    <w:p w:rsidR="00B86D20" w:rsidRDefault="00B86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B86D20" w:rsidRPr="000E1CC4">
      <w:tc>
        <w:tcPr>
          <w:tcW w:w="8385" w:type="dxa"/>
        </w:tcPr>
        <w:p w:rsidR="00B86D20" w:rsidRPr="000E1CC4" w:rsidRDefault="00B86D20" w:rsidP="00005C28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B86D20" w:rsidRPr="000E1CC4">
      <w:tc>
        <w:tcPr>
          <w:tcW w:w="8385" w:type="dxa"/>
        </w:tcPr>
        <w:p w:rsidR="00B86D20" w:rsidRPr="000E1CC4" w:rsidRDefault="00B86D20" w:rsidP="00005C28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B86D20" w:rsidRPr="000E1CC4">
      <w:tc>
        <w:tcPr>
          <w:tcW w:w="8385" w:type="dxa"/>
        </w:tcPr>
        <w:p w:rsidR="00B86D20" w:rsidRPr="0056689B" w:rsidRDefault="00B86D20" w:rsidP="00005C28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B86D20" w:rsidRDefault="00B86D20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Default="00B86D20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B86D20">
      <w:tc>
        <w:tcPr>
          <w:tcW w:w="1494" w:type="dxa"/>
        </w:tcPr>
        <w:p w:rsidR="00B86D20" w:rsidRDefault="00B86D20" w:rsidP="00BD545A">
          <w:pPr>
            <w:pStyle w:val="HeaderLiteEven"/>
          </w:pPr>
        </w:p>
      </w:tc>
      <w:tc>
        <w:tcPr>
          <w:tcW w:w="6891" w:type="dxa"/>
        </w:tcPr>
        <w:p w:rsidR="00B86D20" w:rsidRDefault="00B86D20" w:rsidP="00BD545A">
          <w:pPr>
            <w:pStyle w:val="HeaderLiteEven"/>
          </w:pPr>
        </w:p>
      </w:tc>
    </w:tr>
    <w:tr w:rsidR="00B86D20">
      <w:tc>
        <w:tcPr>
          <w:tcW w:w="1494" w:type="dxa"/>
        </w:tcPr>
        <w:p w:rsidR="00B86D20" w:rsidRDefault="00B86D20" w:rsidP="00BD545A">
          <w:pPr>
            <w:pStyle w:val="HeaderLiteEven"/>
          </w:pPr>
        </w:p>
      </w:tc>
      <w:tc>
        <w:tcPr>
          <w:tcW w:w="6891" w:type="dxa"/>
        </w:tcPr>
        <w:p w:rsidR="00B86D20" w:rsidRDefault="00B86D20" w:rsidP="00BD545A">
          <w:pPr>
            <w:pStyle w:val="HeaderLiteEven"/>
          </w:pPr>
        </w:p>
      </w:tc>
    </w:tr>
    <w:tr w:rsidR="00B86D20">
      <w:tc>
        <w:tcPr>
          <w:tcW w:w="8385" w:type="dxa"/>
          <w:gridSpan w:val="2"/>
          <w:tcBorders>
            <w:bottom w:val="single" w:sz="4" w:space="0" w:color="auto"/>
          </w:tcBorders>
        </w:tcPr>
        <w:p w:rsidR="00B86D20" w:rsidRDefault="00B86D20" w:rsidP="00BD545A">
          <w:pPr>
            <w:pStyle w:val="HeaderBoldEven"/>
          </w:pPr>
        </w:p>
      </w:tc>
    </w:tr>
  </w:tbl>
  <w:p w:rsidR="00B86D20" w:rsidRDefault="00B86D20" w:rsidP="00BD545A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B86D20">
      <w:tc>
        <w:tcPr>
          <w:tcW w:w="6914" w:type="dxa"/>
        </w:tcPr>
        <w:p w:rsidR="00B86D20" w:rsidRDefault="00B86D20" w:rsidP="00BD545A">
          <w:pPr>
            <w:pStyle w:val="HeaderLiteOdd"/>
          </w:pPr>
        </w:p>
      </w:tc>
      <w:tc>
        <w:tcPr>
          <w:tcW w:w="1471" w:type="dxa"/>
        </w:tcPr>
        <w:p w:rsidR="00B86D20" w:rsidRDefault="00B86D20" w:rsidP="00BD545A">
          <w:pPr>
            <w:pStyle w:val="HeaderLiteOdd"/>
          </w:pPr>
        </w:p>
      </w:tc>
    </w:tr>
    <w:tr w:rsidR="00B86D20">
      <w:tc>
        <w:tcPr>
          <w:tcW w:w="6914" w:type="dxa"/>
        </w:tcPr>
        <w:p w:rsidR="00B86D20" w:rsidRDefault="00B86D20" w:rsidP="00BD545A">
          <w:pPr>
            <w:pStyle w:val="HeaderLiteOdd"/>
          </w:pPr>
        </w:p>
      </w:tc>
      <w:tc>
        <w:tcPr>
          <w:tcW w:w="1471" w:type="dxa"/>
        </w:tcPr>
        <w:p w:rsidR="00B86D20" w:rsidRDefault="00B86D20" w:rsidP="00BD545A">
          <w:pPr>
            <w:pStyle w:val="HeaderLiteOdd"/>
          </w:pPr>
        </w:p>
      </w:tc>
    </w:tr>
    <w:tr w:rsidR="00B86D20">
      <w:tc>
        <w:tcPr>
          <w:tcW w:w="8385" w:type="dxa"/>
          <w:gridSpan w:val="2"/>
          <w:tcBorders>
            <w:bottom w:val="single" w:sz="4" w:space="0" w:color="auto"/>
          </w:tcBorders>
        </w:tcPr>
        <w:p w:rsidR="00B86D20" w:rsidRDefault="00B86D20" w:rsidP="00BD545A">
          <w:pPr>
            <w:pStyle w:val="HeaderBoldOdd"/>
          </w:pPr>
        </w:p>
      </w:tc>
    </w:tr>
  </w:tbl>
  <w:p w:rsidR="00B86D20" w:rsidRDefault="00B86D20" w:rsidP="00BD5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B86D20" w:rsidRPr="000E1CC4">
      <w:tc>
        <w:tcPr>
          <w:tcW w:w="8385" w:type="dxa"/>
        </w:tcPr>
        <w:p w:rsidR="00B86D20" w:rsidRPr="000E1CC4" w:rsidRDefault="00B86D20"/>
      </w:tc>
    </w:tr>
    <w:tr w:rsidR="00B86D20" w:rsidRPr="000E1CC4">
      <w:tc>
        <w:tcPr>
          <w:tcW w:w="8385" w:type="dxa"/>
        </w:tcPr>
        <w:p w:rsidR="00B86D20" w:rsidRPr="000E1CC4" w:rsidRDefault="00B86D20"/>
      </w:tc>
    </w:tr>
    <w:tr w:rsidR="00B86D20" w:rsidRPr="000E1CC4">
      <w:tc>
        <w:tcPr>
          <w:tcW w:w="8385" w:type="dxa"/>
        </w:tcPr>
        <w:p w:rsidR="00B86D20" w:rsidRPr="000E1CC4" w:rsidRDefault="00B86D20"/>
      </w:tc>
    </w:tr>
  </w:tbl>
  <w:p w:rsidR="00B86D20" w:rsidRDefault="00B86D2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B86D20" w:rsidTr="0060755D">
      <w:tc>
        <w:tcPr>
          <w:tcW w:w="1546" w:type="dxa"/>
        </w:tcPr>
        <w:p w:rsidR="00B86D20" w:rsidRDefault="00B86D20" w:rsidP="0044632B">
          <w:pPr>
            <w:pStyle w:val="HeaderLiteEven"/>
          </w:pPr>
        </w:p>
      </w:tc>
      <w:tc>
        <w:tcPr>
          <w:tcW w:w="6797" w:type="dxa"/>
          <w:vAlign w:val="bottom"/>
        </w:tcPr>
        <w:p w:rsidR="00B86D20" w:rsidRDefault="00B86D20" w:rsidP="0044632B">
          <w:pPr>
            <w:pStyle w:val="HeaderLiteEven"/>
          </w:pPr>
        </w:p>
      </w:tc>
    </w:tr>
    <w:tr w:rsidR="00B86D20" w:rsidTr="0060755D">
      <w:tc>
        <w:tcPr>
          <w:tcW w:w="1546" w:type="dxa"/>
        </w:tcPr>
        <w:p w:rsidR="00B86D20" w:rsidRDefault="00B86D20" w:rsidP="0044632B">
          <w:pPr>
            <w:pStyle w:val="HeaderLiteEven"/>
          </w:pPr>
        </w:p>
      </w:tc>
      <w:tc>
        <w:tcPr>
          <w:tcW w:w="6797" w:type="dxa"/>
          <w:vAlign w:val="bottom"/>
        </w:tcPr>
        <w:p w:rsidR="00B86D20" w:rsidRDefault="00B86D20" w:rsidP="0044632B">
          <w:pPr>
            <w:pStyle w:val="HeaderLiteEven"/>
          </w:pPr>
        </w:p>
      </w:tc>
    </w:tr>
    <w:tr w:rsidR="00B86D20" w:rsidTr="0060755D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86D20" w:rsidRPr="001E0756" w:rsidRDefault="00B86D20" w:rsidP="0044632B">
          <w:pPr>
            <w:pStyle w:val="HeaderLiteEven"/>
            <w:spacing w:before="120" w:after="60"/>
            <w:ind w:right="-108"/>
            <w:rPr>
              <w:b/>
            </w:rPr>
          </w:pPr>
          <w:r>
            <w:rPr>
              <w:b/>
            </w:rPr>
            <w:t xml:space="preserve">Section </w:t>
          </w:r>
          <w:r w:rsidR="00CE33D8" w:rsidRPr="001E0756">
            <w:rPr>
              <w:b/>
            </w:rPr>
            <w:fldChar w:fldCharType="begin"/>
          </w:r>
          <w:r w:rsidRPr="001E0756">
            <w:rPr>
              <w:b/>
            </w:rPr>
            <w:instrText xml:space="preserve"> If </w:instrText>
          </w:r>
          <w:r w:rsidR="00CE33D8" w:rsidRPr="001E0756">
            <w:rPr>
              <w:b/>
            </w:rPr>
            <w:fldChar w:fldCharType="begin"/>
          </w:r>
          <w:r w:rsidRPr="001E0756">
            <w:rPr>
              <w:b/>
            </w:rPr>
            <w:instrText xml:space="preserve"> STYLEREF CharSectnoAm \*Charformat </w:instrText>
          </w:r>
          <w:r w:rsidR="00CE33D8" w:rsidRPr="001E0756">
            <w:rPr>
              <w:b/>
            </w:rPr>
            <w:fldChar w:fldCharType="separate"/>
          </w:r>
          <w:r w:rsidR="00E828C6">
            <w:rPr>
              <w:b/>
              <w:noProof/>
            </w:rPr>
            <w:instrText>1</w:instrText>
          </w:r>
          <w:r w:rsidR="00CE33D8" w:rsidRPr="001E0756">
            <w:rPr>
              <w:b/>
            </w:rPr>
            <w:fldChar w:fldCharType="end"/>
          </w:r>
          <w:r w:rsidRPr="001E0756">
            <w:rPr>
              <w:b/>
            </w:rPr>
            <w:instrText xml:space="preserve"> &lt;&gt; "Error*" </w:instrText>
          </w:r>
          <w:r w:rsidR="00CE33D8" w:rsidRPr="001E0756">
            <w:rPr>
              <w:b/>
            </w:rPr>
            <w:fldChar w:fldCharType="begin"/>
          </w:r>
          <w:r w:rsidRPr="001E0756">
            <w:rPr>
              <w:b/>
            </w:rPr>
            <w:instrText xml:space="preserve"> STYLEREF CharSectnoAm \*Charformat </w:instrText>
          </w:r>
          <w:r w:rsidR="00CE33D8" w:rsidRPr="001E0756">
            <w:rPr>
              <w:b/>
            </w:rPr>
            <w:fldChar w:fldCharType="separate"/>
          </w:r>
          <w:r w:rsidR="00E828C6">
            <w:rPr>
              <w:b/>
              <w:noProof/>
            </w:rPr>
            <w:instrText>1</w:instrText>
          </w:r>
          <w:r w:rsidR="00CE33D8" w:rsidRPr="001E0756">
            <w:rPr>
              <w:b/>
            </w:rPr>
            <w:fldChar w:fldCharType="end"/>
          </w:r>
          <w:r w:rsidRPr="001E0756">
            <w:rPr>
              <w:b/>
            </w:rPr>
            <w:instrText xml:space="preserve"> </w:instrText>
          </w:r>
          <w:r w:rsidR="00CE33D8" w:rsidRPr="001E0756">
            <w:rPr>
              <w:b/>
            </w:rPr>
            <w:fldChar w:fldCharType="separate"/>
          </w:r>
          <w:r w:rsidR="00E828C6">
            <w:rPr>
              <w:b/>
              <w:noProof/>
            </w:rPr>
            <w:t>1</w:t>
          </w:r>
          <w:r w:rsidR="00CE33D8" w:rsidRPr="001E0756">
            <w:rPr>
              <w:b/>
            </w:rPr>
            <w:fldChar w:fldCharType="end"/>
          </w:r>
        </w:p>
      </w:tc>
    </w:tr>
  </w:tbl>
  <w:p w:rsidR="00B86D20" w:rsidRDefault="00B86D2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B86D20" w:rsidRPr="000E1CC4">
      <w:trPr>
        <w:cantSplit/>
      </w:trPr>
      <w:tc>
        <w:tcPr>
          <w:tcW w:w="6914" w:type="dxa"/>
          <w:vAlign w:val="bottom"/>
        </w:tcPr>
        <w:p w:rsidR="00B86D20" w:rsidRPr="000E1CC4" w:rsidRDefault="00B86D20" w:rsidP="00005C28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B86D20" w:rsidRPr="000E1CC4" w:rsidRDefault="00B86D20" w:rsidP="00005C28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B86D20" w:rsidRPr="000E1CC4">
      <w:trPr>
        <w:cantSplit/>
      </w:trPr>
      <w:tc>
        <w:tcPr>
          <w:tcW w:w="6914" w:type="dxa"/>
          <w:vAlign w:val="bottom"/>
        </w:tcPr>
        <w:p w:rsidR="00B86D20" w:rsidRPr="000E1CC4" w:rsidRDefault="00B86D20" w:rsidP="00005C28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B86D20" w:rsidRPr="000E1CC4" w:rsidRDefault="00B86D20" w:rsidP="00005C28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B86D20" w:rsidRPr="000E1CC4">
      <w:trPr>
        <w:cantSplit/>
      </w:trPr>
      <w:tc>
        <w:tcPr>
          <w:tcW w:w="8399" w:type="dxa"/>
          <w:gridSpan w:val="2"/>
        </w:tcPr>
        <w:p w:rsidR="00B86D20" w:rsidRPr="001E0756" w:rsidRDefault="00B86D20" w:rsidP="00005C28">
          <w:pPr>
            <w:pStyle w:val="HeaderBoldOdd"/>
            <w:spacing w:before="0" w:after="120"/>
            <w:jc w:val="lef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Section </w:t>
          </w:r>
          <w:r w:rsidR="00CE33D8" w:rsidRPr="001E0756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1E0756">
            <w:rPr>
              <w:rFonts w:ascii="Times New Roman" w:hAnsi="Times New Roman"/>
              <w:sz w:val="16"/>
              <w:szCs w:val="16"/>
            </w:rPr>
            <w:instrText xml:space="preserve"> If </w:instrText>
          </w:r>
          <w:r w:rsidR="00CE33D8" w:rsidRPr="001E0756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1E0756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CE33D8" w:rsidRPr="001E0756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CE33D8" w:rsidRPr="001E0756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1E0756">
            <w:rPr>
              <w:rFonts w:ascii="Times New Roman" w:hAnsi="Times New Roman"/>
              <w:sz w:val="16"/>
              <w:szCs w:val="16"/>
            </w:rPr>
            <w:instrText xml:space="preserve"> &lt;&gt; "Error*" </w:instrText>
          </w:r>
          <w:r w:rsidR="00CE33D8" w:rsidRPr="001E0756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1E0756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CE33D8" w:rsidRPr="001E0756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CE33D8" w:rsidRPr="001E0756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1E0756">
            <w:rPr>
              <w:rFonts w:ascii="Times New Roman" w:hAnsi="Times New Roman"/>
              <w:sz w:val="16"/>
              <w:szCs w:val="16"/>
            </w:rPr>
            <w:instrText xml:space="preserve"> </w:instrText>
          </w:r>
          <w:r w:rsidR="00CE33D8" w:rsidRPr="001E0756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="00CE33D8" w:rsidRPr="001E0756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:rsidR="00B86D20" w:rsidRDefault="00B86D2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B86D20">
      <w:tc>
        <w:tcPr>
          <w:tcW w:w="1546" w:type="dxa"/>
        </w:tcPr>
        <w:p w:rsidR="00B86D20" w:rsidRDefault="00CE33D8">
          <w:pPr>
            <w:pStyle w:val="HeaderLiteEven"/>
          </w:pPr>
          <w:r>
            <w:fldChar w:fldCharType="begin"/>
          </w:r>
          <w:r w:rsidR="00B86D20">
            <w:instrText xml:space="preserve"> If </w:instrText>
          </w:r>
          <w:fldSimple w:instr=" STYLEREF CharAmSchNo \*Charformat ">
            <w:r w:rsidR="00E828C6">
              <w:rPr>
                <w:noProof/>
              </w:rPr>
              <w:instrText>Schedule 1</w:instrText>
            </w:r>
          </w:fldSimple>
          <w:r w:rsidR="00B86D20">
            <w:instrText xml:space="preserve"> &lt;&gt; "Error*" </w:instrText>
          </w:r>
          <w:fldSimple w:instr=" STYLEREF CharAmSchNo \*Charformat ">
            <w:r w:rsidR="00E828C6">
              <w:rPr>
                <w:noProof/>
              </w:rPr>
              <w:instrText>Schedule 1</w:instrText>
            </w:r>
          </w:fldSimple>
          <w:r w:rsidR="00B86D20">
            <w:instrText xml:space="preserve"> </w:instrText>
          </w:r>
          <w:r>
            <w:fldChar w:fldCharType="separate"/>
          </w:r>
          <w:r w:rsidR="00E828C6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6797" w:type="dxa"/>
          <w:vAlign w:val="bottom"/>
        </w:tcPr>
        <w:p w:rsidR="00B86D20" w:rsidRDefault="00CE33D8">
          <w:pPr>
            <w:pStyle w:val="HeaderLiteEven"/>
          </w:pPr>
          <w:r>
            <w:fldChar w:fldCharType="begin"/>
          </w:r>
          <w:r w:rsidR="00B86D20">
            <w:instrText xml:space="preserve"> If </w:instrText>
          </w:r>
          <w:fldSimple w:instr=" STYLEREF CharAmSchText \*Charformat ">
            <w:r w:rsidR="00E828C6">
              <w:rPr>
                <w:noProof/>
              </w:rPr>
              <w:instrText>Amendments</w:instrText>
            </w:r>
          </w:fldSimple>
          <w:r w:rsidR="00B86D20">
            <w:instrText xml:space="preserve"> &lt;&gt; "Error*" </w:instrText>
          </w:r>
          <w:fldSimple w:instr=" STYLEREF CharAmSchText \*Charformat ">
            <w:r w:rsidR="00E828C6">
              <w:rPr>
                <w:noProof/>
              </w:rPr>
              <w:instrText>Amendments</w:instrText>
            </w:r>
          </w:fldSimple>
          <w:r w:rsidR="00B86D20">
            <w:instrText xml:space="preserve"> </w:instrText>
          </w:r>
          <w:r>
            <w:fldChar w:fldCharType="separate"/>
          </w:r>
          <w:r w:rsidR="00E828C6">
            <w:rPr>
              <w:noProof/>
            </w:rPr>
            <w:t>Amendments</w:t>
          </w:r>
          <w:r>
            <w:fldChar w:fldCharType="end"/>
          </w:r>
        </w:p>
      </w:tc>
    </w:tr>
    <w:tr w:rsidR="00B86D20">
      <w:tc>
        <w:tcPr>
          <w:tcW w:w="1546" w:type="dxa"/>
        </w:tcPr>
        <w:p w:rsidR="00B86D20" w:rsidRDefault="00B86D20">
          <w:pPr>
            <w:pStyle w:val="HeaderLiteEven"/>
          </w:pPr>
        </w:p>
      </w:tc>
      <w:tc>
        <w:tcPr>
          <w:tcW w:w="6797" w:type="dxa"/>
          <w:vAlign w:val="bottom"/>
        </w:tcPr>
        <w:p w:rsidR="00B86D20" w:rsidRDefault="00B86D20">
          <w:pPr>
            <w:pStyle w:val="HeaderLiteEven"/>
          </w:pPr>
        </w:p>
      </w:tc>
    </w:tr>
    <w:tr w:rsidR="00B86D20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86D20" w:rsidRDefault="00B86D20">
          <w:pPr>
            <w:pStyle w:val="HeaderLiteEven"/>
            <w:spacing w:before="120" w:after="60"/>
            <w:ind w:right="-108"/>
          </w:pPr>
        </w:p>
      </w:tc>
    </w:tr>
  </w:tbl>
  <w:p w:rsidR="00B86D20" w:rsidRDefault="00B86D2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B86D20">
      <w:tc>
        <w:tcPr>
          <w:tcW w:w="6868" w:type="dxa"/>
          <w:vAlign w:val="bottom"/>
        </w:tcPr>
        <w:p w:rsidR="00B86D20" w:rsidRDefault="00CE33D8">
          <w:pPr>
            <w:pStyle w:val="HeaderLiteOdd"/>
          </w:pPr>
          <w:r>
            <w:fldChar w:fldCharType="begin"/>
          </w:r>
          <w:r w:rsidR="00B86D20">
            <w:instrText xml:space="preserve"> If </w:instrText>
          </w:r>
          <w:fldSimple w:instr=" STYLEREF CharAmSchText \*Charformat \l ">
            <w:r w:rsidR="00E828C6">
              <w:rPr>
                <w:noProof/>
              </w:rPr>
              <w:instrText>Amendments</w:instrText>
            </w:r>
          </w:fldSimple>
          <w:r w:rsidR="00B86D20">
            <w:instrText xml:space="preserve"> &lt;&gt; "Error*" </w:instrText>
          </w:r>
          <w:fldSimple w:instr=" STYLEREF CharAmSchText \*Charformat \l ">
            <w:r w:rsidR="00E828C6">
              <w:rPr>
                <w:noProof/>
              </w:rPr>
              <w:instrText>Amendments</w:instrText>
            </w:r>
          </w:fldSimple>
          <w:r w:rsidR="00B86D20">
            <w:instrText xml:space="preserve"> </w:instrText>
          </w:r>
          <w:r>
            <w:fldChar w:fldCharType="separate"/>
          </w:r>
          <w:r w:rsidR="00E828C6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46" w:type="dxa"/>
        </w:tcPr>
        <w:p w:rsidR="00B86D20" w:rsidRDefault="00CE33D8">
          <w:pPr>
            <w:pStyle w:val="HeaderLiteOdd"/>
          </w:pPr>
          <w:r>
            <w:fldChar w:fldCharType="begin"/>
          </w:r>
          <w:r w:rsidR="00B86D20">
            <w:instrText xml:space="preserve"> If </w:instrText>
          </w:r>
          <w:fldSimple w:instr=" STYLEREF CharAmSchNo \*Charformat \l ">
            <w:r w:rsidR="00E828C6">
              <w:rPr>
                <w:noProof/>
              </w:rPr>
              <w:instrText>Schedule 1</w:instrText>
            </w:r>
          </w:fldSimple>
          <w:r w:rsidR="00B86D20">
            <w:instrText xml:space="preserve"> &lt;&gt; "Error*" </w:instrText>
          </w:r>
          <w:fldSimple w:instr=" STYLEREF CharAmSchNo \*Charformat \l ">
            <w:r w:rsidR="00E828C6">
              <w:rPr>
                <w:noProof/>
              </w:rPr>
              <w:instrText>Schedule 1</w:instrText>
            </w:r>
          </w:fldSimple>
          <w:r w:rsidR="00B86D20">
            <w:instrText xml:space="preserve"> </w:instrText>
          </w:r>
          <w:r>
            <w:fldChar w:fldCharType="separate"/>
          </w:r>
          <w:r w:rsidR="00E828C6">
            <w:rPr>
              <w:noProof/>
            </w:rPr>
            <w:t>Schedule 1</w:t>
          </w:r>
          <w:r>
            <w:fldChar w:fldCharType="end"/>
          </w:r>
        </w:p>
      </w:tc>
    </w:tr>
    <w:tr w:rsidR="00B86D20">
      <w:tc>
        <w:tcPr>
          <w:tcW w:w="6868" w:type="dxa"/>
          <w:vAlign w:val="bottom"/>
        </w:tcPr>
        <w:p w:rsidR="00B86D20" w:rsidRDefault="00B86D20">
          <w:pPr>
            <w:pStyle w:val="HeaderLiteOdd"/>
          </w:pPr>
        </w:p>
      </w:tc>
      <w:tc>
        <w:tcPr>
          <w:tcW w:w="1546" w:type="dxa"/>
        </w:tcPr>
        <w:p w:rsidR="00B86D20" w:rsidRDefault="00B86D20">
          <w:pPr>
            <w:pStyle w:val="HeaderLiteOdd"/>
          </w:pPr>
        </w:p>
      </w:tc>
    </w:tr>
    <w:tr w:rsidR="00B86D20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86D20" w:rsidRDefault="00B86D20">
          <w:pPr>
            <w:pStyle w:val="HeaderBoldOdd"/>
          </w:pPr>
        </w:p>
      </w:tc>
    </w:tr>
  </w:tbl>
  <w:p w:rsidR="00B86D20" w:rsidRDefault="00B86D2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20" w:rsidRDefault="00B86D20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B86D20" w:rsidRPr="00375ADF">
      <w:tc>
        <w:tcPr>
          <w:tcW w:w="8357" w:type="dxa"/>
        </w:tcPr>
        <w:p w:rsidR="00B86D20" w:rsidRPr="00375ADF" w:rsidRDefault="00B86D20">
          <w:pPr>
            <w:pStyle w:val="HeaderLiteEven"/>
          </w:pPr>
          <w:r>
            <w:t>Note</w:t>
          </w:r>
        </w:p>
      </w:tc>
    </w:tr>
    <w:tr w:rsidR="00B86D20">
      <w:tc>
        <w:tcPr>
          <w:tcW w:w="8357" w:type="dxa"/>
        </w:tcPr>
        <w:p w:rsidR="00B86D20" w:rsidRDefault="00B86D20">
          <w:pPr>
            <w:pStyle w:val="HeaderLiteEven"/>
          </w:pPr>
        </w:p>
      </w:tc>
    </w:tr>
    <w:tr w:rsidR="00B86D20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B86D20" w:rsidRPr="000D4CDA" w:rsidRDefault="00B86D20">
          <w:pPr>
            <w:pStyle w:val="HeaderBoldEven"/>
          </w:pPr>
        </w:p>
      </w:tc>
    </w:tr>
  </w:tbl>
  <w:p w:rsidR="00B86D20" w:rsidRDefault="00B86D20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B86D20" w:rsidRPr="00375ADF">
      <w:tc>
        <w:tcPr>
          <w:tcW w:w="8357" w:type="dxa"/>
        </w:tcPr>
        <w:p w:rsidR="00B86D20" w:rsidRPr="00375ADF" w:rsidRDefault="00B86D20">
          <w:pPr>
            <w:pStyle w:val="HeaderLiteOdd"/>
          </w:pPr>
          <w:r>
            <w:t>Note</w:t>
          </w:r>
        </w:p>
      </w:tc>
    </w:tr>
    <w:tr w:rsidR="00B86D20">
      <w:tc>
        <w:tcPr>
          <w:tcW w:w="8357" w:type="dxa"/>
        </w:tcPr>
        <w:p w:rsidR="00B86D20" w:rsidRDefault="00B86D20">
          <w:pPr>
            <w:pStyle w:val="HeaderLiteOdd"/>
          </w:pPr>
        </w:p>
      </w:tc>
    </w:tr>
    <w:tr w:rsidR="00B86D20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B86D20" w:rsidRPr="000D4CDA" w:rsidRDefault="00B86D20">
          <w:pPr>
            <w:pStyle w:val="HeaderBoldOdd"/>
          </w:pPr>
        </w:p>
      </w:tc>
    </w:tr>
  </w:tbl>
  <w:p w:rsidR="00B86D20" w:rsidRDefault="00B86D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367"/>
    <w:multiLevelType w:val="hybridMultilevel"/>
    <w:tmpl w:val="EA207FA8"/>
    <w:lvl w:ilvl="0" w:tplc="7B9451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883A6D"/>
    <w:multiLevelType w:val="hybridMultilevel"/>
    <w:tmpl w:val="56C650E2"/>
    <w:lvl w:ilvl="0" w:tplc="EACADD5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04077E2"/>
    <w:multiLevelType w:val="hybridMultilevel"/>
    <w:tmpl w:val="D79049D6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DB46ED"/>
    <w:multiLevelType w:val="hybridMultilevel"/>
    <w:tmpl w:val="470AA038"/>
    <w:lvl w:ilvl="0" w:tplc="0C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311F3614"/>
    <w:multiLevelType w:val="hybridMultilevel"/>
    <w:tmpl w:val="AC0A868E"/>
    <w:lvl w:ilvl="0" w:tplc="ABEAA1B2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08C0EAD"/>
    <w:multiLevelType w:val="hybridMultilevel"/>
    <w:tmpl w:val="77324E36"/>
    <w:lvl w:ilvl="0" w:tplc="0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477F1585"/>
    <w:multiLevelType w:val="hybridMultilevel"/>
    <w:tmpl w:val="D0ECA56C"/>
    <w:lvl w:ilvl="0" w:tplc="870C7F4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E00D5"/>
    <w:multiLevelType w:val="hybridMultilevel"/>
    <w:tmpl w:val="86EA4A2C"/>
    <w:lvl w:ilvl="0" w:tplc="74AA4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079A6"/>
    <w:multiLevelType w:val="hybridMultilevel"/>
    <w:tmpl w:val="AC0A868E"/>
    <w:lvl w:ilvl="0" w:tplc="ABEAA1B2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65AF2989"/>
    <w:multiLevelType w:val="hybridMultilevel"/>
    <w:tmpl w:val="E988B92A"/>
    <w:lvl w:ilvl="0" w:tplc="241E09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46C2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7333F82"/>
    <w:multiLevelType w:val="hybridMultilevel"/>
    <w:tmpl w:val="AF7E261E"/>
    <w:lvl w:ilvl="0" w:tplc="D95C61FC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808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docVars>
    <w:docVar w:name="dgnword-docGUID" w:val="{5FDA81E2-4D13-4384-8D74-66044128C3BA}"/>
    <w:docVar w:name="dgnword-eventsink" w:val="35057808"/>
  </w:docVars>
  <w:rsids>
    <w:rsidRoot w:val="00E06A58"/>
    <w:rsid w:val="000038A0"/>
    <w:rsid w:val="00005C28"/>
    <w:rsid w:val="00007881"/>
    <w:rsid w:val="00010D16"/>
    <w:rsid w:val="00012F8A"/>
    <w:rsid w:val="0001662A"/>
    <w:rsid w:val="00020108"/>
    <w:rsid w:val="000235A7"/>
    <w:rsid w:val="000247CA"/>
    <w:rsid w:val="0003075C"/>
    <w:rsid w:val="00032F2C"/>
    <w:rsid w:val="00035124"/>
    <w:rsid w:val="00040090"/>
    <w:rsid w:val="000403D5"/>
    <w:rsid w:val="000427E4"/>
    <w:rsid w:val="0004456C"/>
    <w:rsid w:val="00045BA4"/>
    <w:rsid w:val="00045F1B"/>
    <w:rsid w:val="00046C0B"/>
    <w:rsid w:val="000521B7"/>
    <w:rsid w:val="0005339D"/>
    <w:rsid w:val="00057038"/>
    <w:rsid w:val="000571FB"/>
    <w:rsid w:val="00060076"/>
    <w:rsid w:val="000646EC"/>
    <w:rsid w:val="00064D5A"/>
    <w:rsid w:val="00065118"/>
    <w:rsid w:val="00065296"/>
    <w:rsid w:val="000714FB"/>
    <w:rsid w:val="000715D1"/>
    <w:rsid w:val="00071AF4"/>
    <w:rsid w:val="00082916"/>
    <w:rsid w:val="00083189"/>
    <w:rsid w:val="00084712"/>
    <w:rsid w:val="0008560A"/>
    <w:rsid w:val="00090953"/>
    <w:rsid w:val="00091037"/>
    <w:rsid w:val="00091146"/>
    <w:rsid w:val="00095849"/>
    <w:rsid w:val="00097D77"/>
    <w:rsid w:val="000A01B4"/>
    <w:rsid w:val="000A0788"/>
    <w:rsid w:val="000A0CCA"/>
    <w:rsid w:val="000A1742"/>
    <w:rsid w:val="000A620C"/>
    <w:rsid w:val="000A7744"/>
    <w:rsid w:val="000A7869"/>
    <w:rsid w:val="000B4121"/>
    <w:rsid w:val="000B51B3"/>
    <w:rsid w:val="000D0288"/>
    <w:rsid w:val="000D0DFC"/>
    <w:rsid w:val="000D1916"/>
    <w:rsid w:val="000D220A"/>
    <w:rsid w:val="000D5583"/>
    <w:rsid w:val="000D564F"/>
    <w:rsid w:val="000E16EC"/>
    <w:rsid w:val="000E27E3"/>
    <w:rsid w:val="000E33F6"/>
    <w:rsid w:val="000E48BD"/>
    <w:rsid w:val="000E6404"/>
    <w:rsid w:val="000E7494"/>
    <w:rsid w:val="000F2F62"/>
    <w:rsid w:val="00105BB8"/>
    <w:rsid w:val="00107563"/>
    <w:rsid w:val="001109EB"/>
    <w:rsid w:val="00111D90"/>
    <w:rsid w:val="00116989"/>
    <w:rsid w:val="00117141"/>
    <w:rsid w:val="00121235"/>
    <w:rsid w:val="00125657"/>
    <w:rsid w:val="00126AF3"/>
    <w:rsid w:val="001312D8"/>
    <w:rsid w:val="001328CE"/>
    <w:rsid w:val="001341D2"/>
    <w:rsid w:val="00134DDC"/>
    <w:rsid w:val="00140090"/>
    <w:rsid w:val="001409F1"/>
    <w:rsid w:val="0014186A"/>
    <w:rsid w:val="00141CBA"/>
    <w:rsid w:val="00144DE3"/>
    <w:rsid w:val="00153195"/>
    <w:rsid w:val="00153401"/>
    <w:rsid w:val="00155E81"/>
    <w:rsid w:val="00162609"/>
    <w:rsid w:val="00164935"/>
    <w:rsid w:val="00165D61"/>
    <w:rsid w:val="00176221"/>
    <w:rsid w:val="0017685B"/>
    <w:rsid w:val="001855A2"/>
    <w:rsid w:val="00185F83"/>
    <w:rsid w:val="00186360"/>
    <w:rsid w:val="001875FF"/>
    <w:rsid w:val="00187D63"/>
    <w:rsid w:val="00191FA5"/>
    <w:rsid w:val="00192519"/>
    <w:rsid w:val="00192C10"/>
    <w:rsid w:val="001936A5"/>
    <w:rsid w:val="00193F32"/>
    <w:rsid w:val="0019661D"/>
    <w:rsid w:val="001A0C1F"/>
    <w:rsid w:val="001A4DD7"/>
    <w:rsid w:val="001A6C59"/>
    <w:rsid w:val="001A7324"/>
    <w:rsid w:val="001B317C"/>
    <w:rsid w:val="001B7168"/>
    <w:rsid w:val="001C1215"/>
    <w:rsid w:val="001C22F5"/>
    <w:rsid w:val="001C25FE"/>
    <w:rsid w:val="001C7118"/>
    <w:rsid w:val="001C769F"/>
    <w:rsid w:val="001D6D71"/>
    <w:rsid w:val="001E0756"/>
    <w:rsid w:val="001E092D"/>
    <w:rsid w:val="001E1749"/>
    <w:rsid w:val="001F108C"/>
    <w:rsid w:val="001F111F"/>
    <w:rsid w:val="001F41C5"/>
    <w:rsid w:val="001F4EE8"/>
    <w:rsid w:val="001F54F7"/>
    <w:rsid w:val="002015B2"/>
    <w:rsid w:val="00203232"/>
    <w:rsid w:val="00210652"/>
    <w:rsid w:val="00211C05"/>
    <w:rsid w:val="00214193"/>
    <w:rsid w:val="00214C3B"/>
    <w:rsid w:val="00221073"/>
    <w:rsid w:val="00222FD0"/>
    <w:rsid w:val="00224FFD"/>
    <w:rsid w:val="002252C7"/>
    <w:rsid w:val="0022734F"/>
    <w:rsid w:val="002324A7"/>
    <w:rsid w:val="00232DD8"/>
    <w:rsid w:val="00233C57"/>
    <w:rsid w:val="00233E2D"/>
    <w:rsid w:val="0023489C"/>
    <w:rsid w:val="002350CA"/>
    <w:rsid w:val="00237FFE"/>
    <w:rsid w:val="00240900"/>
    <w:rsid w:val="0024222C"/>
    <w:rsid w:val="00243601"/>
    <w:rsid w:val="00244C01"/>
    <w:rsid w:val="00246042"/>
    <w:rsid w:val="00247CCB"/>
    <w:rsid w:val="002524CF"/>
    <w:rsid w:val="00252F17"/>
    <w:rsid w:val="00253DDD"/>
    <w:rsid w:val="00260912"/>
    <w:rsid w:val="00263A09"/>
    <w:rsid w:val="00275245"/>
    <w:rsid w:val="002768EA"/>
    <w:rsid w:val="00277F50"/>
    <w:rsid w:val="0028130A"/>
    <w:rsid w:val="002818CF"/>
    <w:rsid w:val="00281E63"/>
    <w:rsid w:val="00282518"/>
    <w:rsid w:val="00283D0A"/>
    <w:rsid w:val="0028609E"/>
    <w:rsid w:val="0028636E"/>
    <w:rsid w:val="00286CEA"/>
    <w:rsid w:val="002875AE"/>
    <w:rsid w:val="00293BC3"/>
    <w:rsid w:val="002A0984"/>
    <w:rsid w:val="002A19B0"/>
    <w:rsid w:val="002A37DA"/>
    <w:rsid w:val="002A5500"/>
    <w:rsid w:val="002A676A"/>
    <w:rsid w:val="002A7D6A"/>
    <w:rsid w:val="002B104A"/>
    <w:rsid w:val="002B1579"/>
    <w:rsid w:val="002B1EBA"/>
    <w:rsid w:val="002B265A"/>
    <w:rsid w:val="002B3023"/>
    <w:rsid w:val="002B3196"/>
    <w:rsid w:val="002B32C5"/>
    <w:rsid w:val="002B519A"/>
    <w:rsid w:val="002B706F"/>
    <w:rsid w:val="002B7DCF"/>
    <w:rsid w:val="002C1009"/>
    <w:rsid w:val="002D4558"/>
    <w:rsid w:val="002D4BB2"/>
    <w:rsid w:val="002D7091"/>
    <w:rsid w:val="002D71AC"/>
    <w:rsid w:val="002D7932"/>
    <w:rsid w:val="002E5749"/>
    <w:rsid w:val="002E71B3"/>
    <w:rsid w:val="002E77E8"/>
    <w:rsid w:val="002F2333"/>
    <w:rsid w:val="002F78D5"/>
    <w:rsid w:val="00302FB1"/>
    <w:rsid w:val="0030395A"/>
    <w:rsid w:val="00306194"/>
    <w:rsid w:val="003072E7"/>
    <w:rsid w:val="0031570B"/>
    <w:rsid w:val="003231FF"/>
    <w:rsid w:val="003254AA"/>
    <w:rsid w:val="0033573E"/>
    <w:rsid w:val="003366BB"/>
    <w:rsid w:val="00336724"/>
    <w:rsid w:val="00343B24"/>
    <w:rsid w:val="00344D1B"/>
    <w:rsid w:val="003469E3"/>
    <w:rsid w:val="0035001E"/>
    <w:rsid w:val="00353F3B"/>
    <w:rsid w:val="003549FD"/>
    <w:rsid w:val="00356F8A"/>
    <w:rsid w:val="00357657"/>
    <w:rsid w:val="00357BE8"/>
    <w:rsid w:val="00361F81"/>
    <w:rsid w:val="0036754C"/>
    <w:rsid w:val="00367E3F"/>
    <w:rsid w:val="00370879"/>
    <w:rsid w:val="00370DD7"/>
    <w:rsid w:val="0037255F"/>
    <w:rsid w:val="00381637"/>
    <w:rsid w:val="0038199B"/>
    <w:rsid w:val="00386018"/>
    <w:rsid w:val="00387F34"/>
    <w:rsid w:val="00391BFA"/>
    <w:rsid w:val="00392557"/>
    <w:rsid w:val="0039396B"/>
    <w:rsid w:val="003A486E"/>
    <w:rsid w:val="003A5AF1"/>
    <w:rsid w:val="003A77F7"/>
    <w:rsid w:val="003B0D29"/>
    <w:rsid w:val="003B7E2B"/>
    <w:rsid w:val="003C0300"/>
    <w:rsid w:val="003C1D25"/>
    <w:rsid w:val="003C3ED3"/>
    <w:rsid w:val="003D1079"/>
    <w:rsid w:val="003D168A"/>
    <w:rsid w:val="003D1FD3"/>
    <w:rsid w:val="003D5FC8"/>
    <w:rsid w:val="003D659C"/>
    <w:rsid w:val="003D6F03"/>
    <w:rsid w:val="003E453E"/>
    <w:rsid w:val="003E6D06"/>
    <w:rsid w:val="003F6833"/>
    <w:rsid w:val="004005D4"/>
    <w:rsid w:val="00403F78"/>
    <w:rsid w:val="00421964"/>
    <w:rsid w:val="00422522"/>
    <w:rsid w:val="00422990"/>
    <w:rsid w:val="004247EB"/>
    <w:rsid w:val="004255DD"/>
    <w:rsid w:val="0042728A"/>
    <w:rsid w:val="0043058D"/>
    <w:rsid w:val="00430720"/>
    <w:rsid w:val="004311E3"/>
    <w:rsid w:val="00433B06"/>
    <w:rsid w:val="00435E22"/>
    <w:rsid w:val="004361A5"/>
    <w:rsid w:val="00440B24"/>
    <w:rsid w:val="00442AA3"/>
    <w:rsid w:val="00443890"/>
    <w:rsid w:val="0044430D"/>
    <w:rsid w:val="00444640"/>
    <w:rsid w:val="004447F9"/>
    <w:rsid w:val="00444F77"/>
    <w:rsid w:val="004459DE"/>
    <w:rsid w:val="0044632B"/>
    <w:rsid w:val="00450DE1"/>
    <w:rsid w:val="004533FC"/>
    <w:rsid w:val="0045610F"/>
    <w:rsid w:val="004624D8"/>
    <w:rsid w:val="00464092"/>
    <w:rsid w:val="004640EA"/>
    <w:rsid w:val="00464AD1"/>
    <w:rsid w:val="00466DBA"/>
    <w:rsid w:val="00467197"/>
    <w:rsid w:val="004712CC"/>
    <w:rsid w:val="00472AEA"/>
    <w:rsid w:val="00475597"/>
    <w:rsid w:val="004839A4"/>
    <w:rsid w:val="004854CE"/>
    <w:rsid w:val="00486309"/>
    <w:rsid w:val="00487604"/>
    <w:rsid w:val="004879CB"/>
    <w:rsid w:val="0049172E"/>
    <w:rsid w:val="00492CAD"/>
    <w:rsid w:val="00494ABE"/>
    <w:rsid w:val="004975E4"/>
    <w:rsid w:val="004A20E2"/>
    <w:rsid w:val="004A725C"/>
    <w:rsid w:val="004A7713"/>
    <w:rsid w:val="004A7AA7"/>
    <w:rsid w:val="004B138D"/>
    <w:rsid w:val="004B1AC1"/>
    <w:rsid w:val="004B6C4F"/>
    <w:rsid w:val="004C3987"/>
    <w:rsid w:val="004D0A36"/>
    <w:rsid w:val="004D16BD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068E2"/>
    <w:rsid w:val="00510BEE"/>
    <w:rsid w:val="0051137B"/>
    <w:rsid w:val="00511776"/>
    <w:rsid w:val="00511924"/>
    <w:rsid w:val="00512974"/>
    <w:rsid w:val="0051511D"/>
    <w:rsid w:val="0052220C"/>
    <w:rsid w:val="005234C7"/>
    <w:rsid w:val="005238E0"/>
    <w:rsid w:val="00523C7E"/>
    <w:rsid w:val="005277E8"/>
    <w:rsid w:val="00530B15"/>
    <w:rsid w:val="00532682"/>
    <w:rsid w:val="0054351E"/>
    <w:rsid w:val="005516CA"/>
    <w:rsid w:val="00551E8F"/>
    <w:rsid w:val="005524B3"/>
    <w:rsid w:val="00556529"/>
    <w:rsid w:val="005672DE"/>
    <w:rsid w:val="005678A9"/>
    <w:rsid w:val="00572CAF"/>
    <w:rsid w:val="005749F6"/>
    <w:rsid w:val="00576569"/>
    <w:rsid w:val="005779A4"/>
    <w:rsid w:val="00580301"/>
    <w:rsid w:val="00585847"/>
    <w:rsid w:val="005859FB"/>
    <w:rsid w:val="00586022"/>
    <w:rsid w:val="0059176A"/>
    <w:rsid w:val="005924C4"/>
    <w:rsid w:val="005943B6"/>
    <w:rsid w:val="005957DA"/>
    <w:rsid w:val="00597CAB"/>
    <w:rsid w:val="005A09CF"/>
    <w:rsid w:val="005A0C8C"/>
    <w:rsid w:val="005A1FFC"/>
    <w:rsid w:val="005A4031"/>
    <w:rsid w:val="005A5C2F"/>
    <w:rsid w:val="005A6171"/>
    <w:rsid w:val="005B5BAF"/>
    <w:rsid w:val="005B7B02"/>
    <w:rsid w:val="005C4A85"/>
    <w:rsid w:val="005C6503"/>
    <w:rsid w:val="005C6736"/>
    <w:rsid w:val="005D080A"/>
    <w:rsid w:val="005D0D39"/>
    <w:rsid w:val="005D2E5D"/>
    <w:rsid w:val="005D2F97"/>
    <w:rsid w:val="005D692B"/>
    <w:rsid w:val="005D6E70"/>
    <w:rsid w:val="005D75D0"/>
    <w:rsid w:val="005E43E5"/>
    <w:rsid w:val="005E563D"/>
    <w:rsid w:val="005F0DDB"/>
    <w:rsid w:val="005F4100"/>
    <w:rsid w:val="005F47D8"/>
    <w:rsid w:val="005F52A1"/>
    <w:rsid w:val="0060010D"/>
    <w:rsid w:val="00602748"/>
    <w:rsid w:val="006047C5"/>
    <w:rsid w:val="0060755D"/>
    <w:rsid w:val="00614DE4"/>
    <w:rsid w:val="00621915"/>
    <w:rsid w:val="00624074"/>
    <w:rsid w:val="0062769F"/>
    <w:rsid w:val="006413CA"/>
    <w:rsid w:val="00641664"/>
    <w:rsid w:val="0064290B"/>
    <w:rsid w:val="00642BB5"/>
    <w:rsid w:val="0065001E"/>
    <w:rsid w:val="006533B7"/>
    <w:rsid w:val="00667379"/>
    <w:rsid w:val="0067234C"/>
    <w:rsid w:val="00673DE6"/>
    <w:rsid w:val="00674B00"/>
    <w:rsid w:val="00682D5C"/>
    <w:rsid w:val="006848D5"/>
    <w:rsid w:val="006A2748"/>
    <w:rsid w:val="006C2616"/>
    <w:rsid w:val="006C5742"/>
    <w:rsid w:val="006C77C6"/>
    <w:rsid w:val="006D018E"/>
    <w:rsid w:val="006D0885"/>
    <w:rsid w:val="006D0F10"/>
    <w:rsid w:val="006D3078"/>
    <w:rsid w:val="006D3421"/>
    <w:rsid w:val="006D4034"/>
    <w:rsid w:val="006E2530"/>
    <w:rsid w:val="006E3587"/>
    <w:rsid w:val="006E548F"/>
    <w:rsid w:val="006E7E7A"/>
    <w:rsid w:val="006F0BD8"/>
    <w:rsid w:val="006F1B29"/>
    <w:rsid w:val="006F73F0"/>
    <w:rsid w:val="00702998"/>
    <w:rsid w:val="00704E4F"/>
    <w:rsid w:val="0071055A"/>
    <w:rsid w:val="007109F4"/>
    <w:rsid w:val="0071414A"/>
    <w:rsid w:val="0071514F"/>
    <w:rsid w:val="00716F1E"/>
    <w:rsid w:val="00722DD9"/>
    <w:rsid w:val="007269EF"/>
    <w:rsid w:val="0072720A"/>
    <w:rsid w:val="00727685"/>
    <w:rsid w:val="00730AF8"/>
    <w:rsid w:val="00735D7F"/>
    <w:rsid w:val="007375F7"/>
    <w:rsid w:val="00740322"/>
    <w:rsid w:val="00740916"/>
    <w:rsid w:val="00740A1C"/>
    <w:rsid w:val="00740C02"/>
    <w:rsid w:val="00742FBA"/>
    <w:rsid w:val="00742FC6"/>
    <w:rsid w:val="007431FF"/>
    <w:rsid w:val="00751A2D"/>
    <w:rsid w:val="00754191"/>
    <w:rsid w:val="00756F9E"/>
    <w:rsid w:val="007637E9"/>
    <w:rsid w:val="00763C56"/>
    <w:rsid w:val="00763E39"/>
    <w:rsid w:val="00764437"/>
    <w:rsid w:val="00766459"/>
    <w:rsid w:val="0076781C"/>
    <w:rsid w:val="00772ADE"/>
    <w:rsid w:val="00773828"/>
    <w:rsid w:val="00775278"/>
    <w:rsid w:val="00780EDB"/>
    <w:rsid w:val="00781288"/>
    <w:rsid w:val="0078300B"/>
    <w:rsid w:val="007833A9"/>
    <w:rsid w:val="007844E1"/>
    <w:rsid w:val="007851E9"/>
    <w:rsid w:val="007910D2"/>
    <w:rsid w:val="00794754"/>
    <w:rsid w:val="007971E2"/>
    <w:rsid w:val="00797DD9"/>
    <w:rsid w:val="007A0908"/>
    <w:rsid w:val="007A3064"/>
    <w:rsid w:val="007B0696"/>
    <w:rsid w:val="007B3611"/>
    <w:rsid w:val="007B3C4F"/>
    <w:rsid w:val="007C7959"/>
    <w:rsid w:val="007D1A1E"/>
    <w:rsid w:val="007D1D32"/>
    <w:rsid w:val="007D4150"/>
    <w:rsid w:val="007D5321"/>
    <w:rsid w:val="007E02A0"/>
    <w:rsid w:val="007E231D"/>
    <w:rsid w:val="007E38E2"/>
    <w:rsid w:val="007E3AA5"/>
    <w:rsid w:val="007E4CB8"/>
    <w:rsid w:val="007E7E76"/>
    <w:rsid w:val="007F488D"/>
    <w:rsid w:val="007F75DF"/>
    <w:rsid w:val="008002E8"/>
    <w:rsid w:val="008006D5"/>
    <w:rsid w:val="00810951"/>
    <w:rsid w:val="00811A5C"/>
    <w:rsid w:val="00811B2B"/>
    <w:rsid w:val="00814462"/>
    <w:rsid w:val="008149B7"/>
    <w:rsid w:val="00822732"/>
    <w:rsid w:val="00825250"/>
    <w:rsid w:val="008322B6"/>
    <w:rsid w:val="008349F1"/>
    <w:rsid w:val="00835F9F"/>
    <w:rsid w:val="00836024"/>
    <w:rsid w:val="00836392"/>
    <w:rsid w:val="008416EA"/>
    <w:rsid w:val="00844132"/>
    <w:rsid w:val="00847850"/>
    <w:rsid w:val="008516D4"/>
    <w:rsid w:val="008546A9"/>
    <w:rsid w:val="00854857"/>
    <w:rsid w:val="00856C91"/>
    <w:rsid w:val="00856EB5"/>
    <w:rsid w:val="00863597"/>
    <w:rsid w:val="0086648B"/>
    <w:rsid w:val="008673F2"/>
    <w:rsid w:val="00867E7D"/>
    <w:rsid w:val="0087186C"/>
    <w:rsid w:val="00871B88"/>
    <w:rsid w:val="00872EB7"/>
    <w:rsid w:val="008731F9"/>
    <w:rsid w:val="0087334C"/>
    <w:rsid w:val="00873699"/>
    <w:rsid w:val="00873C2D"/>
    <w:rsid w:val="00873E3C"/>
    <w:rsid w:val="008750E2"/>
    <w:rsid w:val="00875A25"/>
    <w:rsid w:val="00876486"/>
    <w:rsid w:val="00886003"/>
    <w:rsid w:val="008866E8"/>
    <w:rsid w:val="0088671C"/>
    <w:rsid w:val="00886C7C"/>
    <w:rsid w:val="00894480"/>
    <w:rsid w:val="008A2CE6"/>
    <w:rsid w:val="008A4808"/>
    <w:rsid w:val="008A656F"/>
    <w:rsid w:val="008A6DFE"/>
    <w:rsid w:val="008B0EFE"/>
    <w:rsid w:val="008B183C"/>
    <w:rsid w:val="008B1E93"/>
    <w:rsid w:val="008B288E"/>
    <w:rsid w:val="008B3526"/>
    <w:rsid w:val="008B400B"/>
    <w:rsid w:val="008B4264"/>
    <w:rsid w:val="008B5981"/>
    <w:rsid w:val="008B6C52"/>
    <w:rsid w:val="008B78EA"/>
    <w:rsid w:val="008C0D7C"/>
    <w:rsid w:val="008C1798"/>
    <w:rsid w:val="008C3068"/>
    <w:rsid w:val="008C3F12"/>
    <w:rsid w:val="008C43C2"/>
    <w:rsid w:val="008C44D3"/>
    <w:rsid w:val="008C48D9"/>
    <w:rsid w:val="008C594D"/>
    <w:rsid w:val="008C5FFF"/>
    <w:rsid w:val="008D2E1C"/>
    <w:rsid w:val="008D4514"/>
    <w:rsid w:val="008D5B3D"/>
    <w:rsid w:val="008E2235"/>
    <w:rsid w:val="008E3423"/>
    <w:rsid w:val="008E63C4"/>
    <w:rsid w:val="008F08AB"/>
    <w:rsid w:val="008F16BC"/>
    <w:rsid w:val="008F1DAB"/>
    <w:rsid w:val="008F3C01"/>
    <w:rsid w:val="009007F1"/>
    <w:rsid w:val="00901152"/>
    <w:rsid w:val="009078CC"/>
    <w:rsid w:val="00910150"/>
    <w:rsid w:val="00911F7B"/>
    <w:rsid w:val="009126C9"/>
    <w:rsid w:val="00913281"/>
    <w:rsid w:val="00913EA5"/>
    <w:rsid w:val="009146C1"/>
    <w:rsid w:val="00915580"/>
    <w:rsid w:val="00915D96"/>
    <w:rsid w:val="00923616"/>
    <w:rsid w:val="00926702"/>
    <w:rsid w:val="00927849"/>
    <w:rsid w:val="00930919"/>
    <w:rsid w:val="009315B5"/>
    <w:rsid w:val="009343B1"/>
    <w:rsid w:val="00942793"/>
    <w:rsid w:val="00943CEA"/>
    <w:rsid w:val="00945A5E"/>
    <w:rsid w:val="00954B06"/>
    <w:rsid w:val="009612A7"/>
    <w:rsid w:val="00962B8C"/>
    <w:rsid w:val="00963ADB"/>
    <w:rsid w:val="00965DB5"/>
    <w:rsid w:val="00967444"/>
    <w:rsid w:val="00970703"/>
    <w:rsid w:val="00972697"/>
    <w:rsid w:val="009736BE"/>
    <w:rsid w:val="009755A8"/>
    <w:rsid w:val="00976374"/>
    <w:rsid w:val="00981276"/>
    <w:rsid w:val="00983A1F"/>
    <w:rsid w:val="00987485"/>
    <w:rsid w:val="0099167B"/>
    <w:rsid w:val="00992ED6"/>
    <w:rsid w:val="00993442"/>
    <w:rsid w:val="00996E98"/>
    <w:rsid w:val="009A0CC8"/>
    <w:rsid w:val="009A207B"/>
    <w:rsid w:val="009A349F"/>
    <w:rsid w:val="009A5A0D"/>
    <w:rsid w:val="009A679E"/>
    <w:rsid w:val="009A6D1B"/>
    <w:rsid w:val="009B303B"/>
    <w:rsid w:val="009B3BDA"/>
    <w:rsid w:val="009B76D8"/>
    <w:rsid w:val="009B785F"/>
    <w:rsid w:val="009C0148"/>
    <w:rsid w:val="009C034A"/>
    <w:rsid w:val="009C0398"/>
    <w:rsid w:val="009C27A9"/>
    <w:rsid w:val="009D2745"/>
    <w:rsid w:val="009D2E17"/>
    <w:rsid w:val="009D6B2A"/>
    <w:rsid w:val="009D7227"/>
    <w:rsid w:val="009D7BDF"/>
    <w:rsid w:val="009E1C06"/>
    <w:rsid w:val="009E28DB"/>
    <w:rsid w:val="009E2D2F"/>
    <w:rsid w:val="009E7B96"/>
    <w:rsid w:val="009F3F7B"/>
    <w:rsid w:val="009F6849"/>
    <w:rsid w:val="009F6C76"/>
    <w:rsid w:val="00A00C88"/>
    <w:rsid w:val="00A0101C"/>
    <w:rsid w:val="00A046F7"/>
    <w:rsid w:val="00A055CF"/>
    <w:rsid w:val="00A06A87"/>
    <w:rsid w:val="00A10B39"/>
    <w:rsid w:val="00A136AF"/>
    <w:rsid w:val="00A13F63"/>
    <w:rsid w:val="00A15843"/>
    <w:rsid w:val="00A15B2B"/>
    <w:rsid w:val="00A21D2D"/>
    <w:rsid w:val="00A223AA"/>
    <w:rsid w:val="00A237C0"/>
    <w:rsid w:val="00A24F06"/>
    <w:rsid w:val="00A2502E"/>
    <w:rsid w:val="00A266F5"/>
    <w:rsid w:val="00A30ABA"/>
    <w:rsid w:val="00A314B9"/>
    <w:rsid w:val="00A33D5D"/>
    <w:rsid w:val="00A37848"/>
    <w:rsid w:val="00A41885"/>
    <w:rsid w:val="00A41B45"/>
    <w:rsid w:val="00A46008"/>
    <w:rsid w:val="00A503D4"/>
    <w:rsid w:val="00A52515"/>
    <w:rsid w:val="00A52966"/>
    <w:rsid w:val="00A54B37"/>
    <w:rsid w:val="00A55CE4"/>
    <w:rsid w:val="00A56CFE"/>
    <w:rsid w:val="00A570E1"/>
    <w:rsid w:val="00A609DD"/>
    <w:rsid w:val="00A60B57"/>
    <w:rsid w:val="00A61815"/>
    <w:rsid w:val="00A644DE"/>
    <w:rsid w:val="00A65157"/>
    <w:rsid w:val="00A66C7A"/>
    <w:rsid w:val="00A6740F"/>
    <w:rsid w:val="00A72E3B"/>
    <w:rsid w:val="00A7602E"/>
    <w:rsid w:val="00A76BD4"/>
    <w:rsid w:val="00A81559"/>
    <w:rsid w:val="00A830EC"/>
    <w:rsid w:val="00A90C9D"/>
    <w:rsid w:val="00A921BD"/>
    <w:rsid w:val="00A9581F"/>
    <w:rsid w:val="00A95A88"/>
    <w:rsid w:val="00AA1B63"/>
    <w:rsid w:val="00AA2038"/>
    <w:rsid w:val="00AA3188"/>
    <w:rsid w:val="00AA41C5"/>
    <w:rsid w:val="00AA420D"/>
    <w:rsid w:val="00AA6C83"/>
    <w:rsid w:val="00AB0585"/>
    <w:rsid w:val="00AB0A90"/>
    <w:rsid w:val="00AB2C8C"/>
    <w:rsid w:val="00AB35CA"/>
    <w:rsid w:val="00AB375F"/>
    <w:rsid w:val="00AB444A"/>
    <w:rsid w:val="00AB55A0"/>
    <w:rsid w:val="00AC405E"/>
    <w:rsid w:val="00AD2B48"/>
    <w:rsid w:val="00AE17F9"/>
    <w:rsid w:val="00AE732F"/>
    <w:rsid w:val="00AF074C"/>
    <w:rsid w:val="00AF3D88"/>
    <w:rsid w:val="00AF716F"/>
    <w:rsid w:val="00B007A5"/>
    <w:rsid w:val="00B02D2A"/>
    <w:rsid w:val="00B03471"/>
    <w:rsid w:val="00B03AF0"/>
    <w:rsid w:val="00B05373"/>
    <w:rsid w:val="00B061E5"/>
    <w:rsid w:val="00B067E6"/>
    <w:rsid w:val="00B11A88"/>
    <w:rsid w:val="00B12260"/>
    <w:rsid w:val="00B13667"/>
    <w:rsid w:val="00B13F00"/>
    <w:rsid w:val="00B156E1"/>
    <w:rsid w:val="00B25433"/>
    <w:rsid w:val="00B26174"/>
    <w:rsid w:val="00B2626C"/>
    <w:rsid w:val="00B27CFE"/>
    <w:rsid w:val="00B34B4F"/>
    <w:rsid w:val="00B3728B"/>
    <w:rsid w:val="00B40643"/>
    <w:rsid w:val="00B408B6"/>
    <w:rsid w:val="00B501AF"/>
    <w:rsid w:val="00B531ED"/>
    <w:rsid w:val="00B53574"/>
    <w:rsid w:val="00B53EF4"/>
    <w:rsid w:val="00B60027"/>
    <w:rsid w:val="00B61908"/>
    <w:rsid w:val="00B63AE9"/>
    <w:rsid w:val="00B63AFF"/>
    <w:rsid w:val="00B65B1D"/>
    <w:rsid w:val="00B662B0"/>
    <w:rsid w:val="00B670FF"/>
    <w:rsid w:val="00B70B80"/>
    <w:rsid w:val="00B71E8E"/>
    <w:rsid w:val="00B76BE0"/>
    <w:rsid w:val="00B80913"/>
    <w:rsid w:val="00B8139C"/>
    <w:rsid w:val="00B86D20"/>
    <w:rsid w:val="00B91A8D"/>
    <w:rsid w:val="00B91E22"/>
    <w:rsid w:val="00B920E9"/>
    <w:rsid w:val="00BA21E5"/>
    <w:rsid w:val="00BA34AD"/>
    <w:rsid w:val="00BA4B2A"/>
    <w:rsid w:val="00BB04DB"/>
    <w:rsid w:val="00BB69FF"/>
    <w:rsid w:val="00BC2D35"/>
    <w:rsid w:val="00BC3858"/>
    <w:rsid w:val="00BC6F16"/>
    <w:rsid w:val="00BD0CF6"/>
    <w:rsid w:val="00BD3497"/>
    <w:rsid w:val="00BD545A"/>
    <w:rsid w:val="00BE008C"/>
    <w:rsid w:val="00BE3D65"/>
    <w:rsid w:val="00BE6D36"/>
    <w:rsid w:val="00BF19E7"/>
    <w:rsid w:val="00BF1C2D"/>
    <w:rsid w:val="00BF2735"/>
    <w:rsid w:val="00BF738E"/>
    <w:rsid w:val="00C0402F"/>
    <w:rsid w:val="00C07C2E"/>
    <w:rsid w:val="00C14CE5"/>
    <w:rsid w:val="00C21B75"/>
    <w:rsid w:val="00C24D41"/>
    <w:rsid w:val="00C30025"/>
    <w:rsid w:val="00C3254A"/>
    <w:rsid w:val="00C329A2"/>
    <w:rsid w:val="00C35EC8"/>
    <w:rsid w:val="00C375E7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51A6"/>
    <w:rsid w:val="00C70918"/>
    <w:rsid w:val="00C725F3"/>
    <w:rsid w:val="00C7263D"/>
    <w:rsid w:val="00C72C99"/>
    <w:rsid w:val="00C81FD4"/>
    <w:rsid w:val="00C822F8"/>
    <w:rsid w:val="00C8251B"/>
    <w:rsid w:val="00C83482"/>
    <w:rsid w:val="00C83A6F"/>
    <w:rsid w:val="00C86CB0"/>
    <w:rsid w:val="00C90F4C"/>
    <w:rsid w:val="00C91081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C4C57"/>
    <w:rsid w:val="00CC6F62"/>
    <w:rsid w:val="00CC78E8"/>
    <w:rsid w:val="00CD3853"/>
    <w:rsid w:val="00CD3C04"/>
    <w:rsid w:val="00CD3C3C"/>
    <w:rsid w:val="00CD4BE4"/>
    <w:rsid w:val="00CE02CC"/>
    <w:rsid w:val="00CE115F"/>
    <w:rsid w:val="00CE1E72"/>
    <w:rsid w:val="00CE2789"/>
    <w:rsid w:val="00CE33D8"/>
    <w:rsid w:val="00CE662A"/>
    <w:rsid w:val="00CF05DE"/>
    <w:rsid w:val="00CF6252"/>
    <w:rsid w:val="00CF73A6"/>
    <w:rsid w:val="00D020A5"/>
    <w:rsid w:val="00D05575"/>
    <w:rsid w:val="00D10EC8"/>
    <w:rsid w:val="00D118BD"/>
    <w:rsid w:val="00D13C76"/>
    <w:rsid w:val="00D15738"/>
    <w:rsid w:val="00D2157E"/>
    <w:rsid w:val="00D22AE7"/>
    <w:rsid w:val="00D24F42"/>
    <w:rsid w:val="00D2550B"/>
    <w:rsid w:val="00D271FF"/>
    <w:rsid w:val="00D3032F"/>
    <w:rsid w:val="00D32E21"/>
    <w:rsid w:val="00D33590"/>
    <w:rsid w:val="00D3367E"/>
    <w:rsid w:val="00D33956"/>
    <w:rsid w:val="00D34F1B"/>
    <w:rsid w:val="00D379AF"/>
    <w:rsid w:val="00D40170"/>
    <w:rsid w:val="00D41229"/>
    <w:rsid w:val="00D4367A"/>
    <w:rsid w:val="00D443E5"/>
    <w:rsid w:val="00D5575F"/>
    <w:rsid w:val="00D56E11"/>
    <w:rsid w:val="00D57D13"/>
    <w:rsid w:val="00D60D79"/>
    <w:rsid w:val="00D61F38"/>
    <w:rsid w:val="00D6243F"/>
    <w:rsid w:val="00D6403A"/>
    <w:rsid w:val="00D70518"/>
    <w:rsid w:val="00D774C6"/>
    <w:rsid w:val="00D7756F"/>
    <w:rsid w:val="00D80163"/>
    <w:rsid w:val="00D80B21"/>
    <w:rsid w:val="00D82303"/>
    <w:rsid w:val="00D83BF9"/>
    <w:rsid w:val="00D844D9"/>
    <w:rsid w:val="00D84CCB"/>
    <w:rsid w:val="00D84E18"/>
    <w:rsid w:val="00D867E2"/>
    <w:rsid w:val="00D95125"/>
    <w:rsid w:val="00DA6A89"/>
    <w:rsid w:val="00DB2470"/>
    <w:rsid w:val="00DB2D23"/>
    <w:rsid w:val="00DB67E3"/>
    <w:rsid w:val="00DC0DBB"/>
    <w:rsid w:val="00DC74C2"/>
    <w:rsid w:val="00DC7FB4"/>
    <w:rsid w:val="00DD304C"/>
    <w:rsid w:val="00DE3C86"/>
    <w:rsid w:val="00DE5043"/>
    <w:rsid w:val="00DE734F"/>
    <w:rsid w:val="00DE7476"/>
    <w:rsid w:val="00DF3132"/>
    <w:rsid w:val="00DF44BE"/>
    <w:rsid w:val="00DF46DB"/>
    <w:rsid w:val="00DF64FD"/>
    <w:rsid w:val="00E05AF6"/>
    <w:rsid w:val="00E06A58"/>
    <w:rsid w:val="00E10958"/>
    <w:rsid w:val="00E127AC"/>
    <w:rsid w:val="00E14318"/>
    <w:rsid w:val="00E17916"/>
    <w:rsid w:val="00E24EF9"/>
    <w:rsid w:val="00E24FB9"/>
    <w:rsid w:val="00E26CD1"/>
    <w:rsid w:val="00E26F82"/>
    <w:rsid w:val="00E35189"/>
    <w:rsid w:val="00E40607"/>
    <w:rsid w:val="00E41415"/>
    <w:rsid w:val="00E44149"/>
    <w:rsid w:val="00E44D80"/>
    <w:rsid w:val="00E44ECA"/>
    <w:rsid w:val="00E459C3"/>
    <w:rsid w:val="00E45DAB"/>
    <w:rsid w:val="00E45F9D"/>
    <w:rsid w:val="00E5302C"/>
    <w:rsid w:val="00E53A61"/>
    <w:rsid w:val="00E53D2B"/>
    <w:rsid w:val="00E57384"/>
    <w:rsid w:val="00E5755C"/>
    <w:rsid w:val="00E6578A"/>
    <w:rsid w:val="00E66A9F"/>
    <w:rsid w:val="00E678BB"/>
    <w:rsid w:val="00E67F25"/>
    <w:rsid w:val="00E726B2"/>
    <w:rsid w:val="00E7293B"/>
    <w:rsid w:val="00E7299C"/>
    <w:rsid w:val="00E74109"/>
    <w:rsid w:val="00E750F1"/>
    <w:rsid w:val="00E763D7"/>
    <w:rsid w:val="00E765C8"/>
    <w:rsid w:val="00E814E3"/>
    <w:rsid w:val="00E828C6"/>
    <w:rsid w:val="00E83542"/>
    <w:rsid w:val="00E92E0C"/>
    <w:rsid w:val="00E93122"/>
    <w:rsid w:val="00EA045F"/>
    <w:rsid w:val="00EA0DE3"/>
    <w:rsid w:val="00EA0E4D"/>
    <w:rsid w:val="00EA1511"/>
    <w:rsid w:val="00EA4423"/>
    <w:rsid w:val="00EB1E0E"/>
    <w:rsid w:val="00EB3C4B"/>
    <w:rsid w:val="00EB77D8"/>
    <w:rsid w:val="00EB7CEA"/>
    <w:rsid w:val="00EC100A"/>
    <w:rsid w:val="00EC2BEF"/>
    <w:rsid w:val="00EC4B41"/>
    <w:rsid w:val="00ED0B61"/>
    <w:rsid w:val="00ED1C66"/>
    <w:rsid w:val="00ED1FB9"/>
    <w:rsid w:val="00ED2CA9"/>
    <w:rsid w:val="00EE1DC2"/>
    <w:rsid w:val="00EE4609"/>
    <w:rsid w:val="00EE4BF8"/>
    <w:rsid w:val="00EE739D"/>
    <w:rsid w:val="00EF15F7"/>
    <w:rsid w:val="00EF1990"/>
    <w:rsid w:val="00EF1EE8"/>
    <w:rsid w:val="00EF48F3"/>
    <w:rsid w:val="00EF63BE"/>
    <w:rsid w:val="00EF69B2"/>
    <w:rsid w:val="00F02711"/>
    <w:rsid w:val="00F02993"/>
    <w:rsid w:val="00F03806"/>
    <w:rsid w:val="00F053C3"/>
    <w:rsid w:val="00F10F95"/>
    <w:rsid w:val="00F11A57"/>
    <w:rsid w:val="00F16CAE"/>
    <w:rsid w:val="00F172D2"/>
    <w:rsid w:val="00F242C4"/>
    <w:rsid w:val="00F30F21"/>
    <w:rsid w:val="00F336D9"/>
    <w:rsid w:val="00F33D13"/>
    <w:rsid w:val="00F349C5"/>
    <w:rsid w:val="00F37E63"/>
    <w:rsid w:val="00F41515"/>
    <w:rsid w:val="00F41F12"/>
    <w:rsid w:val="00F44281"/>
    <w:rsid w:val="00F45ACE"/>
    <w:rsid w:val="00F511C0"/>
    <w:rsid w:val="00F63822"/>
    <w:rsid w:val="00F66039"/>
    <w:rsid w:val="00F719EC"/>
    <w:rsid w:val="00F7591B"/>
    <w:rsid w:val="00F766C0"/>
    <w:rsid w:val="00F76ECD"/>
    <w:rsid w:val="00F86BD5"/>
    <w:rsid w:val="00F92D2D"/>
    <w:rsid w:val="00F92FF8"/>
    <w:rsid w:val="00F9606B"/>
    <w:rsid w:val="00F96711"/>
    <w:rsid w:val="00F97D20"/>
    <w:rsid w:val="00FA166A"/>
    <w:rsid w:val="00FB1906"/>
    <w:rsid w:val="00FB6A7F"/>
    <w:rsid w:val="00FC2785"/>
    <w:rsid w:val="00FD0911"/>
    <w:rsid w:val="00FD0D45"/>
    <w:rsid w:val="00FD119D"/>
    <w:rsid w:val="00FD33E9"/>
    <w:rsid w:val="00FD6632"/>
    <w:rsid w:val="00FE036D"/>
    <w:rsid w:val="00FE262A"/>
    <w:rsid w:val="00FE2EE0"/>
    <w:rsid w:val="00FE36CF"/>
    <w:rsid w:val="00FE3A0D"/>
    <w:rsid w:val="00FF3712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CharSectnoAm">
    <w:name w:val="CharSectnoAm"/>
    <w:basedOn w:val="DefaultParagraphFont"/>
    <w:rsid w:val="0060755D"/>
  </w:style>
  <w:style w:type="paragraph" w:styleId="ListParagraph">
    <w:name w:val="List Paragraph"/>
    <w:basedOn w:val="Normal"/>
    <w:uiPriority w:val="34"/>
    <w:qFormat/>
    <w:rsid w:val="002E77E8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775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CB07-8706-4813-9A61-0C08ABD4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3</TotalTime>
  <Pages>11</Pages>
  <Words>2299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Labelling (Customer Equipment and Customer Cabling) Amendment Notice 2009 (No.   )</vt:lpstr>
    </vt:vector>
  </TitlesOfParts>
  <Company>Office of Legislative Drafting and Publishing</Company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Labelling (Customer Equipment and Customer Cabling) Amendment Notice 2009 (No.   )</dc:title>
  <dc:creator>jchua</dc:creator>
  <cp:lastModifiedBy>Helen Turnbull</cp:lastModifiedBy>
  <cp:revision>3</cp:revision>
  <cp:lastPrinted>2012-12-21T00:53:00Z</cp:lastPrinted>
  <dcterms:created xsi:type="dcterms:W3CDTF">2013-01-08T22:51:00Z</dcterms:created>
  <dcterms:modified xsi:type="dcterms:W3CDTF">2013-01-21T02:24:00Z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</Properties>
</file>