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2421E9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35" w:rsidRPr="001409F1" w:rsidRDefault="00822F35">
      <w:pPr>
        <w:pStyle w:val="Title"/>
        <w:pBdr>
          <w:bottom w:val="single" w:sz="4" w:space="3" w:color="auto"/>
        </w:pBdr>
      </w:pPr>
      <w:bookmarkStart w:id="0" w:name="Citation"/>
      <w:r>
        <w:t>Radiocommunications (Compliance Labelling</w:t>
      </w:r>
      <w:r w:rsidR="00AD05A2">
        <w:t> </w:t>
      </w:r>
      <w:r w:rsidR="001753C3">
        <w:t xml:space="preserve">— </w:t>
      </w:r>
      <w:r>
        <w:t xml:space="preserve">Electromagnetic Radiation) Amendment Notice </w:t>
      </w:r>
      <w:r w:rsidR="00D36190">
        <w:t>201</w:t>
      </w:r>
      <w:r w:rsidR="00B6114F">
        <w:t>3</w:t>
      </w:r>
      <w:r w:rsidR="00086D24">
        <w:t xml:space="preserve"> </w:t>
      </w:r>
      <w:r>
        <w:t>(No.</w:t>
      </w:r>
      <w:r w:rsidR="00AD05A2">
        <w:t> </w:t>
      </w:r>
      <w:r w:rsidR="00DE7752">
        <w:t>1</w:t>
      </w:r>
      <w:r>
        <w:t>)</w:t>
      </w:r>
      <w:bookmarkEnd w:id="0"/>
    </w:p>
    <w:p w:rsidR="00822F35" w:rsidRDefault="00822F3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822F35" w:rsidRPr="00822F35" w:rsidRDefault="00822F35">
      <w:pPr>
        <w:spacing w:before="360"/>
        <w:jc w:val="both"/>
      </w:pPr>
      <w:r>
        <w:t xml:space="preserve">The AUSTRALIAN COMMUNICATIONS AND MEDIA AUTHORITY makes this Notice under section 182 of the </w:t>
      </w:r>
      <w:r w:rsidRPr="00822F35">
        <w:rPr>
          <w:i/>
        </w:rPr>
        <w:t>Radiocommunications Act 1992</w:t>
      </w:r>
      <w:r>
        <w:t>.</w:t>
      </w:r>
    </w:p>
    <w:p w:rsidR="00822F35" w:rsidRDefault="00822F35" w:rsidP="00822F35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2966A1" w:rsidRPr="002966A1">
        <w:rPr>
          <w:i/>
        </w:rPr>
        <w:t>17</w:t>
      </w:r>
      <w:r w:rsidR="002966A1" w:rsidRPr="002966A1">
        <w:rPr>
          <w:i/>
          <w:vertAlign w:val="superscript"/>
        </w:rPr>
        <w:t>th</w:t>
      </w:r>
      <w:r w:rsidR="002966A1" w:rsidRPr="002966A1">
        <w:rPr>
          <w:i/>
        </w:rPr>
        <w:t xml:space="preserve"> January</w:t>
      </w:r>
      <w:r w:rsidR="002966A1">
        <w:t xml:space="preserve"> </w:t>
      </w:r>
      <w:r w:rsidR="005E7BDE">
        <w:t>201</w:t>
      </w:r>
      <w:r w:rsidR="00BE39CF">
        <w:t>3</w:t>
      </w:r>
    </w:p>
    <w:p w:rsidR="00822F35" w:rsidRDefault="002966A1">
      <w:pPr>
        <w:tabs>
          <w:tab w:val="right" w:pos="3686"/>
        </w:tabs>
        <w:spacing w:before="1200" w:after="600" w:line="300" w:lineRule="exact"/>
        <w:jc w:val="right"/>
      </w:pPr>
      <w:r w:rsidRPr="002966A1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1753C3">
        <w:t>Membe</w:t>
      </w:r>
      <w:r w:rsidR="00822F35">
        <w:t>r</w:t>
      </w:r>
    </w:p>
    <w:p w:rsidR="00822F35" w:rsidRDefault="002966A1">
      <w:pPr>
        <w:tabs>
          <w:tab w:val="right" w:pos="3686"/>
        </w:tabs>
        <w:spacing w:before="600" w:line="300" w:lineRule="exact"/>
        <w:jc w:val="right"/>
      </w:pPr>
      <w:r w:rsidRPr="002966A1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002704" w:rsidRPr="002966A1">
        <w:rPr>
          <w:strike/>
        </w:rPr>
        <w:t>General Manager</w:t>
      </w:r>
      <w:r w:rsidR="00002704">
        <w:t xml:space="preserve"> / </w:t>
      </w:r>
      <w:r w:rsidR="001753C3">
        <w:t>Membe</w:t>
      </w:r>
      <w:r w:rsidR="00822F35">
        <w:t>r</w:t>
      </w:r>
    </w:p>
    <w:p w:rsidR="00262E05" w:rsidRDefault="00262E05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  <w:bookmarkEnd w:id="2"/>
    </w:p>
    <w:p w:rsidR="00822F35" w:rsidRDefault="00822F35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3"/>
    </w:p>
    <w:p w:rsidR="00822F35" w:rsidRDefault="00822F35">
      <w:pPr>
        <w:pStyle w:val="SigningPageBreak"/>
        <w:sectPr w:rsidR="00822F3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822F35" w:rsidRDefault="00822F35" w:rsidP="00AD05A2">
      <w:pPr>
        <w:pStyle w:val="A1"/>
        <w:pageBreakBefore/>
      </w:pPr>
      <w:r w:rsidRPr="00AD05A2">
        <w:rPr>
          <w:rStyle w:val="CharSectnoAm"/>
        </w:rPr>
        <w:lastRenderedPageBreak/>
        <w:t>1</w:t>
      </w:r>
      <w:r>
        <w:tab/>
        <w:t>Name of Notice</w:t>
      </w:r>
    </w:p>
    <w:p w:rsidR="00822F35" w:rsidRDefault="00822F35" w:rsidP="00822F35">
      <w:pPr>
        <w:pStyle w:val="A2"/>
      </w:pPr>
      <w:r>
        <w:tab/>
      </w:r>
      <w:r>
        <w:tab/>
        <w:t xml:space="preserve">This Notice is the </w:t>
      </w:r>
      <w:r w:rsidR="00A94EA9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A94EA9">
        <w:rPr>
          <w:i/>
        </w:rPr>
        <w:fldChar w:fldCharType="separate"/>
      </w:r>
      <w:r w:rsidR="00A24EC5" w:rsidRPr="00A24EC5">
        <w:rPr>
          <w:i/>
        </w:rPr>
        <w:t>Radiocommunications (Compliance Labelling — Electromagnetic Radiation) Amendment Notice 2013 (No. 1)</w:t>
      </w:r>
      <w:r w:rsidR="00A94EA9">
        <w:rPr>
          <w:i/>
        </w:rPr>
        <w:fldChar w:fldCharType="end"/>
      </w:r>
      <w:r>
        <w:t>.</w:t>
      </w:r>
    </w:p>
    <w:p w:rsidR="00822F35" w:rsidRDefault="00822F35" w:rsidP="00822F35">
      <w:pPr>
        <w:pStyle w:val="A1"/>
      </w:pPr>
      <w:r w:rsidRPr="00AD05A2">
        <w:rPr>
          <w:rStyle w:val="CharSectnoAm"/>
        </w:rPr>
        <w:t>2</w:t>
      </w:r>
      <w:r>
        <w:tab/>
        <w:t>Commencement</w:t>
      </w:r>
    </w:p>
    <w:p w:rsidR="0042231E" w:rsidRDefault="00F134FD">
      <w:pPr>
        <w:pStyle w:val="A2"/>
      </w:pPr>
      <w:r>
        <w:tab/>
      </w:r>
      <w:r>
        <w:tab/>
        <w:t>This Notice commences on</w:t>
      </w:r>
      <w:r w:rsidR="0042231E">
        <w:t>:</w:t>
      </w:r>
    </w:p>
    <w:p w:rsidR="002839DD" w:rsidRDefault="0042231E" w:rsidP="0042231E">
      <w:pPr>
        <w:pStyle w:val="A2"/>
        <w:numPr>
          <w:ilvl w:val="0"/>
          <w:numId w:val="9"/>
        </w:numPr>
      </w:pPr>
      <w:r>
        <w:t>1 March 2013; or</w:t>
      </w:r>
    </w:p>
    <w:p w:rsidR="0042231E" w:rsidRDefault="0042231E" w:rsidP="0042231E">
      <w:pPr>
        <w:pStyle w:val="ListParagraph"/>
        <w:numPr>
          <w:ilvl w:val="0"/>
          <w:numId w:val="9"/>
        </w:numPr>
        <w:spacing w:before="120"/>
      </w:pPr>
      <w:r>
        <w:t xml:space="preserve">the day on which it is published in the </w:t>
      </w:r>
      <w:r>
        <w:rPr>
          <w:i/>
        </w:rPr>
        <w:t>Gazette</w:t>
      </w:r>
      <w:r w:rsidRPr="00296B8F">
        <w:t>;</w:t>
      </w:r>
    </w:p>
    <w:p w:rsidR="0042231E" w:rsidRPr="0042231E" w:rsidRDefault="0042231E" w:rsidP="0042231E">
      <w:pPr>
        <w:spacing w:before="120"/>
        <w:ind w:left="964"/>
      </w:pPr>
      <w:proofErr w:type="gramStart"/>
      <w:r>
        <w:t>whichever</w:t>
      </w:r>
      <w:proofErr w:type="gramEnd"/>
      <w:r>
        <w:t xml:space="preserve"> occurs last.</w:t>
      </w:r>
    </w:p>
    <w:p w:rsidR="00064692" w:rsidRPr="00923616" w:rsidRDefault="00064692" w:rsidP="00064692">
      <w:pPr>
        <w:pStyle w:val="P1"/>
        <w:tabs>
          <w:tab w:val="clear" w:pos="1191"/>
        </w:tabs>
        <w:ind w:left="993" w:hanging="993"/>
        <w:rPr>
          <w:sz w:val="20"/>
          <w:szCs w:val="20"/>
        </w:rPr>
      </w:pPr>
      <w:r>
        <w:rPr>
          <w:i/>
        </w:rPr>
        <w:tab/>
      </w:r>
      <w:r w:rsidRPr="00923616">
        <w:rPr>
          <w:i/>
          <w:sz w:val="20"/>
          <w:szCs w:val="20"/>
        </w:rPr>
        <w:t>Note</w:t>
      </w:r>
      <w:r w:rsidRPr="00923616">
        <w:rPr>
          <w:i/>
          <w:sz w:val="20"/>
          <w:szCs w:val="20"/>
        </w:rPr>
        <w:tab/>
      </w:r>
      <w:r w:rsidRPr="00923616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923616">
        <w:rPr>
          <w:i/>
          <w:sz w:val="20"/>
          <w:szCs w:val="20"/>
        </w:rPr>
        <w:t xml:space="preserve">Legislative Instruments Act 2003. </w:t>
      </w:r>
      <w:r w:rsidRPr="00923616">
        <w:rPr>
          <w:sz w:val="20"/>
          <w:szCs w:val="20"/>
        </w:rPr>
        <w:t xml:space="preserve">See </w:t>
      </w:r>
      <w:r w:rsidRPr="00923616">
        <w:rPr>
          <w:sz w:val="20"/>
          <w:szCs w:val="20"/>
          <w:u w:val="single"/>
        </w:rPr>
        <w:t>http://www.frli.gov.au</w:t>
      </w:r>
      <w:r w:rsidRPr="00923616">
        <w:rPr>
          <w:sz w:val="20"/>
          <w:szCs w:val="20"/>
        </w:rPr>
        <w:t>.</w:t>
      </w:r>
    </w:p>
    <w:p w:rsidR="00822F35" w:rsidRDefault="00822F35" w:rsidP="00822F35">
      <w:pPr>
        <w:pStyle w:val="A1"/>
      </w:pPr>
      <w:r w:rsidRPr="00AD05A2">
        <w:rPr>
          <w:rStyle w:val="CharSectnoAm"/>
        </w:rPr>
        <w:t>3</w:t>
      </w:r>
      <w:r>
        <w:tab/>
        <w:t xml:space="preserve">Amendment of </w:t>
      </w:r>
      <w:r w:rsidRPr="00822F35">
        <w:rPr>
          <w:i/>
        </w:rPr>
        <w:t>Radiocommunications (Compliance Labelling</w:t>
      </w:r>
      <w:r w:rsidR="00AD05A2">
        <w:rPr>
          <w:i/>
        </w:rPr>
        <w:t> </w:t>
      </w:r>
      <w:r w:rsidR="00DE7752" w:rsidRPr="00DE7752">
        <w:rPr>
          <w:i/>
        </w:rPr>
        <w:t xml:space="preserve">— </w:t>
      </w:r>
      <w:r w:rsidRPr="00822F35">
        <w:rPr>
          <w:i/>
        </w:rPr>
        <w:t>Electromagnetic Radiation) Notice 2003</w:t>
      </w:r>
    </w:p>
    <w:p w:rsidR="00822F35" w:rsidRPr="00822F35" w:rsidRDefault="00822F35" w:rsidP="00822F35">
      <w:pPr>
        <w:pStyle w:val="A2"/>
      </w:pPr>
      <w:r>
        <w:tab/>
      </w:r>
      <w:r>
        <w:tab/>
        <w:t xml:space="preserve">Schedule 1 amends the </w:t>
      </w:r>
      <w:r w:rsidRPr="00822F35">
        <w:rPr>
          <w:i/>
        </w:rPr>
        <w:t>Radiocommunications (Compliance Labelling</w:t>
      </w:r>
      <w:r w:rsidR="00AD05A2">
        <w:rPr>
          <w:i/>
        </w:rPr>
        <w:t> </w:t>
      </w:r>
      <w:r w:rsidR="00DE7752" w:rsidRPr="00DE7752">
        <w:rPr>
          <w:i/>
        </w:rPr>
        <w:t xml:space="preserve">— </w:t>
      </w:r>
      <w:r w:rsidRPr="00822F35">
        <w:rPr>
          <w:i/>
        </w:rPr>
        <w:t>Electromagnetic Radiation) Notice 2003</w:t>
      </w:r>
      <w:r>
        <w:t>.</w:t>
      </w:r>
    </w:p>
    <w:p w:rsidR="00822F35" w:rsidRDefault="00822F35">
      <w:pPr>
        <w:pStyle w:val="MainBodySectionBreak"/>
        <w:sectPr w:rsidR="00822F35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22F35" w:rsidRDefault="00822F35">
      <w:pPr>
        <w:pStyle w:val="AS"/>
      </w:pPr>
      <w:r w:rsidRPr="00AD05A2">
        <w:rPr>
          <w:rStyle w:val="CharAmSchNo"/>
        </w:rPr>
        <w:lastRenderedPageBreak/>
        <w:t>Schedule 1</w:t>
      </w:r>
      <w:r>
        <w:tab/>
      </w:r>
      <w:r w:rsidRPr="00AD05A2">
        <w:rPr>
          <w:rStyle w:val="CharAmSchText"/>
        </w:rPr>
        <w:t>Amendments</w:t>
      </w:r>
    </w:p>
    <w:p w:rsidR="00822F35" w:rsidRDefault="00822F35">
      <w:pPr>
        <w:pStyle w:val="ASref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:rsidR="00FE72C7" w:rsidRPr="00AB1D08" w:rsidRDefault="00FE72C7" w:rsidP="00FE72C7">
      <w:pPr>
        <w:pStyle w:val="A1S"/>
      </w:pPr>
      <w:r>
        <w:t>[1]</w:t>
      </w:r>
      <w:r>
        <w:tab/>
        <w:t>Subsection 4 (1)</w:t>
      </w:r>
    </w:p>
    <w:p w:rsidR="00FE72C7" w:rsidRPr="00FE72C7" w:rsidRDefault="00FE72C7" w:rsidP="00FE72C7">
      <w:pPr>
        <w:pStyle w:val="R2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Pr="00FE72C7">
        <w:rPr>
          <w:i/>
        </w:rPr>
        <w:t>insert</w:t>
      </w:r>
      <w:proofErr w:type="gramEnd"/>
    </w:p>
    <w:p w:rsidR="00FE72C7" w:rsidRPr="00891717" w:rsidRDefault="00FE72C7" w:rsidP="00FE72C7">
      <w:pPr>
        <w:pStyle w:val="R2"/>
      </w:pPr>
      <w:r>
        <w:rPr>
          <w:b/>
          <w:i/>
        </w:rPr>
        <w:tab/>
      </w:r>
      <w:r>
        <w:rPr>
          <w:b/>
          <w:i/>
        </w:rPr>
        <w:tab/>
        <w:t>ABN</w:t>
      </w:r>
      <w:r>
        <w:t xml:space="preserve"> has the same meaning as in the </w:t>
      </w:r>
      <w:r w:rsidRPr="006104A6">
        <w:rPr>
          <w:i/>
          <w:iCs/>
        </w:rPr>
        <w:t>A New Tax System (Australian Business Number) Act 1999</w:t>
      </w:r>
      <w:r>
        <w:rPr>
          <w:iCs/>
        </w:rPr>
        <w:t>.</w:t>
      </w:r>
    </w:p>
    <w:p w:rsidR="00443F95" w:rsidRPr="00AB1D08" w:rsidRDefault="00443F95" w:rsidP="00443F95">
      <w:pPr>
        <w:pStyle w:val="A1S"/>
      </w:pPr>
      <w:r>
        <w:t>[</w:t>
      </w:r>
      <w:r w:rsidR="005B56E6">
        <w:t>2</w:t>
      </w:r>
      <w:r>
        <w:t>]</w:t>
      </w:r>
      <w:r>
        <w:tab/>
        <w:t xml:space="preserve">Subsection 4 (1), definition of </w:t>
      </w:r>
      <w:r>
        <w:rPr>
          <w:i/>
        </w:rPr>
        <w:t>AS 2772.2</w:t>
      </w:r>
    </w:p>
    <w:p w:rsidR="00443F95" w:rsidRDefault="00894C2E" w:rsidP="00443F95">
      <w:pPr>
        <w:pStyle w:val="A2S"/>
      </w:pPr>
      <w:proofErr w:type="gramStart"/>
      <w:r>
        <w:t>omit</w:t>
      </w:r>
      <w:proofErr w:type="gramEnd"/>
    </w:p>
    <w:p w:rsidR="00AD05A2" w:rsidRPr="0038646D" w:rsidRDefault="0038646D" w:rsidP="00AD05A2">
      <w:pPr>
        <w:pStyle w:val="Header"/>
        <w:rPr>
          <w:vanish/>
        </w:rPr>
      </w:pPr>
      <w:r w:rsidRPr="0038646D">
        <w:rPr>
          <w:rStyle w:val="CharAmSchPTNo"/>
          <w:vanish/>
        </w:rPr>
        <w:t xml:space="preserve"> </w:t>
      </w:r>
      <w:r w:rsidRPr="0038646D">
        <w:rPr>
          <w:rStyle w:val="CharAmSchPTText"/>
          <w:vanish/>
        </w:rPr>
        <w:t xml:space="preserve"> </w:t>
      </w:r>
    </w:p>
    <w:p w:rsidR="00DC6B29" w:rsidRPr="00AB1D08" w:rsidRDefault="00DC6B29" w:rsidP="00DC6B29">
      <w:pPr>
        <w:pStyle w:val="A1S"/>
      </w:pPr>
      <w:r>
        <w:t>[</w:t>
      </w:r>
      <w:r w:rsidR="005B56E6">
        <w:t>3</w:t>
      </w:r>
      <w:r>
        <w:t>]</w:t>
      </w:r>
      <w:r>
        <w:tab/>
        <w:t>S</w:t>
      </w:r>
      <w:r w:rsidR="0088226A">
        <w:t>ubs</w:t>
      </w:r>
      <w:r>
        <w:t xml:space="preserve">ection </w:t>
      </w:r>
      <w:r w:rsidR="0088226A">
        <w:t>4</w:t>
      </w:r>
      <w:r w:rsidR="00795445">
        <w:t xml:space="preserve"> </w:t>
      </w:r>
      <w:r w:rsidR="0088226A">
        <w:t>(1)</w:t>
      </w:r>
      <w:r>
        <w:t xml:space="preserve">, definition of </w:t>
      </w:r>
      <w:r>
        <w:rPr>
          <w:i/>
        </w:rPr>
        <w:t>compliance mark</w:t>
      </w:r>
    </w:p>
    <w:p w:rsidR="00DC6B29" w:rsidRDefault="00624305" w:rsidP="00DC6B29">
      <w:pPr>
        <w:pStyle w:val="A2S"/>
      </w:pPr>
      <w:proofErr w:type="gramStart"/>
      <w:r>
        <w:t>substitute</w:t>
      </w:r>
      <w:proofErr w:type="gramEnd"/>
    </w:p>
    <w:p w:rsidR="00EE7259" w:rsidRDefault="00624305" w:rsidP="00EE7259">
      <w:pPr>
        <w:pStyle w:val="definition"/>
        <w:jc w:val="left"/>
        <w:sectPr w:rsidR="00EE7259" w:rsidSect="00822F35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proofErr w:type="gramStart"/>
      <w:r>
        <w:rPr>
          <w:b/>
          <w:bCs/>
          <w:i/>
          <w:iCs/>
        </w:rPr>
        <w:t>compliance</w:t>
      </w:r>
      <w:proofErr w:type="gramEnd"/>
      <w:r>
        <w:rPr>
          <w:b/>
          <w:bCs/>
          <w:i/>
          <w:iCs/>
        </w:rPr>
        <w:t xml:space="preserve"> mark</w:t>
      </w:r>
      <w:r>
        <w:t xml:space="preserve"> means the C-Tick mark or the RCM.</w:t>
      </w:r>
      <w:r w:rsidR="00EE7259">
        <w:t xml:space="preserve">  </w:t>
      </w:r>
    </w:p>
    <w:p w:rsidR="00DC6B29" w:rsidRDefault="00DC6B29" w:rsidP="00624305">
      <w:pPr>
        <w:pStyle w:val="definition"/>
      </w:pPr>
    </w:p>
    <w:p w:rsidR="00EE7259" w:rsidRPr="00F65BD7" w:rsidRDefault="00EE7259" w:rsidP="00624305">
      <w:pPr>
        <w:pStyle w:val="definition"/>
      </w:pPr>
    </w:p>
    <w:p w:rsidR="00EF2FE1" w:rsidRPr="00AB1D08" w:rsidRDefault="00EF2FE1" w:rsidP="00EF2FE1">
      <w:pPr>
        <w:pStyle w:val="A1S"/>
      </w:pPr>
      <w:r>
        <w:lastRenderedPageBreak/>
        <w:t>[</w:t>
      </w:r>
      <w:r w:rsidR="005B56E6">
        <w:t>4</w:t>
      </w:r>
      <w:r>
        <w:t>]</w:t>
      </w:r>
      <w:r>
        <w:tab/>
        <w:t>Subsection 4 (1)</w:t>
      </w:r>
      <w:r w:rsidR="00AB1D08">
        <w:t>,</w:t>
      </w:r>
      <w:r>
        <w:t xml:space="preserve"> definition of </w:t>
      </w:r>
      <w:r>
        <w:rPr>
          <w:i/>
        </w:rPr>
        <w:t>C-Tick mark</w:t>
      </w:r>
    </w:p>
    <w:p w:rsidR="00EF2FE1" w:rsidRDefault="00443F95" w:rsidP="00EF2FE1">
      <w:pPr>
        <w:pStyle w:val="A2S"/>
      </w:pPr>
      <w:proofErr w:type="gramStart"/>
      <w:r>
        <w:t>substitute</w:t>
      </w:r>
      <w:proofErr w:type="gramEnd"/>
    </w:p>
    <w:p w:rsidR="002839DD" w:rsidRDefault="00EF2FE1">
      <w:pPr>
        <w:pStyle w:val="definition"/>
        <w:rPr>
          <w:i/>
        </w:rPr>
      </w:pPr>
      <w:r w:rsidRPr="00EF2FE1">
        <w:rPr>
          <w:b/>
          <w:i/>
        </w:rPr>
        <w:t>C-Tick mark</w:t>
      </w:r>
      <w:r w:rsidRPr="00EF2FE1">
        <w:t xml:space="preserve"> means</w:t>
      </w:r>
      <w:r>
        <w:t xml:space="preserve"> the mark set out in Part 1 of Schedule 1.</w:t>
      </w:r>
    </w:p>
    <w:p w:rsidR="00DC6B29" w:rsidRDefault="00DC6B29" w:rsidP="00DC6B29">
      <w:pPr>
        <w:pStyle w:val="A1S"/>
      </w:pPr>
      <w:r>
        <w:t>[</w:t>
      </w:r>
      <w:r w:rsidR="005B56E6">
        <w:t>5</w:t>
      </w:r>
      <w:r>
        <w:t>]</w:t>
      </w:r>
      <w:r>
        <w:tab/>
      </w:r>
      <w:r w:rsidR="0088226A" w:rsidRPr="0088226A">
        <w:t>Subsection 4</w:t>
      </w:r>
      <w:r w:rsidR="00795445">
        <w:t xml:space="preserve"> </w:t>
      </w:r>
      <w:r w:rsidR="0088226A" w:rsidRPr="0088226A">
        <w:t>(1)</w:t>
      </w:r>
    </w:p>
    <w:p w:rsidR="00DC6B29" w:rsidRDefault="00DC6B29" w:rsidP="00DC6B29">
      <w:pPr>
        <w:pStyle w:val="A2S"/>
      </w:pPr>
      <w:proofErr w:type="gramStart"/>
      <w:r>
        <w:t>insert</w:t>
      </w:r>
      <w:proofErr w:type="gramEnd"/>
    </w:p>
    <w:p w:rsidR="005E7BDE" w:rsidRDefault="00DC6B29" w:rsidP="005E7BDE">
      <w:pPr>
        <w:pStyle w:val="A3S"/>
        <w:ind w:left="964"/>
      </w:pPr>
      <w:proofErr w:type="gramStart"/>
      <w:r>
        <w:rPr>
          <w:b/>
          <w:i/>
        </w:rPr>
        <w:t>national</w:t>
      </w:r>
      <w:proofErr w:type="gramEnd"/>
      <w:r>
        <w:rPr>
          <w:b/>
          <w:i/>
        </w:rPr>
        <w:t xml:space="preserve"> database</w:t>
      </w:r>
      <w:r w:rsidR="005E7BDE">
        <w:rPr>
          <w:b/>
          <w:i/>
        </w:rPr>
        <w:t xml:space="preserve"> </w:t>
      </w:r>
      <w:r w:rsidR="005E7BDE">
        <w:t xml:space="preserve">means a database designated in writing by the ACMA for the purposes of Division 2.2.   </w:t>
      </w:r>
    </w:p>
    <w:p w:rsidR="00DC6B29" w:rsidRDefault="005E7BDE" w:rsidP="005E7BDE">
      <w:pPr>
        <w:pStyle w:val="definition"/>
      </w:pPr>
      <w:r w:rsidRPr="00923616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 w:rsidRPr="00923616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AF2B4A">
        <w:rPr>
          <w:sz w:val="20"/>
          <w:szCs w:val="20"/>
        </w:rPr>
        <w:t xml:space="preserve">A database may be designated by the ACMA for the purposes of </w:t>
      </w:r>
      <w:r w:rsidRPr="003E4F54">
        <w:rPr>
          <w:sz w:val="20"/>
          <w:szCs w:val="20"/>
        </w:rPr>
        <w:t xml:space="preserve">Division </w:t>
      </w:r>
      <w:r>
        <w:rPr>
          <w:sz w:val="20"/>
          <w:szCs w:val="20"/>
        </w:rPr>
        <w:t>2</w:t>
      </w:r>
      <w:r w:rsidRPr="003E4F54">
        <w:rPr>
          <w:sz w:val="20"/>
          <w:szCs w:val="20"/>
        </w:rPr>
        <w:t xml:space="preserve">.2 </w:t>
      </w:r>
      <w:r w:rsidRPr="00AF2B4A">
        <w:rPr>
          <w:sz w:val="20"/>
          <w:szCs w:val="20"/>
        </w:rPr>
        <w:t>even if it forms part of another database or also serves purposes other than purposes provided for in this Notice</w:t>
      </w:r>
      <w:r w:rsidRPr="00923616">
        <w:rPr>
          <w:sz w:val="20"/>
          <w:szCs w:val="20"/>
        </w:rPr>
        <w:t>.</w:t>
      </w:r>
    </w:p>
    <w:p w:rsidR="00DC6B29" w:rsidRDefault="00DC6B29" w:rsidP="00DC6B29">
      <w:pPr>
        <w:pStyle w:val="A1S"/>
      </w:pPr>
      <w:r>
        <w:t>[</w:t>
      </w:r>
      <w:r w:rsidR="005B56E6">
        <w:t>6</w:t>
      </w:r>
      <w:r>
        <w:t>]</w:t>
      </w:r>
      <w:r>
        <w:tab/>
      </w:r>
      <w:r w:rsidR="0088226A" w:rsidRPr="0088226A">
        <w:t>Subsection 4</w:t>
      </w:r>
      <w:r w:rsidR="00795445">
        <w:t xml:space="preserve"> </w:t>
      </w:r>
      <w:r w:rsidR="0088226A" w:rsidRPr="0088226A">
        <w:t xml:space="preserve">(1), </w:t>
      </w:r>
      <w:r w:rsidR="00443F95">
        <w:t xml:space="preserve">note </w:t>
      </w:r>
      <w:r w:rsidR="0042231E">
        <w:t>after</w:t>
      </w:r>
      <w:r w:rsidR="00443F95">
        <w:t xml:space="preserve"> the </w:t>
      </w:r>
      <w:r>
        <w:t xml:space="preserve">definition of </w:t>
      </w:r>
      <w:r w:rsidRPr="0036021E">
        <w:rPr>
          <w:i/>
        </w:rPr>
        <w:t>RCM</w:t>
      </w:r>
      <w:r>
        <w:t xml:space="preserve"> </w:t>
      </w:r>
    </w:p>
    <w:p w:rsidR="002839DD" w:rsidRPr="005B56E6" w:rsidRDefault="00E45A8B">
      <w:pPr>
        <w:pStyle w:val="A3S"/>
        <w:ind w:left="964"/>
        <w:rPr>
          <w:i/>
        </w:rPr>
      </w:pPr>
      <w:proofErr w:type="gramStart"/>
      <w:r w:rsidRPr="00E45A8B">
        <w:rPr>
          <w:i/>
        </w:rPr>
        <w:t>omit</w:t>
      </w:r>
      <w:proofErr w:type="gramEnd"/>
    </w:p>
    <w:p w:rsidR="00250143" w:rsidRDefault="003A214C" w:rsidP="00250143">
      <w:pPr>
        <w:pStyle w:val="A1S"/>
      </w:pPr>
      <w:r>
        <w:t>[</w:t>
      </w:r>
      <w:r w:rsidR="005B56E6">
        <w:t>7</w:t>
      </w:r>
      <w:r w:rsidR="00250143">
        <w:t>]</w:t>
      </w:r>
      <w:r w:rsidR="00250143">
        <w:tab/>
        <w:t xml:space="preserve">Section </w:t>
      </w:r>
      <w:r w:rsidR="0088226A">
        <w:t>8</w:t>
      </w:r>
      <w:r w:rsidR="00250143">
        <w:t>, note</w:t>
      </w:r>
    </w:p>
    <w:p w:rsidR="00250143" w:rsidRDefault="00250143" w:rsidP="00250143">
      <w:pPr>
        <w:pStyle w:val="A2S"/>
      </w:pPr>
      <w:proofErr w:type="gramStart"/>
      <w:r>
        <w:t>omit</w:t>
      </w:r>
      <w:proofErr w:type="gramEnd"/>
      <w:r>
        <w:t xml:space="preserve"> </w:t>
      </w:r>
    </w:p>
    <w:p w:rsidR="00250143" w:rsidRDefault="003A214C" w:rsidP="00250143">
      <w:pPr>
        <w:pStyle w:val="A1S"/>
      </w:pPr>
      <w:r>
        <w:t>[</w:t>
      </w:r>
      <w:r w:rsidR="005B56E6">
        <w:t>8</w:t>
      </w:r>
      <w:r w:rsidR="00250143">
        <w:t>]</w:t>
      </w:r>
      <w:r w:rsidR="00250143">
        <w:tab/>
      </w:r>
      <w:r w:rsidR="001222C4">
        <w:t>After s</w:t>
      </w:r>
      <w:r w:rsidR="00250143">
        <w:t xml:space="preserve">ection </w:t>
      </w:r>
      <w:r w:rsidR="0088226A">
        <w:t>8</w:t>
      </w:r>
    </w:p>
    <w:p w:rsidR="00250143" w:rsidRDefault="0088226A" w:rsidP="00250143">
      <w:pPr>
        <w:pStyle w:val="A2S"/>
      </w:pPr>
      <w:proofErr w:type="gramStart"/>
      <w:r>
        <w:t>insert</w:t>
      </w:r>
      <w:proofErr w:type="gramEnd"/>
      <w:r w:rsidR="00250143">
        <w:t xml:space="preserve"> </w:t>
      </w:r>
    </w:p>
    <w:p w:rsidR="00191EA8" w:rsidRPr="00191EA8" w:rsidRDefault="00191EA8" w:rsidP="00191EA8">
      <w:pPr>
        <w:keepNext/>
        <w:keepLines/>
        <w:spacing w:before="360"/>
        <w:ind w:left="964" w:hanging="964"/>
        <w:rPr>
          <w:rFonts w:ascii="Arial" w:hAnsi="Arial"/>
          <w:b/>
          <w:i/>
          <w:iCs/>
          <w:lang w:eastAsia="en-US"/>
        </w:rPr>
      </w:pPr>
      <w:bookmarkStart w:id="4" w:name="_Toc257721479"/>
      <w:r>
        <w:rPr>
          <w:rFonts w:ascii="Arial" w:hAnsi="Arial"/>
          <w:b/>
          <w:lang w:eastAsia="en-US"/>
        </w:rPr>
        <w:t>8A</w:t>
      </w:r>
      <w:r w:rsidRPr="00191EA8">
        <w:rPr>
          <w:rFonts w:ascii="Arial" w:hAnsi="Arial"/>
          <w:b/>
          <w:lang w:eastAsia="en-US"/>
        </w:rPr>
        <w:tab/>
        <w:t xml:space="preserve">Relationship between this Notice and the </w:t>
      </w:r>
      <w:r w:rsidRPr="00191EA8">
        <w:rPr>
          <w:rFonts w:ascii="Arial" w:hAnsi="Arial"/>
          <w:b/>
          <w:i/>
          <w:iCs/>
          <w:lang w:eastAsia="en-US"/>
        </w:rPr>
        <w:t xml:space="preserve">Radiocommunications </w:t>
      </w:r>
      <w:r>
        <w:rPr>
          <w:rFonts w:ascii="Arial" w:hAnsi="Arial"/>
          <w:b/>
          <w:i/>
          <w:iCs/>
          <w:lang w:eastAsia="en-US"/>
        </w:rPr>
        <w:t xml:space="preserve">Devices </w:t>
      </w:r>
      <w:r w:rsidRPr="00191EA8">
        <w:rPr>
          <w:rFonts w:ascii="Arial" w:hAnsi="Arial"/>
          <w:b/>
          <w:i/>
          <w:iCs/>
          <w:lang w:eastAsia="en-US"/>
        </w:rPr>
        <w:t>(Compliance Labelling</w:t>
      </w:r>
      <w:r>
        <w:rPr>
          <w:rFonts w:ascii="Arial" w:hAnsi="Arial"/>
          <w:b/>
          <w:i/>
          <w:iCs/>
          <w:lang w:eastAsia="en-US"/>
        </w:rPr>
        <w:t>)</w:t>
      </w:r>
      <w:r w:rsidR="00CE6A05">
        <w:rPr>
          <w:rFonts w:ascii="Arial" w:hAnsi="Arial"/>
          <w:b/>
          <w:i/>
          <w:iCs/>
          <w:lang w:eastAsia="en-US"/>
        </w:rPr>
        <w:t xml:space="preserve"> </w:t>
      </w:r>
      <w:r w:rsidRPr="00191EA8">
        <w:rPr>
          <w:rFonts w:ascii="Arial" w:hAnsi="Arial"/>
          <w:b/>
          <w:i/>
          <w:iCs/>
          <w:lang w:eastAsia="en-US"/>
        </w:rPr>
        <w:t>Notice 2003</w:t>
      </w:r>
      <w:bookmarkEnd w:id="4"/>
    </w:p>
    <w:p w:rsidR="00191EA8" w:rsidRPr="00191EA8" w:rsidRDefault="00191EA8" w:rsidP="00191EA8">
      <w:pPr>
        <w:keepNext/>
        <w:keepLines/>
        <w:tabs>
          <w:tab w:val="right" w:pos="794"/>
        </w:tabs>
        <w:spacing w:before="120" w:line="260" w:lineRule="exact"/>
        <w:ind w:left="964" w:hanging="964"/>
        <w:jc w:val="both"/>
        <w:rPr>
          <w:lang w:eastAsia="en-US"/>
        </w:rPr>
      </w:pPr>
      <w:r w:rsidRPr="00191EA8">
        <w:rPr>
          <w:lang w:eastAsia="en-US"/>
        </w:rPr>
        <w:tab/>
      </w:r>
      <w:r w:rsidRPr="00191EA8">
        <w:rPr>
          <w:lang w:eastAsia="en-US"/>
        </w:rPr>
        <w:tab/>
        <w:t xml:space="preserve">If a device to which this Notice applies is also a device to which </w:t>
      </w:r>
      <w:r w:rsidRPr="00191EA8">
        <w:rPr>
          <w:lang w:eastAsia="en-US"/>
        </w:rPr>
        <w:br/>
        <w:t xml:space="preserve">the </w:t>
      </w:r>
      <w:r w:rsidRPr="00191EA8">
        <w:rPr>
          <w:i/>
          <w:iCs/>
          <w:lang w:eastAsia="en-US"/>
        </w:rPr>
        <w:t xml:space="preserve">Radiocommunications </w:t>
      </w:r>
      <w:r>
        <w:rPr>
          <w:i/>
          <w:iCs/>
          <w:lang w:eastAsia="en-US"/>
        </w:rPr>
        <w:t xml:space="preserve">Devices </w:t>
      </w:r>
      <w:r w:rsidRPr="00191EA8">
        <w:rPr>
          <w:i/>
          <w:iCs/>
          <w:lang w:eastAsia="en-US"/>
        </w:rPr>
        <w:t>(Compliance Labelling</w:t>
      </w:r>
      <w:r>
        <w:rPr>
          <w:i/>
          <w:iCs/>
          <w:lang w:eastAsia="en-US"/>
        </w:rPr>
        <w:t>)</w:t>
      </w:r>
      <w:r w:rsidRPr="00191EA8">
        <w:rPr>
          <w:i/>
          <w:iCs/>
          <w:lang w:eastAsia="en-US"/>
        </w:rPr>
        <w:t xml:space="preserve"> Notice 2003</w:t>
      </w:r>
      <w:r w:rsidRPr="00191EA8">
        <w:rPr>
          <w:lang w:eastAsia="en-US"/>
        </w:rPr>
        <w:t>, as in force from time to time, applies, the requirements in this Notice are additional to the requirements under that Notice.</w:t>
      </w:r>
    </w:p>
    <w:p w:rsidR="00191EA8" w:rsidRPr="00191EA8" w:rsidRDefault="00191EA8" w:rsidP="00191EA8">
      <w:pPr>
        <w:spacing w:before="120" w:line="220" w:lineRule="exact"/>
        <w:ind w:left="964"/>
        <w:jc w:val="both"/>
        <w:rPr>
          <w:sz w:val="20"/>
        </w:rPr>
      </w:pPr>
      <w:r w:rsidRPr="00191EA8">
        <w:rPr>
          <w:i/>
          <w:iCs/>
          <w:sz w:val="20"/>
        </w:rPr>
        <w:t>Note</w:t>
      </w:r>
      <w:r w:rsidR="0013136E">
        <w:rPr>
          <w:sz w:val="20"/>
        </w:rPr>
        <w:t>   An effect of section 8A</w:t>
      </w:r>
      <w:r w:rsidRPr="00191EA8">
        <w:rPr>
          <w:sz w:val="20"/>
        </w:rPr>
        <w:t xml:space="preserve"> is that a </w:t>
      </w:r>
      <w:r>
        <w:rPr>
          <w:sz w:val="20"/>
        </w:rPr>
        <w:t xml:space="preserve">compliance </w:t>
      </w:r>
      <w:r w:rsidRPr="00191EA8">
        <w:rPr>
          <w:sz w:val="20"/>
        </w:rPr>
        <w:t xml:space="preserve">mark can only be applied to a device if it complies with the </w:t>
      </w:r>
      <w:r w:rsidR="00BE39CF">
        <w:rPr>
          <w:sz w:val="20"/>
        </w:rPr>
        <w:t xml:space="preserve">applicable </w:t>
      </w:r>
      <w:r w:rsidRPr="00191EA8">
        <w:rPr>
          <w:sz w:val="20"/>
        </w:rPr>
        <w:t xml:space="preserve">requirements of this Notice and the </w:t>
      </w:r>
      <w:r w:rsidRPr="00191EA8">
        <w:rPr>
          <w:i/>
          <w:iCs/>
          <w:sz w:val="20"/>
        </w:rPr>
        <w:t xml:space="preserve">Radiocommunications </w:t>
      </w:r>
      <w:r>
        <w:rPr>
          <w:i/>
          <w:iCs/>
          <w:sz w:val="20"/>
        </w:rPr>
        <w:t xml:space="preserve">Devices </w:t>
      </w:r>
      <w:r w:rsidRPr="00191EA8">
        <w:rPr>
          <w:i/>
          <w:iCs/>
          <w:sz w:val="20"/>
        </w:rPr>
        <w:t>(Compliance Labellin</w:t>
      </w:r>
      <w:r>
        <w:rPr>
          <w:i/>
          <w:iCs/>
          <w:sz w:val="20"/>
        </w:rPr>
        <w:t>g</w:t>
      </w:r>
      <w:r w:rsidR="00443F95">
        <w:rPr>
          <w:i/>
          <w:iCs/>
          <w:sz w:val="20"/>
        </w:rPr>
        <w:t>)</w:t>
      </w:r>
      <w:r w:rsidRPr="00191EA8">
        <w:rPr>
          <w:i/>
          <w:iCs/>
          <w:sz w:val="20"/>
        </w:rPr>
        <w:t xml:space="preserve"> Notice 2003</w:t>
      </w:r>
      <w:r w:rsidRPr="00191EA8">
        <w:rPr>
          <w:sz w:val="20"/>
        </w:rPr>
        <w:t>.</w:t>
      </w:r>
    </w:p>
    <w:p w:rsidR="0013136E" w:rsidRDefault="0013136E" w:rsidP="0013136E">
      <w:pPr>
        <w:pStyle w:val="A1S"/>
        <w:rPr>
          <w:i/>
        </w:rPr>
      </w:pPr>
      <w:r>
        <w:lastRenderedPageBreak/>
        <w:t>[</w:t>
      </w:r>
      <w:r w:rsidR="005B56E6">
        <w:t>9</w:t>
      </w:r>
      <w:r>
        <w:t>]</w:t>
      </w:r>
      <w:r>
        <w:tab/>
      </w:r>
      <w:r w:rsidR="00CE6A05">
        <w:t xml:space="preserve">Part 2, </w:t>
      </w:r>
      <w:r>
        <w:t>Division 2.2, heading</w:t>
      </w:r>
    </w:p>
    <w:p w:rsidR="0013136E" w:rsidRDefault="0013136E" w:rsidP="0013136E">
      <w:pPr>
        <w:pStyle w:val="A2S"/>
      </w:pPr>
      <w:proofErr w:type="gramStart"/>
      <w:r>
        <w:t>substitute</w:t>
      </w:r>
      <w:proofErr w:type="gramEnd"/>
    </w:p>
    <w:p w:rsidR="0013136E" w:rsidRPr="0009510B" w:rsidRDefault="0013136E" w:rsidP="0013136E">
      <w:pPr>
        <w:pStyle w:val="HR"/>
        <w:ind w:left="2160" w:hanging="2160"/>
      </w:pPr>
      <w:r>
        <w:rPr>
          <w:rStyle w:val="CharSectno"/>
        </w:rPr>
        <w:t>Division 2.2</w:t>
      </w:r>
      <w:r>
        <w:rPr>
          <w:rStyle w:val="CharSectno"/>
        </w:rPr>
        <w:tab/>
        <w:t xml:space="preserve">Registration </w:t>
      </w:r>
      <w:r w:rsidR="004B0EA8">
        <w:rPr>
          <w:rStyle w:val="CharSectno"/>
        </w:rPr>
        <w:t>on national database and issue of supplier code numbers</w:t>
      </w:r>
      <w:r>
        <w:rPr>
          <w:rStyle w:val="CharSectno"/>
        </w:rPr>
        <w:t xml:space="preserve"> </w:t>
      </w:r>
    </w:p>
    <w:p w:rsidR="0013136E" w:rsidRDefault="0013136E" w:rsidP="0013136E">
      <w:pPr>
        <w:pStyle w:val="A1S"/>
        <w:rPr>
          <w:i/>
        </w:rPr>
      </w:pPr>
      <w:r>
        <w:t>[</w:t>
      </w:r>
      <w:r w:rsidR="005B56E6">
        <w:t>10</w:t>
      </w:r>
      <w:r>
        <w:t>]</w:t>
      </w:r>
      <w:r>
        <w:tab/>
        <w:t>Section 10</w:t>
      </w:r>
    </w:p>
    <w:p w:rsidR="0013136E" w:rsidRDefault="0013136E" w:rsidP="0013136E">
      <w:pPr>
        <w:pStyle w:val="A2S"/>
      </w:pPr>
      <w:proofErr w:type="gramStart"/>
      <w:r>
        <w:t>substitute</w:t>
      </w:r>
      <w:proofErr w:type="gramEnd"/>
      <w:r>
        <w:t xml:space="preserve"> </w:t>
      </w:r>
    </w:p>
    <w:p w:rsidR="003A31EC" w:rsidRDefault="003A31EC" w:rsidP="003A31EC">
      <w:pPr>
        <w:pStyle w:val="HR"/>
      </w:pPr>
      <w:r>
        <w:t>10</w:t>
      </w:r>
      <w:r>
        <w:tab/>
        <w:t>Use of RCM subject to registration on national database or issue of supplier code number</w:t>
      </w:r>
    </w:p>
    <w:p w:rsidR="003A31EC" w:rsidRDefault="003A31EC" w:rsidP="003A31EC">
      <w:pPr>
        <w:pStyle w:val="R1"/>
      </w:pPr>
      <w:r>
        <w:tab/>
      </w:r>
      <w:r>
        <w:tab/>
      </w:r>
      <w:r w:rsidR="00596A21">
        <w:t>Before a</w:t>
      </w:r>
      <w:r>
        <w:t xml:space="preserve"> supplier </w:t>
      </w:r>
      <w:r w:rsidR="002F3CFF">
        <w:t>appl</w:t>
      </w:r>
      <w:r w:rsidR="00596A21">
        <w:t>ies</w:t>
      </w:r>
      <w:r w:rsidR="002F3CFF">
        <w:t xml:space="preserve"> </w:t>
      </w:r>
      <w:r>
        <w:t xml:space="preserve">a </w:t>
      </w:r>
      <w:r w:rsidR="007D5571">
        <w:t>compliance label</w:t>
      </w:r>
      <w:r>
        <w:t xml:space="preserve"> consisting of the RCM to a device, </w:t>
      </w:r>
      <w:r w:rsidR="00596A21">
        <w:t>the supplier must</w:t>
      </w:r>
      <w:r>
        <w:t xml:space="preserve">: </w:t>
      </w:r>
    </w:p>
    <w:p w:rsidR="003A31EC" w:rsidRDefault="003A31EC" w:rsidP="003A31EC">
      <w:pPr>
        <w:pStyle w:val="P1"/>
        <w:numPr>
          <w:ilvl w:val="0"/>
          <w:numId w:val="5"/>
        </w:numPr>
        <w:tabs>
          <w:tab w:val="clear" w:pos="1191"/>
        </w:tabs>
        <w:ind w:left="1418" w:hanging="425"/>
      </w:pPr>
      <w:r>
        <w:t>be registered on the national database; or</w:t>
      </w:r>
    </w:p>
    <w:p w:rsidR="003A31EC" w:rsidRDefault="003A31EC" w:rsidP="003A31EC">
      <w:pPr>
        <w:pStyle w:val="P1"/>
        <w:numPr>
          <w:ilvl w:val="0"/>
          <w:numId w:val="5"/>
        </w:numPr>
        <w:tabs>
          <w:tab w:val="clear" w:pos="1191"/>
        </w:tabs>
        <w:ind w:left="1418" w:hanging="425"/>
      </w:pPr>
      <w:proofErr w:type="gramStart"/>
      <w:r>
        <w:t>if</w:t>
      </w:r>
      <w:proofErr w:type="gramEnd"/>
      <w:r>
        <w:t xml:space="preserve"> the ACMA has not designated </w:t>
      </w:r>
      <w:r w:rsidRPr="003C2DEE">
        <w:t>in writing a national database for the purpose</w:t>
      </w:r>
      <w:r>
        <w:t xml:space="preserve">s of this </w:t>
      </w:r>
      <w:r w:rsidR="00136CC2">
        <w:t>Division</w:t>
      </w:r>
      <w:r>
        <w:t xml:space="preserve"> – have </w:t>
      </w:r>
      <w:r w:rsidRPr="0091798D">
        <w:t>been issued a supplier code number</w:t>
      </w:r>
      <w:r>
        <w:t xml:space="preserve">. </w:t>
      </w:r>
    </w:p>
    <w:p w:rsidR="003A31EC" w:rsidRDefault="003A31EC" w:rsidP="003A31EC">
      <w:pPr>
        <w:pStyle w:val="R1"/>
        <w:rPr>
          <w:rStyle w:val="CharSectno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A0590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06EF4">
        <w:rPr>
          <w:sz w:val="20"/>
          <w:szCs w:val="20"/>
        </w:rPr>
        <w:t xml:space="preserve">Under section 187 of the Act, a supplier that fails to comply with </w:t>
      </w:r>
      <w:r>
        <w:rPr>
          <w:sz w:val="20"/>
          <w:szCs w:val="20"/>
        </w:rPr>
        <w:t>requirements that must be met before a label has been applied to a device may be</w:t>
      </w:r>
      <w:r w:rsidRPr="00B06EF4">
        <w:rPr>
          <w:sz w:val="20"/>
          <w:szCs w:val="20"/>
        </w:rPr>
        <w:t xml:space="preserve"> subject to a </w:t>
      </w:r>
      <w:r>
        <w:rPr>
          <w:sz w:val="20"/>
          <w:szCs w:val="20"/>
        </w:rPr>
        <w:t xml:space="preserve">pecuniary </w:t>
      </w:r>
      <w:r w:rsidRPr="00B06EF4">
        <w:rPr>
          <w:sz w:val="20"/>
          <w:szCs w:val="20"/>
        </w:rPr>
        <w:t>penalty</w:t>
      </w:r>
      <w:r>
        <w:rPr>
          <w:sz w:val="20"/>
          <w:szCs w:val="20"/>
        </w:rPr>
        <w:t>.</w:t>
      </w:r>
    </w:p>
    <w:p w:rsidR="003A31EC" w:rsidRDefault="003A31EC" w:rsidP="003A31EC">
      <w:pPr>
        <w:pStyle w:val="HR"/>
      </w:pPr>
      <w:r>
        <w:rPr>
          <w:rStyle w:val="CharSectno"/>
        </w:rPr>
        <w:t>10</w:t>
      </w:r>
      <w:r w:rsidRPr="002D68A3">
        <w:rPr>
          <w:rStyle w:val="CharSectno"/>
        </w:rPr>
        <w:t>A</w:t>
      </w:r>
      <w:r>
        <w:tab/>
        <w:t>Registration on national database</w:t>
      </w:r>
    </w:p>
    <w:p w:rsidR="002A72E0" w:rsidRDefault="002A72E0" w:rsidP="002A72E0">
      <w:pPr>
        <w:pStyle w:val="R1"/>
      </w:pPr>
      <w:r>
        <w:rPr>
          <w:color w:val="000000"/>
        </w:rPr>
        <w:tab/>
      </w:r>
      <w:r w:rsidRPr="007B3C4F">
        <w:rPr>
          <w:color w:val="000000"/>
        </w:rPr>
        <w:t>(1)</w:t>
      </w:r>
      <w:r>
        <w:rPr>
          <w:color w:val="000000"/>
        </w:rPr>
        <w:tab/>
      </w:r>
      <w:r>
        <w:t xml:space="preserve">To be registered on the national database a supplier must, </w:t>
      </w:r>
      <w:r w:rsidRPr="00DC68FF">
        <w:t xml:space="preserve">using a method which the database indicates is a method for including information </w:t>
      </w:r>
      <w:r>
        <w:t>on</w:t>
      </w:r>
      <w:r w:rsidRPr="00DC68FF">
        <w:t xml:space="preserve"> the database</w:t>
      </w:r>
      <w:r>
        <w:t>, provide:</w:t>
      </w:r>
    </w:p>
    <w:p w:rsidR="002A72E0" w:rsidRDefault="0042231E" w:rsidP="002A72E0">
      <w:pPr>
        <w:pStyle w:val="P1"/>
      </w:pPr>
      <w:r>
        <w:tab/>
      </w:r>
      <w:r w:rsidR="002A72E0">
        <w:t>(a)</w:t>
      </w:r>
      <w:r>
        <w:tab/>
      </w:r>
      <w:r w:rsidR="002A72E0">
        <w:tab/>
      </w:r>
      <w:proofErr w:type="gramStart"/>
      <w:r w:rsidR="002A72E0">
        <w:t>information</w:t>
      </w:r>
      <w:proofErr w:type="gramEnd"/>
      <w:r w:rsidR="002A72E0">
        <w:t xml:space="preserve"> identifying the supplier;</w:t>
      </w:r>
    </w:p>
    <w:p w:rsidR="002A72E0" w:rsidRDefault="0042231E" w:rsidP="002A72E0">
      <w:pPr>
        <w:pStyle w:val="P1"/>
      </w:pPr>
      <w:r>
        <w:tab/>
      </w:r>
      <w:r w:rsidR="002A72E0">
        <w:t>(b)</w:t>
      </w:r>
      <w:r>
        <w:tab/>
      </w:r>
      <w:r w:rsidR="002A72E0">
        <w:tab/>
      </w:r>
      <w:proofErr w:type="gramStart"/>
      <w:r w:rsidR="002A72E0">
        <w:t>the</w:t>
      </w:r>
      <w:proofErr w:type="gramEnd"/>
      <w:r w:rsidR="002A72E0">
        <w:t xml:space="preserve"> supplier’s address in Australia; and</w:t>
      </w:r>
    </w:p>
    <w:p w:rsidR="002A72E0" w:rsidRDefault="0042231E" w:rsidP="002A72E0">
      <w:pPr>
        <w:pStyle w:val="P1"/>
        <w:rPr>
          <w:color w:val="000000"/>
        </w:rPr>
      </w:pPr>
      <w:r>
        <w:tab/>
      </w:r>
      <w:r w:rsidR="002A72E0">
        <w:t>(c)</w:t>
      </w:r>
      <w:r>
        <w:tab/>
      </w:r>
      <w:r w:rsidR="002A72E0">
        <w:tab/>
      </w:r>
      <w:proofErr w:type="gramStart"/>
      <w:r w:rsidR="002A72E0">
        <w:t>the</w:t>
      </w:r>
      <w:proofErr w:type="gramEnd"/>
      <w:r w:rsidR="002A72E0">
        <w:t xml:space="preserve"> name and contact details of a representative of the supplier.</w:t>
      </w:r>
    </w:p>
    <w:p w:rsidR="002A72E0" w:rsidRDefault="002A72E0" w:rsidP="002A72E0">
      <w:pPr>
        <w:pStyle w:val="R2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</w:r>
      <w:r w:rsidRPr="00775278">
        <w:t xml:space="preserve"> </w:t>
      </w:r>
      <w:r>
        <w:t>For paragraph (1) (a), information identifying a supplier consists of the supplier’s ABN and 1 of the following pieces of information in relation to the supplier</w:t>
      </w:r>
      <w:r>
        <w:rPr>
          <w:color w:val="000000"/>
        </w:rPr>
        <w:t xml:space="preserve">: </w:t>
      </w:r>
    </w:p>
    <w:p w:rsidR="002A72E0" w:rsidRPr="006104A6" w:rsidRDefault="0042231E" w:rsidP="002A72E0">
      <w:pPr>
        <w:pStyle w:val="P1"/>
      </w:pPr>
      <w:r>
        <w:tab/>
      </w:r>
      <w:r w:rsidR="002A72E0" w:rsidRPr="006104A6">
        <w:t>(a)</w:t>
      </w:r>
      <w:r>
        <w:tab/>
      </w:r>
      <w:r w:rsidR="002A72E0" w:rsidRPr="006104A6">
        <w:tab/>
      </w:r>
      <w:proofErr w:type="gramStart"/>
      <w:r w:rsidR="002A72E0">
        <w:t>if</w:t>
      </w:r>
      <w:proofErr w:type="gramEnd"/>
      <w:r w:rsidR="002A72E0">
        <w:t xml:space="preserve"> the supplier is a body corporate, the name of the body corporate</w:t>
      </w:r>
      <w:r w:rsidR="002A72E0" w:rsidRPr="006104A6">
        <w:t>;</w:t>
      </w:r>
    </w:p>
    <w:p w:rsidR="002A72E0" w:rsidRDefault="0042231E" w:rsidP="002A72E0">
      <w:pPr>
        <w:pStyle w:val="P1"/>
      </w:pPr>
      <w:r>
        <w:tab/>
      </w:r>
      <w:r w:rsidR="002A72E0" w:rsidRPr="006104A6">
        <w:t>(b)</w:t>
      </w:r>
      <w:r>
        <w:tab/>
      </w:r>
      <w:r w:rsidR="002A72E0" w:rsidRPr="006104A6">
        <w:tab/>
      </w:r>
      <w:proofErr w:type="gramStart"/>
      <w:r w:rsidR="002A72E0">
        <w:t>if</w:t>
      </w:r>
      <w:proofErr w:type="gramEnd"/>
      <w:r w:rsidR="002A72E0">
        <w:t xml:space="preserve"> the supplier is an individual, the </w:t>
      </w:r>
      <w:r w:rsidR="002A72E0" w:rsidRPr="006104A6">
        <w:t>name</w:t>
      </w:r>
      <w:r w:rsidR="002A72E0">
        <w:t xml:space="preserve"> of the individual; </w:t>
      </w:r>
    </w:p>
    <w:p w:rsidR="002A72E0" w:rsidRPr="006104A6" w:rsidRDefault="0042231E" w:rsidP="002A72E0">
      <w:pPr>
        <w:pStyle w:val="P1"/>
      </w:pPr>
      <w:r>
        <w:tab/>
      </w:r>
      <w:r w:rsidR="002A72E0">
        <w:t>(c)</w:t>
      </w:r>
      <w:r w:rsidR="002A72E0">
        <w:tab/>
      </w:r>
      <w:r>
        <w:tab/>
      </w:r>
      <w:proofErr w:type="gramStart"/>
      <w:r w:rsidR="002A72E0">
        <w:t>a</w:t>
      </w:r>
      <w:proofErr w:type="gramEnd"/>
      <w:r w:rsidR="002A72E0">
        <w:t xml:space="preserve"> </w:t>
      </w:r>
      <w:r w:rsidR="002A72E0" w:rsidRPr="006104A6">
        <w:t xml:space="preserve">business name </w:t>
      </w:r>
      <w:r w:rsidR="002A72E0">
        <w:t xml:space="preserve">used by the supplier in connection with its business as a supplier and </w:t>
      </w:r>
      <w:r w:rsidR="002A72E0" w:rsidRPr="006104A6">
        <w:t xml:space="preserve">registered </w:t>
      </w:r>
      <w:r w:rsidR="002A72E0">
        <w:t xml:space="preserve">as a business name under the </w:t>
      </w:r>
      <w:r w:rsidR="002A72E0">
        <w:rPr>
          <w:i/>
        </w:rPr>
        <w:t>Business Names Registration Act 2011</w:t>
      </w:r>
      <w:r w:rsidR="002A72E0">
        <w:t xml:space="preserve">. </w:t>
      </w:r>
    </w:p>
    <w:p w:rsidR="002A72E0" w:rsidRDefault="002A72E0" w:rsidP="002A72E0">
      <w:pPr>
        <w:pStyle w:val="R1"/>
      </w:pPr>
      <w:r>
        <w:tab/>
        <w:t>(3)</w:t>
      </w:r>
      <w:r>
        <w:tab/>
        <w:t xml:space="preserve">If the information provided by a supplier for inclusion in the national database subsequently changes, the supplier must, </w:t>
      </w:r>
      <w:r w:rsidRPr="00DC68FF">
        <w:t xml:space="preserve">within 30 days </w:t>
      </w:r>
      <w:r>
        <w:t>after</w:t>
      </w:r>
      <w:r w:rsidRPr="00DC68FF">
        <w:t xml:space="preserve"> the change occur</w:t>
      </w:r>
      <w:r>
        <w:t>s</w:t>
      </w:r>
      <w:r w:rsidRPr="00DC68FF">
        <w:t>, update the national database with the changed information using a method which the database indicates is a method for updating information on the database</w:t>
      </w:r>
      <w:r>
        <w:t>.</w:t>
      </w:r>
    </w:p>
    <w:p w:rsidR="002A72E0" w:rsidRDefault="002A72E0" w:rsidP="002A72E0">
      <w:pPr>
        <w:pStyle w:val="R1"/>
      </w:pPr>
      <w:r>
        <w:tab/>
        <w:t>(4)</w:t>
      </w:r>
      <w:r>
        <w:tab/>
        <w:t xml:space="preserve">In this section: </w:t>
      </w:r>
    </w:p>
    <w:p w:rsidR="002A72E0" w:rsidRDefault="002A72E0" w:rsidP="002A72E0">
      <w:pPr>
        <w:pStyle w:val="R2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Pr="0029554A">
        <w:rPr>
          <w:b/>
          <w:i/>
        </w:rPr>
        <w:t>r</w:t>
      </w:r>
      <w:r>
        <w:rPr>
          <w:b/>
          <w:i/>
        </w:rPr>
        <w:t>epresentative</w:t>
      </w:r>
      <w:proofErr w:type="gramEnd"/>
      <w:r>
        <w:t xml:space="preserve"> </w:t>
      </w:r>
      <w:r w:rsidRPr="0029554A">
        <w:rPr>
          <w:b/>
          <w:i/>
        </w:rPr>
        <w:t>of the supplier</w:t>
      </w:r>
      <w:r w:rsidRPr="0029554A">
        <w:t xml:space="preserve"> means:</w:t>
      </w:r>
    </w:p>
    <w:p w:rsidR="002A72E0" w:rsidRDefault="002A72E0" w:rsidP="002A72E0">
      <w:pPr>
        <w:pStyle w:val="P1"/>
        <w:numPr>
          <w:ilvl w:val="0"/>
          <w:numId w:val="7"/>
        </w:numPr>
      </w:pPr>
      <w:r>
        <w:t xml:space="preserve">an employee of the supplier; </w:t>
      </w:r>
    </w:p>
    <w:p w:rsidR="002A72E0" w:rsidRDefault="002A72E0" w:rsidP="002A72E0">
      <w:pPr>
        <w:pStyle w:val="P1"/>
        <w:numPr>
          <w:ilvl w:val="0"/>
          <w:numId w:val="7"/>
        </w:numPr>
      </w:pPr>
      <w:r>
        <w:t>an officer of the supplier; or</w:t>
      </w:r>
    </w:p>
    <w:p w:rsidR="002A72E0" w:rsidRDefault="002A72E0" w:rsidP="002A72E0">
      <w:pPr>
        <w:pStyle w:val="P1"/>
        <w:numPr>
          <w:ilvl w:val="0"/>
          <w:numId w:val="7"/>
        </w:numPr>
      </w:pPr>
      <w:proofErr w:type="gramStart"/>
      <w:r>
        <w:t>a</w:t>
      </w:r>
      <w:proofErr w:type="gramEnd"/>
      <w:r>
        <w:t xml:space="preserve"> person authorised in writing for the purposes of this section by the supplier or an employee or officer of the supplier.  </w:t>
      </w:r>
    </w:p>
    <w:p w:rsidR="002A72E0" w:rsidRDefault="002A72E0" w:rsidP="002A72E0">
      <w:pPr>
        <w:pStyle w:val="R2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42231E">
        <w:rPr>
          <w:b/>
          <w:i/>
        </w:rPr>
        <w:t>o</w:t>
      </w:r>
      <w:r>
        <w:rPr>
          <w:b/>
          <w:i/>
        </w:rPr>
        <w:t>fficer</w:t>
      </w:r>
      <w:proofErr w:type="gramEnd"/>
      <w:r w:rsidR="0042231E">
        <w:rPr>
          <w:b/>
          <w:i/>
        </w:rPr>
        <w:t xml:space="preserve"> of the supplier</w:t>
      </w:r>
      <w:r>
        <w:rPr>
          <w:b/>
          <w:i/>
        </w:rPr>
        <w:t xml:space="preserve"> </w:t>
      </w:r>
      <w:r>
        <w:t>means:</w:t>
      </w:r>
    </w:p>
    <w:p w:rsidR="002A72E0" w:rsidRDefault="002A72E0" w:rsidP="002A72E0">
      <w:pPr>
        <w:pStyle w:val="P1"/>
        <w:numPr>
          <w:ilvl w:val="0"/>
          <w:numId w:val="8"/>
        </w:numPr>
      </w:pPr>
      <w:r>
        <w:t xml:space="preserve">if the supplier is a corporation for the purposes of the </w:t>
      </w:r>
      <w:r>
        <w:rPr>
          <w:i/>
        </w:rPr>
        <w:t xml:space="preserve">Corporations Act </w:t>
      </w:r>
      <w:r w:rsidRPr="000E7F1D">
        <w:rPr>
          <w:i/>
        </w:rPr>
        <w:t>2001</w:t>
      </w:r>
      <w:r>
        <w:t xml:space="preserve">, an officer of a corporation as that term is defined in section 9 of the </w:t>
      </w:r>
      <w:r>
        <w:rPr>
          <w:i/>
        </w:rPr>
        <w:t>Corporations Act 2001</w:t>
      </w:r>
      <w:r>
        <w:t>; or</w:t>
      </w:r>
    </w:p>
    <w:p w:rsidR="002A72E0" w:rsidRPr="00775278" w:rsidRDefault="002A72E0" w:rsidP="002A72E0">
      <w:pPr>
        <w:pStyle w:val="P1"/>
        <w:numPr>
          <w:ilvl w:val="0"/>
          <w:numId w:val="8"/>
        </w:numPr>
      </w:pPr>
      <w:proofErr w:type="gramStart"/>
      <w:r>
        <w:t>if</w:t>
      </w:r>
      <w:proofErr w:type="gramEnd"/>
      <w:r>
        <w:t xml:space="preserve"> the supplier is an entity that is neither an individual nor a corporation for the purposes of the </w:t>
      </w:r>
      <w:r w:rsidRPr="00775278">
        <w:rPr>
          <w:i/>
        </w:rPr>
        <w:t>Corporations Act 2001</w:t>
      </w:r>
      <w:r>
        <w:t xml:space="preserve">, an officer of that entity as defined in section 9 of the </w:t>
      </w:r>
      <w:r w:rsidRPr="00775278">
        <w:rPr>
          <w:i/>
        </w:rPr>
        <w:t>Corporations Act 2001</w:t>
      </w:r>
      <w:r>
        <w:t xml:space="preserve">.  </w:t>
      </w:r>
    </w:p>
    <w:p w:rsidR="002A72E0" w:rsidRDefault="002A72E0" w:rsidP="002A72E0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 w:rsidRPr="00D006E5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1</w:t>
      </w:r>
      <w:r w:rsidRPr="007268CE">
        <w:rPr>
          <w:i/>
          <w:sz w:val="20"/>
          <w:szCs w:val="20"/>
        </w:rPr>
        <w:tab/>
      </w:r>
      <w:r w:rsidRPr="007268CE">
        <w:rPr>
          <w:sz w:val="20"/>
          <w:szCs w:val="20"/>
        </w:rPr>
        <w:t xml:space="preserve">The requirement </w:t>
      </w:r>
      <w:r>
        <w:rPr>
          <w:sz w:val="20"/>
          <w:szCs w:val="20"/>
        </w:rPr>
        <w:t xml:space="preserve">for a supplier </w:t>
      </w:r>
      <w:r w:rsidRPr="007268CE">
        <w:rPr>
          <w:sz w:val="20"/>
          <w:szCs w:val="20"/>
        </w:rPr>
        <w:t xml:space="preserve">to update </w:t>
      </w:r>
      <w:r>
        <w:rPr>
          <w:sz w:val="20"/>
          <w:szCs w:val="20"/>
        </w:rPr>
        <w:t>the information provided by it for inclusion in the national database imposed</w:t>
      </w:r>
      <w:r w:rsidRPr="007268CE">
        <w:rPr>
          <w:sz w:val="20"/>
          <w:szCs w:val="20"/>
        </w:rPr>
        <w:t xml:space="preserve"> under </w:t>
      </w:r>
      <w:r>
        <w:rPr>
          <w:sz w:val="20"/>
          <w:szCs w:val="20"/>
        </w:rPr>
        <w:t>sub</w:t>
      </w:r>
      <w:r w:rsidRPr="007268CE">
        <w:rPr>
          <w:sz w:val="20"/>
          <w:szCs w:val="20"/>
        </w:rPr>
        <w:t xml:space="preserve">section </w:t>
      </w:r>
      <w:r>
        <w:rPr>
          <w:sz w:val="20"/>
          <w:szCs w:val="20"/>
        </w:rPr>
        <w:t xml:space="preserve">10A (3) is an ongoing requirement.  </w:t>
      </w:r>
      <w:r w:rsidRPr="007268CE">
        <w:rPr>
          <w:sz w:val="20"/>
          <w:szCs w:val="20"/>
        </w:rPr>
        <w:t xml:space="preserve">Under section 187A of the Act, a supplier that fails to comply with a specific requirement that must be met after a label has been applied to a device may be subject to a </w:t>
      </w:r>
      <w:r>
        <w:rPr>
          <w:sz w:val="20"/>
          <w:szCs w:val="20"/>
        </w:rPr>
        <w:t xml:space="preserve">pecuniary </w:t>
      </w:r>
      <w:r w:rsidRPr="007268CE">
        <w:rPr>
          <w:sz w:val="20"/>
          <w:szCs w:val="20"/>
        </w:rPr>
        <w:t>penalty.</w:t>
      </w:r>
      <w:r>
        <w:rPr>
          <w:sz w:val="20"/>
          <w:szCs w:val="20"/>
        </w:rPr>
        <w:t xml:space="preserve"> </w:t>
      </w:r>
    </w:p>
    <w:p w:rsidR="002A72E0" w:rsidRDefault="002A72E0" w:rsidP="002A72E0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>
        <w:rPr>
          <w:i/>
          <w:sz w:val="20"/>
          <w:szCs w:val="20"/>
        </w:rPr>
        <w:t>Note 2</w:t>
      </w:r>
      <w:r>
        <w:rPr>
          <w:sz w:val="20"/>
          <w:szCs w:val="20"/>
        </w:rPr>
        <w:tab/>
      </w:r>
      <w:r w:rsidRPr="00DC68FF">
        <w:rPr>
          <w:sz w:val="20"/>
          <w:szCs w:val="20"/>
        </w:rPr>
        <w:t xml:space="preserve">Information provided by a supplier for inclusion </w:t>
      </w:r>
      <w:r>
        <w:rPr>
          <w:sz w:val="20"/>
          <w:szCs w:val="20"/>
        </w:rPr>
        <w:t>on</w:t>
      </w:r>
      <w:r w:rsidRPr="00DC68FF">
        <w:rPr>
          <w:sz w:val="20"/>
          <w:szCs w:val="20"/>
        </w:rPr>
        <w:t xml:space="preserve"> the national database </w:t>
      </w:r>
      <w:r>
        <w:rPr>
          <w:sz w:val="20"/>
          <w:szCs w:val="20"/>
        </w:rPr>
        <w:t>for the purposes of this Notice will</w:t>
      </w:r>
      <w:r w:rsidRPr="00DC68FF">
        <w:rPr>
          <w:sz w:val="20"/>
          <w:szCs w:val="20"/>
        </w:rPr>
        <w:t xml:space="preserve"> be made publicly available.</w:t>
      </w:r>
    </w:p>
    <w:p w:rsidR="003A31EC" w:rsidRDefault="003A31EC" w:rsidP="003A31EC">
      <w:pPr>
        <w:pStyle w:val="HR"/>
        <w:rPr>
          <w:rStyle w:val="CharSectno"/>
        </w:rPr>
      </w:pPr>
      <w:r>
        <w:rPr>
          <w:rStyle w:val="CharSectno"/>
        </w:rPr>
        <w:t>10B</w:t>
      </w:r>
      <w:r>
        <w:rPr>
          <w:rStyle w:val="CharSectno"/>
        </w:rPr>
        <w:tab/>
        <w:t xml:space="preserve">Use of C-Tick </w:t>
      </w:r>
      <w:r w:rsidR="009B1191">
        <w:rPr>
          <w:rStyle w:val="CharSectno"/>
        </w:rPr>
        <w:t>m</w:t>
      </w:r>
      <w:r>
        <w:rPr>
          <w:rStyle w:val="CharSectno"/>
        </w:rPr>
        <w:t>ark</w:t>
      </w:r>
    </w:p>
    <w:p w:rsidR="003A31EC" w:rsidRDefault="003A31EC" w:rsidP="003A31EC">
      <w:pPr>
        <w:pStyle w:val="R2"/>
      </w:pPr>
      <w:r>
        <w:tab/>
      </w:r>
      <w:r>
        <w:tab/>
      </w:r>
      <w:r w:rsidR="00E64CF6">
        <w:t>Before a</w:t>
      </w:r>
      <w:r>
        <w:t xml:space="preserve"> supplier appl</w:t>
      </w:r>
      <w:r w:rsidR="00E64CF6">
        <w:t>ies</w:t>
      </w:r>
      <w:r>
        <w:t xml:space="preserve"> a compliance label consisting of the C-Tick </w:t>
      </w:r>
      <w:r w:rsidR="00036C82">
        <w:t>m</w:t>
      </w:r>
      <w:r>
        <w:t>ark to a device</w:t>
      </w:r>
      <w:r w:rsidR="007D5571">
        <w:t>,</w:t>
      </w:r>
      <w:r>
        <w:t xml:space="preserve"> the supplier </w:t>
      </w:r>
      <w:r w:rsidR="00E64CF6">
        <w:t>must have</w:t>
      </w:r>
      <w:r>
        <w:t xml:space="preserve"> been issued a supplier code number by the ACMA.  </w:t>
      </w:r>
    </w:p>
    <w:p w:rsidR="003A31EC" w:rsidRPr="007479F3" w:rsidRDefault="003A31EC" w:rsidP="003A31EC">
      <w:pPr>
        <w:pStyle w:val="HR"/>
        <w:rPr>
          <w:rStyle w:val="CharSectno"/>
        </w:rPr>
      </w:pPr>
      <w:r>
        <w:rPr>
          <w:rStyle w:val="CharSectno"/>
        </w:rPr>
        <w:t>10C</w:t>
      </w:r>
      <w:r>
        <w:rPr>
          <w:rStyle w:val="CharSectno"/>
        </w:rPr>
        <w:tab/>
        <w:t>Issue of supplier code number</w:t>
      </w:r>
    </w:p>
    <w:p w:rsidR="003A31EC" w:rsidRDefault="003A31EC" w:rsidP="003A31EC">
      <w:pPr>
        <w:pStyle w:val="R2"/>
      </w:pPr>
      <w:r>
        <w:tab/>
        <w:t>(1)</w:t>
      </w:r>
      <w:r>
        <w:tab/>
        <w:t xml:space="preserve">This section applies unless the ACMA has designated </w:t>
      </w:r>
      <w:r w:rsidRPr="003C2DEE">
        <w:t>in writing a national database for the purpose</w:t>
      </w:r>
      <w:r>
        <w:t xml:space="preserve">s of </w:t>
      </w:r>
      <w:r w:rsidR="005E7BDE">
        <w:t xml:space="preserve">this </w:t>
      </w:r>
      <w:r>
        <w:t>Division.</w:t>
      </w:r>
    </w:p>
    <w:p w:rsidR="003A31EC" w:rsidRDefault="003A31EC" w:rsidP="003A31EC">
      <w:pPr>
        <w:pStyle w:val="R2"/>
      </w:pPr>
      <w:r>
        <w:tab/>
        <w:t>(2)</w:t>
      </w:r>
      <w:r>
        <w:tab/>
        <w:t xml:space="preserve">A supplier may apply in writing to the ACMA for a supplier code number. </w:t>
      </w:r>
    </w:p>
    <w:p w:rsidR="003A31EC" w:rsidRDefault="003A31EC" w:rsidP="003A31EC">
      <w:pPr>
        <w:pStyle w:val="R2"/>
      </w:pPr>
      <w:r>
        <w:tab/>
        <w:t>(3)</w:t>
      </w:r>
      <w:r>
        <w:tab/>
        <w:t xml:space="preserve">The application must be in a form approved by the ACMA. </w:t>
      </w:r>
    </w:p>
    <w:p w:rsidR="003A31EC" w:rsidRDefault="003A31EC" w:rsidP="003A31EC">
      <w:pPr>
        <w:pStyle w:val="R2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20A7F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The ACMA makes approved forms available on its website.</w:t>
      </w:r>
    </w:p>
    <w:p w:rsidR="002839DD" w:rsidRDefault="003A31EC">
      <w:pPr>
        <w:pStyle w:val="R2"/>
      </w:pPr>
      <w:r>
        <w:tab/>
        <w:t>(4)</w:t>
      </w:r>
      <w:r>
        <w:tab/>
        <w:t>Upon such application being made, the ACMA may issue to the supplier a supplier code number.</w:t>
      </w:r>
      <w:r w:rsidR="00191EA8">
        <w:t xml:space="preserve"> </w:t>
      </w:r>
    </w:p>
    <w:p w:rsidR="0008286C" w:rsidRDefault="0008286C" w:rsidP="0008286C">
      <w:pPr>
        <w:pStyle w:val="A1S"/>
      </w:pPr>
      <w:r>
        <w:t>[1</w:t>
      </w:r>
      <w:r w:rsidR="005B56E6">
        <w:t>1</w:t>
      </w:r>
      <w:r>
        <w:t>]</w:t>
      </w:r>
      <w:r>
        <w:tab/>
        <w:t>Paragraph</w:t>
      </w:r>
      <w:r w:rsidR="00D0057B">
        <w:t>s</w:t>
      </w:r>
      <w:r>
        <w:t xml:space="preserve"> 11 (4) (a)</w:t>
      </w:r>
      <w:r w:rsidR="003369E1">
        <w:t xml:space="preserve"> – (d)</w:t>
      </w:r>
    </w:p>
    <w:p w:rsidR="0008286C" w:rsidRDefault="003369E1" w:rsidP="0008286C">
      <w:pPr>
        <w:pStyle w:val="A2S"/>
        <w:rPr>
          <w:i w:val="0"/>
        </w:rPr>
      </w:pPr>
      <w:proofErr w:type="gramStart"/>
      <w:r>
        <w:t>substitute</w:t>
      </w:r>
      <w:proofErr w:type="gramEnd"/>
    </w:p>
    <w:p w:rsidR="003369E1" w:rsidRPr="003369E1" w:rsidRDefault="003369E1" w:rsidP="003369E1">
      <w:pPr>
        <w:pStyle w:val="A3S"/>
        <w:ind w:left="244" w:firstLine="720"/>
      </w:pPr>
      <w:r>
        <w:t>(a)</w:t>
      </w:r>
      <w:r>
        <w:tab/>
      </w:r>
      <w:proofErr w:type="gramStart"/>
      <w:r w:rsidRPr="003369E1">
        <w:t>an</w:t>
      </w:r>
      <w:proofErr w:type="gramEnd"/>
      <w:r>
        <w:t xml:space="preserve"> ABN</w:t>
      </w:r>
      <w:r w:rsidRPr="003369E1">
        <w:t>; or</w:t>
      </w:r>
    </w:p>
    <w:p w:rsidR="00E45A8B" w:rsidRDefault="003369E1">
      <w:pPr>
        <w:pStyle w:val="A3S"/>
        <w:ind w:left="244" w:firstLine="720"/>
      </w:pPr>
      <w:r>
        <w:t>(b)</w:t>
      </w:r>
      <w:r>
        <w:tab/>
      </w:r>
      <w:proofErr w:type="gramStart"/>
      <w:r w:rsidRPr="003369E1">
        <w:t>an</w:t>
      </w:r>
      <w:proofErr w:type="gramEnd"/>
      <w:r w:rsidRPr="003369E1">
        <w:t xml:space="preserve"> Australian Company Number (ACN); or</w:t>
      </w:r>
    </w:p>
    <w:p w:rsidR="00E45A8B" w:rsidRDefault="003369E1">
      <w:pPr>
        <w:pStyle w:val="A3S"/>
        <w:ind w:left="244" w:firstLine="720"/>
      </w:pPr>
      <w:r w:rsidRPr="003369E1">
        <w:t>(</w:t>
      </w:r>
      <w:r>
        <w:t>c</w:t>
      </w:r>
      <w:r w:rsidRPr="003369E1">
        <w:t xml:space="preserve">)   </w:t>
      </w:r>
      <w:proofErr w:type="gramStart"/>
      <w:r w:rsidRPr="003369E1">
        <w:t>an</w:t>
      </w:r>
      <w:proofErr w:type="gramEnd"/>
      <w:r w:rsidRPr="003369E1">
        <w:t xml:space="preserve"> Australian Registered Body Number (ARBN).</w:t>
      </w:r>
    </w:p>
    <w:p w:rsidR="003A214C" w:rsidRDefault="003A214C" w:rsidP="0008286C">
      <w:pPr>
        <w:pStyle w:val="A1S"/>
      </w:pPr>
      <w:r>
        <w:t>[</w:t>
      </w:r>
      <w:r w:rsidR="00B939C0">
        <w:t>1</w:t>
      </w:r>
      <w:r w:rsidR="001804AE">
        <w:t>2</w:t>
      </w:r>
      <w:r>
        <w:t>]</w:t>
      </w:r>
      <w:r>
        <w:tab/>
      </w:r>
      <w:r w:rsidR="003D58E4">
        <w:t>S</w:t>
      </w:r>
      <w:r>
        <w:t xml:space="preserve">ection </w:t>
      </w:r>
      <w:r w:rsidR="00E134AD">
        <w:t>19</w:t>
      </w:r>
    </w:p>
    <w:p w:rsidR="003A214C" w:rsidRPr="00863DC4" w:rsidRDefault="004D093E" w:rsidP="003A214C">
      <w:pPr>
        <w:pStyle w:val="A2S"/>
      </w:pPr>
      <w:proofErr w:type="gramStart"/>
      <w:r>
        <w:t>substitute</w:t>
      </w:r>
      <w:proofErr w:type="gramEnd"/>
    </w:p>
    <w:p w:rsidR="004D093E" w:rsidRPr="004D093E" w:rsidRDefault="00A8274F" w:rsidP="004D093E">
      <w:pPr>
        <w:pStyle w:val="HR"/>
        <w:rPr>
          <w:rStyle w:val="CharSectno"/>
        </w:rPr>
      </w:pPr>
      <w:bookmarkStart w:id="5" w:name="_Toc257809786"/>
      <w:r w:rsidRPr="00A8274F">
        <w:rPr>
          <w:rStyle w:val="CharSectno"/>
        </w:rPr>
        <w:t>19</w:t>
      </w:r>
      <w:r w:rsidRPr="00A8274F">
        <w:rPr>
          <w:rStyle w:val="CharSectno"/>
        </w:rPr>
        <w:tab/>
        <w:t xml:space="preserve">What is a compliance </w:t>
      </w:r>
      <w:proofErr w:type="gramStart"/>
      <w:r w:rsidRPr="00A8274F">
        <w:rPr>
          <w:rStyle w:val="CharSectno"/>
        </w:rPr>
        <w:t>label</w:t>
      </w:r>
      <w:bookmarkEnd w:id="5"/>
      <w:proofErr w:type="gramEnd"/>
    </w:p>
    <w:p w:rsidR="002839DD" w:rsidRDefault="004D093E">
      <w:pPr>
        <w:pStyle w:val="R2"/>
      </w:pPr>
      <w:r>
        <w:tab/>
      </w:r>
      <w:r w:rsidRPr="004D093E">
        <w:t>(1)</w:t>
      </w:r>
      <w:r w:rsidRPr="004D093E">
        <w:tab/>
        <w:t xml:space="preserve">A </w:t>
      </w:r>
      <w:r w:rsidR="00724A45" w:rsidRPr="00724A45">
        <w:rPr>
          <w:b/>
          <w:i/>
        </w:rPr>
        <w:t>compliance label</w:t>
      </w:r>
      <w:r w:rsidRPr="004D093E">
        <w:t xml:space="preserve"> for a device is a label that meets the requirements of this section and sections 19A to 19D.</w:t>
      </w:r>
    </w:p>
    <w:p w:rsidR="004D093E" w:rsidRDefault="004D093E" w:rsidP="004D093E">
      <w:pPr>
        <w:pStyle w:val="R1"/>
      </w:pPr>
      <w:r>
        <w:tab/>
        <w:t>(2)</w:t>
      </w:r>
      <w:r>
        <w:tab/>
        <w:t>The label must consist of either:</w:t>
      </w:r>
    </w:p>
    <w:p w:rsidR="004D093E" w:rsidRDefault="004D093E" w:rsidP="004D093E">
      <w:pPr>
        <w:pStyle w:val="R1"/>
        <w:numPr>
          <w:ilvl w:val="0"/>
          <w:numId w:val="6"/>
        </w:numPr>
      </w:pPr>
      <w:r>
        <w:t>the RCM; or</w:t>
      </w:r>
    </w:p>
    <w:p w:rsidR="004D093E" w:rsidRDefault="004D093E" w:rsidP="004D093E">
      <w:pPr>
        <w:pStyle w:val="R2"/>
        <w:numPr>
          <w:ilvl w:val="0"/>
          <w:numId w:val="6"/>
        </w:numPr>
      </w:pPr>
      <w:proofErr w:type="gramStart"/>
      <w:r>
        <w:t>if</w:t>
      </w:r>
      <w:proofErr w:type="gramEnd"/>
      <w:r>
        <w:t xml:space="preserve"> the label is applied before 1 March 2016 – either of the compliance marks.</w:t>
      </w:r>
    </w:p>
    <w:p w:rsidR="004D093E" w:rsidRDefault="004D093E" w:rsidP="004D093E">
      <w:pPr>
        <w:pStyle w:val="HSR"/>
        <w:spacing w:before="180"/>
      </w:pPr>
      <w:r>
        <w:t>Location of compliance label</w:t>
      </w:r>
    </w:p>
    <w:p w:rsidR="004D093E" w:rsidRDefault="004D093E" w:rsidP="004D093E">
      <w:pPr>
        <w:pStyle w:val="R2"/>
      </w:pPr>
      <w:r>
        <w:tab/>
        <w:t>(3)</w:t>
      </w:r>
      <w:r>
        <w:tab/>
        <w:t>Subject to sections 19C and 19D, the label must be placed on the device on a place that is accessible by the user.</w:t>
      </w:r>
    </w:p>
    <w:p w:rsidR="004D093E" w:rsidRPr="00BA6C32" w:rsidRDefault="004D093E" w:rsidP="004D093E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>
        <w:t>Section 19C deals with situations where applying a label to the surface of a device is not possible or practical. Section 19D gives a supplier the option of labelling some types of device electronically.</w:t>
      </w:r>
    </w:p>
    <w:p w:rsidR="002839DD" w:rsidRDefault="004D093E">
      <w:pPr>
        <w:pStyle w:val="R2"/>
      </w:pPr>
      <w:r>
        <w:tab/>
        <w:t>(4)</w:t>
      </w:r>
      <w:r>
        <w:tab/>
        <w:t>A label is not accessible if it is necessary to use a specialised tool to gain access to it.</w:t>
      </w:r>
    </w:p>
    <w:p w:rsidR="004D093E" w:rsidRDefault="004D093E" w:rsidP="004D093E">
      <w:pPr>
        <w:pStyle w:val="A1S"/>
      </w:pPr>
      <w:r>
        <w:t>[</w:t>
      </w:r>
      <w:r w:rsidR="00624305">
        <w:t>1</w:t>
      </w:r>
      <w:r w:rsidR="001804AE">
        <w:t>3</w:t>
      </w:r>
      <w:r>
        <w:t>]</w:t>
      </w:r>
      <w:r>
        <w:tab/>
        <w:t>Section 19B</w:t>
      </w:r>
    </w:p>
    <w:p w:rsidR="004D093E" w:rsidRDefault="004D093E" w:rsidP="004D093E">
      <w:pPr>
        <w:pStyle w:val="Header"/>
      </w:pPr>
    </w:p>
    <w:p w:rsidR="004D093E" w:rsidRDefault="004D093E" w:rsidP="004D093E">
      <w:pPr>
        <w:pStyle w:val="A2S"/>
      </w:pPr>
      <w:proofErr w:type="gramStart"/>
      <w:r>
        <w:t>substitute</w:t>
      </w:r>
      <w:proofErr w:type="gramEnd"/>
      <w:r>
        <w:tab/>
      </w:r>
    </w:p>
    <w:p w:rsidR="004D093E" w:rsidRDefault="004D093E" w:rsidP="004D093E">
      <w:pPr>
        <w:pStyle w:val="HR"/>
      </w:pPr>
      <w:r>
        <w:rPr>
          <w:rStyle w:val="CharSectno"/>
        </w:rPr>
        <w:t>1</w:t>
      </w:r>
      <w:r w:rsidRPr="00C04CAB">
        <w:rPr>
          <w:rStyle w:val="CharSectno"/>
        </w:rPr>
        <w:t>9</w:t>
      </w:r>
      <w:r>
        <w:rPr>
          <w:rStyle w:val="CharSectno"/>
        </w:rPr>
        <w:t>B</w:t>
      </w:r>
      <w:r w:rsidRPr="00FD0074">
        <w:tab/>
      </w:r>
      <w:r>
        <w:t>Format of compliance label</w:t>
      </w:r>
    </w:p>
    <w:p w:rsidR="004D093E" w:rsidRDefault="004D093E" w:rsidP="004D093E">
      <w:pPr>
        <w:pStyle w:val="R1"/>
      </w:pPr>
      <w:r>
        <w:tab/>
      </w:r>
      <w:r>
        <w:tab/>
        <w:t xml:space="preserve">A compliance mark must be at least 3 mm high. </w:t>
      </w:r>
    </w:p>
    <w:p w:rsidR="004D093E" w:rsidRDefault="004D093E" w:rsidP="004D093E">
      <w:pPr>
        <w:pStyle w:val="R1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06EF4">
        <w:rPr>
          <w:i/>
          <w:sz w:val="20"/>
          <w:szCs w:val="20"/>
        </w:rPr>
        <w:t xml:space="preserve">Note </w:t>
      </w:r>
      <w:r w:rsidRPr="00B06EF4">
        <w:rPr>
          <w:i/>
          <w:sz w:val="20"/>
          <w:szCs w:val="20"/>
        </w:rPr>
        <w:tab/>
      </w:r>
      <w:r w:rsidRPr="00B06EF4">
        <w:rPr>
          <w:sz w:val="20"/>
          <w:szCs w:val="20"/>
        </w:rPr>
        <w:t>This Notice does not prevent a supplier from applying its own additional supplier identification details onto a device</w:t>
      </w:r>
      <w:r>
        <w:rPr>
          <w:sz w:val="20"/>
          <w:szCs w:val="20"/>
        </w:rPr>
        <w:t>.</w:t>
      </w:r>
    </w:p>
    <w:p w:rsidR="00D0057B" w:rsidRDefault="00D0057B" w:rsidP="00A7414A">
      <w:pPr>
        <w:pStyle w:val="A1S"/>
        <w:tabs>
          <w:tab w:val="left" w:pos="993"/>
        </w:tabs>
        <w:ind w:left="0" w:firstLine="0"/>
      </w:pPr>
      <w:r>
        <w:t>[14]</w:t>
      </w:r>
      <w:r>
        <w:tab/>
        <w:t>S</w:t>
      </w:r>
      <w:r w:rsidR="00EC0E28">
        <w:t>ubs</w:t>
      </w:r>
      <w:r>
        <w:t>ection 19</w:t>
      </w:r>
      <w:r w:rsidR="00012886">
        <w:t>D</w:t>
      </w:r>
      <w:r w:rsidR="00EC0E28">
        <w:t xml:space="preserve"> (4)</w:t>
      </w:r>
    </w:p>
    <w:p w:rsidR="00D0057B" w:rsidRDefault="00D0057B" w:rsidP="00D0057B">
      <w:pPr>
        <w:pStyle w:val="A2S"/>
      </w:pPr>
      <w:proofErr w:type="gramStart"/>
      <w:r>
        <w:t>omit</w:t>
      </w:r>
      <w:proofErr w:type="gramEnd"/>
    </w:p>
    <w:p w:rsidR="00D0057B" w:rsidRDefault="00D0057B" w:rsidP="00D0057B">
      <w:pPr>
        <w:pStyle w:val="A3S"/>
      </w:pPr>
      <w:r>
        <w:t xml:space="preserve">Subsection </w:t>
      </w:r>
      <w:r w:rsidR="00012886">
        <w:t>19</w:t>
      </w:r>
      <w:r>
        <w:t xml:space="preserve"> (</w:t>
      </w:r>
      <w:r w:rsidR="00012886">
        <w:t>5</w:t>
      </w:r>
      <w:r>
        <w:t>)</w:t>
      </w:r>
    </w:p>
    <w:p w:rsidR="00D0057B" w:rsidRDefault="00D0057B" w:rsidP="00D0057B">
      <w:pPr>
        <w:pStyle w:val="A2S"/>
      </w:pPr>
      <w:proofErr w:type="gramStart"/>
      <w:r>
        <w:t>insert</w:t>
      </w:r>
      <w:proofErr w:type="gramEnd"/>
    </w:p>
    <w:p w:rsidR="00D0057B" w:rsidRDefault="00D0057B" w:rsidP="00D0057B">
      <w:pPr>
        <w:pStyle w:val="A3S"/>
      </w:pPr>
      <w:r>
        <w:t xml:space="preserve">Subsection </w:t>
      </w:r>
      <w:r w:rsidR="00012886">
        <w:t>19</w:t>
      </w:r>
      <w:r>
        <w:t xml:space="preserve"> (</w:t>
      </w:r>
      <w:r w:rsidR="00012886">
        <w:t>3)</w:t>
      </w:r>
    </w:p>
    <w:p w:rsidR="0088226A" w:rsidRDefault="0088226A" w:rsidP="00D0057B">
      <w:pPr>
        <w:pStyle w:val="A1S"/>
      </w:pPr>
      <w:r>
        <w:t>[</w:t>
      </w:r>
      <w:r w:rsidR="008D394F">
        <w:t>1</w:t>
      </w:r>
      <w:r w:rsidR="00D0057B">
        <w:t>5</w:t>
      </w:r>
      <w:r>
        <w:t>]</w:t>
      </w:r>
      <w:r>
        <w:tab/>
        <w:t>Schedule 1</w:t>
      </w:r>
    </w:p>
    <w:p w:rsidR="0088226A" w:rsidRDefault="0088226A" w:rsidP="00455B8F">
      <w:pPr>
        <w:pStyle w:val="A2S"/>
        <w:keepLines/>
      </w:pPr>
      <w:proofErr w:type="gramStart"/>
      <w:r>
        <w:t>substitute</w:t>
      </w:r>
      <w:proofErr w:type="gramEnd"/>
      <w:r>
        <w:t xml:space="preserve"> </w:t>
      </w:r>
    </w:p>
    <w:p w:rsidR="008D394F" w:rsidRDefault="008D394F" w:rsidP="00455B8F">
      <w:pPr>
        <w:pStyle w:val="Scheduletitle"/>
      </w:pPr>
      <w:bookmarkStart w:id="6" w:name="_Toc257809800"/>
      <w:r w:rsidRPr="00433ED1">
        <w:rPr>
          <w:rStyle w:val="CharAmSchNo"/>
        </w:rPr>
        <w:t>Schedule 1</w:t>
      </w:r>
      <w:r>
        <w:tab/>
      </w:r>
      <w:bookmarkEnd w:id="6"/>
      <w:r>
        <w:rPr>
          <w:rStyle w:val="CharAmSchText"/>
        </w:rPr>
        <w:t>Compliance marks</w:t>
      </w:r>
    </w:p>
    <w:p w:rsidR="008D394F" w:rsidRDefault="008D394F" w:rsidP="00455B8F">
      <w:pPr>
        <w:pStyle w:val="Schedulereference"/>
      </w:pPr>
      <w:r>
        <w:t>(</w:t>
      </w:r>
      <w:proofErr w:type="gramStart"/>
      <w:r>
        <w:t>subsection</w:t>
      </w:r>
      <w:proofErr w:type="gramEnd"/>
      <w:r>
        <w:t xml:space="preserve"> 4 (1))</w:t>
      </w:r>
    </w:p>
    <w:p w:rsidR="008D394F" w:rsidRDefault="008D394F" w:rsidP="008D394F"/>
    <w:p w:rsidR="008D394F" w:rsidRDefault="008D394F" w:rsidP="008D394F">
      <w:pPr>
        <w:pStyle w:val="Schedulepart"/>
      </w:pPr>
      <w:bookmarkStart w:id="7" w:name="_Toc257809802"/>
      <w:r w:rsidRPr="00433ED1">
        <w:rPr>
          <w:rStyle w:val="CharSchPTNo"/>
        </w:rPr>
        <w:t>Part </w:t>
      </w:r>
      <w:r>
        <w:rPr>
          <w:rStyle w:val="CharSchPTNo"/>
        </w:rPr>
        <w:t>1</w:t>
      </w:r>
      <w:r>
        <w:tab/>
      </w:r>
      <w:proofErr w:type="gramStart"/>
      <w:r w:rsidRPr="00433ED1">
        <w:rPr>
          <w:rStyle w:val="CharSchPTText"/>
        </w:rPr>
        <w:t>The</w:t>
      </w:r>
      <w:proofErr w:type="gramEnd"/>
      <w:r w:rsidRPr="00433ED1">
        <w:rPr>
          <w:rStyle w:val="CharSchPTText"/>
        </w:rPr>
        <w:t xml:space="preserve"> </w:t>
      </w:r>
      <w:r>
        <w:rPr>
          <w:rStyle w:val="CharSchPTText"/>
        </w:rPr>
        <w:t>C-Tick m</w:t>
      </w:r>
      <w:r w:rsidRPr="00433ED1">
        <w:rPr>
          <w:rStyle w:val="CharSchPTText"/>
        </w:rPr>
        <w:t>ark</w:t>
      </w:r>
      <w:bookmarkEnd w:id="7"/>
    </w:p>
    <w:p w:rsidR="008D394F" w:rsidRDefault="008D394F" w:rsidP="008D394F">
      <w:pPr>
        <w:pStyle w:val="A2"/>
        <w:spacing w:after="240"/>
        <w:jc w:val="center"/>
      </w:pPr>
    </w:p>
    <w:p w:rsidR="008D394F" w:rsidRDefault="00CB7ED0" w:rsidP="008D394F">
      <w:pPr>
        <w:keepNext/>
        <w:jc w:val="center"/>
        <w:rPr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989455" cy="198945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4F" w:rsidRDefault="008D394F" w:rsidP="008D394F">
      <w:pPr>
        <w:rPr>
          <w:sz w:val="16"/>
          <w:szCs w:val="16"/>
        </w:rPr>
      </w:pPr>
    </w:p>
    <w:p w:rsidR="008D394F" w:rsidRDefault="008D394F" w:rsidP="008D394F">
      <w:pPr>
        <w:pStyle w:val="Note"/>
        <w:ind w:left="0"/>
      </w:pPr>
      <w:r w:rsidRPr="00853FC0">
        <w:rPr>
          <w:i/>
          <w:iCs/>
        </w:rPr>
        <w:t>Note</w:t>
      </w:r>
      <w:r w:rsidRPr="00853FC0">
        <w:t>   </w:t>
      </w:r>
      <w:r>
        <w:t>The C-Tick mark is a protected symbol for section 188A of the Act</w:t>
      </w:r>
      <w:r w:rsidRPr="00853FC0">
        <w:t>.</w:t>
      </w:r>
    </w:p>
    <w:p w:rsidR="008D394F" w:rsidRDefault="008D394F" w:rsidP="008D394F">
      <w:pPr>
        <w:keepNext/>
        <w:spacing w:after="120"/>
        <w:jc w:val="center"/>
        <w:rPr>
          <w:sz w:val="26"/>
          <w:szCs w:val="26"/>
        </w:rPr>
      </w:pPr>
    </w:p>
    <w:p w:rsidR="008D394F" w:rsidRDefault="008D394F" w:rsidP="008D394F">
      <w:pPr>
        <w:pStyle w:val="Schedulepart"/>
      </w:pPr>
      <w:r w:rsidRPr="00433ED1">
        <w:rPr>
          <w:rStyle w:val="CharSchPTNo"/>
        </w:rPr>
        <w:t>Part </w:t>
      </w:r>
      <w:r>
        <w:rPr>
          <w:rStyle w:val="CharSchPTNo"/>
        </w:rPr>
        <w:t>2</w:t>
      </w:r>
      <w:r>
        <w:tab/>
      </w:r>
      <w:proofErr w:type="gramStart"/>
      <w:r w:rsidRPr="00433ED1">
        <w:rPr>
          <w:rStyle w:val="CharSchPTText"/>
        </w:rPr>
        <w:t>The</w:t>
      </w:r>
      <w:proofErr w:type="gramEnd"/>
      <w:r w:rsidRPr="00433ED1">
        <w:rPr>
          <w:rStyle w:val="CharSchPTText"/>
        </w:rPr>
        <w:t xml:space="preserve"> </w:t>
      </w:r>
      <w:r>
        <w:rPr>
          <w:rStyle w:val="CharSchPTText"/>
        </w:rPr>
        <w:t>RCM</w:t>
      </w:r>
    </w:p>
    <w:p w:rsidR="008D394F" w:rsidRDefault="008D394F" w:rsidP="008D394F">
      <w:pPr>
        <w:keepNext/>
        <w:spacing w:after="120"/>
        <w:jc w:val="center"/>
      </w:pPr>
      <w:r>
        <w:br/>
      </w:r>
    </w:p>
    <w:p w:rsidR="008D394F" w:rsidRPr="00E54489" w:rsidRDefault="00CB7ED0" w:rsidP="008D394F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2691765" cy="19678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4F" w:rsidRPr="004E3D17" w:rsidRDefault="008D394F" w:rsidP="008D394F">
      <w:pPr>
        <w:rPr>
          <w:sz w:val="16"/>
          <w:szCs w:val="16"/>
        </w:rPr>
      </w:pPr>
    </w:p>
    <w:p w:rsidR="008D394F" w:rsidRDefault="008D394F" w:rsidP="008D394F">
      <w:pPr>
        <w:pStyle w:val="Note"/>
        <w:ind w:left="0"/>
      </w:pPr>
      <w:r w:rsidRPr="00853FC0">
        <w:rPr>
          <w:i/>
          <w:iCs/>
        </w:rPr>
        <w:t>Note</w:t>
      </w:r>
      <w:r w:rsidRPr="00853FC0">
        <w:t>   </w:t>
      </w:r>
      <w:r>
        <w:t>The RCM is a protected symbol for section 188A of the Act</w:t>
      </w:r>
      <w:r w:rsidRPr="00853FC0">
        <w:t>.</w:t>
      </w:r>
    </w:p>
    <w:sectPr w:rsidR="008D394F" w:rsidSect="00822F35">
      <w:headerReference w:type="defaul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0F" w:rsidRDefault="00A9550F">
      <w:r>
        <w:separator/>
      </w:r>
    </w:p>
  </w:endnote>
  <w:endnote w:type="continuationSeparator" w:id="0">
    <w:p w:rsidR="00A9550F" w:rsidRDefault="00A9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 w:rsidRPr="000E1CC4">
      <w:tc>
        <w:tcPr>
          <w:tcW w:w="1134" w:type="dxa"/>
        </w:tcPr>
        <w:p w:rsidR="00A9550F" w:rsidRPr="000E1CC4" w:rsidRDefault="00A94EA9" w:rsidP="009941D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A955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A9550F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9550F" w:rsidRPr="0056689B" w:rsidRDefault="00A94EA9" w:rsidP="009941D0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A9550F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A24EC5">
            <w:rPr>
              <w:rFonts w:ascii="Times New Roman" w:hAnsi="Times New Roman"/>
              <w:i w:val="0"/>
              <w:sz w:val="24"/>
              <w:szCs w:val="24"/>
            </w:rPr>
            <w:t>Radiocommunications (Compliance Labelling — Electromagnetic Radiation) Amendment Notice 2013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A9550F" w:rsidRPr="000E1CC4" w:rsidRDefault="00A9550F" w:rsidP="009941D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9550F" w:rsidRDefault="00A9550F">
    <w:pPr>
      <w:pStyle w:val="FooterDraft"/>
      <w:ind w:right="360" w:firstLine="360"/>
    </w:pPr>
  </w:p>
  <w:p w:rsidR="00A9550F" w:rsidRDefault="00A9550F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 w:rsidRPr="000E1CC4">
      <w:tc>
        <w:tcPr>
          <w:tcW w:w="1134" w:type="dxa"/>
        </w:tcPr>
        <w:p w:rsidR="00A9550F" w:rsidRPr="000E1CC4" w:rsidRDefault="00A9550F" w:rsidP="009941D0">
          <w:pPr>
            <w:spacing w:line="240" w:lineRule="exact"/>
          </w:pPr>
        </w:p>
      </w:tc>
      <w:tc>
        <w:tcPr>
          <w:tcW w:w="6095" w:type="dxa"/>
        </w:tcPr>
        <w:p w:rsidR="00A9550F" w:rsidRPr="0056689B" w:rsidRDefault="00A94EA9" w:rsidP="009941D0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A9550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32BF3">
            <w:t>Radiocommunications (Compliance Labelling — Electromagnetic Radiation) Amendment Notice 2013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A9550F" w:rsidRPr="000E1CC4" w:rsidRDefault="00A94EA9" w:rsidP="009941D0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A955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A9550F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9550F" w:rsidRDefault="00A9550F">
    <w:pPr>
      <w:pStyle w:val="FooterDraft"/>
    </w:pPr>
  </w:p>
  <w:p w:rsidR="00A9550F" w:rsidRDefault="00A9550F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pStyle w:val="FooterDraft"/>
    </w:pPr>
  </w:p>
  <w:p w:rsidR="00A9550F" w:rsidRPr="00974D8C" w:rsidRDefault="00A9550F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 w:rsidRPr="000E1CC4">
      <w:tc>
        <w:tcPr>
          <w:tcW w:w="1134" w:type="dxa"/>
        </w:tcPr>
        <w:p w:rsidR="00A9550F" w:rsidRPr="000E1CC4" w:rsidRDefault="00A94EA9" w:rsidP="009941D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A955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966A1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9550F" w:rsidRPr="0056689B" w:rsidRDefault="00A94EA9" w:rsidP="00AD05A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fldSimple w:instr="REF Citation \* MERGEFORMAT ">
            <w:r w:rsidR="00132BF3">
              <w:t>Radiocommunications (Compliance Labelling — Electromagnetic Radiation) Amendment Notice 2013 (No. 1)</w:t>
            </w:r>
          </w:fldSimple>
        </w:p>
      </w:tc>
      <w:tc>
        <w:tcPr>
          <w:tcW w:w="1134" w:type="dxa"/>
        </w:tcPr>
        <w:p w:rsidR="00A9550F" w:rsidRPr="000E1CC4" w:rsidRDefault="00A9550F" w:rsidP="009941D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9550F" w:rsidRDefault="00A9550F">
    <w:pPr>
      <w:pStyle w:val="FooterDraft"/>
      <w:ind w:right="360" w:firstLine="360"/>
    </w:pPr>
  </w:p>
  <w:p w:rsidR="00A9550F" w:rsidRDefault="00A9550F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 w:rsidRPr="000E1CC4">
      <w:tc>
        <w:tcPr>
          <w:tcW w:w="1134" w:type="dxa"/>
        </w:tcPr>
        <w:p w:rsidR="00A9550F" w:rsidRPr="000E1CC4" w:rsidRDefault="00A9550F" w:rsidP="009941D0">
          <w:pPr>
            <w:spacing w:line="240" w:lineRule="exact"/>
          </w:pPr>
        </w:p>
      </w:tc>
      <w:tc>
        <w:tcPr>
          <w:tcW w:w="6095" w:type="dxa"/>
        </w:tcPr>
        <w:p w:rsidR="00A9550F" w:rsidRPr="0056689B" w:rsidRDefault="00A94EA9" w:rsidP="009941D0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A9550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32BF3">
            <w:t>Radiocommunications (Compliance Labelling — Electromagnetic Radiation) Amendment Notice 2013 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A9550F" w:rsidRPr="000E1CC4" w:rsidRDefault="00A94EA9" w:rsidP="009941D0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A9550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A9550F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9550F" w:rsidRDefault="00A9550F">
    <w:pPr>
      <w:pStyle w:val="FooterDraft"/>
    </w:pPr>
  </w:p>
  <w:p w:rsidR="00A9550F" w:rsidRDefault="00A9550F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>
      <w:tc>
        <w:tcPr>
          <w:tcW w:w="1134" w:type="dxa"/>
        </w:tcPr>
        <w:p w:rsidR="00A9550F" w:rsidRPr="003D7214" w:rsidRDefault="00A94EA9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9550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966A1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9550F" w:rsidRPr="004F5D6D" w:rsidRDefault="00A94EA9" w:rsidP="00BD545A">
          <w:pPr>
            <w:pStyle w:val="Footer"/>
            <w:spacing w:before="20" w:line="240" w:lineRule="exact"/>
          </w:pPr>
          <w:fldSimple w:instr=" REF  Citation ">
            <w:r w:rsidR="00132BF3">
              <w:t>Radiocommunications (Compliance Labelling — Electromagnetic Radiation) Amendment Notice 2013 (No. 1)</w:t>
            </w:r>
          </w:fldSimple>
        </w:p>
      </w:tc>
      <w:tc>
        <w:tcPr>
          <w:tcW w:w="1134" w:type="dxa"/>
        </w:tcPr>
        <w:p w:rsidR="00A9550F" w:rsidRPr="00451BF5" w:rsidRDefault="00A9550F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9550F" w:rsidRDefault="00A9550F" w:rsidP="00BD545A">
    <w:pPr>
      <w:pStyle w:val="FooterDraft"/>
      <w:ind w:right="360" w:firstLine="360"/>
    </w:pPr>
  </w:p>
  <w:p w:rsidR="00A9550F" w:rsidRDefault="00A9550F" w:rsidP="00BD545A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A9550F">
      <w:tc>
        <w:tcPr>
          <w:tcW w:w="1134" w:type="dxa"/>
        </w:tcPr>
        <w:p w:rsidR="00A9550F" w:rsidRDefault="00A9550F" w:rsidP="00BD545A">
          <w:pPr>
            <w:spacing w:line="240" w:lineRule="exact"/>
          </w:pPr>
        </w:p>
      </w:tc>
      <w:tc>
        <w:tcPr>
          <w:tcW w:w="6095" w:type="dxa"/>
        </w:tcPr>
        <w:p w:rsidR="00A9550F" w:rsidRPr="004F5D6D" w:rsidRDefault="00A94EA9" w:rsidP="00BD545A">
          <w:pPr>
            <w:pStyle w:val="FooterCitation"/>
          </w:pPr>
          <w:fldSimple w:instr=" REF  Citation ">
            <w:r w:rsidR="00132BF3">
              <w:t>Radiocommunications (Compliance Labelling — Electromagnetic Radiation) Amendment Notice 2013 (No. 1)</w:t>
            </w:r>
          </w:fldSimple>
        </w:p>
      </w:tc>
      <w:tc>
        <w:tcPr>
          <w:tcW w:w="1134" w:type="dxa"/>
        </w:tcPr>
        <w:p w:rsidR="00A9550F" w:rsidRPr="003D7214" w:rsidRDefault="00A94EA9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9550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966A1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9550F" w:rsidRDefault="00A9550F" w:rsidP="00BD545A">
    <w:pPr>
      <w:pStyle w:val="FooterDraft"/>
    </w:pPr>
  </w:p>
  <w:p w:rsidR="00A9550F" w:rsidRDefault="00A9550F" w:rsidP="00BD545A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0F" w:rsidRDefault="00A9550F">
    <w:pPr>
      <w:pStyle w:val="FooterDraft"/>
    </w:pPr>
  </w:p>
  <w:p w:rsidR="00A9550F" w:rsidRPr="00974D8C" w:rsidRDefault="00A9550F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0F" w:rsidRDefault="00A9550F">
      <w:r>
        <w:separator/>
      </w:r>
    </w:p>
  </w:footnote>
  <w:footnote w:type="continuationSeparator" w:id="0">
    <w:p w:rsidR="00A9550F" w:rsidRDefault="00A9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A9550F" w:rsidRPr="000E1CC4">
      <w:tc>
        <w:tcPr>
          <w:tcW w:w="8385" w:type="dxa"/>
        </w:tcPr>
        <w:p w:rsidR="00A9550F" w:rsidRPr="000E1CC4" w:rsidRDefault="00A9550F" w:rsidP="009941D0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A9550F" w:rsidRPr="000E1CC4">
      <w:tc>
        <w:tcPr>
          <w:tcW w:w="8385" w:type="dxa"/>
        </w:tcPr>
        <w:p w:rsidR="00A9550F" w:rsidRPr="000E1CC4" w:rsidRDefault="00A9550F" w:rsidP="009941D0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A9550F" w:rsidRPr="000E1CC4">
      <w:tc>
        <w:tcPr>
          <w:tcW w:w="8385" w:type="dxa"/>
        </w:tcPr>
        <w:p w:rsidR="00A9550F" w:rsidRPr="0056689B" w:rsidRDefault="00A9550F" w:rsidP="009941D0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A9550F" w:rsidRDefault="00A955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A9550F" w:rsidRPr="000E1CC4">
      <w:tc>
        <w:tcPr>
          <w:tcW w:w="8385" w:type="dxa"/>
        </w:tcPr>
        <w:p w:rsidR="00A9550F" w:rsidRPr="000E1CC4" w:rsidRDefault="00A9550F"/>
      </w:tc>
    </w:tr>
    <w:tr w:rsidR="00A9550F" w:rsidRPr="000E1CC4">
      <w:tc>
        <w:tcPr>
          <w:tcW w:w="8385" w:type="dxa"/>
        </w:tcPr>
        <w:p w:rsidR="00A9550F" w:rsidRPr="000E1CC4" w:rsidRDefault="00A9550F"/>
      </w:tc>
    </w:tr>
    <w:tr w:rsidR="00A9550F" w:rsidRPr="000E1CC4">
      <w:tc>
        <w:tcPr>
          <w:tcW w:w="8385" w:type="dxa"/>
        </w:tcPr>
        <w:p w:rsidR="00A9550F" w:rsidRPr="000E1CC4" w:rsidRDefault="00A9550F"/>
      </w:tc>
    </w:tr>
  </w:tbl>
  <w:p w:rsidR="00A9550F" w:rsidRDefault="00A955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A9550F" w:rsidTr="00AD05A2">
      <w:tc>
        <w:tcPr>
          <w:tcW w:w="1546" w:type="dxa"/>
        </w:tcPr>
        <w:p w:rsidR="00A9550F" w:rsidRDefault="00A9550F" w:rsidP="00AD05A2">
          <w:pPr>
            <w:pStyle w:val="HeaderLiteEven"/>
          </w:pPr>
        </w:p>
      </w:tc>
      <w:tc>
        <w:tcPr>
          <w:tcW w:w="6797" w:type="dxa"/>
          <w:vAlign w:val="bottom"/>
        </w:tcPr>
        <w:p w:rsidR="00A9550F" w:rsidRDefault="00A9550F" w:rsidP="00AD05A2">
          <w:pPr>
            <w:pStyle w:val="HeaderLiteEven"/>
          </w:pPr>
        </w:p>
      </w:tc>
    </w:tr>
    <w:tr w:rsidR="00A9550F" w:rsidTr="00AD05A2">
      <w:tc>
        <w:tcPr>
          <w:tcW w:w="1546" w:type="dxa"/>
        </w:tcPr>
        <w:p w:rsidR="00A9550F" w:rsidRDefault="00A9550F" w:rsidP="00AD05A2">
          <w:pPr>
            <w:pStyle w:val="HeaderLiteEven"/>
          </w:pPr>
        </w:p>
      </w:tc>
      <w:tc>
        <w:tcPr>
          <w:tcW w:w="6797" w:type="dxa"/>
          <w:vAlign w:val="bottom"/>
        </w:tcPr>
        <w:p w:rsidR="00A9550F" w:rsidRDefault="00A9550F" w:rsidP="00AD05A2">
          <w:pPr>
            <w:pStyle w:val="HeaderLiteEven"/>
          </w:pPr>
        </w:p>
      </w:tc>
    </w:tr>
    <w:tr w:rsidR="00A9550F" w:rsidTr="00AD05A2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550F" w:rsidRPr="00AD05A2" w:rsidRDefault="00A9550F" w:rsidP="00AD05A2">
          <w:pPr>
            <w:pStyle w:val="HeaderLiteEven"/>
            <w:spacing w:before="120" w:after="60"/>
            <w:ind w:right="-108"/>
            <w:rPr>
              <w:b/>
            </w:rPr>
          </w:pPr>
          <w:r>
            <w:rPr>
              <w:b/>
            </w:rPr>
            <w:t xml:space="preserve">Section </w:t>
          </w:r>
          <w:r w:rsidR="00A94EA9" w:rsidRPr="00AD05A2">
            <w:rPr>
              <w:b/>
            </w:rPr>
            <w:fldChar w:fldCharType="begin"/>
          </w:r>
          <w:r w:rsidRPr="00AD05A2">
            <w:rPr>
              <w:b/>
            </w:rPr>
            <w:instrText xml:space="preserve"> If </w:instrText>
          </w:r>
          <w:r w:rsidR="00A94EA9" w:rsidRPr="00AD05A2">
            <w:rPr>
              <w:b/>
            </w:rPr>
            <w:fldChar w:fldCharType="begin"/>
          </w:r>
          <w:r w:rsidRPr="00AD05A2">
            <w:rPr>
              <w:b/>
            </w:rPr>
            <w:instrText xml:space="preserve"> STYLEREF CharSectnoAm \*Charformat </w:instrText>
          </w:r>
          <w:r w:rsidR="00A94EA9" w:rsidRPr="00AD05A2">
            <w:rPr>
              <w:b/>
            </w:rPr>
            <w:fldChar w:fldCharType="separate"/>
          </w:r>
          <w:r w:rsidR="002966A1">
            <w:rPr>
              <w:b/>
              <w:noProof/>
            </w:rPr>
            <w:instrText>1</w:instrText>
          </w:r>
          <w:r w:rsidR="00A94EA9" w:rsidRPr="00AD05A2">
            <w:rPr>
              <w:b/>
            </w:rPr>
            <w:fldChar w:fldCharType="end"/>
          </w:r>
          <w:r w:rsidRPr="00AD05A2">
            <w:rPr>
              <w:b/>
            </w:rPr>
            <w:instrText xml:space="preserve"> &lt;&gt; "Error*" </w:instrText>
          </w:r>
          <w:r w:rsidR="00A94EA9" w:rsidRPr="00AD05A2">
            <w:rPr>
              <w:b/>
            </w:rPr>
            <w:fldChar w:fldCharType="begin"/>
          </w:r>
          <w:r w:rsidRPr="00AD05A2">
            <w:rPr>
              <w:b/>
            </w:rPr>
            <w:instrText xml:space="preserve"> STYLEREF CharSectnoAm \*Charformat </w:instrText>
          </w:r>
          <w:r w:rsidR="00A94EA9" w:rsidRPr="00AD05A2">
            <w:rPr>
              <w:b/>
            </w:rPr>
            <w:fldChar w:fldCharType="separate"/>
          </w:r>
          <w:r w:rsidR="002966A1">
            <w:rPr>
              <w:b/>
              <w:noProof/>
            </w:rPr>
            <w:instrText>1</w:instrText>
          </w:r>
          <w:r w:rsidR="00A94EA9" w:rsidRPr="00AD05A2">
            <w:rPr>
              <w:b/>
            </w:rPr>
            <w:fldChar w:fldCharType="end"/>
          </w:r>
          <w:r w:rsidRPr="00AD05A2">
            <w:rPr>
              <w:b/>
            </w:rPr>
            <w:instrText xml:space="preserve"> </w:instrText>
          </w:r>
          <w:r w:rsidR="00A94EA9" w:rsidRPr="00AD05A2">
            <w:rPr>
              <w:b/>
            </w:rPr>
            <w:fldChar w:fldCharType="separate"/>
          </w:r>
          <w:r w:rsidR="002966A1">
            <w:rPr>
              <w:b/>
              <w:noProof/>
            </w:rPr>
            <w:t>1</w:t>
          </w:r>
          <w:r w:rsidR="00A94EA9" w:rsidRPr="00AD05A2">
            <w:rPr>
              <w:b/>
            </w:rPr>
            <w:fldChar w:fldCharType="end"/>
          </w:r>
        </w:p>
      </w:tc>
    </w:tr>
  </w:tbl>
  <w:p w:rsidR="00A9550F" w:rsidRDefault="00A955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A9550F" w:rsidRPr="000E1CC4">
      <w:trPr>
        <w:cantSplit/>
      </w:trPr>
      <w:tc>
        <w:tcPr>
          <w:tcW w:w="6914" w:type="dxa"/>
          <w:vAlign w:val="bottom"/>
        </w:tcPr>
        <w:p w:rsidR="00A9550F" w:rsidRPr="000E1CC4" w:rsidRDefault="00A9550F" w:rsidP="009941D0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A9550F" w:rsidRPr="000E1CC4" w:rsidRDefault="00A9550F" w:rsidP="009941D0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A9550F" w:rsidRPr="000E1CC4">
      <w:trPr>
        <w:cantSplit/>
      </w:trPr>
      <w:tc>
        <w:tcPr>
          <w:tcW w:w="6914" w:type="dxa"/>
          <w:vAlign w:val="bottom"/>
        </w:tcPr>
        <w:p w:rsidR="00A9550F" w:rsidRPr="000E1CC4" w:rsidRDefault="00A9550F" w:rsidP="009941D0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A9550F" w:rsidRPr="000E1CC4" w:rsidRDefault="00A9550F" w:rsidP="009941D0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A9550F" w:rsidRPr="000E1CC4">
      <w:trPr>
        <w:cantSplit/>
      </w:trPr>
      <w:tc>
        <w:tcPr>
          <w:tcW w:w="8399" w:type="dxa"/>
          <w:gridSpan w:val="2"/>
        </w:tcPr>
        <w:p w:rsidR="00A9550F" w:rsidRPr="00AD05A2" w:rsidRDefault="00A9550F" w:rsidP="009941D0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D05A2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D05A2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32BF3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D05A2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D05A2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32BF3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D05A2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32BF3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A94EA9" w:rsidRPr="00AD05A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A9550F" w:rsidRDefault="00A9550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A9550F">
      <w:tc>
        <w:tcPr>
          <w:tcW w:w="1494" w:type="dxa"/>
        </w:tcPr>
        <w:p w:rsidR="00A9550F" w:rsidRDefault="00EE7259" w:rsidP="00BD545A">
          <w:pPr>
            <w:pStyle w:val="HeaderLiteEven"/>
          </w:pPr>
          <w:r>
            <w:t>Schedule 1</w:t>
          </w:r>
        </w:p>
      </w:tc>
      <w:tc>
        <w:tcPr>
          <w:tcW w:w="6891" w:type="dxa"/>
        </w:tcPr>
        <w:p w:rsidR="00A9550F" w:rsidRDefault="00A9550F" w:rsidP="00BD545A">
          <w:pPr>
            <w:pStyle w:val="HeaderLiteEven"/>
          </w:pPr>
        </w:p>
      </w:tc>
    </w:tr>
    <w:tr w:rsidR="00A9550F">
      <w:tc>
        <w:tcPr>
          <w:tcW w:w="1494" w:type="dxa"/>
        </w:tcPr>
        <w:p w:rsidR="00A9550F" w:rsidRDefault="00A9550F" w:rsidP="00BD545A">
          <w:pPr>
            <w:pStyle w:val="HeaderLiteEven"/>
          </w:pPr>
        </w:p>
      </w:tc>
      <w:tc>
        <w:tcPr>
          <w:tcW w:w="6891" w:type="dxa"/>
        </w:tcPr>
        <w:p w:rsidR="00A9550F" w:rsidRDefault="00A9550F" w:rsidP="00BD545A">
          <w:pPr>
            <w:pStyle w:val="HeaderLiteEven"/>
          </w:pPr>
        </w:p>
      </w:tc>
    </w:tr>
    <w:tr w:rsidR="00A9550F">
      <w:tc>
        <w:tcPr>
          <w:tcW w:w="8385" w:type="dxa"/>
          <w:gridSpan w:val="2"/>
          <w:tcBorders>
            <w:bottom w:val="single" w:sz="4" w:space="0" w:color="auto"/>
          </w:tcBorders>
        </w:tcPr>
        <w:p w:rsidR="00A9550F" w:rsidRDefault="00A9550F" w:rsidP="00BD545A">
          <w:pPr>
            <w:pStyle w:val="HeaderBoldEven"/>
          </w:pPr>
        </w:p>
      </w:tc>
    </w:tr>
  </w:tbl>
  <w:p w:rsidR="00A9550F" w:rsidRDefault="00A9550F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A9550F">
      <w:tc>
        <w:tcPr>
          <w:tcW w:w="6914" w:type="dxa"/>
        </w:tcPr>
        <w:p w:rsidR="00A9550F" w:rsidRDefault="00A9550F" w:rsidP="00BD545A">
          <w:pPr>
            <w:pStyle w:val="HeaderLiteOdd"/>
          </w:pPr>
        </w:p>
      </w:tc>
      <w:tc>
        <w:tcPr>
          <w:tcW w:w="1471" w:type="dxa"/>
        </w:tcPr>
        <w:p w:rsidR="00A9550F" w:rsidRDefault="00EE7259" w:rsidP="00BD545A">
          <w:pPr>
            <w:pStyle w:val="HeaderLiteOdd"/>
          </w:pPr>
          <w:r>
            <w:t>Schedule 1</w:t>
          </w:r>
        </w:p>
      </w:tc>
    </w:tr>
    <w:tr w:rsidR="00A9550F">
      <w:tc>
        <w:tcPr>
          <w:tcW w:w="6914" w:type="dxa"/>
        </w:tcPr>
        <w:p w:rsidR="00A9550F" w:rsidRDefault="00A9550F" w:rsidP="00BD545A">
          <w:pPr>
            <w:pStyle w:val="HeaderLiteOdd"/>
          </w:pPr>
        </w:p>
      </w:tc>
      <w:tc>
        <w:tcPr>
          <w:tcW w:w="1471" w:type="dxa"/>
        </w:tcPr>
        <w:p w:rsidR="00A9550F" w:rsidRDefault="00A9550F" w:rsidP="00BD545A">
          <w:pPr>
            <w:pStyle w:val="HeaderLiteOdd"/>
          </w:pPr>
        </w:p>
      </w:tc>
    </w:tr>
    <w:tr w:rsidR="00A9550F">
      <w:tc>
        <w:tcPr>
          <w:tcW w:w="8385" w:type="dxa"/>
          <w:gridSpan w:val="2"/>
          <w:tcBorders>
            <w:bottom w:val="single" w:sz="4" w:space="0" w:color="auto"/>
          </w:tcBorders>
        </w:tcPr>
        <w:p w:rsidR="00A9550F" w:rsidRDefault="00A9550F" w:rsidP="00BD545A">
          <w:pPr>
            <w:pStyle w:val="HeaderBoldOdd"/>
          </w:pPr>
        </w:p>
      </w:tc>
    </w:tr>
  </w:tbl>
  <w:p w:rsidR="00A9550F" w:rsidRDefault="00A9550F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EE7259">
      <w:tc>
        <w:tcPr>
          <w:tcW w:w="6914" w:type="dxa"/>
        </w:tcPr>
        <w:p w:rsidR="00EE7259" w:rsidRDefault="00EE7259" w:rsidP="00BD545A">
          <w:pPr>
            <w:pStyle w:val="HeaderLiteOdd"/>
          </w:pPr>
        </w:p>
      </w:tc>
      <w:tc>
        <w:tcPr>
          <w:tcW w:w="1471" w:type="dxa"/>
        </w:tcPr>
        <w:p w:rsidR="00EE7259" w:rsidRDefault="00EE7259" w:rsidP="00BD545A">
          <w:pPr>
            <w:pStyle w:val="HeaderLiteOdd"/>
          </w:pPr>
          <w:r>
            <w:t>Schedule 1</w:t>
          </w:r>
        </w:p>
      </w:tc>
    </w:tr>
    <w:tr w:rsidR="00EE7259">
      <w:tc>
        <w:tcPr>
          <w:tcW w:w="6914" w:type="dxa"/>
        </w:tcPr>
        <w:p w:rsidR="00EE7259" w:rsidRDefault="00EE7259" w:rsidP="00BD545A">
          <w:pPr>
            <w:pStyle w:val="HeaderLiteOdd"/>
          </w:pPr>
        </w:p>
      </w:tc>
      <w:tc>
        <w:tcPr>
          <w:tcW w:w="1471" w:type="dxa"/>
        </w:tcPr>
        <w:p w:rsidR="00EE7259" w:rsidRDefault="00EE7259" w:rsidP="00BD545A">
          <w:pPr>
            <w:pStyle w:val="HeaderLiteOdd"/>
          </w:pPr>
        </w:p>
      </w:tc>
    </w:tr>
    <w:tr w:rsidR="00EE7259">
      <w:tc>
        <w:tcPr>
          <w:tcW w:w="8385" w:type="dxa"/>
          <w:gridSpan w:val="2"/>
          <w:tcBorders>
            <w:bottom w:val="single" w:sz="4" w:space="0" w:color="auto"/>
          </w:tcBorders>
        </w:tcPr>
        <w:p w:rsidR="00EE7259" w:rsidRDefault="00EE7259" w:rsidP="00BD545A">
          <w:pPr>
            <w:pStyle w:val="HeaderBoldOdd"/>
          </w:pPr>
        </w:p>
      </w:tc>
    </w:tr>
  </w:tbl>
  <w:p w:rsidR="00EE7259" w:rsidRDefault="00EE7259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C1E"/>
    <w:multiLevelType w:val="hybridMultilevel"/>
    <w:tmpl w:val="84D8D7B6"/>
    <w:lvl w:ilvl="0" w:tplc="BA1C4230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F9B6C3E"/>
    <w:multiLevelType w:val="hybridMultilevel"/>
    <w:tmpl w:val="4AAE4672"/>
    <w:lvl w:ilvl="0" w:tplc="601EF69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4563C34"/>
    <w:multiLevelType w:val="hybridMultilevel"/>
    <w:tmpl w:val="58202160"/>
    <w:lvl w:ilvl="0" w:tplc="D54696A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311F3614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E7850E3"/>
    <w:multiLevelType w:val="hybridMultilevel"/>
    <w:tmpl w:val="060EA1C6"/>
    <w:lvl w:ilvl="0" w:tplc="0C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>
    <w:nsid w:val="4B500BF9"/>
    <w:multiLevelType w:val="hybridMultilevel"/>
    <w:tmpl w:val="B3AC5B74"/>
    <w:lvl w:ilvl="0" w:tplc="0388DC4A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548079A6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9941D0"/>
    <w:rsid w:val="00002704"/>
    <w:rsid w:val="000038A0"/>
    <w:rsid w:val="00006758"/>
    <w:rsid w:val="00012886"/>
    <w:rsid w:val="00012F8A"/>
    <w:rsid w:val="0001662A"/>
    <w:rsid w:val="00020108"/>
    <w:rsid w:val="00031869"/>
    <w:rsid w:val="00032F2C"/>
    <w:rsid w:val="00036C82"/>
    <w:rsid w:val="00036E3F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92"/>
    <w:rsid w:val="000646EC"/>
    <w:rsid w:val="00065118"/>
    <w:rsid w:val="00065296"/>
    <w:rsid w:val="0007134E"/>
    <w:rsid w:val="000715D1"/>
    <w:rsid w:val="0008286C"/>
    <w:rsid w:val="00082916"/>
    <w:rsid w:val="00083189"/>
    <w:rsid w:val="0008560A"/>
    <w:rsid w:val="00086D24"/>
    <w:rsid w:val="00091146"/>
    <w:rsid w:val="00095849"/>
    <w:rsid w:val="000A0788"/>
    <w:rsid w:val="000A0CCA"/>
    <w:rsid w:val="000A1742"/>
    <w:rsid w:val="000A620C"/>
    <w:rsid w:val="000A6A4D"/>
    <w:rsid w:val="000A7869"/>
    <w:rsid w:val="000B4121"/>
    <w:rsid w:val="000B51B3"/>
    <w:rsid w:val="000B57F6"/>
    <w:rsid w:val="000B6055"/>
    <w:rsid w:val="000D1916"/>
    <w:rsid w:val="000E16EC"/>
    <w:rsid w:val="000E27E3"/>
    <w:rsid w:val="000E48BD"/>
    <w:rsid w:val="000E5D7E"/>
    <w:rsid w:val="000E7494"/>
    <w:rsid w:val="000F6552"/>
    <w:rsid w:val="00105BB8"/>
    <w:rsid w:val="00111D90"/>
    <w:rsid w:val="00116989"/>
    <w:rsid w:val="00117F17"/>
    <w:rsid w:val="001204E0"/>
    <w:rsid w:val="001222C4"/>
    <w:rsid w:val="00125657"/>
    <w:rsid w:val="00131212"/>
    <w:rsid w:val="001312D8"/>
    <w:rsid w:val="0013136E"/>
    <w:rsid w:val="001328CE"/>
    <w:rsid w:val="00132BF3"/>
    <w:rsid w:val="00134DDC"/>
    <w:rsid w:val="00136CC2"/>
    <w:rsid w:val="00140090"/>
    <w:rsid w:val="001409F1"/>
    <w:rsid w:val="0014186A"/>
    <w:rsid w:val="00141CBA"/>
    <w:rsid w:val="00144DE3"/>
    <w:rsid w:val="0014753D"/>
    <w:rsid w:val="00153195"/>
    <w:rsid w:val="00162609"/>
    <w:rsid w:val="00164935"/>
    <w:rsid w:val="00165D61"/>
    <w:rsid w:val="001753C3"/>
    <w:rsid w:val="0017685B"/>
    <w:rsid w:val="001804AE"/>
    <w:rsid w:val="00185912"/>
    <w:rsid w:val="00185F83"/>
    <w:rsid w:val="00186360"/>
    <w:rsid w:val="00187D63"/>
    <w:rsid w:val="00191EA8"/>
    <w:rsid w:val="00191FA5"/>
    <w:rsid w:val="00192C10"/>
    <w:rsid w:val="00193F32"/>
    <w:rsid w:val="001A4DD7"/>
    <w:rsid w:val="001A6C59"/>
    <w:rsid w:val="001B124F"/>
    <w:rsid w:val="001C22F5"/>
    <w:rsid w:val="001C25FE"/>
    <w:rsid w:val="001C37F0"/>
    <w:rsid w:val="001C7118"/>
    <w:rsid w:val="001C769F"/>
    <w:rsid w:val="001D6D71"/>
    <w:rsid w:val="001E092D"/>
    <w:rsid w:val="001E1749"/>
    <w:rsid w:val="001E3700"/>
    <w:rsid w:val="001E6BC0"/>
    <w:rsid w:val="001F108C"/>
    <w:rsid w:val="001F1677"/>
    <w:rsid w:val="001F32EC"/>
    <w:rsid w:val="001F41C5"/>
    <w:rsid w:val="002015B2"/>
    <w:rsid w:val="00203232"/>
    <w:rsid w:val="002071BE"/>
    <w:rsid w:val="00210652"/>
    <w:rsid w:val="00214C3B"/>
    <w:rsid w:val="00221073"/>
    <w:rsid w:val="00222FD0"/>
    <w:rsid w:val="002252C7"/>
    <w:rsid w:val="0022734F"/>
    <w:rsid w:val="00233C57"/>
    <w:rsid w:val="0023489C"/>
    <w:rsid w:val="002421E9"/>
    <w:rsid w:val="0024222C"/>
    <w:rsid w:val="0024265E"/>
    <w:rsid w:val="00243601"/>
    <w:rsid w:val="00244C01"/>
    <w:rsid w:val="00245A10"/>
    <w:rsid w:val="00246042"/>
    <w:rsid w:val="00250143"/>
    <w:rsid w:val="00252F17"/>
    <w:rsid w:val="00253DDD"/>
    <w:rsid w:val="00256FB2"/>
    <w:rsid w:val="00260912"/>
    <w:rsid w:val="00260BDD"/>
    <w:rsid w:val="00262E05"/>
    <w:rsid w:val="00271F6F"/>
    <w:rsid w:val="00275245"/>
    <w:rsid w:val="00281605"/>
    <w:rsid w:val="00281E63"/>
    <w:rsid w:val="002839DD"/>
    <w:rsid w:val="0028609E"/>
    <w:rsid w:val="00286CEA"/>
    <w:rsid w:val="00293BC3"/>
    <w:rsid w:val="00296111"/>
    <w:rsid w:val="002966A1"/>
    <w:rsid w:val="002A0984"/>
    <w:rsid w:val="002A19B0"/>
    <w:rsid w:val="002A37DA"/>
    <w:rsid w:val="002A3EF7"/>
    <w:rsid w:val="002A72E0"/>
    <w:rsid w:val="002B104A"/>
    <w:rsid w:val="002B1EBA"/>
    <w:rsid w:val="002B265A"/>
    <w:rsid w:val="002B3023"/>
    <w:rsid w:val="002B3196"/>
    <w:rsid w:val="002B32C5"/>
    <w:rsid w:val="002B519A"/>
    <w:rsid w:val="002B7DCF"/>
    <w:rsid w:val="002D4304"/>
    <w:rsid w:val="002D4558"/>
    <w:rsid w:val="002D71AC"/>
    <w:rsid w:val="002D7932"/>
    <w:rsid w:val="002E5749"/>
    <w:rsid w:val="002F3CFF"/>
    <w:rsid w:val="002F78D5"/>
    <w:rsid w:val="00306194"/>
    <w:rsid w:val="003072E7"/>
    <w:rsid w:val="003112BB"/>
    <w:rsid w:val="003231FF"/>
    <w:rsid w:val="0033573E"/>
    <w:rsid w:val="00335958"/>
    <w:rsid w:val="00336724"/>
    <w:rsid w:val="003369E1"/>
    <w:rsid w:val="00336A6D"/>
    <w:rsid w:val="00336CAC"/>
    <w:rsid w:val="00337AF1"/>
    <w:rsid w:val="00343B24"/>
    <w:rsid w:val="00343BBA"/>
    <w:rsid w:val="003469E3"/>
    <w:rsid w:val="0035001E"/>
    <w:rsid w:val="00353F3B"/>
    <w:rsid w:val="00357657"/>
    <w:rsid w:val="003651EC"/>
    <w:rsid w:val="00367E3F"/>
    <w:rsid w:val="00370DD7"/>
    <w:rsid w:val="0037255F"/>
    <w:rsid w:val="003775E3"/>
    <w:rsid w:val="00381159"/>
    <w:rsid w:val="0038199B"/>
    <w:rsid w:val="0038646D"/>
    <w:rsid w:val="00387F34"/>
    <w:rsid w:val="00391BAC"/>
    <w:rsid w:val="00392557"/>
    <w:rsid w:val="0039396B"/>
    <w:rsid w:val="003A214C"/>
    <w:rsid w:val="003A27F6"/>
    <w:rsid w:val="003A31EC"/>
    <w:rsid w:val="003A5AF1"/>
    <w:rsid w:val="003A77F7"/>
    <w:rsid w:val="003B0D29"/>
    <w:rsid w:val="003B0F6E"/>
    <w:rsid w:val="003B7E2B"/>
    <w:rsid w:val="003C13BA"/>
    <w:rsid w:val="003C1D25"/>
    <w:rsid w:val="003D1079"/>
    <w:rsid w:val="003D1FD3"/>
    <w:rsid w:val="003D58E4"/>
    <w:rsid w:val="003D5FC8"/>
    <w:rsid w:val="003D659C"/>
    <w:rsid w:val="003D6F03"/>
    <w:rsid w:val="003E6819"/>
    <w:rsid w:val="003E6D06"/>
    <w:rsid w:val="003F6833"/>
    <w:rsid w:val="004005D4"/>
    <w:rsid w:val="00403F78"/>
    <w:rsid w:val="00411262"/>
    <w:rsid w:val="00421964"/>
    <w:rsid w:val="0042231E"/>
    <w:rsid w:val="00422522"/>
    <w:rsid w:val="0042281F"/>
    <w:rsid w:val="004255DD"/>
    <w:rsid w:val="004311E3"/>
    <w:rsid w:val="00431358"/>
    <w:rsid w:val="00433B06"/>
    <w:rsid w:val="004361A5"/>
    <w:rsid w:val="00440B24"/>
    <w:rsid w:val="00442590"/>
    <w:rsid w:val="00442AA3"/>
    <w:rsid w:val="00443890"/>
    <w:rsid w:val="00443F86"/>
    <w:rsid w:val="00443F95"/>
    <w:rsid w:val="0044430D"/>
    <w:rsid w:val="004447F9"/>
    <w:rsid w:val="00444F77"/>
    <w:rsid w:val="004459DE"/>
    <w:rsid w:val="00450DE1"/>
    <w:rsid w:val="004533FC"/>
    <w:rsid w:val="00455B8F"/>
    <w:rsid w:val="00456573"/>
    <w:rsid w:val="004624D8"/>
    <w:rsid w:val="004628CB"/>
    <w:rsid w:val="00464092"/>
    <w:rsid w:val="004640EA"/>
    <w:rsid w:val="00464AD1"/>
    <w:rsid w:val="00466DBA"/>
    <w:rsid w:val="00473EC3"/>
    <w:rsid w:val="004839A4"/>
    <w:rsid w:val="00484FDB"/>
    <w:rsid w:val="004879CB"/>
    <w:rsid w:val="004907EA"/>
    <w:rsid w:val="0049172E"/>
    <w:rsid w:val="004A20E2"/>
    <w:rsid w:val="004A7713"/>
    <w:rsid w:val="004A7AA7"/>
    <w:rsid w:val="004B0EA8"/>
    <w:rsid w:val="004B1AC1"/>
    <w:rsid w:val="004B6C4F"/>
    <w:rsid w:val="004C21B4"/>
    <w:rsid w:val="004C3987"/>
    <w:rsid w:val="004D093E"/>
    <w:rsid w:val="004D2382"/>
    <w:rsid w:val="004D23BB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37AA"/>
    <w:rsid w:val="005056C8"/>
    <w:rsid w:val="005102EE"/>
    <w:rsid w:val="0051137B"/>
    <w:rsid w:val="00511776"/>
    <w:rsid w:val="00511924"/>
    <w:rsid w:val="00511E98"/>
    <w:rsid w:val="00512974"/>
    <w:rsid w:val="0051511D"/>
    <w:rsid w:val="0052220C"/>
    <w:rsid w:val="005234C7"/>
    <w:rsid w:val="005238E0"/>
    <w:rsid w:val="005277E8"/>
    <w:rsid w:val="00530FAD"/>
    <w:rsid w:val="00535AFE"/>
    <w:rsid w:val="0054351E"/>
    <w:rsid w:val="005516CA"/>
    <w:rsid w:val="005672DE"/>
    <w:rsid w:val="005673DF"/>
    <w:rsid w:val="005734C0"/>
    <w:rsid w:val="005749F6"/>
    <w:rsid w:val="00576569"/>
    <w:rsid w:val="00580301"/>
    <w:rsid w:val="005859FB"/>
    <w:rsid w:val="005924C4"/>
    <w:rsid w:val="005943B6"/>
    <w:rsid w:val="0059545B"/>
    <w:rsid w:val="00596A21"/>
    <w:rsid w:val="005A4031"/>
    <w:rsid w:val="005B1880"/>
    <w:rsid w:val="005B2E29"/>
    <w:rsid w:val="005B56E6"/>
    <w:rsid w:val="005B5BAF"/>
    <w:rsid w:val="005B7090"/>
    <w:rsid w:val="005B7B02"/>
    <w:rsid w:val="005C04DA"/>
    <w:rsid w:val="005C4A85"/>
    <w:rsid w:val="005D0D39"/>
    <w:rsid w:val="005D2F97"/>
    <w:rsid w:val="005D692B"/>
    <w:rsid w:val="005E43E5"/>
    <w:rsid w:val="005E563D"/>
    <w:rsid w:val="005E7BDE"/>
    <w:rsid w:val="005F0DDB"/>
    <w:rsid w:val="005F47D8"/>
    <w:rsid w:val="005F52A1"/>
    <w:rsid w:val="00602748"/>
    <w:rsid w:val="006047C5"/>
    <w:rsid w:val="00615A38"/>
    <w:rsid w:val="00621915"/>
    <w:rsid w:val="00624074"/>
    <w:rsid w:val="00624305"/>
    <w:rsid w:val="0062769F"/>
    <w:rsid w:val="00634131"/>
    <w:rsid w:val="00641664"/>
    <w:rsid w:val="00643EEC"/>
    <w:rsid w:val="0065001E"/>
    <w:rsid w:val="006533B7"/>
    <w:rsid w:val="00674B00"/>
    <w:rsid w:val="00692E73"/>
    <w:rsid w:val="0069582E"/>
    <w:rsid w:val="00695D12"/>
    <w:rsid w:val="006C2616"/>
    <w:rsid w:val="006C5742"/>
    <w:rsid w:val="006D018E"/>
    <w:rsid w:val="006D3078"/>
    <w:rsid w:val="006D4034"/>
    <w:rsid w:val="006E2530"/>
    <w:rsid w:val="006E548F"/>
    <w:rsid w:val="006E7E7A"/>
    <w:rsid w:val="006F0B00"/>
    <w:rsid w:val="006F0BD8"/>
    <w:rsid w:val="006F5F5C"/>
    <w:rsid w:val="006F73F0"/>
    <w:rsid w:val="00702998"/>
    <w:rsid w:val="0071055A"/>
    <w:rsid w:val="0071414A"/>
    <w:rsid w:val="0071514F"/>
    <w:rsid w:val="00716F1E"/>
    <w:rsid w:val="00724A45"/>
    <w:rsid w:val="00727685"/>
    <w:rsid w:val="00730AF8"/>
    <w:rsid w:val="00735D7F"/>
    <w:rsid w:val="007375F7"/>
    <w:rsid w:val="00740322"/>
    <w:rsid w:val="00740916"/>
    <w:rsid w:val="00742FC6"/>
    <w:rsid w:val="007431FF"/>
    <w:rsid w:val="00751B29"/>
    <w:rsid w:val="00756F9E"/>
    <w:rsid w:val="00772552"/>
    <w:rsid w:val="00772ADE"/>
    <w:rsid w:val="0078300B"/>
    <w:rsid w:val="007833A9"/>
    <w:rsid w:val="007844E1"/>
    <w:rsid w:val="007851E9"/>
    <w:rsid w:val="007861D2"/>
    <w:rsid w:val="007910D2"/>
    <w:rsid w:val="00794754"/>
    <w:rsid w:val="00795445"/>
    <w:rsid w:val="007A3064"/>
    <w:rsid w:val="007A3B45"/>
    <w:rsid w:val="007B09F9"/>
    <w:rsid w:val="007B2DD5"/>
    <w:rsid w:val="007B7552"/>
    <w:rsid w:val="007C41D4"/>
    <w:rsid w:val="007C7959"/>
    <w:rsid w:val="007D1617"/>
    <w:rsid w:val="007D1687"/>
    <w:rsid w:val="007D1A1E"/>
    <w:rsid w:val="007D5571"/>
    <w:rsid w:val="007E231D"/>
    <w:rsid w:val="007E3530"/>
    <w:rsid w:val="007E3AA5"/>
    <w:rsid w:val="007F3F8B"/>
    <w:rsid w:val="007F488D"/>
    <w:rsid w:val="007F75DF"/>
    <w:rsid w:val="008002E8"/>
    <w:rsid w:val="008006D5"/>
    <w:rsid w:val="00811246"/>
    <w:rsid w:val="00811B2B"/>
    <w:rsid w:val="008149B7"/>
    <w:rsid w:val="00822F35"/>
    <w:rsid w:val="00825250"/>
    <w:rsid w:val="008322B6"/>
    <w:rsid w:val="008349F1"/>
    <w:rsid w:val="00836024"/>
    <w:rsid w:val="00836392"/>
    <w:rsid w:val="008416EA"/>
    <w:rsid w:val="00844132"/>
    <w:rsid w:val="00847850"/>
    <w:rsid w:val="00851F2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226A"/>
    <w:rsid w:val="00886003"/>
    <w:rsid w:val="008866E8"/>
    <w:rsid w:val="0088671C"/>
    <w:rsid w:val="00886C7C"/>
    <w:rsid w:val="00894C2E"/>
    <w:rsid w:val="008A2CE6"/>
    <w:rsid w:val="008A4808"/>
    <w:rsid w:val="008A656F"/>
    <w:rsid w:val="008A6DFE"/>
    <w:rsid w:val="008A71B5"/>
    <w:rsid w:val="008B0EFE"/>
    <w:rsid w:val="008B183C"/>
    <w:rsid w:val="008B1E93"/>
    <w:rsid w:val="008B46C5"/>
    <w:rsid w:val="008B5981"/>
    <w:rsid w:val="008B6C52"/>
    <w:rsid w:val="008C3068"/>
    <w:rsid w:val="008C43C2"/>
    <w:rsid w:val="008C48D9"/>
    <w:rsid w:val="008D394F"/>
    <w:rsid w:val="008D5741"/>
    <w:rsid w:val="008D5B3D"/>
    <w:rsid w:val="008E2235"/>
    <w:rsid w:val="008E292C"/>
    <w:rsid w:val="008E3423"/>
    <w:rsid w:val="008E63C4"/>
    <w:rsid w:val="008F06B2"/>
    <w:rsid w:val="008F16BC"/>
    <w:rsid w:val="008F1DAB"/>
    <w:rsid w:val="008F3C01"/>
    <w:rsid w:val="008F42BB"/>
    <w:rsid w:val="009007F1"/>
    <w:rsid w:val="0090588E"/>
    <w:rsid w:val="0090658B"/>
    <w:rsid w:val="009078CC"/>
    <w:rsid w:val="00911F7B"/>
    <w:rsid w:val="00913281"/>
    <w:rsid w:val="00913EA5"/>
    <w:rsid w:val="009146C1"/>
    <w:rsid w:val="00915D96"/>
    <w:rsid w:val="00925F60"/>
    <w:rsid w:val="00927849"/>
    <w:rsid w:val="00930919"/>
    <w:rsid w:val="00943CEA"/>
    <w:rsid w:val="00945A5E"/>
    <w:rsid w:val="009524DF"/>
    <w:rsid w:val="009612A7"/>
    <w:rsid w:val="00963ADB"/>
    <w:rsid w:val="00967444"/>
    <w:rsid w:val="00976374"/>
    <w:rsid w:val="00982398"/>
    <w:rsid w:val="00983A1F"/>
    <w:rsid w:val="00983BDC"/>
    <w:rsid w:val="00987485"/>
    <w:rsid w:val="0099167B"/>
    <w:rsid w:val="00993442"/>
    <w:rsid w:val="009941D0"/>
    <w:rsid w:val="009A0CC8"/>
    <w:rsid w:val="009A207B"/>
    <w:rsid w:val="009A5A0D"/>
    <w:rsid w:val="009A679E"/>
    <w:rsid w:val="009A6D1B"/>
    <w:rsid w:val="009B1191"/>
    <w:rsid w:val="009B303B"/>
    <w:rsid w:val="009B3BDA"/>
    <w:rsid w:val="009B76D8"/>
    <w:rsid w:val="009B785F"/>
    <w:rsid w:val="009C0398"/>
    <w:rsid w:val="009C14F5"/>
    <w:rsid w:val="009D6B2A"/>
    <w:rsid w:val="009D7BDF"/>
    <w:rsid w:val="009E1C06"/>
    <w:rsid w:val="009E28DB"/>
    <w:rsid w:val="009E2D2F"/>
    <w:rsid w:val="009E7598"/>
    <w:rsid w:val="009F3F7B"/>
    <w:rsid w:val="00A00C88"/>
    <w:rsid w:val="00A046F7"/>
    <w:rsid w:val="00A10B39"/>
    <w:rsid w:val="00A13F63"/>
    <w:rsid w:val="00A15843"/>
    <w:rsid w:val="00A15B2B"/>
    <w:rsid w:val="00A16801"/>
    <w:rsid w:val="00A21D2D"/>
    <w:rsid w:val="00A223AA"/>
    <w:rsid w:val="00A24EC5"/>
    <w:rsid w:val="00A24F06"/>
    <w:rsid w:val="00A266F5"/>
    <w:rsid w:val="00A30ABA"/>
    <w:rsid w:val="00A314B9"/>
    <w:rsid w:val="00A33D5D"/>
    <w:rsid w:val="00A365A1"/>
    <w:rsid w:val="00A41885"/>
    <w:rsid w:val="00A41B45"/>
    <w:rsid w:val="00A425CB"/>
    <w:rsid w:val="00A52515"/>
    <w:rsid w:val="00A53776"/>
    <w:rsid w:val="00A54B37"/>
    <w:rsid w:val="00A609DD"/>
    <w:rsid w:val="00A60B57"/>
    <w:rsid w:val="00A61815"/>
    <w:rsid w:val="00A644DE"/>
    <w:rsid w:val="00A65157"/>
    <w:rsid w:val="00A6740F"/>
    <w:rsid w:val="00A7414A"/>
    <w:rsid w:val="00A8274F"/>
    <w:rsid w:val="00A8744D"/>
    <w:rsid w:val="00A90C9D"/>
    <w:rsid w:val="00A921BD"/>
    <w:rsid w:val="00A94EA9"/>
    <w:rsid w:val="00A9550F"/>
    <w:rsid w:val="00A95A88"/>
    <w:rsid w:val="00AA1B63"/>
    <w:rsid w:val="00AA2D61"/>
    <w:rsid w:val="00AA3188"/>
    <w:rsid w:val="00AA420D"/>
    <w:rsid w:val="00AB1D08"/>
    <w:rsid w:val="00AB2C8C"/>
    <w:rsid w:val="00AB444A"/>
    <w:rsid w:val="00AC405E"/>
    <w:rsid w:val="00AD05A2"/>
    <w:rsid w:val="00AE3F3C"/>
    <w:rsid w:val="00AE732F"/>
    <w:rsid w:val="00AF074C"/>
    <w:rsid w:val="00AF4CEA"/>
    <w:rsid w:val="00AF716F"/>
    <w:rsid w:val="00B03AF0"/>
    <w:rsid w:val="00B05373"/>
    <w:rsid w:val="00B06157"/>
    <w:rsid w:val="00B067E6"/>
    <w:rsid w:val="00B11A88"/>
    <w:rsid w:val="00B12260"/>
    <w:rsid w:val="00B1292F"/>
    <w:rsid w:val="00B13F00"/>
    <w:rsid w:val="00B156E1"/>
    <w:rsid w:val="00B17795"/>
    <w:rsid w:val="00B233B3"/>
    <w:rsid w:val="00B25433"/>
    <w:rsid w:val="00B2626C"/>
    <w:rsid w:val="00B32626"/>
    <w:rsid w:val="00B36E14"/>
    <w:rsid w:val="00B3728B"/>
    <w:rsid w:val="00B408B6"/>
    <w:rsid w:val="00B45CF1"/>
    <w:rsid w:val="00B4715F"/>
    <w:rsid w:val="00B51839"/>
    <w:rsid w:val="00B531ED"/>
    <w:rsid w:val="00B53574"/>
    <w:rsid w:val="00B60027"/>
    <w:rsid w:val="00B6114F"/>
    <w:rsid w:val="00B61908"/>
    <w:rsid w:val="00B63A40"/>
    <w:rsid w:val="00B63AE9"/>
    <w:rsid w:val="00B662B0"/>
    <w:rsid w:val="00B670FF"/>
    <w:rsid w:val="00B70B80"/>
    <w:rsid w:val="00B76BE0"/>
    <w:rsid w:val="00B80913"/>
    <w:rsid w:val="00B8139C"/>
    <w:rsid w:val="00B91A8D"/>
    <w:rsid w:val="00B939C0"/>
    <w:rsid w:val="00B943B1"/>
    <w:rsid w:val="00BA00C5"/>
    <w:rsid w:val="00BA34AD"/>
    <w:rsid w:val="00BA4B2A"/>
    <w:rsid w:val="00BB684C"/>
    <w:rsid w:val="00BB69FF"/>
    <w:rsid w:val="00BD0798"/>
    <w:rsid w:val="00BD545A"/>
    <w:rsid w:val="00BE39CF"/>
    <w:rsid w:val="00BE6CCE"/>
    <w:rsid w:val="00BE7274"/>
    <w:rsid w:val="00BF1C2D"/>
    <w:rsid w:val="00BF2735"/>
    <w:rsid w:val="00BF738E"/>
    <w:rsid w:val="00C0402F"/>
    <w:rsid w:val="00C131DE"/>
    <w:rsid w:val="00C14CE5"/>
    <w:rsid w:val="00C213D6"/>
    <w:rsid w:val="00C234BC"/>
    <w:rsid w:val="00C24D41"/>
    <w:rsid w:val="00C30025"/>
    <w:rsid w:val="00C305C3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4D92"/>
    <w:rsid w:val="00C464FB"/>
    <w:rsid w:val="00C479EC"/>
    <w:rsid w:val="00C5024F"/>
    <w:rsid w:val="00C508A2"/>
    <w:rsid w:val="00C51630"/>
    <w:rsid w:val="00C52F4B"/>
    <w:rsid w:val="00C53754"/>
    <w:rsid w:val="00C6035E"/>
    <w:rsid w:val="00C62691"/>
    <w:rsid w:val="00C639B5"/>
    <w:rsid w:val="00C651A6"/>
    <w:rsid w:val="00C70903"/>
    <w:rsid w:val="00C709DF"/>
    <w:rsid w:val="00C725F3"/>
    <w:rsid w:val="00C72C99"/>
    <w:rsid w:val="00C822F8"/>
    <w:rsid w:val="00C8251B"/>
    <w:rsid w:val="00C83482"/>
    <w:rsid w:val="00C83A6F"/>
    <w:rsid w:val="00C85796"/>
    <w:rsid w:val="00C92D6F"/>
    <w:rsid w:val="00C93DEA"/>
    <w:rsid w:val="00C94E08"/>
    <w:rsid w:val="00C97351"/>
    <w:rsid w:val="00C97D8E"/>
    <w:rsid w:val="00CA2A23"/>
    <w:rsid w:val="00CA475F"/>
    <w:rsid w:val="00CA68C4"/>
    <w:rsid w:val="00CA752C"/>
    <w:rsid w:val="00CB009F"/>
    <w:rsid w:val="00CB221F"/>
    <w:rsid w:val="00CB7ED0"/>
    <w:rsid w:val="00CC336C"/>
    <w:rsid w:val="00CC3524"/>
    <w:rsid w:val="00CD2408"/>
    <w:rsid w:val="00CD2C78"/>
    <w:rsid w:val="00CD3C04"/>
    <w:rsid w:val="00CD3C3C"/>
    <w:rsid w:val="00CD5C58"/>
    <w:rsid w:val="00CE662A"/>
    <w:rsid w:val="00CE6A05"/>
    <w:rsid w:val="00CF73A6"/>
    <w:rsid w:val="00D0057B"/>
    <w:rsid w:val="00D05575"/>
    <w:rsid w:val="00D112EF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36190"/>
    <w:rsid w:val="00D41229"/>
    <w:rsid w:val="00D4367A"/>
    <w:rsid w:val="00D46F8B"/>
    <w:rsid w:val="00D57D13"/>
    <w:rsid w:val="00D6243F"/>
    <w:rsid w:val="00D63721"/>
    <w:rsid w:val="00D6403A"/>
    <w:rsid w:val="00D70518"/>
    <w:rsid w:val="00D74ED7"/>
    <w:rsid w:val="00D774C6"/>
    <w:rsid w:val="00D80163"/>
    <w:rsid w:val="00D84CCB"/>
    <w:rsid w:val="00D84E18"/>
    <w:rsid w:val="00D86AC3"/>
    <w:rsid w:val="00D9405C"/>
    <w:rsid w:val="00D95125"/>
    <w:rsid w:val="00D96B50"/>
    <w:rsid w:val="00D97219"/>
    <w:rsid w:val="00DB2470"/>
    <w:rsid w:val="00DC6B29"/>
    <w:rsid w:val="00DC7FB4"/>
    <w:rsid w:val="00DD71BE"/>
    <w:rsid w:val="00DE5043"/>
    <w:rsid w:val="00DE7476"/>
    <w:rsid w:val="00DE7752"/>
    <w:rsid w:val="00DF3C49"/>
    <w:rsid w:val="00DF44BE"/>
    <w:rsid w:val="00DF64FD"/>
    <w:rsid w:val="00E05AF6"/>
    <w:rsid w:val="00E10958"/>
    <w:rsid w:val="00E117B8"/>
    <w:rsid w:val="00E127AC"/>
    <w:rsid w:val="00E134AD"/>
    <w:rsid w:val="00E14318"/>
    <w:rsid w:val="00E24EF9"/>
    <w:rsid w:val="00E24FB9"/>
    <w:rsid w:val="00E26CD1"/>
    <w:rsid w:val="00E26F82"/>
    <w:rsid w:val="00E271A2"/>
    <w:rsid w:val="00E3202F"/>
    <w:rsid w:val="00E35189"/>
    <w:rsid w:val="00E44149"/>
    <w:rsid w:val="00E44D80"/>
    <w:rsid w:val="00E44ECA"/>
    <w:rsid w:val="00E459C3"/>
    <w:rsid w:val="00E45A8B"/>
    <w:rsid w:val="00E53A61"/>
    <w:rsid w:val="00E57384"/>
    <w:rsid w:val="00E5755C"/>
    <w:rsid w:val="00E63EB0"/>
    <w:rsid w:val="00E64CF6"/>
    <w:rsid w:val="00E6578A"/>
    <w:rsid w:val="00E671E8"/>
    <w:rsid w:val="00E678BB"/>
    <w:rsid w:val="00E71EF0"/>
    <w:rsid w:val="00E726B2"/>
    <w:rsid w:val="00E7293B"/>
    <w:rsid w:val="00E74109"/>
    <w:rsid w:val="00E750F1"/>
    <w:rsid w:val="00E75C28"/>
    <w:rsid w:val="00E814E3"/>
    <w:rsid w:val="00E82D89"/>
    <w:rsid w:val="00E83542"/>
    <w:rsid w:val="00E864D4"/>
    <w:rsid w:val="00E9125D"/>
    <w:rsid w:val="00EA0DE3"/>
    <w:rsid w:val="00EA0E4D"/>
    <w:rsid w:val="00EB1E0E"/>
    <w:rsid w:val="00EB55CD"/>
    <w:rsid w:val="00EB77D8"/>
    <w:rsid w:val="00EB7CEA"/>
    <w:rsid w:val="00EC0E28"/>
    <w:rsid w:val="00EC100A"/>
    <w:rsid w:val="00ED0515"/>
    <w:rsid w:val="00ED1C66"/>
    <w:rsid w:val="00ED1FB9"/>
    <w:rsid w:val="00EE4BF8"/>
    <w:rsid w:val="00EE5B08"/>
    <w:rsid w:val="00EE7259"/>
    <w:rsid w:val="00EE739D"/>
    <w:rsid w:val="00EF15F7"/>
    <w:rsid w:val="00EF1EE8"/>
    <w:rsid w:val="00EF2FE1"/>
    <w:rsid w:val="00EF63BE"/>
    <w:rsid w:val="00EF69B2"/>
    <w:rsid w:val="00F02711"/>
    <w:rsid w:val="00F02993"/>
    <w:rsid w:val="00F03403"/>
    <w:rsid w:val="00F10F95"/>
    <w:rsid w:val="00F11A57"/>
    <w:rsid w:val="00F134FD"/>
    <w:rsid w:val="00F172D2"/>
    <w:rsid w:val="00F242C4"/>
    <w:rsid w:val="00F30CDC"/>
    <w:rsid w:val="00F336D9"/>
    <w:rsid w:val="00F37E63"/>
    <w:rsid w:val="00F41F12"/>
    <w:rsid w:val="00F4256F"/>
    <w:rsid w:val="00F451B7"/>
    <w:rsid w:val="00F466C5"/>
    <w:rsid w:val="00F511C0"/>
    <w:rsid w:val="00F528C8"/>
    <w:rsid w:val="00F5799C"/>
    <w:rsid w:val="00F719EC"/>
    <w:rsid w:val="00F7591B"/>
    <w:rsid w:val="00F76ECD"/>
    <w:rsid w:val="00F86AB6"/>
    <w:rsid w:val="00F86BD5"/>
    <w:rsid w:val="00F92D2D"/>
    <w:rsid w:val="00F9606B"/>
    <w:rsid w:val="00F96711"/>
    <w:rsid w:val="00F97D20"/>
    <w:rsid w:val="00FB1906"/>
    <w:rsid w:val="00FC685E"/>
    <w:rsid w:val="00FD119D"/>
    <w:rsid w:val="00FD6632"/>
    <w:rsid w:val="00FD68B7"/>
    <w:rsid w:val="00FE262A"/>
    <w:rsid w:val="00FE36CF"/>
    <w:rsid w:val="00FE3A0D"/>
    <w:rsid w:val="00FE3E4A"/>
    <w:rsid w:val="00FE486D"/>
    <w:rsid w:val="00FE72C7"/>
    <w:rsid w:val="00FF3AA5"/>
    <w:rsid w:val="00FF4830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AD05A2"/>
  </w:style>
  <w:style w:type="character" w:customStyle="1" w:styleId="CommentTextChar">
    <w:name w:val="Comment Text Char"/>
    <w:basedOn w:val="DefaultParagraphFont"/>
    <w:link w:val="CommentText"/>
    <w:rsid w:val="0088226A"/>
  </w:style>
  <w:style w:type="paragraph" w:styleId="Revision">
    <w:name w:val="Revision"/>
    <w:hidden/>
    <w:uiPriority w:val="99"/>
    <w:semiHidden/>
    <w:rsid w:val="004B0EA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1349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190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8340-CFFE-4775-B0F0-94CE7E01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2</TotalTime>
  <Pages>7</Pages>
  <Words>1283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(Compliance Labelling - Electromagnetic Radiation) Amendment Notice 2009 (No.   )</vt:lpstr>
    </vt:vector>
  </TitlesOfParts>
  <Company>Office of Legislative Drafting and Publishing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(Compliance Labelling - Electromagnetic Radiation) Amendment Notice 2009 (No.   )</dc:title>
  <dc:creator>jchua</dc:creator>
  <cp:lastModifiedBy>Helen Turnbull</cp:lastModifiedBy>
  <cp:revision>3</cp:revision>
  <cp:lastPrinted>2012-12-18T04:03:00Z</cp:lastPrinted>
  <dcterms:created xsi:type="dcterms:W3CDTF">2013-01-17T23:47:00Z</dcterms:created>
  <dcterms:modified xsi:type="dcterms:W3CDTF">2013-01-21T02:19:00Z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