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43" w:rsidRDefault="00182E43" w:rsidP="00344272">
      <w:pPr>
        <w:pStyle w:val="Heading4"/>
      </w:pPr>
    </w:p>
    <w:p w:rsidR="00344272" w:rsidRPr="00E25B26" w:rsidRDefault="00344272" w:rsidP="00344272">
      <w:pPr>
        <w:pStyle w:val="Heading4"/>
        <w:rPr>
          <w:sz w:val="24"/>
          <w:szCs w:val="24"/>
        </w:rPr>
      </w:pPr>
      <w:r w:rsidRPr="00E25B26">
        <w:rPr>
          <w:sz w:val="24"/>
          <w:szCs w:val="24"/>
        </w:rPr>
        <w:t>EXPLANATORY STATEMENT</w:t>
      </w:r>
    </w:p>
    <w:p w:rsidR="00344272" w:rsidRPr="00E25B26" w:rsidRDefault="00523BA8" w:rsidP="00344272">
      <w:pPr>
        <w:pStyle w:val="Heading5"/>
        <w:rPr>
          <w:b/>
          <w:sz w:val="24"/>
          <w:szCs w:val="24"/>
        </w:rPr>
      </w:pPr>
      <w:r>
        <w:rPr>
          <w:b/>
          <w:sz w:val="24"/>
          <w:szCs w:val="24"/>
        </w:rPr>
        <w:t>NATIONAL HEALTH ACT</w:t>
      </w:r>
      <w:r w:rsidR="00344272" w:rsidRPr="00E25B26">
        <w:rPr>
          <w:b/>
          <w:sz w:val="24"/>
          <w:szCs w:val="24"/>
        </w:rPr>
        <w:t xml:space="preserve"> 1953</w:t>
      </w:r>
    </w:p>
    <w:p w:rsidR="00344272" w:rsidRPr="00E25B26" w:rsidRDefault="00523BA8" w:rsidP="00344272">
      <w:pPr>
        <w:pStyle w:val="Heading4"/>
        <w:rPr>
          <w:i/>
          <w:sz w:val="24"/>
          <w:szCs w:val="24"/>
        </w:rPr>
      </w:pPr>
      <w:r>
        <w:rPr>
          <w:i/>
          <w:sz w:val="24"/>
          <w:szCs w:val="24"/>
        </w:rPr>
        <w:t>NATIONAL HEALTH ACT (LISTING OF PHARMACEUTICAL BENEFITS) AMENDMENT INSTRUMENT 2013 (No. 1)</w:t>
      </w:r>
    </w:p>
    <w:p w:rsidR="00344272" w:rsidRPr="002C7F72" w:rsidRDefault="00344272" w:rsidP="00344272">
      <w:pPr>
        <w:pStyle w:val="Heading4"/>
      </w:pPr>
      <w:r w:rsidRPr="002C7F72">
        <w:rPr>
          <w:sz w:val="24"/>
          <w:szCs w:val="24"/>
        </w:rPr>
        <w:t xml:space="preserve">PB </w:t>
      </w:r>
      <w:r w:rsidR="006D7AE8" w:rsidRPr="002C7F72">
        <w:rPr>
          <w:sz w:val="24"/>
          <w:szCs w:val="24"/>
        </w:rPr>
        <w:t>1</w:t>
      </w:r>
      <w:r w:rsidRPr="002C7F72">
        <w:rPr>
          <w:sz w:val="24"/>
          <w:szCs w:val="24"/>
        </w:rPr>
        <w:t xml:space="preserve"> of </w:t>
      </w:r>
      <w:r w:rsidR="002F5895" w:rsidRPr="002C7F72">
        <w:rPr>
          <w:sz w:val="24"/>
          <w:szCs w:val="24"/>
        </w:rPr>
        <w:t>201</w:t>
      </w:r>
      <w:r w:rsidR="00523BA8" w:rsidRPr="002C7F72">
        <w:rPr>
          <w:sz w:val="24"/>
          <w:szCs w:val="24"/>
        </w:rPr>
        <w:t>3</w:t>
      </w:r>
    </w:p>
    <w:p w:rsidR="00344272" w:rsidRPr="00F04894" w:rsidRDefault="00344272" w:rsidP="00344272">
      <w:pPr>
        <w:pStyle w:val="Heading6"/>
        <w:jc w:val="left"/>
      </w:pPr>
    </w:p>
    <w:p w:rsidR="00B93431" w:rsidRPr="00F96C97" w:rsidRDefault="00B93431" w:rsidP="00B93431">
      <w:pPr>
        <w:pStyle w:val="Heading6"/>
        <w:jc w:val="left"/>
        <w:rPr>
          <w:sz w:val="24"/>
          <w:szCs w:val="24"/>
        </w:rPr>
      </w:pPr>
      <w:r w:rsidRPr="00F96C97">
        <w:rPr>
          <w:sz w:val="24"/>
          <w:szCs w:val="24"/>
        </w:rPr>
        <w:t>Purpose</w:t>
      </w:r>
    </w:p>
    <w:p w:rsidR="00B93431" w:rsidRDefault="00B93431" w:rsidP="00B93431">
      <w:pPr>
        <w:pStyle w:val="Heading6"/>
        <w:jc w:val="left"/>
        <w:rPr>
          <w:b w:val="0"/>
          <w:sz w:val="24"/>
          <w:szCs w:val="24"/>
        </w:rPr>
      </w:pPr>
      <w:r w:rsidRPr="00F96C97">
        <w:rPr>
          <w:b w:val="0"/>
          <w:sz w:val="24"/>
          <w:szCs w:val="24"/>
        </w:rPr>
        <w:t xml:space="preserve">The purpose of this legislative instrument, made under sections 84AF, </w:t>
      </w:r>
      <w:r w:rsidR="00BD04EE">
        <w:rPr>
          <w:b w:val="0"/>
          <w:sz w:val="24"/>
          <w:szCs w:val="24"/>
        </w:rPr>
        <w:t xml:space="preserve">84AK, </w:t>
      </w:r>
      <w:r w:rsidRPr="00F96C97">
        <w:rPr>
          <w:b w:val="0"/>
          <w:sz w:val="24"/>
          <w:szCs w:val="24"/>
        </w:rPr>
        <w:t xml:space="preserve">85, 85A, 88, and 101 of the </w:t>
      </w:r>
      <w:r w:rsidRPr="00F96C97">
        <w:rPr>
          <w:b w:val="0"/>
          <w:i/>
          <w:sz w:val="24"/>
          <w:szCs w:val="24"/>
        </w:rPr>
        <w:t>National Health Act 1953</w:t>
      </w:r>
      <w:r w:rsidRPr="00F96C97">
        <w:rPr>
          <w:b w:val="0"/>
          <w:sz w:val="24"/>
          <w:szCs w:val="24"/>
        </w:rPr>
        <w:t xml:space="preserve"> (the Act) is to amend the </w:t>
      </w:r>
      <w:r w:rsidRPr="00F96C97">
        <w:rPr>
          <w:b w:val="0"/>
          <w:i/>
          <w:sz w:val="24"/>
          <w:szCs w:val="24"/>
        </w:rPr>
        <w:t xml:space="preserve">National Health (Listing of Pharmaceutical Benefits) </w:t>
      </w:r>
      <w:r w:rsidRPr="00C5127C">
        <w:rPr>
          <w:b w:val="0"/>
          <w:i/>
          <w:sz w:val="24"/>
          <w:szCs w:val="24"/>
        </w:rPr>
        <w:t xml:space="preserve">Instrument </w:t>
      </w:r>
      <w:r w:rsidR="00BD04EE" w:rsidRPr="00C5127C">
        <w:rPr>
          <w:b w:val="0"/>
          <w:i/>
          <w:sz w:val="24"/>
          <w:szCs w:val="24"/>
        </w:rPr>
        <w:t>201</w:t>
      </w:r>
      <w:r w:rsidR="00BD04EE">
        <w:rPr>
          <w:b w:val="0"/>
          <w:i/>
          <w:sz w:val="24"/>
          <w:szCs w:val="24"/>
        </w:rPr>
        <w:t>2</w:t>
      </w:r>
      <w:r w:rsidR="00BD04EE">
        <w:rPr>
          <w:b w:val="0"/>
          <w:sz w:val="24"/>
          <w:szCs w:val="24"/>
        </w:rPr>
        <w:t xml:space="preserve"> </w:t>
      </w: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Pr="00F96C97">
        <w:rPr>
          <w:b w:val="0"/>
          <w:sz w:val="24"/>
          <w:szCs w:val="24"/>
        </w:rPr>
        <w:t>) to make changes to the pharmaceutical benefits listed on the Pharmaceutical Benefits Scheme (PBS) and related matters</w:t>
      </w:r>
      <w:r w:rsidR="00757781">
        <w:rPr>
          <w:b w:val="0"/>
          <w:sz w:val="24"/>
          <w:szCs w:val="24"/>
        </w:rPr>
        <w:t>.</w:t>
      </w:r>
    </w:p>
    <w:p w:rsidR="00B93431" w:rsidRPr="00F96C97" w:rsidRDefault="00B93431" w:rsidP="00B93431">
      <w:pPr>
        <w:pStyle w:val="Heading6"/>
        <w:jc w:val="left"/>
        <w:rPr>
          <w:b w:val="0"/>
          <w:sz w:val="24"/>
          <w:szCs w:val="24"/>
        </w:rPr>
      </w:pP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00BD04EE" w:rsidRPr="00F96C97">
        <w:rPr>
          <w:b w:val="0"/>
          <w:sz w:val="24"/>
          <w:szCs w:val="24"/>
        </w:rPr>
        <w:t xml:space="preserve"> </w:t>
      </w:r>
      <w:r w:rsidRPr="00F96C97">
        <w:rPr>
          <w:b w:val="0"/>
          <w:sz w:val="24"/>
          <w:szCs w:val="24"/>
        </w:rPr>
        <w:t xml:space="preserve">determines the pharmaceutical benefits that are on the PBS through declarations of drugs and medicinal preparations, and determinations of forms, manners of administration and brands. </w:t>
      </w:r>
      <w:r>
        <w:rPr>
          <w:b w:val="0"/>
          <w:sz w:val="24"/>
          <w:szCs w:val="24"/>
        </w:rPr>
        <w:t xml:space="preserve"> </w:t>
      </w:r>
      <w:r w:rsidRPr="00F96C97">
        <w:rPr>
          <w:b w:val="0"/>
          <w:sz w:val="24"/>
          <w:szCs w:val="24"/>
        </w:rPr>
        <w:t>It also provides for related matters (responsible persons, prescribing circumstances, maximum quantities</w:t>
      </w:r>
      <w:r w:rsidR="00BD04EE">
        <w:rPr>
          <w:b w:val="0"/>
          <w:sz w:val="24"/>
          <w:szCs w:val="24"/>
        </w:rPr>
        <w:t>,</w:t>
      </w:r>
      <w:r w:rsidRPr="00F96C97">
        <w:rPr>
          <w:b w:val="0"/>
          <w:sz w:val="24"/>
          <w:szCs w:val="24"/>
        </w:rPr>
        <w:t xml:space="preserve"> numbers of repeats, </w:t>
      </w:r>
      <w:r w:rsidR="00BD04EE">
        <w:rPr>
          <w:b w:val="0"/>
          <w:sz w:val="24"/>
          <w:szCs w:val="24"/>
        </w:rPr>
        <w:t>determined quantity and pack quantity</w:t>
      </w:r>
      <w:r w:rsidR="00665908">
        <w:rPr>
          <w:b w:val="0"/>
          <w:sz w:val="24"/>
          <w:szCs w:val="24"/>
        </w:rPr>
        <w:t>,</w:t>
      </w:r>
      <w:r w:rsidR="00BD04EE">
        <w:rPr>
          <w:b w:val="0"/>
          <w:sz w:val="24"/>
          <w:szCs w:val="24"/>
        </w:rPr>
        <w:t xml:space="preserve"> </w:t>
      </w:r>
      <w:r w:rsidRPr="00F96C97">
        <w:rPr>
          <w:b w:val="0"/>
          <w:sz w:val="24"/>
          <w:szCs w:val="24"/>
        </w:rPr>
        <w:t>and whether the pharmaceutical benefit is to be available onl</w:t>
      </w:r>
      <w:r w:rsidR="00757781">
        <w:rPr>
          <w:b w:val="0"/>
          <w:sz w:val="24"/>
          <w:szCs w:val="24"/>
        </w:rPr>
        <w:t>y under special arrangements).</w:t>
      </w:r>
    </w:p>
    <w:p w:rsidR="00B93431" w:rsidRPr="00CA41E2" w:rsidRDefault="00B93431" w:rsidP="00B93431">
      <w:pPr>
        <w:pStyle w:val="Heading6"/>
        <w:jc w:val="left"/>
        <w:rPr>
          <w:sz w:val="24"/>
          <w:szCs w:val="24"/>
        </w:rPr>
      </w:pPr>
      <w:r w:rsidRPr="00CA41E2">
        <w:rPr>
          <w:sz w:val="24"/>
          <w:szCs w:val="24"/>
        </w:rPr>
        <w:t>Authority</w:t>
      </w:r>
    </w:p>
    <w:p w:rsidR="00B93431" w:rsidRDefault="00B93431" w:rsidP="00B93431">
      <w:pPr>
        <w:jc w:val="left"/>
        <w:rPr>
          <w:sz w:val="24"/>
          <w:szCs w:val="24"/>
        </w:rPr>
      </w:pPr>
      <w:r>
        <w:rPr>
          <w:sz w:val="24"/>
          <w:szCs w:val="24"/>
        </w:rPr>
        <w:t xml:space="preserve">PB </w:t>
      </w:r>
      <w:r w:rsidR="00BD04EE">
        <w:rPr>
          <w:sz w:val="24"/>
          <w:szCs w:val="24"/>
        </w:rPr>
        <w:t xml:space="preserve">71 </w:t>
      </w:r>
      <w:r>
        <w:rPr>
          <w:sz w:val="24"/>
          <w:szCs w:val="24"/>
        </w:rPr>
        <w:t>of 201</w:t>
      </w:r>
      <w:r w:rsidR="00BC40A7">
        <w:rPr>
          <w:sz w:val="24"/>
          <w:szCs w:val="24"/>
        </w:rPr>
        <w:t>2</w:t>
      </w:r>
      <w:r>
        <w:rPr>
          <w:sz w:val="24"/>
          <w:szCs w:val="24"/>
        </w:rPr>
        <w:t xml:space="preserve"> exercises numerous provisions in Part VII of the Act, as set out below:</w:t>
      </w:r>
    </w:p>
    <w:p w:rsidR="00B93431" w:rsidRPr="001C66A6" w:rsidRDefault="00B93431" w:rsidP="00B93431">
      <w:pPr>
        <w:jc w:val="left"/>
        <w:rPr>
          <w:i/>
          <w:sz w:val="24"/>
          <w:szCs w:val="24"/>
        </w:rPr>
      </w:pPr>
      <w:r w:rsidRPr="001C66A6">
        <w:rPr>
          <w:i/>
          <w:sz w:val="24"/>
          <w:szCs w:val="24"/>
        </w:rPr>
        <w:t>Pharmaceutical benefits</w:t>
      </w:r>
      <w:r>
        <w:rPr>
          <w:i/>
          <w:sz w:val="24"/>
          <w:szCs w:val="24"/>
        </w:rPr>
        <w:t xml:space="preserve"> listed on the PBS</w:t>
      </w:r>
    </w:p>
    <w:p w:rsidR="00B93431" w:rsidRDefault="00B93431" w:rsidP="00B93431">
      <w:pPr>
        <w:jc w:val="left"/>
        <w:rPr>
          <w:sz w:val="24"/>
          <w:szCs w:val="24"/>
        </w:rPr>
      </w:pPr>
      <w:r>
        <w:rPr>
          <w:sz w:val="24"/>
          <w:szCs w:val="24"/>
        </w:rPr>
        <w:t>S</w:t>
      </w:r>
      <w:r w:rsidRPr="00F96C97">
        <w:rPr>
          <w:sz w:val="24"/>
          <w:szCs w:val="24"/>
        </w:rPr>
        <w:t xml:space="preserve">ubsection 85(2) provides that the Minister may declare drugs and medicinal preparations to which Part VII applies. </w:t>
      </w:r>
      <w:r>
        <w:rPr>
          <w:sz w:val="24"/>
          <w:szCs w:val="24"/>
        </w:rPr>
        <w:t xml:space="preserve"> </w:t>
      </w:r>
      <w:r w:rsidRPr="00F96C97">
        <w:rPr>
          <w:sz w:val="24"/>
          <w:szCs w:val="24"/>
        </w:rPr>
        <w:t xml:space="preserve">A drug or medicinal preparation for which there is a declaration in force under subsection 85(2) is a </w:t>
      </w:r>
      <w:r>
        <w:rPr>
          <w:sz w:val="24"/>
          <w:szCs w:val="24"/>
        </w:rPr>
        <w:t>‘</w:t>
      </w:r>
      <w:r w:rsidRPr="00F96C97">
        <w:rPr>
          <w:sz w:val="24"/>
          <w:szCs w:val="24"/>
        </w:rPr>
        <w:t>listed drug</w:t>
      </w:r>
      <w:r>
        <w:rPr>
          <w:sz w:val="24"/>
          <w:szCs w:val="24"/>
        </w:rPr>
        <w:t>’</w:t>
      </w:r>
      <w:r w:rsidRPr="00F96C97">
        <w:rPr>
          <w:sz w:val="24"/>
          <w:szCs w:val="24"/>
        </w:rPr>
        <w:t xml:space="preserve"> (subsection 84(1))</w:t>
      </w:r>
      <w:r>
        <w:rPr>
          <w:sz w:val="24"/>
          <w:szCs w:val="24"/>
        </w:rPr>
        <w:t>.  S</w:t>
      </w:r>
      <w:r w:rsidRPr="00F96C97">
        <w:rPr>
          <w:sz w:val="24"/>
          <w:szCs w:val="24"/>
        </w:rPr>
        <w:t>ubsection</w:t>
      </w:r>
      <w:r>
        <w:rPr>
          <w:sz w:val="24"/>
          <w:szCs w:val="24"/>
        </w:rPr>
        <w:t>s</w:t>
      </w:r>
      <w:r w:rsidRPr="00F96C97">
        <w:rPr>
          <w:sz w:val="24"/>
          <w:szCs w:val="24"/>
        </w:rPr>
        <w:t xml:space="preserve"> 85(3)</w:t>
      </w:r>
      <w:r>
        <w:rPr>
          <w:sz w:val="24"/>
          <w:szCs w:val="24"/>
        </w:rPr>
        <w:t xml:space="preserve"> and 85(5) respectively </w:t>
      </w:r>
      <w:r w:rsidRPr="00F96C97">
        <w:rPr>
          <w:sz w:val="24"/>
          <w:szCs w:val="24"/>
        </w:rPr>
        <w:t>provide that the Minister may determine the form or forms of a listed drug</w:t>
      </w:r>
      <w:r>
        <w:rPr>
          <w:sz w:val="24"/>
          <w:szCs w:val="24"/>
        </w:rPr>
        <w:t xml:space="preserve"> and the manner of administration of</w:t>
      </w:r>
      <w:r w:rsidRPr="00F96C97">
        <w:rPr>
          <w:sz w:val="24"/>
          <w:szCs w:val="24"/>
        </w:rPr>
        <w:t xml:space="preserve"> a form of a listed drug</w:t>
      </w:r>
      <w:r>
        <w:rPr>
          <w:sz w:val="24"/>
          <w:szCs w:val="24"/>
        </w:rPr>
        <w:t>.  A listed drug in a determined form with a determined manner of administration for that form is a pharmaceutical item (section 84AB).  T</w:t>
      </w:r>
      <w:r w:rsidRPr="00F96C97">
        <w:rPr>
          <w:sz w:val="24"/>
          <w:szCs w:val="24"/>
        </w:rPr>
        <w:t xml:space="preserve">he Minister may </w:t>
      </w:r>
      <w:r>
        <w:rPr>
          <w:sz w:val="24"/>
          <w:szCs w:val="24"/>
        </w:rPr>
        <w:t xml:space="preserve">also </w:t>
      </w:r>
      <w:r w:rsidRPr="00F96C97">
        <w:rPr>
          <w:sz w:val="24"/>
          <w:szCs w:val="24"/>
        </w:rPr>
        <w:t>determine a brand of a pharmaceutical item</w:t>
      </w:r>
      <w:r>
        <w:rPr>
          <w:sz w:val="24"/>
          <w:szCs w:val="24"/>
        </w:rPr>
        <w:t xml:space="preserve"> (subsection 85(6)).</w:t>
      </w:r>
      <w:r w:rsidRPr="00F96C97">
        <w:rPr>
          <w:sz w:val="24"/>
          <w:szCs w:val="24"/>
        </w:rPr>
        <w:t xml:space="preserve"> </w:t>
      </w:r>
      <w:r>
        <w:rPr>
          <w:sz w:val="24"/>
          <w:szCs w:val="24"/>
        </w:rPr>
        <w:t xml:space="preserve"> T</w:t>
      </w:r>
      <w:r w:rsidRPr="00F96C97">
        <w:rPr>
          <w:sz w:val="24"/>
          <w:szCs w:val="24"/>
        </w:rPr>
        <w:t xml:space="preserve">he Minister may </w:t>
      </w:r>
      <w:r>
        <w:rPr>
          <w:sz w:val="24"/>
          <w:szCs w:val="24"/>
        </w:rPr>
        <w:t xml:space="preserve">also </w:t>
      </w:r>
      <w:r w:rsidRPr="00F96C97">
        <w:rPr>
          <w:sz w:val="24"/>
          <w:szCs w:val="24"/>
        </w:rPr>
        <w:t>determine the responsible person for a brand of a pharmaceutical item</w:t>
      </w:r>
      <w:r>
        <w:rPr>
          <w:sz w:val="24"/>
          <w:szCs w:val="24"/>
        </w:rPr>
        <w:t xml:space="preserve"> (subsection </w:t>
      </w:r>
      <w:proofErr w:type="gramStart"/>
      <w:r>
        <w:rPr>
          <w:sz w:val="24"/>
          <w:szCs w:val="24"/>
        </w:rPr>
        <w:t>84AF(</w:t>
      </w:r>
      <w:proofErr w:type="gramEnd"/>
      <w:r>
        <w:rPr>
          <w:sz w:val="24"/>
          <w:szCs w:val="24"/>
        </w:rPr>
        <w:t>1)).</w:t>
      </w:r>
      <w:r w:rsidR="00B37223">
        <w:rPr>
          <w:sz w:val="24"/>
          <w:szCs w:val="24"/>
        </w:rPr>
        <w:t xml:space="preserve">  Under the provisions of section 84AK the Minister may determine the determined quantity and pack quantity for a brand of a pharmaceutical item.</w:t>
      </w:r>
    </w:p>
    <w:p w:rsidR="00B93431" w:rsidRPr="001C66A6" w:rsidRDefault="00B93431" w:rsidP="00B93431">
      <w:pPr>
        <w:jc w:val="left"/>
        <w:rPr>
          <w:i/>
          <w:sz w:val="24"/>
          <w:szCs w:val="24"/>
        </w:rPr>
      </w:pPr>
      <w:r w:rsidRPr="001C66A6">
        <w:rPr>
          <w:i/>
          <w:sz w:val="24"/>
          <w:szCs w:val="24"/>
        </w:rPr>
        <w:t>Prescribing pharmaceutical benefits</w:t>
      </w:r>
    </w:p>
    <w:p w:rsidR="00B93431" w:rsidRDefault="00B93431" w:rsidP="00B93431">
      <w:pPr>
        <w:jc w:val="left"/>
        <w:rPr>
          <w:sz w:val="24"/>
          <w:szCs w:val="24"/>
        </w:rPr>
      </w:pPr>
      <w:r>
        <w:rPr>
          <w:sz w:val="24"/>
          <w:szCs w:val="24"/>
        </w:rPr>
        <w:t>Subsection 88(1) provides that a medical practitioner is authorised to prescribe a pharmaceutical benefit.  S</w:t>
      </w:r>
      <w:r w:rsidRPr="00F96C97">
        <w:rPr>
          <w:sz w:val="24"/>
          <w:szCs w:val="24"/>
        </w:rPr>
        <w:t xml:space="preserve">ection 88 provides that the Minister may determine the pharmaceutical benefits that may be prescribed by </w:t>
      </w:r>
      <w:r>
        <w:rPr>
          <w:sz w:val="24"/>
          <w:szCs w:val="24"/>
        </w:rPr>
        <w:t>different classes of prescribers, including</w:t>
      </w:r>
      <w:r w:rsidRPr="00F96C97">
        <w:rPr>
          <w:sz w:val="24"/>
          <w:szCs w:val="24"/>
        </w:rPr>
        <w:t xml:space="preserve"> participating dental practitioners (subsection 88(1A)), authorised optometrists (subsection 88(1C)), authorised midwives (subsection 88(1D)</w:t>
      </w:r>
      <w:r>
        <w:rPr>
          <w:sz w:val="24"/>
          <w:szCs w:val="24"/>
        </w:rPr>
        <w:t>)</w:t>
      </w:r>
      <w:r w:rsidRPr="00F96C97">
        <w:rPr>
          <w:sz w:val="24"/>
          <w:szCs w:val="24"/>
        </w:rPr>
        <w:t xml:space="preserve"> and authorised nurse practitioners (subsection 88(1E)).</w:t>
      </w:r>
    </w:p>
    <w:p w:rsidR="00B93431" w:rsidRPr="00F96C97" w:rsidRDefault="00B93431" w:rsidP="00B93431">
      <w:pPr>
        <w:jc w:val="left"/>
        <w:rPr>
          <w:sz w:val="24"/>
          <w:szCs w:val="24"/>
        </w:rPr>
      </w:pPr>
      <w:r>
        <w:rPr>
          <w:sz w:val="24"/>
          <w:szCs w:val="24"/>
        </w:rPr>
        <w:t>Subsection 85(7)</w:t>
      </w:r>
      <w:r w:rsidRPr="00F96C97">
        <w:rPr>
          <w:sz w:val="24"/>
          <w:szCs w:val="24"/>
        </w:rPr>
        <w:t xml:space="preserve"> provides that the Minister may determine the circumstances in which a prescription may be written for the supply of a pharmaceutical benefit</w:t>
      </w:r>
      <w:r>
        <w:rPr>
          <w:sz w:val="24"/>
          <w:szCs w:val="24"/>
        </w:rPr>
        <w:t>.</w:t>
      </w:r>
    </w:p>
    <w:p w:rsidR="00B93431" w:rsidRPr="00FC4702" w:rsidRDefault="00B93431" w:rsidP="00B93431">
      <w:pPr>
        <w:jc w:val="left"/>
        <w:rPr>
          <w:sz w:val="24"/>
          <w:szCs w:val="24"/>
        </w:rPr>
      </w:pPr>
      <w:r>
        <w:rPr>
          <w:sz w:val="24"/>
          <w:szCs w:val="24"/>
        </w:rPr>
        <w:lastRenderedPageBreak/>
        <w:t>Paragraph</w:t>
      </w:r>
      <w:r w:rsidRPr="00F96C97">
        <w:rPr>
          <w:sz w:val="24"/>
          <w:szCs w:val="24"/>
        </w:rPr>
        <w:t xml:space="preserve"> </w:t>
      </w:r>
      <w:proofErr w:type="gramStart"/>
      <w:r w:rsidRPr="00F96C97">
        <w:rPr>
          <w:sz w:val="24"/>
          <w:szCs w:val="24"/>
        </w:rPr>
        <w:t>85A(</w:t>
      </w:r>
      <w:proofErr w:type="gramEnd"/>
      <w:r w:rsidRPr="00F96C97">
        <w:rPr>
          <w:sz w:val="24"/>
          <w:szCs w:val="24"/>
        </w:rPr>
        <w:t xml:space="preserve">2)(a) </w:t>
      </w:r>
      <w:r>
        <w:rPr>
          <w:sz w:val="24"/>
          <w:szCs w:val="24"/>
        </w:rPr>
        <w:t>allows</w:t>
      </w:r>
      <w:r w:rsidRPr="00F96C97">
        <w:rPr>
          <w:sz w:val="24"/>
          <w:szCs w:val="24"/>
        </w:rPr>
        <w:t xml:space="preserve"> the Minister </w:t>
      </w:r>
      <w:r>
        <w:rPr>
          <w:sz w:val="24"/>
          <w:szCs w:val="24"/>
        </w:rPr>
        <w:t>to</w:t>
      </w:r>
      <w:r w:rsidRPr="00F96C97">
        <w:rPr>
          <w:sz w:val="24"/>
          <w:szCs w:val="24"/>
        </w:rPr>
        <w:t xml:space="preserve"> determine the maximum quantity or number of units of the pharmaceutical item in a pharmaceutical benefit (or of the pharmaceutical benefit where there is no pharmaceutical item) that may, in one prescription, be directed to be supplied on one occasion</w:t>
      </w:r>
      <w:r>
        <w:rPr>
          <w:sz w:val="24"/>
          <w:szCs w:val="24"/>
        </w:rPr>
        <w:t>.  P</w:t>
      </w:r>
      <w:r w:rsidRPr="00F96C97">
        <w:rPr>
          <w:sz w:val="24"/>
          <w:szCs w:val="24"/>
        </w:rPr>
        <w:t xml:space="preserve">aragraph </w:t>
      </w:r>
      <w:proofErr w:type="gramStart"/>
      <w:r w:rsidRPr="00F96C97">
        <w:rPr>
          <w:sz w:val="24"/>
          <w:szCs w:val="24"/>
        </w:rPr>
        <w:t>85A(</w:t>
      </w:r>
      <w:proofErr w:type="gramEnd"/>
      <w:r w:rsidRPr="00F96C97">
        <w:rPr>
          <w:sz w:val="24"/>
          <w:szCs w:val="24"/>
        </w:rPr>
        <w:t xml:space="preserve">2)(b) </w:t>
      </w:r>
      <w:r>
        <w:rPr>
          <w:sz w:val="24"/>
          <w:szCs w:val="24"/>
        </w:rPr>
        <w:t xml:space="preserve">also allows </w:t>
      </w:r>
      <w:r w:rsidRPr="00F96C97">
        <w:rPr>
          <w:sz w:val="24"/>
          <w:szCs w:val="24"/>
        </w:rPr>
        <w:t xml:space="preserve">the Minister </w:t>
      </w:r>
      <w:r>
        <w:rPr>
          <w:sz w:val="24"/>
          <w:szCs w:val="24"/>
        </w:rPr>
        <w:t xml:space="preserve">to </w:t>
      </w:r>
      <w:r w:rsidRPr="00F96C97">
        <w:rPr>
          <w:sz w:val="24"/>
          <w:szCs w:val="24"/>
        </w:rPr>
        <w:t>determine the maximum number of occasions on which the supply of the pharmaceutical benefit may, in one prescription, be directed to be repeated</w:t>
      </w:r>
      <w:r>
        <w:rPr>
          <w:sz w:val="24"/>
          <w:szCs w:val="24"/>
        </w:rPr>
        <w:t>.  The maximum quantities and repeats may be determined for all purposes or for particular purposes.</w:t>
      </w:r>
    </w:p>
    <w:p w:rsidR="00B93431" w:rsidRPr="001C66A6" w:rsidRDefault="00B93431" w:rsidP="00B93431">
      <w:pPr>
        <w:jc w:val="left"/>
        <w:rPr>
          <w:i/>
          <w:sz w:val="24"/>
          <w:szCs w:val="24"/>
        </w:rPr>
      </w:pPr>
      <w:r w:rsidRPr="001C66A6">
        <w:rPr>
          <w:i/>
          <w:sz w:val="24"/>
          <w:szCs w:val="24"/>
        </w:rPr>
        <w:t>Supplying pharmaceutical benefits</w:t>
      </w:r>
    </w:p>
    <w:p w:rsidR="00155A48" w:rsidRDefault="00B93431" w:rsidP="00B93431">
      <w:pPr>
        <w:jc w:val="left"/>
        <w:rPr>
          <w:sz w:val="24"/>
          <w:szCs w:val="24"/>
        </w:rPr>
      </w:pPr>
      <w:r>
        <w:rPr>
          <w:sz w:val="24"/>
          <w:szCs w:val="24"/>
        </w:rPr>
        <w:t>S</w:t>
      </w:r>
      <w:r w:rsidRPr="00F96C97">
        <w:rPr>
          <w:sz w:val="24"/>
          <w:szCs w:val="24"/>
        </w:rPr>
        <w:t>ubsection 85(2A)</w:t>
      </w:r>
      <w:r>
        <w:rPr>
          <w:sz w:val="24"/>
          <w:szCs w:val="24"/>
        </w:rPr>
        <w:t xml:space="preserve"> provide</w:t>
      </w:r>
      <w:r w:rsidR="00155A48">
        <w:rPr>
          <w:sz w:val="24"/>
          <w:szCs w:val="24"/>
        </w:rPr>
        <w:t>s</w:t>
      </w:r>
      <w:r>
        <w:rPr>
          <w:sz w:val="24"/>
          <w:szCs w:val="24"/>
        </w:rPr>
        <w:t xml:space="preserve"> </w:t>
      </w:r>
      <w:r w:rsidRPr="00F96C97">
        <w:rPr>
          <w:sz w:val="24"/>
          <w:szCs w:val="24"/>
        </w:rPr>
        <w:t xml:space="preserve">that the Minister </w:t>
      </w:r>
      <w:r w:rsidR="00155A48">
        <w:rPr>
          <w:sz w:val="24"/>
          <w:szCs w:val="24"/>
        </w:rPr>
        <w:t>must</w:t>
      </w:r>
      <w:r w:rsidR="00155A48" w:rsidRPr="00F96C97">
        <w:rPr>
          <w:sz w:val="24"/>
          <w:szCs w:val="24"/>
        </w:rPr>
        <w:t xml:space="preserve"> </w:t>
      </w:r>
      <w:r w:rsidRPr="00F96C97">
        <w:rPr>
          <w:sz w:val="24"/>
          <w:szCs w:val="24"/>
        </w:rPr>
        <w:t>declare that a particula</w:t>
      </w:r>
      <w:r>
        <w:rPr>
          <w:sz w:val="24"/>
          <w:szCs w:val="24"/>
        </w:rPr>
        <w:t>r listed drug</w:t>
      </w:r>
      <w:r w:rsidR="00155A48">
        <w:rPr>
          <w:sz w:val="24"/>
          <w:szCs w:val="24"/>
        </w:rPr>
        <w:t xml:space="preserve"> can only be provided under a special arrangement under section 100 if the PBAC has recommended under subsection 101(4AAD) that the drug be made available only under special arrangements under section 100.</w:t>
      </w:r>
    </w:p>
    <w:p w:rsidR="00155A48" w:rsidRDefault="00155A48" w:rsidP="00B93431">
      <w:pPr>
        <w:jc w:val="left"/>
        <w:rPr>
          <w:sz w:val="24"/>
          <w:szCs w:val="24"/>
        </w:rPr>
      </w:pPr>
      <w:r>
        <w:rPr>
          <w:sz w:val="24"/>
          <w:szCs w:val="24"/>
        </w:rPr>
        <w:t>Paragraph 85(8</w:t>
      </w:r>
      <w:proofErr w:type="gramStart"/>
      <w:r>
        <w:rPr>
          <w:sz w:val="24"/>
          <w:szCs w:val="24"/>
        </w:rPr>
        <w:t>)(</w:t>
      </w:r>
      <w:proofErr w:type="gramEnd"/>
      <w:r>
        <w:rPr>
          <w:sz w:val="24"/>
          <w:szCs w:val="24"/>
        </w:rPr>
        <w:t xml:space="preserve">a) provides that the Minister may determine that </w:t>
      </w:r>
      <w:r w:rsidR="00B93431">
        <w:rPr>
          <w:sz w:val="24"/>
          <w:szCs w:val="24"/>
        </w:rPr>
        <w:t xml:space="preserve">a particular pharmaceutical benefit </w:t>
      </w:r>
      <w:r w:rsidR="00B93431" w:rsidRPr="00F96C97">
        <w:rPr>
          <w:sz w:val="24"/>
          <w:szCs w:val="24"/>
        </w:rPr>
        <w:t>may only be supplied under special arrangements under section 100</w:t>
      </w:r>
      <w:r w:rsidR="00B93431">
        <w:rPr>
          <w:sz w:val="24"/>
          <w:szCs w:val="24"/>
        </w:rPr>
        <w:t xml:space="preserve">.  </w:t>
      </w:r>
    </w:p>
    <w:p w:rsidR="005A02D1" w:rsidRDefault="00155A48" w:rsidP="00925070">
      <w:pPr>
        <w:jc w:val="left"/>
        <w:rPr>
          <w:i/>
          <w:sz w:val="24"/>
          <w:szCs w:val="24"/>
        </w:rPr>
      </w:pPr>
      <w:r>
        <w:rPr>
          <w:sz w:val="24"/>
          <w:szCs w:val="24"/>
        </w:rPr>
        <w:t>P</w:t>
      </w:r>
      <w:r w:rsidR="00B93431" w:rsidRPr="00F96C97">
        <w:rPr>
          <w:sz w:val="24"/>
          <w:szCs w:val="24"/>
        </w:rPr>
        <w:t>aragraph 85(8)(b) provides that the Minister may determine that a particular pharmaceutical benefit may only be supplied under special arrangements under section 100 for one or more of the circumstances determined for that pharmaceutical benefit under subsection 85(7)</w:t>
      </w:r>
      <w:r w:rsidR="00B93431">
        <w:rPr>
          <w:sz w:val="24"/>
          <w:szCs w:val="24"/>
        </w:rPr>
        <w:t>.</w:t>
      </w:r>
    </w:p>
    <w:p w:rsidR="00B93431" w:rsidRPr="001C66A6" w:rsidRDefault="00B93431" w:rsidP="00B93431">
      <w:pPr>
        <w:jc w:val="left"/>
        <w:rPr>
          <w:i/>
          <w:sz w:val="24"/>
          <w:szCs w:val="24"/>
        </w:rPr>
      </w:pPr>
      <w:r>
        <w:rPr>
          <w:i/>
          <w:sz w:val="24"/>
          <w:szCs w:val="24"/>
        </w:rPr>
        <w:t>Variation and revocation</w:t>
      </w:r>
      <w:r w:rsidRPr="001C66A6">
        <w:rPr>
          <w:i/>
          <w:sz w:val="24"/>
          <w:szCs w:val="24"/>
        </w:rPr>
        <w:t xml:space="preserve"> </w:t>
      </w:r>
      <w:r>
        <w:rPr>
          <w:i/>
          <w:sz w:val="24"/>
          <w:szCs w:val="24"/>
        </w:rPr>
        <w:t>of subsection 85(2) declaration</w:t>
      </w:r>
    </w:p>
    <w:p w:rsidR="00B93431" w:rsidRPr="00F96C97" w:rsidRDefault="00B93431" w:rsidP="00B93431">
      <w:pPr>
        <w:jc w:val="left"/>
        <w:rPr>
          <w:sz w:val="24"/>
          <w:szCs w:val="24"/>
        </w:rPr>
      </w:pPr>
      <w:r>
        <w:rPr>
          <w:sz w:val="24"/>
          <w:szCs w:val="24"/>
        </w:rPr>
        <w:t>S</w:t>
      </w:r>
      <w:r w:rsidRPr="00F96C97">
        <w:rPr>
          <w:sz w:val="24"/>
          <w:szCs w:val="24"/>
        </w:rPr>
        <w:t xml:space="preserve">ubsection 101(4AAA) </w:t>
      </w:r>
      <w:r>
        <w:rPr>
          <w:sz w:val="24"/>
          <w:szCs w:val="24"/>
        </w:rPr>
        <w:t xml:space="preserve">allows </w:t>
      </w:r>
      <w:r w:rsidRPr="00F96C97">
        <w:rPr>
          <w:sz w:val="24"/>
          <w:szCs w:val="24"/>
        </w:rPr>
        <w:t xml:space="preserve">the Minister </w:t>
      </w:r>
      <w:r>
        <w:rPr>
          <w:sz w:val="24"/>
          <w:szCs w:val="24"/>
        </w:rPr>
        <w:t>to</w:t>
      </w:r>
      <w:r w:rsidRPr="00F96C97">
        <w:rPr>
          <w:sz w:val="24"/>
          <w:szCs w:val="24"/>
        </w:rPr>
        <w:t xml:space="preserve">, by legislative instrument, revoke or vary a subsection 85(2) declaration in relation to a drug or medicinal preparation. </w:t>
      </w:r>
      <w:r>
        <w:rPr>
          <w:sz w:val="24"/>
          <w:szCs w:val="24"/>
        </w:rPr>
        <w:t xml:space="preserve"> A</w:t>
      </w:r>
      <w:r w:rsidRPr="00F96C97">
        <w:rPr>
          <w:sz w:val="24"/>
          <w:szCs w:val="24"/>
        </w:rPr>
        <w:t>dvice from the Pharmaceutical Benefits Advisory Committee (PBAC)</w:t>
      </w:r>
      <w:r>
        <w:rPr>
          <w:sz w:val="24"/>
          <w:szCs w:val="24"/>
        </w:rPr>
        <w:t xml:space="preserve"> is required if the effect of the legislative instrument would be that a drug or medicinal preparation would cease to be a listed drug (subsection 101(4AAB))</w:t>
      </w:r>
      <w:r w:rsidRPr="00F96C97">
        <w:rPr>
          <w:sz w:val="24"/>
          <w:szCs w:val="24"/>
        </w:rPr>
        <w:t>.</w:t>
      </w:r>
    </w:p>
    <w:p w:rsidR="00B93431" w:rsidRPr="00F96C97" w:rsidRDefault="00B93431" w:rsidP="00B93431">
      <w:pPr>
        <w:pStyle w:val="Heading6"/>
        <w:jc w:val="left"/>
        <w:rPr>
          <w:sz w:val="24"/>
          <w:szCs w:val="24"/>
        </w:rPr>
      </w:pPr>
      <w:r w:rsidRPr="00F96C97">
        <w:rPr>
          <w:sz w:val="24"/>
          <w:szCs w:val="24"/>
        </w:rPr>
        <w:t xml:space="preserve">Changes to PB </w:t>
      </w:r>
      <w:r w:rsidR="000E13FF">
        <w:rPr>
          <w:sz w:val="24"/>
          <w:szCs w:val="24"/>
        </w:rPr>
        <w:t>71</w:t>
      </w:r>
      <w:r w:rsidR="000E13FF" w:rsidRPr="00F96C97">
        <w:rPr>
          <w:sz w:val="24"/>
          <w:szCs w:val="24"/>
        </w:rPr>
        <w:t xml:space="preserve"> </w:t>
      </w:r>
      <w:r w:rsidRPr="00F96C97">
        <w:rPr>
          <w:sz w:val="24"/>
          <w:szCs w:val="24"/>
        </w:rPr>
        <w:t xml:space="preserve">of </w:t>
      </w:r>
      <w:r w:rsidR="000E13FF" w:rsidRPr="00F96C97">
        <w:rPr>
          <w:sz w:val="24"/>
          <w:szCs w:val="24"/>
        </w:rPr>
        <w:t>201</w:t>
      </w:r>
      <w:r w:rsidR="000E13FF">
        <w:rPr>
          <w:sz w:val="24"/>
          <w:szCs w:val="24"/>
        </w:rPr>
        <w:t>2</w:t>
      </w:r>
      <w:r w:rsidR="000E13FF" w:rsidRPr="00F96C97">
        <w:rPr>
          <w:sz w:val="24"/>
          <w:szCs w:val="24"/>
        </w:rPr>
        <w:t xml:space="preserve"> </w:t>
      </w:r>
      <w:r w:rsidRPr="00F96C97">
        <w:rPr>
          <w:sz w:val="24"/>
          <w:szCs w:val="24"/>
        </w:rPr>
        <w:t>made by this instrument</w:t>
      </w:r>
    </w:p>
    <w:p w:rsidR="00B93431" w:rsidRDefault="00CF5A0A" w:rsidP="00B93431">
      <w:pPr>
        <w:pStyle w:val="Heading6"/>
        <w:jc w:val="left"/>
        <w:rPr>
          <w:b w:val="0"/>
          <w:sz w:val="24"/>
          <w:szCs w:val="24"/>
        </w:rPr>
      </w:pPr>
      <w:r>
        <w:rPr>
          <w:b w:val="0"/>
          <w:sz w:val="24"/>
          <w:szCs w:val="24"/>
        </w:rPr>
        <w:t xml:space="preserve">Schedule </w:t>
      </w:r>
      <w:r w:rsidR="000E13FF">
        <w:rPr>
          <w:b w:val="0"/>
          <w:sz w:val="24"/>
          <w:szCs w:val="24"/>
        </w:rPr>
        <w:t xml:space="preserve">1 </w:t>
      </w:r>
      <w:r>
        <w:rPr>
          <w:b w:val="0"/>
          <w:sz w:val="24"/>
          <w:szCs w:val="24"/>
        </w:rPr>
        <w:t>to this instrument</w:t>
      </w:r>
      <w:r w:rsidR="00B93431" w:rsidRPr="00FB4307">
        <w:rPr>
          <w:b w:val="0"/>
          <w:sz w:val="24"/>
          <w:szCs w:val="24"/>
        </w:rPr>
        <w:t xml:space="preserve"> provides for additions, deletions and changes to </w:t>
      </w:r>
      <w:r w:rsidR="000A2803" w:rsidRPr="00FB4307">
        <w:rPr>
          <w:b w:val="0"/>
          <w:sz w:val="24"/>
          <w:szCs w:val="24"/>
        </w:rPr>
        <w:t xml:space="preserve">drugs, </w:t>
      </w:r>
      <w:r w:rsidR="00B93431" w:rsidRPr="00FB4307">
        <w:rPr>
          <w:b w:val="0"/>
          <w:sz w:val="24"/>
          <w:szCs w:val="24"/>
        </w:rPr>
        <w:t>forms, brands, responsible person</w:t>
      </w:r>
      <w:r w:rsidR="000A2803" w:rsidRPr="00FB4307">
        <w:rPr>
          <w:b w:val="0"/>
          <w:sz w:val="24"/>
          <w:szCs w:val="24"/>
        </w:rPr>
        <w:t xml:space="preserve"> codes</w:t>
      </w:r>
      <w:r w:rsidR="00B93431" w:rsidRPr="00FB4307">
        <w:rPr>
          <w:b w:val="0"/>
          <w:sz w:val="24"/>
          <w:szCs w:val="24"/>
        </w:rPr>
        <w:t xml:space="preserve">, </w:t>
      </w:r>
      <w:proofErr w:type="gramStart"/>
      <w:r w:rsidR="00FB4307" w:rsidRPr="00FB4307">
        <w:rPr>
          <w:b w:val="0"/>
          <w:sz w:val="24"/>
          <w:szCs w:val="24"/>
        </w:rPr>
        <w:t>maximum</w:t>
      </w:r>
      <w:proofErr w:type="gramEnd"/>
      <w:r w:rsidR="00FB4307" w:rsidRPr="00FB4307">
        <w:rPr>
          <w:b w:val="0"/>
          <w:sz w:val="24"/>
          <w:szCs w:val="24"/>
        </w:rPr>
        <w:t xml:space="preserve"> quantities</w:t>
      </w:r>
      <w:r w:rsidR="00FB4307" w:rsidRPr="00AD444D">
        <w:rPr>
          <w:b w:val="0"/>
          <w:sz w:val="24"/>
          <w:szCs w:val="24"/>
        </w:rPr>
        <w:t>,</w:t>
      </w:r>
      <w:r w:rsidR="00FB4307" w:rsidRPr="00FB4307">
        <w:rPr>
          <w:sz w:val="24"/>
          <w:szCs w:val="24"/>
        </w:rPr>
        <w:t xml:space="preserve"> </w:t>
      </w:r>
      <w:r w:rsidR="000A2803" w:rsidRPr="00FB4307">
        <w:rPr>
          <w:b w:val="0"/>
          <w:sz w:val="24"/>
          <w:szCs w:val="24"/>
        </w:rPr>
        <w:t xml:space="preserve">the </w:t>
      </w:r>
      <w:r w:rsidR="00B93431" w:rsidRPr="00FB4307">
        <w:rPr>
          <w:b w:val="0"/>
          <w:sz w:val="24"/>
          <w:szCs w:val="24"/>
        </w:rPr>
        <w:t>circumstances for prescribing various pharmaceutical benefits</w:t>
      </w:r>
      <w:r w:rsidR="000A2803" w:rsidRPr="00FB4307">
        <w:rPr>
          <w:b w:val="0"/>
          <w:sz w:val="24"/>
          <w:szCs w:val="24"/>
        </w:rPr>
        <w:t xml:space="preserve"> (including authority requirements)</w:t>
      </w:r>
      <w:r w:rsidR="00FB4307" w:rsidRPr="00FB4307">
        <w:rPr>
          <w:b w:val="0"/>
          <w:sz w:val="24"/>
          <w:szCs w:val="24"/>
        </w:rPr>
        <w:t xml:space="preserve">, </w:t>
      </w:r>
      <w:r w:rsidR="000E13FF">
        <w:rPr>
          <w:b w:val="0"/>
          <w:sz w:val="24"/>
          <w:szCs w:val="24"/>
        </w:rPr>
        <w:t xml:space="preserve">determined quantities, pack quantities </w:t>
      </w:r>
      <w:r w:rsidR="00FB4307" w:rsidRPr="00FB4307">
        <w:rPr>
          <w:b w:val="0"/>
          <w:sz w:val="24"/>
          <w:szCs w:val="24"/>
        </w:rPr>
        <w:t>and section 100 only status</w:t>
      </w:r>
      <w:r w:rsidR="00B93431" w:rsidRPr="00FB4307">
        <w:rPr>
          <w:b w:val="0"/>
          <w:sz w:val="24"/>
          <w:szCs w:val="24"/>
        </w:rPr>
        <w:t xml:space="preserve">.  These changes are summarised, by subject matter, in </w:t>
      </w:r>
      <w:r w:rsidR="006B7AEC" w:rsidRPr="00FB4307">
        <w:rPr>
          <w:b w:val="0"/>
          <w:sz w:val="24"/>
          <w:szCs w:val="24"/>
        </w:rPr>
        <w:t xml:space="preserve">the </w:t>
      </w:r>
      <w:r w:rsidR="00B93431" w:rsidRPr="00FB4307">
        <w:rPr>
          <w:b w:val="0"/>
          <w:sz w:val="24"/>
          <w:szCs w:val="24"/>
        </w:rPr>
        <w:t>Attachment.</w:t>
      </w:r>
    </w:p>
    <w:p w:rsidR="00A057CE" w:rsidRDefault="00A057CE" w:rsidP="00B93431">
      <w:pPr>
        <w:pStyle w:val="Heading6"/>
        <w:jc w:val="left"/>
        <w:rPr>
          <w:sz w:val="24"/>
          <w:szCs w:val="24"/>
        </w:rPr>
      </w:pPr>
    </w:p>
    <w:p w:rsidR="00B93431" w:rsidRPr="00757781" w:rsidRDefault="00B93431" w:rsidP="00B93431">
      <w:pPr>
        <w:pStyle w:val="Heading6"/>
        <w:jc w:val="left"/>
        <w:rPr>
          <w:sz w:val="24"/>
          <w:szCs w:val="24"/>
        </w:rPr>
      </w:pPr>
      <w:r w:rsidRPr="00757781">
        <w:rPr>
          <w:sz w:val="24"/>
          <w:szCs w:val="24"/>
        </w:rPr>
        <w:t xml:space="preserve">Consultation </w:t>
      </w:r>
    </w:p>
    <w:p w:rsidR="00B93431" w:rsidRPr="00F96C97" w:rsidRDefault="00B93431" w:rsidP="00B93431">
      <w:pPr>
        <w:jc w:val="left"/>
        <w:rPr>
          <w:sz w:val="24"/>
          <w:szCs w:val="24"/>
        </w:rPr>
      </w:pPr>
      <w:r w:rsidRPr="00F96C97">
        <w:rPr>
          <w:sz w:val="24"/>
          <w:szCs w:val="24"/>
        </w:rPr>
        <w:t xml:space="preserve">The involvement of interested parties through the membership of PBAC constitutes a formal and ongoing process of consultation. </w:t>
      </w:r>
      <w:r>
        <w:rPr>
          <w:sz w:val="24"/>
          <w:szCs w:val="24"/>
        </w:rPr>
        <w:t xml:space="preserve"> </w:t>
      </w:r>
      <w:r w:rsidRPr="00F96C97">
        <w:rPr>
          <w:sz w:val="24"/>
          <w:szCs w:val="24"/>
        </w:rPr>
        <w:t xml:space="preserve">PBAC is an independent expert body established by section 100A of the Act which makes recommendations to the Minister about which drugs and medicinal preparations should be available as pharmaceutical benefits.  PBAC members </w:t>
      </w:r>
      <w:proofErr w:type="gramStart"/>
      <w:r w:rsidRPr="00F96C97">
        <w:rPr>
          <w:sz w:val="24"/>
          <w:szCs w:val="24"/>
        </w:rPr>
        <w:t>are</w:t>
      </w:r>
      <w:proofErr w:type="gramEnd"/>
      <w:r w:rsidRPr="00F96C97">
        <w:rPr>
          <w:sz w:val="24"/>
          <w:szCs w:val="24"/>
        </w:rPr>
        <w:t xml:space="preserv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  When recommending the listing of a medicine on the PBS, PBAC takes into account the medical conditions for which the medicine has been approved for use in </w:t>
      </w:r>
      <w:smartTag w:uri="urn:schemas-microsoft-com:office:smarttags" w:element="place">
        <w:smartTag w:uri="urn:schemas-microsoft-com:office:smarttags" w:element="country-region">
          <w:r w:rsidRPr="00F96C97">
            <w:rPr>
              <w:sz w:val="24"/>
              <w:szCs w:val="24"/>
            </w:rPr>
            <w:t>Australia</w:t>
          </w:r>
        </w:smartTag>
      </w:smartTag>
      <w:r w:rsidRPr="00F96C97">
        <w:rPr>
          <w:sz w:val="24"/>
          <w:szCs w:val="24"/>
        </w:rPr>
        <w:t>, its clinical effectiveness, safety and cost-effectiveness compared with other treatments.</w:t>
      </w:r>
    </w:p>
    <w:p w:rsidR="00B93431" w:rsidRPr="00F96C97" w:rsidRDefault="00B93431" w:rsidP="00B93431">
      <w:pPr>
        <w:jc w:val="left"/>
        <w:rPr>
          <w:sz w:val="24"/>
          <w:szCs w:val="24"/>
        </w:rPr>
        <w:sectPr w:rsidR="00B93431" w:rsidRPr="00F96C97" w:rsidSect="008A24D1">
          <w:footerReference w:type="even" r:id="rId9"/>
          <w:footerReference w:type="default" r:id="rId10"/>
          <w:type w:val="continuous"/>
          <w:pgSz w:w="11906" w:h="16838" w:code="9"/>
          <w:pgMar w:top="1440" w:right="1440" w:bottom="1440" w:left="1440" w:header="720" w:footer="720" w:gutter="0"/>
          <w:cols w:space="720"/>
          <w:titlePg/>
        </w:sectPr>
      </w:pPr>
    </w:p>
    <w:p w:rsidR="00054D30" w:rsidRDefault="00B93431" w:rsidP="00B93431">
      <w:pPr>
        <w:autoSpaceDE w:val="0"/>
        <w:autoSpaceDN w:val="0"/>
        <w:adjustRightInd w:val="0"/>
        <w:jc w:val="left"/>
        <w:rPr>
          <w:color w:val="000000"/>
          <w:sz w:val="24"/>
          <w:szCs w:val="24"/>
          <w:lang w:val="en-US" w:eastAsia="en-US"/>
        </w:rPr>
      </w:pPr>
      <w:r w:rsidRPr="00F96C97">
        <w:rPr>
          <w:sz w:val="24"/>
          <w:szCs w:val="24"/>
        </w:rPr>
        <w:lastRenderedPageBreak/>
        <w:t>Pharmaceutical companies are consulted throughout the process of the listing of their medicines on the PBS and in relation to changes to those listings.  This includes the company</w:t>
      </w:r>
      <w:r w:rsidRPr="00F96C97">
        <w:rPr>
          <w:color w:val="000000"/>
          <w:sz w:val="24"/>
          <w:szCs w:val="24"/>
          <w:lang w:val="en-US" w:eastAsia="en-US"/>
        </w:rPr>
        <w:t xml:space="preserve"> submission to the PBAC and involvement throughout the PBAC process, negotiations or consultation on price, and agreement to final listing details.</w:t>
      </w:r>
    </w:p>
    <w:p w:rsidR="007B3676" w:rsidRDefault="007B3676" w:rsidP="007B3676">
      <w:pPr>
        <w:keepLines w:val="0"/>
        <w:autoSpaceDE w:val="0"/>
        <w:autoSpaceDN w:val="0"/>
        <w:adjustRightInd w:val="0"/>
        <w:spacing w:after="0"/>
        <w:jc w:val="left"/>
        <w:rPr>
          <w:color w:val="000000"/>
          <w:sz w:val="24"/>
          <w:szCs w:val="24"/>
          <w:lang w:val="en-US" w:eastAsia="en-US"/>
        </w:rPr>
      </w:pPr>
      <w:r>
        <w:rPr>
          <w:color w:val="000000"/>
          <w:sz w:val="24"/>
          <w:szCs w:val="24"/>
          <w:lang w:val="en-US" w:eastAsia="en-US"/>
        </w:rPr>
        <w:t>Medical and pharmacy professional groups, key stakeholder groups representing oncologists and pharmacists, State and Territory health departments, as well as the Department of Human Services and the Medical Software Industry Association, were also consulted throughout the process of developing all legislative instruments under the Act necessary to implement the section 100 special arrangement for the Efficient Funding of Chemotherapy.</w:t>
      </w:r>
    </w:p>
    <w:p w:rsidR="00A82E10" w:rsidRDefault="00A82E10" w:rsidP="00B93431">
      <w:pPr>
        <w:jc w:val="left"/>
        <w:rPr>
          <w:b/>
          <w:sz w:val="24"/>
          <w:szCs w:val="24"/>
        </w:rPr>
      </w:pPr>
    </w:p>
    <w:p w:rsidR="00B93431" w:rsidRPr="00F96C97" w:rsidRDefault="00B93431" w:rsidP="00A82E10">
      <w:pPr>
        <w:pStyle w:val="Heading6"/>
        <w:jc w:val="left"/>
        <w:rPr>
          <w:b w:val="0"/>
          <w:sz w:val="24"/>
          <w:szCs w:val="24"/>
        </w:rPr>
      </w:pPr>
      <w:r w:rsidRPr="00A82E10">
        <w:rPr>
          <w:sz w:val="24"/>
          <w:szCs w:val="24"/>
        </w:rPr>
        <w:t>General</w:t>
      </w:r>
    </w:p>
    <w:p w:rsidR="00B93431" w:rsidRPr="00F96C97" w:rsidRDefault="00B93431" w:rsidP="00B93431">
      <w:pPr>
        <w:jc w:val="left"/>
        <w:rPr>
          <w:sz w:val="24"/>
          <w:szCs w:val="24"/>
        </w:rPr>
      </w:pPr>
      <w:r w:rsidRPr="00F96C97">
        <w:rPr>
          <w:sz w:val="24"/>
          <w:szCs w:val="24"/>
        </w:rPr>
        <w:t xml:space="preserve">A provision by provision description of this Instrument is contained in </w:t>
      </w:r>
      <w:r w:rsidR="006B7AEC">
        <w:rPr>
          <w:sz w:val="24"/>
          <w:szCs w:val="24"/>
        </w:rPr>
        <w:t xml:space="preserve">the </w:t>
      </w:r>
      <w:r w:rsidRPr="006B7AEC">
        <w:rPr>
          <w:sz w:val="24"/>
          <w:szCs w:val="24"/>
        </w:rPr>
        <w:t>Attachment</w:t>
      </w:r>
      <w:r w:rsidRPr="00F96C97">
        <w:rPr>
          <w:sz w:val="24"/>
          <w:szCs w:val="24"/>
        </w:rPr>
        <w:t xml:space="preserve">. </w:t>
      </w:r>
    </w:p>
    <w:p w:rsidR="00CF5A0A" w:rsidRPr="00CF5A0A" w:rsidRDefault="000C3CD3" w:rsidP="00CF5A0A">
      <w:pPr>
        <w:jc w:val="left"/>
        <w:rPr>
          <w:sz w:val="24"/>
          <w:szCs w:val="24"/>
        </w:rPr>
      </w:pPr>
      <w:r>
        <w:rPr>
          <w:sz w:val="24"/>
          <w:szCs w:val="24"/>
        </w:rPr>
        <w:t>T</w:t>
      </w:r>
      <w:r w:rsidR="00CF5A0A" w:rsidRPr="00CF5A0A">
        <w:rPr>
          <w:sz w:val="24"/>
          <w:szCs w:val="24"/>
        </w:rPr>
        <w:t xml:space="preserve">his Instrument commences on 1 </w:t>
      </w:r>
      <w:r w:rsidR="00523BA8">
        <w:rPr>
          <w:sz w:val="24"/>
          <w:szCs w:val="24"/>
        </w:rPr>
        <w:t>Febr</w:t>
      </w:r>
      <w:r w:rsidR="006D7AE8">
        <w:rPr>
          <w:sz w:val="24"/>
          <w:szCs w:val="24"/>
        </w:rPr>
        <w:t>uary</w:t>
      </w:r>
      <w:r w:rsidR="000E13FF" w:rsidRPr="00CF5A0A">
        <w:rPr>
          <w:sz w:val="24"/>
          <w:szCs w:val="24"/>
        </w:rPr>
        <w:t xml:space="preserve"> </w:t>
      </w:r>
      <w:r w:rsidR="00CF5A0A" w:rsidRPr="00CF5A0A">
        <w:rPr>
          <w:sz w:val="24"/>
          <w:szCs w:val="24"/>
        </w:rPr>
        <w:t>201</w:t>
      </w:r>
      <w:r w:rsidR="006D7AE8">
        <w:rPr>
          <w:sz w:val="24"/>
          <w:szCs w:val="24"/>
        </w:rPr>
        <w:t>3</w:t>
      </w:r>
      <w:r w:rsidR="000E13FF">
        <w:rPr>
          <w:sz w:val="24"/>
          <w:szCs w:val="24"/>
        </w:rPr>
        <w:t>.</w:t>
      </w:r>
    </w:p>
    <w:p w:rsidR="00B93431" w:rsidRDefault="00B93431" w:rsidP="00B93431">
      <w:pPr>
        <w:jc w:val="left"/>
        <w:rPr>
          <w:i/>
          <w:sz w:val="24"/>
          <w:szCs w:val="24"/>
        </w:rPr>
      </w:pPr>
      <w:r w:rsidRPr="00F96C97">
        <w:rPr>
          <w:sz w:val="24"/>
          <w:szCs w:val="24"/>
        </w:rPr>
        <w:t xml:space="preserve">This Instrument is a legislative instrument for the purposes of the </w:t>
      </w:r>
      <w:r w:rsidRPr="00F96C97">
        <w:rPr>
          <w:i/>
          <w:sz w:val="24"/>
          <w:szCs w:val="24"/>
        </w:rPr>
        <w:t>Legislative Instruments Act 2003</w:t>
      </w:r>
      <w:r>
        <w:rPr>
          <w:i/>
          <w:sz w:val="24"/>
          <w:szCs w:val="24"/>
        </w:rPr>
        <w:t>.</w:t>
      </w:r>
    </w:p>
    <w:p w:rsidR="00305D46" w:rsidRDefault="00305D46" w:rsidP="00305D46">
      <w:pPr>
        <w:jc w:val="left"/>
        <w:rPr>
          <w:b/>
          <w:sz w:val="24"/>
          <w:szCs w:val="24"/>
        </w:rPr>
      </w:pPr>
    </w:p>
    <w:p w:rsidR="00305D46" w:rsidRDefault="00305D46" w:rsidP="00B93431">
      <w:pPr>
        <w:jc w:val="left"/>
        <w:rPr>
          <w:i/>
          <w:sz w:val="24"/>
          <w:szCs w:val="24"/>
        </w:rPr>
      </w:pPr>
    </w:p>
    <w:p w:rsidR="00305D46" w:rsidRPr="00F96C97" w:rsidRDefault="00305D46" w:rsidP="00B93431">
      <w:pPr>
        <w:jc w:val="left"/>
        <w:rPr>
          <w:sz w:val="24"/>
          <w:szCs w:val="24"/>
        </w:rPr>
        <w:sectPr w:rsidR="00305D46" w:rsidRPr="00F96C97">
          <w:footerReference w:type="default" r:id="rId11"/>
          <w:type w:val="continuous"/>
          <w:pgSz w:w="11906" w:h="16838" w:code="9"/>
          <w:pgMar w:top="1440" w:right="1440" w:bottom="1440" w:left="1440" w:header="720" w:footer="720" w:gutter="0"/>
          <w:cols w:space="720"/>
        </w:sectPr>
      </w:pPr>
    </w:p>
    <w:p w:rsidR="00B93431" w:rsidRDefault="00B93431" w:rsidP="00B93431">
      <w:pPr>
        <w:pStyle w:val="Heading6"/>
        <w:tabs>
          <w:tab w:val="left" w:pos="2355"/>
        </w:tabs>
      </w:pPr>
    </w:p>
    <w:p w:rsidR="00B93431" w:rsidRPr="00F96C97" w:rsidRDefault="00B93431" w:rsidP="00B93431">
      <w:pPr>
        <w:pStyle w:val="Heading6"/>
        <w:jc w:val="right"/>
        <w:rPr>
          <w:sz w:val="24"/>
          <w:szCs w:val="24"/>
        </w:rPr>
      </w:pPr>
      <w:r w:rsidRPr="00F96C97">
        <w:rPr>
          <w:sz w:val="24"/>
          <w:szCs w:val="24"/>
        </w:rPr>
        <w:t>ATTACHMENT</w:t>
      </w:r>
    </w:p>
    <w:p w:rsidR="00B82B88" w:rsidRDefault="00B82B88" w:rsidP="00B93431">
      <w:pPr>
        <w:pStyle w:val="Heading6"/>
        <w:jc w:val="left"/>
        <w:rPr>
          <w:sz w:val="24"/>
          <w:szCs w:val="24"/>
        </w:rPr>
      </w:pPr>
    </w:p>
    <w:p w:rsidR="00B93431" w:rsidRPr="00372DFA" w:rsidRDefault="00B93431" w:rsidP="00B93431">
      <w:pPr>
        <w:pStyle w:val="Heading6"/>
        <w:jc w:val="left"/>
        <w:rPr>
          <w:bCs/>
          <w:sz w:val="24"/>
          <w:szCs w:val="24"/>
        </w:rPr>
      </w:pPr>
      <w:r w:rsidRPr="00F96C97">
        <w:rPr>
          <w:sz w:val="24"/>
          <w:szCs w:val="24"/>
        </w:rPr>
        <w:t xml:space="preserve">PROVISION BY PROVISION DESCRIPTION OF </w:t>
      </w:r>
      <w:r>
        <w:rPr>
          <w:sz w:val="24"/>
          <w:szCs w:val="24"/>
        </w:rPr>
        <w:t xml:space="preserve">THE </w:t>
      </w:r>
      <w:r w:rsidRPr="00372DFA">
        <w:rPr>
          <w:i/>
          <w:sz w:val="24"/>
          <w:szCs w:val="24"/>
        </w:rPr>
        <w:t>NATIONAL HEALTH (LISTING OF PHARMACEUTICAL BENEFITS) AMENDMENT INSTRUMENT 201</w:t>
      </w:r>
      <w:r w:rsidR="00523BA8">
        <w:rPr>
          <w:i/>
          <w:sz w:val="24"/>
          <w:szCs w:val="24"/>
        </w:rPr>
        <w:t>3</w:t>
      </w:r>
      <w:r w:rsidRPr="00372DFA">
        <w:rPr>
          <w:i/>
          <w:sz w:val="24"/>
          <w:szCs w:val="24"/>
        </w:rPr>
        <w:t xml:space="preserve"> (N</w:t>
      </w:r>
      <w:r w:rsidR="00B440BE">
        <w:rPr>
          <w:i/>
          <w:sz w:val="24"/>
          <w:szCs w:val="24"/>
        </w:rPr>
        <w:t>o</w:t>
      </w:r>
      <w:r w:rsidRPr="00372DFA">
        <w:rPr>
          <w:i/>
          <w:sz w:val="24"/>
          <w:szCs w:val="24"/>
        </w:rPr>
        <w:t>.</w:t>
      </w:r>
      <w:r w:rsidR="001E23C7">
        <w:rPr>
          <w:i/>
          <w:sz w:val="24"/>
          <w:szCs w:val="24"/>
        </w:rPr>
        <w:t xml:space="preserve"> </w:t>
      </w:r>
      <w:r w:rsidR="00523BA8">
        <w:rPr>
          <w:i/>
          <w:sz w:val="24"/>
          <w:szCs w:val="24"/>
        </w:rPr>
        <w:t>1</w:t>
      </w:r>
      <w:r w:rsidRPr="00372DFA">
        <w:rPr>
          <w:i/>
          <w:sz w:val="24"/>
          <w:szCs w:val="24"/>
        </w:rPr>
        <w:t>)</w:t>
      </w:r>
    </w:p>
    <w:p w:rsidR="00B93431" w:rsidRPr="00F96C97" w:rsidRDefault="00B93431" w:rsidP="00B93431">
      <w:pPr>
        <w:jc w:val="left"/>
        <w:rPr>
          <w:b/>
          <w:bCs/>
          <w:sz w:val="24"/>
          <w:szCs w:val="24"/>
        </w:rPr>
      </w:pPr>
    </w:p>
    <w:p w:rsidR="00B93431" w:rsidRPr="00F96C97" w:rsidRDefault="00B93431" w:rsidP="00B93431">
      <w:pPr>
        <w:jc w:val="left"/>
        <w:rPr>
          <w:b/>
          <w:sz w:val="24"/>
          <w:szCs w:val="24"/>
        </w:rPr>
      </w:pPr>
      <w:r w:rsidRPr="00F96C97">
        <w:rPr>
          <w:b/>
          <w:bCs/>
          <w:sz w:val="24"/>
          <w:szCs w:val="24"/>
        </w:rPr>
        <w:t>Section 1</w:t>
      </w:r>
      <w:r w:rsidRPr="00F96C97">
        <w:rPr>
          <w:b/>
          <w:sz w:val="24"/>
          <w:szCs w:val="24"/>
        </w:rPr>
        <w:t xml:space="preserve">   Name of Instrument</w:t>
      </w:r>
    </w:p>
    <w:p w:rsidR="00B93431" w:rsidRPr="00F96C97" w:rsidRDefault="00B93431" w:rsidP="00B93431">
      <w:pPr>
        <w:jc w:val="left"/>
        <w:rPr>
          <w:sz w:val="24"/>
          <w:szCs w:val="24"/>
        </w:rPr>
      </w:pPr>
      <w:r w:rsidRPr="00F96C97">
        <w:rPr>
          <w:sz w:val="24"/>
          <w:szCs w:val="24"/>
        </w:rPr>
        <w:t xml:space="preserve">This section provides that the Instrument is the </w:t>
      </w:r>
      <w:r w:rsidRPr="00F96C97">
        <w:rPr>
          <w:i/>
          <w:sz w:val="24"/>
          <w:szCs w:val="24"/>
        </w:rPr>
        <w:t xml:space="preserve">National Health (Listing of Pharmaceutical Benefits) Amendment Instrument </w:t>
      </w:r>
      <w:r w:rsidRPr="004768EC">
        <w:rPr>
          <w:i/>
          <w:sz w:val="24"/>
          <w:szCs w:val="24"/>
        </w:rPr>
        <w:t>201</w:t>
      </w:r>
      <w:r w:rsidR="00523BA8">
        <w:rPr>
          <w:i/>
          <w:sz w:val="24"/>
          <w:szCs w:val="24"/>
        </w:rPr>
        <w:t>3</w:t>
      </w:r>
      <w:r w:rsidRPr="004768EC">
        <w:rPr>
          <w:i/>
          <w:sz w:val="24"/>
          <w:szCs w:val="24"/>
        </w:rPr>
        <w:t xml:space="preserve"> (No. </w:t>
      </w:r>
      <w:r w:rsidR="00523BA8">
        <w:rPr>
          <w:i/>
          <w:sz w:val="24"/>
          <w:szCs w:val="24"/>
        </w:rPr>
        <w:t>1</w:t>
      </w:r>
      <w:r w:rsidRPr="004768EC">
        <w:rPr>
          <w:i/>
          <w:sz w:val="24"/>
          <w:szCs w:val="24"/>
        </w:rPr>
        <w:t>)</w:t>
      </w:r>
      <w:r w:rsidRPr="00F96C97">
        <w:rPr>
          <w:i/>
          <w:sz w:val="24"/>
          <w:szCs w:val="24"/>
        </w:rPr>
        <w:t xml:space="preserve"> </w:t>
      </w:r>
      <w:r w:rsidRPr="00F96C97">
        <w:rPr>
          <w:sz w:val="24"/>
          <w:szCs w:val="24"/>
        </w:rPr>
        <w:t xml:space="preserve">and may also be cited as PB </w:t>
      </w:r>
      <w:r w:rsidR="00523BA8">
        <w:rPr>
          <w:sz w:val="24"/>
          <w:szCs w:val="24"/>
        </w:rPr>
        <w:t>1</w:t>
      </w:r>
      <w:r w:rsidR="004339A4" w:rsidRPr="00F96C97">
        <w:rPr>
          <w:sz w:val="24"/>
          <w:szCs w:val="24"/>
        </w:rPr>
        <w:t xml:space="preserve"> </w:t>
      </w:r>
      <w:r w:rsidRPr="00F96C97">
        <w:rPr>
          <w:sz w:val="24"/>
          <w:szCs w:val="24"/>
        </w:rPr>
        <w:t>of 201</w:t>
      </w:r>
      <w:r w:rsidR="00523BA8">
        <w:rPr>
          <w:sz w:val="24"/>
          <w:szCs w:val="24"/>
        </w:rPr>
        <w:t>3</w:t>
      </w:r>
      <w:r w:rsidRPr="00F96C97">
        <w:rPr>
          <w:sz w:val="24"/>
          <w:szCs w:val="24"/>
        </w:rPr>
        <w:t>.</w:t>
      </w:r>
    </w:p>
    <w:p w:rsidR="00B93431" w:rsidRPr="00F96C97" w:rsidRDefault="00B93431" w:rsidP="00B93431">
      <w:pPr>
        <w:jc w:val="left"/>
        <w:rPr>
          <w:b/>
          <w:sz w:val="24"/>
          <w:szCs w:val="24"/>
        </w:rPr>
      </w:pPr>
      <w:r w:rsidRPr="00F96C97">
        <w:rPr>
          <w:b/>
          <w:bCs/>
          <w:sz w:val="24"/>
          <w:szCs w:val="24"/>
        </w:rPr>
        <w:t>Section 2</w:t>
      </w:r>
      <w:r w:rsidRPr="00F96C97">
        <w:rPr>
          <w:b/>
          <w:sz w:val="24"/>
          <w:szCs w:val="24"/>
        </w:rPr>
        <w:t xml:space="preserve">   Commencement</w:t>
      </w:r>
    </w:p>
    <w:p w:rsidR="00CF5A0A" w:rsidRPr="00CF5A0A" w:rsidRDefault="00CF5A0A" w:rsidP="00CF5A0A">
      <w:pPr>
        <w:jc w:val="left"/>
        <w:rPr>
          <w:sz w:val="24"/>
          <w:szCs w:val="24"/>
        </w:rPr>
      </w:pPr>
      <w:r w:rsidRPr="00F96C97">
        <w:rPr>
          <w:sz w:val="24"/>
          <w:szCs w:val="24"/>
        </w:rPr>
        <w:t xml:space="preserve">This section provides that </w:t>
      </w:r>
      <w:r w:rsidRPr="00CF5A0A">
        <w:rPr>
          <w:sz w:val="24"/>
          <w:szCs w:val="24"/>
        </w:rPr>
        <w:t xml:space="preserve">this Instrument commences on 1 </w:t>
      </w:r>
      <w:r w:rsidR="00D00DDA">
        <w:rPr>
          <w:sz w:val="24"/>
          <w:szCs w:val="24"/>
        </w:rPr>
        <w:t>Febr</w:t>
      </w:r>
      <w:r w:rsidR="006D7AE8">
        <w:rPr>
          <w:sz w:val="24"/>
          <w:szCs w:val="24"/>
        </w:rPr>
        <w:t>uary</w:t>
      </w:r>
      <w:r w:rsidR="004339A4" w:rsidRPr="00CF5A0A">
        <w:rPr>
          <w:sz w:val="24"/>
          <w:szCs w:val="24"/>
        </w:rPr>
        <w:t xml:space="preserve"> </w:t>
      </w:r>
      <w:r w:rsidRPr="00CF5A0A">
        <w:rPr>
          <w:sz w:val="24"/>
          <w:szCs w:val="24"/>
        </w:rPr>
        <w:t>201</w:t>
      </w:r>
      <w:r w:rsidR="006D7AE8">
        <w:rPr>
          <w:sz w:val="24"/>
          <w:szCs w:val="24"/>
        </w:rPr>
        <w:t>3</w:t>
      </w:r>
      <w:r w:rsidR="004339A4">
        <w:rPr>
          <w:sz w:val="24"/>
          <w:szCs w:val="24"/>
        </w:rPr>
        <w:t>.</w:t>
      </w:r>
    </w:p>
    <w:p w:rsidR="00B93431" w:rsidRPr="00F96C97" w:rsidRDefault="00B93431" w:rsidP="00B93431">
      <w:pPr>
        <w:jc w:val="left"/>
        <w:rPr>
          <w:b/>
          <w:bCs/>
          <w:sz w:val="24"/>
          <w:szCs w:val="24"/>
        </w:rPr>
      </w:pPr>
      <w:r w:rsidRPr="00F96C97">
        <w:rPr>
          <w:b/>
          <w:bCs/>
          <w:sz w:val="24"/>
          <w:szCs w:val="24"/>
        </w:rPr>
        <w:t xml:space="preserve">Section </w:t>
      </w:r>
      <w:r w:rsidR="00EC1A48">
        <w:rPr>
          <w:b/>
          <w:bCs/>
          <w:sz w:val="24"/>
          <w:szCs w:val="24"/>
        </w:rPr>
        <w:t>3</w:t>
      </w:r>
      <w:r w:rsidRPr="00F96C97">
        <w:rPr>
          <w:b/>
          <w:bCs/>
          <w:sz w:val="24"/>
          <w:szCs w:val="24"/>
        </w:rPr>
        <w:t xml:space="preserve">   Amendment of </w:t>
      </w:r>
      <w:r w:rsidR="001F19A6">
        <w:rPr>
          <w:b/>
          <w:bCs/>
          <w:sz w:val="24"/>
          <w:szCs w:val="24"/>
        </w:rPr>
        <w:t xml:space="preserve">the </w:t>
      </w:r>
      <w:r w:rsidR="001F19A6" w:rsidRPr="001F19A6">
        <w:rPr>
          <w:b/>
          <w:bCs/>
          <w:i/>
          <w:sz w:val="24"/>
          <w:szCs w:val="24"/>
        </w:rPr>
        <w:t>National Health (Listing of Pharmaceutical Benefits) Instrument 201</w:t>
      </w:r>
      <w:r w:rsidR="000641A7">
        <w:rPr>
          <w:b/>
          <w:bCs/>
          <w:i/>
          <w:sz w:val="24"/>
          <w:szCs w:val="24"/>
        </w:rPr>
        <w:t>2</w:t>
      </w:r>
      <w:r w:rsidR="001F19A6">
        <w:rPr>
          <w:b/>
          <w:bCs/>
          <w:sz w:val="24"/>
          <w:szCs w:val="24"/>
        </w:rPr>
        <w:t xml:space="preserve"> (PB</w:t>
      </w:r>
      <w:r w:rsidR="00B440BE">
        <w:rPr>
          <w:b/>
          <w:bCs/>
          <w:sz w:val="24"/>
          <w:szCs w:val="24"/>
        </w:rPr>
        <w:t xml:space="preserve"> </w:t>
      </w:r>
      <w:r w:rsidR="004339A4">
        <w:rPr>
          <w:b/>
          <w:bCs/>
          <w:sz w:val="24"/>
          <w:szCs w:val="24"/>
        </w:rPr>
        <w:t>71 of 2012</w:t>
      </w:r>
      <w:r w:rsidR="001F19A6">
        <w:rPr>
          <w:b/>
          <w:bCs/>
          <w:sz w:val="24"/>
          <w:szCs w:val="24"/>
        </w:rPr>
        <w:t>)</w:t>
      </w:r>
    </w:p>
    <w:p w:rsidR="00B93431" w:rsidRPr="00F96C97" w:rsidRDefault="00B93431" w:rsidP="00B93431">
      <w:pPr>
        <w:rPr>
          <w:sz w:val="24"/>
          <w:szCs w:val="24"/>
        </w:rPr>
      </w:pPr>
      <w:r w:rsidRPr="00F96C97">
        <w:rPr>
          <w:bCs/>
          <w:sz w:val="24"/>
          <w:szCs w:val="24"/>
        </w:rPr>
        <w:t xml:space="preserve">This section provides that Schedule </w:t>
      </w:r>
      <w:r w:rsidRPr="00372DFA">
        <w:rPr>
          <w:bCs/>
          <w:sz w:val="24"/>
          <w:szCs w:val="24"/>
        </w:rPr>
        <w:t xml:space="preserve">1 </w:t>
      </w:r>
      <w:r w:rsidRPr="00F96C97">
        <w:rPr>
          <w:bCs/>
          <w:sz w:val="24"/>
          <w:szCs w:val="24"/>
        </w:rPr>
        <w:t>amend</w:t>
      </w:r>
      <w:r w:rsidR="004339A4">
        <w:rPr>
          <w:bCs/>
          <w:sz w:val="24"/>
          <w:szCs w:val="24"/>
        </w:rPr>
        <w:t>s</w:t>
      </w:r>
      <w:r>
        <w:rPr>
          <w:bCs/>
          <w:sz w:val="24"/>
          <w:szCs w:val="24"/>
        </w:rPr>
        <w:t xml:space="preserve"> </w:t>
      </w:r>
      <w:r w:rsidRPr="00210417">
        <w:rPr>
          <w:bCs/>
          <w:sz w:val="24"/>
          <w:szCs w:val="24"/>
        </w:rPr>
        <w:t>the</w:t>
      </w:r>
      <w:r w:rsidRPr="00372DFA">
        <w:rPr>
          <w:bCs/>
          <w:i/>
          <w:sz w:val="24"/>
          <w:szCs w:val="24"/>
        </w:rPr>
        <w:t xml:space="preserve"> National Health (Listing of Pharmaceutical Benefits) Instrument </w:t>
      </w:r>
      <w:r w:rsidR="004339A4" w:rsidRPr="00372DFA">
        <w:rPr>
          <w:bCs/>
          <w:i/>
          <w:sz w:val="24"/>
          <w:szCs w:val="24"/>
        </w:rPr>
        <w:t>201</w:t>
      </w:r>
      <w:r w:rsidR="004339A4">
        <w:rPr>
          <w:bCs/>
          <w:i/>
          <w:sz w:val="24"/>
          <w:szCs w:val="24"/>
        </w:rPr>
        <w:t>2</w:t>
      </w:r>
      <w:r w:rsidR="004339A4">
        <w:rPr>
          <w:bCs/>
          <w:sz w:val="24"/>
          <w:szCs w:val="24"/>
        </w:rPr>
        <w:t xml:space="preserve"> </w:t>
      </w:r>
      <w:r>
        <w:rPr>
          <w:bCs/>
          <w:sz w:val="24"/>
          <w:szCs w:val="24"/>
        </w:rPr>
        <w:t>(</w:t>
      </w:r>
      <w:r w:rsidRPr="00F96C97">
        <w:rPr>
          <w:bCs/>
          <w:sz w:val="24"/>
          <w:szCs w:val="24"/>
        </w:rPr>
        <w:t xml:space="preserve">PB </w:t>
      </w:r>
      <w:r w:rsidR="004339A4">
        <w:rPr>
          <w:bCs/>
          <w:sz w:val="24"/>
          <w:szCs w:val="24"/>
        </w:rPr>
        <w:t>71</w:t>
      </w:r>
      <w:r w:rsidR="004339A4" w:rsidRPr="00F96C97">
        <w:rPr>
          <w:bCs/>
          <w:sz w:val="24"/>
          <w:szCs w:val="24"/>
        </w:rPr>
        <w:t xml:space="preserve"> </w:t>
      </w:r>
      <w:r w:rsidRPr="00F96C97">
        <w:rPr>
          <w:bCs/>
          <w:sz w:val="24"/>
          <w:szCs w:val="24"/>
        </w:rPr>
        <w:t xml:space="preserve">of </w:t>
      </w:r>
      <w:r w:rsidR="004339A4" w:rsidRPr="00F96C97">
        <w:rPr>
          <w:bCs/>
          <w:sz w:val="24"/>
          <w:szCs w:val="24"/>
        </w:rPr>
        <w:t>201</w:t>
      </w:r>
      <w:r w:rsidR="004339A4">
        <w:rPr>
          <w:bCs/>
          <w:sz w:val="24"/>
          <w:szCs w:val="24"/>
        </w:rPr>
        <w:t>2</w:t>
      </w:r>
      <w:r>
        <w:rPr>
          <w:bCs/>
          <w:sz w:val="24"/>
          <w:szCs w:val="24"/>
        </w:rPr>
        <w:t>)</w:t>
      </w:r>
      <w:r w:rsidRPr="00F96C97">
        <w:rPr>
          <w:bCs/>
          <w:sz w:val="24"/>
          <w:szCs w:val="24"/>
        </w:rPr>
        <w:t xml:space="preserve">. </w:t>
      </w:r>
    </w:p>
    <w:p w:rsidR="005B61C6" w:rsidRDefault="005B61C6" w:rsidP="00B93431">
      <w:pPr>
        <w:rPr>
          <w:b/>
          <w:bCs/>
          <w:sz w:val="24"/>
          <w:szCs w:val="24"/>
        </w:rPr>
      </w:pPr>
      <w:r w:rsidRPr="00F96C97">
        <w:rPr>
          <w:b/>
          <w:bCs/>
          <w:sz w:val="24"/>
          <w:szCs w:val="24"/>
        </w:rPr>
        <w:t>S</w:t>
      </w:r>
      <w:r>
        <w:rPr>
          <w:b/>
          <w:bCs/>
          <w:sz w:val="24"/>
          <w:szCs w:val="24"/>
        </w:rPr>
        <w:t>chedule 1</w:t>
      </w:r>
      <w:r w:rsidRPr="00F96C97">
        <w:rPr>
          <w:b/>
          <w:bCs/>
          <w:sz w:val="24"/>
          <w:szCs w:val="24"/>
        </w:rPr>
        <w:t xml:space="preserve">   Amendment</w:t>
      </w:r>
      <w:r w:rsidR="004339A4">
        <w:rPr>
          <w:b/>
          <w:bCs/>
          <w:sz w:val="24"/>
          <w:szCs w:val="24"/>
        </w:rPr>
        <w:t>s</w:t>
      </w:r>
      <w:r w:rsidRPr="00F96C97">
        <w:rPr>
          <w:b/>
          <w:bCs/>
          <w:sz w:val="24"/>
          <w:szCs w:val="24"/>
        </w:rPr>
        <w:t xml:space="preserve"> </w:t>
      </w:r>
    </w:p>
    <w:p w:rsidR="00C62B36" w:rsidRDefault="00C62B36" w:rsidP="00C62B36">
      <w:pPr>
        <w:jc w:val="left"/>
        <w:rPr>
          <w:sz w:val="24"/>
          <w:szCs w:val="24"/>
        </w:rPr>
      </w:pPr>
      <w:r w:rsidRPr="006B68DB">
        <w:rPr>
          <w:sz w:val="24"/>
          <w:szCs w:val="24"/>
        </w:rPr>
        <w:t xml:space="preserve">The amendments in Schedule </w:t>
      </w:r>
      <w:r w:rsidR="004339A4">
        <w:rPr>
          <w:sz w:val="24"/>
          <w:szCs w:val="24"/>
        </w:rPr>
        <w:t>1</w:t>
      </w:r>
      <w:r w:rsidR="004339A4" w:rsidRPr="006B68DB">
        <w:rPr>
          <w:sz w:val="24"/>
          <w:szCs w:val="24"/>
        </w:rPr>
        <w:t xml:space="preserve"> </w:t>
      </w:r>
      <w:r w:rsidRPr="006B68DB">
        <w:rPr>
          <w:sz w:val="24"/>
          <w:szCs w:val="24"/>
        </w:rPr>
        <w:t xml:space="preserve">involve additions, deletions and changes to forms, brands, responsible person codes, maximum quantities, the circumstances for prescribing various pharmaceutical benefits (including authority requirements), </w:t>
      </w:r>
      <w:r w:rsidR="00D92A51">
        <w:rPr>
          <w:sz w:val="24"/>
          <w:szCs w:val="24"/>
        </w:rPr>
        <w:t xml:space="preserve">determined quantities, pack quantities </w:t>
      </w:r>
      <w:r w:rsidRPr="006B68DB">
        <w:rPr>
          <w:sz w:val="24"/>
          <w:szCs w:val="24"/>
        </w:rPr>
        <w:t>and section 100 only status.  These changes are summarised below.</w:t>
      </w:r>
    </w:p>
    <w:p w:rsidR="00367875" w:rsidRDefault="00367875" w:rsidP="00220EC6">
      <w:pPr>
        <w:pStyle w:val="Heading6"/>
        <w:jc w:val="left"/>
        <w:rPr>
          <w:b w:val="0"/>
          <w:sz w:val="24"/>
          <w:szCs w:val="24"/>
          <w:u w:val="single"/>
        </w:rPr>
      </w:pPr>
    </w:p>
    <w:p w:rsidR="00B82B88" w:rsidRDefault="00B82B88" w:rsidP="00220EC6">
      <w:pPr>
        <w:pStyle w:val="Heading6"/>
        <w:jc w:val="left"/>
        <w:rPr>
          <w:b w:val="0"/>
          <w:sz w:val="24"/>
          <w:szCs w:val="24"/>
          <w:u w:val="single"/>
        </w:rPr>
      </w:pPr>
    </w:p>
    <w:p w:rsidR="006B7AEC" w:rsidRPr="006B7AEC" w:rsidRDefault="006B7AEC" w:rsidP="006B7AEC">
      <w:pPr>
        <w:pStyle w:val="Heading6"/>
        <w:jc w:val="center"/>
        <w:rPr>
          <w:sz w:val="24"/>
          <w:szCs w:val="24"/>
        </w:rPr>
      </w:pPr>
      <w:r w:rsidRPr="006B7AEC">
        <w:rPr>
          <w:sz w:val="24"/>
          <w:szCs w:val="24"/>
        </w:rPr>
        <w:t>SUMMARY OF CHANGES</w:t>
      </w:r>
    </w:p>
    <w:p w:rsidR="00D55E8A" w:rsidRPr="00B85CF8" w:rsidRDefault="00D55E8A" w:rsidP="00D55E8A">
      <w:pPr>
        <w:spacing w:before="240"/>
        <w:jc w:val="left"/>
        <w:rPr>
          <w:b/>
        </w:rPr>
      </w:pPr>
      <w:r w:rsidRPr="00B85CF8">
        <w:rPr>
          <w:b/>
        </w:rPr>
        <w:t>Brands Added</w:t>
      </w:r>
    </w:p>
    <w:tbl>
      <w:tblPr>
        <w:tblW w:w="4982" w:type="pct"/>
        <w:tblLook w:val="01E0" w:firstRow="1" w:lastRow="1" w:firstColumn="1" w:lastColumn="1" w:noHBand="0" w:noVBand="0"/>
      </w:tblPr>
      <w:tblGrid>
        <w:gridCol w:w="2518"/>
        <w:gridCol w:w="6691"/>
      </w:tblGrid>
      <w:tr w:rsidR="00BB2840" w:rsidRPr="00BB2840" w:rsidTr="00283627">
        <w:trPr>
          <w:trHeight w:val="283"/>
        </w:trPr>
        <w:tc>
          <w:tcPr>
            <w:tcW w:w="1367" w:type="pct"/>
            <w:shd w:val="clear" w:color="auto" w:fill="auto"/>
          </w:tcPr>
          <w:p w:rsidR="008A5D92" w:rsidRPr="00BB2840" w:rsidRDefault="00EE5F30" w:rsidP="005D7C15">
            <w:proofErr w:type="spellStart"/>
            <w:r w:rsidRPr="00BB2840">
              <w:t>Alendronic</w:t>
            </w:r>
            <w:proofErr w:type="spellEnd"/>
            <w:r w:rsidRPr="00BB2840">
              <w:t xml:space="preserve"> acid</w:t>
            </w:r>
          </w:p>
        </w:tc>
        <w:tc>
          <w:tcPr>
            <w:tcW w:w="3633" w:type="pct"/>
            <w:shd w:val="clear" w:color="auto" w:fill="auto"/>
          </w:tcPr>
          <w:p w:rsidR="008A5D92" w:rsidRPr="00BB2840" w:rsidRDefault="00EE5F30" w:rsidP="008B5015">
            <w:pPr>
              <w:jc w:val="left"/>
            </w:pPr>
            <w:r w:rsidRPr="00BB2840">
              <w:t>Tablet 70 mg (as alendronate sodium) (</w:t>
            </w:r>
            <w:proofErr w:type="spellStart"/>
            <w:r w:rsidRPr="00BB2840">
              <w:t>Fonat</w:t>
            </w:r>
            <w:proofErr w:type="spellEnd"/>
            <w:r w:rsidRPr="00BB2840">
              <w:t>)</w:t>
            </w:r>
          </w:p>
        </w:tc>
      </w:tr>
      <w:tr w:rsidR="00BB2840" w:rsidRPr="00BB2840" w:rsidTr="00283627">
        <w:trPr>
          <w:trHeight w:val="283"/>
        </w:trPr>
        <w:tc>
          <w:tcPr>
            <w:tcW w:w="1367" w:type="pct"/>
            <w:shd w:val="clear" w:color="auto" w:fill="auto"/>
          </w:tcPr>
          <w:p w:rsidR="006933B1" w:rsidRPr="00BB2840" w:rsidRDefault="006933B1" w:rsidP="005D7C15">
            <w:r w:rsidRPr="00BB2840">
              <w:t>Atenolol</w:t>
            </w:r>
          </w:p>
        </w:tc>
        <w:tc>
          <w:tcPr>
            <w:tcW w:w="3633" w:type="pct"/>
            <w:shd w:val="clear" w:color="auto" w:fill="auto"/>
          </w:tcPr>
          <w:p w:rsidR="006933B1" w:rsidRPr="00BB2840" w:rsidRDefault="006933B1" w:rsidP="008B5015">
            <w:pPr>
              <w:jc w:val="left"/>
            </w:pPr>
            <w:r w:rsidRPr="00BB2840">
              <w:t>Tablet 50 mg (Atenolol GH)</w:t>
            </w:r>
          </w:p>
        </w:tc>
      </w:tr>
      <w:tr w:rsidR="00BB2840" w:rsidRPr="00BB2840" w:rsidTr="00283627">
        <w:trPr>
          <w:trHeight w:val="283"/>
        </w:trPr>
        <w:tc>
          <w:tcPr>
            <w:tcW w:w="1367" w:type="pct"/>
            <w:shd w:val="clear" w:color="auto" w:fill="auto"/>
          </w:tcPr>
          <w:p w:rsidR="00736973" w:rsidRPr="00BB2840" w:rsidRDefault="00A127A6" w:rsidP="005D7C15">
            <w:proofErr w:type="spellStart"/>
            <w:r w:rsidRPr="00BB2840">
              <w:t>Cyproterone</w:t>
            </w:r>
            <w:proofErr w:type="spellEnd"/>
          </w:p>
        </w:tc>
        <w:tc>
          <w:tcPr>
            <w:tcW w:w="3633" w:type="pct"/>
            <w:shd w:val="clear" w:color="auto" w:fill="auto"/>
          </w:tcPr>
          <w:p w:rsidR="00736973" w:rsidRPr="00BB2840" w:rsidRDefault="00A127A6" w:rsidP="00A127A6">
            <w:pPr>
              <w:jc w:val="left"/>
            </w:pPr>
            <w:r w:rsidRPr="00BB2840">
              <w:t xml:space="preserve">Tablet containing </w:t>
            </w:r>
            <w:proofErr w:type="spellStart"/>
            <w:r w:rsidRPr="00BB2840">
              <w:t>cyproterone</w:t>
            </w:r>
            <w:proofErr w:type="spellEnd"/>
            <w:r w:rsidRPr="00BB2840">
              <w:t xml:space="preserve"> acetate 50 mg (</w:t>
            </w:r>
            <w:proofErr w:type="spellStart"/>
            <w:r w:rsidRPr="00BB2840">
              <w:t>Cyproterone</w:t>
            </w:r>
            <w:proofErr w:type="spellEnd"/>
            <w:r w:rsidRPr="00BB2840">
              <w:t xml:space="preserve"> Sandoz)</w:t>
            </w:r>
          </w:p>
        </w:tc>
      </w:tr>
      <w:tr w:rsidR="00BB2840" w:rsidRPr="00BB2840" w:rsidTr="00283627">
        <w:trPr>
          <w:trHeight w:val="283"/>
        </w:trPr>
        <w:tc>
          <w:tcPr>
            <w:tcW w:w="1367" w:type="pct"/>
            <w:shd w:val="clear" w:color="auto" w:fill="auto"/>
          </w:tcPr>
          <w:p w:rsidR="009D0431" w:rsidRPr="00BB2840" w:rsidRDefault="00C60D4C" w:rsidP="005D7C15">
            <w:proofErr w:type="spellStart"/>
            <w:r w:rsidRPr="00BB2840">
              <w:t>Exemestane</w:t>
            </w:r>
            <w:proofErr w:type="spellEnd"/>
          </w:p>
        </w:tc>
        <w:tc>
          <w:tcPr>
            <w:tcW w:w="3633" w:type="pct"/>
            <w:shd w:val="clear" w:color="auto" w:fill="auto"/>
          </w:tcPr>
          <w:p w:rsidR="009D0431" w:rsidRPr="00BB2840" w:rsidRDefault="00C60D4C" w:rsidP="004B1CCC">
            <w:pPr>
              <w:jc w:val="left"/>
            </w:pPr>
            <w:r w:rsidRPr="00BB2840">
              <w:t>Tablet 25 mg (</w:t>
            </w:r>
            <w:proofErr w:type="spellStart"/>
            <w:r w:rsidRPr="00BB2840">
              <w:t>Exemestane</w:t>
            </w:r>
            <w:proofErr w:type="spellEnd"/>
            <w:r w:rsidRPr="00BB2840">
              <w:t>-GA)</w:t>
            </w:r>
          </w:p>
        </w:tc>
      </w:tr>
      <w:tr w:rsidR="00BB2840" w:rsidRPr="00BB2840" w:rsidTr="00283627">
        <w:trPr>
          <w:trHeight w:val="283"/>
        </w:trPr>
        <w:tc>
          <w:tcPr>
            <w:tcW w:w="1367" w:type="pct"/>
            <w:shd w:val="clear" w:color="auto" w:fill="auto"/>
          </w:tcPr>
          <w:p w:rsidR="006933B1" w:rsidRPr="00BB2840" w:rsidRDefault="006933B1" w:rsidP="005D7C15">
            <w:proofErr w:type="spellStart"/>
            <w:r w:rsidRPr="00BB2840">
              <w:t>Fludarabine</w:t>
            </w:r>
            <w:proofErr w:type="spellEnd"/>
          </w:p>
        </w:tc>
        <w:tc>
          <w:tcPr>
            <w:tcW w:w="3633" w:type="pct"/>
            <w:shd w:val="clear" w:color="auto" w:fill="auto"/>
          </w:tcPr>
          <w:p w:rsidR="006933B1" w:rsidRPr="00BB2840" w:rsidRDefault="006933B1" w:rsidP="004B1CCC">
            <w:pPr>
              <w:jc w:val="left"/>
            </w:pPr>
            <w:r w:rsidRPr="00BB2840">
              <w:t xml:space="preserve">Solution for I.V. injection 50 mg </w:t>
            </w:r>
            <w:proofErr w:type="spellStart"/>
            <w:r w:rsidRPr="00BB2840">
              <w:t>fludarabine</w:t>
            </w:r>
            <w:proofErr w:type="spellEnd"/>
            <w:r w:rsidRPr="00BB2840">
              <w:t xml:space="preserve"> phosphate in 2 mL </w:t>
            </w:r>
            <w:r w:rsidRPr="00BB2840">
              <w:br/>
              <w:t>(AS-</w:t>
            </w:r>
            <w:proofErr w:type="spellStart"/>
            <w:r w:rsidRPr="00BB2840">
              <w:t>Fludarabine</w:t>
            </w:r>
            <w:proofErr w:type="spellEnd"/>
            <w:r w:rsidRPr="00BB2840">
              <w:t>)</w:t>
            </w:r>
          </w:p>
        </w:tc>
      </w:tr>
      <w:tr w:rsidR="00BB2840" w:rsidRPr="00BB2840" w:rsidTr="00283627">
        <w:trPr>
          <w:trHeight w:val="283"/>
        </w:trPr>
        <w:tc>
          <w:tcPr>
            <w:tcW w:w="1367" w:type="pct"/>
            <w:shd w:val="clear" w:color="auto" w:fill="auto"/>
          </w:tcPr>
          <w:p w:rsidR="006D7AE8" w:rsidRPr="00BB2840" w:rsidRDefault="00523BA8" w:rsidP="005D7C15">
            <w:r w:rsidRPr="00BB2840">
              <w:t>Gabapentin</w:t>
            </w:r>
          </w:p>
        </w:tc>
        <w:tc>
          <w:tcPr>
            <w:tcW w:w="3633" w:type="pct"/>
            <w:shd w:val="clear" w:color="auto" w:fill="auto"/>
          </w:tcPr>
          <w:p w:rsidR="006D7AE8" w:rsidRPr="00BB2840" w:rsidRDefault="00523BA8" w:rsidP="0018394C">
            <w:pPr>
              <w:jc w:val="left"/>
            </w:pPr>
            <w:r w:rsidRPr="00BB2840">
              <w:t>Capsule 100 mg (Gabapentin Pfizer)</w:t>
            </w:r>
            <w:r w:rsidRPr="00BB2840">
              <w:br/>
              <w:t>Capsule 300 mg (Gabapentin Pfizer)</w:t>
            </w:r>
            <w:r w:rsidRPr="00BB2840">
              <w:br/>
              <w:t>Capsule 400 mg (Gabapentin Pfizer)</w:t>
            </w:r>
            <w:r w:rsidRPr="00BB2840">
              <w:br/>
            </w:r>
            <w:r w:rsidR="0018394C" w:rsidRPr="00C5759F">
              <w:t>Tablet</w:t>
            </w:r>
            <w:r w:rsidRPr="00C5759F">
              <w:t xml:space="preserve"> </w:t>
            </w:r>
            <w:r w:rsidRPr="00BB2840">
              <w:t>800 mg (Gabapentin Pfizer)</w:t>
            </w:r>
          </w:p>
        </w:tc>
      </w:tr>
      <w:tr w:rsidR="00BB2840" w:rsidRPr="00BB2840" w:rsidTr="00283627">
        <w:trPr>
          <w:trHeight w:val="283"/>
        </w:trPr>
        <w:tc>
          <w:tcPr>
            <w:tcW w:w="1367" w:type="pct"/>
            <w:shd w:val="clear" w:color="auto" w:fill="auto"/>
          </w:tcPr>
          <w:p w:rsidR="00697F20" w:rsidRPr="00BB2840" w:rsidRDefault="00697F20" w:rsidP="005D7C15">
            <w:r w:rsidRPr="00BB2840">
              <w:t>Gemcitabine</w:t>
            </w:r>
          </w:p>
        </w:tc>
        <w:tc>
          <w:tcPr>
            <w:tcW w:w="3633" w:type="pct"/>
            <w:shd w:val="clear" w:color="auto" w:fill="auto"/>
          </w:tcPr>
          <w:p w:rsidR="00697F20" w:rsidRPr="00BB2840" w:rsidRDefault="00697F20" w:rsidP="00697F20">
            <w:pPr>
              <w:jc w:val="left"/>
            </w:pPr>
            <w:r w:rsidRPr="00BB2840">
              <w:t>Powder for I.V. injection 200 mg (as hydrochloride) (AS-Gemcitabine)</w:t>
            </w:r>
            <w:r w:rsidRPr="00BB2840">
              <w:br/>
              <w:t>Powder for I.V. injection 1 g (as hydrochloride) (AS-Gemcitabine)</w:t>
            </w:r>
            <w:r w:rsidRPr="00BB2840">
              <w:br/>
              <w:t>Powder for I.V. injection 2 g (as hydrochloride) (AS-Gemcitabine)</w:t>
            </w:r>
          </w:p>
        </w:tc>
      </w:tr>
      <w:tr w:rsidR="00BB2840" w:rsidRPr="00BB2840" w:rsidTr="00283627">
        <w:trPr>
          <w:trHeight w:val="283"/>
        </w:trPr>
        <w:tc>
          <w:tcPr>
            <w:tcW w:w="1367" w:type="pct"/>
            <w:shd w:val="clear" w:color="auto" w:fill="auto"/>
          </w:tcPr>
          <w:p w:rsidR="00092A66" w:rsidRPr="00BB2840" w:rsidRDefault="00092A66" w:rsidP="005D7C15">
            <w:proofErr w:type="spellStart"/>
            <w:r w:rsidRPr="00BB2840">
              <w:t>Lercanidipine</w:t>
            </w:r>
            <w:proofErr w:type="spellEnd"/>
          </w:p>
        </w:tc>
        <w:tc>
          <w:tcPr>
            <w:tcW w:w="3633" w:type="pct"/>
            <w:shd w:val="clear" w:color="auto" w:fill="auto"/>
          </w:tcPr>
          <w:p w:rsidR="00092A66" w:rsidRPr="00BB2840" w:rsidRDefault="00092A66" w:rsidP="00EE5F30">
            <w:pPr>
              <w:jc w:val="left"/>
            </w:pPr>
            <w:r w:rsidRPr="00BB2840">
              <w:t xml:space="preserve">Tablet containing </w:t>
            </w:r>
            <w:proofErr w:type="spellStart"/>
            <w:r w:rsidRPr="00BB2840">
              <w:t>lercanidipine</w:t>
            </w:r>
            <w:proofErr w:type="spellEnd"/>
            <w:r w:rsidRPr="00BB2840">
              <w:t xml:space="preserve"> hydrochloride 10 mg (</w:t>
            </w:r>
            <w:proofErr w:type="spellStart"/>
            <w:r w:rsidRPr="00BB2840">
              <w:t>Ledip</w:t>
            </w:r>
            <w:proofErr w:type="spellEnd"/>
            <w:r w:rsidRPr="00BB2840">
              <w:t>)</w:t>
            </w:r>
            <w:r w:rsidRPr="00BB2840">
              <w:br/>
              <w:t xml:space="preserve">Tablet containing </w:t>
            </w:r>
            <w:proofErr w:type="spellStart"/>
            <w:r w:rsidRPr="00BB2840">
              <w:t>lercanidipine</w:t>
            </w:r>
            <w:proofErr w:type="spellEnd"/>
            <w:r w:rsidRPr="00BB2840">
              <w:t xml:space="preserve"> hydrochloride </w:t>
            </w:r>
            <w:r w:rsidR="00EE5F30" w:rsidRPr="00BB2840">
              <w:t>2</w:t>
            </w:r>
            <w:r w:rsidRPr="00BB2840">
              <w:t>0 mg (</w:t>
            </w:r>
            <w:proofErr w:type="spellStart"/>
            <w:r w:rsidRPr="00BB2840">
              <w:t>Ledip</w:t>
            </w:r>
            <w:proofErr w:type="spellEnd"/>
            <w:r w:rsidRPr="00BB2840">
              <w:t>)</w:t>
            </w:r>
          </w:p>
        </w:tc>
      </w:tr>
      <w:tr w:rsidR="00ED396F" w:rsidRPr="00BB2840" w:rsidTr="00283627">
        <w:trPr>
          <w:trHeight w:val="283"/>
        </w:trPr>
        <w:tc>
          <w:tcPr>
            <w:tcW w:w="1367" w:type="pct"/>
            <w:shd w:val="clear" w:color="auto" w:fill="auto"/>
          </w:tcPr>
          <w:p w:rsidR="00ED396F" w:rsidRPr="00BB2840" w:rsidRDefault="00ED396F" w:rsidP="003B513D">
            <w:proofErr w:type="spellStart"/>
            <w:r w:rsidRPr="00BB2840">
              <w:t>Letrozole</w:t>
            </w:r>
            <w:proofErr w:type="spellEnd"/>
          </w:p>
        </w:tc>
        <w:tc>
          <w:tcPr>
            <w:tcW w:w="3633" w:type="pct"/>
            <w:shd w:val="clear" w:color="auto" w:fill="auto"/>
          </w:tcPr>
          <w:p w:rsidR="00ED396F" w:rsidRPr="00BB2840" w:rsidRDefault="00ED396F" w:rsidP="003B513D">
            <w:pPr>
              <w:jc w:val="left"/>
            </w:pPr>
            <w:r w:rsidRPr="00BB2840">
              <w:t xml:space="preserve">Tablet 2.5 mg (Pharmacy Choice </w:t>
            </w:r>
            <w:proofErr w:type="spellStart"/>
            <w:r w:rsidRPr="00BB2840">
              <w:t>Letrozole</w:t>
            </w:r>
            <w:proofErr w:type="spellEnd"/>
            <w:r w:rsidRPr="00BB2840">
              <w:t>)</w:t>
            </w:r>
          </w:p>
        </w:tc>
      </w:tr>
      <w:tr w:rsidR="00BB2840" w:rsidRPr="00BB2840" w:rsidTr="00283627">
        <w:trPr>
          <w:trHeight w:val="283"/>
        </w:trPr>
        <w:tc>
          <w:tcPr>
            <w:tcW w:w="1367" w:type="pct"/>
            <w:shd w:val="clear" w:color="auto" w:fill="auto"/>
          </w:tcPr>
          <w:p w:rsidR="00EE5F30" w:rsidRPr="00BB2840" w:rsidRDefault="00EE5F30" w:rsidP="005D7C15">
            <w:r w:rsidRPr="00BB2840">
              <w:t>Metronidazole</w:t>
            </w:r>
          </w:p>
        </w:tc>
        <w:tc>
          <w:tcPr>
            <w:tcW w:w="3633" w:type="pct"/>
            <w:shd w:val="clear" w:color="auto" w:fill="auto"/>
          </w:tcPr>
          <w:p w:rsidR="00EE5F30" w:rsidRPr="00BB2840" w:rsidRDefault="00EE5F30" w:rsidP="00EE5F30">
            <w:pPr>
              <w:jc w:val="left"/>
            </w:pPr>
            <w:r w:rsidRPr="00BB2840">
              <w:t>I.V. infusion 500 mg in 100 mL</w:t>
            </w:r>
            <w:r w:rsidR="00C60D4C" w:rsidRPr="00BB2840">
              <w:t xml:space="preserve"> (Metronidazole-Claris)</w:t>
            </w:r>
          </w:p>
        </w:tc>
      </w:tr>
    </w:tbl>
    <w:p w:rsidR="007E4F37" w:rsidRPr="00BB2840" w:rsidRDefault="007E4F37">
      <w:r w:rsidRPr="00BB2840">
        <w:br w:type="page"/>
      </w:r>
    </w:p>
    <w:tbl>
      <w:tblPr>
        <w:tblW w:w="4982" w:type="pct"/>
        <w:tblLook w:val="01E0" w:firstRow="1" w:lastRow="1" w:firstColumn="1" w:lastColumn="1" w:noHBand="0" w:noVBand="0"/>
      </w:tblPr>
      <w:tblGrid>
        <w:gridCol w:w="2518"/>
        <w:gridCol w:w="6691"/>
      </w:tblGrid>
      <w:tr w:rsidR="00BB2840" w:rsidRPr="00BB2840" w:rsidTr="00283627">
        <w:trPr>
          <w:trHeight w:val="283"/>
        </w:trPr>
        <w:tc>
          <w:tcPr>
            <w:tcW w:w="1367" w:type="pct"/>
            <w:shd w:val="clear" w:color="auto" w:fill="auto"/>
          </w:tcPr>
          <w:p w:rsidR="006933B1" w:rsidRPr="00BB2840" w:rsidRDefault="002071FD" w:rsidP="005D7C15">
            <w:proofErr w:type="spellStart"/>
            <w:r w:rsidRPr="00BB2840">
              <w:lastRenderedPageBreak/>
              <w:t>Oxaliplatin</w:t>
            </w:r>
            <w:proofErr w:type="spellEnd"/>
          </w:p>
        </w:tc>
        <w:tc>
          <w:tcPr>
            <w:tcW w:w="3633" w:type="pct"/>
            <w:shd w:val="clear" w:color="auto" w:fill="auto"/>
          </w:tcPr>
          <w:p w:rsidR="006933B1" w:rsidRPr="00BB2840" w:rsidRDefault="002071FD" w:rsidP="002071FD">
            <w:pPr>
              <w:jc w:val="left"/>
            </w:pPr>
            <w:r w:rsidRPr="00BB2840">
              <w:t>Solution concentrate for I.V. infusion 50 mg in 10 mL (AS-</w:t>
            </w:r>
            <w:proofErr w:type="spellStart"/>
            <w:r w:rsidRPr="00BB2840">
              <w:t>Oxaliplatin</w:t>
            </w:r>
            <w:proofErr w:type="spellEnd"/>
            <w:r w:rsidRPr="00BB2840">
              <w:t>)</w:t>
            </w:r>
            <w:r w:rsidRPr="00BB2840">
              <w:br/>
              <w:t>Solution concentrate for I.V. infusion 100 mg in 20 mL (AS-</w:t>
            </w:r>
            <w:proofErr w:type="spellStart"/>
            <w:r w:rsidRPr="00BB2840">
              <w:t>Oxaliplatin</w:t>
            </w:r>
            <w:proofErr w:type="spellEnd"/>
            <w:r w:rsidRPr="00BB2840">
              <w:t>)</w:t>
            </w:r>
            <w:r w:rsidRPr="00BB2840">
              <w:br/>
              <w:t>Solution concentrate for I.V. infusion 200 mg in 40 mL (AS-</w:t>
            </w:r>
            <w:proofErr w:type="spellStart"/>
            <w:r w:rsidRPr="00BB2840">
              <w:t>Oxaliplatin</w:t>
            </w:r>
            <w:proofErr w:type="spellEnd"/>
            <w:r w:rsidRPr="00BB2840">
              <w:t>)</w:t>
            </w:r>
          </w:p>
        </w:tc>
      </w:tr>
      <w:tr w:rsidR="00BB2840" w:rsidRPr="00BB2840" w:rsidTr="00283627">
        <w:trPr>
          <w:trHeight w:val="283"/>
        </w:trPr>
        <w:tc>
          <w:tcPr>
            <w:tcW w:w="1367" w:type="pct"/>
            <w:shd w:val="clear" w:color="auto" w:fill="auto"/>
          </w:tcPr>
          <w:p w:rsidR="002071FD" w:rsidRPr="00BB2840" w:rsidRDefault="00666492" w:rsidP="005D7C15">
            <w:r w:rsidRPr="00BB2840">
              <w:t>Paclitaxel</w:t>
            </w:r>
          </w:p>
        </w:tc>
        <w:tc>
          <w:tcPr>
            <w:tcW w:w="3633" w:type="pct"/>
            <w:shd w:val="clear" w:color="auto" w:fill="auto"/>
          </w:tcPr>
          <w:p w:rsidR="002071FD" w:rsidRPr="00BB2840" w:rsidRDefault="00666492" w:rsidP="000C4FE7">
            <w:pPr>
              <w:jc w:val="left"/>
            </w:pPr>
            <w:r w:rsidRPr="00BB2840">
              <w:t>Solution concentrate for I.V. infusion 30 mg in 5 mL (</w:t>
            </w:r>
            <w:r w:rsidR="000C4FE7" w:rsidRPr="00BB2840">
              <w:t>GN</w:t>
            </w:r>
            <w:r w:rsidRPr="00BB2840">
              <w:t>-</w:t>
            </w:r>
            <w:r w:rsidR="000C4FE7" w:rsidRPr="00BB2840">
              <w:t>Paclitaxel</w:t>
            </w:r>
            <w:r w:rsidRPr="00BB2840">
              <w:t>)</w:t>
            </w:r>
            <w:r w:rsidRPr="00BB2840">
              <w:br/>
              <w:t>Solution concentrate for I.V. infusion 100 mg in 16.7 mL (</w:t>
            </w:r>
            <w:r w:rsidR="000C4FE7" w:rsidRPr="00BB2840">
              <w:t>GN-Paclitaxel</w:t>
            </w:r>
            <w:r w:rsidRPr="00BB2840">
              <w:t>)</w:t>
            </w:r>
            <w:r w:rsidRPr="00BB2840">
              <w:br/>
              <w:t>Solution concentrate for I.V. infusion 300 mg in 50 mL (</w:t>
            </w:r>
            <w:r w:rsidR="000C4FE7" w:rsidRPr="00BB2840">
              <w:t>GN-Paclitaxel</w:t>
            </w:r>
            <w:r w:rsidRPr="00BB2840">
              <w:t>)</w:t>
            </w:r>
          </w:p>
        </w:tc>
      </w:tr>
      <w:tr w:rsidR="00BB2840" w:rsidRPr="00BB2840" w:rsidTr="00283627">
        <w:trPr>
          <w:trHeight w:val="283"/>
        </w:trPr>
        <w:tc>
          <w:tcPr>
            <w:tcW w:w="1367" w:type="pct"/>
            <w:shd w:val="clear" w:color="auto" w:fill="auto"/>
          </w:tcPr>
          <w:p w:rsidR="006933B1" w:rsidRPr="00BB2840" w:rsidRDefault="006933B1" w:rsidP="005D7C15">
            <w:proofErr w:type="spellStart"/>
            <w:r w:rsidRPr="00BB2840">
              <w:t>Topotecan</w:t>
            </w:r>
            <w:proofErr w:type="spellEnd"/>
          </w:p>
        </w:tc>
        <w:tc>
          <w:tcPr>
            <w:tcW w:w="3633" w:type="pct"/>
            <w:shd w:val="clear" w:color="auto" w:fill="auto"/>
          </w:tcPr>
          <w:p w:rsidR="006933B1" w:rsidRPr="00BB2840" w:rsidRDefault="006933B1" w:rsidP="00EE5F30">
            <w:pPr>
              <w:jc w:val="left"/>
            </w:pPr>
            <w:r w:rsidRPr="00BB2840">
              <w:t>Powder for I.V. infusion 4 mg (as hydrochloride) (</w:t>
            </w:r>
            <w:proofErr w:type="spellStart"/>
            <w:r w:rsidRPr="00BB2840">
              <w:t>Topotecan</w:t>
            </w:r>
            <w:proofErr w:type="spellEnd"/>
            <w:r w:rsidRPr="00BB2840">
              <w:t xml:space="preserve"> </w:t>
            </w:r>
            <w:proofErr w:type="spellStart"/>
            <w:r w:rsidRPr="00BB2840">
              <w:t>Agila</w:t>
            </w:r>
            <w:proofErr w:type="spellEnd"/>
            <w:r w:rsidRPr="00BB2840">
              <w:t>)</w:t>
            </w:r>
          </w:p>
        </w:tc>
      </w:tr>
      <w:tr w:rsidR="00BB2840" w:rsidRPr="00BB2840" w:rsidTr="00F16129">
        <w:trPr>
          <w:trHeight w:val="357"/>
        </w:trPr>
        <w:tc>
          <w:tcPr>
            <w:tcW w:w="1367" w:type="pct"/>
            <w:shd w:val="clear" w:color="auto" w:fill="auto"/>
          </w:tcPr>
          <w:p w:rsidR="00D55E8A" w:rsidRPr="00BB2840" w:rsidRDefault="00C60D4C" w:rsidP="00C60D4C">
            <w:pPr>
              <w:spacing w:before="60" w:after="60"/>
              <w:jc w:val="left"/>
            </w:pPr>
            <w:r w:rsidRPr="00BB2840">
              <w:t>Tramadol</w:t>
            </w:r>
          </w:p>
        </w:tc>
        <w:tc>
          <w:tcPr>
            <w:tcW w:w="3633" w:type="pct"/>
            <w:shd w:val="clear" w:color="auto" w:fill="auto"/>
          </w:tcPr>
          <w:p w:rsidR="00AA6FD0" w:rsidRPr="00BB2840" w:rsidRDefault="00523BA8" w:rsidP="00C60D4C">
            <w:pPr>
              <w:pStyle w:val="NoSpacing"/>
              <w:spacing w:before="60" w:after="60"/>
              <w:jc w:val="left"/>
            </w:pPr>
            <w:r w:rsidRPr="00BB2840">
              <w:t>Tablet (sustained release) co</w:t>
            </w:r>
            <w:r w:rsidR="003B513D">
              <w:t>ntaining tramadol hydrochloride</w:t>
            </w:r>
            <w:r w:rsidR="00A51DC5" w:rsidRPr="00A51DC5">
              <w:rPr>
                <w:b/>
                <w:color w:val="FF0000"/>
              </w:rPr>
              <w:t>)</w:t>
            </w:r>
            <w:r w:rsidRPr="00BB2840">
              <w:t xml:space="preserve"> 100 mg (Tramadol SR </w:t>
            </w:r>
            <w:proofErr w:type="spellStart"/>
            <w:r w:rsidRPr="00BB2840">
              <w:t>generichealth</w:t>
            </w:r>
            <w:proofErr w:type="spellEnd"/>
            <w:r w:rsidRPr="00BB2840">
              <w:t>)</w:t>
            </w:r>
            <w:r w:rsidRPr="00BB2840">
              <w:br/>
              <w:t>Tablet (sustained release) co</w:t>
            </w:r>
            <w:r w:rsidR="003B513D">
              <w:t>ntaining tramadol hydrochloride</w:t>
            </w:r>
            <w:r w:rsidR="00A51DC5" w:rsidRPr="00A51DC5">
              <w:rPr>
                <w:b/>
                <w:color w:val="FF0000"/>
              </w:rPr>
              <w:t>)</w:t>
            </w:r>
            <w:r w:rsidRPr="00BB2840">
              <w:t xml:space="preserve"> 150 mg (Tramadol SR </w:t>
            </w:r>
            <w:proofErr w:type="spellStart"/>
            <w:r w:rsidRPr="00BB2840">
              <w:t>generichealth</w:t>
            </w:r>
            <w:proofErr w:type="spellEnd"/>
            <w:r w:rsidRPr="00BB2840">
              <w:t>)</w:t>
            </w:r>
            <w:r w:rsidRPr="00BB2840">
              <w:br/>
              <w:t>Tablet (sustained release) co</w:t>
            </w:r>
            <w:r w:rsidR="003B513D">
              <w:t>ntaining tramadol hydrochloride</w:t>
            </w:r>
            <w:r w:rsidR="00A51DC5" w:rsidRPr="00A51DC5">
              <w:rPr>
                <w:b/>
                <w:color w:val="FF0000"/>
              </w:rPr>
              <w:t>)</w:t>
            </w:r>
            <w:r w:rsidRPr="00BB2840">
              <w:t xml:space="preserve"> 200 mg (Tramadol SR </w:t>
            </w:r>
            <w:proofErr w:type="spellStart"/>
            <w:r w:rsidRPr="00BB2840">
              <w:t>generichealth</w:t>
            </w:r>
            <w:proofErr w:type="spellEnd"/>
            <w:r w:rsidRPr="00BB2840">
              <w:t>)</w:t>
            </w:r>
            <w:r w:rsidR="00C60D4C" w:rsidRPr="00BB2840">
              <w:br/>
              <w:t>Injection containing tramadol hydrochloride 100 mg in 2 mL (</w:t>
            </w:r>
            <w:r w:rsidR="00A127A6" w:rsidRPr="00BB2840">
              <w:t>Tram</w:t>
            </w:r>
            <w:r w:rsidR="00EA5A4F" w:rsidRPr="00BB2840">
              <w:t>a</w:t>
            </w:r>
            <w:r w:rsidR="00A127A6" w:rsidRPr="00BB2840">
              <w:t>dol Sandoz)</w:t>
            </w:r>
          </w:p>
        </w:tc>
      </w:tr>
      <w:tr w:rsidR="00BB2840" w:rsidRPr="00BB2840" w:rsidTr="00283627">
        <w:trPr>
          <w:trHeight w:val="283"/>
        </w:trPr>
        <w:tc>
          <w:tcPr>
            <w:tcW w:w="1367" w:type="pct"/>
            <w:shd w:val="clear" w:color="auto" w:fill="auto"/>
          </w:tcPr>
          <w:p w:rsidR="00C60D4C" w:rsidRPr="00BB2840" w:rsidRDefault="000F61F5" w:rsidP="00E840EF">
            <w:pPr>
              <w:spacing w:before="60" w:after="60"/>
              <w:jc w:val="left"/>
            </w:pPr>
            <w:proofErr w:type="spellStart"/>
            <w:r w:rsidRPr="00BB2840">
              <w:t>Vinorelbine</w:t>
            </w:r>
            <w:proofErr w:type="spellEnd"/>
          </w:p>
        </w:tc>
        <w:tc>
          <w:tcPr>
            <w:tcW w:w="3633" w:type="pct"/>
            <w:shd w:val="clear" w:color="auto" w:fill="auto"/>
          </w:tcPr>
          <w:p w:rsidR="00C60D4C" w:rsidRPr="00BB2840" w:rsidRDefault="000F61F5" w:rsidP="000F61F5">
            <w:pPr>
              <w:spacing w:before="60" w:after="60"/>
              <w:jc w:val="left"/>
              <w:rPr>
                <w:szCs w:val="16"/>
              </w:rPr>
            </w:pPr>
            <w:r w:rsidRPr="00BB2840">
              <w:rPr>
                <w:szCs w:val="16"/>
              </w:rPr>
              <w:t>Solution for I.V. infusion 10 mg (as tartrate) in 1 mL (AS-</w:t>
            </w:r>
            <w:proofErr w:type="spellStart"/>
            <w:r w:rsidRPr="00BB2840">
              <w:rPr>
                <w:szCs w:val="16"/>
              </w:rPr>
              <w:t>Vinorelbine</w:t>
            </w:r>
            <w:proofErr w:type="spellEnd"/>
            <w:r w:rsidRPr="00BB2840">
              <w:rPr>
                <w:szCs w:val="16"/>
              </w:rPr>
              <w:t>)</w:t>
            </w:r>
            <w:r w:rsidRPr="00BB2840">
              <w:rPr>
                <w:szCs w:val="16"/>
              </w:rPr>
              <w:br/>
              <w:t>Solution for I.V. infusion 50 mg (as tartrate) in 5 mL (AS-</w:t>
            </w:r>
            <w:proofErr w:type="spellStart"/>
            <w:r w:rsidRPr="00BB2840">
              <w:rPr>
                <w:szCs w:val="16"/>
              </w:rPr>
              <w:t>Vinorelbine</w:t>
            </w:r>
            <w:proofErr w:type="spellEnd"/>
            <w:r w:rsidRPr="00BB2840">
              <w:rPr>
                <w:szCs w:val="16"/>
              </w:rPr>
              <w:t>)</w:t>
            </w:r>
          </w:p>
        </w:tc>
      </w:tr>
    </w:tbl>
    <w:p w:rsidR="00D55E8A" w:rsidRPr="00BB2840" w:rsidRDefault="00D55E8A" w:rsidP="00D55E8A">
      <w:pPr>
        <w:spacing w:before="240"/>
        <w:jc w:val="left"/>
        <w:rPr>
          <w:b/>
        </w:rPr>
      </w:pPr>
      <w:r w:rsidRPr="00BB2840">
        <w:rPr>
          <w:b/>
        </w:rPr>
        <w:t>Brands Deleted</w:t>
      </w:r>
    </w:p>
    <w:tbl>
      <w:tblPr>
        <w:tblW w:w="9149" w:type="dxa"/>
        <w:jc w:val="center"/>
        <w:tblInd w:w="-77" w:type="dxa"/>
        <w:tblLayout w:type="fixed"/>
        <w:tblLook w:val="01E0" w:firstRow="1" w:lastRow="1" w:firstColumn="1" w:lastColumn="1" w:noHBand="0" w:noVBand="0"/>
      </w:tblPr>
      <w:tblGrid>
        <w:gridCol w:w="2472"/>
        <w:gridCol w:w="6677"/>
      </w:tblGrid>
      <w:tr w:rsidR="00BB2840" w:rsidRPr="00BB2840" w:rsidTr="008E5CD8">
        <w:trPr>
          <w:cantSplit/>
          <w:jc w:val="center"/>
        </w:trPr>
        <w:tc>
          <w:tcPr>
            <w:tcW w:w="2472" w:type="dxa"/>
            <w:shd w:val="clear" w:color="auto" w:fill="auto"/>
          </w:tcPr>
          <w:p w:rsidR="006933B1" w:rsidRPr="00BB2840" w:rsidRDefault="006933B1" w:rsidP="006933B1">
            <w:r w:rsidRPr="00BB2840">
              <w:t>Atenolol</w:t>
            </w:r>
          </w:p>
        </w:tc>
        <w:tc>
          <w:tcPr>
            <w:tcW w:w="6677" w:type="dxa"/>
            <w:shd w:val="clear" w:color="auto" w:fill="auto"/>
          </w:tcPr>
          <w:p w:rsidR="006933B1" w:rsidRPr="00BB2840" w:rsidRDefault="006933B1" w:rsidP="006933B1">
            <w:pPr>
              <w:jc w:val="left"/>
            </w:pPr>
            <w:r w:rsidRPr="00BB2840">
              <w:t xml:space="preserve">Tablet 50 mg (Atenolol </w:t>
            </w:r>
            <w:proofErr w:type="spellStart"/>
            <w:r w:rsidRPr="00BB2840">
              <w:t>generichealth</w:t>
            </w:r>
            <w:proofErr w:type="spellEnd"/>
            <w:r w:rsidRPr="00BB2840">
              <w:t>)</w:t>
            </w:r>
          </w:p>
        </w:tc>
      </w:tr>
      <w:tr w:rsidR="00BB2840" w:rsidRPr="00BB2840" w:rsidTr="008E5CD8">
        <w:trPr>
          <w:cantSplit/>
          <w:jc w:val="center"/>
        </w:trPr>
        <w:tc>
          <w:tcPr>
            <w:tcW w:w="2472" w:type="dxa"/>
            <w:shd w:val="clear" w:color="auto" w:fill="auto"/>
          </w:tcPr>
          <w:p w:rsidR="006933B1" w:rsidRPr="00BB2840" w:rsidRDefault="006933B1" w:rsidP="006933B1">
            <w:proofErr w:type="spellStart"/>
            <w:r w:rsidRPr="00BB2840">
              <w:t>Lisinopril</w:t>
            </w:r>
            <w:proofErr w:type="spellEnd"/>
          </w:p>
        </w:tc>
        <w:tc>
          <w:tcPr>
            <w:tcW w:w="6677" w:type="dxa"/>
            <w:shd w:val="clear" w:color="auto" w:fill="auto"/>
          </w:tcPr>
          <w:p w:rsidR="006933B1" w:rsidRPr="00BB2840" w:rsidRDefault="006933B1" w:rsidP="009957EB">
            <w:pPr>
              <w:jc w:val="left"/>
            </w:pPr>
            <w:r w:rsidRPr="00BB2840">
              <w:t>Tablet 5 mg (</w:t>
            </w:r>
            <w:proofErr w:type="spellStart"/>
            <w:r w:rsidRPr="00BB2840">
              <w:t>Prinivil</w:t>
            </w:r>
            <w:proofErr w:type="spellEnd"/>
            <w:r w:rsidRPr="00BB2840">
              <w:t xml:space="preserve"> 5)</w:t>
            </w:r>
          </w:p>
        </w:tc>
      </w:tr>
      <w:tr w:rsidR="00BB2840" w:rsidRPr="00BB2840" w:rsidTr="008E5CD8">
        <w:trPr>
          <w:cantSplit/>
          <w:jc w:val="center"/>
        </w:trPr>
        <w:tc>
          <w:tcPr>
            <w:tcW w:w="2472" w:type="dxa"/>
            <w:shd w:val="clear" w:color="auto" w:fill="auto"/>
          </w:tcPr>
          <w:p w:rsidR="008B5015" w:rsidRPr="00BB2840" w:rsidRDefault="00092A66" w:rsidP="00940D7C">
            <w:pPr>
              <w:spacing w:before="60" w:after="60"/>
              <w:jc w:val="left"/>
            </w:pPr>
            <w:r w:rsidRPr="00BB2840">
              <w:t>Pravastatin</w:t>
            </w:r>
          </w:p>
        </w:tc>
        <w:tc>
          <w:tcPr>
            <w:tcW w:w="6677" w:type="dxa"/>
            <w:shd w:val="clear" w:color="auto" w:fill="auto"/>
          </w:tcPr>
          <w:p w:rsidR="008B5015" w:rsidRPr="00BB2840" w:rsidRDefault="00092A66" w:rsidP="00092A66">
            <w:pPr>
              <w:spacing w:before="60" w:after="60"/>
              <w:jc w:val="left"/>
              <w:rPr>
                <w:szCs w:val="16"/>
              </w:rPr>
            </w:pPr>
            <w:r w:rsidRPr="00BB2840">
              <w:rPr>
                <w:szCs w:val="16"/>
              </w:rPr>
              <w:t>Tablet containing pravastatin sodium 10 mg (Pravastatin Winthrop)</w:t>
            </w:r>
            <w:r w:rsidRPr="00BB2840">
              <w:rPr>
                <w:szCs w:val="16"/>
              </w:rPr>
              <w:br/>
              <w:t>Tablet containing pravastatin sodium 20 mg (Pravastatin Winthrop)</w:t>
            </w:r>
            <w:r w:rsidRPr="00BB2840">
              <w:rPr>
                <w:szCs w:val="16"/>
              </w:rPr>
              <w:br/>
              <w:t>Tablet containing pravastatin sodium 40 mg (Pravastatin Winthrop)</w:t>
            </w:r>
          </w:p>
        </w:tc>
      </w:tr>
      <w:tr w:rsidR="00BB2840" w:rsidRPr="00BB2840" w:rsidTr="008E5CD8">
        <w:trPr>
          <w:cantSplit/>
          <w:jc w:val="center"/>
        </w:trPr>
        <w:tc>
          <w:tcPr>
            <w:tcW w:w="2472" w:type="dxa"/>
            <w:shd w:val="clear" w:color="auto" w:fill="auto"/>
          </w:tcPr>
          <w:p w:rsidR="00092A66" w:rsidRPr="00BB2840" w:rsidRDefault="00092A66" w:rsidP="00E840EF">
            <w:pPr>
              <w:spacing w:before="60" w:after="60"/>
              <w:jc w:val="left"/>
            </w:pPr>
            <w:r w:rsidRPr="00BB2840">
              <w:t>Simvas</w:t>
            </w:r>
            <w:r w:rsidR="005D53C0">
              <w:t>ta</w:t>
            </w:r>
            <w:r w:rsidRPr="00BB2840">
              <w:t>tin</w:t>
            </w:r>
          </w:p>
        </w:tc>
        <w:tc>
          <w:tcPr>
            <w:tcW w:w="6677" w:type="dxa"/>
            <w:shd w:val="clear" w:color="auto" w:fill="auto"/>
          </w:tcPr>
          <w:p w:rsidR="00092A66" w:rsidRPr="00BB2840" w:rsidRDefault="00092A66" w:rsidP="00092A66">
            <w:pPr>
              <w:spacing w:before="60" w:after="60"/>
              <w:jc w:val="left"/>
            </w:pPr>
            <w:r w:rsidRPr="00BB2840">
              <w:t>Tablet 10 mg (Simvastatin Winthrop)</w:t>
            </w:r>
            <w:r w:rsidRPr="00BB2840">
              <w:br/>
              <w:t>Tablet 20 mg (Simvastatin Winthrop)</w:t>
            </w:r>
            <w:r w:rsidRPr="00BB2840">
              <w:br/>
              <w:t>Tablet 40 mg (Simvastatin Winthrop)</w:t>
            </w:r>
            <w:r w:rsidRPr="00BB2840">
              <w:br/>
              <w:t>Tablet 80 mg (Simvastatin Winthrop)</w:t>
            </w:r>
          </w:p>
        </w:tc>
      </w:tr>
      <w:tr w:rsidR="00BB2840" w:rsidRPr="00BB2840" w:rsidTr="008E5CD8">
        <w:trPr>
          <w:cantSplit/>
          <w:jc w:val="center"/>
        </w:trPr>
        <w:tc>
          <w:tcPr>
            <w:tcW w:w="2472" w:type="dxa"/>
            <w:shd w:val="clear" w:color="auto" w:fill="auto"/>
          </w:tcPr>
          <w:p w:rsidR="00092A66" w:rsidRPr="00BB2840" w:rsidRDefault="00A127A6" w:rsidP="00E840EF">
            <w:pPr>
              <w:spacing w:before="60" w:after="60"/>
              <w:jc w:val="left"/>
            </w:pPr>
            <w:r w:rsidRPr="00BB2840">
              <w:t>Tramadol</w:t>
            </w:r>
          </w:p>
        </w:tc>
        <w:tc>
          <w:tcPr>
            <w:tcW w:w="6677" w:type="dxa"/>
            <w:shd w:val="clear" w:color="auto" w:fill="auto"/>
          </w:tcPr>
          <w:p w:rsidR="00092A66" w:rsidRPr="00BB2840" w:rsidRDefault="00A127A6" w:rsidP="00A127A6">
            <w:pPr>
              <w:spacing w:before="60" w:after="60"/>
              <w:jc w:val="left"/>
            </w:pPr>
            <w:r w:rsidRPr="00BB2840">
              <w:t>Injection containing tramadol hydrochloride 100 mg in 2 mL (</w:t>
            </w:r>
            <w:proofErr w:type="spellStart"/>
            <w:r w:rsidRPr="00BB2840">
              <w:t>Tramahexal</w:t>
            </w:r>
            <w:proofErr w:type="spellEnd"/>
            <w:r w:rsidRPr="00BB2840">
              <w:t>)</w:t>
            </w:r>
          </w:p>
        </w:tc>
      </w:tr>
    </w:tbl>
    <w:p w:rsidR="006B7AEC" w:rsidRPr="00BB2840" w:rsidRDefault="006B7AEC" w:rsidP="006B7AEC">
      <w:pPr>
        <w:spacing w:before="240"/>
        <w:jc w:val="left"/>
        <w:rPr>
          <w:b/>
        </w:rPr>
      </w:pPr>
      <w:r w:rsidRPr="00BB2840">
        <w:rPr>
          <w:b/>
        </w:rPr>
        <w:t>Alteration of Responsible Person</w:t>
      </w:r>
    </w:p>
    <w:tbl>
      <w:tblPr>
        <w:tblW w:w="5000" w:type="pct"/>
        <w:tblLook w:val="01E0" w:firstRow="1" w:lastRow="1" w:firstColumn="1" w:lastColumn="1" w:noHBand="0" w:noVBand="0"/>
      </w:tblPr>
      <w:tblGrid>
        <w:gridCol w:w="1872"/>
        <w:gridCol w:w="2779"/>
        <w:gridCol w:w="1717"/>
        <w:gridCol w:w="2874"/>
      </w:tblGrid>
      <w:tr w:rsidR="00BB2840" w:rsidRPr="00BB2840" w:rsidTr="00F66365">
        <w:trPr>
          <w:trHeight w:val="397"/>
        </w:trPr>
        <w:tc>
          <w:tcPr>
            <w:tcW w:w="1012" w:type="pct"/>
            <w:shd w:val="clear" w:color="auto" w:fill="auto"/>
          </w:tcPr>
          <w:p w:rsidR="006B7AEC" w:rsidRPr="00BB2840" w:rsidRDefault="006B7AEC" w:rsidP="00E840EF">
            <w:pPr>
              <w:spacing w:before="60" w:after="60"/>
              <w:rPr>
                <w:b/>
              </w:rPr>
            </w:pPr>
            <w:r w:rsidRPr="00BB2840">
              <w:rPr>
                <w:b/>
              </w:rPr>
              <w:t>Listed Drug</w:t>
            </w:r>
          </w:p>
        </w:tc>
        <w:tc>
          <w:tcPr>
            <w:tcW w:w="1503" w:type="pct"/>
            <w:shd w:val="clear" w:color="auto" w:fill="auto"/>
          </w:tcPr>
          <w:p w:rsidR="006B7AEC" w:rsidRPr="00BB2840" w:rsidRDefault="006B7AEC" w:rsidP="00E840EF">
            <w:pPr>
              <w:tabs>
                <w:tab w:val="left" w:pos="456"/>
              </w:tabs>
              <w:spacing w:before="60" w:after="60"/>
              <w:rPr>
                <w:b/>
              </w:rPr>
            </w:pPr>
            <w:r w:rsidRPr="00BB2840">
              <w:rPr>
                <w:b/>
              </w:rPr>
              <w:t>Form</w:t>
            </w:r>
          </w:p>
        </w:tc>
        <w:tc>
          <w:tcPr>
            <w:tcW w:w="929" w:type="pct"/>
            <w:shd w:val="clear" w:color="auto" w:fill="auto"/>
          </w:tcPr>
          <w:p w:rsidR="006B7AEC" w:rsidRPr="00BB2840" w:rsidRDefault="006B7AEC" w:rsidP="00E840EF">
            <w:pPr>
              <w:spacing w:before="60" w:after="60"/>
              <w:rPr>
                <w:b/>
              </w:rPr>
            </w:pPr>
            <w:r w:rsidRPr="00BB2840">
              <w:rPr>
                <w:b/>
              </w:rPr>
              <w:t>Brand</w:t>
            </w:r>
          </w:p>
        </w:tc>
        <w:tc>
          <w:tcPr>
            <w:tcW w:w="1555" w:type="pct"/>
            <w:shd w:val="clear" w:color="auto" w:fill="auto"/>
          </w:tcPr>
          <w:p w:rsidR="006B7AEC" w:rsidRPr="00BB2840" w:rsidRDefault="006B7AEC" w:rsidP="00E840EF">
            <w:pPr>
              <w:spacing w:before="60" w:after="60"/>
            </w:pPr>
            <w:r w:rsidRPr="00BB2840">
              <w:rPr>
                <w:b/>
              </w:rPr>
              <w:t>Responsible Person</w:t>
            </w:r>
          </w:p>
        </w:tc>
      </w:tr>
      <w:tr w:rsidR="00BB2840" w:rsidRPr="00BB2840" w:rsidTr="00F66365">
        <w:trPr>
          <w:trHeight w:val="754"/>
        </w:trPr>
        <w:tc>
          <w:tcPr>
            <w:tcW w:w="1012" w:type="pct"/>
            <w:shd w:val="clear" w:color="auto" w:fill="auto"/>
          </w:tcPr>
          <w:p w:rsidR="001E1B52" w:rsidRPr="00BB2840" w:rsidRDefault="001E1B52" w:rsidP="001E1B52">
            <w:pPr>
              <w:spacing w:before="60" w:after="0"/>
              <w:jc w:val="left"/>
            </w:pPr>
            <w:proofErr w:type="spellStart"/>
            <w:r w:rsidRPr="00BB2840">
              <w:t>Clopidogrel</w:t>
            </w:r>
            <w:proofErr w:type="spellEnd"/>
          </w:p>
        </w:tc>
        <w:tc>
          <w:tcPr>
            <w:tcW w:w="1503" w:type="pct"/>
            <w:shd w:val="clear" w:color="auto" w:fill="auto"/>
          </w:tcPr>
          <w:p w:rsidR="001E1B52" w:rsidRPr="00BB2840" w:rsidRDefault="001E1B52" w:rsidP="001E1B52">
            <w:pPr>
              <w:spacing w:before="60" w:after="60"/>
              <w:jc w:val="left"/>
            </w:pPr>
            <w:r w:rsidRPr="00BB2840">
              <w:t xml:space="preserve">Tablet 75 mg (as hydrogen </w:t>
            </w:r>
            <w:proofErr w:type="spellStart"/>
            <w:r w:rsidRPr="00BB2840">
              <w:t>sulfate</w:t>
            </w:r>
            <w:proofErr w:type="spellEnd"/>
            <w:r w:rsidRPr="00BB2840">
              <w:t>)</w:t>
            </w:r>
          </w:p>
        </w:tc>
        <w:tc>
          <w:tcPr>
            <w:tcW w:w="929" w:type="pct"/>
            <w:shd w:val="clear" w:color="auto" w:fill="auto"/>
          </w:tcPr>
          <w:p w:rsidR="001E1B52" w:rsidRPr="00BB2840" w:rsidRDefault="001E1B52" w:rsidP="001E1B52">
            <w:pPr>
              <w:spacing w:before="60" w:after="0"/>
              <w:jc w:val="left"/>
            </w:pPr>
            <w:proofErr w:type="spellStart"/>
            <w:r w:rsidRPr="00BB2840">
              <w:t>Iscover</w:t>
            </w:r>
            <w:proofErr w:type="spellEnd"/>
          </w:p>
        </w:tc>
        <w:tc>
          <w:tcPr>
            <w:tcW w:w="1555" w:type="pct"/>
            <w:shd w:val="clear" w:color="auto" w:fill="auto"/>
          </w:tcPr>
          <w:p w:rsidR="001E1B52" w:rsidRPr="00BB2840" w:rsidRDefault="001E1B52" w:rsidP="001E1B52">
            <w:pPr>
              <w:spacing w:before="60" w:after="0"/>
              <w:jc w:val="left"/>
            </w:pPr>
            <w:r w:rsidRPr="00BB2840">
              <w:rPr>
                <w:i/>
                <w:sz w:val="16"/>
                <w:szCs w:val="16"/>
              </w:rPr>
              <w:t xml:space="preserve">From: </w:t>
            </w:r>
            <w:r w:rsidRPr="00BB2840">
              <w:rPr>
                <w:szCs w:val="16"/>
                <w:lang w:val="en-US"/>
              </w:rPr>
              <w:t>Bristol-Myers Squibb Australia Pty Ltd</w:t>
            </w:r>
            <w:r w:rsidRPr="00BB2840">
              <w:t xml:space="preserve"> (BQ)</w:t>
            </w:r>
          </w:p>
          <w:p w:rsidR="001E1B52" w:rsidRPr="00BB2840" w:rsidRDefault="001E1B52" w:rsidP="001E1B52">
            <w:pPr>
              <w:spacing w:after="60"/>
              <w:jc w:val="left"/>
            </w:pPr>
            <w:r w:rsidRPr="00BB2840">
              <w:rPr>
                <w:i/>
                <w:sz w:val="16"/>
                <w:szCs w:val="16"/>
              </w:rPr>
              <w:t xml:space="preserve">To: </w:t>
            </w:r>
            <w:proofErr w:type="spellStart"/>
            <w:r w:rsidRPr="00BB2840">
              <w:rPr>
                <w:szCs w:val="16"/>
                <w:lang w:val="en-US"/>
              </w:rPr>
              <w:t>sanofi-aventis</w:t>
            </w:r>
            <w:proofErr w:type="spellEnd"/>
            <w:r w:rsidRPr="00BB2840">
              <w:rPr>
                <w:szCs w:val="16"/>
                <w:lang w:val="en-US"/>
              </w:rPr>
              <w:t xml:space="preserve"> Australia Pty Ltd</w:t>
            </w:r>
            <w:r w:rsidRPr="00BB2840">
              <w:rPr>
                <w:szCs w:val="16"/>
              </w:rPr>
              <w:t xml:space="preserve"> </w:t>
            </w:r>
            <w:r w:rsidRPr="00BB2840">
              <w:t>(AV)</w:t>
            </w:r>
          </w:p>
        </w:tc>
      </w:tr>
      <w:tr w:rsidR="00BB2840" w:rsidRPr="00BB2840" w:rsidTr="00F66365">
        <w:trPr>
          <w:trHeight w:val="754"/>
        </w:trPr>
        <w:tc>
          <w:tcPr>
            <w:tcW w:w="1012" w:type="pct"/>
            <w:shd w:val="clear" w:color="auto" w:fill="auto"/>
          </w:tcPr>
          <w:p w:rsidR="001E1B52" w:rsidRPr="00BB2840" w:rsidRDefault="001E1B52" w:rsidP="001E1B52">
            <w:pPr>
              <w:spacing w:before="60" w:after="0"/>
              <w:jc w:val="left"/>
            </w:pPr>
            <w:proofErr w:type="spellStart"/>
            <w:r w:rsidRPr="00BB2840">
              <w:t>Clopidogrel</w:t>
            </w:r>
            <w:proofErr w:type="spellEnd"/>
            <w:r w:rsidR="005D53C0">
              <w:t xml:space="preserve"> with aspirin</w:t>
            </w:r>
          </w:p>
        </w:tc>
        <w:tc>
          <w:tcPr>
            <w:tcW w:w="1503" w:type="pct"/>
            <w:shd w:val="clear" w:color="auto" w:fill="auto"/>
          </w:tcPr>
          <w:p w:rsidR="001E1B52" w:rsidRPr="00BB2840" w:rsidRDefault="001E1B52" w:rsidP="001E1B52">
            <w:pPr>
              <w:spacing w:before="60" w:after="60"/>
              <w:jc w:val="left"/>
            </w:pPr>
            <w:r w:rsidRPr="00BB2840">
              <w:t xml:space="preserve">Tablet 75 mg (as hydrogen </w:t>
            </w:r>
            <w:proofErr w:type="spellStart"/>
            <w:r w:rsidRPr="00BB2840">
              <w:t>sulfate</w:t>
            </w:r>
            <w:proofErr w:type="spellEnd"/>
            <w:r w:rsidRPr="00BB2840">
              <w:t>)-100 mg</w:t>
            </w:r>
          </w:p>
        </w:tc>
        <w:tc>
          <w:tcPr>
            <w:tcW w:w="929" w:type="pct"/>
            <w:shd w:val="clear" w:color="auto" w:fill="auto"/>
          </w:tcPr>
          <w:p w:rsidR="001E1B52" w:rsidRPr="00BB2840" w:rsidRDefault="001E1B52" w:rsidP="001E1B52">
            <w:pPr>
              <w:spacing w:before="60" w:after="0"/>
              <w:jc w:val="left"/>
            </w:pPr>
            <w:proofErr w:type="spellStart"/>
            <w:r w:rsidRPr="00BB2840">
              <w:t>DuoCover</w:t>
            </w:r>
            <w:proofErr w:type="spellEnd"/>
          </w:p>
        </w:tc>
        <w:tc>
          <w:tcPr>
            <w:tcW w:w="1555" w:type="pct"/>
            <w:shd w:val="clear" w:color="auto" w:fill="auto"/>
          </w:tcPr>
          <w:p w:rsidR="001E1B52" w:rsidRPr="00BB2840" w:rsidRDefault="001E1B52" w:rsidP="001E1B52">
            <w:pPr>
              <w:spacing w:before="60" w:after="0"/>
              <w:jc w:val="left"/>
            </w:pPr>
            <w:r w:rsidRPr="00BB2840">
              <w:rPr>
                <w:i/>
                <w:sz w:val="16"/>
                <w:szCs w:val="16"/>
              </w:rPr>
              <w:t xml:space="preserve">From: </w:t>
            </w:r>
            <w:r w:rsidRPr="00BB2840">
              <w:rPr>
                <w:szCs w:val="16"/>
                <w:lang w:val="en-US"/>
              </w:rPr>
              <w:t>Bristol-Myers Squibb Australia Pty Ltd</w:t>
            </w:r>
            <w:r w:rsidRPr="00BB2840">
              <w:t xml:space="preserve"> (BQ)</w:t>
            </w:r>
          </w:p>
          <w:p w:rsidR="001E1B52" w:rsidRPr="00BB2840" w:rsidRDefault="001E1B52" w:rsidP="001E1B52">
            <w:pPr>
              <w:spacing w:after="60"/>
              <w:jc w:val="left"/>
            </w:pPr>
            <w:r w:rsidRPr="00BB2840">
              <w:rPr>
                <w:i/>
                <w:sz w:val="16"/>
                <w:szCs w:val="16"/>
              </w:rPr>
              <w:t xml:space="preserve">To: </w:t>
            </w:r>
            <w:proofErr w:type="spellStart"/>
            <w:r w:rsidRPr="00BB2840">
              <w:rPr>
                <w:szCs w:val="16"/>
                <w:lang w:val="en-US"/>
              </w:rPr>
              <w:t>sanofi-aventis</w:t>
            </w:r>
            <w:proofErr w:type="spellEnd"/>
            <w:r w:rsidRPr="00BB2840">
              <w:rPr>
                <w:szCs w:val="16"/>
                <w:lang w:val="en-US"/>
              </w:rPr>
              <w:t xml:space="preserve"> Australia Pty Ltd</w:t>
            </w:r>
            <w:r w:rsidRPr="00BB2840">
              <w:rPr>
                <w:szCs w:val="16"/>
              </w:rPr>
              <w:t xml:space="preserve"> </w:t>
            </w:r>
            <w:r w:rsidRPr="00BB2840">
              <w:t>(AV)</w:t>
            </w:r>
          </w:p>
        </w:tc>
      </w:tr>
      <w:tr w:rsidR="00BB2840" w:rsidRPr="00BB2840" w:rsidTr="00F66365">
        <w:trPr>
          <w:trHeight w:val="754"/>
        </w:trPr>
        <w:tc>
          <w:tcPr>
            <w:tcW w:w="1012" w:type="pct"/>
            <w:shd w:val="clear" w:color="auto" w:fill="auto"/>
          </w:tcPr>
          <w:p w:rsidR="001E1B52" w:rsidRPr="00BB2840" w:rsidRDefault="001E1B52" w:rsidP="001E1B52">
            <w:pPr>
              <w:spacing w:before="60" w:after="0"/>
              <w:jc w:val="left"/>
            </w:pPr>
            <w:proofErr w:type="spellStart"/>
            <w:r w:rsidRPr="00BB2840">
              <w:t>Irbesartan</w:t>
            </w:r>
            <w:proofErr w:type="spellEnd"/>
          </w:p>
        </w:tc>
        <w:tc>
          <w:tcPr>
            <w:tcW w:w="1503" w:type="pct"/>
            <w:shd w:val="clear" w:color="auto" w:fill="auto"/>
          </w:tcPr>
          <w:p w:rsidR="001E1B52" w:rsidRPr="00BB2840" w:rsidRDefault="001E1B52" w:rsidP="001E1B52">
            <w:pPr>
              <w:spacing w:before="60" w:after="60"/>
              <w:jc w:val="left"/>
            </w:pPr>
            <w:r w:rsidRPr="00BB2840">
              <w:t xml:space="preserve">Tablet 75 mg </w:t>
            </w:r>
            <w:r w:rsidRPr="00BB2840">
              <w:br/>
              <w:t>Tablet 150 mg</w:t>
            </w:r>
            <w:r w:rsidRPr="00BB2840">
              <w:br/>
              <w:t>Tablet 300 mg</w:t>
            </w:r>
          </w:p>
        </w:tc>
        <w:tc>
          <w:tcPr>
            <w:tcW w:w="929" w:type="pct"/>
            <w:shd w:val="clear" w:color="auto" w:fill="auto"/>
          </w:tcPr>
          <w:p w:rsidR="001E1B52" w:rsidRPr="00BB2840" w:rsidRDefault="001E1B52" w:rsidP="001E1B52">
            <w:pPr>
              <w:spacing w:before="60" w:after="0"/>
              <w:jc w:val="left"/>
            </w:pPr>
            <w:r w:rsidRPr="00BB2840">
              <w:t>Avapro</w:t>
            </w:r>
            <w:r w:rsidRPr="00BB2840">
              <w:br/>
            </w:r>
            <w:proofErr w:type="spellStart"/>
            <w:r w:rsidRPr="00BB2840">
              <w:t>Avapro</w:t>
            </w:r>
            <w:proofErr w:type="spellEnd"/>
            <w:r w:rsidRPr="00BB2840">
              <w:br/>
            </w:r>
            <w:proofErr w:type="spellStart"/>
            <w:r w:rsidRPr="00BB2840">
              <w:t>Avapro</w:t>
            </w:r>
            <w:proofErr w:type="spellEnd"/>
          </w:p>
        </w:tc>
        <w:tc>
          <w:tcPr>
            <w:tcW w:w="1555" w:type="pct"/>
            <w:shd w:val="clear" w:color="auto" w:fill="auto"/>
          </w:tcPr>
          <w:p w:rsidR="001E1B52" w:rsidRPr="00BB2840" w:rsidRDefault="001E1B52" w:rsidP="001E1B52">
            <w:pPr>
              <w:spacing w:before="60" w:after="0"/>
              <w:jc w:val="left"/>
            </w:pPr>
            <w:r w:rsidRPr="00BB2840">
              <w:rPr>
                <w:i/>
                <w:sz w:val="16"/>
                <w:szCs w:val="16"/>
              </w:rPr>
              <w:t xml:space="preserve">From: </w:t>
            </w:r>
            <w:r w:rsidRPr="00BB2840">
              <w:rPr>
                <w:szCs w:val="16"/>
                <w:lang w:val="en-US"/>
              </w:rPr>
              <w:t>Bristol-Myers Squibb Australia Pty Ltd</w:t>
            </w:r>
            <w:r w:rsidRPr="00BB2840">
              <w:t xml:space="preserve"> (BQ)</w:t>
            </w:r>
          </w:p>
          <w:p w:rsidR="001E1B52" w:rsidRPr="00BB2840" w:rsidRDefault="001E1B52" w:rsidP="001E1B52">
            <w:pPr>
              <w:spacing w:after="60"/>
              <w:jc w:val="left"/>
            </w:pPr>
            <w:r w:rsidRPr="00BB2840">
              <w:rPr>
                <w:i/>
                <w:sz w:val="16"/>
                <w:szCs w:val="16"/>
              </w:rPr>
              <w:t xml:space="preserve">To: </w:t>
            </w:r>
            <w:proofErr w:type="spellStart"/>
            <w:r w:rsidRPr="00BB2840">
              <w:rPr>
                <w:szCs w:val="16"/>
                <w:lang w:val="en-US"/>
              </w:rPr>
              <w:t>sanofi-aventis</w:t>
            </w:r>
            <w:proofErr w:type="spellEnd"/>
            <w:r w:rsidRPr="00BB2840">
              <w:rPr>
                <w:szCs w:val="16"/>
                <w:lang w:val="en-US"/>
              </w:rPr>
              <w:t xml:space="preserve"> Australia Pty Ltd</w:t>
            </w:r>
            <w:r w:rsidRPr="00BB2840">
              <w:rPr>
                <w:szCs w:val="16"/>
              </w:rPr>
              <w:t xml:space="preserve"> </w:t>
            </w:r>
            <w:r w:rsidRPr="00BB2840">
              <w:t>(AV)</w:t>
            </w:r>
          </w:p>
        </w:tc>
      </w:tr>
      <w:tr w:rsidR="00BB2840" w:rsidRPr="00BB2840" w:rsidTr="00F66365">
        <w:trPr>
          <w:trHeight w:val="754"/>
        </w:trPr>
        <w:tc>
          <w:tcPr>
            <w:tcW w:w="1012" w:type="pct"/>
            <w:shd w:val="clear" w:color="auto" w:fill="auto"/>
          </w:tcPr>
          <w:p w:rsidR="001E1B52" w:rsidRPr="00BB2840" w:rsidRDefault="001E1B52" w:rsidP="001E1B52">
            <w:pPr>
              <w:spacing w:before="60" w:after="0"/>
              <w:jc w:val="left"/>
            </w:pPr>
            <w:proofErr w:type="spellStart"/>
            <w:r w:rsidRPr="00BB2840">
              <w:t>Irbesartan</w:t>
            </w:r>
            <w:proofErr w:type="spellEnd"/>
            <w:r w:rsidRPr="00BB2840">
              <w:t xml:space="preserve"> with Hydrochlorothiazide</w:t>
            </w:r>
          </w:p>
        </w:tc>
        <w:tc>
          <w:tcPr>
            <w:tcW w:w="1503" w:type="pct"/>
            <w:shd w:val="clear" w:color="auto" w:fill="auto"/>
          </w:tcPr>
          <w:p w:rsidR="001E1B52" w:rsidRPr="00BB2840" w:rsidRDefault="001E1B52" w:rsidP="00664330">
            <w:pPr>
              <w:spacing w:before="60" w:after="60"/>
              <w:jc w:val="left"/>
            </w:pPr>
            <w:r w:rsidRPr="00BB2840">
              <w:t>Tablet 150 mg-12</w:t>
            </w:r>
            <w:r w:rsidR="00664330" w:rsidRPr="00BB2840">
              <w:t>.5 mg</w:t>
            </w:r>
            <w:r w:rsidRPr="00BB2840">
              <w:t xml:space="preserve"> </w:t>
            </w:r>
            <w:r w:rsidR="00664330" w:rsidRPr="00BB2840">
              <w:br/>
            </w:r>
            <w:r w:rsidRPr="00BB2840">
              <w:br/>
              <w:t xml:space="preserve">Tablet </w:t>
            </w:r>
            <w:r w:rsidR="00664330" w:rsidRPr="00BB2840">
              <w:t>30</w:t>
            </w:r>
            <w:r w:rsidRPr="00BB2840">
              <w:t>0 mg</w:t>
            </w:r>
            <w:r w:rsidR="00664330" w:rsidRPr="00BB2840">
              <w:t>-12.5 mg</w:t>
            </w:r>
            <w:r w:rsidR="00664330" w:rsidRPr="00BB2840">
              <w:br/>
            </w:r>
            <w:r w:rsidRPr="00BB2840">
              <w:br/>
              <w:t>Tablet 300 mg</w:t>
            </w:r>
            <w:r w:rsidR="00664330" w:rsidRPr="00BB2840">
              <w:t>-25 mg</w:t>
            </w:r>
          </w:p>
        </w:tc>
        <w:tc>
          <w:tcPr>
            <w:tcW w:w="929" w:type="pct"/>
            <w:shd w:val="clear" w:color="auto" w:fill="auto"/>
          </w:tcPr>
          <w:p w:rsidR="001E1B52" w:rsidRPr="00BB2840" w:rsidRDefault="001E1B52" w:rsidP="001E1B52">
            <w:pPr>
              <w:spacing w:before="60" w:after="0"/>
              <w:jc w:val="left"/>
            </w:pPr>
            <w:r w:rsidRPr="00BB2840">
              <w:t>Avapro</w:t>
            </w:r>
            <w:r w:rsidR="00664330" w:rsidRPr="00BB2840">
              <w:t xml:space="preserve"> HCT 150/12.5</w:t>
            </w:r>
            <w:r w:rsidRPr="00BB2840">
              <w:br/>
              <w:t>Avapro</w:t>
            </w:r>
            <w:r w:rsidR="00664330" w:rsidRPr="00BB2840">
              <w:t xml:space="preserve"> HCT 300/12.5</w:t>
            </w:r>
            <w:r w:rsidRPr="00BB2840">
              <w:br/>
              <w:t>Avapro</w:t>
            </w:r>
            <w:r w:rsidR="00664330" w:rsidRPr="00BB2840">
              <w:t xml:space="preserve"> HCT 300/25</w:t>
            </w:r>
          </w:p>
        </w:tc>
        <w:tc>
          <w:tcPr>
            <w:tcW w:w="1555" w:type="pct"/>
            <w:shd w:val="clear" w:color="auto" w:fill="auto"/>
          </w:tcPr>
          <w:p w:rsidR="001E1B52" w:rsidRPr="00BB2840" w:rsidRDefault="001E1B52" w:rsidP="001E1B52">
            <w:pPr>
              <w:spacing w:before="60" w:after="0"/>
              <w:jc w:val="left"/>
            </w:pPr>
            <w:r w:rsidRPr="00BB2840">
              <w:rPr>
                <w:i/>
                <w:sz w:val="16"/>
                <w:szCs w:val="16"/>
              </w:rPr>
              <w:t xml:space="preserve">From: </w:t>
            </w:r>
            <w:r w:rsidRPr="00BB2840">
              <w:rPr>
                <w:szCs w:val="16"/>
                <w:lang w:val="en-US"/>
              </w:rPr>
              <w:t>Bristol-Myers Squibb Australia Pty Ltd</w:t>
            </w:r>
            <w:r w:rsidRPr="00BB2840">
              <w:t xml:space="preserve"> (BQ)</w:t>
            </w:r>
          </w:p>
          <w:p w:rsidR="001E1B52" w:rsidRPr="00BB2840" w:rsidRDefault="001E1B52" w:rsidP="001E1B52">
            <w:pPr>
              <w:spacing w:after="60"/>
              <w:jc w:val="left"/>
            </w:pPr>
            <w:r w:rsidRPr="00BB2840">
              <w:rPr>
                <w:i/>
                <w:sz w:val="16"/>
                <w:szCs w:val="16"/>
              </w:rPr>
              <w:t xml:space="preserve">To: </w:t>
            </w:r>
            <w:proofErr w:type="spellStart"/>
            <w:r w:rsidRPr="00BB2840">
              <w:rPr>
                <w:szCs w:val="16"/>
                <w:lang w:val="en-US"/>
              </w:rPr>
              <w:t>sanofi-aventis</w:t>
            </w:r>
            <w:proofErr w:type="spellEnd"/>
            <w:r w:rsidRPr="00BB2840">
              <w:rPr>
                <w:szCs w:val="16"/>
                <w:lang w:val="en-US"/>
              </w:rPr>
              <w:t xml:space="preserve"> Australia Pty Ltd</w:t>
            </w:r>
            <w:r w:rsidRPr="00BB2840">
              <w:rPr>
                <w:szCs w:val="16"/>
              </w:rPr>
              <w:t xml:space="preserve"> </w:t>
            </w:r>
            <w:r w:rsidRPr="00BB2840">
              <w:t>(AV)</w:t>
            </w:r>
          </w:p>
        </w:tc>
      </w:tr>
    </w:tbl>
    <w:p w:rsidR="00F66365" w:rsidRDefault="00F66365">
      <w:r>
        <w:br w:type="page"/>
      </w:r>
    </w:p>
    <w:tbl>
      <w:tblPr>
        <w:tblW w:w="5000" w:type="pct"/>
        <w:tblLook w:val="01E0" w:firstRow="1" w:lastRow="1" w:firstColumn="1" w:lastColumn="1" w:noHBand="0" w:noVBand="0"/>
      </w:tblPr>
      <w:tblGrid>
        <w:gridCol w:w="1872"/>
        <w:gridCol w:w="2779"/>
        <w:gridCol w:w="1717"/>
        <w:gridCol w:w="2874"/>
      </w:tblGrid>
      <w:tr w:rsidR="00BB2840" w:rsidRPr="00BB2840" w:rsidTr="00F66365">
        <w:trPr>
          <w:trHeight w:val="567"/>
        </w:trPr>
        <w:tc>
          <w:tcPr>
            <w:tcW w:w="1012" w:type="pct"/>
            <w:shd w:val="clear" w:color="auto" w:fill="auto"/>
          </w:tcPr>
          <w:p w:rsidR="001E1B52" w:rsidRPr="00BB2840" w:rsidRDefault="001E1B52" w:rsidP="001E1B52">
            <w:pPr>
              <w:spacing w:before="60" w:after="0"/>
              <w:jc w:val="left"/>
            </w:pPr>
            <w:proofErr w:type="spellStart"/>
            <w:r w:rsidRPr="00BB2840">
              <w:lastRenderedPageBreak/>
              <w:t>Nebivolol</w:t>
            </w:r>
            <w:proofErr w:type="spellEnd"/>
          </w:p>
        </w:tc>
        <w:tc>
          <w:tcPr>
            <w:tcW w:w="1503" w:type="pct"/>
            <w:shd w:val="clear" w:color="auto" w:fill="auto"/>
          </w:tcPr>
          <w:p w:rsidR="001E1B52" w:rsidRPr="00BB2840" w:rsidRDefault="001E1B52" w:rsidP="001E1B52">
            <w:pPr>
              <w:spacing w:before="60" w:after="60"/>
              <w:jc w:val="left"/>
            </w:pPr>
            <w:r w:rsidRPr="00BB2840">
              <w:t>Tablet 1.25 mg (as hydrochloride)</w:t>
            </w:r>
            <w:r w:rsidRPr="00BB2840">
              <w:br/>
              <w:t>Tablet 5 mg (as hydrochloride)</w:t>
            </w:r>
            <w:r w:rsidRPr="00BB2840">
              <w:br/>
              <w:t>Tablet 10 mg (as hydrochloride)</w:t>
            </w:r>
          </w:p>
        </w:tc>
        <w:tc>
          <w:tcPr>
            <w:tcW w:w="929" w:type="pct"/>
            <w:shd w:val="clear" w:color="auto" w:fill="auto"/>
          </w:tcPr>
          <w:p w:rsidR="001E1B52" w:rsidRPr="00BB2840" w:rsidRDefault="001E1B52" w:rsidP="001E1B52">
            <w:pPr>
              <w:spacing w:before="60" w:after="0"/>
              <w:jc w:val="left"/>
            </w:pPr>
            <w:proofErr w:type="spellStart"/>
            <w:r w:rsidRPr="00BB2840">
              <w:t>Nebilet</w:t>
            </w:r>
            <w:proofErr w:type="spellEnd"/>
            <w:r w:rsidRPr="00BB2840">
              <w:br/>
            </w:r>
            <w:r w:rsidRPr="00BB2840">
              <w:br/>
            </w:r>
            <w:proofErr w:type="spellStart"/>
            <w:r w:rsidRPr="00BB2840">
              <w:t>Nebilet</w:t>
            </w:r>
            <w:proofErr w:type="spellEnd"/>
            <w:r w:rsidRPr="00BB2840">
              <w:br/>
            </w:r>
            <w:proofErr w:type="spellStart"/>
            <w:r w:rsidRPr="00BB2840">
              <w:t>Nebilet</w:t>
            </w:r>
            <w:proofErr w:type="spellEnd"/>
            <w:r w:rsidRPr="00BB2840">
              <w:br/>
            </w:r>
          </w:p>
        </w:tc>
        <w:tc>
          <w:tcPr>
            <w:tcW w:w="1555" w:type="pct"/>
            <w:shd w:val="clear" w:color="auto" w:fill="auto"/>
          </w:tcPr>
          <w:p w:rsidR="001E1B52" w:rsidRPr="00BB2840" w:rsidRDefault="001E1B52" w:rsidP="001E1B52">
            <w:pPr>
              <w:spacing w:before="60" w:after="0"/>
              <w:jc w:val="left"/>
            </w:pPr>
            <w:r w:rsidRPr="00BB2840">
              <w:rPr>
                <w:i/>
                <w:sz w:val="16"/>
                <w:szCs w:val="16"/>
              </w:rPr>
              <w:t xml:space="preserve">From: </w:t>
            </w:r>
            <w:r w:rsidRPr="00BB2840">
              <w:rPr>
                <w:szCs w:val="16"/>
                <w:lang w:val="en-US"/>
              </w:rPr>
              <w:t>CSL Biotherapies Pty Ltd</w:t>
            </w:r>
            <w:r w:rsidRPr="00BB2840">
              <w:t xml:space="preserve"> (CS)</w:t>
            </w:r>
          </w:p>
          <w:p w:rsidR="001E1B52" w:rsidRPr="00BB2840" w:rsidRDefault="001E1B52" w:rsidP="001E1B52">
            <w:pPr>
              <w:spacing w:after="0"/>
              <w:jc w:val="left"/>
            </w:pPr>
            <w:r w:rsidRPr="00BB2840">
              <w:rPr>
                <w:i/>
                <w:sz w:val="16"/>
                <w:szCs w:val="16"/>
              </w:rPr>
              <w:t xml:space="preserve">To: </w:t>
            </w:r>
            <w:proofErr w:type="spellStart"/>
            <w:r w:rsidR="00966B7A">
              <w:t>A.</w:t>
            </w:r>
            <w:bookmarkStart w:id="0" w:name="_GoBack"/>
            <w:bookmarkEnd w:id="0"/>
            <w:r w:rsidR="00F66365">
              <w:t>Menarini</w:t>
            </w:r>
            <w:proofErr w:type="spellEnd"/>
            <w:r w:rsidR="00F66365">
              <w:t xml:space="preserve"> Australia Pty Ltd </w:t>
            </w:r>
            <w:r w:rsidRPr="00BB2840">
              <w:t>(FK)</w:t>
            </w:r>
          </w:p>
        </w:tc>
      </w:tr>
      <w:tr w:rsidR="00BB2840" w:rsidRPr="00BB2840" w:rsidTr="00F66365">
        <w:trPr>
          <w:trHeight w:val="559"/>
        </w:trPr>
        <w:tc>
          <w:tcPr>
            <w:tcW w:w="1012" w:type="pct"/>
            <w:shd w:val="clear" w:color="auto" w:fill="auto"/>
          </w:tcPr>
          <w:p w:rsidR="00096668" w:rsidRPr="00BB2840" w:rsidRDefault="00096668" w:rsidP="001E1B52">
            <w:pPr>
              <w:spacing w:before="60" w:after="0"/>
              <w:jc w:val="left"/>
            </w:pPr>
            <w:r w:rsidRPr="00BB2840">
              <w:t>Oxybutynin</w:t>
            </w:r>
          </w:p>
        </w:tc>
        <w:tc>
          <w:tcPr>
            <w:tcW w:w="1503" w:type="pct"/>
            <w:shd w:val="clear" w:color="auto" w:fill="auto"/>
          </w:tcPr>
          <w:p w:rsidR="00096668" w:rsidRPr="00BB2840" w:rsidRDefault="00096668" w:rsidP="00096668">
            <w:pPr>
              <w:spacing w:before="60" w:after="60"/>
              <w:jc w:val="left"/>
            </w:pPr>
            <w:r w:rsidRPr="00BB2840">
              <w:t>Transdermal patches 36 mg, 8</w:t>
            </w:r>
            <w:r w:rsidRPr="00BB2840">
              <w:br/>
            </w:r>
          </w:p>
        </w:tc>
        <w:tc>
          <w:tcPr>
            <w:tcW w:w="929" w:type="pct"/>
            <w:shd w:val="clear" w:color="auto" w:fill="auto"/>
          </w:tcPr>
          <w:p w:rsidR="00096668" w:rsidRPr="00BB2840" w:rsidRDefault="00096668" w:rsidP="00096668">
            <w:pPr>
              <w:spacing w:before="60" w:after="0"/>
              <w:jc w:val="left"/>
            </w:pPr>
            <w:proofErr w:type="spellStart"/>
            <w:r w:rsidRPr="00BB2840">
              <w:t>Oxytrol</w:t>
            </w:r>
            <w:proofErr w:type="spellEnd"/>
            <w:r w:rsidRPr="00BB2840">
              <w:br/>
            </w:r>
          </w:p>
        </w:tc>
        <w:tc>
          <w:tcPr>
            <w:tcW w:w="1555" w:type="pct"/>
            <w:shd w:val="clear" w:color="auto" w:fill="auto"/>
          </w:tcPr>
          <w:p w:rsidR="00096668" w:rsidRPr="00BB2840" w:rsidRDefault="00096668" w:rsidP="001E1B52">
            <w:pPr>
              <w:spacing w:before="60" w:after="0"/>
              <w:jc w:val="left"/>
            </w:pPr>
            <w:r w:rsidRPr="00BB2840">
              <w:rPr>
                <w:i/>
                <w:sz w:val="16"/>
                <w:szCs w:val="16"/>
              </w:rPr>
              <w:t xml:space="preserve">From: </w:t>
            </w:r>
            <w:proofErr w:type="spellStart"/>
            <w:r w:rsidRPr="00BB2840">
              <w:rPr>
                <w:szCs w:val="16"/>
                <w:lang w:val="en-US"/>
              </w:rPr>
              <w:t>Hospira</w:t>
            </w:r>
            <w:proofErr w:type="spellEnd"/>
            <w:r w:rsidRPr="00BB2840">
              <w:rPr>
                <w:szCs w:val="16"/>
                <w:lang w:val="en-US"/>
              </w:rPr>
              <w:t xml:space="preserve"> Pty Limited</w:t>
            </w:r>
            <w:r w:rsidRPr="00BB2840">
              <w:t xml:space="preserve"> (HH)</w:t>
            </w:r>
          </w:p>
          <w:p w:rsidR="00096668" w:rsidRPr="00BB2840" w:rsidRDefault="00096668" w:rsidP="00096668">
            <w:pPr>
              <w:spacing w:after="0"/>
              <w:jc w:val="left"/>
            </w:pPr>
            <w:r w:rsidRPr="00BB2840">
              <w:rPr>
                <w:i/>
                <w:sz w:val="16"/>
                <w:szCs w:val="16"/>
              </w:rPr>
              <w:t xml:space="preserve">To: </w:t>
            </w:r>
            <w:r w:rsidRPr="00BB2840">
              <w:rPr>
                <w:szCs w:val="16"/>
                <w:lang w:val="en-US"/>
              </w:rPr>
              <w:t xml:space="preserve">Ascent </w:t>
            </w:r>
            <w:proofErr w:type="spellStart"/>
            <w:r w:rsidRPr="00BB2840">
              <w:rPr>
                <w:szCs w:val="16"/>
                <w:lang w:val="en-US"/>
              </w:rPr>
              <w:t>Pharma</w:t>
            </w:r>
            <w:proofErr w:type="spellEnd"/>
            <w:r w:rsidRPr="00BB2840">
              <w:rPr>
                <w:szCs w:val="16"/>
                <w:lang w:val="en-US"/>
              </w:rPr>
              <w:t xml:space="preserve"> Pty Ltd</w:t>
            </w:r>
            <w:r w:rsidRPr="00BB2840">
              <w:rPr>
                <w:szCs w:val="16"/>
              </w:rPr>
              <w:t xml:space="preserve"> </w:t>
            </w:r>
            <w:r w:rsidRPr="00BB2840">
              <w:t>(GM)</w:t>
            </w:r>
          </w:p>
        </w:tc>
      </w:tr>
      <w:tr w:rsidR="00BB2840" w:rsidRPr="00BB2840" w:rsidTr="00F66365">
        <w:trPr>
          <w:trHeight w:val="754"/>
        </w:trPr>
        <w:tc>
          <w:tcPr>
            <w:tcW w:w="1012" w:type="pct"/>
            <w:shd w:val="clear" w:color="auto" w:fill="auto"/>
          </w:tcPr>
          <w:p w:rsidR="00096668" w:rsidRPr="00BB2840" w:rsidRDefault="00096668" w:rsidP="001E1B52">
            <w:pPr>
              <w:spacing w:before="60" w:after="0"/>
              <w:jc w:val="left"/>
            </w:pPr>
            <w:r w:rsidRPr="00BB2840">
              <w:t>Testosterone</w:t>
            </w:r>
          </w:p>
        </w:tc>
        <w:tc>
          <w:tcPr>
            <w:tcW w:w="1503" w:type="pct"/>
            <w:shd w:val="clear" w:color="auto" w:fill="auto"/>
          </w:tcPr>
          <w:p w:rsidR="00096668" w:rsidRPr="00BB2840" w:rsidRDefault="00096668" w:rsidP="00096668">
            <w:pPr>
              <w:spacing w:before="60" w:after="60"/>
              <w:jc w:val="left"/>
            </w:pPr>
            <w:r w:rsidRPr="00BB2840">
              <w:t>Transdermal patches 12.2 mg, 60</w:t>
            </w:r>
            <w:r w:rsidRPr="00BB2840">
              <w:br/>
              <w:t>Transdermal patches 24.3 mg, 30</w:t>
            </w:r>
          </w:p>
        </w:tc>
        <w:tc>
          <w:tcPr>
            <w:tcW w:w="929" w:type="pct"/>
            <w:shd w:val="clear" w:color="auto" w:fill="auto"/>
          </w:tcPr>
          <w:p w:rsidR="00096668" w:rsidRPr="00BB2840" w:rsidRDefault="00096668" w:rsidP="00096668">
            <w:pPr>
              <w:spacing w:before="60" w:after="0"/>
              <w:jc w:val="left"/>
            </w:pPr>
            <w:proofErr w:type="spellStart"/>
            <w:r w:rsidRPr="00BB2840">
              <w:t>Androderm</w:t>
            </w:r>
            <w:proofErr w:type="spellEnd"/>
            <w:r w:rsidRPr="00BB2840">
              <w:br/>
            </w:r>
            <w:r w:rsidRPr="00BB2840">
              <w:br/>
            </w:r>
            <w:proofErr w:type="spellStart"/>
            <w:r w:rsidRPr="00BB2840">
              <w:t>Androderm</w:t>
            </w:r>
            <w:proofErr w:type="spellEnd"/>
          </w:p>
        </w:tc>
        <w:tc>
          <w:tcPr>
            <w:tcW w:w="1555" w:type="pct"/>
            <w:shd w:val="clear" w:color="auto" w:fill="auto"/>
          </w:tcPr>
          <w:p w:rsidR="00096668" w:rsidRPr="00BB2840" w:rsidRDefault="00096668" w:rsidP="001E1B52">
            <w:pPr>
              <w:spacing w:before="60" w:after="0"/>
              <w:jc w:val="left"/>
            </w:pPr>
            <w:r w:rsidRPr="00BB2840">
              <w:rPr>
                <w:i/>
                <w:sz w:val="16"/>
                <w:szCs w:val="16"/>
              </w:rPr>
              <w:t xml:space="preserve">From: </w:t>
            </w:r>
            <w:proofErr w:type="spellStart"/>
            <w:r w:rsidRPr="00BB2840">
              <w:rPr>
                <w:szCs w:val="16"/>
                <w:lang w:val="en-US"/>
              </w:rPr>
              <w:t>Hospira</w:t>
            </w:r>
            <w:proofErr w:type="spellEnd"/>
            <w:r w:rsidRPr="00BB2840">
              <w:rPr>
                <w:szCs w:val="16"/>
                <w:lang w:val="en-US"/>
              </w:rPr>
              <w:t xml:space="preserve"> Pty Limited</w:t>
            </w:r>
            <w:r w:rsidRPr="00BB2840">
              <w:t xml:space="preserve"> (HH)</w:t>
            </w:r>
          </w:p>
          <w:p w:rsidR="00096668" w:rsidRPr="00BB2840" w:rsidRDefault="00096668" w:rsidP="001E1B52">
            <w:pPr>
              <w:spacing w:after="0"/>
              <w:jc w:val="left"/>
            </w:pPr>
            <w:r w:rsidRPr="00BB2840">
              <w:rPr>
                <w:i/>
                <w:sz w:val="16"/>
                <w:szCs w:val="16"/>
              </w:rPr>
              <w:t xml:space="preserve">To: </w:t>
            </w:r>
            <w:r w:rsidRPr="00BB2840">
              <w:rPr>
                <w:szCs w:val="16"/>
                <w:lang w:val="en-US"/>
              </w:rPr>
              <w:t xml:space="preserve">Ascent </w:t>
            </w:r>
            <w:proofErr w:type="spellStart"/>
            <w:r w:rsidRPr="00BB2840">
              <w:rPr>
                <w:szCs w:val="16"/>
                <w:lang w:val="en-US"/>
              </w:rPr>
              <w:t>Pharma</w:t>
            </w:r>
            <w:proofErr w:type="spellEnd"/>
            <w:r w:rsidRPr="00BB2840">
              <w:rPr>
                <w:szCs w:val="16"/>
                <w:lang w:val="en-US"/>
              </w:rPr>
              <w:t xml:space="preserve"> Pty Ltd</w:t>
            </w:r>
            <w:r w:rsidRPr="00BB2840">
              <w:rPr>
                <w:szCs w:val="16"/>
              </w:rPr>
              <w:t xml:space="preserve"> </w:t>
            </w:r>
            <w:r w:rsidRPr="00BB2840">
              <w:t>(GM)</w:t>
            </w:r>
          </w:p>
        </w:tc>
      </w:tr>
    </w:tbl>
    <w:p w:rsidR="00461BE7" w:rsidRPr="00BB2840" w:rsidRDefault="00F418F2" w:rsidP="00461BE7">
      <w:pPr>
        <w:spacing w:before="240" w:after="0"/>
        <w:jc w:val="left"/>
        <w:rPr>
          <w:b/>
        </w:rPr>
      </w:pPr>
      <w:r w:rsidRPr="00BB2840">
        <w:rPr>
          <w:b/>
        </w:rPr>
        <w:t xml:space="preserve">Addition of </w:t>
      </w:r>
      <w:r w:rsidR="00461BE7" w:rsidRPr="00BB2840">
        <w:rPr>
          <w:b/>
        </w:rPr>
        <w:t xml:space="preserve">Responsible Person </w:t>
      </w:r>
      <w:r w:rsidRPr="00BB2840">
        <w:rPr>
          <w:b/>
        </w:rPr>
        <w:t>Code</w:t>
      </w:r>
    </w:p>
    <w:p w:rsidR="00475615" w:rsidRPr="00BB2840" w:rsidRDefault="007E4F37" w:rsidP="00CC3C23">
      <w:pPr>
        <w:spacing w:before="120" w:after="0"/>
        <w:jc w:val="left"/>
      </w:pPr>
      <w:r w:rsidRPr="00BB2840">
        <w:t>YA</w:t>
      </w:r>
      <w:r w:rsidR="00475615" w:rsidRPr="00BB2840">
        <w:t xml:space="preserve"> [</w:t>
      </w:r>
      <w:proofErr w:type="spellStart"/>
      <w:r w:rsidRPr="00BB2840">
        <w:t>Agila</w:t>
      </w:r>
      <w:proofErr w:type="spellEnd"/>
      <w:r w:rsidRPr="00BB2840">
        <w:t xml:space="preserve"> Australasia Pty Ltd</w:t>
      </w:r>
      <w:r w:rsidR="00E94174" w:rsidRPr="00BB2840">
        <w:t>]</w:t>
      </w:r>
    </w:p>
    <w:p w:rsidR="00057285" w:rsidRPr="00BB2840" w:rsidRDefault="00057285" w:rsidP="00057285">
      <w:pPr>
        <w:spacing w:before="240" w:after="0"/>
        <w:jc w:val="left"/>
        <w:rPr>
          <w:b/>
        </w:rPr>
      </w:pPr>
      <w:r>
        <w:rPr>
          <w:b/>
        </w:rPr>
        <w:t>Name change</w:t>
      </w:r>
      <w:r w:rsidRPr="00BB2840">
        <w:rPr>
          <w:b/>
        </w:rPr>
        <w:t xml:space="preserve"> of Responsible Person</w:t>
      </w:r>
    </w:p>
    <w:p w:rsidR="00057285" w:rsidRPr="00BB2840" w:rsidRDefault="00057285" w:rsidP="00057285">
      <w:pPr>
        <w:spacing w:before="120" w:after="0"/>
        <w:jc w:val="left"/>
      </w:pPr>
      <w:r w:rsidRPr="00057285">
        <w:rPr>
          <w:i/>
          <w:sz w:val="16"/>
          <w:szCs w:val="16"/>
        </w:rPr>
        <w:t>From:</w:t>
      </w:r>
      <w:r>
        <w:t xml:space="preserve"> </w:t>
      </w:r>
      <w:proofErr w:type="spellStart"/>
      <w:r w:rsidRPr="00057285">
        <w:rPr>
          <w:szCs w:val="16"/>
          <w:lang w:val="en-US"/>
        </w:rPr>
        <w:t>Invida</w:t>
      </w:r>
      <w:proofErr w:type="spellEnd"/>
      <w:r w:rsidRPr="00057285">
        <w:rPr>
          <w:szCs w:val="16"/>
          <w:lang w:val="en-US"/>
        </w:rPr>
        <w:t xml:space="preserve"> Australia Pty Ltd</w:t>
      </w:r>
      <w:r w:rsidRPr="00057285">
        <w:rPr>
          <w:szCs w:val="16"/>
        </w:rPr>
        <w:t xml:space="preserve"> </w:t>
      </w:r>
      <w:r>
        <w:rPr>
          <w:szCs w:val="16"/>
        </w:rPr>
        <w:t>[</w:t>
      </w:r>
      <w:r w:rsidRPr="00BB2840">
        <w:t>FK</w:t>
      </w:r>
      <w:proofErr w:type="gramStart"/>
      <w:r>
        <w:t xml:space="preserve">]  </w:t>
      </w:r>
      <w:r w:rsidRPr="00057285">
        <w:rPr>
          <w:i/>
          <w:sz w:val="16"/>
          <w:szCs w:val="16"/>
        </w:rPr>
        <w:t>To</w:t>
      </w:r>
      <w:proofErr w:type="gramEnd"/>
      <w:r w:rsidRPr="00057285">
        <w:rPr>
          <w:i/>
          <w:sz w:val="16"/>
          <w:szCs w:val="16"/>
        </w:rPr>
        <w:t>:</w:t>
      </w:r>
      <w:r w:rsidR="00966B7A">
        <w:t xml:space="preserve"> </w:t>
      </w:r>
      <w:proofErr w:type="spellStart"/>
      <w:r w:rsidR="00966B7A">
        <w:t>A.</w:t>
      </w:r>
      <w:r>
        <w:t>Menarini</w:t>
      </w:r>
      <w:proofErr w:type="spellEnd"/>
      <w:r>
        <w:t xml:space="preserve"> Australia Pty Ltd [FK]</w:t>
      </w:r>
    </w:p>
    <w:p w:rsidR="009E4B64" w:rsidRPr="00BB2840" w:rsidRDefault="009E4B64">
      <w:pPr>
        <w:keepLines w:val="0"/>
        <w:spacing w:after="0"/>
        <w:jc w:val="left"/>
      </w:pPr>
      <w:r w:rsidRPr="00BB2840">
        <w:br w:type="page"/>
      </w:r>
    </w:p>
    <w:p w:rsidR="006B7AEC" w:rsidRPr="00493FED" w:rsidRDefault="006B7AEC" w:rsidP="006B7AEC">
      <w:pPr>
        <w:spacing w:before="240"/>
        <w:jc w:val="left"/>
        <w:rPr>
          <w:color w:val="0000FF"/>
        </w:rPr>
      </w:pPr>
    </w:p>
    <w:p w:rsidR="00076B4C" w:rsidRPr="00E4135E" w:rsidRDefault="00076B4C" w:rsidP="00076B4C">
      <w:pPr>
        <w:spacing w:before="360"/>
        <w:jc w:val="center"/>
        <w:rPr>
          <w:b/>
          <w:sz w:val="28"/>
          <w:szCs w:val="28"/>
        </w:rPr>
      </w:pPr>
      <w:r w:rsidRPr="00E4135E">
        <w:rPr>
          <w:b/>
          <w:sz w:val="28"/>
          <w:szCs w:val="28"/>
        </w:rPr>
        <w:t>Statement of Compatibility with Human Rights</w:t>
      </w:r>
    </w:p>
    <w:p w:rsidR="00076B4C" w:rsidRDefault="00076B4C" w:rsidP="00076B4C">
      <w:pPr>
        <w:spacing w:before="120"/>
        <w:jc w:val="center"/>
        <w:rPr>
          <w:sz w:val="24"/>
          <w:szCs w:val="24"/>
        </w:rPr>
      </w:pPr>
      <w:r w:rsidRPr="00E4135E">
        <w:rPr>
          <w:i/>
          <w:sz w:val="24"/>
          <w:szCs w:val="24"/>
        </w:rPr>
        <w:t>Prepared in accordance with Part 3 of the Human Rights (Parliamentary Scrutiny) Act 2011</w:t>
      </w:r>
    </w:p>
    <w:p w:rsidR="00076B4C" w:rsidRPr="005F6D41" w:rsidRDefault="00076B4C" w:rsidP="00076B4C">
      <w:pPr>
        <w:spacing w:before="120"/>
        <w:jc w:val="center"/>
        <w:rPr>
          <w:sz w:val="24"/>
          <w:szCs w:val="24"/>
        </w:rPr>
      </w:pPr>
    </w:p>
    <w:p w:rsidR="00076B4C" w:rsidRPr="00BC788A" w:rsidRDefault="00076B4C" w:rsidP="00076B4C">
      <w:pPr>
        <w:spacing w:before="120"/>
        <w:jc w:val="center"/>
        <w:rPr>
          <w:b/>
          <w:sz w:val="24"/>
          <w:szCs w:val="24"/>
        </w:rPr>
      </w:pPr>
      <w:r w:rsidRPr="00BC788A">
        <w:rPr>
          <w:b/>
          <w:i/>
          <w:sz w:val="24"/>
          <w:szCs w:val="24"/>
        </w:rPr>
        <w:t>National Health (Listing of Pharmaceutical Benefits) Amendment Instrument 201</w:t>
      </w:r>
      <w:r w:rsidR="00092A66">
        <w:rPr>
          <w:b/>
          <w:i/>
          <w:sz w:val="24"/>
          <w:szCs w:val="24"/>
        </w:rPr>
        <w:t>3</w:t>
      </w:r>
      <w:r w:rsidRPr="00BC788A">
        <w:rPr>
          <w:b/>
          <w:i/>
          <w:sz w:val="24"/>
          <w:szCs w:val="24"/>
        </w:rPr>
        <w:br/>
        <w:t xml:space="preserve">(No. </w:t>
      </w:r>
      <w:r w:rsidR="00092A66">
        <w:rPr>
          <w:b/>
          <w:i/>
          <w:sz w:val="24"/>
          <w:szCs w:val="24"/>
        </w:rPr>
        <w:t>1</w:t>
      </w:r>
      <w:r w:rsidRPr="00BC788A">
        <w:rPr>
          <w:b/>
          <w:i/>
          <w:sz w:val="24"/>
          <w:szCs w:val="24"/>
        </w:rPr>
        <w:t>)</w:t>
      </w:r>
    </w:p>
    <w:p w:rsidR="00076B4C" w:rsidRPr="00E4135E" w:rsidRDefault="00076B4C" w:rsidP="00076B4C">
      <w:pPr>
        <w:spacing w:before="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076B4C" w:rsidRPr="00E4135E" w:rsidRDefault="00076B4C" w:rsidP="00076B4C">
      <w:pPr>
        <w:spacing w:before="120"/>
        <w:rPr>
          <w:b/>
          <w:sz w:val="24"/>
          <w:szCs w:val="24"/>
        </w:rPr>
      </w:pPr>
      <w:r w:rsidRPr="00E4135E">
        <w:rPr>
          <w:b/>
          <w:sz w:val="24"/>
          <w:szCs w:val="24"/>
        </w:rPr>
        <w:t>Overview of the Legislative Instrument</w:t>
      </w:r>
    </w:p>
    <w:p w:rsidR="00076B4C" w:rsidRPr="00E4135E" w:rsidRDefault="00076B4C" w:rsidP="00076B4C">
      <w:pPr>
        <w:spacing w:before="120"/>
        <w:rPr>
          <w:sz w:val="24"/>
          <w:szCs w:val="24"/>
        </w:rPr>
      </w:pPr>
      <w:r w:rsidRPr="001E183C">
        <w:rPr>
          <w:sz w:val="24"/>
          <w:szCs w:val="24"/>
        </w:rPr>
        <w:t xml:space="preserve">The </w:t>
      </w:r>
      <w:r w:rsidRPr="001E183C">
        <w:rPr>
          <w:i/>
          <w:sz w:val="24"/>
          <w:szCs w:val="24"/>
        </w:rPr>
        <w:t>National Health (Listing of Pharmaceutical Benefits) Amendment Instrument 201</w:t>
      </w:r>
      <w:r w:rsidR="00092A66">
        <w:rPr>
          <w:i/>
          <w:sz w:val="24"/>
          <w:szCs w:val="24"/>
        </w:rPr>
        <w:t>3</w:t>
      </w:r>
      <w:r w:rsidRPr="001E183C">
        <w:rPr>
          <w:i/>
          <w:sz w:val="24"/>
          <w:szCs w:val="24"/>
        </w:rPr>
        <w:t xml:space="preserve"> </w:t>
      </w:r>
      <w:r w:rsidRPr="001E183C">
        <w:rPr>
          <w:i/>
          <w:sz w:val="24"/>
          <w:szCs w:val="24"/>
        </w:rPr>
        <w:br/>
      </w:r>
      <w:r w:rsidRPr="006F2155">
        <w:rPr>
          <w:i/>
          <w:sz w:val="24"/>
          <w:szCs w:val="24"/>
        </w:rPr>
        <w:t xml:space="preserve">(No. </w:t>
      </w:r>
      <w:r w:rsidR="00092A66">
        <w:rPr>
          <w:i/>
          <w:sz w:val="24"/>
          <w:szCs w:val="24"/>
        </w:rPr>
        <w:t>1</w:t>
      </w:r>
      <w:r w:rsidRPr="006F2155">
        <w:rPr>
          <w:i/>
          <w:sz w:val="24"/>
          <w:szCs w:val="24"/>
        </w:rPr>
        <w:t>)</w:t>
      </w:r>
      <w:r>
        <w:rPr>
          <w:b/>
          <w:i/>
          <w:sz w:val="24"/>
          <w:szCs w:val="24"/>
        </w:rPr>
        <w:t xml:space="preserve"> </w:t>
      </w:r>
      <w:r w:rsidRPr="001E183C">
        <w:rPr>
          <w:sz w:val="24"/>
          <w:szCs w:val="24"/>
        </w:rPr>
        <w:t>amends the</w:t>
      </w:r>
      <w:r>
        <w:rPr>
          <w:b/>
          <w:i/>
          <w:sz w:val="24"/>
          <w:szCs w:val="24"/>
        </w:rPr>
        <w:t xml:space="preserve"> </w:t>
      </w:r>
      <w:r w:rsidRPr="001E183C">
        <w:rPr>
          <w:i/>
          <w:sz w:val="24"/>
          <w:szCs w:val="24"/>
        </w:rPr>
        <w:t>National Health (Listing of Pharmaceutical Benefits) Instrument 201</w:t>
      </w:r>
      <w:r w:rsidR="00A71E2F">
        <w:rPr>
          <w:i/>
          <w:sz w:val="24"/>
          <w:szCs w:val="24"/>
        </w:rPr>
        <w:t>2</w:t>
      </w:r>
      <w:r>
        <w:rPr>
          <w:b/>
          <w:i/>
          <w:sz w:val="24"/>
          <w:szCs w:val="24"/>
        </w:rPr>
        <w:t xml:space="preserve"> </w:t>
      </w:r>
      <w:r w:rsidRPr="001E183C">
        <w:rPr>
          <w:sz w:val="24"/>
          <w:szCs w:val="24"/>
        </w:rPr>
        <w:t xml:space="preserve">which determines the pharmaceutical benefits that are on the </w:t>
      </w:r>
      <w:r>
        <w:rPr>
          <w:sz w:val="24"/>
          <w:szCs w:val="24"/>
        </w:rPr>
        <w:t>Pharmaceutical Benefits Scheme</w:t>
      </w:r>
      <w:r w:rsidRPr="001E183C">
        <w:rPr>
          <w:sz w:val="24"/>
          <w:szCs w:val="24"/>
        </w:rPr>
        <w:t xml:space="preserve"> </w:t>
      </w:r>
      <w:r w:rsidRPr="00894DA1">
        <w:rPr>
          <w:sz w:val="24"/>
          <w:szCs w:val="24"/>
        </w:rPr>
        <w:t>(PBS)</w:t>
      </w:r>
      <w:r>
        <w:rPr>
          <w:sz w:val="24"/>
          <w:szCs w:val="24"/>
        </w:rPr>
        <w:t xml:space="preserve"> </w:t>
      </w:r>
      <w:r w:rsidRPr="001E183C">
        <w:rPr>
          <w:sz w:val="24"/>
          <w:szCs w:val="24"/>
        </w:rPr>
        <w:t>through declarations of drugs and medicinal preparations, and determinations of forms, manners of administration and brands.  It also provides for related matters (responsible persons, prescribing circum</w:t>
      </w:r>
      <w:r>
        <w:rPr>
          <w:sz w:val="24"/>
          <w:szCs w:val="24"/>
        </w:rPr>
        <w:t xml:space="preserve">stances, maximum quantities, </w:t>
      </w:r>
      <w:r w:rsidRPr="001E183C">
        <w:rPr>
          <w:sz w:val="24"/>
          <w:szCs w:val="24"/>
        </w:rPr>
        <w:t xml:space="preserve">numbers of repeats, </w:t>
      </w:r>
      <w:r w:rsidR="00A71E2F" w:rsidRPr="000641A7">
        <w:rPr>
          <w:sz w:val="24"/>
          <w:szCs w:val="24"/>
        </w:rPr>
        <w:t>determined quantities, pack quantities</w:t>
      </w:r>
      <w:r w:rsidR="00A71E2F">
        <w:rPr>
          <w:sz w:val="24"/>
          <w:szCs w:val="24"/>
        </w:rPr>
        <w:t xml:space="preserve"> </w:t>
      </w:r>
      <w:r w:rsidRPr="001E183C">
        <w:rPr>
          <w:sz w:val="24"/>
          <w:szCs w:val="24"/>
        </w:rPr>
        <w:t xml:space="preserve">and whether the pharmaceutical benefit is to be available only under special </w:t>
      </w:r>
      <w:r w:rsidRPr="00894DA1">
        <w:rPr>
          <w:sz w:val="24"/>
          <w:szCs w:val="24"/>
        </w:rPr>
        <w:t>arrangements).</w:t>
      </w:r>
    </w:p>
    <w:p w:rsidR="00076B4C" w:rsidRPr="00E4135E" w:rsidRDefault="00076B4C" w:rsidP="00076B4C">
      <w:pPr>
        <w:spacing w:before="120"/>
        <w:rPr>
          <w:b/>
          <w:sz w:val="24"/>
          <w:szCs w:val="24"/>
        </w:rPr>
      </w:pPr>
      <w:r w:rsidRPr="00E4135E">
        <w:rPr>
          <w:b/>
          <w:sz w:val="24"/>
          <w:szCs w:val="24"/>
        </w:rPr>
        <w:t>Human rights implications</w:t>
      </w:r>
    </w:p>
    <w:p w:rsidR="00076B4C" w:rsidRDefault="00076B4C" w:rsidP="00076B4C">
      <w:pPr>
        <w:spacing w:before="120"/>
        <w:rPr>
          <w:sz w:val="24"/>
          <w:szCs w:val="24"/>
        </w:rPr>
      </w:pPr>
      <w:r>
        <w:rPr>
          <w:sz w:val="24"/>
          <w:szCs w:val="24"/>
        </w:rPr>
        <w:t>This legislative instrument engages Article</w:t>
      </w:r>
      <w:r w:rsidR="00D73E49">
        <w:rPr>
          <w:sz w:val="24"/>
          <w:szCs w:val="24"/>
        </w:rPr>
        <w:t>s</w:t>
      </w:r>
      <w:r>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076B4C" w:rsidRPr="00E4135E" w:rsidRDefault="00076B4C" w:rsidP="00076B4C">
      <w:pPr>
        <w:spacing w:before="120"/>
        <w:rPr>
          <w:sz w:val="24"/>
          <w:szCs w:val="24"/>
        </w:rPr>
      </w:pPr>
      <w:r>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076B4C" w:rsidRPr="00E4135E" w:rsidRDefault="00076B4C" w:rsidP="00076B4C">
      <w:pPr>
        <w:spacing w:before="120"/>
        <w:rPr>
          <w:b/>
          <w:sz w:val="24"/>
          <w:szCs w:val="24"/>
        </w:rPr>
      </w:pPr>
      <w:r w:rsidRPr="00E4135E">
        <w:rPr>
          <w:b/>
          <w:sz w:val="24"/>
          <w:szCs w:val="24"/>
        </w:rPr>
        <w:t>Conclusion</w:t>
      </w:r>
    </w:p>
    <w:p w:rsidR="00076B4C" w:rsidRDefault="00076B4C" w:rsidP="00076B4C">
      <w:pPr>
        <w:spacing w:before="120"/>
        <w:rPr>
          <w:sz w:val="24"/>
          <w:szCs w:val="24"/>
        </w:rPr>
      </w:pPr>
      <w:r w:rsidRPr="00E4135E">
        <w:rPr>
          <w:sz w:val="24"/>
          <w:szCs w:val="24"/>
        </w:rPr>
        <w:t xml:space="preserve">This Legislative Instrument is compatible with human rights </w:t>
      </w:r>
      <w:r>
        <w:rPr>
          <w:sz w:val="24"/>
          <w:szCs w:val="24"/>
        </w:rPr>
        <w:t>because it advances the protection of human rights</w:t>
      </w:r>
      <w:r w:rsidRPr="00E4135E">
        <w:rPr>
          <w:sz w:val="24"/>
          <w:szCs w:val="24"/>
        </w:rPr>
        <w:t>.</w:t>
      </w:r>
    </w:p>
    <w:p w:rsidR="00FE40B3" w:rsidRDefault="00FE40B3" w:rsidP="00076B4C">
      <w:pPr>
        <w:widowControl w:val="0"/>
        <w:tabs>
          <w:tab w:val="left" w:pos="3119"/>
        </w:tabs>
        <w:spacing w:line="300" w:lineRule="atLeast"/>
        <w:jc w:val="left"/>
        <w:rPr>
          <w:sz w:val="24"/>
          <w:szCs w:val="24"/>
        </w:rPr>
      </w:pPr>
    </w:p>
    <w:p w:rsidR="00076B4C" w:rsidRPr="00CE5E54" w:rsidRDefault="00076B4C" w:rsidP="00CE5E54">
      <w:pPr>
        <w:widowControl w:val="0"/>
        <w:tabs>
          <w:tab w:val="left" w:pos="3119"/>
        </w:tabs>
        <w:spacing w:line="300" w:lineRule="atLeast"/>
        <w:jc w:val="center"/>
        <w:rPr>
          <w:b/>
          <w:sz w:val="24"/>
          <w:szCs w:val="24"/>
        </w:rPr>
      </w:pPr>
      <w:r w:rsidRPr="00CE5E54">
        <w:rPr>
          <w:b/>
          <w:sz w:val="24"/>
          <w:szCs w:val="24"/>
        </w:rPr>
        <w:t>Felicity McNeill</w:t>
      </w:r>
      <w:r w:rsidRPr="00CE5E54">
        <w:rPr>
          <w:b/>
          <w:sz w:val="24"/>
          <w:szCs w:val="24"/>
        </w:rPr>
        <w:br/>
        <w:t>First Assistant Secretary</w:t>
      </w:r>
      <w:r w:rsidRPr="00CE5E54">
        <w:rPr>
          <w:b/>
          <w:sz w:val="24"/>
          <w:szCs w:val="24"/>
        </w:rPr>
        <w:br/>
        <w:t>Pharmaceutical Benefits Division</w:t>
      </w:r>
      <w:r w:rsidRPr="00CE5E54">
        <w:rPr>
          <w:b/>
          <w:sz w:val="24"/>
          <w:szCs w:val="24"/>
        </w:rPr>
        <w:br/>
        <w:t>Department of Health and Ageing</w:t>
      </w:r>
    </w:p>
    <w:p w:rsidR="00076B4C" w:rsidRPr="009F469E" w:rsidRDefault="00076B4C" w:rsidP="005C5F00">
      <w:pPr>
        <w:spacing w:before="240"/>
        <w:jc w:val="left"/>
      </w:pPr>
    </w:p>
    <w:sectPr w:rsidR="00076B4C" w:rsidRPr="009F469E" w:rsidSect="00824159">
      <w:footerReference w:type="even" r:id="rId12"/>
      <w:footerReference w:type="default" r:id="rId13"/>
      <w:footerReference w:type="first" r:id="rId14"/>
      <w:pgSz w:w="11906" w:h="16838"/>
      <w:pgMar w:top="1079" w:right="1440" w:bottom="125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3D" w:rsidRDefault="003B513D">
      <w:r>
        <w:separator/>
      </w:r>
    </w:p>
  </w:endnote>
  <w:endnote w:type="continuationSeparator" w:id="0">
    <w:p w:rsidR="003B513D" w:rsidRDefault="003B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13D" w:rsidRDefault="003B5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B7A">
      <w:rPr>
        <w:rStyle w:val="PageNumber"/>
        <w:noProof/>
      </w:rPr>
      <w:t>2</w:t>
    </w:r>
    <w:r>
      <w:rPr>
        <w:rStyle w:val="PageNumber"/>
      </w:rPr>
      <w:fldChar w:fldCharType="end"/>
    </w:r>
  </w:p>
  <w:p w:rsidR="003B513D" w:rsidRDefault="003B513D">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pPr>
      <w:jc w:val="center"/>
    </w:pPr>
    <w:r>
      <w:fldChar w:fldCharType="begin"/>
    </w:r>
    <w:r>
      <w:instrText xml:space="preserve"> PAGE </w:instrText>
    </w:r>
    <w:r>
      <w:fldChar w:fldCharType="separate"/>
    </w:r>
    <w:r w:rsidR="00966B7A">
      <w:rPr>
        <w:noProof/>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13D" w:rsidRDefault="003B513D">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rsidP="00325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B7A">
      <w:rPr>
        <w:rStyle w:val="PageNumber"/>
        <w:noProof/>
      </w:rPr>
      <w:t>6</w:t>
    </w:r>
    <w:r>
      <w:rPr>
        <w:rStyle w:val="PageNumber"/>
      </w:rPr>
      <w:fldChar w:fldCharType="end"/>
    </w:r>
  </w:p>
  <w:p w:rsidR="003B513D" w:rsidRDefault="003B513D" w:rsidP="00325DC2">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3D" w:rsidRDefault="003B513D">
    <w:pPr>
      <w:jc w:val="center"/>
    </w:pPr>
    <w:r>
      <w:fldChar w:fldCharType="begin"/>
    </w:r>
    <w:r>
      <w:instrText xml:space="preserve"> PAGE </w:instrText>
    </w:r>
    <w:r>
      <w:fldChar w:fldCharType="separate"/>
    </w:r>
    <w:r w:rsidR="00966B7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3D" w:rsidRDefault="003B513D">
      <w:r>
        <w:separator/>
      </w:r>
    </w:p>
  </w:footnote>
  <w:footnote w:type="continuationSeparator" w:id="0">
    <w:p w:rsidR="003B513D" w:rsidRDefault="003B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50B"/>
    <w:multiLevelType w:val="hybridMultilevel"/>
    <w:tmpl w:val="786C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E6F38"/>
    <w:multiLevelType w:val="hybridMultilevel"/>
    <w:tmpl w:val="EFCC2988"/>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2">
    <w:nsid w:val="02DE2E83"/>
    <w:multiLevelType w:val="hybridMultilevel"/>
    <w:tmpl w:val="A3EACF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EF5D71"/>
    <w:multiLevelType w:val="hybridMultilevel"/>
    <w:tmpl w:val="FA58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A63194"/>
    <w:multiLevelType w:val="hybridMultilevel"/>
    <w:tmpl w:val="90AA7160"/>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
    <w:nsid w:val="0FF72822"/>
    <w:multiLevelType w:val="hybridMultilevel"/>
    <w:tmpl w:val="9CB2BD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F43FBB"/>
    <w:multiLevelType w:val="hybridMultilevel"/>
    <w:tmpl w:val="6F94F6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966F88"/>
    <w:multiLevelType w:val="hybridMultilevel"/>
    <w:tmpl w:val="FCDABAB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7460C2"/>
    <w:multiLevelType w:val="hybridMultilevel"/>
    <w:tmpl w:val="9CCC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C605CE"/>
    <w:multiLevelType w:val="hybridMultilevel"/>
    <w:tmpl w:val="D560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5A0BAA"/>
    <w:multiLevelType w:val="hybridMultilevel"/>
    <w:tmpl w:val="C13A87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2EAC49F0"/>
    <w:multiLevelType w:val="hybridMultilevel"/>
    <w:tmpl w:val="6C9E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F07BC7"/>
    <w:multiLevelType w:val="hybridMultilevel"/>
    <w:tmpl w:val="1D82745C"/>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CDF0E7EA">
      <w:start w:val="1"/>
      <w:numFmt w:val="lowerLetter"/>
      <w:lvlText w:val="(%3)"/>
      <w:lvlJc w:val="left"/>
      <w:pPr>
        <w:tabs>
          <w:tab w:val="num" w:pos="840"/>
        </w:tabs>
        <w:ind w:left="840" w:hanging="480"/>
      </w:pPr>
      <w:rPr>
        <w:rFonts w:ascii="Arial" w:hAnsi="Arial" w:cs="Arial"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937B8"/>
    <w:multiLevelType w:val="hybridMultilevel"/>
    <w:tmpl w:val="B78A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524248"/>
    <w:multiLevelType w:val="hybridMultilevel"/>
    <w:tmpl w:val="321A6B20"/>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nsid w:val="368E2CCE"/>
    <w:multiLevelType w:val="hybridMultilevel"/>
    <w:tmpl w:val="0A42D09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3E84063C"/>
    <w:multiLevelType w:val="hybridMultilevel"/>
    <w:tmpl w:val="BA90A7A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3FF906A0"/>
    <w:multiLevelType w:val="hybridMultilevel"/>
    <w:tmpl w:val="2B0E2C80"/>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nsid w:val="43ED0D51"/>
    <w:multiLevelType w:val="hybridMultilevel"/>
    <w:tmpl w:val="39E8F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2060E7"/>
    <w:multiLevelType w:val="hybridMultilevel"/>
    <w:tmpl w:val="8DE07468"/>
    <w:lvl w:ilvl="0" w:tplc="0C090003">
      <w:start w:val="1"/>
      <w:numFmt w:val="bullet"/>
      <w:lvlText w:val="o"/>
      <w:lvlJc w:val="left"/>
      <w:pPr>
        <w:ind w:left="2908" w:hanging="360"/>
      </w:pPr>
      <w:rPr>
        <w:rFonts w:ascii="Courier New" w:hAnsi="Courier New" w:cs="Courier New" w:hint="default"/>
      </w:rPr>
    </w:lvl>
    <w:lvl w:ilvl="1" w:tplc="0C090003">
      <w:start w:val="1"/>
      <w:numFmt w:val="bullet"/>
      <w:lvlText w:val="o"/>
      <w:lvlJc w:val="left"/>
      <w:pPr>
        <w:ind w:left="3628" w:hanging="360"/>
      </w:pPr>
      <w:rPr>
        <w:rFonts w:ascii="Courier New" w:hAnsi="Courier New" w:cs="Courier New" w:hint="default"/>
      </w:rPr>
    </w:lvl>
    <w:lvl w:ilvl="2" w:tplc="0C090005" w:tentative="1">
      <w:start w:val="1"/>
      <w:numFmt w:val="bullet"/>
      <w:lvlText w:val=""/>
      <w:lvlJc w:val="left"/>
      <w:pPr>
        <w:ind w:left="4348" w:hanging="360"/>
      </w:pPr>
      <w:rPr>
        <w:rFonts w:ascii="Wingdings" w:hAnsi="Wingdings" w:hint="default"/>
      </w:rPr>
    </w:lvl>
    <w:lvl w:ilvl="3" w:tplc="0C090001" w:tentative="1">
      <w:start w:val="1"/>
      <w:numFmt w:val="bullet"/>
      <w:lvlText w:val=""/>
      <w:lvlJc w:val="left"/>
      <w:pPr>
        <w:ind w:left="5068" w:hanging="360"/>
      </w:pPr>
      <w:rPr>
        <w:rFonts w:ascii="Symbol" w:hAnsi="Symbol" w:hint="default"/>
      </w:rPr>
    </w:lvl>
    <w:lvl w:ilvl="4" w:tplc="0C090003" w:tentative="1">
      <w:start w:val="1"/>
      <w:numFmt w:val="bullet"/>
      <w:lvlText w:val="o"/>
      <w:lvlJc w:val="left"/>
      <w:pPr>
        <w:ind w:left="5788" w:hanging="360"/>
      </w:pPr>
      <w:rPr>
        <w:rFonts w:ascii="Courier New" w:hAnsi="Courier New" w:cs="Courier New" w:hint="default"/>
      </w:rPr>
    </w:lvl>
    <w:lvl w:ilvl="5" w:tplc="0C090005" w:tentative="1">
      <w:start w:val="1"/>
      <w:numFmt w:val="bullet"/>
      <w:lvlText w:val=""/>
      <w:lvlJc w:val="left"/>
      <w:pPr>
        <w:ind w:left="6508" w:hanging="360"/>
      </w:pPr>
      <w:rPr>
        <w:rFonts w:ascii="Wingdings" w:hAnsi="Wingdings" w:hint="default"/>
      </w:rPr>
    </w:lvl>
    <w:lvl w:ilvl="6" w:tplc="0C090001" w:tentative="1">
      <w:start w:val="1"/>
      <w:numFmt w:val="bullet"/>
      <w:lvlText w:val=""/>
      <w:lvlJc w:val="left"/>
      <w:pPr>
        <w:ind w:left="7228" w:hanging="360"/>
      </w:pPr>
      <w:rPr>
        <w:rFonts w:ascii="Symbol" w:hAnsi="Symbol" w:hint="default"/>
      </w:rPr>
    </w:lvl>
    <w:lvl w:ilvl="7" w:tplc="0C090003" w:tentative="1">
      <w:start w:val="1"/>
      <w:numFmt w:val="bullet"/>
      <w:lvlText w:val="o"/>
      <w:lvlJc w:val="left"/>
      <w:pPr>
        <w:ind w:left="7948" w:hanging="360"/>
      </w:pPr>
      <w:rPr>
        <w:rFonts w:ascii="Courier New" w:hAnsi="Courier New" w:cs="Courier New" w:hint="default"/>
      </w:rPr>
    </w:lvl>
    <w:lvl w:ilvl="8" w:tplc="0C090005" w:tentative="1">
      <w:start w:val="1"/>
      <w:numFmt w:val="bullet"/>
      <w:lvlText w:val=""/>
      <w:lvlJc w:val="left"/>
      <w:pPr>
        <w:ind w:left="8668" w:hanging="360"/>
      </w:pPr>
      <w:rPr>
        <w:rFonts w:ascii="Wingdings" w:hAnsi="Wingdings" w:hint="default"/>
      </w:rPr>
    </w:lvl>
  </w:abstractNum>
  <w:abstractNum w:abstractNumId="20">
    <w:nsid w:val="474E316A"/>
    <w:multiLevelType w:val="hybridMultilevel"/>
    <w:tmpl w:val="F9C20F12"/>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21">
    <w:nsid w:val="488C64A5"/>
    <w:multiLevelType w:val="hybridMultilevel"/>
    <w:tmpl w:val="ABDCBF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CB7B7D"/>
    <w:multiLevelType w:val="hybridMultilevel"/>
    <w:tmpl w:val="65DC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BA24D6"/>
    <w:multiLevelType w:val="hybridMultilevel"/>
    <w:tmpl w:val="70A4A2A4"/>
    <w:lvl w:ilvl="0" w:tplc="AF421358">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4">
    <w:nsid w:val="52C51703"/>
    <w:multiLevelType w:val="hybridMultilevel"/>
    <w:tmpl w:val="112C2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C84C3F"/>
    <w:multiLevelType w:val="hybridMultilevel"/>
    <w:tmpl w:val="B99662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E1D368C"/>
    <w:multiLevelType w:val="hybridMultilevel"/>
    <w:tmpl w:val="C3E0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3959B0"/>
    <w:multiLevelType w:val="hybridMultilevel"/>
    <w:tmpl w:val="16C848C8"/>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nsid w:val="63DA72CB"/>
    <w:multiLevelType w:val="hybridMultilevel"/>
    <w:tmpl w:val="47D078F6"/>
    <w:lvl w:ilvl="0" w:tplc="0C090003">
      <w:start w:val="1"/>
      <w:numFmt w:val="bullet"/>
      <w:lvlText w:val="o"/>
      <w:lvlJc w:val="left"/>
      <w:pPr>
        <w:ind w:left="1571" w:hanging="360"/>
      </w:pPr>
      <w:rPr>
        <w:rFonts w:ascii="Courier New" w:hAnsi="Courier New" w:cs="Courier New"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65EA07EA"/>
    <w:multiLevelType w:val="hybridMultilevel"/>
    <w:tmpl w:val="79C6039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nsid w:val="69941185"/>
    <w:multiLevelType w:val="hybridMultilevel"/>
    <w:tmpl w:val="7DBC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334C4F"/>
    <w:multiLevelType w:val="hybridMultilevel"/>
    <w:tmpl w:val="BB8090AE"/>
    <w:lvl w:ilvl="0" w:tplc="841212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EB13D0F"/>
    <w:multiLevelType w:val="hybridMultilevel"/>
    <w:tmpl w:val="DC30DF64"/>
    <w:lvl w:ilvl="0" w:tplc="18C0E990">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3">
    <w:nsid w:val="6FAE4530"/>
    <w:multiLevelType w:val="hybridMultilevel"/>
    <w:tmpl w:val="B4DE5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1E47A4D"/>
    <w:multiLevelType w:val="hybridMultilevel"/>
    <w:tmpl w:val="4D2AD89C"/>
    <w:lvl w:ilvl="0" w:tplc="04090001">
      <w:start w:val="1"/>
      <w:numFmt w:val="bullet"/>
      <w:lvlText w:val=""/>
      <w:lvlJc w:val="left"/>
      <w:pPr>
        <w:tabs>
          <w:tab w:val="num" w:pos="1356"/>
        </w:tabs>
        <w:ind w:left="1356" w:hanging="360"/>
      </w:pPr>
      <w:rPr>
        <w:rFonts w:ascii="Symbol" w:hAnsi="Symbol" w:hint="default"/>
      </w:rPr>
    </w:lvl>
    <w:lvl w:ilvl="1" w:tplc="04090003" w:tentative="1">
      <w:start w:val="1"/>
      <w:numFmt w:val="bullet"/>
      <w:lvlText w:val="o"/>
      <w:lvlJc w:val="left"/>
      <w:pPr>
        <w:tabs>
          <w:tab w:val="num" w:pos="2076"/>
        </w:tabs>
        <w:ind w:left="2076" w:hanging="360"/>
      </w:pPr>
      <w:rPr>
        <w:rFonts w:ascii="Courier New" w:hAnsi="Courier New" w:cs="Courier New" w:hint="default"/>
      </w:rPr>
    </w:lvl>
    <w:lvl w:ilvl="2" w:tplc="04090005" w:tentative="1">
      <w:start w:val="1"/>
      <w:numFmt w:val="bullet"/>
      <w:lvlText w:val=""/>
      <w:lvlJc w:val="left"/>
      <w:pPr>
        <w:tabs>
          <w:tab w:val="num" w:pos="2796"/>
        </w:tabs>
        <w:ind w:left="2796" w:hanging="360"/>
      </w:pPr>
      <w:rPr>
        <w:rFonts w:ascii="Wingdings" w:hAnsi="Wingdings" w:hint="default"/>
      </w:rPr>
    </w:lvl>
    <w:lvl w:ilvl="3" w:tplc="04090001" w:tentative="1">
      <w:start w:val="1"/>
      <w:numFmt w:val="bullet"/>
      <w:lvlText w:val=""/>
      <w:lvlJc w:val="left"/>
      <w:pPr>
        <w:tabs>
          <w:tab w:val="num" w:pos="3516"/>
        </w:tabs>
        <w:ind w:left="3516" w:hanging="360"/>
      </w:pPr>
      <w:rPr>
        <w:rFonts w:ascii="Symbol" w:hAnsi="Symbol" w:hint="default"/>
      </w:rPr>
    </w:lvl>
    <w:lvl w:ilvl="4" w:tplc="04090003" w:tentative="1">
      <w:start w:val="1"/>
      <w:numFmt w:val="bullet"/>
      <w:lvlText w:val="o"/>
      <w:lvlJc w:val="left"/>
      <w:pPr>
        <w:tabs>
          <w:tab w:val="num" w:pos="4236"/>
        </w:tabs>
        <w:ind w:left="4236" w:hanging="360"/>
      </w:pPr>
      <w:rPr>
        <w:rFonts w:ascii="Courier New" w:hAnsi="Courier New" w:cs="Courier New" w:hint="default"/>
      </w:rPr>
    </w:lvl>
    <w:lvl w:ilvl="5" w:tplc="04090005" w:tentative="1">
      <w:start w:val="1"/>
      <w:numFmt w:val="bullet"/>
      <w:lvlText w:val=""/>
      <w:lvlJc w:val="left"/>
      <w:pPr>
        <w:tabs>
          <w:tab w:val="num" w:pos="4956"/>
        </w:tabs>
        <w:ind w:left="4956" w:hanging="360"/>
      </w:pPr>
      <w:rPr>
        <w:rFonts w:ascii="Wingdings" w:hAnsi="Wingdings" w:hint="default"/>
      </w:rPr>
    </w:lvl>
    <w:lvl w:ilvl="6" w:tplc="04090001" w:tentative="1">
      <w:start w:val="1"/>
      <w:numFmt w:val="bullet"/>
      <w:lvlText w:val=""/>
      <w:lvlJc w:val="left"/>
      <w:pPr>
        <w:tabs>
          <w:tab w:val="num" w:pos="5676"/>
        </w:tabs>
        <w:ind w:left="5676" w:hanging="360"/>
      </w:pPr>
      <w:rPr>
        <w:rFonts w:ascii="Symbol" w:hAnsi="Symbol" w:hint="default"/>
      </w:rPr>
    </w:lvl>
    <w:lvl w:ilvl="7" w:tplc="04090003" w:tentative="1">
      <w:start w:val="1"/>
      <w:numFmt w:val="bullet"/>
      <w:lvlText w:val="o"/>
      <w:lvlJc w:val="left"/>
      <w:pPr>
        <w:tabs>
          <w:tab w:val="num" w:pos="6396"/>
        </w:tabs>
        <w:ind w:left="6396" w:hanging="360"/>
      </w:pPr>
      <w:rPr>
        <w:rFonts w:ascii="Courier New" w:hAnsi="Courier New" w:cs="Courier New" w:hint="default"/>
      </w:rPr>
    </w:lvl>
    <w:lvl w:ilvl="8" w:tplc="04090005" w:tentative="1">
      <w:start w:val="1"/>
      <w:numFmt w:val="bullet"/>
      <w:lvlText w:val=""/>
      <w:lvlJc w:val="left"/>
      <w:pPr>
        <w:tabs>
          <w:tab w:val="num" w:pos="7116"/>
        </w:tabs>
        <w:ind w:left="7116" w:hanging="360"/>
      </w:pPr>
      <w:rPr>
        <w:rFonts w:ascii="Wingdings" w:hAnsi="Wingdings" w:hint="default"/>
      </w:rPr>
    </w:lvl>
  </w:abstractNum>
  <w:abstractNum w:abstractNumId="35">
    <w:nsid w:val="721023B0"/>
    <w:multiLevelType w:val="hybridMultilevel"/>
    <w:tmpl w:val="8C4A6E36"/>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6">
    <w:nsid w:val="72D0699B"/>
    <w:multiLevelType w:val="hybridMultilevel"/>
    <w:tmpl w:val="D8CEEAD2"/>
    <w:lvl w:ilvl="0" w:tplc="8DF2E228">
      <w:start w:val="1"/>
      <w:numFmt w:val="lowerLetter"/>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7">
    <w:nsid w:val="759056EA"/>
    <w:multiLevelType w:val="hybridMultilevel"/>
    <w:tmpl w:val="203848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nsid w:val="77C5146E"/>
    <w:multiLevelType w:val="hybridMultilevel"/>
    <w:tmpl w:val="5464D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2"/>
  </w:num>
  <w:num w:numId="2">
    <w:abstractNumId w:val="23"/>
  </w:num>
  <w:num w:numId="3">
    <w:abstractNumId w:val="36"/>
  </w:num>
  <w:num w:numId="4">
    <w:abstractNumId w:val="16"/>
  </w:num>
  <w:num w:numId="5">
    <w:abstractNumId w:val="2"/>
  </w:num>
  <w:num w:numId="6">
    <w:abstractNumId w:val="14"/>
  </w:num>
  <w:num w:numId="7">
    <w:abstractNumId w:val="5"/>
  </w:num>
  <w:num w:numId="8">
    <w:abstractNumId w:val="18"/>
  </w:num>
  <w:num w:numId="9">
    <w:abstractNumId w:val="7"/>
  </w:num>
  <w:num w:numId="10">
    <w:abstractNumId w:val="29"/>
  </w:num>
  <w:num w:numId="11">
    <w:abstractNumId w:val="9"/>
  </w:num>
  <w:num w:numId="12">
    <w:abstractNumId w:val="1"/>
  </w:num>
  <w:num w:numId="13">
    <w:abstractNumId w:val="37"/>
  </w:num>
  <w:num w:numId="14">
    <w:abstractNumId w:val="22"/>
  </w:num>
  <w:num w:numId="15">
    <w:abstractNumId w:val="13"/>
  </w:num>
  <w:num w:numId="16">
    <w:abstractNumId w:val="10"/>
  </w:num>
  <w:num w:numId="17">
    <w:abstractNumId w:val="11"/>
  </w:num>
  <w:num w:numId="18">
    <w:abstractNumId w:val="3"/>
  </w:num>
  <w:num w:numId="19">
    <w:abstractNumId w:val="0"/>
  </w:num>
  <w:num w:numId="20">
    <w:abstractNumId w:val="26"/>
  </w:num>
  <w:num w:numId="21">
    <w:abstractNumId w:val="33"/>
  </w:num>
  <w:num w:numId="22">
    <w:abstractNumId w:val="8"/>
  </w:num>
  <w:num w:numId="23">
    <w:abstractNumId w:val="34"/>
  </w:num>
  <w:num w:numId="24">
    <w:abstractNumId w:val="27"/>
  </w:num>
  <w:num w:numId="25">
    <w:abstractNumId w:val="30"/>
  </w:num>
  <w:num w:numId="26">
    <w:abstractNumId w:val="15"/>
  </w:num>
  <w:num w:numId="27">
    <w:abstractNumId w:val="20"/>
  </w:num>
  <w:num w:numId="28">
    <w:abstractNumId w:val="24"/>
  </w:num>
  <w:num w:numId="29">
    <w:abstractNumId w:val="19"/>
  </w:num>
  <w:num w:numId="30">
    <w:abstractNumId w:val="28"/>
  </w:num>
  <w:num w:numId="31">
    <w:abstractNumId w:val="21"/>
  </w:num>
  <w:num w:numId="32">
    <w:abstractNumId w:val="6"/>
  </w:num>
  <w:num w:numId="33">
    <w:abstractNumId w:val="17"/>
  </w:num>
  <w:num w:numId="34">
    <w:abstractNumId w:val="35"/>
  </w:num>
  <w:num w:numId="35">
    <w:abstractNumId w:val="4"/>
  </w:num>
  <w:num w:numId="36">
    <w:abstractNumId w:val="25"/>
  </w:num>
  <w:num w:numId="37">
    <w:abstractNumId w:val="38"/>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B7"/>
    <w:rsid w:val="000003D6"/>
    <w:rsid w:val="00000785"/>
    <w:rsid w:val="00001EB9"/>
    <w:rsid w:val="00001F75"/>
    <w:rsid w:val="0000212E"/>
    <w:rsid w:val="0000281E"/>
    <w:rsid w:val="0000340E"/>
    <w:rsid w:val="00003D07"/>
    <w:rsid w:val="000062A4"/>
    <w:rsid w:val="00006B4F"/>
    <w:rsid w:val="00006D6D"/>
    <w:rsid w:val="000078FB"/>
    <w:rsid w:val="00007AB9"/>
    <w:rsid w:val="00007D0B"/>
    <w:rsid w:val="00010126"/>
    <w:rsid w:val="00010143"/>
    <w:rsid w:val="00011289"/>
    <w:rsid w:val="0001145D"/>
    <w:rsid w:val="000126B4"/>
    <w:rsid w:val="00012A8B"/>
    <w:rsid w:val="00013CDE"/>
    <w:rsid w:val="00013F3B"/>
    <w:rsid w:val="00016B6C"/>
    <w:rsid w:val="00020B10"/>
    <w:rsid w:val="00020C7C"/>
    <w:rsid w:val="00021230"/>
    <w:rsid w:val="00021234"/>
    <w:rsid w:val="0002123E"/>
    <w:rsid w:val="000213FC"/>
    <w:rsid w:val="00022762"/>
    <w:rsid w:val="000231AB"/>
    <w:rsid w:val="00025AFA"/>
    <w:rsid w:val="0002634C"/>
    <w:rsid w:val="0002718B"/>
    <w:rsid w:val="00027538"/>
    <w:rsid w:val="00027D15"/>
    <w:rsid w:val="000308CF"/>
    <w:rsid w:val="00032534"/>
    <w:rsid w:val="00032A5D"/>
    <w:rsid w:val="00033AAA"/>
    <w:rsid w:val="00033E97"/>
    <w:rsid w:val="0003678A"/>
    <w:rsid w:val="00036975"/>
    <w:rsid w:val="00036BB2"/>
    <w:rsid w:val="00041CE9"/>
    <w:rsid w:val="00042D43"/>
    <w:rsid w:val="0004379E"/>
    <w:rsid w:val="00043A27"/>
    <w:rsid w:val="00044B1E"/>
    <w:rsid w:val="00045261"/>
    <w:rsid w:val="00045C16"/>
    <w:rsid w:val="0004689D"/>
    <w:rsid w:val="00046B75"/>
    <w:rsid w:val="00050113"/>
    <w:rsid w:val="00050138"/>
    <w:rsid w:val="00051359"/>
    <w:rsid w:val="0005223C"/>
    <w:rsid w:val="00052DEE"/>
    <w:rsid w:val="00053246"/>
    <w:rsid w:val="000533FC"/>
    <w:rsid w:val="00053570"/>
    <w:rsid w:val="0005457A"/>
    <w:rsid w:val="00054D30"/>
    <w:rsid w:val="00054E2E"/>
    <w:rsid w:val="00055B55"/>
    <w:rsid w:val="00056416"/>
    <w:rsid w:val="00057285"/>
    <w:rsid w:val="00057B18"/>
    <w:rsid w:val="00060F8F"/>
    <w:rsid w:val="000639E6"/>
    <w:rsid w:val="00063A23"/>
    <w:rsid w:val="00063B79"/>
    <w:rsid w:val="000641A7"/>
    <w:rsid w:val="000652CB"/>
    <w:rsid w:val="00065C44"/>
    <w:rsid w:val="00065D36"/>
    <w:rsid w:val="00065E38"/>
    <w:rsid w:val="00065EEF"/>
    <w:rsid w:val="00066F4A"/>
    <w:rsid w:val="00067E4D"/>
    <w:rsid w:val="0007032B"/>
    <w:rsid w:val="00070582"/>
    <w:rsid w:val="00070A77"/>
    <w:rsid w:val="00072132"/>
    <w:rsid w:val="00072158"/>
    <w:rsid w:val="00072BDB"/>
    <w:rsid w:val="000735D0"/>
    <w:rsid w:val="00073C7F"/>
    <w:rsid w:val="000746AA"/>
    <w:rsid w:val="00074D94"/>
    <w:rsid w:val="000759EB"/>
    <w:rsid w:val="00075B40"/>
    <w:rsid w:val="0007654B"/>
    <w:rsid w:val="00076B4C"/>
    <w:rsid w:val="000771A6"/>
    <w:rsid w:val="000778AF"/>
    <w:rsid w:val="00080B4E"/>
    <w:rsid w:val="00081507"/>
    <w:rsid w:val="00082836"/>
    <w:rsid w:val="0008392B"/>
    <w:rsid w:val="00083D2F"/>
    <w:rsid w:val="00084829"/>
    <w:rsid w:val="00084BC1"/>
    <w:rsid w:val="00084C7D"/>
    <w:rsid w:val="0008545D"/>
    <w:rsid w:val="00085816"/>
    <w:rsid w:val="00086549"/>
    <w:rsid w:val="00086BA9"/>
    <w:rsid w:val="00087146"/>
    <w:rsid w:val="000900A5"/>
    <w:rsid w:val="000905E4"/>
    <w:rsid w:val="000916A2"/>
    <w:rsid w:val="00091BD1"/>
    <w:rsid w:val="00091D07"/>
    <w:rsid w:val="00092A66"/>
    <w:rsid w:val="000931DA"/>
    <w:rsid w:val="00095351"/>
    <w:rsid w:val="00095643"/>
    <w:rsid w:val="00096627"/>
    <w:rsid w:val="00096668"/>
    <w:rsid w:val="00097002"/>
    <w:rsid w:val="000A15EC"/>
    <w:rsid w:val="000A172B"/>
    <w:rsid w:val="000A1D1B"/>
    <w:rsid w:val="000A1E31"/>
    <w:rsid w:val="000A2046"/>
    <w:rsid w:val="000A2803"/>
    <w:rsid w:val="000A2D14"/>
    <w:rsid w:val="000A428D"/>
    <w:rsid w:val="000A5154"/>
    <w:rsid w:val="000A788C"/>
    <w:rsid w:val="000B0FDE"/>
    <w:rsid w:val="000B12AE"/>
    <w:rsid w:val="000B280D"/>
    <w:rsid w:val="000B42F2"/>
    <w:rsid w:val="000B4342"/>
    <w:rsid w:val="000B53A8"/>
    <w:rsid w:val="000B56F2"/>
    <w:rsid w:val="000B6AC4"/>
    <w:rsid w:val="000C0045"/>
    <w:rsid w:val="000C0FFA"/>
    <w:rsid w:val="000C2535"/>
    <w:rsid w:val="000C272B"/>
    <w:rsid w:val="000C2BBB"/>
    <w:rsid w:val="000C3CD3"/>
    <w:rsid w:val="000C41D5"/>
    <w:rsid w:val="000C41DC"/>
    <w:rsid w:val="000C4FE7"/>
    <w:rsid w:val="000C52E8"/>
    <w:rsid w:val="000C581E"/>
    <w:rsid w:val="000C5AB6"/>
    <w:rsid w:val="000C62A8"/>
    <w:rsid w:val="000C7C16"/>
    <w:rsid w:val="000D028C"/>
    <w:rsid w:val="000D146E"/>
    <w:rsid w:val="000D2381"/>
    <w:rsid w:val="000D4182"/>
    <w:rsid w:val="000D4927"/>
    <w:rsid w:val="000D6CB0"/>
    <w:rsid w:val="000D7117"/>
    <w:rsid w:val="000D726F"/>
    <w:rsid w:val="000D765C"/>
    <w:rsid w:val="000E063D"/>
    <w:rsid w:val="000E0ADB"/>
    <w:rsid w:val="000E13FF"/>
    <w:rsid w:val="000E149E"/>
    <w:rsid w:val="000E3E08"/>
    <w:rsid w:val="000E5A76"/>
    <w:rsid w:val="000E65A7"/>
    <w:rsid w:val="000E7957"/>
    <w:rsid w:val="000E7E9C"/>
    <w:rsid w:val="000F0A67"/>
    <w:rsid w:val="000F0FAC"/>
    <w:rsid w:val="000F15F3"/>
    <w:rsid w:val="000F195F"/>
    <w:rsid w:val="000F21C1"/>
    <w:rsid w:val="000F25BD"/>
    <w:rsid w:val="000F2BCC"/>
    <w:rsid w:val="000F2BE4"/>
    <w:rsid w:val="000F2D97"/>
    <w:rsid w:val="000F47D8"/>
    <w:rsid w:val="000F488A"/>
    <w:rsid w:val="000F4A02"/>
    <w:rsid w:val="000F5303"/>
    <w:rsid w:val="000F5460"/>
    <w:rsid w:val="000F61F5"/>
    <w:rsid w:val="000F62B7"/>
    <w:rsid w:val="000F6BD8"/>
    <w:rsid w:val="000F6C8A"/>
    <w:rsid w:val="000F722F"/>
    <w:rsid w:val="00100824"/>
    <w:rsid w:val="001020C1"/>
    <w:rsid w:val="00102241"/>
    <w:rsid w:val="00102E33"/>
    <w:rsid w:val="0010578E"/>
    <w:rsid w:val="00106B30"/>
    <w:rsid w:val="00107D85"/>
    <w:rsid w:val="00110F93"/>
    <w:rsid w:val="00111328"/>
    <w:rsid w:val="0011175A"/>
    <w:rsid w:val="00112217"/>
    <w:rsid w:val="00112645"/>
    <w:rsid w:val="0011386D"/>
    <w:rsid w:val="0011665F"/>
    <w:rsid w:val="00122B22"/>
    <w:rsid w:val="001231B9"/>
    <w:rsid w:val="0012427D"/>
    <w:rsid w:val="00124DAC"/>
    <w:rsid w:val="00125582"/>
    <w:rsid w:val="001260FB"/>
    <w:rsid w:val="0012735D"/>
    <w:rsid w:val="00127743"/>
    <w:rsid w:val="00127AFF"/>
    <w:rsid w:val="001315DA"/>
    <w:rsid w:val="00132D64"/>
    <w:rsid w:val="0013347E"/>
    <w:rsid w:val="00133831"/>
    <w:rsid w:val="00134208"/>
    <w:rsid w:val="00134691"/>
    <w:rsid w:val="00135135"/>
    <w:rsid w:val="00135A2A"/>
    <w:rsid w:val="00136881"/>
    <w:rsid w:val="001376F9"/>
    <w:rsid w:val="0014098B"/>
    <w:rsid w:val="00140C6E"/>
    <w:rsid w:val="00141202"/>
    <w:rsid w:val="001417F4"/>
    <w:rsid w:val="0014258B"/>
    <w:rsid w:val="00142833"/>
    <w:rsid w:val="00142905"/>
    <w:rsid w:val="00144712"/>
    <w:rsid w:val="0014475F"/>
    <w:rsid w:val="00144EC2"/>
    <w:rsid w:val="001452CA"/>
    <w:rsid w:val="00145B04"/>
    <w:rsid w:val="00146053"/>
    <w:rsid w:val="0014701D"/>
    <w:rsid w:val="001478CE"/>
    <w:rsid w:val="0015129F"/>
    <w:rsid w:val="00151FCB"/>
    <w:rsid w:val="001524A1"/>
    <w:rsid w:val="0015253F"/>
    <w:rsid w:val="001531C2"/>
    <w:rsid w:val="0015456E"/>
    <w:rsid w:val="001556EC"/>
    <w:rsid w:val="00155A48"/>
    <w:rsid w:val="001567CC"/>
    <w:rsid w:val="00156E20"/>
    <w:rsid w:val="00157656"/>
    <w:rsid w:val="00157CDA"/>
    <w:rsid w:val="00160306"/>
    <w:rsid w:val="00163328"/>
    <w:rsid w:val="00164814"/>
    <w:rsid w:val="00164ABA"/>
    <w:rsid w:val="001659B2"/>
    <w:rsid w:val="00166AF4"/>
    <w:rsid w:val="00166B6A"/>
    <w:rsid w:val="00166E79"/>
    <w:rsid w:val="0016721D"/>
    <w:rsid w:val="001700A2"/>
    <w:rsid w:val="001715FC"/>
    <w:rsid w:val="00172040"/>
    <w:rsid w:val="001727E9"/>
    <w:rsid w:val="00172EA6"/>
    <w:rsid w:val="001733CF"/>
    <w:rsid w:val="001736B9"/>
    <w:rsid w:val="001745C4"/>
    <w:rsid w:val="001766A8"/>
    <w:rsid w:val="00176842"/>
    <w:rsid w:val="001768FE"/>
    <w:rsid w:val="0017756E"/>
    <w:rsid w:val="00177F8C"/>
    <w:rsid w:val="00180152"/>
    <w:rsid w:val="0018038F"/>
    <w:rsid w:val="001806D4"/>
    <w:rsid w:val="00180824"/>
    <w:rsid w:val="00180EC6"/>
    <w:rsid w:val="00181524"/>
    <w:rsid w:val="001816D2"/>
    <w:rsid w:val="00182E43"/>
    <w:rsid w:val="0018394C"/>
    <w:rsid w:val="00183B56"/>
    <w:rsid w:val="0018456D"/>
    <w:rsid w:val="00184DD7"/>
    <w:rsid w:val="0018521E"/>
    <w:rsid w:val="00185459"/>
    <w:rsid w:val="001877DE"/>
    <w:rsid w:val="00187CFC"/>
    <w:rsid w:val="001901E8"/>
    <w:rsid w:val="00191320"/>
    <w:rsid w:val="00191C9C"/>
    <w:rsid w:val="001934E5"/>
    <w:rsid w:val="00193C2F"/>
    <w:rsid w:val="00196574"/>
    <w:rsid w:val="0019711E"/>
    <w:rsid w:val="00197607"/>
    <w:rsid w:val="001A049E"/>
    <w:rsid w:val="001A0D53"/>
    <w:rsid w:val="001A1413"/>
    <w:rsid w:val="001A18C9"/>
    <w:rsid w:val="001A258E"/>
    <w:rsid w:val="001A2F06"/>
    <w:rsid w:val="001A32BF"/>
    <w:rsid w:val="001A3F4D"/>
    <w:rsid w:val="001A4564"/>
    <w:rsid w:val="001A4F1D"/>
    <w:rsid w:val="001A511E"/>
    <w:rsid w:val="001A5256"/>
    <w:rsid w:val="001A5711"/>
    <w:rsid w:val="001A5B93"/>
    <w:rsid w:val="001A5B97"/>
    <w:rsid w:val="001A643B"/>
    <w:rsid w:val="001A64C6"/>
    <w:rsid w:val="001A6D11"/>
    <w:rsid w:val="001B0603"/>
    <w:rsid w:val="001B07CC"/>
    <w:rsid w:val="001B0D17"/>
    <w:rsid w:val="001B2BC4"/>
    <w:rsid w:val="001B490C"/>
    <w:rsid w:val="001B5070"/>
    <w:rsid w:val="001B530C"/>
    <w:rsid w:val="001B65BA"/>
    <w:rsid w:val="001B6E0F"/>
    <w:rsid w:val="001B6F02"/>
    <w:rsid w:val="001C00FB"/>
    <w:rsid w:val="001C0640"/>
    <w:rsid w:val="001C1719"/>
    <w:rsid w:val="001C228E"/>
    <w:rsid w:val="001C22AF"/>
    <w:rsid w:val="001C3B5F"/>
    <w:rsid w:val="001C4648"/>
    <w:rsid w:val="001C4D8A"/>
    <w:rsid w:val="001C5639"/>
    <w:rsid w:val="001C5F96"/>
    <w:rsid w:val="001C7447"/>
    <w:rsid w:val="001D0753"/>
    <w:rsid w:val="001D0E98"/>
    <w:rsid w:val="001D1306"/>
    <w:rsid w:val="001D1C05"/>
    <w:rsid w:val="001D2CA7"/>
    <w:rsid w:val="001D2EF3"/>
    <w:rsid w:val="001D3194"/>
    <w:rsid w:val="001D38F0"/>
    <w:rsid w:val="001D46AF"/>
    <w:rsid w:val="001D7946"/>
    <w:rsid w:val="001E0786"/>
    <w:rsid w:val="001E1780"/>
    <w:rsid w:val="001E1B52"/>
    <w:rsid w:val="001E2226"/>
    <w:rsid w:val="001E23C7"/>
    <w:rsid w:val="001E314E"/>
    <w:rsid w:val="001E3EB0"/>
    <w:rsid w:val="001E4E60"/>
    <w:rsid w:val="001E5904"/>
    <w:rsid w:val="001E59E6"/>
    <w:rsid w:val="001E5BBB"/>
    <w:rsid w:val="001E638F"/>
    <w:rsid w:val="001E6874"/>
    <w:rsid w:val="001E6D80"/>
    <w:rsid w:val="001F11C7"/>
    <w:rsid w:val="001F19A6"/>
    <w:rsid w:val="001F1A95"/>
    <w:rsid w:val="001F1C67"/>
    <w:rsid w:val="001F27C5"/>
    <w:rsid w:val="001F387D"/>
    <w:rsid w:val="001F48F0"/>
    <w:rsid w:val="001F51AA"/>
    <w:rsid w:val="001F5BB7"/>
    <w:rsid w:val="001F6257"/>
    <w:rsid w:val="001F667A"/>
    <w:rsid w:val="001F7284"/>
    <w:rsid w:val="001F79B7"/>
    <w:rsid w:val="001F7B7E"/>
    <w:rsid w:val="00201528"/>
    <w:rsid w:val="00201C57"/>
    <w:rsid w:val="00203DE1"/>
    <w:rsid w:val="0020612F"/>
    <w:rsid w:val="0020659C"/>
    <w:rsid w:val="00206678"/>
    <w:rsid w:val="002071FD"/>
    <w:rsid w:val="002074C5"/>
    <w:rsid w:val="00207702"/>
    <w:rsid w:val="00207C6A"/>
    <w:rsid w:val="00210417"/>
    <w:rsid w:val="002115A9"/>
    <w:rsid w:val="00212391"/>
    <w:rsid w:val="002132EB"/>
    <w:rsid w:val="0021377D"/>
    <w:rsid w:val="0021421A"/>
    <w:rsid w:val="00214898"/>
    <w:rsid w:val="00214C19"/>
    <w:rsid w:val="00214CAB"/>
    <w:rsid w:val="00214FC6"/>
    <w:rsid w:val="002160C2"/>
    <w:rsid w:val="002167B0"/>
    <w:rsid w:val="00217387"/>
    <w:rsid w:val="00217768"/>
    <w:rsid w:val="00220EC6"/>
    <w:rsid w:val="002219E8"/>
    <w:rsid w:val="00222261"/>
    <w:rsid w:val="0022512A"/>
    <w:rsid w:val="00225676"/>
    <w:rsid w:val="00227188"/>
    <w:rsid w:val="00227BA7"/>
    <w:rsid w:val="00227DAD"/>
    <w:rsid w:val="00230047"/>
    <w:rsid w:val="00230077"/>
    <w:rsid w:val="00230749"/>
    <w:rsid w:val="00230A20"/>
    <w:rsid w:val="002310DA"/>
    <w:rsid w:val="00231796"/>
    <w:rsid w:val="002325F3"/>
    <w:rsid w:val="00232BEE"/>
    <w:rsid w:val="00232C04"/>
    <w:rsid w:val="002336A5"/>
    <w:rsid w:val="00233F8E"/>
    <w:rsid w:val="0023448A"/>
    <w:rsid w:val="002347AD"/>
    <w:rsid w:val="00234D79"/>
    <w:rsid w:val="00234E31"/>
    <w:rsid w:val="002359DD"/>
    <w:rsid w:val="00235C7F"/>
    <w:rsid w:val="002361B3"/>
    <w:rsid w:val="002376CE"/>
    <w:rsid w:val="00237CC0"/>
    <w:rsid w:val="00237FBA"/>
    <w:rsid w:val="00240028"/>
    <w:rsid w:val="0024028B"/>
    <w:rsid w:val="002404F8"/>
    <w:rsid w:val="00240940"/>
    <w:rsid w:val="00242520"/>
    <w:rsid w:val="002425C8"/>
    <w:rsid w:val="00244F74"/>
    <w:rsid w:val="00244FFA"/>
    <w:rsid w:val="00247BED"/>
    <w:rsid w:val="00250F49"/>
    <w:rsid w:val="00251382"/>
    <w:rsid w:val="00251D2E"/>
    <w:rsid w:val="00252976"/>
    <w:rsid w:val="002540CE"/>
    <w:rsid w:val="002568B4"/>
    <w:rsid w:val="00256B57"/>
    <w:rsid w:val="00256CBA"/>
    <w:rsid w:val="00257175"/>
    <w:rsid w:val="00260A1D"/>
    <w:rsid w:val="002618F8"/>
    <w:rsid w:val="002626DD"/>
    <w:rsid w:val="00263FE1"/>
    <w:rsid w:val="0026477E"/>
    <w:rsid w:val="00265030"/>
    <w:rsid w:val="00267A58"/>
    <w:rsid w:val="00270CEF"/>
    <w:rsid w:val="002718E1"/>
    <w:rsid w:val="00271BEC"/>
    <w:rsid w:val="002721C6"/>
    <w:rsid w:val="00273689"/>
    <w:rsid w:val="00273F79"/>
    <w:rsid w:val="00273FD9"/>
    <w:rsid w:val="002745E7"/>
    <w:rsid w:val="002749B4"/>
    <w:rsid w:val="00275249"/>
    <w:rsid w:val="00276846"/>
    <w:rsid w:val="002768D2"/>
    <w:rsid w:val="00276C22"/>
    <w:rsid w:val="00276EA4"/>
    <w:rsid w:val="00277055"/>
    <w:rsid w:val="00277796"/>
    <w:rsid w:val="00277B78"/>
    <w:rsid w:val="00277CA5"/>
    <w:rsid w:val="0028034D"/>
    <w:rsid w:val="00281FB0"/>
    <w:rsid w:val="002822AB"/>
    <w:rsid w:val="0028238B"/>
    <w:rsid w:val="002825AD"/>
    <w:rsid w:val="0028294A"/>
    <w:rsid w:val="00283480"/>
    <w:rsid w:val="00283627"/>
    <w:rsid w:val="00284446"/>
    <w:rsid w:val="002864B9"/>
    <w:rsid w:val="002872F2"/>
    <w:rsid w:val="00287D2B"/>
    <w:rsid w:val="002901A2"/>
    <w:rsid w:val="002904B6"/>
    <w:rsid w:val="002917FD"/>
    <w:rsid w:val="00292298"/>
    <w:rsid w:val="0029234A"/>
    <w:rsid w:val="00292431"/>
    <w:rsid w:val="002924CF"/>
    <w:rsid w:val="00292974"/>
    <w:rsid w:val="00293430"/>
    <w:rsid w:val="00293543"/>
    <w:rsid w:val="002939D3"/>
    <w:rsid w:val="002945F8"/>
    <w:rsid w:val="0029480D"/>
    <w:rsid w:val="002963BC"/>
    <w:rsid w:val="00296FC0"/>
    <w:rsid w:val="00297591"/>
    <w:rsid w:val="00297B7B"/>
    <w:rsid w:val="002A0014"/>
    <w:rsid w:val="002A119B"/>
    <w:rsid w:val="002A2088"/>
    <w:rsid w:val="002A23AD"/>
    <w:rsid w:val="002A273F"/>
    <w:rsid w:val="002A3395"/>
    <w:rsid w:val="002A3633"/>
    <w:rsid w:val="002A5C40"/>
    <w:rsid w:val="002A5F62"/>
    <w:rsid w:val="002A6081"/>
    <w:rsid w:val="002A6659"/>
    <w:rsid w:val="002A72F8"/>
    <w:rsid w:val="002A7B1E"/>
    <w:rsid w:val="002B1ABA"/>
    <w:rsid w:val="002B2226"/>
    <w:rsid w:val="002B228A"/>
    <w:rsid w:val="002B2B24"/>
    <w:rsid w:val="002B2BE9"/>
    <w:rsid w:val="002B3A89"/>
    <w:rsid w:val="002B4E57"/>
    <w:rsid w:val="002B50AE"/>
    <w:rsid w:val="002B53BB"/>
    <w:rsid w:val="002B6BBC"/>
    <w:rsid w:val="002B6F77"/>
    <w:rsid w:val="002C0425"/>
    <w:rsid w:val="002C0443"/>
    <w:rsid w:val="002C0828"/>
    <w:rsid w:val="002C124F"/>
    <w:rsid w:val="002C33F2"/>
    <w:rsid w:val="002C3899"/>
    <w:rsid w:val="002C47AA"/>
    <w:rsid w:val="002C484F"/>
    <w:rsid w:val="002C4B1E"/>
    <w:rsid w:val="002C53B6"/>
    <w:rsid w:val="002C60B5"/>
    <w:rsid w:val="002C72F6"/>
    <w:rsid w:val="002C7437"/>
    <w:rsid w:val="002C7A7B"/>
    <w:rsid w:val="002C7F72"/>
    <w:rsid w:val="002C7FAA"/>
    <w:rsid w:val="002D0D41"/>
    <w:rsid w:val="002D1455"/>
    <w:rsid w:val="002D1909"/>
    <w:rsid w:val="002D1C3D"/>
    <w:rsid w:val="002D1D07"/>
    <w:rsid w:val="002D2B1F"/>
    <w:rsid w:val="002D335A"/>
    <w:rsid w:val="002D3B48"/>
    <w:rsid w:val="002D4638"/>
    <w:rsid w:val="002D4D04"/>
    <w:rsid w:val="002D556F"/>
    <w:rsid w:val="002D5DE4"/>
    <w:rsid w:val="002E126D"/>
    <w:rsid w:val="002E1408"/>
    <w:rsid w:val="002E1A61"/>
    <w:rsid w:val="002E1FD9"/>
    <w:rsid w:val="002E2825"/>
    <w:rsid w:val="002E3EDF"/>
    <w:rsid w:val="002E4BFE"/>
    <w:rsid w:val="002E4DA0"/>
    <w:rsid w:val="002E51F0"/>
    <w:rsid w:val="002E5A3D"/>
    <w:rsid w:val="002E5D2F"/>
    <w:rsid w:val="002E5DD9"/>
    <w:rsid w:val="002E6953"/>
    <w:rsid w:val="002E75D8"/>
    <w:rsid w:val="002E7620"/>
    <w:rsid w:val="002E763F"/>
    <w:rsid w:val="002E76CF"/>
    <w:rsid w:val="002E7F04"/>
    <w:rsid w:val="002F0305"/>
    <w:rsid w:val="002F1136"/>
    <w:rsid w:val="002F198C"/>
    <w:rsid w:val="002F260A"/>
    <w:rsid w:val="002F3104"/>
    <w:rsid w:val="002F3C74"/>
    <w:rsid w:val="002F3DBB"/>
    <w:rsid w:val="002F46E8"/>
    <w:rsid w:val="002F5895"/>
    <w:rsid w:val="002F60FA"/>
    <w:rsid w:val="002F6B19"/>
    <w:rsid w:val="002F6E2D"/>
    <w:rsid w:val="002F6E59"/>
    <w:rsid w:val="002F75DE"/>
    <w:rsid w:val="002F771A"/>
    <w:rsid w:val="002F795A"/>
    <w:rsid w:val="002F7CC7"/>
    <w:rsid w:val="003026FB"/>
    <w:rsid w:val="00305876"/>
    <w:rsid w:val="00305AD4"/>
    <w:rsid w:val="00305CCE"/>
    <w:rsid w:val="00305D46"/>
    <w:rsid w:val="00306072"/>
    <w:rsid w:val="0030699C"/>
    <w:rsid w:val="003074B9"/>
    <w:rsid w:val="00307F1E"/>
    <w:rsid w:val="0031032D"/>
    <w:rsid w:val="00310669"/>
    <w:rsid w:val="00310B66"/>
    <w:rsid w:val="00310EE7"/>
    <w:rsid w:val="0031133C"/>
    <w:rsid w:val="003114C5"/>
    <w:rsid w:val="003116A8"/>
    <w:rsid w:val="00311BD2"/>
    <w:rsid w:val="00312F83"/>
    <w:rsid w:val="00313007"/>
    <w:rsid w:val="00313D1A"/>
    <w:rsid w:val="0031548D"/>
    <w:rsid w:val="0031670E"/>
    <w:rsid w:val="00316B93"/>
    <w:rsid w:val="00316F38"/>
    <w:rsid w:val="00317A4E"/>
    <w:rsid w:val="003200FE"/>
    <w:rsid w:val="003203AF"/>
    <w:rsid w:val="00320470"/>
    <w:rsid w:val="00320475"/>
    <w:rsid w:val="0032071F"/>
    <w:rsid w:val="00321412"/>
    <w:rsid w:val="00321839"/>
    <w:rsid w:val="00321D26"/>
    <w:rsid w:val="003226FE"/>
    <w:rsid w:val="00324EC5"/>
    <w:rsid w:val="00325DC2"/>
    <w:rsid w:val="00326052"/>
    <w:rsid w:val="00326534"/>
    <w:rsid w:val="0032660D"/>
    <w:rsid w:val="00331728"/>
    <w:rsid w:val="00334F6C"/>
    <w:rsid w:val="003354D7"/>
    <w:rsid w:val="00335A61"/>
    <w:rsid w:val="00335EFC"/>
    <w:rsid w:val="00337828"/>
    <w:rsid w:val="00337F70"/>
    <w:rsid w:val="00340BCF"/>
    <w:rsid w:val="00341284"/>
    <w:rsid w:val="00341644"/>
    <w:rsid w:val="003418E1"/>
    <w:rsid w:val="00344110"/>
    <w:rsid w:val="00344272"/>
    <w:rsid w:val="00344549"/>
    <w:rsid w:val="00344586"/>
    <w:rsid w:val="00344D73"/>
    <w:rsid w:val="00345A02"/>
    <w:rsid w:val="0034703A"/>
    <w:rsid w:val="00352807"/>
    <w:rsid w:val="0035287E"/>
    <w:rsid w:val="00353D57"/>
    <w:rsid w:val="0035433B"/>
    <w:rsid w:val="003547DB"/>
    <w:rsid w:val="00355456"/>
    <w:rsid w:val="00356263"/>
    <w:rsid w:val="0035630A"/>
    <w:rsid w:val="00356375"/>
    <w:rsid w:val="00356734"/>
    <w:rsid w:val="00360477"/>
    <w:rsid w:val="00362532"/>
    <w:rsid w:val="0036280D"/>
    <w:rsid w:val="00363831"/>
    <w:rsid w:val="00364CAF"/>
    <w:rsid w:val="003657B6"/>
    <w:rsid w:val="00365D05"/>
    <w:rsid w:val="00366B24"/>
    <w:rsid w:val="00367875"/>
    <w:rsid w:val="00372820"/>
    <w:rsid w:val="00373FFB"/>
    <w:rsid w:val="00374318"/>
    <w:rsid w:val="00374DA7"/>
    <w:rsid w:val="00374ECB"/>
    <w:rsid w:val="003764CA"/>
    <w:rsid w:val="00376585"/>
    <w:rsid w:val="00377FE2"/>
    <w:rsid w:val="00380350"/>
    <w:rsid w:val="0038127A"/>
    <w:rsid w:val="00381B89"/>
    <w:rsid w:val="00381C08"/>
    <w:rsid w:val="00382032"/>
    <w:rsid w:val="003823D4"/>
    <w:rsid w:val="00383F0A"/>
    <w:rsid w:val="003842EB"/>
    <w:rsid w:val="0038496E"/>
    <w:rsid w:val="0038739F"/>
    <w:rsid w:val="00390AD8"/>
    <w:rsid w:val="00391D05"/>
    <w:rsid w:val="00391F92"/>
    <w:rsid w:val="0039212A"/>
    <w:rsid w:val="00392437"/>
    <w:rsid w:val="00392852"/>
    <w:rsid w:val="00393197"/>
    <w:rsid w:val="00393EF7"/>
    <w:rsid w:val="00393F93"/>
    <w:rsid w:val="0039485F"/>
    <w:rsid w:val="003949BE"/>
    <w:rsid w:val="00394D1A"/>
    <w:rsid w:val="00396A80"/>
    <w:rsid w:val="00396D5B"/>
    <w:rsid w:val="0039712A"/>
    <w:rsid w:val="003974C5"/>
    <w:rsid w:val="003A0C6C"/>
    <w:rsid w:val="003A1A40"/>
    <w:rsid w:val="003A2266"/>
    <w:rsid w:val="003A272F"/>
    <w:rsid w:val="003A3503"/>
    <w:rsid w:val="003A3DCF"/>
    <w:rsid w:val="003A3FA0"/>
    <w:rsid w:val="003A505A"/>
    <w:rsid w:val="003A6207"/>
    <w:rsid w:val="003A797D"/>
    <w:rsid w:val="003B022D"/>
    <w:rsid w:val="003B02F4"/>
    <w:rsid w:val="003B044A"/>
    <w:rsid w:val="003B0B62"/>
    <w:rsid w:val="003B1673"/>
    <w:rsid w:val="003B1748"/>
    <w:rsid w:val="003B1909"/>
    <w:rsid w:val="003B29DA"/>
    <w:rsid w:val="003B2CAC"/>
    <w:rsid w:val="003B2CD3"/>
    <w:rsid w:val="003B471C"/>
    <w:rsid w:val="003B489B"/>
    <w:rsid w:val="003B513D"/>
    <w:rsid w:val="003B6FC7"/>
    <w:rsid w:val="003B755F"/>
    <w:rsid w:val="003B7655"/>
    <w:rsid w:val="003C09B2"/>
    <w:rsid w:val="003C0D2F"/>
    <w:rsid w:val="003C15BE"/>
    <w:rsid w:val="003C185D"/>
    <w:rsid w:val="003C1B5D"/>
    <w:rsid w:val="003C23A6"/>
    <w:rsid w:val="003C25E0"/>
    <w:rsid w:val="003C3C43"/>
    <w:rsid w:val="003C3D01"/>
    <w:rsid w:val="003C4044"/>
    <w:rsid w:val="003C40A8"/>
    <w:rsid w:val="003C4168"/>
    <w:rsid w:val="003C4466"/>
    <w:rsid w:val="003C6BC8"/>
    <w:rsid w:val="003C7C46"/>
    <w:rsid w:val="003D0513"/>
    <w:rsid w:val="003D07C6"/>
    <w:rsid w:val="003D0B6D"/>
    <w:rsid w:val="003D1E8D"/>
    <w:rsid w:val="003D1EB0"/>
    <w:rsid w:val="003D2802"/>
    <w:rsid w:val="003D2D69"/>
    <w:rsid w:val="003D7170"/>
    <w:rsid w:val="003E0089"/>
    <w:rsid w:val="003E058F"/>
    <w:rsid w:val="003E07D7"/>
    <w:rsid w:val="003E11E6"/>
    <w:rsid w:val="003E1533"/>
    <w:rsid w:val="003E1CC5"/>
    <w:rsid w:val="003E23F7"/>
    <w:rsid w:val="003E2DC6"/>
    <w:rsid w:val="003E365B"/>
    <w:rsid w:val="003E3B8F"/>
    <w:rsid w:val="003E46D6"/>
    <w:rsid w:val="003E4ADC"/>
    <w:rsid w:val="003E4F46"/>
    <w:rsid w:val="003E567B"/>
    <w:rsid w:val="003E5992"/>
    <w:rsid w:val="003E5DA5"/>
    <w:rsid w:val="003E6276"/>
    <w:rsid w:val="003E708A"/>
    <w:rsid w:val="003E7ADE"/>
    <w:rsid w:val="003E7B26"/>
    <w:rsid w:val="003E7B97"/>
    <w:rsid w:val="003E7DF1"/>
    <w:rsid w:val="003F0E89"/>
    <w:rsid w:val="003F0E9A"/>
    <w:rsid w:val="003F0F0F"/>
    <w:rsid w:val="003F1F0D"/>
    <w:rsid w:val="003F2D97"/>
    <w:rsid w:val="003F4382"/>
    <w:rsid w:val="003F50BF"/>
    <w:rsid w:val="003F55E5"/>
    <w:rsid w:val="003F6680"/>
    <w:rsid w:val="003F6C7B"/>
    <w:rsid w:val="003F7606"/>
    <w:rsid w:val="00400346"/>
    <w:rsid w:val="004003BA"/>
    <w:rsid w:val="00400CFC"/>
    <w:rsid w:val="00400FAC"/>
    <w:rsid w:val="00402459"/>
    <w:rsid w:val="00402A14"/>
    <w:rsid w:val="004031A2"/>
    <w:rsid w:val="00404E99"/>
    <w:rsid w:val="00405680"/>
    <w:rsid w:val="00405821"/>
    <w:rsid w:val="00406A83"/>
    <w:rsid w:val="00411D97"/>
    <w:rsid w:val="00413317"/>
    <w:rsid w:val="0041445D"/>
    <w:rsid w:val="00414E09"/>
    <w:rsid w:val="00414F06"/>
    <w:rsid w:val="00415FE4"/>
    <w:rsid w:val="004163B3"/>
    <w:rsid w:val="00416946"/>
    <w:rsid w:val="00416D60"/>
    <w:rsid w:val="0042056C"/>
    <w:rsid w:val="004206AC"/>
    <w:rsid w:val="0042089C"/>
    <w:rsid w:val="004214E8"/>
    <w:rsid w:val="004243DE"/>
    <w:rsid w:val="00424A57"/>
    <w:rsid w:val="0042536C"/>
    <w:rsid w:val="0042548C"/>
    <w:rsid w:val="004268D9"/>
    <w:rsid w:val="00426D0B"/>
    <w:rsid w:val="00427394"/>
    <w:rsid w:val="004276E4"/>
    <w:rsid w:val="004307F3"/>
    <w:rsid w:val="00431CD4"/>
    <w:rsid w:val="00432165"/>
    <w:rsid w:val="00432268"/>
    <w:rsid w:val="004327E6"/>
    <w:rsid w:val="004339A4"/>
    <w:rsid w:val="0043558F"/>
    <w:rsid w:val="00435DC3"/>
    <w:rsid w:val="0043653A"/>
    <w:rsid w:val="004367AD"/>
    <w:rsid w:val="004367B6"/>
    <w:rsid w:val="00440F06"/>
    <w:rsid w:val="004414F6"/>
    <w:rsid w:val="004418EA"/>
    <w:rsid w:val="00442B7A"/>
    <w:rsid w:val="00443EA8"/>
    <w:rsid w:val="00443F5F"/>
    <w:rsid w:val="00445D22"/>
    <w:rsid w:val="004464E6"/>
    <w:rsid w:val="004469B9"/>
    <w:rsid w:val="00447A29"/>
    <w:rsid w:val="004501B9"/>
    <w:rsid w:val="004505AE"/>
    <w:rsid w:val="00450CC1"/>
    <w:rsid w:val="0045154C"/>
    <w:rsid w:val="0045192E"/>
    <w:rsid w:val="0045352A"/>
    <w:rsid w:val="004543A0"/>
    <w:rsid w:val="0045580B"/>
    <w:rsid w:val="004576B5"/>
    <w:rsid w:val="00460AEF"/>
    <w:rsid w:val="00461BE7"/>
    <w:rsid w:val="004628C8"/>
    <w:rsid w:val="00463187"/>
    <w:rsid w:val="00463957"/>
    <w:rsid w:val="00463B27"/>
    <w:rsid w:val="00463F13"/>
    <w:rsid w:val="00466D98"/>
    <w:rsid w:val="00467079"/>
    <w:rsid w:val="0046729A"/>
    <w:rsid w:val="00470728"/>
    <w:rsid w:val="004712AB"/>
    <w:rsid w:val="0047205D"/>
    <w:rsid w:val="0047297B"/>
    <w:rsid w:val="004732AF"/>
    <w:rsid w:val="004732EF"/>
    <w:rsid w:val="004739A5"/>
    <w:rsid w:val="004746D4"/>
    <w:rsid w:val="00474790"/>
    <w:rsid w:val="00475615"/>
    <w:rsid w:val="0047596C"/>
    <w:rsid w:val="004768EC"/>
    <w:rsid w:val="00476EFF"/>
    <w:rsid w:val="004771CD"/>
    <w:rsid w:val="00480C38"/>
    <w:rsid w:val="004821D4"/>
    <w:rsid w:val="0048287C"/>
    <w:rsid w:val="00482FA5"/>
    <w:rsid w:val="00483EBD"/>
    <w:rsid w:val="0048562F"/>
    <w:rsid w:val="00485D64"/>
    <w:rsid w:val="00486340"/>
    <w:rsid w:val="004868D2"/>
    <w:rsid w:val="00487737"/>
    <w:rsid w:val="00491830"/>
    <w:rsid w:val="00491BAA"/>
    <w:rsid w:val="00492248"/>
    <w:rsid w:val="00493215"/>
    <w:rsid w:val="00493FED"/>
    <w:rsid w:val="00494F21"/>
    <w:rsid w:val="00495616"/>
    <w:rsid w:val="00496D3A"/>
    <w:rsid w:val="0049730D"/>
    <w:rsid w:val="004974D7"/>
    <w:rsid w:val="004A0423"/>
    <w:rsid w:val="004A0FC6"/>
    <w:rsid w:val="004A257B"/>
    <w:rsid w:val="004A5094"/>
    <w:rsid w:val="004A522D"/>
    <w:rsid w:val="004B02A2"/>
    <w:rsid w:val="004B03A1"/>
    <w:rsid w:val="004B067A"/>
    <w:rsid w:val="004B12BA"/>
    <w:rsid w:val="004B1C86"/>
    <w:rsid w:val="004B1CCC"/>
    <w:rsid w:val="004B2A01"/>
    <w:rsid w:val="004B2B09"/>
    <w:rsid w:val="004B310A"/>
    <w:rsid w:val="004B315B"/>
    <w:rsid w:val="004B3524"/>
    <w:rsid w:val="004B54D8"/>
    <w:rsid w:val="004B62BD"/>
    <w:rsid w:val="004B6CA4"/>
    <w:rsid w:val="004B6D3B"/>
    <w:rsid w:val="004B7716"/>
    <w:rsid w:val="004B78A2"/>
    <w:rsid w:val="004C05E8"/>
    <w:rsid w:val="004C0F09"/>
    <w:rsid w:val="004C1E77"/>
    <w:rsid w:val="004C26A4"/>
    <w:rsid w:val="004C42D5"/>
    <w:rsid w:val="004C552F"/>
    <w:rsid w:val="004C60A1"/>
    <w:rsid w:val="004C668F"/>
    <w:rsid w:val="004C7160"/>
    <w:rsid w:val="004D0702"/>
    <w:rsid w:val="004D0EBF"/>
    <w:rsid w:val="004D0F7F"/>
    <w:rsid w:val="004D10CC"/>
    <w:rsid w:val="004D1E8B"/>
    <w:rsid w:val="004D2845"/>
    <w:rsid w:val="004D297F"/>
    <w:rsid w:val="004D4513"/>
    <w:rsid w:val="004D53E6"/>
    <w:rsid w:val="004D5636"/>
    <w:rsid w:val="004D574F"/>
    <w:rsid w:val="004D5FCD"/>
    <w:rsid w:val="004D652B"/>
    <w:rsid w:val="004D70F6"/>
    <w:rsid w:val="004D7103"/>
    <w:rsid w:val="004D726D"/>
    <w:rsid w:val="004D72DF"/>
    <w:rsid w:val="004D7841"/>
    <w:rsid w:val="004E2B89"/>
    <w:rsid w:val="004E3125"/>
    <w:rsid w:val="004E364F"/>
    <w:rsid w:val="004E3920"/>
    <w:rsid w:val="004E3A45"/>
    <w:rsid w:val="004E4A25"/>
    <w:rsid w:val="004E4A64"/>
    <w:rsid w:val="004E5D12"/>
    <w:rsid w:val="004E6B29"/>
    <w:rsid w:val="004E7C6C"/>
    <w:rsid w:val="004F193B"/>
    <w:rsid w:val="004F24B1"/>
    <w:rsid w:val="004F40AA"/>
    <w:rsid w:val="004F6827"/>
    <w:rsid w:val="004F7632"/>
    <w:rsid w:val="004F7925"/>
    <w:rsid w:val="005019F7"/>
    <w:rsid w:val="00501EE3"/>
    <w:rsid w:val="005028B4"/>
    <w:rsid w:val="00504759"/>
    <w:rsid w:val="00504E20"/>
    <w:rsid w:val="00505184"/>
    <w:rsid w:val="00505EF2"/>
    <w:rsid w:val="00506273"/>
    <w:rsid w:val="005073C9"/>
    <w:rsid w:val="00507C45"/>
    <w:rsid w:val="005103E1"/>
    <w:rsid w:val="00511706"/>
    <w:rsid w:val="005124CB"/>
    <w:rsid w:val="005127AF"/>
    <w:rsid w:val="00512DBE"/>
    <w:rsid w:val="0051444B"/>
    <w:rsid w:val="00515CD7"/>
    <w:rsid w:val="00516B91"/>
    <w:rsid w:val="00516E71"/>
    <w:rsid w:val="00517665"/>
    <w:rsid w:val="0052011E"/>
    <w:rsid w:val="00522604"/>
    <w:rsid w:val="00522C2B"/>
    <w:rsid w:val="00523BA8"/>
    <w:rsid w:val="005242C9"/>
    <w:rsid w:val="00526455"/>
    <w:rsid w:val="00526AC7"/>
    <w:rsid w:val="0052719E"/>
    <w:rsid w:val="0053316A"/>
    <w:rsid w:val="00533F5B"/>
    <w:rsid w:val="00534252"/>
    <w:rsid w:val="00535073"/>
    <w:rsid w:val="0053517A"/>
    <w:rsid w:val="005354F1"/>
    <w:rsid w:val="005358FF"/>
    <w:rsid w:val="00535959"/>
    <w:rsid w:val="0053643E"/>
    <w:rsid w:val="00536D65"/>
    <w:rsid w:val="00537542"/>
    <w:rsid w:val="00537C12"/>
    <w:rsid w:val="005410AA"/>
    <w:rsid w:val="0054116F"/>
    <w:rsid w:val="0054126F"/>
    <w:rsid w:val="00541779"/>
    <w:rsid w:val="00541D6B"/>
    <w:rsid w:val="005424C0"/>
    <w:rsid w:val="0054282F"/>
    <w:rsid w:val="00542B6E"/>
    <w:rsid w:val="00544D3C"/>
    <w:rsid w:val="00545A80"/>
    <w:rsid w:val="00545FA3"/>
    <w:rsid w:val="005461B9"/>
    <w:rsid w:val="00547420"/>
    <w:rsid w:val="005474C6"/>
    <w:rsid w:val="00547A0C"/>
    <w:rsid w:val="00550307"/>
    <w:rsid w:val="005509AC"/>
    <w:rsid w:val="00552183"/>
    <w:rsid w:val="00552C31"/>
    <w:rsid w:val="0055323B"/>
    <w:rsid w:val="0055352B"/>
    <w:rsid w:val="00554204"/>
    <w:rsid w:val="00554437"/>
    <w:rsid w:val="00554F19"/>
    <w:rsid w:val="005551EB"/>
    <w:rsid w:val="00555A0D"/>
    <w:rsid w:val="00555BF2"/>
    <w:rsid w:val="005570E8"/>
    <w:rsid w:val="00557764"/>
    <w:rsid w:val="00557C48"/>
    <w:rsid w:val="00560780"/>
    <w:rsid w:val="0056106C"/>
    <w:rsid w:val="00561D45"/>
    <w:rsid w:val="005621D4"/>
    <w:rsid w:val="00563203"/>
    <w:rsid w:val="005633B7"/>
    <w:rsid w:val="00563796"/>
    <w:rsid w:val="00564843"/>
    <w:rsid w:val="00564A69"/>
    <w:rsid w:val="00564B0D"/>
    <w:rsid w:val="00564C48"/>
    <w:rsid w:val="0056762C"/>
    <w:rsid w:val="00570848"/>
    <w:rsid w:val="005712D1"/>
    <w:rsid w:val="00573513"/>
    <w:rsid w:val="00573CE4"/>
    <w:rsid w:val="00574BBF"/>
    <w:rsid w:val="00575305"/>
    <w:rsid w:val="0057537D"/>
    <w:rsid w:val="005754A7"/>
    <w:rsid w:val="00576C70"/>
    <w:rsid w:val="005804FA"/>
    <w:rsid w:val="0058059D"/>
    <w:rsid w:val="00580AA1"/>
    <w:rsid w:val="00580B8A"/>
    <w:rsid w:val="00580DDE"/>
    <w:rsid w:val="0058111F"/>
    <w:rsid w:val="005817BE"/>
    <w:rsid w:val="00581D4E"/>
    <w:rsid w:val="005821E1"/>
    <w:rsid w:val="00582A85"/>
    <w:rsid w:val="00582CD8"/>
    <w:rsid w:val="00585159"/>
    <w:rsid w:val="00585626"/>
    <w:rsid w:val="00585927"/>
    <w:rsid w:val="00587961"/>
    <w:rsid w:val="0059171E"/>
    <w:rsid w:val="00591CF1"/>
    <w:rsid w:val="00592FBB"/>
    <w:rsid w:val="005932DF"/>
    <w:rsid w:val="00593D57"/>
    <w:rsid w:val="005948A7"/>
    <w:rsid w:val="00594C6D"/>
    <w:rsid w:val="0059525C"/>
    <w:rsid w:val="00595C79"/>
    <w:rsid w:val="0059653D"/>
    <w:rsid w:val="00597510"/>
    <w:rsid w:val="00597932"/>
    <w:rsid w:val="00597BCE"/>
    <w:rsid w:val="005A02D1"/>
    <w:rsid w:val="005A08F6"/>
    <w:rsid w:val="005A223B"/>
    <w:rsid w:val="005A306B"/>
    <w:rsid w:val="005A3B04"/>
    <w:rsid w:val="005A5665"/>
    <w:rsid w:val="005A63CB"/>
    <w:rsid w:val="005B09CF"/>
    <w:rsid w:val="005B1880"/>
    <w:rsid w:val="005B2E07"/>
    <w:rsid w:val="005B3495"/>
    <w:rsid w:val="005B47C0"/>
    <w:rsid w:val="005B48D3"/>
    <w:rsid w:val="005B5F56"/>
    <w:rsid w:val="005B61C6"/>
    <w:rsid w:val="005B7EBD"/>
    <w:rsid w:val="005B7F21"/>
    <w:rsid w:val="005C0C81"/>
    <w:rsid w:val="005C0EB0"/>
    <w:rsid w:val="005C15FD"/>
    <w:rsid w:val="005C1A45"/>
    <w:rsid w:val="005C28C0"/>
    <w:rsid w:val="005C3225"/>
    <w:rsid w:val="005C3CA4"/>
    <w:rsid w:val="005C42C9"/>
    <w:rsid w:val="005C4593"/>
    <w:rsid w:val="005C52F8"/>
    <w:rsid w:val="005C5781"/>
    <w:rsid w:val="005C5E0D"/>
    <w:rsid w:val="005C5F00"/>
    <w:rsid w:val="005C7246"/>
    <w:rsid w:val="005C75B2"/>
    <w:rsid w:val="005D09B4"/>
    <w:rsid w:val="005D10D4"/>
    <w:rsid w:val="005D2539"/>
    <w:rsid w:val="005D459B"/>
    <w:rsid w:val="005D4EE2"/>
    <w:rsid w:val="005D51A1"/>
    <w:rsid w:val="005D53C0"/>
    <w:rsid w:val="005D5BEC"/>
    <w:rsid w:val="005D5DD9"/>
    <w:rsid w:val="005D6227"/>
    <w:rsid w:val="005D6568"/>
    <w:rsid w:val="005D7B09"/>
    <w:rsid w:val="005D7C15"/>
    <w:rsid w:val="005E0107"/>
    <w:rsid w:val="005E0DA7"/>
    <w:rsid w:val="005E15E4"/>
    <w:rsid w:val="005E214C"/>
    <w:rsid w:val="005E27BC"/>
    <w:rsid w:val="005E323D"/>
    <w:rsid w:val="005E4F65"/>
    <w:rsid w:val="005E517F"/>
    <w:rsid w:val="005E520C"/>
    <w:rsid w:val="005E692A"/>
    <w:rsid w:val="005E754E"/>
    <w:rsid w:val="005F201D"/>
    <w:rsid w:val="005F2243"/>
    <w:rsid w:val="005F340A"/>
    <w:rsid w:val="005F52F6"/>
    <w:rsid w:val="005F662A"/>
    <w:rsid w:val="005F6DA7"/>
    <w:rsid w:val="005F6DE1"/>
    <w:rsid w:val="0060088F"/>
    <w:rsid w:val="00600C73"/>
    <w:rsid w:val="00602D9D"/>
    <w:rsid w:val="006073A4"/>
    <w:rsid w:val="00607629"/>
    <w:rsid w:val="00607843"/>
    <w:rsid w:val="0060792C"/>
    <w:rsid w:val="00610603"/>
    <w:rsid w:val="00611B5D"/>
    <w:rsid w:val="00612104"/>
    <w:rsid w:val="00613911"/>
    <w:rsid w:val="00615D52"/>
    <w:rsid w:val="00616374"/>
    <w:rsid w:val="00620587"/>
    <w:rsid w:val="00620957"/>
    <w:rsid w:val="006216F2"/>
    <w:rsid w:val="006218DD"/>
    <w:rsid w:val="00622AB1"/>
    <w:rsid w:val="0062306B"/>
    <w:rsid w:val="006246D3"/>
    <w:rsid w:val="006251E7"/>
    <w:rsid w:val="0062523A"/>
    <w:rsid w:val="006263B9"/>
    <w:rsid w:val="00626723"/>
    <w:rsid w:val="00626FEB"/>
    <w:rsid w:val="00630C9B"/>
    <w:rsid w:val="00631360"/>
    <w:rsid w:val="00631993"/>
    <w:rsid w:val="006337FC"/>
    <w:rsid w:val="00633F6A"/>
    <w:rsid w:val="0063550A"/>
    <w:rsid w:val="00635ED4"/>
    <w:rsid w:val="00635F54"/>
    <w:rsid w:val="006368C8"/>
    <w:rsid w:val="0064072C"/>
    <w:rsid w:val="00640BD1"/>
    <w:rsid w:val="00640DBB"/>
    <w:rsid w:val="00640FF3"/>
    <w:rsid w:val="00641D96"/>
    <w:rsid w:val="00642442"/>
    <w:rsid w:val="006430FE"/>
    <w:rsid w:val="00645321"/>
    <w:rsid w:val="00645F25"/>
    <w:rsid w:val="006461D4"/>
    <w:rsid w:val="00646207"/>
    <w:rsid w:val="006505FE"/>
    <w:rsid w:val="00651150"/>
    <w:rsid w:val="006513D4"/>
    <w:rsid w:val="00654573"/>
    <w:rsid w:val="00654942"/>
    <w:rsid w:val="00655A55"/>
    <w:rsid w:val="006605D1"/>
    <w:rsid w:val="006605E7"/>
    <w:rsid w:val="00660A63"/>
    <w:rsid w:val="006612AF"/>
    <w:rsid w:val="006612C1"/>
    <w:rsid w:val="00661C25"/>
    <w:rsid w:val="006622D4"/>
    <w:rsid w:val="006631B1"/>
    <w:rsid w:val="006634CD"/>
    <w:rsid w:val="00664330"/>
    <w:rsid w:val="0066480A"/>
    <w:rsid w:val="00665908"/>
    <w:rsid w:val="00665BAB"/>
    <w:rsid w:val="00665D7E"/>
    <w:rsid w:val="00666492"/>
    <w:rsid w:val="006667C9"/>
    <w:rsid w:val="00667599"/>
    <w:rsid w:val="00670B3F"/>
    <w:rsid w:val="00670FA0"/>
    <w:rsid w:val="006710D7"/>
    <w:rsid w:val="00671907"/>
    <w:rsid w:val="00671F3A"/>
    <w:rsid w:val="0067233D"/>
    <w:rsid w:val="006724FB"/>
    <w:rsid w:val="00673646"/>
    <w:rsid w:val="00673A40"/>
    <w:rsid w:val="00675960"/>
    <w:rsid w:val="00675D1E"/>
    <w:rsid w:val="006764A4"/>
    <w:rsid w:val="00676753"/>
    <w:rsid w:val="00677C7C"/>
    <w:rsid w:val="00677CE3"/>
    <w:rsid w:val="006804FE"/>
    <w:rsid w:val="0068141E"/>
    <w:rsid w:val="00681C9F"/>
    <w:rsid w:val="00681DD4"/>
    <w:rsid w:val="006827F9"/>
    <w:rsid w:val="00682DB6"/>
    <w:rsid w:val="00683422"/>
    <w:rsid w:val="00683C7A"/>
    <w:rsid w:val="00684A9E"/>
    <w:rsid w:val="00687F23"/>
    <w:rsid w:val="00692480"/>
    <w:rsid w:val="006925C7"/>
    <w:rsid w:val="006929C7"/>
    <w:rsid w:val="006933B1"/>
    <w:rsid w:val="00693832"/>
    <w:rsid w:val="006944C1"/>
    <w:rsid w:val="0069512D"/>
    <w:rsid w:val="00695521"/>
    <w:rsid w:val="006964C4"/>
    <w:rsid w:val="006969E4"/>
    <w:rsid w:val="00697A3A"/>
    <w:rsid w:val="00697D1F"/>
    <w:rsid w:val="00697F20"/>
    <w:rsid w:val="006A0868"/>
    <w:rsid w:val="006A0D2C"/>
    <w:rsid w:val="006A3B37"/>
    <w:rsid w:val="006A3FBE"/>
    <w:rsid w:val="006A4347"/>
    <w:rsid w:val="006A734B"/>
    <w:rsid w:val="006A7EBF"/>
    <w:rsid w:val="006B1547"/>
    <w:rsid w:val="006B1789"/>
    <w:rsid w:val="006B1B6C"/>
    <w:rsid w:val="006B335B"/>
    <w:rsid w:val="006B3377"/>
    <w:rsid w:val="006B45EF"/>
    <w:rsid w:val="006B4D72"/>
    <w:rsid w:val="006B5703"/>
    <w:rsid w:val="006B5CC3"/>
    <w:rsid w:val="006B64FD"/>
    <w:rsid w:val="006B68DB"/>
    <w:rsid w:val="006B7AEC"/>
    <w:rsid w:val="006B7EA8"/>
    <w:rsid w:val="006B7EC3"/>
    <w:rsid w:val="006C132A"/>
    <w:rsid w:val="006C22C6"/>
    <w:rsid w:val="006C39B9"/>
    <w:rsid w:val="006C410C"/>
    <w:rsid w:val="006C6902"/>
    <w:rsid w:val="006C7420"/>
    <w:rsid w:val="006C7661"/>
    <w:rsid w:val="006D03FD"/>
    <w:rsid w:val="006D0453"/>
    <w:rsid w:val="006D0CF2"/>
    <w:rsid w:val="006D1058"/>
    <w:rsid w:val="006D1C31"/>
    <w:rsid w:val="006D1DD8"/>
    <w:rsid w:val="006D3848"/>
    <w:rsid w:val="006D3BD0"/>
    <w:rsid w:val="006D4D3D"/>
    <w:rsid w:val="006D57BA"/>
    <w:rsid w:val="006D5903"/>
    <w:rsid w:val="006D595D"/>
    <w:rsid w:val="006D64A1"/>
    <w:rsid w:val="006D70C3"/>
    <w:rsid w:val="006D7AE8"/>
    <w:rsid w:val="006D7D0A"/>
    <w:rsid w:val="006E199B"/>
    <w:rsid w:val="006E2260"/>
    <w:rsid w:val="006E331C"/>
    <w:rsid w:val="006E3981"/>
    <w:rsid w:val="006E3BF5"/>
    <w:rsid w:val="006E6D2E"/>
    <w:rsid w:val="006E7F37"/>
    <w:rsid w:val="006F0AE4"/>
    <w:rsid w:val="006F0C07"/>
    <w:rsid w:val="006F0D74"/>
    <w:rsid w:val="006F1FDA"/>
    <w:rsid w:val="006F2155"/>
    <w:rsid w:val="006F26A9"/>
    <w:rsid w:val="006F2849"/>
    <w:rsid w:val="006F2B6D"/>
    <w:rsid w:val="006F3162"/>
    <w:rsid w:val="006F3498"/>
    <w:rsid w:val="006F38B0"/>
    <w:rsid w:val="006F3FEA"/>
    <w:rsid w:val="006F4D44"/>
    <w:rsid w:val="006F55BE"/>
    <w:rsid w:val="006F580A"/>
    <w:rsid w:val="006F670D"/>
    <w:rsid w:val="006F7F5C"/>
    <w:rsid w:val="007007E5"/>
    <w:rsid w:val="0070153F"/>
    <w:rsid w:val="00701AFD"/>
    <w:rsid w:val="00703227"/>
    <w:rsid w:val="0070350F"/>
    <w:rsid w:val="00704057"/>
    <w:rsid w:val="00704CC4"/>
    <w:rsid w:val="00707113"/>
    <w:rsid w:val="007118B8"/>
    <w:rsid w:val="00711939"/>
    <w:rsid w:val="00711F6A"/>
    <w:rsid w:val="0071213F"/>
    <w:rsid w:val="00712418"/>
    <w:rsid w:val="00714616"/>
    <w:rsid w:val="00714F17"/>
    <w:rsid w:val="00715591"/>
    <w:rsid w:val="00715A7C"/>
    <w:rsid w:val="00715DA1"/>
    <w:rsid w:val="0071644A"/>
    <w:rsid w:val="007205A8"/>
    <w:rsid w:val="007206F7"/>
    <w:rsid w:val="0072108C"/>
    <w:rsid w:val="007224C9"/>
    <w:rsid w:val="00722B46"/>
    <w:rsid w:val="007234D7"/>
    <w:rsid w:val="00724AA9"/>
    <w:rsid w:val="00725A6A"/>
    <w:rsid w:val="00726869"/>
    <w:rsid w:val="00727A60"/>
    <w:rsid w:val="00730610"/>
    <w:rsid w:val="00730DE6"/>
    <w:rsid w:val="00732BD7"/>
    <w:rsid w:val="007331B8"/>
    <w:rsid w:val="00733CDB"/>
    <w:rsid w:val="00733ED6"/>
    <w:rsid w:val="00734B9B"/>
    <w:rsid w:val="00734BB3"/>
    <w:rsid w:val="00736339"/>
    <w:rsid w:val="00736973"/>
    <w:rsid w:val="00736A54"/>
    <w:rsid w:val="0073703F"/>
    <w:rsid w:val="0073726D"/>
    <w:rsid w:val="007400F6"/>
    <w:rsid w:val="007402EA"/>
    <w:rsid w:val="0074084E"/>
    <w:rsid w:val="00741FE8"/>
    <w:rsid w:val="00742D55"/>
    <w:rsid w:val="00743111"/>
    <w:rsid w:val="00743268"/>
    <w:rsid w:val="007433D9"/>
    <w:rsid w:val="00743B8D"/>
    <w:rsid w:val="00743E83"/>
    <w:rsid w:val="00744183"/>
    <w:rsid w:val="00744789"/>
    <w:rsid w:val="00744B98"/>
    <w:rsid w:val="007450AC"/>
    <w:rsid w:val="00745EBC"/>
    <w:rsid w:val="00746DE9"/>
    <w:rsid w:val="007505BA"/>
    <w:rsid w:val="00751449"/>
    <w:rsid w:val="007515B2"/>
    <w:rsid w:val="00751D29"/>
    <w:rsid w:val="00752085"/>
    <w:rsid w:val="00752D87"/>
    <w:rsid w:val="00752E96"/>
    <w:rsid w:val="007533E4"/>
    <w:rsid w:val="00754C24"/>
    <w:rsid w:val="00755AE2"/>
    <w:rsid w:val="00756363"/>
    <w:rsid w:val="00757781"/>
    <w:rsid w:val="00760382"/>
    <w:rsid w:val="007625D4"/>
    <w:rsid w:val="00762BB2"/>
    <w:rsid w:val="0076429E"/>
    <w:rsid w:val="00765F9E"/>
    <w:rsid w:val="007666E5"/>
    <w:rsid w:val="007676A1"/>
    <w:rsid w:val="00767B0D"/>
    <w:rsid w:val="007704E5"/>
    <w:rsid w:val="00770656"/>
    <w:rsid w:val="00772F94"/>
    <w:rsid w:val="0077517D"/>
    <w:rsid w:val="0077657A"/>
    <w:rsid w:val="007766C0"/>
    <w:rsid w:val="007770ED"/>
    <w:rsid w:val="00777225"/>
    <w:rsid w:val="007772F5"/>
    <w:rsid w:val="007806E5"/>
    <w:rsid w:val="00781EB0"/>
    <w:rsid w:val="00782319"/>
    <w:rsid w:val="00782BD9"/>
    <w:rsid w:val="00782F80"/>
    <w:rsid w:val="00784271"/>
    <w:rsid w:val="0078467E"/>
    <w:rsid w:val="00784C22"/>
    <w:rsid w:val="00785676"/>
    <w:rsid w:val="00785AA0"/>
    <w:rsid w:val="0078668A"/>
    <w:rsid w:val="007866A8"/>
    <w:rsid w:val="00786BCF"/>
    <w:rsid w:val="00790238"/>
    <w:rsid w:val="00793A23"/>
    <w:rsid w:val="00793F42"/>
    <w:rsid w:val="00795113"/>
    <w:rsid w:val="007953D1"/>
    <w:rsid w:val="00795695"/>
    <w:rsid w:val="007964E4"/>
    <w:rsid w:val="00796591"/>
    <w:rsid w:val="0079777F"/>
    <w:rsid w:val="00797CCB"/>
    <w:rsid w:val="007A0281"/>
    <w:rsid w:val="007A154F"/>
    <w:rsid w:val="007A24A3"/>
    <w:rsid w:val="007A2CB4"/>
    <w:rsid w:val="007A3B69"/>
    <w:rsid w:val="007A3B7A"/>
    <w:rsid w:val="007A61A1"/>
    <w:rsid w:val="007A671E"/>
    <w:rsid w:val="007A68AF"/>
    <w:rsid w:val="007A7147"/>
    <w:rsid w:val="007A7DDD"/>
    <w:rsid w:val="007B0529"/>
    <w:rsid w:val="007B074D"/>
    <w:rsid w:val="007B0D20"/>
    <w:rsid w:val="007B12B4"/>
    <w:rsid w:val="007B1809"/>
    <w:rsid w:val="007B18C0"/>
    <w:rsid w:val="007B237C"/>
    <w:rsid w:val="007B25D0"/>
    <w:rsid w:val="007B2B4F"/>
    <w:rsid w:val="007B3638"/>
    <w:rsid w:val="007B3676"/>
    <w:rsid w:val="007B3A43"/>
    <w:rsid w:val="007B5AF0"/>
    <w:rsid w:val="007B5B52"/>
    <w:rsid w:val="007B6571"/>
    <w:rsid w:val="007B7443"/>
    <w:rsid w:val="007B7656"/>
    <w:rsid w:val="007B7A39"/>
    <w:rsid w:val="007C0D36"/>
    <w:rsid w:val="007C1E25"/>
    <w:rsid w:val="007C3939"/>
    <w:rsid w:val="007C3EF0"/>
    <w:rsid w:val="007C5001"/>
    <w:rsid w:val="007C521D"/>
    <w:rsid w:val="007C56E8"/>
    <w:rsid w:val="007D0255"/>
    <w:rsid w:val="007D02EE"/>
    <w:rsid w:val="007D0C63"/>
    <w:rsid w:val="007D1712"/>
    <w:rsid w:val="007D1902"/>
    <w:rsid w:val="007D73AE"/>
    <w:rsid w:val="007D73B7"/>
    <w:rsid w:val="007E0501"/>
    <w:rsid w:val="007E06C4"/>
    <w:rsid w:val="007E0A80"/>
    <w:rsid w:val="007E2385"/>
    <w:rsid w:val="007E24B7"/>
    <w:rsid w:val="007E282F"/>
    <w:rsid w:val="007E2B38"/>
    <w:rsid w:val="007E437F"/>
    <w:rsid w:val="007E4F37"/>
    <w:rsid w:val="007E5530"/>
    <w:rsid w:val="007E5A56"/>
    <w:rsid w:val="007E5BCB"/>
    <w:rsid w:val="007F0925"/>
    <w:rsid w:val="007F0AD4"/>
    <w:rsid w:val="007F125B"/>
    <w:rsid w:val="007F1903"/>
    <w:rsid w:val="007F2CD7"/>
    <w:rsid w:val="007F2E01"/>
    <w:rsid w:val="007F50F7"/>
    <w:rsid w:val="007F515E"/>
    <w:rsid w:val="007F55FD"/>
    <w:rsid w:val="007F7D1D"/>
    <w:rsid w:val="0080023E"/>
    <w:rsid w:val="008014EF"/>
    <w:rsid w:val="00802D76"/>
    <w:rsid w:val="00803577"/>
    <w:rsid w:val="00804B6B"/>
    <w:rsid w:val="00804B94"/>
    <w:rsid w:val="00804E40"/>
    <w:rsid w:val="00804FDD"/>
    <w:rsid w:val="008051BD"/>
    <w:rsid w:val="0081116D"/>
    <w:rsid w:val="00811768"/>
    <w:rsid w:val="00813341"/>
    <w:rsid w:val="0081351E"/>
    <w:rsid w:val="00813665"/>
    <w:rsid w:val="008143C2"/>
    <w:rsid w:val="0081493D"/>
    <w:rsid w:val="00814EE7"/>
    <w:rsid w:val="0081512C"/>
    <w:rsid w:val="00815905"/>
    <w:rsid w:val="00815A6E"/>
    <w:rsid w:val="00816423"/>
    <w:rsid w:val="00816C37"/>
    <w:rsid w:val="00816DF5"/>
    <w:rsid w:val="00820B8F"/>
    <w:rsid w:val="00820E0F"/>
    <w:rsid w:val="008218AA"/>
    <w:rsid w:val="008237CA"/>
    <w:rsid w:val="00824159"/>
    <w:rsid w:val="00824367"/>
    <w:rsid w:val="008255CD"/>
    <w:rsid w:val="008259BA"/>
    <w:rsid w:val="00825CC0"/>
    <w:rsid w:val="00825DB8"/>
    <w:rsid w:val="00825FF2"/>
    <w:rsid w:val="00826680"/>
    <w:rsid w:val="00826B81"/>
    <w:rsid w:val="0082753B"/>
    <w:rsid w:val="00827822"/>
    <w:rsid w:val="008278BA"/>
    <w:rsid w:val="00830BAE"/>
    <w:rsid w:val="0083131B"/>
    <w:rsid w:val="00831D2D"/>
    <w:rsid w:val="0083209A"/>
    <w:rsid w:val="008325EA"/>
    <w:rsid w:val="008344A5"/>
    <w:rsid w:val="0083558B"/>
    <w:rsid w:val="00835794"/>
    <w:rsid w:val="008369B0"/>
    <w:rsid w:val="00836ACC"/>
    <w:rsid w:val="00837222"/>
    <w:rsid w:val="008400BC"/>
    <w:rsid w:val="008406B2"/>
    <w:rsid w:val="008407B3"/>
    <w:rsid w:val="008417FB"/>
    <w:rsid w:val="00841A67"/>
    <w:rsid w:val="00842B9F"/>
    <w:rsid w:val="00842E0E"/>
    <w:rsid w:val="00843B53"/>
    <w:rsid w:val="00844B78"/>
    <w:rsid w:val="008500B1"/>
    <w:rsid w:val="00851869"/>
    <w:rsid w:val="008518D6"/>
    <w:rsid w:val="00852312"/>
    <w:rsid w:val="008523CA"/>
    <w:rsid w:val="0085319D"/>
    <w:rsid w:val="00853703"/>
    <w:rsid w:val="008542EB"/>
    <w:rsid w:val="00854E4D"/>
    <w:rsid w:val="0085558D"/>
    <w:rsid w:val="0085610F"/>
    <w:rsid w:val="008567ED"/>
    <w:rsid w:val="00857649"/>
    <w:rsid w:val="00857829"/>
    <w:rsid w:val="00862441"/>
    <w:rsid w:val="00862844"/>
    <w:rsid w:val="00862894"/>
    <w:rsid w:val="0086347A"/>
    <w:rsid w:val="0086489A"/>
    <w:rsid w:val="00864E0D"/>
    <w:rsid w:val="00864FCF"/>
    <w:rsid w:val="0086669C"/>
    <w:rsid w:val="0086698E"/>
    <w:rsid w:val="00866F9E"/>
    <w:rsid w:val="00867DA0"/>
    <w:rsid w:val="008733A0"/>
    <w:rsid w:val="008742DB"/>
    <w:rsid w:val="008747E3"/>
    <w:rsid w:val="00874867"/>
    <w:rsid w:val="0087542E"/>
    <w:rsid w:val="00875915"/>
    <w:rsid w:val="00876690"/>
    <w:rsid w:val="00876AE3"/>
    <w:rsid w:val="00877715"/>
    <w:rsid w:val="00877E3C"/>
    <w:rsid w:val="008805E6"/>
    <w:rsid w:val="00880749"/>
    <w:rsid w:val="00880DCE"/>
    <w:rsid w:val="00883661"/>
    <w:rsid w:val="00884A33"/>
    <w:rsid w:val="008856BA"/>
    <w:rsid w:val="008859A0"/>
    <w:rsid w:val="00885F58"/>
    <w:rsid w:val="008868AA"/>
    <w:rsid w:val="00886B64"/>
    <w:rsid w:val="0088741A"/>
    <w:rsid w:val="00887954"/>
    <w:rsid w:val="00887989"/>
    <w:rsid w:val="00890566"/>
    <w:rsid w:val="008905CB"/>
    <w:rsid w:val="008906B5"/>
    <w:rsid w:val="0089110A"/>
    <w:rsid w:val="0089131C"/>
    <w:rsid w:val="00891E5F"/>
    <w:rsid w:val="008926C4"/>
    <w:rsid w:val="00892CAD"/>
    <w:rsid w:val="0089419E"/>
    <w:rsid w:val="00894637"/>
    <w:rsid w:val="00894DD8"/>
    <w:rsid w:val="00894FF8"/>
    <w:rsid w:val="00895CDC"/>
    <w:rsid w:val="008962E5"/>
    <w:rsid w:val="00896B52"/>
    <w:rsid w:val="00896D5C"/>
    <w:rsid w:val="00896F0F"/>
    <w:rsid w:val="0089743F"/>
    <w:rsid w:val="00897FFB"/>
    <w:rsid w:val="008A093D"/>
    <w:rsid w:val="008A09F1"/>
    <w:rsid w:val="008A231E"/>
    <w:rsid w:val="008A2342"/>
    <w:rsid w:val="008A24D1"/>
    <w:rsid w:val="008A2744"/>
    <w:rsid w:val="008A2EB2"/>
    <w:rsid w:val="008A3DFA"/>
    <w:rsid w:val="008A3EC5"/>
    <w:rsid w:val="008A4173"/>
    <w:rsid w:val="008A4832"/>
    <w:rsid w:val="008A4CE0"/>
    <w:rsid w:val="008A590F"/>
    <w:rsid w:val="008A5D92"/>
    <w:rsid w:val="008A6628"/>
    <w:rsid w:val="008A6BB2"/>
    <w:rsid w:val="008A72F8"/>
    <w:rsid w:val="008B09A0"/>
    <w:rsid w:val="008B0ABE"/>
    <w:rsid w:val="008B3197"/>
    <w:rsid w:val="008B5015"/>
    <w:rsid w:val="008B5C96"/>
    <w:rsid w:val="008B694C"/>
    <w:rsid w:val="008B7157"/>
    <w:rsid w:val="008B7310"/>
    <w:rsid w:val="008B76BB"/>
    <w:rsid w:val="008C034F"/>
    <w:rsid w:val="008C16CB"/>
    <w:rsid w:val="008C2876"/>
    <w:rsid w:val="008C3019"/>
    <w:rsid w:val="008C48B1"/>
    <w:rsid w:val="008C58AB"/>
    <w:rsid w:val="008C5ED6"/>
    <w:rsid w:val="008C6B1D"/>
    <w:rsid w:val="008C7CA5"/>
    <w:rsid w:val="008D0852"/>
    <w:rsid w:val="008D1EDA"/>
    <w:rsid w:val="008D21EC"/>
    <w:rsid w:val="008D2952"/>
    <w:rsid w:val="008D327D"/>
    <w:rsid w:val="008D59E3"/>
    <w:rsid w:val="008D5FB6"/>
    <w:rsid w:val="008D6CE1"/>
    <w:rsid w:val="008D7895"/>
    <w:rsid w:val="008E030A"/>
    <w:rsid w:val="008E170F"/>
    <w:rsid w:val="008E2868"/>
    <w:rsid w:val="008E2C6C"/>
    <w:rsid w:val="008E301F"/>
    <w:rsid w:val="008E4428"/>
    <w:rsid w:val="008E4533"/>
    <w:rsid w:val="008E53B3"/>
    <w:rsid w:val="008E564A"/>
    <w:rsid w:val="008E5CD8"/>
    <w:rsid w:val="008E6AE9"/>
    <w:rsid w:val="008E75A8"/>
    <w:rsid w:val="008E7850"/>
    <w:rsid w:val="008F0368"/>
    <w:rsid w:val="008F13EB"/>
    <w:rsid w:val="008F2E1B"/>
    <w:rsid w:val="008F35FD"/>
    <w:rsid w:val="008F42F0"/>
    <w:rsid w:val="008F4C20"/>
    <w:rsid w:val="008F51EA"/>
    <w:rsid w:val="008F5322"/>
    <w:rsid w:val="008F5EA3"/>
    <w:rsid w:val="008F746D"/>
    <w:rsid w:val="008F76F9"/>
    <w:rsid w:val="008F78B2"/>
    <w:rsid w:val="008F7A30"/>
    <w:rsid w:val="008F7D4C"/>
    <w:rsid w:val="00900D0F"/>
    <w:rsid w:val="00901AC5"/>
    <w:rsid w:val="00901CA6"/>
    <w:rsid w:val="00903A56"/>
    <w:rsid w:val="00903E4B"/>
    <w:rsid w:val="0090466C"/>
    <w:rsid w:val="00905AF8"/>
    <w:rsid w:val="00906C9E"/>
    <w:rsid w:val="00907102"/>
    <w:rsid w:val="0090750D"/>
    <w:rsid w:val="00910056"/>
    <w:rsid w:val="009110E5"/>
    <w:rsid w:val="00912CBA"/>
    <w:rsid w:val="00914238"/>
    <w:rsid w:val="0091508A"/>
    <w:rsid w:val="009150BC"/>
    <w:rsid w:val="009152EF"/>
    <w:rsid w:val="00915CA1"/>
    <w:rsid w:val="0091612F"/>
    <w:rsid w:val="009167CD"/>
    <w:rsid w:val="00916ED7"/>
    <w:rsid w:val="00917359"/>
    <w:rsid w:val="00917751"/>
    <w:rsid w:val="00917B35"/>
    <w:rsid w:val="0092061E"/>
    <w:rsid w:val="0092382A"/>
    <w:rsid w:val="00925070"/>
    <w:rsid w:val="00927A5A"/>
    <w:rsid w:val="009309B1"/>
    <w:rsid w:val="0093141D"/>
    <w:rsid w:val="009327F9"/>
    <w:rsid w:val="00934792"/>
    <w:rsid w:val="00934EC9"/>
    <w:rsid w:val="0093545D"/>
    <w:rsid w:val="00935952"/>
    <w:rsid w:val="0094007E"/>
    <w:rsid w:val="0094070B"/>
    <w:rsid w:val="00940D7C"/>
    <w:rsid w:val="00941163"/>
    <w:rsid w:val="009416E7"/>
    <w:rsid w:val="009421BA"/>
    <w:rsid w:val="00942507"/>
    <w:rsid w:val="00942D7E"/>
    <w:rsid w:val="00942F8E"/>
    <w:rsid w:val="009440D5"/>
    <w:rsid w:val="009442CE"/>
    <w:rsid w:val="00944448"/>
    <w:rsid w:val="00944469"/>
    <w:rsid w:val="009449FD"/>
    <w:rsid w:val="00946052"/>
    <w:rsid w:val="00947F07"/>
    <w:rsid w:val="009506D2"/>
    <w:rsid w:val="00950C03"/>
    <w:rsid w:val="00950D24"/>
    <w:rsid w:val="00951A68"/>
    <w:rsid w:val="009521E7"/>
    <w:rsid w:val="009524C0"/>
    <w:rsid w:val="00953545"/>
    <w:rsid w:val="00954778"/>
    <w:rsid w:val="00954973"/>
    <w:rsid w:val="00955CBF"/>
    <w:rsid w:val="00960389"/>
    <w:rsid w:val="00961269"/>
    <w:rsid w:val="00961700"/>
    <w:rsid w:val="00961C0D"/>
    <w:rsid w:val="00961F60"/>
    <w:rsid w:val="009628DB"/>
    <w:rsid w:val="009632F1"/>
    <w:rsid w:val="00963780"/>
    <w:rsid w:val="009653BF"/>
    <w:rsid w:val="0096550E"/>
    <w:rsid w:val="00965783"/>
    <w:rsid w:val="00965D85"/>
    <w:rsid w:val="00966B7A"/>
    <w:rsid w:val="0096738D"/>
    <w:rsid w:val="00967640"/>
    <w:rsid w:val="00970DD6"/>
    <w:rsid w:val="00971860"/>
    <w:rsid w:val="00973167"/>
    <w:rsid w:val="0097377B"/>
    <w:rsid w:val="00973C3F"/>
    <w:rsid w:val="009740FC"/>
    <w:rsid w:val="00974F44"/>
    <w:rsid w:val="00975079"/>
    <w:rsid w:val="00975205"/>
    <w:rsid w:val="00975986"/>
    <w:rsid w:val="009762DA"/>
    <w:rsid w:val="00976C43"/>
    <w:rsid w:val="00976D5C"/>
    <w:rsid w:val="00976E74"/>
    <w:rsid w:val="00977C84"/>
    <w:rsid w:val="009801C2"/>
    <w:rsid w:val="00980FA4"/>
    <w:rsid w:val="009820B7"/>
    <w:rsid w:val="009827BF"/>
    <w:rsid w:val="00982E93"/>
    <w:rsid w:val="00983778"/>
    <w:rsid w:val="009840F0"/>
    <w:rsid w:val="00984E91"/>
    <w:rsid w:val="00984E9F"/>
    <w:rsid w:val="00985031"/>
    <w:rsid w:val="0098535E"/>
    <w:rsid w:val="00985AE7"/>
    <w:rsid w:val="009861CF"/>
    <w:rsid w:val="009864E8"/>
    <w:rsid w:val="00987DB2"/>
    <w:rsid w:val="0099030E"/>
    <w:rsid w:val="00991791"/>
    <w:rsid w:val="00991F96"/>
    <w:rsid w:val="00992217"/>
    <w:rsid w:val="00993C73"/>
    <w:rsid w:val="00993D82"/>
    <w:rsid w:val="00994ECC"/>
    <w:rsid w:val="009952BA"/>
    <w:rsid w:val="00995333"/>
    <w:rsid w:val="009957EB"/>
    <w:rsid w:val="009957EC"/>
    <w:rsid w:val="0099626A"/>
    <w:rsid w:val="009963E3"/>
    <w:rsid w:val="0099661C"/>
    <w:rsid w:val="009968D5"/>
    <w:rsid w:val="009969BC"/>
    <w:rsid w:val="0099782A"/>
    <w:rsid w:val="009A0B6E"/>
    <w:rsid w:val="009A0C0F"/>
    <w:rsid w:val="009A0D46"/>
    <w:rsid w:val="009A1831"/>
    <w:rsid w:val="009A3770"/>
    <w:rsid w:val="009A3BA2"/>
    <w:rsid w:val="009A3CCE"/>
    <w:rsid w:val="009A3D86"/>
    <w:rsid w:val="009A413D"/>
    <w:rsid w:val="009A57DD"/>
    <w:rsid w:val="009A6047"/>
    <w:rsid w:val="009A67D3"/>
    <w:rsid w:val="009A71F1"/>
    <w:rsid w:val="009B0BD7"/>
    <w:rsid w:val="009B10A3"/>
    <w:rsid w:val="009B2882"/>
    <w:rsid w:val="009B301A"/>
    <w:rsid w:val="009B401A"/>
    <w:rsid w:val="009B47E3"/>
    <w:rsid w:val="009B47F7"/>
    <w:rsid w:val="009B5F72"/>
    <w:rsid w:val="009C0ED6"/>
    <w:rsid w:val="009C1879"/>
    <w:rsid w:val="009C26D3"/>
    <w:rsid w:val="009C2745"/>
    <w:rsid w:val="009C2C4E"/>
    <w:rsid w:val="009C2C75"/>
    <w:rsid w:val="009C3053"/>
    <w:rsid w:val="009C371D"/>
    <w:rsid w:val="009C4202"/>
    <w:rsid w:val="009C51E0"/>
    <w:rsid w:val="009C5C54"/>
    <w:rsid w:val="009C6179"/>
    <w:rsid w:val="009C74AD"/>
    <w:rsid w:val="009D0431"/>
    <w:rsid w:val="009D058A"/>
    <w:rsid w:val="009D06D7"/>
    <w:rsid w:val="009D2025"/>
    <w:rsid w:val="009D2158"/>
    <w:rsid w:val="009D258D"/>
    <w:rsid w:val="009D3514"/>
    <w:rsid w:val="009D4E78"/>
    <w:rsid w:val="009D5A5E"/>
    <w:rsid w:val="009D5B9B"/>
    <w:rsid w:val="009D7308"/>
    <w:rsid w:val="009E1A8E"/>
    <w:rsid w:val="009E225D"/>
    <w:rsid w:val="009E359A"/>
    <w:rsid w:val="009E3645"/>
    <w:rsid w:val="009E386A"/>
    <w:rsid w:val="009E3881"/>
    <w:rsid w:val="009E45B3"/>
    <w:rsid w:val="009E4B44"/>
    <w:rsid w:val="009E4B64"/>
    <w:rsid w:val="009E5124"/>
    <w:rsid w:val="009E58EB"/>
    <w:rsid w:val="009E5F1C"/>
    <w:rsid w:val="009E6ACA"/>
    <w:rsid w:val="009E70F3"/>
    <w:rsid w:val="009E78F0"/>
    <w:rsid w:val="009F0276"/>
    <w:rsid w:val="009F08AD"/>
    <w:rsid w:val="009F0D33"/>
    <w:rsid w:val="009F23D7"/>
    <w:rsid w:val="009F3247"/>
    <w:rsid w:val="009F3472"/>
    <w:rsid w:val="009F38AD"/>
    <w:rsid w:val="009F40BD"/>
    <w:rsid w:val="009F460F"/>
    <w:rsid w:val="009F469E"/>
    <w:rsid w:val="009F4752"/>
    <w:rsid w:val="009F51EA"/>
    <w:rsid w:val="009F5C82"/>
    <w:rsid w:val="009F602E"/>
    <w:rsid w:val="009F7161"/>
    <w:rsid w:val="009F7C4C"/>
    <w:rsid w:val="009F7F4D"/>
    <w:rsid w:val="00A0050E"/>
    <w:rsid w:val="00A012F7"/>
    <w:rsid w:val="00A02863"/>
    <w:rsid w:val="00A03DAC"/>
    <w:rsid w:val="00A04737"/>
    <w:rsid w:val="00A0570C"/>
    <w:rsid w:val="00A057CE"/>
    <w:rsid w:val="00A1053B"/>
    <w:rsid w:val="00A107D5"/>
    <w:rsid w:val="00A111A6"/>
    <w:rsid w:val="00A127A6"/>
    <w:rsid w:val="00A12EE0"/>
    <w:rsid w:val="00A13F80"/>
    <w:rsid w:val="00A159CE"/>
    <w:rsid w:val="00A15A47"/>
    <w:rsid w:val="00A15D0B"/>
    <w:rsid w:val="00A1638D"/>
    <w:rsid w:val="00A2041A"/>
    <w:rsid w:val="00A207B4"/>
    <w:rsid w:val="00A215EC"/>
    <w:rsid w:val="00A24CC3"/>
    <w:rsid w:val="00A25043"/>
    <w:rsid w:val="00A27B74"/>
    <w:rsid w:val="00A27DDF"/>
    <w:rsid w:val="00A30004"/>
    <w:rsid w:val="00A307FF"/>
    <w:rsid w:val="00A37AA2"/>
    <w:rsid w:val="00A40132"/>
    <w:rsid w:val="00A43581"/>
    <w:rsid w:val="00A43C74"/>
    <w:rsid w:val="00A457AC"/>
    <w:rsid w:val="00A45ACB"/>
    <w:rsid w:val="00A464C9"/>
    <w:rsid w:val="00A46AA1"/>
    <w:rsid w:val="00A46C9B"/>
    <w:rsid w:val="00A47ABF"/>
    <w:rsid w:val="00A47EBC"/>
    <w:rsid w:val="00A502B9"/>
    <w:rsid w:val="00A51DC5"/>
    <w:rsid w:val="00A51DE9"/>
    <w:rsid w:val="00A5275B"/>
    <w:rsid w:val="00A52FBE"/>
    <w:rsid w:val="00A534C6"/>
    <w:rsid w:val="00A556AF"/>
    <w:rsid w:val="00A57279"/>
    <w:rsid w:val="00A603D9"/>
    <w:rsid w:val="00A6127C"/>
    <w:rsid w:val="00A61A13"/>
    <w:rsid w:val="00A61AE1"/>
    <w:rsid w:val="00A64125"/>
    <w:rsid w:val="00A65789"/>
    <w:rsid w:val="00A663E0"/>
    <w:rsid w:val="00A66D78"/>
    <w:rsid w:val="00A675B0"/>
    <w:rsid w:val="00A7054D"/>
    <w:rsid w:val="00A709E9"/>
    <w:rsid w:val="00A716F0"/>
    <w:rsid w:val="00A71E2F"/>
    <w:rsid w:val="00A732AF"/>
    <w:rsid w:val="00A736D7"/>
    <w:rsid w:val="00A7467C"/>
    <w:rsid w:val="00A75D11"/>
    <w:rsid w:val="00A75E8F"/>
    <w:rsid w:val="00A77BEE"/>
    <w:rsid w:val="00A82E10"/>
    <w:rsid w:val="00A82F05"/>
    <w:rsid w:val="00A83E99"/>
    <w:rsid w:val="00A84914"/>
    <w:rsid w:val="00A84F5C"/>
    <w:rsid w:val="00A85A87"/>
    <w:rsid w:val="00A876AA"/>
    <w:rsid w:val="00A904D3"/>
    <w:rsid w:val="00A90617"/>
    <w:rsid w:val="00A90C50"/>
    <w:rsid w:val="00A910E6"/>
    <w:rsid w:val="00A91BDB"/>
    <w:rsid w:val="00A91C08"/>
    <w:rsid w:val="00A929B8"/>
    <w:rsid w:val="00A93389"/>
    <w:rsid w:val="00A933C3"/>
    <w:rsid w:val="00A93AFC"/>
    <w:rsid w:val="00A942EC"/>
    <w:rsid w:val="00A9453D"/>
    <w:rsid w:val="00A95350"/>
    <w:rsid w:val="00A95C84"/>
    <w:rsid w:val="00A97039"/>
    <w:rsid w:val="00A97871"/>
    <w:rsid w:val="00A97F6C"/>
    <w:rsid w:val="00AA18B2"/>
    <w:rsid w:val="00AA2B44"/>
    <w:rsid w:val="00AA3CE8"/>
    <w:rsid w:val="00AA5104"/>
    <w:rsid w:val="00AA5426"/>
    <w:rsid w:val="00AA555C"/>
    <w:rsid w:val="00AA5979"/>
    <w:rsid w:val="00AA648A"/>
    <w:rsid w:val="00AA6FD0"/>
    <w:rsid w:val="00AB001E"/>
    <w:rsid w:val="00AB0A94"/>
    <w:rsid w:val="00AB0BB7"/>
    <w:rsid w:val="00AB39C7"/>
    <w:rsid w:val="00AB4795"/>
    <w:rsid w:val="00AB503D"/>
    <w:rsid w:val="00AB6336"/>
    <w:rsid w:val="00AB73A9"/>
    <w:rsid w:val="00AB7736"/>
    <w:rsid w:val="00AC0B95"/>
    <w:rsid w:val="00AC26B6"/>
    <w:rsid w:val="00AC3044"/>
    <w:rsid w:val="00AC351A"/>
    <w:rsid w:val="00AC3737"/>
    <w:rsid w:val="00AC3C15"/>
    <w:rsid w:val="00AC46C0"/>
    <w:rsid w:val="00AC5C44"/>
    <w:rsid w:val="00AC5E16"/>
    <w:rsid w:val="00AC6DCB"/>
    <w:rsid w:val="00AC73D1"/>
    <w:rsid w:val="00AD0073"/>
    <w:rsid w:val="00AD0560"/>
    <w:rsid w:val="00AD1D4A"/>
    <w:rsid w:val="00AD2058"/>
    <w:rsid w:val="00AD2BDB"/>
    <w:rsid w:val="00AD4438"/>
    <w:rsid w:val="00AD444D"/>
    <w:rsid w:val="00AD4B0E"/>
    <w:rsid w:val="00AD54C5"/>
    <w:rsid w:val="00AD69C6"/>
    <w:rsid w:val="00AD6D90"/>
    <w:rsid w:val="00AD6F8B"/>
    <w:rsid w:val="00AD74FC"/>
    <w:rsid w:val="00AE064E"/>
    <w:rsid w:val="00AE3A22"/>
    <w:rsid w:val="00AE5FC0"/>
    <w:rsid w:val="00AE7BAA"/>
    <w:rsid w:val="00AF1BA6"/>
    <w:rsid w:val="00AF2334"/>
    <w:rsid w:val="00AF299E"/>
    <w:rsid w:val="00AF421C"/>
    <w:rsid w:val="00AF45F5"/>
    <w:rsid w:val="00AF554A"/>
    <w:rsid w:val="00AF6821"/>
    <w:rsid w:val="00AF68E1"/>
    <w:rsid w:val="00AF7754"/>
    <w:rsid w:val="00B0275C"/>
    <w:rsid w:val="00B02D9D"/>
    <w:rsid w:val="00B04210"/>
    <w:rsid w:val="00B0511B"/>
    <w:rsid w:val="00B05410"/>
    <w:rsid w:val="00B0560E"/>
    <w:rsid w:val="00B0598D"/>
    <w:rsid w:val="00B06118"/>
    <w:rsid w:val="00B066BE"/>
    <w:rsid w:val="00B07050"/>
    <w:rsid w:val="00B0771D"/>
    <w:rsid w:val="00B1062B"/>
    <w:rsid w:val="00B1127E"/>
    <w:rsid w:val="00B16E4A"/>
    <w:rsid w:val="00B175D5"/>
    <w:rsid w:val="00B1786F"/>
    <w:rsid w:val="00B17EBD"/>
    <w:rsid w:val="00B200CF"/>
    <w:rsid w:val="00B20BE0"/>
    <w:rsid w:val="00B20E90"/>
    <w:rsid w:val="00B225E0"/>
    <w:rsid w:val="00B234E5"/>
    <w:rsid w:val="00B251C4"/>
    <w:rsid w:val="00B26333"/>
    <w:rsid w:val="00B2667E"/>
    <w:rsid w:val="00B26E8D"/>
    <w:rsid w:val="00B30E14"/>
    <w:rsid w:val="00B31A58"/>
    <w:rsid w:val="00B32392"/>
    <w:rsid w:val="00B34204"/>
    <w:rsid w:val="00B34D16"/>
    <w:rsid w:val="00B351BE"/>
    <w:rsid w:val="00B35D3E"/>
    <w:rsid w:val="00B362C5"/>
    <w:rsid w:val="00B37223"/>
    <w:rsid w:val="00B37B3E"/>
    <w:rsid w:val="00B400BC"/>
    <w:rsid w:val="00B409CC"/>
    <w:rsid w:val="00B40F0D"/>
    <w:rsid w:val="00B41010"/>
    <w:rsid w:val="00B415B1"/>
    <w:rsid w:val="00B431DD"/>
    <w:rsid w:val="00B43455"/>
    <w:rsid w:val="00B440BE"/>
    <w:rsid w:val="00B4595A"/>
    <w:rsid w:val="00B4614B"/>
    <w:rsid w:val="00B463E7"/>
    <w:rsid w:val="00B468EC"/>
    <w:rsid w:val="00B46B89"/>
    <w:rsid w:val="00B474C0"/>
    <w:rsid w:val="00B4757F"/>
    <w:rsid w:val="00B479B2"/>
    <w:rsid w:val="00B51CC9"/>
    <w:rsid w:val="00B52DB9"/>
    <w:rsid w:val="00B5325A"/>
    <w:rsid w:val="00B5498F"/>
    <w:rsid w:val="00B54CD3"/>
    <w:rsid w:val="00B5550B"/>
    <w:rsid w:val="00B56278"/>
    <w:rsid w:val="00B60A1E"/>
    <w:rsid w:val="00B60F4C"/>
    <w:rsid w:val="00B6112E"/>
    <w:rsid w:val="00B61238"/>
    <w:rsid w:val="00B61751"/>
    <w:rsid w:val="00B62490"/>
    <w:rsid w:val="00B62E4C"/>
    <w:rsid w:val="00B660D9"/>
    <w:rsid w:val="00B66108"/>
    <w:rsid w:val="00B677B5"/>
    <w:rsid w:val="00B713FF"/>
    <w:rsid w:val="00B73A78"/>
    <w:rsid w:val="00B754AF"/>
    <w:rsid w:val="00B763A7"/>
    <w:rsid w:val="00B76C6E"/>
    <w:rsid w:val="00B7700F"/>
    <w:rsid w:val="00B77570"/>
    <w:rsid w:val="00B80244"/>
    <w:rsid w:val="00B821C7"/>
    <w:rsid w:val="00B82B88"/>
    <w:rsid w:val="00B82F76"/>
    <w:rsid w:val="00B83518"/>
    <w:rsid w:val="00B83572"/>
    <w:rsid w:val="00B84958"/>
    <w:rsid w:val="00B85037"/>
    <w:rsid w:val="00B85CF8"/>
    <w:rsid w:val="00B861F8"/>
    <w:rsid w:val="00B8683F"/>
    <w:rsid w:val="00B87130"/>
    <w:rsid w:val="00B87C18"/>
    <w:rsid w:val="00B9034F"/>
    <w:rsid w:val="00B92CDF"/>
    <w:rsid w:val="00B93431"/>
    <w:rsid w:val="00B938F2"/>
    <w:rsid w:val="00B93F56"/>
    <w:rsid w:val="00B94B07"/>
    <w:rsid w:val="00B96686"/>
    <w:rsid w:val="00B97E62"/>
    <w:rsid w:val="00B97FB0"/>
    <w:rsid w:val="00BA0564"/>
    <w:rsid w:val="00BA0990"/>
    <w:rsid w:val="00BA15B4"/>
    <w:rsid w:val="00BA1C4D"/>
    <w:rsid w:val="00BA33DC"/>
    <w:rsid w:val="00BA40E5"/>
    <w:rsid w:val="00BA5EA9"/>
    <w:rsid w:val="00BA6023"/>
    <w:rsid w:val="00BA6E60"/>
    <w:rsid w:val="00BB030F"/>
    <w:rsid w:val="00BB0369"/>
    <w:rsid w:val="00BB07B6"/>
    <w:rsid w:val="00BB1027"/>
    <w:rsid w:val="00BB25C1"/>
    <w:rsid w:val="00BB2840"/>
    <w:rsid w:val="00BB2B09"/>
    <w:rsid w:val="00BB318C"/>
    <w:rsid w:val="00BB31F1"/>
    <w:rsid w:val="00BB4425"/>
    <w:rsid w:val="00BB5139"/>
    <w:rsid w:val="00BB5267"/>
    <w:rsid w:val="00BB6153"/>
    <w:rsid w:val="00BB62D9"/>
    <w:rsid w:val="00BB7181"/>
    <w:rsid w:val="00BB7304"/>
    <w:rsid w:val="00BB777C"/>
    <w:rsid w:val="00BB7A06"/>
    <w:rsid w:val="00BB7D9B"/>
    <w:rsid w:val="00BC09E5"/>
    <w:rsid w:val="00BC0F55"/>
    <w:rsid w:val="00BC11A3"/>
    <w:rsid w:val="00BC2D7E"/>
    <w:rsid w:val="00BC39FB"/>
    <w:rsid w:val="00BC3B83"/>
    <w:rsid w:val="00BC40A7"/>
    <w:rsid w:val="00BC433F"/>
    <w:rsid w:val="00BC4C59"/>
    <w:rsid w:val="00BC595A"/>
    <w:rsid w:val="00BC6BAA"/>
    <w:rsid w:val="00BD04EE"/>
    <w:rsid w:val="00BD06D4"/>
    <w:rsid w:val="00BD1323"/>
    <w:rsid w:val="00BD19AE"/>
    <w:rsid w:val="00BD1C0A"/>
    <w:rsid w:val="00BD1D87"/>
    <w:rsid w:val="00BD25C6"/>
    <w:rsid w:val="00BD4EBB"/>
    <w:rsid w:val="00BD4F17"/>
    <w:rsid w:val="00BD537F"/>
    <w:rsid w:val="00BD5B85"/>
    <w:rsid w:val="00BD6CE4"/>
    <w:rsid w:val="00BD76DD"/>
    <w:rsid w:val="00BD7A68"/>
    <w:rsid w:val="00BE1ADA"/>
    <w:rsid w:val="00BE393F"/>
    <w:rsid w:val="00BE3CC8"/>
    <w:rsid w:val="00BE53C5"/>
    <w:rsid w:val="00BE57AB"/>
    <w:rsid w:val="00BE59FC"/>
    <w:rsid w:val="00BE70E5"/>
    <w:rsid w:val="00BE7677"/>
    <w:rsid w:val="00BE7B88"/>
    <w:rsid w:val="00BF0350"/>
    <w:rsid w:val="00BF0FB4"/>
    <w:rsid w:val="00BF12ED"/>
    <w:rsid w:val="00BF1876"/>
    <w:rsid w:val="00BF37E2"/>
    <w:rsid w:val="00BF6B95"/>
    <w:rsid w:val="00BF71B2"/>
    <w:rsid w:val="00BF729A"/>
    <w:rsid w:val="00C00038"/>
    <w:rsid w:val="00C000D6"/>
    <w:rsid w:val="00C01044"/>
    <w:rsid w:val="00C01A5A"/>
    <w:rsid w:val="00C01E08"/>
    <w:rsid w:val="00C023EA"/>
    <w:rsid w:val="00C02965"/>
    <w:rsid w:val="00C05E70"/>
    <w:rsid w:val="00C060CE"/>
    <w:rsid w:val="00C06C87"/>
    <w:rsid w:val="00C0723D"/>
    <w:rsid w:val="00C07893"/>
    <w:rsid w:val="00C1082B"/>
    <w:rsid w:val="00C110BD"/>
    <w:rsid w:val="00C15B3C"/>
    <w:rsid w:val="00C166CF"/>
    <w:rsid w:val="00C16AB5"/>
    <w:rsid w:val="00C17F4F"/>
    <w:rsid w:val="00C206F3"/>
    <w:rsid w:val="00C20F35"/>
    <w:rsid w:val="00C21E7D"/>
    <w:rsid w:val="00C21E98"/>
    <w:rsid w:val="00C226E2"/>
    <w:rsid w:val="00C24E07"/>
    <w:rsid w:val="00C25231"/>
    <w:rsid w:val="00C259FA"/>
    <w:rsid w:val="00C30400"/>
    <w:rsid w:val="00C3096B"/>
    <w:rsid w:val="00C30A9C"/>
    <w:rsid w:val="00C30AFC"/>
    <w:rsid w:val="00C31220"/>
    <w:rsid w:val="00C3221A"/>
    <w:rsid w:val="00C34210"/>
    <w:rsid w:val="00C34E3B"/>
    <w:rsid w:val="00C35216"/>
    <w:rsid w:val="00C35815"/>
    <w:rsid w:val="00C35BB7"/>
    <w:rsid w:val="00C35E1E"/>
    <w:rsid w:val="00C3614D"/>
    <w:rsid w:val="00C36E48"/>
    <w:rsid w:val="00C3705A"/>
    <w:rsid w:val="00C40254"/>
    <w:rsid w:val="00C40F72"/>
    <w:rsid w:val="00C4121D"/>
    <w:rsid w:val="00C41504"/>
    <w:rsid w:val="00C42044"/>
    <w:rsid w:val="00C426EE"/>
    <w:rsid w:val="00C42997"/>
    <w:rsid w:val="00C43701"/>
    <w:rsid w:val="00C43AF1"/>
    <w:rsid w:val="00C4437B"/>
    <w:rsid w:val="00C4470D"/>
    <w:rsid w:val="00C45DF9"/>
    <w:rsid w:val="00C45FA0"/>
    <w:rsid w:val="00C46787"/>
    <w:rsid w:val="00C50106"/>
    <w:rsid w:val="00C50248"/>
    <w:rsid w:val="00C51C38"/>
    <w:rsid w:val="00C52B1E"/>
    <w:rsid w:val="00C52CEE"/>
    <w:rsid w:val="00C5380B"/>
    <w:rsid w:val="00C548E7"/>
    <w:rsid w:val="00C550B6"/>
    <w:rsid w:val="00C563CB"/>
    <w:rsid w:val="00C5660B"/>
    <w:rsid w:val="00C57234"/>
    <w:rsid w:val="00C5759F"/>
    <w:rsid w:val="00C60BA3"/>
    <w:rsid w:val="00C60D4C"/>
    <w:rsid w:val="00C60DE7"/>
    <w:rsid w:val="00C61554"/>
    <w:rsid w:val="00C6182C"/>
    <w:rsid w:val="00C622CA"/>
    <w:rsid w:val="00C628BF"/>
    <w:rsid w:val="00C62B36"/>
    <w:rsid w:val="00C6344A"/>
    <w:rsid w:val="00C6596E"/>
    <w:rsid w:val="00C65E19"/>
    <w:rsid w:val="00C66554"/>
    <w:rsid w:val="00C66756"/>
    <w:rsid w:val="00C66938"/>
    <w:rsid w:val="00C67525"/>
    <w:rsid w:val="00C6770C"/>
    <w:rsid w:val="00C679DD"/>
    <w:rsid w:val="00C67E10"/>
    <w:rsid w:val="00C706CA"/>
    <w:rsid w:val="00C72CA3"/>
    <w:rsid w:val="00C74313"/>
    <w:rsid w:val="00C74696"/>
    <w:rsid w:val="00C81673"/>
    <w:rsid w:val="00C82F9E"/>
    <w:rsid w:val="00C833B4"/>
    <w:rsid w:val="00C85236"/>
    <w:rsid w:val="00C8587A"/>
    <w:rsid w:val="00C876B1"/>
    <w:rsid w:val="00C87EAE"/>
    <w:rsid w:val="00C90206"/>
    <w:rsid w:val="00C90D45"/>
    <w:rsid w:val="00C941B0"/>
    <w:rsid w:val="00C96056"/>
    <w:rsid w:val="00C9615C"/>
    <w:rsid w:val="00C96219"/>
    <w:rsid w:val="00C968E6"/>
    <w:rsid w:val="00C969E2"/>
    <w:rsid w:val="00C97B77"/>
    <w:rsid w:val="00CA059D"/>
    <w:rsid w:val="00CA0832"/>
    <w:rsid w:val="00CA0E7C"/>
    <w:rsid w:val="00CA20EB"/>
    <w:rsid w:val="00CA22AE"/>
    <w:rsid w:val="00CA3D9E"/>
    <w:rsid w:val="00CA59FF"/>
    <w:rsid w:val="00CA6506"/>
    <w:rsid w:val="00CA67FB"/>
    <w:rsid w:val="00CA7583"/>
    <w:rsid w:val="00CB2974"/>
    <w:rsid w:val="00CB2AF4"/>
    <w:rsid w:val="00CB50F6"/>
    <w:rsid w:val="00CC2836"/>
    <w:rsid w:val="00CC2F9E"/>
    <w:rsid w:val="00CC31C5"/>
    <w:rsid w:val="00CC35A6"/>
    <w:rsid w:val="00CC3C05"/>
    <w:rsid w:val="00CC3C23"/>
    <w:rsid w:val="00CC4B98"/>
    <w:rsid w:val="00CC4D35"/>
    <w:rsid w:val="00CC5E14"/>
    <w:rsid w:val="00CC5F46"/>
    <w:rsid w:val="00CC66B2"/>
    <w:rsid w:val="00CD09F6"/>
    <w:rsid w:val="00CD0BE4"/>
    <w:rsid w:val="00CD1102"/>
    <w:rsid w:val="00CD2C35"/>
    <w:rsid w:val="00CD2C62"/>
    <w:rsid w:val="00CD30D4"/>
    <w:rsid w:val="00CD3F39"/>
    <w:rsid w:val="00CD4140"/>
    <w:rsid w:val="00CD4666"/>
    <w:rsid w:val="00CD503D"/>
    <w:rsid w:val="00CD756A"/>
    <w:rsid w:val="00CE0601"/>
    <w:rsid w:val="00CE1750"/>
    <w:rsid w:val="00CE2718"/>
    <w:rsid w:val="00CE34A6"/>
    <w:rsid w:val="00CE3CA0"/>
    <w:rsid w:val="00CE3F12"/>
    <w:rsid w:val="00CE43A7"/>
    <w:rsid w:val="00CE5E54"/>
    <w:rsid w:val="00CE66F4"/>
    <w:rsid w:val="00CE781F"/>
    <w:rsid w:val="00CE7BD7"/>
    <w:rsid w:val="00CF0213"/>
    <w:rsid w:val="00CF0362"/>
    <w:rsid w:val="00CF0437"/>
    <w:rsid w:val="00CF0CB9"/>
    <w:rsid w:val="00CF13D3"/>
    <w:rsid w:val="00CF20A8"/>
    <w:rsid w:val="00CF2E29"/>
    <w:rsid w:val="00CF31A8"/>
    <w:rsid w:val="00CF3F28"/>
    <w:rsid w:val="00CF42E4"/>
    <w:rsid w:val="00CF5A0A"/>
    <w:rsid w:val="00CF5F58"/>
    <w:rsid w:val="00CF5F5D"/>
    <w:rsid w:val="00CF70A8"/>
    <w:rsid w:val="00CF7CB7"/>
    <w:rsid w:val="00D00DDA"/>
    <w:rsid w:val="00D013F0"/>
    <w:rsid w:val="00D01685"/>
    <w:rsid w:val="00D01F4B"/>
    <w:rsid w:val="00D027BB"/>
    <w:rsid w:val="00D0296C"/>
    <w:rsid w:val="00D030E0"/>
    <w:rsid w:val="00D03188"/>
    <w:rsid w:val="00D03C49"/>
    <w:rsid w:val="00D05125"/>
    <w:rsid w:val="00D05B4F"/>
    <w:rsid w:val="00D06539"/>
    <w:rsid w:val="00D06BDF"/>
    <w:rsid w:val="00D07335"/>
    <w:rsid w:val="00D10689"/>
    <w:rsid w:val="00D10F6F"/>
    <w:rsid w:val="00D1134D"/>
    <w:rsid w:val="00D119EF"/>
    <w:rsid w:val="00D13038"/>
    <w:rsid w:val="00D13B74"/>
    <w:rsid w:val="00D13E31"/>
    <w:rsid w:val="00D147C2"/>
    <w:rsid w:val="00D15005"/>
    <w:rsid w:val="00D1533E"/>
    <w:rsid w:val="00D15EBB"/>
    <w:rsid w:val="00D160BC"/>
    <w:rsid w:val="00D20257"/>
    <w:rsid w:val="00D227E3"/>
    <w:rsid w:val="00D227F9"/>
    <w:rsid w:val="00D229BE"/>
    <w:rsid w:val="00D22F39"/>
    <w:rsid w:val="00D23C07"/>
    <w:rsid w:val="00D246F0"/>
    <w:rsid w:val="00D25D2E"/>
    <w:rsid w:val="00D25D7F"/>
    <w:rsid w:val="00D25F7D"/>
    <w:rsid w:val="00D2746C"/>
    <w:rsid w:val="00D32B6B"/>
    <w:rsid w:val="00D338F2"/>
    <w:rsid w:val="00D34678"/>
    <w:rsid w:val="00D3577D"/>
    <w:rsid w:val="00D37F03"/>
    <w:rsid w:val="00D4157D"/>
    <w:rsid w:val="00D41CD6"/>
    <w:rsid w:val="00D41E27"/>
    <w:rsid w:val="00D4203C"/>
    <w:rsid w:val="00D4266B"/>
    <w:rsid w:val="00D43220"/>
    <w:rsid w:val="00D435C6"/>
    <w:rsid w:val="00D439AA"/>
    <w:rsid w:val="00D447DC"/>
    <w:rsid w:val="00D45538"/>
    <w:rsid w:val="00D459FB"/>
    <w:rsid w:val="00D45CAB"/>
    <w:rsid w:val="00D46136"/>
    <w:rsid w:val="00D4709B"/>
    <w:rsid w:val="00D5187D"/>
    <w:rsid w:val="00D521A9"/>
    <w:rsid w:val="00D523D8"/>
    <w:rsid w:val="00D526F3"/>
    <w:rsid w:val="00D547B8"/>
    <w:rsid w:val="00D55E8A"/>
    <w:rsid w:val="00D56D40"/>
    <w:rsid w:val="00D61066"/>
    <w:rsid w:val="00D61BC5"/>
    <w:rsid w:val="00D61BE9"/>
    <w:rsid w:val="00D61D6D"/>
    <w:rsid w:val="00D63754"/>
    <w:rsid w:val="00D63BC7"/>
    <w:rsid w:val="00D63D50"/>
    <w:rsid w:val="00D63EB3"/>
    <w:rsid w:val="00D6452C"/>
    <w:rsid w:val="00D65D0C"/>
    <w:rsid w:val="00D66BC5"/>
    <w:rsid w:val="00D67C57"/>
    <w:rsid w:val="00D70C56"/>
    <w:rsid w:val="00D710F5"/>
    <w:rsid w:val="00D72181"/>
    <w:rsid w:val="00D735FA"/>
    <w:rsid w:val="00D73E49"/>
    <w:rsid w:val="00D74435"/>
    <w:rsid w:val="00D7486B"/>
    <w:rsid w:val="00D74D3C"/>
    <w:rsid w:val="00D76F3B"/>
    <w:rsid w:val="00D80089"/>
    <w:rsid w:val="00D805F5"/>
    <w:rsid w:val="00D81B3C"/>
    <w:rsid w:val="00D82E97"/>
    <w:rsid w:val="00D85756"/>
    <w:rsid w:val="00D859D9"/>
    <w:rsid w:val="00D85DD2"/>
    <w:rsid w:val="00D86A1D"/>
    <w:rsid w:val="00D87D16"/>
    <w:rsid w:val="00D92A51"/>
    <w:rsid w:val="00D92BD9"/>
    <w:rsid w:val="00D92C89"/>
    <w:rsid w:val="00D93992"/>
    <w:rsid w:val="00D93998"/>
    <w:rsid w:val="00D954B2"/>
    <w:rsid w:val="00D964F0"/>
    <w:rsid w:val="00D96BF8"/>
    <w:rsid w:val="00D97523"/>
    <w:rsid w:val="00D97DA2"/>
    <w:rsid w:val="00DA0CC0"/>
    <w:rsid w:val="00DA1FD8"/>
    <w:rsid w:val="00DA2261"/>
    <w:rsid w:val="00DA239B"/>
    <w:rsid w:val="00DA3103"/>
    <w:rsid w:val="00DA38B7"/>
    <w:rsid w:val="00DA3F45"/>
    <w:rsid w:val="00DA5566"/>
    <w:rsid w:val="00DA59CF"/>
    <w:rsid w:val="00DA5CD7"/>
    <w:rsid w:val="00DA666B"/>
    <w:rsid w:val="00DA6C6A"/>
    <w:rsid w:val="00DA7CD6"/>
    <w:rsid w:val="00DB0921"/>
    <w:rsid w:val="00DB12C8"/>
    <w:rsid w:val="00DB1D4B"/>
    <w:rsid w:val="00DB2A87"/>
    <w:rsid w:val="00DB35E1"/>
    <w:rsid w:val="00DB3D36"/>
    <w:rsid w:val="00DB5874"/>
    <w:rsid w:val="00DC0158"/>
    <w:rsid w:val="00DC075A"/>
    <w:rsid w:val="00DC2DA2"/>
    <w:rsid w:val="00DC3C9B"/>
    <w:rsid w:val="00DC3D80"/>
    <w:rsid w:val="00DC40F0"/>
    <w:rsid w:val="00DC411D"/>
    <w:rsid w:val="00DC55E8"/>
    <w:rsid w:val="00DC59ED"/>
    <w:rsid w:val="00DC5FEA"/>
    <w:rsid w:val="00DC64CC"/>
    <w:rsid w:val="00DC6554"/>
    <w:rsid w:val="00DC68C3"/>
    <w:rsid w:val="00DC7DE3"/>
    <w:rsid w:val="00DC7DE4"/>
    <w:rsid w:val="00DD0468"/>
    <w:rsid w:val="00DD1C95"/>
    <w:rsid w:val="00DD42EA"/>
    <w:rsid w:val="00DD50E3"/>
    <w:rsid w:val="00DD665D"/>
    <w:rsid w:val="00DD6A75"/>
    <w:rsid w:val="00DE0432"/>
    <w:rsid w:val="00DE396C"/>
    <w:rsid w:val="00DE40EF"/>
    <w:rsid w:val="00DE4747"/>
    <w:rsid w:val="00DE5F07"/>
    <w:rsid w:val="00DE6FE4"/>
    <w:rsid w:val="00DE70E8"/>
    <w:rsid w:val="00DE7F27"/>
    <w:rsid w:val="00DF0405"/>
    <w:rsid w:val="00DF200F"/>
    <w:rsid w:val="00DF3289"/>
    <w:rsid w:val="00DF344B"/>
    <w:rsid w:val="00DF4F82"/>
    <w:rsid w:val="00DF62A0"/>
    <w:rsid w:val="00DF65F8"/>
    <w:rsid w:val="00DF6AF1"/>
    <w:rsid w:val="00E0026F"/>
    <w:rsid w:val="00E0235A"/>
    <w:rsid w:val="00E03186"/>
    <w:rsid w:val="00E04490"/>
    <w:rsid w:val="00E0496E"/>
    <w:rsid w:val="00E04C84"/>
    <w:rsid w:val="00E05BA8"/>
    <w:rsid w:val="00E0665F"/>
    <w:rsid w:val="00E06660"/>
    <w:rsid w:val="00E067D3"/>
    <w:rsid w:val="00E1068F"/>
    <w:rsid w:val="00E1189C"/>
    <w:rsid w:val="00E12FA2"/>
    <w:rsid w:val="00E13AFA"/>
    <w:rsid w:val="00E1483E"/>
    <w:rsid w:val="00E14A7D"/>
    <w:rsid w:val="00E15B3B"/>
    <w:rsid w:val="00E16062"/>
    <w:rsid w:val="00E16615"/>
    <w:rsid w:val="00E1762E"/>
    <w:rsid w:val="00E20413"/>
    <w:rsid w:val="00E20FC9"/>
    <w:rsid w:val="00E21397"/>
    <w:rsid w:val="00E21CD1"/>
    <w:rsid w:val="00E22480"/>
    <w:rsid w:val="00E2314E"/>
    <w:rsid w:val="00E24744"/>
    <w:rsid w:val="00E24B68"/>
    <w:rsid w:val="00E251D9"/>
    <w:rsid w:val="00E254C3"/>
    <w:rsid w:val="00E25B26"/>
    <w:rsid w:val="00E2731A"/>
    <w:rsid w:val="00E27A14"/>
    <w:rsid w:val="00E31127"/>
    <w:rsid w:val="00E328DC"/>
    <w:rsid w:val="00E33236"/>
    <w:rsid w:val="00E34C70"/>
    <w:rsid w:val="00E35732"/>
    <w:rsid w:val="00E362E0"/>
    <w:rsid w:val="00E3668E"/>
    <w:rsid w:val="00E3760F"/>
    <w:rsid w:val="00E37EE9"/>
    <w:rsid w:val="00E41303"/>
    <w:rsid w:val="00E4321E"/>
    <w:rsid w:val="00E436EB"/>
    <w:rsid w:val="00E43EB1"/>
    <w:rsid w:val="00E44A0F"/>
    <w:rsid w:val="00E455B1"/>
    <w:rsid w:val="00E468B4"/>
    <w:rsid w:val="00E471DD"/>
    <w:rsid w:val="00E47AE1"/>
    <w:rsid w:val="00E5184A"/>
    <w:rsid w:val="00E51ECC"/>
    <w:rsid w:val="00E522DE"/>
    <w:rsid w:val="00E52637"/>
    <w:rsid w:val="00E55C47"/>
    <w:rsid w:val="00E563A5"/>
    <w:rsid w:val="00E56BB6"/>
    <w:rsid w:val="00E57344"/>
    <w:rsid w:val="00E63472"/>
    <w:rsid w:val="00E63583"/>
    <w:rsid w:val="00E661E5"/>
    <w:rsid w:val="00E66222"/>
    <w:rsid w:val="00E66714"/>
    <w:rsid w:val="00E668D0"/>
    <w:rsid w:val="00E66ADC"/>
    <w:rsid w:val="00E66B9E"/>
    <w:rsid w:val="00E673B9"/>
    <w:rsid w:val="00E678ED"/>
    <w:rsid w:val="00E70666"/>
    <w:rsid w:val="00E711E3"/>
    <w:rsid w:val="00E715E8"/>
    <w:rsid w:val="00E71AA2"/>
    <w:rsid w:val="00E72910"/>
    <w:rsid w:val="00E72DD3"/>
    <w:rsid w:val="00E73343"/>
    <w:rsid w:val="00E73B11"/>
    <w:rsid w:val="00E73C3A"/>
    <w:rsid w:val="00E7595A"/>
    <w:rsid w:val="00E75EFB"/>
    <w:rsid w:val="00E76E1B"/>
    <w:rsid w:val="00E7789D"/>
    <w:rsid w:val="00E80816"/>
    <w:rsid w:val="00E81205"/>
    <w:rsid w:val="00E81C56"/>
    <w:rsid w:val="00E825D5"/>
    <w:rsid w:val="00E83179"/>
    <w:rsid w:val="00E83C90"/>
    <w:rsid w:val="00E840EF"/>
    <w:rsid w:val="00E84D4A"/>
    <w:rsid w:val="00E84D97"/>
    <w:rsid w:val="00E909A3"/>
    <w:rsid w:val="00E917B9"/>
    <w:rsid w:val="00E924F1"/>
    <w:rsid w:val="00E9289B"/>
    <w:rsid w:val="00E938C2"/>
    <w:rsid w:val="00E94174"/>
    <w:rsid w:val="00E960C1"/>
    <w:rsid w:val="00E96296"/>
    <w:rsid w:val="00E966E6"/>
    <w:rsid w:val="00E970E8"/>
    <w:rsid w:val="00EA07C0"/>
    <w:rsid w:val="00EA1A77"/>
    <w:rsid w:val="00EA2204"/>
    <w:rsid w:val="00EA23AD"/>
    <w:rsid w:val="00EA2E53"/>
    <w:rsid w:val="00EA3BC0"/>
    <w:rsid w:val="00EA5192"/>
    <w:rsid w:val="00EA5A4F"/>
    <w:rsid w:val="00EA5EC6"/>
    <w:rsid w:val="00EB06FB"/>
    <w:rsid w:val="00EB0AFD"/>
    <w:rsid w:val="00EB3348"/>
    <w:rsid w:val="00EB3525"/>
    <w:rsid w:val="00EB3951"/>
    <w:rsid w:val="00EB3DAC"/>
    <w:rsid w:val="00EB418A"/>
    <w:rsid w:val="00EB45B0"/>
    <w:rsid w:val="00EB4D64"/>
    <w:rsid w:val="00EB6403"/>
    <w:rsid w:val="00EB6905"/>
    <w:rsid w:val="00EB6C74"/>
    <w:rsid w:val="00EB7A77"/>
    <w:rsid w:val="00EB7E8A"/>
    <w:rsid w:val="00EC0DA8"/>
    <w:rsid w:val="00EC1956"/>
    <w:rsid w:val="00EC1A48"/>
    <w:rsid w:val="00EC1EDF"/>
    <w:rsid w:val="00EC1F23"/>
    <w:rsid w:val="00EC2170"/>
    <w:rsid w:val="00EC2A33"/>
    <w:rsid w:val="00EC3415"/>
    <w:rsid w:val="00EC3F82"/>
    <w:rsid w:val="00EC4EE8"/>
    <w:rsid w:val="00EC52CF"/>
    <w:rsid w:val="00EC5EE6"/>
    <w:rsid w:val="00EC63F2"/>
    <w:rsid w:val="00EC6E22"/>
    <w:rsid w:val="00ED10F9"/>
    <w:rsid w:val="00ED2DA7"/>
    <w:rsid w:val="00ED396F"/>
    <w:rsid w:val="00ED6117"/>
    <w:rsid w:val="00ED654A"/>
    <w:rsid w:val="00ED6E56"/>
    <w:rsid w:val="00ED7188"/>
    <w:rsid w:val="00ED7746"/>
    <w:rsid w:val="00ED7AE5"/>
    <w:rsid w:val="00EE188F"/>
    <w:rsid w:val="00EE1FD7"/>
    <w:rsid w:val="00EE2BC9"/>
    <w:rsid w:val="00EE2C42"/>
    <w:rsid w:val="00EE31B9"/>
    <w:rsid w:val="00EE4349"/>
    <w:rsid w:val="00EE5604"/>
    <w:rsid w:val="00EE5E03"/>
    <w:rsid w:val="00EE5F30"/>
    <w:rsid w:val="00EE60CB"/>
    <w:rsid w:val="00EF2151"/>
    <w:rsid w:val="00EF2657"/>
    <w:rsid w:val="00EF3C8C"/>
    <w:rsid w:val="00EF3DDE"/>
    <w:rsid w:val="00EF3E9F"/>
    <w:rsid w:val="00EF410D"/>
    <w:rsid w:val="00EF42E7"/>
    <w:rsid w:val="00EF61FB"/>
    <w:rsid w:val="00EF628F"/>
    <w:rsid w:val="00EF727A"/>
    <w:rsid w:val="00F011E6"/>
    <w:rsid w:val="00F01406"/>
    <w:rsid w:val="00F01788"/>
    <w:rsid w:val="00F01ED3"/>
    <w:rsid w:val="00F03E39"/>
    <w:rsid w:val="00F0406D"/>
    <w:rsid w:val="00F04202"/>
    <w:rsid w:val="00F04894"/>
    <w:rsid w:val="00F04E00"/>
    <w:rsid w:val="00F04E1B"/>
    <w:rsid w:val="00F0507D"/>
    <w:rsid w:val="00F056A6"/>
    <w:rsid w:val="00F06037"/>
    <w:rsid w:val="00F061CB"/>
    <w:rsid w:val="00F06C7D"/>
    <w:rsid w:val="00F07A22"/>
    <w:rsid w:val="00F102A3"/>
    <w:rsid w:val="00F1121E"/>
    <w:rsid w:val="00F11275"/>
    <w:rsid w:val="00F12A09"/>
    <w:rsid w:val="00F12D24"/>
    <w:rsid w:val="00F131F2"/>
    <w:rsid w:val="00F152C0"/>
    <w:rsid w:val="00F16129"/>
    <w:rsid w:val="00F161D7"/>
    <w:rsid w:val="00F16CAD"/>
    <w:rsid w:val="00F17031"/>
    <w:rsid w:val="00F2087F"/>
    <w:rsid w:val="00F20D77"/>
    <w:rsid w:val="00F210D1"/>
    <w:rsid w:val="00F213FA"/>
    <w:rsid w:val="00F21C81"/>
    <w:rsid w:val="00F21D9D"/>
    <w:rsid w:val="00F21E60"/>
    <w:rsid w:val="00F22465"/>
    <w:rsid w:val="00F23188"/>
    <w:rsid w:val="00F2430E"/>
    <w:rsid w:val="00F25561"/>
    <w:rsid w:val="00F27993"/>
    <w:rsid w:val="00F27D32"/>
    <w:rsid w:val="00F300A1"/>
    <w:rsid w:val="00F304EF"/>
    <w:rsid w:val="00F318A5"/>
    <w:rsid w:val="00F319B4"/>
    <w:rsid w:val="00F324C4"/>
    <w:rsid w:val="00F34066"/>
    <w:rsid w:val="00F34DE4"/>
    <w:rsid w:val="00F35410"/>
    <w:rsid w:val="00F36F39"/>
    <w:rsid w:val="00F3723F"/>
    <w:rsid w:val="00F37411"/>
    <w:rsid w:val="00F37851"/>
    <w:rsid w:val="00F37C73"/>
    <w:rsid w:val="00F4127D"/>
    <w:rsid w:val="00F418F2"/>
    <w:rsid w:val="00F42408"/>
    <w:rsid w:val="00F45511"/>
    <w:rsid w:val="00F4562B"/>
    <w:rsid w:val="00F456A2"/>
    <w:rsid w:val="00F45BDD"/>
    <w:rsid w:val="00F45D1C"/>
    <w:rsid w:val="00F46099"/>
    <w:rsid w:val="00F46129"/>
    <w:rsid w:val="00F469B5"/>
    <w:rsid w:val="00F46EB7"/>
    <w:rsid w:val="00F4706C"/>
    <w:rsid w:val="00F47834"/>
    <w:rsid w:val="00F47ED9"/>
    <w:rsid w:val="00F516E3"/>
    <w:rsid w:val="00F53C36"/>
    <w:rsid w:val="00F56317"/>
    <w:rsid w:val="00F56D11"/>
    <w:rsid w:val="00F57C9C"/>
    <w:rsid w:val="00F60616"/>
    <w:rsid w:val="00F60FB6"/>
    <w:rsid w:val="00F61628"/>
    <w:rsid w:val="00F62D71"/>
    <w:rsid w:val="00F638DE"/>
    <w:rsid w:val="00F63937"/>
    <w:rsid w:val="00F64308"/>
    <w:rsid w:val="00F64504"/>
    <w:rsid w:val="00F64795"/>
    <w:rsid w:val="00F64DC6"/>
    <w:rsid w:val="00F65E61"/>
    <w:rsid w:val="00F66365"/>
    <w:rsid w:val="00F66DB6"/>
    <w:rsid w:val="00F67CB4"/>
    <w:rsid w:val="00F703B7"/>
    <w:rsid w:val="00F70F2B"/>
    <w:rsid w:val="00F71B31"/>
    <w:rsid w:val="00F72084"/>
    <w:rsid w:val="00F7236D"/>
    <w:rsid w:val="00F738E2"/>
    <w:rsid w:val="00F73FE6"/>
    <w:rsid w:val="00F74C09"/>
    <w:rsid w:val="00F75568"/>
    <w:rsid w:val="00F75BAB"/>
    <w:rsid w:val="00F75EDC"/>
    <w:rsid w:val="00F76F6E"/>
    <w:rsid w:val="00F77254"/>
    <w:rsid w:val="00F77CE0"/>
    <w:rsid w:val="00F80E28"/>
    <w:rsid w:val="00F80F69"/>
    <w:rsid w:val="00F81539"/>
    <w:rsid w:val="00F81BC9"/>
    <w:rsid w:val="00F824B7"/>
    <w:rsid w:val="00F828A7"/>
    <w:rsid w:val="00F8327F"/>
    <w:rsid w:val="00F8360D"/>
    <w:rsid w:val="00F85A15"/>
    <w:rsid w:val="00F85A37"/>
    <w:rsid w:val="00F8623D"/>
    <w:rsid w:val="00F9159D"/>
    <w:rsid w:val="00F927F5"/>
    <w:rsid w:val="00F92C54"/>
    <w:rsid w:val="00F93DAF"/>
    <w:rsid w:val="00F9441E"/>
    <w:rsid w:val="00F957F3"/>
    <w:rsid w:val="00F96065"/>
    <w:rsid w:val="00F962BE"/>
    <w:rsid w:val="00F96E62"/>
    <w:rsid w:val="00FA0C77"/>
    <w:rsid w:val="00FA1129"/>
    <w:rsid w:val="00FA1B88"/>
    <w:rsid w:val="00FA1C09"/>
    <w:rsid w:val="00FA2808"/>
    <w:rsid w:val="00FA3A92"/>
    <w:rsid w:val="00FA50B1"/>
    <w:rsid w:val="00FA7866"/>
    <w:rsid w:val="00FA7A14"/>
    <w:rsid w:val="00FA7A87"/>
    <w:rsid w:val="00FA7B14"/>
    <w:rsid w:val="00FB04B6"/>
    <w:rsid w:val="00FB1219"/>
    <w:rsid w:val="00FB32D3"/>
    <w:rsid w:val="00FB4307"/>
    <w:rsid w:val="00FB50DA"/>
    <w:rsid w:val="00FB5185"/>
    <w:rsid w:val="00FB65C0"/>
    <w:rsid w:val="00FB6A52"/>
    <w:rsid w:val="00FB78F3"/>
    <w:rsid w:val="00FB793F"/>
    <w:rsid w:val="00FC04C8"/>
    <w:rsid w:val="00FC1A0C"/>
    <w:rsid w:val="00FC20B3"/>
    <w:rsid w:val="00FC268F"/>
    <w:rsid w:val="00FC2BBC"/>
    <w:rsid w:val="00FC37A5"/>
    <w:rsid w:val="00FC4702"/>
    <w:rsid w:val="00FC5F5F"/>
    <w:rsid w:val="00FC662E"/>
    <w:rsid w:val="00FD02C2"/>
    <w:rsid w:val="00FD22B9"/>
    <w:rsid w:val="00FD28A5"/>
    <w:rsid w:val="00FD2C1C"/>
    <w:rsid w:val="00FD3535"/>
    <w:rsid w:val="00FD358D"/>
    <w:rsid w:val="00FD3867"/>
    <w:rsid w:val="00FD4370"/>
    <w:rsid w:val="00FD4711"/>
    <w:rsid w:val="00FD51FD"/>
    <w:rsid w:val="00FD62EB"/>
    <w:rsid w:val="00FD63BD"/>
    <w:rsid w:val="00FD64C4"/>
    <w:rsid w:val="00FD69CD"/>
    <w:rsid w:val="00FE008D"/>
    <w:rsid w:val="00FE0C51"/>
    <w:rsid w:val="00FE12FF"/>
    <w:rsid w:val="00FE2D9B"/>
    <w:rsid w:val="00FE3D6B"/>
    <w:rsid w:val="00FE40B3"/>
    <w:rsid w:val="00FE4573"/>
    <w:rsid w:val="00FE4670"/>
    <w:rsid w:val="00FE4F4A"/>
    <w:rsid w:val="00FE54BA"/>
    <w:rsid w:val="00FE6D33"/>
    <w:rsid w:val="00FE6FF4"/>
    <w:rsid w:val="00FE7122"/>
    <w:rsid w:val="00FE71FC"/>
    <w:rsid w:val="00FF077D"/>
    <w:rsid w:val="00FF1294"/>
    <w:rsid w:val="00FF13CC"/>
    <w:rsid w:val="00FF2AA3"/>
    <w:rsid w:val="00FF3996"/>
    <w:rsid w:val="00FF561B"/>
    <w:rsid w:val="00FF60F6"/>
    <w:rsid w:val="00FF6999"/>
    <w:rsid w:val="00FF7741"/>
    <w:rsid w:val="00FF77F3"/>
    <w:rsid w:val="00FF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4E"/>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4E"/>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8AA121-C242-4F9F-90A3-8E323E6A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2008</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2012-06-18T01:52:00Z</cp:lastPrinted>
  <dcterms:created xsi:type="dcterms:W3CDTF">2012-07-31T01:32:00Z</dcterms:created>
  <dcterms:modified xsi:type="dcterms:W3CDTF">2012-12-19T04:19:00Z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