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EF" w:rsidRPr="00CE2D43" w:rsidRDefault="006A4FEF" w:rsidP="006A4FE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32000" cy="992212"/>
            <wp:effectExtent l="0" t="0" r="0" b="0"/>
            <wp:docPr id="1" name="Picture 1" descr="C:\Users\chani\Desktop\rba-logo-horizontal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i\Desktop\rba-logo-horizontal-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9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EF" w:rsidRPr="00CE2D43" w:rsidRDefault="006A4FEF" w:rsidP="006A4FEF">
      <w:pPr>
        <w:pStyle w:val="Heading2"/>
        <w:jc w:val="center"/>
        <w:rPr>
          <w:i/>
          <w:sz w:val="24"/>
          <w:szCs w:val="24"/>
        </w:rPr>
      </w:pPr>
      <w:r w:rsidRPr="00CE2D43">
        <w:rPr>
          <w:i/>
          <w:sz w:val="24"/>
          <w:szCs w:val="24"/>
        </w:rPr>
        <w:t>Payment Systems (Regulation) Act 1998</w:t>
      </w:r>
    </w:p>
    <w:p w:rsidR="006A4FEF" w:rsidRPr="000B6E37" w:rsidRDefault="0032372A" w:rsidP="006A4FEF">
      <w:pPr>
        <w:pStyle w:val="Heading2"/>
        <w:jc w:val="center"/>
        <w:rPr>
          <w:sz w:val="24"/>
          <w:szCs w:val="24"/>
        </w:rPr>
      </w:pPr>
      <w:r w:rsidRPr="0032372A">
        <w:rPr>
          <w:sz w:val="24"/>
          <w:szCs w:val="24"/>
        </w:rPr>
        <w:t>Revocation of the Standard on Interchange Fees for the EFTPOS System Designated in Designation No 2 of 2004</w:t>
      </w:r>
      <w:r w:rsidR="006A4FEF" w:rsidRPr="000B6E37">
        <w:rPr>
          <w:sz w:val="24"/>
          <w:szCs w:val="24"/>
        </w:rPr>
        <w:t>: Explanatory Statement</w:t>
      </w:r>
    </w:p>
    <w:p w:rsidR="006A4FEF" w:rsidRDefault="006A4FEF" w:rsidP="006A4FE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Background</w:t>
      </w:r>
    </w:p>
    <w:p w:rsidR="00D8628D" w:rsidRDefault="00D8628D" w:rsidP="006A4F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603EB">
        <w:rPr>
          <w:sz w:val="24"/>
          <w:szCs w:val="24"/>
        </w:rPr>
        <w:t>he Reserve Bank of Australia (</w:t>
      </w:r>
      <w:r w:rsidR="00646A35">
        <w:rPr>
          <w:sz w:val="24"/>
          <w:szCs w:val="24"/>
        </w:rPr>
        <w:t xml:space="preserve">the </w:t>
      </w:r>
      <w:r w:rsidR="007603EB">
        <w:rPr>
          <w:sz w:val="24"/>
          <w:szCs w:val="24"/>
        </w:rPr>
        <w:t xml:space="preserve">Bank) initiated a review of the EFTPOS regulatory framework in early 2012 in order to ensure that </w:t>
      </w:r>
      <w:r w:rsidR="009B55FC">
        <w:rPr>
          <w:sz w:val="24"/>
          <w:szCs w:val="24"/>
        </w:rPr>
        <w:t xml:space="preserve">its </w:t>
      </w:r>
      <w:r w:rsidR="007603EB">
        <w:rPr>
          <w:sz w:val="24"/>
          <w:szCs w:val="24"/>
        </w:rPr>
        <w:t>regulation continues to meet its objectives in light of changes that have occurred in the system in recent years. Those changes include a shift from a system characterised by bilateral agreements between participants to one that is centrally managed by eftpos Payments Australia Limited (ePAL)</w:t>
      </w:r>
      <w:r>
        <w:rPr>
          <w:sz w:val="24"/>
          <w:szCs w:val="24"/>
        </w:rPr>
        <w:t>.</w:t>
      </w:r>
    </w:p>
    <w:p w:rsidR="00B03C51" w:rsidRDefault="00B03C51" w:rsidP="006A4FEF">
      <w:pPr>
        <w:rPr>
          <w:sz w:val="24"/>
          <w:szCs w:val="24"/>
        </w:rPr>
      </w:pPr>
      <w:r>
        <w:rPr>
          <w:sz w:val="24"/>
          <w:szCs w:val="24"/>
        </w:rPr>
        <w:t xml:space="preserve">Reflecting these changes to the system, the Bank updated its designation of the EFTPOS system in </w:t>
      </w:r>
      <w:r>
        <w:rPr>
          <w:i/>
          <w:sz w:val="24"/>
          <w:szCs w:val="24"/>
        </w:rPr>
        <w:t>Designation No 1 of 2012</w:t>
      </w:r>
      <w:r>
        <w:rPr>
          <w:sz w:val="24"/>
          <w:szCs w:val="24"/>
        </w:rPr>
        <w:t xml:space="preserve"> as the original designation (</w:t>
      </w:r>
      <w:r>
        <w:rPr>
          <w:i/>
          <w:sz w:val="24"/>
          <w:szCs w:val="24"/>
        </w:rPr>
        <w:t>Designation No 2 of 2004</w:t>
      </w:r>
      <w:r>
        <w:rPr>
          <w:sz w:val="24"/>
          <w:szCs w:val="24"/>
        </w:rPr>
        <w:t xml:space="preserve">) no longer clearly defined the system. The Standard titled </w:t>
      </w:r>
      <w:r>
        <w:rPr>
          <w:i/>
          <w:sz w:val="24"/>
          <w:szCs w:val="24"/>
        </w:rPr>
        <w:t xml:space="preserve">The Setting of Interchange Fees in the EFTPOS </w:t>
      </w:r>
      <w:r w:rsidRPr="00B03C51">
        <w:rPr>
          <w:i/>
          <w:sz w:val="24"/>
          <w:szCs w:val="24"/>
        </w:rPr>
        <w:t>System</w:t>
      </w:r>
      <w:r w:rsidR="00A8274C">
        <w:rPr>
          <w:sz w:val="24"/>
          <w:szCs w:val="24"/>
        </w:rPr>
        <w:t xml:space="preserve"> (‘the </w:t>
      </w:r>
      <w:r w:rsidR="008A5C81">
        <w:rPr>
          <w:sz w:val="24"/>
          <w:szCs w:val="24"/>
        </w:rPr>
        <w:t xml:space="preserve">2006 </w:t>
      </w:r>
      <w:r w:rsidR="00A8274C">
        <w:rPr>
          <w:sz w:val="24"/>
          <w:szCs w:val="24"/>
        </w:rPr>
        <w:t>Standard’)</w:t>
      </w:r>
      <w:r>
        <w:rPr>
          <w:sz w:val="24"/>
          <w:szCs w:val="24"/>
        </w:rPr>
        <w:t xml:space="preserve">, </w:t>
      </w:r>
      <w:r w:rsidRPr="00B03C51">
        <w:rPr>
          <w:sz w:val="24"/>
          <w:szCs w:val="24"/>
        </w:rPr>
        <w:t>determined</w:t>
      </w:r>
      <w:r>
        <w:rPr>
          <w:sz w:val="24"/>
          <w:szCs w:val="24"/>
        </w:rPr>
        <w:t xml:space="preserve"> for the system under the original designation, is therefore no longer appropriate.</w:t>
      </w:r>
      <w:r>
        <w:rPr>
          <w:rStyle w:val="FootnoteReference"/>
          <w:sz w:val="24"/>
          <w:szCs w:val="24"/>
        </w:rPr>
        <w:footnoteReference w:id="1"/>
      </w:r>
    </w:p>
    <w:p w:rsidR="00E53178" w:rsidRDefault="00B03C51" w:rsidP="006A4FEF">
      <w:pPr>
        <w:rPr>
          <w:sz w:val="24"/>
          <w:szCs w:val="24"/>
        </w:rPr>
      </w:pPr>
      <w:r>
        <w:rPr>
          <w:sz w:val="24"/>
          <w:szCs w:val="24"/>
        </w:rPr>
        <w:t xml:space="preserve">The Bank’s review of the EFTPOS regulatory framework included a review of whether the form of its regulation </w:t>
      </w:r>
      <w:r w:rsidR="00E86A67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EFTPOS interchange fees was still appropriate, given recent changes in the system. </w:t>
      </w:r>
      <w:r w:rsidR="00E53178">
        <w:rPr>
          <w:sz w:val="24"/>
          <w:szCs w:val="24"/>
        </w:rPr>
        <w:t>Previously, interchange fees in the EFTPOS system had been constrained between 4</w:t>
      </w:r>
      <w:r w:rsidR="009D1590">
        <w:rPr>
          <w:sz w:val="24"/>
          <w:szCs w:val="24"/>
        </w:rPr>
        <w:t> </w:t>
      </w:r>
      <w:r w:rsidR="00E53178">
        <w:rPr>
          <w:sz w:val="24"/>
          <w:szCs w:val="24"/>
        </w:rPr>
        <w:t>and</w:t>
      </w:r>
      <w:r w:rsidR="009D1590">
        <w:rPr>
          <w:sz w:val="24"/>
          <w:szCs w:val="24"/>
        </w:rPr>
        <w:t> </w:t>
      </w:r>
      <w:r w:rsidR="00E53178">
        <w:rPr>
          <w:sz w:val="24"/>
          <w:szCs w:val="24"/>
        </w:rPr>
        <w:t xml:space="preserve">5 cents </w:t>
      </w:r>
      <w:r w:rsidR="00750E8C">
        <w:rPr>
          <w:sz w:val="24"/>
          <w:szCs w:val="24"/>
        </w:rPr>
        <w:t>paid</w:t>
      </w:r>
      <w:r w:rsidR="00E53178">
        <w:rPr>
          <w:sz w:val="24"/>
          <w:szCs w:val="24"/>
        </w:rPr>
        <w:t xml:space="preserve"> to the acquirer. </w:t>
      </w:r>
      <w:r w:rsidR="00D8628D" w:rsidRPr="00D8628D">
        <w:rPr>
          <w:sz w:val="24"/>
          <w:szCs w:val="24"/>
        </w:rPr>
        <w:t>In recognition of ePAL</w:t>
      </w:r>
      <w:r w:rsidR="00221EF0">
        <w:rPr>
          <w:sz w:val="24"/>
          <w:szCs w:val="24"/>
        </w:rPr>
        <w:t>’</w:t>
      </w:r>
      <w:r w:rsidR="00D8628D" w:rsidRPr="00D8628D">
        <w:rPr>
          <w:sz w:val="24"/>
          <w:szCs w:val="24"/>
        </w:rPr>
        <w:t>s capacity to set interchange fees in the interests of the system, in</w:t>
      </w:r>
      <w:r w:rsidR="003C49D6">
        <w:rPr>
          <w:sz w:val="24"/>
          <w:szCs w:val="24"/>
        </w:rPr>
        <w:t xml:space="preserve"> </w:t>
      </w:r>
      <w:r w:rsidR="00D8628D" w:rsidRPr="00D8628D">
        <w:rPr>
          <w:sz w:val="24"/>
          <w:szCs w:val="24"/>
        </w:rPr>
        <w:t xml:space="preserve">2009 the </w:t>
      </w:r>
      <w:r w:rsidR="00E24EAC">
        <w:rPr>
          <w:sz w:val="24"/>
          <w:szCs w:val="24"/>
        </w:rPr>
        <w:t>Bank</w:t>
      </w:r>
      <w:r w:rsidR="00D8628D" w:rsidRPr="00D8628D">
        <w:rPr>
          <w:sz w:val="24"/>
          <w:szCs w:val="24"/>
        </w:rPr>
        <w:t xml:space="preserve"> </w:t>
      </w:r>
      <w:r w:rsidR="00806398">
        <w:rPr>
          <w:sz w:val="24"/>
          <w:szCs w:val="24"/>
        </w:rPr>
        <w:t>amended its regulation so that</w:t>
      </w:r>
      <w:r w:rsidR="00806398" w:rsidRPr="00D8628D">
        <w:rPr>
          <w:sz w:val="24"/>
          <w:szCs w:val="24"/>
        </w:rPr>
        <w:t xml:space="preserve"> </w:t>
      </w:r>
      <w:r w:rsidR="00D8628D" w:rsidRPr="00D8628D">
        <w:rPr>
          <w:sz w:val="24"/>
          <w:szCs w:val="24"/>
        </w:rPr>
        <w:t xml:space="preserve">multilateral EFTPOS interchange fees (those set by ePAL itself) </w:t>
      </w:r>
      <w:r w:rsidR="00806398">
        <w:rPr>
          <w:sz w:val="24"/>
          <w:szCs w:val="24"/>
        </w:rPr>
        <w:t xml:space="preserve">were subject </w:t>
      </w:r>
      <w:r w:rsidR="00D8628D" w:rsidRPr="00D8628D">
        <w:rPr>
          <w:sz w:val="24"/>
          <w:szCs w:val="24"/>
        </w:rPr>
        <w:t>to the same 12 cent cap</w:t>
      </w:r>
      <w:r w:rsidR="003B0D50">
        <w:rPr>
          <w:sz w:val="24"/>
          <w:szCs w:val="24"/>
        </w:rPr>
        <w:t xml:space="preserve"> – </w:t>
      </w:r>
      <w:r w:rsidR="00750E8C">
        <w:rPr>
          <w:sz w:val="24"/>
          <w:szCs w:val="24"/>
        </w:rPr>
        <w:t>paid</w:t>
      </w:r>
      <w:r w:rsidR="003B0D50">
        <w:rPr>
          <w:sz w:val="24"/>
          <w:szCs w:val="24"/>
        </w:rPr>
        <w:t xml:space="preserve"> to the issuer –</w:t>
      </w:r>
      <w:r w:rsidR="00D8628D" w:rsidRPr="00D8628D">
        <w:rPr>
          <w:sz w:val="24"/>
          <w:szCs w:val="24"/>
        </w:rPr>
        <w:t xml:space="preserve"> as </w:t>
      </w:r>
      <w:r w:rsidR="00E53178">
        <w:rPr>
          <w:sz w:val="24"/>
          <w:szCs w:val="24"/>
        </w:rPr>
        <w:t>that applying</w:t>
      </w:r>
      <w:r w:rsidR="00D8628D" w:rsidRPr="00D8628D">
        <w:rPr>
          <w:sz w:val="24"/>
          <w:szCs w:val="24"/>
        </w:rPr>
        <w:t xml:space="preserve"> to t</w:t>
      </w:r>
      <w:r w:rsidR="00E53178">
        <w:rPr>
          <w:sz w:val="24"/>
          <w:szCs w:val="24"/>
        </w:rPr>
        <w:t>he international debit schemes.</w:t>
      </w:r>
      <w:r w:rsidR="003B0D50">
        <w:rPr>
          <w:sz w:val="24"/>
          <w:szCs w:val="24"/>
        </w:rPr>
        <w:t xml:space="preserve"> Bilateral</w:t>
      </w:r>
      <w:r w:rsidR="009143B2">
        <w:rPr>
          <w:sz w:val="24"/>
          <w:szCs w:val="24"/>
        </w:rPr>
        <w:t>ly negotiated</w:t>
      </w:r>
      <w:r w:rsidR="003B0D50">
        <w:rPr>
          <w:sz w:val="24"/>
          <w:szCs w:val="24"/>
        </w:rPr>
        <w:t xml:space="preserve"> fees</w:t>
      </w:r>
      <w:r w:rsidR="009143B2">
        <w:rPr>
          <w:sz w:val="24"/>
          <w:szCs w:val="24"/>
        </w:rPr>
        <w:t xml:space="preserve"> in the EFTPOS system</w:t>
      </w:r>
      <w:r w:rsidR="003B0D50">
        <w:rPr>
          <w:sz w:val="24"/>
          <w:szCs w:val="24"/>
        </w:rPr>
        <w:t>, however, remained constrained between 4 and 5 cents paid to the acquirer.</w:t>
      </w:r>
    </w:p>
    <w:p w:rsidR="006A4FEF" w:rsidRDefault="00B03C51" w:rsidP="006A4FE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8628D" w:rsidRPr="00D8628D">
        <w:rPr>
          <w:sz w:val="24"/>
          <w:szCs w:val="24"/>
        </w:rPr>
        <w:t xml:space="preserve">ost participants </w:t>
      </w:r>
      <w:r w:rsidR="00E53178">
        <w:rPr>
          <w:sz w:val="24"/>
          <w:szCs w:val="24"/>
        </w:rPr>
        <w:t xml:space="preserve">in the EFTPOS system </w:t>
      </w:r>
      <w:r w:rsidR="00D8628D" w:rsidRPr="00D8628D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now </w:t>
      </w:r>
      <w:r w:rsidR="00D8628D" w:rsidRPr="00D8628D">
        <w:rPr>
          <w:sz w:val="24"/>
          <w:szCs w:val="24"/>
        </w:rPr>
        <w:t>adopted multilateral fees</w:t>
      </w:r>
      <w:r>
        <w:rPr>
          <w:sz w:val="24"/>
          <w:szCs w:val="24"/>
        </w:rPr>
        <w:t>.</w:t>
      </w:r>
      <w:r w:rsidRPr="00D8628D">
        <w:rPr>
          <w:sz w:val="24"/>
          <w:szCs w:val="24"/>
        </w:rPr>
        <w:t xml:space="preserve"> </w:t>
      </w:r>
      <w:r w:rsidR="00990883">
        <w:rPr>
          <w:sz w:val="24"/>
          <w:szCs w:val="24"/>
        </w:rPr>
        <w:t xml:space="preserve">In line with this, </w:t>
      </w:r>
      <w:r w:rsidR="00D8628D" w:rsidRPr="00D8628D">
        <w:rPr>
          <w:sz w:val="24"/>
          <w:szCs w:val="24"/>
        </w:rPr>
        <w:t xml:space="preserve">the </w:t>
      </w:r>
      <w:r w:rsidR="00E24EAC">
        <w:rPr>
          <w:sz w:val="24"/>
          <w:szCs w:val="24"/>
        </w:rPr>
        <w:t xml:space="preserve">Bank </w:t>
      </w:r>
      <w:r w:rsidR="00D8628D" w:rsidRPr="00D8628D">
        <w:rPr>
          <w:sz w:val="24"/>
          <w:szCs w:val="24"/>
        </w:rPr>
        <w:t>decided</w:t>
      </w:r>
      <w:r>
        <w:rPr>
          <w:sz w:val="24"/>
          <w:szCs w:val="24"/>
        </w:rPr>
        <w:t xml:space="preserve"> in November 2012</w:t>
      </w:r>
      <w:r w:rsidR="00D8628D" w:rsidRPr="00D8628D">
        <w:rPr>
          <w:sz w:val="24"/>
          <w:szCs w:val="24"/>
        </w:rPr>
        <w:t xml:space="preserve"> that it is appropriate for bilaterally negotiated fees </w:t>
      </w:r>
      <w:r w:rsidR="00536601">
        <w:rPr>
          <w:sz w:val="24"/>
          <w:szCs w:val="24"/>
        </w:rPr>
        <w:t xml:space="preserve">to </w:t>
      </w:r>
      <w:r w:rsidR="00D8628D" w:rsidRPr="00D8628D">
        <w:rPr>
          <w:sz w:val="24"/>
          <w:szCs w:val="24"/>
        </w:rPr>
        <w:t>be subject to a similar cap</w:t>
      </w:r>
      <w:r w:rsidR="00AC0B31">
        <w:rPr>
          <w:sz w:val="24"/>
          <w:szCs w:val="24"/>
        </w:rPr>
        <w:t xml:space="preserve"> to multilateral fees</w:t>
      </w:r>
      <w:r w:rsidR="00D8628D" w:rsidRPr="00D8628D">
        <w:rPr>
          <w:sz w:val="24"/>
          <w:szCs w:val="24"/>
        </w:rPr>
        <w:t>.</w:t>
      </w:r>
      <w:r w:rsidR="00A8274C">
        <w:rPr>
          <w:sz w:val="24"/>
          <w:szCs w:val="24"/>
        </w:rPr>
        <w:t xml:space="preserve"> To give effect to this decision, it is necessary to revoke the </w:t>
      </w:r>
      <w:r w:rsidR="008A5C81">
        <w:rPr>
          <w:sz w:val="24"/>
          <w:szCs w:val="24"/>
        </w:rPr>
        <w:t xml:space="preserve">2006 </w:t>
      </w:r>
      <w:r w:rsidR="00A8274C">
        <w:rPr>
          <w:sz w:val="24"/>
          <w:szCs w:val="24"/>
        </w:rPr>
        <w:t>Standard</w:t>
      </w:r>
      <w:r w:rsidR="00806398">
        <w:rPr>
          <w:sz w:val="24"/>
          <w:szCs w:val="24"/>
        </w:rPr>
        <w:t xml:space="preserve"> (based on the </w:t>
      </w:r>
      <w:r w:rsidR="008A5C81">
        <w:rPr>
          <w:sz w:val="24"/>
          <w:szCs w:val="24"/>
        </w:rPr>
        <w:t>2004</w:t>
      </w:r>
      <w:r w:rsidR="00806398">
        <w:rPr>
          <w:sz w:val="24"/>
          <w:szCs w:val="24"/>
        </w:rPr>
        <w:t xml:space="preserve"> designation, </w:t>
      </w:r>
      <w:r w:rsidR="00806398" w:rsidRPr="00DC72AA">
        <w:rPr>
          <w:i/>
          <w:sz w:val="24"/>
          <w:szCs w:val="24"/>
        </w:rPr>
        <w:t>Designation No 2 of 2004</w:t>
      </w:r>
      <w:r w:rsidR="00806398">
        <w:rPr>
          <w:sz w:val="24"/>
          <w:szCs w:val="24"/>
        </w:rPr>
        <w:t>)</w:t>
      </w:r>
      <w:r w:rsidR="00A8274C">
        <w:rPr>
          <w:sz w:val="24"/>
          <w:szCs w:val="24"/>
        </w:rPr>
        <w:t xml:space="preserve"> and put in place a new Standard </w:t>
      </w:r>
      <w:r w:rsidR="00806398">
        <w:rPr>
          <w:sz w:val="24"/>
          <w:szCs w:val="24"/>
        </w:rPr>
        <w:t xml:space="preserve">(i.e. </w:t>
      </w:r>
      <w:r w:rsidR="00A8274C">
        <w:rPr>
          <w:sz w:val="24"/>
          <w:szCs w:val="24"/>
        </w:rPr>
        <w:t>appl</w:t>
      </w:r>
      <w:r w:rsidR="00806398">
        <w:rPr>
          <w:sz w:val="24"/>
          <w:szCs w:val="24"/>
        </w:rPr>
        <w:t>ying</w:t>
      </w:r>
      <w:r w:rsidR="00A8274C">
        <w:rPr>
          <w:sz w:val="24"/>
          <w:szCs w:val="24"/>
        </w:rPr>
        <w:t xml:space="preserve"> to the system designated in </w:t>
      </w:r>
      <w:r w:rsidR="00A8274C">
        <w:rPr>
          <w:i/>
          <w:sz w:val="24"/>
          <w:szCs w:val="24"/>
        </w:rPr>
        <w:t>Designation No 1 of 2012</w:t>
      </w:r>
      <w:r w:rsidR="00806398">
        <w:rPr>
          <w:sz w:val="24"/>
          <w:szCs w:val="24"/>
        </w:rPr>
        <w:t>)</w:t>
      </w:r>
      <w:r w:rsidR="00A8274C" w:rsidRPr="00806398">
        <w:rPr>
          <w:sz w:val="24"/>
          <w:szCs w:val="24"/>
        </w:rPr>
        <w:t>.</w:t>
      </w:r>
      <w:r w:rsidR="00A8274C">
        <w:rPr>
          <w:sz w:val="24"/>
          <w:szCs w:val="24"/>
        </w:rPr>
        <w:t xml:space="preserve"> </w:t>
      </w:r>
    </w:p>
    <w:p w:rsidR="006A4FEF" w:rsidRPr="00CE2D43" w:rsidRDefault="006A4FEF" w:rsidP="006A4FEF">
      <w:pPr>
        <w:pStyle w:val="Heading3"/>
        <w:rPr>
          <w:sz w:val="24"/>
          <w:szCs w:val="24"/>
        </w:rPr>
      </w:pPr>
      <w:r w:rsidRPr="00CE2D43">
        <w:rPr>
          <w:sz w:val="24"/>
          <w:szCs w:val="24"/>
        </w:rPr>
        <w:t xml:space="preserve">Purpose and </w:t>
      </w:r>
      <w:r w:rsidR="00CC4D5E">
        <w:rPr>
          <w:sz w:val="24"/>
          <w:szCs w:val="24"/>
        </w:rPr>
        <w:t>Operation</w:t>
      </w:r>
    </w:p>
    <w:p w:rsidR="00986713" w:rsidRDefault="00F11597" w:rsidP="006A4F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76AF1">
        <w:rPr>
          <w:sz w:val="24"/>
          <w:szCs w:val="24"/>
        </w:rPr>
        <w:t xml:space="preserve">he purpose of the revocation is to </w:t>
      </w:r>
      <w:r w:rsidR="00E86A67">
        <w:rPr>
          <w:sz w:val="24"/>
          <w:szCs w:val="24"/>
        </w:rPr>
        <w:t xml:space="preserve">promote competition and efficiency in the Australian Payments System by enabling </w:t>
      </w:r>
      <w:r w:rsidR="00221EF0">
        <w:rPr>
          <w:sz w:val="24"/>
          <w:szCs w:val="24"/>
        </w:rPr>
        <w:t xml:space="preserve">the Bank to update its regulatory regime following its review of the regulatory framework for the EFTPOS system. A new Standard has been determined by the Bank, based on </w:t>
      </w:r>
      <w:r w:rsidR="004D748A">
        <w:rPr>
          <w:sz w:val="24"/>
          <w:szCs w:val="24"/>
        </w:rPr>
        <w:t xml:space="preserve">the </w:t>
      </w:r>
      <w:r w:rsidR="00221EF0">
        <w:rPr>
          <w:sz w:val="24"/>
          <w:szCs w:val="24"/>
        </w:rPr>
        <w:t xml:space="preserve">revised designation of the EFTPOS system. </w:t>
      </w:r>
      <w:r>
        <w:rPr>
          <w:sz w:val="24"/>
          <w:szCs w:val="24"/>
        </w:rPr>
        <w:t xml:space="preserve">The </w:t>
      </w:r>
      <w:r w:rsidR="001F5419">
        <w:rPr>
          <w:sz w:val="24"/>
          <w:szCs w:val="24"/>
        </w:rPr>
        <w:t xml:space="preserve">revocation </w:t>
      </w:r>
      <w:r w:rsidR="00986713">
        <w:rPr>
          <w:sz w:val="24"/>
          <w:szCs w:val="24"/>
        </w:rPr>
        <w:t xml:space="preserve">applies to </w:t>
      </w:r>
      <w:r>
        <w:rPr>
          <w:sz w:val="24"/>
          <w:szCs w:val="24"/>
        </w:rPr>
        <w:t>the previous Standard</w:t>
      </w:r>
      <w:r w:rsidR="00986713">
        <w:rPr>
          <w:sz w:val="24"/>
          <w:szCs w:val="24"/>
        </w:rPr>
        <w:t xml:space="preserve">, relating </w:t>
      </w:r>
      <w:r>
        <w:rPr>
          <w:sz w:val="24"/>
          <w:szCs w:val="24"/>
        </w:rPr>
        <w:t xml:space="preserve">to the EFTPOS system designated in </w:t>
      </w:r>
      <w:r w:rsidRPr="00F11597">
        <w:rPr>
          <w:i/>
          <w:sz w:val="24"/>
          <w:szCs w:val="24"/>
        </w:rPr>
        <w:t>Designation No 2 of 2004</w:t>
      </w:r>
      <w:r w:rsidR="00EE39F6">
        <w:rPr>
          <w:sz w:val="24"/>
          <w:szCs w:val="24"/>
        </w:rPr>
        <w:t xml:space="preserve">. </w:t>
      </w:r>
      <w:r w:rsidR="006048E8">
        <w:rPr>
          <w:sz w:val="24"/>
          <w:szCs w:val="24"/>
        </w:rPr>
        <w:t>The practical effect of the revocation</w:t>
      </w:r>
      <w:r w:rsidR="00E86A67">
        <w:rPr>
          <w:sz w:val="24"/>
          <w:szCs w:val="24"/>
        </w:rPr>
        <w:t>, in combination with the new Standard,</w:t>
      </w:r>
      <w:r w:rsidR="006048E8">
        <w:rPr>
          <w:sz w:val="24"/>
          <w:szCs w:val="24"/>
        </w:rPr>
        <w:t xml:space="preserve"> is to</w:t>
      </w:r>
      <w:r w:rsidR="00986713">
        <w:rPr>
          <w:sz w:val="24"/>
          <w:szCs w:val="24"/>
        </w:rPr>
        <w:t>:</w:t>
      </w:r>
    </w:p>
    <w:p w:rsidR="00986713" w:rsidRPr="00AB0ADF" w:rsidRDefault="00E86A67" w:rsidP="00AB0ADF">
      <w:pPr>
        <w:pStyle w:val="ListParagraph"/>
        <w:numPr>
          <w:ilvl w:val="0"/>
          <w:numId w:val="5"/>
        </w:numPr>
        <w:ind w:left="425" w:hanging="425"/>
        <w:contextualSpacing w:val="0"/>
        <w:rPr>
          <w:sz w:val="24"/>
          <w:szCs w:val="24"/>
        </w:rPr>
      </w:pPr>
      <w:r w:rsidRPr="00DC72AA">
        <w:rPr>
          <w:sz w:val="24"/>
          <w:szCs w:val="24"/>
        </w:rPr>
        <w:lastRenderedPageBreak/>
        <w:t xml:space="preserve">apply regulation of the EFTPOS system to the system governed by the rules of EFTPOS Payments Australia Limited, in place of the system </w:t>
      </w:r>
      <w:r w:rsidR="00C51917">
        <w:rPr>
          <w:sz w:val="24"/>
          <w:szCs w:val="24"/>
        </w:rPr>
        <w:t>governed by</w:t>
      </w:r>
      <w:r w:rsidRPr="00DC72AA">
        <w:rPr>
          <w:sz w:val="24"/>
          <w:szCs w:val="24"/>
        </w:rPr>
        <w:t xml:space="preserve"> </w:t>
      </w:r>
      <w:r w:rsidR="00C51917">
        <w:rPr>
          <w:sz w:val="24"/>
          <w:szCs w:val="24"/>
        </w:rPr>
        <w:t xml:space="preserve">rules in </w:t>
      </w:r>
      <w:r w:rsidRPr="00DC72AA">
        <w:rPr>
          <w:sz w:val="24"/>
          <w:szCs w:val="24"/>
        </w:rPr>
        <w:t>the CECS manual</w:t>
      </w:r>
      <w:r w:rsidR="00C51917">
        <w:rPr>
          <w:sz w:val="24"/>
          <w:szCs w:val="24"/>
        </w:rPr>
        <w:t xml:space="preserve"> for the Consumer Electronic Clearing System</w:t>
      </w:r>
    </w:p>
    <w:p w:rsidR="00986713" w:rsidRPr="00DC72AA" w:rsidRDefault="00986713" w:rsidP="00AB0ADF">
      <w:pPr>
        <w:pStyle w:val="ListParagraph"/>
        <w:numPr>
          <w:ilvl w:val="0"/>
          <w:numId w:val="5"/>
        </w:numPr>
        <w:ind w:left="425" w:hanging="425"/>
        <w:contextualSpacing w:val="0"/>
        <w:rPr>
          <w:sz w:val="24"/>
          <w:szCs w:val="24"/>
        </w:rPr>
      </w:pPr>
      <w:r w:rsidRPr="00DC72AA">
        <w:rPr>
          <w:sz w:val="24"/>
          <w:szCs w:val="24"/>
        </w:rPr>
        <w:t xml:space="preserve">remove the requirement under the </w:t>
      </w:r>
      <w:r w:rsidR="005515D6">
        <w:rPr>
          <w:sz w:val="24"/>
          <w:szCs w:val="24"/>
        </w:rPr>
        <w:t>2006</w:t>
      </w:r>
      <w:r w:rsidRPr="00DC72AA">
        <w:rPr>
          <w:sz w:val="24"/>
          <w:szCs w:val="24"/>
        </w:rPr>
        <w:t xml:space="preserve"> Standard for bilateral interchange fees in the EFTPOS system to be between 4 and 5 cents paid to the acqui</w:t>
      </w:r>
      <w:bookmarkStart w:id="0" w:name="_GoBack"/>
      <w:bookmarkEnd w:id="0"/>
      <w:r w:rsidRPr="00DC72AA">
        <w:rPr>
          <w:sz w:val="24"/>
          <w:szCs w:val="24"/>
        </w:rPr>
        <w:t>rer, and</w:t>
      </w:r>
    </w:p>
    <w:p w:rsidR="00986713" w:rsidRPr="00DC72AA" w:rsidRDefault="00986713" w:rsidP="00AB0ADF">
      <w:pPr>
        <w:pStyle w:val="ListParagraph"/>
        <w:numPr>
          <w:ilvl w:val="0"/>
          <w:numId w:val="5"/>
        </w:numPr>
        <w:ind w:left="425" w:hanging="425"/>
        <w:contextualSpacing w:val="0"/>
        <w:rPr>
          <w:sz w:val="24"/>
          <w:szCs w:val="24"/>
        </w:rPr>
      </w:pPr>
      <w:proofErr w:type="gramStart"/>
      <w:r w:rsidRPr="00DC72AA">
        <w:rPr>
          <w:sz w:val="24"/>
          <w:szCs w:val="24"/>
        </w:rPr>
        <w:t>replace</w:t>
      </w:r>
      <w:proofErr w:type="gramEnd"/>
      <w:r w:rsidRPr="00DC72AA">
        <w:rPr>
          <w:sz w:val="24"/>
          <w:szCs w:val="24"/>
        </w:rPr>
        <w:t xml:space="preserve"> this with a requirement for bilateral fees to not exceed the benchmark set for the Visa Debit System – currently 12 cents paid to the issuer.</w:t>
      </w:r>
      <w:r w:rsidRPr="00AB0ADF">
        <w:rPr>
          <w:vertAlign w:val="superscript"/>
        </w:rPr>
        <w:footnoteReference w:id="2"/>
      </w:r>
    </w:p>
    <w:p w:rsidR="006A4FEF" w:rsidRPr="00DC72AA" w:rsidRDefault="00E24EAC">
      <w:pPr>
        <w:rPr>
          <w:sz w:val="24"/>
          <w:szCs w:val="24"/>
        </w:rPr>
      </w:pPr>
      <w:r w:rsidRPr="00DC72AA">
        <w:rPr>
          <w:sz w:val="24"/>
          <w:szCs w:val="24"/>
        </w:rPr>
        <w:t>The revocation will take effect on 1 July 2013.</w:t>
      </w:r>
    </w:p>
    <w:p w:rsidR="00376AF1" w:rsidRPr="00CE2D43" w:rsidRDefault="00376AF1" w:rsidP="00376AF1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Consultation</w:t>
      </w:r>
    </w:p>
    <w:p w:rsidR="009E6B0E" w:rsidRDefault="00B11A69" w:rsidP="006A4FEF">
      <w:pPr>
        <w:rPr>
          <w:sz w:val="24"/>
          <w:szCs w:val="24"/>
        </w:rPr>
      </w:pPr>
      <w:r>
        <w:rPr>
          <w:sz w:val="24"/>
          <w:szCs w:val="24"/>
        </w:rPr>
        <w:t xml:space="preserve">The Bank first announced in September 2011 that </w:t>
      </w:r>
      <w:r w:rsidR="00D8628D">
        <w:rPr>
          <w:sz w:val="24"/>
          <w:szCs w:val="24"/>
        </w:rPr>
        <w:t>it</w:t>
      </w:r>
      <w:r w:rsidR="009E6B0E">
        <w:rPr>
          <w:sz w:val="24"/>
          <w:szCs w:val="24"/>
        </w:rPr>
        <w:t xml:space="preserve"> </w:t>
      </w:r>
      <w:r>
        <w:rPr>
          <w:sz w:val="24"/>
          <w:szCs w:val="24"/>
        </w:rPr>
        <w:t>would review aspects of the regulatory framework for the EFTPOS system to ensure that it continue</w:t>
      </w:r>
      <w:r w:rsidR="00260B49">
        <w:rPr>
          <w:sz w:val="24"/>
          <w:szCs w:val="24"/>
        </w:rPr>
        <w:t>s</w:t>
      </w:r>
      <w:r>
        <w:rPr>
          <w:sz w:val="24"/>
          <w:szCs w:val="24"/>
        </w:rPr>
        <w:t xml:space="preserve"> to meet its objectives. In line with this, the Bank invited submissions on two consultation documents. The first, published on 9 March 2012, sought views on the appropriate form of designation for the EFTPOS system to reflect recent changes, and invited submissions from interested parties by 20</w:t>
      </w:r>
      <w:r w:rsidR="00AC00FD">
        <w:rPr>
          <w:sz w:val="24"/>
          <w:szCs w:val="24"/>
        </w:rPr>
        <w:t> </w:t>
      </w:r>
      <w:r>
        <w:rPr>
          <w:sz w:val="24"/>
          <w:szCs w:val="24"/>
        </w:rPr>
        <w:t>April</w:t>
      </w:r>
      <w:r w:rsidR="00AC00FD">
        <w:rPr>
          <w:sz w:val="24"/>
          <w:szCs w:val="24"/>
        </w:rPr>
        <w:t> </w:t>
      </w:r>
      <w:r>
        <w:rPr>
          <w:sz w:val="24"/>
          <w:szCs w:val="24"/>
        </w:rPr>
        <w:t>2012. After considering the views expressed during that consultation, the second consultation document was published on 12 June 2012, and</w:t>
      </w:r>
      <w:r w:rsidR="00AC00FD">
        <w:rPr>
          <w:sz w:val="24"/>
          <w:szCs w:val="24"/>
        </w:rPr>
        <w:t xml:space="preserve"> submissions were invited by 31 </w:t>
      </w:r>
      <w:r>
        <w:rPr>
          <w:sz w:val="24"/>
          <w:szCs w:val="24"/>
        </w:rPr>
        <w:t>July 2012.</w:t>
      </w:r>
      <w:r w:rsidR="009E6B0E">
        <w:rPr>
          <w:sz w:val="24"/>
          <w:szCs w:val="24"/>
        </w:rPr>
        <w:t xml:space="preserve"> The June 2012 document outlined the Board’s decision on designation and possible options for the future regulatory framework for the EFTPOS system.</w:t>
      </w:r>
      <w:r w:rsidR="008A238C">
        <w:rPr>
          <w:sz w:val="24"/>
          <w:szCs w:val="24"/>
        </w:rPr>
        <w:t xml:space="preserve"> After taking into account views expressed during consultation, a</w:t>
      </w:r>
      <w:r w:rsidR="009E6B0E">
        <w:rPr>
          <w:sz w:val="24"/>
          <w:szCs w:val="24"/>
        </w:rPr>
        <w:t xml:space="preserve"> document detailing the final reforms was published on 29 November 2012.</w:t>
      </w:r>
    </w:p>
    <w:p w:rsidR="006A4FEF" w:rsidRPr="00CE2D43" w:rsidRDefault="006A4FEF" w:rsidP="006A4FE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Documents</w:t>
      </w:r>
    </w:p>
    <w:p w:rsidR="006A4FEF" w:rsidRPr="000B6E37" w:rsidRDefault="006A4FEF" w:rsidP="006A4FEF">
      <w:pPr>
        <w:pStyle w:val="ListParagraph"/>
        <w:numPr>
          <w:ilvl w:val="0"/>
          <w:numId w:val="1"/>
        </w:numPr>
        <w:spacing w:after="0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RBA (2012), </w:t>
      </w:r>
      <w:r w:rsidRPr="006A4FEF">
        <w:rPr>
          <w:i/>
          <w:sz w:val="24"/>
          <w:szCs w:val="24"/>
        </w:rPr>
        <w:t>Review of the Regulatory Framework for the eftpos System: Consultation on Designation</w:t>
      </w:r>
      <w:r>
        <w:rPr>
          <w:sz w:val="24"/>
          <w:szCs w:val="24"/>
        </w:rPr>
        <w:t>, March.</w:t>
      </w:r>
    </w:p>
    <w:p w:rsidR="006A4FEF" w:rsidRDefault="006A4FEF" w:rsidP="006A4FEF">
      <w:pPr>
        <w:pStyle w:val="ListParagraph"/>
        <w:ind w:left="425"/>
        <w:contextualSpacing w:val="0"/>
        <w:rPr>
          <w:sz w:val="24"/>
          <w:szCs w:val="24"/>
        </w:rPr>
      </w:pPr>
      <w:proofErr w:type="gramStart"/>
      <w:r w:rsidRPr="000B6E37">
        <w:rPr>
          <w:sz w:val="24"/>
          <w:szCs w:val="24"/>
        </w:rPr>
        <w:t>Available at &lt;</w:t>
      </w:r>
      <w:r w:rsidRPr="006A4FEF">
        <w:rPr>
          <w:sz w:val="24"/>
          <w:szCs w:val="24"/>
        </w:rPr>
        <w:t>http://www.rba.gov.au/publications/consultations/201203-replacing-eftpos-designation/index.html</w:t>
      </w:r>
      <w:r>
        <w:rPr>
          <w:sz w:val="24"/>
          <w:szCs w:val="24"/>
        </w:rPr>
        <w:t>&gt;.</w:t>
      </w:r>
      <w:proofErr w:type="gramEnd"/>
    </w:p>
    <w:p w:rsidR="006A4FEF" w:rsidRPr="006A4FEF" w:rsidRDefault="006A4FEF" w:rsidP="006A4FEF">
      <w:pPr>
        <w:pStyle w:val="ListParagraph"/>
        <w:numPr>
          <w:ilvl w:val="0"/>
          <w:numId w:val="1"/>
        </w:numPr>
        <w:spacing w:after="0"/>
        <w:ind w:left="426" w:hanging="426"/>
        <w:rPr>
          <w:i/>
          <w:sz w:val="24"/>
          <w:szCs w:val="24"/>
        </w:rPr>
      </w:pPr>
      <w:r>
        <w:rPr>
          <w:sz w:val="24"/>
          <w:szCs w:val="24"/>
        </w:rPr>
        <w:t xml:space="preserve">RBA (2012), </w:t>
      </w:r>
      <w:r w:rsidRPr="006A4FEF">
        <w:rPr>
          <w:i/>
          <w:sz w:val="24"/>
          <w:szCs w:val="24"/>
        </w:rPr>
        <w:t>Review of the Regulatory Framework for the EFTPOS System: Consultation on Options for Reform</w:t>
      </w:r>
      <w:r w:rsidRPr="006A4FEF">
        <w:rPr>
          <w:sz w:val="24"/>
          <w:szCs w:val="24"/>
        </w:rPr>
        <w:t>, June.</w:t>
      </w:r>
    </w:p>
    <w:p w:rsidR="006A4FEF" w:rsidRDefault="006A4FEF" w:rsidP="006A4FEF">
      <w:pPr>
        <w:pStyle w:val="ListParagraph"/>
        <w:ind w:left="425"/>
        <w:contextualSpacing w:val="0"/>
        <w:rPr>
          <w:sz w:val="24"/>
          <w:szCs w:val="24"/>
        </w:rPr>
      </w:pPr>
      <w:proofErr w:type="gramStart"/>
      <w:r w:rsidRPr="000B6E37">
        <w:rPr>
          <w:sz w:val="24"/>
          <w:szCs w:val="24"/>
        </w:rPr>
        <w:t>Available at &lt;</w:t>
      </w:r>
      <w:r w:rsidRPr="006A4FEF">
        <w:rPr>
          <w:sz w:val="24"/>
          <w:szCs w:val="24"/>
        </w:rPr>
        <w:t>http://www.rba.gov.au/publications/consultations/201206-rev-reg-frmwrk-eftpos-sys/index.html</w:t>
      </w:r>
      <w:r>
        <w:rPr>
          <w:sz w:val="24"/>
          <w:szCs w:val="24"/>
        </w:rPr>
        <w:t>&gt;.</w:t>
      </w:r>
      <w:proofErr w:type="gramEnd"/>
    </w:p>
    <w:p w:rsidR="006A4FEF" w:rsidRPr="000B6E37" w:rsidRDefault="006A4FEF" w:rsidP="006A4FEF">
      <w:pPr>
        <w:pStyle w:val="ListParagraph"/>
        <w:numPr>
          <w:ilvl w:val="0"/>
          <w:numId w:val="1"/>
        </w:numPr>
        <w:spacing w:after="0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RBA (2012), </w:t>
      </w:r>
      <w:proofErr w:type="gramStart"/>
      <w:r w:rsidRPr="006A4FEF">
        <w:rPr>
          <w:i/>
          <w:sz w:val="24"/>
          <w:szCs w:val="24"/>
        </w:rPr>
        <w:t>The</w:t>
      </w:r>
      <w:proofErr w:type="gramEnd"/>
      <w:r w:rsidRPr="006A4FEF">
        <w:rPr>
          <w:i/>
          <w:sz w:val="24"/>
          <w:szCs w:val="24"/>
        </w:rPr>
        <w:t xml:space="preserve"> Regulatory Framework for the EFTPOS System: Final Reforms and Regulation Impact Statement</w:t>
      </w:r>
      <w:r w:rsidRPr="00CD762D">
        <w:rPr>
          <w:sz w:val="24"/>
          <w:szCs w:val="24"/>
        </w:rPr>
        <w:t>, November</w:t>
      </w:r>
      <w:r>
        <w:rPr>
          <w:sz w:val="24"/>
          <w:szCs w:val="24"/>
        </w:rPr>
        <w:t>.</w:t>
      </w:r>
    </w:p>
    <w:p w:rsidR="006A4FEF" w:rsidRPr="00A570F7" w:rsidRDefault="006A4FEF" w:rsidP="006A4FEF">
      <w:pPr>
        <w:pStyle w:val="ListParagraph"/>
        <w:ind w:left="425"/>
        <w:contextualSpacing w:val="0"/>
        <w:rPr>
          <w:sz w:val="24"/>
          <w:szCs w:val="24"/>
        </w:rPr>
      </w:pPr>
      <w:proofErr w:type="gramStart"/>
      <w:r w:rsidRPr="000B6E37">
        <w:rPr>
          <w:sz w:val="24"/>
          <w:szCs w:val="24"/>
        </w:rPr>
        <w:t>Available at &lt;</w:t>
      </w:r>
      <w:r w:rsidRPr="006A4FEF">
        <w:rPr>
          <w:sz w:val="24"/>
          <w:szCs w:val="24"/>
        </w:rPr>
        <w:t>http://www.rba.gov.au/payments-system/reforms/debit-card-systems/</w:t>
      </w:r>
      <w:r w:rsidRPr="006A4FEF">
        <w:rPr>
          <w:sz w:val="24"/>
          <w:szCs w:val="24"/>
        </w:rPr>
        <w:br/>
        <w:t>201211-reg-frmwrk-eftpos-sys/index.html</w:t>
      </w:r>
      <w:r>
        <w:rPr>
          <w:sz w:val="24"/>
          <w:szCs w:val="24"/>
        </w:rPr>
        <w:t>&gt;.</w:t>
      </w:r>
      <w:proofErr w:type="gramEnd"/>
    </w:p>
    <w:p w:rsidR="006A4FEF" w:rsidRDefault="006A4FEF" w:rsidP="006A4FEF"/>
    <w:p w:rsidR="006A4FEF" w:rsidRPr="00077720" w:rsidRDefault="006A4FEF" w:rsidP="006A4FEF">
      <w:pPr>
        <w:spacing w:after="0"/>
        <w:rPr>
          <w:sz w:val="24"/>
          <w:szCs w:val="24"/>
        </w:rPr>
      </w:pPr>
      <w:r w:rsidRPr="00077720">
        <w:rPr>
          <w:sz w:val="24"/>
          <w:szCs w:val="24"/>
        </w:rPr>
        <w:t>Reserve Bank of Australia</w:t>
      </w:r>
    </w:p>
    <w:p w:rsidR="006A4FEF" w:rsidRPr="00077720" w:rsidRDefault="006A4FEF" w:rsidP="006A4FEF">
      <w:pPr>
        <w:rPr>
          <w:sz w:val="24"/>
          <w:szCs w:val="24"/>
        </w:rPr>
      </w:pPr>
      <w:r w:rsidRPr="00077720">
        <w:rPr>
          <w:sz w:val="24"/>
          <w:szCs w:val="24"/>
        </w:rPr>
        <w:t>SYDNEY</w:t>
      </w:r>
    </w:p>
    <w:p w:rsidR="00722CF0" w:rsidRDefault="004459F9" w:rsidP="00DC72AA">
      <w:r>
        <w:rPr>
          <w:sz w:val="24"/>
          <w:szCs w:val="24"/>
        </w:rPr>
        <w:t>20</w:t>
      </w:r>
      <w:r w:rsidR="006A4FEF" w:rsidRPr="00B5480E">
        <w:rPr>
          <w:sz w:val="24"/>
          <w:szCs w:val="24"/>
        </w:rPr>
        <w:t xml:space="preserve"> </w:t>
      </w:r>
      <w:r w:rsidR="006A4FEF">
        <w:rPr>
          <w:sz w:val="24"/>
          <w:szCs w:val="24"/>
        </w:rPr>
        <w:t>Decembe</w:t>
      </w:r>
      <w:r w:rsidR="006A4FEF" w:rsidRPr="00B5480E">
        <w:rPr>
          <w:sz w:val="24"/>
          <w:szCs w:val="24"/>
        </w:rPr>
        <w:t>r 2012</w:t>
      </w:r>
      <w:r w:rsidR="00722CF0">
        <w:br w:type="page"/>
      </w:r>
    </w:p>
    <w:p w:rsidR="00722CF0" w:rsidRDefault="00AB0ADF" w:rsidP="00722CF0">
      <w:pPr>
        <w:ind w:left="720" w:hanging="720"/>
      </w:pPr>
      <w:r>
        <w:rPr>
          <w:noProof/>
        </w:rPr>
        <w:lastRenderedPageBreak/>
        <w:pict>
          <v:rect id="_x0000_s1026" style="position:absolute;left:0;text-align:left;margin-left:.85pt;margin-top:14.1pt;width:481.8pt;height:540.6pt;z-index:251659264" strokeweight="6pt">
            <v:stroke linestyle="thickBetweenThin"/>
            <v:textbox style="mso-next-textbox:#_x0000_s1026" inset="5mm,,5mm">
              <w:txbxContent>
                <w:p w:rsidR="008A238C" w:rsidRPr="00E4135E" w:rsidRDefault="008A238C" w:rsidP="00722CF0">
                  <w:pPr>
                    <w:spacing w:before="36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2CF0">
                    <w:rPr>
                      <w:b/>
                      <w:sz w:val="24"/>
                      <w:szCs w:val="24"/>
                    </w:rPr>
                    <w:t>Revocation of the Standard on Interchange Fees for the EFTPOS System Designated in Designation No 2 of 2004</w:t>
                  </w:r>
                  <w:r w:rsidRPr="00E4135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 xml:space="preserve">This Bill/Legislative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 w:val="24"/>
                      <w:szCs w:val="24"/>
                    </w:rPr>
                    <w:t>Human Rights (Parliamentary Scrutiny) Act 2011</w:t>
                  </w:r>
                  <w:r w:rsidRPr="00E4135E">
                    <w:rPr>
                      <w:sz w:val="24"/>
                      <w:szCs w:val="24"/>
                    </w:rPr>
                    <w:t>.</w:t>
                  </w: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Overview of the Bill/Legislative Instrument</w:t>
                  </w:r>
                </w:p>
                <w:p w:rsidR="008A238C" w:rsidRPr="00F11597" w:rsidRDefault="008A238C" w:rsidP="001552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This legislative instrument revokes the Standard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Setting of Interchange Fees in the EFTPOS System</w:t>
                  </w:r>
                  <w:r>
                    <w:rPr>
                      <w:sz w:val="24"/>
                      <w:szCs w:val="24"/>
                    </w:rPr>
                    <w:t xml:space="preserve"> as applied to the EFTPOS system designated in </w:t>
                  </w:r>
                  <w:r w:rsidRPr="00F11597">
                    <w:rPr>
                      <w:i/>
                      <w:sz w:val="24"/>
                      <w:szCs w:val="24"/>
                    </w:rPr>
                    <w:t>Designation No 2 of 2004</w:t>
                  </w:r>
                  <w:r>
                    <w:rPr>
                      <w:sz w:val="24"/>
                      <w:szCs w:val="24"/>
                    </w:rPr>
                    <w:t>. The purpose of the instrument – together with the</w:t>
                  </w:r>
                  <w:r w:rsidR="004D748A">
                    <w:rPr>
                      <w:sz w:val="24"/>
                      <w:szCs w:val="24"/>
                    </w:rPr>
                    <w:t xml:space="preserve"> updated designation (</w:t>
                  </w:r>
                  <w:r w:rsidR="004D748A" w:rsidRPr="00806398">
                    <w:rPr>
                      <w:i/>
                      <w:sz w:val="24"/>
                      <w:szCs w:val="24"/>
                    </w:rPr>
                    <w:t>Designation No 1 of</w:t>
                  </w:r>
                  <w:r w:rsidR="00FC7F5A">
                    <w:rPr>
                      <w:i/>
                      <w:sz w:val="24"/>
                      <w:szCs w:val="24"/>
                    </w:rPr>
                    <w:t> </w:t>
                  </w:r>
                  <w:r w:rsidR="004D748A" w:rsidRPr="00806398">
                    <w:rPr>
                      <w:i/>
                      <w:sz w:val="24"/>
                      <w:szCs w:val="24"/>
                    </w:rPr>
                    <w:t>2012</w:t>
                  </w:r>
                  <w:r w:rsidR="004D748A">
                    <w:rPr>
                      <w:sz w:val="24"/>
                      <w:szCs w:val="24"/>
                    </w:rPr>
                    <w:t>) and the</w:t>
                  </w:r>
                  <w:r>
                    <w:rPr>
                      <w:sz w:val="24"/>
                      <w:szCs w:val="24"/>
                    </w:rPr>
                    <w:t xml:space="preserve"> determination of the new Standard </w:t>
                  </w:r>
                  <w:r>
                    <w:rPr>
                      <w:i/>
                      <w:sz w:val="24"/>
                      <w:szCs w:val="24"/>
                    </w:rPr>
                    <w:t xml:space="preserve">Interchange Fees in the EFTPOS </w:t>
                  </w:r>
                  <w:r w:rsidRPr="003515AD">
                    <w:rPr>
                      <w:i/>
                      <w:sz w:val="24"/>
                      <w:szCs w:val="24"/>
                    </w:rPr>
                    <w:t>System</w:t>
                  </w:r>
                  <w:r>
                    <w:rPr>
                      <w:sz w:val="24"/>
                      <w:szCs w:val="24"/>
                    </w:rPr>
                    <w:t xml:space="preserve"> – </w:t>
                  </w:r>
                  <w:r w:rsidRPr="003515AD">
                    <w:rPr>
                      <w:sz w:val="24"/>
                      <w:szCs w:val="24"/>
                    </w:rPr>
                    <w:t>is</w:t>
                  </w:r>
                  <w:r>
                    <w:rPr>
                      <w:sz w:val="24"/>
                      <w:szCs w:val="24"/>
                    </w:rPr>
                    <w:t xml:space="preserve"> to promote competition and efficiency in the Australian payments system by ensuring that interchange fees in the EFTPOS system can be set within similar regulatory constraints t</w:t>
                  </w:r>
                  <w:r w:rsidR="00362B36">
                    <w:rPr>
                      <w:sz w:val="24"/>
                      <w:szCs w:val="24"/>
                    </w:rPr>
                    <w:t>o the other debit card systems.</w:t>
                  </w:r>
                </w:p>
                <w:p w:rsidR="008A238C" w:rsidRPr="00E4135E" w:rsidRDefault="008A238C" w:rsidP="003515AD">
                  <w:pPr>
                    <w:spacing w:before="120" w:after="120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8A238C" w:rsidRDefault="008A238C" w:rsidP="00722CF0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Bill/Legislative Instrument does not engage any of the applicable rights or freedoms.</w:t>
                  </w:r>
                </w:p>
                <w:p w:rsidR="008A238C" w:rsidRPr="00E4135E" w:rsidRDefault="008A238C" w:rsidP="00722CF0">
                  <w:pPr>
                    <w:spacing w:before="120" w:after="120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Conclusion</w:t>
                  </w:r>
                </w:p>
                <w:p w:rsidR="008A238C" w:rsidRPr="00E4135E" w:rsidRDefault="008A238C" w:rsidP="00722CF0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Bill/Legislative Instrument is compatible with human rights as it does not raise any human rights issues.</w:t>
                  </w: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8A238C" w:rsidRPr="00E4135E" w:rsidRDefault="008A238C" w:rsidP="00722CF0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Reserve Bank of Australia</w:t>
                  </w:r>
                </w:p>
              </w:txbxContent>
            </v:textbox>
          </v:rect>
        </w:pict>
      </w: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722CF0" w:rsidRDefault="00722CF0" w:rsidP="00722CF0">
      <w:pPr>
        <w:ind w:left="720" w:hanging="720"/>
      </w:pPr>
    </w:p>
    <w:p w:rsidR="00234676" w:rsidRDefault="00234676"/>
    <w:sectPr w:rsidR="00234676" w:rsidSect="00234676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8C" w:rsidRDefault="008A238C" w:rsidP="004A5202">
      <w:pPr>
        <w:spacing w:after="0"/>
      </w:pPr>
      <w:r>
        <w:separator/>
      </w:r>
    </w:p>
  </w:endnote>
  <w:endnote w:type="continuationSeparator" w:id="0">
    <w:p w:rsidR="008A238C" w:rsidRDefault="008A238C" w:rsidP="004A5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8C" w:rsidRDefault="008A238C" w:rsidP="004A5202">
      <w:pPr>
        <w:spacing w:after="0"/>
      </w:pPr>
      <w:r>
        <w:separator/>
      </w:r>
    </w:p>
  </w:footnote>
  <w:footnote w:type="continuationSeparator" w:id="0">
    <w:p w:rsidR="008A238C" w:rsidRDefault="008A238C" w:rsidP="004A5202">
      <w:pPr>
        <w:spacing w:after="0"/>
      </w:pPr>
      <w:r>
        <w:continuationSeparator/>
      </w:r>
    </w:p>
  </w:footnote>
  <w:footnote w:id="1">
    <w:p w:rsidR="00B03C51" w:rsidRPr="00806398" w:rsidRDefault="00B03C51" w:rsidP="00806398">
      <w:pPr>
        <w:pStyle w:val="FootnoteText"/>
        <w:ind w:left="284" w:hanging="284"/>
        <w:rPr>
          <w:rStyle w:val="FootnoteReference"/>
          <w:vertAlign w:val="baseline"/>
        </w:rPr>
      </w:pPr>
      <w:r w:rsidRPr="00B03C51">
        <w:rPr>
          <w:rStyle w:val="FootnoteReference"/>
          <w:vertAlign w:val="baseline"/>
        </w:rPr>
        <w:footnoteRef/>
      </w:r>
      <w:r w:rsidRPr="00806398">
        <w:rPr>
          <w:rStyle w:val="FootnoteReference"/>
          <w:vertAlign w:val="baseline"/>
        </w:rPr>
        <w:t xml:space="preserve"> </w:t>
      </w:r>
      <w:r>
        <w:rPr>
          <w:rStyle w:val="FootnoteReference"/>
          <w:vertAlign w:val="baseline"/>
        </w:rPr>
        <w:tab/>
        <w:t xml:space="preserve">As a technical matter, </w:t>
      </w:r>
      <w:proofErr w:type="gramStart"/>
      <w:r>
        <w:t>the</w:t>
      </w:r>
      <w:proofErr w:type="gramEnd"/>
      <w:r>
        <w:t xml:space="preserve"> original designation is in place concur</w:t>
      </w:r>
      <w:r w:rsidR="00990883">
        <w:t>rently with the new designation</w:t>
      </w:r>
      <w:r>
        <w:t xml:space="preserve"> and will not be revoked until the broader EFTPOS regulatory framework has been</w:t>
      </w:r>
      <w:r w:rsidR="00670CF3">
        <w:t xml:space="preserve"> implemented</w:t>
      </w:r>
      <w:r>
        <w:t xml:space="preserve">. </w:t>
      </w:r>
      <w:r w:rsidR="008644A2">
        <w:t xml:space="preserve">This avoids a period </w:t>
      </w:r>
      <w:r w:rsidR="008644A2" w:rsidRPr="004E27DB">
        <w:t>without any EFTPOS regulation in force</w:t>
      </w:r>
      <w:r w:rsidR="008644A2">
        <w:t>.</w:t>
      </w:r>
    </w:p>
  </w:footnote>
  <w:footnote w:id="2">
    <w:p w:rsidR="00986713" w:rsidRPr="004A5202" w:rsidRDefault="00986713" w:rsidP="00986713">
      <w:pPr>
        <w:pStyle w:val="FootnoteText"/>
        <w:ind w:left="284" w:hanging="284"/>
      </w:pPr>
      <w:r w:rsidRPr="004A5202">
        <w:rPr>
          <w:rStyle w:val="FootnoteReference"/>
          <w:vertAlign w:val="baseline"/>
        </w:rPr>
        <w:footnoteRef/>
      </w:r>
      <w:r w:rsidRPr="004A5202">
        <w:t xml:space="preserve"> </w:t>
      </w:r>
      <w:r w:rsidRPr="004A5202">
        <w:tab/>
        <w:t xml:space="preserve">The weighted average of multilateral interchange fees in the EFTPOS system is also capped at the Visa Debit benchmark, as it was under the </w:t>
      </w:r>
      <w:r w:rsidR="005515D6">
        <w:t>2006</w:t>
      </w:r>
      <w:r w:rsidRPr="004A5202">
        <w:t xml:space="preserve"> Standard.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5A0"/>
    <w:multiLevelType w:val="hybridMultilevel"/>
    <w:tmpl w:val="8CEE1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C6FCB"/>
    <w:multiLevelType w:val="hybridMultilevel"/>
    <w:tmpl w:val="219A6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C4D86"/>
    <w:multiLevelType w:val="hybridMultilevel"/>
    <w:tmpl w:val="A0D8006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69B6FEB"/>
    <w:multiLevelType w:val="hybridMultilevel"/>
    <w:tmpl w:val="9F761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922A9"/>
    <w:multiLevelType w:val="hybridMultilevel"/>
    <w:tmpl w:val="DF2A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EF"/>
    <w:rsid w:val="000F42C9"/>
    <w:rsid w:val="00155277"/>
    <w:rsid w:val="001F5419"/>
    <w:rsid w:val="00221EF0"/>
    <w:rsid w:val="00234676"/>
    <w:rsid w:val="00260B49"/>
    <w:rsid w:val="00262184"/>
    <w:rsid w:val="002B7476"/>
    <w:rsid w:val="0032372A"/>
    <w:rsid w:val="003515AD"/>
    <w:rsid w:val="00362B36"/>
    <w:rsid w:val="00376AF1"/>
    <w:rsid w:val="003B0D50"/>
    <w:rsid w:val="003C49D6"/>
    <w:rsid w:val="004459F9"/>
    <w:rsid w:val="00474860"/>
    <w:rsid w:val="004A5202"/>
    <w:rsid w:val="004D748A"/>
    <w:rsid w:val="004F454D"/>
    <w:rsid w:val="00536601"/>
    <w:rsid w:val="005515D6"/>
    <w:rsid w:val="006048E8"/>
    <w:rsid w:val="00646A35"/>
    <w:rsid w:val="00670CF3"/>
    <w:rsid w:val="00675EC9"/>
    <w:rsid w:val="006A4FEF"/>
    <w:rsid w:val="00722CF0"/>
    <w:rsid w:val="007424AB"/>
    <w:rsid w:val="00750E8C"/>
    <w:rsid w:val="007603EB"/>
    <w:rsid w:val="007C4BC2"/>
    <w:rsid w:val="007C4F40"/>
    <w:rsid w:val="00806398"/>
    <w:rsid w:val="00835BA6"/>
    <w:rsid w:val="008644A2"/>
    <w:rsid w:val="008A238C"/>
    <w:rsid w:val="008A5C81"/>
    <w:rsid w:val="008C61DC"/>
    <w:rsid w:val="009143B2"/>
    <w:rsid w:val="00986713"/>
    <w:rsid w:val="00990883"/>
    <w:rsid w:val="00995E0D"/>
    <w:rsid w:val="009B2C9D"/>
    <w:rsid w:val="009B55FC"/>
    <w:rsid w:val="009D1590"/>
    <w:rsid w:val="009E6B0E"/>
    <w:rsid w:val="00A63CAA"/>
    <w:rsid w:val="00A8274C"/>
    <w:rsid w:val="00A845DB"/>
    <w:rsid w:val="00AB0ADF"/>
    <w:rsid w:val="00AC00FD"/>
    <w:rsid w:val="00AC0B31"/>
    <w:rsid w:val="00AF1C23"/>
    <w:rsid w:val="00B03C51"/>
    <w:rsid w:val="00B11A69"/>
    <w:rsid w:val="00B3057E"/>
    <w:rsid w:val="00BB1BE5"/>
    <w:rsid w:val="00C16BAF"/>
    <w:rsid w:val="00C51917"/>
    <w:rsid w:val="00CC4D5E"/>
    <w:rsid w:val="00D24529"/>
    <w:rsid w:val="00D8628D"/>
    <w:rsid w:val="00DC72AA"/>
    <w:rsid w:val="00DE7E1B"/>
    <w:rsid w:val="00E24EAC"/>
    <w:rsid w:val="00E53178"/>
    <w:rsid w:val="00E86A67"/>
    <w:rsid w:val="00E94823"/>
    <w:rsid w:val="00EB6D84"/>
    <w:rsid w:val="00EE39F6"/>
    <w:rsid w:val="00F11597"/>
    <w:rsid w:val="00F50C6C"/>
    <w:rsid w:val="00FC7F5A"/>
    <w:rsid w:val="00FD51FA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EF"/>
    <w:pPr>
      <w:spacing w:after="240"/>
      <w:jc w:val="both"/>
    </w:pPr>
    <w:rPr>
      <w:sz w:val="26"/>
    </w:rPr>
  </w:style>
  <w:style w:type="paragraph" w:styleId="Heading1">
    <w:name w:val="heading 1"/>
    <w:basedOn w:val="BaseHeading"/>
    <w:next w:val="Normal"/>
    <w:qFormat/>
    <w:rsid w:val="00234676"/>
    <w:pPr>
      <w:outlineLvl w:val="0"/>
    </w:pPr>
    <w:rPr>
      <w:caps/>
    </w:rPr>
  </w:style>
  <w:style w:type="paragraph" w:styleId="Heading2">
    <w:name w:val="heading 2"/>
    <w:basedOn w:val="BaseHeading"/>
    <w:next w:val="Normal"/>
    <w:qFormat/>
    <w:rsid w:val="00234676"/>
    <w:pPr>
      <w:outlineLvl w:val="1"/>
    </w:pPr>
  </w:style>
  <w:style w:type="paragraph" w:styleId="Heading3">
    <w:name w:val="heading 3"/>
    <w:basedOn w:val="BaseHeading"/>
    <w:next w:val="Normal"/>
    <w:link w:val="Heading3Char"/>
    <w:qFormat/>
    <w:rsid w:val="00234676"/>
    <w:pPr>
      <w:outlineLvl w:val="2"/>
    </w:pPr>
  </w:style>
  <w:style w:type="paragraph" w:styleId="Heading4">
    <w:name w:val="heading 4"/>
    <w:basedOn w:val="BaseHeading"/>
    <w:next w:val="Normal"/>
    <w:qFormat/>
    <w:rsid w:val="0023467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angIndent">
    <w:name w:val="BaseHangIndent"/>
    <w:basedOn w:val="Normal"/>
    <w:rsid w:val="00234676"/>
  </w:style>
  <w:style w:type="paragraph" w:customStyle="1" w:styleId="BaseHeading">
    <w:name w:val="BaseHeading"/>
    <w:basedOn w:val="Normal"/>
    <w:rsid w:val="00234676"/>
    <w:pPr>
      <w:keepNext/>
    </w:pPr>
    <w:rPr>
      <w:b/>
    </w:rPr>
  </w:style>
  <w:style w:type="paragraph" w:customStyle="1" w:styleId="BaseIndent">
    <w:name w:val="BaseIndent"/>
    <w:basedOn w:val="Normal"/>
    <w:rsid w:val="00234676"/>
  </w:style>
  <w:style w:type="paragraph" w:customStyle="1" w:styleId="BaseTable">
    <w:name w:val="BaseTable"/>
    <w:basedOn w:val="Normal"/>
    <w:rsid w:val="00234676"/>
  </w:style>
  <w:style w:type="paragraph" w:customStyle="1" w:styleId="Draft">
    <w:name w:val="Draft"/>
    <w:basedOn w:val="Normal"/>
    <w:rsid w:val="00234676"/>
    <w:rPr>
      <w:b/>
    </w:rPr>
  </w:style>
  <w:style w:type="paragraph" w:customStyle="1" w:styleId="FileName">
    <w:name w:val="FileName"/>
    <w:basedOn w:val="Normal"/>
    <w:rsid w:val="00234676"/>
    <w:pPr>
      <w:framePr w:hSpace="181" w:wrap="around" w:hAnchor="text" w:yAlign="bottom"/>
    </w:pPr>
    <w:rPr>
      <w:sz w:val="18"/>
    </w:rPr>
  </w:style>
  <w:style w:type="paragraph" w:styleId="Footer">
    <w:name w:val="footer"/>
    <w:basedOn w:val="Normal"/>
    <w:semiHidden/>
    <w:rsid w:val="00234676"/>
    <w:pPr>
      <w:tabs>
        <w:tab w:val="right" w:pos="9072"/>
      </w:tabs>
      <w:spacing w:before="240"/>
    </w:pPr>
  </w:style>
  <w:style w:type="paragraph" w:customStyle="1" w:styleId="HangIndent0">
    <w:name w:val="HangIndent_0"/>
    <w:basedOn w:val="BaseHangIndent"/>
    <w:rsid w:val="00234676"/>
    <w:pPr>
      <w:ind w:left="567" w:hanging="567"/>
    </w:pPr>
  </w:style>
  <w:style w:type="paragraph" w:customStyle="1" w:styleId="HangIndent1">
    <w:name w:val="HangIndent_1"/>
    <w:basedOn w:val="BaseHangIndent"/>
    <w:rsid w:val="00234676"/>
    <w:pPr>
      <w:ind w:left="1134" w:hanging="567"/>
    </w:pPr>
  </w:style>
  <w:style w:type="paragraph" w:customStyle="1" w:styleId="HangIndent2">
    <w:name w:val="HangIndent_2"/>
    <w:basedOn w:val="BaseHangIndent"/>
    <w:rsid w:val="00234676"/>
    <w:pPr>
      <w:ind w:left="1701" w:hanging="567"/>
    </w:pPr>
  </w:style>
  <w:style w:type="paragraph" w:customStyle="1" w:styleId="HangIndent3">
    <w:name w:val="HangIndent_3"/>
    <w:basedOn w:val="BaseHangIndent"/>
    <w:rsid w:val="00234676"/>
    <w:pPr>
      <w:ind w:left="2268" w:hanging="567"/>
    </w:pPr>
  </w:style>
  <w:style w:type="paragraph" w:customStyle="1" w:styleId="HangIndent325">
    <w:name w:val="HangIndent_3.25"/>
    <w:basedOn w:val="BaseHangIndent"/>
    <w:rsid w:val="00234676"/>
    <w:pPr>
      <w:ind w:left="2410" w:hanging="567"/>
    </w:pPr>
  </w:style>
  <w:style w:type="paragraph" w:styleId="Header">
    <w:name w:val="header"/>
    <w:basedOn w:val="Normal"/>
    <w:semiHidden/>
    <w:rsid w:val="00234676"/>
    <w:pPr>
      <w:tabs>
        <w:tab w:val="right" w:pos="9072"/>
      </w:tabs>
    </w:pPr>
  </w:style>
  <w:style w:type="paragraph" w:customStyle="1" w:styleId="Heading">
    <w:name w:val="Heading"/>
    <w:basedOn w:val="BaseHeading"/>
    <w:next w:val="Normal"/>
    <w:rsid w:val="00234676"/>
  </w:style>
  <w:style w:type="paragraph" w:customStyle="1" w:styleId="Indent0">
    <w:name w:val="Indent_0"/>
    <w:basedOn w:val="BaseIndent"/>
    <w:rsid w:val="00234676"/>
  </w:style>
  <w:style w:type="paragraph" w:customStyle="1" w:styleId="Indent1">
    <w:name w:val="Indent_1"/>
    <w:basedOn w:val="BaseIndent"/>
    <w:rsid w:val="00234676"/>
    <w:pPr>
      <w:ind w:left="567"/>
    </w:pPr>
  </w:style>
  <w:style w:type="paragraph" w:customStyle="1" w:styleId="Indent2">
    <w:name w:val="Indent_2"/>
    <w:basedOn w:val="BaseIndent"/>
    <w:rsid w:val="00234676"/>
    <w:pPr>
      <w:ind w:left="1134"/>
    </w:pPr>
  </w:style>
  <w:style w:type="paragraph" w:customStyle="1" w:styleId="Indent3">
    <w:name w:val="Indent_3"/>
    <w:basedOn w:val="BaseIndent"/>
    <w:rsid w:val="00234676"/>
    <w:pPr>
      <w:ind w:left="1701"/>
    </w:pPr>
  </w:style>
  <w:style w:type="paragraph" w:customStyle="1" w:styleId="Indent325">
    <w:name w:val="Indent_3.25"/>
    <w:basedOn w:val="BaseIndent"/>
    <w:rsid w:val="00234676"/>
    <w:pPr>
      <w:ind w:left="1843"/>
    </w:pPr>
  </w:style>
  <w:style w:type="paragraph" w:styleId="MacroText">
    <w:name w:val="macro"/>
    <w:semiHidden/>
    <w:rsid w:val="00234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sz w:val="22"/>
    </w:rPr>
  </w:style>
  <w:style w:type="paragraph" w:customStyle="1" w:styleId="Messages">
    <w:name w:val="Messages"/>
    <w:basedOn w:val="Normal"/>
    <w:rsid w:val="00234676"/>
    <w:rPr>
      <w:vanish/>
      <w:color w:val="FF0000"/>
      <w:sz w:val="48"/>
    </w:rPr>
  </w:style>
  <w:style w:type="paragraph" w:customStyle="1" w:styleId="Signatory">
    <w:name w:val="Signatory"/>
    <w:basedOn w:val="Normal"/>
    <w:next w:val="Indent0"/>
    <w:rsid w:val="00234676"/>
    <w:pPr>
      <w:spacing w:before="1200"/>
    </w:pPr>
  </w:style>
  <w:style w:type="paragraph" w:customStyle="1" w:styleId="Table">
    <w:name w:val="Table"/>
    <w:basedOn w:val="BaseTable"/>
    <w:rsid w:val="00234676"/>
    <w:pPr>
      <w:spacing w:before="60" w:after="60"/>
    </w:pPr>
  </w:style>
  <w:style w:type="paragraph" w:styleId="TOC1">
    <w:name w:val="toc 1"/>
    <w:basedOn w:val="Normal"/>
    <w:next w:val="Normal"/>
    <w:autoRedefine/>
    <w:semiHidden/>
    <w:rsid w:val="00234676"/>
    <w:pPr>
      <w:tabs>
        <w:tab w:val="right" w:pos="9071"/>
      </w:tabs>
      <w:spacing w:before="360" w:after="0"/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52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6A4FEF"/>
    <w:rPr>
      <w:b/>
      <w:sz w:val="26"/>
    </w:rPr>
  </w:style>
  <w:style w:type="paragraph" w:styleId="ListParagraph">
    <w:name w:val="List Paragraph"/>
    <w:basedOn w:val="Normal"/>
    <w:uiPriority w:val="34"/>
    <w:qFormat/>
    <w:rsid w:val="006A4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F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520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5202"/>
  </w:style>
  <w:style w:type="character" w:styleId="FootnoteReference">
    <w:name w:val="footnote reference"/>
    <w:basedOn w:val="DefaultParagraphFont"/>
    <w:uiPriority w:val="99"/>
    <w:semiHidden/>
    <w:unhideWhenUsed/>
    <w:rsid w:val="004A5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F08FB30B.dotm</Template>
  <TotalTime>261</TotalTime>
  <Pages>3</Pages>
  <Words>761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Australia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2012-12-05T05:52:00Z</cp:lastPrinted>
  <dcterms:created xsi:type="dcterms:W3CDTF">2012-12-04T06:32:00Z</dcterms:created>
  <dcterms:modified xsi:type="dcterms:W3CDTF">2013-01-07T01:40:00Z</dcterms:modified>
</cp:coreProperties>
</file>