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99" w:rsidRPr="003C7C34" w:rsidRDefault="00E34F99" w:rsidP="00E34F99">
      <w:pPr>
        <w:keepNext/>
        <w:spacing w:after="0"/>
        <w:jc w:val="center"/>
        <w:rPr>
          <w:rFonts w:ascii="Arial" w:hAnsi="Arial" w:cs="Arial"/>
          <w:b/>
        </w:rPr>
      </w:pPr>
      <w:r w:rsidRPr="003C7C34">
        <w:rPr>
          <w:rFonts w:ascii="Arial" w:hAnsi="Arial" w:cs="Arial"/>
          <w:b/>
        </w:rPr>
        <w:t>EXPLANATORY STATEMENT</w:t>
      </w:r>
    </w:p>
    <w:p w:rsidR="00E34F99" w:rsidRPr="003C7C34" w:rsidRDefault="00E34F99" w:rsidP="00E34F99">
      <w:pPr>
        <w:spacing w:after="0"/>
        <w:rPr>
          <w:rFonts w:ascii="Arial" w:hAnsi="Arial" w:cs="Arial"/>
        </w:rPr>
      </w:pPr>
    </w:p>
    <w:p w:rsidR="00E34F99" w:rsidRPr="003C7C34" w:rsidRDefault="00E34F99" w:rsidP="00E34F99">
      <w:pPr>
        <w:spacing w:after="0"/>
        <w:jc w:val="center"/>
        <w:rPr>
          <w:rFonts w:ascii="Arial" w:hAnsi="Arial" w:cs="Arial"/>
          <w:i/>
        </w:rPr>
      </w:pPr>
      <w:r w:rsidRPr="003C7C34">
        <w:rPr>
          <w:rFonts w:ascii="Arial" w:hAnsi="Arial" w:cs="Arial"/>
          <w:i/>
        </w:rPr>
        <w:t>Guidelines issued under section 238-10 of the Higher Education Support Act 2003</w:t>
      </w:r>
    </w:p>
    <w:p w:rsidR="00E34F99" w:rsidRPr="003C7C34" w:rsidRDefault="00E34F99" w:rsidP="00E34F99">
      <w:pPr>
        <w:spacing w:after="0"/>
        <w:jc w:val="center"/>
        <w:rPr>
          <w:rFonts w:ascii="Arial" w:hAnsi="Arial" w:cs="Arial"/>
          <w:u w:val="single"/>
        </w:rPr>
      </w:pPr>
    </w:p>
    <w:p w:rsidR="00E34F99" w:rsidRPr="003C7C34" w:rsidRDefault="00E34F99" w:rsidP="00E34F99">
      <w:pPr>
        <w:spacing w:after="0"/>
        <w:jc w:val="center"/>
        <w:rPr>
          <w:rFonts w:ascii="Arial" w:hAnsi="Arial" w:cs="Arial"/>
        </w:rPr>
      </w:pPr>
      <w:bookmarkStart w:id="0" w:name="OLE_LINK8"/>
      <w:bookmarkStart w:id="1" w:name="OLE_LINK9"/>
      <w:r w:rsidRPr="003C7C34">
        <w:rPr>
          <w:rFonts w:ascii="Arial" w:hAnsi="Arial" w:cs="Arial"/>
        </w:rPr>
        <w:t xml:space="preserve">Amendment No </w:t>
      </w:r>
      <w:bookmarkStart w:id="2" w:name="OLE_LINK4"/>
      <w:r w:rsidRPr="00651687">
        <w:rPr>
          <w:rFonts w:ascii="Arial" w:hAnsi="Arial" w:cs="Arial"/>
        </w:rPr>
        <w:t>1</w:t>
      </w:r>
      <w:bookmarkEnd w:id="2"/>
      <w:r w:rsidRPr="003C7C34">
        <w:rPr>
          <w:rFonts w:ascii="Arial" w:hAnsi="Arial" w:cs="Arial"/>
        </w:rPr>
        <w:t xml:space="preserve"> to the </w:t>
      </w:r>
      <w:r w:rsidRPr="003C7C34">
        <w:rPr>
          <w:rFonts w:ascii="Arial" w:hAnsi="Arial" w:cs="Arial"/>
          <w:i/>
        </w:rPr>
        <w:t>Other Grants Guidelines (Education) 201</w:t>
      </w:r>
      <w:bookmarkEnd w:id="0"/>
      <w:bookmarkEnd w:id="1"/>
      <w:r w:rsidRPr="003C7C34">
        <w:rPr>
          <w:rFonts w:ascii="Arial" w:hAnsi="Arial" w:cs="Arial"/>
          <w:i/>
        </w:rPr>
        <w:t>2</w:t>
      </w:r>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u w:val="single"/>
        </w:rPr>
      </w:pPr>
    </w:p>
    <w:p w:rsidR="00E34F99" w:rsidRPr="003C7C34" w:rsidRDefault="00E34F99" w:rsidP="00E34F99">
      <w:pPr>
        <w:spacing w:after="0"/>
        <w:rPr>
          <w:rFonts w:ascii="Arial" w:hAnsi="Arial" w:cs="Arial"/>
          <w:u w:val="single"/>
        </w:rPr>
      </w:pPr>
      <w:proofErr w:type="gramStart"/>
      <w:r w:rsidRPr="003C7C34">
        <w:rPr>
          <w:rFonts w:ascii="Arial" w:hAnsi="Arial" w:cs="Arial"/>
          <w:u w:val="single"/>
        </w:rPr>
        <w:t>Issued by the authority of the Minister for Tertiary Educatio</w:t>
      </w:r>
      <w:bookmarkStart w:id="3" w:name="_GoBack"/>
      <w:bookmarkEnd w:id="3"/>
      <w:r w:rsidRPr="003C7C34">
        <w:rPr>
          <w:rFonts w:ascii="Arial" w:hAnsi="Arial" w:cs="Arial"/>
          <w:u w:val="single"/>
        </w:rPr>
        <w:t>n, Skills, Science and Research.</w:t>
      </w:r>
      <w:proofErr w:type="gramEnd"/>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rPr>
      </w:pPr>
      <w:r w:rsidRPr="003C7C34">
        <w:rPr>
          <w:rFonts w:ascii="Arial" w:hAnsi="Arial" w:cs="Arial"/>
          <w:b/>
          <w:u w:val="single"/>
        </w:rPr>
        <w:t>Subject:</w:t>
      </w:r>
      <w:r w:rsidRPr="003C7C34">
        <w:rPr>
          <w:rFonts w:ascii="Arial" w:hAnsi="Arial" w:cs="Arial"/>
        </w:rPr>
        <w:tab/>
      </w:r>
      <w:r w:rsidRPr="003C7C34">
        <w:rPr>
          <w:rFonts w:ascii="Arial" w:hAnsi="Arial" w:cs="Arial"/>
        </w:rPr>
        <w:tab/>
      </w:r>
      <w:r w:rsidRPr="003C7C34">
        <w:rPr>
          <w:rFonts w:ascii="Arial" w:hAnsi="Arial" w:cs="Arial"/>
          <w:i/>
        </w:rPr>
        <w:t>Higher Education Support Act 2003</w:t>
      </w:r>
    </w:p>
    <w:p w:rsidR="00E34F99" w:rsidRPr="003C7C34" w:rsidRDefault="00E34F99" w:rsidP="00E34F99">
      <w:pPr>
        <w:spacing w:after="0"/>
        <w:ind w:left="2160"/>
        <w:rPr>
          <w:rFonts w:ascii="Arial" w:hAnsi="Arial" w:cs="Arial"/>
        </w:rPr>
      </w:pPr>
      <w:r w:rsidRPr="003C7C34">
        <w:rPr>
          <w:rFonts w:ascii="Arial" w:hAnsi="Arial" w:cs="Arial"/>
        </w:rPr>
        <w:t xml:space="preserve">Amendment No. </w:t>
      </w:r>
      <w:r w:rsidRPr="00651687">
        <w:rPr>
          <w:rFonts w:ascii="Arial" w:hAnsi="Arial" w:cs="Arial"/>
        </w:rPr>
        <w:t xml:space="preserve">1 </w:t>
      </w:r>
      <w:r w:rsidRPr="00AB26EA">
        <w:rPr>
          <w:rFonts w:ascii="Arial" w:hAnsi="Arial" w:cs="Arial"/>
        </w:rPr>
        <w:t xml:space="preserve">to </w:t>
      </w:r>
      <w:r w:rsidRPr="003C7C34">
        <w:rPr>
          <w:rFonts w:ascii="Arial" w:hAnsi="Arial" w:cs="Arial"/>
        </w:rPr>
        <w:t>the Other Grants</w:t>
      </w:r>
      <w:r w:rsidRPr="003C7C34">
        <w:rPr>
          <w:rFonts w:ascii="Arial" w:hAnsi="Arial" w:cs="Arial"/>
          <w:i/>
          <w:color w:val="FF0000"/>
        </w:rPr>
        <w:t xml:space="preserve"> </w:t>
      </w:r>
      <w:r w:rsidRPr="003C7C34">
        <w:rPr>
          <w:rFonts w:ascii="Arial" w:hAnsi="Arial" w:cs="Arial"/>
        </w:rPr>
        <w:t>Guidelines (Education) 2012</w:t>
      </w:r>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b/>
          <w:u w:val="single"/>
        </w:rPr>
      </w:pPr>
      <w:r w:rsidRPr="003C7C34">
        <w:rPr>
          <w:rFonts w:ascii="Arial" w:hAnsi="Arial" w:cs="Arial"/>
          <w:b/>
          <w:u w:val="single"/>
        </w:rPr>
        <w:t>Authority</w:t>
      </w:r>
    </w:p>
    <w:p w:rsidR="00E34F99" w:rsidRPr="003C7C34" w:rsidRDefault="00E34F99" w:rsidP="00E34F99">
      <w:pPr>
        <w:spacing w:after="0"/>
        <w:rPr>
          <w:rFonts w:ascii="Arial" w:hAnsi="Arial" w:cs="Arial"/>
          <w:b/>
          <w:u w:val="single"/>
        </w:rPr>
      </w:pPr>
    </w:p>
    <w:p w:rsidR="00E34F99" w:rsidRDefault="00E34F99" w:rsidP="00E34F99">
      <w:pPr>
        <w:spacing w:after="0"/>
        <w:rPr>
          <w:rFonts w:ascii="Arial" w:hAnsi="Arial" w:cs="Arial"/>
        </w:rPr>
      </w:pPr>
      <w:r w:rsidRPr="003C7C34">
        <w:rPr>
          <w:rFonts w:ascii="Arial" w:hAnsi="Arial" w:cs="Arial"/>
        </w:rPr>
        <w:t xml:space="preserve">Section 238-10 of the </w:t>
      </w:r>
      <w:r w:rsidRPr="003C7C34">
        <w:rPr>
          <w:rFonts w:ascii="Arial" w:hAnsi="Arial" w:cs="Arial"/>
          <w:i/>
        </w:rPr>
        <w:t>Higher Education Support Act 2003</w:t>
      </w:r>
      <w:r w:rsidRPr="003C7C34">
        <w:rPr>
          <w:rFonts w:ascii="Arial" w:hAnsi="Arial" w:cs="Arial"/>
        </w:rPr>
        <w:t xml:space="preserve"> (the Act) provides that the Minister may make guidelines providing for matters required or permitted by the Act necessary or convenient to be provided in order to carry out or give effect to the Act. In particular item 8 of section 238-10 specifies the Minister may make</w:t>
      </w:r>
      <w:r w:rsidRPr="003C7C34">
        <w:rPr>
          <w:rFonts w:ascii="Arial" w:hAnsi="Arial" w:cs="Arial"/>
          <w:i/>
        </w:rPr>
        <w:t xml:space="preserve"> Other Grants Guidelines</w:t>
      </w:r>
      <w:r w:rsidRPr="003C7C34">
        <w:rPr>
          <w:rFonts w:ascii="Arial" w:hAnsi="Arial" w:cs="Arial"/>
        </w:rPr>
        <w:t xml:space="preserve"> to give effect to matters under Part 2-3 of the Act.</w:t>
      </w:r>
    </w:p>
    <w:p w:rsidR="00E34F99" w:rsidRDefault="00E34F99" w:rsidP="00E34F99">
      <w:pPr>
        <w:spacing w:after="0"/>
        <w:rPr>
          <w:rFonts w:ascii="Arial" w:hAnsi="Arial" w:cs="Arial"/>
        </w:rPr>
      </w:pPr>
    </w:p>
    <w:p w:rsidR="00E34F99" w:rsidRPr="002373C5" w:rsidRDefault="00E34F99" w:rsidP="00E34F99">
      <w:pPr>
        <w:spacing w:after="0"/>
        <w:rPr>
          <w:rFonts w:ascii="Arial" w:hAnsi="Arial" w:cs="Arial"/>
        </w:rPr>
      </w:pPr>
      <w:r w:rsidRPr="002373C5">
        <w:rPr>
          <w:rFonts w:ascii="Arial" w:hAnsi="Arial" w:cs="Arial"/>
        </w:rPr>
        <w:t>Section 41-15 of the Act provides that the Other Grants Guidelines may specify one or more programs under which grants for particular purposes specified in the table in</w:t>
      </w:r>
      <w:r>
        <w:rPr>
          <w:rFonts w:ascii="Arial" w:hAnsi="Arial" w:cs="Arial"/>
        </w:rPr>
        <w:t xml:space="preserve"> </w:t>
      </w:r>
      <w:r w:rsidRPr="002373C5">
        <w:rPr>
          <w:rFonts w:ascii="Arial" w:hAnsi="Arial" w:cs="Arial"/>
        </w:rPr>
        <w:t>subsection 41-10(1) are to be paid.</w:t>
      </w:r>
    </w:p>
    <w:p w:rsidR="00E34F99" w:rsidRPr="003C7C34" w:rsidRDefault="00E34F99" w:rsidP="00E34F99">
      <w:pPr>
        <w:spacing w:after="0"/>
        <w:rPr>
          <w:rFonts w:ascii="Arial" w:hAnsi="Arial" w:cs="Arial"/>
          <w:b/>
        </w:rPr>
      </w:pPr>
    </w:p>
    <w:p w:rsidR="00E34F99" w:rsidRPr="003C7C34" w:rsidRDefault="00E34F99" w:rsidP="00E34F99">
      <w:pPr>
        <w:spacing w:after="0"/>
        <w:rPr>
          <w:rFonts w:ascii="Arial" w:hAnsi="Arial" w:cs="Arial"/>
          <w:b/>
          <w:u w:val="single"/>
        </w:rPr>
      </w:pPr>
      <w:r w:rsidRPr="003C7C34">
        <w:rPr>
          <w:rFonts w:ascii="Arial" w:hAnsi="Arial" w:cs="Arial"/>
          <w:b/>
          <w:u w:val="single"/>
        </w:rPr>
        <w:t>Purpose and operation</w:t>
      </w:r>
    </w:p>
    <w:p w:rsidR="00E34F99" w:rsidRPr="003C7C34" w:rsidRDefault="00E34F99" w:rsidP="00E34F99">
      <w:pPr>
        <w:spacing w:after="0"/>
        <w:rPr>
          <w:rFonts w:ascii="Arial" w:hAnsi="Arial" w:cs="Arial"/>
          <w:b/>
        </w:rPr>
      </w:pPr>
    </w:p>
    <w:p w:rsidR="00E34F99" w:rsidRPr="00D35768" w:rsidRDefault="00E34F99" w:rsidP="00E34F99">
      <w:pPr>
        <w:spacing w:after="0"/>
        <w:rPr>
          <w:rFonts w:ascii="Arial" w:hAnsi="Arial" w:cs="Arial"/>
          <w:b/>
        </w:rPr>
      </w:pPr>
      <w:r w:rsidRPr="003C7C34">
        <w:rPr>
          <w:rFonts w:ascii="Arial" w:hAnsi="Arial" w:cs="Arial"/>
        </w:rPr>
        <w:t xml:space="preserve">This legislative instrument amends the </w:t>
      </w:r>
      <w:r w:rsidRPr="003C7C34">
        <w:rPr>
          <w:rFonts w:ascii="Arial" w:hAnsi="Arial" w:cs="Arial"/>
          <w:i/>
        </w:rPr>
        <w:t>Other Grants Guidelines (Education) 2012</w:t>
      </w:r>
      <w:r>
        <w:rPr>
          <w:rFonts w:ascii="Arial" w:hAnsi="Arial" w:cs="Arial"/>
          <w:i/>
        </w:rPr>
        <w:t xml:space="preserve"> </w:t>
      </w:r>
      <w:r w:rsidRPr="003C7C34">
        <w:rPr>
          <w:rFonts w:ascii="Arial" w:hAnsi="Arial" w:cs="Arial"/>
        </w:rPr>
        <w:t xml:space="preserve">which was registered on the Federal Register of Legislative Instruments on </w:t>
      </w:r>
      <w:r w:rsidRPr="00651687">
        <w:rPr>
          <w:rFonts w:ascii="Arial" w:hAnsi="Arial" w:cs="Arial"/>
        </w:rPr>
        <w:t>13</w:t>
      </w:r>
      <w:r>
        <w:rPr>
          <w:rFonts w:ascii="Arial" w:hAnsi="Arial" w:cs="Arial"/>
        </w:rPr>
        <w:t> </w:t>
      </w:r>
      <w:r w:rsidRPr="00651687">
        <w:rPr>
          <w:rFonts w:ascii="Arial" w:hAnsi="Arial" w:cs="Arial"/>
        </w:rPr>
        <w:t>February 2012</w:t>
      </w:r>
      <w:r w:rsidRPr="003C7C34">
        <w:rPr>
          <w:rFonts w:ascii="Arial" w:hAnsi="Arial" w:cs="Arial"/>
        </w:rPr>
        <w:t xml:space="preserve"> and commenced on </w:t>
      </w:r>
      <w:r w:rsidRPr="00651687">
        <w:rPr>
          <w:rFonts w:ascii="Arial" w:hAnsi="Arial" w:cs="Arial"/>
        </w:rPr>
        <w:t>14 February 2012</w:t>
      </w:r>
      <w:r w:rsidRPr="00D35768">
        <w:rPr>
          <w:rFonts w:ascii="Arial" w:hAnsi="Arial" w:cs="Arial"/>
        </w:rPr>
        <w:t xml:space="preserve"> (see </w:t>
      </w:r>
      <w:r w:rsidRPr="00651687">
        <w:rPr>
          <w:rFonts w:ascii="Arial" w:hAnsi="Arial" w:cs="Arial"/>
        </w:rPr>
        <w:t>F2012L00281)</w:t>
      </w:r>
      <w:r w:rsidRPr="00D35768">
        <w:rPr>
          <w:rFonts w:ascii="Arial" w:hAnsi="Arial" w:cs="Arial"/>
        </w:rPr>
        <w:t>.</w:t>
      </w:r>
    </w:p>
    <w:p w:rsidR="00E34F99" w:rsidRPr="003C7C34" w:rsidRDefault="00E34F99" w:rsidP="00E34F99">
      <w:pPr>
        <w:spacing w:after="0"/>
        <w:rPr>
          <w:rFonts w:ascii="Arial" w:hAnsi="Arial" w:cs="Arial"/>
          <w:b/>
          <w:u w:val="single"/>
        </w:rPr>
      </w:pPr>
    </w:p>
    <w:p w:rsidR="00E34F99" w:rsidRPr="003C7C34" w:rsidRDefault="00E34F99" w:rsidP="00E34F99">
      <w:pPr>
        <w:spacing w:after="0"/>
        <w:rPr>
          <w:rFonts w:ascii="Arial" w:hAnsi="Arial" w:cs="Arial"/>
          <w:b/>
          <w:u w:val="single"/>
        </w:rPr>
      </w:pPr>
      <w:r w:rsidRPr="003C7C34">
        <w:rPr>
          <w:rFonts w:ascii="Arial" w:hAnsi="Arial" w:cs="Arial"/>
          <w:b/>
          <w:u w:val="single"/>
        </w:rPr>
        <w:t>Background</w:t>
      </w:r>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rPr>
      </w:pPr>
      <w:r w:rsidRPr="003C7C34">
        <w:rPr>
          <w:rFonts w:ascii="Arial" w:hAnsi="Arial" w:cs="Arial"/>
        </w:rPr>
        <w:t xml:space="preserve">The amendments to the </w:t>
      </w:r>
      <w:r w:rsidRPr="003C7C34">
        <w:rPr>
          <w:rFonts w:ascii="Arial" w:hAnsi="Arial" w:cs="Arial"/>
          <w:i/>
        </w:rPr>
        <w:t>Other Grants</w:t>
      </w:r>
      <w:r w:rsidRPr="003C7C34">
        <w:rPr>
          <w:rFonts w:ascii="Arial" w:hAnsi="Arial" w:cs="Arial"/>
          <w:i/>
          <w:color w:val="FF0000"/>
        </w:rPr>
        <w:t xml:space="preserve"> </w:t>
      </w:r>
      <w:r w:rsidRPr="003C7C34">
        <w:rPr>
          <w:rFonts w:ascii="Arial" w:hAnsi="Arial" w:cs="Arial"/>
          <w:i/>
        </w:rPr>
        <w:t>Guidelines (Education) 2012</w:t>
      </w:r>
      <w:r w:rsidRPr="003C7C34">
        <w:rPr>
          <w:rFonts w:ascii="Arial" w:hAnsi="Arial" w:cs="Arial"/>
        </w:rPr>
        <w:t xml:space="preserve"> are necessary for the administration of the Australian Maths and Science Partnership Program (AMSPP)</w:t>
      </w:r>
      <w:r>
        <w:rPr>
          <w:rFonts w:ascii="Arial" w:hAnsi="Arial" w:cs="Arial"/>
        </w:rPr>
        <w:t xml:space="preserve"> </w:t>
      </w:r>
      <w:r w:rsidRPr="00DE51EA">
        <w:rPr>
          <w:rFonts w:ascii="Arial" w:hAnsi="Arial" w:cs="Arial"/>
        </w:rPr>
        <w:t xml:space="preserve">and </w:t>
      </w:r>
      <w:r>
        <w:rPr>
          <w:rFonts w:ascii="Arial" w:hAnsi="Arial" w:cs="Arial"/>
        </w:rPr>
        <w:t xml:space="preserve">the </w:t>
      </w:r>
      <w:r w:rsidRPr="00DE51EA">
        <w:rPr>
          <w:rFonts w:ascii="Arial" w:hAnsi="Arial" w:cs="Arial"/>
        </w:rPr>
        <w:t>Enhancing the Training of Mathematics and Science Teachers</w:t>
      </w:r>
      <w:r>
        <w:rPr>
          <w:rFonts w:ascii="Arial" w:hAnsi="Arial" w:cs="Arial"/>
        </w:rPr>
        <w:t xml:space="preserve"> Program (ETMST Program)</w:t>
      </w:r>
      <w:r w:rsidRPr="003C7C34">
        <w:rPr>
          <w:rFonts w:ascii="Arial" w:hAnsi="Arial" w:cs="Arial"/>
        </w:rPr>
        <w:t>, new program</w:t>
      </w:r>
      <w:r>
        <w:rPr>
          <w:rFonts w:ascii="Arial" w:hAnsi="Arial" w:cs="Arial"/>
        </w:rPr>
        <w:t>s</w:t>
      </w:r>
      <w:r w:rsidRPr="003C7C34">
        <w:rPr>
          <w:rFonts w:ascii="Arial" w:hAnsi="Arial" w:cs="Arial"/>
        </w:rPr>
        <w:t xml:space="preserve"> which w</w:t>
      </w:r>
      <w:r>
        <w:rPr>
          <w:rFonts w:ascii="Arial" w:hAnsi="Arial" w:cs="Arial"/>
        </w:rPr>
        <w:t>ere</w:t>
      </w:r>
      <w:r w:rsidRPr="003C7C34">
        <w:rPr>
          <w:rFonts w:ascii="Arial" w:hAnsi="Arial" w:cs="Arial"/>
        </w:rPr>
        <w:t xml:space="preserve"> announced in 2012-13 </w:t>
      </w:r>
      <w:proofErr w:type="gramStart"/>
      <w:r>
        <w:rPr>
          <w:rFonts w:ascii="Arial" w:hAnsi="Arial" w:cs="Arial"/>
        </w:rPr>
        <w:t>B</w:t>
      </w:r>
      <w:r w:rsidRPr="003C7C34">
        <w:rPr>
          <w:rFonts w:ascii="Arial" w:hAnsi="Arial" w:cs="Arial"/>
        </w:rPr>
        <w:t>udget</w:t>
      </w:r>
      <w:proofErr w:type="gramEnd"/>
      <w:r w:rsidRPr="003C7C34">
        <w:rPr>
          <w:rFonts w:ascii="Arial" w:hAnsi="Arial" w:cs="Arial"/>
        </w:rPr>
        <w:t>.</w:t>
      </w:r>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rPr>
      </w:pPr>
      <w:r w:rsidRPr="003C7C34">
        <w:rPr>
          <w:rFonts w:ascii="Arial" w:hAnsi="Arial" w:cs="Arial"/>
        </w:rPr>
        <w:t xml:space="preserve">The purpose of the AMSPP is to address the decline in the proportion of Australian students studying science, technology, engineering and mathematics-related subjects at Year 12 and tertiary levels, and improve Australia’s capacity to develop into a high technology, high productivity economy. </w:t>
      </w:r>
    </w:p>
    <w:p w:rsidR="00E34F99" w:rsidRPr="003C7C34" w:rsidRDefault="00E34F99" w:rsidP="00E34F99">
      <w:pPr>
        <w:spacing w:after="0"/>
        <w:rPr>
          <w:rFonts w:ascii="Arial" w:hAnsi="Arial" w:cs="Arial"/>
        </w:rPr>
      </w:pPr>
    </w:p>
    <w:p w:rsidR="00E34F99" w:rsidRDefault="00E34F99" w:rsidP="00E34F99">
      <w:pPr>
        <w:spacing w:after="0"/>
        <w:rPr>
          <w:rFonts w:ascii="Arial" w:hAnsi="Arial" w:cs="Arial"/>
        </w:rPr>
      </w:pPr>
      <w:r w:rsidRPr="003C7C34">
        <w:rPr>
          <w:rFonts w:ascii="Arial" w:hAnsi="Arial" w:cs="Arial"/>
        </w:rPr>
        <w:t xml:space="preserve">The AMSPP will achieve this by supporting partnerships between higher education providers and schools to increase the number of school students undertaking maths and science subjects to Year 12; improve outcomes for these students; </w:t>
      </w:r>
      <w:r>
        <w:rPr>
          <w:rFonts w:ascii="Arial" w:hAnsi="Arial" w:cs="Arial"/>
        </w:rPr>
        <w:t xml:space="preserve">and </w:t>
      </w:r>
      <w:r w:rsidRPr="003C7C34">
        <w:rPr>
          <w:rFonts w:ascii="Arial" w:hAnsi="Arial" w:cs="Arial"/>
        </w:rPr>
        <w:lastRenderedPageBreak/>
        <w:t>encourage more students to study</w:t>
      </w:r>
      <w:r>
        <w:rPr>
          <w:rFonts w:ascii="Arial" w:hAnsi="Arial" w:cs="Arial"/>
        </w:rPr>
        <w:t xml:space="preserve"> science</w:t>
      </w:r>
      <w:r w:rsidRPr="003C7C34">
        <w:rPr>
          <w:rFonts w:ascii="Arial" w:hAnsi="Arial" w:cs="Arial"/>
        </w:rPr>
        <w:t xml:space="preserve"> technology, engineering and maths (STEM) courses at university.</w:t>
      </w:r>
    </w:p>
    <w:p w:rsidR="00E34F99" w:rsidRDefault="00E34F99" w:rsidP="00E34F99">
      <w:pPr>
        <w:spacing w:after="0"/>
        <w:rPr>
          <w:rFonts w:ascii="Arial" w:hAnsi="Arial" w:cs="Arial"/>
        </w:rPr>
      </w:pPr>
    </w:p>
    <w:p w:rsidR="00E34F99" w:rsidRPr="000F5093" w:rsidRDefault="00E34F99" w:rsidP="00E34F99">
      <w:pPr>
        <w:spacing w:after="0"/>
        <w:rPr>
          <w:rFonts w:ascii="Arial" w:hAnsi="Arial" w:cs="Arial"/>
        </w:rPr>
      </w:pPr>
      <w:r w:rsidRPr="000F5093">
        <w:rPr>
          <w:rFonts w:ascii="Arial" w:hAnsi="Arial" w:cs="Arial"/>
        </w:rPr>
        <w:t xml:space="preserve">The purpose of the </w:t>
      </w:r>
      <w:r>
        <w:rPr>
          <w:rFonts w:ascii="Arial" w:hAnsi="Arial" w:cs="Arial"/>
        </w:rPr>
        <w:t>ETMST Program</w:t>
      </w:r>
      <w:r w:rsidRPr="000F5093">
        <w:rPr>
          <w:rFonts w:ascii="Arial" w:hAnsi="Arial" w:cs="Arial"/>
        </w:rPr>
        <w:t xml:space="preserve"> is to </w:t>
      </w:r>
      <w:r>
        <w:rPr>
          <w:rFonts w:ascii="Arial" w:hAnsi="Arial" w:cs="Arial"/>
        </w:rPr>
        <w:t xml:space="preserve">drive a major improvement in </w:t>
      </w:r>
      <w:r w:rsidRPr="000F5093">
        <w:rPr>
          <w:rFonts w:ascii="Arial" w:hAnsi="Arial" w:cs="Arial"/>
        </w:rPr>
        <w:t>the quality of mathematics and science teachers.</w:t>
      </w:r>
    </w:p>
    <w:p w:rsidR="00E34F99" w:rsidRPr="000F5093" w:rsidRDefault="00E34F99" w:rsidP="00E34F99">
      <w:pPr>
        <w:spacing w:after="0"/>
        <w:rPr>
          <w:rFonts w:ascii="Arial" w:hAnsi="Arial" w:cs="Arial"/>
        </w:rPr>
      </w:pPr>
    </w:p>
    <w:p w:rsidR="00E34F99" w:rsidRDefault="00E34F99" w:rsidP="00E34F99">
      <w:pPr>
        <w:spacing w:after="0"/>
        <w:rPr>
          <w:rFonts w:ascii="Arial" w:hAnsi="Arial" w:cs="Arial"/>
        </w:rPr>
      </w:pPr>
      <w:r w:rsidRPr="000F5093">
        <w:rPr>
          <w:rFonts w:ascii="Arial" w:hAnsi="Arial" w:cs="Arial"/>
        </w:rPr>
        <w:t xml:space="preserve">The </w:t>
      </w:r>
      <w:r>
        <w:rPr>
          <w:rFonts w:ascii="Arial" w:hAnsi="Arial" w:cs="Arial"/>
        </w:rPr>
        <w:t>ETMST Program</w:t>
      </w:r>
      <w:r w:rsidRPr="000F5093">
        <w:rPr>
          <w:rFonts w:ascii="Arial" w:hAnsi="Arial" w:cs="Arial"/>
        </w:rPr>
        <w:t xml:space="preserve"> will achieve this by supporting new </w:t>
      </w:r>
      <w:r w:rsidRPr="00A156FA">
        <w:rPr>
          <w:rFonts w:ascii="Arial" w:hAnsi="Arial" w:cs="Arial"/>
        </w:rPr>
        <w:t>teacher training</w:t>
      </w:r>
      <w:r w:rsidRPr="00A156FA">
        <w:rPr>
          <w:rStyle w:val="CommentReference"/>
          <w:rFonts w:ascii="Arial" w:hAnsi="Arial" w:cs="Arial"/>
        </w:rPr>
        <w:t xml:space="preserve"> </w:t>
      </w:r>
      <w:r w:rsidRPr="000F5093">
        <w:rPr>
          <w:rFonts w:ascii="Arial" w:hAnsi="Arial" w:cs="Arial"/>
        </w:rPr>
        <w:t xml:space="preserve">programs which combine content and pedagogy so that mathematics and science are taught as dynamic, forward-looking, and </w:t>
      </w:r>
      <w:r>
        <w:rPr>
          <w:rFonts w:ascii="Arial" w:hAnsi="Arial" w:cs="Arial"/>
        </w:rPr>
        <w:t>collaborative human endeavours.</w:t>
      </w:r>
    </w:p>
    <w:p w:rsidR="00E34F99" w:rsidRDefault="00E34F99" w:rsidP="00E34F99">
      <w:pPr>
        <w:spacing w:after="0"/>
        <w:rPr>
          <w:rFonts w:ascii="Arial" w:hAnsi="Arial" w:cs="Arial"/>
        </w:rPr>
      </w:pPr>
    </w:p>
    <w:p w:rsidR="00E34F99" w:rsidRPr="008C3D4E" w:rsidRDefault="00E34F99" w:rsidP="00E34F99">
      <w:pPr>
        <w:rPr>
          <w:rFonts w:ascii="Arial" w:hAnsi="Arial" w:cs="Arial"/>
        </w:rPr>
      </w:pPr>
      <w:r w:rsidRPr="00103244">
        <w:rPr>
          <w:rFonts w:ascii="Arial" w:hAnsi="Arial" w:cs="Arial"/>
        </w:rPr>
        <w:t>The ETMST Program can be used to develop undergraduate or postgraduate programs.  Institutions should be aware that a successful application does not guarantee additional Commonwealth supported places for students enrolled in courses funded by the ETMST Program.</w:t>
      </w:r>
    </w:p>
    <w:p w:rsidR="00E34F99" w:rsidRPr="003C7C34" w:rsidRDefault="00E34F99" w:rsidP="00E34F99">
      <w:pPr>
        <w:spacing w:after="0"/>
        <w:rPr>
          <w:rFonts w:ascii="Arial" w:hAnsi="Arial" w:cs="Arial"/>
          <w:b/>
          <w:color w:val="000000"/>
          <w:u w:val="single"/>
        </w:rPr>
      </w:pPr>
      <w:r w:rsidRPr="003C7C34">
        <w:rPr>
          <w:rFonts w:ascii="Arial" w:hAnsi="Arial" w:cs="Arial"/>
          <w:b/>
          <w:color w:val="000000"/>
          <w:u w:val="single"/>
        </w:rPr>
        <w:t>Commencement</w:t>
      </w:r>
    </w:p>
    <w:p w:rsidR="00E34F99" w:rsidRPr="003C7C34" w:rsidRDefault="00E34F99" w:rsidP="00E34F99">
      <w:pPr>
        <w:spacing w:after="0"/>
        <w:rPr>
          <w:rFonts w:ascii="Arial" w:hAnsi="Arial" w:cs="Arial"/>
        </w:rPr>
      </w:pPr>
    </w:p>
    <w:p w:rsidR="00E34F99" w:rsidRPr="00AB26EA" w:rsidRDefault="00E34F99" w:rsidP="00E34F99">
      <w:pPr>
        <w:spacing w:after="0"/>
        <w:rPr>
          <w:rFonts w:ascii="Arial" w:hAnsi="Arial" w:cs="Arial"/>
          <w:bCs/>
        </w:rPr>
      </w:pPr>
      <w:r w:rsidRPr="003C7C34">
        <w:rPr>
          <w:rFonts w:ascii="Arial" w:hAnsi="Arial" w:cs="Arial"/>
          <w:bCs/>
        </w:rPr>
        <w:t>This legislative instrument shall come into effect on</w:t>
      </w:r>
      <w:r>
        <w:rPr>
          <w:rFonts w:ascii="Arial" w:hAnsi="Arial" w:cs="Arial"/>
          <w:bCs/>
        </w:rPr>
        <w:t xml:space="preserve"> </w:t>
      </w:r>
      <w:r w:rsidRPr="00AB26EA">
        <w:rPr>
          <w:rFonts w:ascii="Arial" w:hAnsi="Arial" w:cs="Arial"/>
          <w:bCs/>
        </w:rPr>
        <w:t>the day after it is registered on the Federal Register of Legislative Instruments.</w:t>
      </w:r>
    </w:p>
    <w:p w:rsidR="00E34F99" w:rsidRPr="003C7C34" w:rsidRDefault="00E34F99" w:rsidP="00E34F99">
      <w:pPr>
        <w:spacing w:after="0"/>
        <w:rPr>
          <w:rFonts w:ascii="Arial" w:hAnsi="Arial" w:cs="Arial"/>
        </w:rPr>
      </w:pPr>
    </w:p>
    <w:p w:rsidR="00E34F99" w:rsidRPr="003C7C34" w:rsidRDefault="00E34F99" w:rsidP="00E34F99">
      <w:pPr>
        <w:spacing w:after="0"/>
        <w:rPr>
          <w:rFonts w:ascii="Arial" w:hAnsi="Arial" w:cs="Arial"/>
          <w:b/>
          <w:u w:val="single"/>
        </w:rPr>
      </w:pPr>
      <w:r w:rsidRPr="003C7C34">
        <w:rPr>
          <w:rFonts w:ascii="Arial" w:hAnsi="Arial" w:cs="Arial"/>
          <w:b/>
          <w:u w:val="single"/>
        </w:rPr>
        <w:t>Consultation</w:t>
      </w:r>
    </w:p>
    <w:p w:rsidR="00E34F99" w:rsidRPr="003C7C34" w:rsidRDefault="00E34F99" w:rsidP="00E34F99">
      <w:pPr>
        <w:spacing w:after="0"/>
        <w:rPr>
          <w:rFonts w:ascii="Arial" w:hAnsi="Arial" w:cs="Arial"/>
          <w:u w:val="single"/>
        </w:rPr>
      </w:pPr>
    </w:p>
    <w:p w:rsidR="00E34F99" w:rsidRPr="003C7C34" w:rsidRDefault="00E34F99" w:rsidP="00E34F99">
      <w:pPr>
        <w:spacing w:after="0"/>
        <w:rPr>
          <w:rFonts w:ascii="Arial" w:hAnsi="Arial" w:cs="Arial"/>
        </w:rPr>
      </w:pPr>
      <w:r w:rsidRPr="003C7C34">
        <w:rPr>
          <w:rFonts w:ascii="Arial" w:hAnsi="Arial" w:cs="Arial"/>
        </w:rPr>
        <w:t xml:space="preserve">In May 2012, following extensive consultation with </w:t>
      </w:r>
      <w:r>
        <w:rPr>
          <w:rFonts w:ascii="Arial" w:hAnsi="Arial" w:cs="Arial"/>
        </w:rPr>
        <w:t xml:space="preserve">universities, deans' councils, </w:t>
      </w:r>
      <w:r w:rsidRPr="003C7C34">
        <w:rPr>
          <w:rFonts w:ascii="Arial" w:hAnsi="Arial" w:cs="Arial"/>
        </w:rPr>
        <w:t>schools representatives, advisory councils, professional associations, research bodies, state and territory education and training departments, and other key stakeholders from the public and private sectors, the Chief Scientist Professor Ian Chubb AC released the report</w:t>
      </w:r>
      <w:r>
        <w:rPr>
          <w:rFonts w:ascii="Arial" w:hAnsi="Arial" w:cs="Arial"/>
        </w:rPr>
        <w:t xml:space="preserve"> titled</w:t>
      </w:r>
      <w:r w:rsidRPr="003C7C34">
        <w:rPr>
          <w:rFonts w:ascii="Arial" w:hAnsi="Arial" w:cs="Arial"/>
        </w:rPr>
        <w:t xml:space="preserve"> </w:t>
      </w:r>
      <w:r w:rsidRPr="003C7C34">
        <w:rPr>
          <w:rFonts w:ascii="Arial" w:hAnsi="Arial" w:cs="Arial"/>
          <w:i/>
        </w:rPr>
        <w:t>Mathematics, Engineering, and Science in the National Interest</w:t>
      </w:r>
      <w:r w:rsidRPr="003C7C34">
        <w:rPr>
          <w:rFonts w:ascii="Arial" w:hAnsi="Arial" w:cs="Arial"/>
        </w:rPr>
        <w:t>.  The findings of this report gave effect to the 2012-13 AMSPP</w:t>
      </w:r>
      <w:r>
        <w:rPr>
          <w:rFonts w:ascii="Arial" w:hAnsi="Arial" w:cs="Arial"/>
        </w:rPr>
        <w:t xml:space="preserve"> </w:t>
      </w:r>
      <w:r w:rsidRPr="000F5093">
        <w:rPr>
          <w:rFonts w:ascii="Arial" w:hAnsi="Arial" w:cs="Arial"/>
        </w:rPr>
        <w:t xml:space="preserve">and </w:t>
      </w:r>
      <w:r>
        <w:rPr>
          <w:rFonts w:ascii="Arial" w:hAnsi="Arial" w:cs="Arial"/>
        </w:rPr>
        <w:t>ETMST Program</w:t>
      </w:r>
      <w:r w:rsidRPr="000F5093">
        <w:rPr>
          <w:rFonts w:ascii="Arial" w:hAnsi="Arial" w:cs="Arial"/>
        </w:rPr>
        <w:t xml:space="preserve"> </w:t>
      </w:r>
      <w:r w:rsidRPr="003C7C34">
        <w:rPr>
          <w:rFonts w:ascii="Arial" w:hAnsi="Arial" w:cs="Arial"/>
        </w:rPr>
        <w:t>budget measure</w:t>
      </w:r>
      <w:r>
        <w:rPr>
          <w:rFonts w:ascii="Arial" w:hAnsi="Arial" w:cs="Arial"/>
        </w:rPr>
        <w:t>s</w:t>
      </w:r>
      <w:r w:rsidRPr="003C7C34">
        <w:rPr>
          <w:rFonts w:ascii="Arial" w:hAnsi="Arial" w:cs="Arial"/>
        </w:rPr>
        <w:t xml:space="preserve">. Further consultation with the Chief Scientist, representatives from the Department of </w:t>
      </w:r>
      <w:r>
        <w:rPr>
          <w:rFonts w:ascii="Arial" w:hAnsi="Arial" w:cs="Arial"/>
        </w:rPr>
        <w:t xml:space="preserve">Industry, </w:t>
      </w:r>
      <w:r w:rsidRPr="003C7C34">
        <w:rPr>
          <w:rFonts w:ascii="Arial" w:hAnsi="Arial" w:cs="Arial"/>
        </w:rPr>
        <w:t xml:space="preserve">Innovation </w:t>
      </w:r>
      <w:r>
        <w:rPr>
          <w:rFonts w:ascii="Arial" w:hAnsi="Arial" w:cs="Arial"/>
        </w:rPr>
        <w:t xml:space="preserve">Science, Research and Tertiary Education </w:t>
      </w:r>
      <w:r w:rsidRPr="003C7C34">
        <w:rPr>
          <w:rFonts w:ascii="Arial" w:hAnsi="Arial" w:cs="Arial"/>
        </w:rPr>
        <w:t>and the Department of</w:t>
      </w:r>
      <w:r>
        <w:rPr>
          <w:rFonts w:ascii="Arial" w:hAnsi="Arial" w:cs="Arial"/>
        </w:rPr>
        <w:t xml:space="preserve"> Education</w:t>
      </w:r>
      <w:r w:rsidRPr="003C7C34">
        <w:rPr>
          <w:rFonts w:ascii="Arial" w:hAnsi="Arial" w:cs="Arial"/>
        </w:rPr>
        <w:t xml:space="preserve"> Employment and Workplace Relations, and numerous Deans of Education</w:t>
      </w:r>
      <w:r>
        <w:rPr>
          <w:rFonts w:ascii="Arial" w:hAnsi="Arial" w:cs="Arial"/>
        </w:rPr>
        <w:t xml:space="preserve"> </w:t>
      </w:r>
      <w:r w:rsidRPr="000F5093">
        <w:rPr>
          <w:rFonts w:ascii="Arial" w:hAnsi="Arial" w:cs="Arial"/>
        </w:rPr>
        <w:t>Deans of Science and leading discipline experts in mathematics, science and education</w:t>
      </w:r>
      <w:r w:rsidRPr="003C7C34">
        <w:rPr>
          <w:rFonts w:ascii="Arial" w:hAnsi="Arial" w:cs="Arial"/>
        </w:rPr>
        <w:t xml:space="preserve"> occurred throughout July</w:t>
      </w:r>
      <w:r>
        <w:rPr>
          <w:rFonts w:ascii="Arial" w:hAnsi="Arial" w:cs="Arial"/>
        </w:rPr>
        <w:noBreakHyphen/>
      </w:r>
      <w:r w:rsidRPr="003C7C34">
        <w:rPr>
          <w:rFonts w:ascii="Arial" w:hAnsi="Arial" w:cs="Arial"/>
        </w:rPr>
        <w:t xml:space="preserve">August 2012 to inform the development of the </w:t>
      </w:r>
      <w:r>
        <w:rPr>
          <w:rFonts w:ascii="Arial" w:hAnsi="Arial" w:cs="Arial"/>
        </w:rPr>
        <w:t>programs’</w:t>
      </w:r>
      <w:r w:rsidRPr="003C7C34">
        <w:rPr>
          <w:rFonts w:ascii="Arial" w:hAnsi="Arial" w:cs="Arial"/>
        </w:rPr>
        <w:t xml:space="preserve"> legislative guidelines and Administrative Information for Providers.</w:t>
      </w:r>
    </w:p>
    <w:p w:rsidR="00E34F99" w:rsidRPr="003C7C34" w:rsidRDefault="00E34F99" w:rsidP="00E34F99">
      <w:pPr>
        <w:spacing w:after="0"/>
        <w:rPr>
          <w:rFonts w:ascii="Arial" w:hAnsi="Arial" w:cs="Arial"/>
        </w:rPr>
      </w:pPr>
    </w:p>
    <w:p w:rsidR="00E34F99" w:rsidRDefault="00E34F99" w:rsidP="00E34F99">
      <w:pPr>
        <w:spacing w:after="0"/>
        <w:rPr>
          <w:rFonts w:ascii="Arial" w:hAnsi="Arial" w:cs="Arial"/>
          <w:b/>
          <w:u w:val="single"/>
        </w:rPr>
      </w:pPr>
      <w:r w:rsidRPr="00473828">
        <w:rPr>
          <w:rFonts w:ascii="Arial" w:hAnsi="Arial" w:cs="Arial"/>
          <w:b/>
          <w:u w:val="single"/>
        </w:rPr>
        <w:t>Detail of provisions</w:t>
      </w:r>
    </w:p>
    <w:p w:rsidR="00E34F99" w:rsidRPr="003C7C34" w:rsidRDefault="00E34F99" w:rsidP="00E34F99">
      <w:pPr>
        <w:spacing w:after="0"/>
        <w:rPr>
          <w:rFonts w:ascii="Arial" w:hAnsi="Arial" w:cs="Arial"/>
          <w:color w:val="000000"/>
        </w:rPr>
      </w:pPr>
    </w:p>
    <w:p w:rsidR="00E34F99" w:rsidRPr="00DD4C08" w:rsidRDefault="00E34F99" w:rsidP="00E34F99">
      <w:pPr>
        <w:tabs>
          <w:tab w:val="left" w:pos="0"/>
        </w:tabs>
        <w:spacing w:after="0"/>
        <w:rPr>
          <w:rFonts w:ascii="Arial" w:hAnsi="Arial" w:cs="Arial"/>
          <w:b/>
          <w:color w:val="000000"/>
        </w:rPr>
      </w:pPr>
      <w:r w:rsidRPr="00651687">
        <w:rPr>
          <w:rFonts w:ascii="Arial" w:hAnsi="Arial" w:cs="Arial"/>
          <w:b/>
          <w:color w:val="000000"/>
        </w:rPr>
        <w:t>Item 1 - Enhancing the Training of Mathematics and Science Teachers Program</w:t>
      </w:r>
    </w:p>
    <w:p w:rsidR="00E34F99" w:rsidRDefault="00E34F99" w:rsidP="00E34F99">
      <w:pPr>
        <w:tabs>
          <w:tab w:val="left" w:pos="0"/>
        </w:tabs>
        <w:spacing w:after="0"/>
        <w:rPr>
          <w:rFonts w:ascii="Arial" w:hAnsi="Arial" w:cs="Arial"/>
          <w:color w:val="000000"/>
        </w:rPr>
      </w:pPr>
    </w:p>
    <w:p w:rsidR="00E34F99" w:rsidRDefault="00E34F99" w:rsidP="00E34F99">
      <w:pPr>
        <w:tabs>
          <w:tab w:val="left" w:pos="0"/>
        </w:tabs>
        <w:spacing w:after="0"/>
        <w:rPr>
          <w:rFonts w:ascii="Arial" w:hAnsi="Arial" w:cs="Arial"/>
          <w:color w:val="000000"/>
        </w:rPr>
      </w:pPr>
      <w:r w:rsidRPr="003C7C34">
        <w:rPr>
          <w:rFonts w:ascii="Arial" w:hAnsi="Arial" w:cs="Arial"/>
          <w:color w:val="000000"/>
        </w:rPr>
        <w:t>A new program,</w:t>
      </w:r>
      <w:r>
        <w:rPr>
          <w:rFonts w:ascii="Arial" w:hAnsi="Arial" w:cs="Arial"/>
          <w:color w:val="000000"/>
        </w:rPr>
        <w:t xml:space="preserve"> the </w:t>
      </w:r>
      <w:r w:rsidRPr="00E62E13">
        <w:rPr>
          <w:rFonts w:ascii="Arial" w:hAnsi="Arial" w:cs="Arial"/>
          <w:color w:val="000000"/>
        </w:rPr>
        <w:t>Enhancing the Training of Mathematics and Science Teachers</w:t>
      </w:r>
      <w:r>
        <w:rPr>
          <w:rFonts w:ascii="Arial" w:hAnsi="Arial" w:cs="Arial"/>
          <w:color w:val="000000"/>
        </w:rPr>
        <w:t xml:space="preserve"> (ETMST)</w:t>
      </w:r>
      <w:r w:rsidRPr="00E62E13">
        <w:rPr>
          <w:rFonts w:ascii="Arial" w:hAnsi="Arial" w:cs="Arial"/>
          <w:color w:val="000000"/>
        </w:rPr>
        <w:t xml:space="preserve"> Program</w:t>
      </w:r>
      <w:r>
        <w:rPr>
          <w:rFonts w:ascii="Arial" w:hAnsi="Arial" w:cs="Arial"/>
          <w:color w:val="000000"/>
        </w:rPr>
        <w:t xml:space="preserve"> will be inserted in the </w:t>
      </w:r>
      <w:r w:rsidRPr="003C7C34">
        <w:rPr>
          <w:rFonts w:ascii="Arial" w:hAnsi="Arial" w:cs="Arial"/>
          <w:i/>
        </w:rPr>
        <w:t>Other Grants Guidelines (Education) 2012</w:t>
      </w:r>
      <w:r>
        <w:rPr>
          <w:rFonts w:ascii="Arial" w:hAnsi="Arial" w:cs="Arial"/>
          <w:i/>
        </w:rPr>
        <w:t xml:space="preserve"> </w:t>
      </w:r>
      <w:r>
        <w:rPr>
          <w:rFonts w:ascii="Arial" w:hAnsi="Arial" w:cs="Arial"/>
          <w:color w:val="000000"/>
        </w:rPr>
        <w:t>a</w:t>
      </w:r>
      <w:r w:rsidRPr="00E62E13">
        <w:rPr>
          <w:rFonts w:ascii="Arial" w:hAnsi="Arial" w:cs="Arial"/>
          <w:color w:val="000000"/>
        </w:rPr>
        <w:t>fter clause 7.105.5 of Chapter 7</w:t>
      </w:r>
      <w:r>
        <w:rPr>
          <w:rFonts w:ascii="Arial" w:hAnsi="Arial" w:cs="Arial"/>
          <w:color w:val="000000"/>
        </w:rPr>
        <w:t>.  The new clauses will operate as follows:</w:t>
      </w:r>
    </w:p>
    <w:p w:rsidR="00E34F99" w:rsidRDefault="00E34F99" w:rsidP="00E34F99">
      <w:pPr>
        <w:tabs>
          <w:tab w:val="left" w:pos="0"/>
        </w:tabs>
        <w:spacing w:after="0"/>
        <w:rPr>
          <w:rFonts w:ascii="Arial" w:hAnsi="Arial" w:cs="Arial"/>
          <w:color w:val="000000"/>
        </w:rPr>
      </w:pPr>
    </w:p>
    <w:p w:rsidR="00E34F99" w:rsidRDefault="00E34F99" w:rsidP="00E34F99">
      <w:pPr>
        <w:numPr>
          <w:ilvl w:val="2"/>
          <w:numId w:val="3"/>
        </w:numPr>
        <w:tabs>
          <w:tab w:val="clear" w:pos="795"/>
          <w:tab w:val="left" w:pos="0"/>
          <w:tab w:val="num" w:pos="1080"/>
        </w:tabs>
        <w:spacing w:after="0" w:line="276" w:lineRule="auto"/>
        <w:ind w:left="1080" w:hanging="1080"/>
        <w:rPr>
          <w:rFonts w:ascii="Arial" w:hAnsi="Arial" w:cs="Arial"/>
          <w:color w:val="000000"/>
        </w:rPr>
      </w:pPr>
      <w:r>
        <w:rPr>
          <w:rFonts w:ascii="Arial" w:hAnsi="Arial" w:cs="Arial"/>
          <w:color w:val="000000"/>
        </w:rPr>
        <w:t xml:space="preserve">States that the purpose of the new section in Chapter 7 is </w:t>
      </w:r>
      <w:r w:rsidRPr="00E62E13">
        <w:rPr>
          <w:rFonts w:ascii="Arial" w:hAnsi="Arial" w:cs="Arial"/>
          <w:color w:val="000000"/>
        </w:rPr>
        <w:t>to establish</w:t>
      </w:r>
      <w:r>
        <w:rPr>
          <w:rFonts w:ascii="Arial" w:hAnsi="Arial" w:cs="Arial"/>
          <w:color w:val="000000"/>
        </w:rPr>
        <w:t xml:space="preserve"> the</w:t>
      </w:r>
      <w:r w:rsidRPr="00E62E13">
        <w:rPr>
          <w:rFonts w:ascii="Arial" w:hAnsi="Arial" w:cs="Arial"/>
          <w:color w:val="000000"/>
        </w:rPr>
        <w:t xml:space="preserve"> ETMST Program</w:t>
      </w:r>
      <w:r>
        <w:rPr>
          <w:rFonts w:ascii="Arial" w:hAnsi="Arial" w:cs="Arial"/>
          <w:color w:val="000000"/>
        </w:rPr>
        <w:t xml:space="preserve"> for the purposes of assuring and enhancing the quality of Australia’s higher education sector in accordance with the Act.</w:t>
      </w:r>
      <w:r>
        <w:rPr>
          <w:rFonts w:ascii="Arial" w:hAnsi="Arial" w:cs="Arial"/>
          <w:color w:val="000000"/>
        </w:rPr>
        <w:br/>
      </w:r>
    </w:p>
    <w:p w:rsidR="00E34F99" w:rsidRDefault="00E34F99" w:rsidP="00E34F99">
      <w:pPr>
        <w:numPr>
          <w:ilvl w:val="2"/>
          <w:numId w:val="2"/>
        </w:numPr>
        <w:tabs>
          <w:tab w:val="clear" w:pos="795"/>
          <w:tab w:val="left" w:pos="0"/>
          <w:tab w:val="num" w:pos="1080"/>
        </w:tabs>
        <w:spacing w:after="0" w:line="276" w:lineRule="auto"/>
        <w:ind w:left="1080" w:hanging="1080"/>
        <w:rPr>
          <w:rFonts w:ascii="Arial" w:hAnsi="Arial" w:cs="Arial"/>
          <w:color w:val="000000"/>
        </w:rPr>
      </w:pPr>
      <w:r>
        <w:rPr>
          <w:rFonts w:ascii="Arial" w:hAnsi="Arial" w:cs="Arial"/>
          <w:color w:val="000000"/>
        </w:rPr>
        <w:lastRenderedPageBreak/>
        <w:t>Provides</w:t>
      </w:r>
      <w:r w:rsidRPr="003C7C34">
        <w:rPr>
          <w:rFonts w:ascii="Arial" w:hAnsi="Arial" w:cs="Arial"/>
          <w:color w:val="000000"/>
        </w:rPr>
        <w:t xml:space="preserve"> that the objective of the</w:t>
      </w:r>
      <w:r>
        <w:rPr>
          <w:rFonts w:ascii="Arial" w:hAnsi="Arial" w:cs="Arial"/>
          <w:color w:val="000000"/>
        </w:rPr>
        <w:t xml:space="preserve"> ETMST Program is to drive a major improvement in the quality of mathematics and science teachers by supporting teaching training programs where faculties, schools or departments of science, mathematics and education collaborate on course design and delivery and focus on combining content and pedagogy so that mathematics and science are taught as dynamic, forward-looking and collaborative human endeavours.</w:t>
      </w:r>
      <w:r>
        <w:rPr>
          <w:rFonts w:ascii="Arial" w:hAnsi="Arial" w:cs="Arial"/>
          <w:color w:val="000000"/>
        </w:rPr>
        <w:br/>
      </w:r>
    </w:p>
    <w:p w:rsidR="00E34F99" w:rsidRDefault="00E34F99" w:rsidP="00E34F99">
      <w:pPr>
        <w:numPr>
          <w:ilvl w:val="2"/>
          <w:numId w:val="4"/>
        </w:numPr>
        <w:tabs>
          <w:tab w:val="clear" w:pos="795"/>
          <w:tab w:val="left" w:pos="0"/>
          <w:tab w:val="num" w:pos="1080"/>
        </w:tabs>
        <w:spacing w:after="0" w:line="276" w:lineRule="auto"/>
        <w:ind w:left="1080" w:hanging="1080"/>
        <w:rPr>
          <w:rFonts w:ascii="Arial" w:hAnsi="Arial" w:cs="Arial"/>
          <w:color w:val="000000"/>
        </w:rPr>
      </w:pPr>
      <w:r>
        <w:rPr>
          <w:rFonts w:ascii="Arial" w:hAnsi="Arial" w:cs="Arial"/>
          <w:color w:val="000000"/>
        </w:rPr>
        <w:t xml:space="preserve">Identifies </w:t>
      </w:r>
      <w:r w:rsidRPr="003C7C34">
        <w:rPr>
          <w:rFonts w:ascii="Arial" w:hAnsi="Arial" w:cs="Arial"/>
          <w:color w:val="000000"/>
        </w:rPr>
        <w:t>those higher education providers which are eligible to</w:t>
      </w:r>
      <w:r>
        <w:rPr>
          <w:rFonts w:ascii="Arial" w:hAnsi="Arial" w:cs="Arial"/>
          <w:color w:val="000000"/>
        </w:rPr>
        <w:t xml:space="preserve"> apply for grants under </w:t>
      </w:r>
      <w:r w:rsidRPr="003C7C34">
        <w:rPr>
          <w:rFonts w:ascii="Arial" w:hAnsi="Arial" w:cs="Arial"/>
          <w:color w:val="000000"/>
        </w:rPr>
        <w:t>the</w:t>
      </w:r>
      <w:r>
        <w:rPr>
          <w:rFonts w:ascii="Arial" w:hAnsi="Arial" w:cs="Arial"/>
          <w:color w:val="000000"/>
        </w:rPr>
        <w:t xml:space="preserve"> ETMST Program.</w:t>
      </w:r>
      <w:r>
        <w:rPr>
          <w:rFonts w:ascii="Arial" w:hAnsi="Arial" w:cs="Arial"/>
          <w:color w:val="000000"/>
        </w:rPr>
        <w:br/>
      </w:r>
    </w:p>
    <w:p w:rsidR="00E34F99" w:rsidRDefault="00E34F99" w:rsidP="00E34F99">
      <w:pPr>
        <w:numPr>
          <w:ilvl w:val="2"/>
          <w:numId w:val="5"/>
        </w:numPr>
        <w:tabs>
          <w:tab w:val="clear" w:pos="795"/>
          <w:tab w:val="left" w:pos="0"/>
          <w:tab w:val="num" w:pos="1080"/>
        </w:tabs>
        <w:spacing w:after="0" w:line="276" w:lineRule="auto"/>
        <w:ind w:left="1080" w:hanging="1080"/>
        <w:rPr>
          <w:rFonts w:ascii="Arial" w:hAnsi="Arial" w:cs="Arial"/>
          <w:color w:val="000000"/>
        </w:rPr>
      </w:pPr>
      <w:r>
        <w:rPr>
          <w:rFonts w:ascii="Arial" w:hAnsi="Arial" w:cs="Arial"/>
          <w:color w:val="000000"/>
        </w:rPr>
        <w:t>Provides</w:t>
      </w:r>
      <w:r w:rsidRPr="003C7C34">
        <w:rPr>
          <w:rFonts w:ascii="Arial" w:hAnsi="Arial" w:cs="Arial"/>
          <w:color w:val="000000"/>
        </w:rPr>
        <w:t xml:space="preserve"> that the total amount of funds available for allocation under the </w:t>
      </w:r>
      <w:r>
        <w:rPr>
          <w:rFonts w:ascii="Arial" w:hAnsi="Arial" w:cs="Arial"/>
          <w:color w:val="000000"/>
        </w:rPr>
        <w:t>ETMST Program</w:t>
      </w:r>
      <w:r w:rsidRPr="003C7C34">
        <w:rPr>
          <w:rFonts w:ascii="Arial" w:hAnsi="Arial" w:cs="Arial"/>
          <w:color w:val="000000"/>
        </w:rPr>
        <w:t xml:space="preserve"> in any given year is referred to as the “</w:t>
      </w:r>
      <w:r>
        <w:rPr>
          <w:rFonts w:ascii="Arial" w:hAnsi="Arial" w:cs="Arial"/>
          <w:color w:val="000000"/>
        </w:rPr>
        <w:t xml:space="preserve">ETMST </w:t>
      </w:r>
      <w:r w:rsidRPr="003C7C34">
        <w:rPr>
          <w:rFonts w:ascii="Arial" w:hAnsi="Arial" w:cs="Arial"/>
          <w:color w:val="000000"/>
        </w:rPr>
        <w:t>Allocation</w:t>
      </w:r>
      <w:r>
        <w:rPr>
          <w:rFonts w:ascii="Arial" w:hAnsi="Arial" w:cs="Arial"/>
          <w:color w:val="000000"/>
        </w:rPr>
        <w:t>.</w:t>
      </w:r>
      <w:r w:rsidRPr="003C7C34">
        <w:rPr>
          <w:rFonts w:ascii="Arial" w:hAnsi="Arial" w:cs="Arial"/>
          <w:color w:val="000000"/>
        </w:rPr>
        <w:t>”</w:t>
      </w:r>
      <w:r>
        <w:rPr>
          <w:rFonts w:ascii="Arial" w:hAnsi="Arial" w:cs="Arial"/>
          <w:color w:val="000000"/>
        </w:rPr>
        <w:br/>
      </w:r>
    </w:p>
    <w:p w:rsidR="00E34F99" w:rsidRDefault="00E34F99" w:rsidP="00E34F99">
      <w:pPr>
        <w:numPr>
          <w:ilvl w:val="2"/>
          <w:numId w:val="6"/>
        </w:numPr>
        <w:tabs>
          <w:tab w:val="clear" w:pos="795"/>
          <w:tab w:val="left" w:pos="0"/>
          <w:tab w:val="num" w:pos="1080"/>
        </w:tabs>
        <w:spacing w:after="0" w:line="276" w:lineRule="auto"/>
        <w:ind w:left="1080" w:hanging="1080"/>
        <w:rPr>
          <w:rFonts w:ascii="Arial" w:hAnsi="Arial" w:cs="Arial"/>
          <w:color w:val="000000"/>
        </w:rPr>
      </w:pPr>
      <w:r>
        <w:rPr>
          <w:rFonts w:ascii="Arial" w:hAnsi="Arial" w:cs="Arial"/>
          <w:color w:val="000000"/>
        </w:rPr>
        <w:t>States</w:t>
      </w:r>
      <w:r w:rsidRPr="003C7C34">
        <w:rPr>
          <w:rFonts w:ascii="Arial" w:hAnsi="Arial" w:cs="Arial"/>
          <w:color w:val="000000"/>
        </w:rPr>
        <w:t xml:space="preserve"> that the total </w:t>
      </w:r>
      <w:r>
        <w:rPr>
          <w:rFonts w:ascii="Arial" w:hAnsi="Arial" w:cs="Arial"/>
          <w:color w:val="000000"/>
        </w:rPr>
        <w:t xml:space="preserve">ETMST </w:t>
      </w:r>
      <w:r w:rsidRPr="003C7C34">
        <w:rPr>
          <w:rFonts w:ascii="Arial" w:hAnsi="Arial" w:cs="Arial"/>
          <w:color w:val="000000"/>
        </w:rPr>
        <w:t>Allocation</w:t>
      </w:r>
      <w:r>
        <w:rPr>
          <w:rFonts w:ascii="Arial" w:hAnsi="Arial" w:cs="Arial"/>
          <w:color w:val="000000"/>
        </w:rPr>
        <w:t xml:space="preserve"> will be $12,408,620</w:t>
      </w:r>
      <w:r w:rsidRPr="003C7C34">
        <w:rPr>
          <w:rFonts w:ascii="Arial" w:hAnsi="Arial" w:cs="Arial"/>
          <w:color w:val="000000"/>
        </w:rPr>
        <w:t xml:space="preserve"> for the period 201</w:t>
      </w:r>
      <w:r>
        <w:rPr>
          <w:rFonts w:ascii="Arial" w:hAnsi="Arial" w:cs="Arial"/>
          <w:color w:val="000000"/>
        </w:rPr>
        <w:t>4</w:t>
      </w:r>
      <w:r w:rsidRPr="003C7C34">
        <w:rPr>
          <w:rFonts w:ascii="Arial" w:hAnsi="Arial" w:cs="Arial"/>
          <w:color w:val="000000"/>
        </w:rPr>
        <w:noBreakHyphen/>
        <w:t>2016.</w:t>
      </w:r>
    </w:p>
    <w:p w:rsidR="00E34F99" w:rsidRDefault="00E34F99" w:rsidP="00E34F99">
      <w:pPr>
        <w:tabs>
          <w:tab w:val="left" w:pos="0"/>
        </w:tabs>
        <w:spacing w:after="0" w:line="276" w:lineRule="auto"/>
        <w:ind w:left="1080"/>
        <w:rPr>
          <w:rFonts w:ascii="Arial" w:hAnsi="Arial" w:cs="Arial"/>
          <w:color w:val="000000"/>
        </w:rPr>
      </w:pPr>
    </w:p>
    <w:p w:rsidR="00E34F99" w:rsidRDefault="00E34F99" w:rsidP="00E34F99">
      <w:pPr>
        <w:numPr>
          <w:ilvl w:val="2"/>
          <w:numId w:val="8"/>
        </w:numPr>
        <w:tabs>
          <w:tab w:val="left" w:pos="0"/>
        </w:tabs>
        <w:spacing w:after="0" w:line="276" w:lineRule="auto"/>
        <w:ind w:left="1080" w:hanging="1080"/>
        <w:rPr>
          <w:rFonts w:ascii="Arial" w:hAnsi="Arial" w:cs="Arial"/>
          <w:color w:val="000000"/>
        </w:rPr>
      </w:pPr>
      <w:r>
        <w:rPr>
          <w:rFonts w:ascii="Arial" w:hAnsi="Arial" w:cs="Arial"/>
          <w:color w:val="000000"/>
        </w:rPr>
        <w:t>S</w:t>
      </w:r>
      <w:r w:rsidRPr="003C7C34">
        <w:rPr>
          <w:rFonts w:ascii="Arial" w:hAnsi="Arial" w:cs="Arial"/>
          <w:color w:val="000000"/>
        </w:rPr>
        <w:t>tates the method by which indexation will be applied to the Allocation</w:t>
      </w:r>
      <w:r>
        <w:rPr>
          <w:rFonts w:ascii="Arial" w:hAnsi="Arial" w:cs="Arial"/>
          <w:color w:val="000000"/>
        </w:rPr>
        <w:br/>
      </w:r>
    </w:p>
    <w:p w:rsidR="00E34F99" w:rsidRPr="007D410E" w:rsidRDefault="00E34F99" w:rsidP="00E34F99">
      <w:pPr>
        <w:numPr>
          <w:ilvl w:val="2"/>
          <w:numId w:val="7"/>
        </w:numPr>
        <w:tabs>
          <w:tab w:val="clear" w:pos="930"/>
          <w:tab w:val="left" w:pos="0"/>
          <w:tab w:val="num" w:pos="1080"/>
        </w:tabs>
        <w:spacing w:after="0" w:line="276" w:lineRule="auto"/>
        <w:ind w:left="1080" w:hanging="1080"/>
        <w:rPr>
          <w:rFonts w:ascii="Arial" w:hAnsi="Arial" w:cs="Arial"/>
          <w:color w:val="000000"/>
        </w:rPr>
      </w:pPr>
      <w:r w:rsidRPr="007D410E">
        <w:rPr>
          <w:rFonts w:ascii="Arial" w:hAnsi="Arial" w:cs="Arial"/>
          <w:color w:val="000000"/>
        </w:rPr>
        <w:t xml:space="preserve">States that the grant, the amount of the grant, as well as any conditions on which the grant is made, </w:t>
      </w:r>
      <w:proofErr w:type="gramStart"/>
      <w:r w:rsidRPr="007D410E">
        <w:rPr>
          <w:rFonts w:ascii="Arial" w:hAnsi="Arial" w:cs="Arial"/>
          <w:color w:val="000000"/>
        </w:rPr>
        <w:t>are</w:t>
      </w:r>
      <w:proofErr w:type="gramEnd"/>
      <w:r w:rsidRPr="007D410E">
        <w:rPr>
          <w:rFonts w:ascii="Arial" w:hAnsi="Arial" w:cs="Arial"/>
          <w:color w:val="000000"/>
        </w:rPr>
        <w:t xml:space="preserve"> subject to the Minister’s approval.</w:t>
      </w:r>
      <w:r w:rsidRPr="007D410E">
        <w:rPr>
          <w:rFonts w:ascii="Arial" w:hAnsi="Arial" w:cs="Arial"/>
          <w:color w:val="000000"/>
        </w:rPr>
        <w:br/>
      </w:r>
    </w:p>
    <w:p w:rsidR="00E34F99" w:rsidRPr="00DD4C08" w:rsidRDefault="00E34F99" w:rsidP="00E34F99">
      <w:pPr>
        <w:tabs>
          <w:tab w:val="left" w:pos="0"/>
        </w:tabs>
        <w:spacing w:after="0"/>
        <w:rPr>
          <w:rFonts w:ascii="Arial" w:hAnsi="Arial" w:cs="Arial"/>
          <w:b/>
          <w:color w:val="000000"/>
        </w:rPr>
      </w:pPr>
      <w:r>
        <w:rPr>
          <w:rFonts w:ascii="Arial" w:hAnsi="Arial" w:cs="Arial"/>
          <w:b/>
          <w:color w:val="000000"/>
        </w:rPr>
        <w:t xml:space="preserve">Item 2 - </w:t>
      </w:r>
      <w:r w:rsidRPr="00DD4C08">
        <w:rPr>
          <w:rFonts w:ascii="Arial" w:hAnsi="Arial" w:cs="Arial"/>
          <w:b/>
          <w:color w:val="000000"/>
        </w:rPr>
        <w:t>Australian Maths and Science Partnerships Program</w:t>
      </w:r>
    </w:p>
    <w:p w:rsidR="00E34F99" w:rsidRDefault="00E34F99" w:rsidP="00E34F99">
      <w:pPr>
        <w:tabs>
          <w:tab w:val="left" w:pos="0"/>
        </w:tabs>
        <w:spacing w:after="0"/>
        <w:rPr>
          <w:rFonts w:ascii="Arial" w:hAnsi="Arial" w:cs="Arial"/>
          <w:color w:val="000000"/>
        </w:rPr>
      </w:pPr>
    </w:p>
    <w:p w:rsidR="00E34F99" w:rsidRPr="003C7C34" w:rsidRDefault="00E34F99" w:rsidP="00E34F99">
      <w:pPr>
        <w:tabs>
          <w:tab w:val="left" w:pos="0"/>
        </w:tabs>
        <w:spacing w:after="0"/>
        <w:rPr>
          <w:rFonts w:ascii="Arial" w:hAnsi="Arial" w:cs="Arial"/>
          <w:color w:val="000000"/>
        </w:rPr>
      </w:pPr>
      <w:r w:rsidRPr="00651687">
        <w:rPr>
          <w:rFonts w:ascii="Arial" w:hAnsi="Arial" w:cs="Arial"/>
          <w:b/>
          <w:color w:val="000000"/>
        </w:rPr>
        <w:t>Item 2</w:t>
      </w:r>
      <w:r>
        <w:rPr>
          <w:rFonts w:ascii="Arial" w:hAnsi="Arial" w:cs="Arial"/>
          <w:color w:val="000000"/>
        </w:rPr>
        <w:t xml:space="preserve"> inserts a</w:t>
      </w:r>
      <w:r w:rsidRPr="003C7C34">
        <w:rPr>
          <w:rFonts w:ascii="Arial" w:hAnsi="Arial" w:cs="Arial"/>
          <w:color w:val="000000"/>
        </w:rPr>
        <w:t xml:space="preserve"> new program, the Australian Maths and Science Partnership Program (AMSPP)</w:t>
      </w:r>
      <w:r>
        <w:rPr>
          <w:rFonts w:ascii="Arial" w:hAnsi="Arial" w:cs="Arial"/>
          <w:color w:val="000000"/>
        </w:rPr>
        <w:t>,</w:t>
      </w:r>
      <w:r w:rsidRPr="003C7C34">
        <w:rPr>
          <w:rFonts w:ascii="Arial" w:hAnsi="Arial" w:cs="Arial"/>
          <w:color w:val="000000"/>
        </w:rPr>
        <w:t xml:space="preserve"> </w:t>
      </w:r>
      <w:r>
        <w:rPr>
          <w:rFonts w:ascii="Arial" w:hAnsi="Arial" w:cs="Arial"/>
          <w:color w:val="000000"/>
        </w:rPr>
        <w:t>as new</w:t>
      </w:r>
      <w:r w:rsidRPr="003C7C34">
        <w:rPr>
          <w:rFonts w:ascii="Arial" w:hAnsi="Arial" w:cs="Arial"/>
          <w:color w:val="000000"/>
        </w:rPr>
        <w:t xml:space="preserve"> Chapter 7</w:t>
      </w:r>
      <w:r>
        <w:rPr>
          <w:rFonts w:ascii="Arial" w:hAnsi="Arial" w:cs="Arial"/>
          <w:color w:val="000000"/>
        </w:rPr>
        <w:t>B, which provides</w:t>
      </w:r>
      <w:r w:rsidRPr="003C7C34">
        <w:rPr>
          <w:rFonts w:ascii="Arial" w:hAnsi="Arial" w:cs="Arial"/>
          <w:color w:val="000000"/>
        </w:rPr>
        <w:t xml:space="preserve"> as follows:</w:t>
      </w:r>
    </w:p>
    <w:p w:rsidR="00E34F99" w:rsidRPr="003C7C34" w:rsidRDefault="00E34F99" w:rsidP="00E34F99">
      <w:pPr>
        <w:tabs>
          <w:tab w:val="left" w:pos="993"/>
        </w:tabs>
        <w:spacing w:after="0"/>
        <w:ind w:left="993" w:hanging="993"/>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r>
        <w:rPr>
          <w:rFonts w:ascii="Arial" w:hAnsi="Arial" w:cs="Arial"/>
          <w:color w:val="000000"/>
        </w:rPr>
        <w:t>7B.1.1</w:t>
      </w:r>
      <w:r>
        <w:rPr>
          <w:rFonts w:ascii="Arial" w:hAnsi="Arial" w:cs="Arial"/>
          <w:color w:val="000000"/>
        </w:rPr>
        <w:tab/>
        <w:t>States that the purpose of new Chapter 7B is to establish the AMSPP in order to foster an understanding of the importance of, and promoting the research and scholarship in science, social science and humanities in Australia in accordance with Act.</w:t>
      </w:r>
    </w:p>
    <w:p w:rsidR="00E34F99" w:rsidRDefault="00E34F99" w:rsidP="00E34F99">
      <w:pPr>
        <w:tabs>
          <w:tab w:val="left" w:pos="1080"/>
        </w:tabs>
        <w:spacing w:after="0"/>
        <w:ind w:left="1080" w:hanging="1080"/>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r>
        <w:rPr>
          <w:rFonts w:ascii="Arial" w:hAnsi="Arial" w:cs="Arial"/>
          <w:color w:val="000000"/>
        </w:rPr>
        <w:t>7B.5.1</w:t>
      </w:r>
      <w:r>
        <w:rPr>
          <w:rFonts w:ascii="Arial" w:hAnsi="Arial" w:cs="Arial"/>
          <w:color w:val="000000"/>
        </w:rPr>
        <w:tab/>
        <w:t>States</w:t>
      </w:r>
      <w:r w:rsidRPr="003C7C34">
        <w:rPr>
          <w:rFonts w:ascii="Arial" w:hAnsi="Arial" w:cs="Arial"/>
          <w:color w:val="000000"/>
        </w:rPr>
        <w:t xml:space="preserve"> that the objective of the AMSPP is</w:t>
      </w:r>
      <w:r>
        <w:rPr>
          <w:rFonts w:ascii="Arial" w:hAnsi="Arial" w:cs="Arial"/>
          <w:color w:val="000000"/>
        </w:rPr>
        <w:t xml:space="preserve"> to provide funding to support innovative partnerships between universities, schools and other organisations</w:t>
      </w:r>
      <w:r w:rsidRPr="003C7C34">
        <w:rPr>
          <w:rFonts w:ascii="Arial" w:hAnsi="Arial" w:cs="Arial"/>
          <w:color w:val="000000"/>
        </w:rPr>
        <w:t xml:space="preserve"> to improve secondary students’ engagement in maths and science and increase the number of students participating in mathematics and science undergraduate courses.</w:t>
      </w:r>
    </w:p>
    <w:p w:rsidR="00E34F99" w:rsidRDefault="00E34F99" w:rsidP="00E34F99">
      <w:pPr>
        <w:tabs>
          <w:tab w:val="left" w:pos="1080"/>
        </w:tabs>
        <w:spacing w:after="0"/>
        <w:ind w:left="1080" w:hanging="1080"/>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r>
        <w:rPr>
          <w:rFonts w:ascii="Arial" w:hAnsi="Arial" w:cs="Arial"/>
          <w:color w:val="000000"/>
        </w:rPr>
        <w:t>7B.10.1</w:t>
      </w:r>
      <w:r w:rsidRPr="003C7C34">
        <w:rPr>
          <w:rFonts w:ascii="Arial" w:hAnsi="Arial" w:cs="Arial"/>
          <w:color w:val="000000"/>
        </w:rPr>
        <w:tab/>
      </w:r>
      <w:proofErr w:type="gramStart"/>
      <w:r w:rsidRPr="003C7C34">
        <w:rPr>
          <w:rFonts w:ascii="Arial" w:hAnsi="Arial" w:cs="Arial"/>
          <w:color w:val="000000"/>
        </w:rPr>
        <w:t>Identifies</w:t>
      </w:r>
      <w:proofErr w:type="gramEnd"/>
      <w:r w:rsidRPr="003C7C34">
        <w:rPr>
          <w:rFonts w:ascii="Arial" w:hAnsi="Arial" w:cs="Arial"/>
          <w:color w:val="000000"/>
        </w:rPr>
        <w:t xml:space="preserve"> those higher education providers which are eligible to receive AMSPP funding.</w:t>
      </w:r>
    </w:p>
    <w:p w:rsidR="00E34F99" w:rsidRDefault="00E34F99" w:rsidP="00E34F99">
      <w:pPr>
        <w:tabs>
          <w:tab w:val="left" w:pos="1080"/>
        </w:tabs>
        <w:spacing w:after="0"/>
        <w:ind w:left="1080" w:hanging="1080"/>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r>
        <w:rPr>
          <w:rFonts w:ascii="Arial" w:hAnsi="Arial" w:cs="Arial"/>
          <w:color w:val="000000"/>
        </w:rPr>
        <w:t>7B.15.1</w:t>
      </w:r>
      <w:r w:rsidRPr="003C7C34">
        <w:rPr>
          <w:rFonts w:ascii="Arial" w:hAnsi="Arial" w:cs="Arial"/>
          <w:color w:val="000000"/>
        </w:rPr>
        <w:tab/>
        <w:t>States that the total amount of funds available for allocation under the AMSPP in any given year is referred to as the “</w:t>
      </w:r>
      <w:r>
        <w:rPr>
          <w:rFonts w:ascii="Arial" w:hAnsi="Arial" w:cs="Arial"/>
          <w:color w:val="000000"/>
        </w:rPr>
        <w:t xml:space="preserve">AMSPP </w:t>
      </w:r>
      <w:r w:rsidRPr="003C7C34">
        <w:rPr>
          <w:rFonts w:ascii="Arial" w:hAnsi="Arial" w:cs="Arial"/>
          <w:color w:val="000000"/>
        </w:rPr>
        <w:t>Allocation</w:t>
      </w:r>
      <w:r>
        <w:rPr>
          <w:rFonts w:ascii="Arial" w:hAnsi="Arial" w:cs="Arial"/>
          <w:color w:val="000000"/>
        </w:rPr>
        <w:t>.</w:t>
      </w:r>
      <w:r w:rsidRPr="003C7C34">
        <w:rPr>
          <w:rFonts w:ascii="Arial" w:hAnsi="Arial" w:cs="Arial"/>
          <w:color w:val="000000"/>
        </w:rPr>
        <w:t>”</w:t>
      </w:r>
    </w:p>
    <w:p w:rsidR="00E34F99" w:rsidRDefault="00E34F99" w:rsidP="00E34F99">
      <w:pPr>
        <w:tabs>
          <w:tab w:val="left" w:pos="1080"/>
        </w:tabs>
        <w:spacing w:after="0"/>
        <w:ind w:left="1080" w:hanging="1080"/>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r>
        <w:rPr>
          <w:rFonts w:ascii="Arial" w:hAnsi="Arial" w:cs="Arial"/>
          <w:color w:val="000000"/>
        </w:rPr>
        <w:t>7B.15.5</w:t>
      </w:r>
      <w:r w:rsidRPr="003C7C34">
        <w:rPr>
          <w:rFonts w:ascii="Arial" w:hAnsi="Arial" w:cs="Arial"/>
          <w:color w:val="000000"/>
        </w:rPr>
        <w:tab/>
      </w:r>
      <w:r>
        <w:rPr>
          <w:rFonts w:ascii="Arial" w:hAnsi="Arial" w:cs="Arial"/>
          <w:color w:val="000000"/>
        </w:rPr>
        <w:t>States</w:t>
      </w:r>
      <w:r w:rsidRPr="003C7C34">
        <w:rPr>
          <w:rFonts w:ascii="Arial" w:hAnsi="Arial" w:cs="Arial"/>
          <w:color w:val="000000"/>
        </w:rPr>
        <w:t xml:space="preserve"> that the total </w:t>
      </w:r>
      <w:r>
        <w:rPr>
          <w:rFonts w:ascii="Arial" w:hAnsi="Arial" w:cs="Arial"/>
          <w:color w:val="000000"/>
        </w:rPr>
        <w:t>AMSPP</w:t>
      </w:r>
      <w:r w:rsidRPr="003C7C34">
        <w:rPr>
          <w:rFonts w:ascii="Arial" w:hAnsi="Arial" w:cs="Arial"/>
          <w:color w:val="000000"/>
        </w:rPr>
        <w:t xml:space="preserve"> Allocation will be $2</w:t>
      </w:r>
      <w:r>
        <w:rPr>
          <w:rFonts w:ascii="Arial" w:hAnsi="Arial" w:cs="Arial"/>
          <w:color w:val="000000"/>
        </w:rPr>
        <w:t>2.3 million</w:t>
      </w:r>
      <w:r w:rsidRPr="003C7C34">
        <w:rPr>
          <w:rFonts w:ascii="Arial" w:hAnsi="Arial" w:cs="Arial"/>
          <w:color w:val="000000"/>
        </w:rPr>
        <w:t xml:space="preserve"> for the period 2013</w:t>
      </w:r>
      <w:r w:rsidRPr="003C7C34">
        <w:rPr>
          <w:rFonts w:ascii="Arial" w:hAnsi="Arial" w:cs="Arial"/>
          <w:color w:val="000000"/>
        </w:rPr>
        <w:noBreakHyphen/>
        <w:t>2016.</w:t>
      </w:r>
    </w:p>
    <w:p w:rsidR="00E34F99" w:rsidRDefault="00E34F99" w:rsidP="00E34F99">
      <w:pPr>
        <w:tabs>
          <w:tab w:val="left" w:pos="1080"/>
        </w:tabs>
        <w:spacing w:after="0"/>
        <w:ind w:left="1080" w:hanging="1080"/>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proofErr w:type="gramStart"/>
      <w:r>
        <w:rPr>
          <w:rFonts w:ascii="Arial" w:hAnsi="Arial" w:cs="Arial"/>
          <w:color w:val="000000"/>
        </w:rPr>
        <w:t>7B.15.10</w:t>
      </w:r>
      <w:r w:rsidRPr="003C7C34">
        <w:rPr>
          <w:rFonts w:ascii="Arial" w:hAnsi="Arial" w:cs="Arial"/>
          <w:color w:val="000000"/>
        </w:rPr>
        <w:tab/>
        <w:t>States the method by which indexation will be applied to the AMSPP Allocation.</w:t>
      </w:r>
      <w:proofErr w:type="gramEnd"/>
    </w:p>
    <w:p w:rsidR="00E34F99" w:rsidRDefault="00E34F99" w:rsidP="00E34F99">
      <w:pPr>
        <w:tabs>
          <w:tab w:val="left" w:pos="1080"/>
        </w:tabs>
        <w:spacing w:after="0"/>
        <w:ind w:left="1080" w:hanging="1080"/>
        <w:rPr>
          <w:rFonts w:ascii="Arial" w:hAnsi="Arial" w:cs="Arial"/>
          <w:color w:val="000000"/>
        </w:rPr>
      </w:pPr>
    </w:p>
    <w:p w:rsidR="00E34F99" w:rsidRDefault="00E34F99" w:rsidP="00E34F99">
      <w:pPr>
        <w:tabs>
          <w:tab w:val="left" w:pos="1080"/>
        </w:tabs>
        <w:spacing w:after="0"/>
        <w:ind w:left="1080" w:hanging="1080"/>
        <w:rPr>
          <w:rFonts w:ascii="Arial" w:hAnsi="Arial" w:cs="Arial"/>
          <w:color w:val="000000"/>
        </w:rPr>
      </w:pPr>
      <w:r>
        <w:rPr>
          <w:rFonts w:ascii="Arial" w:hAnsi="Arial" w:cs="Arial"/>
          <w:color w:val="000000"/>
        </w:rPr>
        <w:t>7B.20.1</w:t>
      </w:r>
      <w:r w:rsidRPr="003C7C34">
        <w:rPr>
          <w:rFonts w:ascii="Arial" w:hAnsi="Arial" w:cs="Arial"/>
          <w:color w:val="000000"/>
        </w:rPr>
        <w:tab/>
      </w:r>
      <w:r>
        <w:rPr>
          <w:rFonts w:ascii="Arial" w:hAnsi="Arial" w:cs="Arial"/>
          <w:color w:val="000000"/>
        </w:rPr>
        <w:t>States that an AMSPP grant, the amount of the grant, as well as any conditions on which the grant is made, is subject to the Minister’s approval in accordance with the Act</w:t>
      </w:r>
      <w:r w:rsidRPr="003C7C34">
        <w:rPr>
          <w:rFonts w:ascii="Arial" w:hAnsi="Arial" w:cs="Arial"/>
          <w:color w:val="000000"/>
        </w:rPr>
        <w:t>.</w:t>
      </w:r>
    </w:p>
    <w:p w:rsidR="00E34F99" w:rsidRDefault="00E34F99" w:rsidP="00E34F99">
      <w:pPr>
        <w:spacing w:after="0"/>
        <w:jc w:val="center"/>
        <w:rPr>
          <w:b/>
          <w:sz w:val="28"/>
          <w:szCs w:val="28"/>
        </w:rPr>
      </w:pPr>
    </w:p>
    <w:p w:rsidR="00E34F99" w:rsidRDefault="00E34F99" w:rsidP="00E34F99">
      <w:pPr>
        <w:spacing w:after="0"/>
        <w:jc w:val="center"/>
        <w:rPr>
          <w:b/>
          <w:sz w:val="28"/>
          <w:szCs w:val="28"/>
        </w:rPr>
      </w:pPr>
      <w:r>
        <w:rPr>
          <w:b/>
          <w:sz w:val="28"/>
          <w:szCs w:val="28"/>
        </w:rPr>
        <w:br w:type="page"/>
      </w:r>
    </w:p>
    <w:p w:rsidR="00E34F99" w:rsidRPr="00D664E6" w:rsidRDefault="00E34F99" w:rsidP="00E34F99">
      <w:pPr>
        <w:spacing w:before="360" w:after="120"/>
        <w:jc w:val="center"/>
        <w:rPr>
          <w:b/>
          <w:sz w:val="28"/>
          <w:szCs w:val="28"/>
        </w:rPr>
      </w:pPr>
      <w:r w:rsidRPr="00D664E6">
        <w:rPr>
          <w:b/>
          <w:sz w:val="28"/>
          <w:szCs w:val="28"/>
        </w:rPr>
        <w:lastRenderedPageBreak/>
        <w:t>Statement of Compatibility with Human Rights</w:t>
      </w:r>
    </w:p>
    <w:p w:rsidR="00E34F99" w:rsidRPr="00D664E6" w:rsidRDefault="00E34F99" w:rsidP="00E34F99">
      <w:pPr>
        <w:spacing w:before="120" w:after="120"/>
        <w:jc w:val="center"/>
      </w:pPr>
      <w:r w:rsidRPr="00D664E6">
        <w:rPr>
          <w:i/>
        </w:rPr>
        <w:t>Prepared in accordance with Part 3 of the Human Rights (Parliamentary Scrutiny) Act 2011</w:t>
      </w:r>
    </w:p>
    <w:p w:rsidR="00E34F99" w:rsidRPr="00D664E6" w:rsidRDefault="00E34F99" w:rsidP="00E34F99">
      <w:pPr>
        <w:spacing w:before="120" w:after="120"/>
        <w:jc w:val="center"/>
      </w:pPr>
    </w:p>
    <w:p w:rsidR="00E34F99" w:rsidRDefault="00E34F99" w:rsidP="00E34F99">
      <w:pPr>
        <w:jc w:val="center"/>
        <w:rPr>
          <w:rFonts w:cs="Arial"/>
        </w:rPr>
      </w:pPr>
      <w:r w:rsidRPr="00877733">
        <w:rPr>
          <w:b/>
        </w:rPr>
        <w:t xml:space="preserve">Amendment No </w:t>
      </w:r>
      <w:r w:rsidRPr="00651687">
        <w:t>1</w:t>
      </w:r>
      <w:r w:rsidRPr="00877733">
        <w:rPr>
          <w:b/>
        </w:rPr>
        <w:t xml:space="preserve"> to the Other Grants Guidelines (Education) 2012</w:t>
      </w:r>
    </w:p>
    <w:p w:rsidR="00E34F99" w:rsidRPr="00D664E6" w:rsidRDefault="00E34F99" w:rsidP="00E34F99">
      <w:pPr>
        <w:spacing w:before="120" w:after="120"/>
        <w:jc w:val="center"/>
      </w:pPr>
      <w:r w:rsidRPr="00D664E6">
        <w:t xml:space="preserve">This Bill/Legislative Instrument is compatible with the human rights and freedoms recognised or declared in the international instruments listed in section 3 of the </w:t>
      </w:r>
      <w:r w:rsidRPr="00D664E6">
        <w:rPr>
          <w:i/>
        </w:rPr>
        <w:t>Human Rights (Parliamentary Scrutiny) Act 2011</w:t>
      </w:r>
      <w:r w:rsidRPr="00D664E6">
        <w:t>.</w:t>
      </w:r>
    </w:p>
    <w:p w:rsidR="00E34F99" w:rsidRPr="00D664E6" w:rsidRDefault="00E34F99" w:rsidP="00E34F99">
      <w:pPr>
        <w:spacing w:before="120" w:after="120"/>
        <w:jc w:val="center"/>
      </w:pPr>
    </w:p>
    <w:p w:rsidR="00E34F99" w:rsidRPr="00D664E6" w:rsidRDefault="00E34F99" w:rsidP="00E34F99">
      <w:pPr>
        <w:spacing w:before="120" w:after="120"/>
        <w:jc w:val="both"/>
        <w:rPr>
          <w:b/>
        </w:rPr>
      </w:pPr>
      <w:r w:rsidRPr="00D664E6">
        <w:rPr>
          <w:b/>
        </w:rPr>
        <w:t>Overview of the Bill/Legislative Instrument</w:t>
      </w:r>
    </w:p>
    <w:p w:rsidR="00E34F99" w:rsidRPr="00877733" w:rsidRDefault="00E34F99" w:rsidP="00E34F99">
      <w:pPr>
        <w:spacing w:before="120" w:after="120"/>
      </w:pPr>
      <w:r w:rsidRPr="00877733">
        <w:t xml:space="preserve">This legislative instrument amends the </w:t>
      </w:r>
      <w:r w:rsidRPr="00877733">
        <w:rPr>
          <w:i/>
        </w:rPr>
        <w:t>Other Grants Guideline</w:t>
      </w:r>
      <w:r w:rsidRPr="00651687">
        <w:t>s</w:t>
      </w:r>
      <w:r w:rsidRPr="00AD65A6">
        <w:t xml:space="preserve"> (</w:t>
      </w:r>
      <w:r w:rsidRPr="00651687">
        <w:rPr>
          <w:i/>
        </w:rPr>
        <w:t>Education</w:t>
      </w:r>
      <w:r w:rsidRPr="00AD65A6">
        <w:t>)</w:t>
      </w:r>
      <w:r w:rsidRPr="00877733">
        <w:rPr>
          <w:i/>
        </w:rPr>
        <w:t xml:space="preserve"> 2012 (DIISRTE)</w:t>
      </w:r>
      <w:r w:rsidRPr="00877733">
        <w:t xml:space="preserve"> </w:t>
      </w:r>
      <w:r>
        <w:t>to provide funding under Division 2-3 of the Act for</w:t>
      </w:r>
      <w:r w:rsidRPr="00877733">
        <w:t xml:space="preserve"> the Australian Maths and Science Partnership Program (AMSPP)</w:t>
      </w:r>
      <w:r>
        <w:t xml:space="preserve"> and the Enhancing the Training of </w:t>
      </w:r>
      <w:r w:rsidRPr="00877733">
        <w:t xml:space="preserve">Maths and Science Teachers </w:t>
      </w:r>
      <w:r>
        <w:t>program</w:t>
      </w:r>
      <w:r w:rsidRPr="00877733">
        <w:t xml:space="preserve"> (the </w:t>
      </w:r>
      <w:r>
        <w:t>ETMST Program</w:t>
      </w:r>
      <w:r w:rsidRPr="00877733">
        <w:t>.)</w:t>
      </w:r>
    </w:p>
    <w:p w:rsidR="00E34F99" w:rsidRPr="00877733" w:rsidRDefault="00E34F99" w:rsidP="00E34F99">
      <w:pPr>
        <w:spacing w:before="120" w:after="120"/>
      </w:pPr>
      <w:r w:rsidRPr="00877733">
        <w:t xml:space="preserve">The purpose of the AMSPP is to address the decline in the proportion of Australian students studying science, technology, engineering and mathematics-related subjects at Year 12 and tertiary levels, and improve Australia’s capacity to develop into a high technology, high productivity economy. </w:t>
      </w:r>
    </w:p>
    <w:p w:rsidR="00E34F99" w:rsidRPr="00877733" w:rsidRDefault="00E34F99" w:rsidP="00E34F99">
      <w:pPr>
        <w:spacing w:before="120" w:after="120"/>
      </w:pPr>
      <w:r>
        <w:t xml:space="preserve">The purpose of the </w:t>
      </w:r>
      <w:bookmarkStart w:id="4" w:name="OLE_LINK6"/>
      <w:r>
        <w:t xml:space="preserve">ETMST Program </w:t>
      </w:r>
      <w:bookmarkEnd w:id="4"/>
      <w:r w:rsidRPr="00877733">
        <w:t>is to fund new pre-service programs for school teachers which combine content and pedagogy so that mathematics and science are taught as dynamic, forward-looking, and collaborative human endeavours, to drive a</w:t>
      </w:r>
      <w:r>
        <w:t xml:space="preserve"> major improvement</w:t>
      </w:r>
      <w:r w:rsidRPr="00877733">
        <w:t xml:space="preserve"> in the quality of secondary mathematics and science teachers.</w:t>
      </w:r>
    </w:p>
    <w:p w:rsidR="00E34F99" w:rsidRDefault="00E34F99" w:rsidP="00E34F99">
      <w:pPr>
        <w:spacing w:before="120" w:after="120"/>
        <w:rPr>
          <w:b/>
        </w:rPr>
      </w:pPr>
    </w:p>
    <w:p w:rsidR="00E34F99" w:rsidRPr="00D664E6" w:rsidRDefault="00E34F99" w:rsidP="00E34F99">
      <w:pPr>
        <w:spacing w:before="120" w:after="120"/>
        <w:rPr>
          <w:b/>
        </w:rPr>
      </w:pPr>
      <w:r w:rsidRPr="00D664E6">
        <w:rPr>
          <w:b/>
        </w:rPr>
        <w:t>Human rights implications</w:t>
      </w:r>
    </w:p>
    <w:p w:rsidR="00E34F99" w:rsidRPr="003044F8" w:rsidRDefault="00E34F99" w:rsidP="00E34F99">
      <w:pPr>
        <w:spacing w:before="120" w:after="120"/>
      </w:pPr>
      <w:r w:rsidRPr="003044F8">
        <w:t xml:space="preserve">The Legislative Instrument engages the following human right: </w:t>
      </w:r>
    </w:p>
    <w:p w:rsidR="00E34F99" w:rsidRPr="003044F8" w:rsidRDefault="00E34F99" w:rsidP="00E34F99">
      <w:pPr>
        <w:spacing w:before="120" w:after="120"/>
        <w:rPr>
          <w:i/>
        </w:rPr>
      </w:pPr>
      <w:r w:rsidRPr="003044F8">
        <w:rPr>
          <w:i/>
        </w:rPr>
        <w:t xml:space="preserve">Right to education </w:t>
      </w:r>
    </w:p>
    <w:p w:rsidR="00E34F99" w:rsidRDefault="00E34F99" w:rsidP="00E34F99">
      <w:pPr>
        <w:spacing w:before="120" w:after="120"/>
      </w:pPr>
      <w:r>
        <w:t>This instrument positively engages the right to education contained in Article 13 of the International Covenant on Economic, Social and Cultural Rights.</w:t>
      </w:r>
    </w:p>
    <w:p w:rsidR="00E34F99" w:rsidRDefault="00E34F99" w:rsidP="00E34F99">
      <w:pPr>
        <w:spacing w:before="120" w:after="120"/>
      </w:pPr>
      <w:r w:rsidRPr="003044F8">
        <w:t>The UN Committee on Economic Social and Cultural Rights has stated that the right to education requires that functioning educational institutions and programs have to be available in sufficient quantity within a country.</w:t>
      </w:r>
    </w:p>
    <w:p w:rsidR="00E34F99" w:rsidRDefault="00E34F99" w:rsidP="00E34F99">
      <w:pPr>
        <w:spacing w:before="120" w:after="120"/>
      </w:pPr>
      <w:r>
        <w:t>The AMSPP and ETMST Program will contribute to this requirement and help advance the right to education by:</w:t>
      </w:r>
    </w:p>
    <w:p w:rsidR="00E34F99" w:rsidRPr="004E66C0" w:rsidRDefault="00E34F99" w:rsidP="00E34F99">
      <w:pPr>
        <w:numPr>
          <w:ilvl w:val="0"/>
          <w:numId w:val="1"/>
        </w:numPr>
        <w:spacing w:before="120" w:after="120" w:line="276" w:lineRule="auto"/>
      </w:pPr>
      <w:r w:rsidRPr="004E66C0">
        <w:t>improv</w:t>
      </w:r>
      <w:r>
        <w:t>ing</w:t>
      </w:r>
      <w:r w:rsidRPr="004E66C0">
        <w:t xml:space="preserve"> secondary students’ enga</w:t>
      </w:r>
      <w:r>
        <w:t>gement in maths and science;</w:t>
      </w:r>
    </w:p>
    <w:p w:rsidR="00E34F99" w:rsidRDefault="00E34F99" w:rsidP="00E34F99">
      <w:pPr>
        <w:numPr>
          <w:ilvl w:val="0"/>
          <w:numId w:val="1"/>
        </w:numPr>
        <w:spacing w:before="120" w:after="120" w:line="276" w:lineRule="auto"/>
      </w:pPr>
      <w:r w:rsidRPr="004E66C0">
        <w:t>increas</w:t>
      </w:r>
      <w:r>
        <w:t>ing</w:t>
      </w:r>
      <w:r w:rsidRPr="004E66C0">
        <w:t xml:space="preserve"> the number of students participating in mathematics an</w:t>
      </w:r>
      <w:r>
        <w:t>d science undergraduate courses;</w:t>
      </w:r>
    </w:p>
    <w:p w:rsidR="00E34F99" w:rsidRPr="004E66C0" w:rsidRDefault="00E34F99" w:rsidP="00E34F99">
      <w:pPr>
        <w:numPr>
          <w:ilvl w:val="0"/>
          <w:numId w:val="1"/>
        </w:numPr>
        <w:spacing w:before="120" w:after="120" w:line="276" w:lineRule="auto"/>
      </w:pPr>
      <w:r>
        <w:t>i</w:t>
      </w:r>
      <w:r w:rsidRPr="004E66C0">
        <w:t>ncreasing the supply and retention of maths and science graduates</w:t>
      </w:r>
      <w:r>
        <w:t xml:space="preserve"> and teachers</w:t>
      </w:r>
      <w:r w:rsidRPr="004E66C0">
        <w:t>; and</w:t>
      </w:r>
    </w:p>
    <w:p w:rsidR="00E34F99" w:rsidRPr="004E66C0" w:rsidRDefault="00E34F99" w:rsidP="00E34F99">
      <w:pPr>
        <w:numPr>
          <w:ilvl w:val="0"/>
          <w:numId w:val="1"/>
        </w:numPr>
        <w:spacing w:before="120" w:after="120" w:line="276" w:lineRule="auto"/>
      </w:pPr>
      <w:proofErr w:type="gramStart"/>
      <w:r>
        <w:t>p</w:t>
      </w:r>
      <w:r w:rsidRPr="004E66C0">
        <w:t>roviding</w:t>
      </w:r>
      <w:proofErr w:type="gramEnd"/>
      <w:r w:rsidRPr="004E66C0">
        <w:t xml:space="preserve"> pre-service and in-service training for maths and science teachers. </w:t>
      </w:r>
    </w:p>
    <w:p w:rsidR="00E34F99" w:rsidRPr="00884DEA" w:rsidRDefault="00E34F99" w:rsidP="00E34F99">
      <w:pPr>
        <w:spacing w:before="120" w:after="120"/>
      </w:pPr>
      <w:r>
        <w:t xml:space="preserve">The AMSPP and ETMST Program will also </w:t>
      </w:r>
      <w:r w:rsidRPr="00884DEA">
        <w:t xml:space="preserve">improve </w:t>
      </w:r>
      <w:r>
        <w:t xml:space="preserve">education </w:t>
      </w:r>
      <w:r w:rsidRPr="00884DEA">
        <w:t xml:space="preserve">access and outcomes for disadvantaged groups, </w:t>
      </w:r>
      <w:r>
        <w:t xml:space="preserve">including </w:t>
      </w:r>
      <w:r w:rsidRPr="00884DEA">
        <w:t xml:space="preserve">students from low socioeconomic backgrounds, Indigenous </w:t>
      </w:r>
      <w:r w:rsidRPr="00884DEA">
        <w:lastRenderedPageBreak/>
        <w:t>students, females in non-traditional fields of study; and people in regional, remote and Indigenous communities.</w:t>
      </w:r>
      <w:r>
        <w:t xml:space="preserve"> The AMSPP and ETMST Program will advance Australians’ rights to education.</w:t>
      </w:r>
    </w:p>
    <w:p w:rsidR="00E34F99" w:rsidRPr="00D664E6" w:rsidRDefault="00E34F99" w:rsidP="00E34F99">
      <w:pPr>
        <w:spacing w:before="120" w:after="120"/>
        <w:rPr>
          <w:b/>
        </w:rPr>
      </w:pPr>
      <w:r w:rsidRPr="00D664E6">
        <w:rPr>
          <w:b/>
        </w:rPr>
        <w:t xml:space="preserve">Conclusion </w:t>
      </w:r>
    </w:p>
    <w:p w:rsidR="00E34F99" w:rsidRDefault="00E34F99" w:rsidP="00E34F99">
      <w:pPr>
        <w:spacing w:before="120" w:after="120"/>
      </w:pPr>
      <w:r>
        <w:t xml:space="preserve">This </w:t>
      </w:r>
      <w:r w:rsidRPr="00D664E6">
        <w:t xml:space="preserve">Legislative Instrument is compatible with human rights because </w:t>
      </w:r>
      <w:r>
        <w:t>advances the right to education.</w:t>
      </w:r>
    </w:p>
    <w:p w:rsidR="00E34F99" w:rsidRDefault="00E34F99"/>
    <w:sectPr w:rsidR="00E34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352"/>
    <w:multiLevelType w:val="multilevel"/>
    <w:tmpl w:val="8C343DD0"/>
    <w:lvl w:ilvl="0">
      <w:start w:val="7"/>
      <w:numFmt w:val="decimal"/>
      <w:lvlText w:val="%1"/>
      <w:lvlJc w:val="left"/>
      <w:pPr>
        <w:tabs>
          <w:tab w:val="num" w:pos="930"/>
        </w:tabs>
        <w:ind w:left="930" w:hanging="930"/>
      </w:pPr>
      <w:rPr>
        <w:rFonts w:ascii="Arial" w:hAnsi="Arial" w:cs="Arial" w:hint="default"/>
        <w:color w:val="000000"/>
        <w:sz w:val="24"/>
      </w:rPr>
    </w:lvl>
    <w:lvl w:ilvl="1">
      <w:start w:val="130"/>
      <w:numFmt w:val="decimal"/>
      <w:lvlText w:val="%1.%2"/>
      <w:lvlJc w:val="left"/>
      <w:pPr>
        <w:tabs>
          <w:tab w:val="num" w:pos="930"/>
        </w:tabs>
        <w:ind w:left="930" w:hanging="930"/>
      </w:pPr>
      <w:rPr>
        <w:rFonts w:ascii="Arial" w:hAnsi="Arial" w:cs="Arial" w:hint="default"/>
        <w:color w:val="000000"/>
        <w:sz w:val="24"/>
      </w:rPr>
    </w:lvl>
    <w:lvl w:ilvl="2">
      <w:start w:val="1"/>
      <w:numFmt w:val="decimal"/>
      <w:lvlText w:val="%1.%2.%3"/>
      <w:lvlJc w:val="left"/>
      <w:pPr>
        <w:tabs>
          <w:tab w:val="num" w:pos="930"/>
        </w:tabs>
        <w:ind w:left="930" w:hanging="930"/>
      </w:pPr>
      <w:rPr>
        <w:rFonts w:ascii="Arial" w:hAnsi="Arial" w:cs="Arial" w:hint="default"/>
        <w:color w:val="000000"/>
        <w:sz w:val="24"/>
      </w:rPr>
    </w:lvl>
    <w:lvl w:ilvl="3">
      <w:start w:val="1"/>
      <w:numFmt w:val="decimal"/>
      <w:lvlText w:val="%1.%2.%3.%4"/>
      <w:lvlJc w:val="left"/>
      <w:pPr>
        <w:tabs>
          <w:tab w:val="num" w:pos="930"/>
        </w:tabs>
        <w:ind w:left="930" w:hanging="930"/>
      </w:pPr>
      <w:rPr>
        <w:rFonts w:ascii="Arial" w:hAnsi="Arial" w:cs="Arial" w:hint="default"/>
        <w:color w:val="000000"/>
        <w:sz w:val="24"/>
      </w:rPr>
    </w:lvl>
    <w:lvl w:ilvl="4">
      <w:start w:val="1"/>
      <w:numFmt w:val="decimal"/>
      <w:lvlText w:val="%1.%2.%3.%4.%5"/>
      <w:lvlJc w:val="left"/>
      <w:pPr>
        <w:tabs>
          <w:tab w:val="num" w:pos="1080"/>
        </w:tabs>
        <w:ind w:left="1080" w:hanging="1080"/>
      </w:pPr>
      <w:rPr>
        <w:rFonts w:ascii="Arial" w:hAnsi="Arial" w:cs="Arial" w:hint="default"/>
        <w:color w:val="000000"/>
        <w:sz w:val="24"/>
      </w:rPr>
    </w:lvl>
    <w:lvl w:ilvl="5">
      <w:start w:val="1"/>
      <w:numFmt w:val="decimal"/>
      <w:lvlText w:val="%1.%2.%3.%4.%5.%6"/>
      <w:lvlJc w:val="left"/>
      <w:pPr>
        <w:tabs>
          <w:tab w:val="num" w:pos="1080"/>
        </w:tabs>
        <w:ind w:left="1080" w:hanging="1080"/>
      </w:pPr>
      <w:rPr>
        <w:rFonts w:ascii="Arial" w:hAnsi="Arial" w:cs="Arial" w:hint="default"/>
        <w:color w:val="000000"/>
        <w:sz w:val="24"/>
      </w:rPr>
    </w:lvl>
    <w:lvl w:ilvl="6">
      <w:start w:val="1"/>
      <w:numFmt w:val="decimal"/>
      <w:lvlText w:val="%1.%2.%3.%4.%5.%6.%7"/>
      <w:lvlJc w:val="left"/>
      <w:pPr>
        <w:tabs>
          <w:tab w:val="num" w:pos="1440"/>
        </w:tabs>
        <w:ind w:left="1440" w:hanging="1440"/>
      </w:pPr>
      <w:rPr>
        <w:rFonts w:ascii="Arial" w:hAnsi="Arial" w:cs="Arial" w:hint="default"/>
        <w:color w:val="000000"/>
        <w:sz w:val="24"/>
      </w:rPr>
    </w:lvl>
    <w:lvl w:ilvl="7">
      <w:start w:val="1"/>
      <w:numFmt w:val="decimal"/>
      <w:lvlText w:val="%1.%2.%3.%4.%5.%6.%7.%8"/>
      <w:lvlJc w:val="left"/>
      <w:pPr>
        <w:tabs>
          <w:tab w:val="num" w:pos="1440"/>
        </w:tabs>
        <w:ind w:left="1440" w:hanging="1440"/>
      </w:pPr>
      <w:rPr>
        <w:rFonts w:ascii="Arial" w:hAnsi="Arial" w:cs="Arial" w:hint="default"/>
        <w:color w:val="000000"/>
        <w:sz w:val="24"/>
      </w:rPr>
    </w:lvl>
    <w:lvl w:ilvl="8">
      <w:start w:val="1"/>
      <w:numFmt w:val="decimal"/>
      <w:lvlText w:val="%1.%2.%3.%4.%5.%6.%7.%8.%9"/>
      <w:lvlJc w:val="left"/>
      <w:pPr>
        <w:tabs>
          <w:tab w:val="num" w:pos="1440"/>
        </w:tabs>
        <w:ind w:left="1440" w:hanging="1440"/>
      </w:pPr>
      <w:rPr>
        <w:rFonts w:ascii="Arial" w:hAnsi="Arial" w:cs="Arial" w:hint="default"/>
        <w:color w:val="000000"/>
        <w:sz w:val="24"/>
      </w:rPr>
    </w:lvl>
  </w:abstractNum>
  <w:abstractNum w:abstractNumId="1">
    <w:nsid w:val="18DB4A33"/>
    <w:multiLevelType w:val="hybridMultilevel"/>
    <w:tmpl w:val="5FC2EC2E"/>
    <w:lvl w:ilvl="0" w:tplc="3044F116">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41972"/>
    <w:multiLevelType w:val="multilevel"/>
    <w:tmpl w:val="6BE83D12"/>
    <w:lvl w:ilvl="0">
      <w:start w:val="7"/>
      <w:numFmt w:val="decimal"/>
      <w:lvlText w:val="%1"/>
      <w:lvlJc w:val="left"/>
      <w:pPr>
        <w:tabs>
          <w:tab w:val="num" w:pos="795"/>
        </w:tabs>
        <w:ind w:left="795" w:hanging="795"/>
      </w:pPr>
      <w:rPr>
        <w:rFonts w:hint="default"/>
      </w:rPr>
    </w:lvl>
    <w:lvl w:ilvl="1">
      <w:start w:val="125"/>
      <w:numFmt w:val="decimal"/>
      <w:lvlText w:val="%1.%2"/>
      <w:lvlJc w:val="left"/>
      <w:pPr>
        <w:tabs>
          <w:tab w:val="num" w:pos="795"/>
        </w:tabs>
        <w:ind w:left="795" w:hanging="795"/>
      </w:pPr>
      <w:rPr>
        <w:rFonts w:hint="default"/>
      </w:rPr>
    </w:lvl>
    <w:lvl w:ilvl="2">
      <w:start w:val="10"/>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4B08A7"/>
    <w:multiLevelType w:val="multilevel"/>
    <w:tmpl w:val="5E70866E"/>
    <w:lvl w:ilvl="0">
      <w:start w:val="7"/>
      <w:numFmt w:val="decimal"/>
      <w:lvlText w:val="%1"/>
      <w:lvlJc w:val="left"/>
      <w:pPr>
        <w:tabs>
          <w:tab w:val="num" w:pos="795"/>
        </w:tabs>
        <w:ind w:left="795" w:hanging="795"/>
      </w:pPr>
      <w:rPr>
        <w:rFonts w:hint="default"/>
      </w:rPr>
    </w:lvl>
    <w:lvl w:ilvl="1">
      <w:start w:val="12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463F4"/>
    <w:multiLevelType w:val="multilevel"/>
    <w:tmpl w:val="88464C34"/>
    <w:lvl w:ilvl="0">
      <w:start w:val="7"/>
      <w:numFmt w:val="decimal"/>
      <w:lvlText w:val="%1"/>
      <w:lvlJc w:val="left"/>
      <w:pPr>
        <w:tabs>
          <w:tab w:val="num" w:pos="795"/>
        </w:tabs>
        <w:ind w:left="795" w:hanging="795"/>
      </w:pPr>
      <w:rPr>
        <w:rFonts w:hint="default"/>
      </w:rPr>
    </w:lvl>
    <w:lvl w:ilvl="1">
      <w:start w:val="125"/>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5C20FCD"/>
    <w:multiLevelType w:val="multilevel"/>
    <w:tmpl w:val="83363F14"/>
    <w:lvl w:ilvl="0">
      <w:start w:val="7"/>
      <w:numFmt w:val="decimal"/>
      <w:lvlText w:val="%1"/>
      <w:lvlJc w:val="left"/>
      <w:pPr>
        <w:tabs>
          <w:tab w:val="num" w:pos="795"/>
        </w:tabs>
        <w:ind w:left="795" w:hanging="795"/>
      </w:pPr>
      <w:rPr>
        <w:rFonts w:hint="default"/>
      </w:rPr>
    </w:lvl>
    <w:lvl w:ilvl="1">
      <w:start w:val="110"/>
      <w:numFmt w:val="decimal"/>
      <w:lvlText w:val="%1.%2"/>
      <w:lvlJc w:val="left"/>
      <w:pPr>
        <w:tabs>
          <w:tab w:val="num" w:pos="795"/>
        </w:tabs>
        <w:ind w:left="795" w:hanging="795"/>
      </w:pPr>
      <w:rPr>
        <w:rFonts w:hint="default"/>
      </w:rPr>
    </w:lvl>
    <w:lvl w:ilvl="2">
      <w:start w:val="5"/>
      <w:numFmt w:val="none"/>
      <w:lvlText w:val="7.115.1"/>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5436C7"/>
    <w:multiLevelType w:val="multilevel"/>
    <w:tmpl w:val="528EA656"/>
    <w:lvl w:ilvl="0">
      <w:start w:val="7"/>
      <w:numFmt w:val="decimal"/>
      <w:lvlText w:val="%1"/>
      <w:lvlJc w:val="left"/>
      <w:pPr>
        <w:tabs>
          <w:tab w:val="num" w:pos="795"/>
        </w:tabs>
        <w:ind w:left="795" w:hanging="795"/>
      </w:pPr>
      <w:rPr>
        <w:rFonts w:hint="default"/>
      </w:rPr>
    </w:lvl>
    <w:lvl w:ilvl="1">
      <w:start w:val="1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EA51EE0"/>
    <w:multiLevelType w:val="multilevel"/>
    <w:tmpl w:val="40601290"/>
    <w:lvl w:ilvl="0">
      <w:start w:val="7"/>
      <w:numFmt w:val="decimal"/>
      <w:lvlText w:val="%1"/>
      <w:lvlJc w:val="left"/>
      <w:pPr>
        <w:tabs>
          <w:tab w:val="num" w:pos="795"/>
        </w:tabs>
        <w:ind w:left="795" w:hanging="795"/>
      </w:pPr>
      <w:rPr>
        <w:rFonts w:hint="default"/>
      </w:rPr>
    </w:lvl>
    <w:lvl w:ilvl="1">
      <w:start w:val="125"/>
      <w:numFmt w:val="decimal"/>
      <w:lvlText w:val="%1.%2"/>
      <w:lvlJc w:val="left"/>
      <w:pPr>
        <w:tabs>
          <w:tab w:val="num" w:pos="795"/>
        </w:tabs>
        <w:ind w:left="795" w:hanging="795"/>
      </w:pPr>
      <w:rPr>
        <w:rFonts w:hint="default"/>
      </w:rPr>
    </w:lvl>
    <w:lvl w:ilvl="2">
      <w:start w:val="5"/>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6"/>
  </w:num>
  <w:num w:numId="4">
    <w:abstractNumId w:val="3"/>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99"/>
    <w:rsid w:val="00496D9A"/>
    <w:rsid w:val="00E34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99"/>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34F9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99"/>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34F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1469</Words>
  <Characters>8213</Characters>
  <Application>Microsoft Office Word</Application>
  <DocSecurity>0</DocSecurity>
  <Lines>205</Lines>
  <Paragraphs>95</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Derrig, Matthew</dc:creator>
  <cp:keywords/>
  <dc:description/>
  <cp:lastModifiedBy>Derrig, Matthew</cp:lastModifiedBy>
  <cp:revision>1</cp:revision>
  <dcterms:created xsi:type="dcterms:W3CDTF">2012-12-21T04:35:00Z</dcterms:created>
  <dcterms:modified xsi:type="dcterms:W3CDTF">2012-12-21T04:49:00Z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