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2C5" w:rsidRPr="00403D90" w:rsidRDefault="007230C6" w:rsidP="00403D90">
      <w:pPr>
        <w:jc w:val="center"/>
        <w:rPr>
          <w:b/>
          <w:caps/>
        </w:rPr>
      </w:pPr>
      <w:r w:rsidRPr="00403D90">
        <w:rPr>
          <w:b/>
          <w:caps/>
        </w:rPr>
        <w:t>Explanatory Statement</w:t>
      </w:r>
    </w:p>
    <w:p w:rsidR="00403D90" w:rsidRDefault="00403D90" w:rsidP="00403D90">
      <w:pPr>
        <w:pStyle w:val="acmabodytext"/>
        <w:jc w:val="center"/>
        <w:rPr>
          <w:rFonts w:ascii="Helvetica Neue" w:hAnsi="Helvetica Neue"/>
          <w:sz w:val="19"/>
          <w:szCs w:val="19"/>
        </w:rPr>
      </w:pPr>
      <w:r>
        <w:rPr>
          <w:rFonts w:ascii="Arial" w:hAnsi="Arial" w:cs="Arial"/>
          <w:b/>
          <w:bCs/>
          <w:i/>
          <w:iCs/>
          <w:sz w:val="19"/>
          <w:szCs w:val="19"/>
        </w:rPr>
        <w:t>Legislative Instruments Act 2003</w:t>
      </w:r>
      <w:r>
        <w:rPr>
          <w:rFonts w:ascii="Arial" w:hAnsi="Arial" w:cs="Arial"/>
          <w:b/>
          <w:bCs/>
          <w:sz w:val="19"/>
          <w:szCs w:val="19"/>
        </w:rPr>
        <w:t xml:space="preserve"> – Section 26</w:t>
      </w:r>
    </w:p>
    <w:p w:rsidR="007230C6" w:rsidRPr="004F1518" w:rsidRDefault="007230C6">
      <w:pPr>
        <w:rPr>
          <w:b/>
          <w:i/>
        </w:rPr>
      </w:pPr>
      <w:r w:rsidRPr="004F1518">
        <w:rPr>
          <w:b/>
          <w:i/>
        </w:rPr>
        <w:t>Native Title</w:t>
      </w:r>
      <w:r w:rsidR="005147D1" w:rsidRPr="004F1518">
        <w:rPr>
          <w:b/>
          <w:i/>
        </w:rPr>
        <w:t xml:space="preserve"> (Assistance from Attorney-General) Guideline 2012</w:t>
      </w:r>
    </w:p>
    <w:p w:rsidR="004F1518" w:rsidRDefault="004F1518">
      <w:r>
        <w:t xml:space="preserve">The Attorney-General has made the </w:t>
      </w:r>
      <w:r w:rsidRPr="004F1518">
        <w:rPr>
          <w:i/>
        </w:rPr>
        <w:t>Native Title (Assistance from Attorney-General) Guideline 2012</w:t>
      </w:r>
      <w:r>
        <w:t xml:space="preserve"> under subsection </w:t>
      </w:r>
      <w:proofErr w:type="gramStart"/>
      <w:r>
        <w:t>213A(</w:t>
      </w:r>
      <w:proofErr w:type="gramEnd"/>
      <w:r>
        <w:t xml:space="preserve">5) of the </w:t>
      </w:r>
      <w:r w:rsidRPr="004F1518">
        <w:rPr>
          <w:i/>
        </w:rPr>
        <w:t>Native Title Act 1993</w:t>
      </w:r>
      <w:r>
        <w:t>.</w:t>
      </w:r>
    </w:p>
    <w:p w:rsidR="00F406F6" w:rsidRDefault="00236253">
      <w:r>
        <w:t xml:space="preserve">The Act specifies no other conditions that need to be satisfied before the power to make the proposed </w:t>
      </w:r>
      <w:r w:rsidR="008F2B43">
        <w:t>g</w:t>
      </w:r>
      <w:r>
        <w:t>uideline may be exercised.</w:t>
      </w:r>
    </w:p>
    <w:p w:rsidR="00236253" w:rsidRDefault="00236253" w:rsidP="00236253">
      <w:r>
        <w:t>Th</w:t>
      </w:r>
      <w:r w:rsidR="008F2B43">
        <w:t xml:space="preserve">is </w:t>
      </w:r>
      <w:r>
        <w:t>guideline</w:t>
      </w:r>
      <w:r w:rsidR="008F2B43">
        <w:t xml:space="preserve"> is </w:t>
      </w:r>
      <w:r>
        <w:t xml:space="preserve">a legislative instrument for the purposes of the </w:t>
      </w:r>
      <w:r w:rsidRPr="00502C9C">
        <w:rPr>
          <w:i/>
        </w:rPr>
        <w:t>Legislative Instruments Act 2003</w:t>
      </w:r>
      <w:r>
        <w:t>.</w:t>
      </w:r>
    </w:p>
    <w:p w:rsidR="00236253" w:rsidRPr="00F406F6" w:rsidRDefault="00236253" w:rsidP="00236253">
      <w:pPr>
        <w:rPr>
          <w:b/>
        </w:rPr>
      </w:pPr>
      <w:r w:rsidRPr="00F406F6">
        <w:rPr>
          <w:b/>
        </w:rPr>
        <w:t>Commencement</w:t>
      </w:r>
    </w:p>
    <w:p w:rsidR="00236253" w:rsidRDefault="00236253" w:rsidP="00236253">
      <w:r>
        <w:t xml:space="preserve">The </w:t>
      </w:r>
      <w:r w:rsidRPr="005147D1">
        <w:rPr>
          <w:i/>
        </w:rPr>
        <w:t>Native Title (Assistance from Attorney-General) Guideline 2012</w:t>
      </w:r>
      <w:r>
        <w:rPr>
          <w:i/>
        </w:rPr>
        <w:t xml:space="preserve"> </w:t>
      </w:r>
      <w:r>
        <w:t>commence</w:t>
      </w:r>
      <w:r w:rsidR="008F2B43">
        <w:t>s</w:t>
      </w:r>
      <w:r>
        <w:t xml:space="preserve"> on 1 January 2013.</w:t>
      </w:r>
    </w:p>
    <w:p w:rsidR="00236253" w:rsidRPr="00236253" w:rsidRDefault="00236253">
      <w:pPr>
        <w:rPr>
          <w:b/>
        </w:rPr>
      </w:pPr>
      <w:r w:rsidRPr="00236253">
        <w:rPr>
          <w:b/>
        </w:rPr>
        <w:t>Purpose and effect of the Guideline</w:t>
      </w:r>
    </w:p>
    <w:p w:rsidR="00C2193A" w:rsidRDefault="00320C1C">
      <w:r>
        <w:t>Th</w:t>
      </w:r>
      <w:r w:rsidR="008F2B43">
        <w:t xml:space="preserve">is </w:t>
      </w:r>
      <w:r>
        <w:t>guideline replace</w:t>
      </w:r>
      <w:r w:rsidR="008F2B43">
        <w:t>s</w:t>
      </w:r>
      <w:r>
        <w:t xml:space="preserve"> the </w:t>
      </w:r>
      <w:r w:rsidR="00C2193A" w:rsidRPr="00C2193A">
        <w:rPr>
          <w:i/>
        </w:rPr>
        <w:t>Native Title (Provision of Financial Assistance) Guidelines 2006</w:t>
      </w:r>
      <w:r w:rsidR="008F2B43">
        <w:t>.</w:t>
      </w:r>
    </w:p>
    <w:p w:rsidR="00C2193A" w:rsidRDefault="00C2193A">
      <w:r>
        <w:t>The guideline is to be applied in authorising the provision of assistance</w:t>
      </w:r>
      <w:r w:rsidR="008F2B43">
        <w:t xml:space="preserve"> by the Attorney-General for respondents to native title matters</w:t>
      </w:r>
      <w:r>
        <w:t xml:space="preserve"> under s213A </w:t>
      </w:r>
      <w:r w:rsidR="008F2B43">
        <w:t xml:space="preserve">of the </w:t>
      </w:r>
      <w:r w:rsidRPr="00C2193A">
        <w:rPr>
          <w:i/>
        </w:rPr>
        <w:t>Native Title Act 1993</w:t>
      </w:r>
      <w:r>
        <w:t>.</w:t>
      </w:r>
    </w:p>
    <w:p w:rsidR="00236253" w:rsidRDefault="00236253">
      <w:r>
        <w:t xml:space="preserve">The guideline sets out </w:t>
      </w:r>
      <w:r w:rsidR="008F2B43">
        <w:t xml:space="preserve">the </w:t>
      </w:r>
      <w:r>
        <w:t xml:space="preserve">considerations that </w:t>
      </w:r>
      <w:r w:rsidR="008F2B43">
        <w:t xml:space="preserve">the decision maker must have </w:t>
      </w:r>
      <w:proofErr w:type="gramStart"/>
      <w:r w:rsidR="008F2B43">
        <w:t>regard</w:t>
      </w:r>
      <w:proofErr w:type="gramEnd"/>
      <w:r w:rsidR="00AE5F41">
        <w:t xml:space="preserve"> to</w:t>
      </w:r>
      <w:r w:rsidR="008F2B43">
        <w:t xml:space="preserve"> in making a decision on grants of financial assistance.</w:t>
      </w:r>
    </w:p>
    <w:p w:rsidR="0050126A" w:rsidRDefault="008F2B43" w:rsidP="008F2B43">
      <w:r>
        <w:t xml:space="preserve">The guideline provides for a revised interest test to apply to native title respondents.  </w:t>
      </w:r>
      <w:r w:rsidR="0050126A" w:rsidRPr="008F2B43">
        <w:t xml:space="preserve">Under the new arrangements; native title respondents will continue to receive assistance for disbursements related to native title claims.  Legal representation costs may be available where there are new or novel questions of native title law, or where </w:t>
      </w:r>
      <w:r w:rsidR="00AE5F41">
        <w:t>a</w:t>
      </w:r>
      <w:r w:rsidR="00AE5F41" w:rsidRPr="008F2B43">
        <w:t xml:space="preserve"> </w:t>
      </w:r>
      <w:r w:rsidR="00AE5F41">
        <w:t>c</w:t>
      </w:r>
      <w:r w:rsidR="0050126A" w:rsidRPr="008F2B43">
        <w:t>ourt requires the respondent’s participation beyond standard procedural processes.</w:t>
      </w:r>
    </w:p>
    <w:p w:rsidR="003C227C" w:rsidRPr="004664FB" w:rsidRDefault="003C227C" w:rsidP="004664FB">
      <w:r w:rsidRPr="004664FB">
        <w:t>The new guideline brings the native title respondent funding scheme into line with access to justice principles</w:t>
      </w:r>
      <w:r>
        <w:t xml:space="preserve">.  It also </w:t>
      </w:r>
      <w:r w:rsidRPr="004664FB">
        <w:t>ensures a more consistent approach to the provision of financial assistance across all schemes under the appropriation for financial assistance towards legal costs and related expenses.</w:t>
      </w:r>
    </w:p>
    <w:p w:rsidR="0050126A" w:rsidRDefault="0008022D">
      <w:r>
        <w:t>The guideline sets out how applications for financial assistance are to be lodged and what the decision maker must consider when deciding applications for financial assistance.</w:t>
      </w:r>
    </w:p>
    <w:p w:rsidR="0008022D" w:rsidRDefault="0008022D">
      <w:r>
        <w:t>Collective representation is still encouraged under the guideline.  An assessment of the applicant’s financial circumstances for grouped applications will not be considered for disbursements but may be considered for applications for legal representation.  There is also the ability for the decision maker to consider if the applicant forms part of a group or should form part of a group in making a decision.</w:t>
      </w:r>
    </w:p>
    <w:p w:rsidR="00320C1C" w:rsidRDefault="0008022D">
      <w:r>
        <w:t>The guideline also provides for limits in the amount of assistance that can be approved for applications for legal representation costs.</w:t>
      </w:r>
    </w:p>
    <w:p w:rsidR="00502C9C" w:rsidRDefault="00502C9C">
      <w:r>
        <w:lastRenderedPageBreak/>
        <w:t xml:space="preserve">Details of the guideline are set out in the </w:t>
      </w:r>
      <w:r w:rsidRPr="00502C9C">
        <w:rPr>
          <w:u w:val="single"/>
        </w:rPr>
        <w:t>Attachment</w:t>
      </w:r>
      <w:r>
        <w:t>.</w:t>
      </w:r>
    </w:p>
    <w:p w:rsidR="00F406F6" w:rsidRPr="00F406F6" w:rsidRDefault="00F406F6">
      <w:pPr>
        <w:rPr>
          <w:b/>
        </w:rPr>
      </w:pPr>
      <w:r w:rsidRPr="00F406F6">
        <w:rPr>
          <w:b/>
        </w:rPr>
        <w:t>Consultation</w:t>
      </w:r>
    </w:p>
    <w:p w:rsidR="00500F0B" w:rsidRDefault="00723E2E">
      <w:r>
        <w:t>The Budget decision in 2011 which significantly reduced the appropriation for financial assistance towards legal costs and related expenses, made the previous funding arrangements under the native title respondent funding scheme unsustainable.</w:t>
      </w:r>
    </w:p>
    <w:p w:rsidR="00723E2E" w:rsidRDefault="00723E2E">
      <w:r>
        <w:t xml:space="preserve">The budget decision </w:t>
      </w:r>
      <w:r w:rsidR="00500F0B">
        <w:t xml:space="preserve">created a </w:t>
      </w:r>
      <w:r>
        <w:t>move to the provision of assistance for disbursements only, with financial assistance for legal representation costs for exceptional circumstances</w:t>
      </w:r>
      <w:r w:rsidR="00500F0B">
        <w:t>.</w:t>
      </w:r>
    </w:p>
    <w:p w:rsidR="00C06F7E" w:rsidRDefault="00723E2E">
      <w:r>
        <w:t>As a result of this, a</w:t>
      </w:r>
      <w:r w:rsidR="00827534">
        <w:t xml:space="preserve"> review of the Native Title Respondent F</w:t>
      </w:r>
      <w:r w:rsidR="00846D30">
        <w:t xml:space="preserve">unding </w:t>
      </w:r>
      <w:r w:rsidR="00827534">
        <w:t>S</w:t>
      </w:r>
      <w:r w:rsidR="00846D30">
        <w:t>cheme</w:t>
      </w:r>
      <w:r w:rsidR="00EA62B5">
        <w:t xml:space="preserve"> occurred in 2011</w:t>
      </w:r>
      <w:r>
        <w:t xml:space="preserve">. </w:t>
      </w:r>
      <w:r w:rsidR="00EA62B5">
        <w:t xml:space="preserve"> The review was</w:t>
      </w:r>
      <w:r w:rsidR="00846D30">
        <w:t xml:space="preserve"> conducted by an independent consultant</w:t>
      </w:r>
      <w:r w:rsidR="007059EF">
        <w:t>.</w:t>
      </w:r>
    </w:p>
    <w:p w:rsidR="00EA62B5" w:rsidRDefault="00EA62B5">
      <w:r>
        <w:t>During this review, extensive consultation occurred with respondents</w:t>
      </w:r>
      <w:r w:rsidR="00500F0B">
        <w:t xml:space="preserve"> and funding recipients</w:t>
      </w:r>
      <w:r>
        <w:t>, representatives of peak industry bodies, native title claimants (via the native title representative bodies), state and territory governments, the National Native Title Tribunal and the Native Title Unit.</w:t>
      </w:r>
    </w:p>
    <w:p w:rsidR="00EA62B5" w:rsidRDefault="00EA62B5">
      <w:r>
        <w:t>Written submissions were also received during this consultation and published on the department’s website.</w:t>
      </w:r>
      <w:r w:rsidR="007059EF">
        <w:t xml:space="preserve">  The consultant’s report was also published on the department’s website.</w:t>
      </w:r>
    </w:p>
    <w:p w:rsidR="00723E2E" w:rsidRDefault="00723E2E" w:rsidP="00723E2E">
      <w:r>
        <w:t>Th</w:t>
      </w:r>
      <w:r w:rsidR="00D14998">
        <w:t>is</w:t>
      </w:r>
      <w:r>
        <w:t xml:space="preserve"> consultation process was used in the development of the policy which the </w:t>
      </w:r>
      <w:r w:rsidR="00D14998" w:rsidRPr="004F1518">
        <w:rPr>
          <w:i/>
        </w:rPr>
        <w:t>Native Title (Assistance from Attorney-General) Guideline 2012</w:t>
      </w:r>
      <w:r w:rsidR="00D14998">
        <w:t xml:space="preserve"> </w:t>
      </w:r>
      <w:r>
        <w:t>implements.</w:t>
      </w:r>
      <w:bookmarkStart w:id="0" w:name="_GoBack"/>
      <w:bookmarkEnd w:id="0"/>
    </w:p>
    <w:p w:rsidR="00EA62B5" w:rsidRDefault="00EA62B5">
      <w:r>
        <w:t xml:space="preserve">The policy outcomes were widely publicised with stakeholders.  Stakeholders and recipients of funding under the native title respondent funding scheme were emailed directly to </w:t>
      </w:r>
      <w:proofErr w:type="gramStart"/>
      <w:r>
        <w:t>advise</w:t>
      </w:r>
      <w:proofErr w:type="gramEnd"/>
      <w:r>
        <w:t xml:space="preserve"> of the </w:t>
      </w:r>
      <w:r w:rsidR="00EE013C">
        <w:t>changes to the policy underpinning the native title respondent funding scheme</w:t>
      </w:r>
      <w:r>
        <w:t>.  At this time, a fact sheet and frequently asked document were also provided</w:t>
      </w:r>
      <w:r w:rsidR="00EE013C">
        <w:t xml:space="preserve"> to outline the specific changes</w:t>
      </w:r>
      <w:r>
        <w:t>.  This information was also published on the department’s website.  There was also specific correspondence addressing any issues raised by stakeholders.</w:t>
      </w:r>
    </w:p>
    <w:p w:rsidR="007B0247" w:rsidRDefault="007B0247">
      <w:r w:rsidRPr="00A2702A">
        <w:t xml:space="preserve">Given the extensive consultation outlined above, and that the </w:t>
      </w:r>
      <w:r w:rsidR="00A2702A">
        <w:t>guideline</w:t>
      </w:r>
      <w:r w:rsidRPr="00A2702A">
        <w:t xml:space="preserve"> only implemented the policy changes advised, no further consultation was undertaken in relation to the specific guideline document</w:t>
      </w:r>
      <w:r>
        <w:t>.</w:t>
      </w:r>
    </w:p>
    <w:p w:rsidR="00F406F6" w:rsidRPr="00F406F6" w:rsidRDefault="00F406F6">
      <w:pPr>
        <w:rPr>
          <w:b/>
        </w:rPr>
      </w:pPr>
      <w:r w:rsidRPr="00F406F6">
        <w:rPr>
          <w:b/>
        </w:rPr>
        <w:t>Regulatory Impact</w:t>
      </w:r>
    </w:p>
    <w:p w:rsidR="00F406F6" w:rsidRDefault="00F406F6">
      <w:r>
        <w:t>The Office of Best Practice Regulation (OBRP) has considered the matter and formed the view that a regulatory impact statement is not required.</w:t>
      </w:r>
    </w:p>
    <w:p w:rsidR="00CD0EED" w:rsidRDefault="00CD0EED">
      <w:r>
        <w:br w:type="page"/>
      </w:r>
    </w:p>
    <w:p w:rsidR="00CD0EED" w:rsidRPr="00E4135E" w:rsidRDefault="00CD0EED" w:rsidP="00CD0EED">
      <w:pPr>
        <w:pBdr>
          <w:top w:val="single" w:sz="4" w:space="1" w:color="auto"/>
          <w:left w:val="single" w:sz="4" w:space="4" w:color="auto"/>
          <w:bottom w:val="single" w:sz="4" w:space="1" w:color="auto"/>
          <w:right w:val="single" w:sz="4" w:space="4" w:color="auto"/>
        </w:pBdr>
        <w:spacing w:before="360" w:after="120"/>
        <w:jc w:val="center"/>
        <w:rPr>
          <w:rFonts w:ascii="Times New Roman" w:hAnsi="Times New Roman"/>
          <w:b/>
          <w:sz w:val="28"/>
          <w:szCs w:val="28"/>
        </w:rPr>
      </w:pPr>
      <w:bookmarkStart w:id="1" w:name="_Toc290210739"/>
      <w:r w:rsidRPr="00E4135E">
        <w:rPr>
          <w:rFonts w:ascii="Times New Roman" w:hAnsi="Times New Roman"/>
          <w:b/>
          <w:sz w:val="28"/>
          <w:szCs w:val="28"/>
        </w:rPr>
        <w:lastRenderedPageBreak/>
        <w:t>Statement of Compatibility with Human Rights</w:t>
      </w:r>
    </w:p>
    <w:p w:rsidR="00CD0EED" w:rsidRPr="00E4135E" w:rsidRDefault="00CD0EED" w:rsidP="00CD0EED">
      <w:pPr>
        <w:pBdr>
          <w:top w:val="single" w:sz="4" w:space="1" w:color="auto"/>
          <w:left w:val="single" w:sz="4" w:space="4" w:color="auto"/>
          <w:bottom w:val="single" w:sz="4" w:space="1" w:color="auto"/>
          <w:right w:val="single" w:sz="4" w:space="4" w:color="auto"/>
        </w:pBdr>
        <w:spacing w:before="120" w:after="120"/>
        <w:jc w:val="center"/>
        <w:rPr>
          <w:rFonts w:ascii="Times New Roman" w:hAnsi="Times New Roman"/>
          <w:sz w:val="24"/>
          <w:szCs w:val="24"/>
        </w:rPr>
      </w:pPr>
      <w:r w:rsidRPr="00E4135E">
        <w:rPr>
          <w:rFonts w:ascii="Times New Roman" w:hAnsi="Times New Roman"/>
          <w:i/>
          <w:sz w:val="24"/>
          <w:szCs w:val="24"/>
        </w:rPr>
        <w:t>Prepared in accordance with Part 3 of the Human Rights (Parliamentary Scrutiny) Act 2011</w:t>
      </w:r>
    </w:p>
    <w:p w:rsidR="00CD0EED" w:rsidRPr="00E4135E" w:rsidRDefault="00CD0EED" w:rsidP="00CD0EED">
      <w:pPr>
        <w:pBdr>
          <w:top w:val="single" w:sz="4" w:space="1" w:color="auto"/>
          <w:left w:val="single" w:sz="4" w:space="4" w:color="auto"/>
          <w:bottom w:val="single" w:sz="4" w:space="1" w:color="auto"/>
          <w:right w:val="single" w:sz="4" w:space="4" w:color="auto"/>
        </w:pBdr>
        <w:spacing w:before="120" w:after="120"/>
        <w:jc w:val="center"/>
        <w:rPr>
          <w:rFonts w:ascii="Times New Roman" w:hAnsi="Times New Roman"/>
          <w:sz w:val="24"/>
          <w:szCs w:val="24"/>
        </w:rPr>
      </w:pPr>
    </w:p>
    <w:p w:rsidR="00CD0EED" w:rsidRPr="00106F88" w:rsidRDefault="00CD0EED" w:rsidP="00CD0EED">
      <w:pPr>
        <w:pBdr>
          <w:top w:val="single" w:sz="4" w:space="1" w:color="auto"/>
          <w:left w:val="single" w:sz="4" w:space="4" w:color="auto"/>
          <w:bottom w:val="single" w:sz="4" w:space="1" w:color="auto"/>
          <w:right w:val="single" w:sz="4" w:space="4" w:color="auto"/>
        </w:pBdr>
        <w:spacing w:before="120" w:after="120"/>
        <w:jc w:val="center"/>
        <w:rPr>
          <w:rFonts w:ascii="Times New Roman" w:hAnsi="Times New Roman"/>
          <w:b/>
          <w:i/>
          <w:sz w:val="24"/>
          <w:szCs w:val="24"/>
        </w:rPr>
      </w:pPr>
      <w:r w:rsidRPr="00106F88">
        <w:rPr>
          <w:rFonts w:ascii="Times New Roman" w:hAnsi="Times New Roman"/>
          <w:b/>
          <w:i/>
          <w:sz w:val="24"/>
          <w:szCs w:val="24"/>
        </w:rPr>
        <w:t xml:space="preserve">Native Title (Assistance from Attorney-General) Guideline 2012 </w:t>
      </w:r>
    </w:p>
    <w:p w:rsidR="00CD0EED" w:rsidRPr="00E4135E" w:rsidRDefault="00CD0EED" w:rsidP="00CD0EED">
      <w:pPr>
        <w:pBdr>
          <w:top w:val="single" w:sz="4" w:space="1" w:color="auto"/>
          <w:left w:val="single" w:sz="4" w:space="4" w:color="auto"/>
          <w:bottom w:val="single" w:sz="4" w:space="1" w:color="auto"/>
          <w:right w:val="single" w:sz="4" w:space="4" w:color="auto"/>
        </w:pBdr>
        <w:spacing w:before="120" w:after="120"/>
        <w:jc w:val="center"/>
        <w:rPr>
          <w:rFonts w:ascii="Times New Roman" w:hAnsi="Times New Roman"/>
          <w:sz w:val="24"/>
          <w:szCs w:val="24"/>
        </w:rPr>
      </w:pPr>
    </w:p>
    <w:p w:rsidR="00CD0EED" w:rsidRPr="00E4135E" w:rsidRDefault="00CD0EED" w:rsidP="00CD0EED">
      <w:pPr>
        <w:pBdr>
          <w:top w:val="single" w:sz="4" w:space="1" w:color="auto"/>
          <w:left w:val="single" w:sz="4" w:space="4" w:color="auto"/>
          <w:bottom w:val="single" w:sz="4" w:space="1" w:color="auto"/>
          <w:right w:val="single" w:sz="4" w:space="4" w:color="auto"/>
        </w:pBdr>
        <w:spacing w:before="120" w:after="120"/>
        <w:rPr>
          <w:rFonts w:ascii="Times New Roman" w:hAnsi="Times New Roman"/>
          <w:sz w:val="24"/>
          <w:szCs w:val="24"/>
        </w:rPr>
      </w:pPr>
      <w:r w:rsidRPr="00E4135E">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szCs w:val="24"/>
        </w:rPr>
        <w:t>Human Rights (Parliamentary Scrutiny) Act 2011</w:t>
      </w:r>
      <w:r w:rsidRPr="00E4135E">
        <w:rPr>
          <w:rFonts w:ascii="Times New Roman" w:hAnsi="Times New Roman"/>
          <w:sz w:val="24"/>
          <w:szCs w:val="24"/>
        </w:rPr>
        <w:t>.</w:t>
      </w:r>
    </w:p>
    <w:p w:rsidR="00CD0EED" w:rsidRPr="00E4135E" w:rsidRDefault="00CD0EED" w:rsidP="00CD0EED">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b/>
          <w:sz w:val="24"/>
          <w:szCs w:val="24"/>
        </w:rPr>
      </w:pPr>
      <w:r w:rsidRPr="00C25032">
        <w:rPr>
          <w:rFonts w:ascii="Times New Roman" w:hAnsi="Times New Roman"/>
          <w:b/>
          <w:sz w:val="24"/>
          <w:szCs w:val="24"/>
        </w:rPr>
        <w:t>Overview of the Legislative Instrument</w:t>
      </w:r>
    </w:p>
    <w:p w:rsidR="00CD0EED" w:rsidRDefault="00CD0EED" w:rsidP="00CD0EED">
      <w:pPr>
        <w:pBdr>
          <w:top w:val="single" w:sz="4" w:space="1" w:color="auto"/>
          <w:left w:val="single" w:sz="4" w:space="4" w:color="auto"/>
          <w:bottom w:val="single" w:sz="4" w:space="1" w:color="auto"/>
          <w:right w:val="single" w:sz="4" w:space="4" w:color="auto"/>
        </w:pBdr>
        <w:spacing w:before="120" w:after="120"/>
        <w:rPr>
          <w:rFonts w:ascii="Times New Roman" w:hAnsi="Times New Roman"/>
          <w:sz w:val="24"/>
          <w:szCs w:val="24"/>
        </w:rPr>
      </w:pPr>
      <w:r>
        <w:rPr>
          <w:rFonts w:ascii="Times New Roman" w:hAnsi="Times New Roman"/>
          <w:sz w:val="24"/>
          <w:szCs w:val="24"/>
        </w:rPr>
        <w:t xml:space="preserve">The Legislative Instrument provides for new guidelines that are to be applied in authorising the provision of financial assistance by the Attorney-General for respondents under s213A </w:t>
      </w:r>
      <w:r w:rsidRPr="00C62F58">
        <w:rPr>
          <w:rFonts w:ascii="Times New Roman" w:hAnsi="Times New Roman"/>
          <w:i/>
          <w:sz w:val="24"/>
          <w:szCs w:val="24"/>
        </w:rPr>
        <w:t>Native Title Act 1993</w:t>
      </w:r>
      <w:r>
        <w:rPr>
          <w:rFonts w:ascii="Times New Roman" w:hAnsi="Times New Roman"/>
          <w:sz w:val="24"/>
          <w:szCs w:val="24"/>
        </w:rPr>
        <w:t xml:space="preserve">. </w:t>
      </w:r>
    </w:p>
    <w:p w:rsidR="00CD0EED" w:rsidRDefault="00CD0EED" w:rsidP="00CD0EED">
      <w:pPr>
        <w:pBdr>
          <w:top w:val="single" w:sz="4" w:space="1" w:color="auto"/>
          <w:left w:val="single" w:sz="4" w:space="4" w:color="auto"/>
          <w:bottom w:val="single" w:sz="4" w:space="1" w:color="auto"/>
          <w:right w:val="single" w:sz="4" w:space="4" w:color="auto"/>
        </w:pBdr>
        <w:spacing w:before="120" w:after="120"/>
        <w:rPr>
          <w:rFonts w:ascii="Times New Roman" w:hAnsi="Times New Roman"/>
          <w:sz w:val="24"/>
          <w:szCs w:val="24"/>
        </w:rPr>
      </w:pPr>
      <w:r>
        <w:rPr>
          <w:rFonts w:ascii="Times New Roman" w:hAnsi="Times New Roman"/>
          <w:sz w:val="24"/>
          <w:szCs w:val="24"/>
        </w:rPr>
        <w:t>The purpose is to provide guidance to the decision maker in assessing applications for grants of legal financial assistance.</w:t>
      </w:r>
    </w:p>
    <w:p w:rsidR="00CD0EED" w:rsidRDefault="00CD0EED" w:rsidP="00CD0EED">
      <w:pPr>
        <w:pBdr>
          <w:top w:val="single" w:sz="4" w:space="1" w:color="auto"/>
          <w:left w:val="single" w:sz="4" w:space="4" w:color="auto"/>
          <w:bottom w:val="single" w:sz="4" w:space="1" w:color="auto"/>
          <w:right w:val="single" w:sz="4" w:space="4" w:color="auto"/>
        </w:pBdr>
        <w:spacing w:before="120" w:after="120"/>
        <w:rPr>
          <w:rFonts w:ascii="Times New Roman" w:hAnsi="Times New Roman"/>
          <w:sz w:val="24"/>
          <w:szCs w:val="24"/>
        </w:rPr>
      </w:pPr>
      <w:r>
        <w:rPr>
          <w:rFonts w:ascii="Times New Roman" w:hAnsi="Times New Roman"/>
          <w:sz w:val="24"/>
          <w:szCs w:val="24"/>
        </w:rPr>
        <w:t xml:space="preserve">The guidelines provide for a revised interest test to apply to native title respondents from 1 January 2013.  Under the new arrangements; native title respondents will continue to receive assistance for disbursements related to native title claims.  Legal representation costs may be available where there are new or novel questions of native title law, or where the Court requires the respondent’s </w:t>
      </w:r>
      <w:r w:rsidRPr="00C25032">
        <w:rPr>
          <w:rFonts w:ascii="Times New Roman" w:hAnsi="Times New Roman"/>
          <w:sz w:val="24"/>
          <w:szCs w:val="24"/>
        </w:rPr>
        <w:t>participation beyond standard procedural processes</w:t>
      </w:r>
      <w:r>
        <w:rPr>
          <w:rFonts w:ascii="Times New Roman" w:hAnsi="Times New Roman"/>
          <w:sz w:val="24"/>
          <w:szCs w:val="24"/>
        </w:rPr>
        <w:t>.</w:t>
      </w:r>
    </w:p>
    <w:p w:rsidR="00CD0EED" w:rsidRPr="00E4135E" w:rsidRDefault="00CD0EED" w:rsidP="00CD0EED">
      <w:pPr>
        <w:pBdr>
          <w:top w:val="single" w:sz="4" w:space="1" w:color="auto"/>
          <w:left w:val="single" w:sz="4" w:space="4" w:color="auto"/>
          <w:bottom w:val="single" w:sz="4" w:space="1" w:color="auto"/>
          <w:right w:val="single" w:sz="4" w:space="4" w:color="auto"/>
        </w:pBdr>
        <w:spacing w:before="120" w:after="120"/>
        <w:rPr>
          <w:rFonts w:ascii="Times New Roman" w:hAnsi="Times New Roman"/>
          <w:b/>
          <w:sz w:val="24"/>
          <w:szCs w:val="24"/>
        </w:rPr>
      </w:pPr>
      <w:r w:rsidRPr="00E4135E">
        <w:rPr>
          <w:rFonts w:ascii="Times New Roman" w:hAnsi="Times New Roman"/>
          <w:b/>
          <w:sz w:val="24"/>
          <w:szCs w:val="24"/>
        </w:rPr>
        <w:t>Human rights implications</w:t>
      </w:r>
    </w:p>
    <w:p w:rsidR="00CD0EED" w:rsidRPr="00603F9C" w:rsidRDefault="00CD0EED" w:rsidP="00CD0EED">
      <w:pPr>
        <w:pBdr>
          <w:top w:val="single" w:sz="4" w:space="1" w:color="auto"/>
          <w:left w:val="single" w:sz="4" w:space="4" w:color="auto"/>
          <w:bottom w:val="single" w:sz="4" w:space="1" w:color="auto"/>
          <w:right w:val="single" w:sz="4" w:space="4" w:color="auto"/>
        </w:pBdr>
        <w:spacing w:before="120" w:after="120"/>
        <w:rPr>
          <w:rFonts w:ascii="Times New Roman" w:hAnsi="Times New Roman"/>
          <w:sz w:val="24"/>
          <w:szCs w:val="24"/>
        </w:rPr>
      </w:pPr>
      <w:r w:rsidRPr="00E4135E">
        <w:rPr>
          <w:rFonts w:ascii="Times New Roman" w:hAnsi="Times New Roman"/>
          <w:sz w:val="24"/>
          <w:szCs w:val="24"/>
        </w:rPr>
        <w:t xml:space="preserve">This </w:t>
      </w:r>
      <w:r>
        <w:rPr>
          <w:rFonts w:ascii="Times New Roman" w:hAnsi="Times New Roman"/>
          <w:sz w:val="24"/>
          <w:szCs w:val="24"/>
        </w:rPr>
        <w:t>l</w:t>
      </w:r>
      <w:r w:rsidRPr="00E4135E">
        <w:rPr>
          <w:rFonts w:ascii="Times New Roman" w:hAnsi="Times New Roman"/>
          <w:sz w:val="24"/>
          <w:szCs w:val="24"/>
        </w:rPr>
        <w:t xml:space="preserve">egislative </w:t>
      </w:r>
      <w:r>
        <w:rPr>
          <w:rFonts w:ascii="Times New Roman" w:hAnsi="Times New Roman"/>
          <w:sz w:val="24"/>
          <w:szCs w:val="24"/>
        </w:rPr>
        <w:t>i</w:t>
      </w:r>
      <w:r w:rsidRPr="00E4135E">
        <w:rPr>
          <w:rFonts w:ascii="Times New Roman" w:hAnsi="Times New Roman"/>
          <w:sz w:val="24"/>
          <w:szCs w:val="24"/>
        </w:rPr>
        <w:t>nstrument does not engage any of the applicable rights or freedoms.</w:t>
      </w:r>
      <w:r>
        <w:rPr>
          <w:rFonts w:ascii="Times New Roman" w:hAnsi="Times New Roman"/>
          <w:sz w:val="24"/>
          <w:szCs w:val="24"/>
        </w:rPr>
        <w:t xml:space="preserve">  The legislative instrument relates to the provision of legal financial assistance for respondents to native title matters and reflects changes to the revised interest test for native title respondent funding.</w:t>
      </w:r>
    </w:p>
    <w:p w:rsidR="00CD0EED" w:rsidRDefault="00CD0EED" w:rsidP="00CD0EED">
      <w:pPr>
        <w:pBdr>
          <w:top w:val="single" w:sz="4" w:space="1" w:color="auto"/>
          <w:left w:val="single" w:sz="4" w:space="4" w:color="auto"/>
          <w:bottom w:val="single" w:sz="4" w:space="1" w:color="auto"/>
          <w:right w:val="single" w:sz="4" w:space="4" w:color="auto"/>
        </w:pBdr>
        <w:spacing w:before="120" w:after="120"/>
        <w:rPr>
          <w:rFonts w:ascii="Times New Roman" w:hAnsi="Times New Roman"/>
          <w:b/>
          <w:sz w:val="24"/>
          <w:szCs w:val="24"/>
        </w:rPr>
      </w:pPr>
      <w:r>
        <w:rPr>
          <w:rFonts w:ascii="Times New Roman" w:hAnsi="Times New Roman"/>
          <w:b/>
          <w:sz w:val="24"/>
          <w:szCs w:val="24"/>
        </w:rPr>
        <w:t>Conclusion</w:t>
      </w:r>
    </w:p>
    <w:p w:rsidR="00CD0EED" w:rsidRDefault="00CD0EED" w:rsidP="00CD0EED">
      <w:pPr>
        <w:pBdr>
          <w:top w:val="single" w:sz="4" w:space="1" w:color="auto"/>
          <w:left w:val="single" w:sz="4" w:space="4" w:color="auto"/>
          <w:bottom w:val="single" w:sz="4" w:space="1" w:color="auto"/>
          <w:right w:val="single" w:sz="4" w:space="4" w:color="auto"/>
        </w:pBdr>
        <w:spacing w:before="120" w:after="120"/>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rsidR="00CD0EED" w:rsidRDefault="00CD0EED" w:rsidP="00CD0EED">
      <w:pPr>
        <w:pBdr>
          <w:top w:val="single" w:sz="4" w:space="1" w:color="auto"/>
          <w:left w:val="single" w:sz="4" w:space="4" w:color="auto"/>
          <w:bottom w:val="single" w:sz="4" w:space="1" w:color="auto"/>
          <w:right w:val="single" w:sz="4" w:space="4" w:color="auto"/>
        </w:pBdr>
        <w:spacing w:before="120" w:after="120"/>
        <w:jc w:val="center"/>
        <w:rPr>
          <w:rFonts w:ascii="Times New Roman" w:hAnsi="Times New Roman"/>
          <w:sz w:val="24"/>
          <w:szCs w:val="24"/>
        </w:rPr>
      </w:pPr>
    </w:p>
    <w:p w:rsidR="00CD0EED" w:rsidRDefault="00CD0EED" w:rsidP="00CD0EED">
      <w:pPr>
        <w:pBdr>
          <w:top w:val="single" w:sz="4" w:space="1" w:color="auto"/>
          <w:left w:val="single" w:sz="4" w:space="4" w:color="auto"/>
          <w:bottom w:val="single" w:sz="4" w:space="1" w:color="auto"/>
          <w:right w:val="single" w:sz="4" w:space="4" w:color="auto"/>
        </w:pBdr>
        <w:spacing w:before="120" w:after="120"/>
        <w:jc w:val="center"/>
        <w:rPr>
          <w:rFonts w:ascii="Times New Roman" w:hAnsi="Times New Roman"/>
          <w:sz w:val="24"/>
          <w:szCs w:val="24"/>
        </w:rPr>
      </w:pPr>
      <w:r>
        <w:rPr>
          <w:rFonts w:ascii="Times New Roman" w:hAnsi="Times New Roman"/>
          <w:b/>
          <w:sz w:val="24"/>
          <w:szCs w:val="24"/>
        </w:rPr>
        <w:t>The Hon Nicola Roxon MP, Attorney-General, Minister for Emergency Management</w:t>
      </w:r>
    </w:p>
    <w:p w:rsidR="00CD0EED" w:rsidRDefault="00CD0EED" w:rsidP="00CD0EED">
      <w:pPr>
        <w:pBdr>
          <w:top w:val="single" w:sz="4" w:space="1" w:color="auto"/>
          <w:left w:val="single" w:sz="4" w:space="4" w:color="auto"/>
          <w:bottom w:val="single" w:sz="4" w:space="1" w:color="auto"/>
          <w:right w:val="single" w:sz="4" w:space="4" w:color="auto"/>
        </w:pBdr>
        <w:spacing w:before="120" w:after="120"/>
        <w:rPr>
          <w:rFonts w:ascii="Times New Roman" w:hAnsi="Times New Roman"/>
          <w:sz w:val="24"/>
          <w:szCs w:val="24"/>
        </w:rPr>
      </w:pPr>
    </w:p>
    <w:p w:rsidR="00CD0EED" w:rsidRDefault="00CD0EED" w:rsidP="00CD0EED">
      <w:pPr>
        <w:pBdr>
          <w:top w:val="single" w:sz="4" w:space="1" w:color="auto"/>
          <w:left w:val="single" w:sz="4" w:space="4" w:color="auto"/>
          <w:bottom w:val="single" w:sz="4" w:space="1" w:color="auto"/>
          <w:right w:val="single" w:sz="4" w:space="4" w:color="auto"/>
        </w:pBdr>
        <w:spacing w:before="120" w:after="120"/>
        <w:rPr>
          <w:rFonts w:ascii="Times New Roman" w:hAnsi="Times New Roman"/>
          <w:sz w:val="24"/>
          <w:szCs w:val="24"/>
        </w:rPr>
      </w:pPr>
    </w:p>
    <w:bookmarkEnd w:id="1"/>
    <w:p w:rsidR="00754482" w:rsidRDefault="00754482"/>
    <w:p w:rsidR="00754482" w:rsidRDefault="00754482">
      <w:pPr>
        <w:rPr>
          <w:b/>
        </w:rPr>
      </w:pPr>
      <w:r>
        <w:rPr>
          <w:b/>
        </w:rPr>
        <w:br w:type="page"/>
      </w:r>
    </w:p>
    <w:p w:rsidR="00502C9C" w:rsidRDefault="00502C9C">
      <w:pPr>
        <w:rPr>
          <w:b/>
        </w:rPr>
      </w:pPr>
      <w:r>
        <w:rPr>
          <w:b/>
        </w:rPr>
        <w:lastRenderedPageBreak/>
        <w:t>Attachment</w:t>
      </w:r>
    </w:p>
    <w:p w:rsidR="00F406F6" w:rsidRDefault="00B16B0A">
      <w:pPr>
        <w:rPr>
          <w:b/>
        </w:rPr>
      </w:pPr>
      <w:r>
        <w:rPr>
          <w:b/>
        </w:rPr>
        <w:t>Description of the provisions of this Guideline</w:t>
      </w:r>
    </w:p>
    <w:p w:rsidR="00B16B0A" w:rsidRDefault="00B16B0A">
      <w:pPr>
        <w:rPr>
          <w:b/>
        </w:rPr>
      </w:pPr>
      <w:r>
        <w:rPr>
          <w:b/>
        </w:rPr>
        <w:t>1.1 – Name of the Guideline</w:t>
      </w:r>
    </w:p>
    <w:p w:rsidR="00B16B0A" w:rsidRPr="004418EA" w:rsidRDefault="004664ED">
      <w:r>
        <w:t xml:space="preserve">The guideline is to be referred to as the </w:t>
      </w:r>
      <w:r w:rsidRPr="004664ED">
        <w:rPr>
          <w:i/>
        </w:rPr>
        <w:t>Native Title (Assistance from Attorney-General) Guideline 2012</w:t>
      </w:r>
      <w:r>
        <w:t>.</w:t>
      </w:r>
    </w:p>
    <w:p w:rsidR="00B16B0A" w:rsidRDefault="00B16B0A">
      <w:pPr>
        <w:rPr>
          <w:b/>
        </w:rPr>
      </w:pPr>
      <w:r>
        <w:rPr>
          <w:b/>
        </w:rPr>
        <w:t>1.2 – Commencement</w:t>
      </w:r>
    </w:p>
    <w:p w:rsidR="00B16B0A" w:rsidRPr="004418EA" w:rsidRDefault="009C390C">
      <w:r>
        <w:t>T</w:t>
      </w:r>
      <w:r w:rsidR="004664ED">
        <w:t xml:space="preserve">he </w:t>
      </w:r>
      <w:r w:rsidR="004418EA">
        <w:t>g</w:t>
      </w:r>
      <w:r w:rsidR="00B16B0A" w:rsidRPr="004418EA">
        <w:t>uideline commences on 1 January 2013.</w:t>
      </w:r>
    </w:p>
    <w:p w:rsidR="00B16B0A" w:rsidRDefault="00B16B0A">
      <w:pPr>
        <w:rPr>
          <w:b/>
        </w:rPr>
      </w:pPr>
      <w:r>
        <w:rPr>
          <w:b/>
        </w:rPr>
        <w:t xml:space="preserve">1.3 </w:t>
      </w:r>
      <w:r w:rsidR="004418EA">
        <w:rPr>
          <w:b/>
        </w:rPr>
        <w:t>–</w:t>
      </w:r>
      <w:r>
        <w:rPr>
          <w:b/>
        </w:rPr>
        <w:t xml:space="preserve"> </w:t>
      </w:r>
      <w:r w:rsidR="004418EA">
        <w:rPr>
          <w:b/>
        </w:rPr>
        <w:t>Purpose of the guideline</w:t>
      </w:r>
    </w:p>
    <w:p w:rsidR="004418EA" w:rsidRPr="004418EA" w:rsidRDefault="009C390C">
      <w:r>
        <w:t>This s</w:t>
      </w:r>
      <w:r w:rsidR="004418EA" w:rsidRPr="004418EA">
        <w:t>ets out</w:t>
      </w:r>
      <w:r w:rsidR="00947846">
        <w:t xml:space="preserve"> the purpose of the guideline.</w:t>
      </w:r>
    </w:p>
    <w:p w:rsidR="00B16B0A" w:rsidRDefault="00B16B0A">
      <w:pPr>
        <w:rPr>
          <w:b/>
        </w:rPr>
      </w:pPr>
      <w:r>
        <w:rPr>
          <w:b/>
        </w:rPr>
        <w:t>2.1</w:t>
      </w:r>
      <w:r w:rsidR="004418EA">
        <w:rPr>
          <w:b/>
        </w:rPr>
        <w:t xml:space="preserve"> – Definitions</w:t>
      </w:r>
    </w:p>
    <w:p w:rsidR="004418EA" w:rsidRDefault="004418EA">
      <w:pPr>
        <w:rPr>
          <w:b/>
        </w:rPr>
      </w:pPr>
      <w:r>
        <w:t>Contains the definitions of terms used in the guideline</w:t>
      </w:r>
      <w:r w:rsidR="009C390C">
        <w:t>.</w:t>
      </w:r>
    </w:p>
    <w:p w:rsidR="00B16B0A" w:rsidRDefault="00B16B0A">
      <w:pPr>
        <w:rPr>
          <w:b/>
        </w:rPr>
      </w:pPr>
      <w:r>
        <w:rPr>
          <w:b/>
        </w:rPr>
        <w:t>2.2</w:t>
      </w:r>
      <w:r w:rsidR="004418EA">
        <w:rPr>
          <w:b/>
        </w:rPr>
        <w:t xml:space="preserve"> – Meaning of disbursements</w:t>
      </w:r>
    </w:p>
    <w:p w:rsidR="004418EA" w:rsidRPr="004418EA" w:rsidRDefault="00234E16">
      <w:r>
        <w:t>P</w:t>
      </w:r>
      <w:r w:rsidR="004664ED">
        <w:t xml:space="preserve">rovides for the definition of disbursement, and includes a number of items that would qualify as a disbursement.  </w:t>
      </w:r>
      <w:r w:rsidR="00C838AE">
        <w:t>L</w:t>
      </w:r>
      <w:r w:rsidR="004664ED">
        <w:t>egal representation costs for a legal practitioner a</w:t>
      </w:r>
      <w:r w:rsidR="00C838AE">
        <w:t xml:space="preserve">re specifically excluded as </w:t>
      </w:r>
      <w:r w:rsidR="004664ED">
        <w:t>a disbursement.</w:t>
      </w:r>
    </w:p>
    <w:p w:rsidR="00B16B0A" w:rsidRDefault="00B16B0A">
      <w:pPr>
        <w:rPr>
          <w:b/>
        </w:rPr>
      </w:pPr>
      <w:r>
        <w:rPr>
          <w:b/>
        </w:rPr>
        <w:t>2.3</w:t>
      </w:r>
      <w:r w:rsidR="004418EA">
        <w:rPr>
          <w:b/>
        </w:rPr>
        <w:t xml:space="preserve"> – Excluded costs</w:t>
      </w:r>
    </w:p>
    <w:p w:rsidR="004418EA" w:rsidRPr="004418EA" w:rsidRDefault="009C390C">
      <w:r>
        <w:t xml:space="preserve">This </w:t>
      </w:r>
      <w:r w:rsidR="00712129">
        <w:t xml:space="preserve">contains a list of </w:t>
      </w:r>
      <w:r w:rsidR="00947846">
        <w:t>types of costs that are specifically excluded from the provision of assistance.</w:t>
      </w:r>
    </w:p>
    <w:p w:rsidR="00B16B0A" w:rsidRDefault="00B16B0A">
      <w:pPr>
        <w:rPr>
          <w:b/>
        </w:rPr>
      </w:pPr>
      <w:r>
        <w:rPr>
          <w:b/>
        </w:rPr>
        <w:t>2.4</w:t>
      </w:r>
      <w:r w:rsidR="004418EA">
        <w:rPr>
          <w:b/>
        </w:rPr>
        <w:t xml:space="preserve"> – References to amounts of money</w:t>
      </w:r>
    </w:p>
    <w:p w:rsidR="004418EA" w:rsidRPr="004418EA" w:rsidRDefault="00947846">
      <w:r>
        <w:t>R</w:t>
      </w:r>
      <w:r w:rsidR="004418EA">
        <w:t xml:space="preserve">eferences to money in the </w:t>
      </w:r>
      <w:r w:rsidR="00A2702A">
        <w:t>guideline</w:t>
      </w:r>
      <w:r w:rsidR="004418EA">
        <w:t xml:space="preserve"> are in Australian dollars and are </w:t>
      </w:r>
      <w:r w:rsidR="00712129">
        <w:t>GST inclusive</w:t>
      </w:r>
      <w:r w:rsidR="004418EA">
        <w:t>.</w:t>
      </w:r>
    </w:p>
    <w:p w:rsidR="00B16B0A" w:rsidRDefault="00B16B0A">
      <w:pPr>
        <w:rPr>
          <w:b/>
        </w:rPr>
      </w:pPr>
      <w:r>
        <w:rPr>
          <w:b/>
        </w:rPr>
        <w:t>3.1</w:t>
      </w:r>
      <w:r w:rsidR="004418EA">
        <w:rPr>
          <w:b/>
        </w:rPr>
        <w:t xml:space="preserve"> – Application must be in accordance with Part 3</w:t>
      </w:r>
    </w:p>
    <w:p w:rsidR="004418EA" w:rsidRPr="004418EA" w:rsidRDefault="00947846">
      <w:r>
        <w:t>This s</w:t>
      </w:r>
      <w:r w:rsidR="00C838AE">
        <w:t>pecifies that assistance must not be authorised, unless the application for assistance is made in accordance with Part 3 of the guideline.</w:t>
      </w:r>
    </w:p>
    <w:p w:rsidR="00B16B0A" w:rsidRDefault="00B16B0A">
      <w:pPr>
        <w:rPr>
          <w:b/>
        </w:rPr>
      </w:pPr>
      <w:r>
        <w:rPr>
          <w:b/>
        </w:rPr>
        <w:t>3.2</w:t>
      </w:r>
      <w:r w:rsidR="004418EA">
        <w:rPr>
          <w:b/>
        </w:rPr>
        <w:t xml:space="preserve"> – Application requirements</w:t>
      </w:r>
    </w:p>
    <w:p w:rsidR="004418EA" w:rsidRPr="004418EA" w:rsidRDefault="00947846">
      <w:r>
        <w:t>I</w:t>
      </w:r>
      <w:r w:rsidR="009A2DE9">
        <w:t xml:space="preserve">f an application is </w:t>
      </w:r>
      <w:r>
        <w:t>in</w:t>
      </w:r>
      <w:r w:rsidR="009A2DE9">
        <w:t>complete, the decision maker may refuse to consider the application.</w:t>
      </w:r>
    </w:p>
    <w:p w:rsidR="00B16B0A" w:rsidRDefault="00B16B0A">
      <w:pPr>
        <w:rPr>
          <w:b/>
        </w:rPr>
      </w:pPr>
      <w:r>
        <w:rPr>
          <w:b/>
        </w:rPr>
        <w:t>3.3</w:t>
      </w:r>
      <w:r w:rsidR="004418EA">
        <w:rPr>
          <w:b/>
        </w:rPr>
        <w:t xml:space="preserve"> – What is a complete application</w:t>
      </w:r>
      <w:r w:rsidR="00DF6643">
        <w:rPr>
          <w:b/>
        </w:rPr>
        <w:t>?</w:t>
      </w:r>
    </w:p>
    <w:p w:rsidR="004418EA" w:rsidRPr="004418EA" w:rsidRDefault="00947846">
      <w:r>
        <w:t>This s</w:t>
      </w:r>
      <w:r w:rsidR="000F0E4E">
        <w:t>pecifies what a complete application is, and how applications are to be made and lodged.</w:t>
      </w:r>
    </w:p>
    <w:p w:rsidR="00B16B0A" w:rsidRDefault="00B16B0A">
      <w:pPr>
        <w:rPr>
          <w:b/>
        </w:rPr>
      </w:pPr>
      <w:r>
        <w:rPr>
          <w:b/>
        </w:rPr>
        <w:t>3.4</w:t>
      </w:r>
      <w:r w:rsidR="004418EA">
        <w:rPr>
          <w:b/>
        </w:rPr>
        <w:t xml:space="preserve"> – Requests for further information</w:t>
      </w:r>
    </w:p>
    <w:p w:rsidR="004418EA" w:rsidRPr="004418EA" w:rsidRDefault="00712129">
      <w:r>
        <w:t xml:space="preserve">This provides that </w:t>
      </w:r>
      <w:r w:rsidR="000F0E4E">
        <w:t>further information may be obtained by the decision maker, if it is reasonably required by the decision maker to make a decision on an application.</w:t>
      </w:r>
    </w:p>
    <w:p w:rsidR="00B16B0A" w:rsidRDefault="00B16B0A">
      <w:pPr>
        <w:rPr>
          <w:b/>
        </w:rPr>
      </w:pPr>
      <w:r>
        <w:rPr>
          <w:b/>
        </w:rPr>
        <w:lastRenderedPageBreak/>
        <w:t>3.5</w:t>
      </w:r>
      <w:r w:rsidR="004418EA">
        <w:rPr>
          <w:b/>
        </w:rPr>
        <w:t xml:space="preserve"> - Consent to obtaining, disclosing and using further information</w:t>
      </w:r>
    </w:p>
    <w:p w:rsidR="004418EA" w:rsidRDefault="003F4B44">
      <w:r>
        <w:t xml:space="preserve">Specifies that information about the application may be </w:t>
      </w:r>
      <w:r w:rsidR="000409FD">
        <w:t>obtained</w:t>
      </w:r>
      <w:r>
        <w:t xml:space="preserve"> from specified persons, and that information may be disclosed or obtained for the purpose of performing functions relating to the provision of assistance.</w:t>
      </w:r>
    </w:p>
    <w:p w:rsidR="00B16B0A" w:rsidRDefault="00B16B0A">
      <w:pPr>
        <w:rPr>
          <w:b/>
        </w:rPr>
      </w:pPr>
      <w:r>
        <w:rPr>
          <w:b/>
        </w:rPr>
        <w:t>3.6</w:t>
      </w:r>
      <w:r w:rsidR="004418EA">
        <w:rPr>
          <w:b/>
        </w:rPr>
        <w:t xml:space="preserve"> – Responsibilities of applicants</w:t>
      </w:r>
    </w:p>
    <w:p w:rsidR="004418EA" w:rsidRPr="004418EA" w:rsidRDefault="0082106A">
      <w:r>
        <w:t>Applicants have a responsibility to provide ho</w:t>
      </w:r>
      <w:r w:rsidR="003F4B44">
        <w:t xml:space="preserve">nest and accurate information </w:t>
      </w:r>
      <w:r>
        <w:t xml:space="preserve">and to alert the decision maker if </w:t>
      </w:r>
      <w:r w:rsidR="003F4B44">
        <w:t>there is a change in circumstances that may affect the application.</w:t>
      </w:r>
      <w:r>
        <w:t xml:space="preserve">  </w:t>
      </w:r>
    </w:p>
    <w:p w:rsidR="00B16B0A" w:rsidRDefault="00B16B0A" w:rsidP="00754482">
      <w:pPr>
        <w:keepNext/>
        <w:rPr>
          <w:b/>
        </w:rPr>
      </w:pPr>
      <w:r>
        <w:rPr>
          <w:b/>
        </w:rPr>
        <w:t>4.1</w:t>
      </w:r>
      <w:r w:rsidR="004418EA">
        <w:rPr>
          <w:b/>
        </w:rPr>
        <w:t xml:space="preserve"> – Making a decision on an application</w:t>
      </w:r>
    </w:p>
    <w:p w:rsidR="004418EA" w:rsidRDefault="003F4B44">
      <w:r>
        <w:t xml:space="preserve">Sets out the considerations that the decision maker must have </w:t>
      </w:r>
      <w:proofErr w:type="gramStart"/>
      <w:r w:rsidR="000D56C3">
        <w:t>r</w:t>
      </w:r>
      <w:r>
        <w:t>egard</w:t>
      </w:r>
      <w:proofErr w:type="gramEnd"/>
      <w:r>
        <w:t xml:space="preserve"> to</w:t>
      </w:r>
      <w:r w:rsidR="000D56C3">
        <w:t xml:space="preserve"> in making a decision on an application for financial assistance</w:t>
      </w:r>
      <w:r>
        <w:t>.</w:t>
      </w:r>
      <w:r w:rsidR="0082106A">
        <w:t xml:space="preserve">  This includes not only the considerations in </w:t>
      </w:r>
      <w:r w:rsidR="003F6B39">
        <w:t>4.4, 4.5 and 4.6</w:t>
      </w:r>
      <w:r w:rsidR="0082106A">
        <w:t>, but also the availability of funds under the appropriation, the number and relative merit of other applications made under the appropriation, and whether the applicant is or should form part of a group.</w:t>
      </w:r>
    </w:p>
    <w:p w:rsidR="00B16B0A" w:rsidRDefault="00B16B0A">
      <w:pPr>
        <w:rPr>
          <w:b/>
        </w:rPr>
      </w:pPr>
      <w:r>
        <w:rPr>
          <w:b/>
        </w:rPr>
        <w:t>4.2</w:t>
      </w:r>
      <w:r w:rsidR="004418EA">
        <w:rPr>
          <w:b/>
        </w:rPr>
        <w:t xml:space="preserve"> – No assistance for retrospective costs</w:t>
      </w:r>
    </w:p>
    <w:p w:rsidR="004418EA" w:rsidRPr="004418EA" w:rsidRDefault="0082106A">
      <w:r>
        <w:t>This p</w:t>
      </w:r>
      <w:r w:rsidR="004418EA" w:rsidRPr="004418EA">
        <w:t xml:space="preserve">rovides that </w:t>
      </w:r>
      <w:r>
        <w:t xml:space="preserve">financial assistance must not be authorised for costs incurred prior to the complete application being received, </w:t>
      </w:r>
      <w:r w:rsidR="004418EA" w:rsidRPr="004418EA">
        <w:t>unless there are exceptional circumstances.</w:t>
      </w:r>
    </w:p>
    <w:p w:rsidR="00B16B0A" w:rsidRDefault="00B16B0A">
      <w:pPr>
        <w:rPr>
          <w:b/>
        </w:rPr>
      </w:pPr>
      <w:r>
        <w:rPr>
          <w:b/>
        </w:rPr>
        <w:t>4.3</w:t>
      </w:r>
      <w:r w:rsidR="004418EA">
        <w:rPr>
          <w:b/>
        </w:rPr>
        <w:t xml:space="preserve"> – Notice of decision</w:t>
      </w:r>
    </w:p>
    <w:p w:rsidR="004418EA" w:rsidRPr="004418EA" w:rsidRDefault="0082106A">
      <w:proofErr w:type="gramStart"/>
      <w:r>
        <w:t xml:space="preserve">Provides </w:t>
      </w:r>
      <w:r w:rsidR="004418EA" w:rsidRPr="004418EA">
        <w:t>th</w:t>
      </w:r>
      <w:r>
        <w:t xml:space="preserve">at a </w:t>
      </w:r>
      <w:r w:rsidR="004418EA" w:rsidRPr="004418EA">
        <w:t xml:space="preserve">decision must be given </w:t>
      </w:r>
      <w:r>
        <w:t xml:space="preserve">within 28 days following </w:t>
      </w:r>
      <w:r w:rsidR="004418EA" w:rsidRPr="004418EA">
        <w:t>receipt of the complete application</w:t>
      </w:r>
      <w:r>
        <w:t>.</w:t>
      </w:r>
      <w:proofErr w:type="gramEnd"/>
      <w:r>
        <w:t xml:space="preserve">  It also specifies that a </w:t>
      </w:r>
      <w:r w:rsidR="004418EA" w:rsidRPr="004418EA">
        <w:t>notice of decision must contain</w:t>
      </w:r>
      <w:r>
        <w:t xml:space="preserve"> </w:t>
      </w:r>
      <w:r w:rsidR="000D56C3">
        <w:t>reasons for the decision, and review options</w:t>
      </w:r>
      <w:r w:rsidR="004418EA" w:rsidRPr="004418EA">
        <w:t>.</w:t>
      </w:r>
    </w:p>
    <w:p w:rsidR="00B16B0A" w:rsidRDefault="00B16B0A">
      <w:pPr>
        <w:rPr>
          <w:b/>
        </w:rPr>
      </w:pPr>
      <w:r>
        <w:rPr>
          <w:b/>
        </w:rPr>
        <w:t>4.4</w:t>
      </w:r>
      <w:r w:rsidR="004418EA">
        <w:rPr>
          <w:b/>
        </w:rPr>
        <w:t xml:space="preserve"> – Interests for which assistance is not to be granted</w:t>
      </w:r>
    </w:p>
    <w:p w:rsidR="00D72BD7" w:rsidRPr="004664FB" w:rsidRDefault="00C57DD0">
      <w:r>
        <w:t xml:space="preserve">This specifies that assistance must not be </w:t>
      </w:r>
      <w:r w:rsidR="0082106A">
        <w:t>provided if an applicant’s interest is a previous exclusive possession act; or has extinguished native title according to law; or is a low impact future act; or is a Scheduled interest; or relates to connection or other anthropological issue</w:t>
      </w:r>
      <w:r w:rsidR="00FB55A9">
        <w:t>s; or relates to compensation.</w:t>
      </w:r>
    </w:p>
    <w:p w:rsidR="00B16B0A" w:rsidRPr="00EC0EE5" w:rsidRDefault="00B16B0A">
      <w:pPr>
        <w:rPr>
          <w:b/>
        </w:rPr>
      </w:pPr>
      <w:r w:rsidRPr="00EC0EE5">
        <w:rPr>
          <w:b/>
        </w:rPr>
        <w:t>4.5</w:t>
      </w:r>
      <w:r w:rsidR="004418EA" w:rsidRPr="00EC0EE5">
        <w:rPr>
          <w:b/>
        </w:rPr>
        <w:t xml:space="preserve"> – Matters to be considered – assistance for disbursements</w:t>
      </w:r>
    </w:p>
    <w:p w:rsidR="00EC0EE5" w:rsidRPr="004664FB" w:rsidRDefault="00EC0EE5">
      <w:r w:rsidRPr="004664FB">
        <w:t xml:space="preserve">4.5 </w:t>
      </w:r>
      <w:r w:rsidR="0022621A" w:rsidRPr="00EC0EE5">
        <w:t xml:space="preserve">sets out the </w:t>
      </w:r>
      <w:r>
        <w:t xml:space="preserve">specific </w:t>
      </w:r>
      <w:r w:rsidR="0022621A" w:rsidRPr="00EC0EE5">
        <w:t xml:space="preserve">considerations that the decision maker must consider in making a decision on an application for disbursements under subsections 213(1), 213A(2) or 213A(3) of the </w:t>
      </w:r>
      <w:r w:rsidR="0022621A" w:rsidRPr="004664FB">
        <w:rPr>
          <w:i/>
        </w:rPr>
        <w:t>Native Title Act 1993</w:t>
      </w:r>
      <w:r w:rsidR="0022621A" w:rsidRPr="00EC0EE5">
        <w:t xml:space="preserve">.  </w:t>
      </w:r>
    </w:p>
    <w:p w:rsidR="00947846" w:rsidRDefault="00EC0EE5">
      <w:r w:rsidRPr="004664FB">
        <w:t>The decision maker must make a</w:t>
      </w:r>
      <w:r w:rsidR="00947846" w:rsidRPr="00EC0EE5">
        <w:t xml:space="preserve">n assessment of the applicant’s </w:t>
      </w:r>
      <w:r>
        <w:t xml:space="preserve">means </w:t>
      </w:r>
      <w:r w:rsidRPr="00EC0EE5">
        <w:t xml:space="preserve">for non-grouped </w:t>
      </w:r>
      <w:r w:rsidR="00947846" w:rsidRPr="00EC0EE5">
        <w:t>applications</w:t>
      </w:r>
      <w:r w:rsidRPr="00EC0EE5">
        <w:t xml:space="preserve">.  </w:t>
      </w:r>
      <w:r>
        <w:t>No assessment of means will be done for a grouped application.  4.8 provides for the assessment of means.</w:t>
      </w:r>
    </w:p>
    <w:p w:rsidR="00EC0EE5" w:rsidRPr="00EC0EE5" w:rsidRDefault="00EC0EE5">
      <w:r>
        <w:t xml:space="preserve">A number of particular considerations are provided for applications under sections </w:t>
      </w:r>
      <w:proofErr w:type="gramStart"/>
      <w:r>
        <w:t>213A(</w:t>
      </w:r>
      <w:proofErr w:type="gramEnd"/>
      <w:r>
        <w:t>2) and 213A(3).</w:t>
      </w:r>
    </w:p>
    <w:p w:rsidR="00B16B0A" w:rsidRPr="004E0366" w:rsidRDefault="00B16B0A" w:rsidP="008A1110">
      <w:pPr>
        <w:keepNext/>
        <w:rPr>
          <w:b/>
        </w:rPr>
      </w:pPr>
      <w:r w:rsidRPr="004E0366">
        <w:rPr>
          <w:b/>
        </w:rPr>
        <w:lastRenderedPageBreak/>
        <w:t>4.6</w:t>
      </w:r>
      <w:r w:rsidR="004418EA" w:rsidRPr="004E0366">
        <w:rPr>
          <w:b/>
        </w:rPr>
        <w:t xml:space="preserve"> – Matters to be considered – assistance for legal representation</w:t>
      </w:r>
    </w:p>
    <w:p w:rsidR="00EC0EE5" w:rsidRPr="004664FB" w:rsidRDefault="00EC0EE5">
      <w:r w:rsidRPr="004664FB">
        <w:t xml:space="preserve">4.6 </w:t>
      </w:r>
      <w:r w:rsidR="0022621A" w:rsidRPr="004E0366">
        <w:t xml:space="preserve">sets out the </w:t>
      </w:r>
      <w:r w:rsidRPr="004664FB">
        <w:t xml:space="preserve">specific </w:t>
      </w:r>
      <w:r w:rsidR="0022621A" w:rsidRPr="004E0366">
        <w:t xml:space="preserve">considerations that the decision maker must consider in making a decision on an application for assistance for legal representation under subsections 213(1), or 213A(2) of the </w:t>
      </w:r>
      <w:r w:rsidR="0022621A" w:rsidRPr="004E0366">
        <w:rPr>
          <w:i/>
        </w:rPr>
        <w:t>Native Title Act 1993</w:t>
      </w:r>
      <w:r w:rsidR="0022621A" w:rsidRPr="004E0366">
        <w:t xml:space="preserve">.  </w:t>
      </w:r>
    </w:p>
    <w:p w:rsidR="00EC0EE5" w:rsidRPr="004E0366" w:rsidRDefault="00EC0EE5">
      <w:r w:rsidRPr="004664FB">
        <w:t xml:space="preserve">An assessment of the applicant’s means must be made for non-grouped applications.  It may also be considered for grouped application.  </w:t>
      </w:r>
      <w:r w:rsidRPr="004E0366">
        <w:t>4.8 provides for the assessment of means</w:t>
      </w:r>
    </w:p>
    <w:p w:rsidR="004E0366" w:rsidRPr="004664FB" w:rsidRDefault="004E0366">
      <w:proofErr w:type="gramStart"/>
      <w:r w:rsidRPr="004E0366">
        <w:t>As assessment of the legal considerations must also be made as set out in 4.15.</w:t>
      </w:r>
      <w:proofErr w:type="gramEnd"/>
    </w:p>
    <w:p w:rsidR="00936A7F" w:rsidRDefault="00936A7F">
      <w:r>
        <w:t xml:space="preserve">For applications made under </w:t>
      </w:r>
      <w:proofErr w:type="gramStart"/>
      <w:r>
        <w:t>s213A(</w:t>
      </w:r>
      <w:proofErr w:type="gramEnd"/>
      <w:r>
        <w:t xml:space="preserve">1) of the </w:t>
      </w:r>
      <w:r w:rsidR="004E0366" w:rsidRPr="004664FB">
        <w:rPr>
          <w:i/>
        </w:rPr>
        <w:t>N</w:t>
      </w:r>
      <w:r w:rsidRPr="004664FB">
        <w:rPr>
          <w:i/>
        </w:rPr>
        <w:t>ative Title Act 1993</w:t>
      </w:r>
      <w:r>
        <w:t>, the decision maker must be satisfied that there is a new or novel question of law that relates directly to the applicant’s interests, or a court requires the applicant’s participation beyond standard procedural processes.</w:t>
      </w:r>
    </w:p>
    <w:p w:rsidR="00936A7F" w:rsidRDefault="00936A7F">
      <w:r>
        <w:t xml:space="preserve">For applications made under </w:t>
      </w:r>
      <w:proofErr w:type="gramStart"/>
      <w:r>
        <w:t>s213A(</w:t>
      </w:r>
      <w:proofErr w:type="gramEnd"/>
      <w:r>
        <w:t>2)</w:t>
      </w:r>
      <w:r w:rsidR="004E0366">
        <w:t xml:space="preserve"> of the </w:t>
      </w:r>
      <w:r w:rsidR="004E0366" w:rsidRPr="004664FB">
        <w:rPr>
          <w:i/>
        </w:rPr>
        <w:t>Native Title Act 1993</w:t>
      </w:r>
      <w:r w:rsidR="004E0366">
        <w:t>, the decision maker must consider a number of matters including whether a standard form of agreement or a template exists; whether all the parties are willing and able to negotiate; whether all there are new or novel questions of law directly relevant to the applicant’s interests; and whether the applicant needs to be involved given the stage of the proceedings.</w:t>
      </w:r>
    </w:p>
    <w:p w:rsidR="00936A7F" w:rsidRPr="004418EA" w:rsidRDefault="00936A7F">
      <w:r>
        <w:t xml:space="preserve">No assistance will be provided for legal representation costs under </w:t>
      </w:r>
      <w:proofErr w:type="gramStart"/>
      <w:r>
        <w:t>s213A(</w:t>
      </w:r>
      <w:proofErr w:type="gramEnd"/>
      <w:r>
        <w:t>3).</w:t>
      </w:r>
    </w:p>
    <w:p w:rsidR="00B16B0A" w:rsidRDefault="00B16B0A">
      <w:pPr>
        <w:rPr>
          <w:b/>
        </w:rPr>
      </w:pPr>
      <w:r>
        <w:rPr>
          <w:b/>
        </w:rPr>
        <w:t>4.7</w:t>
      </w:r>
      <w:r w:rsidR="004418EA">
        <w:rPr>
          <w:b/>
        </w:rPr>
        <w:t xml:space="preserve"> – Limits on assistance for legal representation</w:t>
      </w:r>
    </w:p>
    <w:p w:rsidR="004418EA" w:rsidRPr="004418EA" w:rsidRDefault="00CC30AB">
      <w:r>
        <w:t xml:space="preserve">This provides for </w:t>
      </w:r>
      <w:r w:rsidR="009962A8">
        <w:t>limits on how much the decision maker can approve for assistance for legal representation</w:t>
      </w:r>
      <w:r w:rsidR="004E0366">
        <w:t xml:space="preserve"> costs</w:t>
      </w:r>
      <w:r w:rsidR="009962A8">
        <w:t xml:space="preserve"> for applications under s</w:t>
      </w:r>
      <w:r w:rsidR="004E0366">
        <w:t xml:space="preserve">ections </w:t>
      </w:r>
      <w:proofErr w:type="gramStart"/>
      <w:r w:rsidR="009962A8">
        <w:t>213A(</w:t>
      </w:r>
      <w:proofErr w:type="gramEnd"/>
      <w:r w:rsidR="009962A8">
        <w:t xml:space="preserve">1) and 213A(2) of the </w:t>
      </w:r>
      <w:r w:rsidR="009962A8">
        <w:rPr>
          <w:i/>
        </w:rPr>
        <w:t>N</w:t>
      </w:r>
      <w:r w:rsidR="009962A8" w:rsidRPr="004664FB">
        <w:rPr>
          <w:i/>
        </w:rPr>
        <w:t>ative Title Act 1993.</w:t>
      </w:r>
    </w:p>
    <w:p w:rsidR="00B16B0A" w:rsidRDefault="00B16B0A">
      <w:pPr>
        <w:rPr>
          <w:b/>
        </w:rPr>
      </w:pPr>
      <w:r>
        <w:rPr>
          <w:b/>
        </w:rPr>
        <w:t>4.8</w:t>
      </w:r>
      <w:r w:rsidR="00FA33C6">
        <w:rPr>
          <w:b/>
        </w:rPr>
        <w:t xml:space="preserve"> – What are the applicant considerations?</w:t>
      </w:r>
    </w:p>
    <w:p w:rsidR="004418EA" w:rsidRPr="004418EA" w:rsidRDefault="00D72BD7">
      <w:r>
        <w:t>This provides for the assessment of the applicant’s means referred to in 4.5 and 4.6, and whether the applicant has the ability to meet the costs sought without incurring serious financial difficulty.</w:t>
      </w:r>
    </w:p>
    <w:p w:rsidR="00B16B0A" w:rsidRDefault="00B16B0A">
      <w:pPr>
        <w:rPr>
          <w:b/>
        </w:rPr>
      </w:pPr>
      <w:r>
        <w:rPr>
          <w:b/>
        </w:rPr>
        <w:t>4.9</w:t>
      </w:r>
      <w:r w:rsidR="00FA33C6">
        <w:rPr>
          <w:b/>
        </w:rPr>
        <w:t xml:space="preserve"> – Who is a financially–associated entity?</w:t>
      </w:r>
    </w:p>
    <w:p w:rsidR="004418EA" w:rsidRPr="004418EA" w:rsidRDefault="00D72BD7">
      <w:r>
        <w:t xml:space="preserve">This provides a definition of financially-associated entity, and </w:t>
      </w:r>
      <w:r w:rsidR="001036BB">
        <w:t>how it is to be considered in the assessment of the applicant’s means</w:t>
      </w:r>
      <w:r w:rsidR="00F664A7">
        <w:t xml:space="preserve"> in 4.8</w:t>
      </w:r>
      <w:r w:rsidR="001036BB">
        <w:t>.</w:t>
      </w:r>
    </w:p>
    <w:p w:rsidR="00B16B0A" w:rsidRDefault="00B16B0A">
      <w:pPr>
        <w:rPr>
          <w:b/>
        </w:rPr>
      </w:pPr>
      <w:r>
        <w:rPr>
          <w:b/>
        </w:rPr>
        <w:t>4.10</w:t>
      </w:r>
      <w:r w:rsidR="00FA33C6">
        <w:rPr>
          <w:b/>
        </w:rPr>
        <w:t xml:space="preserve"> – Additional applicant considerations for entities other than individuals</w:t>
      </w:r>
    </w:p>
    <w:p w:rsidR="004418EA" w:rsidRPr="004418EA" w:rsidRDefault="001036BB">
      <w:r>
        <w:t xml:space="preserve">This provides additional considerations for the assessment of means </w:t>
      </w:r>
      <w:r w:rsidR="00F664A7">
        <w:t xml:space="preserve">in 4.8 </w:t>
      </w:r>
      <w:r>
        <w:t>for an applicant that is not an individual, for example and incorporated body, or an entity that has shareholders or members.</w:t>
      </w:r>
    </w:p>
    <w:p w:rsidR="00B16B0A" w:rsidRDefault="00B16B0A">
      <w:pPr>
        <w:rPr>
          <w:b/>
        </w:rPr>
      </w:pPr>
      <w:r>
        <w:rPr>
          <w:b/>
        </w:rPr>
        <w:t>4.11</w:t>
      </w:r>
      <w:r w:rsidR="00FA33C6">
        <w:rPr>
          <w:b/>
        </w:rPr>
        <w:t xml:space="preserve"> – </w:t>
      </w:r>
      <w:r w:rsidR="00983E11">
        <w:rPr>
          <w:b/>
        </w:rPr>
        <w:t>W</w:t>
      </w:r>
      <w:r w:rsidR="00FA33C6">
        <w:rPr>
          <w:b/>
        </w:rPr>
        <w:t>hat is income</w:t>
      </w:r>
      <w:r w:rsidR="002B0899">
        <w:rPr>
          <w:b/>
        </w:rPr>
        <w:t>?</w:t>
      </w:r>
    </w:p>
    <w:p w:rsidR="004418EA" w:rsidRPr="004418EA" w:rsidRDefault="00D72BD7">
      <w:r>
        <w:t>This provides for a definition of income.</w:t>
      </w:r>
    </w:p>
    <w:p w:rsidR="00B16B0A" w:rsidRDefault="00B16B0A" w:rsidP="008A1110">
      <w:pPr>
        <w:keepNext/>
        <w:rPr>
          <w:b/>
        </w:rPr>
      </w:pPr>
      <w:r>
        <w:rPr>
          <w:b/>
        </w:rPr>
        <w:lastRenderedPageBreak/>
        <w:t>4.12</w:t>
      </w:r>
      <w:r w:rsidR="00FA33C6">
        <w:rPr>
          <w:b/>
        </w:rPr>
        <w:t xml:space="preserve"> – </w:t>
      </w:r>
      <w:r w:rsidR="00983E11">
        <w:rPr>
          <w:b/>
        </w:rPr>
        <w:t>W</w:t>
      </w:r>
      <w:r w:rsidR="00FA33C6">
        <w:rPr>
          <w:b/>
        </w:rPr>
        <w:t>hat are assets?</w:t>
      </w:r>
    </w:p>
    <w:p w:rsidR="00D72BD7" w:rsidRPr="004418EA" w:rsidRDefault="00D72BD7" w:rsidP="00D72BD7">
      <w:r>
        <w:t>This provides for a definition of assets.</w:t>
      </w:r>
    </w:p>
    <w:p w:rsidR="00B16B0A" w:rsidRDefault="00626611">
      <w:pPr>
        <w:rPr>
          <w:b/>
        </w:rPr>
      </w:pPr>
      <w:r>
        <w:rPr>
          <w:b/>
        </w:rPr>
        <w:t>4</w:t>
      </w:r>
      <w:r w:rsidR="00B16B0A">
        <w:rPr>
          <w:b/>
        </w:rPr>
        <w:t>.13</w:t>
      </w:r>
      <w:r w:rsidR="00FA33C6">
        <w:rPr>
          <w:b/>
        </w:rPr>
        <w:t xml:space="preserve"> – What are liabilities?</w:t>
      </w:r>
    </w:p>
    <w:p w:rsidR="00D72BD7" w:rsidRPr="004418EA" w:rsidRDefault="00D72BD7" w:rsidP="00D72BD7">
      <w:r>
        <w:t>This provides for a definition of liabilities</w:t>
      </w:r>
    </w:p>
    <w:p w:rsidR="00B16B0A" w:rsidRDefault="00B16B0A">
      <w:pPr>
        <w:rPr>
          <w:b/>
        </w:rPr>
      </w:pPr>
      <w:r>
        <w:rPr>
          <w:b/>
        </w:rPr>
        <w:t>4.14</w:t>
      </w:r>
      <w:r w:rsidR="00FA33C6">
        <w:rPr>
          <w:b/>
        </w:rPr>
        <w:t xml:space="preserve"> – What are expenses?</w:t>
      </w:r>
    </w:p>
    <w:p w:rsidR="00D72BD7" w:rsidRPr="004418EA" w:rsidRDefault="00D72BD7" w:rsidP="00D72BD7">
      <w:r>
        <w:t>This provides for a definition of expenses.</w:t>
      </w:r>
    </w:p>
    <w:p w:rsidR="00B16B0A" w:rsidRDefault="00B16B0A" w:rsidP="00754482">
      <w:pPr>
        <w:keepNext/>
        <w:rPr>
          <w:b/>
        </w:rPr>
      </w:pPr>
      <w:r>
        <w:rPr>
          <w:b/>
        </w:rPr>
        <w:t>4.15</w:t>
      </w:r>
      <w:r w:rsidR="00FA33C6">
        <w:rPr>
          <w:b/>
        </w:rPr>
        <w:t xml:space="preserve"> – What are the legal considerations?</w:t>
      </w:r>
    </w:p>
    <w:p w:rsidR="004418EA" w:rsidRDefault="00C57DD0">
      <w:r>
        <w:t>This sets out the considerations that the decision maker must have regard to (referred to in 4.6), when deciding an application for legal representation.</w:t>
      </w:r>
      <w:r w:rsidR="00983E11">
        <w:t xml:space="preserve">  These include the prospects of success and whether genuine steps have been taken to resolve the dispute.</w:t>
      </w:r>
    </w:p>
    <w:p w:rsidR="00B16B0A" w:rsidRDefault="00B16B0A">
      <w:pPr>
        <w:rPr>
          <w:b/>
        </w:rPr>
      </w:pPr>
      <w:r>
        <w:rPr>
          <w:b/>
        </w:rPr>
        <w:t>5.1 – Review of decisions</w:t>
      </w:r>
    </w:p>
    <w:p w:rsidR="00B16B0A" w:rsidRPr="004418EA" w:rsidRDefault="00B16B0A">
      <w:r w:rsidRPr="004418EA">
        <w:t xml:space="preserve">This </w:t>
      </w:r>
      <w:r w:rsidR="005C581D">
        <w:t>provides for internal review of a decision to refuse a grant of assistance, to approve a grant for less than the amount sought, or to impose terms and conditions on a grant of assistance.</w:t>
      </w:r>
    </w:p>
    <w:p w:rsidR="00B16B0A" w:rsidRDefault="00B16B0A">
      <w:pPr>
        <w:rPr>
          <w:b/>
        </w:rPr>
      </w:pPr>
      <w:r>
        <w:rPr>
          <w:b/>
        </w:rPr>
        <w:t>Clause 6.1 – Repeal</w:t>
      </w:r>
    </w:p>
    <w:p w:rsidR="00B16B0A" w:rsidRPr="004418EA" w:rsidRDefault="00B16B0A">
      <w:r w:rsidRPr="004418EA">
        <w:t>This provision provides for the repeal of the previous guidelines</w:t>
      </w:r>
      <w:r w:rsidR="00DB7EE3">
        <w:t>.</w:t>
      </w:r>
    </w:p>
    <w:p w:rsidR="00B16B0A" w:rsidRDefault="00B16B0A">
      <w:pPr>
        <w:rPr>
          <w:b/>
        </w:rPr>
      </w:pPr>
      <w:r>
        <w:rPr>
          <w:b/>
        </w:rPr>
        <w:t>Clause 6.2 - Transitional</w:t>
      </w:r>
    </w:p>
    <w:p w:rsidR="00B16B0A" w:rsidRPr="004418EA" w:rsidRDefault="00B16B0A">
      <w:r w:rsidRPr="004418EA">
        <w:t>Provides for how applications are to be dealt with that were received before 1 January 2013 but not yet decided.  It specifies that those applications are to be dealt with in accordance with this guideline.</w:t>
      </w:r>
    </w:p>
    <w:sectPr w:rsidR="00B16B0A" w:rsidRPr="004418E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839" w:rsidRDefault="00906839" w:rsidP="00906839">
      <w:pPr>
        <w:spacing w:after="0" w:line="240" w:lineRule="auto"/>
      </w:pPr>
      <w:r>
        <w:separator/>
      </w:r>
    </w:p>
  </w:endnote>
  <w:endnote w:type="continuationSeparator" w:id="0">
    <w:p w:rsidR="00906839" w:rsidRDefault="00906839" w:rsidP="00906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839" w:rsidRDefault="009068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839" w:rsidRDefault="009068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839" w:rsidRDefault="009068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839" w:rsidRDefault="00906839" w:rsidP="00906839">
      <w:pPr>
        <w:spacing w:after="0" w:line="240" w:lineRule="auto"/>
      </w:pPr>
      <w:r>
        <w:separator/>
      </w:r>
    </w:p>
  </w:footnote>
  <w:footnote w:type="continuationSeparator" w:id="0">
    <w:p w:rsidR="00906839" w:rsidRDefault="00906839" w:rsidP="00906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839" w:rsidRDefault="009068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839" w:rsidRDefault="009068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839" w:rsidRDefault="009068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03C89"/>
    <w:multiLevelType w:val="singleLevel"/>
    <w:tmpl w:val="3AD08AEA"/>
    <w:lvl w:ilvl="0">
      <w:start w:val="1"/>
      <w:numFmt w:val="bullet"/>
      <w:pStyle w:val="Bullet1"/>
      <w:lvlText w:val=""/>
      <w:lvlJc w:val="left"/>
      <w:pPr>
        <w:tabs>
          <w:tab w:val="num" w:pos="425"/>
        </w:tabs>
        <w:ind w:left="425" w:hanging="425"/>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0C6"/>
    <w:rsid w:val="0001750F"/>
    <w:rsid w:val="000409FD"/>
    <w:rsid w:val="0008022D"/>
    <w:rsid w:val="000A2713"/>
    <w:rsid w:val="000C35A5"/>
    <w:rsid w:val="000D56C3"/>
    <w:rsid w:val="000D66AE"/>
    <w:rsid w:val="000F0E4E"/>
    <w:rsid w:val="000F4069"/>
    <w:rsid w:val="001036BB"/>
    <w:rsid w:val="00112FAE"/>
    <w:rsid w:val="0022621A"/>
    <w:rsid w:val="00234E16"/>
    <w:rsid w:val="00236253"/>
    <w:rsid w:val="002832C5"/>
    <w:rsid w:val="002A242E"/>
    <w:rsid w:val="002B0899"/>
    <w:rsid w:val="002D4979"/>
    <w:rsid w:val="002E1779"/>
    <w:rsid w:val="00320C1C"/>
    <w:rsid w:val="003445B7"/>
    <w:rsid w:val="00360F7F"/>
    <w:rsid w:val="003B2EC0"/>
    <w:rsid w:val="003C227C"/>
    <w:rsid w:val="003C3AAD"/>
    <w:rsid w:val="003F4B44"/>
    <w:rsid w:val="003F6B39"/>
    <w:rsid w:val="00403D90"/>
    <w:rsid w:val="004418EA"/>
    <w:rsid w:val="00441E3B"/>
    <w:rsid w:val="004664ED"/>
    <w:rsid w:val="004664FB"/>
    <w:rsid w:val="004E0366"/>
    <w:rsid w:val="004F1518"/>
    <w:rsid w:val="00500F0B"/>
    <w:rsid w:val="0050126A"/>
    <w:rsid w:val="00502C9C"/>
    <w:rsid w:val="005147D1"/>
    <w:rsid w:val="00526FBD"/>
    <w:rsid w:val="005C1EEA"/>
    <w:rsid w:val="005C581D"/>
    <w:rsid w:val="00626611"/>
    <w:rsid w:val="006D4F5E"/>
    <w:rsid w:val="007059EF"/>
    <w:rsid w:val="00712129"/>
    <w:rsid w:val="007230C6"/>
    <w:rsid w:val="00723E2E"/>
    <w:rsid w:val="00754482"/>
    <w:rsid w:val="007806C8"/>
    <w:rsid w:val="00790D9E"/>
    <w:rsid w:val="007932B5"/>
    <w:rsid w:val="007B0247"/>
    <w:rsid w:val="007B2154"/>
    <w:rsid w:val="0082106A"/>
    <w:rsid w:val="00827534"/>
    <w:rsid w:val="00846D30"/>
    <w:rsid w:val="00871ED2"/>
    <w:rsid w:val="008A1110"/>
    <w:rsid w:val="008F2B43"/>
    <w:rsid w:val="00906839"/>
    <w:rsid w:val="00936A7F"/>
    <w:rsid w:val="00947846"/>
    <w:rsid w:val="00983E11"/>
    <w:rsid w:val="009962A8"/>
    <w:rsid w:val="009A2DE9"/>
    <w:rsid w:val="009B0981"/>
    <w:rsid w:val="009C390C"/>
    <w:rsid w:val="009E56E6"/>
    <w:rsid w:val="009F58FD"/>
    <w:rsid w:val="00A25E49"/>
    <w:rsid w:val="00A2702A"/>
    <w:rsid w:val="00A82E88"/>
    <w:rsid w:val="00AE5F41"/>
    <w:rsid w:val="00B02C23"/>
    <w:rsid w:val="00B16B0A"/>
    <w:rsid w:val="00B43193"/>
    <w:rsid w:val="00B77239"/>
    <w:rsid w:val="00BA6E61"/>
    <w:rsid w:val="00BB39E1"/>
    <w:rsid w:val="00BF3C96"/>
    <w:rsid w:val="00C06F7E"/>
    <w:rsid w:val="00C2193A"/>
    <w:rsid w:val="00C57DD0"/>
    <w:rsid w:val="00C838AE"/>
    <w:rsid w:val="00CC30AB"/>
    <w:rsid w:val="00CD0EED"/>
    <w:rsid w:val="00CD4988"/>
    <w:rsid w:val="00CE2750"/>
    <w:rsid w:val="00CE51F8"/>
    <w:rsid w:val="00D14998"/>
    <w:rsid w:val="00D4463F"/>
    <w:rsid w:val="00D72BD7"/>
    <w:rsid w:val="00D90DF1"/>
    <w:rsid w:val="00D91E6A"/>
    <w:rsid w:val="00DB70D1"/>
    <w:rsid w:val="00DB7EE3"/>
    <w:rsid w:val="00DF6643"/>
    <w:rsid w:val="00E253A9"/>
    <w:rsid w:val="00E717E5"/>
    <w:rsid w:val="00EA62B5"/>
    <w:rsid w:val="00EC0EE5"/>
    <w:rsid w:val="00EE013C"/>
    <w:rsid w:val="00F406F6"/>
    <w:rsid w:val="00F47668"/>
    <w:rsid w:val="00F664A7"/>
    <w:rsid w:val="00FA33C6"/>
    <w:rsid w:val="00FB497A"/>
    <w:rsid w:val="00FB55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4988"/>
    <w:pPr>
      <w:autoSpaceDE w:val="0"/>
      <w:autoSpaceDN w:val="0"/>
      <w:adjustRightInd w:val="0"/>
      <w:spacing w:after="0" w:line="240" w:lineRule="auto"/>
    </w:pPr>
    <w:rPr>
      <w:rFonts w:ascii="Calibri" w:hAnsi="Calibri" w:cs="Calibri"/>
      <w:color w:val="000000"/>
      <w:sz w:val="24"/>
      <w:szCs w:val="24"/>
    </w:rPr>
  </w:style>
  <w:style w:type="paragraph" w:customStyle="1" w:styleId="acmabodytext">
    <w:name w:val="acmabodytext"/>
    <w:basedOn w:val="Normal"/>
    <w:rsid w:val="00403D9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AE5F41"/>
    <w:rPr>
      <w:sz w:val="16"/>
      <w:szCs w:val="16"/>
    </w:rPr>
  </w:style>
  <w:style w:type="paragraph" w:styleId="CommentText">
    <w:name w:val="annotation text"/>
    <w:basedOn w:val="Normal"/>
    <w:link w:val="CommentTextChar"/>
    <w:uiPriority w:val="99"/>
    <w:semiHidden/>
    <w:unhideWhenUsed/>
    <w:rsid w:val="00AE5F41"/>
    <w:pPr>
      <w:spacing w:line="240" w:lineRule="auto"/>
    </w:pPr>
    <w:rPr>
      <w:sz w:val="20"/>
      <w:szCs w:val="20"/>
    </w:rPr>
  </w:style>
  <w:style w:type="character" w:customStyle="1" w:styleId="CommentTextChar">
    <w:name w:val="Comment Text Char"/>
    <w:basedOn w:val="DefaultParagraphFont"/>
    <w:link w:val="CommentText"/>
    <w:uiPriority w:val="99"/>
    <w:semiHidden/>
    <w:rsid w:val="00AE5F41"/>
    <w:rPr>
      <w:sz w:val="20"/>
      <w:szCs w:val="20"/>
    </w:rPr>
  </w:style>
  <w:style w:type="paragraph" w:styleId="CommentSubject">
    <w:name w:val="annotation subject"/>
    <w:basedOn w:val="CommentText"/>
    <w:next w:val="CommentText"/>
    <w:link w:val="CommentSubjectChar"/>
    <w:uiPriority w:val="99"/>
    <w:semiHidden/>
    <w:unhideWhenUsed/>
    <w:rsid w:val="00AE5F41"/>
    <w:rPr>
      <w:b/>
      <w:bCs/>
    </w:rPr>
  </w:style>
  <w:style w:type="character" w:customStyle="1" w:styleId="CommentSubjectChar">
    <w:name w:val="Comment Subject Char"/>
    <w:basedOn w:val="CommentTextChar"/>
    <w:link w:val="CommentSubject"/>
    <w:uiPriority w:val="99"/>
    <w:semiHidden/>
    <w:rsid w:val="00AE5F41"/>
    <w:rPr>
      <w:b/>
      <w:bCs/>
      <w:sz w:val="20"/>
      <w:szCs w:val="20"/>
    </w:rPr>
  </w:style>
  <w:style w:type="paragraph" w:styleId="BalloonText">
    <w:name w:val="Balloon Text"/>
    <w:basedOn w:val="Normal"/>
    <w:link w:val="BalloonTextChar"/>
    <w:uiPriority w:val="99"/>
    <w:semiHidden/>
    <w:unhideWhenUsed/>
    <w:rsid w:val="00AE5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F41"/>
    <w:rPr>
      <w:rFonts w:ascii="Tahoma" w:hAnsi="Tahoma" w:cs="Tahoma"/>
      <w:sz w:val="16"/>
      <w:szCs w:val="16"/>
    </w:rPr>
  </w:style>
  <w:style w:type="paragraph" w:customStyle="1" w:styleId="Bullet1">
    <w:name w:val="Bullet 1"/>
    <w:basedOn w:val="Normal"/>
    <w:rsid w:val="003C227C"/>
    <w:pPr>
      <w:numPr>
        <w:numId w:val="1"/>
      </w:numPr>
      <w:spacing w:before="120" w:after="0" w:line="360" w:lineRule="auto"/>
    </w:pPr>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9068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839"/>
  </w:style>
  <w:style w:type="paragraph" w:styleId="Footer">
    <w:name w:val="footer"/>
    <w:basedOn w:val="Normal"/>
    <w:link w:val="FooterChar"/>
    <w:uiPriority w:val="99"/>
    <w:unhideWhenUsed/>
    <w:rsid w:val="00906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8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4988"/>
    <w:pPr>
      <w:autoSpaceDE w:val="0"/>
      <w:autoSpaceDN w:val="0"/>
      <w:adjustRightInd w:val="0"/>
      <w:spacing w:after="0" w:line="240" w:lineRule="auto"/>
    </w:pPr>
    <w:rPr>
      <w:rFonts w:ascii="Calibri" w:hAnsi="Calibri" w:cs="Calibri"/>
      <w:color w:val="000000"/>
      <w:sz w:val="24"/>
      <w:szCs w:val="24"/>
    </w:rPr>
  </w:style>
  <w:style w:type="paragraph" w:customStyle="1" w:styleId="acmabodytext">
    <w:name w:val="acmabodytext"/>
    <w:basedOn w:val="Normal"/>
    <w:rsid w:val="00403D9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AE5F41"/>
    <w:rPr>
      <w:sz w:val="16"/>
      <w:szCs w:val="16"/>
    </w:rPr>
  </w:style>
  <w:style w:type="paragraph" w:styleId="CommentText">
    <w:name w:val="annotation text"/>
    <w:basedOn w:val="Normal"/>
    <w:link w:val="CommentTextChar"/>
    <w:uiPriority w:val="99"/>
    <w:semiHidden/>
    <w:unhideWhenUsed/>
    <w:rsid w:val="00AE5F41"/>
    <w:pPr>
      <w:spacing w:line="240" w:lineRule="auto"/>
    </w:pPr>
    <w:rPr>
      <w:sz w:val="20"/>
      <w:szCs w:val="20"/>
    </w:rPr>
  </w:style>
  <w:style w:type="character" w:customStyle="1" w:styleId="CommentTextChar">
    <w:name w:val="Comment Text Char"/>
    <w:basedOn w:val="DefaultParagraphFont"/>
    <w:link w:val="CommentText"/>
    <w:uiPriority w:val="99"/>
    <w:semiHidden/>
    <w:rsid w:val="00AE5F41"/>
    <w:rPr>
      <w:sz w:val="20"/>
      <w:szCs w:val="20"/>
    </w:rPr>
  </w:style>
  <w:style w:type="paragraph" w:styleId="CommentSubject">
    <w:name w:val="annotation subject"/>
    <w:basedOn w:val="CommentText"/>
    <w:next w:val="CommentText"/>
    <w:link w:val="CommentSubjectChar"/>
    <w:uiPriority w:val="99"/>
    <w:semiHidden/>
    <w:unhideWhenUsed/>
    <w:rsid w:val="00AE5F41"/>
    <w:rPr>
      <w:b/>
      <w:bCs/>
    </w:rPr>
  </w:style>
  <w:style w:type="character" w:customStyle="1" w:styleId="CommentSubjectChar">
    <w:name w:val="Comment Subject Char"/>
    <w:basedOn w:val="CommentTextChar"/>
    <w:link w:val="CommentSubject"/>
    <w:uiPriority w:val="99"/>
    <w:semiHidden/>
    <w:rsid w:val="00AE5F41"/>
    <w:rPr>
      <w:b/>
      <w:bCs/>
      <w:sz w:val="20"/>
      <w:szCs w:val="20"/>
    </w:rPr>
  </w:style>
  <w:style w:type="paragraph" w:styleId="BalloonText">
    <w:name w:val="Balloon Text"/>
    <w:basedOn w:val="Normal"/>
    <w:link w:val="BalloonTextChar"/>
    <w:uiPriority w:val="99"/>
    <w:semiHidden/>
    <w:unhideWhenUsed/>
    <w:rsid w:val="00AE5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F41"/>
    <w:rPr>
      <w:rFonts w:ascii="Tahoma" w:hAnsi="Tahoma" w:cs="Tahoma"/>
      <w:sz w:val="16"/>
      <w:szCs w:val="16"/>
    </w:rPr>
  </w:style>
  <w:style w:type="paragraph" w:customStyle="1" w:styleId="Bullet1">
    <w:name w:val="Bullet 1"/>
    <w:basedOn w:val="Normal"/>
    <w:rsid w:val="003C227C"/>
    <w:pPr>
      <w:numPr>
        <w:numId w:val="1"/>
      </w:numPr>
      <w:spacing w:before="120" w:after="0" w:line="360" w:lineRule="auto"/>
    </w:pPr>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9068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839"/>
  </w:style>
  <w:style w:type="paragraph" w:styleId="Footer">
    <w:name w:val="footer"/>
    <w:basedOn w:val="Normal"/>
    <w:link w:val="FooterChar"/>
    <w:uiPriority w:val="99"/>
    <w:unhideWhenUsed/>
    <w:rsid w:val="00906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830382">
      <w:bodyDiv w:val="1"/>
      <w:marLeft w:val="0"/>
      <w:marRight w:val="0"/>
      <w:marTop w:val="0"/>
      <w:marBottom w:val="0"/>
      <w:divBdr>
        <w:top w:val="none" w:sz="0" w:space="0" w:color="auto"/>
        <w:left w:val="none" w:sz="0" w:space="0" w:color="auto"/>
        <w:bottom w:val="none" w:sz="0" w:space="0" w:color="auto"/>
        <w:right w:val="none" w:sz="0" w:space="0" w:color="auto"/>
      </w:divBdr>
      <w:divsChild>
        <w:div w:id="1298606618">
          <w:marLeft w:val="0"/>
          <w:marRight w:val="0"/>
          <w:marTop w:val="0"/>
          <w:marBottom w:val="0"/>
          <w:divBdr>
            <w:top w:val="none" w:sz="0" w:space="0" w:color="auto"/>
            <w:left w:val="none" w:sz="0" w:space="0" w:color="auto"/>
            <w:bottom w:val="none" w:sz="0" w:space="0" w:color="auto"/>
            <w:right w:val="none" w:sz="0" w:space="0" w:color="auto"/>
          </w:divBdr>
          <w:divsChild>
            <w:div w:id="1242332828">
              <w:marLeft w:val="0"/>
              <w:marRight w:val="0"/>
              <w:marTop w:val="0"/>
              <w:marBottom w:val="0"/>
              <w:divBdr>
                <w:top w:val="none" w:sz="0" w:space="0" w:color="auto"/>
                <w:left w:val="none" w:sz="0" w:space="0" w:color="auto"/>
                <w:bottom w:val="none" w:sz="0" w:space="0" w:color="auto"/>
                <w:right w:val="none" w:sz="0" w:space="0" w:color="auto"/>
              </w:divBdr>
              <w:divsChild>
                <w:div w:id="1362437738">
                  <w:marLeft w:val="0"/>
                  <w:marRight w:val="0"/>
                  <w:marTop w:val="0"/>
                  <w:marBottom w:val="0"/>
                  <w:divBdr>
                    <w:top w:val="none" w:sz="0" w:space="0" w:color="auto"/>
                    <w:left w:val="none" w:sz="0" w:space="0" w:color="auto"/>
                    <w:bottom w:val="none" w:sz="0" w:space="0" w:color="auto"/>
                    <w:right w:val="none" w:sz="0" w:space="0" w:color="auto"/>
                  </w:divBdr>
                  <w:divsChild>
                    <w:div w:id="1290472411">
                      <w:marLeft w:val="0"/>
                      <w:marRight w:val="0"/>
                      <w:marTop w:val="0"/>
                      <w:marBottom w:val="0"/>
                      <w:divBdr>
                        <w:top w:val="none" w:sz="0" w:space="0" w:color="auto"/>
                        <w:left w:val="none" w:sz="0" w:space="0" w:color="auto"/>
                        <w:bottom w:val="none" w:sz="0" w:space="0" w:color="auto"/>
                        <w:right w:val="none" w:sz="0" w:space="0" w:color="auto"/>
                      </w:divBdr>
                      <w:divsChild>
                        <w:div w:id="1316765432">
                          <w:marLeft w:val="0"/>
                          <w:marRight w:val="0"/>
                          <w:marTop w:val="0"/>
                          <w:marBottom w:val="0"/>
                          <w:divBdr>
                            <w:top w:val="single" w:sz="6" w:space="0" w:color="828282"/>
                            <w:left w:val="single" w:sz="6" w:space="0" w:color="828282"/>
                            <w:bottom w:val="single" w:sz="6" w:space="0" w:color="828282"/>
                            <w:right w:val="single" w:sz="6" w:space="0" w:color="828282"/>
                          </w:divBdr>
                          <w:divsChild>
                            <w:div w:id="453132428">
                              <w:marLeft w:val="0"/>
                              <w:marRight w:val="0"/>
                              <w:marTop w:val="0"/>
                              <w:marBottom w:val="0"/>
                              <w:divBdr>
                                <w:top w:val="none" w:sz="0" w:space="0" w:color="auto"/>
                                <w:left w:val="none" w:sz="0" w:space="0" w:color="auto"/>
                                <w:bottom w:val="none" w:sz="0" w:space="0" w:color="auto"/>
                                <w:right w:val="none" w:sz="0" w:space="0" w:color="auto"/>
                              </w:divBdr>
                              <w:divsChild>
                                <w:div w:id="797836983">
                                  <w:marLeft w:val="0"/>
                                  <w:marRight w:val="0"/>
                                  <w:marTop w:val="0"/>
                                  <w:marBottom w:val="0"/>
                                  <w:divBdr>
                                    <w:top w:val="none" w:sz="0" w:space="0" w:color="auto"/>
                                    <w:left w:val="none" w:sz="0" w:space="0" w:color="auto"/>
                                    <w:bottom w:val="none" w:sz="0" w:space="0" w:color="auto"/>
                                    <w:right w:val="none" w:sz="0" w:space="0" w:color="auto"/>
                                  </w:divBdr>
                                  <w:divsChild>
                                    <w:div w:id="2111924828">
                                      <w:marLeft w:val="0"/>
                                      <w:marRight w:val="0"/>
                                      <w:marTop w:val="0"/>
                                      <w:marBottom w:val="0"/>
                                      <w:divBdr>
                                        <w:top w:val="none" w:sz="0" w:space="0" w:color="auto"/>
                                        <w:left w:val="none" w:sz="0" w:space="0" w:color="auto"/>
                                        <w:bottom w:val="none" w:sz="0" w:space="0" w:color="auto"/>
                                        <w:right w:val="none" w:sz="0" w:space="0" w:color="auto"/>
                                      </w:divBdr>
                                      <w:divsChild>
                                        <w:div w:id="967508952">
                                          <w:marLeft w:val="0"/>
                                          <w:marRight w:val="0"/>
                                          <w:marTop w:val="0"/>
                                          <w:marBottom w:val="0"/>
                                          <w:divBdr>
                                            <w:top w:val="none" w:sz="0" w:space="0" w:color="auto"/>
                                            <w:left w:val="none" w:sz="0" w:space="0" w:color="auto"/>
                                            <w:bottom w:val="none" w:sz="0" w:space="0" w:color="auto"/>
                                            <w:right w:val="none" w:sz="0" w:space="0" w:color="auto"/>
                                          </w:divBdr>
                                          <w:divsChild>
                                            <w:div w:id="1594044517">
                                              <w:marLeft w:val="0"/>
                                              <w:marRight w:val="0"/>
                                              <w:marTop w:val="0"/>
                                              <w:marBottom w:val="0"/>
                                              <w:divBdr>
                                                <w:top w:val="none" w:sz="0" w:space="0" w:color="auto"/>
                                                <w:left w:val="none" w:sz="0" w:space="0" w:color="auto"/>
                                                <w:bottom w:val="none" w:sz="0" w:space="0" w:color="auto"/>
                                                <w:right w:val="none" w:sz="0" w:space="0" w:color="auto"/>
                                              </w:divBdr>
                                              <w:divsChild>
                                                <w:div w:id="18219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C5A6B-30CD-4BB1-B2CF-852CDADC1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2074</Words>
  <Characters>11658</Characters>
  <Application>Microsoft Office Word</Application>
  <DocSecurity>4</DocSecurity>
  <Lines>209</Lines>
  <Paragraphs>113</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schral</dc:creator>
  <cp:keywords/>
  <dc:description/>
  <cp:lastModifiedBy>brooka</cp:lastModifiedBy>
  <cp:revision>2</cp:revision>
  <cp:lastPrinted>2012-12-06T04:55:00Z</cp:lastPrinted>
  <dcterms:created xsi:type="dcterms:W3CDTF">2012-12-18T22:54:00Z</dcterms:created>
  <dcterms:modified xsi:type="dcterms:W3CDTF">2012-12-18T22:54:00Z</dcterms:modified>
</cp:coreProperties>
</file>