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Pr="00F10FB4" w:rsidRDefault="006C4128" w:rsidP="00BA20A1">
      <w:pPr>
        <w:keepLines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35pt;height:87.05pt" fillcolor="window">
            <v:imagedata r:id="rId8" o:title=""/>
          </v:shape>
        </w:pict>
      </w:r>
    </w:p>
    <w:p w:rsidR="00B223A3" w:rsidRPr="00F10FB4" w:rsidRDefault="00B223A3" w:rsidP="00BA20A1">
      <w:pPr>
        <w:pStyle w:val="Title"/>
        <w:keepLines/>
        <w:pBdr>
          <w:bottom w:val="single" w:sz="4" w:space="3" w:color="auto"/>
        </w:pBdr>
      </w:pPr>
      <w:bookmarkStart w:id="0" w:name="Citation"/>
      <w:bookmarkStart w:id="1" w:name="OLE_LINK5"/>
      <w:bookmarkStart w:id="2" w:name="OLE_LINK6"/>
      <w:r w:rsidRPr="00F10FB4">
        <w:t xml:space="preserve">Radiocommunications </w:t>
      </w:r>
      <w:r w:rsidR="00310C9B" w:rsidRPr="00F10FB4">
        <w:t>Advisory Guidelines</w:t>
      </w:r>
      <w:r w:rsidRPr="00F10FB4">
        <w:t xml:space="preserve"> (</w:t>
      </w:r>
      <w:r w:rsidR="00310C9B" w:rsidRPr="00F10FB4">
        <w:t>Managing Interference from Transmitters</w:t>
      </w:r>
      <w:r w:rsidR="00203B7A" w:rsidRPr="00F10FB4">
        <w:t> </w:t>
      </w:r>
      <w:r w:rsidR="00535C52">
        <w:t>-</w:t>
      </w:r>
      <w:r w:rsidR="00310C9B" w:rsidRPr="00F10FB4">
        <w:t xml:space="preserve"> </w:t>
      </w:r>
      <w:r w:rsidRPr="00F10FB4">
        <w:t>2.</w:t>
      </w:r>
      <w:r w:rsidR="00E8476C">
        <w:t>5</w:t>
      </w:r>
      <w:r w:rsidRPr="00F10FB4">
        <w:t xml:space="preserve"> GHz </w:t>
      </w:r>
      <w:r w:rsidR="00E8476C">
        <w:t>Mid-</w:t>
      </w:r>
      <w:r w:rsidR="005644D5">
        <w:t>b</w:t>
      </w:r>
      <w:r w:rsidR="005644D5" w:rsidRPr="00F10FB4">
        <w:t>and</w:t>
      </w:r>
      <w:r w:rsidR="005644D5">
        <w:t xml:space="preserve"> </w:t>
      </w:r>
      <w:r w:rsidR="00E8476C">
        <w:t>Gap</w:t>
      </w:r>
      <w:r w:rsidRPr="00F10FB4">
        <w:t>)</w:t>
      </w:r>
      <w:r w:rsidR="008F161E" w:rsidRPr="00F10FB4">
        <w:t xml:space="preserve"> 20</w:t>
      </w:r>
      <w:bookmarkEnd w:id="0"/>
      <w:r w:rsidR="00E8476C">
        <w:t>12</w:t>
      </w:r>
    </w:p>
    <w:bookmarkEnd w:id="1"/>
    <w:bookmarkEnd w:id="2"/>
    <w:p w:rsidR="00B223A3" w:rsidRPr="00F10FB4" w:rsidRDefault="00B223A3" w:rsidP="00BA20A1">
      <w:pPr>
        <w:keepLines/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F10FB4"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:rsidR="00B223A3" w:rsidRPr="00F10FB4" w:rsidRDefault="00B223A3" w:rsidP="00BA20A1">
      <w:pPr>
        <w:keepLines/>
        <w:spacing w:before="360"/>
        <w:jc w:val="both"/>
      </w:pPr>
      <w:r w:rsidRPr="00F10FB4">
        <w:t>The AUSTRALIAN COMMUNICATIONS AND MEDIA AUTHORITY makes t</w:t>
      </w:r>
      <w:r w:rsidR="00310C9B" w:rsidRPr="00F10FB4">
        <w:t>hese</w:t>
      </w:r>
      <w:r w:rsidRPr="00F10FB4">
        <w:t xml:space="preserve"> </w:t>
      </w:r>
      <w:r w:rsidR="00310C9B" w:rsidRPr="00F10FB4">
        <w:t>Advisory Guidelines</w:t>
      </w:r>
      <w:r w:rsidR="00E9548F" w:rsidRPr="00F10FB4">
        <w:t xml:space="preserve"> under section </w:t>
      </w:r>
      <w:r w:rsidR="00310C9B" w:rsidRPr="00F10FB4">
        <w:t>262</w:t>
      </w:r>
      <w:r w:rsidRPr="00F10FB4">
        <w:t xml:space="preserve"> of the </w:t>
      </w:r>
      <w:r w:rsidRPr="00F10FB4">
        <w:rPr>
          <w:i/>
        </w:rPr>
        <w:t>Radiocommunications Act 1992</w:t>
      </w:r>
      <w:r w:rsidRPr="00F10FB4">
        <w:t>.</w:t>
      </w:r>
    </w:p>
    <w:p w:rsidR="00B223A3" w:rsidRDefault="00B223A3" w:rsidP="00BA20A1">
      <w:pPr>
        <w:keepLines/>
        <w:tabs>
          <w:tab w:val="left" w:pos="3119"/>
        </w:tabs>
        <w:spacing w:before="300" w:after="600" w:line="300" w:lineRule="atLeast"/>
      </w:pPr>
      <w:r w:rsidRPr="00F10FB4">
        <w:t xml:space="preserve">Dated </w:t>
      </w:r>
      <w:r w:rsidR="004627D7" w:rsidRPr="004627D7">
        <w:rPr>
          <w:i/>
        </w:rPr>
        <w:t>13</w:t>
      </w:r>
      <w:r w:rsidR="004627D7" w:rsidRPr="004627D7">
        <w:rPr>
          <w:i/>
          <w:vertAlign w:val="superscript"/>
        </w:rPr>
        <w:t>th</w:t>
      </w:r>
      <w:r w:rsidR="004627D7" w:rsidRPr="004627D7">
        <w:rPr>
          <w:i/>
        </w:rPr>
        <w:t xml:space="preserve"> December</w:t>
      </w:r>
      <w:r w:rsidR="004627D7">
        <w:t xml:space="preserve"> </w:t>
      </w:r>
      <w:bookmarkStart w:id="3" w:name="Year"/>
      <w:r w:rsidRPr="00F10FB4">
        <w:t>20</w:t>
      </w:r>
      <w:r w:rsidR="00535C52">
        <w:t>12</w:t>
      </w:r>
      <w:bookmarkEnd w:id="3"/>
    </w:p>
    <w:p w:rsidR="00535C52" w:rsidRPr="00F10FB4" w:rsidRDefault="00535C52" w:rsidP="00535C52">
      <w:pPr>
        <w:keepLines/>
        <w:tabs>
          <w:tab w:val="left" w:pos="3119"/>
        </w:tabs>
        <w:spacing w:before="120" w:line="300" w:lineRule="atLeast"/>
      </w:pPr>
    </w:p>
    <w:p w:rsidR="00BD32ED" w:rsidRDefault="004627D7" w:rsidP="00BD32ED">
      <w:pPr>
        <w:keepLines/>
        <w:tabs>
          <w:tab w:val="left" w:pos="3119"/>
        </w:tabs>
        <w:spacing w:line="300" w:lineRule="atLeast"/>
        <w:jc w:val="right"/>
      </w:pPr>
      <w:r w:rsidRPr="004627D7">
        <w:rPr>
          <w:i/>
        </w:rPr>
        <w:t>Chris Chapman</w:t>
      </w:r>
      <w:r>
        <w:t xml:space="preserve"> </w:t>
      </w:r>
      <w:r>
        <w:br/>
        <w:t xml:space="preserve">[signed] </w:t>
      </w:r>
      <w:r>
        <w:br/>
      </w:r>
      <w:r w:rsidR="00535C52">
        <w:t>Member</w:t>
      </w:r>
    </w:p>
    <w:p w:rsidR="00BD32ED" w:rsidRDefault="00BD32ED" w:rsidP="00BD32ED">
      <w:pPr>
        <w:keepLines/>
        <w:tabs>
          <w:tab w:val="left" w:pos="3119"/>
        </w:tabs>
        <w:spacing w:line="300" w:lineRule="atLeast"/>
        <w:jc w:val="right"/>
      </w:pPr>
    </w:p>
    <w:p w:rsidR="009A2D45" w:rsidRDefault="009A2D45" w:rsidP="00BD32ED">
      <w:pPr>
        <w:keepLines/>
        <w:tabs>
          <w:tab w:val="left" w:pos="3119"/>
        </w:tabs>
        <w:spacing w:line="300" w:lineRule="atLeast"/>
        <w:jc w:val="right"/>
      </w:pPr>
    </w:p>
    <w:p w:rsidR="009A2D45" w:rsidRDefault="009A2D45" w:rsidP="00BD32ED">
      <w:pPr>
        <w:keepLines/>
        <w:tabs>
          <w:tab w:val="left" w:pos="3119"/>
        </w:tabs>
        <w:spacing w:line="300" w:lineRule="atLeast"/>
        <w:jc w:val="right"/>
      </w:pPr>
    </w:p>
    <w:p w:rsidR="00BD32ED" w:rsidRPr="00F10FB4" w:rsidRDefault="00BD32ED" w:rsidP="00BD32ED">
      <w:pPr>
        <w:keepLines/>
        <w:tabs>
          <w:tab w:val="left" w:pos="3119"/>
        </w:tabs>
        <w:spacing w:line="300" w:lineRule="atLeast"/>
        <w:jc w:val="right"/>
      </w:pPr>
    </w:p>
    <w:p w:rsidR="00B223A3" w:rsidRPr="00F10FB4" w:rsidRDefault="004627D7" w:rsidP="00BD32ED">
      <w:pPr>
        <w:keepLines/>
        <w:tabs>
          <w:tab w:val="left" w:pos="3119"/>
        </w:tabs>
        <w:spacing w:line="300" w:lineRule="atLeast"/>
        <w:jc w:val="right"/>
      </w:pPr>
      <w:r w:rsidRPr="004627D7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B46C6E" w:rsidRPr="00F10FB4">
        <w:t>Member</w:t>
      </w:r>
      <w:r w:rsidR="00535C52">
        <w:t>/</w:t>
      </w:r>
      <w:r w:rsidR="00535C52" w:rsidRPr="004627D7">
        <w:rPr>
          <w:strike/>
        </w:rPr>
        <w:t>General Manager</w:t>
      </w:r>
    </w:p>
    <w:p w:rsidR="00B223A3" w:rsidRDefault="00B223A3" w:rsidP="00535C52">
      <w:pPr>
        <w:keepLines/>
        <w:tabs>
          <w:tab w:val="left" w:pos="3969"/>
        </w:tabs>
        <w:spacing w:before="120" w:line="300" w:lineRule="atLeast"/>
      </w:pPr>
    </w:p>
    <w:p w:rsidR="009A2D45" w:rsidRDefault="009A2D45" w:rsidP="00535C52">
      <w:pPr>
        <w:keepLines/>
        <w:tabs>
          <w:tab w:val="left" w:pos="3969"/>
        </w:tabs>
        <w:spacing w:before="120" w:line="300" w:lineRule="atLeast"/>
      </w:pPr>
    </w:p>
    <w:p w:rsidR="00B223A3" w:rsidRPr="00535C52" w:rsidRDefault="00B223A3" w:rsidP="00535C52">
      <w:pPr>
        <w:keepLines/>
        <w:pBdr>
          <w:bottom w:val="single" w:sz="4" w:space="12" w:color="auto"/>
        </w:pBdr>
        <w:tabs>
          <w:tab w:val="left" w:pos="3119"/>
        </w:tabs>
        <w:spacing w:after="240" w:line="300" w:lineRule="atLeast"/>
        <w:ind w:right="46"/>
        <w:rPr>
          <w:b/>
          <w:sz w:val="22"/>
          <w:szCs w:val="22"/>
        </w:rPr>
        <w:sectPr w:rsidR="00B223A3" w:rsidRPr="00535C52" w:rsidSect="00DB2513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40" w:right="1701" w:bottom="1440" w:left="1701" w:header="709" w:footer="709" w:gutter="0"/>
          <w:cols w:space="708"/>
          <w:titlePg/>
          <w:docGrid w:linePitch="360"/>
        </w:sectPr>
      </w:pPr>
      <w:bookmarkStart w:id="4" w:name="Minister"/>
      <w:r w:rsidRPr="00F10FB4">
        <w:t>Australian Communications and Media Authority</w:t>
      </w:r>
      <w:bookmarkEnd w:id="4"/>
      <w:r w:rsidR="00535C52">
        <w:t xml:space="preserve"> </w:t>
      </w:r>
    </w:p>
    <w:p w:rsidR="003C0ED6" w:rsidRDefault="00535C52" w:rsidP="00E9678F">
      <w:pPr>
        <w:pStyle w:val="Header"/>
        <w:tabs>
          <w:tab w:val="clear" w:pos="3969"/>
          <w:tab w:val="clear" w:pos="8505"/>
          <w:tab w:val="left" w:pos="975"/>
          <w:tab w:val="left" w:pos="1440"/>
          <w:tab w:val="left" w:pos="2160"/>
          <w:tab w:val="left" w:pos="2880"/>
          <w:tab w:val="left" w:pos="3119"/>
        </w:tabs>
        <w:rPr>
          <w:rStyle w:val="CharDivNo"/>
          <w:b/>
          <w:szCs w:val="16"/>
        </w:rPr>
      </w:pPr>
      <w:r>
        <w:rPr>
          <w:rStyle w:val="CharDivNo"/>
          <w:b/>
          <w:szCs w:val="16"/>
        </w:rPr>
        <w:lastRenderedPageBreak/>
        <w:br w:type="page"/>
      </w:r>
    </w:p>
    <w:p w:rsidR="00C87934" w:rsidRPr="00E9678F" w:rsidRDefault="00C87934" w:rsidP="00E9678F">
      <w:pPr>
        <w:pStyle w:val="Header"/>
        <w:tabs>
          <w:tab w:val="clear" w:pos="3969"/>
          <w:tab w:val="clear" w:pos="8505"/>
          <w:tab w:val="left" w:pos="975"/>
          <w:tab w:val="left" w:pos="1440"/>
          <w:tab w:val="left" w:pos="2160"/>
          <w:tab w:val="left" w:pos="2880"/>
          <w:tab w:val="left" w:pos="3119"/>
        </w:tabs>
        <w:rPr>
          <w:rStyle w:val="CharDivNo"/>
          <w:b/>
          <w:sz w:val="28"/>
          <w:szCs w:val="28"/>
        </w:rPr>
      </w:pPr>
      <w:r w:rsidRPr="00E9678F">
        <w:rPr>
          <w:rStyle w:val="CharDivNo"/>
          <w:b/>
          <w:sz w:val="28"/>
          <w:szCs w:val="28"/>
        </w:rPr>
        <w:t>P</w:t>
      </w:r>
      <w:r w:rsidR="00E9678F">
        <w:rPr>
          <w:rStyle w:val="CharDivNo"/>
          <w:b/>
          <w:sz w:val="28"/>
          <w:szCs w:val="28"/>
        </w:rPr>
        <w:t>art</w:t>
      </w:r>
      <w:r w:rsidRPr="00E9678F">
        <w:rPr>
          <w:rStyle w:val="CharDivNo"/>
          <w:b/>
          <w:sz w:val="28"/>
          <w:szCs w:val="28"/>
        </w:rPr>
        <w:t xml:space="preserve"> 1</w:t>
      </w:r>
      <w:r w:rsidR="00E9678F" w:rsidRPr="00E9678F">
        <w:rPr>
          <w:rStyle w:val="CharDivNo"/>
          <w:b/>
          <w:sz w:val="28"/>
          <w:szCs w:val="28"/>
        </w:rPr>
        <w:tab/>
      </w:r>
      <w:r w:rsidR="00E9678F" w:rsidRPr="00E9678F">
        <w:rPr>
          <w:rStyle w:val="CharDivNo"/>
          <w:b/>
          <w:sz w:val="28"/>
          <w:szCs w:val="28"/>
        </w:rPr>
        <w:tab/>
        <w:t>Preliminary</w:t>
      </w:r>
      <w:r w:rsidRPr="00E9678F">
        <w:rPr>
          <w:rStyle w:val="CharDivNo"/>
          <w:b/>
          <w:sz w:val="28"/>
          <w:szCs w:val="28"/>
        </w:rPr>
        <w:tab/>
      </w:r>
      <w:r w:rsidR="00E9678F" w:rsidRPr="00E9678F">
        <w:rPr>
          <w:rStyle w:val="CharDivNo"/>
          <w:b/>
          <w:sz w:val="28"/>
          <w:szCs w:val="28"/>
        </w:rPr>
        <w:tab/>
      </w:r>
    </w:p>
    <w:p w:rsidR="007D3505" w:rsidRPr="00F10FB4" w:rsidRDefault="007D3505">
      <w:pPr>
        <w:pStyle w:val="Header"/>
        <w:rPr>
          <w:b/>
          <w:vanish/>
          <w:szCs w:val="16"/>
        </w:rPr>
      </w:pPr>
      <w:r w:rsidRPr="00F10FB4">
        <w:rPr>
          <w:rStyle w:val="CharDivNo"/>
          <w:b/>
          <w:vanish/>
          <w:szCs w:val="16"/>
        </w:rPr>
        <w:t>Do not delete</w:t>
      </w:r>
      <w:r w:rsidRPr="00F10FB4">
        <w:rPr>
          <w:b/>
          <w:vanish/>
          <w:szCs w:val="16"/>
        </w:rPr>
        <w:t xml:space="preserve"> : </w:t>
      </w:r>
      <w:r w:rsidRPr="00F10FB4">
        <w:rPr>
          <w:rStyle w:val="CharDivText"/>
          <w:b/>
          <w:vanish/>
          <w:szCs w:val="16"/>
        </w:rPr>
        <w:t>Division Placeholder</w:t>
      </w:r>
    </w:p>
    <w:p w:rsidR="00557301" w:rsidRPr="00F10FB4" w:rsidRDefault="00557301" w:rsidP="00C87934">
      <w:pPr>
        <w:pStyle w:val="HR"/>
        <w:spacing w:before="240" w:after="60"/>
      </w:pPr>
      <w:bookmarkStart w:id="5" w:name="_Toc308011966"/>
      <w:r w:rsidRPr="00F10FB4">
        <w:rPr>
          <w:rStyle w:val="CharSectno"/>
        </w:rPr>
        <w:t>1</w:t>
      </w:r>
      <w:r w:rsidR="00C87934">
        <w:rPr>
          <w:rStyle w:val="CharSectno"/>
        </w:rPr>
        <w:t>.1</w:t>
      </w:r>
      <w:r w:rsidRPr="00F10FB4">
        <w:tab/>
        <w:t xml:space="preserve">Name of </w:t>
      </w:r>
      <w:r w:rsidR="00643E86">
        <w:t>g</w:t>
      </w:r>
      <w:r w:rsidRPr="00F10FB4">
        <w:t>uidelines</w:t>
      </w:r>
      <w:bookmarkEnd w:id="5"/>
    </w:p>
    <w:p w:rsidR="00557301" w:rsidRPr="00F10FB4" w:rsidRDefault="00557301" w:rsidP="00BA20A1">
      <w:pPr>
        <w:pStyle w:val="R1"/>
      </w:pPr>
      <w:r w:rsidRPr="00F10FB4">
        <w:tab/>
      </w:r>
      <w:r w:rsidRPr="00F10FB4">
        <w:tab/>
        <w:t xml:space="preserve">These </w:t>
      </w:r>
      <w:r w:rsidR="00643E86">
        <w:t>g</w:t>
      </w:r>
      <w:r w:rsidRPr="00F10FB4">
        <w:t xml:space="preserve">uidelines are the </w:t>
      </w:r>
      <w:r w:rsidR="001625E1" w:rsidRPr="00F10FB4">
        <w:rPr>
          <w:i/>
        </w:rPr>
        <w:t xml:space="preserve">Radiocommunications </w:t>
      </w:r>
      <w:r w:rsidR="001625E1">
        <w:rPr>
          <w:i/>
        </w:rPr>
        <w:t>Advisory Guidelines</w:t>
      </w:r>
      <w:r w:rsidR="001625E1" w:rsidRPr="00F10FB4">
        <w:rPr>
          <w:i/>
        </w:rPr>
        <w:t xml:space="preserve"> (</w:t>
      </w:r>
      <w:r w:rsidR="001625E1">
        <w:rPr>
          <w:i/>
        </w:rPr>
        <w:t xml:space="preserve">Managing Interference from Transmitters - </w:t>
      </w:r>
      <w:r w:rsidR="001625E1" w:rsidRPr="00F10FB4">
        <w:rPr>
          <w:i/>
        </w:rPr>
        <w:t>2</w:t>
      </w:r>
      <w:r w:rsidR="001625E1" w:rsidRPr="00F10FB4">
        <w:t>.</w:t>
      </w:r>
      <w:r w:rsidR="001625E1">
        <w:rPr>
          <w:i/>
        </w:rPr>
        <w:t>5</w:t>
      </w:r>
      <w:r w:rsidR="001625E1" w:rsidRPr="00F10FB4">
        <w:rPr>
          <w:i/>
        </w:rPr>
        <w:t xml:space="preserve"> GHz </w:t>
      </w:r>
      <w:r w:rsidR="001625E1">
        <w:rPr>
          <w:i/>
        </w:rPr>
        <w:t>Mid-b</w:t>
      </w:r>
      <w:r w:rsidR="001625E1" w:rsidRPr="00F10FB4">
        <w:rPr>
          <w:i/>
        </w:rPr>
        <w:t>and</w:t>
      </w:r>
      <w:r w:rsidR="001625E1">
        <w:rPr>
          <w:i/>
        </w:rPr>
        <w:t xml:space="preserve"> Gap</w:t>
      </w:r>
      <w:r w:rsidR="001625E1" w:rsidRPr="00F10FB4">
        <w:rPr>
          <w:i/>
        </w:rPr>
        <w:t>) 20</w:t>
      </w:r>
      <w:r w:rsidR="001625E1">
        <w:rPr>
          <w:i/>
        </w:rPr>
        <w:t>12.</w:t>
      </w:r>
    </w:p>
    <w:p w:rsidR="00557301" w:rsidRPr="00F10FB4" w:rsidRDefault="00C87934" w:rsidP="00BA20A1">
      <w:pPr>
        <w:pStyle w:val="HR"/>
      </w:pPr>
      <w:bookmarkStart w:id="6" w:name="_Toc308011967"/>
      <w:r>
        <w:rPr>
          <w:rStyle w:val="CharSectno"/>
        </w:rPr>
        <w:t>1.</w:t>
      </w:r>
      <w:r w:rsidR="00557301" w:rsidRPr="00F10FB4">
        <w:rPr>
          <w:rStyle w:val="CharSectno"/>
        </w:rPr>
        <w:t>2</w:t>
      </w:r>
      <w:r w:rsidR="00557301" w:rsidRPr="00F10FB4">
        <w:tab/>
        <w:t>Commencement</w:t>
      </w:r>
      <w:bookmarkEnd w:id="6"/>
    </w:p>
    <w:p w:rsidR="00557301" w:rsidRDefault="00557301" w:rsidP="00BA20A1">
      <w:pPr>
        <w:pStyle w:val="R1"/>
      </w:pPr>
      <w:r w:rsidRPr="00F10FB4">
        <w:tab/>
      </w:r>
      <w:r w:rsidRPr="00F10FB4">
        <w:tab/>
        <w:t xml:space="preserve">These </w:t>
      </w:r>
      <w:r w:rsidR="00643E86">
        <w:t>g</w:t>
      </w:r>
      <w:r w:rsidRPr="00F10FB4">
        <w:t xml:space="preserve">uidelines commence on the same day as the </w:t>
      </w:r>
      <w:r w:rsidRPr="00F10FB4">
        <w:rPr>
          <w:i/>
        </w:rPr>
        <w:t xml:space="preserve">Radiocommunications Spectrum </w:t>
      </w:r>
      <w:r w:rsidR="00172D48">
        <w:rPr>
          <w:i/>
        </w:rPr>
        <w:t>Conversion</w:t>
      </w:r>
      <w:r w:rsidR="00172D48" w:rsidRPr="00F10FB4">
        <w:rPr>
          <w:i/>
        </w:rPr>
        <w:t xml:space="preserve"> </w:t>
      </w:r>
      <w:r w:rsidRPr="00F10FB4">
        <w:rPr>
          <w:i/>
        </w:rPr>
        <w:t>Plan (2</w:t>
      </w:r>
      <w:r w:rsidRPr="00F10FB4">
        <w:t>.</w:t>
      </w:r>
      <w:r w:rsidR="00172D48">
        <w:rPr>
          <w:i/>
        </w:rPr>
        <w:t>5</w:t>
      </w:r>
      <w:r w:rsidR="00F83A7B" w:rsidRPr="00F10FB4">
        <w:rPr>
          <w:i/>
        </w:rPr>
        <w:t xml:space="preserve"> </w:t>
      </w:r>
      <w:r w:rsidRPr="00F10FB4">
        <w:rPr>
          <w:i/>
        </w:rPr>
        <w:t xml:space="preserve">GHz </w:t>
      </w:r>
      <w:r w:rsidR="00DE0ED1">
        <w:rPr>
          <w:i/>
        </w:rPr>
        <w:t>Mid-band Gap</w:t>
      </w:r>
      <w:r w:rsidRPr="00F10FB4">
        <w:rPr>
          <w:i/>
        </w:rPr>
        <w:t>) 20</w:t>
      </w:r>
      <w:r w:rsidR="00172D48">
        <w:rPr>
          <w:i/>
        </w:rPr>
        <w:t>12</w:t>
      </w:r>
      <w:r w:rsidRPr="00F10FB4">
        <w:t>.</w:t>
      </w:r>
    </w:p>
    <w:p w:rsidR="009524AF" w:rsidRPr="009524AF" w:rsidRDefault="009524AF" w:rsidP="009524AF">
      <w:pPr>
        <w:pStyle w:val="Note"/>
      </w:pPr>
      <w:r>
        <w:rPr>
          <w:i/>
        </w:rPr>
        <w:t>Note</w:t>
      </w:r>
      <w:r>
        <w:t xml:space="preserve">   All legislative instruments and compilations are registered on the Federal Register of Legislative Instruments kept under the </w:t>
      </w:r>
      <w:r>
        <w:rPr>
          <w:i/>
        </w:rPr>
        <w:t>Legislative Instruments Act 2003</w:t>
      </w:r>
      <w:r>
        <w:t xml:space="preserve">.  See </w:t>
      </w:r>
      <w:hyperlink r:id="rId14" w:history="1">
        <w:r w:rsidRPr="00C40D28">
          <w:rPr>
            <w:rStyle w:val="Hyperlink"/>
          </w:rPr>
          <w:t>http://www.frli.gov.au</w:t>
        </w:r>
      </w:hyperlink>
      <w:r>
        <w:t xml:space="preserve">. </w:t>
      </w:r>
    </w:p>
    <w:p w:rsidR="00557301" w:rsidRPr="00F10FB4" w:rsidRDefault="00C87934" w:rsidP="00BA20A1">
      <w:pPr>
        <w:pStyle w:val="HR"/>
      </w:pPr>
      <w:bookmarkStart w:id="7" w:name="_Toc308011968"/>
      <w:r>
        <w:rPr>
          <w:rStyle w:val="CharSectno"/>
        </w:rPr>
        <w:t>1.</w:t>
      </w:r>
      <w:r w:rsidR="00557301" w:rsidRPr="00F10FB4">
        <w:rPr>
          <w:rStyle w:val="CharSectno"/>
        </w:rPr>
        <w:t>3</w:t>
      </w:r>
      <w:r w:rsidR="00557301" w:rsidRPr="00F10FB4">
        <w:tab/>
        <w:t xml:space="preserve">Purpose </w:t>
      </w:r>
      <w:bookmarkEnd w:id="7"/>
    </w:p>
    <w:p w:rsidR="00557301" w:rsidRPr="00F10FB4" w:rsidRDefault="00557301" w:rsidP="00BA20A1">
      <w:pPr>
        <w:pStyle w:val="R1"/>
      </w:pPr>
      <w:r w:rsidRPr="00F10FB4">
        <w:tab/>
      </w:r>
      <w:r w:rsidRPr="0037392A">
        <w:t>(1)</w:t>
      </w:r>
      <w:r w:rsidRPr="0037392A">
        <w:tab/>
        <w:t xml:space="preserve">The purpose of these </w:t>
      </w:r>
      <w:r w:rsidR="00643E86">
        <w:t>g</w:t>
      </w:r>
      <w:r w:rsidRPr="0037392A">
        <w:t xml:space="preserve">uidelines is to manage interference from </w:t>
      </w:r>
      <w:r w:rsidR="001625E1" w:rsidRPr="0037392A">
        <w:t xml:space="preserve">radiocommunications </w:t>
      </w:r>
      <w:r w:rsidRPr="0037392A">
        <w:t xml:space="preserve">transmitters operated under </w:t>
      </w:r>
      <w:r w:rsidR="00692066">
        <w:t xml:space="preserve">a spectrum licence in the </w:t>
      </w:r>
      <w:r w:rsidRPr="0037392A">
        <w:t>2.</w:t>
      </w:r>
      <w:r w:rsidR="00172D48" w:rsidRPr="0037392A">
        <w:t>5</w:t>
      </w:r>
      <w:r w:rsidRPr="0037392A">
        <w:t xml:space="preserve"> GHz </w:t>
      </w:r>
      <w:r w:rsidR="001625E1" w:rsidRPr="0037392A">
        <w:t>M</w:t>
      </w:r>
      <w:r w:rsidR="00172D48" w:rsidRPr="0037392A">
        <w:t xml:space="preserve">id-band </w:t>
      </w:r>
      <w:r w:rsidR="001625E1" w:rsidRPr="0037392A">
        <w:t>G</w:t>
      </w:r>
      <w:r w:rsidR="00172D48" w:rsidRPr="0037392A">
        <w:t>ap</w:t>
      </w:r>
      <w:r w:rsidR="009A2D45">
        <w:t>, so as</w:t>
      </w:r>
      <w:r w:rsidR="00172D48" w:rsidRPr="0037392A">
        <w:t xml:space="preserve"> </w:t>
      </w:r>
      <w:r w:rsidRPr="0037392A">
        <w:t xml:space="preserve">to </w:t>
      </w:r>
      <w:r w:rsidR="001A5ED4" w:rsidRPr="0037392A">
        <w:t xml:space="preserve">provide for the protection of </w:t>
      </w:r>
      <w:r w:rsidR="001625E1" w:rsidRPr="0037392A">
        <w:t xml:space="preserve">radiocommunications </w:t>
      </w:r>
      <w:r w:rsidR="001A5ED4" w:rsidRPr="0037392A">
        <w:t xml:space="preserve">receivers operating in or adjacent to the </w:t>
      </w:r>
      <w:r w:rsidR="001625E1" w:rsidRPr="0037392A">
        <w:t>2.5 GHz Mid-band Gap</w:t>
      </w:r>
      <w:r w:rsidR="001A5ED4" w:rsidRPr="0037392A">
        <w:t>.</w:t>
      </w:r>
    </w:p>
    <w:p w:rsidR="001625E1" w:rsidRDefault="00557301" w:rsidP="00BA20A1">
      <w:pPr>
        <w:pStyle w:val="R2"/>
      </w:pPr>
      <w:r w:rsidRPr="00F10FB4">
        <w:tab/>
        <w:t>(2)</w:t>
      </w:r>
      <w:r w:rsidRPr="00F10FB4">
        <w:tab/>
      </w:r>
      <w:r w:rsidR="00F078A5" w:rsidRPr="00CC2BC3">
        <w:t>The</w:t>
      </w:r>
      <w:r w:rsidR="00F078A5">
        <w:t xml:space="preserve"> </w:t>
      </w:r>
      <w:r w:rsidRPr="00F10FB4">
        <w:t xml:space="preserve">ACMA will take these </w:t>
      </w:r>
      <w:r w:rsidR="00643E86">
        <w:t>g</w:t>
      </w:r>
      <w:r w:rsidRPr="00F10FB4">
        <w:t xml:space="preserve">uidelines into account in determining whether a spectrum licensed </w:t>
      </w:r>
      <w:r w:rsidR="001625E1">
        <w:t xml:space="preserve">radiocommunications </w:t>
      </w:r>
      <w:r w:rsidRPr="00F10FB4">
        <w:t xml:space="preserve">transmitter is causing interference to a licensed </w:t>
      </w:r>
      <w:r w:rsidR="001625E1">
        <w:t xml:space="preserve">radiocommunications </w:t>
      </w:r>
      <w:r w:rsidRPr="00F10FB4">
        <w:t>receiver operating as set ou</w:t>
      </w:r>
      <w:r w:rsidR="007D3505" w:rsidRPr="00F10FB4">
        <w:t xml:space="preserve">t in these </w:t>
      </w:r>
      <w:r w:rsidR="00AA452B">
        <w:t>g</w:t>
      </w:r>
      <w:r w:rsidR="00AA452B" w:rsidRPr="00F10FB4">
        <w:t>uidelines</w:t>
      </w:r>
      <w:r w:rsidR="007D3505" w:rsidRPr="00F10FB4">
        <w:t>.</w:t>
      </w:r>
    </w:p>
    <w:p w:rsidR="00557301" w:rsidRPr="00F10FB4" w:rsidRDefault="00557301" w:rsidP="00BA20A1">
      <w:pPr>
        <w:pStyle w:val="R2"/>
      </w:pPr>
      <w:r w:rsidRPr="00F10FB4">
        <w:tab/>
      </w:r>
      <w:r w:rsidRPr="0037392A">
        <w:t>(3)</w:t>
      </w:r>
      <w:r w:rsidRPr="0037392A">
        <w:tab/>
        <w:t xml:space="preserve">These </w:t>
      </w:r>
      <w:r w:rsidR="00643E86">
        <w:t>g</w:t>
      </w:r>
      <w:r w:rsidRPr="0037392A">
        <w:t>uidelines do not prevent a licensee negotiating other protection requirements with another licensee.</w:t>
      </w:r>
    </w:p>
    <w:p w:rsidR="00557301" w:rsidRPr="00F10FB4" w:rsidRDefault="00C87934" w:rsidP="00BA20A1">
      <w:pPr>
        <w:pStyle w:val="HR"/>
      </w:pPr>
      <w:bookmarkStart w:id="8" w:name="_Toc308011969"/>
      <w:r>
        <w:rPr>
          <w:rStyle w:val="CharSectno"/>
        </w:rPr>
        <w:t>1.</w:t>
      </w:r>
      <w:r w:rsidR="00557301" w:rsidRPr="00F10FB4">
        <w:rPr>
          <w:rStyle w:val="CharSectno"/>
        </w:rPr>
        <w:t>4</w:t>
      </w:r>
      <w:r w:rsidR="00557301" w:rsidRPr="00F10FB4">
        <w:tab/>
        <w:t>Interpretation</w:t>
      </w:r>
      <w:bookmarkEnd w:id="8"/>
    </w:p>
    <w:p w:rsidR="00557301" w:rsidRDefault="00557301" w:rsidP="00DB2513">
      <w:pPr>
        <w:pStyle w:val="ZR1"/>
        <w:spacing w:after="120"/>
      </w:pPr>
      <w:r w:rsidRPr="00F10FB4">
        <w:tab/>
        <w:t>(1)</w:t>
      </w:r>
      <w:r w:rsidRPr="00F10FB4">
        <w:tab/>
        <w:t xml:space="preserve">In these </w:t>
      </w:r>
      <w:r w:rsidR="001469E2">
        <w:t>g</w:t>
      </w:r>
      <w:r w:rsidRPr="00F10FB4">
        <w:t>uidelines</w:t>
      </w:r>
      <w:r w:rsidR="001625E1">
        <w:t xml:space="preserve">, </w:t>
      </w:r>
      <w:r w:rsidR="001625E1" w:rsidRPr="00CB19CE">
        <w:t>unless the contrary intention appears</w:t>
      </w:r>
      <w:r w:rsidRPr="00F10FB4">
        <w:t>:</w:t>
      </w:r>
    </w:p>
    <w:p w:rsidR="00DE0ED1" w:rsidRPr="005C64E7" w:rsidRDefault="00DE0ED1" w:rsidP="00DB2513">
      <w:pPr>
        <w:tabs>
          <w:tab w:val="left" w:pos="1418"/>
        </w:tabs>
        <w:spacing w:after="120"/>
        <w:ind w:left="992"/>
        <w:rPr>
          <w:b/>
        </w:rPr>
      </w:pPr>
      <w:r>
        <w:rPr>
          <w:b/>
          <w:i/>
        </w:rPr>
        <w:t xml:space="preserve">2.1 GHz band </w:t>
      </w:r>
      <w:r w:rsidRPr="00E159C4">
        <w:t xml:space="preserve">means the frequency </w:t>
      </w:r>
      <w:r w:rsidRPr="005C64E7">
        <w:t>band</w:t>
      </w:r>
      <w:r w:rsidRPr="005C64E7">
        <w:rPr>
          <w:b/>
        </w:rPr>
        <w:t xml:space="preserve"> </w:t>
      </w:r>
      <w:r>
        <w:t>1900 MHz - 2300 MHz.</w:t>
      </w:r>
    </w:p>
    <w:p w:rsidR="00DE0ED1" w:rsidRPr="005C64E7" w:rsidRDefault="00DE0ED1" w:rsidP="00DB2513">
      <w:pPr>
        <w:tabs>
          <w:tab w:val="left" w:pos="1418"/>
        </w:tabs>
        <w:spacing w:after="120"/>
        <w:ind w:left="992"/>
      </w:pPr>
      <w:r>
        <w:rPr>
          <w:b/>
          <w:i/>
        </w:rPr>
        <w:t xml:space="preserve">2.2 GHz band </w:t>
      </w:r>
      <w:r w:rsidRPr="00E159C4">
        <w:t xml:space="preserve">means the frequency </w:t>
      </w:r>
      <w:r w:rsidRPr="005C64E7">
        <w:t>band</w:t>
      </w:r>
      <w:r>
        <w:t xml:space="preserve"> 2025MHz - 2285 MHz.</w:t>
      </w:r>
    </w:p>
    <w:p w:rsidR="00DE0ED1" w:rsidRPr="005C64E7" w:rsidRDefault="00DE0ED1" w:rsidP="00DB2513">
      <w:pPr>
        <w:tabs>
          <w:tab w:val="left" w:pos="1418"/>
        </w:tabs>
        <w:spacing w:after="120"/>
        <w:ind w:left="992"/>
        <w:rPr>
          <w:i/>
        </w:rPr>
      </w:pPr>
      <w:r>
        <w:rPr>
          <w:b/>
          <w:i/>
        </w:rPr>
        <w:t xml:space="preserve">2.3 GHz band </w:t>
      </w:r>
      <w:r w:rsidRPr="00E159C4">
        <w:t xml:space="preserve">means the frequency </w:t>
      </w:r>
      <w:r w:rsidRPr="005C64E7">
        <w:t xml:space="preserve">band 2302 MHz </w:t>
      </w:r>
      <w:r>
        <w:t>-</w:t>
      </w:r>
      <w:r w:rsidRPr="005C64E7">
        <w:t xml:space="preserve"> 2400 MHz.</w:t>
      </w:r>
    </w:p>
    <w:p w:rsidR="00C87934" w:rsidRDefault="00C87934" w:rsidP="00C87934">
      <w:pPr>
        <w:tabs>
          <w:tab w:val="left" w:pos="1418"/>
        </w:tabs>
        <w:ind w:left="993"/>
      </w:pPr>
      <w:r>
        <w:rPr>
          <w:b/>
          <w:i/>
        </w:rPr>
        <w:t>2.5 GHz band</w:t>
      </w:r>
      <w:r>
        <w:t xml:space="preserve"> means the frequency bands:</w:t>
      </w:r>
    </w:p>
    <w:p w:rsidR="00C87934" w:rsidRDefault="00C87934" w:rsidP="00C87934">
      <w:pPr>
        <w:tabs>
          <w:tab w:val="left" w:pos="1418"/>
        </w:tabs>
        <w:ind w:left="993"/>
      </w:pPr>
      <w:r>
        <w:t>(a)</w:t>
      </w:r>
      <w:r>
        <w:tab/>
      </w:r>
      <w:r>
        <w:tab/>
        <w:t>2500 MHz - 2570 MHz, the (</w:t>
      </w:r>
      <w:r>
        <w:rPr>
          <w:b/>
          <w:i/>
        </w:rPr>
        <w:t>2.5 GHz Lower band</w:t>
      </w:r>
      <w:r>
        <w:t>); and</w:t>
      </w:r>
    </w:p>
    <w:p w:rsidR="00C87934" w:rsidRDefault="00C87934" w:rsidP="00DB2513">
      <w:pPr>
        <w:tabs>
          <w:tab w:val="left" w:pos="1418"/>
        </w:tabs>
        <w:spacing w:after="120"/>
        <w:ind w:left="992"/>
      </w:pPr>
      <w:proofErr w:type="gramStart"/>
      <w:r>
        <w:t>(b)</w:t>
      </w:r>
      <w:r>
        <w:tab/>
      </w:r>
      <w:r>
        <w:tab/>
        <w:t>2620 MHz - 2690 MHz, the (</w:t>
      </w:r>
      <w:r>
        <w:rPr>
          <w:b/>
          <w:i/>
        </w:rPr>
        <w:t>2.5 GHz Upper band</w:t>
      </w:r>
      <w:r>
        <w:t>).</w:t>
      </w:r>
      <w:proofErr w:type="gramEnd"/>
    </w:p>
    <w:p w:rsidR="001625E1" w:rsidRDefault="001625E1" w:rsidP="00DB2513">
      <w:pPr>
        <w:tabs>
          <w:tab w:val="left" w:pos="1418"/>
        </w:tabs>
        <w:spacing w:before="80" w:after="120" w:line="260" w:lineRule="exact"/>
        <w:ind w:left="992"/>
      </w:pPr>
      <w:r>
        <w:rPr>
          <w:b/>
          <w:i/>
        </w:rPr>
        <w:t>2.5 GHz Mid-band Gap</w:t>
      </w:r>
      <w:r>
        <w:t xml:space="preserve"> means the frequency band 2570 MHz - 2620 MHz</w:t>
      </w:r>
      <w:r w:rsidR="00692066">
        <w:t>.</w:t>
      </w:r>
    </w:p>
    <w:p w:rsidR="00DA2426" w:rsidRDefault="00DE0ED1" w:rsidP="00AB28CF">
      <w:pPr>
        <w:pStyle w:val="definition"/>
        <w:spacing w:after="120"/>
      </w:pPr>
      <w:r>
        <w:rPr>
          <w:b/>
          <w:i/>
        </w:rPr>
        <w:t xml:space="preserve">Conversion Plan </w:t>
      </w:r>
      <w:r w:rsidRPr="00DB2513">
        <w:t>means</w:t>
      </w:r>
      <w:r w:rsidR="00DB2513">
        <w:t xml:space="preserve"> the</w:t>
      </w:r>
      <w:r w:rsidRPr="00DE0ED1">
        <w:rPr>
          <w:i/>
        </w:rPr>
        <w:t xml:space="preserve"> </w:t>
      </w:r>
      <w:r w:rsidRPr="00F10FB4">
        <w:rPr>
          <w:i/>
        </w:rPr>
        <w:t xml:space="preserve">Radiocommunications Spectrum </w:t>
      </w:r>
      <w:r>
        <w:rPr>
          <w:i/>
        </w:rPr>
        <w:t>Conversion</w:t>
      </w:r>
      <w:r w:rsidRPr="00F10FB4">
        <w:rPr>
          <w:i/>
        </w:rPr>
        <w:t xml:space="preserve"> Plan (2</w:t>
      </w:r>
      <w:r w:rsidRPr="00F10FB4">
        <w:t>.</w:t>
      </w:r>
      <w:r>
        <w:rPr>
          <w:i/>
        </w:rPr>
        <w:t>5</w:t>
      </w:r>
      <w:r w:rsidRPr="00F10FB4">
        <w:rPr>
          <w:i/>
        </w:rPr>
        <w:t xml:space="preserve"> GHz </w:t>
      </w:r>
      <w:r>
        <w:rPr>
          <w:i/>
        </w:rPr>
        <w:t>Mid-</w:t>
      </w:r>
      <w:r w:rsidRPr="00F10FB4">
        <w:rPr>
          <w:i/>
        </w:rPr>
        <w:t>Band</w:t>
      </w:r>
      <w:r>
        <w:rPr>
          <w:i/>
        </w:rPr>
        <w:t xml:space="preserve"> Gap</w:t>
      </w:r>
      <w:r w:rsidRPr="00F10FB4">
        <w:rPr>
          <w:i/>
        </w:rPr>
        <w:t>) 20</w:t>
      </w:r>
      <w:r>
        <w:rPr>
          <w:i/>
        </w:rPr>
        <w:t>12</w:t>
      </w:r>
      <w:r w:rsidRPr="00F10FB4">
        <w:t>.</w:t>
      </w:r>
    </w:p>
    <w:p w:rsidR="00697DE1" w:rsidRDefault="00697DE1" w:rsidP="00DB2513">
      <w:pPr>
        <w:autoSpaceDE w:val="0"/>
        <w:autoSpaceDN w:val="0"/>
        <w:adjustRightInd w:val="0"/>
        <w:spacing w:after="120"/>
        <w:ind w:left="993"/>
        <w:jc w:val="both"/>
        <w:rPr>
          <w:rFonts w:ascii="TimesNewRoman,BoldItalic" w:hAnsi="TimesNewRoman,BoldItalic" w:cs="TimesNewRoman,BoldItalic"/>
          <w:bCs/>
          <w:iCs/>
        </w:rPr>
      </w:pPr>
      <w:r w:rsidRPr="00697DE1">
        <w:rPr>
          <w:rFonts w:ascii="TimesNewRoman,BoldItalic" w:hAnsi="TimesNewRoman,BoldItalic" w:cs="TimesNewRoman,BoldItalic"/>
          <w:b/>
          <w:bCs/>
          <w:i/>
          <w:iCs/>
        </w:rPr>
        <w:t>FDD</w:t>
      </w:r>
      <w:r>
        <w:rPr>
          <w:rFonts w:ascii="TimesNewRoman,BoldItalic" w:hAnsi="TimesNewRoman,BoldItalic" w:cs="TimesNewRoman,BoldItalic"/>
          <w:bCs/>
          <w:iCs/>
        </w:rPr>
        <w:t xml:space="preserve"> means frequency division duplex.</w:t>
      </w:r>
    </w:p>
    <w:p w:rsidR="00557301" w:rsidRPr="00F10FB4" w:rsidRDefault="00557301" w:rsidP="00DB2513">
      <w:pPr>
        <w:pStyle w:val="definition"/>
        <w:keepLines/>
        <w:spacing w:after="120"/>
      </w:pPr>
      <w:r w:rsidRPr="00F10FB4">
        <w:rPr>
          <w:rFonts w:ascii="TimesNewRoman,BoldItalic" w:hAnsi="TimesNewRoman,BoldItalic" w:cs="TimesNewRoman,BoldItalic"/>
          <w:b/>
          <w:bCs/>
          <w:i/>
          <w:iCs/>
        </w:rPr>
        <w:lastRenderedPageBreak/>
        <w:t xml:space="preserve">ITU </w:t>
      </w:r>
      <w:r w:rsidRPr="00F10FB4">
        <w:t>means the International Telecommunication Union</w:t>
      </w:r>
      <w:r w:rsidR="00C87934">
        <w:t>.</w:t>
      </w:r>
    </w:p>
    <w:p w:rsidR="00F677C5" w:rsidRPr="00F10FB4" w:rsidRDefault="00557301" w:rsidP="00DB2513">
      <w:pPr>
        <w:pStyle w:val="definition"/>
        <w:keepLines/>
        <w:spacing w:after="120"/>
      </w:pPr>
      <w:r w:rsidRPr="00F10FB4">
        <w:rPr>
          <w:rFonts w:ascii="TimesNewRoman,BoldItalic" w:hAnsi="TimesNewRoman,BoldItalic" w:cs="TimesNewRoman,BoldItalic"/>
          <w:b/>
          <w:bCs/>
          <w:i/>
          <w:iCs/>
        </w:rPr>
        <w:t>ITU</w:t>
      </w:r>
      <w:r w:rsidR="00ED4796">
        <w:rPr>
          <w:rFonts w:ascii="TimesNewRoman,BoldItalic" w:hAnsi="TimesNewRoman,BoldItalic" w:cs="TimesNewRoman,BoldItalic"/>
          <w:b/>
          <w:bCs/>
          <w:i/>
          <w:iCs/>
        </w:rPr>
        <w:t>-R</w:t>
      </w:r>
      <w:r w:rsidRPr="00F10FB4">
        <w:rPr>
          <w:rFonts w:ascii="TimesNewRoman,BoldItalic" w:hAnsi="TimesNewRoman,BoldItalic" w:cs="TimesNewRoman,BoldItalic"/>
          <w:b/>
          <w:bCs/>
          <w:i/>
          <w:iCs/>
        </w:rPr>
        <w:t xml:space="preserve"> Recommendation </w:t>
      </w:r>
      <w:r w:rsidRPr="00F10FB4">
        <w:t>means a Recommendation made by the ITU</w:t>
      </w:r>
      <w:r w:rsidR="00ED4796">
        <w:t xml:space="preserve"> Radiocommunications sector</w:t>
      </w:r>
      <w:r w:rsidR="005770C8">
        <w:t xml:space="preserve"> (ITU-R) as in force from time to time</w:t>
      </w:r>
      <w:r w:rsidR="00C87934">
        <w:t>.</w:t>
      </w:r>
    </w:p>
    <w:p w:rsidR="00C0247D" w:rsidRPr="00E159C4" w:rsidRDefault="00C0247D" w:rsidP="00C0247D">
      <w:pPr>
        <w:autoSpaceDE w:val="0"/>
        <w:autoSpaceDN w:val="0"/>
        <w:adjustRightInd w:val="0"/>
        <w:spacing w:after="120"/>
        <w:ind w:left="993"/>
        <w:rPr>
          <w:rFonts w:ascii="TimesNewRoman,BoldItalic" w:hAnsi="TimesNewRoman,BoldItalic" w:cs="TimesNewRoman,BoldItalic"/>
          <w:bCs/>
          <w:iCs/>
        </w:rPr>
      </w:pPr>
      <w:r>
        <w:rPr>
          <w:rFonts w:ascii="TimesNewRoman,BoldItalic" w:hAnsi="TimesNewRoman,BoldItalic" w:cs="TimesNewRoman,BoldItalic"/>
          <w:b/>
          <w:bCs/>
          <w:i/>
          <w:iCs/>
        </w:rPr>
        <w:t xml:space="preserve">Mid-West Radio Quiet Zone </w:t>
      </w:r>
      <w:r w:rsidRPr="00E159C4">
        <w:rPr>
          <w:rFonts w:ascii="TimesNewRoman,BoldItalic" w:hAnsi="TimesNewRoman,BoldItalic" w:cs="TimesNewRoman,BoldItalic"/>
          <w:bCs/>
          <w:iCs/>
        </w:rPr>
        <w:t>means</w:t>
      </w:r>
      <w:r>
        <w:rPr>
          <w:rFonts w:ascii="TimesNewRoman,BoldItalic" w:hAnsi="TimesNewRoman,BoldItalic" w:cs="TimesNewRoman,BoldItalic"/>
          <w:bCs/>
          <w:iCs/>
        </w:rPr>
        <w:t xml:space="preserve"> the area defined by the </w:t>
      </w:r>
      <w:r w:rsidRPr="009A3EFE">
        <w:rPr>
          <w:rFonts w:ascii="TimesNewRoman,BoldItalic" w:hAnsi="TimesNewRoman,BoldItalic" w:cs="TimesNewRoman,BoldItalic"/>
          <w:bCs/>
          <w:i/>
          <w:iCs/>
        </w:rPr>
        <w:t>Radiocommunications (Mid-West Radio Quiet Zone) Frequency Band Plan 2011</w:t>
      </w:r>
      <w:r>
        <w:rPr>
          <w:rFonts w:ascii="TimesNewRoman,BoldItalic" w:hAnsi="TimesNewRoman,BoldItalic" w:cs="TimesNewRoman,BoldItalic"/>
          <w:bCs/>
          <w:iCs/>
        </w:rPr>
        <w:t>.</w:t>
      </w:r>
    </w:p>
    <w:p w:rsidR="003343F5" w:rsidRDefault="003343F5" w:rsidP="00DB2513">
      <w:pPr>
        <w:autoSpaceDE w:val="0"/>
        <w:autoSpaceDN w:val="0"/>
        <w:adjustRightInd w:val="0"/>
        <w:spacing w:after="120"/>
        <w:ind w:left="993"/>
      </w:pPr>
      <w:r>
        <w:rPr>
          <w:rFonts w:ascii="TimesNewRoman,BoldItalic" w:hAnsi="TimesNewRoman,BoldItalic" w:cs="TimesNewRoman,BoldItalic"/>
          <w:b/>
          <w:bCs/>
          <w:i/>
          <w:iCs/>
        </w:rPr>
        <w:t xml:space="preserve">RALI FX-03 </w:t>
      </w:r>
      <w:r w:rsidRPr="00CB19CE">
        <w:t>means the Radiocommunications Assignment and Licensing Instruction No. FX-03 Microwave Fixed Services Frequency Coordination, published by the ACMA, and as in force from time to time</w:t>
      </w:r>
      <w:r w:rsidR="00C87934" w:rsidRPr="00CB19CE">
        <w:t xml:space="preserve">. </w:t>
      </w:r>
    </w:p>
    <w:p w:rsidR="00E865D6" w:rsidRDefault="00E865D6" w:rsidP="00DB2513">
      <w:pPr>
        <w:autoSpaceDE w:val="0"/>
        <w:autoSpaceDN w:val="0"/>
        <w:adjustRightInd w:val="0"/>
        <w:spacing w:after="120"/>
        <w:ind w:left="993"/>
      </w:pPr>
      <w:r>
        <w:rPr>
          <w:rFonts w:ascii="TimesNewRoman,BoldItalic" w:hAnsi="TimesNewRoman,BoldItalic" w:cs="TimesNewRoman,BoldItalic"/>
          <w:b/>
          <w:bCs/>
          <w:i/>
          <w:iCs/>
        </w:rPr>
        <w:t xml:space="preserve">RALI MS-32 </w:t>
      </w:r>
      <w:r w:rsidRPr="00CB19CE">
        <w:t xml:space="preserve">means the Radiocommunications Assignment and Licensing Instruction No. MS-32 Coordination of Apparatus Licensed Services </w:t>
      </w:r>
      <w:r w:rsidR="005D5070">
        <w:t>w</w:t>
      </w:r>
      <w:r w:rsidRPr="00CB19CE">
        <w:t xml:space="preserve">ithin </w:t>
      </w:r>
      <w:r w:rsidR="005D5070">
        <w:t>t</w:t>
      </w:r>
      <w:r w:rsidRPr="00CB19CE">
        <w:t>he Mid West Radio Quiet Zone, published by the ACMA</w:t>
      </w:r>
      <w:r w:rsidR="00756499">
        <w:t>,</w:t>
      </w:r>
      <w:r w:rsidRPr="00CB19CE">
        <w:t xml:space="preserve"> as in force from time to time</w:t>
      </w:r>
      <w:r w:rsidR="00C87934" w:rsidRPr="00CB19CE">
        <w:t xml:space="preserve">. </w:t>
      </w:r>
    </w:p>
    <w:p w:rsidR="009D0365" w:rsidRDefault="009D0365" w:rsidP="009D0365">
      <w:pPr>
        <w:pStyle w:val="definition"/>
        <w:keepLines/>
        <w:spacing w:after="120"/>
      </w:pPr>
      <w:r w:rsidRPr="00172D48">
        <w:rPr>
          <w:b/>
          <w:bCs/>
          <w:i/>
          <w:iCs/>
        </w:rPr>
        <w:t>RALI</w:t>
      </w:r>
      <w:r>
        <w:rPr>
          <w:b/>
          <w:bCs/>
          <w:i/>
          <w:iCs/>
        </w:rPr>
        <w:t>s</w:t>
      </w:r>
      <w:r w:rsidRPr="00172D48">
        <w:rPr>
          <w:b/>
          <w:bCs/>
          <w:i/>
          <w:iCs/>
        </w:rPr>
        <w:t xml:space="preserve"> </w:t>
      </w:r>
      <w:r w:rsidRPr="00172D48">
        <w:t>mean Radiocommunications Assignment and Licensing Instruction</w:t>
      </w:r>
      <w:r>
        <w:t>s</w:t>
      </w:r>
      <w:r w:rsidRPr="00172D48">
        <w:t xml:space="preserve"> issued </w:t>
      </w:r>
      <w:r>
        <w:t xml:space="preserve">by and available from the </w:t>
      </w:r>
      <w:r w:rsidRPr="00172D48">
        <w:t>ACMA</w:t>
      </w:r>
      <w:r>
        <w:t>.</w:t>
      </w:r>
    </w:p>
    <w:p w:rsidR="00F51A99" w:rsidRDefault="00F51A99" w:rsidP="00DB2513">
      <w:pPr>
        <w:pStyle w:val="definition"/>
        <w:keepLines/>
        <w:spacing w:after="120"/>
        <w:rPr>
          <w:i/>
        </w:rPr>
      </w:pPr>
      <w:r w:rsidRPr="00F51A99">
        <w:rPr>
          <w:b/>
          <w:i/>
        </w:rPr>
        <w:t>WAS</w:t>
      </w:r>
      <w:r>
        <w:rPr>
          <w:i/>
        </w:rPr>
        <w:t xml:space="preserve"> </w:t>
      </w:r>
      <w:r w:rsidRPr="00F51A99">
        <w:t xml:space="preserve">means </w:t>
      </w:r>
      <w:r w:rsidR="00C87934">
        <w:t>w</w:t>
      </w:r>
      <w:r w:rsidRPr="00F51A99">
        <w:t xml:space="preserve">ireless </w:t>
      </w:r>
      <w:r w:rsidR="00C87934">
        <w:t>a</w:t>
      </w:r>
      <w:r w:rsidRPr="00F51A99">
        <w:t xml:space="preserve">ccess </w:t>
      </w:r>
      <w:r w:rsidR="00C87934">
        <w:t>s</w:t>
      </w:r>
      <w:r w:rsidRPr="00F51A99">
        <w:t>ervices.</w:t>
      </w:r>
    </w:p>
    <w:p w:rsidR="00E865D6" w:rsidRPr="00814F49" w:rsidRDefault="00E865D6" w:rsidP="00814F49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B41A32" w:rsidRPr="00B41A32" w:rsidRDefault="00B41A32" w:rsidP="00B41A32">
      <w:pPr>
        <w:autoSpaceDE w:val="0"/>
        <w:autoSpaceDN w:val="0"/>
        <w:adjustRightInd w:val="0"/>
        <w:ind w:left="993" w:hanging="426"/>
        <w:rPr>
          <w:rFonts w:ascii="TimesNewRoman,Bold" w:hAnsi="TimesNewRoman,Bold" w:cs="TimesNewRoman,Bold"/>
          <w:bCs/>
        </w:rPr>
      </w:pPr>
      <w:bookmarkStart w:id="9" w:name="_Toc308011964"/>
      <w:r>
        <w:rPr>
          <w:rFonts w:ascii="TimesNewRoman,Bold" w:hAnsi="TimesNewRoman,Bold" w:cs="TimesNewRoman,Bold"/>
          <w:bCs/>
        </w:rPr>
        <w:t>(2)</w:t>
      </w:r>
      <w:r>
        <w:rPr>
          <w:rFonts w:ascii="TimesNewRoman,Bold" w:hAnsi="TimesNewRoman,Bold" w:cs="TimesNewRoman,Bold"/>
          <w:bCs/>
        </w:rPr>
        <w:tab/>
      </w:r>
      <w:bookmarkStart w:id="10" w:name="_Toc312157790"/>
      <w:r w:rsidRPr="00B41A32">
        <w:rPr>
          <w:rFonts w:ascii="TimesNewRoman,Bold" w:hAnsi="TimesNewRoman,Bold" w:cs="TimesNewRoman,Bold"/>
          <w:bCs/>
        </w:rPr>
        <w:t>In th</w:t>
      </w:r>
      <w:r w:rsidR="00CD749D">
        <w:rPr>
          <w:rFonts w:ascii="TimesNewRoman,Bold" w:hAnsi="TimesNewRoman,Bold" w:cs="TimesNewRoman,Bold"/>
          <w:bCs/>
        </w:rPr>
        <w:t xml:space="preserve">ese </w:t>
      </w:r>
      <w:r w:rsidR="00643E86">
        <w:rPr>
          <w:rFonts w:ascii="TimesNewRoman,Bold" w:hAnsi="TimesNewRoman,Bold" w:cs="TimesNewRoman,Bold"/>
          <w:bCs/>
        </w:rPr>
        <w:t>g</w:t>
      </w:r>
      <w:r>
        <w:rPr>
          <w:rFonts w:ascii="TimesNewRoman,Bold" w:hAnsi="TimesNewRoman,Bold" w:cs="TimesNewRoman,Bold"/>
          <w:bCs/>
        </w:rPr>
        <w:t>uideline</w:t>
      </w:r>
      <w:r w:rsidR="00CD749D">
        <w:rPr>
          <w:rFonts w:ascii="TimesNewRoman,Bold" w:hAnsi="TimesNewRoman,Bold" w:cs="TimesNewRoman,Bold"/>
          <w:bCs/>
        </w:rPr>
        <w:t>s</w:t>
      </w:r>
      <w:r w:rsidRPr="00B41A32">
        <w:rPr>
          <w:rFonts w:ascii="TimesNewRoman,Bold" w:hAnsi="TimesNewRoman,Bold" w:cs="TimesNewRoman,Bold"/>
          <w:bCs/>
        </w:rPr>
        <w:t xml:space="preserve">, </w:t>
      </w:r>
      <w:r>
        <w:rPr>
          <w:rFonts w:ascii="TimesNewRoman,Bold" w:hAnsi="TimesNewRoman,Bold" w:cs="TimesNewRoman,Bold"/>
          <w:bCs/>
        </w:rPr>
        <w:t xml:space="preserve">unless otherwise specified, </w:t>
      </w:r>
      <w:r w:rsidRPr="00B41A32">
        <w:rPr>
          <w:rFonts w:ascii="TimesNewRoman,Bold" w:hAnsi="TimesNewRoman,Bold" w:cs="TimesNewRoman,Bold"/>
          <w:bCs/>
        </w:rPr>
        <w:t>the range of numbers that identifies a frequency band includes the higher, but not the lower, number.</w:t>
      </w:r>
      <w:bookmarkEnd w:id="10"/>
    </w:p>
    <w:p w:rsidR="00B41A32" w:rsidRDefault="00B41A32" w:rsidP="00E865D6">
      <w:pPr>
        <w:autoSpaceDE w:val="0"/>
        <w:autoSpaceDN w:val="0"/>
        <w:adjustRightInd w:val="0"/>
        <w:ind w:left="993" w:hanging="426"/>
        <w:rPr>
          <w:rFonts w:ascii="TimesNewRoman,Bold" w:hAnsi="TimesNewRoman,Bold" w:cs="TimesNewRoman,Bold"/>
          <w:bCs/>
        </w:rPr>
      </w:pPr>
    </w:p>
    <w:p w:rsidR="00E865D6" w:rsidRPr="00814F49" w:rsidRDefault="00E865D6" w:rsidP="00E865D6">
      <w:pPr>
        <w:autoSpaceDE w:val="0"/>
        <w:autoSpaceDN w:val="0"/>
        <w:adjustRightInd w:val="0"/>
        <w:ind w:left="993" w:hanging="426"/>
        <w:rPr>
          <w:rFonts w:ascii="TimesNewRoman,Bold" w:hAnsi="TimesNewRoman,Bold" w:cs="TimesNewRoman,Bold"/>
          <w:bCs/>
        </w:rPr>
      </w:pPr>
      <w:r w:rsidRPr="00ED2381">
        <w:rPr>
          <w:rFonts w:ascii="TimesNewRoman,Bold" w:hAnsi="TimesNewRoman,Bold" w:cs="TimesNewRoman,Bold"/>
          <w:bCs/>
        </w:rPr>
        <w:t>(</w:t>
      </w:r>
      <w:r w:rsidR="00B41A32">
        <w:rPr>
          <w:rFonts w:ascii="TimesNewRoman,Bold" w:hAnsi="TimesNewRoman,Bold" w:cs="TimesNewRoman,Bold"/>
          <w:bCs/>
        </w:rPr>
        <w:t>3</w:t>
      </w:r>
      <w:r w:rsidRPr="00ED2381">
        <w:rPr>
          <w:rFonts w:ascii="TimesNewRoman,Bold" w:hAnsi="TimesNewRoman,Bold" w:cs="TimesNewRoman,Bold"/>
          <w:bCs/>
        </w:rPr>
        <w:t>)</w:t>
      </w:r>
      <w:r>
        <w:rPr>
          <w:rFonts w:ascii="TimesNewRoman,Bold" w:hAnsi="TimesNewRoman,Bold" w:cs="TimesNewRoman,Bold"/>
          <w:bCs/>
        </w:rPr>
        <w:tab/>
      </w:r>
      <w:r w:rsidR="00C87934">
        <w:rPr>
          <w:rFonts w:ascii="TimesNewRoman,Bold" w:hAnsi="TimesNewRoman,Bold" w:cs="TimesNewRoman,Bold"/>
          <w:bCs/>
        </w:rPr>
        <w:t>The following</w:t>
      </w:r>
      <w:r w:rsidRPr="00814F49">
        <w:rPr>
          <w:rFonts w:ascii="TimesNewRoman,Bold" w:hAnsi="TimesNewRoman,Bold" w:cs="TimesNewRoman,Bold"/>
          <w:bCs/>
        </w:rPr>
        <w:t xml:space="preserve"> term</w:t>
      </w:r>
      <w:r w:rsidR="00C87934">
        <w:rPr>
          <w:rFonts w:ascii="TimesNewRoman,Bold" w:hAnsi="TimesNewRoman,Bold" w:cs="TimesNewRoman,Bold"/>
          <w:bCs/>
        </w:rPr>
        <w:t>s</w:t>
      </w:r>
      <w:r w:rsidRPr="00814F49">
        <w:rPr>
          <w:rFonts w:ascii="TimesNewRoman,Bold" w:hAnsi="TimesNewRoman,Bold" w:cs="TimesNewRoman,Bold"/>
          <w:bCs/>
        </w:rPr>
        <w:t xml:space="preserve"> used in these </w:t>
      </w:r>
      <w:r w:rsidR="00643E86">
        <w:rPr>
          <w:rFonts w:ascii="TimesNewRoman,Bold" w:hAnsi="TimesNewRoman,Bold" w:cs="TimesNewRoman,Bold"/>
          <w:bCs/>
        </w:rPr>
        <w:t>g</w:t>
      </w:r>
      <w:r w:rsidRPr="00814F49">
        <w:rPr>
          <w:rFonts w:ascii="TimesNewRoman,Bold" w:hAnsi="TimesNewRoman,Bold" w:cs="TimesNewRoman,Bold"/>
          <w:bCs/>
        </w:rPr>
        <w:t xml:space="preserve">uidelines that </w:t>
      </w:r>
      <w:r w:rsidR="00C87934">
        <w:rPr>
          <w:rFonts w:ascii="TimesNewRoman,Bold" w:hAnsi="TimesNewRoman,Bold" w:cs="TimesNewRoman,Bold"/>
          <w:bCs/>
        </w:rPr>
        <w:t>are</w:t>
      </w:r>
      <w:r w:rsidRPr="00814F49">
        <w:rPr>
          <w:rFonts w:ascii="TimesNewRoman,Bold" w:hAnsi="TimesNewRoman,Bold" w:cs="TimesNewRoman,Bold"/>
          <w:bCs/>
        </w:rPr>
        <w:t xml:space="preserve"> defined in the </w:t>
      </w:r>
      <w:r w:rsidR="0051371B" w:rsidRPr="00F10FB4">
        <w:rPr>
          <w:i/>
        </w:rPr>
        <w:t xml:space="preserve">Radiocommunications (Unacceptable Levels of Interference </w:t>
      </w:r>
      <w:r w:rsidR="0051371B">
        <w:rPr>
          <w:i/>
        </w:rPr>
        <w:t xml:space="preserve">- </w:t>
      </w:r>
      <w:r w:rsidR="0051371B" w:rsidRPr="00F10FB4">
        <w:rPr>
          <w:i/>
        </w:rPr>
        <w:t>2</w:t>
      </w:r>
      <w:r w:rsidR="0051371B" w:rsidRPr="00F10FB4">
        <w:t>.</w:t>
      </w:r>
      <w:r w:rsidR="0051371B">
        <w:rPr>
          <w:i/>
        </w:rPr>
        <w:t>5</w:t>
      </w:r>
      <w:r w:rsidR="0051371B" w:rsidRPr="00F10FB4">
        <w:rPr>
          <w:i/>
        </w:rPr>
        <w:t xml:space="preserve">GHz </w:t>
      </w:r>
      <w:r w:rsidR="0051371B">
        <w:rPr>
          <w:i/>
        </w:rPr>
        <w:t>Mid-b</w:t>
      </w:r>
      <w:r w:rsidR="0051371B" w:rsidRPr="00F10FB4">
        <w:rPr>
          <w:i/>
        </w:rPr>
        <w:t>and</w:t>
      </w:r>
      <w:r w:rsidR="0051371B">
        <w:rPr>
          <w:i/>
        </w:rPr>
        <w:t xml:space="preserve"> Gap</w:t>
      </w:r>
      <w:r w:rsidR="0051371B" w:rsidRPr="00F10FB4">
        <w:rPr>
          <w:i/>
        </w:rPr>
        <w:t>) Determination 20</w:t>
      </w:r>
      <w:r w:rsidR="0051371B">
        <w:rPr>
          <w:i/>
        </w:rPr>
        <w:t>12</w:t>
      </w:r>
      <w:r w:rsidRPr="00814F49">
        <w:rPr>
          <w:rFonts w:ascii="TimesNewRoman,Bold" w:hAnsi="TimesNewRoman,Bold" w:cs="TimesNewRoman,Bold"/>
          <w:bCs/>
        </w:rPr>
        <w:t xml:space="preserve"> ha</w:t>
      </w:r>
      <w:r w:rsidR="00C87934">
        <w:rPr>
          <w:rFonts w:ascii="TimesNewRoman,Bold" w:hAnsi="TimesNewRoman,Bold" w:cs="TimesNewRoman,Bold"/>
          <w:bCs/>
        </w:rPr>
        <w:t>ve</w:t>
      </w:r>
      <w:r w:rsidRPr="00814F49">
        <w:rPr>
          <w:rFonts w:ascii="TimesNewRoman,Bold" w:hAnsi="TimesNewRoman,Bold" w:cs="TimesNewRoman,Bold"/>
          <w:bCs/>
        </w:rPr>
        <w:t xml:space="preserve"> the same meaning as in that </w:t>
      </w:r>
      <w:r w:rsidR="00643E86">
        <w:rPr>
          <w:rFonts w:ascii="TimesNewRoman,Bold" w:hAnsi="TimesNewRoman,Bold" w:cs="TimesNewRoman,Bold"/>
          <w:bCs/>
        </w:rPr>
        <w:t>D</w:t>
      </w:r>
      <w:r w:rsidR="00643E86" w:rsidRPr="00814F49">
        <w:rPr>
          <w:rFonts w:ascii="TimesNewRoman,Bold" w:hAnsi="TimesNewRoman,Bold" w:cs="TimesNewRoman,Bold"/>
          <w:bCs/>
        </w:rPr>
        <w:t>etermination</w:t>
      </w:r>
      <w:r w:rsidRPr="00814F49">
        <w:rPr>
          <w:rFonts w:ascii="TimesNewRoman,Bold" w:hAnsi="TimesNewRoman,Bold" w:cs="TimesNewRoman,Bold"/>
          <w:bCs/>
        </w:rPr>
        <w:t>:</w:t>
      </w:r>
    </w:p>
    <w:p w:rsidR="00E865D6" w:rsidRPr="00CB19CE" w:rsidRDefault="00C87934" w:rsidP="00E865D6">
      <w:pPr>
        <w:autoSpaceDE w:val="0"/>
        <w:autoSpaceDN w:val="0"/>
        <w:adjustRightInd w:val="0"/>
        <w:ind w:left="993"/>
      </w:pPr>
      <w:r w:rsidRPr="00CB19CE">
        <w:t>(a)</w:t>
      </w:r>
      <w:r w:rsidRPr="00CB19CE">
        <w:tab/>
      </w:r>
      <w:proofErr w:type="gramStart"/>
      <w:r w:rsidR="00E865D6" w:rsidRPr="00CB19CE">
        <w:t>fixed</w:t>
      </w:r>
      <w:proofErr w:type="gramEnd"/>
      <w:r w:rsidR="00E865D6" w:rsidRPr="00CB19CE">
        <w:t xml:space="preserve"> receiver;</w:t>
      </w:r>
    </w:p>
    <w:p w:rsidR="00E865D6" w:rsidRPr="00CB19CE" w:rsidRDefault="00C87934" w:rsidP="00E865D6">
      <w:pPr>
        <w:autoSpaceDE w:val="0"/>
        <w:autoSpaceDN w:val="0"/>
        <w:adjustRightInd w:val="0"/>
        <w:ind w:left="993"/>
      </w:pPr>
      <w:r w:rsidRPr="00CB19CE">
        <w:t>(b)</w:t>
      </w:r>
      <w:r w:rsidRPr="00CB19CE">
        <w:tab/>
      </w:r>
      <w:proofErr w:type="gramStart"/>
      <w:r w:rsidR="00E865D6" w:rsidRPr="00CB19CE">
        <w:t>fixed</w:t>
      </w:r>
      <w:proofErr w:type="gramEnd"/>
      <w:r w:rsidR="00E865D6" w:rsidRPr="00CB19CE">
        <w:t xml:space="preserve"> transmitter; </w:t>
      </w:r>
    </w:p>
    <w:p w:rsidR="00E865D6" w:rsidRPr="00CB19CE" w:rsidRDefault="00C87934" w:rsidP="00E865D6">
      <w:pPr>
        <w:autoSpaceDE w:val="0"/>
        <w:autoSpaceDN w:val="0"/>
        <w:adjustRightInd w:val="0"/>
        <w:ind w:left="993"/>
      </w:pPr>
      <w:r w:rsidRPr="00CB19CE">
        <w:t>(c)</w:t>
      </w:r>
      <w:r w:rsidRPr="00CB19CE">
        <w:tab/>
      </w:r>
      <w:proofErr w:type="gramStart"/>
      <w:r w:rsidR="00E865D6" w:rsidRPr="00CB19CE">
        <w:t>geographic</w:t>
      </w:r>
      <w:proofErr w:type="gramEnd"/>
      <w:r w:rsidR="00E865D6" w:rsidRPr="00CB19CE">
        <w:t xml:space="preserve"> area</w:t>
      </w:r>
      <w:r w:rsidR="00B17728">
        <w:t>.</w:t>
      </w:r>
    </w:p>
    <w:p w:rsidR="000975E5" w:rsidRDefault="000975E5" w:rsidP="00E865D6">
      <w:pPr>
        <w:autoSpaceDE w:val="0"/>
        <w:autoSpaceDN w:val="0"/>
        <w:adjustRightInd w:val="0"/>
        <w:ind w:left="993"/>
        <w:rPr>
          <w:rFonts w:ascii="TimesNewRoman" w:hAnsi="TimesNewRoman" w:cs="TimesNewRoman"/>
        </w:rPr>
      </w:pPr>
    </w:p>
    <w:p w:rsidR="000975E5" w:rsidRPr="00EB035F" w:rsidRDefault="000975E5" w:rsidP="000975E5">
      <w:pPr>
        <w:autoSpaceDE w:val="0"/>
        <w:autoSpaceDN w:val="0"/>
        <w:adjustRightInd w:val="0"/>
        <w:ind w:left="993" w:hanging="426"/>
        <w:jc w:val="both"/>
        <w:rPr>
          <w:rFonts w:ascii="TimesNewRoman,Bold" w:hAnsi="TimesNewRoman,Bold" w:cs="TimesNewRoman,Bold"/>
          <w:bCs/>
        </w:rPr>
      </w:pPr>
      <w:r w:rsidRPr="00EB035F">
        <w:rPr>
          <w:rFonts w:ascii="TimesNewRoman,Bold" w:hAnsi="TimesNewRoman,Bold" w:cs="TimesNewRoman,Bold"/>
          <w:bCs/>
        </w:rPr>
        <w:t>(</w:t>
      </w:r>
      <w:r w:rsidR="00B41A32">
        <w:rPr>
          <w:rFonts w:ascii="TimesNewRoman,Bold" w:hAnsi="TimesNewRoman,Bold" w:cs="TimesNewRoman,Bold"/>
          <w:bCs/>
        </w:rPr>
        <w:t>4</w:t>
      </w:r>
      <w:r w:rsidRPr="00EB035F">
        <w:rPr>
          <w:rFonts w:ascii="TimesNewRoman,Bold" w:hAnsi="TimesNewRoman,Bold" w:cs="TimesNewRoman,Bold"/>
          <w:bCs/>
        </w:rPr>
        <w:t>)</w:t>
      </w:r>
      <w:r w:rsidRPr="00EB035F">
        <w:rPr>
          <w:rFonts w:ascii="TimesNewRoman,Bold" w:hAnsi="TimesNewRoman,Bold" w:cs="TimesNewRoman,Bold"/>
          <w:bCs/>
        </w:rPr>
        <w:tab/>
        <w:t>The following terms, used in th</w:t>
      </w:r>
      <w:r>
        <w:rPr>
          <w:rFonts w:ascii="TimesNewRoman,Bold" w:hAnsi="TimesNewRoman,Bold" w:cs="TimesNewRoman,Bold"/>
          <w:bCs/>
        </w:rPr>
        <w:t>ese</w:t>
      </w:r>
      <w:r w:rsidRPr="00EB035F">
        <w:rPr>
          <w:rFonts w:ascii="TimesNewRoman,Bold" w:hAnsi="TimesNewRoman,Bold" w:cs="TimesNewRoman,Bold"/>
          <w:bCs/>
        </w:rPr>
        <w:t xml:space="preserve"> </w:t>
      </w:r>
      <w:r w:rsidR="00015F43">
        <w:rPr>
          <w:rFonts w:ascii="TimesNewRoman,Bold" w:hAnsi="TimesNewRoman,Bold" w:cs="TimesNewRoman,Bold"/>
          <w:bCs/>
        </w:rPr>
        <w:t>g</w:t>
      </w:r>
      <w:r>
        <w:rPr>
          <w:rFonts w:ascii="TimesNewRoman,Bold" w:hAnsi="TimesNewRoman,Bold" w:cs="TimesNewRoman,Bold"/>
          <w:bCs/>
        </w:rPr>
        <w:t>uidelines</w:t>
      </w:r>
      <w:r w:rsidRPr="00EB035F">
        <w:rPr>
          <w:rFonts w:ascii="TimesNewRoman,Bold" w:hAnsi="TimesNewRoman,Bold" w:cs="TimesNewRoman,Bold"/>
          <w:bCs/>
        </w:rPr>
        <w:t xml:space="preserve"> </w:t>
      </w:r>
      <w:r>
        <w:rPr>
          <w:rFonts w:ascii="TimesNewRoman,Bold" w:hAnsi="TimesNewRoman,Bold" w:cs="TimesNewRoman,Bold"/>
          <w:bCs/>
        </w:rPr>
        <w:t xml:space="preserve">that </w:t>
      </w:r>
      <w:r w:rsidRPr="00EB035F">
        <w:rPr>
          <w:rFonts w:ascii="TimesNewRoman,Bold" w:hAnsi="TimesNewRoman,Bold" w:cs="TimesNewRoman,Bold"/>
          <w:bCs/>
        </w:rPr>
        <w:t>are defined in the</w:t>
      </w:r>
      <w:r>
        <w:rPr>
          <w:rFonts w:ascii="TimesNewRoman,Bold" w:hAnsi="TimesNewRoman,Bold" w:cs="TimesNewRoman,Bold"/>
          <w:bCs/>
        </w:rPr>
        <w:t xml:space="preserve"> </w:t>
      </w:r>
      <w:r w:rsidR="00DE513E" w:rsidRPr="00DE513E">
        <w:rPr>
          <w:rFonts w:ascii="TimesNewRoman,Bold" w:hAnsi="TimesNewRoman,Bold" w:cs="TimesNewRoman,Bold"/>
          <w:bCs/>
          <w:i/>
        </w:rPr>
        <w:t>Australian Radiofrequency Spectrum Plan 2009</w:t>
      </w:r>
      <w:r w:rsidRPr="00EB035F">
        <w:rPr>
          <w:rFonts w:ascii="TimesNewRoman,Bold" w:hAnsi="TimesNewRoman,Bold" w:cs="TimesNewRoman,Bold"/>
          <w:bCs/>
        </w:rPr>
        <w:t xml:space="preserve"> have the </w:t>
      </w:r>
      <w:r>
        <w:rPr>
          <w:rFonts w:ascii="TimesNewRoman,Bold" w:hAnsi="TimesNewRoman,Bold" w:cs="TimesNewRoman,Bold"/>
          <w:bCs/>
        </w:rPr>
        <w:t xml:space="preserve">same </w:t>
      </w:r>
      <w:r w:rsidRPr="00EB035F">
        <w:rPr>
          <w:rFonts w:ascii="TimesNewRoman,Bold" w:hAnsi="TimesNewRoman,Bold" w:cs="TimesNewRoman,Bold"/>
          <w:bCs/>
        </w:rPr>
        <w:t xml:space="preserve">meaning </w:t>
      </w:r>
      <w:r>
        <w:rPr>
          <w:rFonts w:ascii="TimesNewRoman,Bold" w:hAnsi="TimesNewRoman,Bold" w:cs="TimesNewRoman,Bold"/>
          <w:bCs/>
        </w:rPr>
        <w:t xml:space="preserve">as in </w:t>
      </w:r>
      <w:r w:rsidRPr="00EB035F">
        <w:rPr>
          <w:rFonts w:ascii="TimesNewRoman,Bold" w:hAnsi="TimesNewRoman,Bold" w:cs="TimesNewRoman,Bold"/>
          <w:bCs/>
        </w:rPr>
        <w:t xml:space="preserve">that </w:t>
      </w:r>
      <w:r w:rsidR="00643E86">
        <w:rPr>
          <w:rFonts w:ascii="TimesNewRoman,Bold" w:hAnsi="TimesNewRoman,Bold" w:cs="TimesNewRoman,Bold"/>
          <w:bCs/>
        </w:rPr>
        <w:t>Plan</w:t>
      </w:r>
      <w:r w:rsidRPr="00EB035F">
        <w:rPr>
          <w:rFonts w:ascii="TimesNewRoman,Bold" w:hAnsi="TimesNewRoman,Bold" w:cs="TimesNewRoman,Bold"/>
          <w:bCs/>
        </w:rPr>
        <w:t>:</w:t>
      </w:r>
    </w:p>
    <w:p w:rsidR="000975E5" w:rsidRDefault="000975E5" w:rsidP="000975E5">
      <w:pPr>
        <w:autoSpaceDE w:val="0"/>
        <w:autoSpaceDN w:val="0"/>
        <w:adjustRightInd w:val="0"/>
        <w:ind w:left="993" w:hanging="426"/>
        <w:jc w:val="both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ab/>
        <w:t>(a)</w:t>
      </w:r>
      <w:r>
        <w:rPr>
          <w:rFonts w:ascii="TimesNewRoman,Bold" w:hAnsi="TimesNewRoman,Bold" w:cs="TimesNewRoman,Bold"/>
          <w:bCs/>
        </w:rPr>
        <w:tab/>
      </w:r>
      <w:proofErr w:type="gramStart"/>
      <w:r>
        <w:rPr>
          <w:rFonts w:ascii="TimesNewRoman,Bold" w:hAnsi="TimesNewRoman,Bold" w:cs="TimesNewRoman,Bold"/>
          <w:bCs/>
        </w:rPr>
        <w:t>fixed</w:t>
      </w:r>
      <w:proofErr w:type="gramEnd"/>
      <w:r>
        <w:rPr>
          <w:rFonts w:ascii="TimesNewRoman,Bold" w:hAnsi="TimesNewRoman,Bold" w:cs="TimesNewRoman,Bold"/>
          <w:bCs/>
        </w:rPr>
        <w:t xml:space="preserve"> service;</w:t>
      </w:r>
    </w:p>
    <w:p w:rsidR="000975E5" w:rsidRPr="000975E5" w:rsidRDefault="000975E5" w:rsidP="000975E5">
      <w:pPr>
        <w:autoSpaceDE w:val="0"/>
        <w:autoSpaceDN w:val="0"/>
        <w:adjustRightInd w:val="0"/>
        <w:ind w:left="993" w:hanging="426"/>
        <w:jc w:val="both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ab/>
        <w:t>(b)</w:t>
      </w:r>
      <w:r>
        <w:rPr>
          <w:rFonts w:ascii="TimesNewRoman,Bold" w:hAnsi="TimesNewRoman,Bold" w:cs="TimesNewRoman,Bold"/>
          <w:bCs/>
        </w:rPr>
        <w:tab/>
      </w:r>
      <w:proofErr w:type="gramStart"/>
      <w:r>
        <w:rPr>
          <w:rFonts w:ascii="TimesNewRoman,Bold" w:hAnsi="TimesNewRoman,Bold" w:cs="TimesNewRoman,Bold"/>
          <w:bCs/>
        </w:rPr>
        <w:t>radio</w:t>
      </w:r>
      <w:proofErr w:type="gramEnd"/>
      <w:r>
        <w:rPr>
          <w:rFonts w:ascii="TimesNewRoman,Bold" w:hAnsi="TimesNewRoman,Bold" w:cs="TimesNewRoman,Bold"/>
          <w:bCs/>
        </w:rPr>
        <w:t xml:space="preserve"> astronomy service.</w:t>
      </w:r>
      <w:r>
        <w:rPr>
          <w:rFonts w:ascii="TimesNewRoman,Bold" w:hAnsi="TimesNewRoman,Bold" w:cs="TimesNewRoman,Bold"/>
          <w:bCs/>
        </w:rPr>
        <w:tab/>
      </w:r>
    </w:p>
    <w:p w:rsidR="00E865D6" w:rsidRDefault="00E865D6" w:rsidP="00E865D6">
      <w:pPr>
        <w:autoSpaceDE w:val="0"/>
        <w:autoSpaceDN w:val="0"/>
        <w:adjustRightInd w:val="0"/>
        <w:ind w:left="993"/>
        <w:rPr>
          <w:rFonts w:ascii="TimesNewRoman" w:hAnsi="TimesNewRoman" w:cs="TimesNewRoman"/>
        </w:rPr>
      </w:pPr>
    </w:p>
    <w:p w:rsidR="00E070B0" w:rsidRDefault="00C87934">
      <w:pPr>
        <w:pStyle w:val="Note"/>
      </w:pPr>
      <w:r>
        <w:rPr>
          <w:i/>
        </w:rPr>
        <w:t>Note</w:t>
      </w:r>
      <w:proofErr w:type="gramStart"/>
      <w:r>
        <w:t>  A</w:t>
      </w:r>
      <w:proofErr w:type="gramEnd"/>
      <w:r>
        <w:t xml:space="preserve"> number of terms used in these </w:t>
      </w:r>
      <w:r w:rsidR="004F760E">
        <w:t>g</w:t>
      </w:r>
      <w:r>
        <w:t xml:space="preserve">uidelines are defined in the </w:t>
      </w:r>
      <w:r w:rsidR="0051371B">
        <w:rPr>
          <w:i/>
        </w:rPr>
        <w:t>Radiocommunications Act 1992</w:t>
      </w:r>
      <w:r w:rsidR="0051371B">
        <w:t xml:space="preserve"> </w:t>
      </w:r>
      <w:r>
        <w:t>and have the meanings given to them by th</w:t>
      </w:r>
      <w:r w:rsidR="0051371B">
        <w:t xml:space="preserve">at </w:t>
      </w:r>
      <w:r>
        <w:t>Act, including:</w:t>
      </w:r>
    </w:p>
    <w:p w:rsidR="00F078A5" w:rsidRPr="00CC2BC3" w:rsidRDefault="00F078A5" w:rsidP="00C87934">
      <w:pPr>
        <w:pStyle w:val="Note"/>
        <w:keepLines w:val="0"/>
        <w:numPr>
          <w:ilvl w:val="0"/>
          <w:numId w:val="16"/>
        </w:numPr>
      </w:pPr>
      <w:r w:rsidRPr="00CC2BC3">
        <w:t>ACMA</w:t>
      </w:r>
    </w:p>
    <w:p w:rsidR="00C87934" w:rsidRPr="008B26F5" w:rsidRDefault="00C87934" w:rsidP="00C87934">
      <w:pPr>
        <w:pStyle w:val="Note"/>
        <w:keepLines w:val="0"/>
        <w:numPr>
          <w:ilvl w:val="0"/>
          <w:numId w:val="16"/>
        </w:numPr>
      </w:pPr>
      <w:r>
        <w:t>apparatus licence</w:t>
      </w:r>
    </w:p>
    <w:p w:rsidR="00C87934" w:rsidRPr="008B26F5" w:rsidRDefault="00C87934" w:rsidP="00C87934">
      <w:pPr>
        <w:pStyle w:val="Note"/>
        <w:keepLines w:val="0"/>
        <w:numPr>
          <w:ilvl w:val="0"/>
          <w:numId w:val="16"/>
        </w:numPr>
      </w:pPr>
      <w:r>
        <w:t>class licence</w:t>
      </w:r>
      <w:r w:rsidRPr="008B26F5">
        <w:t xml:space="preserve"> </w:t>
      </w:r>
    </w:p>
    <w:p w:rsidR="00C87934" w:rsidRPr="008B26F5" w:rsidRDefault="00C87934" w:rsidP="00C87934">
      <w:pPr>
        <w:pStyle w:val="Note"/>
        <w:keepLines w:val="0"/>
        <w:numPr>
          <w:ilvl w:val="0"/>
          <w:numId w:val="16"/>
        </w:numPr>
      </w:pPr>
      <w:r>
        <w:t>frequency band</w:t>
      </w:r>
    </w:p>
    <w:p w:rsidR="00C87934" w:rsidRPr="008B26F5" w:rsidRDefault="00C87934" w:rsidP="00C87934">
      <w:pPr>
        <w:pStyle w:val="Note"/>
        <w:keepLines w:val="0"/>
        <w:numPr>
          <w:ilvl w:val="0"/>
          <w:numId w:val="16"/>
        </w:numPr>
      </w:pPr>
      <w:r>
        <w:t>interference</w:t>
      </w:r>
    </w:p>
    <w:p w:rsidR="00DB41A0" w:rsidRDefault="00DB41A0" w:rsidP="00C87934">
      <w:pPr>
        <w:pStyle w:val="Note"/>
        <w:keepLines w:val="0"/>
        <w:numPr>
          <w:ilvl w:val="0"/>
          <w:numId w:val="16"/>
        </w:numPr>
      </w:pPr>
      <w:r>
        <w:lastRenderedPageBreak/>
        <w:t>radiocommunications receiver</w:t>
      </w:r>
    </w:p>
    <w:p w:rsidR="00DB41A0" w:rsidRDefault="00DB41A0" w:rsidP="00C87934">
      <w:pPr>
        <w:pStyle w:val="Note"/>
        <w:keepLines w:val="0"/>
        <w:numPr>
          <w:ilvl w:val="0"/>
          <w:numId w:val="16"/>
        </w:numPr>
      </w:pPr>
      <w:r>
        <w:t>radiocommunications transmitter</w:t>
      </w:r>
    </w:p>
    <w:p w:rsidR="00C87934" w:rsidRPr="008B26F5" w:rsidRDefault="00C87934" w:rsidP="00C87934">
      <w:pPr>
        <w:pStyle w:val="Note"/>
        <w:keepLines w:val="0"/>
        <w:numPr>
          <w:ilvl w:val="0"/>
          <w:numId w:val="16"/>
        </w:numPr>
      </w:pPr>
      <w:r>
        <w:t>Register</w:t>
      </w:r>
    </w:p>
    <w:p w:rsidR="00C87934" w:rsidRPr="008B26F5" w:rsidRDefault="00C87934" w:rsidP="00DB41A0">
      <w:pPr>
        <w:pStyle w:val="Note"/>
        <w:keepLines w:val="0"/>
        <w:numPr>
          <w:ilvl w:val="0"/>
          <w:numId w:val="16"/>
        </w:numPr>
      </w:pPr>
      <w:proofErr w:type="gramStart"/>
      <w:r>
        <w:t>spectrum</w:t>
      </w:r>
      <w:proofErr w:type="gramEnd"/>
      <w:r>
        <w:t xml:space="preserve"> licence</w:t>
      </w:r>
      <w:r w:rsidR="005D5070">
        <w:t>.</w:t>
      </w:r>
    </w:p>
    <w:bookmarkEnd w:id="9"/>
    <w:p w:rsidR="00CB19CE" w:rsidRDefault="00CB19CE" w:rsidP="00C87934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8"/>
          <w:szCs w:val="28"/>
        </w:rPr>
        <w:sectPr w:rsidR="00CB19CE" w:rsidSect="00666AB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1440" w:right="1701" w:bottom="1440" w:left="1701" w:header="709" w:footer="709" w:gutter="0"/>
          <w:cols w:space="708"/>
          <w:docGrid w:linePitch="360"/>
        </w:sectPr>
      </w:pPr>
    </w:p>
    <w:p w:rsidR="00F43694" w:rsidRDefault="00F43694" w:rsidP="00C87934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8"/>
          <w:szCs w:val="28"/>
        </w:rPr>
      </w:pPr>
    </w:p>
    <w:p w:rsidR="00E865D6" w:rsidRPr="00E9678F" w:rsidRDefault="00E865D6" w:rsidP="00C87934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8"/>
          <w:szCs w:val="28"/>
        </w:rPr>
      </w:pPr>
      <w:r w:rsidRPr="00E9678F">
        <w:rPr>
          <w:rFonts w:ascii="Arial" w:hAnsi="Arial" w:cs="Arial"/>
          <w:b/>
          <w:bCs/>
          <w:sz w:val="28"/>
          <w:szCs w:val="28"/>
        </w:rPr>
        <w:t>P</w:t>
      </w:r>
      <w:r w:rsidR="00E9678F" w:rsidRPr="00E9678F">
        <w:rPr>
          <w:rFonts w:ascii="Arial" w:hAnsi="Arial" w:cs="Arial"/>
          <w:b/>
          <w:bCs/>
          <w:sz w:val="28"/>
          <w:szCs w:val="28"/>
        </w:rPr>
        <w:t>art</w:t>
      </w:r>
      <w:r w:rsidRPr="00E9678F">
        <w:rPr>
          <w:rFonts w:ascii="Arial" w:hAnsi="Arial" w:cs="Arial"/>
          <w:b/>
          <w:bCs/>
          <w:sz w:val="28"/>
          <w:szCs w:val="28"/>
        </w:rPr>
        <w:t xml:space="preserve"> </w:t>
      </w:r>
      <w:r w:rsidR="00C87934" w:rsidRPr="00E9678F">
        <w:rPr>
          <w:rFonts w:ascii="Arial" w:hAnsi="Arial" w:cs="Arial"/>
          <w:b/>
          <w:bCs/>
          <w:sz w:val="28"/>
          <w:szCs w:val="28"/>
        </w:rPr>
        <w:t>2</w:t>
      </w:r>
      <w:r w:rsidR="00E9678F" w:rsidRPr="00E9678F">
        <w:rPr>
          <w:rFonts w:ascii="Arial" w:hAnsi="Arial" w:cs="Arial"/>
          <w:b/>
          <w:bCs/>
          <w:sz w:val="28"/>
          <w:szCs w:val="28"/>
        </w:rPr>
        <w:tab/>
      </w:r>
      <w:r w:rsidRPr="00E9678F">
        <w:rPr>
          <w:rFonts w:ascii="Arial" w:hAnsi="Arial" w:cs="Arial"/>
          <w:b/>
          <w:bCs/>
          <w:sz w:val="28"/>
          <w:szCs w:val="28"/>
        </w:rPr>
        <w:t>B</w:t>
      </w:r>
      <w:r w:rsidR="00E9678F" w:rsidRPr="00E9678F">
        <w:rPr>
          <w:rFonts w:ascii="Arial" w:hAnsi="Arial" w:cs="Arial"/>
          <w:b/>
          <w:bCs/>
          <w:sz w:val="28"/>
          <w:szCs w:val="28"/>
        </w:rPr>
        <w:t>ackground</w:t>
      </w:r>
    </w:p>
    <w:p w:rsidR="00C87934" w:rsidRPr="00C87934" w:rsidRDefault="00C87934" w:rsidP="00C87934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</w:rPr>
        <w:tab/>
        <w:t>Background</w:t>
      </w:r>
    </w:p>
    <w:p w:rsidR="00535C52" w:rsidRPr="00DB2513" w:rsidRDefault="00077599" w:rsidP="00077599">
      <w:pPr>
        <w:pStyle w:val="RGPara"/>
        <w:keepLines/>
        <w:ind w:left="709" w:hanging="709"/>
      </w:pPr>
      <w:r w:rsidRPr="00DB2513">
        <w:t>(1)</w:t>
      </w:r>
      <w:r w:rsidRPr="00DB2513">
        <w:tab/>
      </w:r>
      <w:r w:rsidRPr="00DB2513">
        <w:tab/>
        <w:t>A</w:t>
      </w:r>
      <w:r w:rsidR="00535C52" w:rsidRPr="00DB2513">
        <w:t>pparatus</w:t>
      </w:r>
      <w:r w:rsidR="00762A08">
        <w:t xml:space="preserve">, </w:t>
      </w:r>
      <w:r w:rsidRPr="00DB2513">
        <w:t>c</w:t>
      </w:r>
      <w:r w:rsidR="00535C52" w:rsidRPr="00DB2513">
        <w:t xml:space="preserve">lass </w:t>
      </w:r>
      <w:r w:rsidRPr="00DB2513">
        <w:t xml:space="preserve">and spectrum </w:t>
      </w:r>
      <w:r w:rsidR="00535C52" w:rsidRPr="00DB2513">
        <w:t xml:space="preserve">licensed </w:t>
      </w:r>
      <w:r w:rsidR="00DB41A0">
        <w:t xml:space="preserve">radiocommunications </w:t>
      </w:r>
      <w:r w:rsidRPr="00DB2513">
        <w:t>receiver</w:t>
      </w:r>
      <w:r w:rsidR="00762A08">
        <w:t>s</w:t>
      </w:r>
      <w:r w:rsidR="00535C52" w:rsidRPr="00DB2513">
        <w:t xml:space="preserve"> have operated in frequency bands </w:t>
      </w:r>
      <w:r w:rsidRPr="00DB2513">
        <w:t xml:space="preserve">adjacent to the 2.5 GHz Mid-band Gap. </w:t>
      </w:r>
      <w:r w:rsidR="00535C52" w:rsidRPr="00DB2513">
        <w:t xml:space="preserve">These </w:t>
      </w:r>
      <w:r w:rsidR="004A1993" w:rsidRPr="00DB2513">
        <w:t xml:space="preserve">radiocommunications </w:t>
      </w:r>
      <w:r w:rsidR="00535C52" w:rsidRPr="00DB2513">
        <w:t xml:space="preserve">receivers could suffer interference caused by </w:t>
      </w:r>
      <w:r w:rsidR="004A1993" w:rsidRPr="00DB2513">
        <w:t xml:space="preserve">radiocommunications </w:t>
      </w:r>
      <w:r w:rsidR="00535C52" w:rsidRPr="00DB2513">
        <w:t xml:space="preserve">transmitters operated under </w:t>
      </w:r>
      <w:r w:rsidRPr="00DB2513">
        <w:t xml:space="preserve">a spectrum licence in </w:t>
      </w:r>
      <w:r w:rsidR="00535C52" w:rsidRPr="00DB2513">
        <w:t xml:space="preserve">the </w:t>
      </w:r>
      <w:r w:rsidR="004A1993" w:rsidRPr="00DB2513">
        <w:t>2.5</w:t>
      </w:r>
      <w:r w:rsidR="00C74B8D" w:rsidRPr="00DB2513">
        <w:t> </w:t>
      </w:r>
      <w:r w:rsidR="004A1993" w:rsidRPr="00DB2513">
        <w:t>GHz Mid-band Gap</w:t>
      </w:r>
      <w:r w:rsidR="00535C52" w:rsidRPr="00DB2513">
        <w:t>.</w:t>
      </w:r>
    </w:p>
    <w:p w:rsidR="003E0926" w:rsidRDefault="00077599" w:rsidP="00077599">
      <w:pPr>
        <w:pStyle w:val="RGPara"/>
        <w:keepLines/>
        <w:ind w:left="709" w:hanging="709"/>
      </w:pPr>
      <w:r>
        <w:t>(</w:t>
      </w:r>
      <w:r w:rsidR="0004060E">
        <w:t>2</w:t>
      </w:r>
      <w:r>
        <w:t>)</w:t>
      </w:r>
      <w:r>
        <w:tab/>
      </w:r>
      <w:r w:rsidR="003E0926">
        <w:t>Existing licensed fixed receiver</w:t>
      </w:r>
      <w:r w:rsidR="0084141A">
        <w:t>s</w:t>
      </w:r>
      <w:r w:rsidR="00C74B8D">
        <w:t>,</w:t>
      </w:r>
      <w:r w:rsidR="003E0926">
        <w:t xml:space="preserve"> </w:t>
      </w:r>
      <w:r w:rsidR="00C74B8D">
        <w:t>the details of which were included</w:t>
      </w:r>
      <w:r w:rsidR="003E0926">
        <w:t xml:space="preserve"> in the Register prior to the </w:t>
      </w:r>
      <w:r w:rsidR="00DB41A0">
        <w:t xml:space="preserve">registration </w:t>
      </w:r>
      <w:r w:rsidR="003E0926">
        <w:t xml:space="preserve">of a fixed transmitter </w:t>
      </w:r>
      <w:r w:rsidR="00C74B8D">
        <w:t xml:space="preserve">operated </w:t>
      </w:r>
      <w:r w:rsidR="003E0926">
        <w:t xml:space="preserve">under a spectrum licence </w:t>
      </w:r>
      <w:r w:rsidR="00C74B8D">
        <w:t xml:space="preserve">in the 2.5 GHz Mid-band Gap </w:t>
      </w:r>
      <w:r w:rsidR="004F760E">
        <w:t xml:space="preserve">are to </w:t>
      </w:r>
      <w:r w:rsidR="003E0926">
        <w:t xml:space="preserve">be provided protection in accordance with these </w:t>
      </w:r>
      <w:r w:rsidR="004F760E">
        <w:t>g</w:t>
      </w:r>
      <w:r w:rsidR="003E0926">
        <w:t>uidelines.</w:t>
      </w:r>
    </w:p>
    <w:p w:rsidR="00535C52" w:rsidRPr="00DB2513" w:rsidRDefault="00077599" w:rsidP="00DB2513">
      <w:pPr>
        <w:pStyle w:val="RGPara"/>
        <w:keepLines/>
        <w:spacing w:after="120"/>
        <w:ind w:left="709" w:hanging="709"/>
      </w:pPr>
      <w:r w:rsidRPr="00DB2513">
        <w:t>(</w:t>
      </w:r>
      <w:r w:rsidR="0004060E">
        <w:t>3</w:t>
      </w:r>
      <w:r w:rsidRPr="00DB2513">
        <w:t>)</w:t>
      </w:r>
      <w:r w:rsidRPr="00DB2513">
        <w:tab/>
      </w:r>
      <w:r w:rsidR="00535C52" w:rsidRPr="00DB2513">
        <w:t xml:space="preserve">These </w:t>
      </w:r>
      <w:r w:rsidR="004F760E">
        <w:t>g</w:t>
      </w:r>
      <w:r w:rsidR="00535C52" w:rsidRPr="00DB2513">
        <w:t xml:space="preserve">uidelines have been made for the management of interference to </w:t>
      </w:r>
      <w:r w:rsidR="004A1993" w:rsidRPr="00DB2513">
        <w:t xml:space="preserve">radiocommunications </w:t>
      </w:r>
      <w:r w:rsidR="00535C52" w:rsidRPr="00DB2513">
        <w:t xml:space="preserve">receivers operating adjacent to the 2.5 GHz </w:t>
      </w:r>
      <w:r w:rsidR="004A1993" w:rsidRPr="00DB2513">
        <w:t>M</w:t>
      </w:r>
      <w:r w:rsidR="00535C52" w:rsidRPr="00DB2513">
        <w:t xml:space="preserve">id-band </w:t>
      </w:r>
      <w:r w:rsidR="00AC6C4B">
        <w:t>G</w:t>
      </w:r>
      <w:r w:rsidR="00AC6C4B" w:rsidRPr="00DB2513">
        <w:t>ap</w:t>
      </w:r>
      <w:r w:rsidR="00535C52" w:rsidRPr="00DB2513">
        <w:t>, including the following:</w:t>
      </w:r>
    </w:p>
    <w:p w:rsidR="009A4F79" w:rsidRDefault="00C74B8D" w:rsidP="00DB2513">
      <w:pPr>
        <w:pStyle w:val="P1"/>
        <w:tabs>
          <w:tab w:val="clear" w:pos="1191"/>
          <w:tab w:val="right" w:pos="426"/>
        </w:tabs>
        <w:spacing w:before="0" w:after="120" w:line="240" w:lineRule="auto"/>
        <w:ind w:left="1134" w:hanging="425"/>
      </w:pPr>
      <w:r>
        <w:t>(</w:t>
      </w:r>
      <w:proofErr w:type="gramStart"/>
      <w:r>
        <w:t>a</w:t>
      </w:r>
      <w:proofErr w:type="gramEnd"/>
      <w:r>
        <w:t>)</w:t>
      </w:r>
      <w:r>
        <w:tab/>
        <w:t>s</w:t>
      </w:r>
      <w:r w:rsidR="00DF05EC">
        <w:t xml:space="preserve">pectrum licensed </w:t>
      </w:r>
      <w:r>
        <w:t>receivers</w:t>
      </w:r>
      <w:r w:rsidR="00200C6F">
        <w:t xml:space="preserve"> </w:t>
      </w:r>
      <w:r w:rsidR="00535C52">
        <w:t xml:space="preserve">operating </w:t>
      </w:r>
      <w:r w:rsidR="009B0DF5">
        <w:t xml:space="preserve">under spectrum licences </w:t>
      </w:r>
      <w:r w:rsidR="00535C52">
        <w:t xml:space="preserve">in </w:t>
      </w:r>
      <w:r w:rsidR="00C0247D">
        <w:t xml:space="preserve">the </w:t>
      </w:r>
      <w:r w:rsidR="00535C52">
        <w:t>2500-2570</w:t>
      </w:r>
      <w:r w:rsidR="00E9678F">
        <w:t> </w:t>
      </w:r>
      <w:r w:rsidR="00200C6F">
        <w:t xml:space="preserve">MHz </w:t>
      </w:r>
      <w:r w:rsidR="00535C52">
        <w:t>and 2620-2690</w:t>
      </w:r>
      <w:r w:rsidR="002043CC">
        <w:t> </w:t>
      </w:r>
      <w:r w:rsidR="00535C52">
        <w:t>MHz</w:t>
      </w:r>
      <w:r w:rsidR="00200C6F">
        <w:t xml:space="preserve"> bands</w:t>
      </w:r>
      <w:r w:rsidR="00344FE5">
        <w:t>,</w:t>
      </w:r>
      <w:r w:rsidR="00DF05EC">
        <w:t xml:space="preserve"> typically </w:t>
      </w:r>
      <w:r>
        <w:t>W</w:t>
      </w:r>
      <w:r w:rsidR="00DF05EC">
        <w:t>AS</w:t>
      </w:r>
      <w:r w:rsidR="009A4F79">
        <w:t>;</w:t>
      </w:r>
      <w:r w:rsidR="002043CC">
        <w:t xml:space="preserve"> and</w:t>
      </w:r>
    </w:p>
    <w:p w:rsidR="00535C52" w:rsidRDefault="00C74B8D" w:rsidP="00DB2513">
      <w:pPr>
        <w:pStyle w:val="P1"/>
        <w:tabs>
          <w:tab w:val="clear" w:pos="1191"/>
          <w:tab w:val="right" w:pos="567"/>
        </w:tabs>
        <w:spacing w:before="0" w:after="120"/>
        <w:ind w:left="1134" w:hanging="425"/>
      </w:pPr>
      <w:r>
        <w:t>(b)</w:t>
      </w:r>
      <w:r>
        <w:tab/>
      </w:r>
      <w:proofErr w:type="gramStart"/>
      <w:r>
        <w:t>apparatus</w:t>
      </w:r>
      <w:proofErr w:type="gramEnd"/>
      <w:r>
        <w:t xml:space="preserve"> licensed receivers in the f</w:t>
      </w:r>
      <w:r w:rsidR="00535C52" w:rsidRPr="00F10FB4">
        <w:t xml:space="preserve">ixed service operating in </w:t>
      </w:r>
      <w:r w:rsidR="002043CC">
        <w:t xml:space="preserve">and </w:t>
      </w:r>
      <w:r w:rsidR="00535C52" w:rsidRPr="00F10FB4">
        <w:t>adjacent to the 2.</w:t>
      </w:r>
      <w:r w:rsidR="00535C52">
        <w:t>5</w:t>
      </w:r>
      <w:r w:rsidR="00535C52" w:rsidRPr="00F10FB4">
        <w:t> GHz</w:t>
      </w:r>
      <w:r w:rsidR="00535C52">
        <w:t xml:space="preserve"> </w:t>
      </w:r>
      <w:r w:rsidR="00200C6F">
        <w:t>M</w:t>
      </w:r>
      <w:r w:rsidR="00535C52">
        <w:t xml:space="preserve">id-band </w:t>
      </w:r>
      <w:r w:rsidR="00AC6C4B">
        <w:t>Gap</w:t>
      </w:r>
      <w:r w:rsidR="00AC6C4B" w:rsidRPr="00F10FB4">
        <w:t xml:space="preserve"> </w:t>
      </w:r>
      <w:r w:rsidR="00535C52" w:rsidRPr="00F10FB4">
        <w:t>spectrum licen</w:t>
      </w:r>
      <w:r w:rsidR="00535C52">
        <w:t>c</w:t>
      </w:r>
      <w:r w:rsidR="00535C52" w:rsidRPr="00F10FB4">
        <w:t>e band</w:t>
      </w:r>
      <w:r w:rsidR="00762A08">
        <w:t>,</w:t>
      </w:r>
      <w:r w:rsidR="009B0DF5">
        <w:t xml:space="preserve"> typically special application point to point links</w:t>
      </w:r>
      <w:r w:rsidR="002043CC">
        <w:t xml:space="preserve">. </w:t>
      </w:r>
    </w:p>
    <w:p w:rsidR="00535C52" w:rsidRPr="00DB2513" w:rsidRDefault="00F5183F" w:rsidP="00F5183F">
      <w:pPr>
        <w:pStyle w:val="RGPara"/>
        <w:keepLines/>
        <w:ind w:left="709" w:hanging="709"/>
      </w:pPr>
      <w:r w:rsidRPr="00DB2513">
        <w:t>(</w:t>
      </w:r>
      <w:r w:rsidR="0004060E">
        <w:t>4</w:t>
      </w:r>
      <w:r w:rsidRPr="00DB2513">
        <w:t>)</w:t>
      </w:r>
      <w:r w:rsidRPr="00DB2513">
        <w:tab/>
      </w:r>
      <w:r w:rsidR="00535C52" w:rsidRPr="00DB2513">
        <w:t xml:space="preserve">These </w:t>
      </w:r>
      <w:r w:rsidR="004F760E">
        <w:t>g</w:t>
      </w:r>
      <w:r w:rsidR="00535C52" w:rsidRPr="00DB2513">
        <w:t>uidelines also provide advice regarding the protection of radio</w:t>
      </w:r>
      <w:r w:rsidR="00535C52" w:rsidRPr="00DB2513">
        <w:noBreakHyphen/>
        <w:t>astronomy services operating in the Mid</w:t>
      </w:r>
      <w:r w:rsidR="0028663B" w:rsidRPr="00DB2513">
        <w:t>-</w:t>
      </w:r>
      <w:r w:rsidR="00C0247D">
        <w:t>W</w:t>
      </w:r>
      <w:r w:rsidR="00535C52" w:rsidRPr="00DB2513">
        <w:t>est Radio Quiet Zone in Western Australia.</w:t>
      </w:r>
    </w:p>
    <w:p w:rsidR="009F359C" w:rsidRDefault="00F5183F">
      <w:pPr>
        <w:pStyle w:val="RGPara"/>
        <w:ind w:left="709" w:hanging="709"/>
      </w:pPr>
      <w:r w:rsidRPr="00DB2513">
        <w:t>(</w:t>
      </w:r>
      <w:r w:rsidR="0004060E">
        <w:t>5</w:t>
      </w:r>
      <w:r w:rsidRPr="00DB2513">
        <w:t>)</w:t>
      </w:r>
      <w:r w:rsidRPr="00DB2513">
        <w:tab/>
      </w:r>
      <w:r w:rsidR="0004060E">
        <w:t>As r</w:t>
      </w:r>
      <w:r w:rsidR="00535C52" w:rsidRPr="00DB2513">
        <w:t>adio waves propagate in different ways because of factors such as frequency, terrain,</w:t>
      </w:r>
      <w:r w:rsidR="00344FE5" w:rsidRPr="00DB2513">
        <w:t xml:space="preserve"> </w:t>
      </w:r>
      <w:r w:rsidR="00535C52" w:rsidRPr="00DB2513">
        <w:t xml:space="preserve">atmospheric conditions and topography, there are a number of ways to predict path loss. </w:t>
      </w:r>
      <w:r w:rsidR="0028663B" w:rsidRPr="00DB2513">
        <w:t xml:space="preserve">The </w:t>
      </w:r>
      <w:r w:rsidR="005770C8">
        <w:t>ITU-R Recommendation</w:t>
      </w:r>
      <w:r w:rsidR="00041A82" w:rsidRPr="00DB2513">
        <w:t xml:space="preserve"> P.1144 “Guide to the application of the propagation methods of Radiocommunications Study Group 3” assist</w:t>
      </w:r>
      <w:r w:rsidR="005770C8">
        <w:t>s</w:t>
      </w:r>
      <w:r w:rsidR="00041A82" w:rsidRPr="00DB2513">
        <w:t xml:space="preserve"> in the choice and application of propagation </w:t>
      </w:r>
      <w:r w:rsidR="006448EA" w:rsidRPr="00DB2513">
        <w:t>prediction methods</w:t>
      </w:r>
      <w:r w:rsidR="00041A82" w:rsidRPr="00DB2513">
        <w:t xml:space="preserve"> suitable to determining path loss for coordination.  </w:t>
      </w:r>
      <w:r w:rsidR="00300747" w:rsidRPr="007C1BE5">
        <w:t>It is recommended that the most recent version of propagation models defined by the ITU</w:t>
      </w:r>
      <w:r w:rsidR="00300747" w:rsidRPr="00F144A9">
        <w:t xml:space="preserve">-R should be considered when modelling propagation in the </w:t>
      </w:r>
      <w:r w:rsidR="00E070B0">
        <w:t>2.5 GHz Mid-band Gap</w:t>
      </w:r>
      <w:r w:rsidR="00300747" w:rsidRPr="00F144A9">
        <w:t xml:space="preserve">.  </w:t>
      </w:r>
    </w:p>
    <w:p w:rsidR="009D0365" w:rsidRDefault="00755893">
      <w:pPr>
        <w:pStyle w:val="HP"/>
        <w:ind w:left="709" w:firstLine="0"/>
        <w:rPr>
          <w:rFonts w:ascii="Times New Roman" w:hAnsi="Times New Roman"/>
          <w:b w:val="0"/>
          <w:sz w:val="20"/>
          <w:szCs w:val="20"/>
        </w:rPr>
      </w:pPr>
      <w:r w:rsidRPr="00755893">
        <w:rPr>
          <w:rFonts w:ascii="Times New Roman" w:hAnsi="Times New Roman"/>
          <w:b w:val="0"/>
          <w:i/>
          <w:sz w:val="20"/>
          <w:szCs w:val="20"/>
        </w:rPr>
        <w:t>Note 1</w:t>
      </w:r>
      <w:r w:rsidR="00300747" w:rsidRPr="00F144A9">
        <w:rPr>
          <w:rFonts w:ascii="Times New Roman" w:hAnsi="Times New Roman"/>
          <w:b w:val="0"/>
          <w:sz w:val="20"/>
          <w:szCs w:val="20"/>
        </w:rPr>
        <w:tab/>
        <w:t>The ITU-R Recommendation P</w:t>
      </w:r>
      <w:r w:rsidR="00C0247D">
        <w:rPr>
          <w:rFonts w:ascii="Times New Roman" w:hAnsi="Times New Roman"/>
          <w:b w:val="0"/>
          <w:sz w:val="20"/>
          <w:szCs w:val="20"/>
        </w:rPr>
        <w:t xml:space="preserve"> </w:t>
      </w:r>
      <w:r w:rsidR="00300747" w:rsidRPr="00F144A9">
        <w:rPr>
          <w:rFonts w:ascii="Times New Roman" w:hAnsi="Times New Roman"/>
          <w:b w:val="0"/>
          <w:sz w:val="20"/>
          <w:szCs w:val="20"/>
        </w:rPr>
        <w:t xml:space="preserve">1144 is available from the ITU website at </w:t>
      </w:r>
      <w:hyperlink r:id="rId21" w:history="1">
        <w:r w:rsidR="00300747" w:rsidRPr="00F144A9">
          <w:rPr>
            <w:rStyle w:val="Hyperlink"/>
            <w:rFonts w:ascii="Times New Roman" w:hAnsi="Times New Roman"/>
            <w:b w:val="0"/>
            <w:sz w:val="20"/>
            <w:szCs w:val="20"/>
          </w:rPr>
          <w:t>http://www.itu.int</w:t>
        </w:r>
      </w:hyperlink>
      <w:r w:rsidR="00300747">
        <w:rPr>
          <w:rFonts w:ascii="Times New Roman" w:hAnsi="Times New Roman"/>
          <w:b w:val="0"/>
          <w:sz w:val="20"/>
          <w:szCs w:val="20"/>
        </w:rPr>
        <w:t>.</w:t>
      </w:r>
    </w:p>
    <w:p w:rsidR="009F359C" w:rsidRDefault="00755893">
      <w:pPr>
        <w:ind w:left="709"/>
        <w:rPr>
          <w:b/>
          <w:sz w:val="20"/>
          <w:szCs w:val="20"/>
        </w:rPr>
      </w:pPr>
      <w:r w:rsidRPr="00755893">
        <w:rPr>
          <w:i/>
          <w:sz w:val="20"/>
        </w:rPr>
        <w:t>Note 2</w:t>
      </w:r>
      <w:r w:rsidR="00300747">
        <w:rPr>
          <w:sz w:val="20"/>
        </w:rPr>
        <w:tab/>
        <w:t xml:space="preserve">The use of other published propagation models applicable to the </w:t>
      </w:r>
      <w:r w:rsidR="002250D9">
        <w:rPr>
          <w:sz w:val="20"/>
        </w:rPr>
        <w:t xml:space="preserve">2.5 GHz </w:t>
      </w:r>
      <w:r w:rsidR="00300747">
        <w:rPr>
          <w:sz w:val="20"/>
        </w:rPr>
        <w:t>band</w:t>
      </w:r>
      <w:r w:rsidR="002250D9">
        <w:rPr>
          <w:sz w:val="20"/>
        </w:rPr>
        <w:t xml:space="preserve"> </w:t>
      </w:r>
      <w:r w:rsidR="00300747">
        <w:rPr>
          <w:sz w:val="20"/>
        </w:rPr>
        <w:t xml:space="preserve">may also be suitable. </w:t>
      </w:r>
    </w:p>
    <w:p w:rsidR="00697DE1" w:rsidRDefault="00697DE1" w:rsidP="00CB19CE">
      <w:pPr>
        <w:autoSpaceDE w:val="0"/>
        <w:autoSpaceDN w:val="0"/>
        <w:adjustRightInd w:val="0"/>
        <w:spacing w:before="120" w:after="120"/>
        <w:ind w:left="709" w:hanging="709"/>
        <w:jc w:val="both"/>
      </w:pPr>
    </w:p>
    <w:p w:rsidR="00203B7A" w:rsidRPr="00DB2513" w:rsidRDefault="00203B7A" w:rsidP="00BA20A1">
      <w:pPr>
        <w:pStyle w:val="PageBreak"/>
        <w:keepLines/>
        <w:rPr>
          <w:sz w:val="24"/>
          <w:szCs w:val="24"/>
        </w:rPr>
      </w:pPr>
    </w:p>
    <w:p w:rsidR="00CB19CE" w:rsidRDefault="00CB19CE" w:rsidP="0087001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  <w:sectPr w:rsidR="00CB19CE" w:rsidSect="00A507E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7" w:h="16839" w:code="9"/>
          <w:pgMar w:top="1440" w:right="1559" w:bottom="1440" w:left="1797" w:header="709" w:footer="709" w:gutter="0"/>
          <w:cols w:space="708"/>
          <w:docGrid w:linePitch="360"/>
        </w:sectPr>
      </w:pPr>
    </w:p>
    <w:p w:rsidR="00870016" w:rsidRPr="000A2E77" w:rsidRDefault="00870016" w:rsidP="0087001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A2E77">
        <w:rPr>
          <w:rFonts w:ascii="Arial" w:hAnsi="Arial" w:cs="Arial"/>
          <w:b/>
          <w:bCs/>
          <w:sz w:val="28"/>
          <w:szCs w:val="28"/>
        </w:rPr>
        <w:t>P</w:t>
      </w:r>
      <w:r w:rsidR="00E9678F" w:rsidRPr="000A2E77">
        <w:rPr>
          <w:rFonts w:ascii="Arial" w:hAnsi="Arial" w:cs="Arial"/>
          <w:b/>
          <w:bCs/>
          <w:sz w:val="28"/>
          <w:szCs w:val="28"/>
        </w:rPr>
        <w:t>art</w:t>
      </w:r>
      <w:r w:rsidRPr="000A2E77">
        <w:rPr>
          <w:rFonts w:ascii="Arial" w:hAnsi="Arial" w:cs="Arial"/>
          <w:b/>
          <w:bCs/>
          <w:sz w:val="28"/>
          <w:szCs w:val="28"/>
        </w:rPr>
        <w:t xml:space="preserve"> </w:t>
      </w:r>
      <w:r w:rsidR="00F5183F" w:rsidRPr="000A2E77">
        <w:rPr>
          <w:rFonts w:ascii="Arial" w:hAnsi="Arial" w:cs="Arial"/>
          <w:b/>
          <w:bCs/>
          <w:sz w:val="28"/>
          <w:szCs w:val="28"/>
        </w:rPr>
        <w:t>3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ab/>
      </w:r>
      <w:r w:rsidRPr="000A2E77">
        <w:rPr>
          <w:rFonts w:ascii="Arial" w:hAnsi="Arial" w:cs="Arial"/>
          <w:b/>
          <w:bCs/>
          <w:sz w:val="28"/>
          <w:szCs w:val="28"/>
        </w:rPr>
        <w:t>O</w:t>
      </w:r>
      <w:r w:rsidR="00E9678F" w:rsidRPr="000A2E77">
        <w:rPr>
          <w:rFonts w:ascii="Arial" w:hAnsi="Arial" w:cs="Arial"/>
          <w:b/>
          <w:bCs/>
          <w:sz w:val="28"/>
          <w:szCs w:val="28"/>
        </w:rPr>
        <w:t>ther</w:t>
      </w:r>
      <w:r w:rsidRPr="000A2E77">
        <w:rPr>
          <w:rFonts w:ascii="Arial" w:hAnsi="Arial" w:cs="Arial"/>
          <w:b/>
          <w:bCs/>
          <w:sz w:val="28"/>
          <w:szCs w:val="28"/>
        </w:rPr>
        <w:t xml:space="preserve"> S</w:t>
      </w:r>
      <w:r w:rsidR="00E9678F" w:rsidRPr="000A2E77">
        <w:rPr>
          <w:rFonts w:ascii="Arial" w:hAnsi="Arial" w:cs="Arial"/>
          <w:b/>
          <w:bCs/>
          <w:sz w:val="28"/>
          <w:szCs w:val="28"/>
        </w:rPr>
        <w:t>pectrum</w:t>
      </w:r>
      <w:r w:rsidRPr="000A2E77">
        <w:rPr>
          <w:rFonts w:ascii="Arial" w:hAnsi="Arial" w:cs="Arial"/>
          <w:b/>
          <w:bCs/>
          <w:sz w:val="28"/>
          <w:szCs w:val="28"/>
        </w:rPr>
        <w:t xml:space="preserve"> </w:t>
      </w:r>
      <w:r w:rsidR="00F631A1" w:rsidRPr="000A2E77">
        <w:rPr>
          <w:rFonts w:ascii="Arial" w:hAnsi="Arial" w:cs="Arial"/>
          <w:b/>
          <w:bCs/>
          <w:sz w:val="28"/>
          <w:szCs w:val="28"/>
        </w:rPr>
        <w:t>Licen</w:t>
      </w:r>
      <w:r w:rsidR="00F631A1">
        <w:rPr>
          <w:rFonts w:ascii="Arial" w:hAnsi="Arial" w:cs="Arial"/>
          <w:b/>
          <w:bCs/>
          <w:sz w:val="28"/>
          <w:szCs w:val="28"/>
        </w:rPr>
        <w:t>s</w:t>
      </w:r>
      <w:r w:rsidR="00F631A1" w:rsidRPr="000A2E77">
        <w:rPr>
          <w:rFonts w:ascii="Arial" w:hAnsi="Arial" w:cs="Arial"/>
          <w:b/>
          <w:bCs/>
          <w:sz w:val="28"/>
          <w:szCs w:val="28"/>
        </w:rPr>
        <w:t>e</w:t>
      </w:r>
      <w:r w:rsidR="00F631A1">
        <w:rPr>
          <w:rFonts w:ascii="Arial" w:hAnsi="Arial" w:cs="Arial"/>
          <w:b/>
          <w:bCs/>
          <w:sz w:val="28"/>
          <w:szCs w:val="28"/>
        </w:rPr>
        <w:t>d</w:t>
      </w:r>
      <w:r w:rsidR="00F631A1" w:rsidRPr="000A2E7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A2E77">
        <w:rPr>
          <w:rFonts w:ascii="Arial" w:hAnsi="Arial" w:cs="Arial"/>
          <w:b/>
          <w:bCs/>
          <w:sz w:val="28"/>
          <w:szCs w:val="28"/>
        </w:rPr>
        <w:t>R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eceivers</w:t>
      </w:r>
    </w:p>
    <w:p w:rsidR="007D3505" w:rsidRPr="00F10FB4" w:rsidRDefault="007D3505">
      <w:pPr>
        <w:pStyle w:val="Header"/>
        <w:rPr>
          <w:b/>
          <w:vanish/>
          <w:szCs w:val="16"/>
        </w:rPr>
      </w:pPr>
      <w:r w:rsidRPr="00F10FB4">
        <w:rPr>
          <w:rStyle w:val="CharDivNo"/>
          <w:b/>
          <w:vanish/>
          <w:szCs w:val="16"/>
        </w:rPr>
        <w:t>Do not delete</w:t>
      </w:r>
      <w:r w:rsidRPr="00F10FB4">
        <w:rPr>
          <w:b/>
          <w:vanish/>
          <w:szCs w:val="16"/>
        </w:rPr>
        <w:t xml:space="preserve"> : </w:t>
      </w:r>
      <w:r w:rsidRPr="00F10FB4">
        <w:rPr>
          <w:rStyle w:val="CharDivText"/>
          <w:b/>
          <w:vanish/>
          <w:szCs w:val="16"/>
        </w:rPr>
        <w:t>Division Placeholder</w:t>
      </w:r>
    </w:p>
    <w:p w:rsidR="0070639F" w:rsidRPr="00F10FB4" w:rsidRDefault="00F5183F" w:rsidP="00BA20A1">
      <w:pPr>
        <w:pStyle w:val="HR"/>
      </w:pPr>
      <w:bookmarkStart w:id="11" w:name="_Toc308011972"/>
      <w:r>
        <w:rPr>
          <w:rStyle w:val="CharSectno"/>
        </w:rPr>
        <w:t>3</w:t>
      </w:r>
      <w:r w:rsidR="0070639F" w:rsidRPr="00F10FB4">
        <w:rPr>
          <w:rStyle w:val="CharSectno"/>
        </w:rPr>
        <w:t>.1</w:t>
      </w:r>
      <w:r w:rsidR="0070639F" w:rsidRPr="00F10FB4">
        <w:tab/>
        <w:t>Background</w:t>
      </w:r>
      <w:bookmarkEnd w:id="11"/>
    </w:p>
    <w:p w:rsidR="00F677C5" w:rsidRPr="00F677C5" w:rsidRDefault="00D32B0F" w:rsidP="00F677C5">
      <w:pPr>
        <w:pStyle w:val="R1"/>
      </w:pPr>
      <w:r w:rsidRPr="00F10FB4">
        <w:rPr>
          <w:rFonts w:ascii="TimesNewRoman,Bold" w:hAnsi="TimesNewRoman,Bold" w:cs="TimesNewRoman,Bold"/>
          <w:bCs/>
        </w:rPr>
        <w:tab/>
      </w:r>
      <w:r w:rsidR="00303E08" w:rsidRPr="00F10FB4">
        <w:rPr>
          <w:bCs/>
        </w:rPr>
        <w:t>(1)</w:t>
      </w:r>
      <w:r w:rsidR="0070639F" w:rsidRPr="00F10FB4">
        <w:rPr>
          <w:bCs/>
        </w:rPr>
        <w:tab/>
      </w:r>
      <w:r w:rsidR="0070639F" w:rsidRPr="00F10FB4">
        <w:t xml:space="preserve">This Part applies to the protection of </w:t>
      </w:r>
      <w:r w:rsidR="00041A82">
        <w:t xml:space="preserve">fixed </w:t>
      </w:r>
      <w:r w:rsidR="0070639F" w:rsidRPr="00F10FB4">
        <w:t xml:space="preserve">receivers operating </w:t>
      </w:r>
      <w:r w:rsidR="0032551F">
        <w:t>under</w:t>
      </w:r>
      <w:r w:rsidR="0070639F" w:rsidRPr="00F10FB4">
        <w:t xml:space="preserve"> spectrum </w:t>
      </w:r>
      <w:r w:rsidR="00697DE1">
        <w:t>licen</w:t>
      </w:r>
      <w:r w:rsidR="00B3437D">
        <w:t>c</w:t>
      </w:r>
      <w:r w:rsidR="00697DE1">
        <w:t>es other than in</w:t>
      </w:r>
      <w:r w:rsidR="0070639F" w:rsidRPr="00F10FB4">
        <w:t xml:space="preserve"> the 2.</w:t>
      </w:r>
      <w:r w:rsidR="00E73796">
        <w:t>5</w:t>
      </w:r>
      <w:r w:rsidR="0070639F" w:rsidRPr="00F10FB4">
        <w:t xml:space="preserve"> GHz </w:t>
      </w:r>
      <w:r w:rsidR="00870016">
        <w:t>M</w:t>
      </w:r>
      <w:r w:rsidR="00E73796">
        <w:t xml:space="preserve">id-band </w:t>
      </w:r>
      <w:r w:rsidR="00870016">
        <w:t>G</w:t>
      </w:r>
      <w:r w:rsidR="00E73796">
        <w:t>ap</w:t>
      </w:r>
      <w:r w:rsidR="0070639F" w:rsidRPr="00F10FB4">
        <w:t>.</w:t>
      </w:r>
    </w:p>
    <w:p w:rsidR="008A4F7B" w:rsidRDefault="004121B7">
      <w:pPr>
        <w:pStyle w:val="ZR2"/>
      </w:pPr>
      <w:r w:rsidRPr="00F10FB4">
        <w:tab/>
      </w:r>
      <w:r w:rsidR="00303E08" w:rsidRPr="00F10FB4">
        <w:t>(2)</w:t>
      </w:r>
      <w:r w:rsidRPr="00F10FB4">
        <w:tab/>
      </w:r>
      <w:r w:rsidR="00F677C5">
        <w:t xml:space="preserve">These </w:t>
      </w:r>
      <w:r w:rsidR="00BE1088">
        <w:t xml:space="preserve">include </w:t>
      </w:r>
      <w:r w:rsidR="00870016">
        <w:t xml:space="preserve">radiocommunications </w:t>
      </w:r>
      <w:r w:rsidR="00F677C5">
        <w:t xml:space="preserve">receivers </w:t>
      </w:r>
      <w:r w:rsidR="00B17728">
        <w:t xml:space="preserve">that </w:t>
      </w:r>
      <w:r w:rsidR="00A73978">
        <w:t xml:space="preserve">will </w:t>
      </w:r>
      <w:r w:rsidR="00F677C5">
        <w:t>operat</w:t>
      </w:r>
      <w:r w:rsidR="0090207B">
        <w:t>e</w:t>
      </w:r>
      <w:r w:rsidR="00F677C5">
        <w:t xml:space="preserve"> in the band 2500-2570</w:t>
      </w:r>
      <w:r w:rsidR="00BE1088">
        <w:t xml:space="preserve"> </w:t>
      </w:r>
      <w:r w:rsidR="00F677C5">
        <w:t xml:space="preserve">MHz and </w:t>
      </w:r>
      <w:r w:rsidR="00A73978">
        <w:t xml:space="preserve">may operate in the band </w:t>
      </w:r>
      <w:r w:rsidR="00F677C5">
        <w:t>2620-2690</w:t>
      </w:r>
      <w:r w:rsidR="005770C8">
        <w:t xml:space="preserve"> </w:t>
      </w:r>
      <w:r w:rsidR="00F677C5">
        <w:t>MHz</w:t>
      </w:r>
      <w:r w:rsidR="005770C8">
        <w:t>,</w:t>
      </w:r>
      <w:r w:rsidR="00F677C5">
        <w:t xml:space="preserve"> </w:t>
      </w:r>
      <w:r w:rsidR="0090207B">
        <w:t xml:space="preserve">under </w:t>
      </w:r>
      <w:r w:rsidR="00BE1088">
        <w:t xml:space="preserve">a spectrum licence in the 2.5 GHz </w:t>
      </w:r>
      <w:proofErr w:type="gramStart"/>
      <w:r w:rsidR="005D5070">
        <w:t>b</w:t>
      </w:r>
      <w:r w:rsidR="00BE1088">
        <w:t>and</w:t>
      </w:r>
      <w:r w:rsidR="00840B28">
        <w:t>,</w:t>
      </w:r>
      <w:r w:rsidR="00F677C5">
        <w:t xml:space="preserve"> </w:t>
      </w:r>
      <w:r w:rsidR="00A825FA">
        <w:t>that</w:t>
      </w:r>
      <w:proofErr w:type="gramEnd"/>
      <w:r w:rsidR="00F677C5">
        <w:t xml:space="preserve"> is likely to support FDD </w:t>
      </w:r>
      <w:r w:rsidR="00BA1743">
        <w:t>WAS</w:t>
      </w:r>
      <w:r w:rsidR="00A73978">
        <w:t>.</w:t>
      </w:r>
    </w:p>
    <w:p w:rsidR="0070639F" w:rsidRDefault="00D32B0F" w:rsidP="00870016">
      <w:pPr>
        <w:pStyle w:val="R2"/>
      </w:pPr>
      <w:r w:rsidRPr="00F10FB4">
        <w:tab/>
      </w:r>
      <w:r w:rsidR="00303E08" w:rsidRPr="00F10FB4">
        <w:t>(3)</w:t>
      </w:r>
      <w:r w:rsidRPr="00F10FB4">
        <w:tab/>
      </w:r>
      <w:r w:rsidR="00F677C5" w:rsidRPr="00F677C5">
        <w:t>T</w:t>
      </w:r>
      <w:r w:rsidR="002043CC">
        <w:t>ypically t</w:t>
      </w:r>
      <w:r w:rsidR="00F677C5" w:rsidRPr="00F677C5">
        <w:t xml:space="preserve">here </w:t>
      </w:r>
      <w:r w:rsidR="002043CC">
        <w:t>are</w:t>
      </w:r>
      <w:r w:rsidR="00F677C5" w:rsidRPr="00F677C5">
        <w:t xml:space="preserve"> no RALIs </w:t>
      </w:r>
      <w:r w:rsidR="001A224C">
        <w:t xml:space="preserve">that </w:t>
      </w:r>
      <w:r w:rsidR="00563653">
        <w:t>describe</w:t>
      </w:r>
      <w:r w:rsidR="00F677C5" w:rsidRPr="00F677C5">
        <w:t xml:space="preserve"> coordination between </w:t>
      </w:r>
      <w:r w:rsidR="00697DE1">
        <w:t>radiocommunications devices</w:t>
      </w:r>
      <w:r w:rsidR="00F677C5" w:rsidRPr="00F677C5">
        <w:t xml:space="preserve"> licensed using spectrum licences. It is necessary to look at the relevant spectrum licence technical framework for </w:t>
      </w:r>
      <w:r w:rsidR="00697DE1">
        <w:t>each band</w:t>
      </w:r>
      <w:r w:rsidR="002043CC">
        <w:t xml:space="preserve"> </w:t>
      </w:r>
      <w:r w:rsidR="00F677C5" w:rsidRPr="00F677C5">
        <w:t xml:space="preserve">to determine system characteristics and coordination </w:t>
      </w:r>
      <w:r w:rsidR="001E72C1">
        <w:t>methods</w:t>
      </w:r>
      <w:r w:rsidR="00F677C5" w:rsidRPr="00F677C5">
        <w:t>.</w:t>
      </w:r>
    </w:p>
    <w:p w:rsidR="006612AC" w:rsidRPr="00F10FB4" w:rsidRDefault="00F5183F" w:rsidP="006612AC">
      <w:pPr>
        <w:pStyle w:val="HR"/>
      </w:pPr>
      <w:bookmarkStart w:id="12" w:name="_Toc308011973"/>
      <w:r>
        <w:rPr>
          <w:rStyle w:val="CharSectno"/>
        </w:rPr>
        <w:t>3</w:t>
      </w:r>
      <w:r w:rsidR="006612AC" w:rsidRPr="00F10FB4">
        <w:rPr>
          <w:rStyle w:val="CharSectno"/>
        </w:rPr>
        <w:t>.</w:t>
      </w:r>
      <w:r w:rsidR="006612AC">
        <w:rPr>
          <w:rStyle w:val="CharSectno"/>
        </w:rPr>
        <w:t>2</w:t>
      </w:r>
      <w:r w:rsidR="006612AC" w:rsidRPr="00F10FB4">
        <w:tab/>
      </w:r>
      <w:r w:rsidR="006612AC">
        <w:t>Wireless access services</w:t>
      </w:r>
      <w:bookmarkEnd w:id="12"/>
      <w:r w:rsidR="002043CC">
        <w:t xml:space="preserve"> </w:t>
      </w:r>
    </w:p>
    <w:p w:rsidR="00BE3257" w:rsidRPr="00BE3257" w:rsidRDefault="006612AC" w:rsidP="00BE3257">
      <w:pPr>
        <w:pStyle w:val="R2"/>
      </w:pPr>
      <w:r>
        <w:tab/>
        <w:t>(1)</w:t>
      </w:r>
      <w:r>
        <w:tab/>
      </w:r>
      <w:r w:rsidR="006B3FC5">
        <w:t xml:space="preserve">The </w:t>
      </w:r>
      <w:r w:rsidR="0090207B">
        <w:t xml:space="preserve">band 2500-2690 MHz </w:t>
      </w:r>
      <w:r w:rsidR="00762A08">
        <w:t xml:space="preserve">has been </w:t>
      </w:r>
      <w:r w:rsidR="0090207B">
        <w:t xml:space="preserve">restructured into three </w:t>
      </w:r>
      <w:r w:rsidR="006B3FC5">
        <w:t>bands</w:t>
      </w:r>
      <w:r w:rsidR="0090207B">
        <w:t>.</w:t>
      </w:r>
      <w:r w:rsidR="006B3FC5">
        <w:t xml:space="preserve"> </w:t>
      </w:r>
      <w:r w:rsidR="0090207B">
        <w:t xml:space="preserve">The bands </w:t>
      </w:r>
      <w:r w:rsidR="006B3FC5">
        <w:t>2500-2570</w:t>
      </w:r>
      <w:r w:rsidR="00BA1743">
        <w:t xml:space="preserve"> </w:t>
      </w:r>
      <w:r w:rsidR="006B3FC5">
        <w:t>MHz and 2620-2690</w:t>
      </w:r>
      <w:r w:rsidR="00BA1743">
        <w:t xml:space="preserve"> </w:t>
      </w:r>
      <w:r w:rsidR="006B3FC5">
        <w:t xml:space="preserve">MHz </w:t>
      </w:r>
      <w:r w:rsidR="001E0CC7">
        <w:t xml:space="preserve">either side of the 2.5 GHz Mid-band Gap </w:t>
      </w:r>
      <w:r w:rsidR="006B3FC5">
        <w:t xml:space="preserve">were </w:t>
      </w:r>
      <w:r w:rsidR="00842A60">
        <w:t>paired and licensed for reallocation under</w:t>
      </w:r>
      <w:r w:rsidR="001E0CC7">
        <w:t xml:space="preserve"> </w:t>
      </w:r>
      <w:r w:rsidR="00842A60">
        <w:t xml:space="preserve">a </w:t>
      </w:r>
      <w:r w:rsidR="006B3FC5">
        <w:t>spectrum licen</w:t>
      </w:r>
      <w:r w:rsidR="00BA1743">
        <w:t>c</w:t>
      </w:r>
      <w:r w:rsidR="00842A60">
        <w:t>e to support FDD WAS</w:t>
      </w:r>
      <w:r w:rsidR="006B3FC5">
        <w:t>.</w:t>
      </w:r>
      <w:r w:rsidR="00BE3257">
        <w:t xml:space="preserve"> </w:t>
      </w:r>
      <w:r w:rsidR="00BE3257" w:rsidRPr="00BE3257">
        <w:t xml:space="preserve">   </w:t>
      </w:r>
    </w:p>
    <w:p w:rsidR="00E03AC8" w:rsidRDefault="001B0FC0" w:rsidP="006B3FC5">
      <w:pPr>
        <w:pStyle w:val="R2"/>
      </w:pPr>
      <w:r>
        <w:tab/>
      </w:r>
      <w:r w:rsidR="00E03AC8">
        <w:t>(2)</w:t>
      </w:r>
      <w:r w:rsidR="00E03AC8">
        <w:tab/>
        <w:t xml:space="preserve">WAS involves the </w:t>
      </w:r>
      <w:r w:rsidR="006B3FC5">
        <w:t xml:space="preserve">deployment of </w:t>
      </w:r>
      <w:r w:rsidR="003343F5">
        <w:t xml:space="preserve">a network of </w:t>
      </w:r>
      <w:r w:rsidR="006B3FC5">
        <w:t xml:space="preserve">fixed base station </w:t>
      </w:r>
      <w:r w:rsidR="00BA1743">
        <w:t xml:space="preserve">radiocommunications </w:t>
      </w:r>
      <w:r w:rsidR="006B3FC5">
        <w:t>transmitters servicing lower power mobile user equipment</w:t>
      </w:r>
      <w:r w:rsidR="00F51A99">
        <w:t xml:space="preserve"> </w:t>
      </w:r>
      <w:r w:rsidR="003343F5">
        <w:t>ty</w:t>
      </w:r>
      <w:r w:rsidR="00F51A99">
        <w:t xml:space="preserve">pically providing access to </w:t>
      </w:r>
      <w:r w:rsidR="009B7727">
        <w:t xml:space="preserve">a </w:t>
      </w:r>
      <w:r w:rsidR="00F51A99">
        <w:t>public data network</w:t>
      </w:r>
      <w:r w:rsidR="006B3FC5">
        <w:t>.</w:t>
      </w:r>
    </w:p>
    <w:p w:rsidR="008A4F7B" w:rsidRDefault="00E03AC8" w:rsidP="001E0CC7">
      <w:pPr>
        <w:pStyle w:val="R2"/>
      </w:pPr>
      <w:r>
        <w:rPr>
          <w:b/>
        </w:rPr>
        <w:tab/>
      </w:r>
      <w:r w:rsidR="00292F9C" w:rsidRPr="00292F9C">
        <w:t>(3)</w:t>
      </w:r>
      <w:r w:rsidRPr="00E03AC8">
        <w:t xml:space="preserve"> </w:t>
      </w:r>
      <w:r>
        <w:tab/>
      </w:r>
      <w:r w:rsidRPr="00E03AC8">
        <w:t>The technical framework for the spectrum licen</w:t>
      </w:r>
      <w:r w:rsidR="00BA1743">
        <w:t>c</w:t>
      </w:r>
      <w:r w:rsidRPr="00E03AC8">
        <w:t xml:space="preserve">es in the </w:t>
      </w:r>
      <w:r>
        <w:t>2</w:t>
      </w:r>
      <w:r w:rsidR="00842A60">
        <w:t>.5 GHz</w:t>
      </w:r>
      <w:r>
        <w:t xml:space="preserve"> </w:t>
      </w:r>
      <w:r w:rsidR="00842A60">
        <w:t>band is designed to support</w:t>
      </w:r>
      <w:r>
        <w:t xml:space="preserve"> F</w:t>
      </w:r>
      <w:r w:rsidRPr="00E03AC8">
        <w:t xml:space="preserve">DD services </w:t>
      </w:r>
      <w:r>
        <w:t xml:space="preserve">with </w:t>
      </w:r>
      <w:r w:rsidR="00842A60">
        <w:t xml:space="preserve">fixed </w:t>
      </w:r>
      <w:r>
        <w:t xml:space="preserve">base stations transmitting in </w:t>
      </w:r>
      <w:r w:rsidR="00662462">
        <w:t xml:space="preserve">the </w:t>
      </w:r>
      <w:r>
        <w:t>2620-2690</w:t>
      </w:r>
      <w:r w:rsidR="00662462">
        <w:t xml:space="preserve"> </w:t>
      </w:r>
      <w:r>
        <w:t>MHz</w:t>
      </w:r>
      <w:r w:rsidR="00662462">
        <w:t xml:space="preserve"> band</w:t>
      </w:r>
      <w:r>
        <w:t xml:space="preserve">. </w:t>
      </w:r>
    </w:p>
    <w:p w:rsidR="0070639F" w:rsidRPr="00F10FB4" w:rsidRDefault="00F5183F" w:rsidP="00BA20A1">
      <w:pPr>
        <w:pStyle w:val="HR"/>
      </w:pPr>
      <w:bookmarkStart w:id="13" w:name="_Toc308011974"/>
      <w:r>
        <w:rPr>
          <w:rStyle w:val="CharSectno"/>
        </w:rPr>
        <w:t>3</w:t>
      </w:r>
      <w:r w:rsidR="00D32B0F" w:rsidRPr="00F10FB4">
        <w:rPr>
          <w:rStyle w:val="CharSectno"/>
        </w:rPr>
        <w:t>.</w:t>
      </w:r>
      <w:r w:rsidR="006612AC">
        <w:rPr>
          <w:rStyle w:val="CharSectno"/>
        </w:rPr>
        <w:t>3</w:t>
      </w:r>
      <w:r w:rsidR="00D32B0F" w:rsidRPr="00F10FB4">
        <w:tab/>
      </w:r>
      <w:r w:rsidR="0070639F" w:rsidRPr="00F10FB4">
        <w:t>Protection requirements</w:t>
      </w:r>
      <w:bookmarkEnd w:id="13"/>
    </w:p>
    <w:p w:rsidR="00DF05EC" w:rsidRDefault="00D32B0F" w:rsidP="002117CB">
      <w:pPr>
        <w:pStyle w:val="RGPara"/>
        <w:keepLines/>
        <w:tabs>
          <w:tab w:val="left" w:pos="567"/>
        </w:tabs>
        <w:ind w:left="993" w:hanging="993"/>
      </w:pPr>
      <w:r w:rsidRPr="00F10FB4">
        <w:rPr>
          <w:bCs/>
        </w:rPr>
        <w:tab/>
      </w:r>
      <w:r w:rsidRPr="00F10FB4">
        <w:t>(1)</w:t>
      </w:r>
      <w:r w:rsidRPr="00F10FB4">
        <w:tab/>
      </w:r>
      <w:r w:rsidR="003E0926">
        <w:t xml:space="preserve">The protection requirements for </w:t>
      </w:r>
      <w:r w:rsidR="002117CB">
        <w:t xml:space="preserve">fixed receivers </w:t>
      </w:r>
      <w:r w:rsidR="00743687">
        <w:t>operating under spectrum licen</w:t>
      </w:r>
      <w:r w:rsidR="00BA1743">
        <w:t>c</w:t>
      </w:r>
      <w:r w:rsidR="00743687">
        <w:t>es in the 2.5 GHz band included</w:t>
      </w:r>
      <w:r w:rsidR="002117CB">
        <w:t xml:space="preserve"> in the Register prior to the registration of a fixed transmitter </w:t>
      </w:r>
      <w:r w:rsidR="00743687">
        <w:t xml:space="preserve">to be operated </w:t>
      </w:r>
      <w:r w:rsidR="002117CB">
        <w:t xml:space="preserve">under a </w:t>
      </w:r>
      <w:r w:rsidR="00743687">
        <w:t>spectrum licen</w:t>
      </w:r>
      <w:r w:rsidR="00BA1743">
        <w:t>c</w:t>
      </w:r>
      <w:r w:rsidR="00743687">
        <w:t xml:space="preserve">e in the </w:t>
      </w:r>
      <w:r w:rsidR="002117CB">
        <w:t xml:space="preserve">2.5 GHz Mid-band Gap </w:t>
      </w:r>
      <w:r w:rsidR="00DE1BD9" w:rsidRPr="00DE1BD9">
        <w:t xml:space="preserve">can be found in the technical framework for that licence in the form of the compatibility requirement (a minimum wanted signal level of </w:t>
      </w:r>
      <w:r w:rsidR="006F56EE">
        <w:noBreakHyphen/>
      </w:r>
      <w:r w:rsidR="00870016">
        <w:t>102.5</w:t>
      </w:r>
      <w:r w:rsidR="00DE1BD9" w:rsidRPr="00DE1BD9">
        <w:t xml:space="preserve"> dBm/MHz </w:t>
      </w:r>
      <w:r w:rsidR="00BA1743">
        <w:t>for</w:t>
      </w:r>
      <w:r w:rsidR="00BA1743" w:rsidRPr="00DE1BD9">
        <w:t xml:space="preserve"> </w:t>
      </w:r>
      <w:r w:rsidR="00DE1BD9" w:rsidRPr="00DE1BD9">
        <w:t xml:space="preserve">registered receivers) and notional receiver </w:t>
      </w:r>
      <w:r w:rsidR="00840B28">
        <w:t>performance requirements</w:t>
      </w:r>
      <w:r w:rsidR="00DE1BD9" w:rsidRPr="00DE1BD9">
        <w:t xml:space="preserve">. </w:t>
      </w:r>
    </w:p>
    <w:p w:rsidR="008A4F7B" w:rsidRDefault="00DF05EC" w:rsidP="00870016">
      <w:pPr>
        <w:pStyle w:val="R1"/>
      </w:pPr>
      <w:r>
        <w:tab/>
        <w:t>(2)</w:t>
      </w:r>
      <w:r>
        <w:tab/>
      </w:r>
      <w:r w:rsidR="003343F5">
        <w:t>The l</w:t>
      </w:r>
      <w:r w:rsidR="00DE1BD9" w:rsidRPr="00DE1BD9">
        <w:t xml:space="preserve">ocation and antenna details of fixed </w:t>
      </w:r>
      <w:r w:rsidR="00743687">
        <w:t>receivers</w:t>
      </w:r>
      <w:r w:rsidR="003343F5">
        <w:t xml:space="preserve"> </w:t>
      </w:r>
      <w:r w:rsidR="00DE1BD9" w:rsidRPr="00DE1BD9">
        <w:t>can be found</w:t>
      </w:r>
      <w:r w:rsidR="00BA1743">
        <w:t xml:space="preserve"> </w:t>
      </w:r>
      <w:r w:rsidR="00DE1BD9" w:rsidRPr="00DE1BD9">
        <w:t xml:space="preserve">in the Register and coordination with these sites is </w:t>
      </w:r>
      <w:r w:rsidR="007F2789">
        <w:t xml:space="preserve">typically </w:t>
      </w:r>
      <w:r w:rsidR="00DE1BD9" w:rsidRPr="00DE1BD9">
        <w:t xml:space="preserve">required for fixed outdoor transmitters located within </w:t>
      </w:r>
      <w:r w:rsidR="006612AC">
        <w:t>200 m</w:t>
      </w:r>
      <w:r w:rsidR="00C0247D">
        <w:t>etres</w:t>
      </w:r>
      <w:r w:rsidR="00DE1BD9" w:rsidRPr="00DE1BD9">
        <w:t xml:space="preserve"> of these </w:t>
      </w:r>
      <w:r w:rsidR="003343F5">
        <w:t>locations</w:t>
      </w:r>
      <w:r w:rsidR="00DE1BD9" w:rsidRPr="00DE1BD9">
        <w:t xml:space="preserve">.  </w:t>
      </w:r>
    </w:p>
    <w:p w:rsidR="00DF05EC" w:rsidRDefault="00D32B0F" w:rsidP="007F2789">
      <w:pPr>
        <w:pStyle w:val="R2"/>
      </w:pPr>
      <w:r w:rsidRPr="00F10FB4">
        <w:tab/>
      </w:r>
      <w:bookmarkStart w:id="14" w:name="_Toc308011975"/>
      <w:bookmarkStart w:id="15" w:name="_Toc220121884"/>
    </w:p>
    <w:p w:rsidR="00DF05EC" w:rsidRPr="007F2789" w:rsidRDefault="00DF05EC" w:rsidP="007F2789">
      <w:pPr>
        <w:pStyle w:val="R2"/>
      </w:pPr>
    </w:p>
    <w:p w:rsidR="00CB19CE" w:rsidRDefault="00CB19CE" w:rsidP="007F278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  <w:sectPr w:rsidR="00CB19CE" w:rsidSect="00DB2513">
          <w:headerReference w:type="default" r:id="rId28"/>
          <w:pgSz w:w="11907" w:h="16839" w:code="9"/>
          <w:pgMar w:top="1440" w:right="1701" w:bottom="1440" w:left="1701" w:header="709" w:footer="709" w:gutter="0"/>
          <w:cols w:space="708"/>
          <w:docGrid w:linePitch="360"/>
        </w:sectPr>
      </w:pPr>
    </w:p>
    <w:p w:rsidR="007F2789" w:rsidRPr="000A2E77" w:rsidRDefault="007F2789" w:rsidP="007F278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A2E77">
        <w:rPr>
          <w:rFonts w:ascii="Arial" w:hAnsi="Arial" w:cs="Arial"/>
          <w:b/>
          <w:bCs/>
          <w:sz w:val="28"/>
          <w:szCs w:val="28"/>
        </w:rPr>
        <w:t>P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art</w:t>
      </w:r>
      <w:r w:rsidRPr="000A2E77">
        <w:rPr>
          <w:rFonts w:ascii="Arial" w:hAnsi="Arial" w:cs="Arial"/>
          <w:b/>
          <w:bCs/>
          <w:sz w:val="28"/>
          <w:szCs w:val="28"/>
        </w:rPr>
        <w:t xml:space="preserve"> </w:t>
      </w:r>
      <w:r w:rsidR="00F5183F" w:rsidRPr="000A2E77">
        <w:rPr>
          <w:rFonts w:ascii="Arial" w:hAnsi="Arial" w:cs="Arial"/>
          <w:b/>
          <w:bCs/>
          <w:sz w:val="28"/>
          <w:szCs w:val="28"/>
        </w:rPr>
        <w:t>4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ab/>
      </w:r>
      <w:r w:rsidRPr="000A2E77">
        <w:rPr>
          <w:rFonts w:ascii="Arial" w:hAnsi="Arial" w:cs="Arial"/>
          <w:b/>
          <w:bCs/>
          <w:sz w:val="28"/>
          <w:szCs w:val="28"/>
        </w:rPr>
        <w:t>F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ixed</w:t>
      </w:r>
      <w:r w:rsidRPr="000A2E77">
        <w:rPr>
          <w:rFonts w:ascii="Arial" w:hAnsi="Arial" w:cs="Arial"/>
          <w:b/>
          <w:bCs/>
          <w:sz w:val="28"/>
          <w:szCs w:val="28"/>
        </w:rPr>
        <w:t xml:space="preserve"> S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ervice</w:t>
      </w:r>
      <w:r w:rsidRPr="000A2E77">
        <w:rPr>
          <w:rFonts w:ascii="Arial" w:hAnsi="Arial" w:cs="Arial"/>
          <w:b/>
          <w:bCs/>
          <w:sz w:val="28"/>
          <w:szCs w:val="28"/>
        </w:rPr>
        <w:t xml:space="preserve"> R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eceivers</w:t>
      </w:r>
    </w:p>
    <w:p w:rsidR="007F2789" w:rsidRPr="00C25789" w:rsidRDefault="00F5183F" w:rsidP="007F2789">
      <w:pPr>
        <w:pStyle w:val="HR"/>
        <w:rPr>
          <w:rStyle w:val="CharSectno"/>
        </w:rPr>
      </w:pPr>
      <w:r>
        <w:rPr>
          <w:rStyle w:val="CharSectno"/>
        </w:rPr>
        <w:t>4</w:t>
      </w:r>
      <w:r w:rsidR="007F2789" w:rsidRPr="00C25789">
        <w:rPr>
          <w:rStyle w:val="CharSectno"/>
        </w:rPr>
        <w:t>.1</w:t>
      </w:r>
      <w:r w:rsidR="007F2789" w:rsidRPr="00C25789">
        <w:rPr>
          <w:rStyle w:val="CharSectno"/>
        </w:rPr>
        <w:tab/>
        <w:t>Background</w:t>
      </w:r>
    </w:p>
    <w:p w:rsidR="007C5863" w:rsidRDefault="007F2789">
      <w:pPr>
        <w:autoSpaceDE w:val="0"/>
        <w:autoSpaceDN w:val="0"/>
        <w:adjustRightInd w:val="0"/>
        <w:spacing w:before="120" w:after="120"/>
        <w:ind w:left="992" w:hanging="425"/>
        <w:rPr>
          <w:rFonts w:ascii="TimesNewRoman,Bold" w:hAnsi="TimesNewRoman,Bold" w:cs="TimesNewRoman,Bold"/>
          <w:bCs/>
        </w:rPr>
      </w:pPr>
      <w:r w:rsidRPr="00C25789">
        <w:rPr>
          <w:rFonts w:ascii="TimesNewRoman,Bold" w:hAnsi="TimesNewRoman,Bold" w:cs="TimesNewRoman,Bold"/>
          <w:bCs/>
        </w:rPr>
        <w:t>(1)</w:t>
      </w:r>
      <w:r w:rsidRPr="00DB2513">
        <w:rPr>
          <w:rFonts w:ascii="TimesNewRoman,Bold" w:hAnsi="TimesNewRoman,Bold" w:cs="TimesNewRoman,Bold"/>
          <w:bCs/>
        </w:rPr>
        <w:tab/>
        <w:t xml:space="preserve">This Part applies to the protection of </w:t>
      </w:r>
      <w:r w:rsidR="00743687" w:rsidRPr="00DB2513">
        <w:rPr>
          <w:rFonts w:ascii="TimesNewRoman,Bold" w:hAnsi="TimesNewRoman,Bold" w:cs="TimesNewRoman,Bold"/>
          <w:bCs/>
        </w:rPr>
        <w:t xml:space="preserve">fixed </w:t>
      </w:r>
      <w:r w:rsidRPr="00DB2513">
        <w:rPr>
          <w:rFonts w:ascii="TimesNewRoman,Bold" w:hAnsi="TimesNewRoman,Bold" w:cs="TimesNewRoman,Bold"/>
          <w:bCs/>
        </w:rPr>
        <w:t xml:space="preserve">receivers operating as part of the </w:t>
      </w:r>
      <w:r w:rsidR="00743687" w:rsidRPr="00DB2513">
        <w:rPr>
          <w:rFonts w:ascii="TimesNewRoman,Bold" w:hAnsi="TimesNewRoman,Bold" w:cs="TimesNewRoman,Bold"/>
          <w:bCs/>
        </w:rPr>
        <w:t>f</w:t>
      </w:r>
      <w:r w:rsidRPr="00DB2513">
        <w:rPr>
          <w:rFonts w:ascii="TimesNewRoman,Bold" w:hAnsi="TimesNewRoman,Bold" w:cs="TimesNewRoman,Bold"/>
          <w:bCs/>
        </w:rPr>
        <w:t xml:space="preserve">ixed </w:t>
      </w:r>
      <w:r w:rsidR="00743687" w:rsidRPr="00DB2513">
        <w:rPr>
          <w:rFonts w:ascii="TimesNewRoman,Bold" w:hAnsi="TimesNewRoman,Bold" w:cs="TimesNewRoman,Bold"/>
          <w:bCs/>
        </w:rPr>
        <w:t>s</w:t>
      </w:r>
      <w:r w:rsidRPr="00DB2513">
        <w:rPr>
          <w:rFonts w:ascii="TimesNewRoman,Bold" w:hAnsi="TimesNewRoman,Bold" w:cs="TimesNewRoman,Bold"/>
          <w:bCs/>
        </w:rPr>
        <w:t xml:space="preserve">ervice in </w:t>
      </w:r>
      <w:r w:rsidR="00840B28">
        <w:rPr>
          <w:rFonts w:ascii="TimesNewRoman,Bold" w:hAnsi="TimesNewRoman,Bold" w:cs="TimesNewRoman,Bold"/>
          <w:bCs/>
        </w:rPr>
        <w:t>spectrum in</w:t>
      </w:r>
      <w:r w:rsidR="00756499">
        <w:rPr>
          <w:rFonts w:ascii="TimesNewRoman,Bold" w:hAnsi="TimesNewRoman,Bold" w:cs="TimesNewRoman,Bold"/>
          <w:bCs/>
        </w:rPr>
        <w:t>,</w:t>
      </w:r>
      <w:r w:rsidR="00840B28">
        <w:rPr>
          <w:rFonts w:ascii="TimesNewRoman,Bold" w:hAnsi="TimesNewRoman,Bold" w:cs="TimesNewRoman,Bold"/>
          <w:bCs/>
        </w:rPr>
        <w:t xml:space="preserve"> </w:t>
      </w:r>
      <w:r w:rsidRPr="00DB2513">
        <w:rPr>
          <w:rFonts w:ascii="TimesNewRoman,Bold" w:hAnsi="TimesNewRoman,Bold" w:cs="TimesNewRoman,Bold"/>
          <w:bCs/>
        </w:rPr>
        <w:t>and adjacent to</w:t>
      </w:r>
      <w:r w:rsidR="00756499">
        <w:rPr>
          <w:rFonts w:ascii="TimesNewRoman,Bold" w:hAnsi="TimesNewRoman,Bold" w:cs="TimesNewRoman,Bold"/>
          <w:bCs/>
        </w:rPr>
        <w:t>,</w:t>
      </w:r>
      <w:r w:rsidRPr="00DB2513">
        <w:rPr>
          <w:rFonts w:ascii="TimesNewRoman,Bold" w:hAnsi="TimesNewRoman,Bold" w:cs="TimesNewRoman,Bold"/>
          <w:bCs/>
        </w:rPr>
        <w:t xml:space="preserve"> the 2.5 GHz </w:t>
      </w:r>
      <w:r w:rsidR="00743687" w:rsidRPr="00DB2513">
        <w:rPr>
          <w:rFonts w:ascii="TimesNewRoman,Bold" w:hAnsi="TimesNewRoman,Bold" w:cs="TimesNewRoman,Bold"/>
          <w:bCs/>
        </w:rPr>
        <w:t>Mid-band Gap</w:t>
      </w:r>
      <w:r w:rsidRPr="00DB2513">
        <w:rPr>
          <w:rFonts w:ascii="TimesNewRoman,Bold" w:hAnsi="TimesNewRoman,Bold" w:cs="TimesNewRoman,Bold"/>
          <w:bCs/>
        </w:rPr>
        <w:t>.</w:t>
      </w:r>
    </w:p>
    <w:p w:rsidR="00743687" w:rsidRDefault="007F2789" w:rsidP="00A04880">
      <w:pPr>
        <w:autoSpaceDE w:val="0"/>
        <w:autoSpaceDN w:val="0"/>
        <w:adjustRightInd w:val="0"/>
        <w:spacing w:after="120"/>
        <w:ind w:left="992" w:hanging="425"/>
        <w:rPr>
          <w:rFonts w:ascii="TimesNewRoman,Bold" w:hAnsi="TimesNewRoman,Bold" w:cs="TimesNewRoman,Bold"/>
          <w:bCs/>
        </w:rPr>
      </w:pPr>
      <w:r w:rsidRPr="00C25789">
        <w:rPr>
          <w:rFonts w:ascii="TimesNewRoman,Bold" w:hAnsi="TimesNewRoman,Bold" w:cs="TimesNewRoman,Bold"/>
          <w:bCs/>
        </w:rPr>
        <w:t>(2)</w:t>
      </w:r>
      <w:r w:rsidRPr="00A04880">
        <w:rPr>
          <w:rFonts w:ascii="TimesNewRoman,Bold" w:hAnsi="TimesNewRoman,Bold" w:cs="TimesNewRoman,Bold"/>
          <w:bCs/>
        </w:rPr>
        <w:tab/>
        <w:t>There are no formal channelling arrangements for apparatus licensed point-to-point fixed link systems operating in and immediately adjacent to the 2.5</w:t>
      </w:r>
      <w:r w:rsidR="00590C65" w:rsidRPr="00A04880">
        <w:rPr>
          <w:rFonts w:ascii="TimesNewRoman,Bold" w:hAnsi="TimesNewRoman,Bold" w:cs="TimesNewRoman,Bold"/>
          <w:bCs/>
        </w:rPr>
        <w:t> GHz Mid-band</w:t>
      </w:r>
      <w:r w:rsidRPr="00A04880">
        <w:rPr>
          <w:rFonts w:ascii="TimesNewRoman,Bold" w:hAnsi="TimesNewRoman,Bold" w:cs="TimesNewRoman,Bold"/>
          <w:bCs/>
        </w:rPr>
        <w:t xml:space="preserve"> G</w:t>
      </w:r>
      <w:r w:rsidR="00590C65" w:rsidRPr="00A04880">
        <w:rPr>
          <w:rFonts w:ascii="TimesNewRoman,Bold" w:hAnsi="TimesNewRoman,Bold" w:cs="TimesNewRoman,Bold"/>
          <w:bCs/>
        </w:rPr>
        <w:t>ap</w:t>
      </w:r>
      <w:r w:rsidRPr="00A04880">
        <w:rPr>
          <w:rFonts w:ascii="TimesNewRoman,Bold" w:hAnsi="TimesNewRoman,Bold" w:cs="TimesNewRoman,Bold"/>
          <w:bCs/>
        </w:rPr>
        <w:t xml:space="preserve"> due to the small number and specialised nature of these links located in remote areas of Australia.  </w:t>
      </w:r>
    </w:p>
    <w:p w:rsidR="009D0365" w:rsidRDefault="00743687">
      <w:pPr>
        <w:autoSpaceDE w:val="0"/>
        <w:autoSpaceDN w:val="0"/>
        <w:adjustRightInd w:val="0"/>
        <w:spacing w:after="120"/>
        <w:ind w:left="992"/>
        <w:jc w:val="both"/>
        <w:rPr>
          <w:rFonts w:ascii="TimesNewRoman,Bold" w:hAnsi="TimesNewRoman,Bold" w:cs="TimesNewRoman,Bold"/>
          <w:bCs/>
          <w:sz w:val="20"/>
          <w:szCs w:val="20"/>
        </w:rPr>
      </w:pPr>
      <w:r w:rsidRPr="007D5A97">
        <w:rPr>
          <w:rFonts w:ascii="TimesNewRoman,Bold" w:hAnsi="TimesNewRoman,Bold" w:cs="TimesNewRoman,Bold"/>
          <w:bCs/>
          <w:i/>
          <w:sz w:val="20"/>
          <w:szCs w:val="20"/>
        </w:rPr>
        <w:t>Note</w:t>
      </w:r>
      <w:r w:rsidR="00165EA5">
        <w:rPr>
          <w:rFonts w:ascii="TimesNewRoman,Bold" w:hAnsi="TimesNewRoman,Bold" w:cs="TimesNewRoman,Bold"/>
          <w:bCs/>
          <w:sz w:val="20"/>
          <w:szCs w:val="20"/>
        </w:rPr>
        <w:tab/>
      </w:r>
      <w:r w:rsidRPr="007D5A97">
        <w:rPr>
          <w:rFonts w:ascii="TimesNewRoman,Bold" w:hAnsi="TimesNewRoman,Bold" w:cs="TimesNewRoman,Bold"/>
          <w:bCs/>
          <w:sz w:val="20"/>
          <w:szCs w:val="20"/>
        </w:rPr>
        <w:t xml:space="preserve">Technical details of these links can be found in the Register available </w:t>
      </w:r>
      <w:r w:rsidR="00BA1743">
        <w:rPr>
          <w:rFonts w:ascii="TimesNewRoman,Bold" w:hAnsi="TimesNewRoman,Bold" w:cs="TimesNewRoman,Bold"/>
          <w:bCs/>
          <w:sz w:val="20"/>
          <w:szCs w:val="20"/>
        </w:rPr>
        <w:t>on</w:t>
      </w:r>
      <w:r w:rsidR="00BA1743" w:rsidRPr="007D5A97">
        <w:rPr>
          <w:rFonts w:ascii="TimesNewRoman,Bold" w:hAnsi="TimesNewRoman,Bold" w:cs="TimesNewRoman,Bold"/>
          <w:bCs/>
          <w:sz w:val="20"/>
          <w:szCs w:val="20"/>
        </w:rPr>
        <w:t xml:space="preserve"> </w:t>
      </w:r>
      <w:r w:rsidRPr="007D5A97">
        <w:rPr>
          <w:rFonts w:ascii="TimesNewRoman,Bold" w:hAnsi="TimesNewRoman,Bold" w:cs="TimesNewRoman,Bold"/>
          <w:bCs/>
          <w:sz w:val="20"/>
          <w:szCs w:val="20"/>
        </w:rPr>
        <w:t>the ACMA website</w:t>
      </w:r>
      <w:r w:rsidR="00BA1743">
        <w:rPr>
          <w:rFonts w:ascii="TimesNewRoman,Bold" w:hAnsi="TimesNewRoman,Bold" w:cs="TimesNewRoman,Bold"/>
          <w:bCs/>
          <w:sz w:val="20"/>
          <w:szCs w:val="20"/>
        </w:rPr>
        <w:t xml:space="preserve"> www.acma.gov.au</w:t>
      </w:r>
      <w:r w:rsidRPr="007D5A97">
        <w:rPr>
          <w:rFonts w:ascii="TimesNewRoman,Bold" w:hAnsi="TimesNewRoman,Bold" w:cs="TimesNewRoman,Bold"/>
          <w:bCs/>
          <w:sz w:val="20"/>
          <w:szCs w:val="20"/>
        </w:rPr>
        <w:t>.</w:t>
      </w:r>
    </w:p>
    <w:p w:rsidR="007F2789" w:rsidRPr="00A04880" w:rsidRDefault="00743687" w:rsidP="00743687">
      <w:pPr>
        <w:autoSpaceDE w:val="0"/>
        <w:autoSpaceDN w:val="0"/>
        <w:adjustRightInd w:val="0"/>
        <w:spacing w:after="120"/>
        <w:ind w:left="992" w:hanging="425"/>
        <w:rPr>
          <w:rFonts w:ascii="TimesNewRoman,Bold" w:hAnsi="TimesNewRoman,Bold" w:cs="TimesNewRoman,Bold"/>
          <w:bCs/>
        </w:rPr>
      </w:pPr>
      <w:r w:rsidRPr="00A4554E">
        <w:rPr>
          <w:rFonts w:ascii="TimesNewRoman,Bold" w:hAnsi="TimesNewRoman,Bold" w:cs="TimesNewRoman,Bold"/>
          <w:bCs/>
        </w:rPr>
        <w:t xml:space="preserve"> </w:t>
      </w:r>
      <w:r w:rsidR="007F2789" w:rsidRPr="00A4554E">
        <w:rPr>
          <w:rFonts w:ascii="TimesNewRoman,Bold" w:hAnsi="TimesNewRoman,Bold" w:cs="TimesNewRoman,Bold"/>
          <w:bCs/>
        </w:rPr>
        <w:t>(3)</w:t>
      </w:r>
      <w:r w:rsidR="007F2789" w:rsidRPr="00A04880">
        <w:rPr>
          <w:rFonts w:ascii="TimesNewRoman,Bold" w:hAnsi="TimesNewRoman,Bold" w:cs="TimesNewRoman,Bold"/>
          <w:bCs/>
        </w:rPr>
        <w:tab/>
        <w:t>The closest formalised point</w:t>
      </w:r>
      <w:r w:rsidR="00BA1743">
        <w:rPr>
          <w:rFonts w:ascii="TimesNewRoman,Bold" w:hAnsi="TimesNewRoman,Bold" w:cs="TimesNewRoman,Bold"/>
          <w:bCs/>
        </w:rPr>
        <w:t>-</w:t>
      </w:r>
      <w:r w:rsidR="007F2789" w:rsidRPr="00A04880">
        <w:rPr>
          <w:rFonts w:ascii="TimesNewRoman,Bold" w:hAnsi="TimesNewRoman,Bold" w:cs="TimesNewRoman,Bold"/>
          <w:bCs/>
        </w:rPr>
        <w:t>to</w:t>
      </w:r>
      <w:r w:rsidR="00BA1743">
        <w:rPr>
          <w:rFonts w:ascii="TimesNewRoman,Bold" w:hAnsi="TimesNewRoman,Bold" w:cs="TimesNewRoman,Bold"/>
          <w:bCs/>
        </w:rPr>
        <w:t>-</w:t>
      </w:r>
      <w:r w:rsidR="007F2789" w:rsidRPr="00A04880">
        <w:rPr>
          <w:rFonts w:ascii="TimesNewRoman,Bold" w:hAnsi="TimesNewRoman,Bold" w:cs="TimesNewRoman,Bold"/>
          <w:bCs/>
        </w:rPr>
        <w:t xml:space="preserve">point </w:t>
      </w:r>
      <w:r>
        <w:rPr>
          <w:rFonts w:ascii="TimesNewRoman,Bold" w:hAnsi="TimesNewRoman,Bold" w:cs="TimesNewRoman,Bold"/>
          <w:bCs/>
        </w:rPr>
        <w:t>fixed</w:t>
      </w:r>
      <w:r w:rsidR="007D5E42">
        <w:rPr>
          <w:rFonts w:ascii="TimesNewRoman,Bold" w:hAnsi="TimesNewRoman,Bold" w:cs="TimesNewRoman,Bold"/>
          <w:bCs/>
        </w:rPr>
        <w:t xml:space="preserve"> </w:t>
      </w:r>
      <w:r w:rsidR="007F2789" w:rsidRPr="00A04880">
        <w:rPr>
          <w:rFonts w:ascii="TimesNewRoman,Bold" w:hAnsi="TimesNewRoman,Bold" w:cs="TimesNewRoman,Bold"/>
          <w:bCs/>
        </w:rPr>
        <w:t xml:space="preserve">link </w:t>
      </w:r>
      <w:r w:rsidR="00266F77">
        <w:rPr>
          <w:rFonts w:ascii="TimesNewRoman,Bold" w:hAnsi="TimesNewRoman,Bold" w:cs="TimesNewRoman,Bold"/>
          <w:bCs/>
        </w:rPr>
        <w:t xml:space="preserve">frequency </w:t>
      </w:r>
      <w:r w:rsidR="007F2789" w:rsidRPr="00A04880">
        <w:rPr>
          <w:rFonts w:ascii="TimesNewRoman,Bold" w:hAnsi="TimesNewRoman,Bold" w:cs="TimesNewRoman,Bold"/>
          <w:bCs/>
        </w:rPr>
        <w:t xml:space="preserve">band currently open to new </w:t>
      </w:r>
      <w:r w:rsidR="00600248">
        <w:rPr>
          <w:rFonts w:ascii="TimesNewRoman,Bold" w:hAnsi="TimesNewRoman,Bold" w:cs="TimesNewRoman,Bold"/>
          <w:bCs/>
        </w:rPr>
        <w:t xml:space="preserve">frequency </w:t>
      </w:r>
      <w:r>
        <w:rPr>
          <w:rFonts w:ascii="TimesNewRoman,Bold" w:hAnsi="TimesNewRoman,Bold" w:cs="TimesNewRoman,Bold"/>
          <w:bCs/>
        </w:rPr>
        <w:t xml:space="preserve">assignments is the 2.2 GHz </w:t>
      </w:r>
      <w:r w:rsidR="005D5070">
        <w:rPr>
          <w:rFonts w:ascii="TimesNewRoman,Bold" w:hAnsi="TimesNewRoman,Bold" w:cs="TimesNewRoman,Bold"/>
          <w:bCs/>
        </w:rPr>
        <w:t>b</w:t>
      </w:r>
      <w:r>
        <w:rPr>
          <w:rFonts w:ascii="TimesNewRoman,Bold" w:hAnsi="TimesNewRoman,Bold" w:cs="TimesNewRoman,Bold"/>
          <w:bCs/>
        </w:rPr>
        <w:t>and</w:t>
      </w:r>
      <w:r w:rsidR="007F2789" w:rsidRPr="00A04880">
        <w:rPr>
          <w:rFonts w:ascii="TimesNewRoman,Bold" w:hAnsi="TimesNewRoman,Bold" w:cs="TimesNewRoman,Bold"/>
          <w:bCs/>
        </w:rPr>
        <w:t>. That band overlays an older band now closed to new assignments</w:t>
      </w:r>
      <w:r w:rsidR="009B7727">
        <w:rPr>
          <w:rFonts w:ascii="TimesNewRoman,Bold" w:hAnsi="TimesNewRoman,Bold" w:cs="TimesNewRoman,Bold"/>
          <w:bCs/>
        </w:rPr>
        <w:t>,</w:t>
      </w:r>
      <w:r w:rsidR="007F2789" w:rsidRPr="00A04880">
        <w:rPr>
          <w:rFonts w:ascii="TimesNewRoman,Bold" w:hAnsi="TimesNewRoman,Bold" w:cs="TimesNewRoman,Bold"/>
          <w:bCs/>
        </w:rPr>
        <w:t xml:space="preserve"> the 2.1 GHz </w:t>
      </w:r>
      <w:r w:rsidR="005D5070">
        <w:rPr>
          <w:rFonts w:ascii="TimesNewRoman,Bold" w:hAnsi="TimesNewRoman,Bold" w:cs="TimesNewRoman,Bold"/>
          <w:bCs/>
        </w:rPr>
        <w:t>b</w:t>
      </w:r>
      <w:r w:rsidR="007F2789" w:rsidRPr="00A04880">
        <w:rPr>
          <w:rFonts w:ascii="TimesNewRoman,Bold" w:hAnsi="TimesNewRoman,Bold" w:cs="TimesNewRoman,Bold"/>
          <w:bCs/>
        </w:rPr>
        <w:t>and.  Apparatus licensed point</w:t>
      </w:r>
      <w:r w:rsidR="00BA1743">
        <w:rPr>
          <w:rFonts w:ascii="TimesNewRoman,Bold" w:hAnsi="TimesNewRoman,Bold" w:cs="TimesNewRoman,Bold"/>
          <w:bCs/>
        </w:rPr>
        <w:t>-</w:t>
      </w:r>
      <w:r w:rsidR="007F2789" w:rsidRPr="00A04880">
        <w:rPr>
          <w:rFonts w:ascii="TimesNewRoman,Bold" w:hAnsi="TimesNewRoman,Bold" w:cs="TimesNewRoman,Bold"/>
          <w:bCs/>
        </w:rPr>
        <w:t>to</w:t>
      </w:r>
      <w:r w:rsidR="00BA1743">
        <w:rPr>
          <w:rFonts w:ascii="TimesNewRoman,Bold" w:hAnsi="TimesNewRoman,Bold" w:cs="TimesNewRoman,Bold"/>
          <w:bCs/>
        </w:rPr>
        <w:t>-</w:t>
      </w:r>
      <w:r w:rsidR="007F2789" w:rsidRPr="00A04880">
        <w:rPr>
          <w:rFonts w:ascii="TimesNewRoman,Bold" w:hAnsi="TimesNewRoman,Bold" w:cs="TimesNewRoman,Bold"/>
          <w:bCs/>
        </w:rPr>
        <w:t xml:space="preserve">point </w:t>
      </w:r>
      <w:r w:rsidR="007D5E42">
        <w:rPr>
          <w:rFonts w:ascii="TimesNewRoman,Bold" w:hAnsi="TimesNewRoman,Bold" w:cs="TimesNewRoman,Bold"/>
          <w:bCs/>
        </w:rPr>
        <w:t xml:space="preserve">fixed </w:t>
      </w:r>
      <w:r w:rsidR="007F2789" w:rsidRPr="00A04880">
        <w:rPr>
          <w:rFonts w:ascii="TimesNewRoman,Bold" w:hAnsi="TimesNewRoman,Bold" w:cs="TimesNewRoman,Bold"/>
          <w:bCs/>
        </w:rPr>
        <w:t xml:space="preserve">links </w:t>
      </w:r>
      <w:r w:rsidR="009B7727">
        <w:rPr>
          <w:rFonts w:ascii="TimesNewRoman,Bold" w:hAnsi="TimesNewRoman,Bold" w:cs="TimesNewRoman,Bold"/>
          <w:bCs/>
        </w:rPr>
        <w:t xml:space="preserve">in these </w:t>
      </w:r>
      <w:r w:rsidR="008B7AAD">
        <w:rPr>
          <w:rFonts w:ascii="TimesNewRoman,Bold" w:hAnsi="TimesNewRoman,Bold" w:cs="TimesNewRoman,Bold"/>
          <w:bCs/>
        </w:rPr>
        <w:t xml:space="preserve">frequency </w:t>
      </w:r>
      <w:r w:rsidR="009B7727">
        <w:rPr>
          <w:rFonts w:ascii="TimesNewRoman,Bold" w:hAnsi="TimesNewRoman,Bold" w:cs="TimesNewRoman,Bold"/>
          <w:bCs/>
        </w:rPr>
        <w:t xml:space="preserve">bands </w:t>
      </w:r>
      <w:r w:rsidR="007F2789" w:rsidRPr="00A04880">
        <w:rPr>
          <w:rFonts w:ascii="TimesNewRoman,Bold" w:hAnsi="TimesNewRoman,Bold" w:cs="TimesNewRoman,Bold"/>
          <w:bCs/>
        </w:rPr>
        <w:t xml:space="preserve">operate in accordance with requirements of RALI FX-03.   </w:t>
      </w:r>
    </w:p>
    <w:p w:rsidR="00590C65" w:rsidRPr="00A4554E" w:rsidRDefault="00F5183F" w:rsidP="00590C65">
      <w:pPr>
        <w:pStyle w:val="HR"/>
        <w:rPr>
          <w:rStyle w:val="CharSectno"/>
        </w:rPr>
      </w:pPr>
      <w:r>
        <w:rPr>
          <w:rStyle w:val="CharSectno"/>
        </w:rPr>
        <w:t>4</w:t>
      </w:r>
      <w:r w:rsidR="00590C65" w:rsidRPr="00A4554E">
        <w:rPr>
          <w:rStyle w:val="CharSectno"/>
        </w:rPr>
        <w:t>.2</w:t>
      </w:r>
      <w:r w:rsidR="00590C65" w:rsidRPr="00A4554E">
        <w:rPr>
          <w:rStyle w:val="CharSectno"/>
        </w:rPr>
        <w:tab/>
        <w:t>Protection requirements</w:t>
      </w:r>
    </w:p>
    <w:p w:rsidR="007C5863" w:rsidRDefault="00590C65">
      <w:pPr>
        <w:autoSpaceDE w:val="0"/>
        <w:autoSpaceDN w:val="0"/>
        <w:adjustRightInd w:val="0"/>
        <w:spacing w:before="120" w:after="120"/>
        <w:ind w:left="992" w:hanging="425"/>
        <w:rPr>
          <w:rFonts w:ascii="TimesNewRoman,Bold" w:hAnsi="TimesNewRoman,Bold" w:cs="TimesNewRoman,Bold"/>
          <w:bCs/>
        </w:rPr>
      </w:pPr>
      <w:r w:rsidRPr="00A4554E">
        <w:rPr>
          <w:rFonts w:ascii="TimesNewRoman,Bold" w:hAnsi="TimesNewRoman,Bold" w:cs="TimesNewRoman,Bold"/>
          <w:bCs/>
        </w:rPr>
        <w:t>(1)</w:t>
      </w:r>
      <w:r w:rsidRPr="00A04880">
        <w:rPr>
          <w:rFonts w:ascii="TimesNewRoman,Bold" w:hAnsi="TimesNewRoman,Bold" w:cs="TimesNewRoman,Bold"/>
          <w:bCs/>
        </w:rPr>
        <w:tab/>
      </w:r>
      <w:r w:rsidR="002117CB" w:rsidRPr="00A04880">
        <w:rPr>
          <w:rFonts w:ascii="TimesNewRoman,Bold" w:hAnsi="TimesNewRoman,Bold" w:cs="TimesNewRoman,Bold"/>
          <w:bCs/>
        </w:rPr>
        <w:t xml:space="preserve">The protection requirements for apparatus licensed </w:t>
      </w:r>
      <w:r w:rsidR="002117CB">
        <w:rPr>
          <w:rFonts w:ascii="TimesNewRoman,Bold" w:hAnsi="TimesNewRoman,Bold" w:cs="TimesNewRoman,Bold"/>
          <w:bCs/>
        </w:rPr>
        <w:t>point</w:t>
      </w:r>
      <w:r w:rsidR="00600248">
        <w:rPr>
          <w:rFonts w:ascii="TimesNewRoman,Bold" w:hAnsi="TimesNewRoman,Bold" w:cs="TimesNewRoman,Bold"/>
          <w:bCs/>
        </w:rPr>
        <w:t>–</w:t>
      </w:r>
      <w:r w:rsidR="002117CB">
        <w:rPr>
          <w:rFonts w:ascii="TimesNewRoman,Bold" w:hAnsi="TimesNewRoman,Bold" w:cs="TimesNewRoman,Bold"/>
          <w:bCs/>
        </w:rPr>
        <w:t>to</w:t>
      </w:r>
      <w:r w:rsidR="00600248">
        <w:rPr>
          <w:rFonts w:ascii="TimesNewRoman,Bold" w:hAnsi="TimesNewRoman,Bold" w:cs="TimesNewRoman,Bold"/>
          <w:bCs/>
        </w:rPr>
        <w:t>-</w:t>
      </w:r>
      <w:r w:rsidR="002117CB">
        <w:rPr>
          <w:rFonts w:ascii="TimesNewRoman,Bold" w:hAnsi="TimesNewRoman,Bold" w:cs="TimesNewRoman,Bold"/>
          <w:bCs/>
        </w:rPr>
        <w:t>point fixed link</w:t>
      </w:r>
      <w:r w:rsidR="007D5E42">
        <w:rPr>
          <w:rFonts w:ascii="TimesNewRoman,Bold" w:hAnsi="TimesNewRoman,Bold" w:cs="TimesNewRoman,Bold"/>
          <w:bCs/>
        </w:rPr>
        <w:t>s</w:t>
      </w:r>
      <w:r w:rsidR="002117CB">
        <w:rPr>
          <w:rFonts w:ascii="TimesNewRoman,Bold" w:hAnsi="TimesNewRoman,Bold" w:cs="TimesNewRoman,Bold"/>
          <w:bCs/>
        </w:rPr>
        <w:t xml:space="preserve"> not located in the </w:t>
      </w:r>
      <w:r w:rsidR="007D5E42">
        <w:rPr>
          <w:rFonts w:ascii="TimesNewRoman,Bold" w:hAnsi="TimesNewRoman,Bold" w:cs="TimesNewRoman,Bold"/>
          <w:bCs/>
        </w:rPr>
        <w:t>2.1 GHz and 2.2 GHz bands included in</w:t>
      </w:r>
      <w:r w:rsidR="002117CB" w:rsidRPr="00A04880">
        <w:rPr>
          <w:rFonts w:ascii="TimesNewRoman,Bold" w:hAnsi="TimesNewRoman,Bold" w:cs="TimesNewRoman,Bold"/>
          <w:bCs/>
        </w:rPr>
        <w:t xml:space="preserve"> the Register prior to the registration of a fixed transmitter </w:t>
      </w:r>
      <w:r w:rsidR="009B7727">
        <w:rPr>
          <w:rFonts w:ascii="TimesNewRoman,Bold" w:hAnsi="TimesNewRoman,Bold" w:cs="TimesNewRoman,Bold"/>
          <w:bCs/>
        </w:rPr>
        <w:t xml:space="preserve">to be </w:t>
      </w:r>
      <w:r w:rsidR="00600248">
        <w:rPr>
          <w:rFonts w:ascii="TimesNewRoman,Bold" w:hAnsi="TimesNewRoman,Bold" w:cs="TimesNewRoman,Bold"/>
          <w:bCs/>
        </w:rPr>
        <w:t xml:space="preserve">operated </w:t>
      </w:r>
      <w:r w:rsidR="002117CB" w:rsidRPr="00A04880">
        <w:rPr>
          <w:rFonts w:ascii="TimesNewRoman,Bold" w:hAnsi="TimesNewRoman,Bold" w:cs="TimesNewRoman,Bold"/>
          <w:bCs/>
        </w:rPr>
        <w:t xml:space="preserve">under a spectrum licence </w:t>
      </w:r>
      <w:r w:rsidR="007D5E42">
        <w:rPr>
          <w:rFonts w:ascii="TimesNewRoman,Bold" w:hAnsi="TimesNewRoman,Bold" w:cs="TimesNewRoman,Bold"/>
          <w:bCs/>
        </w:rPr>
        <w:t xml:space="preserve">in the 2.5 GHz Mid-band Gap </w:t>
      </w:r>
      <w:r>
        <w:rPr>
          <w:rFonts w:ascii="TimesNewRoman,Bold" w:hAnsi="TimesNewRoman,Bold" w:cs="TimesNewRoman,Bold"/>
          <w:bCs/>
        </w:rPr>
        <w:t xml:space="preserve">can be found in </w:t>
      </w:r>
      <w:r w:rsidR="00F62598">
        <w:rPr>
          <w:rFonts w:ascii="TimesNewRoman,Bold" w:hAnsi="TimesNewRoman,Bold" w:cs="TimesNewRoman,Bold"/>
          <w:bCs/>
        </w:rPr>
        <w:t xml:space="preserve">the </w:t>
      </w:r>
      <w:r>
        <w:rPr>
          <w:rFonts w:ascii="TimesNewRoman,Bold" w:hAnsi="TimesNewRoman,Bold" w:cs="TimesNewRoman,Bold"/>
          <w:bCs/>
        </w:rPr>
        <w:t>relevant ITU</w:t>
      </w:r>
      <w:r w:rsidR="00600248">
        <w:rPr>
          <w:rFonts w:ascii="TimesNewRoman,Bold" w:hAnsi="TimesNewRoman,Bold" w:cs="TimesNewRoman,Bold"/>
          <w:bCs/>
        </w:rPr>
        <w:t>-R</w:t>
      </w:r>
      <w:r>
        <w:rPr>
          <w:rFonts w:ascii="TimesNewRoman,Bold" w:hAnsi="TimesNewRoman,Bold" w:cs="TimesNewRoman,Bold"/>
          <w:bCs/>
        </w:rPr>
        <w:t xml:space="preserve"> Recommendations and the general text of RALI FX-03</w:t>
      </w:r>
      <w:r w:rsidR="00F62598">
        <w:rPr>
          <w:rFonts w:ascii="TimesNewRoman,Bold" w:hAnsi="TimesNewRoman,Bold" w:cs="TimesNewRoman,Bold"/>
          <w:bCs/>
        </w:rPr>
        <w:t>,</w:t>
      </w:r>
      <w:r>
        <w:rPr>
          <w:rFonts w:ascii="TimesNewRoman,Bold" w:hAnsi="TimesNewRoman,Bold" w:cs="TimesNewRoman,Bold"/>
          <w:bCs/>
        </w:rPr>
        <w:t xml:space="preserve"> where applicable. </w:t>
      </w:r>
    </w:p>
    <w:p w:rsidR="00A04880" w:rsidRPr="00A04880" w:rsidRDefault="00590C65" w:rsidP="00A04880">
      <w:pPr>
        <w:autoSpaceDE w:val="0"/>
        <w:autoSpaceDN w:val="0"/>
        <w:adjustRightInd w:val="0"/>
        <w:spacing w:after="120"/>
        <w:ind w:left="992" w:hanging="425"/>
        <w:rPr>
          <w:rFonts w:ascii="TimesNewRoman,Bold" w:hAnsi="TimesNewRoman,Bold" w:cs="TimesNewRoman,Bold"/>
          <w:bCs/>
        </w:rPr>
      </w:pPr>
      <w:r w:rsidRPr="00A4554E">
        <w:rPr>
          <w:rFonts w:ascii="TimesNewRoman,Bold" w:hAnsi="TimesNewRoman,Bold" w:cs="TimesNewRoman,Bold"/>
          <w:bCs/>
        </w:rPr>
        <w:t>(2)</w:t>
      </w:r>
      <w:r>
        <w:rPr>
          <w:rFonts w:ascii="TimesNewRoman,Bold" w:hAnsi="TimesNewRoman,Bold" w:cs="TimesNewRoman,Bold"/>
          <w:bCs/>
        </w:rPr>
        <w:tab/>
        <w:t>P</w:t>
      </w:r>
      <w:r w:rsidRPr="00A04880">
        <w:rPr>
          <w:rFonts w:ascii="TimesNewRoman,Bold" w:hAnsi="TimesNewRoman,Bold" w:cs="TimesNewRoman,Bold"/>
          <w:bCs/>
        </w:rPr>
        <w:t>rotection requirements for apparatus licensed point-to-point fixed link</w:t>
      </w:r>
      <w:r w:rsidR="007D5E42">
        <w:rPr>
          <w:rFonts w:ascii="TimesNewRoman,Bold" w:hAnsi="TimesNewRoman,Bold" w:cs="TimesNewRoman,Bold"/>
          <w:bCs/>
        </w:rPr>
        <w:t>s</w:t>
      </w:r>
      <w:r w:rsidRPr="00A04880">
        <w:rPr>
          <w:rFonts w:ascii="TimesNewRoman,Bold" w:hAnsi="TimesNewRoman,Bold" w:cs="TimesNewRoman,Bold"/>
          <w:bCs/>
        </w:rPr>
        <w:t xml:space="preserve"> </w:t>
      </w:r>
      <w:r w:rsidR="007D5E42">
        <w:rPr>
          <w:rFonts w:ascii="TimesNewRoman,Bold" w:hAnsi="TimesNewRoman,Bold" w:cs="TimesNewRoman,Bold"/>
          <w:bCs/>
        </w:rPr>
        <w:t>located in the 2.1 GHz and 2.2 GHz bands included in</w:t>
      </w:r>
      <w:r w:rsidR="00A04880" w:rsidRPr="00A04880">
        <w:rPr>
          <w:rFonts w:ascii="TimesNewRoman,Bold" w:hAnsi="TimesNewRoman,Bold" w:cs="TimesNewRoman,Bold"/>
          <w:bCs/>
        </w:rPr>
        <w:t xml:space="preserve"> the Register prior to the registration of a fixed transmitter </w:t>
      </w:r>
      <w:r w:rsidR="00600248">
        <w:rPr>
          <w:rFonts w:ascii="TimesNewRoman,Bold" w:hAnsi="TimesNewRoman,Bold" w:cs="TimesNewRoman,Bold"/>
          <w:bCs/>
        </w:rPr>
        <w:t xml:space="preserve">operated </w:t>
      </w:r>
      <w:r w:rsidR="00A04880" w:rsidRPr="00A04880">
        <w:rPr>
          <w:rFonts w:ascii="TimesNewRoman,Bold" w:hAnsi="TimesNewRoman,Bold" w:cs="TimesNewRoman,Bold"/>
          <w:bCs/>
        </w:rPr>
        <w:t xml:space="preserve">under a </w:t>
      </w:r>
      <w:r w:rsidR="007D5E42">
        <w:rPr>
          <w:rFonts w:ascii="TimesNewRoman,Bold" w:hAnsi="TimesNewRoman,Bold" w:cs="TimesNewRoman,Bold"/>
          <w:bCs/>
        </w:rPr>
        <w:t xml:space="preserve">spectrum licence in the </w:t>
      </w:r>
      <w:r w:rsidR="00A04880" w:rsidRPr="00A04880">
        <w:rPr>
          <w:rFonts w:ascii="TimesNewRoman,Bold" w:hAnsi="TimesNewRoman,Bold" w:cs="TimesNewRoman,Bold"/>
          <w:bCs/>
        </w:rPr>
        <w:t xml:space="preserve">2.5 GHz Mid-band Gap </w:t>
      </w:r>
      <w:r w:rsidRPr="00A04880">
        <w:rPr>
          <w:rFonts w:ascii="TimesNewRoman,Bold" w:hAnsi="TimesNewRoman,Bold" w:cs="TimesNewRoman,Bold"/>
          <w:bCs/>
        </w:rPr>
        <w:t xml:space="preserve">are specified in RALI FX-03.  </w:t>
      </w:r>
    </w:p>
    <w:p w:rsidR="00590C65" w:rsidRDefault="00A04880" w:rsidP="00A04880">
      <w:pPr>
        <w:autoSpaceDE w:val="0"/>
        <w:autoSpaceDN w:val="0"/>
        <w:adjustRightInd w:val="0"/>
        <w:spacing w:after="120"/>
        <w:ind w:left="992" w:hanging="425"/>
      </w:pPr>
      <w:r w:rsidRPr="00A04880">
        <w:rPr>
          <w:rFonts w:ascii="TimesNewRoman,Bold" w:hAnsi="TimesNewRoman,Bold" w:cs="TimesNewRoman,Bold"/>
          <w:bCs/>
        </w:rPr>
        <w:t>(3)</w:t>
      </w:r>
      <w:r w:rsidRPr="00A04880">
        <w:rPr>
          <w:rFonts w:ascii="TimesNewRoman,Bold" w:hAnsi="TimesNewRoman,Bold" w:cs="TimesNewRoman,Bold"/>
          <w:bCs/>
        </w:rPr>
        <w:tab/>
      </w:r>
      <w:r w:rsidR="00590C65" w:rsidRPr="00A04880">
        <w:rPr>
          <w:rFonts w:ascii="TimesNewRoman,Bold" w:hAnsi="TimesNewRoman,Bold" w:cs="TimesNewRoman,Bold"/>
          <w:bCs/>
        </w:rPr>
        <w:t xml:space="preserve">In planning for the operation of </w:t>
      </w:r>
      <w:r w:rsidR="00600248">
        <w:rPr>
          <w:rFonts w:ascii="TimesNewRoman,Bold" w:hAnsi="TimesNewRoman,Bold" w:cs="TimesNewRoman,Bold"/>
          <w:bCs/>
        </w:rPr>
        <w:t xml:space="preserve">radiocommunications </w:t>
      </w:r>
      <w:r w:rsidR="00590C65" w:rsidRPr="00A04880">
        <w:rPr>
          <w:rFonts w:ascii="TimesNewRoman,Bold" w:hAnsi="TimesNewRoman,Bold" w:cs="TimesNewRoman,Bold"/>
          <w:bCs/>
        </w:rPr>
        <w:t xml:space="preserve">transmitters under </w:t>
      </w:r>
      <w:r w:rsidR="009B7727">
        <w:rPr>
          <w:rFonts w:ascii="TimesNewRoman,Bold" w:hAnsi="TimesNewRoman,Bold" w:cs="TimesNewRoman,Bold"/>
          <w:bCs/>
        </w:rPr>
        <w:t>a</w:t>
      </w:r>
      <w:r w:rsidR="00590C65" w:rsidRPr="00A04880">
        <w:rPr>
          <w:rFonts w:ascii="TimesNewRoman,Bold" w:hAnsi="TimesNewRoman,Bold" w:cs="TimesNewRoman,Bold"/>
          <w:bCs/>
        </w:rPr>
        <w:t xml:space="preserve"> spectrum licence</w:t>
      </w:r>
      <w:r w:rsidR="009B7727">
        <w:rPr>
          <w:rFonts w:ascii="TimesNewRoman,Bold" w:hAnsi="TimesNewRoman,Bold" w:cs="TimesNewRoman,Bold"/>
          <w:bCs/>
        </w:rPr>
        <w:t xml:space="preserve"> in the 2.5 GHz Mid-band Gap</w:t>
      </w:r>
      <w:r w:rsidR="00590C65" w:rsidRPr="00A04880">
        <w:rPr>
          <w:rFonts w:ascii="TimesNewRoman,Bold" w:hAnsi="TimesNewRoman,Bold" w:cs="TimesNewRoman,Bold"/>
          <w:bCs/>
        </w:rPr>
        <w:t xml:space="preserve">, spectrum licensees are to provide the same level of out-of-band and in-band protection to point-to-point fixed link </w:t>
      </w:r>
      <w:r w:rsidR="00600248">
        <w:rPr>
          <w:rFonts w:ascii="TimesNewRoman,Bold" w:hAnsi="TimesNewRoman,Bold" w:cs="TimesNewRoman,Bold"/>
          <w:bCs/>
        </w:rPr>
        <w:t>radiocommunications</w:t>
      </w:r>
      <w:r w:rsidR="00600248" w:rsidRPr="00A04880">
        <w:rPr>
          <w:rFonts w:ascii="TimesNewRoman,Bold" w:hAnsi="TimesNewRoman,Bold" w:cs="TimesNewRoman,Bold"/>
          <w:bCs/>
        </w:rPr>
        <w:t xml:space="preserve"> </w:t>
      </w:r>
      <w:r w:rsidR="00590C65" w:rsidRPr="00A04880">
        <w:rPr>
          <w:rFonts w:ascii="TimesNewRoman,Bold" w:hAnsi="TimesNewRoman,Bold" w:cs="TimesNewRoman,Bold"/>
          <w:bCs/>
        </w:rPr>
        <w:t>receivers as would be provided by apparatus licensed fixed service transmitters whose frequencies are assigned in accordance with RALI FX-03.</w:t>
      </w:r>
    </w:p>
    <w:p w:rsidR="00DF05EC" w:rsidRDefault="00DF05EC" w:rsidP="007F2789">
      <w:pPr>
        <w:ind w:left="993" w:hanging="426"/>
      </w:pPr>
    </w:p>
    <w:p w:rsidR="007D5E42" w:rsidRDefault="007D5E42" w:rsidP="007F2789">
      <w:pPr>
        <w:ind w:left="993" w:hanging="426"/>
      </w:pPr>
    </w:p>
    <w:p w:rsidR="00DF05EC" w:rsidRDefault="00DF05EC" w:rsidP="007F2789">
      <w:pPr>
        <w:ind w:left="993" w:hanging="426"/>
      </w:pPr>
    </w:p>
    <w:p w:rsidR="00CB19CE" w:rsidRDefault="00CB19CE" w:rsidP="007F278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  <w:sectPr w:rsidR="00CB19CE" w:rsidSect="00CB19CE">
          <w:headerReference w:type="even" r:id="rId29"/>
          <w:pgSz w:w="11907" w:h="16839" w:code="9"/>
          <w:pgMar w:top="1440" w:right="1559" w:bottom="1440" w:left="1797" w:header="709" w:footer="709" w:gutter="0"/>
          <w:cols w:space="708"/>
          <w:docGrid w:linePitch="360"/>
        </w:sectPr>
      </w:pPr>
    </w:p>
    <w:p w:rsidR="0070639F" w:rsidRPr="000A2E77" w:rsidRDefault="0070639F" w:rsidP="007F278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A2E77">
        <w:rPr>
          <w:rFonts w:ascii="Arial" w:hAnsi="Arial" w:cs="Arial"/>
          <w:b/>
          <w:bCs/>
          <w:sz w:val="28"/>
          <w:szCs w:val="28"/>
        </w:rPr>
        <w:t>P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art</w:t>
      </w:r>
      <w:r w:rsidR="00D32B0F" w:rsidRPr="000A2E77">
        <w:rPr>
          <w:rFonts w:ascii="Arial" w:hAnsi="Arial" w:cs="Arial"/>
          <w:b/>
          <w:bCs/>
          <w:sz w:val="28"/>
          <w:szCs w:val="28"/>
        </w:rPr>
        <w:t xml:space="preserve"> </w:t>
      </w:r>
      <w:r w:rsidR="00F5183F" w:rsidRPr="000A2E77">
        <w:rPr>
          <w:rFonts w:ascii="Arial" w:hAnsi="Arial" w:cs="Arial"/>
          <w:b/>
          <w:bCs/>
          <w:sz w:val="28"/>
          <w:szCs w:val="28"/>
        </w:rPr>
        <w:t>5</w:t>
      </w:r>
      <w:r w:rsidR="00D32B0F" w:rsidRPr="000A2E77">
        <w:rPr>
          <w:rFonts w:ascii="Arial" w:hAnsi="Arial" w:cs="Arial"/>
          <w:b/>
          <w:bCs/>
          <w:sz w:val="28"/>
          <w:szCs w:val="28"/>
        </w:rPr>
        <w:tab/>
      </w:r>
      <w:r w:rsidR="00292F9C" w:rsidRPr="000A2E77">
        <w:rPr>
          <w:rFonts w:ascii="Arial" w:hAnsi="Arial" w:cs="Arial"/>
          <w:b/>
          <w:bCs/>
          <w:sz w:val="28"/>
          <w:szCs w:val="28"/>
        </w:rPr>
        <w:t>R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adio</w:t>
      </w:r>
      <w:r w:rsidR="007F2789" w:rsidRPr="000A2E77">
        <w:rPr>
          <w:rFonts w:ascii="Arial" w:hAnsi="Arial" w:cs="Arial"/>
          <w:b/>
          <w:bCs/>
          <w:sz w:val="28"/>
          <w:szCs w:val="28"/>
        </w:rPr>
        <w:t xml:space="preserve"> A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stronomy</w:t>
      </w:r>
      <w:r w:rsidR="00292F9C" w:rsidRPr="000A2E77">
        <w:rPr>
          <w:rFonts w:ascii="Arial" w:hAnsi="Arial" w:cs="Arial"/>
          <w:b/>
          <w:bCs/>
          <w:sz w:val="28"/>
          <w:szCs w:val="28"/>
        </w:rPr>
        <w:t xml:space="preserve"> </w:t>
      </w:r>
      <w:r w:rsidR="007F2789" w:rsidRPr="000A2E77">
        <w:rPr>
          <w:rFonts w:ascii="Arial" w:hAnsi="Arial" w:cs="Arial"/>
          <w:b/>
          <w:bCs/>
          <w:sz w:val="28"/>
          <w:szCs w:val="28"/>
        </w:rPr>
        <w:t>S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ervice</w:t>
      </w:r>
      <w:r w:rsidR="007F2789" w:rsidRPr="000A2E77">
        <w:rPr>
          <w:rFonts w:ascii="Arial" w:hAnsi="Arial" w:cs="Arial"/>
          <w:b/>
          <w:bCs/>
          <w:sz w:val="28"/>
          <w:szCs w:val="28"/>
        </w:rPr>
        <w:t xml:space="preserve"> R</w:t>
      </w:r>
      <w:r w:rsidR="000A2E77" w:rsidRPr="000A2E77">
        <w:rPr>
          <w:rFonts w:ascii="Arial" w:hAnsi="Arial" w:cs="Arial"/>
          <w:b/>
          <w:bCs/>
          <w:sz w:val="28"/>
          <w:szCs w:val="28"/>
        </w:rPr>
        <w:t>eceivers</w:t>
      </w:r>
      <w:bookmarkEnd w:id="14"/>
      <w:bookmarkEnd w:id="15"/>
    </w:p>
    <w:p w:rsidR="007D3505" w:rsidRPr="00F10FB4" w:rsidRDefault="007D3505">
      <w:pPr>
        <w:pStyle w:val="Header"/>
        <w:rPr>
          <w:b/>
          <w:vanish/>
          <w:szCs w:val="16"/>
        </w:rPr>
      </w:pPr>
      <w:r w:rsidRPr="00F10FB4">
        <w:rPr>
          <w:rStyle w:val="CharDivNo"/>
          <w:b/>
          <w:vanish/>
          <w:szCs w:val="16"/>
        </w:rPr>
        <w:t>Do not delete</w:t>
      </w:r>
      <w:r w:rsidRPr="00F10FB4">
        <w:rPr>
          <w:b/>
          <w:vanish/>
          <w:szCs w:val="16"/>
        </w:rPr>
        <w:t xml:space="preserve"> : </w:t>
      </w:r>
      <w:r w:rsidRPr="00F10FB4">
        <w:rPr>
          <w:rStyle w:val="CharDivText"/>
          <w:b/>
          <w:vanish/>
          <w:szCs w:val="16"/>
        </w:rPr>
        <w:t>Division Placeholder</w:t>
      </w:r>
    </w:p>
    <w:p w:rsidR="0070639F" w:rsidRPr="00F10FB4" w:rsidRDefault="00F5183F" w:rsidP="00BA20A1">
      <w:pPr>
        <w:pStyle w:val="HR"/>
      </w:pPr>
      <w:bookmarkStart w:id="16" w:name="_Toc308011976"/>
      <w:r>
        <w:rPr>
          <w:rStyle w:val="CharSectno"/>
        </w:rPr>
        <w:t>5</w:t>
      </w:r>
      <w:r w:rsidR="00D32B0F" w:rsidRPr="00F10FB4">
        <w:rPr>
          <w:rStyle w:val="CharSectno"/>
        </w:rPr>
        <w:t>.1</w:t>
      </w:r>
      <w:r w:rsidR="00D32B0F" w:rsidRPr="00F10FB4">
        <w:tab/>
      </w:r>
      <w:r w:rsidR="0070639F" w:rsidRPr="00F10FB4">
        <w:t>Background</w:t>
      </w:r>
      <w:bookmarkEnd w:id="16"/>
    </w:p>
    <w:p w:rsidR="007C5863" w:rsidRDefault="00992F4A">
      <w:pPr>
        <w:autoSpaceDE w:val="0"/>
        <w:autoSpaceDN w:val="0"/>
        <w:adjustRightInd w:val="0"/>
        <w:spacing w:before="120" w:after="120"/>
        <w:ind w:left="992" w:hanging="425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(1)</w:t>
      </w:r>
      <w:r w:rsidR="00EF0ACC">
        <w:rPr>
          <w:rFonts w:ascii="TimesNewRoman,Bold" w:hAnsi="TimesNewRoman,Bold" w:cs="TimesNewRoman,Bold"/>
          <w:bCs/>
        </w:rPr>
        <w:tab/>
      </w:r>
      <w:r w:rsidR="00292F9C" w:rsidRPr="00292F9C">
        <w:rPr>
          <w:rFonts w:ascii="TimesNewRoman,Bold" w:hAnsi="TimesNewRoman,Bold" w:cs="TimesNewRoman,Bold"/>
          <w:bCs/>
        </w:rPr>
        <w:t xml:space="preserve">This </w:t>
      </w:r>
      <w:r w:rsidR="00AB15F3">
        <w:rPr>
          <w:rFonts w:ascii="TimesNewRoman,Bold" w:hAnsi="TimesNewRoman,Bold" w:cs="TimesNewRoman,Bold"/>
          <w:bCs/>
        </w:rPr>
        <w:t>P</w:t>
      </w:r>
      <w:r w:rsidR="00AB15F3" w:rsidRPr="00292F9C">
        <w:rPr>
          <w:rFonts w:ascii="TimesNewRoman,Bold" w:hAnsi="TimesNewRoman,Bold" w:cs="TimesNewRoman,Bold"/>
          <w:bCs/>
        </w:rPr>
        <w:t xml:space="preserve">art </w:t>
      </w:r>
      <w:r w:rsidR="00292F9C" w:rsidRPr="00292F9C">
        <w:rPr>
          <w:rFonts w:ascii="TimesNewRoman,Bold" w:hAnsi="TimesNewRoman,Bold" w:cs="TimesNewRoman,Bold"/>
          <w:bCs/>
        </w:rPr>
        <w:t xml:space="preserve">applies to the protection of sensitive radio astronomy service receivers operated in bands </w:t>
      </w:r>
      <w:r>
        <w:rPr>
          <w:rFonts w:ascii="TimesNewRoman,Bold" w:hAnsi="TimesNewRoman,Bold" w:cs="TimesNewRoman,Bold"/>
          <w:bCs/>
        </w:rPr>
        <w:t>that are</w:t>
      </w:r>
      <w:r w:rsidR="00292F9C" w:rsidRPr="00292F9C">
        <w:rPr>
          <w:rFonts w:ascii="TimesNewRoman,Bold" w:hAnsi="TimesNewRoman,Bold" w:cs="TimesNewRoman,Bold"/>
          <w:bCs/>
        </w:rPr>
        <w:t xml:space="preserve"> </w:t>
      </w:r>
      <w:r w:rsidR="007D5E42">
        <w:rPr>
          <w:rFonts w:ascii="TimesNewRoman,Bold" w:hAnsi="TimesNewRoman,Bold" w:cs="TimesNewRoman,Bold"/>
          <w:bCs/>
        </w:rPr>
        <w:t xml:space="preserve">in and </w:t>
      </w:r>
      <w:r w:rsidR="00292F9C" w:rsidRPr="00292F9C">
        <w:rPr>
          <w:rFonts w:ascii="TimesNewRoman,Bold" w:hAnsi="TimesNewRoman,Bold" w:cs="TimesNewRoman,Bold"/>
          <w:bCs/>
        </w:rPr>
        <w:t xml:space="preserve">adjacent to the 2.5 GHz </w:t>
      </w:r>
      <w:r w:rsidR="00590C65">
        <w:rPr>
          <w:rFonts w:ascii="TimesNewRoman,Bold" w:hAnsi="TimesNewRoman,Bold" w:cs="TimesNewRoman,Bold"/>
          <w:bCs/>
        </w:rPr>
        <w:t>M</w:t>
      </w:r>
      <w:r>
        <w:rPr>
          <w:rFonts w:ascii="TimesNewRoman,Bold" w:hAnsi="TimesNewRoman,Bold" w:cs="TimesNewRoman,Bold"/>
          <w:bCs/>
        </w:rPr>
        <w:t xml:space="preserve">id-band </w:t>
      </w:r>
      <w:r w:rsidR="00590C65">
        <w:rPr>
          <w:rFonts w:ascii="TimesNewRoman,Bold" w:hAnsi="TimesNewRoman,Bold" w:cs="TimesNewRoman,Bold"/>
          <w:bCs/>
        </w:rPr>
        <w:t>G</w:t>
      </w:r>
      <w:r>
        <w:rPr>
          <w:rFonts w:ascii="TimesNewRoman,Bold" w:hAnsi="TimesNewRoman,Bold" w:cs="TimesNewRoman,Bold"/>
          <w:bCs/>
        </w:rPr>
        <w:t>ap</w:t>
      </w:r>
      <w:r w:rsidR="00292F9C" w:rsidRPr="00292F9C">
        <w:rPr>
          <w:rFonts w:ascii="TimesNewRoman,Bold" w:hAnsi="TimesNewRoman,Bold" w:cs="TimesNewRoman,Bold"/>
          <w:bCs/>
        </w:rPr>
        <w:t xml:space="preserve">.  </w:t>
      </w:r>
    </w:p>
    <w:p w:rsidR="00240901" w:rsidRDefault="00992F4A" w:rsidP="00A04880">
      <w:pPr>
        <w:autoSpaceDE w:val="0"/>
        <w:autoSpaceDN w:val="0"/>
        <w:adjustRightInd w:val="0"/>
        <w:spacing w:after="120"/>
        <w:ind w:left="992" w:hanging="425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(2)</w:t>
      </w:r>
      <w:r>
        <w:rPr>
          <w:rFonts w:ascii="TimesNewRoman,Bold" w:hAnsi="TimesNewRoman,Bold" w:cs="TimesNewRoman,Bold"/>
          <w:bCs/>
        </w:rPr>
        <w:tab/>
      </w:r>
      <w:r w:rsidRPr="00992F4A">
        <w:rPr>
          <w:rFonts w:ascii="TimesNewRoman,Bold" w:hAnsi="TimesNewRoman,Bold" w:cs="TimesNewRoman,Bold"/>
          <w:bCs/>
        </w:rPr>
        <w:t>A site located in central Western Australia has been identified for future radio astronomy use and has been protected by the establishment of the Mid-</w:t>
      </w:r>
      <w:r w:rsidR="00C0247D">
        <w:rPr>
          <w:rFonts w:ascii="TimesNewRoman,Bold" w:hAnsi="TimesNewRoman,Bold" w:cs="TimesNewRoman,Bold"/>
          <w:bCs/>
        </w:rPr>
        <w:t>W</w:t>
      </w:r>
      <w:r w:rsidRPr="00992F4A">
        <w:rPr>
          <w:rFonts w:ascii="TimesNewRoman,Bold" w:hAnsi="TimesNewRoman,Bold" w:cs="TimesNewRoman,Bold"/>
          <w:bCs/>
        </w:rPr>
        <w:t>est Radio Quiet Zone across the radio spectrum from</w:t>
      </w:r>
      <w:r w:rsidR="00E259F6">
        <w:rPr>
          <w:rFonts w:ascii="TimesNewRoman,Bold" w:hAnsi="TimesNewRoman,Bold" w:cs="TimesNewRoman,Bold"/>
          <w:bCs/>
        </w:rPr>
        <w:t xml:space="preserve"> </w:t>
      </w:r>
      <w:r w:rsidRPr="00992F4A">
        <w:rPr>
          <w:rFonts w:ascii="TimesNewRoman,Bold" w:hAnsi="TimesNewRoman,Bold" w:cs="TimesNewRoman,Bold"/>
          <w:bCs/>
        </w:rPr>
        <w:t xml:space="preserve">100 MHz through to 25 GHz. </w:t>
      </w:r>
    </w:p>
    <w:p w:rsidR="008A4F7B" w:rsidRPr="008E2B63" w:rsidRDefault="00240901" w:rsidP="00A04880">
      <w:pPr>
        <w:autoSpaceDE w:val="0"/>
        <w:autoSpaceDN w:val="0"/>
        <w:adjustRightInd w:val="0"/>
        <w:spacing w:after="120"/>
        <w:ind w:left="992" w:hanging="425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(3)</w:t>
      </w:r>
      <w:r>
        <w:rPr>
          <w:rFonts w:ascii="TimesNewRoman,Bold" w:hAnsi="TimesNewRoman,Bold" w:cs="TimesNewRoman,Bold"/>
          <w:bCs/>
        </w:rPr>
        <w:tab/>
      </w:r>
      <w:r w:rsidR="00E259F6">
        <w:rPr>
          <w:rFonts w:ascii="TimesNewRoman,Bold" w:hAnsi="TimesNewRoman,Bold" w:cs="TimesNewRoman,Bold"/>
          <w:bCs/>
        </w:rPr>
        <w:t>T</w:t>
      </w:r>
      <w:r w:rsidR="00E259F6" w:rsidRPr="00A04880">
        <w:rPr>
          <w:rFonts w:ascii="TimesNewRoman,Bold" w:hAnsi="TimesNewRoman,Bold" w:cs="TimesNewRoman,Bold"/>
          <w:bCs/>
        </w:rPr>
        <w:t>he location of the site and the Mid</w:t>
      </w:r>
      <w:r>
        <w:rPr>
          <w:rFonts w:ascii="TimesNewRoman,Bold" w:hAnsi="TimesNewRoman,Bold" w:cs="TimesNewRoman,Bold"/>
          <w:bCs/>
        </w:rPr>
        <w:t>-</w:t>
      </w:r>
      <w:r w:rsidR="00E259F6" w:rsidRPr="00A04880">
        <w:rPr>
          <w:rFonts w:ascii="TimesNewRoman,Bold" w:hAnsi="TimesNewRoman,Bold" w:cs="TimesNewRoman,Bold"/>
          <w:bCs/>
        </w:rPr>
        <w:t xml:space="preserve">West Radio Quiet Zone, are defined </w:t>
      </w:r>
      <w:r w:rsidR="00600248">
        <w:rPr>
          <w:rFonts w:ascii="TimesNewRoman,Bold" w:hAnsi="TimesNewRoman,Bold" w:cs="TimesNewRoman,Bold"/>
          <w:bCs/>
        </w:rPr>
        <w:t>in</w:t>
      </w:r>
      <w:r w:rsidR="00600248" w:rsidRPr="00A04880">
        <w:rPr>
          <w:rFonts w:ascii="TimesNewRoman,Bold" w:hAnsi="TimesNewRoman,Bold" w:cs="TimesNewRoman,Bold"/>
          <w:bCs/>
        </w:rPr>
        <w:t xml:space="preserve"> </w:t>
      </w:r>
      <w:r w:rsidR="00E259F6" w:rsidRPr="00A04880">
        <w:rPr>
          <w:rFonts w:ascii="TimesNewRoman,Bold" w:hAnsi="TimesNewRoman,Bold" w:cs="TimesNewRoman,Bold"/>
          <w:bCs/>
        </w:rPr>
        <w:t xml:space="preserve">the </w:t>
      </w:r>
      <w:r w:rsidR="00E259F6" w:rsidRPr="00A04880">
        <w:rPr>
          <w:rFonts w:ascii="TimesNewRoman,Bold" w:hAnsi="TimesNewRoman,Bold" w:cs="TimesNewRoman,Bold"/>
          <w:bCs/>
          <w:i/>
        </w:rPr>
        <w:t>Radiocommunications (Mid-West Radio Quiet Zone) Frequency Band Plan 2011</w:t>
      </w:r>
      <w:r w:rsidR="00E259F6" w:rsidRPr="00A04880">
        <w:rPr>
          <w:rFonts w:ascii="TimesNewRoman,Bold" w:hAnsi="TimesNewRoman,Bold" w:cs="TimesNewRoman,Bold"/>
          <w:bCs/>
        </w:rPr>
        <w:t xml:space="preserve">. </w:t>
      </w:r>
      <w:r w:rsidR="00E259F6">
        <w:rPr>
          <w:rFonts w:ascii="TimesNewRoman,Bold" w:hAnsi="TimesNewRoman,Bold" w:cs="TimesNewRoman,Bold"/>
          <w:bCs/>
        </w:rPr>
        <w:t>An</w:t>
      </w:r>
      <w:r w:rsidR="00992F4A" w:rsidRPr="00992F4A">
        <w:rPr>
          <w:rFonts w:ascii="TimesNewRoman,Bold" w:hAnsi="TimesNewRoman,Bold" w:cs="TimesNewRoman,Bold"/>
          <w:bCs/>
        </w:rPr>
        <w:t xml:space="preserve"> </w:t>
      </w:r>
      <w:r w:rsidR="00E259F6">
        <w:rPr>
          <w:rFonts w:ascii="TimesNewRoman,Bold" w:hAnsi="TimesNewRoman,Bold" w:cs="TimesNewRoman,Bold"/>
          <w:bCs/>
        </w:rPr>
        <w:t>area</w:t>
      </w:r>
      <w:r w:rsidR="00992F4A" w:rsidRPr="00992F4A">
        <w:rPr>
          <w:rFonts w:ascii="TimesNewRoman,Bold" w:hAnsi="TimesNewRoman,Bold" w:cs="TimesNewRoman,Bold"/>
          <w:bCs/>
        </w:rPr>
        <w:t xml:space="preserve"> within 70 km of the site has been excluded from </w:t>
      </w:r>
      <w:r w:rsidR="00E259F6">
        <w:rPr>
          <w:rFonts w:ascii="TimesNewRoman,Bold" w:hAnsi="TimesNewRoman,Bold" w:cs="TimesNewRoman,Bold"/>
          <w:bCs/>
        </w:rPr>
        <w:t xml:space="preserve">the geographic area of </w:t>
      </w:r>
      <w:r w:rsidR="006F56EE">
        <w:rPr>
          <w:rFonts w:ascii="TimesNewRoman,Bold" w:hAnsi="TimesNewRoman,Bold" w:cs="TimesNewRoman,Bold"/>
          <w:bCs/>
        </w:rPr>
        <w:t xml:space="preserve">allocated spectrum licences in </w:t>
      </w:r>
      <w:r w:rsidR="00E259F6">
        <w:rPr>
          <w:rFonts w:ascii="TimesNewRoman,Bold" w:hAnsi="TimesNewRoman,Bold" w:cs="TimesNewRoman,Bold"/>
          <w:bCs/>
        </w:rPr>
        <w:t xml:space="preserve">the </w:t>
      </w:r>
      <w:r w:rsidR="00992F4A" w:rsidRPr="00992F4A">
        <w:rPr>
          <w:rFonts w:ascii="TimesNewRoman,Bold" w:hAnsi="TimesNewRoman,Bold" w:cs="TimesNewRoman,Bold"/>
          <w:bCs/>
        </w:rPr>
        <w:t xml:space="preserve">2.5 GHz </w:t>
      </w:r>
      <w:r w:rsidR="00590C65">
        <w:rPr>
          <w:rFonts w:ascii="TimesNewRoman,Bold" w:hAnsi="TimesNewRoman,Bold" w:cs="TimesNewRoman,Bold"/>
          <w:bCs/>
        </w:rPr>
        <w:t>M</w:t>
      </w:r>
      <w:r w:rsidR="00992F4A">
        <w:rPr>
          <w:rFonts w:ascii="TimesNewRoman,Bold" w:hAnsi="TimesNewRoman,Bold" w:cs="TimesNewRoman,Bold"/>
          <w:bCs/>
        </w:rPr>
        <w:t>id-</w:t>
      </w:r>
      <w:r w:rsidR="00992F4A" w:rsidRPr="00992F4A">
        <w:rPr>
          <w:rFonts w:ascii="TimesNewRoman,Bold" w:hAnsi="TimesNewRoman,Bold" w:cs="TimesNewRoman,Bold"/>
          <w:bCs/>
        </w:rPr>
        <w:t>band</w:t>
      </w:r>
      <w:r w:rsidR="00992F4A">
        <w:rPr>
          <w:rFonts w:ascii="TimesNewRoman,Bold" w:hAnsi="TimesNewRoman,Bold" w:cs="TimesNewRoman,Bold"/>
          <w:bCs/>
        </w:rPr>
        <w:t xml:space="preserve"> </w:t>
      </w:r>
      <w:r w:rsidR="00590C65">
        <w:rPr>
          <w:rFonts w:ascii="TimesNewRoman,Bold" w:hAnsi="TimesNewRoman,Bold" w:cs="TimesNewRoman,Bold"/>
          <w:bCs/>
        </w:rPr>
        <w:t>G</w:t>
      </w:r>
      <w:r w:rsidR="00992F4A">
        <w:rPr>
          <w:rFonts w:ascii="TimesNewRoman,Bold" w:hAnsi="TimesNewRoman,Bold" w:cs="TimesNewRoman,Bold"/>
          <w:bCs/>
        </w:rPr>
        <w:t>ap</w:t>
      </w:r>
      <w:r w:rsidR="00992F4A" w:rsidRPr="00992F4A">
        <w:rPr>
          <w:rFonts w:ascii="TimesNewRoman,Bold" w:hAnsi="TimesNewRoman,Bold" w:cs="TimesNewRoman,Bold"/>
          <w:bCs/>
        </w:rPr>
        <w:t xml:space="preserve">.   </w:t>
      </w:r>
    </w:p>
    <w:p w:rsidR="0056485C" w:rsidRPr="00EF0ACC" w:rsidRDefault="00F5183F" w:rsidP="0038055C">
      <w:pPr>
        <w:pStyle w:val="HR"/>
      </w:pPr>
      <w:bookmarkStart w:id="17" w:name="_Toc308011977"/>
      <w:r>
        <w:rPr>
          <w:bCs/>
        </w:rPr>
        <w:t>5</w:t>
      </w:r>
      <w:r w:rsidR="00992F4A">
        <w:rPr>
          <w:bCs/>
        </w:rPr>
        <w:t xml:space="preserve">.2 </w:t>
      </w:r>
      <w:r w:rsidR="00992F4A">
        <w:rPr>
          <w:bCs/>
        </w:rPr>
        <w:tab/>
      </w:r>
      <w:bookmarkStart w:id="18" w:name="_Toc308011869"/>
      <w:bookmarkStart w:id="19" w:name="_Toc308011978"/>
      <w:bookmarkStart w:id="20" w:name="_Toc308011870"/>
      <w:bookmarkStart w:id="21" w:name="_Toc308011979"/>
      <w:bookmarkStart w:id="22" w:name="_Toc308011871"/>
      <w:bookmarkStart w:id="23" w:name="_Toc308011980"/>
      <w:bookmarkStart w:id="24" w:name="_Toc308011872"/>
      <w:bookmarkStart w:id="25" w:name="_Toc308011981"/>
      <w:bookmarkStart w:id="26" w:name="_Toc30801198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AD161A" w:rsidRPr="00F10FB4">
        <w:t>Protection r</w:t>
      </w:r>
      <w:r w:rsidR="0070639F" w:rsidRPr="00F10FB4">
        <w:t>equirements</w:t>
      </w:r>
      <w:bookmarkEnd w:id="26"/>
    </w:p>
    <w:p w:rsidR="007C5863" w:rsidRDefault="0056485C">
      <w:pPr>
        <w:autoSpaceDE w:val="0"/>
        <w:autoSpaceDN w:val="0"/>
        <w:adjustRightInd w:val="0"/>
        <w:spacing w:before="120" w:after="120"/>
        <w:ind w:left="992" w:hanging="28"/>
        <w:rPr>
          <w:rFonts w:ascii="TimesNewRoman,Bold" w:hAnsi="TimesNewRoman,Bold" w:cs="TimesNewRoman,Bold"/>
          <w:bCs/>
        </w:rPr>
      </w:pPr>
      <w:r w:rsidRPr="00A04880">
        <w:rPr>
          <w:rFonts w:ascii="TimesNewRoman,Bold" w:hAnsi="TimesNewRoman,Bold" w:cs="TimesNewRoman,Bold"/>
          <w:bCs/>
        </w:rPr>
        <w:t xml:space="preserve">Licensees in areas adjacent to the </w:t>
      </w:r>
      <w:r w:rsidR="00240901">
        <w:rPr>
          <w:rFonts w:ascii="TimesNewRoman,Bold" w:hAnsi="TimesNewRoman,Bold" w:cs="TimesNewRoman,Bold"/>
          <w:bCs/>
        </w:rPr>
        <w:t xml:space="preserve">Mid-West </w:t>
      </w:r>
      <w:r w:rsidRPr="00A04880">
        <w:rPr>
          <w:rFonts w:ascii="TimesNewRoman,Bold" w:hAnsi="TimesNewRoman,Bold" w:cs="TimesNewRoman,Bold"/>
          <w:bCs/>
        </w:rPr>
        <w:t>Radio Quiet Zone are required to coordinate proposed stations using the methods and limits set out for apparatus licensees in RALI MS</w:t>
      </w:r>
      <w:r w:rsidR="00B7682C" w:rsidRPr="00A04880">
        <w:rPr>
          <w:rFonts w:ascii="TimesNewRoman,Bold" w:hAnsi="TimesNewRoman,Bold" w:cs="TimesNewRoman,Bold"/>
          <w:bCs/>
        </w:rPr>
        <w:t>-</w:t>
      </w:r>
      <w:r w:rsidRPr="00A04880">
        <w:rPr>
          <w:rFonts w:ascii="TimesNewRoman,Bold" w:hAnsi="TimesNewRoman,Bold" w:cs="TimesNewRoman,Bold"/>
          <w:bCs/>
        </w:rPr>
        <w:t>32.</w:t>
      </w:r>
      <w:r w:rsidR="00AD161A" w:rsidRPr="00A04880">
        <w:rPr>
          <w:rFonts w:ascii="TimesNewRoman,Bold" w:hAnsi="TimesNewRoman,Bold" w:cs="TimesNewRoman,Bold"/>
          <w:bCs/>
        </w:rPr>
        <w:tab/>
      </w:r>
      <w:r w:rsidR="00AD161A" w:rsidRPr="00A04880">
        <w:rPr>
          <w:rFonts w:ascii="TimesNewRoman,Bold" w:hAnsi="TimesNewRoman,Bold" w:cs="TimesNewRoman,Bold"/>
          <w:bCs/>
        </w:rPr>
        <w:tab/>
      </w:r>
    </w:p>
    <w:p w:rsidR="00DA2426" w:rsidRDefault="000A2E77">
      <w:pPr>
        <w:ind w:left="2433" w:firstLine="447"/>
      </w:pPr>
      <w:r>
        <w:rPr>
          <w:rFonts w:ascii="TimesNewRoman,Bold" w:hAnsi="TimesNewRoman,Bold" w:cs="TimesNewRoman,Bold"/>
          <w:b/>
          <w:bCs/>
        </w:rPr>
        <w:t>_________________________</w:t>
      </w:r>
    </w:p>
    <w:sectPr w:rsidR="00DA2426" w:rsidSect="00CB19CE">
      <w:pgSz w:w="11907" w:h="16839" w:code="9"/>
      <w:pgMar w:top="1440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094" w:rsidRDefault="00CB0094">
      <w:r>
        <w:separator/>
      </w:r>
    </w:p>
  </w:endnote>
  <w:endnote w:type="continuationSeparator" w:id="0">
    <w:p w:rsidR="00CB0094" w:rsidRDefault="00CB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B0094">
      <w:tc>
        <w:tcPr>
          <w:tcW w:w="1134" w:type="dxa"/>
        </w:tcPr>
        <w:p w:rsidR="00CB0094" w:rsidRPr="003D7214" w:rsidRDefault="006C4128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B009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B0094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B0094" w:rsidRPr="004F5D6D" w:rsidRDefault="006C4128">
          <w:pPr>
            <w:pStyle w:val="Footer"/>
            <w:spacing w:before="20" w:line="240" w:lineRule="exact"/>
          </w:pPr>
          <w:r>
            <w:fldChar w:fldCharType="begin"/>
          </w:r>
          <w:r w:rsidR="00FE213F">
            <w:instrText xml:space="preserve"> REF  Citation\*charformat </w:instrText>
          </w:r>
          <w:r>
            <w:fldChar w:fldCharType="separate"/>
          </w:r>
          <w:r w:rsidR="00CB0094" w:rsidRPr="00F10FB4">
            <w:t>Radiocommunications Advisory Guidelines (Managing Interference from Transmitters </w:t>
          </w:r>
          <w:r w:rsidR="00CB0094">
            <w:t>-</w:t>
          </w:r>
          <w:r w:rsidR="00CB0094" w:rsidRPr="00F10FB4">
            <w:t xml:space="preserve"> 2.</w:t>
          </w:r>
          <w:r w:rsidR="00CB0094">
            <w:t>5</w:t>
          </w:r>
          <w:r w:rsidR="00CB0094" w:rsidRPr="00F10FB4">
            <w:t xml:space="preserve"> GHz </w:t>
          </w:r>
          <w:r w:rsidR="00CB0094">
            <w:t>Mid-b</w:t>
          </w:r>
          <w:r w:rsidR="00CB0094" w:rsidRPr="00F10FB4">
            <w:t>and</w:t>
          </w:r>
          <w:r w:rsidR="00CB0094">
            <w:t xml:space="preserve"> Gap</w:t>
          </w:r>
          <w:r w:rsidR="00CB0094" w:rsidRPr="00F10FB4">
            <w:t>) 20</w:t>
          </w:r>
          <w:r>
            <w:fldChar w:fldCharType="end"/>
          </w:r>
        </w:p>
      </w:tc>
      <w:tc>
        <w:tcPr>
          <w:tcW w:w="1134" w:type="dxa"/>
        </w:tcPr>
        <w:p w:rsidR="00CB0094" w:rsidRPr="00451BF5" w:rsidRDefault="00CB009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B0094" w:rsidRDefault="00CB0094" w:rsidP="007308CB">
    <w:pPr>
      <w:pStyle w:val="FooterDraft"/>
    </w:pPr>
  </w:p>
  <w:p w:rsidR="00CB0094" w:rsidRDefault="006C4128">
    <w:pPr>
      <w:pStyle w:val="FooterInfo"/>
    </w:pPr>
    <w:fldSimple w:instr=" FILENAME   \* MERGEFORMAT ">
      <w:r w:rsidR="00CB0094">
        <w:rPr>
          <w:noProof/>
        </w:rPr>
        <w:t>RAG (Transmitters - 2.5 GHz) (LSD) (1).docx</w:t>
      </w:r>
    </w:fldSimple>
    <w:r w:rsidR="00CB0094" w:rsidRPr="00974D8C">
      <w:t xml:space="preserve"> </w:t>
    </w:r>
    <w:r>
      <w:fldChar w:fldCharType="begin"/>
    </w:r>
    <w:r w:rsidR="00FE213F">
      <w:instrText xml:space="preserve"> DATE  \@ "D/MM/YYYY"  \* MERGEFORMAT </w:instrText>
    </w:r>
    <w:r>
      <w:fldChar w:fldCharType="separate"/>
    </w:r>
    <w:r w:rsidR="004627D7">
      <w:rPr>
        <w:noProof/>
      </w:rPr>
      <w:t>14/12/2012</w:t>
    </w:r>
    <w:r>
      <w:fldChar w:fldCharType="end"/>
    </w:r>
    <w:r w:rsidR="00CB0094">
      <w:t xml:space="preserve"> </w:t>
    </w:r>
    <w:r>
      <w:fldChar w:fldCharType="begin"/>
    </w:r>
    <w:r w:rsidR="00FE213F">
      <w:instrText xml:space="preserve"> TIME  \@ "h:mm am/pm"  \* MERGEFORMAT </w:instrText>
    </w:r>
    <w:r>
      <w:fldChar w:fldCharType="separate"/>
    </w:r>
    <w:r w:rsidR="004627D7">
      <w:rPr>
        <w:noProof/>
      </w:rPr>
      <w:t>2:18 PM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B0094">
      <w:tc>
        <w:tcPr>
          <w:tcW w:w="1134" w:type="dxa"/>
        </w:tcPr>
        <w:p w:rsidR="00CB0094" w:rsidRDefault="00CB0094">
          <w:pPr>
            <w:spacing w:line="240" w:lineRule="exact"/>
          </w:pPr>
        </w:p>
      </w:tc>
      <w:tc>
        <w:tcPr>
          <w:tcW w:w="6095" w:type="dxa"/>
        </w:tcPr>
        <w:p w:rsidR="00CB0094" w:rsidRPr="004F5D6D" w:rsidRDefault="006C4128">
          <w:pPr>
            <w:pStyle w:val="FooterCitation"/>
          </w:pPr>
          <w:r w:rsidRPr="004F5D6D">
            <w:fldChar w:fldCharType="begin"/>
          </w:r>
          <w:r w:rsidR="00CB0094">
            <w:instrText>REF Citation</w:instrText>
          </w:r>
          <w:r w:rsidRPr="004F5D6D">
            <w:fldChar w:fldCharType="separate"/>
          </w:r>
          <w:r w:rsidR="00CB0094" w:rsidRPr="00F10FB4">
            <w:t>Radiocommunications Advisory Guidelines (Managing Interference from Transmitters </w:t>
          </w:r>
          <w:r w:rsidR="00CB0094">
            <w:t>-</w:t>
          </w:r>
          <w:r w:rsidR="00CB0094" w:rsidRPr="00F10FB4">
            <w:t xml:space="preserve"> 2.</w:t>
          </w:r>
          <w:r w:rsidR="00CB0094">
            <w:t>5</w:t>
          </w:r>
          <w:r w:rsidR="00CB0094" w:rsidRPr="00F10FB4">
            <w:t xml:space="preserve"> GHz </w:t>
          </w:r>
          <w:r w:rsidR="00CB0094">
            <w:t>Mid-b</w:t>
          </w:r>
          <w:r w:rsidR="00CB0094" w:rsidRPr="00F10FB4">
            <w:t>and</w:t>
          </w:r>
          <w:r w:rsidR="00CB0094">
            <w:t xml:space="preserve"> Gap</w:t>
          </w:r>
          <w:r w:rsidR="00CB0094" w:rsidRPr="00F10FB4">
            <w:t>) 20</w:t>
          </w:r>
          <w:r w:rsidRPr="004F5D6D">
            <w:fldChar w:fldCharType="end"/>
          </w:r>
          <w:r w:rsidR="00CB0094">
            <w:t>12</w:t>
          </w:r>
        </w:p>
      </w:tc>
      <w:tc>
        <w:tcPr>
          <w:tcW w:w="1134" w:type="dxa"/>
        </w:tcPr>
        <w:p w:rsidR="00CB0094" w:rsidRPr="003D7214" w:rsidRDefault="006C4128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B009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B0094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B0094" w:rsidRDefault="00CB0094" w:rsidP="007308CB">
    <w:pPr>
      <w:pStyle w:val="FooterDraft"/>
    </w:pPr>
  </w:p>
  <w:p w:rsidR="00CB0094" w:rsidRDefault="006C4128">
    <w:pPr>
      <w:pStyle w:val="FooterInfo"/>
    </w:pPr>
    <w:fldSimple w:instr=" FILENAME   \* MERGEFORMAT ">
      <w:r w:rsidR="00CB0094">
        <w:rPr>
          <w:noProof/>
        </w:rPr>
        <w:t>RAG (Transmitters - 2.5 GHz) (LSD) (1).docx</w:t>
      </w:r>
    </w:fldSimple>
    <w:r w:rsidR="00CB0094" w:rsidRPr="00974D8C">
      <w:t xml:space="preserve"> </w:t>
    </w:r>
    <w:r>
      <w:fldChar w:fldCharType="begin"/>
    </w:r>
    <w:r w:rsidR="00FE213F">
      <w:instrText xml:space="preserve"> DATE  \@ "D/MM/YYYY"  \* MERGEFORMAT </w:instrText>
    </w:r>
    <w:r>
      <w:fldChar w:fldCharType="separate"/>
    </w:r>
    <w:r w:rsidR="004627D7">
      <w:rPr>
        <w:noProof/>
      </w:rPr>
      <w:t>14/12/2012</w:t>
    </w:r>
    <w:r>
      <w:fldChar w:fldCharType="end"/>
    </w:r>
    <w:r w:rsidR="00CB0094">
      <w:t xml:space="preserve"> </w:t>
    </w:r>
    <w:r>
      <w:fldChar w:fldCharType="begin"/>
    </w:r>
    <w:r w:rsidR="00FE213F">
      <w:instrText xml:space="preserve"> TIME  \@ "h:mm am/pm"  \* MERGEFORMAT </w:instrText>
    </w:r>
    <w:r>
      <w:fldChar w:fldCharType="separate"/>
    </w:r>
    <w:r w:rsidR="004627D7">
      <w:rPr>
        <w:noProof/>
      </w:rPr>
      <w:t>2:18 PM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 w:rsidP="007308CB">
    <w:pPr>
      <w:pStyle w:val="FooterDraft"/>
    </w:pPr>
  </w:p>
  <w:p w:rsidR="00CB0094" w:rsidRPr="00974D8C" w:rsidRDefault="00CB0094">
    <w:pPr>
      <w:pStyle w:val="FooterInfo"/>
    </w:pPr>
    <w: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 w:rsidP="0089636C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B0094" w:rsidTr="00797B7F">
      <w:tc>
        <w:tcPr>
          <w:tcW w:w="1134" w:type="dxa"/>
          <w:shd w:val="clear" w:color="auto" w:fill="auto"/>
        </w:tcPr>
        <w:p w:rsidR="00CB0094" w:rsidRPr="003D7214" w:rsidRDefault="006C4128" w:rsidP="00797B7F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B009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627D7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CB0094" w:rsidRPr="004F5D6D" w:rsidRDefault="00CB0094" w:rsidP="0089636C">
          <w:pPr>
            <w:pStyle w:val="Footer"/>
            <w:tabs>
              <w:tab w:val="clear" w:pos="7201"/>
              <w:tab w:val="right" w:pos="7230"/>
            </w:tabs>
          </w:pPr>
          <w:r w:rsidRPr="00CB19CE">
            <w:t>Radiocommunications Advisory Guidelines (Managing Interference from Transmitters – 2.5 GHz Mid-band Gap) 2012</w:t>
          </w:r>
        </w:p>
      </w:tc>
      <w:tc>
        <w:tcPr>
          <w:tcW w:w="1134" w:type="dxa"/>
          <w:shd w:val="clear" w:color="auto" w:fill="auto"/>
        </w:tcPr>
        <w:p w:rsidR="00CB0094" w:rsidRPr="00451BF5" w:rsidRDefault="00CB0094" w:rsidP="00797B7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B0094" w:rsidRPr="00CB19CE" w:rsidRDefault="00CB0094" w:rsidP="00CB19CE">
    <w:pPr>
      <w:pStyle w:val="Footer"/>
      <w:tabs>
        <w:tab w:val="right" w:pos="6804"/>
      </w:tabs>
      <w:ind w:right="-99"/>
      <w:rPr>
        <w:b/>
        <w:i w:val="0"/>
        <w:sz w:val="40"/>
        <w:szCs w:val="4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243"/>
    </w:tblGrid>
    <w:tr w:rsidR="00CB0094" w:rsidTr="0089636C">
      <w:trPr>
        <w:trHeight w:val="70"/>
      </w:trPr>
      <w:tc>
        <w:tcPr>
          <w:tcW w:w="1134" w:type="dxa"/>
          <w:shd w:val="clear" w:color="auto" w:fill="auto"/>
        </w:tcPr>
        <w:p w:rsidR="00CB0094" w:rsidRDefault="00CB0094" w:rsidP="00797B7F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CB0094" w:rsidRPr="004F5D6D" w:rsidRDefault="00CB0094" w:rsidP="0089636C">
          <w:pPr>
            <w:pStyle w:val="Footer"/>
          </w:pPr>
          <w:r w:rsidRPr="00CB19CE">
            <w:t>Radiocommunications Advisory Guidelines (Managing Interference from Transmitters – 2.5 GHz Mid-band Gap) 2012</w:t>
          </w:r>
        </w:p>
      </w:tc>
      <w:tc>
        <w:tcPr>
          <w:tcW w:w="1243" w:type="dxa"/>
          <w:shd w:val="clear" w:color="auto" w:fill="auto"/>
        </w:tcPr>
        <w:p w:rsidR="00CB0094" w:rsidRPr="003D7214" w:rsidRDefault="006C4128" w:rsidP="00797B7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B009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627D7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CB0094" w:rsidRPr="00CB19CE" w:rsidRDefault="00CB0094" w:rsidP="00AA452B">
    <w:pPr>
      <w:pStyle w:val="Footer"/>
      <w:tabs>
        <w:tab w:val="right" w:pos="6804"/>
      </w:tabs>
      <w:ind w:right="-111"/>
      <w:rPr>
        <w:rFonts w:cs="Arial"/>
        <w:b/>
        <w:i w:val="0"/>
        <w:sz w:val="40"/>
        <w:szCs w:val="4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Pr="00556EB9" w:rsidRDefault="00CB0094">
    <w:pPr>
      <w:pStyle w:val="FooterCitation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 w:rsidP="00136BC8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B0094" w:rsidTr="00797B7F">
      <w:tc>
        <w:tcPr>
          <w:tcW w:w="1134" w:type="dxa"/>
          <w:shd w:val="clear" w:color="auto" w:fill="auto"/>
        </w:tcPr>
        <w:p w:rsidR="00CB0094" w:rsidRPr="003D7214" w:rsidRDefault="006C4128" w:rsidP="00797B7F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B009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627D7">
            <w:rPr>
              <w:rStyle w:val="PageNumber"/>
              <w:rFonts w:cs="Arial"/>
              <w:noProof/>
            </w:rPr>
            <w:t>6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CB0094" w:rsidRPr="004F5D6D" w:rsidRDefault="00CB0094" w:rsidP="0089636C">
          <w:pPr>
            <w:pStyle w:val="Footer"/>
            <w:tabs>
              <w:tab w:val="clear" w:pos="7201"/>
              <w:tab w:val="right" w:pos="7230"/>
            </w:tabs>
          </w:pPr>
          <w:r w:rsidRPr="00CB19CE">
            <w:t>Radiocommunications Advisory Guidelines (Managing Interference from Transmitters – 2.5 GHz Mid-band Gap) 2012</w:t>
          </w:r>
        </w:p>
      </w:tc>
      <w:tc>
        <w:tcPr>
          <w:tcW w:w="1134" w:type="dxa"/>
          <w:shd w:val="clear" w:color="auto" w:fill="auto"/>
        </w:tcPr>
        <w:p w:rsidR="00CB0094" w:rsidRPr="00451BF5" w:rsidRDefault="00CB0094" w:rsidP="00797B7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B0094" w:rsidRPr="00CB19CE" w:rsidRDefault="00CB0094" w:rsidP="00AA452B">
    <w:pPr>
      <w:pStyle w:val="Footer"/>
      <w:tabs>
        <w:tab w:val="right" w:pos="6804"/>
      </w:tabs>
      <w:ind w:right="-111"/>
      <w:rPr>
        <w:rFonts w:cs="Arial"/>
        <w:b/>
        <w:i w:val="0"/>
        <w:sz w:val="40"/>
        <w:szCs w:val="4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 w:rsidP="00136BC8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243"/>
    </w:tblGrid>
    <w:tr w:rsidR="00CB0094" w:rsidTr="00797B7F">
      <w:trPr>
        <w:trHeight w:val="70"/>
      </w:trPr>
      <w:tc>
        <w:tcPr>
          <w:tcW w:w="1134" w:type="dxa"/>
          <w:shd w:val="clear" w:color="auto" w:fill="auto"/>
        </w:tcPr>
        <w:p w:rsidR="00CB0094" w:rsidRDefault="00CB0094" w:rsidP="00797B7F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CB0094" w:rsidRPr="004F5D6D" w:rsidRDefault="00CB0094" w:rsidP="0089636C">
          <w:pPr>
            <w:pStyle w:val="Footer"/>
          </w:pPr>
          <w:r w:rsidRPr="00CB19CE">
            <w:t>Radiocommunications Advisory Guidelines (Managing Interference from Transmitters – 2.5 GHz Mid-band Gap) 2012</w:t>
          </w:r>
        </w:p>
      </w:tc>
      <w:tc>
        <w:tcPr>
          <w:tcW w:w="1243" w:type="dxa"/>
          <w:shd w:val="clear" w:color="auto" w:fill="auto"/>
        </w:tcPr>
        <w:p w:rsidR="00CB0094" w:rsidRPr="003D7214" w:rsidRDefault="006C4128" w:rsidP="00797B7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B009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627D7"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CB0094" w:rsidRDefault="00CB0094" w:rsidP="00F43694">
    <w:pPr>
      <w:pStyle w:val="Footer"/>
      <w:tabs>
        <w:tab w:val="right" w:pos="6804"/>
      </w:tabs>
      <w:ind w:right="-111"/>
      <w:jc w:val="left"/>
      <w:rPr>
        <w:rFonts w:cs="Arial"/>
        <w:b/>
        <w:i w:val="0"/>
        <w:sz w:val="16"/>
        <w:szCs w:val="16"/>
      </w:rPr>
    </w:pPr>
  </w:p>
  <w:p w:rsidR="00F43694" w:rsidRPr="00F43694" w:rsidRDefault="00F43694" w:rsidP="00F43694">
    <w:pPr>
      <w:pStyle w:val="Footer"/>
      <w:tabs>
        <w:tab w:val="right" w:pos="6804"/>
      </w:tabs>
      <w:ind w:right="-111"/>
      <w:jc w:val="left"/>
      <w:rPr>
        <w:rFonts w:cs="Arial"/>
        <w:b/>
        <w:i w:val="0"/>
        <w:sz w:val="16"/>
        <w:szCs w:val="16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Pr="00556EB9" w:rsidRDefault="00CB0094" w:rsidP="00136BC8">
    <w:pPr>
      <w:pStyle w:val="FooterCitation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094" w:rsidRDefault="00CB0094">
      <w:r>
        <w:separator/>
      </w:r>
    </w:p>
  </w:footnote>
  <w:footnote w:type="continuationSeparator" w:id="0">
    <w:p w:rsidR="00CB0094" w:rsidRDefault="00CB0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385"/>
    </w:tblGrid>
    <w:tr w:rsidR="00CB0094">
      <w:tc>
        <w:tcPr>
          <w:tcW w:w="8385" w:type="dxa"/>
        </w:tcPr>
        <w:p w:rsidR="00CB0094" w:rsidRDefault="00CB0094">
          <w:pPr>
            <w:pStyle w:val="HeaderLiteEven"/>
          </w:pPr>
        </w:p>
      </w:tc>
    </w:tr>
    <w:tr w:rsidR="00CB0094">
      <w:tc>
        <w:tcPr>
          <w:tcW w:w="8385" w:type="dxa"/>
        </w:tcPr>
        <w:p w:rsidR="00CB0094" w:rsidRDefault="00CB0094">
          <w:pPr>
            <w:pStyle w:val="HeaderLiteEven"/>
          </w:pPr>
        </w:p>
      </w:tc>
    </w:tr>
    <w:tr w:rsidR="00CB0094">
      <w:tc>
        <w:tcPr>
          <w:tcW w:w="8385" w:type="dxa"/>
        </w:tcPr>
        <w:p w:rsidR="00CB0094" w:rsidRDefault="00CB0094">
          <w:pPr>
            <w:pStyle w:val="HeaderBoldEven"/>
          </w:pPr>
        </w:p>
      </w:tc>
    </w:tr>
  </w:tbl>
  <w:p w:rsidR="00CB0094" w:rsidRDefault="00CB0094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6798"/>
      <w:gridCol w:w="1548"/>
    </w:tblGrid>
    <w:tr w:rsidR="00F43694" w:rsidTr="00AB7E73">
      <w:tc>
        <w:tcPr>
          <w:tcW w:w="6798" w:type="dxa"/>
          <w:vAlign w:val="bottom"/>
        </w:tcPr>
        <w:p w:rsidR="00F43694" w:rsidRDefault="00F43694" w:rsidP="00AB7E73">
          <w:pPr>
            <w:pStyle w:val="HeaderLiteOdd"/>
          </w:pPr>
        </w:p>
      </w:tc>
      <w:tc>
        <w:tcPr>
          <w:tcW w:w="1548" w:type="dxa"/>
        </w:tcPr>
        <w:p w:rsidR="00F43694" w:rsidRDefault="00F43694" w:rsidP="00AB7E73">
          <w:pPr>
            <w:pStyle w:val="HeaderLiteOdd"/>
          </w:pPr>
        </w:p>
      </w:tc>
    </w:tr>
    <w:tr w:rsidR="00F43694" w:rsidTr="00AB7E73">
      <w:tc>
        <w:tcPr>
          <w:tcW w:w="6798" w:type="dxa"/>
          <w:vAlign w:val="bottom"/>
        </w:tcPr>
        <w:p w:rsidR="00F43694" w:rsidRDefault="00F43694" w:rsidP="00AB7E73">
          <w:pPr>
            <w:pStyle w:val="HeaderLiteOdd"/>
          </w:pPr>
        </w:p>
      </w:tc>
      <w:tc>
        <w:tcPr>
          <w:tcW w:w="1548" w:type="dxa"/>
        </w:tcPr>
        <w:p w:rsidR="00F43694" w:rsidRDefault="00F43694" w:rsidP="00AB7E73">
          <w:pPr>
            <w:pStyle w:val="HeaderLiteOdd"/>
          </w:pPr>
        </w:p>
      </w:tc>
    </w:tr>
    <w:tr w:rsidR="00F43694" w:rsidTr="00AB7E73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43694" w:rsidRPr="00E426A1" w:rsidRDefault="00F43694" w:rsidP="00F43694">
          <w:pPr>
            <w:pStyle w:val="HeaderBoldOdd"/>
          </w:pPr>
          <w:r>
            <w:t>Section 4.1</w:t>
          </w:r>
        </w:p>
      </w:tc>
    </w:tr>
  </w:tbl>
  <w:p w:rsidR="00F43694" w:rsidRDefault="00F43694" w:rsidP="00F43694"/>
  <w:p w:rsidR="00F43694" w:rsidRDefault="00F43694" w:rsidP="00136BC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385"/>
    </w:tblGrid>
    <w:tr w:rsidR="00CB0094">
      <w:tc>
        <w:tcPr>
          <w:tcW w:w="8385" w:type="dxa"/>
        </w:tcPr>
        <w:p w:rsidR="00CB0094" w:rsidRDefault="00CB0094"/>
      </w:tc>
    </w:tr>
    <w:tr w:rsidR="00CB0094">
      <w:tc>
        <w:tcPr>
          <w:tcW w:w="8385" w:type="dxa"/>
        </w:tcPr>
        <w:p w:rsidR="00CB0094" w:rsidRDefault="00CB0094"/>
      </w:tc>
    </w:tr>
    <w:tr w:rsidR="00CB0094">
      <w:tc>
        <w:tcPr>
          <w:tcW w:w="8385" w:type="dxa"/>
        </w:tcPr>
        <w:p w:rsidR="00CB0094" w:rsidRDefault="00CB0094"/>
      </w:tc>
    </w:tr>
  </w:tbl>
  <w:p w:rsidR="00CB0094" w:rsidRDefault="00CB009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798"/>
    </w:tblGrid>
    <w:tr w:rsidR="00666AB2" w:rsidTr="00AB7E73">
      <w:tc>
        <w:tcPr>
          <w:tcW w:w="1548" w:type="dxa"/>
        </w:tcPr>
        <w:p w:rsidR="00666AB2" w:rsidRDefault="00666AB2" w:rsidP="00AB7E73">
          <w:pPr>
            <w:pStyle w:val="HeaderLiteEven"/>
          </w:pPr>
        </w:p>
      </w:tc>
      <w:tc>
        <w:tcPr>
          <w:tcW w:w="6798" w:type="dxa"/>
          <w:vAlign w:val="bottom"/>
        </w:tcPr>
        <w:p w:rsidR="00666AB2" w:rsidRDefault="00666AB2" w:rsidP="00AB7E73">
          <w:pPr>
            <w:pStyle w:val="HeaderLiteEven"/>
          </w:pPr>
        </w:p>
      </w:tc>
    </w:tr>
    <w:tr w:rsidR="00666AB2" w:rsidTr="00AB7E73">
      <w:tc>
        <w:tcPr>
          <w:tcW w:w="1548" w:type="dxa"/>
        </w:tcPr>
        <w:p w:rsidR="00666AB2" w:rsidRDefault="00666AB2" w:rsidP="00AB7E73">
          <w:pPr>
            <w:pStyle w:val="HeaderLiteEven"/>
          </w:pPr>
        </w:p>
      </w:tc>
      <w:tc>
        <w:tcPr>
          <w:tcW w:w="6798" w:type="dxa"/>
          <w:vAlign w:val="bottom"/>
        </w:tcPr>
        <w:p w:rsidR="00666AB2" w:rsidRDefault="00666AB2" w:rsidP="00AB7E73">
          <w:pPr>
            <w:pStyle w:val="HeaderLiteEven"/>
          </w:pPr>
        </w:p>
      </w:tc>
    </w:tr>
    <w:tr w:rsidR="00666AB2" w:rsidTr="00AB7E73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66AB2" w:rsidRPr="00E426A1" w:rsidRDefault="00666AB2" w:rsidP="00AB7E73">
          <w:pPr>
            <w:pStyle w:val="HeaderBoldEven"/>
          </w:pPr>
          <w:r>
            <w:t xml:space="preserve">Section </w:t>
          </w:r>
          <w:r w:rsidR="006C4128" w:rsidRPr="00E426A1">
            <w:fldChar w:fldCharType="begin"/>
          </w:r>
          <w:r w:rsidRPr="00E426A1">
            <w:instrText xml:space="preserve"> If </w:instrText>
          </w:r>
          <w:r w:rsidR="006C4128">
            <w:fldChar w:fldCharType="begin"/>
          </w:r>
          <w:r>
            <w:instrText xml:space="preserve"> STYLEREF CharSectno \*Charformat </w:instrText>
          </w:r>
          <w:r w:rsidR="006C4128">
            <w:fldChar w:fldCharType="separate"/>
          </w:r>
          <w:r w:rsidR="004627D7">
            <w:rPr>
              <w:noProof/>
            </w:rPr>
            <w:instrText>1.1</w:instrText>
          </w:r>
          <w:r w:rsidR="006C4128">
            <w:fldChar w:fldCharType="end"/>
          </w:r>
          <w:r w:rsidRPr="00E426A1">
            <w:instrText xml:space="preserve"> &lt;&gt; "Error*" </w:instrText>
          </w:r>
          <w:r w:rsidR="006C4128">
            <w:fldChar w:fldCharType="begin"/>
          </w:r>
          <w:r>
            <w:instrText xml:space="preserve"> STYLEREF CharSectno \*Charformat </w:instrText>
          </w:r>
          <w:r w:rsidR="006C4128">
            <w:fldChar w:fldCharType="separate"/>
          </w:r>
          <w:r w:rsidR="004627D7">
            <w:rPr>
              <w:noProof/>
            </w:rPr>
            <w:instrText>1.1</w:instrText>
          </w:r>
          <w:r w:rsidR="006C4128">
            <w:fldChar w:fldCharType="end"/>
          </w:r>
          <w:r w:rsidRPr="00E426A1">
            <w:instrText xml:space="preserve"> </w:instrText>
          </w:r>
          <w:r w:rsidR="006C4128" w:rsidRPr="00E426A1">
            <w:fldChar w:fldCharType="separate"/>
          </w:r>
          <w:r w:rsidR="004627D7">
            <w:rPr>
              <w:noProof/>
            </w:rPr>
            <w:t>1.1</w:t>
          </w:r>
          <w:r w:rsidR="006C4128" w:rsidRPr="00E426A1">
            <w:fldChar w:fldCharType="end"/>
          </w:r>
        </w:p>
      </w:tc>
    </w:tr>
  </w:tbl>
  <w:p w:rsidR="00666AB2" w:rsidRDefault="00666AB2" w:rsidP="00666AB2"/>
  <w:p w:rsidR="00CB0094" w:rsidRDefault="00CB009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6798"/>
      <w:gridCol w:w="1548"/>
    </w:tblGrid>
    <w:tr w:rsidR="00733292" w:rsidTr="00AB7E73">
      <w:tc>
        <w:tcPr>
          <w:tcW w:w="6798" w:type="dxa"/>
          <w:vAlign w:val="bottom"/>
        </w:tcPr>
        <w:p w:rsidR="00733292" w:rsidRDefault="00733292" w:rsidP="00AB7E73">
          <w:pPr>
            <w:pStyle w:val="HeaderLiteOdd"/>
          </w:pPr>
        </w:p>
      </w:tc>
      <w:tc>
        <w:tcPr>
          <w:tcW w:w="1548" w:type="dxa"/>
        </w:tcPr>
        <w:p w:rsidR="00733292" w:rsidRDefault="00733292" w:rsidP="00AB7E73">
          <w:pPr>
            <w:pStyle w:val="HeaderLiteOdd"/>
          </w:pPr>
        </w:p>
      </w:tc>
    </w:tr>
    <w:tr w:rsidR="00733292" w:rsidTr="00AB7E73">
      <w:tc>
        <w:tcPr>
          <w:tcW w:w="6798" w:type="dxa"/>
          <w:vAlign w:val="bottom"/>
        </w:tcPr>
        <w:p w:rsidR="00733292" w:rsidRDefault="00733292" w:rsidP="00AB7E73">
          <w:pPr>
            <w:pStyle w:val="HeaderLiteOdd"/>
          </w:pPr>
        </w:p>
      </w:tc>
      <w:tc>
        <w:tcPr>
          <w:tcW w:w="1548" w:type="dxa"/>
        </w:tcPr>
        <w:p w:rsidR="00733292" w:rsidRDefault="00733292" w:rsidP="00AB7E73">
          <w:pPr>
            <w:pStyle w:val="HeaderLiteOdd"/>
          </w:pPr>
        </w:p>
      </w:tc>
    </w:tr>
    <w:tr w:rsidR="00733292" w:rsidTr="00AB7E73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33292" w:rsidRPr="00E426A1" w:rsidRDefault="00733292" w:rsidP="00AB7E73">
          <w:pPr>
            <w:pStyle w:val="HeaderBoldOdd"/>
          </w:pPr>
          <w:r>
            <w:t xml:space="preserve">Section </w:t>
          </w:r>
          <w:r w:rsidR="006C4128" w:rsidRPr="00E426A1">
            <w:fldChar w:fldCharType="begin"/>
          </w:r>
          <w:r w:rsidRPr="00E426A1">
            <w:instrText xml:space="preserve"> If </w:instrText>
          </w:r>
          <w:r w:rsidR="006C4128">
            <w:fldChar w:fldCharType="begin"/>
          </w:r>
          <w:r>
            <w:instrText xml:space="preserve"> STYLEREF CharSectno \*Charformat \l </w:instrText>
          </w:r>
          <w:r w:rsidR="006C4128">
            <w:fldChar w:fldCharType="separate"/>
          </w:r>
          <w:r w:rsidR="004627D7">
            <w:rPr>
              <w:noProof/>
            </w:rPr>
            <w:instrText>1.4</w:instrText>
          </w:r>
          <w:r w:rsidR="006C4128">
            <w:fldChar w:fldCharType="end"/>
          </w:r>
          <w:r w:rsidRPr="00E426A1">
            <w:instrText xml:space="preserve"> &lt;&gt; "Error*" </w:instrText>
          </w:r>
          <w:r w:rsidR="006C4128">
            <w:fldChar w:fldCharType="begin"/>
          </w:r>
          <w:r>
            <w:instrText xml:space="preserve"> STYLEREF CharSectno \*Charformat \l </w:instrText>
          </w:r>
          <w:r w:rsidR="006C4128">
            <w:fldChar w:fldCharType="separate"/>
          </w:r>
          <w:r w:rsidR="004627D7">
            <w:rPr>
              <w:noProof/>
            </w:rPr>
            <w:instrText>1.4</w:instrText>
          </w:r>
          <w:r w:rsidR="006C4128">
            <w:fldChar w:fldCharType="end"/>
          </w:r>
          <w:r w:rsidRPr="00E426A1">
            <w:instrText xml:space="preserve"> </w:instrText>
          </w:r>
          <w:r w:rsidR="006C4128" w:rsidRPr="00E426A1">
            <w:fldChar w:fldCharType="separate"/>
          </w:r>
          <w:r w:rsidR="004627D7">
            <w:rPr>
              <w:noProof/>
            </w:rPr>
            <w:t>1.4</w:t>
          </w:r>
          <w:r w:rsidR="006C4128" w:rsidRPr="00E426A1">
            <w:fldChar w:fldCharType="end"/>
          </w:r>
        </w:p>
      </w:tc>
    </w:tr>
  </w:tbl>
  <w:p w:rsidR="00733292" w:rsidRDefault="00733292" w:rsidP="00733292"/>
  <w:p w:rsidR="00CB0094" w:rsidRDefault="00CB009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6798"/>
      <w:gridCol w:w="1548"/>
    </w:tblGrid>
    <w:tr w:rsidR="00F43694" w:rsidTr="00AB7E73">
      <w:tc>
        <w:tcPr>
          <w:tcW w:w="6798" w:type="dxa"/>
          <w:vAlign w:val="bottom"/>
        </w:tcPr>
        <w:p w:rsidR="00F43694" w:rsidRDefault="00F43694" w:rsidP="00AB7E73">
          <w:pPr>
            <w:pStyle w:val="HeaderLiteOdd"/>
          </w:pPr>
        </w:p>
      </w:tc>
      <w:tc>
        <w:tcPr>
          <w:tcW w:w="1548" w:type="dxa"/>
        </w:tcPr>
        <w:p w:rsidR="00F43694" w:rsidRDefault="00F43694" w:rsidP="00AB7E73">
          <w:pPr>
            <w:pStyle w:val="HeaderLiteOdd"/>
          </w:pPr>
        </w:p>
      </w:tc>
    </w:tr>
    <w:tr w:rsidR="00F43694" w:rsidTr="00AB7E73">
      <w:tc>
        <w:tcPr>
          <w:tcW w:w="6798" w:type="dxa"/>
          <w:vAlign w:val="bottom"/>
        </w:tcPr>
        <w:p w:rsidR="00F43694" w:rsidRDefault="00F43694" w:rsidP="00AB7E73">
          <w:pPr>
            <w:pStyle w:val="HeaderLiteOdd"/>
          </w:pPr>
        </w:p>
      </w:tc>
      <w:tc>
        <w:tcPr>
          <w:tcW w:w="1548" w:type="dxa"/>
        </w:tcPr>
        <w:p w:rsidR="00F43694" w:rsidRDefault="00F43694" w:rsidP="00AB7E73">
          <w:pPr>
            <w:pStyle w:val="HeaderLiteOdd"/>
          </w:pPr>
        </w:p>
      </w:tc>
    </w:tr>
    <w:tr w:rsidR="00F43694" w:rsidTr="00AB7E73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43694" w:rsidRPr="00E426A1" w:rsidRDefault="00F43694" w:rsidP="00F43694">
          <w:pPr>
            <w:pStyle w:val="HeaderBoldOdd"/>
          </w:pPr>
          <w:r>
            <w:t>Section 4.1</w:t>
          </w:r>
        </w:p>
      </w:tc>
    </w:tr>
  </w:tbl>
  <w:p w:rsidR="00F43694" w:rsidRDefault="00F43694" w:rsidP="00F43694"/>
  <w:p w:rsidR="00CB0094" w:rsidRDefault="00CB0094" w:rsidP="00136BC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798"/>
    </w:tblGrid>
    <w:tr w:rsidR="00F43694" w:rsidTr="00AB7E73">
      <w:tc>
        <w:tcPr>
          <w:tcW w:w="1548" w:type="dxa"/>
        </w:tcPr>
        <w:p w:rsidR="00F43694" w:rsidRDefault="00F43694" w:rsidP="00AB7E73">
          <w:pPr>
            <w:pStyle w:val="HeaderLiteEven"/>
          </w:pPr>
        </w:p>
      </w:tc>
      <w:tc>
        <w:tcPr>
          <w:tcW w:w="6798" w:type="dxa"/>
          <w:vAlign w:val="bottom"/>
        </w:tcPr>
        <w:p w:rsidR="00F43694" w:rsidRDefault="00F43694" w:rsidP="00AB7E73">
          <w:pPr>
            <w:pStyle w:val="HeaderLiteEven"/>
          </w:pPr>
        </w:p>
      </w:tc>
    </w:tr>
    <w:tr w:rsidR="00F43694" w:rsidTr="00AB7E73">
      <w:tc>
        <w:tcPr>
          <w:tcW w:w="1548" w:type="dxa"/>
        </w:tcPr>
        <w:p w:rsidR="00F43694" w:rsidRDefault="00F43694" w:rsidP="00AB7E73">
          <w:pPr>
            <w:pStyle w:val="HeaderLiteEven"/>
          </w:pPr>
        </w:p>
      </w:tc>
      <w:tc>
        <w:tcPr>
          <w:tcW w:w="6798" w:type="dxa"/>
          <w:vAlign w:val="bottom"/>
        </w:tcPr>
        <w:p w:rsidR="00F43694" w:rsidRDefault="00F43694" w:rsidP="00AB7E73">
          <w:pPr>
            <w:pStyle w:val="HeaderLiteEven"/>
          </w:pPr>
        </w:p>
      </w:tc>
    </w:tr>
    <w:tr w:rsidR="00F43694" w:rsidTr="00AB7E73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43694" w:rsidRPr="00E426A1" w:rsidRDefault="00F43694" w:rsidP="00AB7E73">
          <w:pPr>
            <w:pStyle w:val="HeaderBoldEven"/>
          </w:pPr>
          <w:r>
            <w:t xml:space="preserve">Section </w:t>
          </w:r>
          <w:r w:rsidR="006C4128" w:rsidRPr="00E426A1">
            <w:fldChar w:fldCharType="begin"/>
          </w:r>
          <w:r w:rsidRPr="00E426A1">
            <w:instrText xml:space="preserve"> If </w:instrText>
          </w:r>
          <w:r w:rsidR="006C4128">
            <w:fldChar w:fldCharType="begin"/>
          </w:r>
          <w:r>
            <w:instrText xml:space="preserve"> STYLEREF CharSectno \*Charformat </w:instrText>
          </w:r>
          <w:r w:rsidR="006C4128">
            <w:fldChar w:fldCharType="separate"/>
          </w:r>
          <w:r>
            <w:rPr>
              <w:noProof/>
            </w:rPr>
            <w:instrText>1.4</w:instrText>
          </w:r>
          <w:r w:rsidR="006C4128">
            <w:fldChar w:fldCharType="end"/>
          </w:r>
          <w:r w:rsidRPr="00E426A1">
            <w:instrText xml:space="preserve"> &lt;&gt; "Error*" </w:instrText>
          </w:r>
          <w:r w:rsidR="006C4128">
            <w:fldChar w:fldCharType="begin"/>
          </w:r>
          <w:r>
            <w:instrText xml:space="preserve"> STYLEREF CharSectno \*Charformat </w:instrText>
          </w:r>
          <w:r w:rsidR="006C4128">
            <w:fldChar w:fldCharType="separate"/>
          </w:r>
          <w:r>
            <w:rPr>
              <w:noProof/>
            </w:rPr>
            <w:instrText>1.4</w:instrText>
          </w:r>
          <w:r w:rsidR="006C4128">
            <w:fldChar w:fldCharType="end"/>
          </w:r>
          <w:r w:rsidRPr="00E426A1">
            <w:instrText xml:space="preserve"> </w:instrText>
          </w:r>
          <w:r w:rsidR="006C4128" w:rsidRPr="00E426A1">
            <w:fldChar w:fldCharType="separate"/>
          </w:r>
          <w:r>
            <w:rPr>
              <w:noProof/>
            </w:rPr>
            <w:t>1.4</w:t>
          </w:r>
          <w:r w:rsidR="006C4128" w:rsidRPr="00E426A1">
            <w:fldChar w:fldCharType="end"/>
          </w:r>
        </w:p>
      </w:tc>
    </w:tr>
  </w:tbl>
  <w:p w:rsidR="00CB0094" w:rsidRDefault="00CB0094" w:rsidP="00136BC8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94" w:rsidRDefault="00CB0094" w:rsidP="00136BC8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798"/>
    </w:tblGrid>
    <w:tr w:rsidR="00F43694" w:rsidTr="00AB7E73">
      <w:tc>
        <w:tcPr>
          <w:tcW w:w="1548" w:type="dxa"/>
        </w:tcPr>
        <w:p w:rsidR="00F43694" w:rsidRDefault="00F43694" w:rsidP="00AB7E73">
          <w:pPr>
            <w:pStyle w:val="HeaderLiteEven"/>
          </w:pPr>
        </w:p>
      </w:tc>
      <w:tc>
        <w:tcPr>
          <w:tcW w:w="6798" w:type="dxa"/>
          <w:vAlign w:val="bottom"/>
        </w:tcPr>
        <w:p w:rsidR="00F43694" w:rsidRDefault="00F43694" w:rsidP="00AB7E73">
          <w:pPr>
            <w:pStyle w:val="HeaderLiteEven"/>
          </w:pPr>
        </w:p>
      </w:tc>
    </w:tr>
    <w:tr w:rsidR="00F43694" w:rsidTr="00AB7E73">
      <w:tc>
        <w:tcPr>
          <w:tcW w:w="1548" w:type="dxa"/>
        </w:tcPr>
        <w:p w:rsidR="00F43694" w:rsidRDefault="00F43694" w:rsidP="00AB7E73">
          <w:pPr>
            <w:pStyle w:val="HeaderLiteEven"/>
          </w:pPr>
        </w:p>
      </w:tc>
      <w:tc>
        <w:tcPr>
          <w:tcW w:w="6798" w:type="dxa"/>
          <w:vAlign w:val="bottom"/>
        </w:tcPr>
        <w:p w:rsidR="00F43694" w:rsidRDefault="00F43694" w:rsidP="00AB7E73">
          <w:pPr>
            <w:pStyle w:val="HeaderLiteEven"/>
          </w:pPr>
        </w:p>
      </w:tc>
    </w:tr>
    <w:tr w:rsidR="00F43694" w:rsidTr="00AB7E73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43694" w:rsidRPr="00E426A1" w:rsidRDefault="00F43694" w:rsidP="00AB7E73">
          <w:pPr>
            <w:pStyle w:val="HeaderBoldEven"/>
          </w:pPr>
          <w:r>
            <w:t xml:space="preserve">Section </w:t>
          </w:r>
          <w:r w:rsidR="006C4128" w:rsidRPr="00E426A1">
            <w:fldChar w:fldCharType="begin"/>
          </w:r>
          <w:r w:rsidRPr="00E426A1">
            <w:instrText xml:space="preserve"> If </w:instrText>
          </w:r>
          <w:r w:rsidR="006C4128">
            <w:fldChar w:fldCharType="begin"/>
          </w:r>
          <w:r>
            <w:instrText xml:space="preserve"> STYLEREF CharSectno \*Charformat </w:instrText>
          </w:r>
          <w:r w:rsidR="006C4128">
            <w:fldChar w:fldCharType="separate"/>
          </w:r>
          <w:r w:rsidR="004627D7">
            <w:rPr>
              <w:noProof/>
            </w:rPr>
            <w:instrText>5.1</w:instrText>
          </w:r>
          <w:r w:rsidR="006C4128">
            <w:fldChar w:fldCharType="end"/>
          </w:r>
          <w:r w:rsidRPr="00E426A1">
            <w:instrText xml:space="preserve"> &lt;&gt; "Error*" </w:instrText>
          </w:r>
          <w:r w:rsidR="006C4128">
            <w:fldChar w:fldCharType="begin"/>
          </w:r>
          <w:r>
            <w:instrText xml:space="preserve"> STYLEREF CharSectno \*Charformat </w:instrText>
          </w:r>
          <w:r w:rsidR="006C4128">
            <w:fldChar w:fldCharType="separate"/>
          </w:r>
          <w:r w:rsidR="004627D7">
            <w:rPr>
              <w:noProof/>
            </w:rPr>
            <w:instrText>5.1</w:instrText>
          </w:r>
          <w:r w:rsidR="006C4128">
            <w:fldChar w:fldCharType="end"/>
          </w:r>
          <w:r w:rsidRPr="00E426A1">
            <w:instrText xml:space="preserve"> </w:instrText>
          </w:r>
          <w:r w:rsidR="006C4128" w:rsidRPr="00E426A1">
            <w:fldChar w:fldCharType="separate"/>
          </w:r>
          <w:r w:rsidR="004627D7">
            <w:rPr>
              <w:noProof/>
            </w:rPr>
            <w:t>5.1</w:t>
          </w:r>
          <w:r w:rsidR="006C4128" w:rsidRPr="00E426A1">
            <w:fldChar w:fldCharType="end"/>
          </w:r>
        </w:p>
      </w:tc>
    </w:tr>
  </w:tbl>
  <w:p w:rsidR="00F43694" w:rsidRDefault="00F43694" w:rsidP="00136BC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42A49BB"/>
    <w:multiLevelType w:val="hybridMultilevel"/>
    <w:tmpl w:val="8A58F804"/>
    <w:lvl w:ilvl="0" w:tplc="A7982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4F2273"/>
    <w:multiLevelType w:val="hybridMultilevel"/>
    <w:tmpl w:val="A406E4B4"/>
    <w:lvl w:ilvl="0" w:tplc="69A0AC6C">
      <w:start w:val="1"/>
      <w:numFmt w:val="decimal"/>
      <w:lvlText w:val="(%1)"/>
      <w:lvlJc w:val="left"/>
      <w:pPr>
        <w:ind w:left="1080" w:hanging="360"/>
      </w:pPr>
      <w:rPr>
        <w:rFonts w:ascii="TimesNewRoman,Bold" w:hAnsi="TimesNewRoman,Bold" w:cs="TimesNewRoman,Bold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0510E"/>
    <w:multiLevelType w:val="multilevel"/>
    <w:tmpl w:val="A64AE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B2579B"/>
    <w:multiLevelType w:val="multilevel"/>
    <w:tmpl w:val="39667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53851D1"/>
    <w:multiLevelType w:val="multilevel"/>
    <w:tmpl w:val="F146B6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2CB376E"/>
    <w:multiLevelType w:val="hybridMultilevel"/>
    <w:tmpl w:val="9838403A"/>
    <w:lvl w:ilvl="0" w:tplc="0C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9">
    <w:nsid w:val="45A91F09"/>
    <w:multiLevelType w:val="hybridMultilevel"/>
    <w:tmpl w:val="59EE90D2"/>
    <w:lvl w:ilvl="0" w:tplc="4FF863DA">
      <w:start w:val="1"/>
      <w:numFmt w:val="decimal"/>
      <w:lvlText w:val="(%1)"/>
      <w:lvlJc w:val="left"/>
      <w:pPr>
        <w:ind w:left="720" w:hanging="360"/>
      </w:pPr>
      <w:rPr>
        <w:rFonts w:ascii="TimesNewRoman,Bold" w:eastAsia="Times New Roman" w:hAnsi="TimesNewRoman,Bold" w:cs="TimesNewRoman,Bold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45B9"/>
    <w:multiLevelType w:val="multilevel"/>
    <w:tmpl w:val="10B0A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F1C7FDB"/>
    <w:multiLevelType w:val="hybridMultilevel"/>
    <w:tmpl w:val="D952BC48"/>
    <w:lvl w:ilvl="0" w:tplc="5664C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D7D2A"/>
    <w:multiLevelType w:val="hybridMultilevel"/>
    <w:tmpl w:val="05109704"/>
    <w:lvl w:ilvl="0" w:tplc="0C09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13">
    <w:nsid w:val="6E0F7DE0"/>
    <w:multiLevelType w:val="multilevel"/>
    <w:tmpl w:val="BAF28F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3E32742"/>
    <w:multiLevelType w:val="hybridMultilevel"/>
    <w:tmpl w:val="9F2A7652"/>
    <w:lvl w:ilvl="0" w:tplc="604EE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CC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E1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C4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4A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4B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A8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C0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3A6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32BD7"/>
    <w:multiLevelType w:val="hybridMultilevel"/>
    <w:tmpl w:val="6B6A2B3C"/>
    <w:lvl w:ilvl="0" w:tplc="0C090001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5"/>
  </w:num>
  <w:num w:numId="11">
    <w:abstractNumId w:val="6"/>
  </w:num>
  <w:num w:numId="12">
    <w:abstractNumId w:val="4"/>
  </w:num>
  <w:num w:numId="13">
    <w:abstractNumId w:val="13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stylePaneFormatFilter w:val="0808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D7"/>
    <w:rsid w:val="000038A0"/>
    <w:rsid w:val="000108E8"/>
    <w:rsid w:val="000114A3"/>
    <w:rsid w:val="00012F8A"/>
    <w:rsid w:val="0001511D"/>
    <w:rsid w:val="00015F43"/>
    <w:rsid w:val="0001662A"/>
    <w:rsid w:val="00020108"/>
    <w:rsid w:val="00032F2C"/>
    <w:rsid w:val="00035F5A"/>
    <w:rsid w:val="00040090"/>
    <w:rsid w:val="000403D5"/>
    <w:rsid w:val="0004060E"/>
    <w:rsid w:val="00041A82"/>
    <w:rsid w:val="000427E4"/>
    <w:rsid w:val="00045BA4"/>
    <w:rsid w:val="00045F1B"/>
    <w:rsid w:val="000521B7"/>
    <w:rsid w:val="0005339D"/>
    <w:rsid w:val="0005752E"/>
    <w:rsid w:val="00060076"/>
    <w:rsid w:val="000646EC"/>
    <w:rsid w:val="00065118"/>
    <w:rsid w:val="00065296"/>
    <w:rsid w:val="00067391"/>
    <w:rsid w:val="000715D1"/>
    <w:rsid w:val="00077541"/>
    <w:rsid w:val="00077599"/>
    <w:rsid w:val="00081F65"/>
    <w:rsid w:val="00082916"/>
    <w:rsid w:val="00083189"/>
    <w:rsid w:val="0008560A"/>
    <w:rsid w:val="00086A52"/>
    <w:rsid w:val="00091146"/>
    <w:rsid w:val="00095849"/>
    <w:rsid w:val="000975E5"/>
    <w:rsid w:val="000A0788"/>
    <w:rsid w:val="000A0CCA"/>
    <w:rsid w:val="000A1742"/>
    <w:rsid w:val="000A2E77"/>
    <w:rsid w:val="000A620C"/>
    <w:rsid w:val="000A710D"/>
    <w:rsid w:val="000A7869"/>
    <w:rsid w:val="000B3E98"/>
    <w:rsid w:val="000B4121"/>
    <w:rsid w:val="000B51B3"/>
    <w:rsid w:val="000D1916"/>
    <w:rsid w:val="000D38EA"/>
    <w:rsid w:val="000E16EC"/>
    <w:rsid w:val="000E27E3"/>
    <w:rsid w:val="000E48BD"/>
    <w:rsid w:val="000E7494"/>
    <w:rsid w:val="00102BED"/>
    <w:rsid w:val="00104EE2"/>
    <w:rsid w:val="00105BB8"/>
    <w:rsid w:val="001064DB"/>
    <w:rsid w:val="00107C04"/>
    <w:rsid w:val="00111D90"/>
    <w:rsid w:val="00116989"/>
    <w:rsid w:val="00125657"/>
    <w:rsid w:val="001312D8"/>
    <w:rsid w:val="001328CE"/>
    <w:rsid w:val="00134DDC"/>
    <w:rsid w:val="00136BC8"/>
    <w:rsid w:val="00140090"/>
    <w:rsid w:val="001409F1"/>
    <w:rsid w:val="0014186A"/>
    <w:rsid w:val="00141CBA"/>
    <w:rsid w:val="00144A6E"/>
    <w:rsid w:val="00144DE3"/>
    <w:rsid w:val="001469E2"/>
    <w:rsid w:val="00153195"/>
    <w:rsid w:val="0015339D"/>
    <w:rsid w:val="001547F6"/>
    <w:rsid w:val="00155AD6"/>
    <w:rsid w:val="00157F3F"/>
    <w:rsid w:val="001625E1"/>
    <w:rsid w:val="00162609"/>
    <w:rsid w:val="00164935"/>
    <w:rsid w:val="00165D61"/>
    <w:rsid w:val="00165EA5"/>
    <w:rsid w:val="00166EFC"/>
    <w:rsid w:val="00166F4D"/>
    <w:rsid w:val="0017169A"/>
    <w:rsid w:val="00172D48"/>
    <w:rsid w:val="00175230"/>
    <w:rsid w:val="0017685B"/>
    <w:rsid w:val="00181D43"/>
    <w:rsid w:val="00182B5D"/>
    <w:rsid w:val="00185F83"/>
    <w:rsid w:val="00186143"/>
    <w:rsid w:val="00186360"/>
    <w:rsid w:val="00187D63"/>
    <w:rsid w:val="00191FA5"/>
    <w:rsid w:val="00192C10"/>
    <w:rsid w:val="00193F32"/>
    <w:rsid w:val="001A224C"/>
    <w:rsid w:val="001A335C"/>
    <w:rsid w:val="001A4DD7"/>
    <w:rsid w:val="001A5ED4"/>
    <w:rsid w:val="001A6C59"/>
    <w:rsid w:val="001B0FC0"/>
    <w:rsid w:val="001C22F5"/>
    <w:rsid w:val="001C25FE"/>
    <w:rsid w:val="001C3A89"/>
    <w:rsid w:val="001C3D6B"/>
    <w:rsid w:val="001C447C"/>
    <w:rsid w:val="001D325C"/>
    <w:rsid w:val="001D4C8F"/>
    <w:rsid w:val="001D5AEB"/>
    <w:rsid w:val="001D6D71"/>
    <w:rsid w:val="001E092D"/>
    <w:rsid w:val="001E0CC7"/>
    <w:rsid w:val="001E72C1"/>
    <w:rsid w:val="001F108C"/>
    <w:rsid w:val="001F41C5"/>
    <w:rsid w:val="001F6DDB"/>
    <w:rsid w:val="001F6F95"/>
    <w:rsid w:val="001F7140"/>
    <w:rsid w:val="00200C4F"/>
    <w:rsid w:val="00200C6F"/>
    <w:rsid w:val="002015B2"/>
    <w:rsid w:val="00203232"/>
    <w:rsid w:val="00203B7A"/>
    <w:rsid w:val="002043CC"/>
    <w:rsid w:val="00210652"/>
    <w:rsid w:val="002117CB"/>
    <w:rsid w:val="00211ADF"/>
    <w:rsid w:val="002142D2"/>
    <w:rsid w:val="00214C3B"/>
    <w:rsid w:val="00215689"/>
    <w:rsid w:val="00222FD0"/>
    <w:rsid w:val="0022432E"/>
    <w:rsid w:val="002250D9"/>
    <w:rsid w:val="002252C7"/>
    <w:rsid w:val="002262A9"/>
    <w:rsid w:val="0022734F"/>
    <w:rsid w:val="00233C57"/>
    <w:rsid w:val="0023489C"/>
    <w:rsid w:val="00237B40"/>
    <w:rsid w:val="00240901"/>
    <w:rsid w:val="0024222C"/>
    <w:rsid w:val="00242368"/>
    <w:rsid w:val="00243601"/>
    <w:rsid w:val="00243699"/>
    <w:rsid w:val="00244C01"/>
    <w:rsid w:val="00246042"/>
    <w:rsid w:val="00252F17"/>
    <w:rsid w:val="00253300"/>
    <w:rsid w:val="00253DDD"/>
    <w:rsid w:val="0025441A"/>
    <w:rsid w:val="002561E5"/>
    <w:rsid w:val="00260912"/>
    <w:rsid w:val="00266F77"/>
    <w:rsid w:val="00275245"/>
    <w:rsid w:val="00277C0F"/>
    <w:rsid w:val="00281E63"/>
    <w:rsid w:val="0028609E"/>
    <w:rsid w:val="0028663B"/>
    <w:rsid w:val="00286CEA"/>
    <w:rsid w:val="0028716A"/>
    <w:rsid w:val="002878FC"/>
    <w:rsid w:val="00292F9C"/>
    <w:rsid w:val="00293BC3"/>
    <w:rsid w:val="00296343"/>
    <w:rsid w:val="00297C7F"/>
    <w:rsid w:val="002A0984"/>
    <w:rsid w:val="002A19B0"/>
    <w:rsid w:val="002A37DA"/>
    <w:rsid w:val="002A5B7F"/>
    <w:rsid w:val="002B12EE"/>
    <w:rsid w:val="002B14DE"/>
    <w:rsid w:val="002B1EBA"/>
    <w:rsid w:val="002B265A"/>
    <w:rsid w:val="002B3196"/>
    <w:rsid w:val="002B32C5"/>
    <w:rsid w:val="002B3D19"/>
    <w:rsid w:val="002B519A"/>
    <w:rsid w:val="002B7DCF"/>
    <w:rsid w:val="002D2080"/>
    <w:rsid w:val="002D4558"/>
    <w:rsid w:val="002D615F"/>
    <w:rsid w:val="002D7190"/>
    <w:rsid w:val="002D71AC"/>
    <w:rsid w:val="002D7932"/>
    <w:rsid w:val="002E1828"/>
    <w:rsid w:val="002E35E3"/>
    <w:rsid w:val="002E5749"/>
    <w:rsid w:val="002F78D5"/>
    <w:rsid w:val="002F7B50"/>
    <w:rsid w:val="00300747"/>
    <w:rsid w:val="0030267E"/>
    <w:rsid w:val="00303E08"/>
    <w:rsid w:val="00306194"/>
    <w:rsid w:val="00306FEA"/>
    <w:rsid w:val="00310C9B"/>
    <w:rsid w:val="00316CD7"/>
    <w:rsid w:val="003231FF"/>
    <w:rsid w:val="00323295"/>
    <w:rsid w:val="0032551F"/>
    <w:rsid w:val="003343F5"/>
    <w:rsid w:val="00334AEF"/>
    <w:rsid w:val="00335354"/>
    <w:rsid w:val="0033573E"/>
    <w:rsid w:val="00336724"/>
    <w:rsid w:val="00343B24"/>
    <w:rsid w:val="00344FE5"/>
    <w:rsid w:val="003469E3"/>
    <w:rsid w:val="0035001E"/>
    <w:rsid w:val="00353F3B"/>
    <w:rsid w:val="00356D12"/>
    <w:rsid w:val="00357657"/>
    <w:rsid w:val="00367E3F"/>
    <w:rsid w:val="0037061F"/>
    <w:rsid w:val="00370DD7"/>
    <w:rsid w:val="0037174C"/>
    <w:rsid w:val="0037255F"/>
    <w:rsid w:val="0037392A"/>
    <w:rsid w:val="00375A4D"/>
    <w:rsid w:val="0038055C"/>
    <w:rsid w:val="0038199B"/>
    <w:rsid w:val="00387F34"/>
    <w:rsid w:val="00392557"/>
    <w:rsid w:val="00393797"/>
    <w:rsid w:val="0039396B"/>
    <w:rsid w:val="003A38EC"/>
    <w:rsid w:val="003A5AF1"/>
    <w:rsid w:val="003A77F7"/>
    <w:rsid w:val="003B0B49"/>
    <w:rsid w:val="003B0D29"/>
    <w:rsid w:val="003B7E2B"/>
    <w:rsid w:val="003C0ED6"/>
    <w:rsid w:val="003C1ACE"/>
    <w:rsid w:val="003C1D25"/>
    <w:rsid w:val="003C3228"/>
    <w:rsid w:val="003D1079"/>
    <w:rsid w:val="003D1FD3"/>
    <w:rsid w:val="003D5FC8"/>
    <w:rsid w:val="003D659C"/>
    <w:rsid w:val="003D6F03"/>
    <w:rsid w:val="003E0068"/>
    <w:rsid w:val="003E0926"/>
    <w:rsid w:val="003E0AFE"/>
    <w:rsid w:val="003E205D"/>
    <w:rsid w:val="003E22F9"/>
    <w:rsid w:val="003E289E"/>
    <w:rsid w:val="003E41F1"/>
    <w:rsid w:val="003E61FB"/>
    <w:rsid w:val="003E6D06"/>
    <w:rsid w:val="003F2728"/>
    <w:rsid w:val="003F6833"/>
    <w:rsid w:val="004005D4"/>
    <w:rsid w:val="00403F78"/>
    <w:rsid w:val="004121B7"/>
    <w:rsid w:val="00412521"/>
    <w:rsid w:val="00414B34"/>
    <w:rsid w:val="00417478"/>
    <w:rsid w:val="00421964"/>
    <w:rsid w:val="00421F15"/>
    <w:rsid w:val="00422522"/>
    <w:rsid w:val="0042383D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473EE"/>
    <w:rsid w:val="00450DE1"/>
    <w:rsid w:val="004533FC"/>
    <w:rsid w:val="004543AD"/>
    <w:rsid w:val="004614C3"/>
    <w:rsid w:val="004616E3"/>
    <w:rsid w:val="004627D7"/>
    <w:rsid w:val="00464092"/>
    <w:rsid w:val="004640EA"/>
    <w:rsid w:val="0046599C"/>
    <w:rsid w:val="00466DBA"/>
    <w:rsid w:val="00467D88"/>
    <w:rsid w:val="00472443"/>
    <w:rsid w:val="0048413F"/>
    <w:rsid w:val="004876F0"/>
    <w:rsid w:val="004879CB"/>
    <w:rsid w:val="0049172E"/>
    <w:rsid w:val="004A1993"/>
    <w:rsid w:val="004A20E2"/>
    <w:rsid w:val="004A4BD2"/>
    <w:rsid w:val="004A7713"/>
    <w:rsid w:val="004A7AA7"/>
    <w:rsid w:val="004B1AC1"/>
    <w:rsid w:val="004B3346"/>
    <w:rsid w:val="004B6C4F"/>
    <w:rsid w:val="004D05BC"/>
    <w:rsid w:val="004D32C2"/>
    <w:rsid w:val="004D55E0"/>
    <w:rsid w:val="004D5EAB"/>
    <w:rsid w:val="004D6045"/>
    <w:rsid w:val="004E0619"/>
    <w:rsid w:val="004E1C75"/>
    <w:rsid w:val="004E2FEB"/>
    <w:rsid w:val="004E4C55"/>
    <w:rsid w:val="004E5509"/>
    <w:rsid w:val="004E7590"/>
    <w:rsid w:val="004F0135"/>
    <w:rsid w:val="004F02CE"/>
    <w:rsid w:val="004F5D6D"/>
    <w:rsid w:val="004F6D68"/>
    <w:rsid w:val="004F760E"/>
    <w:rsid w:val="00501E0C"/>
    <w:rsid w:val="00502F5B"/>
    <w:rsid w:val="00505162"/>
    <w:rsid w:val="005056C8"/>
    <w:rsid w:val="0051137B"/>
    <w:rsid w:val="00511776"/>
    <w:rsid w:val="00511924"/>
    <w:rsid w:val="00512974"/>
    <w:rsid w:val="0051371B"/>
    <w:rsid w:val="0051511D"/>
    <w:rsid w:val="00516004"/>
    <w:rsid w:val="005208CF"/>
    <w:rsid w:val="00521DC0"/>
    <w:rsid w:val="0052220C"/>
    <w:rsid w:val="005234C7"/>
    <w:rsid w:val="005238E0"/>
    <w:rsid w:val="005277E8"/>
    <w:rsid w:val="00527AD7"/>
    <w:rsid w:val="00534417"/>
    <w:rsid w:val="00535C52"/>
    <w:rsid w:val="00540B0D"/>
    <w:rsid w:val="0054351E"/>
    <w:rsid w:val="00550A4B"/>
    <w:rsid w:val="005516CA"/>
    <w:rsid w:val="00552B60"/>
    <w:rsid w:val="00553386"/>
    <w:rsid w:val="00557301"/>
    <w:rsid w:val="00563653"/>
    <w:rsid w:val="005644D5"/>
    <w:rsid w:val="0056485C"/>
    <w:rsid w:val="005672DE"/>
    <w:rsid w:val="005749F6"/>
    <w:rsid w:val="00574CBF"/>
    <w:rsid w:val="00576569"/>
    <w:rsid w:val="005770C8"/>
    <w:rsid w:val="00580301"/>
    <w:rsid w:val="005846B0"/>
    <w:rsid w:val="005859FB"/>
    <w:rsid w:val="005902CA"/>
    <w:rsid w:val="00590C65"/>
    <w:rsid w:val="005924C4"/>
    <w:rsid w:val="0059373E"/>
    <w:rsid w:val="005943B6"/>
    <w:rsid w:val="005A4031"/>
    <w:rsid w:val="005A5E29"/>
    <w:rsid w:val="005B14E3"/>
    <w:rsid w:val="005B37FE"/>
    <w:rsid w:val="005B3EA4"/>
    <w:rsid w:val="005B5BAF"/>
    <w:rsid w:val="005B7B02"/>
    <w:rsid w:val="005C0E45"/>
    <w:rsid w:val="005C1041"/>
    <w:rsid w:val="005C4A85"/>
    <w:rsid w:val="005C694A"/>
    <w:rsid w:val="005D02FF"/>
    <w:rsid w:val="005D0D39"/>
    <w:rsid w:val="005D210A"/>
    <w:rsid w:val="005D2F97"/>
    <w:rsid w:val="005D469F"/>
    <w:rsid w:val="005D5070"/>
    <w:rsid w:val="005D692B"/>
    <w:rsid w:val="005E43E5"/>
    <w:rsid w:val="005E563D"/>
    <w:rsid w:val="005E7341"/>
    <w:rsid w:val="005F1655"/>
    <w:rsid w:val="005F47D8"/>
    <w:rsid w:val="005F52A1"/>
    <w:rsid w:val="00600248"/>
    <w:rsid w:val="00602748"/>
    <w:rsid w:val="00603980"/>
    <w:rsid w:val="00603BB7"/>
    <w:rsid w:val="006047C5"/>
    <w:rsid w:val="00606EDA"/>
    <w:rsid w:val="006075E2"/>
    <w:rsid w:val="006213E0"/>
    <w:rsid w:val="00621915"/>
    <w:rsid w:val="00624074"/>
    <w:rsid w:val="0062769F"/>
    <w:rsid w:val="00633111"/>
    <w:rsid w:val="00634496"/>
    <w:rsid w:val="00636947"/>
    <w:rsid w:val="00641664"/>
    <w:rsid w:val="00643E86"/>
    <w:rsid w:val="006448EA"/>
    <w:rsid w:val="0065001E"/>
    <w:rsid w:val="006506F7"/>
    <w:rsid w:val="00650F04"/>
    <w:rsid w:val="006533B7"/>
    <w:rsid w:val="006612AC"/>
    <w:rsid w:val="00662462"/>
    <w:rsid w:val="00663ADF"/>
    <w:rsid w:val="00666AB2"/>
    <w:rsid w:val="00666C84"/>
    <w:rsid w:val="00673347"/>
    <w:rsid w:val="00674B00"/>
    <w:rsid w:val="0067564E"/>
    <w:rsid w:val="00680757"/>
    <w:rsid w:val="00685D01"/>
    <w:rsid w:val="00692066"/>
    <w:rsid w:val="00693759"/>
    <w:rsid w:val="00697DE1"/>
    <w:rsid w:val="006A1D2B"/>
    <w:rsid w:val="006A20F4"/>
    <w:rsid w:val="006B2455"/>
    <w:rsid w:val="006B3AAB"/>
    <w:rsid w:val="006B3FC5"/>
    <w:rsid w:val="006C2616"/>
    <w:rsid w:val="006C4128"/>
    <w:rsid w:val="006C4410"/>
    <w:rsid w:val="006C5742"/>
    <w:rsid w:val="006C5EF9"/>
    <w:rsid w:val="006D018E"/>
    <w:rsid w:val="006D3078"/>
    <w:rsid w:val="006D4034"/>
    <w:rsid w:val="006E0C75"/>
    <w:rsid w:val="006E2530"/>
    <w:rsid w:val="006E548F"/>
    <w:rsid w:val="006F0BD8"/>
    <w:rsid w:val="006F56EE"/>
    <w:rsid w:val="006F73F0"/>
    <w:rsid w:val="007012DC"/>
    <w:rsid w:val="00702998"/>
    <w:rsid w:val="0070639F"/>
    <w:rsid w:val="0071055A"/>
    <w:rsid w:val="00710CF5"/>
    <w:rsid w:val="007123AF"/>
    <w:rsid w:val="0071414A"/>
    <w:rsid w:val="00714DEA"/>
    <w:rsid w:val="0071514F"/>
    <w:rsid w:val="00715E0E"/>
    <w:rsid w:val="00716F1E"/>
    <w:rsid w:val="00717FF0"/>
    <w:rsid w:val="00727685"/>
    <w:rsid w:val="00727AF5"/>
    <w:rsid w:val="007308CB"/>
    <w:rsid w:val="00730AF8"/>
    <w:rsid w:val="00733292"/>
    <w:rsid w:val="00735D7F"/>
    <w:rsid w:val="007375F7"/>
    <w:rsid w:val="00740322"/>
    <w:rsid w:val="00740916"/>
    <w:rsid w:val="00741FE4"/>
    <w:rsid w:val="007431FF"/>
    <w:rsid w:val="007432C5"/>
    <w:rsid w:val="00743687"/>
    <w:rsid w:val="00743BD0"/>
    <w:rsid w:val="00755893"/>
    <w:rsid w:val="007559DD"/>
    <w:rsid w:val="00756499"/>
    <w:rsid w:val="00756F9E"/>
    <w:rsid w:val="00762A08"/>
    <w:rsid w:val="007650D7"/>
    <w:rsid w:val="00772ADE"/>
    <w:rsid w:val="00772D40"/>
    <w:rsid w:val="007779BF"/>
    <w:rsid w:val="0078300B"/>
    <w:rsid w:val="007833A9"/>
    <w:rsid w:val="00783CB1"/>
    <w:rsid w:val="007851E9"/>
    <w:rsid w:val="00785990"/>
    <w:rsid w:val="007910D2"/>
    <w:rsid w:val="00794754"/>
    <w:rsid w:val="00794862"/>
    <w:rsid w:val="00795124"/>
    <w:rsid w:val="00797B7F"/>
    <w:rsid w:val="007A3064"/>
    <w:rsid w:val="007A63FB"/>
    <w:rsid w:val="007B3F78"/>
    <w:rsid w:val="007B561A"/>
    <w:rsid w:val="007B7538"/>
    <w:rsid w:val="007C5863"/>
    <w:rsid w:val="007C7959"/>
    <w:rsid w:val="007C7FAE"/>
    <w:rsid w:val="007D1A1E"/>
    <w:rsid w:val="007D243B"/>
    <w:rsid w:val="007D3505"/>
    <w:rsid w:val="007D5E42"/>
    <w:rsid w:val="007D6C13"/>
    <w:rsid w:val="007E231D"/>
    <w:rsid w:val="007E3AA5"/>
    <w:rsid w:val="007E3E40"/>
    <w:rsid w:val="007E4DB3"/>
    <w:rsid w:val="007F2789"/>
    <w:rsid w:val="007F75DF"/>
    <w:rsid w:val="008002E8"/>
    <w:rsid w:val="008006D5"/>
    <w:rsid w:val="008149B7"/>
    <w:rsid w:val="00814F49"/>
    <w:rsid w:val="00825250"/>
    <w:rsid w:val="00825835"/>
    <w:rsid w:val="008322B6"/>
    <w:rsid w:val="008349F1"/>
    <w:rsid w:val="00835341"/>
    <w:rsid w:val="00836024"/>
    <w:rsid w:val="00836392"/>
    <w:rsid w:val="00840B28"/>
    <w:rsid w:val="0084141A"/>
    <w:rsid w:val="008416EA"/>
    <w:rsid w:val="00842A60"/>
    <w:rsid w:val="00844132"/>
    <w:rsid w:val="00847850"/>
    <w:rsid w:val="008529F0"/>
    <w:rsid w:val="008546A9"/>
    <w:rsid w:val="00854857"/>
    <w:rsid w:val="00856EB5"/>
    <w:rsid w:val="00863597"/>
    <w:rsid w:val="008645E6"/>
    <w:rsid w:val="0086648B"/>
    <w:rsid w:val="008673F2"/>
    <w:rsid w:val="00870016"/>
    <w:rsid w:val="00871F0E"/>
    <w:rsid w:val="008731F9"/>
    <w:rsid w:val="00873699"/>
    <w:rsid w:val="00873E3C"/>
    <w:rsid w:val="008750E2"/>
    <w:rsid w:val="00876486"/>
    <w:rsid w:val="0087709F"/>
    <w:rsid w:val="00877367"/>
    <w:rsid w:val="008823B5"/>
    <w:rsid w:val="008839BA"/>
    <w:rsid w:val="00886003"/>
    <w:rsid w:val="008866E8"/>
    <w:rsid w:val="0088671C"/>
    <w:rsid w:val="00886C7C"/>
    <w:rsid w:val="0089000A"/>
    <w:rsid w:val="0089636C"/>
    <w:rsid w:val="008A478A"/>
    <w:rsid w:val="008A4808"/>
    <w:rsid w:val="008A4F7B"/>
    <w:rsid w:val="008A6DFE"/>
    <w:rsid w:val="008B0EFE"/>
    <w:rsid w:val="008B183C"/>
    <w:rsid w:val="008B1E93"/>
    <w:rsid w:val="008B5981"/>
    <w:rsid w:val="008B6C52"/>
    <w:rsid w:val="008B7AAD"/>
    <w:rsid w:val="008C0390"/>
    <w:rsid w:val="008C1E5E"/>
    <w:rsid w:val="008C3068"/>
    <w:rsid w:val="008C3073"/>
    <w:rsid w:val="008C43C2"/>
    <w:rsid w:val="008C48D9"/>
    <w:rsid w:val="008C719A"/>
    <w:rsid w:val="008D5B3D"/>
    <w:rsid w:val="008D6903"/>
    <w:rsid w:val="008D6E96"/>
    <w:rsid w:val="008E12B1"/>
    <w:rsid w:val="008E2235"/>
    <w:rsid w:val="008E2B63"/>
    <w:rsid w:val="008E3423"/>
    <w:rsid w:val="008E3E51"/>
    <w:rsid w:val="008E63C4"/>
    <w:rsid w:val="008F161E"/>
    <w:rsid w:val="008F1DAB"/>
    <w:rsid w:val="008F3C01"/>
    <w:rsid w:val="008F7988"/>
    <w:rsid w:val="009007F1"/>
    <w:rsid w:val="0090207B"/>
    <w:rsid w:val="009078CC"/>
    <w:rsid w:val="00911F7B"/>
    <w:rsid w:val="00913281"/>
    <w:rsid w:val="0091370B"/>
    <w:rsid w:val="00913EA5"/>
    <w:rsid w:val="009146C1"/>
    <w:rsid w:val="00915D96"/>
    <w:rsid w:val="00920B18"/>
    <w:rsid w:val="00925600"/>
    <w:rsid w:val="00927849"/>
    <w:rsid w:val="00930919"/>
    <w:rsid w:val="00933BB6"/>
    <w:rsid w:val="00934A09"/>
    <w:rsid w:val="00936349"/>
    <w:rsid w:val="00943CEA"/>
    <w:rsid w:val="00944DB7"/>
    <w:rsid w:val="00945A5E"/>
    <w:rsid w:val="00950D3E"/>
    <w:rsid w:val="009524AF"/>
    <w:rsid w:val="009612A7"/>
    <w:rsid w:val="00962E4F"/>
    <w:rsid w:val="00963ADB"/>
    <w:rsid w:val="00967444"/>
    <w:rsid w:val="00976374"/>
    <w:rsid w:val="00982069"/>
    <w:rsid w:val="00983A1F"/>
    <w:rsid w:val="00987485"/>
    <w:rsid w:val="0099167B"/>
    <w:rsid w:val="00992F4A"/>
    <w:rsid w:val="009A0CC8"/>
    <w:rsid w:val="009A207B"/>
    <w:rsid w:val="009A2D45"/>
    <w:rsid w:val="009A30A8"/>
    <w:rsid w:val="009A4F79"/>
    <w:rsid w:val="009A5A0D"/>
    <w:rsid w:val="009A679E"/>
    <w:rsid w:val="009A6D1B"/>
    <w:rsid w:val="009A7198"/>
    <w:rsid w:val="009B0995"/>
    <w:rsid w:val="009B0DF5"/>
    <w:rsid w:val="009B303B"/>
    <w:rsid w:val="009B3BDA"/>
    <w:rsid w:val="009B413D"/>
    <w:rsid w:val="009B76D8"/>
    <w:rsid w:val="009B7727"/>
    <w:rsid w:val="009B785F"/>
    <w:rsid w:val="009C0398"/>
    <w:rsid w:val="009C5BD0"/>
    <w:rsid w:val="009C6123"/>
    <w:rsid w:val="009D0365"/>
    <w:rsid w:val="009D6B2A"/>
    <w:rsid w:val="009D7BDF"/>
    <w:rsid w:val="009E1363"/>
    <w:rsid w:val="009E1BC9"/>
    <w:rsid w:val="009E1C06"/>
    <w:rsid w:val="009E28DB"/>
    <w:rsid w:val="009E2D2F"/>
    <w:rsid w:val="009F359C"/>
    <w:rsid w:val="009F3F7B"/>
    <w:rsid w:val="009F586C"/>
    <w:rsid w:val="00A00C88"/>
    <w:rsid w:val="00A046F7"/>
    <w:rsid w:val="00A04880"/>
    <w:rsid w:val="00A07159"/>
    <w:rsid w:val="00A13079"/>
    <w:rsid w:val="00A13F63"/>
    <w:rsid w:val="00A1562A"/>
    <w:rsid w:val="00A21D2D"/>
    <w:rsid w:val="00A223AA"/>
    <w:rsid w:val="00A24F06"/>
    <w:rsid w:val="00A266F5"/>
    <w:rsid w:val="00A26808"/>
    <w:rsid w:val="00A30ABA"/>
    <w:rsid w:val="00A314B9"/>
    <w:rsid w:val="00A33B55"/>
    <w:rsid w:val="00A3746D"/>
    <w:rsid w:val="00A41885"/>
    <w:rsid w:val="00A41B45"/>
    <w:rsid w:val="00A4542B"/>
    <w:rsid w:val="00A507E8"/>
    <w:rsid w:val="00A52515"/>
    <w:rsid w:val="00A533B7"/>
    <w:rsid w:val="00A54B37"/>
    <w:rsid w:val="00A551BF"/>
    <w:rsid w:val="00A56FB9"/>
    <w:rsid w:val="00A609DD"/>
    <w:rsid w:val="00A60B57"/>
    <w:rsid w:val="00A61815"/>
    <w:rsid w:val="00A644DE"/>
    <w:rsid w:val="00A6740F"/>
    <w:rsid w:val="00A674BC"/>
    <w:rsid w:val="00A70710"/>
    <w:rsid w:val="00A73978"/>
    <w:rsid w:val="00A76B55"/>
    <w:rsid w:val="00A8119D"/>
    <w:rsid w:val="00A825FA"/>
    <w:rsid w:val="00A92089"/>
    <w:rsid w:val="00A957B3"/>
    <w:rsid w:val="00A95A88"/>
    <w:rsid w:val="00AA1B63"/>
    <w:rsid w:val="00AA3188"/>
    <w:rsid w:val="00AA420D"/>
    <w:rsid w:val="00AA452B"/>
    <w:rsid w:val="00AB15F3"/>
    <w:rsid w:val="00AB28CF"/>
    <w:rsid w:val="00AB2C8C"/>
    <w:rsid w:val="00AB444A"/>
    <w:rsid w:val="00AC405E"/>
    <w:rsid w:val="00AC6C4B"/>
    <w:rsid w:val="00AD161A"/>
    <w:rsid w:val="00AE29C3"/>
    <w:rsid w:val="00AE732F"/>
    <w:rsid w:val="00AF074C"/>
    <w:rsid w:val="00AF65CC"/>
    <w:rsid w:val="00AF716F"/>
    <w:rsid w:val="00B00931"/>
    <w:rsid w:val="00B02FE8"/>
    <w:rsid w:val="00B03AF0"/>
    <w:rsid w:val="00B0463C"/>
    <w:rsid w:val="00B05373"/>
    <w:rsid w:val="00B0676B"/>
    <w:rsid w:val="00B067E6"/>
    <w:rsid w:val="00B10845"/>
    <w:rsid w:val="00B11A88"/>
    <w:rsid w:val="00B12260"/>
    <w:rsid w:val="00B13F00"/>
    <w:rsid w:val="00B156E1"/>
    <w:rsid w:val="00B17728"/>
    <w:rsid w:val="00B223A3"/>
    <w:rsid w:val="00B25433"/>
    <w:rsid w:val="00B2626C"/>
    <w:rsid w:val="00B3095A"/>
    <w:rsid w:val="00B3437D"/>
    <w:rsid w:val="00B3728B"/>
    <w:rsid w:val="00B404CB"/>
    <w:rsid w:val="00B408B6"/>
    <w:rsid w:val="00B41A32"/>
    <w:rsid w:val="00B4259A"/>
    <w:rsid w:val="00B42A8F"/>
    <w:rsid w:val="00B44879"/>
    <w:rsid w:val="00B46C6E"/>
    <w:rsid w:val="00B51C8B"/>
    <w:rsid w:val="00B52DE4"/>
    <w:rsid w:val="00B531ED"/>
    <w:rsid w:val="00B53574"/>
    <w:rsid w:val="00B57F6B"/>
    <w:rsid w:val="00B60027"/>
    <w:rsid w:val="00B63AE9"/>
    <w:rsid w:val="00B670FF"/>
    <w:rsid w:val="00B71011"/>
    <w:rsid w:val="00B7682C"/>
    <w:rsid w:val="00B76BE0"/>
    <w:rsid w:val="00B80913"/>
    <w:rsid w:val="00B825B6"/>
    <w:rsid w:val="00B91A8D"/>
    <w:rsid w:val="00BA1743"/>
    <w:rsid w:val="00BA20A1"/>
    <w:rsid w:val="00BA34AD"/>
    <w:rsid w:val="00BA4B2A"/>
    <w:rsid w:val="00BA6793"/>
    <w:rsid w:val="00BB69FF"/>
    <w:rsid w:val="00BB76FC"/>
    <w:rsid w:val="00BC0DBA"/>
    <w:rsid w:val="00BC2C88"/>
    <w:rsid w:val="00BC5839"/>
    <w:rsid w:val="00BC5AD0"/>
    <w:rsid w:val="00BD32ED"/>
    <w:rsid w:val="00BD4C46"/>
    <w:rsid w:val="00BD545A"/>
    <w:rsid w:val="00BE1088"/>
    <w:rsid w:val="00BE3257"/>
    <w:rsid w:val="00BE4127"/>
    <w:rsid w:val="00BE7187"/>
    <w:rsid w:val="00BF1C2D"/>
    <w:rsid w:val="00BF2735"/>
    <w:rsid w:val="00BF2895"/>
    <w:rsid w:val="00BF35BE"/>
    <w:rsid w:val="00BF738E"/>
    <w:rsid w:val="00C00389"/>
    <w:rsid w:val="00C0247D"/>
    <w:rsid w:val="00C0402F"/>
    <w:rsid w:val="00C1357C"/>
    <w:rsid w:val="00C14CE5"/>
    <w:rsid w:val="00C15A20"/>
    <w:rsid w:val="00C17E3F"/>
    <w:rsid w:val="00C23D0E"/>
    <w:rsid w:val="00C24D41"/>
    <w:rsid w:val="00C329A2"/>
    <w:rsid w:val="00C35EC8"/>
    <w:rsid w:val="00C3790C"/>
    <w:rsid w:val="00C4065A"/>
    <w:rsid w:val="00C412B4"/>
    <w:rsid w:val="00C42FF3"/>
    <w:rsid w:val="00C447FD"/>
    <w:rsid w:val="00C44BA2"/>
    <w:rsid w:val="00C45BAE"/>
    <w:rsid w:val="00C464FB"/>
    <w:rsid w:val="00C479EC"/>
    <w:rsid w:val="00C5024F"/>
    <w:rsid w:val="00C51630"/>
    <w:rsid w:val="00C52F4B"/>
    <w:rsid w:val="00C53754"/>
    <w:rsid w:val="00C5407E"/>
    <w:rsid w:val="00C56463"/>
    <w:rsid w:val="00C6035E"/>
    <w:rsid w:val="00C639B5"/>
    <w:rsid w:val="00C651A6"/>
    <w:rsid w:val="00C70060"/>
    <w:rsid w:val="00C71951"/>
    <w:rsid w:val="00C72C99"/>
    <w:rsid w:val="00C74B8D"/>
    <w:rsid w:val="00C822F8"/>
    <w:rsid w:val="00C8251B"/>
    <w:rsid w:val="00C83482"/>
    <w:rsid w:val="00C83A6F"/>
    <w:rsid w:val="00C8598F"/>
    <w:rsid w:val="00C87934"/>
    <w:rsid w:val="00C92D6F"/>
    <w:rsid w:val="00C93DEA"/>
    <w:rsid w:val="00C97351"/>
    <w:rsid w:val="00C97D8E"/>
    <w:rsid w:val="00CA2A23"/>
    <w:rsid w:val="00CA73B9"/>
    <w:rsid w:val="00CA752C"/>
    <w:rsid w:val="00CB0094"/>
    <w:rsid w:val="00CB009F"/>
    <w:rsid w:val="00CB163C"/>
    <w:rsid w:val="00CB19CE"/>
    <w:rsid w:val="00CB221F"/>
    <w:rsid w:val="00CC2BC3"/>
    <w:rsid w:val="00CC3524"/>
    <w:rsid w:val="00CD1D43"/>
    <w:rsid w:val="00CD2D94"/>
    <w:rsid w:val="00CD3C04"/>
    <w:rsid w:val="00CD3C3C"/>
    <w:rsid w:val="00CD3EE0"/>
    <w:rsid w:val="00CD749D"/>
    <w:rsid w:val="00CE662A"/>
    <w:rsid w:val="00CF73A6"/>
    <w:rsid w:val="00CF776B"/>
    <w:rsid w:val="00D05575"/>
    <w:rsid w:val="00D10521"/>
    <w:rsid w:val="00D118BD"/>
    <w:rsid w:val="00D13C76"/>
    <w:rsid w:val="00D15738"/>
    <w:rsid w:val="00D2157E"/>
    <w:rsid w:val="00D21844"/>
    <w:rsid w:val="00D2263D"/>
    <w:rsid w:val="00D22AE7"/>
    <w:rsid w:val="00D2550B"/>
    <w:rsid w:val="00D271FF"/>
    <w:rsid w:val="00D32B0F"/>
    <w:rsid w:val="00D3367E"/>
    <w:rsid w:val="00D33956"/>
    <w:rsid w:val="00D34F1B"/>
    <w:rsid w:val="00D41229"/>
    <w:rsid w:val="00D4355E"/>
    <w:rsid w:val="00D4367A"/>
    <w:rsid w:val="00D57D13"/>
    <w:rsid w:val="00D60718"/>
    <w:rsid w:val="00D6243F"/>
    <w:rsid w:val="00D6403A"/>
    <w:rsid w:val="00D67C33"/>
    <w:rsid w:val="00D7387B"/>
    <w:rsid w:val="00D774C6"/>
    <w:rsid w:val="00D80163"/>
    <w:rsid w:val="00D82D4D"/>
    <w:rsid w:val="00D84CCB"/>
    <w:rsid w:val="00D84E18"/>
    <w:rsid w:val="00D912DD"/>
    <w:rsid w:val="00D92905"/>
    <w:rsid w:val="00D9346F"/>
    <w:rsid w:val="00D95125"/>
    <w:rsid w:val="00D953D7"/>
    <w:rsid w:val="00D96CEF"/>
    <w:rsid w:val="00DA2426"/>
    <w:rsid w:val="00DA4836"/>
    <w:rsid w:val="00DB2470"/>
    <w:rsid w:val="00DB2513"/>
    <w:rsid w:val="00DB41A0"/>
    <w:rsid w:val="00DB56F4"/>
    <w:rsid w:val="00DB7EEA"/>
    <w:rsid w:val="00DC30E4"/>
    <w:rsid w:val="00DC4392"/>
    <w:rsid w:val="00DC7FB4"/>
    <w:rsid w:val="00DD1CD9"/>
    <w:rsid w:val="00DD1DF9"/>
    <w:rsid w:val="00DE0ED1"/>
    <w:rsid w:val="00DE1BD9"/>
    <w:rsid w:val="00DE3078"/>
    <w:rsid w:val="00DE5043"/>
    <w:rsid w:val="00DE513E"/>
    <w:rsid w:val="00DE56B2"/>
    <w:rsid w:val="00DE64AB"/>
    <w:rsid w:val="00DF05EC"/>
    <w:rsid w:val="00DF44BE"/>
    <w:rsid w:val="00DF64FD"/>
    <w:rsid w:val="00E03AC8"/>
    <w:rsid w:val="00E05AF6"/>
    <w:rsid w:val="00E070B0"/>
    <w:rsid w:val="00E10958"/>
    <w:rsid w:val="00E127AC"/>
    <w:rsid w:val="00E14318"/>
    <w:rsid w:val="00E20A28"/>
    <w:rsid w:val="00E24EF9"/>
    <w:rsid w:val="00E24FB9"/>
    <w:rsid w:val="00E259F6"/>
    <w:rsid w:val="00E26CD1"/>
    <w:rsid w:val="00E26F82"/>
    <w:rsid w:val="00E44149"/>
    <w:rsid w:val="00E4429B"/>
    <w:rsid w:val="00E44D80"/>
    <w:rsid w:val="00E44ECA"/>
    <w:rsid w:val="00E459C3"/>
    <w:rsid w:val="00E53A61"/>
    <w:rsid w:val="00E57384"/>
    <w:rsid w:val="00E5755C"/>
    <w:rsid w:val="00E64031"/>
    <w:rsid w:val="00E6578A"/>
    <w:rsid w:val="00E700E2"/>
    <w:rsid w:val="00E7293B"/>
    <w:rsid w:val="00E73796"/>
    <w:rsid w:val="00E74109"/>
    <w:rsid w:val="00E750F1"/>
    <w:rsid w:val="00E814E3"/>
    <w:rsid w:val="00E83207"/>
    <w:rsid w:val="00E83542"/>
    <w:rsid w:val="00E8476C"/>
    <w:rsid w:val="00E865D6"/>
    <w:rsid w:val="00E92B2F"/>
    <w:rsid w:val="00E92C4A"/>
    <w:rsid w:val="00E9548F"/>
    <w:rsid w:val="00E95770"/>
    <w:rsid w:val="00E9678F"/>
    <w:rsid w:val="00E97913"/>
    <w:rsid w:val="00EA0DE3"/>
    <w:rsid w:val="00EA0E4D"/>
    <w:rsid w:val="00EA592D"/>
    <w:rsid w:val="00EA6FBA"/>
    <w:rsid w:val="00EB1E0E"/>
    <w:rsid w:val="00EB5E0C"/>
    <w:rsid w:val="00EB77D8"/>
    <w:rsid w:val="00EB7CEA"/>
    <w:rsid w:val="00EB7DD6"/>
    <w:rsid w:val="00EC100A"/>
    <w:rsid w:val="00EC3CF3"/>
    <w:rsid w:val="00EC6874"/>
    <w:rsid w:val="00ED1C66"/>
    <w:rsid w:val="00ED4796"/>
    <w:rsid w:val="00EE2FF5"/>
    <w:rsid w:val="00EE3E28"/>
    <w:rsid w:val="00EE4BF8"/>
    <w:rsid w:val="00EE739D"/>
    <w:rsid w:val="00EF0ACC"/>
    <w:rsid w:val="00EF15F7"/>
    <w:rsid w:val="00EF1EE8"/>
    <w:rsid w:val="00EF63BE"/>
    <w:rsid w:val="00EF69B2"/>
    <w:rsid w:val="00F02711"/>
    <w:rsid w:val="00F02993"/>
    <w:rsid w:val="00F04CAB"/>
    <w:rsid w:val="00F06E08"/>
    <w:rsid w:val="00F078A5"/>
    <w:rsid w:val="00F10F95"/>
    <w:rsid w:val="00F10FB4"/>
    <w:rsid w:val="00F11A57"/>
    <w:rsid w:val="00F12030"/>
    <w:rsid w:val="00F12D57"/>
    <w:rsid w:val="00F1445F"/>
    <w:rsid w:val="00F14628"/>
    <w:rsid w:val="00F172D2"/>
    <w:rsid w:val="00F21261"/>
    <w:rsid w:val="00F23277"/>
    <w:rsid w:val="00F242C4"/>
    <w:rsid w:val="00F275A9"/>
    <w:rsid w:val="00F30CDB"/>
    <w:rsid w:val="00F336D9"/>
    <w:rsid w:val="00F35FA9"/>
    <w:rsid w:val="00F41F12"/>
    <w:rsid w:val="00F43694"/>
    <w:rsid w:val="00F4678A"/>
    <w:rsid w:val="00F511C0"/>
    <w:rsid w:val="00F5183F"/>
    <w:rsid w:val="00F51A99"/>
    <w:rsid w:val="00F51E9F"/>
    <w:rsid w:val="00F60CED"/>
    <w:rsid w:val="00F62598"/>
    <w:rsid w:val="00F631A1"/>
    <w:rsid w:val="00F667F3"/>
    <w:rsid w:val="00F677C5"/>
    <w:rsid w:val="00F719EC"/>
    <w:rsid w:val="00F7591B"/>
    <w:rsid w:val="00F76ECD"/>
    <w:rsid w:val="00F77B03"/>
    <w:rsid w:val="00F83A7B"/>
    <w:rsid w:val="00F86BD5"/>
    <w:rsid w:val="00F92D2D"/>
    <w:rsid w:val="00F9606B"/>
    <w:rsid w:val="00F96711"/>
    <w:rsid w:val="00F9697A"/>
    <w:rsid w:val="00F9732E"/>
    <w:rsid w:val="00FB153A"/>
    <w:rsid w:val="00FB1906"/>
    <w:rsid w:val="00FC61A0"/>
    <w:rsid w:val="00FD04E7"/>
    <w:rsid w:val="00FD119D"/>
    <w:rsid w:val="00FD6632"/>
    <w:rsid w:val="00FE213F"/>
    <w:rsid w:val="00FE262A"/>
    <w:rsid w:val="00FE36CF"/>
    <w:rsid w:val="00FE3A0D"/>
    <w:rsid w:val="00FE7B79"/>
    <w:rsid w:val="00FF064B"/>
    <w:rsid w:val="00FF3AA5"/>
    <w:rsid w:val="00FF4830"/>
    <w:rsid w:val="00FF50D4"/>
    <w:rsid w:val="00FF68DB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uiPriority w:val="99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aliases w:val="ACMA 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NoteBody">
    <w:name w:val="Note Body"/>
    <w:basedOn w:val="Normal"/>
    <w:rsid w:val="00534417"/>
    <w:pPr>
      <w:spacing w:before="240" w:line="260" w:lineRule="atLeast"/>
      <w:jc w:val="both"/>
    </w:pPr>
    <w:rPr>
      <w:color w:val="000000"/>
      <w:sz w:val="20"/>
      <w:szCs w:val="20"/>
      <w:lang w:val="en-US"/>
    </w:rPr>
  </w:style>
  <w:style w:type="paragraph" w:customStyle="1" w:styleId="DefaultParagraphFont1">
    <w:name w:val="Default Paragraph Font1"/>
    <w:aliases w:val="Char Char1 Char"/>
    <w:basedOn w:val="Normal"/>
    <w:rsid w:val="001C447C"/>
    <w:pPr>
      <w:spacing w:before="120" w:after="120"/>
    </w:pPr>
    <w:rPr>
      <w:rFonts w:ascii="Arial" w:hAnsi="Arial"/>
      <w:sz w:val="22"/>
      <w:szCs w:val="20"/>
      <w:lang w:eastAsia="en-US"/>
    </w:rPr>
  </w:style>
  <w:style w:type="paragraph" w:customStyle="1" w:styleId="ACMABodyText">
    <w:name w:val="ACMA Body Text"/>
    <w:rsid w:val="003C1ACE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customStyle="1" w:styleId="Subsection">
    <w:name w:val="Subsection"/>
    <w:aliases w:val="ss"/>
    <w:basedOn w:val="Normal"/>
    <w:rsid w:val="00650F04"/>
    <w:pPr>
      <w:tabs>
        <w:tab w:val="right" w:pos="1021"/>
      </w:tabs>
      <w:spacing w:before="180" w:line="260" w:lineRule="atLeast"/>
      <w:ind w:left="1134" w:hanging="1134"/>
    </w:pPr>
    <w:rPr>
      <w:rFonts w:ascii="Times" w:hAnsi="Times"/>
      <w:sz w:val="22"/>
      <w:szCs w:val="20"/>
    </w:rPr>
  </w:style>
  <w:style w:type="paragraph" w:customStyle="1" w:styleId="indenta">
    <w:name w:val="indent(a)"/>
    <w:aliases w:val="a"/>
    <w:basedOn w:val="Normal"/>
    <w:rsid w:val="00650F04"/>
    <w:pPr>
      <w:tabs>
        <w:tab w:val="right" w:pos="1531"/>
      </w:tabs>
      <w:spacing w:before="40" w:line="260" w:lineRule="atLeast"/>
      <w:ind w:left="1644" w:hanging="1644"/>
    </w:pPr>
    <w:rPr>
      <w:rFonts w:ascii="Times" w:hAnsi="Times"/>
      <w:sz w:val="22"/>
      <w:szCs w:val="20"/>
    </w:rPr>
  </w:style>
  <w:style w:type="paragraph" w:customStyle="1" w:styleId="Definition0">
    <w:name w:val="Definition"/>
    <w:aliases w:val="dd"/>
    <w:basedOn w:val="Subsection"/>
    <w:rsid w:val="00650F04"/>
    <w:pPr>
      <w:tabs>
        <w:tab w:val="clear" w:pos="1021"/>
      </w:tabs>
      <w:ind w:firstLine="0"/>
    </w:pPr>
  </w:style>
  <w:style w:type="paragraph" w:customStyle="1" w:styleId="Jeanpara">
    <w:name w:val="Jean para"/>
    <w:basedOn w:val="Normal"/>
    <w:rsid w:val="00650F04"/>
    <w:pPr>
      <w:ind w:left="1020" w:hanging="340"/>
    </w:pPr>
    <w:rPr>
      <w:szCs w:val="20"/>
    </w:rPr>
  </w:style>
  <w:style w:type="paragraph" w:customStyle="1" w:styleId="Char">
    <w:name w:val="Char"/>
    <w:basedOn w:val="Normal"/>
    <w:rsid w:val="00F10FB4"/>
    <w:pPr>
      <w:keepLines/>
    </w:pPr>
  </w:style>
  <w:style w:type="paragraph" w:styleId="Revision">
    <w:name w:val="Revision"/>
    <w:hidden/>
    <w:uiPriority w:val="99"/>
    <w:semiHidden/>
    <w:rsid w:val="00E640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485C"/>
    <w:pPr>
      <w:ind w:left="720"/>
    </w:pPr>
  </w:style>
  <w:style w:type="character" w:customStyle="1" w:styleId="CommentTextChar">
    <w:name w:val="Comment Text Char"/>
    <w:basedOn w:val="DefaultParagraphFont"/>
    <w:link w:val="CommentText"/>
    <w:rsid w:val="00300747"/>
  </w:style>
  <w:style w:type="paragraph" w:customStyle="1" w:styleId="JingLI2">
    <w:name w:val="Jing LI 2"/>
    <w:basedOn w:val="List2"/>
    <w:link w:val="JingLI2Char"/>
    <w:qFormat/>
    <w:rsid w:val="00B41A32"/>
    <w:pPr>
      <w:numPr>
        <w:ilvl w:val="1"/>
      </w:numPr>
      <w:tabs>
        <w:tab w:val="num" w:pos="1474"/>
      </w:tabs>
      <w:spacing w:before="120" w:line="276" w:lineRule="auto"/>
      <w:ind w:left="1474" w:hanging="737"/>
      <w:contextualSpacing/>
    </w:pPr>
    <w:rPr>
      <w:rFonts w:eastAsiaTheme="minorEastAsia"/>
    </w:rPr>
  </w:style>
  <w:style w:type="character" w:customStyle="1" w:styleId="JingLI2Char">
    <w:name w:val="Jing LI 2 Char"/>
    <w:basedOn w:val="DefaultParagraphFont"/>
    <w:link w:val="JingLI2"/>
    <w:rsid w:val="00B41A32"/>
    <w:rPr>
      <w:rFonts w:eastAsiaTheme="minorEastAsia"/>
      <w:sz w:val="24"/>
      <w:szCs w:val="24"/>
    </w:rPr>
  </w:style>
  <w:style w:type="paragraph" w:customStyle="1" w:styleId="JingLIbodyindent">
    <w:name w:val="Jing LI body indent"/>
    <w:basedOn w:val="Normal"/>
    <w:qFormat/>
    <w:rsid w:val="00B41A32"/>
    <w:pPr>
      <w:spacing w:before="120" w:line="276" w:lineRule="auto"/>
      <w:ind w:left="1985" w:hanging="545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yperlink" Target="http://www.itu.in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rli.gov.au" TargetMode="Externa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B618-83CD-4EFF-9268-B434A590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Advisory Guidelines (Managing Interference from Transmitters - 2.5 GHz Mid-Band Gap) 2012</vt:lpstr>
    </vt:vector>
  </TitlesOfParts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Advisory Guidelines (Managing Interference from Transmitters - 2.5 GHz Mid-Band Gap) 2012</dc:title>
  <dc:creator/>
  <cp:lastModifiedBy/>
  <cp:revision>1</cp:revision>
  <cp:lastPrinted>2009-01-19T00:14:00Z</cp:lastPrinted>
  <dcterms:created xsi:type="dcterms:W3CDTF">2012-12-10T02:33:00Z</dcterms:created>
  <dcterms:modified xsi:type="dcterms:W3CDTF">2012-12-14T03:21:00Z</dcterms:modified>
</cp:coreProperties>
</file>