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75" w:rsidRPr="001D6BBA" w:rsidRDefault="00FB7975" w:rsidP="00902779">
      <w:pPr>
        <w:pStyle w:val="ACMAHeading2"/>
        <w:jc w:val="center"/>
        <w:rPr>
          <w:sz w:val="20"/>
          <w:szCs w:val="20"/>
          <w:u w:val="single"/>
        </w:rPr>
      </w:pPr>
      <w:r w:rsidRPr="001D6BBA">
        <w:rPr>
          <w:sz w:val="20"/>
          <w:szCs w:val="20"/>
          <w:u w:val="single"/>
        </w:rPr>
        <w:t>EXPLANATORY STATEMENT</w:t>
      </w:r>
    </w:p>
    <w:p w:rsidR="00FB7975" w:rsidRPr="001D6BBA" w:rsidRDefault="00FB7975" w:rsidP="00902779">
      <w:pPr>
        <w:pStyle w:val="ACMAHeading3"/>
        <w:jc w:val="center"/>
        <w:rPr>
          <w:sz w:val="20"/>
        </w:rPr>
      </w:pPr>
      <w:r w:rsidRPr="001D6BBA">
        <w:rPr>
          <w:sz w:val="20"/>
        </w:rPr>
        <w:t>Issued by the Australian Communications and Media Authority</w:t>
      </w:r>
    </w:p>
    <w:p w:rsidR="00FB7975" w:rsidRPr="001D6BBA" w:rsidRDefault="00FB7975" w:rsidP="00902779">
      <w:pPr>
        <w:pStyle w:val="ACMAHeading3"/>
        <w:jc w:val="center"/>
        <w:rPr>
          <w:i/>
          <w:sz w:val="20"/>
        </w:rPr>
      </w:pPr>
      <w:r w:rsidRPr="001D6BBA">
        <w:rPr>
          <w:i/>
          <w:sz w:val="20"/>
        </w:rPr>
        <w:t>Radiocommunications Advisory Guidelines (Managing Interference from Transmitters – 2.</w:t>
      </w:r>
      <w:r>
        <w:rPr>
          <w:i/>
          <w:sz w:val="20"/>
        </w:rPr>
        <w:t>5</w:t>
      </w:r>
      <w:r w:rsidRPr="001D6BBA">
        <w:rPr>
          <w:i/>
          <w:sz w:val="20"/>
        </w:rPr>
        <w:t xml:space="preserve"> GHz </w:t>
      </w:r>
      <w:r w:rsidR="007F272B">
        <w:rPr>
          <w:i/>
          <w:sz w:val="20"/>
        </w:rPr>
        <w:t>Mid-b</w:t>
      </w:r>
      <w:r w:rsidRPr="001D6BBA">
        <w:rPr>
          <w:i/>
          <w:sz w:val="20"/>
        </w:rPr>
        <w:t>and</w:t>
      </w:r>
      <w:r w:rsidR="007F272B">
        <w:rPr>
          <w:i/>
          <w:sz w:val="20"/>
        </w:rPr>
        <w:t xml:space="preserve"> Gap</w:t>
      </w:r>
      <w:r w:rsidRPr="001D6BBA">
        <w:rPr>
          <w:i/>
          <w:sz w:val="20"/>
        </w:rPr>
        <w:t>) 20</w:t>
      </w:r>
      <w:r>
        <w:rPr>
          <w:i/>
          <w:sz w:val="20"/>
        </w:rPr>
        <w:t>12</w:t>
      </w:r>
    </w:p>
    <w:p w:rsidR="00FB7975" w:rsidRDefault="00FB7975" w:rsidP="00902779">
      <w:pPr>
        <w:pStyle w:val="ACMAHeading3"/>
        <w:jc w:val="center"/>
        <w:rPr>
          <w:i/>
          <w:sz w:val="20"/>
        </w:rPr>
      </w:pPr>
      <w:r w:rsidRPr="001D6BBA">
        <w:rPr>
          <w:i/>
          <w:sz w:val="20"/>
        </w:rPr>
        <w:t>Radiocommunications Act 1992</w:t>
      </w:r>
    </w:p>
    <w:p w:rsidR="00FB7975" w:rsidRPr="00422AA3" w:rsidRDefault="00FB7975" w:rsidP="00422AA3">
      <w:pPr>
        <w:pStyle w:val="ACMABodyText"/>
      </w:pPr>
    </w:p>
    <w:p w:rsidR="00FB7975" w:rsidRDefault="00FB7975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>Purpose</w:t>
      </w:r>
    </w:p>
    <w:p w:rsidR="00FB7975" w:rsidRDefault="00FB7975">
      <w:pPr>
        <w:pStyle w:val="ACMABodyText"/>
        <w:spacing w:line="360" w:lineRule="auto"/>
        <w:rPr>
          <w:rFonts w:ascii="Arial" w:hAnsi="Arial"/>
          <w:sz w:val="20"/>
        </w:rPr>
      </w:pPr>
      <w:r w:rsidRPr="001D6BBA">
        <w:rPr>
          <w:rFonts w:ascii="Arial" w:hAnsi="Arial"/>
          <w:sz w:val="20"/>
        </w:rPr>
        <w:t xml:space="preserve">The purpose of the </w:t>
      </w:r>
      <w:r w:rsidRPr="001D6BBA">
        <w:rPr>
          <w:rFonts w:ascii="Arial" w:hAnsi="Arial"/>
          <w:i/>
          <w:sz w:val="20"/>
        </w:rPr>
        <w:t>Radiocommunications Advisory Guidelines (Managing Interference from Transmitters – 2.</w:t>
      </w:r>
      <w:r>
        <w:rPr>
          <w:rFonts w:ascii="Arial" w:hAnsi="Arial"/>
          <w:i/>
          <w:sz w:val="20"/>
        </w:rPr>
        <w:t>5</w:t>
      </w:r>
      <w:r w:rsidRPr="001D6BBA">
        <w:rPr>
          <w:rFonts w:ascii="Arial" w:hAnsi="Arial"/>
          <w:i/>
          <w:sz w:val="20"/>
        </w:rPr>
        <w:t xml:space="preserve"> GHz </w:t>
      </w:r>
      <w:r w:rsidR="007F272B">
        <w:rPr>
          <w:rFonts w:ascii="Arial" w:hAnsi="Arial"/>
          <w:i/>
          <w:sz w:val="20"/>
        </w:rPr>
        <w:t>Mid-b</w:t>
      </w:r>
      <w:r w:rsidRPr="001D6BBA">
        <w:rPr>
          <w:rFonts w:ascii="Arial" w:hAnsi="Arial"/>
          <w:i/>
          <w:sz w:val="20"/>
        </w:rPr>
        <w:t>and</w:t>
      </w:r>
      <w:r w:rsidR="007F272B">
        <w:rPr>
          <w:rFonts w:ascii="Arial" w:hAnsi="Arial"/>
          <w:i/>
          <w:sz w:val="20"/>
        </w:rPr>
        <w:t xml:space="preserve"> Gap</w:t>
      </w:r>
      <w:r w:rsidRPr="001D6BBA">
        <w:rPr>
          <w:rFonts w:ascii="Arial" w:hAnsi="Arial"/>
          <w:i/>
          <w:sz w:val="20"/>
        </w:rPr>
        <w:t>) 20</w:t>
      </w:r>
      <w:r>
        <w:rPr>
          <w:rFonts w:ascii="Arial" w:hAnsi="Arial"/>
          <w:i/>
          <w:sz w:val="20"/>
        </w:rPr>
        <w:t>12</w:t>
      </w:r>
      <w:r w:rsidRPr="001D6BBA">
        <w:rPr>
          <w:rFonts w:ascii="Arial" w:hAnsi="Arial"/>
          <w:sz w:val="20"/>
        </w:rPr>
        <w:t xml:space="preserve"> (the </w:t>
      </w:r>
      <w:r w:rsidRPr="00422AA3">
        <w:rPr>
          <w:rFonts w:ascii="Arial" w:hAnsi="Arial"/>
          <w:b/>
          <w:sz w:val="20"/>
        </w:rPr>
        <w:t>Advisory Guidelines</w:t>
      </w:r>
      <w:r w:rsidRPr="001D6BBA">
        <w:rPr>
          <w:rFonts w:ascii="Arial" w:hAnsi="Arial"/>
          <w:sz w:val="20"/>
        </w:rPr>
        <w:t>) is to</w:t>
      </w:r>
      <w:r w:rsidR="00C408E5">
        <w:rPr>
          <w:rFonts w:ascii="Arial" w:hAnsi="Arial"/>
          <w:sz w:val="20"/>
        </w:rPr>
        <w:t xml:space="preserve"> provide </w:t>
      </w:r>
      <w:r w:rsidR="006E685B">
        <w:rPr>
          <w:rFonts w:ascii="Arial" w:hAnsi="Arial"/>
          <w:sz w:val="20"/>
        </w:rPr>
        <w:t xml:space="preserve">guidance </w:t>
      </w:r>
      <w:r w:rsidR="00C408E5">
        <w:rPr>
          <w:rFonts w:ascii="Arial" w:hAnsi="Arial"/>
          <w:sz w:val="20"/>
        </w:rPr>
        <w:t>to assist in</w:t>
      </w:r>
      <w:r w:rsidRPr="001D6BBA">
        <w:rPr>
          <w:rFonts w:ascii="Arial" w:hAnsi="Arial"/>
          <w:sz w:val="20"/>
        </w:rPr>
        <w:t xml:space="preserve"> </w:t>
      </w:r>
      <w:r w:rsidR="006E685B">
        <w:rPr>
          <w:rFonts w:ascii="Arial" w:hAnsi="Arial"/>
          <w:sz w:val="20"/>
        </w:rPr>
        <w:t xml:space="preserve">the protection </w:t>
      </w:r>
      <w:r w:rsidR="00C24C37">
        <w:rPr>
          <w:rFonts w:ascii="Arial" w:hAnsi="Arial"/>
          <w:sz w:val="20"/>
        </w:rPr>
        <w:t xml:space="preserve">of </w:t>
      </w:r>
      <w:r>
        <w:rPr>
          <w:rFonts w:ascii="Arial" w:hAnsi="Arial"/>
          <w:sz w:val="20"/>
        </w:rPr>
        <w:t xml:space="preserve">radiocommunications </w:t>
      </w:r>
      <w:r w:rsidRPr="001D6BBA">
        <w:rPr>
          <w:rFonts w:ascii="Arial" w:hAnsi="Arial"/>
          <w:sz w:val="20"/>
        </w:rPr>
        <w:t>receivers operating in</w:t>
      </w:r>
      <w:r>
        <w:rPr>
          <w:rFonts w:ascii="Arial" w:hAnsi="Arial"/>
          <w:sz w:val="20"/>
        </w:rPr>
        <w:t>,</w:t>
      </w:r>
      <w:r w:rsidRPr="001D6BB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or</w:t>
      </w:r>
      <w:r w:rsidRPr="001D6BBA">
        <w:rPr>
          <w:rFonts w:ascii="Arial" w:hAnsi="Arial"/>
          <w:sz w:val="20"/>
        </w:rPr>
        <w:t xml:space="preserve"> adjacent to</w:t>
      </w:r>
      <w:r>
        <w:rPr>
          <w:rFonts w:ascii="Arial" w:hAnsi="Arial"/>
          <w:sz w:val="20"/>
        </w:rPr>
        <w:t>,</w:t>
      </w:r>
      <w:r w:rsidRPr="001D6BBA">
        <w:rPr>
          <w:rFonts w:ascii="Arial" w:hAnsi="Arial"/>
          <w:sz w:val="20"/>
        </w:rPr>
        <w:t xml:space="preserve"> </w:t>
      </w:r>
      <w:r w:rsidR="00652DC1">
        <w:rPr>
          <w:rFonts w:ascii="Arial" w:hAnsi="Arial"/>
          <w:sz w:val="20"/>
        </w:rPr>
        <w:t xml:space="preserve">the frequency band </w:t>
      </w:r>
      <w:r w:rsidR="007538D3">
        <w:rPr>
          <w:rFonts w:ascii="Arial" w:hAnsi="Arial"/>
          <w:sz w:val="20"/>
        </w:rPr>
        <w:t>2570-2620 MHz</w:t>
      </w:r>
      <w:r w:rsidR="00652DC1">
        <w:rPr>
          <w:rFonts w:ascii="Arial" w:hAnsi="Arial"/>
          <w:sz w:val="20"/>
        </w:rPr>
        <w:t xml:space="preserve"> (the </w:t>
      </w:r>
      <w:r w:rsidR="003841F7" w:rsidRPr="003841F7">
        <w:rPr>
          <w:rFonts w:ascii="Arial" w:hAnsi="Arial"/>
          <w:b/>
          <w:sz w:val="20"/>
        </w:rPr>
        <w:t>2.5 GHz Mid-band Gap</w:t>
      </w:r>
      <w:r w:rsidR="00652DC1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 from </w:t>
      </w:r>
      <w:r w:rsidR="00C24C37">
        <w:rPr>
          <w:rFonts w:ascii="Arial" w:hAnsi="Arial"/>
          <w:sz w:val="20"/>
        </w:rPr>
        <w:t xml:space="preserve">interference caused by </w:t>
      </w:r>
      <w:r>
        <w:rPr>
          <w:rFonts w:ascii="Arial" w:hAnsi="Arial"/>
          <w:sz w:val="20"/>
        </w:rPr>
        <w:t>radiocommunications transmitters operat</w:t>
      </w:r>
      <w:r w:rsidR="00C24C37">
        <w:rPr>
          <w:rFonts w:ascii="Arial" w:hAnsi="Arial"/>
          <w:sz w:val="20"/>
        </w:rPr>
        <w:t xml:space="preserve">ing </w:t>
      </w:r>
      <w:r>
        <w:rPr>
          <w:rFonts w:ascii="Arial" w:hAnsi="Arial"/>
          <w:sz w:val="20"/>
        </w:rPr>
        <w:t xml:space="preserve">under a spectrum licence in the 2.5 GHz </w:t>
      </w:r>
      <w:r w:rsidR="007F272B">
        <w:rPr>
          <w:rFonts w:ascii="Arial" w:hAnsi="Arial"/>
          <w:sz w:val="20"/>
        </w:rPr>
        <w:t>Mid-</w:t>
      </w:r>
      <w:r>
        <w:rPr>
          <w:rFonts w:ascii="Arial" w:hAnsi="Arial"/>
          <w:sz w:val="20"/>
        </w:rPr>
        <w:t>band</w:t>
      </w:r>
      <w:r w:rsidR="007F272B">
        <w:rPr>
          <w:rFonts w:ascii="Arial" w:hAnsi="Arial"/>
          <w:sz w:val="20"/>
        </w:rPr>
        <w:t xml:space="preserve"> Gap</w:t>
      </w:r>
      <w:r w:rsidRPr="001D6BBA">
        <w:rPr>
          <w:rFonts w:ascii="Arial" w:hAnsi="Arial"/>
          <w:sz w:val="20"/>
        </w:rPr>
        <w:t xml:space="preserve">.  The Advisory Guidelines also provide </w:t>
      </w:r>
      <w:r w:rsidR="00C24C37">
        <w:rPr>
          <w:rFonts w:ascii="Arial" w:hAnsi="Arial"/>
          <w:sz w:val="20"/>
        </w:rPr>
        <w:t xml:space="preserve">guidance to assist in the protection </w:t>
      </w:r>
      <w:r w:rsidRPr="001D6BBA">
        <w:rPr>
          <w:rFonts w:ascii="Arial" w:hAnsi="Arial"/>
          <w:sz w:val="20"/>
        </w:rPr>
        <w:t>of radio-astronomy services operating in the Mid</w:t>
      </w:r>
      <w:r w:rsidR="00951B3F">
        <w:rPr>
          <w:rFonts w:ascii="Arial" w:hAnsi="Arial"/>
          <w:sz w:val="20"/>
        </w:rPr>
        <w:t>-</w:t>
      </w:r>
      <w:r w:rsidRPr="001D6BBA">
        <w:rPr>
          <w:rFonts w:ascii="Arial" w:hAnsi="Arial"/>
          <w:sz w:val="20"/>
        </w:rPr>
        <w:t>West Radio Quiet Zone</w:t>
      </w:r>
      <w:r>
        <w:rPr>
          <w:rFonts w:ascii="Arial" w:hAnsi="Arial"/>
          <w:sz w:val="20"/>
        </w:rPr>
        <w:t xml:space="preserve"> </w:t>
      </w:r>
      <w:r w:rsidRPr="001D6BBA">
        <w:rPr>
          <w:rFonts w:ascii="Arial" w:hAnsi="Arial"/>
          <w:sz w:val="20"/>
        </w:rPr>
        <w:t>in Western Australia.</w:t>
      </w:r>
      <w:r w:rsidRPr="00184599">
        <w:rPr>
          <w:rFonts w:ascii="Arial" w:hAnsi="Arial"/>
          <w:b/>
          <w:sz w:val="20"/>
          <w:highlight w:val="yellow"/>
        </w:rPr>
        <w:t xml:space="preserve"> </w:t>
      </w:r>
    </w:p>
    <w:p w:rsidR="00FB7975" w:rsidRDefault="00FB7975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>Legislative Provisions</w:t>
      </w:r>
    </w:p>
    <w:p w:rsidR="00FB7975" w:rsidRDefault="00EF5DD0">
      <w:pPr>
        <w:pStyle w:val="ACMABodyText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</w:t>
      </w:r>
      <w:r w:rsidR="00FB7975" w:rsidRPr="001D6BBA">
        <w:rPr>
          <w:rFonts w:ascii="Arial" w:hAnsi="Arial"/>
          <w:sz w:val="20"/>
        </w:rPr>
        <w:t xml:space="preserve">ection 262 of the </w:t>
      </w:r>
      <w:r w:rsidR="00FB7975" w:rsidRPr="001D6BBA">
        <w:rPr>
          <w:rFonts w:ascii="Arial" w:hAnsi="Arial"/>
          <w:i/>
          <w:sz w:val="20"/>
        </w:rPr>
        <w:t>Radiocommunications Act 1992</w:t>
      </w:r>
      <w:r w:rsidR="00FB7975" w:rsidRPr="001D6BBA">
        <w:rPr>
          <w:rFonts w:ascii="Arial" w:hAnsi="Arial"/>
          <w:sz w:val="20"/>
        </w:rPr>
        <w:t xml:space="preserve"> (the </w:t>
      </w:r>
      <w:r w:rsidR="00FB7975" w:rsidRPr="00422AA3">
        <w:rPr>
          <w:rFonts w:ascii="Arial" w:hAnsi="Arial"/>
          <w:b/>
          <w:sz w:val="20"/>
        </w:rPr>
        <w:t>Act</w:t>
      </w:r>
      <w:r w:rsidR="00FB7975" w:rsidRPr="001D6BBA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 provides that </w:t>
      </w:r>
      <w:r w:rsidR="00FB7975" w:rsidRPr="001D6BBA">
        <w:rPr>
          <w:rFonts w:ascii="Arial" w:hAnsi="Arial"/>
          <w:sz w:val="20"/>
        </w:rPr>
        <w:t>the Australian Communications and Media Authority (</w:t>
      </w:r>
      <w:r w:rsidR="00FB7975">
        <w:rPr>
          <w:rFonts w:ascii="Arial" w:hAnsi="Arial"/>
          <w:sz w:val="20"/>
        </w:rPr>
        <w:t xml:space="preserve">the </w:t>
      </w:r>
      <w:r w:rsidR="00FB7975" w:rsidRPr="00686EAB">
        <w:rPr>
          <w:rFonts w:ascii="Arial" w:hAnsi="Arial"/>
          <w:b/>
          <w:sz w:val="20"/>
          <w:lang w:val="en-US"/>
        </w:rPr>
        <w:t>ACMA</w:t>
      </w:r>
      <w:r w:rsidR="00FB7975" w:rsidRPr="001D6BBA">
        <w:rPr>
          <w:rFonts w:ascii="Arial" w:hAnsi="Arial"/>
          <w:sz w:val="20"/>
        </w:rPr>
        <w:t>) may make written advisory guidelines</w:t>
      </w:r>
      <w:r w:rsidR="00FB7975" w:rsidRPr="00026D00">
        <w:rPr>
          <w:rFonts w:ascii="Arial" w:hAnsi="Arial"/>
          <w:sz w:val="20"/>
        </w:rPr>
        <w:t xml:space="preserve"> </w:t>
      </w:r>
      <w:r w:rsidR="00FB7975">
        <w:rPr>
          <w:rFonts w:ascii="Arial" w:hAnsi="Arial"/>
          <w:sz w:val="20"/>
        </w:rPr>
        <w:t>about any aspect of radiocommunication or radio emissions.</w:t>
      </w:r>
    </w:p>
    <w:p w:rsidR="00C24C37" w:rsidRDefault="00FB7975">
      <w:pPr>
        <w:pStyle w:val="ACMABodyText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Subsection 262(2) of the Act </w:t>
      </w:r>
      <w:r w:rsidR="00C24C37">
        <w:rPr>
          <w:rFonts w:ascii="Arial" w:hAnsi="Arial"/>
          <w:sz w:val="20"/>
        </w:rPr>
        <w:t xml:space="preserve">provides a non-exhaustive list of </w:t>
      </w:r>
      <w:r>
        <w:rPr>
          <w:rFonts w:ascii="Arial" w:hAnsi="Arial"/>
          <w:sz w:val="20"/>
        </w:rPr>
        <w:t xml:space="preserve">examples of </w:t>
      </w:r>
      <w:r w:rsidR="00C24C37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 xml:space="preserve">matters </w:t>
      </w:r>
      <w:r w:rsidR="00C24C37">
        <w:rPr>
          <w:rFonts w:ascii="Arial" w:hAnsi="Arial"/>
          <w:sz w:val="20"/>
        </w:rPr>
        <w:t xml:space="preserve">about </w:t>
      </w:r>
      <w:r>
        <w:rPr>
          <w:rFonts w:ascii="Arial" w:hAnsi="Arial"/>
          <w:sz w:val="20"/>
        </w:rPr>
        <w:t>which</w:t>
      </w:r>
      <w:r w:rsidRPr="001D6BBA">
        <w:rPr>
          <w:rFonts w:ascii="Arial" w:hAnsi="Arial"/>
          <w:sz w:val="20"/>
        </w:rPr>
        <w:t xml:space="preserve"> advisory guidelines </w:t>
      </w:r>
      <w:r>
        <w:rPr>
          <w:rFonts w:ascii="Arial" w:hAnsi="Arial"/>
          <w:sz w:val="20"/>
        </w:rPr>
        <w:t>may be made</w:t>
      </w:r>
      <w:r w:rsidR="00C24C37">
        <w:rPr>
          <w:rFonts w:ascii="Arial" w:hAnsi="Arial"/>
          <w:sz w:val="20"/>
        </w:rPr>
        <w:t xml:space="preserve">, one of which is ‘interference with radiocommunications’. </w:t>
      </w:r>
    </w:p>
    <w:p w:rsidR="00FB7975" w:rsidRDefault="00C24C37">
      <w:pPr>
        <w:pStyle w:val="ACMABodyText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Advisory Guidelines are a legislative instrument under the </w:t>
      </w:r>
      <w:r>
        <w:rPr>
          <w:rFonts w:ascii="Arial" w:hAnsi="Arial"/>
          <w:i/>
          <w:sz w:val="20"/>
        </w:rPr>
        <w:t>Legislative Instruments Act 2003</w:t>
      </w:r>
      <w:r>
        <w:rPr>
          <w:rFonts w:ascii="Arial" w:hAnsi="Arial"/>
          <w:sz w:val="20"/>
        </w:rPr>
        <w:t xml:space="preserve">. </w:t>
      </w:r>
    </w:p>
    <w:p w:rsidR="00FB7975" w:rsidRDefault="00FB7975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>Background</w:t>
      </w:r>
    </w:p>
    <w:p w:rsidR="00FB7975" w:rsidRPr="00220C85" w:rsidRDefault="00FB7975" w:rsidP="0059377F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220C85">
        <w:rPr>
          <w:rFonts w:ascii="Arial" w:hAnsi="Arial" w:cs="Arial"/>
          <w:sz w:val="20"/>
          <w:szCs w:val="20"/>
        </w:rPr>
        <w:t xml:space="preserve">The </w:t>
      </w:r>
      <w:r w:rsidR="003841F7" w:rsidRPr="00220C85">
        <w:rPr>
          <w:rFonts w:ascii="Arial" w:hAnsi="Arial" w:cs="Arial"/>
          <w:sz w:val="20"/>
          <w:szCs w:val="20"/>
        </w:rPr>
        <w:t>2500-2690 MHz</w:t>
      </w:r>
      <w:r w:rsidR="00220C85" w:rsidRPr="00220C85">
        <w:rPr>
          <w:rFonts w:ascii="Arial" w:hAnsi="Arial" w:cs="Arial"/>
          <w:sz w:val="20"/>
          <w:szCs w:val="20"/>
        </w:rPr>
        <w:t xml:space="preserve"> frequency band</w:t>
      </w:r>
      <w:r w:rsidR="007538D3" w:rsidRPr="00220C85">
        <w:rPr>
          <w:rFonts w:ascii="Arial" w:hAnsi="Arial" w:cs="Arial"/>
          <w:sz w:val="20"/>
          <w:szCs w:val="20"/>
        </w:rPr>
        <w:t xml:space="preserve"> </w:t>
      </w:r>
      <w:r w:rsidRPr="00220C85">
        <w:rPr>
          <w:rFonts w:ascii="Arial" w:hAnsi="Arial" w:cs="Arial"/>
          <w:sz w:val="20"/>
          <w:szCs w:val="20"/>
        </w:rPr>
        <w:t xml:space="preserve">is used primarily by free to air broadcasters and the Australian Broadcasting Corporation (ABC) for </w:t>
      </w:r>
      <w:r w:rsidRPr="00220C85">
        <w:rPr>
          <w:rFonts w:ascii="Arial" w:hAnsi="Arial" w:cs="Arial"/>
          <w:sz w:val="20"/>
        </w:rPr>
        <w:t>television outside broadcasting</w:t>
      </w:r>
      <w:r w:rsidR="00F26C46">
        <w:rPr>
          <w:rFonts w:ascii="Arial" w:hAnsi="Arial" w:cs="Arial"/>
          <w:sz w:val="20"/>
        </w:rPr>
        <w:t xml:space="preserve"> (</w:t>
      </w:r>
      <w:r w:rsidR="00F26C46">
        <w:rPr>
          <w:rFonts w:ascii="Arial" w:hAnsi="Arial" w:cs="Arial"/>
          <w:b/>
          <w:sz w:val="20"/>
        </w:rPr>
        <w:t>TVOB</w:t>
      </w:r>
      <w:r w:rsidR="00F26C46">
        <w:rPr>
          <w:rFonts w:ascii="Arial" w:hAnsi="Arial" w:cs="Arial"/>
          <w:sz w:val="20"/>
        </w:rPr>
        <w:t>), including electronic news-gathering (</w:t>
      </w:r>
      <w:r w:rsidR="00F26C46">
        <w:rPr>
          <w:rFonts w:ascii="Arial" w:hAnsi="Arial" w:cs="Arial"/>
          <w:b/>
          <w:sz w:val="20"/>
        </w:rPr>
        <w:t>ENG</w:t>
      </w:r>
      <w:r w:rsidR="00F26C46">
        <w:rPr>
          <w:rFonts w:ascii="Arial" w:hAnsi="Arial" w:cs="Arial"/>
          <w:sz w:val="20"/>
        </w:rPr>
        <w:t>)</w:t>
      </w:r>
      <w:r w:rsidR="00F26C46">
        <w:rPr>
          <w:rFonts w:ascii="Arial" w:hAnsi="Arial" w:cs="Arial"/>
          <w:sz w:val="20"/>
          <w:szCs w:val="20"/>
        </w:rPr>
        <w:t>. However, broadcasters have faced uncertainty about long-term spectrum arrangements in that frequency band since 2000, when the band was identified internationally for broadband wireless access services (</w:t>
      </w:r>
      <w:r w:rsidR="00F26C46">
        <w:rPr>
          <w:rFonts w:ascii="Arial" w:hAnsi="Arial" w:cs="Arial"/>
          <w:b/>
          <w:sz w:val="20"/>
          <w:szCs w:val="20"/>
        </w:rPr>
        <w:t>WAS</w:t>
      </w:r>
      <w:r w:rsidR="00F26C46">
        <w:rPr>
          <w:rFonts w:ascii="Arial" w:hAnsi="Arial" w:cs="Arial"/>
          <w:sz w:val="20"/>
          <w:szCs w:val="20"/>
        </w:rPr>
        <w:t>).</w:t>
      </w:r>
    </w:p>
    <w:p w:rsidR="00FB7975" w:rsidRDefault="00F26C46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January 2010, the ACMA commenced a review </w:t>
      </w:r>
      <w:r w:rsidR="00FB7975" w:rsidRPr="00220C85">
        <w:rPr>
          <w:rFonts w:ascii="Arial" w:hAnsi="Arial" w:cs="Arial"/>
          <w:sz w:val="20"/>
          <w:szCs w:val="20"/>
        </w:rPr>
        <w:t xml:space="preserve">of the </w:t>
      </w:r>
      <w:r w:rsidR="003841F7" w:rsidRPr="00220C85">
        <w:rPr>
          <w:rFonts w:ascii="Arial" w:hAnsi="Arial" w:cs="Arial"/>
          <w:sz w:val="20"/>
          <w:szCs w:val="20"/>
        </w:rPr>
        <w:t>2500-2690 MHz frequency</w:t>
      </w:r>
      <w:r w:rsidR="00FB7975">
        <w:rPr>
          <w:rFonts w:ascii="Arial" w:hAnsi="Arial" w:cs="Arial"/>
          <w:sz w:val="20"/>
          <w:szCs w:val="20"/>
        </w:rPr>
        <w:t xml:space="preserve"> band to:</w:t>
      </w:r>
    </w:p>
    <w:p w:rsidR="00FB7975" w:rsidRDefault="00FB7975">
      <w:pPr>
        <w:pStyle w:val="ACMABodyText"/>
        <w:numPr>
          <w:ilvl w:val="0"/>
          <w:numId w:val="18"/>
        </w:numPr>
        <w:spacing w:line="360" w:lineRule="auto"/>
        <w:rPr>
          <w:rFonts w:ascii="Arial" w:hAnsi="Arial"/>
          <w:sz w:val="20"/>
        </w:rPr>
      </w:pPr>
      <w:r w:rsidRPr="00E82C33">
        <w:rPr>
          <w:rFonts w:ascii="Arial" w:hAnsi="Arial"/>
          <w:sz w:val="20"/>
        </w:rPr>
        <w:t>plan and allocate the band to maximise the overall benefit derived from th</w:t>
      </w:r>
      <w:r w:rsidR="00682056">
        <w:rPr>
          <w:rFonts w:ascii="Arial" w:hAnsi="Arial"/>
          <w:sz w:val="20"/>
        </w:rPr>
        <w:t>at</w:t>
      </w:r>
      <w:r w:rsidRPr="00E82C33">
        <w:rPr>
          <w:rFonts w:ascii="Arial" w:hAnsi="Arial"/>
          <w:sz w:val="20"/>
        </w:rPr>
        <w:t xml:space="preserve"> spectrum; and</w:t>
      </w:r>
    </w:p>
    <w:p w:rsidR="00FB7975" w:rsidRDefault="00FB7975">
      <w:pPr>
        <w:pStyle w:val="ACMABodyText"/>
        <w:numPr>
          <w:ilvl w:val="0"/>
          <w:numId w:val="18"/>
        </w:numPr>
        <w:spacing w:line="360" w:lineRule="auto"/>
        <w:rPr>
          <w:rFonts w:ascii="Arial" w:hAnsi="Arial"/>
          <w:sz w:val="20"/>
        </w:rPr>
      </w:pPr>
      <w:r w:rsidRPr="006C6B27">
        <w:rPr>
          <w:rFonts w:ascii="Arial" w:hAnsi="Arial"/>
          <w:sz w:val="20"/>
        </w:rPr>
        <w:t>provide incumbent licensees</w:t>
      </w:r>
      <w:r w:rsidRPr="00E82C33">
        <w:rPr>
          <w:rFonts w:ascii="Arial" w:hAnsi="Arial"/>
          <w:sz w:val="20"/>
        </w:rPr>
        <w:t xml:space="preserve"> with greater long-term certainty in light of strong emerging demand for the band to be used for competing purposes—for example, for </w:t>
      </w:r>
      <w:r w:rsidRPr="003876AE">
        <w:rPr>
          <w:rFonts w:ascii="Arial" w:hAnsi="Arial"/>
          <w:sz w:val="20"/>
        </w:rPr>
        <w:t>WAS</w:t>
      </w:r>
      <w:r w:rsidRPr="00E82C33">
        <w:rPr>
          <w:rFonts w:ascii="Arial" w:hAnsi="Arial"/>
          <w:sz w:val="20"/>
        </w:rPr>
        <w:t xml:space="preserve">. </w:t>
      </w:r>
    </w:p>
    <w:p w:rsidR="00FB7975" w:rsidRDefault="00FB7975" w:rsidP="0059377F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Pr="004F4310">
        <w:rPr>
          <w:rFonts w:ascii="Arial" w:hAnsi="Arial" w:cs="Arial"/>
          <w:sz w:val="20"/>
          <w:szCs w:val="20"/>
        </w:rPr>
        <w:t xml:space="preserve">n January 2010, the ACMA released a discussion paper, </w:t>
      </w:r>
      <w:r>
        <w:rPr>
          <w:rFonts w:ascii="Arial" w:hAnsi="Arial" w:cs="Arial"/>
          <w:sz w:val="20"/>
          <w:szCs w:val="20"/>
        </w:rPr>
        <w:t>‘</w:t>
      </w:r>
      <w:r w:rsidRPr="004F4310">
        <w:rPr>
          <w:rFonts w:ascii="Arial" w:hAnsi="Arial" w:cs="Arial"/>
          <w:i/>
          <w:sz w:val="20"/>
          <w:szCs w:val="20"/>
        </w:rPr>
        <w:t>Review of the 2.5 GHz band and long-term arrangements for ENG</w:t>
      </w:r>
      <w:r w:rsidRPr="00682056">
        <w:rPr>
          <w:rFonts w:ascii="Arial" w:hAnsi="Arial" w:cs="Arial"/>
          <w:sz w:val="20"/>
          <w:szCs w:val="20"/>
        </w:rPr>
        <w:t>’</w:t>
      </w:r>
      <w:r w:rsidRPr="00682056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C24C37">
        <w:rPr>
          <w:rFonts w:ascii="Arial" w:hAnsi="Arial" w:cs="Arial"/>
          <w:i/>
          <w:sz w:val="20"/>
          <w:szCs w:val="20"/>
        </w:rPr>
        <w:t xml:space="preserve"> </w:t>
      </w:r>
      <w:r w:rsidR="00C24C37">
        <w:rPr>
          <w:rFonts w:ascii="Arial" w:hAnsi="Arial" w:cs="Arial"/>
          <w:sz w:val="20"/>
          <w:szCs w:val="20"/>
        </w:rPr>
        <w:t>(</w:t>
      </w:r>
      <w:r w:rsidR="00C24C37" w:rsidRPr="00C24C37">
        <w:rPr>
          <w:rFonts w:ascii="Arial" w:hAnsi="Arial" w:cs="Arial"/>
          <w:b/>
          <w:sz w:val="20"/>
          <w:szCs w:val="20"/>
        </w:rPr>
        <w:t xml:space="preserve">January </w:t>
      </w:r>
      <w:r w:rsidR="0099784B">
        <w:rPr>
          <w:rFonts w:ascii="Arial" w:hAnsi="Arial" w:cs="Arial"/>
          <w:b/>
          <w:sz w:val="20"/>
          <w:szCs w:val="20"/>
        </w:rPr>
        <w:t xml:space="preserve">2010 </w:t>
      </w:r>
      <w:r w:rsidR="00C24C37" w:rsidRPr="00C24C37">
        <w:rPr>
          <w:rFonts w:ascii="Arial" w:hAnsi="Arial" w:cs="Arial"/>
          <w:b/>
          <w:sz w:val="20"/>
          <w:szCs w:val="20"/>
        </w:rPr>
        <w:t>discussion paper</w:t>
      </w:r>
      <w:r w:rsidR="00C24C37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Pr="004F4310">
        <w:rPr>
          <w:rFonts w:ascii="Arial" w:hAnsi="Arial" w:cs="Arial"/>
          <w:sz w:val="20"/>
          <w:szCs w:val="20"/>
        </w:rPr>
        <w:t xml:space="preserve">The </w:t>
      </w:r>
      <w:r w:rsidR="00C24C37">
        <w:rPr>
          <w:rFonts w:ascii="Arial" w:hAnsi="Arial" w:cs="Arial"/>
          <w:sz w:val="20"/>
          <w:szCs w:val="20"/>
        </w:rPr>
        <w:t>January</w:t>
      </w:r>
      <w:r w:rsidR="0099784B">
        <w:rPr>
          <w:rFonts w:ascii="Arial" w:hAnsi="Arial" w:cs="Arial"/>
          <w:sz w:val="20"/>
          <w:szCs w:val="20"/>
        </w:rPr>
        <w:t xml:space="preserve"> 2010</w:t>
      </w:r>
      <w:r w:rsidR="00C24C37">
        <w:rPr>
          <w:rFonts w:ascii="Arial" w:hAnsi="Arial" w:cs="Arial"/>
          <w:sz w:val="20"/>
          <w:szCs w:val="20"/>
        </w:rPr>
        <w:t xml:space="preserve"> discussion </w:t>
      </w:r>
      <w:r w:rsidRPr="004F4310">
        <w:rPr>
          <w:rFonts w:ascii="Arial" w:hAnsi="Arial" w:cs="Arial"/>
          <w:sz w:val="20"/>
          <w:szCs w:val="20"/>
        </w:rPr>
        <w:t xml:space="preserve">paper </w:t>
      </w:r>
      <w:r w:rsidR="00C24C37">
        <w:rPr>
          <w:rFonts w:ascii="Arial" w:hAnsi="Arial" w:cs="Arial"/>
          <w:sz w:val="20"/>
          <w:szCs w:val="20"/>
        </w:rPr>
        <w:t xml:space="preserve">included </w:t>
      </w:r>
      <w:r w:rsidRPr="004F4310">
        <w:rPr>
          <w:rFonts w:ascii="Arial" w:hAnsi="Arial" w:cs="Arial"/>
          <w:sz w:val="20"/>
          <w:szCs w:val="20"/>
        </w:rPr>
        <w:t>the ACMA</w:t>
      </w:r>
      <w:r w:rsidR="00C24C37">
        <w:rPr>
          <w:rFonts w:ascii="Arial" w:hAnsi="Arial" w:cs="Arial"/>
          <w:sz w:val="20"/>
          <w:szCs w:val="20"/>
        </w:rPr>
        <w:t xml:space="preserve">’s </w:t>
      </w:r>
      <w:r>
        <w:rPr>
          <w:rFonts w:ascii="Arial" w:hAnsi="Arial" w:cs="Arial"/>
          <w:sz w:val="20"/>
          <w:szCs w:val="20"/>
        </w:rPr>
        <w:t xml:space="preserve">preliminary view on its </w:t>
      </w:r>
      <w:r w:rsidRPr="004F4310">
        <w:rPr>
          <w:rFonts w:ascii="Arial" w:hAnsi="Arial" w:cs="Arial"/>
          <w:sz w:val="20"/>
          <w:szCs w:val="20"/>
        </w:rPr>
        <w:t>preferred approach for the band, which was broadly:</w:t>
      </w:r>
    </w:p>
    <w:p w:rsidR="00FB7975" w:rsidRDefault="00FB7975">
      <w:pPr>
        <w:pStyle w:val="ACMABodyText"/>
        <w:numPr>
          <w:ilvl w:val="0"/>
          <w:numId w:val="18"/>
        </w:numPr>
        <w:spacing w:line="360" w:lineRule="auto"/>
        <w:rPr>
          <w:rFonts w:ascii="Arial" w:hAnsi="Arial"/>
          <w:sz w:val="20"/>
        </w:rPr>
      </w:pPr>
      <w:r w:rsidRPr="003876AE">
        <w:rPr>
          <w:rFonts w:ascii="Arial" w:hAnsi="Arial"/>
          <w:sz w:val="20"/>
        </w:rPr>
        <w:t xml:space="preserve">reallocation of the 2500–2570 MHz and 2620–2690 MHz  bands </w:t>
      </w:r>
      <w:r w:rsidR="00EF65DC">
        <w:rPr>
          <w:rFonts w:ascii="Arial" w:hAnsi="Arial"/>
          <w:sz w:val="20"/>
        </w:rPr>
        <w:t xml:space="preserve">for </w:t>
      </w:r>
      <w:r w:rsidRPr="003876AE">
        <w:rPr>
          <w:rFonts w:ascii="Arial" w:hAnsi="Arial"/>
          <w:sz w:val="20"/>
        </w:rPr>
        <w:t xml:space="preserve">spectrum licensing, with technical frameworks that are technology flexible but are optimised for </w:t>
      </w:r>
      <w:r>
        <w:rPr>
          <w:rFonts w:ascii="Arial" w:hAnsi="Arial"/>
          <w:sz w:val="20"/>
        </w:rPr>
        <w:t>WAS</w:t>
      </w:r>
      <w:r w:rsidRPr="003876AE">
        <w:rPr>
          <w:rFonts w:ascii="Arial" w:hAnsi="Arial"/>
          <w:sz w:val="20"/>
        </w:rPr>
        <w:t>;</w:t>
      </w:r>
    </w:p>
    <w:p w:rsidR="00FB7975" w:rsidRDefault="00FB7975">
      <w:pPr>
        <w:pStyle w:val="ACMABodyText"/>
        <w:numPr>
          <w:ilvl w:val="0"/>
          <w:numId w:val="18"/>
        </w:numPr>
        <w:spacing w:line="360" w:lineRule="auto"/>
        <w:rPr>
          <w:rFonts w:ascii="Arial" w:hAnsi="Arial"/>
          <w:sz w:val="20"/>
        </w:rPr>
      </w:pPr>
      <w:r w:rsidRPr="003876AE">
        <w:rPr>
          <w:rFonts w:ascii="Arial" w:hAnsi="Arial"/>
          <w:sz w:val="20"/>
        </w:rPr>
        <w:t>conversion of ENG apparatus licences to spectrum licences in the 2570–2620 MHz</w:t>
      </w:r>
      <w:r>
        <w:rPr>
          <w:rFonts w:ascii="Arial" w:hAnsi="Arial"/>
          <w:sz w:val="20"/>
        </w:rPr>
        <w:t xml:space="preserve"> band</w:t>
      </w:r>
      <w:r w:rsidRPr="003876AE">
        <w:rPr>
          <w:rFonts w:ascii="Arial" w:hAnsi="Arial"/>
          <w:sz w:val="20"/>
        </w:rPr>
        <w:t>; and</w:t>
      </w:r>
    </w:p>
    <w:p w:rsidR="00FB7975" w:rsidRDefault="00FB7975">
      <w:pPr>
        <w:pStyle w:val="ACMABodyText"/>
        <w:numPr>
          <w:ilvl w:val="0"/>
          <w:numId w:val="18"/>
        </w:numPr>
        <w:spacing w:line="360" w:lineRule="auto"/>
        <w:rPr>
          <w:rFonts w:ascii="Arial" w:hAnsi="Arial"/>
          <w:sz w:val="20"/>
        </w:rPr>
      </w:pPr>
      <w:r w:rsidRPr="003876AE">
        <w:rPr>
          <w:rFonts w:ascii="Arial" w:hAnsi="Arial"/>
          <w:sz w:val="20"/>
        </w:rPr>
        <w:t>facilitation of ENG/TVOB access to identified alternative bands.</w:t>
      </w:r>
    </w:p>
    <w:p w:rsidR="00682056" w:rsidRDefault="00FB7975" w:rsidP="0059377F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9377F">
        <w:rPr>
          <w:rFonts w:ascii="Arial" w:hAnsi="Arial" w:cs="Arial"/>
          <w:sz w:val="20"/>
          <w:szCs w:val="20"/>
        </w:rPr>
        <w:t xml:space="preserve">Following consideration of responses received to </w:t>
      </w:r>
      <w:r w:rsidR="00EF65DC">
        <w:rPr>
          <w:rFonts w:ascii="Arial" w:hAnsi="Arial" w:cs="Arial"/>
          <w:sz w:val="20"/>
          <w:szCs w:val="20"/>
        </w:rPr>
        <w:t xml:space="preserve">the </w:t>
      </w:r>
      <w:r w:rsidRPr="0059377F">
        <w:rPr>
          <w:rFonts w:ascii="Arial" w:hAnsi="Arial" w:cs="Arial"/>
          <w:sz w:val="20"/>
          <w:szCs w:val="20"/>
        </w:rPr>
        <w:t>January</w:t>
      </w:r>
      <w:r w:rsidR="0099784B">
        <w:rPr>
          <w:rFonts w:ascii="Arial" w:hAnsi="Arial" w:cs="Arial"/>
          <w:sz w:val="20"/>
          <w:szCs w:val="20"/>
        </w:rPr>
        <w:t xml:space="preserve"> 2010</w:t>
      </w:r>
      <w:r w:rsidRPr="0059377F">
        <w:rPr>
          <w:rFonts w:ascii="Arial" w:hAnsi="Arial" w:cs="Arial"/>
          <w:sz w:val="20"/>
          <w:szCs w:val="20"/>
        </w:rPr>
        <w:t xml:space="preserve"> discussion paper</w:t>
      </w:r>
      <w:r>
        <w:rPr>
          <w:rFonts w:ascii="Arial" w:hAnsi="Arial" w:cs="Arial"/>
          <w:sz w:val="20"/>
          <w:szCs w:val="20"/>
        </w:rPr>
        <w:t>, in</w:t>
      </w:r>
      <w:r w:rsidRPr="00422AA3">
        <w:rPr>
          <w:rFonts w:ascii="Arial" w:hAnsi="Arial" w:cs="Arial"/>
          <w:sz w:val="20"/>
          <w:szCs w:val="20"/>
        </w:rPr>
        <w:t xml:space="preserve"> October 2010 the ACMA announced</w:t>
      </w:r>
      <w:r w:rsidRPr="004F4310" w:rsidDel="00286D4B">
        <w:rPr>
          <w:rStyle w:val="FootnoteReference"/>
          <w:rFonts w:ascii="Arial" w:hAnsi="Arial" w:cs="Arial"/>
          <w:sz w:val="20"/>
          <w:szCs w:val="20"/>
        </w:rPr>
        <w:t xml:space="preserve"> </w:t>
      </w:r>
      <w:r w:rsidRPr="006C6B27">
        <w:rPr>
          <w:rFonts w:ascii="Arial" w:hAnsi="Arial" w:cs="Arial"/>
          <w:sz w:val="20"/>
          <w:szCs w:val="20"/>
        </w:rPr>
        <w:t xml:space="preserve">its intention </w:t>
      </w:r>
      <w:r>
        <w:rPr>
          <w:rFonts w:ascii="Arial" w:hAnsi="Arial" w:cs="Arial"/>
          <w:sz w:val="20"/>
          <w:szCs w:val="20"/>
        </w:rPr>
        <w:t xml:space="preserve">to give existing ENG services </w:t>
      </w:r>
      <w:r w:rsidRPr="00EA4C4C">
        <w:rPr>
          <w:rFonts w:ascii="Arial" w:hAnsi="Arial" w:cs="Arial"/>
          <w:sz w:val="20"/>
          <w:szCs w:val="20"/>
        </w:rPr>
        <w:t>access to the</w:t>
      </w:r>
      <w:r w:rsidR="00652DC1">
        <w:rPr>
          <w:rFonts w:ascii="Arial" w:hAnsi="Arial" w:cs="Arial"/>
          <w:sz w:val="20"/>
          <w:szCs w:val="20"/>
        </w:rPr>
        <w:t xml:space="preserve"> 2.5 GHz</w:t>
      </w:r>
      <w:r>
        <w:rPr>
          <w:rFonts w:ascii="Arial" w:hAnsi="Arial" w:cs="Arial"/>
          <w:sz w:val="20"/>
          <w:szCs w:val="20"/>
        </w:rPr>
        <w:t xml:space="preserve"> </w:t>
      </w:r>
      <w:r w:rsidR="00435DBD" w:rsidRPr="00435DBD">
        <w:rPr>
          <w:rFonts w:ascii="Arial" w:hAnsi="Arial" w:cs="Arial"/>
          <w:sz w:val="20"/>
          <w:szCs w:val="20"/>
        </w:rPr>
        <w:t xml:space="preserve">Mid-band </w:t>
      </w:r>
      <w:r w:rsidR="00842471">
        <w:rPr>
          <w:rFonts w:ascii="Arial" w:hAnsi="Arial" w:cs="Arial"/>
          <w:sz w:val="20"/>
          <w:szCs w:val="20"/>
        </w:rPr>
        <w:t>G</w:t>
      </w:r>
      <w:r w:rsidR="00435DBD" w:rsidRPr="00435DBD">
        <w:rPr>
          <w:rFonts w:ascii="Arial" w:hAnsi="Arial" w:cs="Arial"/>
          <w:sz w:val="20"/>
          <w:szCs w:val="20"/>
        </w:rPr>
        <w:t>ap</w:t>
      </w:r>
      <w:r>
        <w:rPr>
          <w:rFonts w:ascii="Arial" w:hAnsi="Arial" w:cs="Arial"/>
          <w:sz w:val="20"/>
          <w:szCs w:val="20"/>
        </w:rPr>
        <w:t xml:space="preserve"> </w:t>
      </w:r>
      <w:r w:rsidRPr="00EA4C4C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to make </w:t>
      </w:r>
      <w:r w:rsidRPr="00EA4C4C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2500-2570 MHz and the 2620-2690 MHz bands (together, the </w:t>
      </w:r>
      <w:r w:rsidRPr="00532ABF">
        <w:rPr>
          <w:rFonts w:ascii="Arial" w:hAnsi="Arial" w:cs="Arial"/>
          <w:b/>
          <w:sz w:val="20"/>
          <w:szCs w:val="20"/>
        </w:rPr>
        <w:t>2.5 GHz band</w:t>
      </w:r>
      <w:r>
        <w:rPr>
          <w:rFonts w:ascii="Arial" w:hAnsi="Arial" w:cs="Arial"/>
          <w:sz w:val="20"/>
          <w:szCs w:val="20"/>
        </w:rPr>
        <w:t xml:space="preserve">) available </w:t>
      </w:r>
      <w:r w:rsidRPr="00EA4C4C">
        <w:rPr>
          <w:rFonts w:ascii="Arial" w:hAnsi="Arial" w:cs="Arial"/>
          <w:sz w:val="20"/>
          <w:szCs w:val="20"/>
        </w:rPr>
        <w:t xml:space="preserve">in Australia to support </w:t>
      </w:r>
      <w:r>
        <w:rPr>
          <w:rFonts w:ascii="Arial" w:hAnsi="Arial" w:cs="Arial"/>
          <w:sz w:val="20"/>
          <w:szCs w:val="20"/>
        </w:rPr>
        <w:t>WAS,</w:t>
      </w:r>
      <w:r w:rsidRPr="00EA4C4C">
        <w:rPr>
          <w:rFonts w:ascii="Arial" w:hAnsi="Arial" w:cs="Arial"/>
          <w:sz w:val="20"/>
          <w:szCs w:val="20"/>
        </w:rPr>
        <w:t xml:space="preserve"> including </w:t>
      </w:r>
      <w:r>
        <w:rPr>
          <w:rFonts w:ascii="Arial" w:hAnsi="Arial" w:cs="Arial"/>
          <w:sz w:val="20"/>
          <w:szCs w:val="20"/>
        </w:rPr>
        <w:t>4G mobile broadband.</w:t>
      </w:r>
      <w:r>
        <w:rPr>
          <w:rStyle w:val="FootnoteReference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</w:t>
      </w:r>
    </w:p>
    <w:p w:rsidR="00FB7975" w:rsidRDefault="00FB7975" w:rsidP="0059377F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9377F">
        <w:rPr>
          <w:rFonts w:ascii="Arial" w:hAnsi="Arial" w:cs="Arial"/>
          <w:sz w:val="20"/>
          <w:szCs w:val="20"/>
        </w:rPr>
        <w:t xml:space="preserve">To assist stakeholders in understanding how the ACMA reached a view on appropriate future arrangements in the 2.5 GHz </w:t>
      </w:r>
      <w:r w:rsidR="00EF65DC">
        <w:rPr>
          <w:rFonts w:ascii="Arial" w:hAnsi="Arial" w:cs="Arial"/>
          <w:sz w:val="20"/>
          <w:szCs w:val="20"/>
        </w:rPr>
        <w:t xml:space="preserve">band </w:t>
      </w:r>
      <w:r w:rsidRPr="0059377F">
        <w:rPr>
          <w:rFonts w:ascii="Arial" w:hAnsi="Arial" w:cs="Arial"/>
          <w:sz w:val="20"/>
          <w:szCs w:val="20"/>
        </w:rPr>
        <w:t xml:space="preserve">and alternative bands, the ACMA released a </w:t>
      </w:r>
      <w:r w:rsidR="00EF65DC">
        <w:rPr>
          <w:rFonts w:ascii="Arial" w:hAnsi="Arial" w:cs="Arial"/>
          <w:sz w:val="20"/>
          <w:szCs w:val="20"/>
        </w:rPr>
        <w:t>r</w:t>
      </w:r>
      <w:r w:rsidRPr="0059377F">
        <w:rPr>
          <w:rFonts w:ascii="Arial" w:hAnsi="Arial" w:cs="Arial"/>
          <w:sz w:val="20"/>
          <w:szCs w:val="20"/>
        </w:rPr>
        <w:t>esponse paper</w:t>
      </w:r>
      <w:r w:rsidR="00EF65DC">
        <w:rPr>
          <w:rFonts w:ascii="Arial" w:hAnsi="Arial" w:cs="Arial"/>
          <w:sz w:val="20"/>
          <w:szCs w:val="20"/>
        </w:rPr>
        <w:t>, ‘</w:t>
      </w:r>
      <w:r w:rsidR="00EF65DC">
        <w:rPr>
          <w:rFonts w:ascii="Arial" w:hAnsi="Arial" w:cs="Arial"/>
          <w:i/>
          <w:sz w:val="20"/>
          <w:szCs w:val="20"/>
        </w:rPr>
        <w:t>Review of the 2.5 GHz band and long-term arrangements for ENG – Response to Submissions’</w:t>
      </w:r>
      <w:r w:rsidRPr="0059377F">
        <w:rPr>
          <w:rFonts w:ascii="Arial" w:hAnsi="Arial" w:cs="Arial"/>
          <w:sz w:val="20"/>
          <w:szCs w:val="20"/>
        </w:rPr>
        <w:t xml:space="preserve"> which summarise</w:t>
      </w:r>
      <w:r>
        <w:rPr>
          <w:rFonts w:ascii="Arial" w:hAnsi="Arial" w:cs="Arial"/>
          <w:sz w:val="20"/>
          <w:szCs w:val="20"/>
        </w:rPr>
        <w:t>d</w:t>
      </w:r>
      <w:r w:rsidRPr="0059377F">
        <w:rPr>
          <w:rFonts w:ascii="Arial" w:hAnsi="Arial" w:cs="Arial"/>
          <w:sz w:val="20"/>
          <w:szCs w:val="20"/>
        </w:rPr>
        <w:t xml:space="preserve"> </w:t>
      </w:r>
      <w:r w:rsidR="00EF65DC">
        <w:rPr>
          <w:rFonts w:ascii="Arial" w:hAnsi="Arial" w:cs="Arial"/>
          <w:sz w:val="20"/>
          <w:szCs w:val="20"/>
        </w:rPr>
        <w:t xml:space="preserve">the </w:t>
      </w:r>
      <w:r w:rsidRPr="0059377F">
        <w:rPr>
          <w:rFonts w:ascii="Arial" w:hAnsi="Arial" w:cs="Arial"/>
          <w:sz w:val="20"/>
          <w:szCs w:val="20"/>
        </w:rPr>
        <w:t xml:space="preserve">issues raised in response to the January </w:t>
      </w:r>
      <w:r w:rsidR="0099784B">
        <w:rPr>
          <w:rFonts w:ascii="Arial" w:hAnsi="Arial" w:cs="Arial"/>
          <w:sz w:val="20"/>
          <w:szCs w:val="20"/>
        </w:rPr>
        <w:t xml:space="preserve">2010 </w:t>
      </w:r>
      <w:r w:rsidRPr="0059377F">
        <w:rPr>
          <w:rFonts w:ascii="Arial" w:hAnsi="Arial" w:cs="Arial"/>
          <w:sz w:val="20"/>
          <w:szCs w:val="20"/>
        </w:rPr>
        <w:t xml:space="preserve">discussion paper and </w:t>
      </w:r>
      <w:r w:rsidR="00EF65DC">
        <w:rPr>
          <w:rFonts w:ascii="Arial" w:hAnsi="Arial" w:cs="Arial"/>
          <w:sz w:val="20"/>
          <w:szCs w:val="20"/>
        </w:rPr>
        <w:t xml:space="preserve">set out </w:t>
      </w:r>
      <w:r w:rsidRPr="0059377F">
        <w:rPr>
          <w:rFonts w:ascii="Arial" w:hAnsi="Arial" w:cs="Arial"/>
          <w:sz w:val="20"/>
          <w:szCs w:val="20"/>
        </w:rPr>
        <w:t>the ACMA’s preliminary response to those issues</w:t>
      </w:r>
      <w:r w:rsidR="00EF65DC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20"/>
          <w:szCs w:val="20"/>
        </w:rPr>
        <w:footnoteReference w:id="3"/>
      </w:r>
    </w:p>
    <w:p w:rsidR="00FB7975" w:rsidRDefault="00FB7975" w:rsidP="00384359">
      <w:pPr>
        <w:pStyle w:val="ACMABodyText"/>
        <w:spacing w:line="360" w:lineRule="auto"/>
        <w:jc w:val="both"/>
        <w:rPr>
          <w:rFonts w:ascii="Arial" w:hAnsi="Arial" w:cs="Arial"/>
          <w:sz w:val="20"/>
        </w:rPr>
      </w:pPr>
      <w:r w:rsidRPr="00587FC7">
        <w:rPr>
          <w:rFonts w:ascii="Arial" w:hAnsi="Arial" w:cs="Arial"/>
          <w:sz w:val="20"/>
        </w:rPr>
        <w:t xml:space="preserve">To </w:t>
      </w:r>
      <w:r w:rsidR="00266B05" w:rsidRPr="00587FC7">
        <w:rPr>
          <w:rFonts w:ascii="Arial" w:hAnsi="Arial" w:cs="Arial"/>
          <w:sz w:val="20"/>
        </w:rPr>
        <w:t xml:space="preserve">provide long term access in the 2.5 GHz Mid-band Gap the ACMA proposed to convert the </w:t>
      </w:r>
      <w:r w:rsidR="00587FC7" w:rsidRPr="00587FC7">
        <w:rPr>
          <w:rFonts w:ascii="Arial" w:hAnsi="Arial" w:cs="Arial"/>
          <w:sz w:val="20"/>
        </w:rPr>
        <w:t>ENG/</w:t>
      </w:r>
      <w:r w:rsidR="00266B05" w:rsidRPr="00587FC7">
        <w:rPr>
          <w:rFonts w:ascii="Arial" w:hAnsi="Arial" w:cs="Arial"/>
          <w:sz w:val="20"/>
        </w:rPr>
        <w:t>T</w:t>
      </w:r>
      <w:r w:rsidR="00587FC7" w:rsidRPr="00587FC7">
        <w:rPr>
          <w:rFonts w:ascii="Arial" w:hAnsi="Arial" w:cs="Arial"/>
          <w:sz w:val="20"/>
        </w:rPr>
        <w:t>V</w:t>
      </w:r>
      <w:r w:rsidR="00266B05" w:rsidRPr="00587FC7">
        <w:rPr>
          <w:rFonts w:ascii="Arial" w:hAnsi="Arial" w:cs="Arial"/>
          <w:sz w:val="20"/>
        </w:rPr>
        <w:t xml:space="preserve">OB apparatus licences in the 2.5 GHz Mid-band Gap to spectrum licences. </w:t>
      </w:r>
      <w:r w:rsidR="00587FC7" w:rsidRPr="00587FC7">
        <w:rPr>
          <w:rFonts w:ascii="Arial" w:hAnsi="Arial" w:cs="Arial"/>
          <w:sz w:val="20"/>
        </w:rPr>
        <w:t xml:space="preserve">To </w:t>
      </w:r>
      <w:r w:rsidRPr="00587FC7">
        <w:rPr>
          <w:rFonts w:ascii="Arial" w:hAnsi="Arial" w:cs="Arial"/>
          <w:sz w:val="20"/>
        </w:rPr>
        <w:t xml:space="preserve">enable </w:t>
      </w:r>
      <w:r w:rsidR="00587FC7" w:rsidRPr="00587FC7">
        <w:rPr>
          <w:rFonts w:ascii="Arial" w:hAnsi="Arial" w:cs="Arial"/>
          <w:sz w:val="20"/>
        </w:rPr>
        <w:t xml:space="preserve">the conversion to </w:t>
      </w:r>
      <w:r w:rsidRPr="00587FC7">
        <w:rPr>
          <w:rFonts w:ascii="Arial" w:hAnsi="Arial" w:cs="Arial"/>
          <w:sz w:val="20"/>
        </w:rPr>
        <w:t xml:space="preserve">spectrum </w:t>
      </w:r>
      <w:r w:rsidR="00587FC7" w:rsidRPr="00587FC7">
        <w:rPr>
          <w:rFonts w:ascii="Arial" w:hAnsi="Arial" w:cs="Arial"/>
          <w:sz w:val="20"/>
        </w:rPr>
        <w:t>licensing</w:t>
      </w:r>
      <w:r w:rsidRPr="00587FC7">
        <w:rPr>
          <w:rFonts w:ascii="Arial" w:hAnsi="Arial" w:cs="Arial"/>
          <w:sz w:val="20"/>
        </w:rPr>
        <w:t xml:space="preserve"> the ACMA </w:t>
      </w:r>
      <w:r w:rsidR="00EF65DC">
        <w:rPr>
          <w:rFonts w:ascii="Arial" w:hAnsi="Arial" w:cs="Arial"/>
          <w:sz w:val="20"/>
        </w:rPr>
        <w:t xml:space="preserve">is required </w:t>
      </w:r>
      <w:r w:rsidRPr="00587FC7">
        <w:rPr>
          <w:rFonts w:ascii="Arial" w:hAnsi="Arial" w:cs="Arial"/>
          <w:sz w:val="20"/>
        </w:rPr>
        <w:t xml:space="preserve">to put in place a spectrum licence technical framework for the 2.5 GHz </w:t>
      </w:r>
      <w:r w:rsidR="00587FC7" w:rsidRPr="00587FC7">
        <w:rPr>
          <w:rFonts w:ascii="Arial" w:hAnsi="Arial" w:cs="Arial"/>
          <w:sz w:val="20"/>
        </w:rPr>
        <w:t>Mid-</w:t>
      </w:r>
      <w:r w:rsidRPr="00587FC7">
        <w:rPr>
          <w:rFonts w:ascii="Arial" w:hAnsi="Arial" w:cs="Arial"/>
          <w:sz w:val="20"/>
        </w:rPr>
        <w:t>band</w:t>
      </w:r>
      <w:r w:rsidR="00587FC7" w:rsidRPr="00587FC7">
        <w:rPr>
          <w:rFonts w:ascii="Arial" w:hAnsi="Arial" w:cs="Arial"/>
          <w:sz w:val="20"/>
        </w:rPr>
        <w:t xml:space="preserve"> Gap</w:t>
      </w:r>
      <w:r w:rsidRPr="00587FC7">
        <w:rPr>
          <w:rFonts w:ascii="Arial" w:hAnsi="Arial" w:cs="Arial"/>
          <w:sz w:val="20"/>
        </w:rPr>
        <w:t xml:space="preserve">. The technical framework will define a spectrum licensee’s rights and obligations and provide an interference management framework for the 2.5 GHz </w:t>
      </w:r>
      <w:r w:rsidR="00587FC7" w:rsidRPr="00587FC7">
        <w:rPr>
          <w:rFonts w:ascii="Arial" w:hAnsi="Arial" w:cs="Arial"/>
          <w:sz w:val="20"/>
        </w:rPr>
        <w:t>Mid-</w:t>
      </w:r>
      <w:r w:rsidRPr="00587FC7">
        <w:rPr>
          <w:rFonts w:ascii="Arial" w:hAnsi="Arial" w:cs="Arial"/>
          <w:sz w:val="20"/>
        </w:rPr>
        <w:t>band</w:t>
      </w:r>
      <w:r w:rsidR="00587FC7" w:rsidRPr="00587FC7">
        <w:rPr>
          <w:rFonts w:ascii="Arial" w:hAnsi="Arial" w:cs="Arial"/>
          <w:sz w:val="20"/>
        </w:rPr>
        <w:t xml:space="preserve"> Gap</w:t>
      </w:r>
      <w:r w:rsidRPr="00587FC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FB7975" w:rsidRPr="00384359" w:rsidRDefault="00FB7975" w:rsidP="00384359">
      <w:pPr>
        <w:pStyle w:val="ACMABodyText"/>
        <w:spacing w:line="360" w:lineRule="auto"/>
        <w:jc w:val="both"/>
        <w:rPr>
          <w:rFonts w:ascii="Arial" w:hAnsi="Arial" w:cs="Arial"/>
          <w:sz w:val="20"/>
        </w:rPr>
      </w:pPr>
      <w:r w:rsidRPr="00384359">
        <w:rPr>
          <w:rFonts w:ascii="Arial" w:hAnsi="Arial" w:cs="Arial"/>
          <w:sz w:val="20"/>
        </w:rPr>
        <w:t xml:space="preserve">The Advisory Guidelines are part of a set of legal instruments which will give effect to the </w:t>
      </w:r>
      <w:r w:rsidRPr="006F0C25">
        <w:rPr>
          <w:rFonts w:ascii="Arial" w:hAnsi="Arial" w:cs="Arial"/>
          <w:sz w:val="20"/>
        </w:rPr>
        <w:t xml:space="preserve">spectrum licence framework applicable to the 2.5 GHz </w:t>
      </w:r>
      <w:r w:rsidR="00587FC7">
        <w:rPr>
          <w:rFonts w:ascii="Arial" w:hAnsi="Arial" w:cs="Arial"/>
          <w:sz w:val="20"/>
        </w:rPr>
        <w:t>Mid-</w:t>
      </w:r>
      <w:r w:rsidRPr="006F0C25">
        <w:rPr>
          <w:rFonts w:ascii="Arial" w:hAnsi="Arial" w:cs="Arial"/>
          <w:sz w:val="20"/>
        </w:rPr>
        <w:t>band</w:t>
      </w:r>
      <w:r w:rsidR="00587FC7">
        <w:rPr>
          <w:rFonts w:ascii="Arial" w:hAnsi="Arial" w:cs="Arial"/>
          <w:sz w:val="20"/>
        </w:rPr>
        <w:t xml:space="preserve"> Gap</w:t>
      </w:r>
      <w:r w:rsidRPr="006F0C25">
        <w:rPr>
          <w:rFonts w:ascii="Arial" w:hAnsi="Arial" w:cs="Arial"/>
          <w:sz w:val="20"/>
        </w:rPr>
        <w:t xml:space="preserve">. The </w:t>
      </w:r>
      <w:r w:rsidR="00EF65DC">
        <w:rPr>
          <w:rFonts w:ascii="Arial" w:hAnsi="Arial" w:cs="Arial"/>
          <w:sz w:val="20"/>
        </w:rPr>
        <w:t xml:space="preserve">other </w:t>
      </w:r>
      <w:r w:rsidRPr="006F0C25">
        <w:rPr>
          <w:rFonts w:ascii="Arial" w:hAnsi="Arial" w:cs="Arial"/>
          <w:sz w:val="20"/>
        </w:rPr>
        <w:t xml:space="preserve">instruments required for this purpose </w:t>
      </w:r>
      <w:r w:rsidR="009C3E44">
        <w:rPr>
          <w:rFonts w:ascii="Arial" w:hAnsi="Arial" w:cs="Arial"/>
          <w:sz w:val="20"/>
        </w:rPr>
        <w:t>are</w:t>
      </w:r>
      <w:r w:rsidRPr="006F0C25">
        <w:rPr>
          <w:rFonts w:ascii="Arial" w:hAnsi="Arial" w:cs="Arial"/>
          <w:sz w:val="20"/>
        </w:rPr>
        <w:t xml:space="preserve"> listed below:</w:t>
      </w:r>
    </w:p>
    <w:p w:rsidR="00EC1443" w:rsidRDefault="00FB7975">
      <w:pPr>
        <w:pStyle w:val="ACMABodyTex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</w:rPr>
      </w:pPr>
      <w:r w:rsidRPr="004F4310">
        <w:rPr>
          <w:rFonts w:ascii="Arial" w:hAnsi="Arial" w:cs="Arial"/>
          <w:i/>
          <w:sz w:val="20"/>
        </w:rPr>
        <w:t>Radiocommunications (Spectrum Designation) Notice No. 1 of 2012</w:t>
      </w:r>
      <w:r w:rsidRPr="004F4310">
        <w:rPr>
          <w:rFonts w:ascii="Arial" w:hAnsi="Arial" w:cs="Arial"/>
          <w:sz w:val="20"/>
        </w:rPr>
        <w:t>;</w:t>
      </w:r>
    </w:p>
    <w:p w:rsidR="00EC1443" w:rsidRDefault="00FB7975">
      <w:pPr>
        <w:pStyle w:val="ACMABodyTex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</w:rPr>
      </w:pPr>
      <w:r w:rsidRPr="004F4310">
        <w:rPr>
          <w:rFonts w:ascii="Arial" w:hAnsi="Arial" w:cs="Arial"/>
          <w:i/>
          <w:sz w:val="20"/>
        </w:rPr>
        <w:t xml:space="preserve">Radiocommunications Spectrum </w:t>
      </w:r>
      <w:r w:rsidR="007F272B">
        <w:rPr>
          <w:rFonts w:ascii="Arial" w:hAnsi="Arial" w:cs="Arial"/>
          <w:i/>
          <w:sz w:val="20"/>
        </w:rPr>
        <w:t>Conversion</w:t>
      </w:r>
      <w:r w:rsidR="007F272B" w:rsidRPr="004F4310">
        <w:rPr>
          <w:rFonts w:ascii="Arial" w:hAnsi="Arial" w:cs="Arial"/>
          <w:i/>
          <w:sz w:val="20"/>
        </w:rPr>
        <w:t xml:space="preserve"> </w:t>
      </w:r>
      <w:r w:rsidRPr="004F4310">
        <w:rPr>
          <w:rFonts w:ascii="Arial" w:hAnsi="Arial" w:cs="Arial"/>
          <w:i/>
          <w:sz w:val="20"/>
        </w:rPr>
        <w:t xml:space="preserve">Plan (2.5 GHz </w:t>
      </w:r>
      <w:r w:rsidR="007F272B">
        <w:rPr>
          <w:rFonts w:ascii="Arial" w:hAnsi="Arial" w:cs="Arial"/>
          <w:i/>
          <w:sz w:val="20"/>
        </w:rPr>
        <w:t>Mid-b</w:t>
      </w:r>
      <w:r w:rsidRPr="004F4310">
        <w:rPr>
          <w:rFonts w:ascii="Arial" w:hAnsi="Arial" w:cs="Arial"/>
          <w:i/>
          <w:sz w:val="20"/>
        </w:rPr>
        <w:t>and</w:t>
      </w:r>
      <w:r w:rsidR="007F272B">
        <w:rPr>
          <w:rFonts w:ascii="Arial" w:hAnsi="Arial" w:cs="Arial"/>
          <w:i/>
          <w:sz w:val="20"/>
        </w:rPr>
        <w:t xml:space="preserve"> Gap</w:t>
      </w:r>
      <w:r w:rsidRPr="004F4310">
        <w:rPr>
          <w:rFonts w:ascii="Arial" w:hAnsi="Arial" w:cs="Arial"/>
          <w:i/>
          <w:sz w:val="20"/>
        </w:rPr>
        <w:t>) 2012</w:t>
      </w:r>
      <w:r w:rsidRPr="004F4310">
        <w:rPr>
          <w:rFonts w:ascii="Arial" w:hAnsi="Arial" w:cs="Arial"/>
          <w:sz w:val="20"/>
        </w:rPr>
        <w:t>;</w:t>
      </w:r>
    </w:p>
    <w:p w:rsidR="00EC1443" w:rsidRDefault="00FB7975">
      <w:pPr>
        <w:pStyle w:val="ACMABodyTex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</w:rPr>
      </w:pPr>
      <w:r w:rsidRPr="004F4310">
        <w:rPr>
          <w:rFonts w:ascii="Arial" w:hAnsi="Arial" w:cs="Arial"/>
          <w:i/>
          <w:sz w:val="20"/>
        </w:rPr>
        <w:t xml:space="preserve">Radiocommunications (Unacceptable Levels of Interference — 2.5 GHz </w:t>
      </w:r>
      <w:r w:rsidR="007F272B">
        <w:rPr>
          <w:rFonts w:ascii="Arial" w:hAnsi="Arial" w:cs="Arial"/>
          <w:i/>
          <w:sz w:val="20"/>
        </w:rPr>
        <w:t>Mid-b</w:t>
      </w:r>
      <w:r w:rsidRPr="004F4310">
        <w:rPr>
          <w:rFonts w:ascii="Arial" w:hAnsi="Arial" w:cs="Arial"/>
          <w:i/>
          <w:sz w:val="20"/>
        </w:rPr>
        <w:t>and</w:t>
      </w:r>
      <w:r w:rsidR="007F272B">
        <w:rPr>
          <w:rFonts w:ascii="Arial" w:hAnsi="Arial" w:cs="Arial"/>
          <w:i/>
          <w:sz w:val="20"/>
        </w:rPr>
        <w:t xml:space="preserve"> Gap</w:t>
      </w:r>
      <w:r w:rsidRPr="004F4310">
        <w:rPr>
          <w:rFonts w:ascii="Arial" w:hAnsi="Arial" w:cs="Arial"/>
          <w:i/>
          <w:sz w:val="20"/>
        </w:rPr>
        <w:t>) Determination 2012</w:t>
      </w:r>
      <w:r w:rsidRPr="004F4310">
        <w:rPr>
          <w:rFonts w:ascii="Arial" w:hAnsi="Arial" w:cs="Arial"/>
          <w:sz w:val="20"/>
        </w:rPr>
        <w:t>;</w:t>
      </w:r>
      <w:r w:rsidR="00EF65DC">
        <w:rPr>
          <w:rFonts w:ascii="Arial" w:hAnsi="Arial" w:cs="Arial"/>
          <w:sz w:val="20"/>
        </w:rPr>
        <w:t xml:space="preserve"> and </w:t>
      </w:r>
    </w:p>
    <w:p w:rsidR="00EC1443" w:rsidRDefault="00FB7975">
      <w:pPr>
        <w:pStyle w:val="ACMABodyTex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i/>
          <w:sz w:val="20"/>
        </w:rPr>
      </w:pPr>
      <w:r w:rsidRPr="004F4310">
        <w:rPr>
          <w:rFonts w:ascii="Arial" w:hAnsi="Arial" w:cs="Arial"/>
          <w:i/>
          <w:sz w:val="20"/>
        </w:rPr>
        <w:lastRenderedPageBreak/>
        <w:t xml:space="preserve">Radiocommunications Advisory Guidelines (Managing Interference to Receivers – 2.5 GHz </w:t>
      </w:r>
      <w:r w:rsidR="007F272B">
        <w:rPr>
          <w:rFonts w:ascii="Arial" w:hAnsi="Arial" w:cs="Arial"/>
          <w:i/>
          <w:sz w:val="20"/>
        </w:rPr>
        <w:t>Mid-b</w:t>
      </w:r>
      <w:r w:rsidRPr="004F4310">
        <w:rPr>
          <w:rFonts w:ascii="Arial" w:hAnsi="Arial" w:cs="Arial"/>
          <w:i/>
          <w:sz w:val="20"/>
        </w:rPr>
        <w:t>and</w:t>
      </w:r>
      <w:r w:rsidR="007F272B">
        <w:rPr>
          <w:rFonts w:ascii="Arial" w:hAnsi="Arial" w:cs="Arial"/>
          <w:i/>
          <w:sz w:val="20"/>
        </w:rPr>
        <w:t xml:space="preserve"> Gap</w:t>
      </w:r>
      <w:r w:rsidRPr="004F4310">
        <w:rPr>
          <w:rFonts w:ascii="Arial" w:hAnsi="Arial" w:cs="Arial"/>
          <w:i/>
          <w:sz w:val="20"/>
        </w:rPr>
        <w:t>) 2012.</w:t>
      </w:r>
    </w:p>
    <w:p w:rsidR="00FB7975" w:rsidRDefault="00FB7975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>Operation</w:t>
      </w:r>
    </w:p>
    <w:p w:rsidR="00FB7975" w:rsidRDefault="00FB7975" w:rsidP="001E0522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Advisory Guidelines are part of the </w:t>
      </w:r>
      <w:r w:rsidRPr="00EA4C4C">
        <w:rPr>
          <w:rFonts w:ascii="Arial" w:hAnsi="Arial" w:cs="Arial"/>
          <w:sz w:val="20"/>
          <w:szCs w:val="20"/>
        </w:rPr>
        <w:t xml:space="preserve">technical framework </w:t>
      </w:r>
      <w:r>
        <w:rPr>
          <w:rFonts w:ascii="Arial" w:hAnsi="Arial" w:cs="Arial"/>
          <w:sz w:val="20"/>
          <w:szCs w:val="20"/>
        </w:rPr>
        <w:t xml:space="preserve">that the ACMA is implementing to enable </w:t>
      </w:r>
      <w:r w:rsidR="007F272B">
        <w:rPr>
          <w:rFonts w:ascii="Arial" w:hAnsi="Arial" w:cs="Arial"/>
          <w:sz w:val="20"/>
          <w:szCs w:val="20"/>
        </w:rPr>
        <w:t>ENG</w:t>
      </w:r>
      <w:r w:rsidR="0030006C">
        <w:rPr>
          <w:rFonts w:ascii="Arial" w:hAnsi="Arial" w:cs="Arial"/>
          <w:sz w:val="20"/>
          <w:szCs w:val="20"/>
        </w:rPr>
        <w:t>/TVOB</w:t>
      </w:r>
      <w:r>
        <w:rPr>
          <w:rFonts w:ascii="Arial" w:hAnsi="Arial" w:cs="Arial"/>
          <w:sz w:val="20"/>
          <w:szCs w:val="20"/>
        </w:rPr>
        <w:t xml:space="preserve"> to be supported in</w:t>
      </w:r>
      <w:r w:rsidRPr="00EA4C4C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2.5 GHz</w:t>
      </w:r>
      <w:r w:rsidRPr="00EA4C4C">
        <w:rPr>
          <w:rFonts w:ascii="Arial" w:hAnsi="Arial" w:cs="Arial"/>
          <w:sz w:val="20"/>
          <w:szCs w:val="20"/>
        </w:rPr>
        <w:t xml:space="preserve"> </w:t>
      </w:r>
      <w:r w:rsidR="007F272B">
        <w:rPr>
          <w:rFonts w:ascii="Arial" w:hAnsi="Arial" w:cs="Arial"/>
          <w:sz w:val="20"/>
          <w:szCs w:val="20"/>
        </w:rPr>
        <w:t>Mid-</w:t>
      </w:r>
      <w:r w:rsidRPr="00EA4C4C">
        <w:rPr>
          <w:rFonts w:ascii="Arial" w:hAnsi="Arial" w:cs="Arial"/>
          <w:sz w:val="20"/>
          <w:szCs w:val="20"/>
        </w:rPr>
        <w:t>band</w:t>
      </w:r>
      <w:r w:rsidR="007F272B">
        <w:rPr>
          <w:rFonts w:ascii="Arial" w:hAnsi="Arial" w:cs="Arial"/>
          <w:sz w:val="20"/>
          <w:szCs w:val="20"/>
        </w:rPr>
        <w:t xml:space="preserve"> Gap under spectrum licensing</w:t>
      </w:r>
      <w:r w:rsidRPr="00EA4C4C">
        <w:rPr>
          <w:rFonts w:ascii="Arial" w:hAnsi="Arial" w:cs="Arial"/>
          <w:sz w:val="20"/>
          <w:szCs w:val="20"/>
        </w:rPr>
        <w:t>.</w:t>
      </w:r>
    </w:p>
    <w:p w:rsidR="008C28DF" w:rsidRDefault="008C28DF" w:rsidP="008C28DF">
      <w:pPr>
        <w:spacing w:after="240" w:line="360" w:lineRule="auto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The Advisory Guidelines aim to manage the potential for unwanted emissions, blocking and intermodulation products caused by  </w:t>
      </w:r>
      <w:r w:rsidR="00946CF7">
        <w:rPr>
          <w:rFonts w:ascii="Arial" w:hAnsi="Arial" w:cs="Arial"/>
          <w:sz w:val="20"/>
          <w:szCs w:val="20"/>
        </w:rPr>
        <w:t xml:space="preserve">radiocommunications </w:t>
      </w:r>
      <w:r>
        <w:rPr>
          <w:rFonts w:ascii="Arial" w:hAnsi="Arial" w:cs="Arial"/>
          <w:sz w:val="20"/>
          <w:szCs w:val="20"/>
        </w:rPr>
        <w:t xml:space="preserve">transmitters operating under a spectrum licence in the </w:t>
      </w:r>
      <w:r w:rsidR="00652DC1">
        <w:rPr>
          <w:rFonts w:ascii="Arial" w:hAnsi="Arial" w:cs="Arial"/>
          <w:sz w:val="20"/>
          <w:szCs w:val="20"/>
        </w:rPr>
        <w:t xml:space="preserve">2.5 GHz </w:t>
      </w:r>
      <w:r>
        <w:rPr>
          <w:rFonts w:ascii="Arial" w:hAnsi="Arial" w:cs="Arial"/>
          <w:sz w:val="20"/>
          <w:szCs w:val="20"/>
        </w:rPr>
        <w:t>Mid-band Gap.  These transmitters have the potential to interfere with radiocommunications receivers of differen</w:t>
      </w:r>
      <w:r w:rsidR="009C3E44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services including: </w:t>
      </w:r>
    </w:p>
    <w:p w:rsidR="00FB7975" w:rsidRDefault="00DA116A" w:rsidP="002623B0">
      <w:pPr>
        <w:pStyle w:val="ACMABodyText"/>
        <w:numPr>
          <w:ilvl w:val="0"/>
          <w:numId w:val="22"/>
        </w:num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="00FB7975" w:rsidRPr="001D6BBA">
        <w:rPr>
          <w:rFonts w:ascii="Arial" w:hAnsi="Arial"/>
          <w:sz w:val="20"/>
        </w:rPr>
        <w:t>ixed services, such as point-to-point links authorised under apparatus licences and operating in spectrum adjacent to the spectrum licensed 2.</w:t>
      </w:r>
      <w:r w:rsidR="00FB7975">
        <w:rPr>
          <w:rFonts w:ascii="Arial" w:hAnsi="Arial"/>
          <w:sz w:val="20"/>
        </w:rPr>
        <w:t>5</w:t>
      </w:r>
      <w:r w:rsidR="00FB7975" w:rsidRPr="001D6BBA">
        <w:rPr>
          <w:rFonts w:ascii="Arial" w:hAnsi="Arial"/>
          <w:sz w:val="20"/>
        </w:rPr>
        <w:t xml:space="preserve"> GHz </w:t>
      </w:r>
      <w:r w:rsidR="00DB3ABC">
        <w:rPr>
          <w:rFonts w:ascii="Arial" w:hAnsi="Arial"/>
          <w:sz w:val="20"/>
        </w:rPr>
        <w:t>Mid-</w:t>
      </w:r>
      <w:r w:rsidR="00FB7975" w:rsidRPr="001D6BBA">
        <w:rPr>
          <w:rFonts w:ascii="Arial" w:hAnsi="Arial"/>
          <w:sz w:val="20"/>
        </w:rPr>
        <w:t>band</w:t>
      </w:r>
      <w:r w:rsidR="00DB3ABC">
        <w:rPr>
          <w:rFonts w:ascii="Arial" w:hAnsi="Arial"/>
          <w:sz w:val="20"/>
        </w:rPr>
        <w:t xml:space="preserve"> Gap</w:t>
      </w:r>
      <w:r w:rsidR="00FB7975" w:rsidRPr="001D6BBA">
        <w:rPr>
          <w:rFonts w:ascii="Arial" w:hAnsi="Arial"/>
          <w:sz w:val="20"/>
        </w:rPr>
        <w:t>;</w:t>
      </w:r>
    </w:p>
    <w:p w:rsidR="00FB7975" w:rsidRDefault="00DA116A" w:rsidP="002623B0">
      <w:pPr>
        <w:pStyle w:val="ACMABodyText"/>
        <w:numPr>
          <w:ilvl w:val="0"/>
          <w:numId w:val="22"/>
        </w:num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</w:t>
      </w:r>
      <w:r w:rsidR="00FB7975" w:rsidRPr="001D6BBA">
        <w:rPr>
          <w:rFonts w:ascii="Arial" w:hAnsi="Arial"/>
          <w:sz w:val="20"/>
        </w:rPr>
        <w:t>pace services</w:t>
      </w:r>
      <w:r>
        <w:rPr>
          <w:rFonts w:ascii="Arial" w:hAnsi="Arial"/>
          <w:sz w:val="20"/>
        </w:rPr>
        <w:t>,</w:t>
      </w:r>
      <w:r w:rsidR="00FB7975" w:rsidRPr="001D6BBA">
        <w:rPr>
          <w:rFonts w:ascii="Arial" w:hAnsi="Arial"/>
          <w:sz w:val="20"/>
        </w:rPr>
        <w:t xml:space="preserve"> including space research systems receiving signals from deep space in spectrum below the spectrum licensed 2.</w:t>
      </w:r>
      <w:r w:rsidR="00FB7975">
        <w:rPr>
          <w:rFonts w:ascii="Arial" w:hAnsi="Arial"/>
          <w:sz w:val="20"/>
        </w:rPr>
        <w:t>5</w:t>
      </w:r>
      <w:r w:rsidR="00FB7975" w:rsidRPr="001D6BBA">
        <w:rPr>
          <w:rFonts w:ascii="Arial" w:hAnsi="Arial"/>
          <w:sz w:val="20"/>
        </w:rPr>
        <w:t xml:space="preserve"> GHz </w:t>
      </w:r>
      <w:r w:rsidR="00DB3ABC">
        <w:rPr>
          <w:rFonts w:ascii="Arial" w:hAnsi="Arial"/>
          <w:sz w:val="20"/>
        </w:rPr>
        <w:t>Mid-</w:t>
      </w:r>
      <w:r w:rsidR="00FB7975" w:rsidRPr="001D6BBA">
        <w:rPr>
          <w:rFonts w:ascii="Arial" w:hAnsi="Arial"/>
          <w:sz w:val="20"/>
        </w:rPr>
        <w:t>band</w:t>
      </w:r>
      <w:r w:rsidR="00DB3ABC">
        <w:rPr>
          <w:rFonts w:ascii="Arial" w:hAnsi="Arial"/>
          <w:sz w:val="20"/>
        </w:rPr>
        <w:t xml:space="preserve"> Gap</w:t>
      </w:r>
      <w:r w:rsidR="00FB7975" w:rsidRPr="001D6BBA">
        <w:rPr>
          <w:rFonts w:ascii="Arial" w:hAnsi="Arial"/>
          <w:sz w:val="20"/>
        </w:rPr>
        <w:t>; and</w:t>
      </w:r>
    </w:p>
    <w:p w:rsidR="00FB7975" w:rsidRDefault="00DA116A" w:rsidP="002623B0">
      <w:pPr>
        <w:pStyle w:val="ACMABodyText"/>
        <w:numPr>
          <w:ilvl w:val="0"/>
          <w:numId w:val="22"/>
        </w:num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</w:t>
      </w:r>
      <w:r w:rsidR="00FB7975">
        <w:rPr>
          <w:rFonts w:ascii="Arial" w:hAnsi="Arial"/>
          <w:sz w:val="20"/>
        </w:rPr>
        <w:t>adiolocation r</w:t>
      </w:r>
      <w:r w:rsidR="00FB7975" w:rsidRPr="001D6BBA">
        <w:rPr>
          <w:rFonts w:ascii="Arial" w:hAnsi="Arial"/>
          <w:sz w:val="20"/>
        </w:rPr>
        <w:t xml:space="preserve">eceivers authorised for use under </w:t>
      </w:r>
      <w:r w:rsidR="00FB7975">
        <w:rPr>
          <w:rFonts w:ascii="Arial" w:hAnsi="Arial"/>
          <w:sz w:val="20"/>
        </w:rPr>
        <w:t>apparatus</w:t>
      </w:r>
      <w:r w:rsidR="00FB7975" w:rsidRPr="001D6BBA">
        <w:rPr>
          <w:rFonts w:ascii="Arial" w:hAnsi="Arial"/>
          <w:sz w:val="20"/>
        </w:rPr>
        <w:t xml:space="preserve"> licences in the band 2</w:t>
      </w:r>
      <w:r w:rsidR="00FB7975">
        <w:rPr>
          <w:rFonts w:ascii="Arial" w:hAnsi="Arial"/>
          <w:sz w:val="20"/>
        </w:rPr>
        <w:t>7</w:t>
      </w:r>
      <w:r w:rsidR="00FB7975" w:rsidRPr="001D6BBA">
        <w:rPr>
          <w:rFonts w:ascii="Arial" w:hAnsi="Arial"/>
          <w:sz w:val="20"/>
        </w:rPr>
        <w:t>00-2</w:t>
      </w:r>
      <w:r w:rsidR="00FB7975">
        <w:rPr>
          <w:rFonts w:ascii="Arial" w:hAnsi="Arial"/>
          <w:sz w:val="20"/>
        </w:rPr>
        <w:t>800</w:t>
      </w:r>
      <w:r w:rsidR="00FB7975" w:rsidRPr="001D6BBA">
        <w:rPr>
          <w:rFonts w:ascii="Arial" w:hAnsi="Arial"/>
          <w:sz w:val="20"/>
        </w:rPr>
        <w:t xml:space="preserve"> MHz, above the spectrum licensed 2.</w:t>
      </w:r>
      <w:r w:rsidR="00FB7975">
        <w:rPr>
          <w:rFonts w:ascii="Arial" w:hAnsi="Arial"/>
          <w:sz w:val="20"/>
        </w:rPr>
        <w:t>5</w:t>
      </w:r>
      <w:r w:rsidR="00FB7975" w:rsidRPr="001D6BBA">
        <w:rPr>
          <w:rFonts w:ascii="Arial" w:hAnsi="Arial"/>
          <w:sz w:val="20"/>
        </w:rPr>
        <w:t xml:space="preserve"> GHz </w:t>
      </w:r>
      <w:r w:rsidR="00DB3ABC">
        <w:rPr>
          <w:rFonts w:ascii="Arial" w:hAnsi="Arial"/>
          <w:sz w:val="20"/>
        </w:rPr>
        <w:t>Mid-</w:t>
      </w:r>
      <w:r w:rsidR="00FB7975" w:rsidRPr="001D6BBA">
        <w:rPr>
          <w:rFonts w:ascii="Arial" w:hAnsi="Arial"/>
          <w:sz w:val="20"/>
        </w:rPr>
        <w:t>band</w:t>
      </w:r>
      <w:r w:rsidR="00DB3ABC">
        <w:rPr>
          <w:rFonts w:ascii="Arial" w:hAnsi="Arial"/>
          <w:sz w:val="20"/>
        </w:rPr>
        <w:t xml:space="preserve"> Gap</w:t>
      </w:r>
      <w:r w:rsidR="00FB7975" w:rsidRPr="001D6BBA">
        <w:rPr>
          <w:rFonts w:ascii="Arial" w:hAnsi="Arial"/>
          <w:sz w:val="20"/>
        </w:rPr>
        <w:t>.</w:t>
      </w:r>
    </w:p>
    <w:p w:rsidR="008C28DF" w:rsidRDefault="00FB7975">
      <w:pPr>
        <w:pStyle w:val="ACMABodyText"/>
        <w:spacing w:line="360" w:lineRule="auto"/>
        <w:rPr>
          <w:rFonts w:ascii="Arial" w:hAnsi="Arial"/>
          <w:sz w:val="20"/>
        </w:rPr>
      </w:pPr>
      <w:r w:rsidRPr="001D6BBA">
        <w:rPr>
          <w:rFonts w:ascii="Arial" w:hAnsi="Arial"/>
          <w:sz w:val="20"/>
        </w:rPr>
        <w:t>The Advisory Guideline</w:t>
      </w:r>
      <w:r>
        <w:rPr>
          <w:rFonts w:ascii="Arial" w:hAnsi="Arial"/>
          <w:sz w:val="20"/>
        </w:rPr>
        <w:t xml:space="preserve">s </w:t>
      </w:r>
      <w:r w:rsidRPr="001D6BBA">
        <w:rPr>
          <w:rFonts w:ascii="Arial" w:hAnsi="Arial"/>
          <w:sz w:val="20"/>
        </w:rPr>
        <w:t xml:space="preserve">set out the technical parameters </w:t>
      </w:r>
      <w:r>
        <w:rPr>
          <w:rFonts w:ascii="Arial" w:hAnsi="Arial"/>
          <w:sz w:val="20"/>
        </w:rPr>
        <w:t xml:space="preserve">that </w:t>
      </w:r>
      <w:r w:rsidRPr="001D6BBA">
        <w:rPr>
          <w:rFonts w:ascii="Arial" w:hAnsi="Arial"/>
          <w:sz w:val="20"/>
        </w:rPr>
        <w:t xml:space="preserve">spectrum licensees </w:t>
      </w:r>
      <w:r>
        <w:rPr>
          <w:rFonts w:ascii="Arial" w:hAnsi="Arial"/>
          <w:sz w:val="20"/>
        </w:rPr>
        <w:t xml:space="preserve">should use </w:t>
      </w:r>
      <w:r w:rsidRPr="001D6BBA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assist in mitigating</w:t>
      </w:r>
      <w:r w:rsidRPr="001D6BBA">
        <w:rPr>
          <w:rFonts w:ascii="Arial" w:hAnsi="Arial"/>
          <w:sz w:val="20"/>
        </w:rPr>
        <w:t xml:space="preserve"> interference to receivers operating in or adjacent to the 2.</w:t>
      </w:r>
      <w:r>
        <w:rPr>
          <w:rFonts w:ascii="Arial" w:hAnsi="Arial"/>
          <w:sz w:val="20"/>
        </w:rPr>
        <w:t>5</w:t>
      </w:r>
      <w:r w:rsidRPr="001D6BBA">
        <w:rPr>
          <w:rFonts w:ascii="Arial" w:hAnsi="Arial"/>
          <w:sz w:val="20"/>
        </w:rPr>
        <w:t xml:space="preserve"> GHz </w:t>
      </w:r>
      <w:r w:rsidR="00481461">
        <w:rPr>
          <w:rFonts w:ascii="Arial" w:hAnsi="Arial"/>
          <w:sz w:val="20"/>
        </w:rPr>
        <w:t>Mid-</w:t>
      </w:r>
      <w:r w:rsidRPr="001D6BBA">
        <w:rPr>
          <w:rFonts w:ascii="Arial" w:hAnsi="Arial"/>
          <w:sz w:val="20"/>
        </w:rPr>
        <w:t>band</w:t>
      </w:r>
      <w:r w:rsidR="00481461">
        <w:rPr>
          <w:rFonts w:ascii="Arial" w:hAnsi="Arial"/>
          <w:sz w:val="20"/>
        </w:rPr>
        <w:t xml:space="preserve"> Gap</w:t>
      </w:r>
      <w:r w:rsidRPr="001D6BBA">
        <w:rPr>
          <w:rFonts w:ascii="Arial" w:hAnsi="Arial"/>
          <w:sz w:val="20"/>
        </w:rPr>
        <w:t xml:space="preserve">.  </w:t>
      </w:r>
    </w:p>
    <w:p w:rsidR="00FB7975" w:rsidRDefault="008C28DF">
      <w:pPr>
        <w:pStyle w:val="ACMABodyText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Operators of spectrum licensed services</w:t>
      </w:r>
      <w:r w:rsidR="000A74AD">
        <w:rPr>
          <w:rFonts w:ascii="Arial" w:hAnsi="Arial"/>
          <w:sz w:val="20"/>
        </w:rPr>
        <w:t xml:space="preserve"> </w:t>
      </w:r>
      <w:r w:rsidRPr="008C28DF">
        <w:rPr>
          <w:rFonts w:ascii="Arial" w:hAnsi="Arial"/>
          <w:sz w:val="20"/>
        </w:rPr>
        <w:t>and apparatus licensed services</w:t>
      </w:r>
      <w:r>
        <w:rPr>
          <w:rFonts w:ascii="Arial" w:hAnsi="Arial"/>
          <w:sz w:val="20"/>
        </w:rPr>
        <w:t xml:space="preserve"> should use the Advisory Guidelines in the planning of services or the resolution of interference.  </w:t>
      </w:r>
    </w:p>
    <w:p w:rsidR="00FB7975" w:rsidRDefault="00FB7975">
      <w:pPr>
        <w:pStyle w:val="ACMABodyText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Pr="001D6BBA">
        <w:rPr>
          <w:rFonts w:ascii="Arial" w:hAnsi="Arial"/>
          <w:sz w:val="20"/>
        </w:rPr>
        <w:t xml:space="preserve">ACMA </w:t>
      </w:r>
      <w:r>
        <w:rPr>
          <w:rFonts w:ascii="Arial" w:hAnsi="Arial"/>
          <w:sz w:val="20"/>
        </w:rPr>
        <w:t xml:space="preserve">will </w:t>
      </w:r>
      <w:r w:rsidRPr="001D6BBA">
        <w:rPr>
          <w:rFonts w:ascii="Arial" w:hAnsi="Arial"/>
          <w:sz w:val="20"/>
        </w:rPr>
        <w:t xml:space="preserve">take </w:t>
      </w:r>
      <w:r w:rsidR="008C28DF">
        <w:rPr>
          <w:rFonts w:ascii="Arial" w:hAnsi="Arial"/>
          <w:sz w:val="20"/>
        </w:rPr>
        <w:t xml:space="preserve">the </w:t>
      </w:r>
      <w:r w:rsidRPr="001D6BBA">
        <w:rPr>
          <w:rFonts w:ascii="Arial" w:hAnsi="Arial"/>
          <w:sz w:val="20"/>
        </w:rPr>
        <w:t>Advisory Guideline</w:t>
      </w:r>
      <w:r>
        <w:rPr>
          <w:rFonts w:ascii="Arial" w:hAnsi="Arial"/>
          <w:sz w:val="20"/>
        </w:rPr>
        <w:t>s</w:t>
      </w:r>
      <w:r w:rsidRPr="001D6BBA">
        <w:rPr>
          <w:rFonts w:ascii="Arial" w:hAnsi="Arial"/>
          <w:sz w:val="20"/>
        </w:rPr>
        <w:t xml:space="preserve"> into account when determining whether a spectrum licensee is causing interference to a </w:t>
      </w:r>
      <w:r w:rsidR="00780430">
        <w:rPr>
          <w:rFonts w:ascii="Arial" w:hAnsi="Arial"/>
          <w:sz w:val="20"/>
        </w:rPr>
        <w:t xml:space="preserve">radiocommunications </w:t>
      </w:r>
      <w:r w:rsidRPr="001D6BBA">
        <w:rPr>
          <w:rFonts w:ascii="Arial" w:hAnsi="Arial"/>
          <w:sz w:val="20"/>
        </w:rPr>
        <w:t>receiver that is</w:t>
      </w:r>
      <w:r w:rsidR="004725D8">
        <w:rPr>
          <w:rFonts w:ascii="Arial" w:hAnsi="Arial"/>
          <w:sz w:val="20"/>
        </w:rPr>
        <w:t xml:space="preserve"> being</w:t>
      </w:r>
      <w:r w:rsidRPr="001D6BBA">
        <w:rPr>
          <w:rFonts w:ascii="Arial" w:hAnsi="Arial"/>
          <w:sz w:val="20"/>
        </w:rPr>
        <w:t xml:space="preserve"> </w:t>
      </w:r>
      <w:r w:rsidR="004725D8" w:rsidRPr="001D6BBA">
        <w:rPr>
          <w:rFonts w:ascii="Arial" w:hAnsi="Arial"/>
          <w:sz w:val="20"/>
        </w:rPr>
        <w:t>operat</w:t>
      </w:r>
      <w:r w:rsidR="004725D8">
        <w:rPr>
          <w:rFonts w:ascii="Arial" w:hAnsi="Arial"/>
          <w:sz w:val="20"/>
        </w:rPr>
        <w:t>ed</w:t>
      </w:r>
      <w:r w:rsidR="004725D8" w:rsidRPr="001D6BBA">
        <w:rPr>
          <w:rFonts w:ascii="Arial" w:hAnsi="Arial"/>
          <w:sz w:val="20"/>
        </w:rPr>
        <w:t xml:space="preserve"> </w:t>
      </w:r>
      <w:r w:rsidRPr="001D6BBA">
        <w:rPr>
          <w:rFonts w:ascii="Arial" w:hAnsi="Arial"/>
          <w:sz w:val="20"/>
        </w:rPr>
        <w:t xml:space="preserve">in accordance with </w:t>
      </w:r>
      <w:r w:rsidR="004725D8">
        <w:rPr>
          <w:rFonts w:ascii="Arial" w:hAnsi="Arial"/>
          <w:sz w:val="20"/>
        </w:rPr>
        <w:t>applicable</w:t>
      </w:r>
      <w:r w:rsidR="004725D8" w:rsidRPr="001D6BBA">
        <w:rPr>
          <w:rFonts w:ascii="Arial" w:hAnsi="Arial"/>
          <w:sz w:val="20"/>
        </w:rPr>
        <w:t xml:space="preserve"> </w:t>
      </w:r>
      <w:r w:rsidRPr="001D6BBA">
        <w:rPr>
          <w:rFonts w:ascii="Arial" w:hAnsi="Arial"/>
          <w:sz w:val="20"/>
        </w:rPr>
        <w:t>licence conditions.</w:t>
      </w:r>
    </w:p>
    <w:p w:rsidR="00FB7975" w:rsidRDefault="00FB7975">
      <w:pPr>
        <w:pStyle w:val="ACMABodyText"/>
        <w:spacing w:line="360" w:lineRule="auto"/>
        <w:rPr>
          <w:rFonts w:ascii="Arial" w:hAnsi="Arial"/>
          <w:sz w:val="20"/>
        </w:rPr>
      </w:pPr>
      <w:r w:rsidRPr="001D6BBA">
        <w:rPr>
          <w:rFonts w:ascii="Arial" w:hAnsi="Arial"/>
          <w:sz w:val="20"/>
        </w:rPr>
        <w:t>The Advisory Guideline</w:t>
      </w:r>
      <w:r>
        <w:rPr>
          <w:rFonts w:ascii="Arial" w:hAnsi="Arial"/>
          <w:sz w:val="20"/>
        </w:rPr>
        <w:t>s</w:t>
      </w:r>
      <w:r w:rsidRPr="001D6BBA">
        <w:rPr>
          <w:rFonts w:ascii="Arial" w:hAnsi="Arial"/>
          <w:sz w:val="20"/>
        </w:rPr>
        <w:t xml:space="preserve"> do not limit the actions of a spectrum licensee in negotiating operating or protection requirements with another licensee.</w:t>
      </w:r>
      <w:r>
        <w:rPr>
          <w:rFonts w:ascii="Arial" w:hAnsi="Arial"/>
          <w:sz w:val="20"/>
        </w:rPr>
        <w:t xml:space="preserve"> </w:t>
      </w:r>
    </w:p>
    <w:p w:rsidR="00FB7975" w:rsidRDefault="00FB7975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>Consultation</w:t>
      </w:r>
    </w:p>
    <w:p w:rsidR="00FB7975" w:rsidRDefault="00FB7975" w:rsidP="00532AB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ACMA has </w:t>
      </w:r>
      <w:r w:rsidR="00780430">
        <w:rPr>
          <w:rFonts w:ascii="Arial" w:hAnsi="Arial" w:cs="Arial"/>
          <w:sz w:val="20"/>
          <w:szCs w:val="20"/>
        </w:rPr>
        <w:t xml:space="preserve">consulted </w:t>
      </w:r>
      <w:r>
        <w:rPr>
          <w:rFonts w:ascii="Arial" w:hAnsi="Arial" w:cs="Arial"/>
          <w:sz w:val="20"/>
          <w:szCs w:val="20"/>
        </w:rPr>
        <w:t xml:space="preserve">extensively with stakeholders about its plans to develop a spectrum licensing technical framework for the 2.5 GHz </w:t>
      </w:r>
      <w:r w:rsidR="00481461">
        <w:rPr>
          <w:rFonts w:ascii="Arial" w:hAnsi="Arial" w:cs="Arial"/>
          <w:sz w:val="20"/>
          <w:szCs w:val="20"/>
        </w:rPr>
        <w:t>Mid-</w:t>
      </w:r>
      <w:r>
        <w:rPr>
          <w:rFonts w:ascii="Arial" w:hAnsi="Arial" w:cs="Arial"/>
          <w:sz w:val="20"/>
          <w:szCs w:val="20"/>
        </w:rPr>
        <w:t>band</w:t>
      </w:r>
      <w:r w:rsidR="00481461">
        <w:rPr>
          <w:rFonts w:ascii="Arial" w:hAnsi="Arial" w:cs="Arial"/>
          <w:sz w:val="20"/>
          <w:szCs w:val="20"/>
        </w:rPr>
        <w:t xml:space="preserve"> Gap</w:t>
      </w:r>
      <w:r>
        <w:rPr>
          <w:rFonts w:ascii="Arial" w:hAnsi="Arial" w:cs="Arial"/>
          <w:sz w:val="20"/>
          <w:szCs w:val="20"/>
        </w:rPr>
        <w:t>.</w:t>
      </w:r>
    </w:p>
    <w:p w:rsidR="00FB7975" w:rsidRPr="004F796F" w:rsidRDefault="00B7350E" w:rsidP="00532ABF">
      <w:pPr>
        <w:spacing w:line="360" w:lineRule="auto"/>
        <w:rPr>
          <w:rFonts w:ascii="Arial" w:hAnsi="Arial" w:cs="Arial"/>
          <w:sz w:val="20"/>
          <w:szCs w:val="20"/>
        </w:rPr>
      </w:pPr>
      <w:r w:rsidRPr="004F796F">
        <w:rPr>
          <w:rFonts w:ascii="Arial" w:hAnsi="Arial" w:cs="Arial"/>
          <w:sz w:val="20"/>
          <w:szCs w:val="20"/>
        </w:rPr>
        <w:t xml:space="preserve">In July 2011, the ACMA set up a </w:t>
      </w:r>
      <w:r w:rsidR="00DB3ABC" w:rsidRPr="004F796F">
        <w:rPr>
          <w:rFonts w:ascii="Arial" w:hAnsi="Arial" w:cs="Arial"/>
          <w:sz w:val="20"/>
          <w:szCs w:val="20"/>
        </w:rPr>
        <w:t xml:space="preserve">number of </w:t>
      </w:r>
      <w:r w:rsidRPr="004F796F">
        <w:rPr>
          <w:rFonts w:ascii="Arial" w:hAnsi="Arial" w:cs="Arial"/>
          <w:sz w:val="20"/>
          <w:szCs w:val="20"/>
        </w:rPr>
        <w:t>short-term industry technical liaison group</w:t>
      </w:r>
      <w:r w:rsidR="00DB3ABC" w:rsidRPr="004F796F">
        <w:rPr>
          <w:rFonts w:ascii="Arial" w:hAnsi="Arial" w:cs="Arial"/>
          <w:sz w:val="20"/>
          <w:szCs w:val="20"/>
        </w:rPr>
        <w:t>s</w:t>
      </w:r>
      <w:r w:rsidRPr="004F796F">
        <w:rPr>
          <w:rFonts w:ascii="Arial" w:hAnsi="Arial" w:cs="Arial"/>
          <w:sz w:val="20"/>
          <w:szCs w:val="20"/>
        </w:rPr>
        <w:t xml:space="preserve"> (</w:t>
      </w:r>
      <w:r w:rsidRPr="004F796F">
        <w:rPr>
          <w:rFonts w:ascii="Arial" w:hAnsi="Arial" w:cs="Arial"/>
          <w:b/>
          <w:sz w:val="20"/>
          <w:szCs w:val="20"/>
        </w:rPr>
        <w:t>TLG</w:t>
      </w:r>
      <w:r w:rsidR="004F796F" w:rsidRPr="004F796F">
        <w:rPr>
          <w:rFonts w:ascii="Arial" w:hAnsi="Arial" w:cs="Arial"/>
          <w:b/>
          <w:sz w:val="20"/>
          <w:szCs w:val="20"/>
        </w:rPr>
        <w:t>s</w:t>
      </w:r>
      <w:r w:rsidRPr="004F796F">
        <w:rPr>
          <w:rFonts w:ascii="Arial" w:hAnsi="Arial" w:cs="Arial"/>
          <w:sz w:val="20"/>
          <w:szCs w:val="20"/>
        </w:rPr>
        <w:t xml:space="preserve">) to </w:t>
      </w:r>
      <w:r w:rsidR="00EF5DD0">
        <w:rPr>
          <w:rFonts w:ascii="Arial" w:hAnsi="Arial" w:cs="Arial"/>
          <w:sz w:val="20"/>
          <w:szCs w:val="20"/>
        </w:rPr>
        <w:t xml:space="preserve">assist with </w:t>
      </w:r>
      <w:r w:rsidRPr="004F796F">
        <w:rPr>
          <w:rFonts w:ascii="Arial" w:hAnsi="Arial" w:cs="Arial"/>
          <w:sz w:val="20"/>
          <w:szCs w:val="20"/>
        </w:rPr>
        <w:t>the development of technical framework</w:t>
      </w:r>
      <w:r w:rsidR="00DB3ABC" w:rsidRPr="004F796F">
        <w:rPr>
          <w:rFonts w:ascii="Arial" w:hAnsi="Arial" w:cs="Arial"/>
          <w:sz w:val="20"/>
          <w:szCs w:val="20"/>
        </w:rPr>
        <w:t>s</w:t>
      </w:r>
      <w:r w:rsidRPr="004F796F">
        <w:rPr>
          <w:rFonts w:ascii="Arial" w:hAnsi="Arial" w:cs="Arial"/>
          <w:sz w:val="20"/>
          <w:szCs w:val="20"/>
        </w:rPr>
        <w:t xml:space="preserve"> </w:t>
      </w:r>
      <w:r w:rsidR="00FF574E">
        <w:rPr>
          <w:rFonts w:ascii="Arial" w:hAnsi="Arial" w:cs="Arial"/>
          <w:sz w:val="20"/>
          <w:szCs w:val="20"/>
        </w:rPr>
        <w:t xml:space="preserve">including the </w:t>
      </w:r>
      <w:r w:rsidRPr="004F796F">
        <w:rPr>
          <w:rFonts w:ascii="Arial" w:hAnsi="Arial" w:cs="Arial"/>
          <w:sz w:val="20"/>
          <w:szCs w:val="20"/>
        </w:rPr>
        <w:t xml:space="preserve">support </w:t>
      </w:r>
      <w:r w:rsidR="00FF574E">
        <w:rPr>
          <w:rFonts w:ascii="Arial" w:hAnsi="Arial" w:cs="Arial"/>
          <w:sz w:val="20"/>
          <w:szCs w:val="20"/>
        </w:rPr>
        <w:t xml:space="preserve">of </w:t>
      </w:r>
      <w:r w:rsidR="00DB3ABC" w:rsidRPr="004F796F">
        <w:rPr>
          <w:rFonts w:ascii="Arial" w:hAnsi="Arial" w:cs="Arial"/>
          <w:sz w:val="20"/>
          <w:szCs w:val="20"/>
        </w:rPr>
        <w:t xml:space="preserve">ENG/TVOB in the </w:t>
      </w:r>
      <w:r w:rsidR="00B105F4">
        <w:rPr>
          <w:rFonts w:ascii="Arial" w:hAnsi="Arial" w:cs="Arial"/>
          <w:sz w:val="20"/>
          <w:szCs w:val="20"/>
        </w:rPr>
        <w:t>2.5 GHz</w:t>
      </w:r>
      <w:r w:rsidR="00DB3ABC" w:rsidRPr="004F796F">
        <w:rPr>
          <w:rFonts w:ascii="Arial" w:hAnsi="Arial" w:cs="Arial"/>
          <w:sz w:val="20"/>
          <w:szCs w:val="20"/>
        </w:rPr>
        <w:t xml:space="preserve"> </w:t>
      </w:r>
      <w:r w:rsidR="00780430">
        <w:rPr>
          <w:rFonts w:ascii="Arial" w:hAnsi="Arial" w:cs="Arial"/>
          <w:sz w:val="20"/>
          <w:szCs w:val="20"/>
        </w:rPr>
        <w:t>M</w:t>
      </w:r>
      <w:r w:rsidR="00DB3ABC" w:rsidRPr="004F796F">
        <w:rPr>
          <w:rFonts w:ascii="Arial" w:hAnsi="Arial" w:cs="Arial"/>
          <w:sz w:val="20"/>
          <w:szCs w:val="20"/>
        </w:rPr>
        <w:t xml:space="preserve">id-band </w:t>
      </w:r>
      <w:r w:rsidR="00842471">
        <w:rPr>
          <w:rFonts w:ascii="Arial" w:hAnsi="Arial" w:cs="Arial"/>
          <w:sz w:val="20"/>
          <w:szCs w:val="20"/>
        </w:rPr>
        <w:t>G</w:t>
      </w:r>
      <w:r w:rsidR="00DB3ABC" w:rsidRPr="004F796F">
        <w:rPr>
          <w:rFonts w:ascii="Arial" w:hAnsi="Arial" w:cs="Arial"/>
          <w:sz w:val="20"/>
          <w:szCs w:val="20"/>
        </w:rPr>
        <w:t xml:space="preserve">ap and </w:t>
      </w:r>
      <w:r w:rsidRPr="004F796F">
        <w:rPr>
          <w:rFonts w:ascii="Arial" w:hAnsi="Arial" w:cs="Arial"/>
          <w:sz w:val="20"/>
          <w:szCs w:val="20"/>
        </w:rPr>
        <w:t>the introduction of 4</w:t>
      </w:r>
      <w:r w:rsidRPr="004F796F">
        <w:rPr>
          <w:rFonts w:ascii="Arial" w:hAnsi="Arial" w:cs="Arial"/>
          <w:sz w:val="20"/>
          <w:szCs w:val="20"/>
          <w:vertAlign w:val="superscript"/>
        </w:rPr>
        <w:t>th</w:t>
      </w:r>
      <w:r w:rsidRPr="004F796F">
        <w:rPr>
          <w:rFonts w:ascii="Arial" w:hAnsi="Arial" w:cs="Arial"/>
          <w:sz w:val="20"/>
          <w:szCs w:val="20"/>
        </w:rPr>
        <w:t xml:space="preserve"> generation broadband mobile/wireless access services in the 2500-2570 GHz and 2620-2690 MHz bands.</w:t>
      </w:r>
    </w:p>
    <w:p w:rsidR="00FB7975" w:rsidRDefault="00B105F4" w:rsidP="00532AB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part of the TLG process for the </w:t>
      </w:r>
      <w:r w:rsidRPr="0016407D">
        <w:rPr>
          <w:rFonts w:ascii="Arial" w:hAnsi="Arial" w:cs="Arial"/>
          <w:sz w:val="20"/>
          <w:szCs w:val="20"/>
        </w:rPr>
        <w:t xml:space="preserve">2.5 GHz mid-band </w:t>
      </w:r>
      <w:r w:rsidR="00842471">
        <w:rPr>
          <w:rFonts w:ascii="Arial" w:hAnsi="Arial" w:cs="Arial"/>
          <w:sz w:val="20"/>
          <w:szCs w:val="20"/>
        </w:rPr>
        <w:t>G</w:t>
      </w:r>
      <w:r w:rsidRPr="0016407D">
        <w:rPr>
          <w:rFonts w:ascii="Arial" w:hAnsi="Arial" w:cs="Arial"/>
          <w:sz w:val="20"/>
          <w:szCs w:val="20"/>
        </w:rPr>
        <w:t>ap, existing licensees providing</w:t>
      </w:r>
      <w:r w:rsidRPr="00482CFE">
        <w:rPr>
          <w:rFonts w:ascii="Arial" w:hAnsi="Arial" w:cs="Arial"/>
          <w:sz w:val="20"/>
          <w:szCs w:val="20"/>
        </w:rPr>
        <w:t xml:space="preserve"> ENG/TVOB licensees as part of the TLG process for the </w:t>
      </w:r>
      <w:r w:rsidR="00682056">
        <w:rPr>
          <w:rFonts w:ascii="Arial" w:hAnsi="Arial" w:cs="Arial"/>
          <w:sz w:val="20"/>
          <w:szCs w:val="20"/>
        </w:rPr>
        <w:t xml:space="preserve">2.5 GHz </w:t>
      </w:r>
      <w:r>
        <w:rPr>
          <w:rFonts w:ascii="Arial" w:hAnsi="Arial" w:cs="Arial"/>
          <w:sz w:val="20"/>
          <w:szCs w:val="20"/>
        </w:rPr>
        <w:t>M</w:t>
      </w:r>
      <w:r w:rsidRPr="00482CFE">
        <w:rPr>
          <w:rFonts w:ascii="Arial" w:hAnsi="Arial" w:cs="Arial"/>
          <w:sz w:val="20"/>
          <w:szCs w:val="20"/>
        </w:rPr>
        <w:t xml:space="preserve">id-band </w:t>
      </w:r>
      <w:r w:rsidR="00842471">
        <w:rPr>
          <w:rFonts w:ascii="Arial" w:hAnsi="Arial" w:cs="Arial"/>
          <w:sz w:val="20"/>
          <w:szCs w:val="20"/>
        </w:rPr>
        <w:t>G</w:t>
      </w:r>
      <w:r w:rsidRPr="00482CFE">
        <w:rPr>
          <w:rFonts w:ascii="Arial" w:hAnsi="Arial" w:cs="Arial"/>
          <w:sz w:val="20"/>
          <w:szCs w:val="20"/>
        </w:rPr>
        <w:t xml:space="preserve">ap were asked to consider and </w:t>
      </w:r>
      <w:r w:rsidRPr="00482CFE">
        <w:rPr>
          <w:rFonts w:ascii="Arial" w:hAnsi="Arial" w:cs="Arial"/>
          <w:sz w:val="20"/>
          <w:szCs w:val="20"/>
        </w:rPr>
        <w:lastRenderedPageBreak/>
        <w:t>provide advice to the ACMA on technical aspects required for the development of the spectrum licence technical framework.</w:t>
      </w:r>
      <w:r>
        <w:rPr>
          <w:rFonts w:ascii="Arial" w:hAnsi="Arial" w:cs="Arial"/>
          <w:sz w:val="20"/>
          <w:szCs w:val="20"/>
        </w:rPr>
        <w:t xml:space="preserve"> </w:t>
      </w:r>
      <w:r w:rsidR="00FB7975">
        <w:rPr>
          <w:rFonts w:ascii="Arial" w:hAnsi="Arial" w:cs="Arial"/>
          <w:sz w:val="20"/>
          <w:szCs w:val="20"/>
        </w:rPr>
        <w:t>These included:</w:t>
      </w:r>
    </w:p>
    <w:p w:rsidR="00FB7975" w:rsidRDefault="00FB7975" w:rsidP="00532ABF">
      <w:pPr>
        <w:numPr>
          <w:ilvl w:val="0"/>
          <w:numId w:val="29"/>
        </w:numPr>
        <w:spacing w:before="0" w:after="0"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development of the core conditions of the spectrum licensed band in accordance with section 66 of the Act;</w:t>
      </w:r>
    </w:p>
    <w:p w:rsidR="00FB7975" w:rsidRDefault="00FB7975" w:rsidP="00532ABF">
      <w:pPr>
        <w:numPr>
          <w:ilvl w:val="0"/>
          <w:numId w:val="29"/>
        </w:numPr>
        <w:spacing w:before="0" w:after="0"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development of the determination on unacceptable levels of interference made under section 145 of the Act;</w:t>
      </w:r>
    </w:p>
    <w:p w:rsidR="00FB7975" w:rsidRDefault="00FB7975" w:rsidP="00532ABF">
      <w:pPr>
        <w:numPr>
          <w:ilvl w:val="0"/>
          <w:numId w:val="29"/>
        </w:numPr>
        <w:spacing w:before="0" w:after="0"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development of any associated </w:t>
      </w:r>
      <w:r w:rsidR="009C3E4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dvisory </w:t>
      </w:r>
      <w:r w:rsidR="009C3E44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uidelines made under section 262 of the Act;</w:t>
      </w:r>
      <w:r w:rsidR="004F796F">
        <w:rPr>
          <w:rFonts w:ascii="Arial" w:hAnsi="Arial" w:cs="Arial"/>
          <w:sz w:val="20"/>
          <w:szCs w:val="20"/>
        </w:rPr>
        <w:t xml:space="preserve"> and</w:t>
      </w:r>
    </w:p>
    <w:p w:rsidR="00FB7975" w:rsidRDefault="00FB7975" w:rsidP="00532ABF">
      <w:pPr>
        <w:numPr>
          <w:ilvl w:val="0"/>
          <w:numId w:val="29"/>
        </w:numPr>
        <w:spacing w:before="0" w:after="0"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development of the draft spectrum licence</w:t>
      </w:r>
      <w:r w:rsidR="004F796F">
        <w:rPr>
          <w:rFonts w:ascii="Arial" w:hAnsi="Arial" w:cs="Arial"/>
          <w:sz w:val="20"/>
          <w:szCs w:val="20"/>
        </w:rPr>
        <w:t>.</w:t>
      </w:r>
    </w:p>
    <w:p w:rsidR="00FB7975" w:rsidRDefault="00FB7975" w:rsidP="004F796F">
      <w:pPr>
        <w:spacing w:before="0" w:after="0" w:line="360" w:lineRule="auto"/>
        <w:ind w:left="567"/>
        <w:rPr>
          <w:rFonts w:ascii="Arial" w:hAnsi="Arial" w:cs="Arial"/>
          <w:sz w:val="20"/>
          <w:szCs w:val="20"/>
        </w:rPr>
      </w:pPr>
    </w:p>
    <w:p w:rsidR="00FB7975" w:rsidRDefault="00FB7975" w:rsidP="00532AB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ACMA </w:t>
      </w:r>
      <w:r w:rsidR="00780430">
        <w:rPr>
          <w:rFonts w:ascii="Arial" w:hAnsi="Arial" w:cs="Arial"/>
          <w:sz w:val="20"/>
          <w:szCs w:val="20"/>
        </w:rPr>
        <w:t xml:space="preserve">prepared </w:t>
      </w:r>
      <w:r w:rsidR="004F796F">
        <w:rPr>
          <w:rFonts w:ascii="Arial" w:hAnsi="Arial" w:cs="Arial"/>
          <w:sz w:val="20"/>
          <w:szCs w:val="20"/>
        </w:rPr>
        <w:t xml:space="preserve">several </w:t>
      </w:r>
      <w:r>
        <w:rPr>
          <w:rFonts w:ascii="Arial" w:hAnsi="Arial" w:cs="Arial"/>
          <w:sz w:val="20"/>
          <w:szCs w:val="20"/>
        </w:rPr>
        <w:t xml:space="preserve">papers which outlined its proposed approach to the spectrum licensing framework for the 2.5 GHz </w:t>
      </w:r>
      <w:r w:rsidR="00481461">
        <w:rPr>
          <w:rFonts w:ascii="Arial" w:hAnsi="Arial" w:cs="Arial"/>
          <w:sz w:val="20"/>
          <w:szCs w:val="20"/>
        </w:rPr>
        <w:t>Mid-</w:t>
      </w:r>
      <w:r>
        <w:rPr>
          <w:rFonts w:ascii="Arial" w:hAnsi="Arial" w:cs="Arial"/>
          <w:sz w:val="20"/>
          <w:szCs w:val="20"/>
        </w:rPr>
        <w:t>band</w:t>
      </w:r>
      <w:r w:rsidR="00481461">
        <w:rPr>
          <w:rFonts w:ascii="Arial" w:hAnsi="Arial" w:cs="Arial"/>
          <w:sz w:val="20"/>
          <w:szCs w:val="20"/>
        </w:rPr>
        <w:t xml:space="preserve"> Gap</w:t>
      </w:r>
      <w:r>
        <w:rPr>
          <w:rFonts w:ascii="Arial" w:hAnsi="Arial" w:cs="Arial"/>
          <w:sz w:val="20"/>
          <w:szCs w:val="20"/>
        </w:rPr>
        <w:t xml:space="preserve">. </w:t>
      </w:r>
      <w:r w:rsidR="00B7350E" w:rsidRPr="004F796F">
        <w:rPr>
          <w:rFonts w:ascii="Arial" w:hAnsi="Arial" w:cs="Arial"/>
          <w:sz w:val="20"/>
          <w:szCs w:val="20"/>
        </w:rPr>
        <w:t xml:space="preserve">These papers were made available by the ACMA to </w:t>
      </w:r>
      <w:r w:rsidR="004F796F" w:rsidRPr="004F796F">
        <w:rPr>
          <w:rFonts w:ascii="Arial" w:hAnsi="Arial" w:cs="Arial"/>
          <w:sz w:val="20"/>
          <w:szCs w:val="20"/>
        </w:rPr>
        <w:t>ENG/TVOB licensees</w:t>
      </w:r>
      <w:r w:rsidR="00B7350E" w:rsidRPr="004F796F">
        <w:rPr>
          <w:rFonts w:ascii="Arial" w:hAnsi="Arial" w:cs="Arial"/>
          <w:sz w:val="20"/>
          <w:szCs w:val="20"/>
        </w:rPr>
        <w:t xml:space="preserve"> for comment.</w:t>
      </w:r>
      <w:r w:rsidR="00B7350E" w:rsidRPr="00B7350E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FB7975" w:rsidRDefault="00FB797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The ACMA had regard to the views expressed by </w:t>
      </w:r>
      <w:r w:rsidR="004F796F">
        <w:rPr>
          <w:rFonts w:ascii="Arial" w:hAnsi="Arial" w:cs="Arial"/>
          <w:sz w:val="20"/>
          <w:szCs w:val="20"/>
        </w:rPr>
        <w:t>the ENG/TVOB licensees</w:t>
      </w:r>
      <w:r>
        <w:rPr>
          <w:rFonts w:ascii="Arial" w:hAnsi="Arial" w:cs="Arial"/>
          <w:sz w:val="20"/>
          <w:szCs w:val="20"/>
        </w:rPr>
        <w:t xml:space="preserve"> when preparing these Advisory Guidelines. </w:t>
      </w:r>
      <w:r w:rsidR="00220C85">
        <w:rPr>
          <w:rFonts w:ascii="Arial" w:hAnsi="Arial" w:cs="Arial"/>
          <w:sz w:val="20"/>
          <w:szCs w:val="20"/>
        </w:rPr>
        <w:t xml:space="preserve"> There were no specific or significant concerns raised by the licensees </w:t>
      </w:r>
      <w:r w:rsidR="00D56808">
        <w:rPr>
          <w:rFonts w:ascii="Arial" w:hAnsi="Arial" w:cs="Arial"/>
          <w:sz w:val="20"/>
          <w:szCs w:val="20"/>
        </w:rPr>
        <w:t xml:space="preserve">in </w:t>
      </w:r>
      <w:r w:rsidR="00220C85">
        <w:rPr>
          <w:rFonts w:ascii="Arial" w:hAnsi="Arial" w:cs="Arial"/>
          <w:sz w:val="20"/>
          <w:szCs w:val="20"/>
        </w:rPr>
        <w:t xml:space="preserve">relation to the Advisory Guidelines. </w:t>
      </w:r>
    </w:p>
    <w:p w:rsidR="00FB7975" w:rsidRDefault="00FB7975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The</w:t>
      </w:r>
      <w:r w:rsidRPr="00AE6DD9">
        <w:rPr>
          <w:rFonts w:ascii="Arial" w:hAnsi="Arial"/>
          <w:sz w:val="20"/>
        </w:rPr>
        <w:t xml:space="preserve"> ACMA </w:t>
      </w:r>
      <w:r>
        <w:rPr>
          <w:rFonts w:ascii="Arial" w:hAnsi="Arial"/>
          <w:sz w:val="20"/>
        </w:rPr>
        <w:t xml:space="preserve">also </w:t>
      </w:r>
      <w:r w:rsidR="00B105F4" w:rsidRPr="00AE6DD9">
        <w:rPr>
          <w:rFonts w:ascii="Arial" w:hAnsi="Arial"/>
          <w:sz w:val="20"/>
        </w:rPr>
        <w:t>undert</w:t>
      </w:r>
      <w:r w:rsidR="00B105F4">
        <w:rPr>
          <w:rFonts w:ascii="Arial" w:hAnsi="Arial"/>
          <w:sz w:val="20"/>
        </w:rPr>
        <w:t>ook</w:t>
      </w:r>
      <w:r w:rsidR="00B105F4" w:rsidRPr="00AE6DD9">
        <w:rPr>
          <w:rFonts w:ascii="Arial" w:hAnsi="Arial"/>
          <w:sz w:val="20"/>
        </w:rPr>
        <w:t xml:space="preserve"> </w:t>
      </w:r>
      <w:r w:rsidR="00EF5DD0">
        <w:rPr>
          <w:rFonts w:ascii="Arial" w:hAnsi="Arial"/>
          <w:sz w:val="20"/>
        </w:rPr>
        <w:t xml:space="preserve">wider </w:t>
      </w:r>
      <w:r w:rsidR="00576F48">
        <w:rPr>
          <w:rFonts w:ascii="Arial" w:hAnsi="Arial"/>
          <w:sz w:val="20"/>
        </w:rPr>
        <w:t>public</w:t>
      </w:r>
      <w:r w:rsidR="00576F48" w:rsidRPr="00AE6DD9">
        <w:rPr>
          <w:rFonts w:ascii="Arial" w:hAnsi="Arial"/>
          <w:sz w:val="20"/>
        </w:rPr>
        <w:t xml:space="preserve"> </w:t>
      </w:r>
      <w:r w:rsidRPr="00AE6DD9">
        <w:rPr>
          <w:rFonts w:ascii="Arial" w:hAnsi="Arial"/>
          <w:sz w:val="20"/>
        </w:rPr>
        <w:t xml:space="preserve">consultation </w:t>
      </w:r>
      <w:r>
        <w:rPr>
          <w:rFonts w:ascii="Arial" w:hAnsi="Arial"/>
          <w:sz w:val="20"/>
        </w:rPr>
        <w:t>in relation to these Advisory Guidelines</w:t>
      </w:r>
      <w:r w:rsidRPr="00AE6DD9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Pr="00AE6DD9">
        <w:rPr>
          <w:rFonts w:ascii="Arial" w:hAnsi="Arial"/>
          <w:sz w:val="20"/>
        </w:rPr>
        <w:t xml:space="preserve">On </w:t>
      </w:r>
      <w:r w:rsidR="00B7350E" w:rsidRPr="004F796F">
        <w:rPr>
          <w:rFonts w:ascii="Arial" w:hAnsi="Arial"/>
          <w:sz w:val="20"/>
        </w:rPr>
        <w:t>1</w:t>
      </w:r>
      <w:r w:rsidR="004F796F" w:rsidRPr="004F796F">
        <w:rPr>
          <w:rFonts w:ascii="Arial" w:hAnsi="Arial"/>
          <w:sz w:val="20"/>
        </w:rPr>
        <w:t>3</w:t>
      </w:r>
      <w:r w:rsidR="00B7350E" w:rsidRPr="004F796F">
        <w:rPr>
          <w:rFonts w:ascii="Arial" w:hAnsi="Arial"/>
          <w:sz w:val="20"/>
        </w:rPr>
        <w:t> </w:t>
      </w:r>
      <w:r w:rsidR="004F796F" w:rsidRPr="004F796F">
        <w:rPr>
          <w:rFonts w:ascii="Arial" w:hAnsi="Arial"/>
          <w:sz w:val="20"/>
        </w:rPr>
        <w:t>July</w:t>
      </w:r>
      <w:r w:rsidR="00B7350E" w:rsidRPr="004F796F">
        <w:rPr>
          <w:rFonts w:ascii="Arial" w:hAnsi="Arial"/>
          <w:sz w:val="20"/>
        </w:rPr>
        <w:t xml:space="preserve"> 2012</w:t>
      </w:r>
      <w:r w:rsidRPr="00AE6DD9">
        <w:rPr>
          <w:rFonts w:ascii="Arial" w:hAnsi="Arial"/>
          <w:sz w:val="20"/>
        </w:rPr>
        <w:t xml:space="preserve">, the ACMA </w:t>
      </w:r>
      <w:r>
        <w:rPr>
          <w:rFonts w:ascii="Arial" w:hAnsi="Arial"/>
          <w:sz w:val="20"/>
        </w:rPr>
        <w:t xml:space="preserve">released draft legislative instruments (including </w:t>
      </w:r>
      <w:r w:rsidR="0099784B">
        <w:rPr>
          <w:rFonts w:ascii="Arial" w:hAnsi="Arial"/>
          <w:sz w:val="20"/>
        </w:rPr>
        <w:t xml:space="preserve">a draft version of </w:t>
      </w:r>
      <w:r>
        <w:rPr>
          <w:rFonts w:ascii="Arial" w:hAnsi="Arial"/>
          <w:sz w:val="20"/>
        </w:rPr>
        <w:t>these Advisory Guidelines) for comment.</w:t>
      </w:r>
      <w:r w:rsidR="00780430">
        <w:rPr>
          <w:rStyle w:val="FootnoteReference"/>
          <w:rFonts w:ascii="Arial" w:hAnsi="Arial"/>
          <w:sz w:val="20"/>
        </w:rPr>
        <w:footnoteReference w:id="4"/>
      </w:r>
      <w:r>
        <w:rPr>
          <w:rFonts w:ascii="Arial" w:hAnsi="Arial"/>
          <w:sz w:val="20"/>
        </w:rPr>
        <w:t xml:space="preserve"> These instruments were accompanied by an information paper to </w:t>
      </w:r>
      <w:r w:rsidRPr="0097494E">
        <w:rPr>
          <w:rFonts w:ascii="Arial" w:hAnsi="Arial"/>
          <w:sz w:val="20"/>
        </w:rPr>
        <w:t>explain the draft instruments and provide context to assist interested parties in making a submission</w:t>
      </w:r>
      <w:r>
        <w:rPr>
          <w:rFonts w:ascii="Arial" w:hAnsi="Arial"/>
          <w:sz w:val="20"/>
        </w:rPr>
        <w:t>.</w:t>
      </w:r>
      <w:r w:rsidR="00780430">
        <w:rPr>
          <w:rStyle w:val="FootnoteReference"/>
          <w:rFonts w:ascii="Arial" w:hAnsi="Arial"/>
          <w:sz w:val="20"/>
        </w:rPr>
        <w:footnoteReference w:id="5"/>
      </w:r>
      <w:r>
        <w:rPr>
          <w:rFonts w:ascii="Arial" w:hAnsi="Arial"/>
          <w:sz w:val="20"/>
        </w:rPr>
        <w:t xml:space="preserve"> </w:t>
      </w:r>
    </w:p>
    <w:p w:rsidR="00FB7975" w:rsidRPr="00682056" w:rsidRDefault="00FB7975">
      <w:pPr>
        <w:pStyle w:val="ACMABodyText"/>
        <w:spacing w:line="360" w:lineRule="auto"/>
        <w:rPr>
          <w:rFonts w:ascii="Arial" w:hAnsi="Arial"/>
          <w:sz w:val="20"/>
        </w:rPr>
      </w:pPr>
      <w:r w:rsidRPr="00AE6DD9">
        <w:rPr>
          <w:rFonts w:ascii="Arial" w:hAnsi="Arial"/>
          <w:sz w:val="20"/>
        </w:rPr>
        <w:t>Submissions to the consultation were</w:t>
      </w:r>
      <w:r>
        <w:rPr>
          <w:rFonts w:ascii="Arial" w:hAnsi="Arial"/>
          <w:sz w:val="20"/>
        </w:rPr>
        <w:t xml:space="preserve"> </w:t>
      </w:r>
      <w:r w:rsidR="00842471">
        <w:rPr>
          <w:rFonts w:ascii="Arial" w:hAnsi="Arial"/>
          <w:sz w:val="20"/>
        </w:rPr>
        <w:t xml:space="preserve">open until </w:t>
      </w:r>
      <w:r w:rsidR="005F3BBD">
        <w:rPr>
          <w:rFonts w:ascii="Arial" w:hAnsi="Arial"/>
          <w:sz w:val="20"/>
        </w:rPr>
        <w:t>3</w:t>
      </w:r>
      <w:r w:rsidR="004F796F">
        <w:rPr>
          <w:rFonts w:ascii="Arial" w:hAnsi="Arial"/>
          <w:sz w:val="20"/>
        </w:rPr>
        <w:t xml:space="preserve"> September </w:t>
      </w:r>
      <w:r>
        <w:rPr>
          <w:rFonts w:ascii="Arial" w:hAnsi="Arial"/>
          <w:sz w:val="20"/>
        </w:rPr>
        <w:t xml:space="preserve">2012. </w:t>
      </w:r>
      <w:r w:rsidR="00211B90" w:rsidRPr="00682056">
        <w:rPr>
          <w:rFonts w:ascii="Arial" w:hAnsi="Arial"/>
          <w:sz w:val="20"/>
          <w:szCs w:val="24"/>
        </w:rPr>
        <w:t xml:space="preserve">A total of 4 responses were received. </w:t>
      </w:r>
      <w:r w:rsidR="00220C85" w:rsidRPr="00682056">
        <w:rPr>
          <w:rFonts w:ascii="Arial" w:hAnsi="Arial"/>
          <w:sz w:val="20"/>
        </w:rPr>
        <w:t xml:space="preserve">  There were no specific or significant concerns raised in the submissions relating to the Advisory Guidelines. </w:t>
      </w:r>
    </w:p>
    <w:p w:rsidR="00FB7975" w:rsidRDefault="00FB7975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 xml:space="preserve">Regulatory Impact </w:t>
      </w:r>
      <w:r>
        <w:rPr>
          <w:sz w:val="20"/>
        </w:rPr>
        <w:t>Analysis</w:t>
      </w:r>
    </w:p>
    <w:p w:rsidR="00FB7975" w:rsidRDefault="00FB797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550C9">
        <w:rPr>
          <w:rFonts w:ascii="Arial" w:hAnsi="Arial" w:cs="Arial"/>
          <w:sz w:val="20"/>
          <w:szCs w:val="20"/>
        </w:rPr>
        <w:t>The Office of Best Practice Regulation (</w:t>
      </w:r>
      <w:r>
        <w:rPr>
          <w:rFonts w:ascii="Arial" w:hAnsi="Arial" w:cs="Arial"/>
          <w:sz w:val="20"/>
          <w:szCs w:val="20"/>
        </w:rPr>
        <w:t xml:space="preserve">the </w:t>
      </w:r>
      <w:r w:rsidR="004C01D4" w:rsidRPr="005F3FF8">
        <w:rPr>
          <w:rFonts w:ascii="Arial" w:hAnsi="Arial" w:cs="Arial"/>
          <w:sz w:val="20"/>
          <w:szCs w:val="20"/>
        </w:rPr>
        <w:t>OBPR</w:t>
      </w:r>
      <w:r w:rsidRPr="007550C9">
        <w:rPr>
          <w:rFonts w:ascii="Arial" w:hAnsi="Arial" w:cs="Arial"/>
          <w:sz w:val="20"/>
          <w:szCs w:val="20"/>
        </w:rPr>
        <w:t xml:space="preserve">) </w:t>
      </w:r>
      <w:r w:rsidR="005F3FF8">
        <w:rPr>
          <w:rFonts w:ascii="Arial" w:hAnsi="Arial" w:cs="Arial"/>
          <w:sz w:val="20"/>
          <w:szCs w:val="20"/>
        </w:rPr>
        <w:t xml:space="preserve">approved the Regulation Impact Statement </w:t>
      </w:r>
      <w:r w:rsidR="00682056">
        <w:rPr>
          <w:rFonts w:ascii="Arial" w:hAnsi="Arial" w:cs="Arial"/>
          <w:sz w:val="20"/>
          <w:szCs w:val="20"/>
        </w:rPr>
        <w:t>‘</w:t>
      </w:r>
      <w:r w:rsidR="003841F7" w:rsidRPr="003841F7">
        <w:rPr>
          <w:rFonts w:ascii="Arial" w:hAnsi="Arial" w:cs="Arial"/>
          <w:i/>
          <w:sz w:val="20"/>
          <w:szCs w:val="20"/>
        </w:rPr>
        <w:t>Future Arrangements for the 2.5 GHz radiofrequency band and long-term arrangements for ENG</w:t>
      </w:r>
      <w:r w:rsidR="00682056">
        <w:rPr>
          <w:rFonts w:ascii="Arial" w:hAnsi="Arial" w:cs="Arial"/>
          <w:sz w:val="20"/>
          <w:szCs w:val="20"/>
        </w:rPr>
        <w:t>’</w:t>
      </w:r>
      <w:r w:rsidR="005F3FF8">
        <w:rPr>
          <w:rFonts w:ascii="Arial" w:hAnsi="Arial" w:cs="Arial"/>
          <w:sz w:val="20"/>
          <w:szCs w:val="20"/>
        </w:rPr>
        <w:t xml:space="preserve"> on 24 May 2011 </w:t>
      </w:r>
      <w:r w:rsidRPr="007550C9">
        <w:rPr>
          <w:rFonts w:ascii="Arial" w:hAnsi="Arial" w:cs="Arial"/>
          <w:sz w:val="20"/>
          <w:szCs w:val="20"/>
        </w:rPr>
        <w:t xml:space="preserve"> (OBPR ID 11300).  </w:t>
      </w:r>
    </w:p>
    <w:p w:rsidR="00FB7975" w:rsidRDefault="00FB7975" w:rsidP="000A74AD">
      <w:pPr>
        <w:pStyle w:val="ACMABodyText"/>
        <w:keepNext/>
        <w:spacing w:line="360" w:lineRule="auto"/>
        <w:rPr>
          <w:rFonts w:ascii="Arial" w:hAnsi="Arial" w:cs="Arial"/>
          <w:b/>
          <w:sz w:val="20"/>
        </w:rPr>
      </w:pPr>
      <w:r w:rsidRPr="00A03C73">
        <w:rPr>
          <w:rFonts w:ascii="Arial" w:hAnsi="Arial" w:cs="Arial"/>
          <w:b/>
          <w:sz w:val="20"/>
        </w:rPr>
        <w:t>Documents incorporated into th</w:t>
      </w:r>
      <w:r>
        <w:rPr>
          <w:rFonts w:ascii="Arial" w:hAnsi="Arial" w:cs="Arial"/>
          <w:b/>
          <w:sz w:val="20"/>
        </w:rPr>
        <w:t>e</w:t>
      </w:r>
      <w:r w:rsidRPr="00A03C73">
        <w:rPr>
          <w:rFonts w:ascii="Arial" w:hAnsi="Arial" w:cs="Arial"/>
          <w:b/>
          <w:sz w:val="20"/>
        </w:rPr>
        <w:t xml:space="preserve"> Advisory Guideline</w:t>
      </w:r>
      <w:r>
        <w:rPr>
          <w:rFonts w:ascii="Arial" w:hAnsi="Arial" w:cs="Arial"/>
          <w:b/>
          <w:sz w:val="20"/>
        </w:rPr>
        <w:t>s</w:t>
      </w:r>
      <w:r w:rsidRPr="00A03C73">
        <w:rPr>
          <w:rFonts w:ascii="Arial" w:hAnsi="Arial" w:cs="Arial"/>
          <w:b/>
          <w:sz w:val="20"/>
        </w:rPr>
        <w:t xml:space="preserve"> by </w:t>
      </w:r>
      <w:r w:rsidR="00780430">
        <w:rPr>
          <w:rFonts w:ascii="Arial" w:hAnsi="Arial" w:cs="Arial"/>
          <w:b/>
          <w:sz w:val="20"/>
        </w:rPr>
        <w:t>r</w:t>
      </w:r>
      <w:r w:rsidRPr="00A03C73">
        <w:rPr>
          <w:rFonts w:ascii="Arial" w:hAnsi="Arial" w:cs="Arial"/>
          <w:b/>
          <w:sz w:val="20"/>
        </w:rPr>
        <w:t>eference</w:t>
      </w:r>
    </w:p>
    <w:p w:rsidR="00393176" w:rsidRDefault="00FB7975" w:rsidP="000A74AD">
      <w:pPr>
        <w:pStyle w:val="ACMABodyText"/>
        <w:keepNext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Advisory Guidelines incorporate </w:t>
      </w:r>
      <w:r w:rsidR="00393176">
        <w:rPr>
          <w:rFonts w:ascii="Arial" w:hAnsi="Arial" w:cs="Arial"/>
          <w:sz w:val="20"/>
        </w:rPr>
        <w:t>the following documents by reference:</w:t>
      </w:r>
    </w:p>
    <w:p w:rsidR="00EC1443" w:rsidRDefault="006C3641">
      <w:pPr>
        <w:pStyle w:val="ACMABodyText"/>
        <w:numPr>
          <w:ilvl w:val="0"/>
          <w:numId w:val="3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RALI </w:t>
      </w:r>
      <w:r w:rsidR="00CC12CA">
        <w:rPr>
          <w:rFonts w:ascii="Arial" w:hAnsi="Arial" w:cs="Arial"/>
          <w:sz w:val="20"/>
        </w:rPr>
        <w:t>FX-</w:t>
      </w:r>
      <w:r w:rsidR="00C751A5">
        <w:rPr>
          <w:rFonts w:ascii="Arial" w:hAnsi="Arial" w:cs="Arial"/>
          <w:sz w:val="20"/>
        </w:rPr>
        <w:t>0</w:t>
      </w:r>
      <w:r w:rsidR="00CC12CA">
        <w:rPr>
          <w:rFonts w:ascii="Arial" w:hAnsi="Arial" w:cs="Arial"/>
          <w:sz w:val="20"/>
        </w:rPr>
        <w:t>3</w:t>
      </w:r>
      <w:r w:rsidRPr="006C3641">
        <w:rPr>
          <w:rFonts w:ascii="Arial" w:hAnsi="Arial" w:cs="Arial"/>
          <w:sz w:val="20"/>
        </w:rPr>
        <w:t xml:space="preserve"> Microwave Fixed Services Frequency Coordination</w:t>
      </w:r>
      <w:r>
        <w:rPr>
          <w:rFonts w:ascii="Arial" w:hAnsi="Arial" w:cs="Arial"/>
          <w:sz w:val="20"/>
        </w:rPr>
        <w:t xml:space="preserve">, which are Radiocommunications Assignment and Licensing Instructions produced by the ACMA that </w:t>
      </w:r>
      <w:r w:rsidRPr="006C3641">
        <w:rPr>
          <w:rFonts w:ascii="Arial" w:hAnsi="Arial" w:cs="Arial"/>
          <w:sz w:val="20"/>
        </w:rPr>
        <w:t xml:space="preserve">provide important radiocommunication technical policy, guidelines and useful information </w:t>
      </w:r>
      <w:r w:rsidRPr="006C3641">
        <w:rPr>
          <w:rFonts w:ascii="Arial" w:hAnsi="Arial" w:cs="Arial"/>
          <w:sz w:val="20"/>
        </w:rPr>
        <w:lastRenderedPageBreak/>
        <w:t>for the coordination and licensing of microwave fixed services.</w:t>
      </w:r>
      <w:r>
        <w:rPr>
          <w:rFonts w:ascii="Arial" w:hAnsi="Arial" w:cs="Arial"/>
          <w:sz w:val="20"/>
        </w:rPr>
        <w:t xml:space="preserve"> </w:t>
      </w:r>
      <w:r w:rsidR="00DD5E37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op</w:t>
      </w:r>
      <w:r w:rsidR="00DD5E37">
        <w:rPr>
          <w:rFonts w:ascii="Arial" w:hAnsi="Arial" w:cs="Arial"/>
          <w:sz w:val="20"/>
        </w:rPr>
        <w:t>ies</w:t>
      </w:r>
      <w:r>
        <w:rPr>
          <w:rFonts w:ascii="Arial" w:hAnsi="Arial" w:cs="Arial"/>
          <w:sz w:val="20"/>
        </w:rPr>
        <w:t xml:space="preserve"> of th</w:t>
      </w:r>
      <w:r w:rsidR="002F42FE">
        <w:rPr>
          <w:rFonts w:ascii="Arial" w:hAnsi="Arial" w:cs="Arial"/>
          <w:sz w:val="20"/>
        </w:rPr>
        <w:t>ese instructions are</w:t>
      </w:r>
      <w:r>
        <w:rPr>
          <w:rFonts w:ascii="Arial" w:hAnsi="Arial" w:cs="Arial"/>
          <w:sz w:val="20"/>
        </w:rPr>
        <w:t xml:space="preserve"> available from the ACMA’s website at </w:t>
      </w:r>
      <w:hyperlink r:id="rId8" w:history="1">
        <w:r w:rsidRPr="00345487">
          <w:rPr>
            <w:rStyle w:val="Hyperlink"/>
            <w:rFonts w:ascii="Arial" w:hAnsi="Arial" w:cs="Arial"/>
            <w:sz w:val="20"/>
          </w:rPr>
          <w:t>www.acma.gov.au</w:t>
        </w:r>
      </w:hyperlink>
      <w:r>
        <w:t>.</w:t>
      </w:r>
    </w:p>
    <w:p w:rsidR="00EC1443" w:rsidRDefault="006C3641">
      <w:pPr>
        <w:pStyle w:val="ACMABodyText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RALI MS-32 Coordination of Apparatus Licensed Services </w:t>
      </w:r>
      <w:r w:rsidR="00842471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ithin the Mid</w:t>
      </w:r>
      <w:r w:rsidR="00951B3F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West Radio Quiet Zone, which are Radiocommunications Assignment and Licensing Instruction</w:t>
      </w:r>
      <w:r w:rsidR="002F42FE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produced by the ACMA that </w:t>
      </w:r>
      <w:r w:rsidR="002F42FE">
        <w:rPr>
          <w:rFonts w:ascii="Arial" w:hAnsi="Arial" w:cs="Arial"/>
          <w:sz w:val="20"/>
        </w:rPr>
        <w:t>provide processes for co-ordination with the Mid</w:t>
      </w:r>
      <w:r w:rsidR="00951B3F">
        <w:rPr>
          <w:rFonts w:ascii="Arial" w:hAnsi="Arial" w:cs="Arial"/>
          <w:sz w:val="20"/>
        </w:rPr>
        <w:t>-</w:t>
      </w:r>
      <w:r w:rsidR="002F42FE">
        <w:rPr>
          <w:rFonts w:ascii="Arial" w:hAnsi="Arial" w:cs="Arial"/>
          <w:sz w:val="20"/>
        </w:rPr>
        <w:t>West Radio Quiet Zone</w:t>
      </w:r>
      <w:r w:rsidR="00DD5E37">
        <w:rPr>
          <w:rFonts w:ascii="Arial" w:hAnsi="Arial" w:cs="Arial"/>
          <w:sz w:val="20"/>
        </w:rPr>
        <w:t>. C</w:t>
      </w:r>
      <w:r>
        <w:rPr>
          <w:rFonts w:ascii="Arial" w:hAnsi="Arial" w:cs="Arial"/>
          <w:sz w:val="20"/>
        </w:rPr>
        <w:t>op</w:t>
      </w:r>
      <w:r w:rsidR="00DD5E37">
        <w:rPr>
          <w:rFonts w:ascii="Arial" w:hAnsi="Arial" w:cs="Arial"/>
          <w:sz w:val="20"/>
        </w:rPr>
        <w:t>ies</w:t>
      </w:r>
      <w:r>
        <w:rPr>
          <w:rFonts w:ascii="Arial" w:hAnsi="Arial" w:cs="Arial"/>
          <w:sz w:val="20"/>
        </w:rPr>
        <w:t xml:space="preserve"> </w:t>
      </w:r>
      <w:r w:rsidR="002F42FE">
        <w:rPr>
          <w:rFonts w:ascii="Arial" w:hAnsi="Arial" w:cs="Arial"/>
          <w:sz w:val="20"/>
        </w:rPr>
        <w:t>of these instructions</w:t>
      </w:r>
      <w:r>
        <w:rPr>
          <w:rFonts w:ascii="Arial" w:hAnsi="Arial" w:cs="Arial"/>
          <w:sz w:val="20"/>
        </w:rPr>
        <w:t xml:space="preserve"> </w:t>
      </w:r>
      <w:r w:rsidR="00DD5E37">
        <w:rPr>
          <w:rFonts w:ascii="Arial" w:hAnsi="Arial" w:cs="Arial"/>
          <w:sz w:val="20"/>
        </w:rPr>
        <w:t>are</w:t>
      </w:r>
      <w:r>
        <w:rPr>
          <w:rFonts w:ascii="Arial" w:hAnsi="Arial" w:cs="Arial"/>
          <w:sz w:val="20"/>
        </w:rPr>
        <w:t xml:space="preserve"> available from the ACMA’s website at </w:t>
      </w:r>
      <w:hyperlink r:id="rId9" w:history="1">
        <w:r w:rsidRPr="006C3641">
          <w:rPr>
            <w:rFonts w:ascii="Arial" w:hAnsi="Arial" w:cs="Arial"/>
            <w:sz w:val="20"/>
          </w:rPr>
          <w:t>www.acma.gov.au</w:t>
        </w:r>
      </w:hyperlink>
      <w:r w:rsidRPr="006C3641">
        <w:rPr>
          <w:rFonts w:ascii="Arial" w:hAnsi="Arial" w:cs="Arial"/>
          <w:sz w:val="20"/>
        </w:rPr>
        <w:t>.</w:t>
      </w:r>
    </w:p>
    <w:p w:rsidR="00FB7975" w:rsidRDefault="00FB7975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>Detailed Description of the Instrument</w:t>
      </w:r>
    </w:p>
    <w:p w:rsidR="00FB7975" w:rsidRDefault="00907199">
      <w:pPr>
        <w:pStyle w:val="ACMABodyText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Further details </w:t>
      </w:r>
      <w:r w:rsidR="00FB7975">
        <w:rPr>
          <w:rFonts w:ascii="Arial" w:hAnsi="Arial"/>
          <w:sz w:val="20"/>
        </w:rPr>
        <w:t xml:space="preserve">of the </w:t>
      </w:r>
      <w:r>
        <w:rPr>
          <w:rFonts w:ascii="Arial" w:hAnsi="Arial"/>
          <w:sz w:val="20"/>
        </w:rPr>
        <w:t xml:space="preserve">Advisory Guidelines </w:t>
      </w:r>
      <w:r w:rsidR="00FB7975">
        <w:rPr>
          <w:rFonts w:ascii="Arial" w:hAnsi="Arial"/>
          <w:sz w:val="20"/>
        </w:rPr>
        <w:t xml:space="preserve">are </w:t>
      </w:r>
      <w:r w:rsidR="00550AFA">
        <w:rPr>
          <w:rFonts w:ascii="Arial" w:hAnsi="Arial"/>
          <w:sz w:val="20"/>
        </w:rPr>
        <w:t xml:space="preserve">set out </w:t>
      </w:r>
      <w:r w:rsidR="00FB7975">
        <w:rPr>
          <w:rFonts w:ascii="Arial" w:hAnsi="Arial"/>
          <w:sz w:val="20"/>
        </w:rPr>
        <w:t xml:space="preserve">in </w:t>
      </w:r>
      <w:r w:rsidR="00685D03">
        <w:rPr>
          <w:rFonts w:ascii="Arial" w:hAnsi="Arial"/>
          <w:sz w:val="20"/>
        </w:rPr>
        <w:t xml:space="preserve">Attachment </w:t>
      </w:r>
      <w:r w:rsidR="00FB7975">
        <w:rPr>
          <w:rFonts w:ascii="Arial" w:hAnsi="Arial"/>
          <w:sz w:val="20"/>
        </w:rPr>
        <w:t>A.</w:t>
      </w:r>
    </w:p>
    <w:p w:rsidR="00780430" w:rsidRPr="00BF219C" w:rsidRDefault="00780430" w:rsidP="00780430">
      <w:pPr>
        <w:pStyle w:val="ACMAHeading3"/>
        <w:spacing w:line="360" w:lineRule="auto"/>
        <w:rPr>
          <w:sz w:val="20"/>
        </w:rPr>
      </w:pPr>
      <w:r w:rsidRPr="00BF219C">
        <w:rPr>
          <w:sz w:val="20"/>
        </w:rPr>
        <w:t>Statement of compatibility with human rights</w:t>
      </w:r>
    </w:p>
    <w:p w:rsidR="00780430" w:rsidRPr="00422AA3" w:rsidRDefault="00780430" w:rsidP="00780430">
      <w:pPr>
        <w:pStyle w:val="ACMAHeading3"/>
        <w:spacing w:line="360" w:lineRule="auto"/>
        <w:rPr>
          <w:rFonts w:cs="Arial"/>
          <w:b w:val="0"/>
          <w:sz w:val="20"/>
          <w:lang w:val="en-AU"/>
        </w:rPr>
      </w:pPr>
      <w:r w:rsidRPr="00422AA3">
        <w:rPr>
          <w:rFonts w:cs="Arial"/>
          <w:b w:val="0"/>
          <w:sz w:val="20"/>
          <w:lang w:val="en-AU"/>
        </w:rPr>
        <w:t xml:space="preserve">Subsection 9(1) of the </w:t>
      </w:r>
      <w:r w:rsidRPr="00A71723">
        <w:rPr>
          <w:rFonts w:cs="Arial"/>
          <w:b w:val="0"/>
          <w:i/>
          <w:sz w:val="20"/>
          <w:lang w:val="en-AU"/>
        </w:rPr>
        <w:t>Human Rights (Parliamentary Scrutiny) Act 2011</w:t>
      </w:r>
      <w:r w:rsidRPr="00422AA3">
        <w:rPr>
          <w:rFonts w:cs="Arial"/>
          <w:b w:val="0"/>
          <w:sz w:val="20"/>
          <w:lang w:val="en-AU"/>
        </w:rPr>
        <w:t xml:space="preserve"> requires the rule maker in relation to a legislative instrument to which section 42 (disallowance) of the </w:t>
      </w:r>
      <w:r w:rsidRPr="004C01D4">
        <w:rPr>
          <w:rFonts w:cs="Arial"/>
          <w:b w:val="0"/>
          <w:i/>
          <w:sz w:val="20"/>
          <w:lang w:val="en-AU"/>
        </w:rPr>
        <w:t>Legislative Instruments Act 2003</w:t>
      </w:r>
      <w:r>
        <w:rPr>
          <w:rFonts w:cs="Arial"/>
          <w:b w:val="0"/>
          <w:sz w:val="20"/>
          <w:lang w:val="en-AU"/>
        </w:rPr>
        <w:t xml:space="preserve"> </w:t>
      </w:r>
      <w:r w:rsidRPr="00422AA3">
        <w:rPr>
          <w:rFonts w:cs="Arial"/>
          <w:b w:val="0"/>
          <w:sz w:val="20"/>
          <w:lang w:val="en-AU"/>
        </w:rPr>
        <w:t xml:space="preserve">applies to cause a statement of compatibility to be prepared in respect of that legislative instrument. This statement is </w:t>
      </w:r>
      <w:r>
        <w:rPr>
          <w:rFonts w:cs="Arial"/>
          <w:b w:val="0"/>
          <w:sz w:val="20"/>
          <w:lang w:val="en-AU"/>
        </w:rPr>
        <w:t>A</w:t>
      </w:r>
      <w:r w:rsidRPr="00422AA3">
        <w:rPr>
          <w:rFonts w:cs="Arial"/>
          <w:b w:val="0"/>
          <w:sz w:val="20"/>
          <w:lang w:val="en-AU"/>
        </w:rPr>
        <w:t>ttachment B.</w:t>
      </w:r>
    </w:p>
    <w:p w:rsidR="00780430" w:rsidRDefault="00780430">
      <w:pPr>
        <w:pStyle w:val="ACMABodyText"/>
        <w:spacing w:line="360" w:lineRule="auto"/>
        <w:rPr>
          <w:rFonts w:ascii="Arial" w:hAnsi="Arial"/>
          <w:sz w:val="20"/>
        </w:rPr>
      </w:pPr>
    </w:p>
    <w:p w:rsidR="00FB7975" w:rsidRDefault="00FB7975">
      <w:pPr>
        <w:pStyle w:val="ACMAHeading2"/>
        <w:spacing w:line="360" w:lineRule="auto"/>
        <w:jc w:val="right"/>
        <w:rPr>
          <w:sz w:val="20"/>
          <w:szCs w:val="20"/>
        </w:rPr>
      </w:pPr>
      <w:r w:rsidRPr="001D6BBA"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>attachment  A</w:t>
      </w:r>
    </w:p>
    <w:p w:rsidR="00FB7975" w:rsidRDefault="00FB7975">
      <w:pPr>
        <w:pStyle w:val="ACMAHeading2"/>
        <w:spacing w:line="360" w:lineRule="auto"/>
        <w:rPr>
          <w:sz w:val="20"/>
          <w:szCs w:val="20"/>
        </w:rPr>
      </w:pPr>
      <w:r w:rsidRPr="001D6BBA">
        <w:rPr>
          <w:sz w:val="20"/>
          <w:szCs w:val="20"/>
        </w:rPr>
        <w:t>NOTES ON SECTIONS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t xml:space="preserve">Part 1 – Preliminary 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t xml:space="preserve">Section 1.1 – Name of </w:t>
      </w:r>
      <w:r w:rsidR="00A52316">
        <w:rPr>
          <w:rFonts w:ascii="Arial" w:hAnsi="Arial" w:cs="Arial"/>
          <w:b/>
          <w:sz w:val="20"/>
        </w:rPr>
        <w:t>g</w:t>
      </w:r>
      <w:r w:rsidRPr="001D6BBA">
        <w:rPr>
          <w:rFonts w:ascii="Arial" w:hAnsi="Arial" w:cs="Arial"/>
          <w:b/>
          <w:sz w:val="20"/>
        </w:rPr>
        <w:t>uidelines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  <w:r w:rsidRPr="001D6BBA">
        <w:rPr>
          <w:rFonts w:ascii="Arial" w:hAnsi="Arial" w:cs="Arial"/>
          <w:sz w:val="20"/>
        </w:rPr>
        <w:t xml:space="preserve">This section </w:t>
      </w:r>
      <w:r w:rsidR="00550AFA">
        <w:rPr>
          <w:rFonts w:ascii="Arial" w:hAnsi="Arial" w:cs="Arial"/>
          <w:sz w:val="20"/>
        </w:rPr>
        <w:t xml:space="preserve">provides that the name of the </w:t>
      </w:r>
      <w:r w:rsidRPr="001D6BBA">
        <w:rPr>
          <w:rFonts w:ascii="Arial" w:hAnsi="Arial" w:cs="Arial"/>
          <w:sz w:val="20"/>
        </w:rPr>
        <w:t>Advisory Guideline</w:t>
      </w:r>
      <w:r>
        <w:rPr>
          <w:rFonts w:ascii="Arial" w:hAnsi="Arial" w:cs="Arial"/>
          <w:sz w:val="20"/>
        </w:rPr>
        <w:t>s</w:t>
      </w:r>
      <w:r w:rsidR="00550AFA">
        <w:rPr>
          <w:rFonts w:ascii="Arial" w:hAnsi="Arial" w:cs="Arial"/>
          <w:sz w:val="20"/>
        </w:rPr>
        <w:t xml:space="preserve"> is the </w:t>
      </w:r>
      <w:r w:rsidR="00550AFA" w:rsidRPr="00550AFA">
        <w:rPr>
          <w:rFonts w:ascii="Arial" w:hAnsi="Arial" w:cs="Arial"/>
          <w:i/>
          <w:sz w:val="20"/>
        </w:rPr>
        <w:t>Radiocommunications Advisory Guidelines (Managing Interference from Transmitters – 2.5 GHz Mid-band Gap) 2012</w:t>
      </w:r>
      <w:r w:rsidRPr="001D6BBA">
        <w:rPr>
          <w:rFonts w:ascii="Arial" w:hAnsi="Arial" w:cs="Arial"/>
          <w:sz w:val="20"/>
        </w:rPr>
        <w:t>.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t>Section 1.2 – Commencement</w:t>
      </w:r>
    </w:p>
    <w:p w:rsidR="00FB7975" w:rsidRDefault="00FB797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A5F1C">
        <w:rPr>
          <w:rFonts w:ascii="Arial" w:hAnsi="Arial" w:cs="Arial"/>
          <w:sz w:val="20"/>
          <w:szCs w:val="20"/>
          <w:lang w:val="en-US"/>
        </w:rPr>
        <w:t xml:space="preserve">This section provides that the </w:t>
      </w:r>
      <w:r>
        <w:rPr>
          <w:rFonts w:ascii="Arial" w:hAnsi="Arial" w:cs="Arial"/>
          <w:sz w:val="20"/>
          <w:szCs w:val="20"/>
          <w:lang w:val="en-US"/>
        </w:rPr>
        <w:t>Advisory Guidelines</w:t>
      </w:r>
      <w:r w:rsidRPr="00CA5F1C">
        <w:rPr>
          <w:rFonts w:ascii="Arial" w:hAnsi="Arial" w:cs="Arial"/>
          <w:sz w:val="20"/>
          <w:szCs w:val="20"/>
          <w:lang w:val="en-US"/>
        </w:rPr>
        <w:t xml:space="preserve"> commence on the day </w:t>
      </w:r>
      <w:r w:rsidR="00CB1F34">
        <w:rPr>
          <w:rFonts w:ascii="Arial" w:hAnsi="Arial" w:cs="Arial"/>
          <w:sz w:val="20"/>
          <w:szCs w:val="20"/>
          <w:lang w:val="en-US"/>
        </w:rPr>
        <w:t xml:space="preserve">on </w:t>
      </w:r>
      <w:r w:rsidR="00B7350E" w:rsidRPr="004F796F">
        <w:rPr>
          <w:rFonts w:ascii="Arial" w:hAnsi="Arial" w:cs="Arial"/>
          <w:sz w:val="20"/>
          <w:szCs w:val="20"/>
          <w:lang w:val="en-US"/>
        </w:rPr>
        <w:t xml:space="preserve">which the </w:t>
      </w:r>
      <w:r w:rsidR="00B7350E" w:rsidRPr="004F796F">
        <w:rPr>
          <w:rFonts w:ascii="Arial" w:hAnsi="Arial" w:cs="Arial"/>
          <w:i/>
          <w:sz w:val="20"/>
          <w:szCs w:val="20"/>
          <w:lang w:val="en-US"/>
        </w:rPr>
        <w:t xml:space="preserve">Radiocommunications Spectrum </w:t>
      </w:r>
      <w:r w:rsidR="004F796F" w:rsidRPr="004F796F">
        <w:rPr>
          <w:rFonts w:ascii="Arial" w:hAnsi="Arial" w:cs="Arial"/>
          <w:i/>
          <w:sz w:val="20"/>
          <w:szCs w:val="20"/>
          <w:lang w:val="en-US"/>
        </w:rPr>
        <w:t>Conversion Plan (2.5 GHz Mid-band Gap</w:t>
      </w:r>
      <w:r w:rsidR="00B7350E" w:rsidRPr="004F796F">
        <w:rPr>
          <w:rFonts w:ascii="Arial" w:hAnsi="Arial" w:cs="Arial"/>
          <w:i/>
          <w:sz w:val="20"/>
          <w:szCs w:val="20"/>
          <w:lang w:val="en-US"/>
        </w:rPr>
        <w:t xml:space="preserve">) 2012 </w:t>
      </w:r>
      <w:r w:rsidR="00B7350E" w:rsidRPr="004F796F">
        <w:rPr>
          <w:rFonts w:ascii="Arial" w:hAnsi="Arial" w:cs="Arial"/>
          <w:sz w:val="20"/>
          <w:szCs w:val="20"/>
          <w:lang w:val="en-US"/>
        </w:rPr>
        <w:t>commences</w:t>
      </w:r>
      <w:r w:rsidRPr="00CA5F1C">
        <w:rPr>
          <w:rFonts w:ascii="Arial" w:hAnsi="Arial" w:cs="Arial"/>
          <w:sz w:val="20"/>
          <w:szCs w:val="20"/>
          <w:lang w:val="en-US"/>
        </w:rPr>
        <w:t xml:space="preserve">.  This </w:t>
      </w:r>
      <w:r>
        <w:rPr>
          <w:rFonts w:ascii="Arial" w:hAnsi="Arial" w:cs="Arial"/>
          <w:sz w:val="20"/>
          <w:szCs w:val="20"/>
          <w:lang w:val="en-US"/>
        </w:rPr>
        <w:t xml:space="preserve">provision </w:t>
      </w:r>
      <w:r w:rsidRPr="00CA5F1C">
        <w:rPr>
          <w:rFonts w:ascii="Arial" w:hAnsi="Arial" w:cs="Arial"/>
          <w:sz w:val="20"/>
          <w:szCs w:val="20"/>
          <w:lang w:val="en-US"/>
        </w:rPr>
        <w:t>ensure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CA5F1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that the</w:t>
      </w:r>
      <w:r w:rsidRPr="00CA5F1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commencement of the Advisory Guidelines </w:t>
      </w:r>
      <w:r w:rsidR="00DD71BF" w:rsidRPr="00FD3D05">
        <w:rPr>
          <w:rFonts w:ascii="Arial" w:hAnsi="Arial" w:cs="Arial"/>
          <w:sz w:val="20"/>
          <w:szCs w:val="20"/>
          <w:lang w:val="en-US"/>
        </w:rPr>
        <w:t>coincides with the process for converting existing apparatus licences in the band to spectrum licences</w:t>
      </w:r>
      <w:r w:rsidRPr="00CA5F1C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t xml:space="preserve">Section 1.3 – Purpose 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  <w:r w:rsidRPr="001D6BBA">
        <w:rPr>
          <w:rFonts w:ascii="Arial" w:hAnsi="Arial" w:cs="Arial"/>
          <w:sz w:val="20"/>
        </w:rPr>
        <w:t xml:space="preserve">This section states </w:t>
      </w:r>
      <w:r w:rsidR="00550AFA">
        <w:rPr>
          <w:rFonts w:ascii="Arial" w:hAnsi="Arial" w:cs="Arial"/>
          <w:sz w:val="20"/>
        </w:rPr>
        <w:t xml:space="preserve">that </w:t>
      </w:r>
      <w:r w:rsidRPr="001D6BBA">
        <w:rPr>
          <w:rFonts w:ascii="Arial" w:hAnsi="Arial" w:cs="Arial"/>
          <w:sz w:val="20"/>
        </w:rPr>
        <w:t>the purpose of the Advisory Guideline</w:t>
      </w:r>
      <w:r>
        <w:rPr>
          <w:rFonts w:ascii="Arial" w:hAnsi="Arial" w:cs="Arial"/>
          <w:sz w:val="20"/>
        </w:rPr>
        <w:t>s</w:t>
      </w:r>
      <w:r w:rsidRPr="001D6BBA">
        <w:rPr>
          <w:rFonts w:ascii="Arial" w:hAnsi="Arial" w:cs="Arial"/>
          <w:sz w:val="20"/>
        </w:rPr>
        <w:t xml:space="preserve"> is to manage</w:t>
      </w:r>
      <w:r>
        <w:rPr>
          <w:rFonts w:ascii="Arial" w:hAnsi="Arial" w:cs="Arial"/>
          <w:sz w:val="20"/>
        </w:rPr>
        <w:t xml:space="preserve"> </w:t>
      </w:r>
      <w:r w:rsidRPr="001D6BBA">
        <w:rPr>
          <w:rFonts w:ascii="Arial" w:hAnsi="Arial" w:cs="Arial"/>
          <w:sz w:val="20"/>
        </w:rPr>
        <w:t xml:space="preserve">interference from </w:t>
      </w:r>
      <w:r w:rsidR="00550AFA">
        <w:rPr>
          <w:rFonts w:ascii="Arial" w:hAnsi="Arial" w:cs="Arial"/>
          <w:sz w:val="20"/>
        </w:rPr>
        <w:t xml:space="preserve">radiocommunications </w:t>
      </w:r>
      <w:r w:rsidRPr="001D6BBA">
        <w:rPr>
          <w:rFonts w:ascii="Arial" w:hAnsi="Arial" w:cs="Arial"/>
          <w:sz w:val="20"/>
        </w:rPr>
        <w:t xml:space="preserve">transmitters operated under a spectrum licence </w:t>
      </w:r>
      <w:r>
        <w:rPr>
          <w:rFonts w:ascii="Arial" w:hAnsi="Arial" w:cs="Arial"/>
          <w:sz w:val="20"/>
        </w:rPr>
        <w:t xml:space="preserve">to </w:t>
      </w:r>
      <w:r w:rsidRPr="001D6BBA">
        <w:rPr>
          <w:rFonts w:ascii="Arial" w:hAnsi="Arial" w:cs="Arial"/>
          <w:sz w:val="20"/>
        </w:rPr>
        <w:t xml:space="preserve">protect receivers operating </w:t>
      </w:r>
      <w:r>
        <w:rPr>
          <w:rFonts w:ascii="Arial" w:hAnsi="Arial" w:cs="Arial"/>
          <w:sz w:val="20"/>
        </w:rPr>
        <w:t xml:space="preserve">under other radiocommunications licences </w:t>
      </w:r>
      <w:r w:rsidRPr="001D6BBA">
        <w:rPr>
          <w:rFonts w:ascii="Arial" w:hAnsi="Arial" w:cs="Arial"/>
          <w:sz w:val="20"/>
        </w:rPr>
        <w:t>in or adjacent to the 2.</w:t>
      </w:r>
      <w:r>
        <w:rPr>
          <w:rFonts w:ascii="Arial" w:hAnsi="Arial" w:cs="Arial"/>
          <w:sz w:val="20"/>
        </w:rPr>
        <w:t>5</w:t>
      </w:r>
      <w:r w:rsidRPr="001D6BBA">
        <w:rPr>
          <w:rFonts w:ascii="Arial" w:hAnsi="Arial" w:cs="Arial"/>
          <w:sz w:val="20"/>
        </w:rPr>
        <w:t xml:space="preserve"> GHz </w:t>
      </w:r>
      <w:r w:rsidR="004F796F">
        <w:rPr>
          <w:rFonts w:ascii="Arial" w:hAnsi="Arial" w:cs="Arial"/>
          <w:sz w:val="20"/>
        </w:rPr>
        <w:t>Mid-</w:t>
      </w:r>
      <w:r w:rsidRPr="001D6BBA">
        <w:rPr>
          <w:rFonts w:ascii="Arial" w:hAnsi="Arial" w:cs="Arial"/>
          <w:sz w:val="20"/>
        </w:rPr>
        <w:t>band</w:t>
      </w:r>
      <w:r w:rsidR="004F796F">
        <w:rPr>
          <w:rFonts w:ascii="Arial" w:hAnsi="Arial" w:cs="Arial"/>
          <w:sz w:val="20"/>
        </w:rPr>
        <w:t xml:space="preserve"> Gap</w:t>
      </w:r>
      <w:r w:rsidRPr="001D6BBA">
        <w:rPr>
          <w:rFonts w:ascii="Arial" w:hAnsi="Arial" w:cs="Arial"/>
          <w:sz w:val="20"/>
        </w:rPr>
        <w:t>.</w:t>
      </w:r>
    </w:p>
    <w:p w:rsidR="00FB7975" w:rsidRDefault="00EC732C">
      <w:pPr>
        <w:pStyle w:val="ACMABodyText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FB7975" w:rsidRPr="001D6BBA">
        <w:rPr>
          <w:rFonts w:ascii="Arial" w:hAnsi="Arial" w:cs="Arial"/>
          <w:sz w:val="20"/>
        </w:rPr>
        <w:t>ACMA</w:t>
      </w:r>
      <w:r>
        <w:rPr>
          <w:rFonts w:ascii="Arial" w:hAnsi="Arial" w:cs="Arial"/>
          <w:sz w:val="20"/>
        </w:rPr>
        <w:t xml:space="preserve"> </w:t>
      </w:r>
      <w:r w:rsidR="00FB7975" w:rsidRPr="001D6BBA">
        <w:rPr>
          <w:rFonts w:ascii="Arial" w:hAnsi="Arial" w:cs="Arial"/>
          <w:sz w:val="20"/>
        </w:rPr>
        <w:t>inten</w:t>
      </w:r>
      <w:r>
        <w:rPr>
          <w:rFonts w:ascii="Arial" w:hAnsi="Arial" w:cs="Arial"/>
          <w:sz w:val="20"/>
        </w:rPr>
        <w:t xml:space="preserve">ds </w:t>
      </w:r>
      <w:r w:rsidR="00FB7975" w:rsidRPr="001D6BBA">
        <w:rPr>
          <w:rFonts w:ascii="Arial" w:hAnsi="Arial" w:cs="Arial"/>
          <w:sz w:val="20"/>
        </w:rPr>
        <w:t xml:space="preserve">to </w:t>
      </w:r>
      <w:r w:rsidR="00FB7975">
        <w:rPr>
          <w:rFonts w:ascii="Arial" w:hAnsi="Arial" w:cs="Arial"/>
          <w:sz w:val="20"/>
        </w:rPr>
        <w:t>take</w:t>
      </w:r>
      <w:r w:rsidR="00FB7975" w:rsidRPr="001D6BBA">
        <w:rPr>
          <w:rFonts w:ascii="Arial" w:hAnsi="Arial" w:cs="Arial"/>
          <w:sz w:val="20"/>
        </w:rPr>
        <w:t xml:space="preserve"> the</w:t>
      </w:r>
      <w:r w:rsidR="00FB7975">
        <w:rPr>
          <w:rFonts w:ascii="Arial" w:hAnsi="Arial" w:cs="Arial"/>
          <w:sz w:val="20"/>
        </w:rPr>
        <w:t>se</w:t>
      </w:r>
      <w:r w:rsidR="00FB7975" w:rsidRPr="001D6BBA">
        <w:rPr>
          <w:rFonts w:ascii="Arial" w:hAnsi="Arial" w:cs="Arial"/>
          <w:sz w:val="20"/>
        </w:rPr>
        <w:t xml:space="preserve"> Advisory Guideline</w:t>
      </w:r>
      <w:r w:rsidR="00FB7975">
        <w:rPr>
          <w:rFonts w:ascii="Arial" w:hAnsi="Arial" w:cs="Arial"/>
          <w:sz w:val="20"/>
        </w:rPr>
        <w:t>s</w:t>
      </w:r>
      <w:r w:rsidR="00FB7975" w:rsidRPr="001D6BBA">
        <w:rPr>
          <w:rFonts w:ascii="Arial" w:hAnsi="Arial" w:cs="Arial"/>
          <w:sz w:val="20"/>
        </w:rPr>
        <w:t xml:space="preserve"> </w:t>
      </w:r>
      <w:r w:rsidR="00FB7975">
        <w:rPr>
          <w:rFonts w:ascii="Arial" w:hAnsi="Arial" w:cs="Arial"/>
          <w:sz w:val="20"/>
        </w:rPr>
        <w:t>into account in</w:t>
      </w:r>
      <w:r w:rsidR="00FB7975" w:rsidRPr="001D6BBA">
        <w:rPr>
          <w:rFonts w:ascii="Arial" w:hAnsi="Arial" w:cs="Arial"/>
          <w:sz w:val="20"/>
        </w:rPr>
        <w:t xml:space="preserve"> settl</w:t>
      </w:r>
      <w:r w:rsidR="00FB7975">
        <w:rPr>
          <w:rFonts w:ascii="Arial" w:hAnsi="Arial" w:cs="Arial"/>
          <w:sz w:val="20"/>
        </w:rPr>
        <w:t>ing</w:t>
      </w:r>
      <w:r w:rsidR="00FB7975" w:rsidRPr="001D6BBA">
        <w:rPr>
          <w:rFonts w:ascii="Arial" w:hAnsi="Arial" w:cs="Arial"/>
          <w:sz w:val="20"/>
        </w:rPr>
        <w:t xml:space="preserve"> any interference dispute that may arise between spectrum licensees and any licensees in </w:t>
      </w:r>
      <w:r w:rsidR="00FB7975">
        <w:rPr>
          <w:rFonts w:ascii="Arial" w:hAnsi="Arial" w:cs="Arial"/>
          <w:sz w:val="20"/>
        </w:rPr>
        <w:t xml:space="preserve">or </w:t>
      </w:r>
      <w:r w:rsidR="00FB7975" w:rsidRPr="001D6BBA">
        <w:rPr>
          <w:rFonts w:ascii="Arial" w:hAnsi="Arial" w:cs="Arial"/>
          <w:sz w:val="20"/>
        </w:rPr>
        <w:t xml:space="preserve">adjacent </w:t>
      </w:r>
      <w:r w:rsidR="00FB7975">
        <w:rPr>
          <w:rFonts w:ascii="Arial" w:hAnsi="Arial" w:cs="Arial"/>
          <w:sz w:val="20"/>
        </w:rPr>
        <w:t xml:space="preserve">to the </w:t>
      </w:r>
      <w:r w:rsidR="00FB7975" w:rsidRPr="001D6BBA">
        <w:rPr>
          <w:rFonts w:ascii="Arial" w:hAnsi="Arial" w:cs="Arial"/>
          <w:sz w:val="20"/>
        </w:rPr>
        <w:t>licen</w:t>
      </w:r>
      <w:r w:rsidR="00FB7975">
        <w:rPr>
          <w:rFonts w:ascii="Arial" w:hAnsi="Arial" w:cs="Arial"/>
          <w:sz w:val="20"/>
        </w:rPr>
        <w:t>s</w:t>
      </w:r>
      <w:r w:rsidR="00FB7975" w:rsidRPr="001D6BBA">
        <w:rPr>
          <w:rFonts w:ascii="Arial" w:hAnsi="Arial" w:cs="Arial"/>
          <w:sz w:val="20"/>
        </w:rPr>
        <w:t>e</w:t>
      </w:r>
      <w:r w:rsidR="00FB7975">
        <w:rPr>
          <w:rFonts w:ascii="Arial" w:hAnsi="Arial" w:cs="Arial"/>
          <w:sz w:val="20"/>
        </w:rPr>
        <w:t>d</w:t>
      </w:r>
      <w:r w:rsidR="00FB7975" w:rsidRPr="001D6BBA">
        <w:rPr>
          <w:rFonts w:ascii="Arial" w:hAnsi="Arial" w:cs="Arial"/>
          <w:sz w:val="20"/>
        </w:rPr>
        <w:t xml:space="preserve"> areas and bands.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t>Section 1.4 – Interpretation</w:t>
      </w:r>
    </w:p>
    <w:p w:rsidR="00FB7975" w:rsidRPr="00841CD8" w:rsidRDefault="00FB7975">
      <w:pPr>
        <w:pStyle w:val="ACMABodyText"/>
        <w:spacing w:line="360" w:lineRule="auto"/>
        <w:rPr>
          <w:rFonts w:ascii="Arial" w:hAnsi="Arial" w:cs="Arial"/>
          <w:i/>
          <w:sz w:val="20"/>
        </w:rPr>
      </w:pPr>
      <w:r w:rsidRPr="001D6BBA">
        <w:rPr>
          <w:rFonts w:ascii="Arial" w:hAnsi="Arial" w:cs="Arial"/>
          <w:sz w:val="20"/>
        </w:rPr>
        <w:t>This section provides definitions for the terms used in the Advisory Guideline</w:t>
      </w:r>
      <w:r>
        <w:rPr>
          <w:rFonts w:ascii="Arial" w:hAnsi="Arial" w:cs="Arial"/>
          <w:sz w:val="20"/>
        </w:rPr>
        <w:t>s</w:t>
      </w:r>
      <w:r w:rsidRPr="001D6BBA">
        <w:rPr>
          <w:rFonts w:ascii="Arial" w:hAnsi="Arial" w:cs="Arial"/>
          <w:sz w:val="20"/>
        </w:rPr>
        <w:t>.</w:t>
      </w:r>
      <w:r w:rsidR="00841CD8">
        <w:rPr>
          <w:rFonts w:ascii="Arial" w:hAnsi="Arial" w:cs="Arial"/>
          <w:sz w:val="20"/>
        </w:rPr>
        <w:t xml:space="preserve"> Some terms </w:t>
      </w:r>
      <w:r w:rsidR="00550AFA">
        <w:rPr>
          <w:rFonts w:ascii="Arial" w:hAnsi="Arial" w:cs="Arial"/>
          <w:sz w:val="20"/>
        </w:rPr>
        <w:t xml:space="preserve">used in the instrument </w:t>
      </w:r>
      <w:r w:rsidR="00841CD8">
        <w:rPr>
          <w:rFonts w:ascii="Arial" w:hAnsi="Arial" w:cs="Arial"/>
          <w:sz w:val="20"/>
        </w:rPr>
        <w:t xml:space="preserve">have the same meaning as in the </w:t>
      </w:r>
      <w:r w:rsidR="003841F7" w:rsidRPr="003841F7">
        <w:rPr>
          <w:rFonts w:ascii="Arial" w:hAnsi="Arial" w:cs="Arial"/>
          <w:i/>
          <w:sz w:val="20"/>
        </w:rPr>
        <w:t>Australian Radiofrequency Spectrum Plan 2009</w:t>
      </w:r>
      <w:r w:rsidR="00841CD8">
        <w:rPr>
          <w:rFonts w:ascii="Arial" w:hAnsi="Arial" w:cs="Arial"/>
          <w:sz w:val="20"/>
        </w:rPr>
        <w:t xml:space="preserve">, the Act and the </w:t>
      </w:r>
      <w:r w:rsidR="004C01D4" w:rsidRPr="004C01D4">
        <w:rPr>
          <w:rFonts w:ascii="Arial" w:hAnsi="Arial" w:cs="Arial"/>
          <w:i/>
          <w:sz w:val="20"/>
        </w:rPr>
        <w:t>Radiocommunications (Unacceptable Levels of Interference</w:t>
      </w:r>
      <w:r w:rsidR="00841CD8">
        <w:rPr>
          <w:rFonts w:ascii="Arial" w:hAnsi="Arial" w:cs="Arial"/>
          <w:i/>
          <w:sz w:val="20"/>
        </w:rPr>
        <w:t xml:space="preserve"> -</w:t>
      </w:r>
      <w:r w:rsidR="004C01D4" w:rsidRPr="004C01D4">
        <w:rPr>
          <w:rFonts w:ascii="Arial" w:hAnsi="Arial" w:cs="Arial"/>
          <w:i/>
          <w:sz w:val="20"/>
        </w:rPr>
        <w:t xml:space="preserve"> 2.5 GHz </w:t>
      </w:r>
      <w:r w:rsidR="005C7B71">
        <w:rPr>
          <w:rFonts w:ascii="Arial" w:hAnsi="Arial" w:cs="Arial"/>
          <w:i/>
          <w:sz w:val="20"/>
        </w:rPr>
        <w:t>Mid-b</w:t>
      </w:r>
      <w:r w:rsidR="004C01D4" w:rsidRPr="004C01D4">
        <w:rPr>
          <w:rFonts w:ascii="Arial" w:hAnsi="Arial" w:cs="Arial"/>
          <w:i/>
          <w:sz w:val="20"/>
        </w:rPr>
        <w:t>and</w:t>
      </w:r>
      <w:r w:rsidR="005C7B71">
        <w:rPr>
          <w:rFonts w:ascii="Arial" w:hAnsi="Arial" w:cs="Arial"/>
          <w:i/>
          <w:sz w:val="20"/>
        </w:rPr>
        <w:t xml:space="preserve"> Gap</w:t>
      </w:r>
      <w:r w:rsidR="004C01D4" w:rsidRPr="004C01D4">
        <w:rPr>
          <w:rFonts w:ascii="Arial" w:hAnsi="Arial" w:cs="Arial"/>
          <w:i/>
          <w:sz w:val="20"/>
        </w:rPr>
        <w:t>) Determination 2012</w:t>
      </w:r>
      <w:r w:rsidR="00841CD8">
        <w:rPr>
          <w:rFonts w:ascii="Arial" w:hAnsi="Arial" w:cs="Arial"/>
          <w:i/>
          <w:sz w:val="20"/>
        </w:rPr>
        <w:t>.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t xml:space="preserve">Part 2 – </w:t>
      </w:r>
      <w:r>
        <w:rPr>
          <w:rFonts w:ascii="Arial" w:hAnsi="Arial" w:cs="Arial"/>
          <w:b/>
          <w:sz w:val="20"/>
        </w:rPr>
        <w:t>Background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B73995">
        <w:rPr>
          <w:rFonts w:ascii="Arial" w:hAnsi="Arial" w:cs="Arial"/>
          <w:b/>
          <w:sz w:val="20"/>
        </w:rPr>
        <w:t>Section 2.1 – Background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section provides general information and guidance </w:t>
      </w:r>
      <w:r w:rsidR="00F77ECA">
        <w:rPr>
          <w:rFonts w:ascii="Arial" w:hAnsi="Arial" w:cs="Arial"/>
          <w:sz w:val="20"/>
        </w:rPr>
        <w:t xml:space="preserve">on </w:t>
      </w:r>
      <w:r>
        <w:rPr>
          <w:rFonts w:ascii="Arial" w:hAnsi="Arial" w:cs="Arial"/>
          <w:sz w:val="20"/>
        </w:rPr>
        <w:t>mitigat</w:t>
      </w:r>
      <w:r w:rsidR="00F77ECA">
        <w:rPr>
          <w:rFonts w:ascii="Arial" w:hAnsi="Arial" w:cs="Arial"/>
          <w:sz w:val="20"/>
        </w:rPr>
        <w:t xml:space="preserve">ing </w:t>
      </w:r>
      <w:r>
        <w:rPr>
          <w:rFonts w:ascii="Arial" w:hAnsi="Arial" w:cs="Arial"/>
          <w:sz w:val="20"/>
        </w:rPr>
        <w:t xml:space="preserve">interference to </w:t>
      </w:r>
      <w:r w:rsidR="00F77ECA">
        <w:rPr>
          <w:rFonts w:ascii="Arial" w:hAnsi="Arial" w:cs="Arial"/>
          <w:sz w:val="20"/>
        </w:rPr>
        <w:t xml:space="preserve">radiocommunications </w:t>
      </w:r>
      <w:r>
        <w:rPr>
          <w:rFonts w:ascii="Arial" w:hAnsi="Arial" w:cs="Arial"/>
          <w:sz w:val="20"/>
        </w:rPr>
        <w:t xml:space="preserve">receivers operating in and adjacent to the 2.5 GHz </w:t>
      </w:r>
      <w:r w:rsidR="005C7B71">
        <w:rPr>
          <w:rFonts w:ascii="Arial" w:hAnsi="Arial" w:cs="Arial"/>
          <w:sz w:val="20"/>
        </w:rPr>
        <w:t>Mid-</w:t>
      </w:r>
      <w:r>
        <w:rPr>
          <w:rFonts w:ascii="Arial" w:hAnsi="Arial" w:cs="Arial"/>
          <w:sz w:val="20"/>
        </w:rPr>
        <w:t>band</w:t>
      </w:r>
      <w:r w:rsidR="005C7B71">
        <w:rPr>
          <w:rFonts w:ascii="Arial" w:hAnsi="Arial" w:cs="Arial"/>
          <w:sz w:val="20"/>
        </w:rPr>
        <w:t xml:space="preserve"> Gap</w:t>
      </w:r>
      <w:r>
        <w:rPr>
          <w:rFonts w:ascii="Arial" w:hAnsi="Arial" w:cs="Arial"/>
          <w:sz w:val="20"/>
        </w:rPr>
        <w:t xml:space="preserve"> from </w:t>
      </w:r>
      <w:r w:rsidR="00F77ECA">
        <w:rPr>
          <w:rFonts w:ascii="Arial" w:hAnsi="Arial" w:cs="Arial"/>
          <w:sz w:val="20"/>
        </w:rPr>
        <w:t xml:space="preserve">radiocommunications </w:t>
      </w:r>
      <w:r>
        <w:rPr>
          <w:rFonts w:ascii="Arial" w:hAnsi="Arial" w:cs="Arial"/>
          <w:sz w:val="20"/>
        </w:rPr>
        <w:t xml:space="preserve">transmitters operated under </w:t>
      </w:r>
      <w:r w:rsidR="005C7B7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spectrum licence</w:t>
      </w:r>
      <w:r w:rsidR="005C7B71">
        <w:rPr>
          <w:rFonts w:ascii="Arial" w:hAnsi="Arial" w:cs="Arial"/>
          <w:sz w:val="20"/>
        </w:rPr>
        <w:t xml:space="preserve"> in the 2.5 GHz Mid-band Gap</w:t>
      </w:r>
      <w:r>
        <w:rPr>
          <w:rFonts w:ascii="Arial" w:hAnsi="Arial" w:cs="Arial"/>
          <w:sz w:val="20"/>
        </w:rPr>
        <w:t>.</w:t>
      </w:r>
      <w:r w:rsidR="00F77EC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The section </w:t>
      </w:r>
      <w:r w:rsidR="00F77ECA">
        <w:rPr>
          <w:rFonts w:ascii="Arial" w:hAnsi="Arial" w:cs="Arial"/>
          <w:sz w:val="20"/>
        </w:rPr>
        <w:t xml:space="preserve">lists the radiocommunications </w:t>
      </w:r>
      <w:r>
        <w:rPr>
          <w:rFonts w:ascii="Arial" w:hAnsi="Arial" w:cs="Arial"/>
          <w:sz w:val="20"/>
        </w:rPr>
        <w:t xml:space="preserve">receivers covered by the Advisory Guidelines.  The section also recommends </w:t>
      </w:r>
      <w:r w:rsidR="00CC6038" w:rsidRPr="00CC6038">
        <w:rPr>
          <w:rFonts w:ascii="Arial" w:hAnsi="Arial" w:cs="Arial"/>
          <w:sz w:val="20"/>
        </w:rPr>
        <w:t>ITU-R</w:t>
      </w:r>
      <w:r>
        <w:rPr>
          <w:rFonts w:ascii="Arial" w:hAnsi="Arial" w:cs="Arial"/>
          <w:sz w:val="20"/>
        </w:rPr>
        <w:t xml:space="preserve"> Recommendation P.1144 as a guide to be followed for the suitable propagation model for determining path loss for planning transmitters to minimise the risk of interference to receivers covered by the Advisory Guidelines. 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Part 3 – Other </w:t>
      </w:r>
      <w:r w:rsidR="00755ACD">
        <w:rPr>
          <w:rFonts w:ascii="Arial" w:hAnsi="Arial" w:cs="Arial"/>
          <w:b/>
          <w:sz w:val="20"/>
        </w:rPr>
        <w:t>S</w:t>
      </w:r>
      <w:r>
        <w:rPr>
          <w:rFonts w:ascii="Arial" w:hAnsi="Arial" w:cs="Arial"/>
          <w:b/>
          <w:sz w:val="20"/>
        </w:rPr>
        <w:t xml:space="preserve">pectrum </w:t>
      </w:r>
      <w:r w:rsidR="00755ACD">
        <w:rPr>
          <w:rFonts w:ascii="Arial" w:hAnsi="Arial" w:cs="Arial"/>
          <w:b/>
          <w:sz w:val="20"/>
        </w:rPr>
        <w:t>L</w:t>
      </w:r>
      <w:r>
        <w:rPr>
          <w:rFonts w:ascii="Arial" w:hAnsi="Arial" w:cs="Arial"/>
          <w:b/>
          <w:sz w:val="20"/>
        </w:rPr>
        <w:t xml:space="preserve">icensed </w:t>
      </w:r>
      <w:r w:rsidR="00755ACD">
        <w:rPr>
          <w:rFonts w:ascii="Arial" w:hAnsi="Arial" w:cs="Arial"/>
          <w:b/>
          <w:sz w:val="20"/>
        </w:rPr>
        <w:t>R</w:t>
      </w:r>
      <w:r>
        <w:rPr>
          <w:rFonts w:ascii="Arial" w:hAnsi="Arial" w:cs="Arial"/>
          <w:b/>
          <w:sz w:val="20"/>
        </w:rPr>
        <w:t>eceivers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Section 3.1 – Background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  <w:r w:rsidRPr="00F517D2">
        <w:rPr>
          <w:rFonts w:ascii="Arial" w:hAnsi="Arial" w:cs="Arial"/>
          <w:sz w:val="20"/>
        </w:rPr>
        <w:t xml:space="preserve">This section </w:t>
      </w:r>
      <w:r w:rsidR="00997CA5">
        <w:rPr>
          <w:rFonts w:ascii="Arial" w:hAnsi="Arial" w:cs="Arial"/>
          <w:sz w:val="20"/>
        </w:rPr>
        <w:t>provides that Part 3 of the Advisory Guidelines applies to</w:t>
      </w:r>
      <w:r w:rsidR="00997CA5" w:rsidRPr="00F517D2">
        <w:rPr>
          <w:rFonts w:ascii="Arial" w:hAnsi="Arial" w:cs="Arial"/>
          <w:sz w:val="20"/>
        </w:rPr>
        <w:t xml:space="preserve"> </w:t>
      </w:r>
      <w:r w:rsidR="00997CA5">
        <w:rPr>
          <w:rFonts w:ascii="Arial" w:hAnsi="Arial" w:cs="Arial"/>
          <w:sz w:val="20"/>
        </w:rPr>
        <w:t>fixed receivers</w:t>
      </w:r>
      <w:r w:rsidR="00997CA5" w:rsidRPr="00F517D2">
        <w:rPr>
          <w:rFonts w:ascii="Arial" w:hAnsi="Arial" w:cs="Arial"/>
          <w:sz w:val="20"/>
        </w:rPr>
        <w:t xml:space="preserve"> </w:t>
      </w:r>
      <w:r w:rsidRPr="00F517D2">
        <w:rPr>
          <w:rFonts w:ascii="Arial" w:hAnsi="Arial" w:cs="Arial"/>
          <w:sz w:val="20"/>
        </w:rPr>
        <w:t xml:space="preserve">operating in spectrum licensed bands </w:t>
      </w:r>
      <w:r w:rsidR="00997CA5">
        <w:rPr>
          <w:rFonts w:ascii="Arial" w:hAnsi="Arial" w:cs="Arial"/>
          <w:sz w:val="20"/>
        </w:rPr>
        <w:t>other than</w:t>
      </w:r>
      <w:r w:rsidR="00C96999">
        <w:rPr>
          <w:rFonts w:ascii="Arial" w:hAnsi="Arial" w:cs="Arial"/>
          <w:sz w:val="20"/>
        </w:rPr>
        <w:t xml:space="preserve"> the 2.5 GHz Mid-band</w:t>
      </w:r>
      <w:r w:rsidR="00997CA5">
        <w:rPr>
          <w:rFonts w:ascii="Arial" w:hAnsi="Arial" w:cs="Arial"/>
          <w:sz w:val="20"/>
        </w:rPr>
        <w:t xml:space="preserve"> </w:t>
      </w:r>
      <w:r w:rsidR="00C96999">
        <w:rPr>
          <w:rFonts w:ascii="Arial" w:hAnsi="Arial" w:cs="Arial"/>
          <w:sz w:val="20"/>
        </w:rPr>
        <w:t>Gap</w:t>
      </w:r>
      <w:r w:rsidRPr="00F517D2">
        <w:rPr>
          <w:rFonts w:ascii="Arial" w:hAnsi="Arial" w:cs="Arial"/>
          <w:sz w:val="20"/>
        </w:rPr>
        <w:t>.</w:t>
      </w:r>
      <w:r w:rsidR="00997CA5">
        <w:rPr>
          <w:rFonts w:ascii="Arial" w:hAnsi="Arial" w:cs="Arial"/>
          <w:sz w:val="20"/>
        </w:rPr>
        <w:t xml:space="preserve"> The Part is intended to apply to fixed receivers that operate on frequencies that are in close proximity to the 2.5 GHz Mid-band Gap.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Section 3.2 – </w:t>
      </w:r>
      <w:r w:rsidR="00C36976">
        <w:rPr>
          <w:rFonts w:ascii="Arial" w:hAnsi="Arial" w:cs="Arial"/>
          <w:b/>
          <w:sz w:val="20"/>
        </w:rPr>
        <w:t>Wireless access services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  <w:r w:rsidRPr="00F517D2">
        <w:rPr>
          <w:rFonts w:ascii="Arial" w:hAnsi="Arial" w:cs="Arial"/>
          <w:sz w:val="20"/>
        </w:rPr>
        <w:t xml:space="preserve">This section </w:t>
      </w:r>
      <w:r>
        <w:rPr>
          <w:rFonts w:ascii="Arial" w:hAnsi="Arial" w:cs="Arial"/>
          <w:sz w:val="20"/>
        </w:rPr>
        <w:t xml:space="preserve">provides a </w:t>
      </w:r>
      <w:r w:rsidRPr="00F517D2">
        <w:rPr>
          <w:rFonts w:ascii="Arial" w:hAnsi="Arial" w:cs="Arial"/>
          <w:sz w:val="20"/>
        </w:rPr>
        <w:t>descri</w:t>
      </w:r>
      <w:r>
        <w:rPr>
          <w:rFonts w:ascii="Arial" w:hAnsi="Arial" w:cs="Arial"/>
          <w:sz w:val="20"/>
        </w:rPr>
        <w:t xml:space="preserve">ption of </w:t>
      </w:r>
      <w:r w:rsidR="00C36976">
        <w:rPr>
          <w:rFonts w:ascii="Arial" w:hAnsi="Arial" w:cs="Arial"/>
          <w:sz w:val="20"/>
        </w:rPr>
        <w:t>wireless access service network stations</w:t>
      </w:r>
      <w:r>
        <w:rPr>
          <w:rFonts w:ascii="Arial" w:hAnsi="Arial" w:cs="Arial"/>
          <w:sz w:val="20"/>
        </w:rPr>
        <w:t xml:space="preserve"> </w:t>
      </w:r>
      <w:r w:rsidR="00C36976">
        <w:rPr>
          <w:rFonts w:ascii="Arial" w:hAnsi="Arial" w:cs="Arial"/>
          <w:sz w:val="20"/>
        </w:rPr>
        <w:t xml:space="preserve">that are likely to be </w:t>
      </w:r>
      <w:r w:rsidR="0073405C">
        <w:rPr>
          <w:rFonts w:ascii="Arial" w:hAnsi="Arial" w:cs="Arial"/>
          <w:sz w:val="20"/>
        </w:rPr>
        <w:t>operat</w:t>
      </w:r>
      <w:r w:rsidR="00C96999">
        <w:rPr>
          <w:rFonts w:ascii="Arial" w:hAnsi="Arial" w:cs="Arial"/>
          <w:sz w:val="20"/>
        </w:rPr>
        <w:t>ing</w:t>
      </w:r>
      <w:r w:rsidR="0073405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 the 25</w:t>
      </w:r>
      <w:r w:rsidR="00C36976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0-2</w:t>
      </w:r>
      <w:r w:rsidR="00C36976">
        <w:rPr>
          <w:rFonts w:ascii="Arial" w:hAnsi="Arial" w:cs="Arial"/>
          <w:sz w:val="20"/>
        </w:rPr>
        <w:t>57</w:t>
      </w:r>
      <w:r>
        <w:rPr>
          <w:rFonts w:ascii="Arial" w:hAnsi="Arial" w:cs="Arial"/>
          <w:sz w:val="20"/>
        </w:rPr>
        <w:t>0 MHz</w:t>
      </w:r>
      <w:r w:rsidR="00C36976">
        <w:rPr>
          <w:rFonts w:ascii="Arial" w:hAnsi="Arial" w:cs="Arial"/>
          <w:sz w:val="20"/>
        </w:rPr>
        <w:t xml:space="preserve"> and 2620-2690 MHz</w:t>
      </w:r>
      <w:r w:rsidR="009C3E44">
        <w:rPr>
          <w:rFonts w:ascii="Arial" w:hAnsi="Arial" w:cs="Arial"/>
          <w:sz w:val="20"/>
        </w:rPr>
        <w:t xml:space="preserve"> bands</w:t>
      </w:r>
      <w:r>
        <w:rPr>
          <w:rFonts w:ascii="Arial" w:hAnsi="Arial" w:cs="Arial"/>
          <w:sz w:val="20"/>
        </w:rPr>
        <w:t>.</w:t>
      </w:r>
      <w:r w:rsidR="00C36976">
        <w:rPr>
          <w:rFonts w:ascii="Arial" w:hAnsi="Arial" w:cs="Arial"/>
          <w:sz w:val="20"/>
        </w:rPr>
        <w:t xml:space="preserve">  The section </w:t>
      </w:r>
      <w:r w:rsidR="00C96999">
        <w:rPr>
          <w:rFonts w:ascii="Arial" w:hAnsi="Arial" w:cs="Arial"/>
          <w:sz w:val="20"/>
        </w:rPr>
        <w:t xml:space="preserve">provides </w:t>
      </w:r>
      <w:r w:rsidR="00C36976">
        <w:rPr>
          <w:rFonts w:ascii="Arial" w:hAnsi="Arial" w:cs="Arial"/>
          <w:sz w:val="20"/>
        </w:rPr>
        <w:t>that the necessary technical information can be found in the documents that make up the technical framework for spectrum licen</w:t>
      </w:r>
      <w:r w:rsidR="00842471">
        <w:rPr>
          <w:rFonts w:ascii="Arial" w:hAnsi="Arial" w:cs="Arial"/>
          <w:sz w:val="20"/>
        </w:rPr>
        <w:t>c</w:t>
      </w:r>
      <w:r w:rsidR="00C36976">
        <w:rPr>
          <w:rFonts w:ascii="Arial" w:hAnsi="Arial" w:cs="Arial"/>
          <w:sz w:val="20"/>
        </w:rPr>
        <w:t>es in the 2.5 GHz band.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C4A28">
        <w:rPr>
          <w:rFonts w:ascii="Arial" w:hAnsi="Arial" w:cs="Arial"/>
          <w:b/>
          <w:sz w:val="20"/>
        </w:rPr>
        <w:t>Section 3.3 – Protection requirements</w:t>
      </w:r>
    </w:p>
    <w:p w:rsidR="00EE066A" w:rsidRDefault="009837A5">
      <w:pPr>
        <w:pStyle w:val="ACMABodyText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Subsection 3.3(1) </w:t>
      </w:r>
      <w:r w:rsidR="00A4034E">
        <w:rPr>
          <w:rFonts w:ascii="Arial" w:hAnsi="Arial" w:cs="Arial"/>
          <w:sz w:val="20"/>
        </w:rPr>
        <w:t xml:space="preserve">sets out the protection requirements for fixed receivers operated under a spectrum licence in the 2.5 GHz band </w:t>
      </w:r>
      <w:r w:rsidR="00EE066A">
        <w:rPr>
          <w:rFonts w:ascii="Arial" w:hAnsi="Arial" w:cs="Arial"/>
          <w:sz w:val="20"/>
        </w:rPr>
        <w:t xml:space="preserve">that exist prior to the registration of transmitters operated under spectrum licences in the 2.5 GHz </w:t>
      </w:r>
      <w:r w:rsidR="00C36976">
        <w:rPr>
          <w:rFonts w:ascii="Arial" w:hAnsi="Arial" w:cs="Arial"/>
          <w:sz w:val="20"/>
        </w:rPr>
        <w:t>Mid-</w:t>
      </w:r>
      <w:r w:rsidR="00EE066A">
        <w:rPr>
          <w:rFonts w:ascii="Arial" w:hAnsi="Arial" w:cs="Arial"/>
          <w:sz w:val="20"/>
        </w:rPr>
        <w:t>band</w:t>
      </w:r>
      <w:r w:rsidR="00C36976">
        <w:rPr>
          <w:rFonts w:ascii="Arial" w:hAnsi="Arial" w:cs="Arial"/>
          <w:sz w:val="20"/>
        </w:rPr>
        <w:t xml:space="preserve"> Gap</w:t>
      </w:r>
      <w:r w:rsidR="00EE066A">
        <w:rPr>
          <w:rFonts w:ascii="Arial" w:hAnsi="Arial" w:cs="Arial"/>
          <w:sz w:val="20"/>
        </w:rPr>
        <w:t xml:space="preserve">. </w:t>
      </w:r>
      <w:r w:rsidR="00054952">
        <w:rPr>
          <w:rFonts w:ascii="Arial" w:hAnsi="Arial" w:cs="Arial"/>
          <w:sz w:val="20"/>
        </w:rPr>
        <w:t>The protection requirements mean that it is</w:t>
      </w:r>
      <w:r w:rsidR="00EE066A">
        <w:rPr>
          <w:rFonts w:ascii="Arial" w:hAnsi="Arial" w:cs="Arial"/>
          <w:sz w:val="20"/>
        </w:rPr>
        <w:t xml:space="preserve"> typically necessary for fixed transmitters operating under spectrum licences in the 2.5 GHz </w:t>
      </w:r>
      <w:r w:rsidR="00C36976">
        <w:rPr>
          <w:rFonts w:ascii="Arial" w:hAnsi="Arial" w:cs="Arial"/>
          <w:sz w:val="20"/>
        </w:rPr>
        <w:t>Mid-</w:t>
      </w:r>
      <w:r w:rsidR="00EE066A">
        <w:rPr>
          <w:rFonts w:ascii="Arial" w:hAnsi="Arial" w:cs="Arial"/>
          <w:sz w:val="20"/>
        </w:rPr>
        <w:t xml:space="preserve">band </w:t>
      </w:r>
      <w:r w:rsidR="0073405C">
        <w:rPr>
          <w:rFonts w:ascii="Arial" w:hAnsi="Arial" w:cs="Arial"/>
          <w:sz w:val="20"/>
        </w:rPr>
        <w:t xml:space="preserve">Gap </w:t>
      </w:r>
      <w:r w:rsidR="00EE066A">
        <w:rPr>
          <w:rFonts w:ascii="Arial" w:hAnsi="Arial" w:cs="Arial"/>
          <w:sz w:val="20"/>
        </w:rPr>
        <w:t xml:space="preserve">to operate in coordination with nearby fixed receivers. </w:t>
      </w:r>
      <w:r>
        <w:rPr>
          <w:rFonts w:ascii="Arial" w:hAnsi="Arial" w:cs="Arial"/>
          <w:sz w:val="20"/>
        </w:rPr>
        <w:t xml:space="preserve"> Sub</w:t>
      </w:r>
      <w:r w:rsidR="00EE066A">
        <w:rPr>
          <w:rFonts w:ascii="Arial" w:hAnsi="Arial" w:cs="Arial"/>
          <w:sz w:val="20"/>
        </w:rPr>
        <w:t xml:space="preserve">section </w:t>
      </w:r>
      <w:r>
        <w:rPr>
          <w:rFonts w:ascii="Arial" w:hAnsi="Arial" w:cs="Arial"/>
          <w:sz w:val="20"/>
        </w:rPr>
        <w:t xml:space="preserve">3.3(2) </w:t>
      </w:r>
      <w:r w:rsidR="00EE066A">
        <w:rPr>
          <w:rFonts w:ascii="Arial" w:hAnsi="Arial" w:cs="Arial"/>
          <w:sz w:val="20"/>
        </w:rPr>
        <w:t xml:space="preserve">provides directions to </w:t>
      </w:r>
      <w:r w:rsidR="00682056">
        <w:rPr>
          <w:rFonts w:ascii="Arial" w:hAnsi="Arial" w:cs="Arial"/>
          <w:sz w:val="20"/>
        </w:rPr>
        <w:t xml:space="preserve">the </w:t>
      </w:r>
      <w:r w:rsidR="00EE066A">
        <w:rPr>
          <w:rFonts w:ascii="Arial" w:hAnsi="Arial" w:cs="Arial"/>
          <w:sz w:val="20"/>
        </w:rPr>
        <w:t xml:space="preserve">location and antenna </w:t>
      </w:r>
      <w:r w:rsidR="00054952">
        <w:rPr>
          <w:rFonts w:ascii="Arial" w:hAnsi="Arial" w:cs="Arial"/>
          <w:sz w:val="20"/>
        </w:rPr>
        <w:t>information</w:t>
      </w:r>
      <w:r w:rsidR="00EE066A">
        <w:rPr>
          <w:rFonts w:ascii="Arial" w:hAnsi="Arial" w:cs="Arial"/>
          <w:sz w:val="20"/>
        </w:rPr>
        <w:t xml:space="preserve"> of fixed receivers to facilitate this coordination.</w:t>
      </w:r>
    </w:p>
    <w:p w:rsidR="0073405C" w:rsidRDefault="0073405C">
      <w:pPr>
        <w:pStyle w:val="ACMABodyText"/>
        <w:spacing w:line="360" w:lineRule="auto"/>
        <w:rPr>
          <w:rFonts w:ascii="Arial" w:hAnsi="Arial" w:cs="Arial"/>
          <w:sz w:val="20"/>
        </w:rPr>
      </w:pPr>
    </w:p>
    <w:p w:rsidR="00FB7975" w:rsidRDefault="00EE066A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FB7975">
        <w:rPr>
          <w:rFonts w:ascii="Arial" w:hAnsi="Arial" w:cs="Arial"/>
          <w:b/>
          <w:sz w:val="20"/>
        </w:rPr>
        <w:t xml:space="preserve">Part 4 - </w:t>
      </w:r>
      <w:r w:rsidR="00FB7975" w:rsidRPr="001D6BBA">
        <w:rPr>
          <w:rFonts w:ascii="Arial" w:hAnsi="Arial" w:cs="Arial"/>
          <w:b/>
          <w:sz w:val="20"/>
        </w:rPr>
        <w:t xml:space="preserve">Fixed </w:t>
      </w:r>
      <w:r w:rsidR="00755ACD">
        <w:rPr>
          <w:rFonts w:ascii="Arial" w:hAnsi="Arial" w:cs="Arial"/>
          <w:b/>
          <w:sz w:val="20"/>
        </w:rPr>
        <w:t>S</w:t>
      </w:r>
      <w:r w:rsidR="00FB7975" w:rsidRPr="001D6BBA">
        <w:rPr>
          <w:rFonts w:ascii="Arial" w:hAnsi="Arial" w:cs="Arial"/>
          <w:b/>
          <w:sz w:val="20"/>
        </w:rPr>
        <w:t xml:space="preserve">ervice </w:t>
      </w:r>
      <w:r w:rsidR="00755ACD">
        <w:rPr>
          <w:rFonts w:ascii="Arial" w:hAnsi="Arial" w:cs="Arial"/>
          <w:b/>
          <w:sz w:val="20"/>
        </w:rPr>
        <w:t>R</w:t>
      </w:r>
      <w:r w:rsidR="00FB7975" w:rsidRPr="001D6BBA">
        <w:rPr>
          <w:rFonts w:ascii="Arial" w:hAnsi="Arial" w:cs="Arial"/>
          <w:b/>
          <w:sz w:val="20"/>
        </w:rPr>
        <w:t>eceivers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t xml:space="preserve">Section </w:t>
      </w:r>
      <w:r>
        <w:rPr>
          <w:rFonts w:ascii="Arial" w:hAnsi="Arial" w:cs="Arial"/>
          <w:b/>
          <w:sz w:val="20"/>
        </w:rPr>
        <w:t>4</w:t>
      </w:r>
      <w:r w:rsidRPr="001D6BBA">
        <w:rPr>
          <w:rFonts w:ascii="Arial" w:hAnsi="Arial" w:cs="Arial"/>
          <w:b/>
          <w:sz w:val="20"/>
        </w:rPr>
        <w:t>.1 – Background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  <w:r w:rsidRPr="001D6BBA">
        <w:rPr>
          <w:rFonts w:ascii="Arial" w:hAnsi="Arial" w:cs="Arial"/>
          <w:sz w:val="20"/>
        </w:rPr>
        <w:t xml:space="preserve">This section explains </w:t>
      </w:r>
      <w:r w:rsidR="000078F2">
        <w:rPr>
          <w:rFonts w:ascii="Arial" w:hAnsi="Arial" w:cs="Arial"/>
          <w:sz w:val="20"/>
        </w:rPr>
        <w:t xml:space="preserve">that Part 4 addresses how transmitters operated under spectrum licences in the 2.5 GHz </w:t>
      </w:r>
      <w:r w:rsidR="005C7B71">
        <w:rPr>
          <w:rFonts w:ascii="Arial" w:hAnsi="Arial" w:cs="Arial"/>
          <w:sz w:val="20"/>
        </w:rPr>
        <w:t>Mid-</w:t>
      </w:r>
      <w:r w:rsidR="000078F2">
        <w:rPr>
          <w:rFonts w:ascii="Arial" w:hAnsi="Arial" w:cs="Arial"/>
          <w:sz w:val="20"/>
        </w:rPr>
        <w:t xml:space="preserve">band </w:t>
      </w:r>
      <w:r w:rsidR="005C7B71">
        <w:rPr>
          <w:rFonts w:ascii="Arial" w:hAnsi="Arial" w:cs="Arial"/>
          <w:sz w:val="20"/>
        </w:rPr>
        <w:t xml:space="preserve">Gap </w:t>
      </w:r>
      <w:r w:rsidR="000078F2">
        <w:rPr>
          <w:rFonts w:ascii="Arial" w:hAnsi="Arial" w:cs="Arial"/>
          <w:sz w:val="20"/>
        </w:rPr>
        <w:t xml:space="preserve">should be co-ordinated with </w:t>
      </w:r>
      <w:r>
        <w:rPr>
          <w:rFonts w:ascii="Arial" w:hAnsi="Arial" w:cs="Arial"/>
          <w:sz w:val="20"/>
        </w:rPr>
        <w:t xml:space="preserve">receivers in </w:t>
      </w:r>
      <w:r w:rsidRPr="001D6BBA">
        <w:rPr>
          <w:rFonts w:ascii="Arial" w:hAnsi="Arial" w:cs="Arial"/>
          <w:sz w:val="20"/>
        </w:rPr>
        <w:t xml:space="preserve">systems operating as </w:t>
      </w:r>
      <w:r w:rsidR="00D668F0">
        <w:rPr>
          <w:rFonts w:ascii="Arial" w:hAnsi="Arial" w:cs="Arial"/>
          <w:sz w:val="20"/>
        </w:rPr>
        <w:t>f</w:t>
      </w:r>
      <w:r w:rsidRPr="001D6BBA">
        <w:rPr>
          <w:rFonts w:ascii="Arial" w:hAnsi="Arial" w:cs="Arial"/>
          <w:sz w:val="20"/>
        </w:rPr>
        <w:t xml:space="preserve">ixed </w:t>
      </w:r>
      <w:r w:rsidR="00D668F0">
        <w:rPr>
          <w:rFonts w:ascii="Arial" w:hAnsi="Arial" w:cs="Arial"/>
          <w:sz w:val="20"/>
        </w:rPr>
        <w:t>s</w:t>
      </w:r>
      <w:r w:rsidRPr="001D6BBA">
        <w:rPr>
          <w:rFonts w:ascii="Arial" w:hAnsi="Arial" w:cs="Arial"/>
          <w:sz w:val="20"/>
        </w:rPr>
        <w:t>ervices in spectrum in and adjacent to the 2.</w:t>
      </w:r>
      <w:r>
        <w:rPr>
          <w:rFonts w:ascii="Arial" w:hAnsi="Arial" w:cs="Arial"/>
          <w:sz w:val="20"/>
        </w:rPr>
        <w:t>5</w:t>
      </w:r>
      <w:r w:rsidRPr="001D6BBA">
        <w:rPr>
          <w:rFonts w:ascii="Arial" w:hAnsi="Arial" w:cs="Arial"/>
          <w:sz w:val="20"/>
        </w:rPr>
        <w:t xml:space="preserve"> GHz </w:t>
      </w:r>
      <w:r w:rsidR="005C7B71">
        <w:rPr>
          <w:rFonts w:ascii="Arial" w:hAnsi="Arial" w:cs="Arial"/>
          <w:sz w:val="20"/>
        </w:rPr>
        <w:t>Mid-</w:t>
      </w:r>
      <w:r w:rsidRPr="001D6BBA">
        <w:rPr>
          <w:rFonts w:ascii="Arial" w:hAnsi="Arial" w:cs="Arial"/>
          <w:sz w:val="20"/>
        </w:rPr>
        <w:t>band</w:t>
      </w:r>
      <w:r w:rsidR="005C7B71">
        <w:rPr>
          <w:rFonts w:ascii="Arial" w:hAnsi="Arial" w:cs="Arial"/>
          <w:sz w:val="20"/>
        </w:rPr>
        <w:t xml:space="preserve"> Gap</w:t>
      </w:r>
      <w:r w:rsidRPr="001D6BBA">
        <w:rPr>
          <w:rFonts w:ascii="Arial" w:hAnsi="Arial" w:cs="Arial"/>
          <w:sz w:val="20"/>
        </w:rPr>
        <w:t xml:space="preserve">.  The types of systems referred to include point-to-point fixed links </w:t>
      </w:r>
      <w:r>
        <w:rPr>
          <w:rFonts w:ascii="Arial" w:hAnsi="Arial" w:cs="Arial"/>
          <w:sz w:val="20"/>
        </w:rPr>
        <w:t>operating on an ad</w:t>
      </w:r>
      <w:r w:rsidR="009C3E44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hoc basis and those in formalised point to-point link bands.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  <w:r w:rsidRPr="001D6BBA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 xml:space="preserve">formal </w:t>
      </w:r>
      <w:r w:rsidRPr="001D6BBA">
        <w:rPr>
          <w:rFonts w:ascii="Arial" w:hAnsi="Arial" w:cs="Arial"/>
          <w:sz w:val="20"/>
        </w:rPr>
        <w:t>point-to-point fixed link</w:t>
      </w:r>
      <w:r>
        <w:rPr>
          <w:rFonts w:ascii="Arial" w:hAnsi="Arial" w:cs="Arial"/>
          <w:sz w:val="20"/>
        </w:rPr>
        <w:t xml:space="preserve"> band</w:t>
      </w:r>
      <w:r w:rsidRPr="001D6BBA">
        <w:rPr>
          <w:rFonts w:ascii="Arial" w:hAnsi="Arial" w:cs="Arial"/>
          <w:sz w:val="20"/>
        </w:rPr>
        <w:t>s are assigned in accordance with criteria set out in R</w:t>
      </w:r>
      <w:r>
        <w:rPr>
          <w:rFonts w:ascii="Arial" w:hAnsi="Arial" w:cs="Arial"/>
          <w:sz w:val="20"/>
        </w:rPr>
        <w:t>adiocommunications Assignment and Licensing Instruction (</w:t>
      </w:r>
      <w:r w:rsidR="004C01D4" w:rsidRPr="004C01D4">
        <w:rPr>
          <w:rFonts w:ascii="Arial" w:hAnsi="Arial" w:cs="Arial"/>
          <w:b/>
          <w:sz w:val="20"/>
        </w:rPr>
        <w:t>RALI</w:t>
      </w:r>
      <w:r>
        <w:rPr>
          <w:rFonts w:ascii="Arial" w:hAnsi="Arial" w:cs="Arial"/>
          <w:sz w:val="20"/>
        </w:rPr>
        <w:t>)</w:t>
      </w:r>
      <w:r w:rsidRPr="001D6BBA">
        <w:rPr>
          <w:rFonts w:ascii="Arial" w:hAnsi="Arial" w:cs="Arial"/>
          <w:sz w:val="20"/>
        </w:rPr>
        <w:t xml:space="preserve"> FX-3 and this section refers spectrum licensees to the RALI when considering the deployment of infrastructure under the spectrum licence.</w:t>
      </w:r>
      <w:r>
        <w:rPr>
          <w:rFonts w:ascii="Arial" w:hAnsi="Arial" w:cs="Arial"/>
          <w:sz w:val="20"/>
        </w:rPr>
        <w:t xml:space="preserve">  </w:t>
      </w:r>
      <w:r w:rsidR="00AE58A0">
        <w:rPr>
          <w:rFonts w:ascii="Arial" w:hAnsi="Arial" w:cs="Arial"/>
          <w:sz w:val="20"/>
        </w:rPr>
        <w:t>A note to sub</w:t>
      </w:r>
      <w:r>
        <w:rPr>
          <w:rFonts w:ascii="Arial" w:hAnsi="Arial" w:cs="Arial"/>
          <w:sz w:val="20"/>
        </w:rPr>
        <w:t>section</w:t>
      </w:r>
      <w:r w:rsidR="00AE58A0">
        <w:rPr>
          <w:rFonts w:ascii="Arial" w:hAnsi="Arial" w:cs="Arial"/>
          <w:sz w:val="20"/>
        </w:rPr>
        <w:t xml:space="preserve"> 4.1(2) </w:t>
      </w:r>
      <w:r>
        <w:rPr>
          <w:rFonts w:ascii="Arial" w:hAnsi="Arial" w:cs="Arial"/>
          <w:sz w:val="20"/>
        </w:rPr>
        <w:t xml:space="preserve"> also points to the </w:t>
      </w:r>
      <w:r w:rsidR="00682056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egister of </w:t>
      </w:r>
      <w:r w:rsidR="00682056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adiocommunications </w:t>
      </w:r>
      <w:r w:rsidR="00682056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 xml:space="preserve">icenses for details of existing fixed service receivers.  </w:t>
      </w:r>
      <w:r w:rsidR="009C3E44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>copy of the latest version of RALI FX-03 is available from the ACMA’s website.</w:t>
      </w:r>
    </w:p>
    <w:p w:rsidR="00FB7975" w:rsidRDefault="00FB7975" w:rsidP="00220C85">
      <w:pPr>
        <w:pStyle w:val="ACMABodyText"/>
        <w:keepNext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lastRenderedPageBreak/>
        <w:t xml:space="preserve">Section </w:t>
      </w:r>
      <w:r>
        <w:rPr>
          <w:rFonts w:ascii="Arial" w:hAnsi="Arial" w:cs="Arial"/>
          <w:b/>
          <w:sz w:val="20"/>
        </w:rPr>
        <w:t>4</w:t>
      </w:r>
      <w:r w:rsidRPr="001D6BBA">
        <w:rPr>
          <w:rFonts w:ascii="Arial" w:hAnsi="Arial" w:cs="Arial"/>
          <w:b/>
          <w:sz w:val="20"/>
        </w:rPr>
        <w:t>.2 – Protection requirements</w:t>
      </w:r>
    </w:p>
    <w:p w:rsidR="00E17720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  <w:r w:rsidRPr="001D6BBA">
        <w:rPr>
          <w:rFonts w:ascii="Arial" w:hAnsi="Arial" w:cs="Arial"/>
          <w:sz w:val="20"/>
        </w:rPr>
        <w:t xml:space="preserve">This section sets out the protection requirements </w:t>
      </w:r>
      <w:r w:rsidR="00D668F0">
        <w:rPr>
          <w:rFonts w:ascii="Arial" w:hAnsi="Arial" w:cs="Arial"/>
          <w:sz w:val="20"/>
        </w:rPr>
        <w:t xml:space="preserve">for </w:t>
      </w:r>
      <w:r w:rsidRPr="001D6BBA">
        <w:rPr>
          <w:rFonts w:ascii="Arial" w:hAnsi="Arial" w:cs="Arial"/>
          <w:sz w:val="20"/>
        </w:rPr>
        <w:t>spectrum licensees to ensure that the</w:t>
      </w:r>
      <w:r w:rsidR="00D668F0">
        <w:rPr>
          <w:rFonts w:ascii="Arial" w:hAnsi="Arial" w:cs="Arial"/>
          <w:sz w:val="20"/>
        </w:rPr>
        <w:t xml:space="preserve"> licensee </w:t>
      </w:r>
      <w:r w:rsidRPr="001D6BBA">
        <w:rPr>
          <w:rFonts w:ascii="Arial" w:hAnsi="Arial" w:cs="Arial"/>
          <w:sz w:val="20"/>
        </w:rPr>
        <w:t>do</w:t>
      </w:r>
      <w:r w:rsidR="00D668F0">
        <w:rPr>
          <w:rFonts w:ascii="Arial" w:hAnsi="Arial" w:cs="Arial"/>
          <w:sz w:val="20"/>
        </w:rPr>
        <w:t>es</w:t>
      </w:r>
      <w:r w:rsidRPr="001D6BBA">
        <w:rPr>
          <w:rFonts w:ascii="Arial" w:hAnsi="Arial" w:cs="Arial"/>
          <w:sz w:val="20"/>
        </w:rPr>
        <w:t xml:space="preserve"> not cause interference to point-to-point fixed links</w:t>
      </w:r>
      <w:r>
        <w:rPr>
          <w:rFonts w:ascii="Arial" w:hAnsi="Arial" w:cs="Arial"/>
          <w:sz w:val="20"/>
        </w:rPr>
        <w:t xml:space="preserve"> currently in the </w:t>
      </w:r>
      <w:r w:rsidR="00B52F64">
        <w:rPr>
          <w:rFonts w:ascii="Arial" w:hAnsi="Arial" w:cs="Arial"/>
          <w:sz w:val="20"/>
        </w:rPr>
        <w:t xml:space="preserve">Register </w:t>
      </w:r>
      <w:r>
        <w:rPr>
          <w:rFonts w:ascii="Arial" w:hAnsi="Arial" w:cs="Arial"/>
          <w:sz w:val="20"/>
        </w:rPr>
        <w:t xml:space="preserve">of </w:t>
      </w:r>
      <w:r w:rsidR="00B52F64">
        <w:rPr>
          <w:rFonts w:ascii="Arial" w:hAnsi="Arial" w:cs="Arial"/>
          <w:sz w:val="20"/>
        </w:rPr>
        <w:t>Radiocommunications Licences</w:t>
      </w:r>
      <w:r w:rsidRPr="001D6BBA">
        <w:rPr>
          <w:rFonts w:ascii="Arial" w:hAnsi="Arial" w:cs="Arial"/>
          <w:sz w:val="20"/>
        </w:rPr>
        <w:t xml:space="preserve">.  </w:t>
      </w:r>
    </w:p>
    <w:p w:rsidR="00FB7975" w:rsidRDefault="00E17720">
      <w:pPr>
        <w:pStyle w:val="ACMABodyText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apparatus-licensed point-to-point fixed links not located in the 2.1 GHz and 2.2 GHz bands, protection requirements are found in</w:t>
      </w:r>
      <w:r w:rsidR="00FB7975">
        <w:rPr>
          <w:rFonts w:ascii="Arial" w:hAnsi="Arial" w:cs="Arial"/>
          <w:sz w:val="20"/>
        </w:rPr>
        <w:t xml:space="preserve"> relevant recommendations of the ITU-R and RALI FX-03.</w:t>
      </w:r>
    </w:p>
    <w:p w:rsidR="00E17720" w:rsidRDefault="00E17720">
      <w:pPr>
        <w:pStyle w:val="ACMABodyText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apparatus–licensed point-to-point fixed links located in the 2.1 GHz and 2.2 GHz bands, protection requirements are found </w:t>
      </w:r>
      <w:r w:rsidR="003F3A5B">
        <w:rPr>
          <w:rFonts w:ascii="Arial" w:hAnsi="Arial" w:cs="Arial"/>
          <w:sz w:val="20"/>
        </w:rPr>
        <w:t>in RALI FX-03.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</w:p>
    <w:p w:rsidR="00FB7975" w:rsidRDefault="00FB7975" w:rsidP="0073405C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t xml:space="preserve">Part </w:t>
      </w:r>
      <w:r>
        <w:rPr>
          <w:rFonts w:ascii="Arial" w:hAnsi="Arial" w:cs="Arial"/>
          <w:b/>
          <w:sz w:val="20"/>
        </w:rPr>
        <w:t>5</w:t>
      </w:r>
      <w:r w:rsidRPr="001D6BBA">
        <w:rPr>
          <w:rFonts w:ascii="Arial" w:hAnsi="Arial" w:cs="Arial"/>
          <w:b/>
          <w:sz w:val="20"/>
        </w:rPr>
        <w:t xml:space="preserve"> –</w:t>
      </w:r>
      <w:r w:rsidR="0073405C">
        <w:rPr>
          <w:rFonts w:ascii="Arial" w:hAnsi="Arial" w:cs="Arial"/>
          <w:b/>
          <w:sz w:val="20"/>
        </w:rPr>
        <w:t xml:space="preserve"> </w:t>
      </w:r>
      <w:r w:rsidRPr="001D6BBA">
        <w:rPr>
          <w:rFonts w:ascii="Arial" w:hAnsi="Arial" w:cs="Arial"/>
          <w:b/>
          <w:sz w:val="20"/>
        </w:rPr>
        <w:t xml:space="preserve">Radio astronomy </w:t>
      </w:r>
      <w:r w:rsidR="0073405C">
        <w:rPr>
          <w:rFonts w:ascii="Arial" w:hAnsi="Arial" w:cs="Arial"/>
          <w:b/>
          <w:sz w:val="20"/>
        </w:rPr>
        <w:t>service receivers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t xml:space="preserve">Section </w:t>
      </w:r>
      <w:r w:rsidR="0073405C">
        <w:rPr>
          <w:rFonts w:ascii="Arial" w:hAnsi="Arial" w:cs="Arial"/>
          <w:b/>
          <w:sz w:val="20"/>
        </w:rPr>
        <w:t>5</w:t>
      </w:r>
      <w:r w:rsidRPr="001D6BBA">
        <w:rPr>
          <w:rFonts w:ascii="Arial" w:hAnsi="Arial" w:cs="Arial"/>
          <w:b/>
          <w:sz w:val="20"/>
        </w:rPr>
        <w:t xml:space="preserve">.1 – Background </w:t>
      </w:r>
    </w:p>
    <w:p w:rsidR="00E61D5E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  <w:r w:rsidRPr="001D6BBA">
        <w:rPr>
          <w:rFonts w:ascii="Arial" w:hAnsi="Arial" w:cs="Arial"/>
          <w:sz w:val="20"/>
        </w:rPr>
        <w:t xml:space="preserve">This section </w:t>
      </w:r>
      <w:r w:rsidR="00E61D5E">
        <w:rPr>
          <w:rFonts w:ascii="Arial" w:hAnsi="Arial" w:cs="Arial"/>
          <w:sz w:val="20"/>
        </w:rPr>
        <w:t xml:space="preserve">explains that Part </w:t>
      </w:r>
      <w:r w:rsidR="00D668F0">
        <w:rPr>
          <w:rFonts w:ascii="Arial" w:hAnsi="Arial" w:cs="Arial"/>
          <w:sz w:val="20"/>
        </w:rPr>
        <w:t>5</w:t>
      </w:r>
      <w:r w:rsidR="00E61D5E">
        <w:rPr>
          <w:rFonts w:ascii="Arial" w:hAnsi="Arial" w:cs="Arial"/>
          <w:sz w:val="20"/>
        </w:rPr>
        <w:t xml:space="preserve"> applies to the protection of sensitive radio astronomy service receivers operated in bands in and adjacent to the 2.5 GHz </w:t>
      </w:r>
      <w:r w:rsidR="0073405C">
        <w:rPr>
          <w:rFonts w:ascii="Arial" w:hAnsi="Arial" w:cs="Arial"/>
          <w:sz w:val="20"/>
        </w:rPr>
        <w:t>Mid-</w:t>
      </w:r>
      <w:r w:rsidR="00E61D5E">
        <w:rPr>
          <w:rFonts w:ascii="Arial" w:hAnsi="Arial" w:cs="Arial"/>
          <w:sz w:val="20"/>
        </w:rPr>
        <w:t>band</w:t>
      </w:r>
      <w:r w:rsidR="0073405C">
        <w:rPr>
          <w:rFonts w:ascii="Arial" w:hAnsi="Arial" w:cs="Arial"/>
          <w:sz w:val="20"/>
        </w:rPr>
        <w:t xml:space="preserve"> Gap</w:t>
      </w:r>
      <w:r w:rsidR="00E61D5E">
        <w:rPr>
          <w:rFonts w:ascii="Arial" w:hAnsi="Arial" w:cs="Arial"/>
          <w:sz w:val="20"/>
        </w:rPr>
        <w:t xml:space="preserve">. </w:t>
      </w:r>
    </w:p>
    <w:p w:rsidR="001C0614" w:rsidRDefault="001C0614" w:rsidP="001C0614">
      <w:pPr>
        <w:pStyle w:val="ACMABodyText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section also describes the site located in remote central Western Australia which has been identified for future radio astronomy use and has been protected by the establishment of the </w:t>
      </w:r>
      <w:r w:rsidR="00717801">
        <w:rPr>
          <w:rFonts w:ascii="Arial" w:hAnsi="Arial" w:cs="Arial"/>
          <w:sz w:val="20"/>
        </w:rPr>
        <w:t xml:space="preserve">Mid-West Radio Quiet Zone </w:t>
      </w:r>
      <w:r>
        <w:rPr>
          <w:rFonts w:ascii="Arial" w:hAnsi="Arial" w:cs="Arial"/>
          <w:sz w:val="20"/>
        </w:rPr>
        <w:t xml:space="preserve">by the </w:t>
      </w:r>
      <w:r w:rsidRPr="000A4B6D">
        <w:rPr>
          <w:rFonts w:ascii="Arial" w:hAnsi="Arial" w:cs="Arial"/>
          <w:i/>
          <w:sz w:val="20"/>
        </w:rPr>
        <w:t>Radiocommunications (Mid-West Radio Quiet Zone) Frequency Band Plan</w:t>
      </w:r>
      <w:r>
        <w:rPr>
          <w:rFonts w:ascii="Arial" w:hAnsi="Arial" w:cs="Arial"/>
          <w:i/>
          <w:sz w:val="20"/>
        </w:rPr>
        <w:t xml:space="preserve"> 2011</w:t>
      </w:r>
      <w:r>
        <w:rPr>
          <w:rFonts w:ascii="Arial" w:hAnsi="Arial" w:cs="Arial"/>
          <w:sz w:val="20"/>
        </w:rPr>
        <w:t>.</w:t>
      </w:r>
    </w:p>
    <w:p w:rsidR="0081706D" w:rsidRDefault="0081706D" w:rsidP="0081706D">
      <w:pPr>
        <w:pStyle w:val="ACMABodyText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717801">
        <w:rPr>
          <w:rFonts w:ascii="Arial" w:hAnsi="Arial" w:cs="Arial"/>
          <w:sz w:val="20"/>
        </w:rPr>
        <w:t>Mid-West Radio Quiet Zone</w:t>
      </w:r>
      <w:r>
        <w:rPr>
          <w:rFonts w:ascii="Arial" w:hAnsi="Arial" w:cs="Arial"/>
          <w:sz w:val="20"/>
        </w:rPr>
        <w:t xml:space="preserve"> has been established across the radio spectrum from 100 MHz through to 25 GHz.</w:t>
      </w:r>
    </w:p>
    <w:p w:rsidR="00FB7975" w:rsidRDefault="00FB7975" w:rsidP="001C0614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Section </w:t>
      </w:r>
      <w:r w:rsidR="001C0614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>.2</w:t>
      </w:r>
      <w:r w:rsidR="001C0614">
        <w:rPr>
          <w:rFonts w:ascii="Arial" w:hAnsi="Arial" w:cs="Arial"/>
          <w:b/>
          <w:sz w:val="20"/>
        </w:rPr>
        <w:t xml:space="preserve"> </w:t>
      </w:r>
      <w:r w:rsidRPr="001D6BBA">
        <w:rPr>
          <w:rFonts w:ascii="Arial" w:hAnsi="Arial" w:cs="Arial"/>
          <w:b/>
          <w:sz w:val="20"/>
        </w:rPr>
        <w:t>– Protection requirements</w:t>
      </w:r>
    </w:p>
    <w:p w:rsidR="001C0614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  <w:r w:rsidRPr="001D6BBA">
        <w:rPr>
          <w:rFonts w:ascii="Arial" w:hAnsi="Arial" w:cs="Arial"/>
          <w:sz w:val="20"/>
        </w:rPr>
        <w:t xml:space="preserve">This section </w:t>
      </w:r>
      <w:r w:rsidR="00B812F0">
        <w:rPr>
          <w:rFonts w:ascii="Arial" w:hAnsi="Arial" w:cs="Arial"/>
          <w:sz w:val="20"/>
        </w:rPr>
        <w:t xml:space="preserve">requires licensees in areas adjacent to the Mid-West Radio Quiet Zone to coordinate proposed stations with reference to the methods and limits set out in </w:t>
      </w:r>
      <w:r w:rsidRPr="001D6BBA">
        <w:rPr>
          <w:rFonts w:ascii="Arial" w:hAnsi="Arial" w:cs="Arial"/>
          <w:sz w:val="20"/>
        </w:rPr>
        <w:t>RALI MS</w:t>
      </w:r>
      <w:r>
        <w:rPr>
          <w:rFonts w:ascii="Arial" w:hAnsi="Arial" w:cs="Arial"/>
          <w:sz w:val="20"/>
        </w:rPr>
        <w:t>-</w:t>
      </w:r>
      <w:r w:rsidRPr="001D6BBA">
        <w:rPr>
          <w:rFonts w:ascii="Arial" w:hAnsi="Arial" w:cs="Arial"/>
          <w:sz w:val="20"/>
        </w:rPr>
        <w:t>32.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sz w:val="20"/>
        </w:rPr>
        <w:t xml:space="preserve">    </w:t>
      </w:r>
    </w:p>
    <w:p w:rsidR="00FB7975" w:rsidRDefault="00FB7975">
      <w:pPr>
        <w:pStyle w:val="ACMABodyText"/>
        <w:spacing w:line="360" w:lineRule="auto"/>
        <w:rPr>
          <w:rFonts w:ascii="Arial" w:hAnsi="Arial" w:cs="Arial"/>
          <w:sz w:val="20"/>
        </w:rPr>
      </w:pPr>
    </w:p>
    <w:p w:rsidR="00DB3ABC" w:rsidRDefault="00FB7975">
      <w:pPr>
        <w:spacing w:line="360" w:lineRule="auto"/>
        <w:ind w:left="7230"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A</w:t>
      </w:r>
      <w:r w:rsidRPr="00EC4D12">
        <w:rPr>
          <w:rFonts w:ascii="Arial" w:hAnsi="Arial" w:cs="Arial"/>
          <w:b/>
          <w:sz w:val="20"/>
          <w:szCs w:val="20"/>
        </w:rPr>
        <w:t>TTACHMENT B</w:t>
      </w:r>
    </w:p>
    <w:p w:rsidR="00FB7975" w:rsidRPr="00EC4D12" w:rsidRDefault="00FB7975" w:rsidP="000C444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FB7975" w:rsidRPr="00EC4D12" w:rsidRDefault="00FB7975" w:rsidP="000C44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C4D12">
        <w:rPr>
          <w:rFonts w:ascii="Arial" w:hAnsi="Arial" w:cs="Arial"/>
          <w:b/>
          <w:sz w:val="20"/>
          <w:szCs w:val="20"/>
        </w:rPr>
        <w:t>Statement of Compatibility with Human Rights</w:t>
      </w:r>
    </w:p>
    <w:p w:rsidR="00FF1564" w:rsidRPr="00FF1564" w:rsidRDefault="00FB7975" w:rsidP="00FF1564">
      <w:pPr>
        <w:pStyle w:val="ACMABodyText"/>
      </w:pPr>
      <w:r w:rsidRPr="00EC4D12">
        <w:rPr>
          <w:rFonts w:ascii="Arial" w:hAnsi="Arial" w:cs="Arial"/>
          <w:sz w:val="20"/>
        </w:rPr>
        <w:t xml:space="preserve">Prepared in accordance with Part 3 of the </w:t>
      </w:r>
      <w:r w:rsidRPr="005C7B71">
        <w:rPr>
          <w:rFonts w:ascii="Arial" w:hAnsi="Arial" w:cs="Arial"/>
          <w:i/>
          <w:sz w:val="20"/>
        </w:rPr>
        <w:t>Human Rights (Parliamentary Scrutiny) Act 2011</w:t>
      </w:r>
    </w:p>
    <w:p w:rsidR="00FF1564" w:rsidRDefault="00FF1564" w:rsidP="00FF1564">
      <w:pPr>
        <w:rPr>
          <w:rFonts w:ascii="Arial" w:hAnsi="Arial" w:cs="Arial"/>
          <w:b/>
          <w:sz w:val="20"/>
          <w:szCs w:val="20"/>
        </w:rPr>
      </w:pPr>
    </w:p>
    <w:p w:rsidR="00FB7975" w:rsidRPr="00EC4D12" w:rsidRDefault="00FB7975" w:rsidP="000C444C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EC4D12">
        <w:rPr>
          <w:rFonts w:ascii="Arial" w:hAnsi="Arial" w:cs="Arial"/>
          <w:b/>
          <w:i/>
          <w:sz w:val="20"/>
          <w:szCs w:val="20"/>
        </w:rPr>
        <w:t xml:space="preserve">Radiocommunications Advisory Guidelines (Managing Interference from </w:t>
      </w:r>
      <w:r>
        <w:rPr>
          <w:rFonts w:ascii="Arial" w:hAnsi="Arial" w:cs="Arial"/>
          <w:b/>
          <w:i/>
          <w:sz w:val="20"/>
          <w:szCs w:val="20"/>
        </w:rPr>
        <w:t>Transmitters – 2.5</w:t>
      </w:r>
      <w:r w:rsidRPr="00EC4D12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</w:t>
      </w:r>
      <w:r w:rsidRPr="00EC4D12">
        <w:rPr>
          <w:rFonts w:ascii="Arial" w:hAnsi="Arial" w:cs="Arial"/>
          <w:b/>
          <w:i/>
          <w:sz w:val="20"/>
          <w:szCs w:val="20"/>
        </w:rPr>
        <w:t xml:space="preserve">Hz </w:t>
      </w:r>
      <w:r w:rsidR="005C7B71">
        <w:rPr>
          <w:rFonts w:ascii="Arial" w:hAnsi="Arial" w:cs="Arial"/>
          <w:b/>
          <w:i/>
          <w:sz w:val="20"/>
          <w:szCs w:val="20"/>
        </w:rPr>
        <w:t>Mid-b</w:t>
      </w:r>
      <w:r w:rsidRPr="00EC4D12">
        <w:rPr>
          <w:rFonts w:ascii="Arial" w:hAnsi="Arial" w:cs="Arial"/>
          <w:b/>
          <w:i/>
          <w:sz w:val="20"/>
          <w:szCs w:val="20"/>
        </w:rPr>
        <w:t>and</w:t>
      </w:r>
      <w:r w:rsidR="005C7B71">
        <w:rPr>
          <w:rFonts w:ascii="Arial" w:hAnsi="Arial" w:cs="Arial"/>
          <w:b/>
          <w:i/>
          <w:sz w:val="20"/>
          <w:szCs w:val="20"/>
        </w:rPr>
        <w:t xml:space="preserve"> Gap</w:t>
      </w:r>
      <w:r w:rsidRPr="00EC4D12">
        <w:rPr>
          <w:rFonts w:ascii="Arial" w:hAnsi="Arial" w:cs="Arial"/>
          <w:b/>
          <w:i/>
          <w:sz w:val="20"/>
          <w:szCs w:val="20"/>
        </w:rPr>
        <w:t>) 2012</w:t>
      </w:r>
    </w:p>
    <w:p w:rsidR="00FB7975" w:rsidRPr="00EC4D12" w:rsidRDefault="00FB7975" w:rsidP="000C444C">
      <w:pPr>
        <w:jc w:val="center"/>
        <w:rPr>
          <w:rFonts w:ascii="Arial" w:hAnsi="Arial" w:cs="Arial"/>
          <w:b/>
          <w:sz w:val="20"/>
          <w:szCs w:val="20"/>
        </w:rPr>
      </w:pPr>
    </w:p>
    <w:p w:rsidR="00DD3252" w:rsidRDefault="00FB7975">
      <w:pPr>
        <w:spacing w:before="0" w:after="0" w:line="360" w:lineRule="auto"/>
      </w:pPr>
      <w:r w:rsidRPr="00EC4D12">
        <w:rPr>
          <w:rFonts w:ascii="Arial" w:hAnsi="Arial" w:cs="Arial"/>
          <w:sz w:val="20"/>
          <w:szCs w:val="20"/>
        </w:rPr>
        <w:t xml:space="preserve">This legislative instrument is compatible with the human rights and freedoms recognised or declared in the international instruments listed in section 3 of the </w:t>
      </w:r>
      <w:r w:rsidRPr="00EC4D12">
        <w:rPr>
          <w:rFonts w:ascii="Arial" w:hAnsi="Arial" w:cs="Arial"/>
          <w:i/>
          <w:sz w:val="20"/>
          <w:szCs w:val="20"/>
        </w:rPr>
        <w:t>Human Rights (Parliamentary Scrutiny) Act 2011</w:t>
      </w:r>
      <w:r w:rsidRPr="00EC4D12">
        <w:rPr>
          <w:rFonts w:ascii="Arial" w:hAnsi="Arial" w:cs="Arial"/>
          <w:sz w:val="20"/>
          <w:szCs w:val="20"/>
        </w:rPr>
        <w:t>.</w:t>
      </w:r>
    </w:p>
    <w:p w:rsidR="00DD3252" w:rsidRDefault="00FB7975">
      <w:pPr>
        <w:spacing w:before="240" w:line="360" w:lineRule="auto"/>
        <w:rPr>
          <w:rFonts w:ascii="Arial" w:hAnsi="Arial" w:cs="Arial"/>
          <w:b/>
          <w:sz w:val="20"/>
          <w:szCs w:val="20"/>
        </w:rPr>
      </w:pPr>
      <w:r w:rsidRPr="00EC4D12">
        <w:rPr>
          <w:rFonts w:ascii="Arial" w:hAnsi="Arial" w:cs="Arial"/>
          <w:b/>
          <w:sz w:val="20"/>
          <w:szCs w:val="20"/>
        </w:rPr>
        <w:t>Overview of the Legislative Instrument</w:t>
      </w:r>
    </w:p>
    <w:p w:rsidR="00DD3252" w:rsidRDefault="001F0A86">
      <w:pPr>
        <w:spacing w:before="0" w:after="0" w:line="360" w:lineRule="auto"/>
      </w:pPr>
      <w:r>
        <w:rPr>
          <w:rFonts w:ascii="Arial" w:hAnsi="Arial" w:cs="Arial"/>
          <w:sz w:val="20"/>
          <w:szCs w:val="20"/>
        </w:rPr>
        <w:t>Under s</w:t>
      </w:r>
      <w:r w:rsidR="00FB7975" w:rsidRPr="00EC4D12">
        <w:rPr>
          <w:rFonts w:ascii="Arial" w:hAnsi="Arial" w:cs="Arial"/>
          <w:sz w:val="20"/>
          <w:szCs w:val="20"/>
        </w:rPr>
        <w:t xml:space="preserve">ection 262 of the </w:t>
      </w:r>
      <w:r w:rsidR="003841F7" w:rsidRPr="003841F7">
        <w:rPr>
          <w:rFonts w:ascii="Arial" w:hAnsi="Arial" w:cs="Arial"/>
          <w:i/>
          <w:sz w:val="20"/>
          <w:szCs w:val="20"/>
        </w:rPr>
        <w:t>Radiocommunications Act 1992</w:t>
      </w:r>
      <w:r w:rsidR="00FB7975" w:rsidRPr="00EC4D12">
        <w:rPr>
          <w:rFonts w:ascii="Arial" w:hAnsi="Arial" w:cs="Arial"/>
          <w:sz w:val="20"/>
          <w:szCs w:val="20"/>
        </w:rPr>
        <w:t xml:space="preserve"> (</w:t>
      </w:r>
      <w:r w:rsidR="00FB7975" w:rsidRPr="00AF5EAF">
        <w:rPr>
          <w:rFonts w:ascii="Arial" w:hAnsi="Arial" w:cs="Arial"/>
          <w:sz w:val="20"/>
          <w:szCs w:val="20"/>
        </w:rPr>
        <w:t>the</w:t>
      </w:r>
      <w:r w:rsidR="00FB7975">
        <w:rPr>
          <w:rFonts w:ascii="Arial" w:hAnsi="Arial" w:cs="Arial"/>
          <w:sz w:val="20"/>
          <w:szCs w:val="20"/>
        </w:rPr>
        <w:t xml:space="preserve"> </w:t>
      </w:r>
      <w:r w:rsidR="00FB7975" w:rsidRPr="00EC4D12">
        <w:rPr>
          <w:rFonts w:ascii="Arial" w:hAnsi="Arial" w:cs="Arial"/>
          <w:b/>
          <w:sz w:val="20"/>
          <w:szCs w:val="20"/>
        </w:rPr>
        <w:t>Act</w:t>
      </w:r>
      <w:r w:rsidR="00FB7975" w:rsidRPr="00EC4D12">
        <w:rPr>
          <w:rFonts w:ascii="Arial" w:hAnsi="Arial" w:cs="Arial"/>
          <w:sz w:val="20"/>
          <w:szCs w:val="20"/>
        </w:rPr>
        <w:t>) the Australian Communications and Media Authority (</w:t>
      </w:r>
      <w:r w:rsidR="00FB7975">
        <w:rPr>
          <w:rFonts w:ascii="Arial" w:hAnsi="Arial" w:cs="Arial"/>
          <w:sz w:val="20"/>
          <w:szCs w:val="20"/>
        </w:rPr>
        <w:t xml:space="preserve">the </w:t>
      </w:r>
      <w:r w:rsidR="00FB7975" w:rsidRPr="00EC4D12">
        <w:rPr>
          <w:rFonts w:ascii="Arial" w:hAnsi="Arial" w:cs="Arial"/>
          <w:b/>
          <w:sz w:val="20"/>
          <w:szCs w:val="20"/>
        </w:rPr>
        <w:t>ACMA</w:t>
      </w:r>
      <w:r w:rsidR="00FB7975" w:rsidRPr="00EC4D12">
        <w:rPr>
          <w:rFonts w:ascii="Arial" w:hAnsi="Arial" w:cs="Arial"/>
          <w:sz w:val="20"/>
          <w:szCs w:val="20"/>
        </w:rPr>
        <w:t xml:space="preserve">) may make advisory guidelines about any aspect of radiocommunication or radio emissions.  </w:t>
      </w:r>
    </w:p>
    <w:p w:rsidR="00DD3252" w:rsidRDefault="00FB7975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EC4D12">
        <w:rPr>
          <w:rFonts w:ascii="Arial" w:hAnsi="Arial" w:cs="Arial"/>
          <w:sz w:val="20"/>
          <w:szCs w:val="20"/>
        </w:rPr>
        <w:t xml:space="preserve">The purpose of the </w:t>
      </w:r>
      <w:r w:rsidRPr="00EC4D12">
        <w:rPr>
          <w:rFonts w:ascii="Arial" w:hAnsi="Arial" w:cs="Arial"/>
          <w:i/>
          <w:sz w:val="20"/>
          <w:szCs w:val="20"/>
        </w:rPr>
        <w:t xml:space="preserve">Radiocommunications Advisory Guidelines (Managing Interference from Transmitters – </w:t>
      </w:r>
      <w:r>
        <w:rPr>
          <w:rFonts w:ascii="Arial" w:hAnsi="Arial" w:cs="Arial"/>
          <w:i/>
          <w:sz w:val="20"/>
          <w:szCs w:val="20"/>
        </w:rPr>
        <w:t>2.5</w:t>
      </w:r>
      <w:r w:rsidRPr="00EC4D1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G</w:t>
      </w:r>
      <w:r w:rsidRPr="00EC4D12">
        <w:rPr>
          <w:rFonts w:ascii="Arial" w:hAnsi="Arial" w:cs="Arial"/>
          <w:i/>
          <w:sz w:val="20"/>
          <w:szCs w:val="20"/>
        </w:rPr>
        <w:t xml:space="preserve">Hz </w:t>
      </w:r>
      <w:r w:rsidR="005C7B71">
        <w:rPr>
          <w:rFonts w:ascii="Arial" w:hAnsi="Arial" w:cs="Arial"/>
          <w:i/>
          <w:sz w:val="20"/>
          <w:szCs w:val="20"/>
        </w:rPr>
        <w:t>Mid-b</w:t>
      </w:r>
      <w:r w:rsidRPr="00EC4D12">
        <w:rPr>
          <w:rFonts w:ascii="Arial" w:hAnsi="Arial" w:cs="Arial"/>
          <w:i/>
          <w:sz w:val="20"/>
          <w:szCs w:val="20"/>
        </w:rPr>
        <w:t>and</w:t>
      </w:r>
      <w:r w:rsidR="005C7B71">
        <w:rPr>
          <w:rFonts w:ascii="Arial" w:hAnsi="Arial" w:cs="Arial"/>
          <w:i/>
          <w:sz w:val="20"/>
          <w:szCs w:val="20"/>
        </w:rPr>
        <w:t xml:space="preserve"> Gap</w:t>
      </w:r>
      <w:r w:rsidRPr="00EC4D12">
        <w:rPr>
          <w:rFonts w:ascii="Arial" w:hAnsi="Arial" w:cs="Arial"/>
          <w:i/>
          <w:sz w:val="20"/>
          <w:szCs w:val="20"/>
        </w:rPr>
        <w:t>) 2012</w:t>
      </w:r>
      <w:r w:rsidRPr="00EC4D12">
        <w:rPr>
          <w:rFonts w:ascii="Arial" w:hAnsi="Arial" w:cs="Arial"/>
          <w:sz w:val="20"/>
          <w:szCs w:val="20"/>
        </w:rPr>
        <w:t xml:space="preserve"> (the </w:t>
      </w:r>
      <w:r w:rsidRPr="00EC4D12">
        <w:rPr>
          <w:rFonts w:ascii="Arial" w:hAnsi="Arial" w:cs="Arial"/>
          <w:b/>
          <w:sz w:val="20"/>
          <w:szCs w:val="20"/>
        </w:rPr>
        <w:t>Advisory Guideline</w:t>
      </w:r>
      <w:r>
        <w:rPr>
          <w:rFonts w:ascii="Arial" w:hAnsi="Arial" w:cs="Arial"/>
          <w:b/>
          <w:sz w:val="20"/>
          <w:szCs w:val="20"/>
        </w:rPr>
        <w:t>s</w:t>
      </w:r>
      <w:r w:rsidRPr="00EC4D12">
        <w:rPr>
          <w:rFonts w:ascii="Arial" w:hAnsi="Arial" w:cs="Arial"/>
          <w:sz w:val="20"/>
          <w:szCs w:val="20"/>
        </w:rPr>
        <w:t xml:space="preserve">) is to provide </w:t>
      </w:r>
      <w:r w:rsidR="000A4B6D">
        <w:rPr>
          <w:rFonts w:ascii="Arial" w:hAnsi="Arial" w:cs="Arial"/>
          <w:sz w:val="20"/>
          <w:szCs w:val="20"/>
        </w:rPr>
        <w:t xml:space="preserve">guidance to assist with the management of interference </w:t>
      </w:r>
      <w:r w:rsidR="001F0A86" w:rsidRPr="001F0A86">
        <w:rPr>
          <w:rFonts w:ascii="Arial" w:hAnsi="Arial" w:cs="Arial"/>
          <w:sz w:val="20"/>
          <w:szCs w:val="20"/>
        </w:rPr>
        <w:t>from radiocommunications transmitters operated under a spectrum licence in the 2.5 GHz Mid-band Gap, so as to provide for the protection of radiocommunications receivers operating in or adjacent to the 2.5 GHz Mid-band Gap.</w:t>
      </w:r>
      <w:r w:rsidRPr="00EC4D12">
        <w:rPr>
          <w:rFonts w:ascii="Arial" w:hAnsi="Arial" w:cs="Arial"/>
          <w:sz w:val="20"/>
          <w:szCs w:val="20"/>
        </w:rPr>
        <w:t xml:space="preserve"> </w:t>
      </w:r>
    </w:p>
    <w:p w:rsidR="00DD3252" w:rsidRDefault="00FB7975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 w:rsidRPr="00EC4D12">
        <w:rPr>
          <w:rFonts w:ascii="Arial" w:hAnsi="Arial" w:cs="Arial"/>
          <w:sz w:val="20"/>
          <w:szCs w:val="20"/>
        </w:rPr>
        <w:t xml:space="preserve">Subsection 9(1) of the </w:t>
      </w:r>
      <w:r w:rsidRPr="00EC4D12">
        <w:rPr>
          <w:rFonts w:ascii="Arial" w:hAnsi="Arial" w:cs="Arial"/>
          <w:i/>
          <w:sz w:val="20"/>
          <w:szCs w:val="20"/>
        </w:rPr>
        <w:t>Human Rights (Parliamentary Scrutiny) Act 2011</w:t>
      </w:r>
      <w:r w:rsidRPr="00EC4D12">
        <w:rPr>
          <w:rFonts w:ascii="Arial" w:hAnsi="Arial" w:cs="Arial"/>
          <w:sz w:val="20"/>
          <w:szCs w:val="20"/>
        </w:rPr>
        <w:t xml:space="preserve"> requires the rule</w:t>
      </w:r>
      <w:r w:rsidRPr="00EC4D12">
        <w:rPr>
          <w:rFonts w:ascii="Arial" w:eastAsia="MS Mincho" w:hAnsi="MS Mincho" w:cs="Arial"/>
          <w:sz w:val="20"/>
          <w:szCs w:val="20"/>
        </w:rPr>
        <w:t xml:space="preserve"> </w:t>
      </w:r>
      <w:r w:rsidRPr="00EC4D12">
        <w:rPr>
          <w:rFonts w:ascii="Arial" w:hAnsi="Arial" w:cs="Arial"/>
          <w:sz w:val="20"/>
          <w:szCs w:val="20"/>
        </w:rPr>
        <w:t xml:space="preserve">maker in relation to a legislative instrument to which section 42 (disallowance) of the </w:t>
      </w:r>
      <w:r w:rsidRPr="00EC4D12">
        <w:rPr>
          <w:rFonts w:ascii="Arial" w:hAnsi="Arial" w:cs="Arial"/>
          <w:i/>
          <w:sz w:val="20"/>
          <w:szCs w:val="20"/>
        </w:rPr>
        <w:t>Legislative Instruments Act 2003</w:t>
      </w:r>
      <w:r w:rsidRPr="00EC4D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(the </w:t>
      </w:r>
      <w:r w:rsidR="004C01D4" w:rsidRPr="004C01D4">
        <w:rPr>
          <w:rFonts w:ascii="Arial" w:hAnsi="Arial" w:cs="Arial"/>
          <w:b/>
          <w:sz w:val="20"/>
          <w:szCs w:val="20"/>
        </w:rPr>
        <w:t>LIA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C4D12">
        <w:rPr>
          <w:rFonts w:ascii="Arial" w:hAnsi="Arial" w:cs="Arial"/>
          <w:sz w:val="20"/>
          <w:szCs w:val="20"/>
        </w:rPr>
        <w:t>applies to cause a statement of compatibility to be prepared in respect of that legislative instrument.</w:t>
      </w:r>
    </w:p>
    <w:p w:rsidR="00DD3252" w:rsidRDefault="00FB7975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EC4D12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 Advisory Guidelines are</w:t>
      </w:r>
      <w:r w:rsidRPr="00EC4D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Pr="00EC4D12">
        <w:rPr>
          <w:rFonts w:ascii="Arial" w:hAnsi="Arial" w:cs="Arial"/>
          <w:sz w:val="20"/>
          <w:szCs w:val="20"/>
        </w:rPr>
        <w:t xml:space="preserve">legislative instrument subject to disallowance under section 42 of the </w:t>
      </w:r>
      <w:r w:rsidR="004C01D4" w:rsidRPr="004C01D4">
        <w:rPr>
          <w:rFonts w:ascii="Arial" w:hAnsi="Arial" w:cs="Arial"/>
          <w:sz w:val="20"/>
          <w:szCs w:val="20"/>
        </w:rPr>
        <w:t>LIA</w:t>
      </w:r>
      <w:r w:rsidRPr="00EC4D12">
        <w:rPr>
          <w:rFonts w:ascii="Arial" w:hAnsi="Arial" w:cs="Arial"/>
          <w:sz w:val="20"/>
          <w:szCs w:val="20"/>
        </w:rPr>
        <w:t>.</w:t>
      </w:r>
    </w:p>
    <w:p w:rsidR="00DD3252" w:rsidRDefault="00FB7975">
      <w:p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EC4D12">
        <w:rPr>
          <w:rFonts w:ascii="Arial" w:hAnsi="Arial" w:cs="Arial"/>
          <w:b/>
          <w:sz w:val="20"/>
          <w:szCs w:val="20"/>
        </w:rPr>
        <w:t>Human Rights Implications</w:t>
      </w:r>
    </w:p>
    <w:p w:rsidR="00FB7975" w:rsidRDefault="00FB7975" w:rsidP="00D17057">
      <w:pPr>
        <w:spacing w:before="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EC4D12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 Advisory Guidelines</w:t>
      </w:r>
      <w:r w:rsidRPr="00EC4D12">
        <w:rPr>
          <w:rFonts w:ascii="Arial" w:hAnsi="Arial" w:cs="Arial"/>
          <w:sz w:val="20"/>
          <w:szCs w:val="20"/>
        </w:rPr>
        <w:t xml:space="preserve"> do not engage any of the applicable rights or freedoms.</w:t>
      </w:r>
    </w:p>
    <w:p w:rsidR="00DD3252" w:rsidRDefault="00FB7975">
      <w:p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EC4D12">
        <w:rPr>
          <w:rFonts w:ascii="Arial" w:hAnsi="Arial" w:cs="Arial"/>
          <w:b/>
          <w:sz w:val="20"/>
          <w:szCs w:val="20"/>
        </w:rPr>
        <w:t>Conclusion</w:t>
      </w:r>
    </w:p>
    <w:p w:rsidR="00FB7975" w:rsidRDefault="00FB7975" w:rsidP="00D1705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The Advisory Guidelines are</w:t>
      </w:r>
      <w:r w:rsidRPr="00EC4D12">
        <w:rPr>
          <w:rFonts w:ascii="Arial" w:hAnsi="Arial" w:cs="Arial"/>
          <w:sz w:val="20"/>
          <w:szCs w:val="20"/>
        </w:rPr>
        <w:t xml:space="preserve"> compatible with human rights as</w:t>
      </w:r>
      <w:r>
        <w:rPr>
          <w:rFonts w:ascii="Arial" w:hAnsi="Arial" w:cs="Arial"/>
          <w:sz w:val="20"/>
          <w:szCs w:val="20"/>
        </w:rPr>
        <w:t xml:space="preserve"> </w:t>
      </w:r>
      <w:r w:rsidR="004D2620">
        <w:rPr>
          <w:rFonts w:ascii="Arial" w:hAnsi="Arial" w:cs="Arial"/>
          <w:sz w:val="20"/>
          <w:szCs w:val="20"/>
        </w:rPr>
        <w:t>they</w:t>
      </w:r>
      <w:r w:rsidR="004D2620" w:rsidRPr="00EC4D12">
        <w:rPr>
          <w:rFonts w:ascii="Arial" w:hAnsi="Arial" w:cs="Arial"/>
          <w:sz w:val="20"/>
          <w:szCs w:val="20"/>
        </w:rPr>
        <w:t xml:space="preserve"> </w:t>
      </w:r>
      <w:r w:rsidRPr="00EC4D12">
        <w:rPr>
          <w:rFonts w:ascii="Arial" w:hAnsi="Arial" w:cs="Arial"/>
          <w:sz w:val="20"/>
          <w:szCs w:val="20"/>
        </w:rPr>
        <w:t>do not raise any human rights issues.</w:t>
      </w:r>
    </w:p>
    <w:sectPr w:rsidR="00FB7975" w:rsidSect="007538D3">
      <w:footerReference w:type="default" r:id="rId10"/>
      <w:pgSz w:w="11907" w:h="16840" w:code="9"/>
      <w:pgMar w:top="1418" w:right="1418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252" w:rsidRDefault="00DD3252" w:rsidP="00026D00">
      <w:pPr>
        <w:spacing w:before="0" w:after="0" w:line="240" w:lineRule="auto"/>
      </w:pPr>
      <w:r>
        <w:separator/>
      </w:r>
    </w:p>
  </w:endnote>
  <w:endnote w:type="continuationSeparator" w:id="0">
    <w:p w:rsidR="00DD3252" w:rsidRDefault="00DD3252" w:rsidP="00026D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52" w:rsidRDefault="002D423C">
    <w:pPr>
      <w:pStyle w:val="Footer"/>
      <w:jc w:val="center"/>
    </w:pPr>
    <w:fldSimple w:instr=" PAGE   \* MERGEFORMAT ">
      <w:r w:rsidR="004279C9">
        <w:rPr>
          <w:noProof/>
        </w:rPr>
        <w:t>9</w:t>
      </w:r>
    </w:fldSimple>
  </w:p>
  <w:p w:rsidR="00DD3252" w:rsidRDefault="00DD32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252" w:rsidRDefault="00DD3252" w:rsidP="00026D00">
      <w:pPr>
        <w:spacing w:before="0" w:after="0" w:line="240" w:lineRule="auto"/>
      </w:pPr>
      <w:r>
        <w:separator/>
      </w:r>
    </w:p>
  </w:footnote>
  <w:footnote w:type="continuationSeparator" w:id="0">
    <w:p w:rsidR="00DD3252" w:rsidRDefault="00DD3252" w:rsidP="00026D00">
      <w:pPr>
        <w:spacing w:before="0" w:after="0" w:line="240" w:lineRule="auto"/>
      </w:pPr>
      <w:r>
        <w:continuationSeparator/>
      </w:r>
    </w:p>
  </w:footnote>
  <w:footnote w:id="1">
    <w:p w:rsidR="00DD3252" w:rsidRDefault="00DD3252">
      <w:pPr>
        <w:pStyle w:val="FootnoteText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 w:rsidRPr="004C01D4">
        <w:rPr>
          <w:rFonts w:ascii="Arial" w:hAnsi="Arial" w:cs="Arial"/>
          <w:sz w:val="18"/>
          <w:szCs w:val="18"/>
        </w:rPr>
        <w:t xml:space="preserve"> </w:t>
      </w:r>
      <w:r w:rsidRPr="00C0533B">
        <w:rPr>
          <w:rFonts w:ascii="Arial" w:hAnsi="Arial" w:cs="Arial"/>
          <w:sz w:val="18"/>
          <w:szCs w:val="18"/>
        </w:rPr>
        <w:t>The full discussion paper can be accessed at:</w:t>
      </w:r>
      <w:r w:rsidRPr="004C01D4">
        <w:rPr>
          <w:rFonts w:ascii="Arial" w:hAnsi="Arial" w:cs="Arial"/>
          <w:sz w:val="18"/>
          <w:szCs w:val="18"/>
          <w:vertAlign w:val="superscript"/>
        </w:rPr>
        <w:t xml:space="preserve"> </w:t>
      </w:r>
      <w:hyperlink r:id="rId1" w:history="1">
        <w:r>
          <w:rPr>
            <w:rStyle w:val="Hyperlink"/>
            <w:rFonts w:ascii="Arial" w:hAnsi="Arial" w:cs="Arial"/>
            <w:sz w:val="18"/>
            <w:szCs w:val="18"/>
          </w:rPr>
          <w:t>http://www.acma.gov.au/webwr/_assets/main/lib311275/2.5ghz_discussion_paper_ifc01-10.pdf</w:t>
        </w:r>
      </w:hyperlink>
      <w:r>
        <w:t>.</w:t>
      </w:r>
    </w:p>
  </w:footnote>
  <w:footnote w:id="2">
    <w:p w:rsidR="00DD3252" w:rsidRDefault="00DD3252">
      <w:pPr>
        <w:pStyle w:val="FootnoteText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 w:rsidRPr="004C01D4">
        <w:rPr>
          <w:rFonts w:ascii="Arial" w:hAnsi="Arial" w:cs="Arial"/>
          <w:sz w:val="18"/>
          <w:szCs w:val="18"/>
        </w:rPr>
        <w:t xml:space="preserve"> </w:t>
      </w:r>
      <w:r w:rsidRPr="00C0533B">
        <w:rPr>
          <w:rFonts w:ascii="Arial" w:hAnsi="Arial" w:cs="Arial"/>
          <w:sz w:val="18"/>
          <w:szCs w:val="18"/>
        </w:rPr>
        <w:t xml:space="preserve">See ACMA media release 132/2010, 21 October </w:t>
      </w:r>
      <w:hyperlink r:id="rId2" w:history="1">
        <w:r>
          <w:rPr>
            <w:rStyle w:val="Hyperlink"/>
            <w:rFonts w:ascii="Arial" w:hAnsi="Arial" w:cs="Arial"/>
            <w:sz w:val="18"/>
            <w:szCs w:val="18"/>
          </w:rPr>
          <w:t>http://www.acma.gov.au/WEB/STANDARD/pc=PC_312322</w:t>
        </w:r>
      </w:hyperlink>
      <w:r>
        <w:t>.</w:t>
      </w:r>
    </w:p>
  </w:footnote>
  <w:footnote w:id="3">
    <w:p w:rsidR="00DD3252" w:rsidRPr="00FB7975" w:rsidRDefault="00DD3252" w:rsidP="00BB227F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 w:rsidRPr="004C01D4">
        <w:rPr>
          <w:rFonts w:ascii="Arial" w:hAnsi="Arial" w:cs="Arial"/>
          <w:sz w:val="18"/>
          <w:szCs w:val="18"/>
        </w:rPr>
        <w:t xml:space="preserve"> Response to submissions paper, and submissions received, can be accessed at</w:t>
      </w:r>
      <w:r w:rsidRPr="00C0533B">
        <w:rPr>
          <w:rFonts w:ascii="Arial" w:hAnsi="Arial" w:cs="Arial"/>
          <w:sz w:val="18"/>
          <w:szCs w:val="18"/>
        </w:rPr>
        <w:t>:</w:t>
      </w:r>
    </w:p>
    <w:p w:rsidR="00DD3252" w:rsidRDefault="002D423C" w:rsidP="00BB227F">
      <w:pPr>
        <w:pStyle w:val="FootnoteText"/>
      </w:pPr>
      <w:hyperlink r:id="rId3" w:history="1">
        <w:r w:rsidR="00DD3252" w:rsidRPr="004C01D4">
          <w:rPr>
            <w:rStyle w:val="Hyperlink"/>
            <w:rFonts w:ascii="Arial" w:hAnsi="Arial" w:cs="Arial"/>
            <w:sz w:val="18"/>
            <w:szCs w:val="18"/>
          </w:rPr>
          <w:t>www.acma.gov.au/WEB/STANDARD/pc=PC_312013</w:t>
        </w:r>
      </w:hyperlink>
      <w:r w:rsidR="00DD3252">
        <w:t>.</w:t>
      </w:r>
    </w:p>
  </w:footnote>
  <w:footnote w:id="4">
    <w:p w:rsidR="00DD3252" w:rsidRDefault="00DD3252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850257">
        <w:rPr>
          <w:rFonts w:ascii="Arial" w:hAnsi="Arial" w:cs="Arial"/>
          <w:sz w:val="18"/>
          <w:szCs w:val="18"/>
        </w:rPr>
        <w:t>See http://www.acma.gov.au/scripts/nc.dll?WEB/STANDARD/1001/pc=PC_410423.</w:t>
      </w:r>
    </w:p>
  </w:footnote>
  <w:footnote w:id="5">
    <w:p w:rsidR="00DD3252" w:rsidRDefault="00DD3252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850257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information paper can be accessed at: </w:t>
      </w:r>
      <w:hyperlink r:id="rId4" w:history="1">
        <w:r w:rsidRPr="00DB74B9">
          <w:rPr>
            <w:rStyle w:val="Hyperlink"/>
            <w:rFonts w:ascii="Arial" w:hAnsi="Arial" w:cs="Arial"/>
            <w:sz w:val="18"/>
            <w:szCs w:val="18"/>
          </w:rPr>
          <w:t>http://www.acma.gov.au/scripts/nc.dll?WEB/STANDARD/1001/pc=PC_410423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E68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D7C82"/>
    <w:multiLevelType w:val="hybridMultilevel"/>
    <w:tmpl w:val="D9D45792"/>
    <w:lvl w:ilvl="0" w:tplc="BB74C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032E6"/>
    <w:multiLevelType w:val="hybridMultilevel"/>
    <w:tmpl w:val="D45AFCBE"/>
    <w:lvl w:ilvl="0" w:tplc="6CB6E33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55F81"/>
    <w:multiLevelType w:val="hybridMultilevel"/>
    <w:tmpl w:val="884A1BC8"/>
    <w:lvl w:ilvl="0" w:tplc="3220403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3C6915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D8A0056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F665EE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F3603E"/>
    <w:multiLevelType w:val="hybridMultilevel"/>
    <w:tmpl w:val="39FE2ADA"/>
    <w:lvl w:ilvl="0" w:tplc="3356E966">
      <w:start w:val="1"/>
      <w:numFmt w:val="bullet"/>
      <w:pStyle w:val="ACMA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E495C"/>
    <w:multiLevelType w:val="hybridMultilevel"/>
    <w:tmpl w:val="1D8498B0"/>
    <w:lvl w:ilvl="0" w:tplc="A332420E">
      <w:start w:val="1"/>
      <w:numFmt w:val="lowerLetter"/>
      <w:pStyle w:val="ACMAlettered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EDAE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A81D5F"/>
    <w:multiLevelType w:val="hybridMultilevel"/>
    <w:tmpl w:val="D9C4DF86"/>
    <w:lvl w:ilvl="0" w:tplc="6924032C">
      <w:start w:val="1"/>
      <w:numFmt w:val="bullet"/>
      <w:pStyle w:val="ACMABulletLevel2"/>
      <w:lvlText w:val=""/>
      <w:lvlJc w:val="left"/>
      <w:pPr>
        <w:tabs>
          <w:tab w:val="num" w:pos="-31680"/>
        </w:tabs>
        <w:ind w:left="709" w:hanging="352"/>
      </w:pPr>
      <w:rPr>
        <w:rFonts w:ascii="Symbol" w:hAnsi="Symbol" w:hint="default"/>
        <w:sz w:val="22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B13EC"/>
    <w:multiLevelType w:val="hybridMultilevel"/>
    <w:tmpl w:val="05B2F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76651"/>
    <w:multiLevelType w:val="hybridMultilevel"/>
    <w:tmpl w:val="0D2CB68C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0C4EF4"/>
    <w:multiLevelType w:val="hybridMultilevel"/>
    <w:tmpl w:val="77FA3B7A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5696C49"/>
    <w:multiLevelType w:val="hybridMultilevel"/>
    <w:tmpl w:val="EA8EDC90"/>
    <w:lvl w:ilvl="0" w:tplc="4FB65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E0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09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CE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81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24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C13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A6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84D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AA7E62"/>
    <w:multiLevelType w:val="hybridMultilevel"/>
    <w:tmpl w:val="7E8C6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B27D4"/>
    <w:multiLevelType w:val="hybridMultilevel"/>
    <w:tmpl w:val="33362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A5080"/>
    <w:multiLevelType w:val="hybridMultilevel"/>
    <w:tmpl w:val="24705096"/>
    <w:lvl w:ilvl="0" w:tplc="2668C79A">
      <w:start w:val="1"/>
      <w:numFmt w:val="bullet"/>
      <w:pStyle w:val="ACMABulletLevel1"/>
      <w:lvlText w:val="●"/>
      <w:lvlJc w:val="left"/>
      <w:pPr>
        <w:tabs>
          <w:tab w:val="num" w:pos="-31680"/>
        </w:tabs>
        <w:ind w:left="357" w:hanging="35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>
    <w:nsid w:val="30AA3204"/>
    <w:multiLevelType w:val="hybridMultilevel"/>
    <w:tmpl w:val="007CE9EA"/>
    <w:lvl w:ilvl="0" w:tplc="1BE0D76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02E58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1221E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A48F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E004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E7A94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62B0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8CC8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78A59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6F5465"/>
    <w:multiLevelType w:val="hybridMultilevel"/>
    <w:tmpl w:val="B96E4E0C"/>
    <w:lvl w:ilvl="0" w:tplc="6CB6E33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A3A2A"/>
    <w:multiLevelType w:val="hybridMultilevel"/>
    <w:tmpl w:val="44827AC6"/>
    <w:lvl w:ilvl="0" w:tplc="44D64128">
      <w:start w:val="1"/>
      <w:numFmt w:val="bullet"/>
      <w:lvlText w:val="˃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586584"/>
    <w:multiLevelType w:val="hybridMultilevel"/>
    <w:tmpl w:val="BCB86E14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73593"/>
    <w:multiLevelType w:val="hybridMultilevel"/>
    <w:tmpl w:val="49887CEC"/>
    <w:lvl w:ilvl="0" w:tplc="44D64128">
      <w:start w:val="1"/>
      <w:numFmt w:val="bullet"/>
      <w:lvlText w:val="˃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054A0E"/>
    <w:multiLevelType w:val="hybridMultilevel"/>
    <w:tmpl w:val="75A81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47610"/>
    <w:multiLevelType w:val="hybridMultilevel"/>
    <w:tmpl w:val="F0FEC55A"/>
    <w:lvl w:ilvl="0" w:tplc="923458A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4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19"/>
  </w:num>
  <w:num w:numId="19">
    <w:abstractNumId w:val="1"/>
  </w:num>
  <w:num w:numId="20">
    <w:abstractNumId w:val="13"/>
  </w:num>
  <w:num w:numId="21">
    <w:abstractNumId w:val="20"/>
  </w:num>
  <w:num w:numId="22">
    <w:abstractNumId w:val="18"/>
  </w:num>
  <w:num w:numId="23">
    <w:abstractNumId w:val="10"/>
  </w:num>
  <w:num w:numId="24">
    <w:abstractNumId w:val="21"/>
  </w:num>
  <w:num w:numId="25">
    <w:abstractNumId w:val="12"/>
  </w:num>
  <w:num w:numId="26">
    <w:abstractNumId w:val="15"/>
  </w:num>
  <w:num w:numId="27">
    <w:abstractNumId w:val="7"/>
  </w:num>
  <w:num w:numId="28">
    <w:abstractNumId w:val="9"/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"/>
  </w:num>
  <w:num w:numId="32">
    <w:abstractNumId w:val="1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779"/>
    <w:rsid w:val="000078F2"/>
    <w:rsid w:val="00010B6D"/>
    <w:rsid w:val="00012FCE"/>
    <w:rsid w:val="00015433"/>
    <w:rsid w:val="0002296A"/>
    <w:rsid w:val="00026D00"/>
    <w:rsid w:val="00036A82"/>
    <w:rsid w:val="000433CC"/>
    <w:rsid w:val="00043AD4"/>
    <w:rsid w:val="000456A3"/>
    <w:rsid w:val="00045E27"/>
    <w:rsid w:val="0005280A"/>
    <w:rsid w:val="00054952"/>
    <w:rsid w:val="00056B5A"/>
    <w:rsid w:val="000630A8"/>
    <w:rsid w:val="00066DC8"/>
    <w:rsid w:val="00067347"/>
    <w:rsid w:val="0007130A"/>
    <w:rsid w:val="00073E2B"/>
    <w:rsid w:val="00074347"/>
    <w:rsid w:val="0007448F"/>
    <w:rsid w:val="00080C67"/>
    <w:rsid w:val="00083B8B"/>
    <w:rsid w:val="000907AF"/>
    <w:rsid w:val="000933AD"/>
    <w:rsid w:val="000A4B6D"/>
    <w:rsid w:val="000A4F46"/>
    <w:rsid w:val="000A74AD"/>
    <w:rsid w:val="000B42CB"/>
    <w:rsid w:val="000C3A29"/>
    <w:rsid w:val="000C444C"/>
    <w:rsid w:val="000D3B24"/>
    <w:rsid w:val="000E1EB1"/>
    <w:rsid w:val="00103AA7"/>
    <w:rsid w:val="00105C06"/>
    <w:rsid w:val="00107615"/>
    <w:rsid w:val="001149FB"/>
    <w:rsid w:val="00126951"/>
    <w:rsid w:val="00130557"/>
    <w:rsid w:val="00135D9C"/>
    <w:rsid w:val="00136AAE"/>
    <w:rsid w:val="00137C18"/>
    <w:rsid w:val="00145170"/>
    <w:rsid w:val="0015183A"/>
    <w:rsid w:val="00154365"/>
    <w:rsid w:val="00167930"/>
    <w:rsid w:val="001768EF"/>
    <w:rsid w:val="00177898"/>
    <w:rsid w:val="0018428A"/>
    <w:rsid w:val="00184599"/>
    <w:rsid w:val="00184DE3"/>
    <w:rsid w:val="001946F8"/>
    <w:rsid w:val="0019635B"/>
    <w:rsid w:val="001A04BD"/>
    <w:rsid w:val="001A060D"/>
    <w:rsid w:val="001A2539"/>
    <w:rsid w:val="001B3AD3"/>
    <w:rsid w:val="001B4F2C"/>
    <w:rsid w:val="001C0614"/>
    <w:rsid w:val="001C4A28"/>
    <w:rsid w:val="001D6BBA"/>
    <w:rsid w:val="001E0522"/>
    <w:rsid w:val="001E0763"/>
    <w:rsid w:val="001E3678"/>
    <w:rsid w:val="001E3C80"/>
    <w:rsid w:val="001F0A86"/>
    <w:rsid w:val="001F193D"/>
    <w:rsid w:val="002049F7"/>
    <w:rsid w:val="00211B90"/>
    <w:rsid w:val="00220C85"/>
    <w:rsid w:val="002232A0"/>
    <w:rsid w:val="00223A1B"/>
    <w:rsid w:val="002247E2"/>
    <w:rsid w:val="00225353"/>
    <w:rsid w:val="0022550E"/>
    <w:rsid w:val="00231960"/>
    <w:rsid w:val="0024197D"/>
    <w:rsid w:val="00244B64"/>
    <w:rsid w:val="002476CE"/>
    <w:rsid w:val="002555D8"/>
    <w:rsid w:val="00256915"/>
    <w:rsid w:val="002623B0"/>
    <w:rsid w:val="00266B05"/>
    <w:rsid w:val="002719B0"/>
    <w:rsid w:val="002753E4"/>
    <w:rsid w:val="00275772"/>
    <w:rsid w:val="00282DD3"/>
    <w:rsid w:val="0028364E"/>
    <w:rsid w:val="00286D4B"/>
    <w:rsid w:val="0029247E"/>
    <w:rsid w:val="002978BE"/>
    <w:rsid w:val="002A6454"/>
    <w:rsid w:val="002B1E2E"/>
    <w:rsid w:val="002B3364"/>
    <w:rsid w:val="002D0EEB"/>
    <w:rsid w:val="002D423C"/>
    <w:rsid w:val="002E40EA"/>
    <w:rsid w:val="002E5C7C"/>
    <w:rsid w:val="002F3941"/>
    <w:rsid w:val="002F42FE"/>
    <w:rsid w:val="0030006C"/>
    <w:rsid w:val="00303F73"/>
    <w:rsid w:val="0030605A"/>
    <w:rsid w:val="003108B1"/>
    <w:rsid w:val="00311780"/>
    <w:rsid w:val="0032067E"/>
    <w:rsid w:val="003324C6"/>
    <w:rsid w:val="00332B38"/>
    <w:rsid w:val="003416CC"/>
    <w:rsid w:val="00341F60"/>
    <w:rsid w:val="00345487"/>
    <w:rsid w:val="0035229D"/>
    <w:rsid w:val="00357CC5"/>
    <w:rsid w:val="00365DC6"/>
    <w:rsid w:val="003733EF"/>
    <w:rsid w:val="00380654"/>
    <w:rsid w:val="003818A3"/>
    <w:rsid w:val="003841F7"/>
    <w:rsid w:val="00384359"/>
    <w:rsid w:val="003876AE"/>
    <w:rsid w:val="00393176"/>
    <w:rsid w:val="00394258"/>
    <w:rsid w:val="003979D2"/>
    <w:rsid w:val="003A0E39"/>
    <w:rsid w:val="003A169E"/>
    <w:rsid w:val="003A57B1"/>
    <w:rsid w:val="003A61AE"/>
    <w:rsid w:val="003B69CB"/>
    <w:rsid w:val="003B75DD"/>
    <w:rsid w:val="003C7323"/>
    <w:rsid w:val="003C7C5C"/>
    <w:rsid w:val="003D0927"/>
    <w:rsid w:val="003D5572"/>
    <w:rsid w:val="003D56CE"/>
    <w:rsid w:val="003E71E4"/>
    <w:rsid w:val="003F0A4A"/>
    <w:rsid w:val="003F3A5B"/>
    <w:rsid w:val="003F4426"/>
    <w:rsid w:val="003F4BB0"/>
    <w:rsid w:val="004030B4"/>
    <w:rsid w:val="004043D0"/>
    <w:rsid w:val="0040563B"/>
    <w:rsid w:val="004113FD"/>
    <w:rsid w:val="00422AA3"/>
    <w:rsid w:val="0042706B"/>
    <w:rsid w:val="004279C9"/>
    <w:rsid w:val="004334C8"/>
    <w:rsid w:val="00435DBD"/>
    <w:rsid w:val="004637D8"/>
    <w:rsid w:val="004725D8"/>
    <w:rsid w:val="00473438"/>
    <w:rsid w:val="00475B00"/>
    <w:rsid w:val="00480A8F"/>
    <w:rsid w:val="00481461"/>
    <w:rsid w:val="00490FBB"/>
    <w:rsid w:val="00496B04"/>
    <w:rsid w:val="004A00D9"/>
    <w:rsid w:val="004A6D3E"/>
    <w:rsid w:val="004B42B3"/>
    <w:rsid w:val="004C01D4"/>
    <w:rsid w:val="004C5259"/>
    <w:rsid w:val="004D2620"/>
    <w:rsid w:val="004D3EC9"/>
    <w:rsid w:val="004D608A"/>
    <w:rsid w:val="004E2529"/>
    <w:rsid w:val="004F1A9F"/>
    <w:rsid w:val="004F213B"/>
    <w:rsid w:val="004F4310"/>
    <w:rsid w:val="004F796F"/>
    <w:rsid w:val="00501CB7"/>
    <w:rsid w:val="005032AC"/>
    <w:rsid w:val="00512D49"/>
    <w:rsid w:val="00532ABF"/>
    <w:rsid w:val="00541040"/>
    <w:rsid w:val="00550AFA"/>
    <w:rsid w:val="00567F83"/>
    <w:rsid w:val="005705EF"/>
    <w:rsid w:val="005710C2"/>
    <w:rsid w:val="00573727"/>
    <w:rsid w:val="00576F48"/>
    <w:rsid w:val="005805A2"/>
    <w:rsid w:val="005862D3"/>
    <w:rsid w:val="00587FC7"/>
    <w:rsid w:val="005900DA"/>
    <w:rsid w:val="005912CD"/>
    <w:rsid w:val="0059377F"/>
    <w:rsid w:val="0059555C"/>
    <w:rsid w:val="0059600B"/>
    <w:rsid w:val="005A1646"/>
    <w:rsid w:val="005B38C5"/>
    <w:rsid w:val="005C242D"/>
    <w:rsid w:val="005C5757"/>
    <w:rsid w:val="005C7B71"/>
    <w:rsid w:val="005F3BBD"/>
    <w:rsid w:val="005F3FF8"/>
    <w:rsid w:val="0060792C"/>
    <w:rsid w:val="00613511"/>
    <w:rsid w:val="00624B13"/>
    <w:rsid w:val="00631F56"/>
    <w:rsid w:val="006344BE"/>
    <w:rsid w:val="00635829"/>
    <w:rsid w:val="00651270"/>
    <w:rsid w:val="006518B0"/>
    <w:rsid w:val="00652DC1"/>
    <w:rsid w:val="00652E29"/>
    <w:rsid w:val="00682056"/>
    <w:rsid w:val="00683BB3"/>
    <w:rsid w:val="00685D03"/>
    <w:rsid w:val="00686EAB"/>
    <w:rsid w:val="0069086E"/>
    <w:rsid w:val="00692813"/>
    <w:rsid w:val="00695FF3"/>
    <w:rsid w:val="006A6D81"/>
    <w:rsid w:val="006C0215"/>
    <w:rsid w:val="006C1C17"/>
    <w:rsid w:val="006C1D88"/>
    <w:rsid w:val="006C3641"/>
    <w:rsid w:val="006C6B27"/>
    <w:rsid w:val="006C738A"/>
    <w:rsid w:val="006D0298"/>
    <w:rsid w:val="006D153E"/>
    <w:rsid w:val="006D1AF4"/>
    <w:rsid w:val="006E084F"/>
    <w:rsid w:val="006E0E3C"/>
    <w:rsid w:val="006E1F92"/>
    <w:rsid w:val="006E25EF"/>
    <w:rsid w:val="006E685B"/>
    <w:rsid w:val="006F0C25"/>
    <w:rsid w:val="006F2E5F"/>
    <w:rsid w:val="006F76D7"/>
    <w:rsid w:val="00701B0B"/>
    <w:rsid w:val="007170A6"/>
    <w:rsid w:val="0071710F"/>
    <w:rsid w:val="00717801"/>
    <w:rsid w:val="00721301"/>
    <w:rsid w:val="007239D5"/>
    <w:rsid w:val="00723A7E"/>
    <w:rsid w:val="007257F6"/>
    <w:rsid w:val="00730960"/>
    <w:rsid w:val="007314F2"/>
    <w:rsid w:val="0073405C"/>
    <w:rsid w:val="007538D3"/>
    <w:rsid w:val="007550C9"/>
    <w:rsid w:val="00755ACD"/>
    <w:rsid w:val="007566E3"/>
    <w:rsid w:val="00761EDD"/>
    <w:rsid w:val="00762D64"/>
    <w:rsid w:val="00766515"/>
    <w:rsid w:val="007726F9"/>
    <w:rsid w:val="0077424C"/>
    <w:rsid w:val="007745D6"/>
    <w:rsid w:val="00774A61"/>
    <w:rsid w:val="00775263"/>
    <w:rsid w:val="00776CC9"/>
    <w:rsid w:val="0077766A"/>
    <w:rsid w:val="00777856"/>
    <w:rsid w:val="00780430"/>
    <w:rsid w:val="007830AE"/>
    <w:rsid w:val="0078508A"/>
    <w:rsid w:val="007851C8"/>
    <w:rsid w:val="00797066"/>
    <w:rsid w:val="007A0CD8"/>
    <w:rsid w:val="007D0ED7"/>
    <w:rsid w:val="007E5F92"/>
    <w:rsid w:val="007E62E6"/>
    <w:rsid w:val="007E7ECC"/>
    <w:rsid w:val="007F173F"/>
    <w:rsid w:val="007F272B"/>
    <w:rsid w:val="007F4336"/>
    <w:rsid w:val="00807CDE"/>
    <w:rsid w:val="0081706D"/>
    <w:rsid w:val="00817B62"/>
    <w:rsid w:val="008209F8"/>
    <w:rsid w:val="0084122D"/>
    <w:rsid w:val="00841CD8"/>
    <w:rsid w:val="00842471"/>
    <w:rsid w:val="00842B16"/>
    <w:rsid w:val="00843A25"/>
    <w:rsid w:val="008449F2"/>
    <w:rsid w:val="00850852"/>
    <w:rsid w:val="00852EB1"/>
    <w:rsid w:val="00860349"/>
    <w:rsid w:val="0086296D"/>
    <w:rsid w:val="00863658"/>
    <w:rsid w:val="0087199D"/>
    <w:rsid w:val="0087446B"/>
    <w:rsid w:val="00877A0F"/>
    <w:rsid w:val="00884CD0"/>
    <w:rsid w:val="00886995"/>
    <w:rsid w:val="00891E49"/>
    <w:rsid w:val="008A13B8"/>
    <w:rsid w:val="008A730F"/>
    <w:rsid w:val="008B6F11"/>
    <w:rsid w:val="008C28DF"/>
    <w:rsid w:val="008E254B"/>
    <w:rsid w:val="008E2D48"/>
    <w:rsid w:val="008E695A"/>
    <w:rsid w:val="008E72A5"/>
    <w:rsid w:val="008F02CE"/>
    <w:rsid w:val="008F62AD"/>
    <w:rsid w:val="00902779"/>
    <w:rsid w:val="0090313A"/>
    <w:rsid w:val="00906E7C"/>
    <w:rsid w:val="00907199"/>
    <w:rsid w:val="00913DC4"/>
    <w:rsid w:val="00922849"/>
    <w:rsid w:val="009229EF"/>
    <w:rsid w:val="00924FF7"/>
    <w:rsid w:val="009342B5"/>
    <w:rsid w:val="00935981"/>
    <w:rsid w:val="00940002"/>
    <w:rsid w:val="00940C76"/>
    <w:rsid w:val="00941EF7"/>
    <w:rsid w:val="0094577F"/>
    <w:rsid w:val="00946CF7"/>
    <w:rsid w:val="00951B3F"/>
    <w:rsid w:val="009563D6"/>
    <w:rsid w:val="00960CEA"/>
    <w:rsid w:val="00963F61"/>
    <w:rsid w:val="0097494E"/>
    <w:rsid w:val="009837A5"/>
    <w:rsid w:val="009861AB"/>
    <w:rsid w:val="00992E9F"/>
    <w:rsid w:val="00994859"/>
    <w:rsid w:val="0099646F"/>
    <w:rsid w:val="0099784B"/>
    <w:rsid w:val="00997CA5"/>
    <w:rsid w:val="009A220C"/>
    <w:rsid w:val="009A28A2"/>
    <w:rsid w:val="009A5EB7"/>
    <w:rsid w:val="009B034D"/>
    <w:rsid w:val="009C02A7"/>
    <w:rsid w:val="009C3E44"/>
    <w:rsid w:val="009E070A"/>
    <w:rsid w:val="009E3A47"/>
    <w:rsid w:val="009E4F41"/>
    <w:rsid w:val="009E64DC"/>
    <w:rsid w:val="009F1C54"/>
    <w:rsid w:val="009F3FE0"/>
    <w:rsid w:val="00A03C73"/>
    <w:rsid w:val="00A0643A"/>
    <w:rsid w:val="00A1176C"/>
    <w:rsid w:val="00A11E47"/>
    <w:rsid w:val="00A14509"/>
    <w:rsid w:val="00A15024"/>
    <w:rsid w:val="00A174D3"/>
    <w:rsid w:val="00A30223"/>
    <w:rsid w:val="00A33D87"/>
    <w:rsid w:val="00A351F8"/>
    <w:rsid w:val="00A4034E"/>
    <w:rsid w:val="00A47BB9"/>
    <w:rsid w:val="00A52316"/>
    <w:rsid w:val="00A54F98"/>
    <w:rsid w:val="00A6067A"/>
    <w:rsid w:val="00A62293"/>
    <w:rsid w:val="00A71723"/>
    <w:rsid w:val="00A77858"/>
    <w:rsid w:val="00A808AF"/>
    <w:rsid w:val="00A81ED0"/>
    <w:rsid w:val="00A900B2"/>
    <w:rsid w:val="00A91B60"/>
    <w:rsid w:val="00AA0DE4"/>
    <w:rsid w:val="00AA0EE7"/>
    <w:rsid w:val="00AA4A41"/>
    <w:rsid w:val="00AA77DE"/>
    <w:rsid w:val="00AB4123"/>
    <w:rsid w:val="00AB49FA"/>
    <w:rsid w:val="00AB5AC6"/>
    <w:rsid w:val="00AC2FC0"/>
    <w:rsid w:val="00AC7068"/>
    <w:rsid w:val="00AD03B1"/>
    <w:rsid w:val="00AE1A2D"/>
    <w:rsid w:val="00AE3818"/>
    <w:rsid w:val="00AE4280"/>
    <w:rsid w:val="00AE5017"/>
    <w:rsid w:val="00AE501D"/>
    <w:rsid w:val="00AE58A0"/>
    <w:rsid w:val="00AE5BFA"/>
    <w:rsid w:val="00AE6DD9"/>
    <w:rsid w:val="00AF06D3"/>
    <w:rsid w:val="00AF08CA"/>
    <w:rsid w:val="00AF2FF6"/>
    <w:rsid w:val="00AF5EAF"/>
    <w:rsid w:val="00B03664"/>
    <w:rsid w:val="00B0489B"/>
    <w:rsid w:val="00B0599D"/>
    <w:rsid w:val="00B06221"/>
    <w:rsid w:val="00B07F5A"/>
    <w:rsid w:val="00B105F4"/>
    <w:rsid w:val="00B12EEC"/>
    <w:rsid w:val="00B1552E"/>
    <w:rsid w:val="00B17E5B"/>
    <w:rsid w:val="00B271E5"/>
    <w:rsid w:val="00B27FC7"/>
    <w:rsid w:val="00B30B36"/>
    <w:rsid w:val="00B35AE9"/>
    <w:rsid w:val="00B475A5"/>
    <w:rsid w:val="00B52F64"/>
    <w:rsid w:val="00B60ADC"/>
    <w:rsid w:val="00B7350E"/>
    <w:rsid w:val="00B73995"/>
    <w:rsid w:val="00B73AF8"/>
    <w:rsid w:val="00B812F0"/>
    <w:rsid w:val="00B84691"/>
    <w:rsid w:val="00B90C4C"/>
    <w:rsid w:val="00B93F92"/>
    <w:rsid w:val="00B95728"/>
    <w:rsid w:val="00BA0F58"/>
    <w:rsid w:val="00BA52B9"/>
    <w:rsid w:val="00BB227F"/>
    <w:rsid w:val="00BC3A29"/>
    <w:rsid w:val="00BC73CF"/>
    <w:rsid w:val="00BD1AD5"/>
    <w:rsid w:val="00BD285E"/>
    <w:rsid w:val="00BD375B"/>
    <w:rsid w:val="00BE5105"/>
    <w:rsid w:val="00BF0E73"/>
    <w:rsid w:val="00BF219C"/>
    <w:rsid w:val="00BF4E70"/>
    <w:rsid w:val="00C02E8F"/>
    <w:rsid w:val="00C03072"/>
    <w:rsid w:val="00C03DE9"/>
    <w:rsid w:val="00C0533B"/>
    <w:rsid w:val="00C058F6"/>
    <w:rsid w:val="00C06CAA"/>
    <w:rsid w:val="00C24C37"/>
    <w:rsid w:val="00C30E71"/>
    <w:rsid w:val="00C34769"/>
    <w:rsid w:val="00C36976"/>
    <w:rsid w:val="00C408E5"/>
    <w:rsid w:val="00C616B2"/>
    <w:rsid w:val="00C634CD"/>
    <w:rsid w:val="00C751A5"/>
    <w:rsid w:val="00C753C6"/>
    <w:rsid w:val="00C75E44"/>
    <w:rsid w:val="00C76D99"/>
    <w:rsid w:val="00C851A3"/>
    <w:rsid w:val="00C8547C"/>
    <w:rsid w:val="00C96999"/>
    <w:rsid w:val="00C96E2E"/>
    <w:rsid w:val="00CA5F1C"/>
    <w:rsid w:val="00CB1F34"/>
    <w:rsid w:val="00CB45CC"/>
    <w:rsid w:val="00CC12CA"/>
    <w:rsid w:val="00CC470F"/>
    <w:rsid w:val="00CC5353"/>
    <w:rsid w:val="00CC6038"/>
    <w:rsid w:val="00CC7855"/>
    <w:rsid w:val="00CE1491"/>
    <w:rsid w:val="00CF14FA"/>
    <w:rsid w:val="00CF40AE"/>
    <w:rsid w:val="00CF6376"/>
    <w:rsid w:val="00D07852"/>
    <w:rsid w:val="00D136D9"/>
    <w:rsid w:val="00D1610D"/>
    <w:rsid w:val="00D1619C"/>
    <w:rsid w:val="00D17057"/>
    <w:rsid w:val="00D20633"/>
    <w:rsid w:val="00D20864"/>
    <w:rsid w:val="00D23479"/>
    <w:rsid w:val="00D234D9"/>
    <w:rsid w:val="00D24BB5"/>
    <w:rsid w:val="00D34B1F"/>
    <w:rsid w:val="00D37DC2"/>
    <w:rsid w:val="00D4027C"/>
    <w:rsid w:val="00D43B01"/>
    <w:rsid w:val="00D55FC8"/>
    <w:rsid w:val="00D56273"/>
    <w:rsid w:val="00D56808"/>
    <w:rsid w:val="00D573F5"/>
    <w:rsid w:val="00D61EDA"/>
    <w:rsid w:val="00D63866"/>
    <w:rsid w:val="00D652E6"/>
    <w:rsid w:val="00D668F0"/>
    <w:rsid w:val="00D67221"/>
    <w:rsid w:val="00D7127A"/>
    <w:rsid w:val="00D76134"/>
    <w:rsid w:val="00D767E8"/>
    <w:rsid w:val="00D80203"/>
    <w:rsid w:val="00D93EF2"/>
    <w:rsid w:val="00D95565"/>
    <w:rsid w:val="00DA065A"/>
    <w:rsid w:val="00DA116A"/>
    <w:rsid w:val="00DB3ABC"/>
    <w:rsid w:val="00DB4B73"/>
    <w:rsid w:val="00DD3252"/>
    <w:rsid w:val="00DD33C5"/>
    <w:rsid w:val="00DD5E37"/>
    <w:rsid w:val="00DD71BF"/>
    <w:rsid w:val="00DD7A5C"/>
    <w:rsid w:val="00DE2268"/>
    <w:rsid w:val="00DF6637"/>
    <w:rsid w:val="00DF7005"/>
    <w:rsid w:val="00E021D9"/>
    <w:rsid w:val="00E057DA"/>
    <w:rsid w:val="00E06801"/>
    <w:rsid w:val="00E07144"/>
    <w:rsid w:val="00E125B3"/>
    <w:rsid w:val="00E128B8"/>
    <w:rsid w:val="00E12C54"/>
    <w:rsid w:val="00E15D37"/>
    <w:rsid w:val="00E17720"/>
    <w:rsid w:val="00E20807"/>
    <w:rsid w:val="00E22AC3"/>
    <w:rsid w:val="00E36F3C"/>
    <w:rsid w:val="00E41428"/>
    <w:rsid w:val="00E442C5"/>
    <w:rsid w:val="00E5181B"/>
    <w:rsid w:val="00E5249B"/>
    <w:rsid w:val="00E54B2E"/>
    <w:rsid w:val="00E61D5E"/>
    <w:rsid w:val="00E7582E"/>
    <w:rsid w:val="00E76DD1"/>
    <w:rsid w:val="00E8183C"/>
    <w:rsid w:val="00E82C33"/>
    <w:rsid w:val="00E93E8E"/>
    <w:rsid w:val="00E96AE1"/>
    <w:rsid w:val="00EA0A49"/>
    <w:rsid w:val="00EA22B3"/>
    <w:rsid w:val="00EA2C54"/>
    <w:rsid w:val="00EA47AF"/>
    <w:rsid w:val="00EA4C4C"/>
    <w:rsid w:val="00EA5E78"/>
    <w:rsid w:val="00EB00DA"/>
    <w:rsid w:val="00EB5465"/>
    <w:rsid w:val="00EB5591"/>
    <w:rsid w:val="00EB7B88"/>
    <w:rsid w:val="00EC1443"/>
    <w:rsid w:val="00EC4469"/>
    <w:rsid w:val="00EC4D12"/>
    <w:rsid w:val="00EC732C"/>
    <w:rsid w:val="00ED24B4"/>
    <w:rsid w:val="00ED2CF4"/>
    <w:rsid w:val="00EE066A"/>
    <w:rsid w:val="00EF1F50"/>
    <w:rsid w:val="00EF5DD0"/>
    <w:rsid w:val="00EF65DC"/>
    <w:rsid w:val="00F01F76"/>
    <w:rsid w:val="00F20525"/>
    <w:rsid w:val="00F26C46"/>
    <w:rsid w:val="00F31EF4"/>
    <w:rsid w:val="00F363A2"/>
    <w:rsid w:val="00F425CE"/>
    <w:rsid w:val="00F45DC8"/>
    <w:rsid w:val="00F503A4"/>
    <w:rsid w:val="00F506E4"/>
    <w:rsid w:val="00F517D2"/>
    <w:rsid w:val="00F57285"/>
    <w:rsid w:val="00F6091D"/>
    <w:rsid w:val="00F628F6"/>
    <w:rsid w:val="00F62B90"/>
    <w:rsid w:val="00F65A07"/>
    <w:rsid w:val="00F704C9"/>
    <w:rsid w:val="00F774F2"/>
    <w:rsid w:val="00F77ECA"/>
    <w:rsid w:val="00F81EF2"/>
    <w:rsid w:val="00F8343C"/>
    <w:rsid w:val="00F83A1C"/>
    <w:rsid w:val="00F86B6E"/>
    <w:rsid w:val="00FA3956"/>
    <w:rsid w:val="00FB180A"/>
    <w:rsid w:val="00FB365E"/>
    <w:rsid w:val="00FB7633"/>
    <w:rsid w:val="00FB7975"/>
    <w:rsid w:val="00FC67F2"/>
    <w:rsid w:val="00FD0DB8"/>
    <w:rsid w:val="00FD314F"/>
    <w:rsid w:val="00FD4A50"/>
    <w:rsid w:val="00FE1D41"/>
    <w:rsid w:val="00FE2EE9"/>
    <w:rsid w:val="00FE47F5"/>
    <w:rsid w:val="00FF1564"/>
    <w:rsid w:val="00FF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nhideWhenUsed="0"/>
    <w:lsdException w:name="caption" w:locked="1" w:uiPriority="0" w:qFormat="1"/>
    <w:lsdException w:name="annotation reference" w:locked="1" w:semiHidden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CMABodyText"/>
    <w:qFormat/>
    <w:rsid w:val="0084122D"/>
    <w:pPr>
      <w:spacing w:before="80" w:after="120" w:line="280" w:lineRule="atLeast"/>
    </w:pPr>
    <w:rPr>
      <w:sz w:val="24"/>
      <w:szCs w:val="24"/>
      <w:lang w:eastAsia="en-US"/>
    </w:rPr>
  </w:style>
  <w:style w:type="paragraph" w:styleId="Heading1">
    <w:name w:val="heading 1"/>
    <w:basedOn w:val="ACMAHeading1"/>
    <w:next w:val="ACMABodyText"/>
    <w:link w:val="Heading1Char"/>
    <w:uiPriority w:val="99"/>
    <w:qFormat/>
    <w:rsid w:val="0084122D"/>
    <w:pPr>
      <w:outlineLvl w:val="0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5D3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ACMABodyText">
    <w:name w:val="ACMA Body Text"/>
    <w:link w:val="ACMABodyTextChar1"/>
    <w:uiPriority w:val="99"/>
    <w:rsid w:val="0084122D"/>
    <w:pPr>
      <w:suppressAutoHyphens/>
      <w:spacing w:before="80" w:after="120" w:line="280" w:lineRule="atLeast"/>
    </w:pPr>
    <w:rPr>
      <w:sz w:val="24"/>
      <w:lang w:eastAsia="en-US"/>
    </w:rPr>
  </w:style>
  <w:style w:type="paragraph" w:customStyle="1" w:styleId="ACMABulletLevel1">
    <w:name w:val="ACMA Bullet Level 1"/>
    <w:uiPriority w:val="99"/>
    <w:rsid w:val="0084122D"/>
    <w:pPr>
      <w:numPr>
        <w:numId w:val="9"/>
      </w:numPr>
      <w:spacing w:after="120"/>
    </w:pPr>
    <w:rPr>
      <w:sz w:val="24"/>
      <w:lang w:eastAsia="en-US"/>
    </w:rPr>
  </w:style>
  <w:style w:type="paragraph" w:customStyle="1" w:styleId="ACMABulletLevel2">
    <w:name w:val="ACMA Bullet Level 2"/>
    <w:uiPriority w:val="99"/>
    <w:rsid w:val="0084122D"/>
    <w:pPr>
      <w:numPr>
        <w:numId w:val="10"/>
      </w:numPr>
      <w:spacing w:after="120"/>
    </w:pPr>
    <w:rPr>
      <w:sz w:val="24"/>
      <w:lang w:eastAsia="en-US"/>
    </w:rPr>
  </w:style>
  <w:style w:type="paragraph" w:customStyle="1" w:styleId="ACMAChapterHeading">
    <w:name w:val="ACMA Chapter Heading"/>
    <w:next w:val="ACMABodyText"/>
    <w:uiPriority w:val="99"/>
    <w:rsid w:val="0084122D"/>
    <w:pPr>
      <w:keepNext/>
      <w:suppressAutoHyphens/>
      <w:spacing w:before="2160" w:after="480"/>
      <w:outlineLvl w:val="0"/>
    </w:pPr>
    <w:rPr>
      <w:sz w:val="56"/>
      <w:szCs w:val="56"/>
      <w:lang w:eastAsia="en-US"/>
    </w:rPr>
  </w:style>
  <w:style w:type="paragraph" w:customStyle="1" w:styleId="ACMAConclusion">
    <w:name w:val="ACMA Conclusion"/>
    <w:uiPriority w:val="99"/>
    <w:rsid w:val="0084122D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b/>
      <w:sz w:val="24"/>
      <w:lang w:eastAsia="en-US"/>
    </w:rPr>
  </w:style>
  <w:style w:type="paragraph" w:customStyle="1" w:styleId="ACMAContentsHeading">
    <w:name w:val="ACMA Contents Heading"/>
    <w:uiPriority w:val="99"/>
    <w:rsid w:val="0084122D"/>
    <w:pPr>
      <w:spacing w:before="2160" w:after="480"/>
    </w:pPr>
    <w:rPr>
      <w:sz w:val="56"/>
      <w:szCs w:val="56"/>
      <w:lang w:val="en-US" w:eastAsia="en-US"/>
    </w:rPr>
  </w:style>
  <w:style w:type="paragraph" w:customStyle="1" w:styleId="ACMAFooterEven">
    <w:name w:val="ACMA Footer (Even)"/>
    <w:uiPriority w:val="99"/>
    <w:rsid w:val="0084122D"/>
    <w:pPr>
      <w:pBdr>
        <w:top w:val="single" w:sz="2" w:space="4" w:color="auto"/>
      </w:pBdr>
      <w:tabs>
        <w:tab w:val="right" w:pos="8959"/>
      </w:tabs>
    </w:pPr>
    <w:rPr>
      <w:lang w:eastAsia="en-US"/>
    </w:rPr>
  </w:style>
  <w:style w:type="paragraph" w:customStyle="1" w:styleId="ACMAFooterOdd">
    <w:name w:val="ACMA Footer (Odd)"/>
    <w:uiPriority w:val="99"/>
    <w:rsid w:val="0084122D"/>
    <w:pPr>
      <w:pBdr>
        <w:top w:val="single" w:sz="2" w:space="4" w:color="auto"/>
      </w:pBdr>
      <w:tabs>
        <w:tab w:val="right" w:pos="8959"/>
      </w:tabs>
    </w:pPr>
    <w:rPr>
      <w:lang w:eastAsia="en-US"/>
    </w:rPr>
  </w:style>
  <w:style w:type="paragraph" w:customStyle="1" w:styleId="ACMAFootnote">
    <w:name w:val="ACMA Footnote"/>
    <w:uiPriority w:val="99"/>
    <w:rsid w:val="0084122D"/>
    <w:pPr>
      <w:ind w:left="144" w:hanging="144"/>
    </w:pPr>
    <w:rPr>
      <w:sz w:val="16"/>
      <w:lang w:eastAsia="en-US"/>
    </w:rPr>
  </w:style>
  <w:style w:type="paragraph" w:customStyle="1" w:styleId="ACMAHeaderEven">
    <w:name w:val="ACMA Header (Even)"/>
    <w:uiPriority w:val="99"/>
    <w:rsid w:val="0084122D"/>
    <w:rPr>
      <w:i/>
      <w:lang w:val="en-US" w:eastAsia="en-US"/>
    </w:rPr>
  </w:style>
  <w:style w:type="paragraph" w:customStyle="1" w:styleId="ACMAHeaderOdd">
    <w:name w:val="ACMA Header (Odd)"/>
    <w:uiPriority w:val="99"/>
    <w:rsid w:val="0084122D"/>
    <w:pPr>
      <w:jc w:val="right"/>
    </w:pPr>
    <w:rPr>
      <w:i/>
      <w:lang w:val="en-US" w:eastAsia="en-US"/>
    </w:rPr>
  </w:style>
  <w:style w:type="paragraph" w:customStyle="1" w:styleId="ACMAHeading1">
    <w:name w:val="ACMA Heading 1"/>
    <w:next w:val="ACMABodyText"/>
    <w:uiPriority w:val="99"/>
    <w:rsid w:val="0084122D"/>
    <w:pPr>
      <w:keepNext/>
      <w:suppressAutoHyphens/>
      <w:spacing w:before="320"/>
      <w:outlineLvl w:val="1"/>
    </w:pPr>
    <w:rPr>
      <w:rFonts w:ascii="Arial" w:hAnsi="Arial"/>
      <w:b/>
      <w:sz w:val="32"/>
      <w:szCs w:val="32"/>
      <w:lang w:val="en-US" w:eastAsia="en-US"/>
    </w:rPr>
  </w:style>
  <w:style w:type="paragraph" w:customStyle="1" w:styleId="ACMAHeading2">
    <w:name w:val="ACMA Heading 2"/>
    <w:next w:val="ACMABodyText"/>
    <w:uiPriority w:val="99"/>
    <w:rsid w:val="0084122D"/>
    <w:pPr>
      <w:keepNext/>
      <w:suppressAutoHyphens/>
      <w:spacing w:before="240"/>
      <w:outlineLvl w:val="2"/>
    </w:pPr>
    <w:rPr>
      <w:rFonts w:ascii="Arial" w:hAnsi="Arial"/>
      <w:b/>
      <w:caps/>
      <w:sz w:val="26"/>
      <w:szCs w:val="26"/>
      <w:lang w:val="en-US" w:eastAsia="en-US"/>
    </w:rPr>
  </w:style>
  <w:style w:type="paragraph" w:customStyle="1" w:styleId="ACMAHeading3">
    <w:name w:val="ACMA Heading 3"/>
    <w:next w:val="ACMABodyText"/>
    <w:uiPriority w:val="99"/>
    <w:rsid w:val="0084122D"/>
    <w:pPr>
      <w:keepNext/>
      <w:suppressAutoHyphens/>
      <w:spacing w:before="240"/>
      <w:outlineLvl w:val="3"/>
    </w:pPr>
    <w:rPr>
      <w:rFonts w:ascii="Arial" w:hAnsi="Arial"/>
      <w:b/>
      <w:sz w:val="24"/>
      <w:lang w:val="en-US" w:eastAsia="en-US"/>
    </w:rPr>
  </w:style>
  <w:style w:type="paragraph" w:customStyle="1" w:styleId="ACMAHeading4">
    <w:name w:val="ACMA Heading 4"/>
    <w:next w:val="ACMABodyText"/>
    <w:uiPriority w:val="99"/>
    <w:rsid w:val="0084122D"/>
    <w:pPr>
      <w:keepNext/>
      <w:suppressAutoHyphens/>
      <w:spacing w:before="80"/>
      <w:outlineLvl w:val="4"/>
    </w:pPr>
    <w:rPr>
      <w:rFonts w:ascii="Arial" w:hAnsi="Arial"/>
      <w:b/>
      <w:i/>
      <w:lang w:eastAsia="en-US"/>
    </w:rPr>
  </w:style>
  <w:style w:type="paragraph" w:customStyle="1" w:styleId="ACMAletteredlist">
    <w:name w:val="ACMA lettered list"/>
    <w:uiPriority w:val="99"/>
    <w:rsid w:val="0084122D"/>
    <w:pPr>
      <w:numPr>
        <w:numId w:val="11"/>
      </w:numPr>
      <w:spacing w:before="20" w:after="20"/>
    </w:pPr>
    <w:rPr>
      <w:sz w:val="24"/>
      <w:lang w:eastAsia="en-US"/>
    </w:rPr>
  </w:style>
  <w:style w:type="paragraph" w:customStyle="1" w:styleId="ACMANumberedList">
    <w:name w:val="ACMA Numbered List"/>
    <w:uiPriority w:val="99"/>
    <w:rsid w:val="0084122D"/>
    <w:pPr>
      <w:numPr>
        <w:numId w:val="12"/>
      </w:numPr>
      <w:spacing w:before="20" w:after="20"/>
    </w:pPr>
    <w:rPr>
      <w:sz w:val="24"/>
      <w:lang w:eastAsia="en-US"/>
    </w:rPr>
  </w:style>
  <w:style w:type="paragraph" w:customStyle="1" w:styleId="ACMAQuote">
    <w:name w:val="ACMA Quote"/>
    <w:uiPriority w:val="99"/>
    <w:rsid w:val="0084122D"/>
    <w:pPr>
      <w:spacing w:line="240" w:lineRule="atLeast"/>
      <w:ind w:left="562" w:right="562"/>
    </w:pPr>
    <w:rPr>
      <w:sz w:val="22"/>
      <w:lang w:eastAsia="en-US"/>
    </w:rPr>
  </w:style>
  <w:style w:type="paragraph" w:customStyle="1" w:styleId="ACMAReportDate">
    <w:name w:val="ACMA Report Date"/>
    <w:uiPriority w:val="99"/>
    <w:rsid w:val="0084122D"/>
    <w:rPr>
      <w:lang w:eastAsia="en-US"/>
    </w:rPr>
  </w:style>
  <w:style w:type="paragraph" w:customStyle="1" w:styleId="ACMAReportImprint">
    <w:name w:val="ACMA Report Imprint"/>
    <w:uiPriority w:val="99"/>
    <w:rsid w:val="0084122D"/>
    <w:pPr>
      <w:spacing w:after="80"/>
    </w:pPr>
    <w:rPr>
      <w:rFonts w:cs="Arial"/>
      <w:lang w:eastAsia="en-US"/>
    </w:rPr>
  </w:style>
  <w:style w:type="paragraph" w:customStyle="1" w:styleId="ACMAReportImprintLast">
    <w:name w:val="ACMA Report Imprint Last"/>
    <w:basedOn w:val="ACMAReportImprint"/>
    <w:uiPriority w:val="99"/>
    <w:rsid w:val="0084122D"/>
    <w:pPr>
      <w:spacing w:before="480" w:after="420"/>
    </w:pPr>
  </w:style>
  <w:style w:type="paragraph" w:customStyle="1" w:styleId="ACMAReportSubtitle">
    <w:name w:val="ACMA Report Subtitle"/>
    <w:uiPriority w:val="99"/>
    <w:rsid w:val="0084122D"/>
    <w:pPr>
      <w:spacing w:before="1440"/>
    </w:pPr>
    <w:rPr>
      <w:sz w:val="36"/>
      <w:lang w:eastAsia="en-US"/>
    </w:rPr>
  </w:style>
  <w:style w:type="paragraph" w:customStyle="1" w:styleId="ACMAReportTitle">
    <w:name w:val="ACMA Report Title"/>
    <w:uiPriority w:val="99"/>
    <w:rsid w:val="0084122D"/>
    <w:pPr>
      <w:spacing w:before="1980"/>
    </w:pPr>
    <w:rPr>
      <w:sz w:val="80"/>
      <w:lang w:eastAsia="en-US"/>
    </w:rPr>
  </w:style>
  <w:style w:type="paragraph" w:customStyle="1" w:styleId="ACMATableBullet">
    <w:name w:val="ACMA Table Bullet"/>
    <w:uiPriority w:val="99"/>
    <w:rsid w:val="0084122D"/>
    <w:pPr>
      <w:numPr>
        <w:numId w:val="13"/>
      </w:numPr>
      <w:spacing w:before="40" w:after="40"/>
    </w:pPr>
    <w:rPr>
      <w:rFonts w:ascii="Arial" w:hAnsi="Arial"/>
      <w:lang w:eastAsia="en-US"/>
    </w:rPr>
  </w:style>
  <w:style w:type="paragraph" w:customStyle="1" w:styleId="ACMATableCaption">
    <w:name w:val="ACMA Table Caption"/>
    <w:uiPriority w:val="99"/>
    <w:rsid w:val="0084122D"/>
    <w:pPr>
      <w:spacing w:after="120"/>
    </w:pPr>
    <w:rPr>
      <w:rFonts w:ascii="Arial" w:hAnsi="Arial"/>
      <w:lang w:eastAsia="en-US"/>
    </w:rPr>
  </w:style>
  <w:style w:type="paragraph" w:customStyle="1" w:styleId="ACMATableHeading">
    <w:name w:val="ACMA Table Heading"/>
    <w:uiPriority w:val="99"/>
    <w:rsid w:val="0084122D"/>
    <w:pPr>
      <w:spacing w:before="40" w:after="40"/>
    </w:pPr>
    <w:rPr>
      <w:rFonts w:ascii="Arial" w:hAnsi="Arial"/>
      <w:b/>
      <w:lang w:eastAsia="en-US"/>
    </w:rPr>
  </w:style>
  <w:style w:type="paragraph" w:customStyle="1" w:styleId="ACMATableNumber">
    <w:name w:val="ACMA Table Number"/>
    <w:uiPriority w:val="99"/>
    <w:rsid w:val="0084122D"/>
    <w:pPr>
      <w:spacing w:before="160"/>
    </w:pPr>
    <w:rPr>
      <w:rFonts w:ascii="Arial" w:hAnsi="Arial"/>
      <w:b/>
      <w:lang w:eastAsia="en-US"/>
    </w:rPr>
  </w:style>
  <w:style w:type="paragraph" w:customStyle="1" w:styleId="ACMATableText">
    <w:name w:val="ACMA Table Text"/>
    <w:uiPriority w:val="99"/>
    <w:rsid w:val="0084122D"/>
    <w:pPr>
      <w:spacing w:before="40" w:after="40"/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841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D37"/>
    <w:rPr>
      <w:rFonts w:cs="Times New Roman"/>
      <w:sz w:val="24"/>
      <w:szCs w:val="24"/>
      <w:lang w:eastAsia="en-US"/>
    </w:rPr>
  </w:style>
  <w:style w:type="character" w:styleId="FootnoteReference">
    <w:name w:val="footnote reference"/>
    <w:aliases w:val="Appel note de bas de p,Appel note de bas de p + 11 pt,Italic,Footnote,Appel note de bas de p1,Appel note de bas de p2,Appel note de bas de p3,Footnote Reference/"/>
    <w:basedOn w:val="DefaultParagraphFont"/>
    <w:uiPriority w:val="99"/>
    <w:rsid w:val="0084122D"/>
    <w:rPr>
      <w:rFonts w:cs="Times New Roman"/>
      <w:vertAlign w:val="superscript"/>
    </w:rPr>
  </w:style>
  <w:style w:type="paragraph" w:styleId="FootnoteText">
    <w:name w:val="footnote text"/>
    <w:aliases w:val="ACMA Footnote Text,Footnote Text Char1,Footnote Text Char Char,Footnote Text Char1 Char Char,Footnote Text Char Char Char Char,Footnote Text Char1 Char Char Char Char,Footnote Text Char Char Char Char Char Char,f"/>
    <w:basedOn w:val="Normal"/>
    <w:link w:val="FootnoteTextChar2"/>
    <w:uiPriority w:val="99"/>
    <w:rsid w:val="0084122D"/>
    <w:pPr>
      <w:tabs>
        <w:tab w:val="left" w:pos="284"/>
      </w:tabs>
      <w:spacing w:before="0" w:after="0" w:line="240" w:lineRule="auto"/>
      <w:ind w:left="288" w:hanging="288"/>
    </w:pPr>
    <w:rPr>
      <w:sz w:val="20"/>
      <w:szCs w:val="20"/>
    </w:rPr>
  </w:style>
  <w:style w:type="character" w:customStyle="1" w:styleId="FootnoteTextChar">
    <w:name w:val="Footnote Text Char"/>
    <w:aliases w:val="ACMA Footnote Text Char,Footnote Text Char1 Char,Footnote Text Char Char Char,Footnote Text Char1 Char Char Char,Footnote Text Char Char Char Char Char,Footnote Text Char1 Char Char Char Char Char,f Char"/>
    <w:basedOn w:val="DefaultParagraphFont"/>
    <w:link w:val="FootnoteText"/>
    <w:uiPriority w:val="99"/>
    <w:semiHidden/>
    <w:locked/>
    <w:rsid w:val="00E15D37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84122D"/>
    <w:rPr>
      <w:rFonts w:cs="Times New Roman"/>
      <w:color w:val="0000FF"/>
      <w:u w:val="single"/>
    </w:rPr>
  </w:style>
  <w:style w:type="paragraph" w:customStyle="1" w:styleId="LegislationLvl1">
    <w:name w:val="Legislation Lvl 1"/>
    <w:uiPriority w:val="99"/>
    <w:rsid w:val="0084122D"/>
    <w:pPr>
      <w:tabs>
        <w:tab w:val="num" w:pos="1080"/>
      </w:tabs>
      <w:ind w:left="1080" w:hanging="720"/>
    </w:pPr>
    <w:rPr>
      <w:bCs/>
      <w:sz w:val="22"/>
      <w:lang w:eastAsia="en-US"/>
    </w:rPr>
  </w:style>
  <w:style w:type="paragraph" w:customStyle="1" w:styleId="LegislationLvl2">
    <w:name w:val="Legislation Lvl 2"/>
    <w:uiPriority w:val="99"/>
    <w:rsid w:val="0084122D"/>
    <w:pPr>
      <w:tabs>
        <w:tab w:val="num" w:pos="1440"/>
      </w:tabs>
      <w:ind w:left="1440" w:hanging="360"/>
    </w:pPr>
    <w:rPr>
      <w:sz w:val="22"/>
      <w:lang w:eastAsia="en-US"/>
    </w:rPr>
  </w:style>
  <w:style w:type="paragraph" w:customStyle="1" w:styleId="LegislationLvl3">
    <w:name w:val="Legislation Lvl 3"/>
    <w:uiPriority w:val="99"/>
    <w:rsid w:val="0084122D"/>
    <w:pPr>
      <w:tabs>
        <w:tab w:val="num" w:pos="2340"/>
      </w:tabs>
      <w:ind w:left="2340" w:hanging="360"/>
    </w:pPr>
    <w:rPr>
      <w:sz w:val="22"/>
      <w:lang w:eastAsia="en-US"/>
    </w:rPr>
  </w:style>
  <w:style w:type="paragraph" w:customStyle="1" w:styleId="LegislationLvl4">
    <w:name w:val="Legislation Lvl 4"/>
    <w:uiPriority w:val="99"/>
    <w:rsid w:val="0084122D"/>
    <w:pPr>
      <w:tabs>
        <w:tab w:val="num" w:pos="2700"/>
      </w:tabs>
      <w:ind w:left="2700" w:hanging="180"/>
    </w:pPr>
    <w:rPr>
      <w:sz w:val="22"/>
      <w:lang w:eastAsia="en-US"/>
    </w:rPr>
  </w:style>
  <w:style w:type="character" w:styleId="PageNumber">
    <w:name w:val="page number"/>
    <w:basedOn w:val="DefaultParagraphFont"/>
    <w:uiPriority w:val="99"/>
    <w:rsid w:val="0084122D"/>
    <w:rPr>
      <w:rFonts w:ascii="Times New Roman" w:hAnsi="Times New Roman" w:cs="Times New Roman"/>
      <w:sz w:val="20"/>
      <w:szCs w:val="20"/>
    </w:rPr>
  </w:style>
  <w:style w:type="paragraph" w:customStyle="1" w:styleId="Pre-NumberedLegisLvl1">
    <w:name w:val="Pre-Numbered Legis Lvl 1"/>
    <w:uiPriority w:val="99"/>
    <w:rsid w:val="0084122D"/>
    <w:pPr>
      <w:ind w:left="850" w:hanging="493"/>
    </w:pPr>
    <w:rPr>
      <w:sz w:val="22"/>
      <w:lang w:eastAsia="en-US"/>
    </w:rPr>
  </w:style>
  <w:style w:type="paragraph" w:customStyle="1" w:styleId="Pre-NumberedLegisLvl2">
    <w:name w:val="Pre-Numbered Legis Lvl 2"/>
    <w:uiPriority w:val="99"/>
    <w:rsid w:val="0084122D"/>
    <w:pPr>
      <w:ind w:left="1367" w:hanging="516"/>
    </w:pPr>
    <w:rPr>
      <w:sz w:val="22"/>
      <w:lang w:eastAsia="en-US"/>
    </w:rPr>
  </w:style>
  <w:style w:type="paragraph" w:customStyle="1" w:styleId="Pre-NumberedLegisLvl3">
    <w:name w:val="Pre-Numbered Legis Lvl 3"/>
    <w:uiPriority w:val="99"/>
    <w:rsid w:val="0084122D"/>
    <w:pPr>
      <w:ind w:left="1985" w:hanging="567"/>
    </w:pPr>
    <w:rPr>
      <w:sz w:val="22"/>
      <w:lang w:eastAsia="en-US"/>
    </w:rPr>
  </w:style>
  <w:style w:type="paragraph" w:customStyle="1" w:styleId="Pre-NumberedLegisLvl4">
    <w:name w:val="Pre-Numbered Legis Lvl 4"/>
    <w:uiPriority w:val="99"/>
    <w:rsid w:val="0084122D"/>
    <w:pPr>
      <w:ind w:left="2721" w:hanging="680"/>
    </w:pPr>
    <w:rPr>
      <w:sz w:val="22"/>
      <w:lang w:eastAsia="en-US"/>
    </w:rPr>
  </w:style>
  <w:style w:type="table" w:styleId="TableGrid">
    <w:name w:val="Table Grid"/>
    <w:basedOn w:val="TableNormal"/>
    <w:uiPriority w:val="99"/>
    <w:rsid w:val="0084122D"/>
    <w:pPr>
      <w:spacing w:before="80" w:after="120"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aliases w:val="ACMA 1"/>
    <w:basedOn w:val="Normal"/>
    <w:uiPriority w:val="99"/>
    <w:rsid w:val="0084122D"/>
    <w:pPr>
      <w:spacing w:before="360" w:after="0" w:line="240" w:lineRule="auto"/>
    </w:pPr>
    <w:rPr>
      <w:rFonts w:ascii="Arial" w:hAnsi="Arial"/>
      <w:b/>
      <w:bCs/>
      <w:caps/>
      <w:sz w:val="20"/>
      <w:szCs w:val="28"/>
    </w:rPr>
  </w:style>
  <w:style w:type="paragraph" w:styleId="TOC2">
    <w:name w:val="toc 2"/>
    <w:aliases w:val="ACMA 2"/>
    <w:basedOn w:val="Normal"/>
    <w:uiPriority w:val="99"/>
    <w:rsid w:val="0084122D"/>
    <w:pPr>
      <w:spacing w:before="240" w:after="0" w:line="240" w:lineRule="auto"/>
    </w:pPr>
    <w:rPr>
      <w:bCs/>
      <w:sz w:val="22"/>
    </w:rPr>
  </w:style>
  <w:style w:type="paragraph" w:styleId="TOC3">
    <w:name w:val="toc 3"/>
    <w:aliases w:val="ACMA 3"/>
    <w:basedOn w:val="Normal"/>
    <w:uiPriority w:val="99"/>
    <w:rsid w:val="0084122D"/>
    <w:pPr>
      <w:spacing w:before="0" w:after="0" w:line="240" w:lineRule="auto"/>
      <w:ind w:left="198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1D6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D37"/>
    <w:rPr>
      <w:rFonts w:cs="Times New Roman"/>
      <w:sz w:val="2"/>
      <w:lang w:eastAsia="en-US"/>
    </w:rPr>
  </w:style>
  <w:style w:type="paragraph" w:styleId="ListBullet">
    <w:name w:val="List Bullet"/>
    <w:basedOn w:val="Normal"/>
    <w:autoRedefine/>
    <w:uiPriority w:val="99"/>
    <w:rsid w:val="00286D4B"/>
    <w:pPr>
      <w:numPr>
        <w:numId w:val="24"/>
      </w:numPr>
      <w:spacing w:before="0" w:after="80" w:line="360" w:lineRule="auto"/>
      <w:jc w:val="both"/>
    </w:pPr>
    <w:rPr>
      <w:lang w:eastAsia="en-AU"/>
    </w:rPr>
  </w:style>
  <w:style w:type="character" w:customStyle="1" w:styleId="FootnoteTextChar2">
    <w:name w:val="Footnote Text Char2"/>
    <w:aliases w:val="ACMA Footnote Text Char1,Footnote Text Char1 Char1,Footnote Text Char Char Char1,Footnote Text Char1 Char Char Char1,Footnote Text Char Char Char Char Char1,Footnote Text Char1 Char Char Char Char Char1,f Char1"/>
    <w:basedOn w:val="DefaultParagraphFont"/>
    <w:link w:val="FootnoteText"/>
    <w:uiPriority w:val="99"/>
    <w:locked/>
    <w:rsid w:val="00026D00"/>
    <w:rPr>
      <w:rFonts w:cs="Times New Roman"/>
      <w:lang w:val="en-AU" w:eastAsia="en-US" w:bidi="ar-SA"/>
    </w:rPr>
  </w:style>
  <w:style w:type="character" w:customStyle="1" w:styleId="ACMABodyTextChar1">
    <w:name w:val="ACMA Body Text Char1"/>
    <w:basedOn w:val="DefaultParagraphFont"/>
    <w:link w:val="ACMABodyText"/>
    <w:uiPriority w:val="99"/>
    <w:locked/>
    <w:rsid w:val="00A03C73"/>
    <w:rPr>
      <w:sz w:val="24"/>
      <w:lang w:val="en-AU" w:eastAsia="en-US" w:bidi="ar-SA"/>
    </w:rPr>
  </w:style>
  <w:style w:type="paragraph" w:customStyle="1" w:styleId="BriefSubtitle">
    <w:name w:val="Brief Subtitle"/>
    <w:basedOn w:val="Normal"/>
    <w:uiPriority w:val="99"/>
    <w:rsid w:val="00C058F6"/>
    <w:pPr>
      <w:spacing w:before="300" w:after="30" w:line="240" w:lineRule="atLeast"/>
    </w:pPr>
    <w:rPr>
      <w:rFonts w:ascii="Arial" w:hAnsi="Arial"/>
      <w:b/>
      <w:color w:val="4D4D4F"/>
      <w:sz w:val="21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rsid w:val="00532ABF"/>
    <w:pPr>
      <w:spacing w:before="0"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2ABF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532AB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26F9"/>
    <w:pPr>
      <w:spacing w:before="80" w:after="120" w:line="280" w:lineRule="atLeast"/>
    </w:pPr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726F9"/>
    <w:rPr>
      <w:b/>
      <w:bCs/>
    </w:rPr>
  </w:style>
  <w:style w:type="paragraph" w:styleId="NormalWeb">
    <w:name w:val="Normal (Web)"/>
    <w:basedOn w:val="Normal"/>
    <w:uiPriority w:val="99"/>
    <w:semiHidden/>
    <w:rsid w:val="0097494E"/>
  </w:style>
  <w:style w:type="character" w:styleId="FollowedHyperlink">
    <w:name w:val="FollowedHyperlink"/>
    <w:basedOn w:val="DefaultParagraphFont"/>
    <w:uiPriority w:val="99"/>
    <w:rsid w:val="00C0533B"/>
    <w:rPr>
      <w:rFonts w:cs="Times New Roman"/>
      <w:color w:val="6064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50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501D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E501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52D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DC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8D8"/>
                    <w:bottom w:val="single" w:sz="6" w:space="0" w:color="D8D8D8"/>
                    <w:right w:val="single" w:sz="6" w:space="0" w:color="D8D8D8"/>
                  </w:divBdr>
                  <w:divsChild>
                    <w:div w:id="15272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5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5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5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5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5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5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254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9E9E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5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54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8D8"/>
                    <w:bottom w:val="single" w:sz="6" w:space="0" w:color="D8D8D8"/>
                    <w:right w:val="single" w:sz="6" w:space="0" w:color="D8D8D8"/>
                  </w:divBdr>
                  <w:divsChild>
                    <w:div w:id="15272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5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5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5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5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5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25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9E9E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5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54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ma.gov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ma.gov.au/WEB/STANDARD/pc=PC_312013" TargetMode="External"/><Relationship Id="rId2" Type="http://schemas.openxmlformats.org/officeDocument/2006/relationships/hyperlink" Target="http://www.acma.gov.au/WEB/STANDARD/pc=PC_312322" TargetMode="External"/><Relationship Id="rId1" Type="http://schemas.openxmlformats.org/officeDocument/2006/relationships/hyperlink" Target="http://www.acma.gov.au/webwr/_assets/main/lib311275/2.5ghz_discussion_paper_ifc01-10.pdf" TargetMode="External"/><Relationship Id="rId4" Type="http://schemas.openxmlformats.org/officeDocument/2006/relationships/hyperlink" Target="http://www.acma.gov.au/scripts/nc.dll?WEB/STANDARD/1001/pc=PC_41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32E4-DC7E-4031-8B27-D53481D9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2648</Words>
  <Characters>15409</Characters>
  <Application>Microsoft Office Word</Application>
  <DocSecurity>4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18021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cp:lastPrinted>2012-07-26T07:27:00Z</cp:lastPrinted>
  <dcterms:created xsi:type="dcterms:W3CDTF">2012-12-10T02:21:00Z</dcterms:created>
  <dcterms:modified xsi:type="dcterms:W3CDTF">2012-12-10T02:21:00Z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gFAACRwgU2+mnxm/yJJ966gfSLY2n2s1+YFQUWcXwjDPyJ9m14kkXVkaAfsLZlLHIG5h1UGrU+i3eu+utdAAHJ/oJ2vdvf92QtqtfaM/XjaEWKdz+a/RM4KmND+Qzn0ApzaTEMTOSETRKiKutdAAHJ/oJ2vdvf92QtqtfaM/XjaEWKdz+a/RM4KmND+Qzn0ApzaTaf/b7NNYKZ1ANXACb7GvohBEdy3y4Kj0LuXHy9H8MHsgdNyYy47oW</vt:lpwstr>
  </property>
  <property fmtid="{D5CDD505-2E9C-101B-9397-08002B2CF9AE}" pid="3" name="MAIL_MSG_ID2">
    <vt:lpwstr>pDqQYBJLKMQ48i5e68Th3uB6VlQEYZ/tM8E8D0Ai/1ezG+a6/HgYcAV5+NWr3tUNhx1aV3RW7LVzcDxtVciC7NTybWit0Fk+g==</vt:lpwstr>
  </property>
  <property fmtid="{D5CDD505-2E9C-101B-9397-08002B2CF9AE}" pid="4" name="RESPONSE_SENDER_NAME">
    <vt:lpwstr>sAAAGYoQX4c3X/LgOo+7FTB3AIDcTLQvKz2+BlR2nQLTNGY=</vt:lpwstr>
  </property>
  <property fmtid="{D5CDD505-2E9C-101B-9397-08002B2CF9AE}" pid="5" name="EMAIL_OWNER_ADDRESS">
    <vt:lpwstr>4AAA9DNYQidmug51CpmcgNlQ5h8qaQ5GTMEyKDNM2F8YKlI2iDuWwLhbSw==</vt:lpwstr>
  </property>
</Properties>
</file>