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BE" w:rsidRDefault="00DC06B5" w:rsidP="00080FC2">
      <w:pPr>
        <w:pStyle w:val="Title"/>
        <w:keepLines/>
        <w:pBdr>
          <w:bottom w:val="single" w:sz="4" w:space="3"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0.25pt;height:80.25pt;visibility:visible">
            <v:imagedata r:id="rId8" o:title=""/>
          </v:shape>
        </w:pict>
      </w:r>
      <w:r w:rsidR="006B6CBE" w:rsidRPr="00080FC2">
        <w:t xml:space="preserve"> </w:t>
      </w:r>
    </w:p>
    <w:p w:rsidR="006B6CBE" w:rsidRPr="00080FC2" w:rsidRDefault="006B6CBE" w:rsidP="00D929B6">
      <w:pPr>
        <w:pStyle w:val="Title"/>
        <w:keepLines/>
        <w:pBdr>
          <w:bottom w:val="single" w:sz="4" w:space="3" w:color="auto"/>
        </w:pBdr>
        <w:rPr>
          <w:sz w:val="36"/>
        </w:rPr>
      </w:pPr>
      <w:bookmarkStart w:id="0" w:name="Citation"/>
      <w:r w:rsidRPr="00080FC2">
        <w:rPr>
          <w:sz w:val="36"/>
        </w:rPr>
        <w:t>Radiocommunications Advisory Guidelines (</w:t>
      </w:r>
      <w:r>
        <w:rPr>
          <w:sz w:val="36"/>
        </w:rPr>
        <w:t>Managing Interference from Transmitters</w:t>
      </w:r>
      <w:r w:rsidRPr="00080FC2">
        <w:rPr>
          <w:sz w:val="36"/>
        </w:rPr>
        <w:t xml:space="preserve"> – </w:t>
      </w:r>
      <w:r>
        <w:rPr>
          <w:sz w:val="36"/>
        </w:rPr>
        <w:t>700</w:t>
      </w:r>
      <w:r w:rsidRPr="00080FC2">
        <w:rPr>
          <w:sz w:val="36"/>
        </w:rPr>
        <w:t> MHz Band) 2012</w:t>
      </w:r>
      <w:bookmarkEnd w:id="0"/>
    </w:p>
    <w:p w:rsidR="006B6CBE" w:rsidRPr="00F10FB4" w:rsidRDefault="006B6CBE" w:rsidP="00D929B6">
      <w:pPr>
        <w:keepLines/>
        <w:pBdr>
          <w:bottom w:val="single" w:sz="4" w:space="3" w:color="auto"/>
        </w:pBdr>
        <w:spacing w:before="480"/>
        <w:rPr>
          <w:rFonts w:ascii="Arial" w:hAnsi="Arial" w:cs="Arial"/>
          <w:i/>
          <w:sz w:val="28"/>
          <w:szCs w:val="28"/>
          <w:lang w:val="en-US"/>
        </w:rPr>
      </w:pPr>
      <w:r w:rsidRPr="00F10FB4">
        <w:rPr>
          <w:rFonts w:ascii="Arial" w:hAnsi="Arial" w:cs="Arial"/>
          <w:i/>
          <w:sz w:val="28"/>
          <w:szCs w:val="28"/>
          <w:lang w:val="en-US"/>
        </w:rPr>
        <w:t>Radiocommunications Act 1992</w:t>
      </w:r>
    </w:p>
    <w:p w:rsidR="006B6CBE" w:rsidRPr="00F10FB4" w:rsidRDefault="006B6CBE" w:rsidP="00D929B6">
      <w:pPr>
        <w:keepLines/>
        <w:spacing w:before="360"/>
        <w:jc w:val="both"/>
      </w:pPr>
      <w:r w:rsidRPr="00F10FB4">
        <w:t xml:space="preserve">The AUSTRALIAN COMMUNICATIONS AND MEDIA AUTHORITY makes these Advisory Guidelines under section 262 of the </w:t>
      </w:r>
      <w:r w:rsidRPr="00F10FB4">
        <w:rPr>
          <w:i/>
        </w:rPr>
        <w:t>Radiocommunications Act 1992</w:t>
      </w:r>
      <w:r w:rsidRPr="00F10FB4">
        <w:t>.</w:t>
      </w:r>
    </w:p>
    <w:p w:rsidR="006B6CBE" w:rsidRPr="00F10FB4" w:rsidRDefault="006B6CBE" w:rsidP="00D929B6">
      <w:pPr>
        <w:keepLines/>
        <w:tabs>
          <w:tab w:val="left" w:pos="3119"/>
        </w:tabs>
        <w:spacing w:before="300" w:after="600" w:line="300" w:lineRule="atLeast"/>
      </w:pPr>
      <w:r w:rsidRPr="00F10FB4">
        <w:t xml:space="preserve">Dated </w:t>
      </w:r>
      <w:bookmarkStart w:id="1" w:name="MadeByDate"/>
      <w:r w:rsidR="00D94560" w:rsidRPr="00D94560">
        <w:rPr>
          <w:i/>
        </w:rPr>
        <w:t>19</w:t>
      </w:r>
      <w:r w:rsidR="00D94560" w:rsidRPr="00D94560">
        <w:rPr>
          <w:i/>
          <w:vertAlign w:val="superscript"/>
        </w:rPr>
        <w:t>th</w:t>
      </w:r>
      <w:r w:rsidR="00D94560" w:rsidRPr="00D94560">
        <w:rPr>
          <w:i/>
        </w:rPr>
        <w:t xml:space="preserve"> December</w:t>
      </w:r>
      <w:r w:rsidR="00D94560">
        <w:t xml:space="preserve"> </w:t>
      </w:r>
      <w:bookmarkStart w:id="2" w:name="Year"/>
      <w:bookmarkEnd w:id="1"/>
      <w:r>
        <w:t>20</w:t>
      </w:r>
      <w:bookmarkEnd w:id="2"/>
      <w:r>
        <w:t>12</w:t>
      </w:r>
    </w:p>
    <w:p w:rsidR="006B6CBE" w:rsidRDefault="00D94560" w:rsidP="00D929B6">
      <w:pPr>
        <w:keepLines/>
        <w:tabs>
          <w:tab w:val="left" w:pos="3119"/>
        </w:tabs>
        <w:spacing w:line="300" w:lineRule="atLeast"/>
        <w:jc w:val="right"/>
      </w:pPr>
      <w:r w:rsidRPr="00D94560">
        <w:rPr>
          <w:i/>
        </w:rPr>
        <w:t>Chris Chapman</w:t>
      </w:r>
      <w:r>
        <w:t xml:space="preserve"> </w:t>
      </w:r>
      <w:r>
        <w:br/>
        <w:t xml:space="preserve">[signed] </w:t>
      </w:r>
      <w:r>
        <w:br/>
      </w:r>
      <w:r w:rsidR="006B6CBE" w:rsidRPr="00F10FB4">
        <w:t>Member</w:t>
      </w:r>
    </w:p>
    <w:p w:rsidR="006B6CBE" w:rsidRDefault="006B6CBE" w:rsidP="00D929B6">
      <w:pPr>
        <w:keepLines/>
        <w:tabs>
          <w:tab w:val="left" w:pos="3119"/>
        </w:tabs>
        <w:spacing w:line="300" w:lineRule="atLeast"/>
        <w:jc w:val="right"/>
      </w:pPr>
    </w:p>
    <w:p w:rsidR="00A166BB" w:rsidRDefault="00A166BB" w:rsidP="00D929B6">
      <w:pPr>
        <w:keepLines/>
        <w:tabs>
          <w:tab w:val="left" w:pos="3119"/>
        </w:tabs>
        <w:spacing w:line="300" w:lineRule="atLeast"/>
        <w:jc w:val="right"/>
      </w:pPr>
    </w:p>
    <w:p w:rsidR="00A166BB" w:rsidRDefault="00A166BB" w:rsidP="00D929B6">
      <w:pPr>
        <w:keepLines/>
        <w:tabs>
          <w:tab w:val="left" w:pos="3119"/>
        </w:tabs>
        <w:spacing w:line="300" w:lineRule="atLeast"/>
        <w:jc w:val="right"/>
      </w:pPr>
    </w:p>
    <w:p w:rsidR="00A166BB" w:rsidRDefault="00A166BB" w:rsidP="00D929B6">
      <w:pPr>
        <w:keepLines/>
        <w:tabs>
          <w:tab w:val="left" w:pos="3119"/>
        </w:tabs>
        <w:spacing w:line="300" w:lineRule="atLeast"/>
        <w:jc w:val="right"/>
      </w:pPr>
    </w:p>
    <w:p w:rsidR="00A166BB" w:rsidRDefault="00A166BB" w:rsidP="00D929B6">
      <w:pPr>
        <w:keepLines/>
        <w:tabs>
          <w:tab w:val="left" w:pos="3119"/>
        </w:tabs>
        <w:spacing w:line="300" w:lineRule="atLeast"/>
        <w:jc w:val="right"/>
      </w:pPr>
    </w:p>
    <w:p w:rsidR="006B6CBE" w:rsidRPr="00F10FB4" w:rsidRDefault="006B6CBE" w:rsidP="00D929B6">
      <w:pPr>
        <w:keepLines/>
        <w:tabs>
          <w:tab w:val="left" w:pos="3119"/>
        </w:tabs>
        <w:spacing w:line="300" w:lineRule="atLeast"/>
        <w:jc w:val="right"/>
      </w:pPr>
    </w:p>
    <w:p w:rsidR="006B6CBE" w:rsidRPr="00F10FB4" w:rsidRDefault="00D94560" w:rsidP="00D929B6">
      <w:pPr>
        <w:keepLines/>
        <w:tabs>
          <w:tab w:val="left" w:pos="3119"/>
        </w:tabs>
        <w:spacing w:line="300" w:lineRule="atLeast"/>
        <w:jc w:val="right"/>
      </w:pPr>
      <w:r w:rsidRPr="00D94560">
        <w:rPr>
          <w:i/>
        </w:rPr>
        <w:t>Richard Bean</w:t>
      </w:r>
      <w:r>
        <w:br/>
        <w:t xml:space="preserve"> [signed] </w:t>
      </w:r>
      <w:r>
        <w:br/>
      </w:r>
      <w:r w:rsidR="006B6CBE" w:rsidRPr="00F10FB4">
        <w:t>Member</w:t>
      </w:r>
      <w:r w:rsidR="006B6CBE">
        <w:t>/</w:t>
      </w:r>
      <w:r w:rsidR="006B6CBE" w:rsidRPr="00D94560">
        <w:rPr>
          <w:strike/>
        </w:rPr>
        <w:t>General Manager</w:t>
      </w:r>
    </w:p>
    <w:p w:rsidR="006B6CBE" w:rsidRPr="00F10FB4" w:rsidRDefault="006B6CBE" w:rsidP="00D929B6">
      <w:pPr>
        <w:keepLines/>
        <w:tabs>
          <w:tab w:val="left" w:pos="3969"/>
        </w:tabs>
        <w:spacing w:before="480" w:line="300" w:lineRule="atLeast"/>
      </w:pPr>
    </w:p>
    <w:p w:rsidR="006B6CBE" w:rsidRPr="00F10FB4" w:rsidRDefault="006B6CBE" w:rsidP="00D929B6">
      <w:pPr>
        <w:keepLines/>
        <w:pBdr>
          <w:bottom w:val="single" w:sz="4" w:space="12" w:color="auto"/>
        </w:pBdr>
        <w:tabs>
          <w:tab w:val="left" w:pos="3119"/>
        </w:tabs>
        <w:spacing w:after="240" w:line="300" w:lineRule="atLeast"/>
      </w:pPr>
      <w:bookmarkStart w:id="3" w:name="Minister"/>
      <w:r w:rsidRPr="00F10FB4">
        <w:t>Australian Communications and Media Authority</w:t>
      </w:r>
      <w:bookmarkEnd w:id="3"/>
      <w:r>
        <w:t xml:space="preserve"> </w:t>
      </w:r>
    </w:p>
    <w:p w:rsidR="006B6CBE" w:rsidRDefault="006B6CBE">
      <w:pPr>
        <w:rPr>
          <w:rStyle w:val="CharSectno"/>
          <w:rFonts w:ascii="Arial" w:hAnsi="Arial"/>
          <w:b/>
        </w:rPr>
      </w:pPr>
      <w:bookmarkStart w:id="4" w:name="_Toc308185028"/>
      <w:r>
        <w:rPr>
          <w:rStyle w:val="CharSectno"/>
        </w:rPr>
        <w:br w:type="page"/>
      </w:r>
    </w:p>
    <w:p w:rsidR="006B6CBE" w:rsidRDefault="006B6CBE" w:rsidP="0006626E">
      <w:pPr>
        <w:pStyle w:val="HR"/>
        <w:ind w:left="0" w:firstLine="0"/>
      </w:pPr>
      <w:r>
        <w:t>Contents</w:t>
      </w:r>
    </w:p>
    <w:p w:rsidR="006B6CBE" w:rsidRDefault="00DC06B5" w:rsidP="0006626E">
      <w:pPr>
        <w:pStyle w:val="TOC2"/>
        <w:rPr>
          <w:rFonts w:ascii="Calibri" w:hAnsi="Calibri"/>
          <w:b w:val="0"/>
          <w:noProof/>
          <w:sz w:val="22"/>
          <w:szCs w:val="22"/>
          <w:lang w:eastAsia="en-AU"/>
        </w:rPr>
      </w:pPr>
      <w:r w:rsidRPr="00DC06B5">
        <w:fldChar w:fldCharType="begin"/>
      </w:r>
      <w:r w:rsidR="006B6CBE">
        <w:instrText xml:space="preserve"> TOC \o "1-9" \t "HC,1, HP,2, HD,3, HS,4,CHS,4, HR,5, RGHead,7, Schedule title,6, Schedule part,8, Schedule Division,8, RX.SC,8, Dictionary Heading,2, Note Heading,9" </w:instrText>
      </w:r>
      <w:r w:rsidRPr="00DC06B5">
        <w:fldChar w:fldCharType="separate"/>
      </w:r>
      <w:r w:rsidR="006B6CBE">
        <w:rPr>
          <w:noProof/>
        </w:rPr>
        <w:t>Part 1</w:t>
      </w:r>
      <w:r w:rsidR="006B6CBE">
        <w:rPr>
          <w:rFonts w:ascii="Calibri" w:hAnsi="Calibri"/>
          <w:b w:val="0"/>
          <w:noProof/>
          <w:sz w:val="22"/>
          <w:szCs w:val="22"/>
          <w:lang w:eastAsia="en-AU"/>
        </w:rPr>
        <w:tab/>
      </w:r>
      <w:r w:rsidR="006B6CBE">
        <w:rPr>
          <w:noProof/>
        </w:rPr>
        <w:t>Preliminary</w:t>
      </w:r>
    </w:p>
    <w:p w:rsidR="006B6CBE" w:rsidRDefault="006B6CBE" w:rsidP="0006626E">
      <w:pPr>
        <w:pStyle w:val="TOC5"/>
        <w:rPr>
          <w:rFonts w:ascii="Calibri" w:hAnsi="Calibri"/>
          <w:noProof/>
          <w:sz w:val="22"/>
          <w:szCs w:val="22"/>
          <w:lang w:eastAsia="en-AU"/>
        </w:rPr>
      </w:pPr>
      <w:r>
        <w:rPr>
          <w:noProof/>
        </w:rPr>
        <w:tab/>
        <w:t>1.1</w:t>
      </w:r>
      <w:r>
        <w:rPr>
          <w:rFonts w:ascii="Calibri" w:hAnsi="Calibri"/>
          <w:noProof/>
          <w:sz w:val="22"/>
          <w:szCs w:val="22"/>
          <w:lang w:eastAsia="en-AU"/>
        </w:rPr>
        <w:tab/>
      </w:r>
      <w:r>
        <w:rPr>
          <w:noProof/>
        </w:rPr>
        <w:t>Name of Advisory Guidelines</w:t>
      </w:r>
      <w:r>
        <w:rPr>
          <w:noProof/>
        </w:rPr>
        <w:tab/>
        <w:t>3</w:t>
      </w:r>
    </w:p>
    <w:p w:rsidR="006B6CBE" w:rsidRDefault="006B6CBE" w:rsidP="0006626E">
      <w:pPr>
        <w:pStyle w:val="TOC5"/>
        <w:rPr>
          <w:rFonts w:ascii="Calibri" w:hAnsi="Calibri"/>
          <w:noProof/>
          <w:sz w:val="22"/>
          <w:szCs w:val="22"/>
          <w:lang w:eastAsia="en-AU"/>
        </w:rPr>
      </w:pPr>
      <w:r>
        <w:rPr>
          <w:noProof/>
        </w:rPr>
        <w:tab/>
        <w:t>1.2</w:t>
      </w:r>
      <w:r>
        <w:rPr>
          <w:rFonts w:ascii="Calibri" w:hAnsi="Calibri"/>
          <w:noProof/>
          <w:sz w:val="22"/>
          <w:szCs w:val="22"/>
          <w:lang w:eastAsia="en-AU"/>
        </w:rPr>
        <w:tab/>
      </w:r>
      <w:r>
        <w:rPr>
          <w:noProof/>
        </w:rPr>
        <w:t>Commencement</w:t>
      </w:r>
      <w:r>
        <w:rPr>
          <w:noProof/>
        </w:rPr>
        <w:tab/>
        <w:t>3</w:t>
      </w:r>
    </w:p>
    <w:p w:rsidR="006B6CBE" w:rsidRDefault="006B6CBE" w:rsidP="0006626E">
      <w:pPr>
        <w:pStyle w:val="TOC5"/>
        <w:rPr>
          <w:rFonts w:ascii="Calibri" w:hAnsi="Calibri"/>
          <w:noProof/>
          <w:sz w:val="22"/>
          <w:szCs w:val="22"/>
          <w:lang w:eastAsia="en-AU"/>
        </w:rPr>
      </w:pPr>
      <w:r>
        <w:rPr>
          <w:noProof/>
        </w:rPr>
        <w:tab/>
        <w:t>1.3</w:t>
      </w:r>
      <w:r>
        <w:rPr>
          <w:rFonts w:ascii="Calibri" w:hAnsi="Calibri"/>
          <w:noProof/>
          <w:sz w:val="22"/>
          <w:szCs w:val="22"/>
          <w:lang w:eastAsia="en-AU"/>
        </w:rPr>
        <w:tab/>
      </w:r>
      <w:r>
        <w:rPr>
          <w:noProof/>
        </w:rPr>
        <w:t>Purpose of these Advisory</w:t>
      </w:r>
      <w:r w:rsidR="00504BC4">
        <w:rPr>
          <w:noProof/>
        </w:rPr>
        <w:t xml:space="preserve"> Guidelines</w:t>
      </w:r>
      <w:r>
        <w:rPr>
          <w:noProof/>
        </w:rPr>
        <w:tab/>
        <w:t>3</w:t>
      </w:r>
    </w:p>
    <w:p w:rsidR="006B6CBE" w:rsidRDefault="006B6CBE" w:rsidP="0006626E">
      <w:pPr>
        <w:pStyle w:val="TOC5"/>
        <w:rPr>
          <w:rFonts w:ascii="Calibri" w:hAnsi="Calibri"/>
          <w:noProof/>
          <w:sz w:val="22"/>
          <w:szCs w:val="22"/>
          <w:lang w:eastAsia="en-AU"/>
        </w:rPr>
      </w:pPr>
      <w:r>
        <w:rPr>
          <w:noProof/>
        </w:rPr>
        <w:tab/>
        <w:t>1.4</w:t>
      </w:r>
      <w:r>
        <w:rPr>
          <w:rFonts w:ascii="Calibri" w:hAnsi="Calibri"/>
          <w:noProof/>
          <w:sz w:val="22"/>
          <w:szCs w:val="22"/>
          <w:lang w:eastAsia="en-AU"/>
        </w:rPr>
        <w:tab/>
      </w:r>
      <w:r>
        <w:rPr>
          <w:noProof/>
        </w:rPr>
        <w:t>Interpretation</w:t>
      </w:r>
      <w:r>
        <w:rPr>
          <w:noProof/>
        </w:rPr>
        <w:tab/>
        <w:t>3</w:t>
      </w:r>
    </w:p>
    <w:p w:rsidR="006B6CBE" w:rsidRDefault="006B6CBE" w:rsidP="0006626E">
      <w:pPr>
        <w:pStyle w:val="TOC2"/>
        <w:rPr>
          <w:rFonts w:ascii="Calibri" w:hAnsi="Calibri"/>
          <w:b w:val="0"/>
          <w:noProof/>
          <w:sz w:val="22"/>
          <w:szCs w:val="22"/>
          <w:lang w:eastAsia="en-AU"/>
        </w:rPr>
      </w:pPr>
      <w:r>
        <w:rPr>
          <w:noProof/>
        </w:rPr>
        <w:t>Part 2</w:t>
      </w:r>
      <w:r>
        <w:rPr>
          <w:rFonts w:ascii="Calibri" w:hAnsi="Calibri"/>
          <w:b w:val="0"/>
          <w:noProof/>
          <w:sz w:val="22"/>
          <w:szCs w:val="22"/>
          <w:lang w:eastAsia="en-AU"/>
        </w:rPr>
        <w:tab/>
      </w:r>
      <w:r>
        <w:rPr>
          <w:noProof/>
        </w:rPr>
        <w:t>Background</w:t>
      </w:r>
    </w:p>
    <w:p w:rsidR="006B6CBE" w:rsidRDefault="006B6CBE" w:rsidP="0006626E">
      <w:pPr>
        <w:pStyle w:val="TOC5"/>
        <w:rPr>
          <w:rFonts w:ascii="Calibri" w:hAnsi="Calibri"/>
          <w:noProof/>
          <w:sz w:val="22"/>
          <w:szCs w:val="22"/>
          <w:lang w:eastAsia="en-AU"/>
        </w:rPr>
      </w:pPr>
      <w:r>
        <w:rPr>
          <w:noProof/>
        </w:rPr>
        <w:tab/>
        <w:t>2.1</w:t>
      </w:r>
      <w:r>
        <w:rPr>
          <w:rFonts w:ascii="Calibri" w:hAnsi="Calibri"/>
          <w:noProof/>
          <w:sz w:val="22"/>
          <w:szCs w:val="22"/>
          <w:lang w:eastAsia="en-AU"/>
        </w:rPr>
        <w:tab/>
      </w:r>
      <w:r>
        <w:rPr>
          <w:noProof/>
        </w:rPr>
        <w:t>Background</w:t>
      </w:r>
      <w:r>
        <w:rPr>
          <w:noProof/>
        </w:rPr>
        <w:tab/>
        <w:t>5</w:t>
      </w:r>
    </w:p>
    <w:p w:rsidR="006B6CBE" w:rsidRDefault="006B6CBE" w:rsidP="0006626E">
      <w:pPr>
        <w:pStyle w:val="TOC2"/>
        <w:rPr>
          <w:rFonts w:ascii="Calibri" w:hAnsi="Calibri"/>
          <w:b w:val="0"/>
          <w:noProof/>
          <w:sz w:val="22"/>
          <w:szCs w:val="22"/>
          <w:lang w:eastAsia="en-AU"/>
        </w:rPr>
      </w:pPr>
      <w:r>
        <w:rPr>
          <w:noProof/>
        </w:rPr>
        <w:t>Part 3</w:t>
      </w:r>
      <w:r>
        <w:rPr>
          <w:rFonts w:ascii="Calibri" w:hAnsi="Calibri"/>
          <w:b w:val="0"/>
          <w:noProof/>
          <w:sz w:val="22"/>
          <w:szCs w:val="22"/>
          <w:lang w:eastAsia="en-AU"/>
        </w:rPr>
        <w:tab/>
      </w:r>
      <w:r>
        <w:rPr>
          <w:noProof/>
        </w:rPr>
        <w:t>Digital television receivers operating below 694 MHz</w:t>
      </w:r>
    </w:p>
    <w:p w:rsidR="006B6CBE" w:rsidRDefault="006B6CBE" w:rsidP="0006626E">
      <w:pPr>
        <w:pStyle w:val="TOC5"/>
        <w:rPr>
          <w:rFonts w:ascii="Calibri" w:hAnsi="Calibri"/>
          <w:noProof/>
          <w:sz w:val="22"/>
          <w:szCs w:val="22"/>
          <w:lang w:eastAsia="en-AU"/>
        </w:rPr>
      </w:pPr>
      <w:r>
        <w:rPr>
          <w:noProof/>
        </w:rPr>
        <w:tab/>
        <w:t>3.1</w:t>
      </w:r>
      <w:r>
        <w:rPr>
          <w:rFonts w:ascii="Calibri" w:hAnsi="Calibri"/>
          <w:noProof/>
          <w:sz w:val="22"/>
          <w:szCs w:val="22"/>
          <w:lang w:eastAsia="en-AU"/>
        </w:rPr>
        <w:tab/>
      </w:r>
      <w:r>
        <w:rPr>
          <w:noProof/>
        </w:rPr>
        <w:t>Background</w:t>
      </w:r>
      <w:r>
        <w:rPr>
          <w:noProof/>
        </w:rPr>
        <w:tab/>
        <w:t>6</w:t>
      </w:r>
    </w:p>
    <w:p w:rsidR="006B6CBE" w:rsidRDefault="006B6CBE" w:rsidP="0006626E">
      <w:pPr>
        <w:pStyle w:val="TOC5"/>
        <w:rPr>
          <w:noProof/>
        </w:rPr>
      </w:pPr>
      <w:r>
        <w:rPr>
          <w:noProof/>
        </w:rPr>
        <w:tab/>
        <w:t>3.2</w:t>
      </w:r>
      <w:r>
        <w:rPr>
          <w:rFonts w:ascii="Calibri" w:hAnsi="Calibri"/>
          <w:noProof/>
          <w:sz w:val="22"/>
          <w:szCs w:val="22"/>
          <w:lang w:eastAsia="en-AU"/>
        </w:rPr>
        <w:tab/>
      </w:r>
      <w:r>
        <w:rPr>
          <w:noProof/>
        </w:rPr>
        <w:t>Out</w:t>
      </w:r>
      <w:r>
        <w:rPr>
          <w:noProof/>
        </w:rPr>
        <w:noBreakHyphen/>
        <w:t>of</w:t>
      </w:r>
      <w:r>
        <w:rPr>
          <w:noProof/>
        </w:rPr>
        <w:noBreakHyphen/>
        <w:t>band emission limits from transmitters in the lower band</w:t>
      </w:r>
      <w:r>
        <w:rPr>
          <w:noProof/>
        </w:rPr>
        <w:tab/>
        <w:t>6</w:t>
      </w:r>
    </w:p>
    <w:p w:rsidR="006B6CBE" w:rsidRDefault="006B6CBE" w:rsidP="0006626E">
      <w:pPr>
        <w:pStyle w:val="TOC2"/>
        <w:rPr>
          <w:rFonts w:ascii="Calibri" w:hAnsi="Calibri"/>
          <w:b w:val="0"/>
          <w:noProof/>
          <w:sz w:val="22"/>
          <w:szCs w:val="22"/>
          <w:lang w:eastAsia="en-AU"/>
        </w:rPr>
      </w:pPr>
      <w:r>
        <w:rPr>
          <w:noProof/>
        </w:rPr>
        <w:t>Part 4</w:t>
      </w:r>
      <w:r>
        <w:rPr>
          <w:rFonts w:ascii="Calibri" w:hAnsi="Calibri"/>
          <w:b w:val="0"/>
          <w:noProof/>
          <w:sz w:val="22"/>
          <w:szCs w:val="22"/>
          <w:lang w:eastAsia="en-AU"/>
        </w:rPr>
        <w:tab/>
      </w:r>
      <w:r>
        <w:rPr>
          <w:noProof/>
        </w:rPr>
        <w:t>Digital television receivers operating in the 700 MHz band</w:t>
      </w:r>
    </w:p>
    <w:p w:rsidR="006B6CBE" w:rsidRDefault="006B6CBE" w:rsidP="0006626E">
      <w:pPr>
        <w:pStyle w:val="TOC5"/>
        <w:rPr>
          <w:noProof/>
        </w:rPr>
      </w:pPr>
      <w:r>
        <w:rPr>
          <w:noProof/>
        </w:rPr>
        <w:tab/>
        <w:t>4.1</w:t>
      </w:r>
      <w:r>
        <w:rPr>
          <w:rFonts w:ascii="Calibri" w:hAnsi="Calibri"/>
          <w:noProof/>
          <w:sz w:val="22"/>
          <w:szCs w:val="22"/>
          <w:lang w:eastAsia="en-AU"/>
        </w:rPr>
        <w:tab/>
      </w:r>
      <w:r>
        <w:rPr>
          <w:noProof/>
        </w:rPr>
        <w:t>Background</w:t>
      </w:r>
      <w:r>
        <w:rPr>
          <w:noProof/>
        </w:rPr>
        <w:tab/>
        <w:t>7</w:t>
      </w:r>
    </w:p>
    <w:p w:rsidR="006B6CBE" w:rsidRPr="00383A5D" w:rsidRDefault="006B6CBE" w:rsidP="00383A5D">
      <w:pPr>
        <w:pStyle w:val="TOC5"/>
        <w:rPr>
          <w:noProof/>
        </w:rPr>
      </w:pPr>
      <w:r>
        <w:rPr>
          <w:noProof/>
        </w:rPr>
        <w:tab/>
        <w:t>4.2</w:t>
      </w:r>
      <w:r>
        <w:rPr>
          <w:rFonts w:ascii="Calibri" w:hAnsi="Calibri"/>
          <w:noProof/>
          <w:sz w:val="22"/>
          <w:szCs w:val="22"/>
          <w:lang w:eastAsia="en-AU"/>
        </w:rPr>
        <w:tab/>
        <w:t>Digital television receivers</w:t>
      </w:r>
      <w:r>
        <w:rPr>
          <w:noProof/>
        </w:rPr>
        <w:tab/>
        <w:t>7</w:t>
      </w:r>
    </w:p>
    <w:p w:rsidR="006B6CBE" w:rsidRDefault="006B6CBE" w:rsidP="0006626E">
      <w:pPr>
        <w:pStyle w:val="TOC2"/>
        <w:rPr>
          <w:rFonts w:ascii="Calibri" w:hAnsi="Calibri"/>
          <w:b w:val="0"/>
          <w:noProof/>
          <w:sz w:val="22"/>
          <w:szCs w:val="22"/>
          <w:lang w:eastAsia="en-AU"/>
        </w:rPr>
      </w:pPr>
      <w:r>
        <w:rPr>
          <w:noProof/>
        </w:rPr>
        <w:t>Part 5</w:t>
      </w:r>
      <w:r>
        <w:rPr>
          <w:rFonts w:ascii="Calibri" w:hAnsi="Calibri"/>
          <w:b w:val="0"/>
          <w:noProof/>
          <w:sz w:val="22"/>
          <w:szCs w:val="22"/>
          <w:lang w:eastAsia="en-AU"/>
        </w:rPr>
        <w:tab/>
      </w:r>
      <w:r>
        <w:rPr>
          <w:noProof/>
        </w:rPr>
        <w:t>The Mid-west Radio Quiet Zone</w:t>
      </w:r>
    </w:p>
    <w:p w:rsidR="006B6CBE" w:rsidRDefault="006B6CBE" w:rsidP="0006626E">
      <w:pPr>
        <w:pStyle w:val="TOC5"/>
        <w:rPr>
          <w:noProof/>
        </w:rPr>
      </w:pPr>
      <w:r>
        <w:rPr>
          <w:noProof/>
        </w:rPr>
        <w:tab/>
        <w:t>5.1</w:t>
      </w:r>
      <w:r>
        <w:rPr>
          <w:rFonts w:ascii="Calibri" w:hAnsi="Calibri"/>
          <w:noProof/>
          <w:sz w:val="22"/>
          <w:szCs w:val="22"/>
          <w:lang w:eastAsia="en-AU"/>
        </w:rPr>
        <w:tab/>
      </w:r>
      <w:r>
        <w:rPr>
          <w:noProof/>
        </w:rPr>
        <w:t>Background</w:t>
      </w:r>
      <w:r>
        <w:rPr>
          <w:noProof/>
        </w:rPr>
        <w:tab/>
        <w:t>8</w:t>
      </w:r>
    </w:p>
    <w:p w:rsidR="006B6CBE" w:rsidRPr="00383A5D" w:rsidRDefault="006B6CBE" w:rsidP="00383A5D">
      <w:pPr>
        <w:pStyle w:val="TOC5"/>
        <w:rPr>
          <w:noProof/>
        </w:rPr>
      </w:pPr>
      <w:r>
        <w:rPr>
          <w:noProof/>
        </w:rPr>
        <w:tab/>
        <w:t>5.2</w:t>
      </w:r>
      <w:r>
        <w:rPr>
          <w:rFonts w:ascii="Calibri" w:hAnsi="Calibri"/>
          <w:noProof/>
          <w:sz w:val="22"/>
          <w:szCs w:val="22"/>
          <w:lang w:eastAsia="en-AU"/>
        </w:rPr>
        <w:tab/>
      </w:r>
      <w:r>
        <w:rPr>
          <w:noProof/>
        </w:rPr>
        <w:t>The Mid-West Radio Quiet Zone protection requirements</w:t>
      </w:r>
      <w:r>
        <w:rPr>
          <w:noProof/>
        </w:rPr>
        <w:tab/>
        <w:t>8</w:t>
      </w:r>
    </w:p>
    <w:p w:rsidR="006B6CBE" w:rsidRDefault="00DC06B5" w:rsidP="0006626E">
      <w:pPr>
        <w:pStyle w:val="TOC6"/>
      </w:pPr>
      <w:r>
        <w:fldChar w:fldCharType="end"/>
      </w:r>
    </w:p>
    <w:p w:rsidR="006B6CBE" w:rsidRDefault="006B6CBE" w:rsidP="00D929B6">
      <w:pPr>
        <w:pStyle w:val="HR"/>
        <w:rPr>
          <w:rStyle w:val="CharSectno"/>
        </w:rPr>
      </w:pPr>
      <w:r>
        <w:rPr>
          <w:rStyle w:val="CharSectno"/>
        </w:rPr>
        <w:br w:type="page"/>
      </w:r>
    </w:p>
    <w:p w:rsidR="006B6CBE" w:rsidRDefault="006B6CBE" w:rsidP="00ED1B19">
      <w:pPr>
        <w:rPr>
          <w:rStyle w:val="CharSectno"/>
          <w:b/>
        </w:rPr>
      </w:pPr>
      <w:r w:rsidRPr="00ED1B19">
        <w:rPr>
          <w:rFonts w:ascii="Arial" w:hAnsi="Arial" w:cs="Arial"/>
          <w:b/>
          <w:sz w:val="28"/>
          <w:szCs w:val="28"/>
        </w:rPr>
        <w:t>Part 1</w:t>
      </w:r>
      <w:r w:rsidRPr="00ED1B19">
        <w:rPr>
          <w:rFonts w:ascii="Arial" w:hAnsi="Arial" w:cs="Arial"/>
          <w:b/>
          <w:sz w:val="28"/>
          <w:szCs w:val="28"/>
        </w:rPr>
        <w:tab/>
      </w:r>
      <w:r w:rsidRPr="00ED1B19">
        <w:rPr>
          <w:rFonts w:ascii="Arial" w:hAnsi="Arial" w:cs="Arial"/>
          <w:b/>
          <w:sz w:val="28"/>
          <w:szCs w:val="28"/>
        </w:rPr>
        <w:tab/>
      </w:r>
      <w:r>
        <w:rPr>
          <w:rFonts w:ascii="Arial" w:hAnsi="Arial" w:cs="Arial"/>
          <w:b/>
          <w:sz w:val="28"/>
          <w:szCs w:val="28"/>
        </w:rPr>
        <w:t>Preliminary</w:t>
      </w:r>
    </w:p>
    <w:p w:rsidR="006B6CBE" w:rsidRPr="00F10FB4" w:rsidRDefault="006B6CBE" w:rsidP="00D929B6">
      <w:pPr>
        <w:pStyle w:val="HR"/>
      </w:pPr>
      <w:r>
        <w:rPr>
          <w:rStyle w:val="CharSectno"/>
        </w:rPr>
        <w:t>1.</w:t>
      </w:r>
      <w:r w:rsidRPr="00F10FB4">
        <w:rPr>
          <w:rStyle w:val="CharSectno"/>
        </w:rPr>
        <w:t>1</w:t>
      </w:r>
      <w:r w:rsidRPr="00F10FB4">
        <w:tab/>
        <w:t>Name of Advisory Guidelines</w:t>
      </w:r>
      <w:bookmarkEnd w:id="4"/>
    </w:p>
    <w:p w:rsidR="00945CDC" w:rsidRDefault="006B6CBE" w:rsidP="00945CDC">
      <w:pPr>
        <w:spacing w:before="120"/>
        <w:ind w:left="992"/>
        <w:jc w:val="both"/>
        <w:rPr>
          <w:b/>
        </w:rPr>
      </w:pPr>
      <w:r w:rsidRPr="00F10FB4">
        <w:t xml:space="preserve">These Advisory Guidelines are the </w:t>
      </w:r>
      <w:r w:rsidR="00DC06B5" w:rsidRPr="00F10FB4">
        <w:rPr>
          <w:i/>
        </w:rPr>
        <w:fldChar w:fldCharType="begin"/>
      </w:r>
      <w:r w:rsidRPr="00F10FB4">
        <w:rPr>
          <w:i/>
        </w:rPr>
        <w:instrText xml:space="preserve"> REF Citation \* charformat  \* MERGEFORMAT </w:instrText>
      </w:r>
      <w:r w:rsidR="00DC06B5" w:rsidRPr="00F10FB4">
        <w:rPr>
          <w:i/>
        </w:rPr>
        <w:fldChar w:fldCharType="separate"/>
      </w:r>
      <w:r w:rsidR="00B22D53" w:rsidRPr="00B22D53">
        <w:rPr>
          <w:i/>
        </w:rPr>
        <w:t>Radiocommunications Advisory Guidelines (Managing Interference from Transmitters – 700 MHz Band) 2012</w:t>
      </w:r>
      <w:r w:rsidR="00DC06B5" w:rsidRPr="00F10FB4">
        <w:rPr>
          <w:i/>
        </w:rPr>
        <w:fldChar w:fldCharType="end"/>
      </w:r>
      <w:r>
        <w:rPr>
          <w:i/>
        </w:rPr>
        <w:t>.</w:t>
      </w:r>
    </w:p>
    <w:p w:rsidR="006B6CBE" w:rsidRPr="00D929B6" w:rsidRDefault="006B6CBE" w:rsidP="00D929B6">
      <w:pPr>
        <w:pStyle w:val="HR"/>
        <w:rPr>
          <w:rStyle w:val="CharSectno"/>
        </w:rPr>
      </w:pPr>
      <w:bookmarkStart w:id="5" w:name="_Toc308185029"/>
      <w:r>
        <w:rPr>
          <w:rStyle w:val="CharSectno"/>
        </w:rPr>
        <w:t>1.2</w:t>
      </w:r>
      <w:r>
        <w:rPr>
          <w:rStyle w:val="CharSectno"/>
        </w:rPr>
        <w:tab/>
      </w:r>
      <w:r w:rsidRPr="00D929B6">
        <w:rPr>
          <w:rStyle w:val="CharSectno"/>
        </w:rPr>
        <w:t>Commencement</w:t>
      </w:r>
      <w:bookmarkEnd w:id="5"/>
    </w:p>
    <w:p w:rsidR="00945CDC" w:rsidRDefault="006B6CBE" w:rsidP="00945CDC">
      <w:pPr>
        <w:spacing w:before="120"/>
        <w:ind w:left="992"/>
        <w:jc w:val="both"/>
      </w:pPr>
      <w:r>
        <w:t xml:space="preserve">These Advisory Guidelines commence on </w:t>
      </w:r>
      <w:bookmarkStart w:id="6" w:name="_Toc308185030"/>
      <w:r w:rsidR="003468DA">
        <w:t xml:space="preserve">the day </w:t>
      </w:r>
      <w:r w:rsidR="00955558">
        <w:t>after they are registered</w:t>
      </w:r>
      <w:r w:rsidR="003468DA">
        <w:t>.</w:t>
      </w:r>
    </w:p>
    <w:p w:rsidR="0045763A" w:rsidRDefault="0045763A">
      <w:pPr>
        <w:ind w:left="992"/>
        <w:jc w:val="both"/>
      </w:pPr>
    </w:p>
    <w:p w:rsidR="0045763A" w:rsidRDefault="00284D54">
      <w:pPr>
        <w:ind w:left="993"/>
        <w:jc w:val="both"/>
        <w:rPr>
          <w:sz w:val="20"/>
        </w:rPr>
      </w:pPr>
      <w:r w:rsidRPr="00284D54">
        <w:rPr>
          <w:i/>
          <w:sz w:val="20"/>
        </w:rPr>
        <w:t>Note</w:t>
      </w:r>
      <w:r w:rsidRPr="00284D54">
        <w:rPr>
          <w:sz w:val="20"/>
        </w:rPr>
        <w:t xml:space="preserve"> All legislative instruments and compilations are registered on the Federal Register of Legislative Instruments kept under the </w:t>
      </w:r>
      <w:r w:rsidRPr="00284D54">
        <w:rPr>
          <w:i/>
          <w:sz w:val="20"/>
        </w:rPr>
        <w:t>Legislative Instruments Act 2003</w:t>
      </w:r>
      <w:r w:rsidRPr="00284D54">
        <w:rPr>
          <w:sz w:val="20"/>
        </w:rPr>
        <w:t>. See http://www.frli.gov.au.</w:t>
      </w:r>
    </w:p>
    <w:p w:rsidR="006B6CBE" w:rsidRPr="00D929B6" w:rsidRDefault="006B6CBE" w:rsidP="00D929B6">
      <w:pPr>
        <w:pStyle w:val="HR"/>
        <w:rPr>
          <w:rStyle w:val="CharSectno"/>
        </w:rPr>
      </w:pPr>
      <w:bookmarkStart w:id="7" w:name="OLE_LINK1"/>
      <w:r>
        <w:rPr>
          <w:rStyle w:val="CharSectno"/>
        </w:rPr>
        <w:t>1.3</w:t>
      </w:r>
      <w:r>
        <w:rPr>
          <w:rStyle w:val="CharSectno"/>
        </w:rPr>
        <w:tab/>
      </w:r>
      <w:r w:rsidRPr="00D929B6">
        <w:rPr>
          <w:rStyle w:val="CharSectno"/>
        </w:rPr>
        <w:t xml:space="preserve">Purpose of these </w:t>
      </w:r>
      <w:r>
        <w:rPr>
          <w:rStyle w:val="CharSectno"/>
        </w:rPr>
        <w:t>Advisory G</w:t>
      </w:r>
      <w:r w:rsidRPr="00D929B6">
        <w:rPr>
          <w:rStyle w:val="CharSectno"/>
        </w:rPr>
        <w:t>uidelines</w:t>
      </w:r>
      <w:bookmarkEnd w:id="6"/>
    </w:p>
    <w:p w:rsidR="00F0035D" w:rsidRDefault="006B6CBE">
      <w:pPr>
        <w:pStyle w:val="R1"/>
        <w:ind w:hanging="397"/>
      </w:pPr>
      <w:r>
        <w:tab/>
        <w:t xml:space="preserve">(1) The purpose of these Advisory Guidelines is to manage interference </w:t>
      </w:r>
      <w:r w:rsidRPr="005C59A6">
        <w:t xml:space="preserve">from radiocommunications transmitters operated under </w:t>
      </w:r>
      <w:r>
        <w:t>a</w:t>
      </w:r>
      <w:r w:rsidRPr="005C59A6">
        <w:t xml:space="preserve"> spectrum licence</w:t>
      </w:r>
      <w:r>
        <w:t xml:space="preserve"> in the 700 MHz band by providing for the protection of radiocommunications receivers operating in or adjacent to the 700 MHz band</w:t>
      </w:r>
      <w:r w:rsidR="00311081">
        <w:t>.</w:t>
      </w:r>
    </w:p>
    <w:p w:rsidR="006B6CBE" w:rsidRDefault="006B6CBE" w:rsidP="00D929B6">
      <w:pPr>
        <w:pStyle w:val="R1"/>
        <w:ind w:hanging="397"/>
      </w:pPr>
      <w:r>
        <w:t>(2) The ACMA will take these Advisory Guidelines into account in determining whether a spectrum licensed radiocommunications transmitter is causing interference to a radiocommunications receiver operating in any of the circumstances set out in these Advisory Guidelines.</w:t>
      </w:r>
    </w:p>
    <w:p w:rsidR="006B6CBE" w:rsidRPr="003032A4" w:rsidRDefault="006B6CBE" w:rsidP="003032A4">
      <w:pPr>
        <w:pStyle w:val="R1"/>
        <w:ind w:hanging="397"/>
      </w:pPr>
      <w:r>
        <w:t>(3)</w:t>
      </w:r>
      <w:r>
        <w:tab/>
      </w:r>
      <w:r w:rsidRPr="003032A4">
        <w:t>These Advisory Guidelines do not prevent a licensee negotiating other protection requirements with another licensee.</w:t>
      </w:r>
    </w:p>
    <w:p w:rsidR="006B6CBE" w:rsidRPr="00D929B6" w:rsidRDefault="006B6CBE" w:rsidP="00D929B6">
      <w:pPr>
        <w:pStyle w:val="HR"/>
        <w:rPr>
          <w:rStyle w:val="CharSectno"/>
        </w:rPr>
      </w:pPr>
      <w:bookmarkStart w:id="8" w:name="_Toc308185031"/>
      <w:bookmarkEnd w:id="7"/>
      <w:r>
        <w:rPr>
          <w:rStyle w:val="CharSectno"/>
        </w:rPr>
        <w:t>1.4</w:t>
      </w:r>
      <w:r>
        <w:rPr>
          <w:rStyle w:val="CharSectno"/>
        </w:rPr>
        <w:tab/>
      </w:r>
      <w:r w:rsidRPr="00D929B6">
        <w:rPr>
          <w:rStyle w:val="CharSectno"/>
        </w:rPr>
        <w:t>Interpretation</w:t>
      </w:r>
      <w:bookmarkEnd w:id="8"/>
    </w:p>
    <w:p w:rsidR="006B6CBE" w:rsidRDefault="006B6CBE" w:rsidP="00B31BE3">
      <w:pPr>
        <w:pStyle w:val="R1"/>
        <w:ind w:hanging="397"/>
      </w:pPr>
      <w:r>
        <w:t>(1)  In these Advisory Guidelines, unless the contrary intention appears:</w:t>
      </w:r>
    </w:p>
    <w:p w:rsidR="006B6CBE" w:rsidRDefault="006B6CBE">
      <w:pPr>
        <w:pStyle w:val="definition"/>
        <w:rPr>
          <w:b/>
          <w:i/>
        </w:rPr>
      </w:pPr>
      <w:r w:rsidRPr="00BA7AA5">
        <w:rPr>
          <w:b/>
          <w:i/>
        </w:rPr>
        <w:t xml:space="preserve">700 MHz band </w:t>
      </w:r>
      <w:r w:rsidRPr="00BA7AA5">
        <w:t>means the frequency bands:</w:t>
      </w:r>
    </w:p>
    <w:p w:rsidR="00311081" w:rsidRDefault="006B6CBE" w:rsidP="00311081">
      <w:pPr>
        <w:pStyle w:val="P1"/>
        <w:keepLines w:val="0"/>
        <w:numPr>
          <w:ilvl w:val="0"/>
          <w:numId w:val="36"/>
        </w:numPr>
      </w:pPr>
      <w:r>
        <w:t>703 MHz to 748 MHz (</w:t>
      </w:r>
      <w:r w:rsidR="00311081">
        <w:t xml:space="preserve">the </w:t>
      </w:r>
      <w:r w:rsidRPr="00311081">
        <w:rPr>
          <w:b/>
          <w:i/>
        </w:rPr>
        <w:t>700 MHz lower band</w:t>
      </w:r>
      <w:r>
        <w:t>); and</w:t>
      </w:r>
    </w:p>
    <w:p w:rsidR="006B6CBE" w:rsidRDefault="00311081" w:rsidP="00311081">
      <w:pPr>
        <w:pStyle w:val="P1"/>
        <w:keepLines w:val="0"/>
        <w:numPr>
          <w:ilvl w:val="0"/>
          <w:numId w:val="36"/>
        </w:numPr>
      </w:pPr>
      <w:r>
        <w:t>758 MHz to 803 MHz</w:t>
      </w:r>
      <w:r w:rsidR="006B6CBE">
        <w:t xml:space="preserve"> (</w:t>
      </w:r>
      <w:r>
        <w:t xml:space="preserve">the </w:t>
      </w:r>
      <w:r w:rsidR="006B6CBE" w:rsidRPr="00051A31">
        <w:rPr>
          <w:b/>
          <w:i/>
        </w:rPr>
        <w:t>700 MHz upper band</w:t>
      </w:r>
      <w:r w:rsidR="006B6CBE">
        <w:t>).</w:t>
      </w:r>
    </w:p>
    <w:p w:rsidR="006B6CBE" w:rsidRDefault="001D14EF">
      <w:pPr>
        <w:pStyle w:val="definition"/>
        <w:rPr>
          <w:b/>
          <w:i/>
        </w:rPr>
      </w:pPr>
      <w:r w:rsidRPr="001D14EF">
        <w:rPr>
          <w:b/>
          <w:i/>
        </w:rPr>
        <w:t xml:space="preserve">Act </w:t>
      </w:r>
      <w:r w:rsidRPr="001D14EF">
        <w:t xml:space="preserve">means the </w:t>
      </w:r>
      <w:r w:rsidRPr="00592CAA">
        <w:rPr>
          <w:i/>
        </w:rPr>
        <w:t>Radiocommunications Act 1992</w:t>
      </w:r>
      <w:r w:rsidRPr="001D14EF">
        <w:t>.</w:t>
      </w:r>
    </w:p>
    <w:p w:rsidR="006B6CBE" w:rsidRDefault="006B6CBE">
      <w:pPr>
        <w:pStyle w:val="definition"/>
        <w:rPr>
          <w:b/>
          <w:i/>
        </w:rPr>
      </w:pPr>
      <w:proofErr w:type="gramStart"/>
      <w:r w:rsidRPr="00BA7AA5">
        <w:rPr>
          <w:b/>
          <w:i/>
        </w:rPr>
        <w:t>broadcasting</w:t>
      </w:r>
      <w:proofErr w:type="gramEnd"/>
      <w:r w:rsidRPr="00BA7AA5">
        <w:rPr>
          <w:b/>
          <w:i/>
        </w:rPr>
        <w:t xml:space="preserve"> service </w:t>
      </w:r>
      <w:r w:rsidRPr="00BA7AA5">
        <w:t>has the meaning given by section 6 of the</w:t>
      </w:r>
      <w:r w:rsidRPr="00BA7AA5">
        <w:rPr>
          <w:i/>
        </w:rPr>
        <w:t xml:space="preserve"> Broadcasting Services Act 1992</w:t>
      </w:r>
      <w:r w:rsidRPr="00BA7AA5">
        <w:t>.</w:t>
      </w:r>
    </w:p>
    <w:p w:rsidR="006B6CBE" w:rsidRDefault="006B6CBE">
      <w:pPr>
        <w:pStyle w:val="definition"/>
        <w:rPr>
          <w:i/>
        </w:rPr>
      </w:pPr>
      <w:r w:rsidRPr="00BA7AA5">
        <w:rPr>
          <w:b/>
          <w:i/>
        </w:rPr>
        <w:t xml:space="preserve">Mid-West Radio Quiet Zone </w:t>
      </w:r>
      <w:r w:rsidRPr="00BA7AA5">
        <w:t>means the area defined in the Schedule to the</w:t>
      </w:r>
      <w:r w:rsidRPr="00BA7AA5">
        <w:rPr>
          <w:b/>
          <w:i/>
        </w:rPr>
        <w:t xml:space="preserve"> </w:t>
      </w:r>
      <w:r w:rsidRPr="00BA7AA5">
        <w:rPr>
          <w:i/>
        </w:rPr>
        <w:t>Radiocommunications (Mid-West Radio Quiet Zone) Frequency Band Plan 2011</w:t>
      </w:r>
      <w:r w:rsidRPr="00BA7AA5">
        <w:t>.</w:t>
      </w:r>
    </w:p>
    <w:p w:rsidR="006B6CBE" w:rsidRPr="00007B39" w:rsidRDefault="006B6CBE" w:rsidP="002C423B">
      <w:pPr>
        <w:pStyle w:val="definition"/>
      </w:pPr>
      <w:r w:rsidRPr="00BA7AA5">
        <w:rPr>
          <w:b/>
          <w:i/>
        </w:rPr>
        <w:t>RALI MS</w:t>
      </w:r>
      <w:r w:rsidRPr="00BA7AA5">
        <w:rPr>
          <w:b/>
          <w:i/>
        </w:rPr>
        <w:noBreakHyphen/>
        <w:t xml:space="preserve">32 </w:t>
      </w:r>
      <w:r w:rsidRPr="00BA7AA5">
        <w:t>means the Radiocommunications Assignment and Licensing Instruction No. MS</w:t>
      </w:r>
      <w:r w:rsidRPr="00BA7AA5">
        <w:noBreakHyphen/>
        <w:t xml:space="preserve">32 Coordination of Apparatus Licensed Services </w:t>
      </w:r>
      <w:proofErr w:type="gramStart"/>
      <w:r w:rsidRPr="00BA7AA5">
        <w:t>Within The</w:t>
      </w:r>
      <w:proofErr w:type="gramEnd"/>
      <w:r w:rsidRPr="00BA7AA5">
        <w:t xml:space="preserve"> Mid West Radio Quiet Zone, published by the ACMA, as in force from time to time.</w:t>
      </w:r>
    </w:p>
    <w:p w:rsidR="002D4EE7" w:rsidRDefault="002D4EE7" w:rsidP="002D4EE7">
      <w:pPr>
        <w:pStyle w:val="definition"/>
        <w:ind w:left="992"/>
      </w:pPr>
      <w:proofErr w:type="gramStart"/>
      <w:r>
        <w:rPr>
          <w:b/>
          <w:bCs/>
          <w:i/>
          <w:iCs/>
        </w:rPr>
        <w:t>retransmission</w:t>
      </w:r>
      <w:proofErr w:type="gramEnd"/>
      <w:r>
        <w:rPr>
          <w:b/>
          <w:bCs/>
          <w:i/>
          <w:iCs/>
        </w:rPr>
        <w:t xml:space="preserve"> service </w:t>
      </w:r>
      <w:r>
        <w:t xml:space="preserve">means a service that is referred to subsection 212(1) of the </w:t>
      </w:r>
      <w:r>
        <w:rPr>
          <w:i/>
          <w:iCs/>
        </w:rPr>
        <w:t>Broadcasting Services Act 1992</w:t>
      </w:r>
      <w:r>
        <w:t>.</w:t>
      </w:r>
    </w:p>
    <w:p w:rsidR="006B6CBE" w:rsidRPr="00051A31" w:rsidRDefault="006B6CBE">
      <w:pPr>
        <w:pStyle w:val="definition"/>
        <w:rPr>
          <w:b/>
          <w:i/>
        </w:rPr>
      </w:pPr>
      <w:r w:rsidRPr="00BA7AA5">
        <w:rPr>
          <w:b/>
          <w:i/>
        </w:rPr>
        <w:t xml:space="preserve">TLAP </w:t>
      </w:r>
      <w:r w:rsidRPr="00051A31">
        <w:t>means a television licence area plan, which has the meaning given by subsection 6(1) of the</w:t>
      </w:r>
      <w:r w:rsidRPr="00051A31">
        <w:rPr>
          <w:b/>
          <w:i/>
        </w:rPr>
        <w:t xml:space="preserve"> </w:t>
      </w:r>
      <w:r w:rsidRPr="00051A31">
        <w:rPr>
          <w:i/>
        </w:rPr>
        <w:t>Broadcasting Services Act 1992</w:t>
      </w:r>
      <w:r w:rsidRPr="00051A31">
        <w:t>.</w:t>
      </w:r>
    </w:p>
    <w:p w:rsidR="006B6CBE" w:rsidRPr="00051A31" w:rsidRDefault="006B6CBE" w:rsidP="00051A31">
      <w:pPr>
        <w:spacing w:before="120" w:after="120"/>
        <w:ind w:left="964" w:hanging="397"/>
        <w:jc w:val="both"/>
        <w:rPr>
          <w:szCs w:val="24"/>
          <w:lang w:val="en-AU"/>
        </w:rPr>
      </w:pPr>
      <w:r>
        <w:t>(2)</w:t>
      </w:r>
      <w:r>
        <w:tab/>
      </w:r>
      <w:r w:rsidRPr="00051A31">
        <w:rPr>
          <w:szCs w:val="24"/>
          <w:lang w:val="en-AU"/>
        </w:rPr>
        <w:t xml:space="preserve">The following terms used in these Advisory Guidelines are defined in the </w:t>
      </w:r>
      <w:r w:rsidR="00945CDC" w:rsidRPr="00945CDC">
        <w:rPr>
          <w:i/>
          <w:szCs w:val="24"/>
          <w:lang w:val="en-AU"/>
        </w:rPr>
        <w:t>Radiocommunications (Unacceptable Levels of Interference – 700MHz Band) Determination 2012</w:t>
      </w:r>
      <w:r w:rsidRPr="00051A31">
        <w:rPr>
          <w:szCs w:val="24"/>
          <w:lang w:val="en-AU"/>
        </w:rPr>
        <w:t>, and have the same meaning as in that determination:</w:t>
      </w:r>
    </w:p>
    <w:p w:rsidR="006B6CBE" w:rsidRDefault="006B6CBE" w:rsidP="00051A31">
      <w:pPr>
        <w:pStyle w:val="P1"/>
        <w:keepLines w:val="0"/>
      </w:pPr>
      <w:r>
        <w:tab/>
        <w:t>(a)</w:t>
      </w:r>
      <w:r>
        <w:tab/>
      </w:r>
      <w:proofErr w:type="gramStart"/>
      <w:r>
        <w:t>fixed</w:t>
      </w:r>
      <w:proofErr w:type="gramEnd"/>
      <w:r>
        <w:t xml:space="preserve"> receiver;</w:t>
      </w:r>
    </w:p>
    <w:p w:rsidR="006B6CBE" w:rsidRDefault="006B6CBE" w:rsidP="00051A31">
      <w:pPr>
        <w:pStyle w:val="P1"/>
        <w:keepLines w:val="0"/>
      </w:pPr>
      <w:r>
        <w:tab/>
        <w:t>(b)</w:t>
      </w:r>
      <w:r>
        <w:tab/>
      </w:r>
      <w:proofErr w:type="gramStart"/>
      <w:r>
        <w:t>fixed</w:t>
      </w:r>
      <w:proofErr w:type="gramEnd"/>
      <w:r>
        <w:t xml:space="preserve"> transmitter;</w:t>
      </w:r>
      <w:r w:rsidRPr="00940EC1">
        <w:t xml:space="preserve"> </w:t>
      </w:r>
      <w:r>
        <w:t>and</w:t>
      </w:r>
    </w:p>
    <w:p w:rsidR="006B6CBE" w:rsidRDefault="006B6CBE" w:rsidP="00051A31">
      <w:pPr>
        <w:pStyle w:val="P1"/>
        <w:keepLines w:val="0"/>
      </w:pPr>
      <w:r>
        <w:tab/>
        <w:t>(c)</w:t>
      </w:r>
      <w:r>
        <w:tab/>
      </w:r>
      <w:proofErr w:type="gramStart"/>
      <w:r>
        <w:t>geographic</w:t>
      </w:r>
      <w:proofErr w:type="gramEnd"/>
      <w:r>
        <w:t xml:space="preserve"> area. </w:t>
      </w:r>
    </w:p>
    <w:p w:rsidR="006B6CBE" w:rsidRDefault="006B6CBE" w:rsidP="00D929B6">
      <w:pPr>
        <w:ind w:left="993"/>
        <w:rPr>
          <w:i/>
          <w:sz w:val="20"/>
        </w:rPr>
      </w:pPr>
    </w:p>
    <w:p w:rsidR="00945CDC" w:rsidRDefault="006B6CBE" w:rsidP="00945CDC">
      <w:pPr>
        <w:ind w:left="993"/>
        <w:jc w:val="both"/>
        <w:rPr>
          <w:sz w:val="20"/>
        </w:rPr>
      </w:pPr>
      <w:r w:rsidRPr="001E2A70">
        <w:rPr>
          <w:i/>
          <w:sz w:val="20"/>
        </w:rPr>
        <w:t>Note</w:t>
      </w:r>
      <w:r>
        <w:rPr>
          <w:sz w:val="20"/>
        </w:rPr>
        <w:tab/>
        <w:t xml:space="preserve">A number of terms used in these Advisory Guidelines are defined in the </w:t>
      </w:r>
      <w:r w:rsidRPr="00B31BE3">
        <w:rPr>
          <w:i/>
          <w:sz w:val="20"/>
        </w:rPr>
        <w:t>Radiocommunications Act 1992</w:t>
      </w:r>
      <w:r w:rsidRPr="00ED1B19">
        <w:rPr>
          <w:sz w:val="20"/>
        </w:rPr>
        <w:t>,</w:t>
      </w:r>
      <w:r w:rsidRPr="00566604">
        <w:rPr>
          <w:sz w:val="20"/>
        </w:rPr>
        <w:t xml:space="preserve"> </w:t>
      </w:r>
      <w:r>
        <w:rPr>
          <w:sz w:val="20"/>
        </w:rPr>
        <w:t>and have the meanings given to them by that Act:</w:t>
      </w:r>
    </w:p>
    <w:p w:rsidR="006B6CBE" w:rsidRDefault="006B6CBE">
      <w:pPr>
        <w:numPr>
          <w:ilvl w:val="0"/>
          <w:numId w:val="24"/>
        </w:numPr>
        <w:rPr>
          <w:sz w:val="20"/>
        </w:rPr>
      </w:pPr>
      <w:r>
        <w:rPr>
          <w:sz w:val="20"/>
        </w:rPr>
        <w:t>ACMA</w:t>
      </w:r>
    </w:p>
    <w:p w:rsidR="006B6CBE" w:rsidRDefault="006B6CBE">
      <w:pPr>
        <w:numPr>
          <w:ilvl w:val="0"/>
          <w:numId w:val="24"/>
        </w:numPr>
        <w:rPr>
          <w:sz w:val="20"/>
        </w:rPr>
      </w:pPr>
      <w:r>
        <w:rPr>
          <w:sz w:val="20"/>
        </w:rPr>
        <w:t>core condition</w:t>
      </w:r>
      <w:r w:rsidDel="00940EC1">
        <w:rPr>
          <w:sz w:val="20"/>
        </w:rPr>
        <w:t xml:space="preserve"> </w:t>
      </w:r>
    </w:p>
    <w:p w:rsidR="006B6CBE" w:rsidRDefault="006B6CBE" w:rsidP="00940EC1">
      <w:pPr>
        <w:numPr>
          <w:ilvl w:val="0"/>
          <w:numId w:val="24"/>
        </w:numPr>
        <w:rPr>
          <w:sz w:val="20"/>
        </w:rPr>
      </w:pPr>
      <w:r>
        <w:rPr>
          <w:sz w:val="20"/>
        </w:rPr>
        <w:t xml:space="preserve">frequency band </w:t>
      </w:r>
    </w:p>
    <w:p w:rsidR="006B6CBE" w:rsidRDefault="006B6CBE">
      <w:pPr>
        <w:numPr>
          <w:ilvl w:val="0"/>
          <w:numId w:val="24"/>
        </w:numPr>
        <w:rPr>
          <w:sz w:val="20"/>
        </w:rPr>
      </w:pPr>
      <w:r>
        <w:rPr>
          <w:sz w:val="20"/>
        </w:rPr>
        <w:t xml:space="preserve">interference </w:t>
      </w:r>
    </w:p>
    <w:p w:rsidR="006B6CBE" w:rsidRDefault="006B6CBE">
      <w:pPr>
        <w:numPr>
          <w:ilvl w:val="0"/>
          <w:numId w:val="24"/>
        </w:numPr>
        <w:rPr>
          <w:sz w:val="20"/>
        </w:rPr>
      </w:pPr>
      <w:r>
        <w:rPr>
          <w:sz w:val="20"/>
        </w:rPr>
        <w:t>radiocommunications receiver</w:t>
      </w:r>
    </w:p>
    <w:p w:rsidR="006B6CBE" w:rsidRDefault="006B6CBE">
      <w:pPr>
        <w:numPr>
          <w:ilvl w:val="0"/>
          <w:numId w:val="24"/>
        </w:numPr>
        <w:rPr>
          <w:sz w:val="20"/>
        </w:rPr>
      </w:pPr>
      <w:r>
        <w:rPr>
          <w:sz w:val="20"/>
        </w:rPr>
        <w:t>radiocommunications transmitter</w:t>
      </w:r>
    </w:p>
    <w:p w:rsidR="006B6CBE" w:rsidRDefault="006B6CBE">
      <w:pPr>
        <w:numPr>
          <w:ilvl w:val="0"/>
          <w:numId w:val="24"/>
        </w:numPr>
        <w:rPr>
          <w:sz w:val="20"/>
        </w:rPr>
      </w:pPr>
      <w:r>
        <w:rPr>
          <w:sz w:val="20"/>
        </w:rPr>
        <w:t>re-allocation period</w:t>
      </w:r>
    </w:p>
    <w:p w:rsidR="006B6CBE" w:rsidRDefault="006B6CBE">
      <w:pPr>
        <w:numPr>
          <w:ilvl w:val="0"/>
          <w:numId w:val="24"/>
        </w:numPr>
        <w:rPr>
          <w:sz w:val="20"/>
        </w:rPr>
      </w:pPr>
      <w:r>
        <w:rPr>
          <w:sz w:val="20"/>
        </w:rPr>
        <w:t>spectrum licence</w:t>
      </w:r>
    </w:p>
    <w:p w:rsidR="006B6CBE" w:rsidRDefault="006B6CBE">
      <w:pPr>
        <w:spacing w:after="200" w:line="276" w:lineRule="auto"/>
        <w:rPr>
          <w:sz w:val="20"/>
        </w:rPr>
      </w:pPr>
      <w:r>
        <w:rPr>
          <w:sz w:val="20"/>
        </w:rPr>
        <w:br w:type="page"/>
      </w:r>
    </w:p>
    <w:p w:rsidR="006B6CBE" w:rsidRDefault="006B6CBE" w:rsidP="00D929B6">
      <w:pPr>
        <w:ind w:left="993"/>
        <w:rPr>
          <w:sz w:val="20"/>
        </w:rPr>
      </w:pPr>
      <w:r>
        <w:rPr>
          <w:sz w:val="20"/>
        </w:rPr>
        <w:tab/>
      </w:r>
    </w:p>
    <w:p w:rsidR="006B6CBE" w:rsidRDefault="006B6CBE">
      <w:pPr>
        <w:rPr>
          <w:b/>
        </w:rPr>
      </w:pPr>
    </w:p>
    <w:p w:rsidR="006B6CBE" w:rsidRPr="00566604" w:rsidRDefault="006B6CBE" w:rsidP="00FD6640">
      <w:pPr>
        <w:rPr>
          <w:rFonts w:ascii="Arial" w:hAnsi="Arial" w:cs="Arial"/>
          <w:b/>
          <w:sz w:val="28"/>
          <w:szCs w:val="28"/>
        </w:rPr>
      </w:pPr>
      <w:r w:rsidRPr="00ED1B19">
        <w:rPr>
          <w:rFonts w:ascii="Arial" w:hAnsi="Arial" w:cs="Arial"/>
          <w:b/>
          <w:sz w:val="28"/>
          <w:szCs w:val="28"/>
        </w:rPr>
        <w:t>Part 2</w:t>
      </w:r>
      <w:r w:rsidRPr="00ED1B19">
        <w:rPr>
          <w:rFonts w:ascii="Arial" w:hAnsi="Arial" w:cs="Arial"/>
          <w:b/>
          <w:sz w:val="28"/>
          <w:szCs w:val="28"/>
        </w:rPr>
        <w:tab/>
      </w:r>
      <w:r w:rsidRPr="00ED1B19">
        <w:rPr>
          <w:rFonts w:ascii="Arial" w:hAnsi="Arial" w:cs="Arial"/>
          <w:b/>
          <w:sz w:val="28"/>
          <w:szCs w:val="28"/>
        </w:rPr>
        <w:tab/>
        <w:t>Background</w:t>
      </w:r>
    </w:p>
    <w:p w:rsidR="006B6CBE" w:rsidRDefault="006B6CBE" w:rsidP="00E00F40">
      <w:pPr>
        <w:pStyle w:val="HR"/>
      </w:pPr>
      <w:r>
        <w:t>2.1</w:t>
      </w:r>
      <w:r>
        <w:tab/>
        <w:t>Background</w:t>
      </w:r>
    </w:p>
    <w:p w:rsidR="006B6CBE" w:rsidRDefault="006B6CBE">
      <w:pPr>
        <w:pStyle w:val="R1"/>
        <w:keepNext/>
      </w:pPr>
      <w:r w:rsidRPr="00E00F40" w:rsidDel="00FB783C">
        <w:t xml:space="preserve"> </w:t>
      </w:r>
      <w:r>
        <w:tab/>
        <w:t>(1)</w:t>
      </w:r>
      <w:r>
        <w:tab/>
      </w:r>
      <w:r w:rsidR="000B6177">
        <w:t>R</w:t>
      </w:r>
      <w:r>
        <w:t>adiocommunications receivers</w:t>
      </w:r>
      <w:r w:rsidRPr="004635E8">
        <w:t xml:space="preserve"> operate in</w:t>
      </w:r>
      <w:r>
        <w:t xml:space="preserve"> or </w:t>
      </w:r>
      <w:r w:rsidRPr="004635E8">
        <w:t xml:space="preserve">adjacent </w:t>
      </w:r>
      <w:r>
        <w:t>to the 700 MHz band</w:t>
      </w:r>
      <w:r w:rsidRPr="004635E8">
        <w:t>.</w:t>
      </w:r>
      <w:r>
        <w:t xml:space="preserve"> </w:t>
      </w:r>
      <w:r w:rsidRPr="004635E8">
        <w:t>These</w:t>
      </w:r>
      <w:r>
        <w:t xml:space="preserve"> radiocommunications</w:t>
      </w:r>
      <w:r w:rsidRPr="004635E8">
        <w:t xml:space="preserve"> receivers</w:t>
      </w:r>
      <w:r w:rsidR="000B6177">
        <w:t xml:space="preserve">, which include apparatus, class and spectrum licensed </w:t>
      </w:r>
      <w:proofErr w:type="gramStart"/>
      <w:r w:rsidR="000B6177">
        <w:t>receivers,</w:t>
      </w:r>
      <w:proofErr w:type="gramEnd"/>
      <w:r w:rsidRPr="004635E8">
        <w:t xml:space="preserve"> could </w:t>
      </w:r>
      <w:r>
        <w:t xml:space="preserve">potentially </w:t>
      </w:r>
      <w:r w:rsidRPr="004635E8">
        <w:t xml:space="preserve">suffer interference caused by </w:t>
      </w:r>
      <w:r>
        <w:t xml:space="preserve">radiocommunications </w:t>
      </w:r>
      <w:r w:rsidRPr="004635E8">
        <w:t xml:space="preserve">transmitters operated under </w:t>
      </w:r>
      <w:r>
        <w:t>a spectrum licence in the</w:t>
      </w:r>
      <w:r w:rsidRPr="004635E8">
        <w:t xml:space="preserve"> </w:t>
      </w:r>
      <w:r>
        <w:t xml:space="preserve">700 MHz band. </w:t>
      </w:r>
    </w:p>
    <w:p w:rsidR="006B6CBE" w:rsidRDefault="006B6CBE">
      <w:pPr>
        <w:pStyle w:val="R1"/>
        <w:rPr>
          <w:rFonts w:ascii="TimesNewRoman" w:hAnsi="TimesNewRoman" w:cs="TimesNewRoman"/>
        </w:rPr>
      </w:pPr>
      <w:r>
        <w:rPr>
          <w:rFonts w:ascii="TimesNewRoman" w:hAnsi="TimesNewRoman" w:cs="TimesNewRoman"/>
        </w:rPr>
        <w:tab/>
        <w:t>(2)</w:t>
      </w:r>
      <w:r>
        <w:rPr>
          <w:rFonts w:ascii="TimesNewRoman" w:hAnsi="TimesNewRoman" w:cs="TimesNewRoman"/>
        </w:rPr>
        <w:tab/>
        <w:t xml:space="preserve">These Advisory Guidelines have been made for the management of this interference to radiocommunications receivers operating in </w:t>
      </w:r>
      <w:r w:rsidR="00830DCE">
        <w:rPr>
          <w:rFonts w:ascii="TimesNewRoman" w:hAnsi="TimesNewRoman" w:cs="TimesNewRoman"/>
        </w:rPr>
        <w:t xml:space="preserve">and adjacent to </w:t>
      </w:r>
      <w:r>
        <w:rPr>
          <w:rFonts w:ascii="TimesNewRoman" w:hAnsi="TimesNewRoman" w:cs="TimesNewRoman"/>
        </w:rPr>
        <w:t xml:space="preserve">the </w:t>
      </w:r>
      <w:r w:rsidR="00830DCE">
        <w:rPr>
          <w:rFonts w:ascii="TimesNewRoman" w:hAnsi="TimesNewRoman" w:cs="TimesNewRoman"/>
        </w:rPr>
        <w:t>700 MHz band</w:t>
      </w:r>
      <w:r w:rsidR="00F92EE0">
        <w:rPr>
          <w:rFonts w:ascii="TimesNewRoman" w:hAnsi="TimesNewRoman" w:cs="TimesNewRoman"/>
        </w:rPr>
        <w:t>,</w:t>
      </w:r>
      <w:r w:rsidR="00830DCE">
        <w:rPr>
          <w:rFonts w:ascii="TimesNewRoman" w:hAnsi="TimesNewRoman" w:cs="TimesNewRoman"/>
        </w:rPr>
        <w:t xml:space="preserve"> including </w:t>
      </w:r>
      <w:r w:rsidR="00C20577">
        <w:rPr>
          <w:rFonts w:ascii="TimesNewRoman" w:hAnsi="TimesNewRoman" w:cs="TimesNewRoman"/>
        </w:rPr>
        <w:t xml:space="preserve">in </w:t>
      </w:r>
      <w:r w:rsidR="00830DCE">
        <w:rPr>
          <w:rFonts w:ascii="TimesNewRoman" w:hAnsi="TimesNewRoman" w:cs="TimesNewRoman"/>
        </w:rPr>
        <w:t xml:space="preserve">the </w:t>
      </w:r>
      <w:r>
        <w:rPr>
          <w:rFonts w:ascii="TimesNewRoman" w:hAnsi="TimesNewRoman" w:cs="TimesNewRoman"/>
        </w:rPr>
        <w:t>following circumstances:</w:t>
      </w:r>
    </w:p>
    <w:p w:rsidR="006B6CBE" w:rsidRDefault="006B6CBE" w:rsidP="00051A31">
      <w:pPr>
        <w:pStyle w:val="P1"/>
        <w:keepLines w:val="0"/>
      </w:pPr>
      <w:r>
        <w:tab/>
        <w:t>(a)</w:t>
      </w:r>
      <w:r>
        <w:tab/>
      </w:r>
      <w:r w:rsidRPr="00BA7AA5">
        <w:t>digital television receivers operating below the 694 MHz frequency boundary after the end of the re-allocation period for the 700 MHz band on 31 December 2014 (Part 3 of these Advisory Guidelines);</w:t>
      </w:r>
    </w:p>
    <w:p w:rsidR="006B6CBE" w:rsidRDefault="006B6CBE" w:rsidP="00051A31">
      <w:pPr>
        <w:pStyle w:val="P1"/>
        <w:keepLines w:val="0"/>
      </w:pPr>
      <w:r>
        <w:tab/>
        <w:t>(b)</w:t>
      </w:r>
      <w:r>
        <w:tab/>
      </w:r>
      <w:r w:rsidRPr="00BA7AA5">
        <w:t>digital television receivers operating in the 700 MHz band after the end of the re-allocation period for the 700 MHz band on 31 December 2014 (Part 4 of these Advisory Guidelines);</w:t>
      </w:r>
    </w:p>
    <w:p w:rsidR="006B6CBE" w:rsidRDefault="006B6CBE" w:rsidP="00051A31">
      <w:pPr>
        <w:pStyle w:val="P1"/>
        <w:keepLines w:val="0"/>
      </w:pPr>
      <w:r>
        <w:tab/>
        <w:t>(c)</w:t>
      </w:r>
      <w:r>
        <w:tab/>
      </w:r>
      <w:proofErr w:type="gramStart"/>
      <w:r>
        <w:t>the</w:t>
      </w:r>
      <w:proofErr w:type="gramEnd"/>
      <w:r>
        <w:t xml:space="preserve"> Mid-West Radio Quiet Zone (Part 5 of these Advisory Guidelines).</w:t>
      </w:r>
    </w:p>
    <w:p w:rsidR="006B6CBE" w:rsidRDefault="006B6CBE">
      <w:pPr>
        <w:pStyle w:val="R1"/>
        <w:rPr>
          <w:rFonts w:ascii="TimesNewRoman" w:hAnsi="TimesNewRoman" w:cs="TimesNewRoman"/>
        </w:rPr>
      </w:pPr>
      <w:r>
        <w:rPr>
          <w:rFonts w:ascii="TimesNewRoman" w:hAnsi="TimesNewRoman" w:cs="TimesNewRoman"/>
        </w:rPr>
        <w:tab/>
        <w:t>(3)</w:t>
      </w:r>
      <w:r>
        <w:rPr>
          <w:rFonts w:ascii="TimesNewRoman" w:hAnsi="TimesNewRoman" w:cs="TimesNewRoman"/>
        </w:rPr>
        <w:tab/>
      </w:r>
      <w:r w:rsidRPr="00D929B6">
        <w:rPr>
          <w:rFonts w:ascii="TimesNewRoman" w:hAnsi="TimesNewRoman" w:cs="TimesNewRoman"/>
        </w:rPr>
        <w:t xml:space="preserve">As radio waves propagate in different ways because of factors such as frequency, terrain, atmospheric conditions and path length, there are a number of ways to predict path loss. </w:t>
      </w:r>
      <w:r>
        <w:rPr>
          <w:rFonts w:ascii="TimesNewRoman" w:hAnsi="TimesNewRoman"/>
        </w:rPr>
        <w:t xml:space="preserve">The </w:t>
      </w:r>
      <w:r>
        <w:rPr>
          <w:rFonts w:ascii="TimesNewRoman" w:hAnsi="TimesNewRoman" w:cs="TimesNewRoman"/>
        </w:rPr>
        <w:t xml:space="preserve">International Telecommunication Union’s </w:t>
      </w:r>
      <w:r w:rsidRPr="005C2797">
        <w:rPr>
          <w:rFonts w:ascii="TimesNewRoman" w:hAnsi="TimesNewRoman"/>
        </w:rPr>
        <w:t>Radio Sector publishes Recommendation P.1144 “Guide to the application of the propagation methods of Radiocommunication Study Group 3” to assist in the choice and application of propagation prediction methods suitable for determining path loss for coordination. The use of other published models applicable to the band may also be suitable</w:t>
      </w:r>
      <w:r>
        <w:rPr>
          <w:rFonts w:ascii="TimesNewRoman" w:hAnsi="TimesNewRoman"/>
        </w:rPr>
        <w:t>.</w:t>
      </w:r>
    </w:p>
    <w:p w:rsidR="006B6CBE" w:rsidRPr="00060DB2" w:rsidRDefault="006B6CBE" w:rsidP="006F2192">
      <w:pPr>
        <w:pStyle w:val="HP"/>
        <w:ind w:left="0" w:firstLine="0"/>
        <w:rPr>
          <w:b w:val="0"/>
          <w:sz w:val="28"/>
          <w:szCs w:val="28"/>
        </w:rPr>
      </w:pPr>
      <w:r w:rsidRPr="00ED1B19">
        <w:rPr>
          <w:rFonts w:ascii="TimesNewRoman" w:hAnsi="TimesNewRoman" w:cs="TimesNewRoman"/>
          <w:sz w:val="28"/>
          <w:szCs w:val="28"/>
        </w:rPr>
        <w:br w:type="page"/>
      </w:r>
      <w:bookmarkStart w:id="9" w:name="_Toc308185032"/>
      <w:r>
        <w:rPr>
          <w:rStyle w:val="CharPartNo"/>
          <w:sz w:val="28"/>
          <w:szCs w:val="28"/>
        </w:rPr>
        <w:t>Part 3</w:t>
      </w:r>
      <w:r>
        <w:rPr>
          <w:rStyle w:val="CharPartNo"/>
          <w:sz w:val="28"/>
          <w:szCs w:val="28"/>
        </w:rPr>
        <w:tab/>
        <w:t>Digital television receivers operating b</w:t>
      </w:r>
      <w:r w:rsidRPr="00ED1B19">
        <w:rPr>
          <w:rStyle w:val="CharPartNo"/>
          <w:sz w:val="28"/>
          <w:szCs w:val="28"/>
        </w:rPr>
        <w:t>elow 694 MHz</w:t>
      </w:r>
    </w:p>
    <w:p w:rsidR="006B6CBE" w:rsidRPr="00D929B6" w:rsidRDefault="006B6CBE" w:rsidP="00732732">
      <w:pPr>
        <w:pStyle w:val="HR"/>
        <w:rPr>
          <w:rStyle w:val="CharSectno"/>
        </w:rPr>
      </w:pPr>
      <w:r>
        <w:rPr>
          <w:rStyle w:val="CharSectno"/>
        </w:rPr>
        <w:t>3.1</w:t>
      </w:r>
      <w:r>
        <w:rPr>
          <w:rStyle w:val="CharSectno"/>
        </w:rPr>
        <w:tab/>
      </w:r>
      <w:r w:rsidRPr="00D929B6">
        <w:rPr>
          <w:rStyle w:val="CharSectno"/>
        </w:rPr>
        <w:t>Background</w:t>
      </w:r>
    </w:p>
    <w:p w:rsidR="00945CDC" w:rsidRDefault="006B6CBE" w:rsidP="00945CDC">
      <w:pPr>
        <w:spacing w:before="120"/>
        <w:ind w:left="992"/>
        <w:jc w:val="both"/>
      </w:pPr>
      <w:r>
        <w:t xml:space="preserve">Digital television broadcasting </w:t>
      </w:r>
      <w:r w:rsidR="00B83864">
        <w:t xml:space="preserve">and retransmission </w:t>
      </w:r>
      <w:r>
        <w:t>services operat</w:t>
      </w:r>
      <w:r w:rsidR="000B6177">
        <w:t>e</w:t>
      </w:r>
      <w:r>
        <w:t xml:space="preserve"> in the band 520 to 694 </w:t>
      </w:r>
      <w:proofErr w:type="spellStart"/>
      <w:r>
        <w:t>MHz</w:t>
      </w:r>
      <w:r w:rsidR="000B6177">
        <w:t>.</w:t>
      </w:r>
      <w:proofErr w:type="spellEnd"/>
      <w:r>
        <w:t xml:space="preserve"> UHF broadcast channels 49, 50 and 51, are adjacent to the 700 MHz lower band.  The core conditions of the 700 MHz band spectrum licence require radiocommunications transmitters to comply with specific emission limits outside the band in areas where these channels are used.</w:t>
      </w:r>
    </w:p>
    <w:p w:rsidR="006B6CBE" w:rsidRDefault="006B6CBE" w:rsidP="0067351C">
      <w:pPr>
        <w:pStyle w:val="HR"/>
        <w:rPr>
          <w:rFonts w:ascii="TimesNewRoman" w:hAnsi="TimesNewRoman" w:cs="TimesNewRoman"/>
        </w:rPr>
      </w:pPr>
      <w:r>
        <w:rPr>
          <w:rStyle w:val="CharSectno"/>
        </w:rPr>
        <w:t>3.2</w:t>
      </w:r>
      <w:r>
        <w:rPr>
          <w:rStyle w:val="CharSectno"/>
        </w:rPr>
        <w:tab/>
        <w:t>Out-of-band emissions limits from transmitters in the lower band</w:t>
      </w:r>
    </w:p>
    <w:p w:rsidR="006B6CBE" w:rsidRDefault="006B6CBE">
      <w:pPr>
        <w:pStyle w:val="R1"/>
        <w:keepNext/>
      </w:pPr>
      <w:r>
        <w:tab/>
        <w:t>(1)</w:t>
      </w:r>
      <w:r>
        <w:tab/>
        <w:t xml:space="preserve">A limit </w:t>
      </w:r>
      <w:proofErr w:type="gramStart"/>
      <w:r>
        <w:t>of -40 dBm/MHz</w:t>
      </w:r>
      <w:proofErr w:type="gramEnd"/>
      <w:r>
        <w:t xml:space="preserve"> is to apply to out-of-band emissions from radiocommunications transmitters operating in the 700 MHz lower band in areas where these devices co-exist with digital television receivers in the coverage areas of digital television </w:t>
      </w:r>
      <w:r w:rsidR="000B6177">
        <w:t xml:space="preserve">broadcasting </w:t>
      </w:r>
      <w:r w:rsidR="00791F06">
        <w:t>or</w:t>
      </w:r>
      <w:r w:rsidR="00B83864">
        <w:t xml:space="preserve"> retransmission </w:t>
      </w:r>
      <w:r w:rsidR="000B6177">
        <w:t>services</w:t>
      </w:r>
      <w:r>
        <w:t xml:space="preserve"> operating on UHF broadcast channels 49, 50 and 51.  Specifically, the out-of-band requirements for radiocommunications transmitters in the 700 MHz lower band are as follows:</w:t>
      </w:r>
    </w:p>
    <w:p w:rsidR="006B6CBE" w:rsidRDefault="006B6CBE" w:rsidP="001C16A7">
      <w:pPr>
        <w:pStyle w:val="P1"/>
        <w:keepLines w:val="0"/>
      </w:pPr>
      <w:r>
        <w:tab/>
        <w:t>(a)</w:t>
      </w:r>
      <w:r>
        <w:tab/>
        <w:t>-40 dBm/MHz (averaged over a</w:t>
      </w:r>
      <w:r w:rsidR="009A00E5">
        <w:t xml:space="preserve"> </w:t>
      </w:r>
      <w:r>
        <w:t>7 MHz television channel bandwidth) in the frequency range 673 to 694 MHz when operating in an area (identified in maps published by the ACMA pursuant to subsection 3.2(2)) designated for use of UHF broadcast channels 49, 50 and 51;</w:t>
      </w:r>
    </w:p>
    <w:p w:rsidR="006B6CBE" w:rsidRDefault="006B6CBE" w:rsidP="001C16A7">
      <w:pPr>
        <w:pStyle w:val="P1"/>
        <w:keepLines w:val="0"/>
      </w:pPr>
      <w:r>
        <w:tab/>
        <w:t>(b)</w:t>
      </w:r>
      <w:r>
        <w:tab/>
        <w:t>-34 dBm/MHz (averaged over a 7 MHz television channel bandwidth) in the frequency range 673 to 694 MHz when operating in any other area;</w:t>
      </w:r>
    </w:p>
    <w:p w:rsidR="006B6CBE" w:rsidRDefault="006B6CBE" w:rsidP="001C16A7">
      <w:pPr>
        <w:pStyle w:val="P1"/>
        <w:keepLines w:val="0"/>
      </w:pPr>
      <w:r>
        <w:tab/>
        <w:t>(c)</w:t>
      </w:r>
      <w:r>
        <w:tab/>
        <w:t>-40 dBm/MHz (averaged over a 7 MHz television channel bandwidth) below the frequency of 673 MHz in any area;</w:t>
      </w:r>
    </w:p>
    <w:p w:rsidR="006B6CBE" w:rsidRDefault="006B6CBE" w:rsidP="0067351C"/>
    <w:p w:rsidR="006B6CBE" w:rsidRDefault="006B6CBE">
      <w:pPr>
        <w:ind w:firstLine="993"/>
      </w:pPr>
      <w:proofErr w:type="gramStart"/>
      <w:r>
        <w:t>where</w:t>
      </w:r>
      <w:proofErr w:type="gramEnd"/>
      <w:r>
        <w:t xml:space="preserve"> the corresponding UHF broadcast channels are as follows:</w:t>
      </w:r>
    </w:p>
    <w:p w:rsidR="006B6CBE" w:rsidRDefault="006B6CBE" w:rsidP="0067351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985"/>
        <w:gridCol w:w="1985"/>
        <w:gridCol w:w="1985"/>
      </w:tblGrid>
      <w:tr w:rsidR="006B6CBE" w:rsidTr="0045618A">
        <w:trPr>
          <w:jc w:val="center"/>
        </w:trPr>
        <w:tc>
          <w:tcPr>
            <w:tcW w:w="1985" w:type="dxa"/>
          </w:tcPr>
          <w:p w:rsidR="006B6CBE" w:rsidRDefault="006B6CBE" w:rsidP="0045618A">
            <w:pPr>
              <w:jc w:val="center"/>
            </w:pPr>
            <w:r>
              <w:t>UHF Broadcast Channel</w:t>
            </w:r>
          </w:p>
        </w:tc>
        <w:tc>
          <w:tcPr>
            <w:tcW w:w="1985" w:type="dxa"/>
          </w:tcPr>
          <w:p w:rsidR="006B6CBE" w:rsidRDefault="006B6CBE" w:rsidP="0045618A">
            <w:pPr>
              <w:jc w:val="center"/>
            </w:pPr>
            <w:r>
              <w:t>Lower Edge Frequency (MHz)</w:t>
            </w:r>
          </w:p>
        </w:tc>
        <w:tc>
          <w:tcPr>
            <w:tcW w:w="1985" w:type="dxa"/>
          </w:tcPr>
          <w:p w:rsidR="006B6CBE" w:rsidRDefault="006B6CBE" w:rsidP="0045618A">
            <w:pPr>
              <w:jc w:val="center"/>
            </w:pPr>
            <w:r>
              <w:t>Centre Frequency (MHz)</w:t>
            </w:r>
          </w:p>
        </w:tc>
        <w:tc>
          <w:tcPr>
            <w:tcW w:w="1985" w:type="dxa"/>
          </w:tcPr>
          <w:p w:rsidR="006B6CBE" w:rsidRDefault="006B6CBE" w:rsidP="0045618A">
            <w:pPr>
              <w:jc w:val="center"/>
            </w:pPr>
            <w:r>
              <w:t>Upper Edge Frequency (MHz)</w:t>
            </w:r>
          </w:p>
        </w:tc>
      </w:tr>
      <w:tr w:rsidR="006B6CBE" w:rsidTr="0045618A">
        <w:trPr>
          <w:jc w:val="center"/>
        </w:trPr>
        <w:tc>
          <w:tcPr>
            <w:tcW w:w="1985" w:type="dxa"/>
          </w:tcPr>
          <w:p w:rsidR="006B6CBE" w:rsidRDefault="006B6CBE" w:rsidP="0045618A">
            <w:pPr>
              <w:jc w:val="center"/>
            </w:pPr>
            <w:r>
              <w:t>49</w:t>
            </w:r>
          </w:p>
        </w:tc>
        <w:tc>
          <w:tcPr>
            <w:tcW w:w="1985" w:type="dxa"/>
          </w:tcPr>
          <w:p w:rsidR="006B6CBE" w:rsidRDefault="006B6CBE" w:rsidP="0045618A">
            <w:pPr>
              <w:jc w:val="center"/>
            </w:pPr>
            <w:r>
              <w:t>673.0</w:t>
            </w:r>
          </w:p>
        </w:tc>
        <w:tc>
          <w:tcPr>
            <w:tcW w:w="1985" w:type="dxa"/>
          </w:tcPr>
          <w:p w:rsidR="006B6CBE" w:rsidRDefault="006B6CBE" w:rsidP="0045618A">
            <w:pPr>
              <w:jc w:val="center"/>
            </w:pPr>
            <w:r>
              <w:t>676.5</w:t>
            </w:r>
          </w:p>
        </w:tc>
        <w:tc>
          <w:tcPr>
            <w:tcW w:w="1985" w:type="dxa"/>
          </w:tcPr>
          <w:p w:rsidR="006B6CBE" w:rsidRDefault="006B6CBE" w:rsidP="0045618A">
            <w:pPr>
              <w:jc w:val="center"/>
            </w:pPr>
            <w:r>
              <w:t>680.0</w:t>
            </w:r>
          </w:p>
        </w:tc>
      </w:tr>
      <w:tr w:rsidR="006B6CBE" w:rsidTr="0045618A">
        <w:trPr>
          <w:jc w:val="center"/>
        </w:trPr>
        <w:tc>
          <w:tcPr>
            <w:tcW w:w="1985" w:type="dxa"/>
          </w:tcPr>
          <w:p w:rsidR="006B6CBE" w:rsidRDefault="006B6CBE" w:rsidP="0045618A">
            <w:pPr>
              <w:jc w:val="center"/>
            </w:pPr>
            <w:r>
              <w:t>50</w:t>
            </w:r>
          </w:p>
        </w:tc>
        <w:tc>
          <w:tcPr>
            <w:tcW w:w="1985" w:type="dxa"/>
          </w:tcPr>
          <w:p w:rsidR="006B6CBE" w:rsidRDefault="006B6CBE" w:rsidP="0045618A">
            <w:pPr>
              <w:jc w:val="center"/>
            </w:pPr>
            <w:r>
              <w:t>680.0</w:t>
            </w:r>
          </w:p>
        </w:tc>
        <w:tc>
          <w:tcPr>
            <w:tcW w:w="1985" w:type="dxa"/>
          </w:tcPr>
          <w:p w:rsidR="006B6CBE" w:rsidRDefault="006B6CBE" w:rsidP="0045618A">
            <w:pPr>
              <w:jc w:val="center"/>
            </w:pPr>
            <w:r>
              <w:t>683.5</w:t>
            </w:r>
          </w:p>
        </w:tc>
        <w:tc>
          <w:tcPr>
            <w:tcW w:w="1985" w:type="dxa"/>
          </w:tcPr>
          <w:p w:rsidR="006B6CBE" w:rsidRDefault="006B6CBE" w:rsidP="0045618A">
            <w:pPr>
              <w:jc w:val="center"/>
            </w:pPr>
            <w:r>
              <w:t>687.0</w:t>
            </w:r>
          </w:p>
        </w:tc>
      </w:tr>
      <w:tr w:rsidR="006B6CBE" w:rsidTr="0045618A">
        <w:trPr>
          <w:jc w:val="center"/>
        </w:trPr>
        <w:tc>
          <w:tcPr>
            <w:tcW w:w="1985" w:type="dxa"/>
          </w:tcPr>
          <w:p w:rsidR="006B6CBE" w:rsidRDefault="006B6CBE" w:rsidP="0045618A">
            <w:pPr>
              <w:jc w:val="center"/>
            </w:pPr>
            <w:r>
              <w:t>51</w:t>
            </w:r>
          </w:p>
        </w:tc>
        <w:tc>
          <w:tcPr>
            <w:tcW w:w="1985" w:type="dxa"/>
          </w:tcPr>
          <w:p w:rsidR="006B6CBE" w:rsidRDefault="006B6CBE" w:rsidP="0045618A">
            <w:pPr>
              <w:jc w:val="center"/>
            </w:pPr>
            <w:r>
              <w:t>687.0</w:t>
            </w:r>
          </w:p>
        </w:tc>
        <w:tc>
          <w:tcPr>
            <w:tcW w:w="1985" w:type="dxa"/>
          </w:tcPr>
          <w:p w:rsidR="006B6CBE" w:rsidRDefault="006B6CBE" w:rsidP="0045618A">
            <w:pPr>
              <w:jc w:val="center"/>
            </w:pPr>
            <w:r>
              <w:t>690.5</w:t>
            </w:r>
          </w:p>
        </w:tc>
        <w:tc>
          <w:tcPr>
            <w:tcW w:w="1985" w:type="dxa"/>
          </w:tcPr>
          <w:p w:rsidR="006B6CBE" w:rsidRDefault="006B6CBE" w:rsidP="0045618A">
            <w:pPr>
              <w:jc w:val="center"/>
            </w:pPr>
            <w:r>
              <w:t>694.0</w:t>
            </w:r>
          </w:p>
        </w:tc>
      </w:tr>
    </w:tbl>
    <w:p w:rsidR="006B6CBE" w:rsidRDefault="006B6CBE" w:rsidP="0067351C">
      <w:pPr>
        <w:rPr>
          <w:lang w:val="en-AU"/>
        </w:rPr>
      </w:pPr>
    </w:p>
    <w:p w:rsidR="006B6CBE" w:rsidRDefault="006B6CBE">
      <w:pPr>
        <w:pStyle w:val="R1"/>
        <w:keepNext/>
      </w:pPr>
      <w:r>
        <w:tab/>
        <w:t>(2)</w:t>
      </w:r>
      <w:r>
        <w:tab/>
        <w:t>Spectrum licensees in the 700 MHz band are required to implement these out-of-band limits in those areas identified by a series of maps (based on broadcasting service planning performed</w:t>
      </w:r>
      <w:r w:rsidDel="00DE5F93">
        <w:t xml:space="preserve"> </w:t>
      </w:r>
      <w:r>
        <w:t>by the ACMA) depicting predicted coverage</w:t>
      </w:r>
      <w:r w:rsidR="000B6177">
        <w:t xml:space="preserve"> areas</w:t>
      </w:r>
      <w:r w:rsidR="009A00E5">
        <w:t xml:space="preserve"> of </w:t>
      </w:r>
      <w:r w:rsidR="000B6177">
        <w:t xml:space="preserve">digital television broadcasting </w:t>
      </w:r>
      <w:r w:rsidR="00B83864">
        <w:t xml:space="preserve">and retransmission </w:t>
      </w:r>
      <w:r w:rsidR="000B6177">
        <w:t>services</w:t>
      </w:r>
      <w:r>
        <w:t xml:space="preserve">, as published by the ACMA including in a TLAP.  These maps identify those areas in which the -40 dBm/MHz limit must be adhered to over the 673 to 694 MHz frequency range and are available on the ACMA website.  </w:t>
      </w:r>
    </w:p>
    <w:p w:rsidR="006B6CBE" w:rsidRDefault="006B6CBE" w:rsidP="009D7BCB">
      <w:pPr>
        <w:pStyle w:val="Note"/>
        <w:ind w:left="993" w:hanging="426"/>
      </w:pPr>
      <w:r>
        <w:rPr>
          <w:i/>
        </w:rPr>
        <w:tab/>
      </w:r>
      <w:r w:rsidRPr="001E2A70">
        <w:rPr>
          <w:i/>
        </w:rPr>
        <w:t>Note</w:t>
      </w:r>
      <w:r>
        <w:rPr>
          <w:i/>
        </w:rPr>
        <w:tab/>
      </w:r>
      <w:r w:rsidRPr="00BA7AA5">
        <w:rPr>
          <w:i/>
        </w:rPr>
        <w:t xml:space="preserve"> </w:t>
      </w:r>
      <w:r w:rsidRPr="00CF2559">
        <w:t xml:space="preserve">Implementation of the -40 dBm/MHz limit may be achieved though user equipment design and/or network operation and deployment measures. </w:t>
      </w:r>
    </w:p>
    <w:p w:rsidR="00201B1B" w:rsidRDefault="009D7BCB" w:rsidP="00201B1B">
      <w:pPr>
        <w:pStyle w:val="R1"/>
        <w:keepNext/>
        <w:ind w:left="993" w:hanging="426"/>
      </w:pPr>
      <w:r>
        <w:tab/>
        <w:t>(3)</w:t>
      </w:r>
      <w:r>
        <w:tab/>
        <w:t xml:space="preserve">In this section, </w:t>
      </w:r>
      <w:r>
        <w:rPr>
          <w:b/>
          <w:i/>
        </w:rPr>
        <w:t>coverage area</w:t>
      </w:r>
      <w:r>
        <w:t>, in relation to a broadcasting or retransmission service, means the area within which transmitters make that service available.</w:t>
      </w:r>
    </w:p>
    <w:p w:rsidR="009D7BCB" w:rsidRDefault="009D7BCB" w:rsidP="009D7BCB">
      <w:pPr>
        <w:pStyle w:val="R1"/>
        <w:keepNext/>
      </w:pPr>
      <w:r>
        <w:t xml:space="preserve"> </w:t>
      </w:r>
    </w:p>
    <w:p w:rsidR="006B6CBE" w:rsidRPr="00ED1B19" w:rsidRDefault="006B6CBE" w:rsidP="00ED1B19">
      <w:pPr>
        <w:pStyle w:val="HP"/>
        <w:ind w:left="1418" w:hanging="1418"/>
        <w:rPr>
          <w:rStyle w:val="CharPartNo"/>
          <w:sz w:val="28"/>
          <w:szCs w:val="28"/>
        </w:rPr>
      </w:pPr>
      <w:r>
        <w:rPr>
          <w:rStyle w:val="CharPartNo"/>
        </w:rPr>
        <w:br w:type="page"/>
      </w:r>
      <w:r>
        <w:rPr>
          <w:rStyle w:val="CharPartNo"/>
          <w:sz w:val="28"/>
          <w:szCs w:val="28"/>
        </w:rPr>
        <w:t>Part 4</w:t>
      </w:r>
      <w:r>
        <w:rPr>
          <w:rStyle w:val="CharPartNo"/>
          <w:sz w:val="28"/>
          <w:szCs w:val="28"/>
        </w:rPr>
        <w:tab/>
        <w:t>Digital television receivers operating in the 700 MHz b</w:t>
      </w:r>
      <w:r w:rsidRPr="00ED1B19">
        <w:rPr>
          <w:rStyle w:val="CharPartNo"/>
          <w:sz w:val="28"/>
          <w:szCs w:val="28"/>
        </w:rPr>
        <w:t xml:space="preserve">and </w:t>
      </w:r>
    </w:p>
    <w:p w:rsidR="006B6CBE" w:rsidRPr="00D929B6" w:rsidRDefault="006B6CBE" w:rsidP="00732732">
      <w:pPr>
        <w:pStyle w:val="HR"/>
        <w:rPr>
          <w:rStyle w:val="CharSectno"/>
        </w:rPr>
      </w:pPr>
      <w:r>
        <w:rPr>
          <w:rStyle w:val="CharSectno"/>
        </w:rPr>
        <w:t>4.1</w:t>
      </w:r>
      <w:r>
        <w:rPr>
          <w:rStyle w:val="CharSectno"/>
        </w:rPr>
        <w:tab/>
      </w:r>
      <w:r w:rsidRPr="00D929B6">
        <w:rPr>
          <w:rStyle w:val="CharSectno"/>
        </w:rPr>
        <w:t>Background</w:t>
      </w:r>
    </w:p>
    <w:p w:rsidR="006B6CBE" w:rsidRDefault="006B6CBE">
      <w:pPr>
        <w:spacing w:before="120"/>
        <w:ind w:left="992"/>
        <w:jc w:val="both"/>
      </w:pPr>
      <w:r>
        <w:t>Some digital television broadcasting</w:t>
      </w:r>
      <w:r w:rsidR="009D7BCB">
        <w:t xml:space="preserve"> </w:t>
      </w:r>
      <w:r w:rsidR="00B83864">
        <w:t xml:space="preserve">and retransmission </w:t>
      </w:r>
      <w:r>
        <w:t>services may continue to operate in the 694 to 820 MHz frequency range after the end of the re-allocation period for the 700 MHz band.  If this occurs, digital television receivers that receive those broadcasting</w:t>
      </w:r>
      <w:r w:rsidR="00B83864">
        <w:t xml:space="preserve"> </w:t>
      </w:r>
      <w:r w:rsidR="00791F06">
        <w:t>or</w:t>
      </w:r>
      <w:r w:rsidR="00B83864">
        <w:t xml:space="preserve"> retransmission</w:t>
      </w:r>
      <w:r>
        <w:t xml:space="preserve"> services may potentially suffer co-channel or adjacent-channel interference from spectrum-licensed services until the broadcast </w:t>
      </w:r>
      <w:r w:rsidR="00B83864">
        <w:t xml:space="preserve">and retransmission </w:t>
      </w:r>
      <w:r>
        <w:t>services are “re-stacked” to channels below 694 </w:t>
      </w:r>
      <w:proofErr w:type="spellStart"/>
      <w:r>
        <w:t>MHz.</w:t>
      </w:r>
      <w:proofErr w:type="spellEnd"/>
      <w:r>
        <w:t xml:space="preserve">  </w:t>
      </w:r>
    </w:p>
    <w:p w:rsidR="00A85D41" w:rsidRPr="009D7BCB" w:rsidRDefault="0012405B" w:rsidP="009D7BCB">
      <w:pPr>
        <w:pStyle w:val="Note"/>
        <w:ind w:left="993" w:firstLine="3"/>
      </w:pPr>
      <w:r>
        <w:rPr>
          <w:i/>
        </w:rPr>
        <w:t xml:space="preserve">Note </w:t>
      </w:r>
      <w:r w:rsidR="006B6CBE">
        <w:rPr>
          <w:i/>
        </w:rPr>
        <w:tab/>
      </w:r>
      <w:r w:rsidR="00945CDC" w:rsidRPr="009D7BCB">
        <w:t>A licence condition will be included in each 700 MHz band spectrum licence requiring licensees to comply with this guideline if the circumstances described in section 4.1 occur.</w:t>
      </w:r>
    </w:p>
    <w:p w:rsidR="00A85D41" w:rsidRPr="00A85D41" w:rsidRDefault="003C6D82">
      <w:pPr>
        <w:pStyle w:val="HR"/>
        <w:rPr>
          <w:rStyle w:val="CharSectno"/>
        </w:rPr>
      </w:pPr>
      <w:r>
        <w:rPr>
          <w:rStyle w:val="CharSectno"/>
        </w:rPr>
        <w:t>4.2</w:t>
      </w:r>
      <w:r>
        <w:rPr>
          <w:rStyle w:val="CharSectno"/>
        </w:rPr>
        <w:tab/>
        <w:t>Digital television receivers</w:t>
      </w:r>
    </w:p>
    <w:p w:rsidR="006B6CBE" w:rsidRDefault="006B6CBE">
      <w:pPr>
        <w:pStyle w:val="R1"/>
        <w:keepNext/>
      </w:pPr>
      <w:r>
        <w:tab/>
        <w:t>(1)</w:t>
      </w:r>
      <w:r>
        <w:tab/>
        <w:t xml:space="preserve">Where a </w:t>
      </w:r>
      <w:r w:rsidR="000B6177">
        <w:t xml:space="preserve">digital television </w:t>
      </w:r>
      <w:r>
        <w:t xml:space="preserve">broadcasting </w:t>
      </w:r>
      <w:r w:rsidR="00B83864">
        <w:t xml:space="preserve">or retransmission </w:t>
      </w:r>
      <w:r>
        <w:t xml:space="preserve">service continues to operate in the 694 to 820 MHz frequency range after the end of the re-allocation period, there is potential for interference to digital television receivers from spectrum-licensed transmitters operating in either the 700 MHz upper band or 700 MHz lower band. </w:t>
      </w:r>
    </w:p>
    <w:p w:rsidR="006B6CBE" w:rsidRDefault="006B6CBE">
      <w:pPr>
        <w:pStyle w:val="R1"/>
        <w:keepNext/>
      </w:pPr>
      <w:r>
        <w:tab/>
        <w:t>(2)</w:t>
      </w:r>
      <w:r>
        <w:tab/>
        <w:t xml:space="preserve">To mitigate potential interference, spectrum-licensed transmitters must be separated from </w:t>
      </w:r>
      <w:r w:rsidR="000B6177">
        <w:t xml:space="preserve">coverage areas of digital television </w:t>
      </w:r>
      <w:r>
        <w:t xml:space="preserve">broadcasting </w:t>
      </w:r>
      <w:r w:rsidR="00702C8B">
        <w:t xml:space="preserve">and retransmission </w:t>
      </w:r>
      <w:r>
        <w:t>service</w:t>
      </w:r>
      <w:r w:rsidR="009D7BCB">
        <w:t>s</w:t>
      </w:r>
      <w:r>
        <w:t xml:space="preserve"> The ACMA will publish a set of maps showing the required exclusion zones that implement these separation distances.  For that area, as designated by these published maps, where a UHF </w:t>
      </w:r>
      <w:r w:rsidR="000B6177">
        <w:t xml:space="preserve">digital television </w:t>
      </w:r>
      <w:r>
        <w:t>broadcast</w:t>
      </w:r>
      <w:r w:rsidR="000B6177">
        <w:t>ing</w:t>
      </w:r>
      <w:r>
        <w:t xml:space="preserve"> </w:t>
      </w:r>
      <w:r w:rsidR="00702C8B">
        <w:t xml:space="preserve">or retransmission </w:t>
      </w:r>
      <w:r w:rsidR="000B6177">
        <w:t xml:space="preserve">service operates on any </w:t>
      </w:r>
      <w:r>
        <w:t xml:space="preserve">channel in the channel 52 to channel 69 </w:t>
      </w:r>
      <w:proofErr w:type="gramStart"/>
      <w:r>
        <w:t>range</w:t>
      </w:r>
      <w:proofErr w:type="gramEnd"/>
      <w:r>
        <w:t xml:space="preserve">, a spectrum licensee must not deploy a service in any part of the 700 MHz band.  This is for reasons of equitable access. </w:t>
      </w:r>
    </w:p>
    <w:p w:rsidR="006B6CBE" w:rsidRDefault="006B6CBE">
      <w:pPr>
        <w:pStyle w:val="R1"/>
        <w:keepNext/>
      </w:pPr>
      <w:r>
        <w:tab/>
        <w:t>(3)</w:t>
      </w:r>
      <w:r>
        <w:tab/>
        <w:t>These maps will be made available on the ACMA website</w:t>
      </w:r>
      <w:r w:rsidRPr="00983C8C">
        <w:t xml:space="preserve"> </w:t>
      </w:r>
      <w:r>
        <w:t>and will be updated from time to time (</w:t>
      </w:r>
      <w:r w:rsidR="00702C8B">
        <w:t>for example,</w:t>
      </w:r>
      <w:r>
        <w:t xml:space="preserve"> the number of applicable maps </w:t>
      </w:r>
      <w:r w:rsidR="00702C8B">
        <w:t>may</w:t>
      </w:r>
      <w:r>
        <w:t xml:space="preserve"> be reduced) as digital television broadcast</w:t>
      </w:r>
      <w:r w:rsidR="000012C6">
        <w:t>ing</w:t>
      </w:r>
      <w:r>
        <w:t xml:space="preserve"> </w:t>
      </w:r>
      <w:r w:rsidR="00702C8B">
        <w:t xml:space="preserve">and retransmission </w:t>
      </w:r>
      <w:r>
        <w:t xml:space="preserve">services are “re-stacked” to channels below 694 </w:t>
      </w:r>
      <w:proofErr w:type="spellStart"/>
      <w:r>
        <w:t>MHz.</w:t>
      </w:r>
      <w:proofErr w:type="spellEnd"/>
      <w:r>
        <w:t xml:space="preserve"> Spectrum licensees should consult the ACMA website and refer to these maps when planning services in the 700 MHz band.</w:t>
      </w:r>
    </w:p>
    <w:p w:rsidR="00201B1B" w:rsidRDefault="009D7BCB" w:rsidP="00201B1B">
      <w:pPr>
        <w:pStyle w:val="R1"/>
        <w:keepNext/>
      </w:pPr>
      <w:r>
        <w:tab/>
        <w:t>(4)</w:t>
      </w:r>
      <w:r>
        <w:tab/>
        <w:t xml:space="preserve">In this section, </w:t>
      </w:r>
      <w:r w:rsidRPr="009D7BCB">
        <w:rPr>
          <w:b/>
          <w:i/>
        </w:rPr>
        <w:t>coverage area</w:t>
      </w:r>
      <w:r>
        <w:t>, in relation to a broadcasting or retransmission service, means the area within which transmitters make that service available.</w:t>
      </w:r>
    </w:p>
    <w:p w:rsidR="006B6CBE" w:rsidRDefault="006B6CBE">
      <w:pPr>
        <w:jc w:val="both"/>
        <w:rPr>
          <w:lang w:val="en-AU"/>
        </w:rPr>
      </w:pPr>
    </w:p>
    <w:p w:rsidR="006B6CBE" w:rsidRDefault="006B6CBE" w:rsidP="006943A6">
      <w:pPr>
        <w:pStyle w:val="HP"/>
        <w:ind w:left="0" w:firstLine="0"/>
      </w:pPr>
      <w:r>
        <w:rPr>
          <w:rStyle w:val="CharPartNo"/>
        </w:rPr>
        <w:br w:type="page"/>
      </w:r>
    </w:p>
    <w:p w:rsidR="006B6CBE" w:rsidRDefault="006B6CBE" w:rsidP="006F2192">
      <w:pPr>
        <w:rPr>
          <w:lang w:val="en-AU"/>
        </w:rPr>
      </w:pPr>
    </w:p>
    <w:bookmarkEnd w:id="9"/>
    <w:p w:rsidR="006B6CBE" w:rsidRPr="00C31945" w:rsidRDefault="006B6CBE" w:rsidP="00C31945">
      <w:pPr>
        <w:rPr>
          <w:lang w:val="en-AU"/>
        </w:rPr>
      </w:pPr>
    </w:p>
    <w:p w:rsidR="006B6CBE" w:rsidRPr="00667A91" w:rsidRDefault="006B6CBE" w:rsidP="0004718F">
      <w:pPr>
        <w:pStyle w:val="HP"/>
        <w:ind w:left="0" w:firstLine="0"/>
        <w:rPr>
          <w:rStyle w:val="CharPartNo"/>
          <w:sz w:val="28"/>
          <w:szCs w:val="28"/>
        </w:rPr>
      </w:pPr>
      <w:r w:rsidRPr="00ED1B19">
        <w:rPr>
          <w:rStyle w:val="CharPartNo"/>
          <w:sz w:val="28"/>
          <w:szCs w:val="28"/>
        </w:rPr>
        <w:t>Part 5</w:t>
      </w:r>
      <w:r w:rsidRPr="00ED1B19">
        <w:rPr>
          <w:rStyle w:val="CharPartNo"/>
          <w:sz w:val="28"/>
          <w:szCs w:val="28"/>
        </w:rPr>
        <w:tab/>
      </w:r>
      <w:proofErr w:type="gramStart"/>
      <w:r w:rsidRPr="00ED1B19">
        <w:rPr>
          <w:rStyle w:val="CharPartNo"/>
          <w:sz w:val="28"/>
          <w:szCs w:val="28"/>
        </w:rPr>
        <w:t>The</w:t>
      </w:r>
      <w:proofErr w:type="gramEnd"/>
      <w:r w:rsidRPr="00ED1B19">
        <w:rPr>
          <w:rStyle w:val="CharPartNo"/>
          <w:sz w:val="28"/>
          <w:szCs w:val="28"/>
        </w:rPr>
        <w:t xml:space="preserve"> Mid-West Radio Quiet Zone</w:t>
      </w:r>
    </w:p>
    <w:p w:rsidR="006B6CBE" w:rsidRPr="00D929B6" w:rsidRDefault="006B6CBE" w:rsidP="0004718F">
      <w:pPr>
        <w:pStyle w:val="HR"/>
        <w:rPr>
          <w:rStyle w:val="CharSectno"/>
        </w:rPr>
      </w:pPr>
      <w:r>
        <w:rPr>
          <w:rStyle w:val="CharSectno"/>
        </w:rPr>
        <w:t>5.1</w:t>
      </w:r>
      <w:r>
        <w:rPr>
          <w:rStyle w:val="CharSectno"/>
        </w:rPr>
        <w:tab/>
      </w:r>
      <w:r w:rsidRPr="00D929B6">
        <w:rPr>
          <w:rStyle w:val="CharSectno"/>
        </w:rPr>
        <w:t>Background</w:t>
      </w:r>
    </w:p>
    <w:p w:rsidR="006B6CBE" w:rsidRDefault="006B6CBE">
      <w:pPr>
        <w:spacing w:before="120"/>
        <w:ind w:left="992"/>
        <w:jc w:val="both"/>
      </w:pPr>
      <w:r>
        <w:t xml:space="preserve">The </w:t>
      </w:r>
      <w:r w:rsidRPr="00992F4A">
        <w:rPr>
          <w:rFonts w:ascii="TimesNewRoman,Bold" w:hAnsi="TimesNewRoman,Bold" w:cs="TimesNewRoman,Bold"/>
          <w:bCs/>
        </w:rPr>
        <w:t>site located in remote central Western Australia identified for future radio astronomy use has been protected by the establishment of the Mid-</w:t>
      </w:r>
      <w:r>
        <w:rPr>
          <w:rFonts w:ascii="TimesNewRoman,Bold" w:hAnsi="TimesNewRoman,Bold" w:cs="TimesNewRoman,Bold"/>
          <w:bCs/>
        </w:rPr>
        <w:t>W</w:t>
      </w:r>
      <w:r w:rsidRPr="00992F4A">
        <w:rPr>
          <w:rFonts w:ascii="TimesNewRoman,Bold" w:hAnsi="TimesNewRoman,Bold" w:cs="TimesNewRoman,Bold"/>
          <w:bCs/>
        </w:rPr>
        <w:t>est Radio Quiet Zone across the radio spectrum from</w:t>
      </w:r>
      <w:r>
        <w:rPr>
          <w:rFonts w:ascii="TimesNewRoman,Bold" w:hAnsi="TimesNewRoman,Bold" w:cs="TimesNewRoman,Bold"/>
          <w:bCs/>
        </w:rPr>
        <w:t xml:space="preserve"> </w:t>
      </w:r>
      <w:r w:rsidRPr="00992F4A">
        <w:rPr>
          <w:rFonts w:ascii="TimesNewRoman,Bold" w:hAnsi="TimesNewRoman,Bold" w:cs="TimesNewRoman,Bold"/>
          <w:bCs/>
        </w:rPr>
        <w:t xml:space="preserve">100 MHz through to 25 GHz. </w:t>
      </w:r>
      <w:r>
        <w:rPr>
          <w:rFonts w:ascii="TimesNewRoman,Bold" w:hAnsi="TimesNewRoman,Bold" w:cs="TimesNewRoman,Bold"/>
          <w:bCs/>
        </w:rPr>
        <w:t>T</w:t>
      </w:r>
      <w:r w:rsidRPr="00E33279">
        <w:t xml:space="preserve">he </w:t>
      </w:r>
      <w:r>
        <w:t xml:space="preserve">location of the site, and the definition of the </w:t>
      </w:r>
      <w:r w:rsidRPr="00E33279">
        <w:t>Mid</w:t>
      </w:r>
      <w:r>
        <w:t>-</w:t>
      </w:r>
      <w:r w:rsidRPr="00E33279">
        <w:t xml:space="preserve">West Radio Quiet Zone, </w:t>
      </w:r>
      <w:r>
        <w:t>can be found in</w:t>
      </w:r>
      <w:r w:rsidRPr="00E33279">
        <w:t xml:space="preserve"> the </w:t>
      </w:r>
      <w:r w:rsidRPr="00E33279">
        <w:rPr>
          <w:i/>
        </w:rPr>
        <w:t>Radiocommunications (Mid-West Radio Quiet Zone) Frequency Band Plan 2011</w:t>
      </w:r>
      <w:r>
        <w:rPr>
          <w:i/>
        </w:rPr>
        <w:t xml:space="preserve">. </w:t>
      </w:r>
      <w:r>
        <w:rPr>
          <w:rFonts w:ascii="TimesNewRoman,Bold" w:hAnsi="TimesNewRoman,Bold" w:cs="TimesNewRoman,Bold"/>
          <w:bCs/>
        </w:rPr>
        <w:t>An</w:t>
      </w:r>
      <w:r w:rsidRPr="00992F4A">
        <w:rPr>
          <w:rFonts w:ascii="TimesNewRoman,Bold" w:hAnsi="TimesNewRoman,Bold" w:cs="TimesNewRoman,Bold"/>
          <w:bCs/>
        </w:rPr>
        <w:t xml:space="preserve"> </w:t>
      </w:r>
      <w:r>
        <w:rPr>
          <w:rFonts w:ascii="TimesNewRoman,Bold" w:hAnsi="TimesNewRoman,Bold" w:cs="TimesNewRoman,Bold"/>
          <w:bCs/>
        </w:rPr>
        <w:t>area</w:t>
      </w:r>
      <w:r w:rsidRPr="00992F4A">
        <w:rPr>
          <w:rFonts w:ascii="TimesNewRoman,Bold" w:hAnsi="TimesNewRoman,Bold" w:cs="TimesNewRoman,Bold"/>
          <w:bCs/>
        </w:rPr>
        <w:t xml:space="preserve"> within 70 km of the site has been excluded from </w:t>
      </w:r>
      <w:r>
        <w:rPr>
          <w:rFonts w:ascii="TimesNewRoman,Bold" w:hAnsi="TimesNewRoman,Bold" w:cs="TimesNewRoman,Bold"/>
          <w:bCs/>
        </w:rPr>
        <w:t>the geographic area of the 700</w:t>
      </w:r>
      <w:r w:rsidRPr="00992F4A">
        <w:rPr>
          <w:rFonts w:ascii="TimesNewRoman,Bold" w:hAnsi="TimesNewRoman,Bold" w:cs="TimesNewRoman,Bold"/>
          <w:bCs/>
        </w:rPr>
        <w:t xml:space="preserve"> </w:t>
      </w:r>
      <w:r>
        <w:rPr>
          <w:rFonts w:ascii="TimesNewRoman,Bold" w:hAnsi="TimesNewRoman,Bold" w:cs="TimesNewRoman,Bold"/>
          <w:bCs/>
        </w:rPr>
        <w:t>M</w:t>
      </w:r>
      <w:r w:rsidRPr="00992F4A">
        <w:rPr>
          <w:rFonts w:ascii="TimesNewRoman,Bold" w:hAnsi="TimesNewRoman,Bold" w:cs="TimesNewRoman,Bold"/>
          <w:bCs/>
        </w:rPr>
        <w:t>Hz band</w:t>
      </w:r>
      <w:r>
        <w:rPr>
          <w:rFonts w:ascii="TimesNewRoman,Bold" w:hAnsi="TimesNewRoman,Bold" w:cs="TimesNewRoman,Bold"/>
          <w:bCs/>
        </w:rPr>
        <w:t xml:space="preserve"> spectrum licences.</w:t>
      </w:r>
    </w:p>
    <w:p w:rsidR="006B6CBE" w:rsidRPr="00D929B6" w:rsidRDefault="006B6CBE" w:rsidP="0004718F">
      <w:pPr>
        <w:pStyle w:val="HR"/>
        <w:rPr>
          <w:rStyle w:val="CharSectno"/>
        </w:rPr>
      </w:pPr>
      <w:r>
        <w:rPr>
          <w:rStyle w:val="CharSectno"/>
        </w:rPr>
        <w:t>5.2</w:t>
      </w:r>
      <w:r>
        <w:rPr>
          <w:rStyle w:val="CharSectno"/>
        </w:rPr>
        <w:tab/>
      </w:r>
      <w:r>
        <w:rPr>
          <w:rStyle w:val="CharPartNo"/>
        </w:rPr>
        <w:t>The Mid-West Radio Quiet Zone protection requirements</w:t>
      </w:r>
    </w:p>
    <w:p w:rsidR="006B6CBE" w:rsidRDefault="006B6CBE">
      <w:pPr>
        <w:spacing w:before="120"/>
        <w:ind w:left="992"/>
        <w:jc w:val="both"/>
        <w:rPr>
          <w:lang w:val="en-AU"/>
        </w:rPr>
      </w:pPr>
      <w:r w:rsidRPr="00C068D2">
        <w:t xml:space="preserve">Licensees in areas adjacent to the </w:t>
      </w:r>
      <w:r w:rsidRPr="00E33279">
        <w:t>Mid</w:t>
      </w:r>
      <w:r>
        <w:t>-</w:t>
      </w:r>
      <w:r w:rsidRPr="00E33279">
        <w:t>West Radio Quiet Zone</w:t>
      </w:r>
      <w:r w:rsidRPr="00C068D2" w:rsidDel="00DD327C">
        <w:t xml:space="preserve"> </w:t>
      </w:r>
      <w:r>
        <w:t>should</w:t>
      </w:r>
      <w:r w:rsidRPr="00C068D2">
        <w:t xml:space="preserve"> coordinate proposed stations using the methods and limits set out for apparatus licensees in RALI MS-32.</w:t>
      </w:r>
    </w:p>
    <w:p w:rsidR="006B6CBE" w:rsidRPr="006874E4" w:rsidRDefault="006B6CBE" w:rsidP="00EA2E29">
      <w:pPr>
        <w:pStyle w:val="R1"/>
        <w:ind w:left="0" w:firstLine="0"/>
      </w:pPr>
    </w:p>
    <w:sectPr w:rsidR="006B6CBE" w:rsidRPr="006874E4" w:rsidSect="00445893">
      <w:headerReference w:type="default" r:id="rId9"/>
      <w:footerReference w:type="even"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B5" w:rsidRDefault="000C2EB5">
      <w:r>
        <w:separator/>
      </w:r>
    </w:p>
  </w:endnote>
  <w:endnote w:type="continuationSeparator" w:id="0">
    <w:p w:rsidR="000C2EB5" w:rsidRDefault="000C2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893" w:rsidRPr="00007B39" w:rsidRDefault="00DC06B5" w:rsidP="00445893">
    <w:pPr>
      <w:pStyle w:val="Footer"/>
      <w:pBdr>
        <w:top w:val="single" w:sz="4" w:space="1" w:color="auto"/>
      </w:pBdr>
      <w:rPr>
        <w:rFonts w:ascii="Arial" w:hAnsi="Arial" w:cs="Arial"/>
        <w:i/>
        <w:sz w:val="18"/>
        <w:szCs w:val="18"/>
      </w:rPr>
    </w:pPr>
    <w:r w:rsidRPr="00BA7AA5">
      <w:rPr>
        <w:rFonts w:ascii="Arial" w:hAnsi="Arial" w:cs="Arial"/>
        <w:sz w:val="18"/>
        <w:szCs w:val="18"/>
      </w:rPr>
      <w:fldChar w:fldCharType="begin"/>
    </w:r>
    <w:r w:rsidR="00445893" w:rsidRPr="00BA7AA5">
      <w:rPr>
        <w:rFonts w:ascii="Arial" w:hAnsi="Arial" w:cs="Arial"/>
        <w:sz w:val="18"/>
        <w:szCs w:val="18"/>
      </w:rPr>
      <w:instrText xml:space="preserve"> PAGE   \* MERGEFORMAT </w:instrText>
    </w:r>
    <w:r w:rsidRPr="00BA7AA5">
      <w:rPr>
        <w:rFonts w:ascii="Arial" w:hAnsi="Arial" w:cs="Arial"/>
        <w:sz w:val="18"/>
        <w:szCs w:val="18"/>
      </w:rPr>
      <w:fldChar w:fldCharType="separate"/>
    </w:r>
    <w:r w:rsidR="00D94560">
      <w:rPr>
        <w:rFonts w:ascii="Arial" w:hAnsi="Arial" w:cs="Arial"/>
        <w:noProof/>
        <w:sz w:val="18"/>
        <w:szCs w:val="18"/>
      </w:rPr>
      <w:t>2</w:t>
    </w:r>
    <w:r w:rsidRPr="00BA7AA5">
      <w:rPr>
        <w:rFonts w:ascii="Arial" w:hAnsi="Arial" w:cs="Arial"/>
        <w:sz w:val="18"/>
        <w:szCs w:val="18"/>
      </w:rPr>
      <w:fldChar w:fldCharType="end"/>
    </w:r>
    <w:r w:rsidR="00445893">
      <w:rPr>
        <w:rFonts w:ascii="Arial" w:hAnsi="Arial" w:cs="Arial"/>
        <w:sz w:val="18"/>
        <w:szCs w:val="18"/>
      </w:rPr>
      <w:tab/>
    </w:r>
    <w:r w:rsidR="00445893" w:rsidRPr="00BA7AA5">
      <w:rPr>
        <w:rFonts w:ascii="Arial" w:hAnsi="Arial" w:cs="Arial"/>
        <w:i/>
        <w:sz w:val="18"/>
        <w:szCs w:val="18"/>
      </w:rPr>
      <w:t xml:space="preserve">Radiocommunications Advisory Guidelines </w:t>
    </w:r>
  </w:p>
  <w:p w:rsidR="00445893" w:rsidRPr="00007B39" w:rsidRDefault="00445893" w:rsidP="00445893">
    <w:pPr>
      <w:pStyle w:val="Footer"/>
      <w:jc w:val="center"/>
      <w:rPr>
        <w:rFonts w:ascii="Arial" w:hAnsi="Arial" w:cs="Arial"/>
        <w:i/>
        <w:sz w:val="18"/>
        <w:szCs w:val="18"/>
      </w:rPr>
    </w:pPr>
    <w:r w:rsidRPr="00BA7AA5">
      <w:rPr>
        <w:rFonts w:ascii="Arial" w:hAnsi="Arial" w:cs="Arial"/>
        <w:i/>
        <w:sz w:val="18"/>
        <w:szCs w:val="18"/>
      </w:rPr>
      <w:t>(Managing Interference from Transmitters – 700 MHz Band) 2012</w:t>
    </w:r>
  </w:p>
  <w:p w:rsidR="00445893" w:rsidRDefault="004458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EB5" w:rsidRDefault="000C2EB5">
    <w:pPr>
      <w:pStyle w:val="Footer"/>
      <w:pBdr>
        <w:bottom w:val="single" w:sz="6" w:space="1" w:color="auto"/>
      </w:pBdr>
      <w:jc w:val="center"/>
      <w:rPr>
        <w:i/>
        <w:sz w:val="20"/>
      </w:rPr>
    </w:pPr>
  </w:p>
  <w:p w:rsidR="00445893" w:rsidRDefault="00445893" w:rsidP="00445893">
    <w:pPr>
      <w:pStyle w:val="Footer"/>
      <w:rPr>
        <w:rFonts w:ascii="Arial" w:hAnsi="Arial" w:cs="Arial"/>
        <w:sz w:val="18"/>
        <w:szCs w:val="18"/>
      </w:rPr>
    </w:pPr>
    <w:r>
      <w:rPr>
        <w:rFonts w:ascii="Arial" w:hAnsi="Arial" w:cs="Arial"/>
        <w:i/>
        <w:sz w:val="18"/>
        <w:szCs w:val="18"/>
      </w:rPr>
      <w:tab/>
    </w:r>
    <w:r w:rsidR="000C2EB5" w:rsidRPr="00BA7AA5">
      <w:rPr>
        <w:rFonts w:ascii="Arial" w:hAnsi="Arial" w:cs="Arial"/>
        <w:i/>
        <w:sz w:val="18"/>
        <w:szCs w:val="18"/>
      </w:rPr>
      <w:t xml:space="preserve">Radiocommunications Advisory Guidelines </w:t>
    </w:r>
    <w:r>
      <w:rPr>
        <w:rFonts w:ascii="Arial" w:hAnsi="Arial" w:cs="Arial"/>
        <w:i/>
        <w:sz w:val="18"/>
        <w:szCs w:val="18"/>
      </w:rPr>
      <w:tab/>
    </w:r>
    <w:r>
      <w:rPr>
        <w:rFonts w:ascii="Arial" w:hAnsi="Arial" w:cs="Arial"/>
        <w:i/>
        <w:sz w:val="18"/>
        <w:szCs w:val="18"/>
      </w:rPr>
      <w:tab/>
    </w:r>
    <w:r w:rsidR="00DC06B5" w:rsidRPr="00BA7AA5">
      <w:rPr>
        <w:rFonts w:ascii="Arial" w:hAnsi="Arial" w:cs="Arial"/>
        <w:sz w:val="18"/>
        <w:szCs w:val="18"/>
      </w:rPr>
      <w:fldChar w:fldCharType="begin"/>
    </w:r>
    <w:r w:rsidRPr="00BA7AA5">
      <w:rPr>
        <w:rFonts w:ascii="Arial" w:hAnsi="Arial" w:cs="Arial"/>
        <w:sz w:val="18"/>
        <w:szCs w:val="18"/>
      </w:rPr>
      <w:instrText xml:space="preserve"> PAGE   \* MERGEFORMAT </w:instrText>
    </w:r>
    <w:r w:rsidR="00DC06B5" w:rsidRPr="00BA7AA5">
      <w:rPr>
        <w:rFonts w:ascii="Arial" w:hAnsi="Arial" w:cs="Arial"/>
        <w:sz w:val="18"/>
        <w:szCs w:val="18"/>
      </w:rPr>
      <w:fldChar w:fldCharType="separate"/>
    </w:r>
    <w:r w:rsidR="00D94560">
      <w:rPr>
        <w:rFonts w:ascii="Arial" w:hAnsi="Arial" w:cs="Arial"/>
        <w:noProof/>
        <w:sz w:val="18"/>
        <w:szCs w:val="18"/>
      </w:rPr>
      <w:t>7</w:t>
    </w:r>
    <w:r w:rsidR="00DC06B5" w:rsidRPr="00BA7AA5">
      <w:rPr>
        <w:rFonts w:ascii="Arial" w:hAnsi="Arial" w:cs="Arial"/>
        <w:sz w:val="18"/>
        <w:szCs w:val="18"/>
      </w:rPr>
      <w:fldChar w:fldCharType="end"/>
    </w:r>
  </w:p>
  <w:p w:rsidR="000C2EB5" w:rsidRPr="00007B39" w:rsidRDefault="000C2EB5">
    <w:pPr>
      <w:pStyle w:val="Footer"/>
      <w:jc w:val="center"/>
      <w:rPr>
        <w:rFonts w:ascii="Arial" w:hAnsi="Arial" w:cs="Arial"/>
        <w:i/>
        <w:sz w:val="18"/>
        <w:szCs w:val="18"/>
      </w:rPr>
    </w:pPr>
    <w:r w:rsidRPr="00BA7AA5">
      <w:rPr>
        <w:rFonts w:ascii="Arial" w:hAnsi="Arial" w:cs="Arial"/>
        <w:i/>
        <w:sz w:val="18"/>
        <w:szCs w:val="18"/>
      </w:rPr>
      <w:t>(Managing Interference from Transmitters – 700 MHz Band) 2012</w:t>
    </w:r>
  </w:p>
  <w:p w:rsidR="000C2EB5" w:rsidRDefault="000C2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B5" w:rsidRDefault="000C2EB5">
      <w:r>
        <w:separator/>
      </w:r>
    </w:p>
  </w:footnote>
  <w:footnote w:type="continuationSeparator" w:id="0">
    <w:p w:rsidR="000C2EB5" w:rsidRDefault="000C2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EB5" w:rsidRDefault="000C2EB5">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EB5" w:rsidRDefault="000C2EB5">
    <w:pPr>
      <w:pStyle w:val="Header"/>
      <w:jc w:val="cente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3870830"/>
    <w:multiLevelType w:val="hybridMultilevel"/>
    <w:tmpl w:val="DA9C2962"/>
    <w:lvl w:ilvl="0" w:tplc="EC24A11A">
      <w:start w:val="2"/>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FA4868"/>
    <w:multiLevelType w:val="hybridMultilevel"/>
    <w:tmpl w:val="4306CDE6"/>
    <w:lvl w:ilvl="0" w:tplc="120EE224">
      <w:start w:val="7"/>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7704F7"/>
    <w:multiLevelType w:val="hybridMultilevel"/>
    <w:tmpl w:val="73C60746"/>
    <w:lvl w:ilvl="0" w:tplc="4CC8E2E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DFE095A"/>
    <w:multiLevelType w:val="hybridMultilevel"/>
    <w:tmpl w:val="A1C23498"/>
    <w:lvl w:ilvl="0" w:tplc="A2AC2E82">
      <w:start w:val="1"/>
      <w:numFmt w:val="lowerLetter"/>
      <w:lvlText w:val="(%1)"/>
      <w:lvlJc w:val="left"/>
      <w:pPr>
        <w:ind w:left="1320" w:hanging="360"/>
      </w:pPr>
      <w:rPr>
        <w:rFonts w:cs="Times New Roman" w:hint="default"/>
      </w:rPr>
    </w:lvl>
    <w:lvl w:ilvl="1" w:tplc="0C090019" w:tentative="1">
      <w:start w:val="1"/>
      <w:numFmt w:val="lowerLetter"/>
      <w:lvlText w:val="%2."/>
      <w:lvlJc w:val="left"/>
      <w:pPr>
        <w:ind w:left="2040" w:hanging="360"/>
      </w:pPr>
      <w:rPr>
        <w:rFonts w:cs="Times New Roman"/>
      </w:rPr>
    </w:lvl>
    <w:lvl w:ilvl="2" w:tplc="0C09001B" w:tentative="1">
      <w:start w:val="1"/>
      <w:numFmt w:val="lowerRoman"/>
      <w:lvlText w:val="%3."/>
      <w:lvlJc w:val="right"/>
      <w:pPr>
        <w:ind w:left="2760" w:hanging="180"/>
      </w:pPr>
      <w:rPr>
        <w:rFonts w:cs="Times New Roman"/>
      </w:rPr>
    </w:lvl>
    <w:lvl w:ilvl="3" w:tplc="0C09000F" w:tentative="1">
      <w:start w:val="1"/>
      <w:numFmt w:val="decimal"/>
      <w:lvlText w:val="%4."/>
      <w:lvlJc w:val="left"/>
      <w:pPr>
        <w:ind w:left="3480" w:hanging="360"/>
      </w:pPr>
      <w:rPr>
        <w:rFonts w:cs="Times New Roman"/>
      </w:rPr>
    </w:lvl>
    <w:lvl w:ilvl="4" w:tplc="0C090019" w:tentative="1">
      <w:start w:val="1"/>
      <w:numFmt w:val="lowerLetter"/>
      <w:lvlText w:val="%5."/>
      <w:lvlJc w:val="left"/>
      <w:pPr>
        <w:ind w:left="4200" w:hanging="360"/>
      </w:pPr>
      <w:rPr>
        <w:rFonts w:cs="Times New Roman"/>
      </w:rPr>
    </w:lvl>
    <w:lvl w:ilvl="5" w:tplc="0C09001B" w:tentative="1">
      <w:start w:val="1"/>
      <w:numFmt w:val="lowerRoman"/>
      <w:lvlText w:val="%6."/>
      <w:lvlJc w:val="right"/>
      <w:pPr>
        <w:ind w:left="4920" w:hanging="180"/>
      </w:pPr>
      <w:rPr>
        <w:rFonts w:cs="Times New Roman"/>
      </w:rPr>
    </w:lvl>
    <w:lvl w:ilvl="6" w:tplc="0C09000F" w:tentative="1">
      <w:start w:val="1"/>
      <w:numFmt w:val="decimal"/>
      <w:lvlText w:val="%7."/>
      <w:lvlJc w:val="left"/>
      <w:pPr>
        <w:ind w:left="5640" w:hanging="360"/>
      </w:pPr>
      <w:rPr>
        <w:rFonts w:cs="Times New Roman"/>
      </w:rPr>
    </w:lvl>
    <w:lvl w:ilvl="7" w:tplc="0C090019" w:tentative="1">
      <w:start w:val="1"/>
      <w:numFmt w:val="lowerLetter"/>
      <w:lvlText w:val="%8."/>
      <w:lvlJc w:val="left"/>
      <w:pPr>
        <w:ind w:left="6360" w:hanging="360"/>
      </w:pPr>
      <w:rPr>
        <w:rFonts w:cs="Times New Roman"/>
      </w:rPr>
    </w:lvl>
    <w:lvl w:ilvl="8" w:tplc="0C09001B" w:tentative="1">
      <w:start w:val="1"/>
      <w:numFmt w:val="lowerRoman"/>
      <w:lvlText w:val="%9."/>
      <w:lvlJc w:val="right"/>
      <w:pPr>
        <w:ind w:left="7080" w:hanging="180"/>
      </w:pPr>
      <w:rPr>
        <w:rFonts w:cs="Times New Roman"/>
      </w:rPr>
    </w:lvl>
  </w:abstractNum>
  <w:abstractNum w:abstractNumId="5">
    <w:nsid w:val="11A352C8"/>
    <w:multiLevelType w:val="hybridMultilevel"/>
    <w:tmpl w:val="0CC2D762"/>
    <w:lvl w:ilvl="0" w:tplc="4CC8E2E0">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6">
    <w:nsid w:val="120448E8"/>
    <w:multiLevelType w:val="hybridMultilevel"/>
    <w:tmpl w:val="FA3C55F4"/>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7">
    <w:nsid w:val="16AF7F74"/>
    <w:multiLevelType w:val="hybridMultilevel"/>
    <w:tmpl w:val="7840D15E"/>
    <w:lvl w:ilvl="0" w:tplc="213AF438">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8">
    <w:nsid w:val="178A326E"/>
    <w:multiLevelType w:val="multilevel"/>
    <w:tmpl w:val="A120B50E"/>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D837266"/>
    <w:multiLevelType w:val="hybridMultilevel"/>
    <w:tmpl w:val="0E1C85A8"/>
    <w:lvl w:ilvl="0" w:tplc="B400065E">
      <w:start w:val="1"/>
      <w:numFmt w:val="lowerLetter"/>
      <w:lvlText w:val="(%1)"/>
      <w:lvlJc w:val="left"/>
      <w:pPr>
        <w:ind w:left="1287" w:hanging="360"/>
      </w:pPr>
      <w:rPr>
        <w:rFonts w:cs="Times New Roman" w:hint="default"/>
      </w:rPr>
    </w:lvl>
    <w:lvl w:ilvl="1" w:tplc="0C090019">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0">
    <w:nsid w:val="2AA66F18"/>
    <w:multiLevelType w:val="hybridMultilevel"/>
    <w:tmpl w:val="67B0265C"/>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1">
    <w:nsid w:val="2BC4354D"/>
    <w:multiLevelType w:val="hybridMultilevel"/>
    <w:tmpl w:val="F5AC8D08"/>
    <w:lvl w:ilvl="0" w:tplc="E0888544">
      <w:start w:val="6"/>
      <w:numFmt w:val="decimal"/>
      <w:lvlText w:val="7.%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2EA9536D"/>
    <w:multiLevelType w:val="hybridMultilevel"/>
    <w:tmpl w:val="8FF8C79A"/>
    <w:lvl w:ilvl="0" w:tplc="B400065E">
      <w:start w:val="1"/>
      <w:numFmt w:val="lowerLetter"/>
      <w:lvlText w:val="(%1)"/>
      <w:lvlJc w:val="left"/>
      <w:pPr>
        <w:ind w:left="1353" w:hanging="360"/>
      </w:pPr>
      <w:rPr>
        <w:rFonts w:cs="Times New Roman" w:hint="default"/>
      </w:rPr>
    </w:lvl>
    <w:lvl w:ilvl="1" w:tplc="0C090003" w:tentative="1">
      <w:start w:val="1"/>
      <w:numFmt w:val="bullet"/>
      <w:lvlText w:val="o"/>
      <w:lvlJc w:val="left"/>
      <w:pPr>
        <w:ind w:left="2073" w:hanging="360"/>
      </w:pPr>
      <w:rPr>
        <w:rFonts w:ascii="Courier New" w:hAnsi="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3">
    <w:nsid w:val="2F290537"/>
    <w:multiLevelType w:val="hybridMultilevel"/>
    <w:tmpl w:val="781E8854"/>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367A328E"/>
    <w:multiLevelType w:val="hybridMultilevel"/>
    <w:tmpl w:val="80280486"/>
    <w:lvl w:ilvl="0" w:tplc="4CC8E2E0">
      <w:start w:val="1"/>
      <w:numFmt w:val="bullet"/>
      <w:lvlText w:val=""/>
      <w:lvlJc w:val="left"/>
      <w:pPr>
        <w:ind w:left="1352" w:hanging="360"/>
      </w:pPr>
      <w:rPr>
        <w:rFonts w:ascii="Symbol" w:hAnsi="Symbol" w:hint="default"/>
      </w:rPr>
    </w:lvl>
    <w:lvl w:ilvl="1" w:tplc="0C090003" w:tentative="1">
      <w:start w:val="1"/>
      <w:numFmt w:val="bullet"/>
      <w:lvlText w:val="o"/>
      <w:lvlJc w:val="left"/>
      <w:pPr>
        <w:ind w:left="2072" w:hanging="360"/>
      </w:pPr>
      <w:rPr>
        <w:rFonts w:ascii="Courier New" w:hAnsi="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15">
    <w:nsid w:val="37946890"/>
    <w:multiLevelType w:val="hybridMultilevel"/>
    <w:tmpl w:val="99EA2BB6"/>
    <w:lvl w:ilvl="0" w:tplc="DCF2F2F8">
      <w:start w:val="2"/>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EB69DD"/>
    <w:multiLevelType w:val="hybridMultilevel"/>
    <w:tmpl w:val="A1C23498"/>
    <w:lvl w:ilvl="0" w:tplc="A2AC2E82">
      <w:start w:val="1"/>
      <w:numFmt w:val="lowerLetter"/>
      <w:lvlText w:val="(%1)"/>
      <w:lvlJc w:val="left"/>
      <w:pPr>
        <w:ind w:left="1320" w:hanging="360"/>
      </w:pPr>
      <w:rPr>
        <w:rFonts w:cs="Times New Roman" w:hint="default"/>
      </w:rPr>
    </w:lvl>
    <w:lvl w:ilvl="1" w:tplc="0C090019" w:tentative="1">
      <w:start w:val="1"/>
      <w:numFmt w:val="lowerLetter"/>
      <w:lvlText w:val="%2."/>
      <w:lvlJc w:val="left"/>
      <w:pPr>
        <w:ind w:left="2040" w:hanging="360"/>
      </w:pPr>
      <w:rPr>
        <w:rFonts w:cs="Times New Roman"/>
      </w:rPr>
    </w:lvl>
    <w:lvl w:ilvl="2" w:tplc="0C09001B" w:tentative="1">
      <w:start w:val="1"/>
      <w:numFmt w:val="lowerRoman"/>
      <w:lvlText w:val="%3."/>
      <w:lvlJc w:val="right"/>
      <w:pPr>
        <w:ind w:left="2760" w:hanging="180"/>
      </w:pPr>
      <w:rPr>
        <w:rFonts w:cs="Times New Roman"/>
      </w:rPr>
    </w:lvl>
    <w:lvl w:ilvl="3" w:tplc="0C09000F" w:tentative="1">
      <w:start w:val="1"/>
      <w:numFmt w:val="decimal"/>
      <w:lvlText w:val="%4."/>
      <w:lvlJc w:val="left"/>
      <w:pPr>
        <w:ind w:left="3480" w:hanging="360"/>
      </w:pPr>
      <w:rPr>
        <w:rFonts w:cs="Times New Roman"/>
      </w:rPr>
    </w:lvl>
    <w:lvl w:ilvl="4" w:tplc="0C090019" w:tentative="1">
      <w:start w:val="1"/>
      <w:numFmt w:val="lowerLetter"/>
      <w:lvlText w:val="%5."/>
      <w:lvlJc w:val="left"/>
      <w:pPr>
        <w:ind w:left="4200" w:hanging="360"/>
      </w:pPr>
      <w:rPr>
        <w:rFonts w:cs="Times New Roman"/>
      </w:rPr>
    </w:lvl>
    <w:lvl w:ilvl="5" w:tplc="0C09001B" w:tentative="1">
      <w:start w:val="1"/>
      <w:numFmt w:val="lowerRoman"/>
      <w:lvlText w:val="%6."/>
      <w:lvlJc w:val="right"/>
      <w:pPr>
        <w:ind w:left="4920" w:hanging="180"/>
      </w:pPr>
      <w:rPr>
        <w:rFonts w:cs="Times New Roman"/>
      </w:rPr>
    </w:lvl>
    <w:lvl w:ilvl="6" w:tplc="0C09000F" w:tentative="1">
      <w:start w:val="1"/>
      <w:numFmt w:val="decimal"/>
      <w:lvlText w:val="%7."/>
      <w:lvlJc w:val="left"/>
      <w:pPr>
        <w:ind w:left="5640" w:hanging="360"/>
      </w:pPr>
      <w:rPr>
        <w:rFonts w:cs="Times New Roman"/>
      </w:rPr>
    </w:lvl>
    <w:lvl w:ilvl="7" w:tplc="0C090019" w:tentative="1">
      <w:start w:val="1"/>
      <w:numFmt w:val="lowerLetter"/>
      <w:lvlText w:val="%8."/>
      <w:lvlJc w:val="left"/>
      <w:pPr>
        <w:ind w:left="6360" w:hanging="360"/>
      </w:pPr>
      <w:rPr>
        <w:rFonts w:cs="Times New Roman"/>
      </w:rPr>
    </w:lvl>
    <w:lvl w:ilvl="8" w:tplc="0C09001B" w:tentative="1">
      <w:start w:val="1"/>
      <w:numFmt w:val="lowerRoman"/>
      <w:lvlText w:val="%9."/>
      <w:lvlJc w:val="right"/>
      <w:pPr>
        <w:ind w:left="7080" w:hanging="180"/>
      </w:pPr>
      <w:rPr>
        <w:rFonts w:cs="Times New Roman"/>
      </w:rPr>
    </w:lvl>
  </w:abstractNum>
  <w:abstractNum w:abstractNumId="17">
    <w:nsid w:val="412A1A58"/>
    <w:multiLevelType w:val="hybridMultilevel"/>
    <w:tmpl w:val="CF3E007A"/>
    <w:lvl w:ilvl="0" w:tplc="07548C3C">
      <w:start w:val="1"/>
      <w:numFmt w:val="lowerLetter"/>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8">
    <w:nsid w:val="41A942BB"/>
    <w:multiLevelType w:val="multilevel"/>
    <w:tmpl w:val="0C09001F"/>
    <w:lvl w:ilvl="0">
      <w:start w:val="1"/>
      <w:numFmt w:val="decimal"/>
      <w:lvlText w:val="%1."/>
      <w:lvlJc w:val="left"/>
      <w:pPr>
        <w:ind w:left="2043" w:hanging="360"/>
      </w:pPr>
      <w:rPr>
        <w:rFonts w:cs="Times New Roman"/>
      </w:rPr>
    </w:lvl>
    <w:lvl w:ilvl="1">
      <w:start w:val="1"/>
      <w:numFmt w:val="decimal"/>
      <w:lvlText w:val="%1.%2."/>
      <w:lvlJc w:val="left"/>
      <w:pPr>
        <w:ind w:left="2475" w:hanging="432"/>
      </w:pPr>
      <w:rPr>
        <w:rFonts w:cs="Times New Roman"/>
      </w:rPr>
    </w:lvl>
    <w:lvl w:ilvl="2">
      <w:start w:val="1"/>
      <w:numFmt w:val="decimal"/>
      <w:lvlText w:val="%1.%2.%3."/>
      <w:lvlJc w:val="left"/>
      <w:pPr>
        <w:ind w:left="2907" w:hanging="504"/>
      </w:pPr>
      <w:rPr>
        <w:rFonts w:cs="Times New Roman"/>
      </w:rPr>
    </w:lvl>
    <w:lvl w:ilvl="3">
      <w:start w:val="1"/>
      <w:numFmt w:val="decimal"/>
      <w:lvlText w:val="%1.%2.%3.%4."/>
      <w:lvlJc w:val="left"/>
      <w:pPr>
        <w:ind w:left="3411" w:hanging="648"/>
      </w:pPr>
      <w:rPr>
        <w:rFonts w:cs="Times New Roman"/>
      </w:rPr>
    </w:lvl>
    <w:lvl w:ilvl="4">
      <w:start w:val="1"/>
      <w:numFmt w:val="decimal"/>
      <w:lvlText w:val="%1.%2.%3.%4.%5."/>
      <w:lvlJc w:val="left"/>
      <w:pPr>
        <w:ind w:left="3915" w:hanging="792"/>
      </w:pPr>
      <w:rPr>
        <w:rFonts w:cs="Times New Roman"/>
      </w:rPr>
    </w:lvl>
    <w:lvl w:ilvl="5">
      <w:start w:val="1"/>
      <w:numFmt w:val="decimal"/>
      <w:lvlText w:val="%1.%2.%3.%4.%5.%6."/>
      <w:lvlJc w:val="left"/>
      <w:pPr>
        <w:ind w:left="4419" w:hanging="936"/>
      </w:pPr>
      <w:rPr>
        <w:rFonts w:cs="Times New Roman"/>
      </w:rPr>
    </w:lvl>
    <w:lvl w:ilvl="6">
      <w:start w:val="1"/>
      <w:numFmt w:val="decimal"/>
      <w:lvlText w:val="%1.%2.%3.%4.%5.%6.%7."/>
      <w:lvlJc w:val="left"/>
      <w:pPr>
        <w:ind w:left="4923" w:hanging="1080"/>
      </w:pPr>
      <w:rPr>
        <w:rFonts w:cs="Times New Roman"/>
      </w:rPr>
    </w:lvl>
    <w:lvl w:ilvl="7">
      <w:start w:val="1"/>
      <w:numFmt w:val="decimal"/>
      <w:lvlText w:val="%1.%2.%3.%4.%5.%6.%7.%8."/>
      <w:lvlJc w:val="left"/>
      <w:pPr>
        <w:ind w:left="5427" w:hanging="1224"/>
      </w:pPr>
      <w:rPr>
        <w:rFonts w:cs="Times New Roman"/>
      </w:rPr>
    </w:lvl>
    <w:lvl w:ilvl="8">
      <w:start w:val="1"/>
      <w:numFmt w:val="decimal"/>
      <w:lvlText w:val="%1.%2.%3.%4.%5.%6.%7.%8.%9."/>
      <w:lvlJc w:val="left"/>
      <w:pPr>
        <w:ind w:left="6003" w:hanging="1440"/>
      </w:pPr>
      <w:rPr>
        <w:rFonts w:cs="Times New Roman"/>
      </w:rPr>
    </w:lvl>
  </w:abstractNum>
  <w:abstractNum w:abstractNumId="19">
    <w:nsid w:val="435016E1"/>
    <w:multiLevelType w:val="hybridMultilevel"/>
    <w:tmpl w:val="3E468BB2"/>
    <w:lvl w:ilvl="0" w:tplc="58E26E5C">
      <w:start w:val="1"/>
      <w:numFmt w:val="decimal"/>
      <w:lvlText w:val="%1"/>
      <w:lvlJc w:val="left"/>
      <w:pPr>
        <w:ind w:left="1320" w:hanging="9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nsid w:val="43CE7E6E"/>
    <w:multiLevelType w:val="hybridMultilevel"/>
    <w:tmpl w:val="31E0D0DE"/>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21">
    <w:nsid w:val="47D27D7C"/>
    <w:multiLevelType w:val="hybridMultilevel"/>
    <w:tmpl w:val="B516C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273063"/>
    <w:multiLevelType w:val="hybridMultilevel"/>
    <w:tmpl w:val="24AAEE9C"/>
    <w:lvl w:ilvl="0" w:tplc="4CC8E2E0">
      <w:start w:val="1"/>
      <w:numFmt w:val="bullet"/>
      <w:lvlText w:val=""/>
      <w:lvlJc w:val="left"/>
      <w:pPr>
        <w:ind w:left="1352" w:hanging="360"/>
      </w:pPr>
      <w:rPr>
        <w:rFonts w:ascii="Symbol" w:hAnsi="Symbol" w:hint="default"/>
      </w:rPr>
    </w:lvl>
    <w:lvl w:ilvl="1" w:tplc="0C090003" w:tentative="1">
      <w:start w:val="1"/>
      <w:numFmt w:val="bullet"/>
      <w:lvlText w:val="o"/>
      <w:lvlJc w:val="left"/>
      <w:pPr>
        <w:ind w:left="2072" w:hanging="360"/>
      </w:pPr>
      <w:rPr>
        <w:rFonts w:ascii="Courier New" w:hAnsi="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23">
    <w:nsid w:val="493F47F2"/>
    <w:multiLevelType w:val="hybridMultilevel"/>
    <w:tmpl w:val="4B068A9E"/>
    <w:lvl w:ilvl="0" w:tplc="96E2D942">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494D624D"/>
    <w:multiLevelType w:val="hybridMultilevel"/>
    <w:tmpl w:val="DD828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B3A3B32"/>
    <w:multiLevelType w:val="hybridMultilevel"/>
    <w:tmpl w:val="6AD868BA"/>
    <w:lvl w:ilvl="0" w:tplc="3878C380">
      <w:start w:val="1"/>
      <w:numFmt w:val="lowerLetter"/>
      <w:lvlText w:val="(%1)"/>
      <w:lvlJc w:val="left"/>
      <w:pPr>
        <w:ind w:left="1080" w:hanging="360"/>
      </w:pPr>
      <w:rPr>
        <w:rFonts w:ascii="TimesNewRoman" w:eastAsia="Times New Roman" w:hAnsi="TimesNewRoman" w:cs="TimesNewRoman"/>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E0553FB"/>
    <w:multiLevelType w:val="hybridMultilevel"/>
    <w:tmpl w:val="F46C96FC"/>
    <w:lvl w:ilvl="0" w:tplc="0172CBB2">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552C3B6E"/>
    <w:multiLevelType w:val="hybridMultilevel"/>
    <w:tmpl w:val="B23416C6"/>
    <w:lvl w:ilvl="0" w:tplc="04207CFA">
      <w:start w:val="1"/>
      <w:numFmt w:val="lowerLetter"/>
      <w:lvlText w:val="(%1)"/>
      <w:lvlJc w:val="left"/>
      <w:pPr>
        <w:ind w:left="1352" w:hanging="360"/>
      </w:pPr>
      <w:rPr>
        <w:rFonts w:ascii="Times New Roman" w:eastAsia="Times New Roman" w:hAnsi="Times New Roman" w:cs="Times New Roman"/>
      </w:rPr>
    </w:lvl>
    <w:lvl w:ilvl="1" w:tplc="0C090019" w:tentative="1">
      <w:start w:val="1"/>
      <w:numFmt w:val="lowerLetter"/>
      <w:lvlText w:val="%2."/>
      <w:lvlJc w:val="left"/>
      <w:pPr>
        <w:ind w:left="2072" w:hanging="360"/>
      </w:pPr>
      <w:rPr>
        <w:rFonts w:cs="Times New Roman"/>
      </w:rPr>
    </w:lvl>
    <w:lvl w:ilvl="2" w:tplc="0C09001B" w:tentative="1">
      <w:start w:val="1"/>
      <w:numFmt w:val="lowerRoman"/>
      <w:lvlText w:val="%3."/>
      <w:lvlJc w:val="right"/>
      <w:pPr>
        <w:ind w:left="2792" w:hanging="180"/>
      </w:pPr>
      <w:rPr>
        <w:rFonts w:cs="Times New Roman"/>
      </w:rPr>
    </w:lvl>
    <w:lvl w:ilvl="3" w:tplc="0C09000F" w:tentative="1">
      <w:start w:val="1"/>
      <w:numFmt w:val="decimal"/>
      <w:lvlText w:val="%4."/>
      <w:lvlJc w:val="left"/>
      <w:pPr>
        <w:ind w:left="3512" w:hanging="360"/>
      </w:pPr>
      <w:rPr>
        <w:rFonts w:cs="Times New Roman"/>
      </w:rPr>
    </w:lvl>
    <w:lvl w:ilvl="4" w:tplc="0C090019" w:tentative="1">
      <w:start w:val="1"/>
      <w:numFmt w:val="lowerLetter"/>
      <w:lvlText w:val="%5."/>
      <w:lvlJc w:val="left"/>
      <w:pPr>
        <w:ind w:left="4232" w:hanging="360"/>
      </w:pPr>
      <w:rPr>
        <w:rFonts w:cs="Times New Roman"/>
      </w:rPr>
    </w:lvl>
    <w:lvl w:ilvl="5" w:tplc="0C09001B" w:tentative="1">
      <w:start w:val="1"/>
      <w:numFmt w:val="lowerRoman"/>
      <w:lvlText w:val="%6."/>
      <w:lvlJc w:val="right"/>
      <w:pPr>
        <w:ind w:left="4952" w:hanging="180"/>
      </w:pPr>
      <w:rPr>
        <w:rFonts w:cs="Times New Roman"/>
      </w:rPr>
    </w:lvl>
    <w:lvl w:ilvl="6" w:tplc="0C09000F" w:tentative="1">
      <w:start w:val="1"/>
      <w:numFmt w:val="decimal"/>
      <w:lvlText w:val="%7."/>
      <w:lvlJc w:val="left"/>
      <w:pPr>
        <w:ind w:left="5672" w:hanging="360"/>
      </w:pPr>
      <w:rPr>
        <w:rFonts w:cs="Times New Roman"/>
      </w:rPr>
    </w:lvl>
    <w:lvl w:ilvl="7" w:tplc="0C090019" w:tentative="1">
      <w:start w:val="1"/>
      <w:numFmt w:val="lowerLetter"/>
      <w:lvlText w:val="%8."/>
      <w:lvlJc w:val="left"/>
      <w:pPr>
        <w:ind w:left="6392" w:hanging="360"/>
      </w:pPr>
      <w:rPr>
        <w:rFonts w:cs="Times New Roman"/>
      </w:rPr>
    </w:lvl>
    <w:lvl w:ilvl="8" w:tplc="0C09001B" w:tentative="1">
      <w:start w:val="1"/>
      <w:numFmt w:val="lowerRoman"/>
      <w:lvlText w:val="%9."/>
      <w:lvlJc w:val="right"/>
      <w:pPr>
        <w:ind w:left="7112" w:hanging="180"/>
      </w:pPr>
      <w:rPr>
        <w:rFonts w:cs="Times New Roman"/>
      </w:rPr>
    </w:lvl>
  </w:abstractNum>
  <w:abstractNum w:abstractNumId="28">
    <w:nsid w:val="56D32093"/>
    <w:multiLevelType w:val="hybridMultilevel"/>
    <w:tmpl w:val="B7F83B1A"/>
    <w:lvl w:ilvl="0" w:tplc="B400065E">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29">
    <w:nsid w:val="5FC72ABC"/>
    <w:multiLevelType w:val="hybridMultilevel"/>
    <w:tmpl w:val="B7F0222C"/>
    <w:lvl w:ilvl="0" w:tplc="326CE5D0">
      <w:start w:val="1"/>
      <w:numFmt w:val="lowerLetter"/>
      <w:lvlText w:val="(%1)"/>
      <w:lvlJc w:val="left"/>
      <w:pPr>
        <w:ind w:left="1080" w:hanging="360"/>
      </w:pPr>
      <w:rPr>
        <w:rFonts w:ascii="Times New Roman" w:eastAsia="Times New Roman" w:hAnsi="Times New Roman" w:cs="Times New Roman"/>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5FE21D82"/>
    <w:multiLevelType w:val="hybridMultilevel"/>
    <w:tmpl w:val="3B3CDDC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01C5999"/>
    <w:multiLevelType w:val="hybridMultilevel"/>
    <w:tmpl w:val="063EB7C8"/>
    <w:lvl w:ilvl="0" w:tplc="4CC8E2E0">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2">
    <w:nsid w:val="67B01FC5"/>
    <w:multiLevelType w:val="hybridMultilevel"/>
    <w:tmpl w:val="010A5A6E"/>
    <w:lvl w:ilvl="0" w:tplc="B400065E">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33">
    <w:nsid w:val="6E225541"/>
    <w:multiLevelType w:val="hybridMultilevel"/>
    <w:tmpl w:val="EA80D2AE"/>
    <w:lvl w:ilvl="0" w:tplc="B400065E">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34">
    <w:nsid w:val="73EB5EAC"/>
    <w:multiLevelType w:val="hybridMultilevel"/>
    <w:tmpl w:val="A1C23498"/>
    <w:lvl w:ilvl="0" w:tplc="A2AC2E82">
      <w:start w:val="1"/>
      <w:numFmt w:val="lowerLetter"/>
      <w:lvlText w:val="(%1)"/>
      <w:lvlJc w:val="left"/>
      <w:pPr>
        <w:ind w:left="1320" w:hanging="360"/>
      </w:pPr>
      <w:rPr>
        <w:rFonts w:cs="Times New Roman" w:hint="default"/>
      </w:rPr>
    </w:lvl>
    <w:lvl w:ilvl="1" w:tplc="0C090019" w:tentative="1">
      <w:start w:val="1"/>
      <w:numFmt w:val="lowerLetter"/>
      <w:lvlText w:val="%2."/>
      <w:lvlJc w:val="left"/>
      <w:pPr>
        <w:ind w:left="2040" w:hanging="360"/>
      </w:pPr>
      <w:rPr>
        <w:rFonts w:cs="Times New Roman"/>
      </w:rPr>
    </w:lvl>
    <w:lvl w:ilvl="2" w:tplc="0C09001B" w:tentative="1">
      <w:start w:val="1"/>
      <w:numFmt w:val="lowerRoman"/>
      <w:lvlText w:val="%3."/>
      <w:lvlJc w:val="right"/>
      <w:pPr>
        <w:ind w:left="2760" w:hanging="180"/>
      </w:pPr>
      <w:rPr>
        <w:rFonts w:cs="Times New Roman"/>
      </w:rPr>
    </w:lvl>
    <w:lvl w:ilvl="3" w:tplc="0C09000F" w:tentative="1">
      <w:start w:val="1"/>
      <w:numFmt w:val="decimal"/>
      <w:lvlText w:val="%4."/>
      <w:lvlJc w:val="left"/>
      <w:pPr>
        <w:ind w:left="3480" w:hanging="360"/>
      </w:pPr>
      <w:rPr>
        <w:rFonts w:cs="Times New Roman"/>
      </w:rPr>
    </w:lvl>
    <w:lvl w:ilvl="4" w:tplc="0C090019" w:tentative="1">
      <w:start w:val="1"/>
      <w:numFmt w:val="lowerLetter"/>
      <w:lvlText w:val="%5."/>
      <w:lvlJc w:val="left"/>
      <w:pPr>
        <w:ind w:left="4200" w:hanging="360"/>
      </w:pPr>
      <w:rPr>
        <w:rFonts w:cs="Times New Roman"/>
      </w:rPr>
    </w:lvl>
    <w:lvl w:ilvl="5" w:tplc="0C09001B" w:tentative="1">
      <w:start w:val="1"/>
      <w:numFmt w:val="lowerRoman"/>
      <w:lvlText w:val="%6."/>
      <w:lvlJc w:val="right"/>
      <w:pPr>
        <w:ind w:left="4920" w:hanging="180"/>
      </w:pPr>
      <w:rPr>
        <w:rFonts w:cs="Times New Roman"/>
      </w:rPr>
    </w:lvl>
    <w:lvl w:ilvl="6" w:tplc="0C09000F" w:tentative="1">
      <w:start w:val="1"/>
      <w:numFmt w:val="decimal"/>
      <w:lvlText w:val="%7."/>
      <w:lvlJc w:val="left"/>
      <w:pPr>
        <w:ind w:left="5640" w:hanging="360"/>
      </w:pPr>
      <w:rPr>
        <w:rFonts w:cs="Times New Roman"/>
      </w:rPr>
    </w:lvl>
    <w:lvl w:ilvl="7" w:tplc="0C090019" w:tentative="1">
      <w:start w:val="1"/>
      <w:numFmt w:val="lowerLetter"/>
      <w:lvlText w:val="%8."/>
      <w:lvlJc w:val="left"/>
      <w:pPr>
        <w:ind w:left="6360" w:hanging="360"/>
      </w:pPr>
      <w:rPr>
        <w:rFonts w:cs="Times New Roman"/>
      </w:rPr>
    </w:lvl>
    <w:lvl w:ilvl="8" w:tplc="0C09001B" w:tentative="1">
      <w:start w:val="1"/>
      <w:numFmt w:val="lowerRoman"/>
      <w:lvlText w:val="%9."/>
      <w:lvlJc w:val="right"/>
      <w:pPr>
        <w:ind w:left="7080" w:hanging="180"/>
      </w:pPr>
      <w:rPr>
        <w:rFonts w:cs="Times New Roman"/>
      </w:rPr>
    </w:lvl>
  </w:abstractNum>
  <w:abstractNum w:abstractNumId="35">
    <w:nsid w:val="7A6E266D"/>
    <w:multiLevelType w:val="hybridMultilevel"/>
    <w:tmpl w:val="B0A651F6"/>
    <w:lvl w:ilvl="0" w:tplc="0C090017">
      <w:start w:val="1"/>
      <w:numFmt w:val="lowerLetter"/>
      <w:lvlText w:val="%1)"/>
      <w:lvlJc w:val="left"/>
      <w:pPr>
        <w:ind w:left="726" w:hanging="360"/>
      </w:pPr>
      <w:rPr>
        <w:rFonts w:cs="Times New Roman" w:hint="default"/>
      </w:rPr>
    </w:lvl>
    <w:lvl w:ilvl="1" w:tplc="0C090003" w:tentative="1">
      <w:start w:val="1"/>
      <w:numFmt w:val="bullet"/>
      <w:lvlText w:val="o"/>
      <w:lvlJc w:val="left"/>
      <w:pPr>
        <w:ind w:left="1446" w:hanging="360"/>
      </w:pPr>
      <w:rPr>
        <w:rFonts w:ascii="Courier New" w:hAnsi="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hint="default"/>
      </w:rPr>
    </w:lvl>
    <w:lvl w:ilvl="8" w:tplc="0C090005" w:tentative="1">
      <w:start w:val="1"/>
      <w:numFmt w:val="bullet"/>
      <w:lvlText w:val=""/>
      <w:lvlJc w:val="left"/>
      <w:pPr>
        <w:ind w:left="6486"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31"/>
  </w:num>
  <w:num w:numId="4">
    <w:abstractNumId w:val="10"/>
  </w:num>
  <w:num w:numId="5">
    <w:abstractNumId w:val="5"/>
  </w:num>
  <w:num w:numId="6">
    <w:abstractNumId w:val="12"/>
  </w:num>
  <w:num w:numId="7">
    <w:abstractNumId w:val="9"/>
  </w:num>
  <w:num w:numId="8">
    <w:abstractNumId w:val="33"/>
  </w:num>
  <w:num w:numId="9">
    <w:abstractNumId w:val="32"/>
  </w:num>
  <w:num w:numId="10">
    <w:abstractNumId w:val="28"/>
  </w:num>
  <w:num w:numId="11">
    <w:abstractNumId w:val="11"/>
  </w:num>
  <w:num w:numId="12">
    <w:abstractNumId w:val="18"/>
  </w:num>
  <w:num w:numId="13">
    <w:abstractNumId w:val="19"/>
  </w:num>
  <w:num w:numId="14">
    <w:abstractNumId w:val="22"/>
  </w:num>
  <w:num w:numId="15">
    <w:abstractNumId w:val="14"/>
  </w:num>
  <w:num w:numId="16">
    <w:abstractNumId w:val="2"/>
  </w:num>
  <w:num w:numId="17">
    <w:abstractNumId w:val="35"/>
  </w:num>
  <w:num w:numId="18">
    <w:abstractNumId w:val="30"/>
  </w:num>
  <w:num w:numId="19">
    <w:abstractNumId w:val="20"/>
  </w:num>
  <w:num w:numId="20">
    <w:abstractNumId w:val="8"/>
  </w:num>
  <w:num w:numId="21">
    <w:abstractNumId w:val="23"/>
  </w:num>
  <w:num w:numId="22">
    <w:abstractNumId w:val="26"/>
  </w:num>
  <w:num w:numId="23">
    <w:abstractNumId w:val="17"/>
  </w:num>
  <w:num w:numId="24">
    <w:abstractNumId w:val="6"/>
  </w:num>
  <w:num w:numId="25">
    <w:abstractNumId w:val="25"/>
  </w:num>
  <w:num w:numId="26">
    <w:abstractNumId w:val="29"/>
  </w:num>
  <w:num w:numId="27">
    <w:abstractNumId w:val="15"/>
  </w:num>
  <w:num w:numId="28">
    <w:abstractNumId w:val="21"/>
  </w:num>
  <w:num w:numId="29">
    <w:abstractNumId w:val="24"/>
  </w:num>
  <w:num w:numId="30">
    <w:abstractNumId w:val="1"/>
  </w:num>
  <w:num w:numId="31">
    <w:abstractNumId w:val="13"/>
  </w:num>
  <w:num w:numId="32">
    <w:abstractNumId w:val="16"/>
  </w:num>
  <w:num w:numId="33">
    <w:abstractNumId w:val="34"/>
  </w:num>
  <w:num w:numId="34">
    <w:abstractNumId w:val="27"/>
  </w:num>
  <w:num w:numId="35">
    <w:abstractNumId w:val="4"/>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07AA"/>
    <w:rsid w:val="000012C6"/>
    <w:rsid w:val="00001E0E"/>
    <w:rsid w:val="00001E50"/>
    <w:rsid w:val="00002AA3"/>
    <w:rsid w:val="00005E5A"/>
    <w:rsid w:val="000061CC"/>
    <w:rsid w:val="00007310"/>
    <w:rsid w:val="00007B39"/>
    <w:rsid w:val="00010822"/>
    <w:rsid w:val="00011C5D"/>
    <w:rsid w:val="000122C6"/>
    <w:rsid w:val="000132F3"/>
    <w:rsid w:val="000241E2"/>
    <w:rsid w:val="00024207"/>
    <w:rsid w:val="00031991"/>
    <w:rsid w:val="00033018"/>
    <w:rsid w:val="00043D0D"/>
    <w:rsid w:val="0004718F"/>
    <w:rsid w:val="00051A31"/>
    <w:rsid w:val="0005322E"/>
    <w:rsid w:val="00055261"/>
    <w:rsid w:val="0006040A"/>
    <w:rsid w:val="0006081B"/>
    <w:rsid w:val="00060DB2"/>
    <w:rsid w:val="0006626E"/>
    <w:rsid w:val="00070360"/>
    <w:rsid w:val="0007067E"/>
    <w:rsid w:val="00073A5D"/>
    <w:rsid w:val="0007502B"/>
    <w:rsid w:val="0007629E"/>
    <w:rsid w:val="00080FC2"/>
    <w:rsid w:val="000838F6"/>
    <w:rsid w:val="00084DE7"/>
    <w:rsid w:val="00085AA4"/>
    <w:rsid w:val="00085E83"/>
    <w:rsid w:val="00086541"/>
    <w:rsid w:val="00094D15"/>
    <w:rsid w:val="000969E6"/>
    <w:rsid w:val="000A1439"/>
    <w:rsid w:val="000A2793"/>
    <w:rsid w:val="000A3E83"/>
    <w:rsid w:val="000B6177"/>
    <w:rsid w:val="000B730D"/>
    <w:rsid w:val="000C18AB"/>
    <w:rsid w:val="000C2DBB"/>
    <w:rsid w:val="000C2EB5"/>
    <w:rsid w:val="000C47DE"/>
    <w:rsid w:val="000C53CB"/>
    <w:rsid w:val="000C63EB"/>
    <w:rsid w:val="000C7458"/>
    <w:rsid w:val="000D03F3"/>
    <w:rsid w:val="000D0A80"/>
    <w:rsid w:val="000D20ED"/>
    <w:rsid w:val="000D3154"/>
    <w:rsid w:val="000E0A22"/>
    <w:rsid w:val="00101FBC"/>
    <w:rsid w:val="00106050"/>
    <w:rsid w:val="001063CF"/>
    <w:rsid w:val="001149AA"/>
    <w:rsid w:val="0012405B"/>
    <w:rsid w:val="0012731E"/>
    <w:rsid w:val="00127858"/>
    <w:rsid w:val="001341F5"/>
    <w:rsid w:val="00135618"/>
    <w:rsid w:val="00141651"/>
    <w:rsid w:val="00151168"/>
    <w:rsid w:val="00153D8A"/>
    <w:rsid w:val="00161C61"/>
    <w:rsid w:val="00164176"/>
    <w:rsid w:val="00165090"/>
    <w:rsid w:val="00171F8A"/>
    <w:rsid w:val="00173B75"/>
    <w:rsid w:val="00177BDE"/>
    <w:rsid w:val="001807AA"/>
    <w:rsid w:val="001866AA"/>
    <w:rsid w:val="001875E1"/>
    <w:rsid w:val="001909DC"/>
    <w:rsid w:val="001917A8"/>
    <w:rsid w:val="00194DF5"/>
    <w:rsid w:val="001A4095"/>
    <w:rsid w:val="001A57AE"/>
    <w:rsid w:val="001A7098"/>
    <w:rsid w:val="001B11D8"/>
    <w:rsid w:val="001B16B5"/>
    <w:rsid w:val="001B2801"/>
    <w:rsid w:val="001B37A6"/>
    <w:rsid w:val="001B3B32"/>
    <w:rsid w:val="001C0EA0"/>
    <w:rsid w:val="001C1284"/>
    <w:rsid w:val="001C16A7"/>
    <w:rsid w:val="001C34F4"/>
    <w:rsid w:val="001C5238"/>
    <w:rsid w:val="001C7812"/>
    <w:rsid w:val="001C7DF5"/>
    <w:rsid w:val="001D14EF"/>
    <w:rsid w:val="001D65C6"/>
    <w:rsid w:val="001D6C5D"/>
    <w:rsid w:val="001E2A70"/>
    <w:rsid w:val="001E5885"/>
    <w:rsid w:val="001E728F"/>
    <w:rsid w:val="001E76C2"/>
    <w:rsid w:val="001F1846"/>
    <w:rsid w:val="00201B1B"/>
    <w:rsid w:val="0020531B"/>
    <w:rsid w:val="00215920"/>
    <w:rsid w:val="00217954"/>
    <w:rsid w:val="00220AFB"/>
    <w:rsid w:val="00222666"/>
    <w:rsid w:val="0022473F"/>
    <w:rsid w:val="002275F7"/>
    <w:rsid w:val="00227FCD"/>
    <w:rsid w:val="00234B6B"/>
    <w:rsid w:val="00235C68"/>
    <w:rsid w:val="0023772C"/>
    <w:rsid w:val="00243BFE"/>
    <w:rsid w:val="00252738"/>
    <w:rsid w:val="00253435"/>
    <w:rsid w:val="002539A4"/>
    <w:rsid w:val="00257744"/>
    <w:rsid w:val="00261811"/>
    <w:rsid w:val="00263002"/>
    <w:rsid w:val="002668DD"/>
    <w:rsid w:val="002732DF"/>
    <w:rsid w:val="002805C0"/>
    <w:rsid w:val="002839C9"/>
    <w:rsid w:val="00284D54"/>
    <w:rsid w:val="00284F7B"/>
    <w:rsid w:val="00287737"/>
    <w:rsid w:val="002909D0"/>
    <w:rsid w:val="002948CE"/>
    <w:rsid w:val="00294ED0"/>
    <w:rsid w:val="00297796"/>
    <w:rsid w:val="002A2FED"/>
    <w:rsid w:val="002A6E4E"/>
    <w:rsid w:val="002B43B0"/>
    <w:rsid w:val="002B4872"/>
    <w:rsid w:val="002B64C1"/>
    <w:rsid w:val="002C3F17"/>
    <w:rsid w:val="002C423B"/>
    <w:rsid w:val="002D4C08"/>
    <w:rsid w:val="002D4EE7"/>
    <w:rsid w:val="002D67BE"/>
    <w:rsid w:val="002E2B43"/>
    <w:rsid w:val="002E368C"/>
    <w:rsid w:val="002E6FD5"/>
    <w:rsid w:val="002F470E"/>
    <w:rsid w:val="002F7D44"/>
    <w:rsid w:val="003026A1"/>
    <w:rsid w:val="003032A4"/>
    <w:rsid w:val="00311081"/>
    <w:rsid w:val="00315EA2"/>
    <w:rsid w:val="0031676E"/>
    <w:rsid w:val="003205C5"/>
    <w:rsid w:val="0032105B"/>
    <w:rsid w:val="00331218"/>
    <w:rsid w:val="003318C7"/>
    <w:rsid w:val="0033582F"/>
    <w:rsid w:val="00337AFA"/>
    <w:rsid w:val="00342C8F"/>
    <w:rsid w:val="003468DA"/>
    <w:rsid w:val="00354035"/>
    <w:rsid w:val="0035403D"/>
    <w:rsid w:val="0035671B"/>
    <w:rsid w:val="00357DE3"/>
    <w:rsid w:val="00361250"/>
    <w:rsid w:val="00363500"/>
    <w:rsid w:val="003645F6"/>
    <w:rsid w:val="00373FBC"/>
    <w:rsid w:val="003759A5"/>
    <w:rsid w:val="003767F5"/>
    <w:rsid w:val="00376F28"/>
    <w:rsid w:val="0038302F"/>
    <w:rsid w:val="00383556"/>
    <w:rsid w:val="00383A5D"/>
    <w:rsid w:val="00385118"/>
    <w:rsid w:val="00396152"/>
    <w:rsid w:val="00397B17"/>
    <w:rsid w:val="003A5848"/>
    <w:rsid w:val="003A7104"/>
    <w:rsid w:val="003B135B"/>
    <w:rsid w:val="003B2B13"/>
    <w:rsid w:val="003B6AC0"/>
    <w:rsid w:val="003B78C4"/>
    <w:rsid w:val="003C0A93"/>
    <w:rsid w:val="003C6D82"/>
    <w:rsid w:val="003D5D8D"/>
    <w:rsid w:val="003D60B2"/>
    <w:rsid w:val="003E03B2"/>
    <w:rsid w:val="003E2B6A"/>
    <w:rsid w:val="003E3A59"/>
    <w:rsid w:val="003E7293"/>
    <w:rsid w:val="003F6688"/>
    <w:rsid w:val="004038AB"/>
    <w:rsid w:val="004069CF"/>
    <w:rsid w:val="004109C5"/>
    <w:rsid w:val="00414869"/>
    <w:rsid w:val="00421ED0"/>
    <w:rsid w:val="004228F6"/>
    <w:rsid w:val="004246E1"/>
    <w:rsid w:val="00427D84"/>
    <w:rsid w:val="00432DD8"/>
    <w:rsid w:val="00433517"/>
    <w:rsid w:val="00433E05"/>
    <w:rsid w:val="00435B41"/>
    <w:rsid w:val="004375DB"/>
    <w:rsid w:val="004376A2"/>
    <w:rsid w:val="00442FE0"/>
    <w:rsid w:val="00444E47"/>
    <w:rsid w:val="00445893"/>
    <w:rsid w:val="00445968"/>
    <w:rsid w:val="00447CE9"/>
    <w:rsid w:val="004538EE"/>
    <w:rsid w:val="00453C48"/>
    <w:rsid w:val="00455175"/>
    <w:rsid w:val="004552E5"/>
    <w:rsid w:val="00455F68"/>
    <w:rsid w:val="0045618A"/>
    <w:rsid w:val="00456EF2"/>
    <w:rsid w:val="0045763A"/>
    <w:rsid w:val="004635E8"/>
    <w:rsid w:val="00466A42"/>
    <w:rsid w:val="004710F7"/>
    <w:rsid w:val="004743A1"/>
    <w:rsid w:val="00476E89"/>
    <w:rsid w:val="00481105"/>
    <w:rsid w:val="004824CD"/>
    <w:rsid w:val="00482B8C"/>
    <w:rsid w:val="00483E97"/>
    <w:rsid w:val="00485FBD"/>
    <w:rsid w:val="00492271"/>
    <w:rsid w:val="00493582"/>
    <w:rsid w:val="004940A2"/>
    <w:rsid w:val="004A02FA"/>
    <w:rsid w:val="004A5806"/>
    <w:rsid w:val="004B3399"/>
    <w:rsid w:val="004B4D95"/>
    <w:rsid w:val="004B59BE"/>
    <w:rsid w:val="004B6631"/>
    <w:rsid w:val="004B69C8"/>
    <w:rsid w:val="004C2149"/>
    <w:rsid w:val="004C656F"/>
    <w:rsid w:val="004C7309"/>
    <w:rsid w:val="004E6900"/>
    <w:rsid w:val="004E7406"/>
    <w:rsid w:val="004F6394"/>
    <w:rsid w:val="005018C8"/>
    <w:rsid w:val="00504BC4"/>
    <w:rsid w:val="00507354"/>
    <w:rsid w:val="00534E23"/>
    <w:rsid w:val="0054155B"/>
    <w:rsid w:val="0054215C"/>
    <w:rsid w:val="0054502D"/>
    <w:rsid w:val="00547769"/>
    <w:rsid w:val="00550F0B"/>
    <w:rsid w:val="00552C14"/>
    <w:rsid w:val="00557487"/>
    <w:rsid w:val="0055779D"/>
    <w:rsid w:val="00565379"/>
    <w:rsid w:val="00566604"/>
    <w:rsid w:val="0056751B"/>
    <w:rsid w:val="00572734"/>
    <w:rsid w:val="00580510"/>
    <w:rsid w:val="0058516C"/>
    <w:rsid w:val="005866E6"/>
    <w:rsid w:val="005871AC"/>
    <w:rsid w:val="00592B1E"/>
    <w:rsid w:val="00592CAA"/>
    <w:rsid w:val="005A5631"/>
    <w:rsid w:val="005B04F0"/>
    <w:rsid w:val="005B3AC1"/>
    <w:rsid w:val="005B6ED6"/>
    <w:rsid w:val="005C18F7"/>
    <w:rsid w:val="005C2797"/>
    <w:rsid w:val="005C3FE9"/>
    <w:rsid w:val="005C59A6"/>
    <w:rsid w:val="005D0370"/>
    <w:rsid w:val="005D2560"/>
    <w:rsid w:val="005D5A9F"/>
    <w:rsid w:val="005D6627"/>
    <w:rsid w:val="005D6BDC"/>
    <w:rsid w:val="005E7E41"/>
    <w:rsid w:val="005F209F"/>
    <w:rsid w:val="006038F4"/>
    <w:rsid w:val="006049BB"/>
    <w:rsid w:val="0061001A"/>
    <w:rsid w:val="0061080E"/>
    <w:rsid w:val="00620A70"/>
    <w:rsid w:val="00623B2C"/>
    <w:rsid w:val="00625130"/>
    <w:rsid w:val="00632C4C"/>
    <w:rsid w:val="00633B0A"/>
    <w:rsid w:val="0063740F"/>
    <w:rsid w:val="00640181"/>
    <w:rsid w:val="006421FA"/>
    <w:rsid w:val="00643ED1"/>
    <w:rsid w:val="00646D4B"/>
    <w:rsid w:val="006512DE"/>
    <w:rsid w:val="006543D2"/>
    <w:rsid w:val="00655708"/>
    <w:rsid w:val="00662CA6"/>
    <w:rsid w:val="00667A91"/>
    <w:rsid w:val="00670F7F"/>
    <w:rsid w:val="00670FDF"/>
    <w:rsid w:val="00672104"/>
    <w:rsid w:val="006723B0"/>
    <w:rsid w:val="0067351C"/>
    <w:rsid w:val="00676228"/>
    <w:rsid w:val="00677116"/>
    <w:rsid w:val="00684208"/>
    <w:rsid w:val="00686208"/>
    <w:rsid w:val="006874E4"/>
    <w:rsid w:val="0069415C"/>
    <w:rsid w:val="006943A6"/>
    <w:rsid w:val="00694BE4"/>
    <w:rsid w:val="006961F9"/>
    <w:rsid w:val="006B020F"/>
    <w:rsid w:val="006B5818"/>
    <w:rsid w:val="006B5CB4"/>
    <w:rsid w:val="006B6CBE"/>
    <w:rsid w:val="006C3478"/>
    <w:rsid w:val="006C5FC1"/>
    <w:rsid w:val="006D06AB"/>
    <w:rsid w:val="006D4F8C"/>
    <w:rsid w:val="006E048E"/>
    <w:rsid w:val="006E157D"/>
    <w:rsid w:val="006E436D"/>
    <w:rsid w:val="006E4972"/>
    <w:rsid w:val="006E57F6"/>
    <w:rsid w:val="006E62E5"/>
    <w:rsid w:val="006F2192"/>
    <w:rsid w:val="006F281B"/>
    <w:rsid w:val="006F3443"/>
    <w:rsid w:val="006F7882"/>
    <w:rsid w:val="00702C8B"/>
    <w:rsid w:val="007206C1"/>
    <w:rsid w:val="00721738"/>
    <w:rsid w:val="0072532F"/>
    <w:rsid w:val="00727344"/>
    <w:rsid w:val="007303B1"/>
    <w:rsid w:val="00732732"/>
    <w:rsid w:val="00740A58"/>
    <w:rsid w:val="0074684C"/>
    <w:rsid w:val="007525E7"/>
    <w:rsid w:val="00762599"/>
    <w:rsid w:val="00767386"/>
    <w:rsid w:val="007700EF"/>
    <w:rsid w:val="00772ECC"/>
    <w:rsid w:val="00776E66"/>
    <w:rsid w:val="0078127A"/>
    <w:rsid w:val="00783B6F"/>
    <w:rsid w:val="007876E8"/>
    <w:rsid w:val="00790172"/>
    <w:rsid w:val="0079115F"/>
    <w:rsid w:val="00791F06"/>
    <w:rsid w:val="0079247A"/>
    <w:rsid w:val="0079350F"/>
    <w:rsid w:val="00796309"/>
    <w:rsid w:val="00796F2B"/>
    <w:rsid w:val="007A10DA"/>
    <w:rsid w:val="007A2136"/>
    <w:rsid w:val="007A3B43"/>
    <w:rsid w:val="007A4A94"/>
    <w:rsid w:val="007A4DE4"/>
    <w:rsid w:val="007A5495"/>
    <w:rsid w:val="007B4521"/>
    <w:rsid w:val="007C0266"/>
    <w:rsid w:val="007C2057"/>
    <w:rsid w:val="007D36FF"/>
    <w:rsid w:val="007D4F47"/>
    <w:rsid w:val="007E34EB"/>
    <w:rsid w:val="007E3A87"/>
    <w:rsid w:val="007E5CD6"/>
    <w:rsid w:val="007F00B6"/>
    <w:rsid w:val="007F5D3A"/>
    <w:rsid w:val="00802023"/>
    <w:rsid w:val="008035AD"/>
    <w:rsid w:val="0080419A"/>
    <w:rsid w:val="00805737"/>
    <w:rsid w:val="00814117"/>
    <w:rsid w:val="00830DCE"/>
    <w:rsid w:val="00831F7F"/>
    <w:rsid w:val="00832038"/>
    <w:rsid w:val="00845215"/>
    <w:rsid w:val="008479F6"/>
    <w:rsid w:val="0085039F"/>
    <w:rsid w:val="0085237A"/>
    <w:rsid w:val="0085488D"/>
    <w:rsid w:val="00855224"/>
    <w:rsid w:val="00856E04"/>
    <w:rsid w:val="00857321"/>
    <w:rsid w:val="008576B6"/>
    <w:rsid w:val="00880B42"/>
    <w:rsid w:val="00885400"/>
    <w:rsid w:val="00886B2F"/>
    <w:rsid w:val="00892F0F"/>
    <w:rsid w:val="008A0838"/>
    <w:rsid w:val="008A1D69"/>
    <w:rsid w:val="008B1554"/>
    <w:rsid w:val="008B1A47"/>
    <w:rsid w:val="008B1B5D"/>
    <w:rsid w:val="008B2DBD"/>
    <w:rsid w:val="008B5686"/>
    <w:rsid w:val="008B7789"/>
    <w:rsid w:val="008C0B80"/>
    <w:rsid w:val="008C20CA"/>
    <w:rsid w:val="008C2972"/>
    <w:rsid w:val="008C2A21"/>
    <w:rsid w:val="008C57C1"/>
    <w:rsid w:val="008C6D96"/>
    <w:rsid w:val="008D0CD5"/>
    <w:rsid w:val="008D2629"/>
    <w:rsid w:val="008E1321"/>
    <w:rsid w:val="008F0C93"/>
    <w:rsid w:val="008F16DE"/>
    <w:rsid w:val="008F7636"/>
    <w:rsid w:val="0090563C"/>
    <w:rsid w:val="009057D9"/>
    <w:rsid w:val="009159B7"/>
    <w:rsid w:val="00916E92"/>
    <w:rsid w:val="00920E05"/>
    <w:rsid w:val="009220BF"/>
    <w:rsid w:val="00923F69"/>
    <w:rsid w:val="009273D3"/>
    <w:rsid w:val="00934595"/>
    <w:rsid w:val="00937261"/>
    <w:rsid w:val="00940EC1"/>
    <w:rsid w:val="00945CDC"/>
    <w:rsid w:val="00952B80"/>
    <w:rsid w:val="009548E7"/>
    <w:rsid w:val="00955558"/>
    <w:rsid w:val="00955697"/>
    <w:rsid w:val="00955C03"/>
    <w:rsid w:val="0095781C"/>
    <w:rsid w:val="00963150"/>
    <w:rsid w:val="00963B97"/>
    <w:rsid w:val="00965263"/>
    <w:rsid w:val="00966BC3"/>
    <w:rsid w:val="00971712"/>
    <w:rsid w:val="009747DC"/>
    <w:rsid w:val="00983C8C"/>
    <w:rsid w:val="00985651"/>
    <w:rsid w:val="00991264"/>
    <w:rsid w:val="00992F4A"/>
    <w:rsid w:val="00993CE6"/>
    <w:rsid w:val="00995D24"/>
    <w:rsid w:val="00997030"/>
    <w:rsid w:val="009A00E5"/>
    <w:rsid w:val="009A0A54"/>
    <w:rsid w:val="009A31E3"/>
    <w:rsid w:val="009A370E"/>
    <w:rsid w:val="009B627A"/>
    <w:rsid w:val="009C0117"/>
    <w:rsid w:val="009C048E"/>
    <w:rsid w:val="009C2C70"/>
    <w:rsid w:val="009C4F54"/>
    <w:rsid w:val="009D0671"/>
    <w:rsid w:val="009D1722"/>
    <w:rsid w:val="009D258F"/>
    <w:rsid w:val="009D26CB"/>
    <w:rsid w:val="009D4724"/>
    <w:rsid w:val="009D7BCB"/>
    <w:rsid w:val="009E2BD4"/>
    <w:rsid w:val="009E4DA2"/>
    <w:rsid w:val="009F1E2B"/>
    <w:rsid w:val="00A00B03"/>
    <w:rsid w:val="00A10776"/>
    <w:rsid w:val="00A1088B"/>
    <w:rsid w:val="00A10FD7"/>
    <w:rsid w:val="00A12099"/>
    <w:rsid w:val="00A166BB"/>
    <w:rsid w:val="00A25D1B"/>
    <w:rsid w:val="00A263BA"/>
    <w:rsid w:val="00A279E5"/>
    <w:rsid w:val="00A41FBA"/>
    <w:rsid w:val="00A437FE"/>
    <w:rsid w:val="00A43A2B"/>
    <w:rsid w:val="00A45235"/>
    <w:rsid w:val="00A47499"/>
    <w:rsid w:val="00A50BA5"/>
    <w:rsid w:val="00A540CC"/>
    <w:rsid w:val="00A600C7"/>
    <w:rsid w:val="00A6571A"/>
    <w:rsid w:val="00A67844"/>
    <w:rsid w:val="00A70703"/>
    <w:rsid w:val="00A7798C"/>
    <w:rsid w:val="00A82099"/>
    <w:rsid w:val="00A84584"/>
    <w:rsid w:val="00A84CA8"/>
    <w:rsid w:val="00A858AE"/>
    <w:rsid w:val="00A85D41"/>
    <w:rsid w:val="00A86D9E"/>
    <w:rsid w:val="00AA5799"/>
    <w:rsid w:val="00AB3D83"/>
    <w:rsid w:val="00AB3E98"/>
    <w:rsid w:val="00AB3EEB"/>
    <w:rsid w:val="00AC100F"/>
    <w:rsid w:val="00AC349B"/>
    <w:rsid w:val="00AC7E69"/>
    <w:rsid w:val="00AD15A2"/>
    <w:rsid w:val="00AD7304"/>
    <w:rsid w:val="00AD7BDA"/>
    <w:rsid w:val="00AE7D77"/>
    <w:rsid w:val="00AF178C"/>
    <w:rsid w:val="00AF4852"/>
    <w:rsid w:val="00AF61CA"/>
    <w:rsid w:val="00B02F95"/>
    <w:rsid w:val="00B15D67"/>
    <w:rsid w:val="00B16840"/>
    <w:rsid w:val="00B16967"/>
    <w:rsid w:val="00B22D53"/>
    <w:rsid w:val="00B2442C"/>
    <w:rsid w:val="00B31BE3"/>
    <w:rsid w:val="00B31E78"/>
    <w:rsid w:val="00B32012"/>
    <w:rsid w:val="00B34F14"/>
    <w:rsid w:val="00B35BBC"/>
    <w:rsid w:val="00B41C41"/>
    <w:rsid w:val="00B42C8A"/>
    <w:rsid w:val="00B52537"/>
    <w:rsid w:val="00B54431"/>
    <w:rsid w:val="00B606A7"/>
    <w:rsid w:val="00B73507"/>
    <w:rsid w:val="00B75D70"/>
    <w:rsid w:val="00B7670A"/>
    <w:rsid w:val="00B826D9"/>
    <w:rsid w:val="00B83864"/>
    <w:rsid w:val="00B87050"/>
    <w:rsid w:val="00B87A80"/>
    <w:rsid w:val="00B87E7F"/>
    <w:rsid w:val="00B90F18"/>
    <w:rsid w:val="00B9538F"/>
    <w:rsid w:val="00BA1A04"/>
    <w:rsid w:val="00BA46EF"/>
    <w:rsid w:val="00BA56EF"/>
    <w:rsid w:val="00BA7AA5"/>
    <w:rsid w:val="00BB15D4"/>
    <w:rsid w:val="00BB3AFC"/>
    <w:rsid w:val="00BB4CCD"/>
    <w:rsid w:val="00BC6457"/>
    <w:rsid w:val="00BC7447"/>
    <w:rsid w:val="00BC7DB5"/>
    <w:rsid w:val="00BD0EA1"/>
    <w:rsid w:val="00BD1D50"/>
    <w:rsid w:val="00BD48FC"/>
    <w:rsid w:val="00BD5555"/>
    <w:rsid w:val="00BD76A2"/>
    <w:rsid w:val="00BE2C7C"/>
    <w:rsid w:val="00BE4104"/>
    <w:rsid w:val="00BE772B"/>
    <w:rsid w:val="00BF3280"/>
    <w:rsid w:val="00BF6556"/>
    <w:rsid w:val="00BF7EF2"/>
    <w:rsid w:val="00C068D2"/>
    <w:rsid w:val="00C07C8F"/>
    <w:rsid w:val="00C101CC"/>
    <w:rsid w:val="00C15175"/>
    <w:rsid w:val="00C16B6C"/>
    <w:rsid w:val="00C20577"/>
    <w:rsid w:val="00C21A15"/>
    <w:rsid w:val="00C23A37"/>
    <w:rsid w:val="00C24EEE"/>
    <w:rsid w:val="00C252F7"/>
    <w:rsid w:val="00C2679B"/>
    <w:rsid w:val="00C300CE"/>
    <w:rsid w:val="00C303DC"/>
    <w:rsid w:val="00C31731"/>
    <w:rsid w:val="00C31945"/>
    <w:rsid w:val="00C33236"/>
    <w:rsid w:val="00C33FA2"/>
    <w:rsid w:val="00C370B8"/>
    <w:rsid w:val="00C438F4"/>
    <w:rsid w:val="00C44077"/>
    <w:rsid w:val="00C47968"/>
    <w:rsid w:val="00C50C47"/>
    <w:rsid w:val="00C50C91"/>
    <w:rsid w:val="00C5475B"/>
    <w:rsid w:val="00C567CE"/>
    <w:rsid w:val="00C63BC2"/>
    <w:rsid w:val="00C63C83"/>
    <w:rsid w:val="00C64F5C"/>
    <w:rsid w:val="00C70708"/>
    <w:rsid w:val="00C72785"/>
    <w:rsid w:val="00C85F80"/>
    <w:rsid w:val="00CB4C08"/>
    <w:rsid w:val="00CB5F30"/>
    <w:rsid w:val="00CB73CF"/>
    <w:rsid w:val="00CC0352"/>
    <w:rsid w:val="00CC1772"/>
    <w:rsid w:val="00CC6F3C"/>
    <w:rsid w:val="00CD3184"/>
    <w:rsid w:val="00CD450C"/>
    <w:rsid w:val="00CD622D"/>
    <w:rsid w:val="00CD7344"/>
    <w:rsid w:val="00CE1631"/>
    <w:rsid w:val="00CE3C82"/>
    <w:rsid w:val="00CE58E7"/>
    <w:rsid w:val="00CE7C3F"/>
    <w:rsid w:val="00CF0585"/>
    <w:rsid w:val="00CF2559"/>
    <w:rsid w:val="00D0281C"/>
    <w:rsid w:val="00D06CE9"/>
    <w:rsid w:val="00D10599"/>
    <w:rsid w:val="00D15FC3"/>
    <w:rsid w:val="00D16041"/>
    <w:rsid w:val="00D31C93"/>
    <w:rsid w:val="00D32522"/>
    <w:rsid w:val="00D32938"/>
    <w:rsid w:val="00D41640"/>
    <w:rsid w:val="00D45185"/>
    <w:rsid w:val="00D623E8"/>
    <w:rsid w:val="00D625D1"/>
    <w:rsid w:val="00D636CF"/>
    <w:rsid w:val="00D641FB"/>
    <w:rsid w:val="00D6515B"/>
    <w:rsid w:val="00D65B9C"/>
    <w:rsid w:val="00D668D5"/>
    <w:rsid w:val="00D70791"/>
    <w:rsid w:val="00D72247"/>
    <w:rsid w:val="00D73718"/>
    <w:rsid w:val="00D815C7"/>
    <w:rsid w:val="00D822DE"/>
    <w:rsid w:val="00D847B8"/>
    <w:rsid w:val="00D903EC"/>
    <w:rsid w:val="00D929B6"/>
    <w:rsid w:val="00D94560"/>
    <w:rsid w:val="00DA3581"/>
    <w:rsid w:val="00DA5601"/>
    <w:rsid w:val="00DB09AB"/>
    <w:rsid w:val="00DC06B5"/>
    <w:rsid w:val="00DC3360"/>
    <w:rsid w:val="00DC36A1"/>
    <w:rsid w:val="00DC7ABF"/>
    <w:rsid w:val="00DD0ECC"/>
    <w:rsid w:val="00DD327C"/>
    <w:rsid w:val="00DD43A3"/>
    <w:rsid w:val="00DE3868"/>
    <w:rsid w:val="00DE5E24"/>
    <w:rsid w:val="00DE5F93"/>
    <w:rsid w:val="00DF06EA"/>
    <w:rsid w:val="00E00F40"/>
    <w:rsid w:val="00E02D29"/>
    <w:rsid w:val="00E16D2C"/>
    <w:rsid w:val="00E17D95"/>
    <w:rsid w:val="00E20FAC"/>
    <w:rsid w:val="00E26C84"/>
    <w:rsid w:val="00E306F2"/>
    <w:rsid w:val="00E30EC9"/>
    <w:rsid w:val="00E319D1"/>
    <w:rsid w:val="00E3243F"/>
    <w:rsid w:val="00E33279"/>
    <w:rsid w:val="00E36B1C"/>
    <w:rsid w:val="00E36F35"/>
    <w:rsid w:val="00E37F35"/>
    <w:rsid w:val="00E40F43"/>
    <w:rsid w:val="00E427DE"/>
    <w:rsid w:val="00E440FF"/>
    <w:rsid w:val="00E47B8A"/>
    <w:rsid w:val="00E50F02"/>
    <w:rsid w:val="00E53C75"/>
    <w:rsid w:val="00E53E96"/>
    <w:rsid w:val="00E55D88"/>
    <w:rsid w:val="00E61F5F"/>
    <w:rsid w:val="00E6425E"/>
    <w:rsid w:val="00E650FC"/>
    <w:rsid w:val="00E747D4"/>
    <w:rsid w:val="00E85894"/>
    <w:rsid w:val="00E92CA5"/>
    <w:rsid w:val="00E946A1"/>
    <w:rsid w:val="00E977D9"/>
    <w:rsid w:val="00EA2E29"/>
    <w:rsid w:val="00EA40BB"/>
    <w:rsid w:val="00EA5AFB"/>
    <w:rsid w:val="00EA6124"/>
    <w:rsid w:val="00EA6749"/>
    <w:rsid w:val="00EB0ACD"/>
    <w:rsid w:val="00EB1E94"/>
    <w:rsid w:val="00EB23F0"/>
    <w:rsid w:val="00ED1B19"/>
    <w:rsid w:val="00ED318A"/>
    <w:rsid w:val="00ED35C6"/>
    <w:rsid w:val="00ED5DCA"/>
    <w:rsid w:val="00EE3754"/>
    <w:rsid w:val="00EE6907"/>
    <w:rsid w:val="00EF060D"/>
    <w:rsid w:val="00F0035D"/>
    <w:rsid w:val="00F06919"/>
    <w:rsid w:val="00F075E0"/>
    <w:rsid w:val="00F10FB4"/>
    <w:rsid w:val="00F12B22"/>
    <w:rsid w:val="00F130DD"/>
    <w:rsid w:val="00F149BB"/>
    <w:rsid w:val="00F176DA"/>
    <w:rsid w:val="00F2735B"/>
    <w:rsid w:val="00F33D78"/>
    <w:rsid w:val="00F44D49"/>
    <w:rsid w:val="00F54286"/>
    <w:rsid w:val="00F611F5"/>
    <w:rsid w:val="00F624ED"/>
    <w:rsid w:val="00F63F18"/>
    <w:rsid w:val="00F64F14"/>
    <w:rsid w:val="00F64F30"/>
    <w:rsid w:val="00F70C67"/>
    <w:rsid w:val="00F720B3"/>
    <w:rsid w:val="00F724C6"/>
    <w:rsid w:val="00F75480"/>
    <w:rsid w:val="00F759E6"/>
    <w:rsid w:val="00F76DC9"/>
    <w:rsid w:val="00F802D6"/>
    <w:rsid w:val="00F84600"/>
    <w:rsid w:val="00F92C5D"/>
    <w:rsid w:val="00F92EE0"/>
    <w:rsid w:val="00FB5FB5"/>
    <w:rsid w:val="00FB783C"/>
    <w:rsid w:val="00FC1F03"/>
    <w:rsid w:val="00FC3269"/>
    <w:rsid w:val="00FC4472"/>
    <w:rsid w:val="00FD07C5"/>
    <w:rsid w:val="00FD1C12"/>
    <w:rsid w:val="00FD2553"/>
    <w:rsid w:val="00FD283E"/>
    <w:rsid w:val="00FD6640"/>
    <w:rsid w:val="00FE05CE"/>
    <w:rsid w:val="00FE7883"/>
    <w:rsid w:val="00FF2A34"/>
    <w:rsid w:val="00FF417E"/>
    <w:rsid w:val="00FF43C9"/>
    <w:rsid w:val="00FF6CD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ED6"/>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B6ED6"/>
    <w:rPr>
      <w:rFonts w:cs="Times New Roman"/>
      <w:vertAlign w:val="superscript"/>
    </w:rPr>
  </w:style>
  <w:style w:type="character" w:styleId="PageNumber">
    <w:name w:val="page number"/>
    <w:basedOn w:val="DefaultParagraphFont"/>
    <w:uiPriority w:val="99"/>
    <w:rsid w:val="005B6ED6"/>
    <w:rPr>
      <w:rFonts w:cs="Times New Roman"/>
    </w:rPr>
  </w:style>
  <w:style w:type="paragraph" w:customStyle="1" w:styleId="Table">
    <w:name w:val="Table_#"/>
    <w:basedOn w:val="Normal"/>
    <w:next w:val="TableTitle"/>
    <w:uiPriority w:val="99"/>
    <w:rsid w:val="005B6ED6"/>
    <w:pPr>
      <w:keepNext/>
      <w:spacing w:before="567" w:after="113"/>
      <w:jc w:val="center"/>
    </w:pPr>
    <w:rPr>
      <w:sz w:val="18"/>
    </w:rPr>
  </w:style>
  <w:style w:type="paragraph" w:customStyle="1" w:styleId="TableTitle">
    <w:name w:val="Table_Title"/>
    <w:basedOn w:val="Table"/>
    <w:next w:val="Blanc"/>
    <w:uiPriority w:val="99"/>
    <w:rsid w:val="005B6ED6"/>
    <w:pPr>
      <w:spacing w:before="0"/>
    </w:pPr>
    <w:rPr>
      <w:b/>
    </w:rPr>
  </w:style>
  <w:style w:type="paragraph" w:customStyle="1" w:styleId="Blanc">
    <w:name w:val="Blanc"/>
    <w:basedOn w:val="Normal"/>
    <w:next w:val="TableText"/>
    <w:uiPriority w:val="99"/>
    <w:rsid w:val="005B6ED6"/>
    <w:pPr>
      <w:keepNext/>
      <w:keepLines/>
      <w:jc w:val="both"/>
    </w:pPr>
    <w:rPr>
      <w:sz w:val="16"/>
    </w:rPr>
  </w:style>
  <w:style w:type="paragraph" w:customStyle="1" w:styleId="TableText">
    <w:name w:val="Table_Text"/>
    <w:basedOn w:val="TableLegend"/>
    <w:uiPriority w:val="99"/>
    <w:rsid w:val="005B6ED6"/>
    <w:pPr>
      <w:spacing w:before="100" w:after="100" w:line="190" w:lineRule="exact"/>
    </w:pPr>
  </w:style>
  <w:style w:type="paragraph" w:customStyle="1" w:styleId="TableLegend">
    <w:name w:val="Table_Legend"/>
    <w:basedOn w:val="Normal"/>
    <w:next w:val="Normal"/>
    <w:uiPriority w:val="99"/>
    <w:rsid w:val="005B6ED6"/>
    <w:pPr>
      <w:keepNext/>
      <w:tabs>
        <w:tab w:val="left" w:pos="794"/>
        <w:tab w:val="left" w:pos="1191"/>
        <w:tab w:val="left" w:pos="1588"/>
        <w:tab w:val="left" w:pos="1985"/>
      </w:tabs>
      <w:spacing w:before="86" w:line="199" w:lineRule="exact"/>
      <w:jc w:val="both"/>
    </w:pPr>
    <w:rPr>
      <w:sz w:val="18"/>
    </w:rPr>
  </w:style>
  <w:style w:type="paragraph" w:styleId="FootnoteText">
    <w:name w:val="footnote text"/>
    <w:basedOn w:val="Normal"/>
    <w:link w:val="FootnoteTextChar"/>
    <w:uiPriority w:val="99"/>
    <w:semiHidden/>
    <w:rsid w:val="005B6ED6"/>
    <w:pPr>
      <w:widowControl w:val="0"/>
      <w:spacing w:after="120"/>
    </w:pPr>
    <w:rPr>
      <w:i/>
      <w:sz w:val="18"/>
    </w:rPr>
  </w:style>
  <w:style w:type="character" w:customStyle="1" w:styleId="FootnoteTextChar">
    <w:name w:val="Footnote Text Char"/>
    <w:basedOn w:val="DefaultParagraphFont"/>
    <w:link w:val="FootnoteText"/>
    <w:uiPriority w:val="99"/>
    <w:semiHidden/>
    <w:locked/>
    <w:rsid w:val="00EE6907"/>
    <w:rPr>
      <w:rFonts w:cs="Times New Roman"/>
      <w:sz w:val="20"/>
      <w:szCs w:val="20"/>
      <w:lang w:val="en-GB"/>
    </w:rPr>
  </w:style>
  <w:style w:type="paragraph" w:styleId="Header">
    <w:name w:val="header"/>
    <w:basedOn w:val="Normal"/>
    <w:link w:val="HeaderChar"/>
    <w:uiPriority w:val="99"/>
    <w:rsid w:val="005B6ED6"/>
    <w:pPr>
      <w:tabs>
        <w:tab w:val="center" w:pos="4849"/>
        <w:tab w:val="right" w:pos="9696"/>
      </w:tabs>
      <w:spacing w:before="136"/>
      <w:jc w:val="both"/>
    </w:pPr>
    <w:rPr>
      <w:b/>
      <w:sz w:val="20"/>
    </w:rPr>
  </w:style>
  <w:style w:type="character" w:customStyle="1" w:styleId="HeaderChar">
    <w:name w:val="Header Char"/>
    <w:basedOn w:val="DefaultParagraphFont"/>
    <w:link w:val="Header"/>
    <w:uiPriority w:val="99"/>
    <w:locked/>
    <w:rsid w:val="00A84CA8"/>
    <w:rPr>
      <w:rFonts w:cs="Times New Roman"/>
      <w:b/>
      <w:lang w:val="en-GB"/>
    </w:rPr>
  </w:style>
  <w:style w:type="paragraph" w:styleId="Footer">
    <w:name w:val="footer"/>
    <w:basedOn w:val="Normal"/>
    <w:link w:val="FooterChar"/>
    <w:uiPriority w:val="99"/>
    <w:rsid w:val="004109C5"/>
    <w:pPr>
      <w:tabs>
        <w:tab w:val="center" w:pos="4513"/>
        <w:tab w:val="right" w:pos="9026"/>
      </w:tabs>
    </w:pPr>
  </w:style>
  <w:style w:type="character" w:customStyle="1" w:styleId="FooterChar">
    <w:name w:val="Footer Char"/>
    <w:basedOn w:val="DefaultParagraphFont"/>
    <w:link w:val="Footer"/>
    <w:uiPriority w:val="99"/>
    <w:locked/>
    <w:rsid w:val="00A84CA8"/>
    <w:rPr>
      <w:rFonts w:cs="Times New Roman"/>
      <w:sz w:val="24"/>
      <w:lang w:val="en-GB"/>
    </w:rPr>
  </w:style>
  <w:style w:type="paragraph" w:styleId="BalloonText">
    <w:name w:val="Balloon Text"/>
    <w:basedOn w:val="Normal"/>
    <w:link w:val="BalloonTextChar"/>
    <w:uiPriority w:val="99"/>
    <w:semiHidden/>
    <w:rsid w:val="00A858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8AE"/>
    <w:rPr>
      <w:rFonts w:ascii="Tahoma" w:hAnsi="Tahoma" w:cs="Tahoma"/>
      <w:sz w:val="16"/>
      <w:szCs w:val="16"/>
      <w:lang w:val="en-GB"/>
    </w:rPr>
  </w:style>
  <w:style w:type="paragraph" w:customStyle="1" w:styleId="HeaderBoldEven">
    <w:name w:val="HeaderBoldEven"/>
    <w:basedOn w:val="Normal"/>
    <w:uiPriority w:val="99"/>
    <w:rsid w:val="00D929B6"/>
    <w:pPr>
      <w:spacing w:before="120" w:after="60"/>
    </w:pPr>
    <w:rPr>
      <w:rFonts w:ascii="Arial" w:hAnsi="Arial"/>
      <w:b/>
      <w:sz w:val="20"/>
      <w:szCs w:val="24"/>
      <w:lang w:val="en-AU"/>
    </w:rPr>
  </w:style>
  <w:style w:type="paragraph" w:customStyle="1" w:styleId="HeaderLiteEven">
    <w:name w:val="HeaderLiteEven"/>
    <w:basedOn w:val="Normal"/>
    <w:uiPriority w:val="99"/>
    <w:rsid w:val="00D929B6"/>
    <w:pPr>
      <w:tabs>
        <w:tab w:val="center" w:pos="3969"/>
        <w:tab w:val="right" w:pos="8505"/>
      </w:tabs>
      <w:spacing w:before="60"/>
    </w:pPr>
    <w:rPr>
      <w:rFonts w:ascii="Arial" w:hAnsi="Arial"/>
      <w:sz w:val="18"/>
      <w:szCs w:val="24"/>
      <w:lang w:val="en-AU"/>
    </w:rPr>
  </w:style>
  <w:style w:type="paragraph" w:customStyle="1" w:styleId="HeaderContentsPage">
    <w:name w:val="HeaderContents&quot;Page&quot;"/>
    <w:basedOn w:val="Normal"/>
    <w:uiPriority w:val="99"/>
    <w:rsid w:val="00D929B6"/>
    <w:pPr>
      <w:spacing w:before="120" w:after="120"/>
      <w:jc w:val="right"/>
    </w:pPr>
    <w:rPr>
      <w:rFonts w:ascii="Arial" w:hAnsi="Arial"/>
      <w:sz w:val="20"/>
      <w:szCs w:val="24"/>
      <w:lang w:val="en-AU"/>
    </w:rPr>
  </w:style>
  <w:style w:type="paragraph" w:customStyle="1" w:styleId="HeaderLiteOdd">
    <w:name w:val="HeaderLiteOdd"/>
    <w:basedOn w:val="Normal"/>
    <w:uiPriority w:val="99"/>
    <w:rsid w:val="00D929B6"/>
    <w:pPr>
      <w:tabs>
        <w:tab w:val="center" w:pos="3969"/>
        <w:tab w:val="right" w:pos="8505"/>
      </w:tabs>
      <w:spacing w:before="60"/>
      <w:jc w:val="right"/>
    </w:pPr>
    <w:rPr>
      <w:rFonts w:ascii="Arial" w:hAnsi="Arial"/>
      <w:sz w:val="18"/>
      <w:szCs w:val="24"/>
      <w:lang w:val="en-AU"/>
    </w:rPr>
  </w:style>
  <w:style w:type="paragraph" w:customStyle="1" w:styleId="FooterDraft">
    <w:name w:val="FooterDraft"/>
    <w:basedOn w:val="Normal"/>
    <w:uiPriority w:val="99"/>
    <w:rsid w:val="00D929B6"/>
    <w:pPr>
      <w:jc w:val="center"/>
    </w:pPr>
    <w:rPr>
      <w:rFonts w:ascii="Arial" w:hAnsi="Arial"/>
      <w:b/>
      <w:sz w:val="40"/>
      <w:szCs w:val="24"/>
      <w:lang w:val="en-AU"/>
    </w:rPr>
  </w:style>
  <w:style w:type="paragraph" w:customStyle="1" w:styleId="FooterInfo">
    <w:name w:val="FooterInfo"/>
    <w:basedOn w:val="Normal"/>
    <w:uiPriority w:val="99"/>
    <w:rsid w:val="00D929B6"/>
    <w:rPr>
      <w:rFonts w:ascii="Arial" w:hAnsi="Arial"/>
      <w:sz w:val="12"/>
      <w:szCs w:val="24"/>
      <w:lang w:val="en-AU"/>
    </w:rPr>
  </w:style>
  <w:style w:type="table" w:styleId="TableGrid">
    <w:name w:val="Table Grid"/>
    <w:basedOn w:val="TableNormal"/>
    <w:uiPriority w:val="99"/>
    <w:rsid w:val="00D92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D929B6"/>
    <w:pPr>
      <w:spacing w:before="480"/>
    </w:pPr>
    <w:rPr>
      <w:rFonts w:ascii="Arial" w:hAnsi="Arial" w:cs="Arial"/>
      <w:b/>
      <w:bCs/>
      <w:sz w:val="40"/>
      <w:szCs w:val="40"/>
      <w:lang w:val="en-AU"/>
    </w:rPr>
  </w:style>
  <w:style w:type="character" w:customStyle="1" w:styleId="TitleChar">
    <w:name w:val="Title Char"/>
    <w:basedOn w:val="DefaultParagraphFont"/>
    <w:link w:val="Title"/>
    <w:uiPriority w:val="99"/>
    <w:locked/>
    <w:rsid w:val="00D929B6"/>
    <w:rPr>
      <w:rFonts w:ascii="Arial" w:hAnsi="Arial" w:cs="Arial"/>
      <w:b/>
      <w:bCs/>
      <w:sz w:val="40"/>
      <w:szCs w:val="40"/>
    </w:rPr>
  </w:style>
  <w:style w:type="character" w:customStyle="1" w:styleId="CharChapNo">
    <w:name w:val="CharChapNo"/>
    <w:basedOn w:val="DefaultParagraphFont"/>
    <w:uiPriority w:val="99"/>
    <w:rsid w:val="00D929B6"/>
    <w:rPr>
      <w:rFonts w:cs="Times New Roman"/>
      <w:sz w:val="24"/>
      <w:szCs w:val="24"/>
      <w:lang w:val="en-AU" w:eastAsia="en-AU" w:bidi="ar-SA"/>
    </w:rPr>
  </w:style>
  <w:style w:type="character" w:customStyle="1" w:styleId="CharDivNo">
    <w:name w:val="CharDivNo"/>
    <w:basedOn w:val="DefaultParagraphFont"/>
    <w:uiPriority w:val="99"/>
    <w:rsid w:val="00D929B6"/>
    <w:rPr>
      <w:rFonts w:cs="Times New Roman"/>
      <w:sz w:val="24"/>
      <w:szCs w:val="24"/>
      <w:lang w:val="en-AU" w:eastAsia="en-AU" w:bidi="ar-SA"/>
    </w:rPr>
  </w:style>
  <w:style w:type="character" w:customStyle="1" w:styleId="CharDivText">
    <w:name w:val="CharDivText"/>
    <w:basedOn w:val="DefaultParagraphFont"/>
    <w:uiPriority w:val="99"/>
    <w:rsid w:val="00D929B6"/>
    <w:rPr>
      <w:rFonts w:cs="Times New Roman"/>
      <w:sz w:val="24"/>
      <w:szCs w:val="24"/>
      <w:lang w:val="en-AU" w:eastAsia="en-AU" w:bidi="ar-SA"/>
    </w:rPr>
  </w:style>
  <w:style w:type="character" w:customStyle="1" w:styleId="CharPartNo">
    <w:name w:val="CharPartNo"/>
    <w:basedOn w:val="DefaultParagraphFont"/>
    <w:uiPriority w:val="99"/>
    <w:rsid w:val="00D929B6"/>
    <w:rPr>
      <w:rFonts w:cs="Times New Roman"/>
      <w:sz w:val="24"/>
      <w:szCs w:val="24"/>
      <w:lang w:val="en-AU" w:eastAsia="en-AU" w:bidi="ar-SA"/>
    </w:rPr>
  </w:style>
  <w:style w:type="character" w:customStyle="1" w:styleId="CharPartText">
    <w:name w:val="CharPartText"/>
    <w:basedOn w:val="DefaultParagraphFont"/>
    <w:uiPriority w:val="99"/>
    <w:rsid w:val="00D929B6"/>
    <w:rPr>
      <w:rFonts w:cs="Times New Roman"/>
      <w:sz w:val="24"/>
      <w:szCs w:val="24"/>
      <w:lang w:val="en-AU" w:eastAsia="en-AU" w:bidi="ar-SA"/>
    </w:rPr>
  </w:style>
  <w:style w:type="character" w:customStyle="1" w:styleId="CharSectno">
    <w:name w:val="CharSectno"/>
    <w:basedOn w:val="DefaultParagraphFont"/>
    <w:uiPriority w:val="99"/>
    <w:rsid w:val="00D929B6"/>
    <w:rPr>
      <w:rFonts w:cs="Times New Roman"/>
      <w:sz w:val="24"/>
      <w:szCs w:val="24"/>
      <w:lang w:val="en-AU" w:eastAsia="en-AU" w:bidi="ar-SA"/>
    </w:rPr>
  </w:style>
  <w:style w:type="paragraph" w:customStyle="1" w:styleId="ContentsHead">
    <w:name w:val="ContentsHead"/>
    <w:basedOn w:val="Normal"/>
    <w:next w:val="Normal"/>
    <w:uiPriority w:val="99"/>
    <w:rsid w:val="00D929B6"/>
    <w:pPr>
      <w:keepNext/>
      <w:keepLines/>
      <w:spacing w:before="240" w:after="240"/>
    </w:pPr>
    <w:rPr>
      <w:rFonts w:ascii="Arial" w:hAnsi="Arial"/>
      <w:b/>
      <w:sz w:val="28"/>
      <w:szCs w:val="24"/>
      <w:lang w:val="en-AU"/>
    </w:rPr>
  </w:style>
  <w:style w:type="paragraph" w:customStyle="1" w:styleId="ContentsSectionBreak">
    <w:name w:val="ContentsSectionBreak"/>
    <w:basedOn w:val="Normal"/>
    <w:next w:val="Normal"/>
    <w:uiPriority w:val="99"/>
    <w:rsid w:val="00D929B6"/>
    <w:rPr>
      <w:szCs w:val="24"/>
      <w:lang w:val="en-AU"/>
    </w:rPr>
  </w:style>
  <w:style w:type="paragraph" w:customStyle="1" w:styleId="HP">
    <w:name w:val="HP"/>
    <w:aliases w:val="Part Heading"/>
    <w:basedOn w:val="Normal"/>
    <w:next w:val="Normal"/>
    <w:uiPriority w:val="99"/>
    <w:rsid w:val="00D929B6"/>
    <w:pPr>
      <w:keepNext/>
      <w:keepLines/>
      <w:spacing w:before="360"/>
      <w:ind w:left="2410" w:hanging="2410"/>
    </w:pPr>
    <w:rPr>
      <w:rFonts w:ascii="Arial" w:hAnsi="Arial"/>
      <w:b/>
      <w:sz w:val="32"/>
      <w:szCs w:val="24"/>
      <w:lang w:val="en-AU"/>
    </w:rPr>
  </w:style>
  <w:style w:type="paragraph" w:customStyle="1" w:styleId="HR">
    <w:name w:val="HR"/>
    <w:aliases w:val="Regulation Heading"/>
    <w:basedOn w:val="Normal"/>
    <w:next w:val="Normal"/>
    <w:uiPriority w:val="99"/>
    <w:rsid w:val="00D929B6"/>
    <w:pPr>
      <w:keepNext/>
      <w:keepLines/>
      <w:spacing w:before="360"/>
      <w:ind w:left="964" w:hanging="964"/>
    </w:pPr>
    <w:rPr>
      <w:rFonts w:ascii="Arial" w:hAnsi="Arial"/>
      <w:b/>
      <w:szCs w:val="24"/>
      <w:lang w:val="en-AU"/>
    </w:rPr>
  </w:style>
  <w:style w:type="paragraph" w:customStyle="1" w:styleId="P1">
    <w:name w:val="P1"/>
    <w:aliases w:val="(a)"/>
    <w:basedOn w:val="Normal"/>
    <w:rsid w:val="00D929B6"/>
    <w:pPr>
      <w:keepLines/>
      <w:tabs>
        <w:tab w:val="right" w:pos="1191"/>
      </w:tabs>
      <w:spacing w:before="60" w:line="260" w:lineRule="exact"/>
      <w:ind w:left="1418" w:hanging="1418"/>
      <w:jc w:val="both"/>
    </w:pPr>
    <w:rPr>
      <w:szCs w:val="24"/>
      <w:lang w:val="en-AU"/>
    </w:rPr>
  </w:style>
  <w:style w:type="paragraph" w:customStyle="1" w:styleId="PageBreak">
    <w:name w:val="PageBreak"/>
    <w:aliases w:val="pb"/>
    <w:basedOn w:val="Normal"/>
    <w:next w:val="Normal"/>
    <w:uiPriority w:val="99"/>
    <w:rsid w:val="00D929B6"/>
    <w:rPr>
      <w:sz w:val="4"/>
      <w:szCs w:val="2"/>
      <w:lang w:val="en-AU"/>
    </w:rPr>
  </w:style>
  <w:style w:type="paragraph" w:customStyle="1" w:styleId="ReadersGuideSectionBreak">
    <w:name w:val="ReadersGuideSectionBreak"/>
    <w:basedOn w:val="Normal"/>
    <w:next w:val="Normal"/>
    <w:uiPriority w:val="99"/>
    <w:rsid w:val="00D929B6"/>
    <w:rPr>
      <w:szCs w:val="24"/>
      <w:lang w:val="en-AU"/>
    </w:rPr>
  </w:style>
  <w:style w:type="paragraph" w:customStyle="1" w:styleId="RGPara">
    <w:name w:val="RGPara"/>
    <w:aliases w:val="Readers Guide Para"/>
    <w:basedOn w:val="Normal"/>
    <w:uiPriority w:val="99"/>
    <w:rsid w:val="00D929B6"/>
    <w:pPr>
      <w:spacing w:before="120" w:line="260" w:lineRule="exact"/>
      <w:jc w:val="both"/>
    </w:pPr>
    <w:rPr>
      <w:szCs w:val="24"/>
      <w:lang w:val="en-AU"/>
    </w:rPr>
  </w:style>
  <w:style w:type="paragraph" w:customStyle="1" w:styleId="Footerinfo0">
    <w:name w:val="Footerinfo"/>
    <w:basedOn w:val="Footer"/>
    <w:uiPriority w:val="99"/>
    <w:rsid w:val="00D929B6"/>
    <w:pPr>
      <w:tabs>
        <w:tab w:val="center" w:pos="3600"/>
        <w:tab w:val="right" w:pos="7201"/>
      </w:tabs>
      <w:spacing w:before="20"/>
      <w:jc w:val="center"/>
    </w:pPr>
    <w:rPr>
      <w:rFonts w:ascii="Arial" w:hAnsi="Arial"/>
      <w:i/>
      <w:sz w:val="12"/>
      <w:szCs w:val="18"/>
      <w:lang w:val="en-AU"/>
    </w:rPr>
  </w:style>
  <w:style w:type="paragraph" w:customStyle="1" w:styleId="FooterCitation">
    <w:name w:val="FooterCitation"/>
    <w:basedOn w:val="Footer"/>
    <w:uiPriority w:val="99"/>
    <w:rsid w:val="00D929B6"/>
    <w:pPr>
      <w:spacing w:before="20" w:line="240" w:lineRule="exact"/>
      <w:jc w:val="center"/>
    </w:pPr>
    <w:rPr>
      <w:rFonts w:ascii="Arial" w:hAnsi="Arial"/>
      <w:i/>
      <w:sz w:val="18"/>
      <w:szCs w:val="24"/>
      <w:lang w:val="en-AU"/>
    </w:rPr>
  </w:style>
  <w:style w:type="paragraph" w:customStyle="1" w:styleId="SigningPageBreak">
    <w:name w:val="SigningPageBreak"/>
    <w:basedOn w:val="Normal"/>
    <w:next w:val="Normal"/>
    <w:uiPriority w:val="99"/>
    <w:rsid w:val="00D929B6"/>
    <w:rPr>
      <w:szCs w:val="24"/>
      <w:lang w:val="en-AU"/>
    </w:rPr>
  </w:style>
  <w:style w:type="paragraph" w:styleId="TOC2">
    <w:name w:val="toc 2"/>
    <w:basedOn w:val="Normal"/>
    <w:next w:val="Normal"/>
    <w:autoRedefine/>
    <w:uiPriority w:val="39"/>
    <w:rsid w:val="00D929B6"/>
    <w:pPr>
      <w:keepNext/>
      <w:tabs>
        <w:tab w:val="right" w:pos="8278"/>
      </w:tabs>
      <w:spacing w:before="240" w:after="120"/>
      <w:ind w:left="1843" w:right="714" w:hanging="1843"/>
    </w:pPr>
    <w:rPr>
      <w:rFonts w:ascii="Arial" w:hAnsi="Arial"/>
      <w:b/>
      <w:szCs w:val="24"/>
      <w:lang w:val="en-AU" w:eastAsia="en-US"/>
    </w:rPr>
  </w:style>
  <w:style w:type="paragraph" w:styleId="TOC5">
    <w:name w:val="toc 5"/>
    <w:basedOn w:val="Normal"/>
    <w:next w:val="Normal"/>
    <w:autoRedefine/>
    <w:uiPriority w:val="39"/>
    <w:rsid w:val="00D929B6"/>
    <w:pPr>
      <w:tabs>
        <w:tab w:val="right" w:pos="1559"/>
        <w:tab w:val="right" w:pos="8278"/>
      </w:tabs>
      <w:spacing w:before="40"/>
      <w:ind w:left="1843" w:right="714" w:hanging="1843"/>
    </w:pPr>
    <w:rPr>
      <w:rFonts w:ascii="Arial" w:hAnsi="Arial"/>
      <w:sz w:val="20"/>
      <w:szCs w:val="24"/>
      <w:lang w:val="en-AU" w:eastAsia="en-US"/>
    </w:rPr>
  </w:style>
  <w:style w:type="paragraph" w:styleId="TOC6">
    <w:name w:val="toc 6"/>
    <w:basedOn w:val="Normal"/>
    <w:next w:val="Normal"/>
    <w:autoRedefine/>
    <w:uiPriority w:val="99"/>
    <w:rsid w:val="00D929B6"/>
    <w:pPr>
      <w:keepNext/>
      <w:tabs>
        <w:tab w:val="right" w:pos="8278"/>
      </w:tabs>
      <w:spacing w:before="120"/>
      <w:ind w:left="1843" w:right="561" w:hanging="1843"/>
    </w:pPr>
    <w:rPr>
      <w:rFonts w:ascii="Arial" w:hAnsi="Arial"/>
      <w:b/>
      <w:sz w:val="20"/>
      <w:szCs w:val="24"/>
      <w:lang w:val="en-AU" w:eastAsia="en-US"/>
    </w:rPr>
  </w:style>
  <w:style w:type="paragraph" w:customStyle="1" w:styleId="R1">
    <w:name w:val="R1"/>
    <w:aliases w:val="1. or 1.(1)"/>
    <w:basedOn w:val="Normal"/>
    <w:next w:val="Normal"/>
    <w:uiPriority w:val="99"/>
    <w:rsid w:val="00D929B6"/>
    <w:pPr>
      <w:keepLines/>
      <w:tabs>
        <w:tab w:val="right" w:pos="794"/>
      </w:tabs>
      <w:spacing w:before="120" w:line="260" w:lineRule="exact"/>
      <w:ind w:left="964" w:hanging="964"/>
      <w:jc w:val="both"/>
    </w:pPr>
    <w:rPr>
      <w:szCs w:val="24"/>
      <w:lang w:val="en-AU"/>
    </w:rPr>
  </w:style>
  <w:style w:type="character" w:styleId="CommentReference">
    <w:name w:val="annotation reference"/>
    <w:basedOn w:val="DefaultParagraphFont"/>
    <w:uiPriority w:val="99"/>
    <w:semiHidden/>
    <w:rsid w:val="00B31BE3"/>
    <w:rPr>
      <w:rFonts w:cs="Times New Roman"/>
      <w:sz w:val="16"/>
      <w:szCs w:val="16"/>
    </w:rPr>
  </w:style>
  <w:style w:type="paragraph" w:styleId="CommentText">
    <w:name w:val="annotation text"/>
    <w:basedOn w:val="Normal"/>
    <w:link w:val="CommentTextChar"/>
    <w:uiPriority w:val="99"/>
    <w:rsid w:val="00B31BE3"/>
    <w:rPr>
      <w:sz w:val="20"/>
    </w:rPr>
  </w:style>
  <w:style w:type="character" w:customStyle="1" w:styleId="CommentTextChar">
    <w:name w:val="Comment Text Char"/>
    <w:basedOn w:val="DefaultParagraphFont"/>
    <w:link w:val="CommentText"/>
    <w:uiPriority w:val="99"/>
    <w:locked/>
    <w:rsid w:val="00B31BE3"/>
    <w:rPr>
      <w:rFonts w:cs="Times New Roman"/>
      <w:lang w:val="en-GB"/>
    </w:rPr>
  </w:style>
  <w:style w:type="paragraph" w:styleId="CommentSubject">
    <w:name w:val="annotation subject"/>
    <w:basedOn w:val="CommentText"/>
    <w:next w:val="CommentText"/>
    <w:link w:val="CommentSubjectChar"/>
    <w:uiPriority w:val="99"/>
    <w:semiHidden/>
    <w:rsid w:val="00B31BE3"/>
    <w:rPr>
      <w:b/>
      <w:bCs/>
    </w:rPr>
  </w:style>
  <w:style w:type="character" w:customStyle="1" w:styleId="CommentSubjectChar">
    <w:name w:val="Comment Subject Char"/>
    <w:basedOn w:val="CommentTextChar"/>
    <w:link w:val="CommentSubject"/>
    <w:uiPriority w:val="99"/>
    <w:semiHidden/>
    <w:locked/>
    <w:rsid w:val="00B31BE3"/>
    <w:rPr>
      <w:b/>
      <w:bCs/>
    </w:rPr>
  </w:style>
  <w:style w:type="paragraph" w:customStyle="1" w:styleId="HeaderBoldOdd">
    <w:name w:val="HeaderBoldOdd"/>
    <w:basedOn w:val="Normal"/>
    <w:uiPriority w:val="99"/>
    <w:rsid w:val="00383556"/>
    <w:pPr>
      <w:spacing w:before="120" w:after="60"/>
      <w:jc w:val="right"/>
    </w:pPr>
    <w:rPr>
      <w:rFonts w:ascii="Arial" w:hAnsi="Arial"/>
      <w:b/>
      <w:sz w:val="20"/>
      <w:szCs w:val="24"/>
      <w:lang w:val="en-AU"/>
    </w:rPr>
  </w:style>
  <w:style w:type="character" w:customStyle="1" w:styleId="CharSchPTNo">
    <w:name w:val="CharSchPTNo"/>
    <w:basedOn w:val="DefaultParagraphFont"/>
    <w:uiPriority w:val="99"/>
    <w:rsid w:val="0079247A"/>
    <w:rPr>
      <w:rFonts w:cs="Times New Roman"/>
      <w:sz w:val="24"/>
      <w:szCs w:val="24"/>
      <w:lang w:val="en-AU" w:eastAsia="en-AU" w:bidi="ar-SA"/>
    </w:rPr>
  </w:style>
  <w:style w:type="character" w:customStyle="1" w:styleId="CharSchPTText">
    <w:name w:val="CharSchPTText"/>
    <w:basedOn w:val="DefaultParagraphFont"/>
    <w:uiPriority w:val="99"/>
    <w:rsid w:val="0079247A"/>
    <w:rPr>
      <w:rFonts w:cs="Times New Roman"/>
      <w:sz w:val="24"/>
      <w:szCs w:val="24"/>
      <w:lang w:val="en-AU" w:eastAsia="en-AU" w:bidi="ar-SA"/>
    </w:rPr>
  </w:style>
  <w:style w:type="character" w:customStyle="1" w:styleId="CharSchNo">
    <w:name w:val="CharSchNo"/>
    <w:basedOn w:val="DefaultParagraphFont"/>
    <w:uiPriority w:val="99"/>
    <w:rsid w:val="0079247A"/>
    <w:rPr>
      <w:rFonts w:cs="Times New Roman"/>
      <w:sz w:val="24"/>
      <w:szCs w:val="24"/>
      <w:lang w:val="en-AU" w:eastAsia="en-AU" w:bidi="ar-SA"/>
    </w:rPr>
  </w:style>
  <w:style w:type="character" w:customStyle="1" w:styleId="CharSchText">
    <w:name w:val="CharSchText"/>
    <w:basedOn w:val="DefaultParagraphFont"/>
    <w:uiPriority w:val="99"/>
    <w:rsid w:val="0079247A"/>
    <w:rPr>
      <w:rFonts w:cs="Times New Roman"/>
      <w:sz w:val="24"/>
      <w:szCs w:val="24"/>
      <w:lang w:val="en-AU" w:eastAsia="en-AU" w:bidi="ar-SA"/>
    </w:rPr>
  </w:style>
  <w:style w:type="paragraph" w:customStyle="1" w:styleId="Schedulereference">
    <w:name w:val="Schedule reference"/>
    <w:basedOn w:val="Normal"/>
    <w:next w:val="Normal"/>
    <w:uiPriority w:val="99"/>
    <w:rsid w:val="0079247A"/>
    <w:pPr>
      <w:keepNext/>
      <w:keepLines/>
      <w:spacing w:before="60" w:line="200" w:lineRule="exact"/>
      <w:ind w:left="2410"/>
    </w:pPr>
    <w:rPr>
      <w:rFonts w:ascii="Arial" w:hAnsi="Arial"/>
      <w:sz w:val="18"/>
      <w:szCs w:val="24"/>
      <w:lang w:val="en-AU"/>
    </w:rPr>
  </w:style>
  <w:style w:type="paragraph" w:customStyle="1" w:styleId="Scheduletitle">
    <w:name w:val="Schedule title"/>
    <w:basedOn w:val="Normal"/>
    <w:next w:val="Schedulereference"/>
    <w:uiPriority w:val="99"/>
    <w:rsid w:val="0079247A"/>
    <w:pPr>
      <w:keepNext/>
      <w:keepLines/>
      <w:spacing w:before="480"/>
      <w:ind w:left="2410" w:hanging="2410"/>
    </w:pPr>
    <w:rPr>
      <w:rFonts w:ascii="Arial" w:hAnsi="Arial"/>
      <w:b/>
      <w:sz w:val="32"/>
      <w:szCs w:val="24"/>
      <w:lang w:val="en-AU"/>
    </w:rPr>
  </w:style>
  <w:style w:type="paragraph" w:styleId="NoteHeading">
    <w:name w:val="Note Heading"/>
    <w:basedOn w:val="Normal"/>
    <w:next w:val="Normal"/>
    <w:link w:val="NoteHeadingChar"/>
    <w:uiPriority w:val="99"/>
    <w:semiHidden/>
    <w:rsid w:val="00234B6B"/>
  </w:style>
  <w:style w:type="character" w:customStyle="1" w:styleId="NoteHeadingChar">
    <w:name w:val="Note Heading Char"/>
    <w:basedOn w:val="DefaultParagraphFont"/>
    <w:link w:val="NoteHeading"/>
    <w:uiPriority w:val="99"/>
    <w:semiHidden/>
    <w:locked/>
    <w:rsid w:val="00234B6B"/>
    <w:rPr>
      <w:rFonts w:cs="Times New Roman"/>
      <w:sz w:val="24"/>
      <w:lang w:val="en-GB"/>
    </w:rPr>
  </w:style>
  <w:style w:type="paragraph" w:styleId="Revision">
    <w:name w:val="Revision"/>
    <w:hidden/>
    <w:uiPriority w:val="99"/>
    <w:semiHidden/>
    <w:rsid w:val="00DA3581"/>
    <w:rPr>
      <w:sz w:val="24"/>
      <w:lang w:val="en-GB"/>
    </w:rPr>
  </w:style>
  <w:style w:type="paragraph" w:styleId="ListParagraph">
    <w:name w:val="List Paragraph"/>
    <w:basedOn w:val="Normal"/>
    <w:uiPriority w:val="99"/>
    <w:qFormat/>
    <w:rsid w:val="00FD6640"/>
    <w:pPr>
      <w:ind w:left="720"/>
      <w:contextualSpacing/>
    </w:pPr>
  </w:style>
  <w:style w:type="character" w:styleId="Hyperlink">
    <w:name w:val="Hyperlink"/>
    <w:basedOn w:val="DefaultParagraphFont"/>
    <w:uiPriority w:val="99"/>
    <w:rsid w:val="00A84CA8"/>
    <w:rPr>
      <w:rFonts w:cs="Times New Roman"/>
      <w:color w:val="0000FF"/>
      <w:u w:val="single"/>
    </w:rPr>
  </w:style>
  <w:style w:type="character" w:styleId="FollowedHyperlink">
    <w:name w:val="FollowedHyperlink"/>
    <w:basedOn w:val="DefaultParagraphFont"/>
    <w:uiPriority w:val="99"/>
    <w:semiHidden/>
    <w:rsid w:val="00A84CA8"/>
    <w:rPr>
      <w:rFonts w:cs="Times New Roman"/>
      <w:color w:val="800080"/>
      <w:u w:val="single"/>
    </w:rPr>
  </w:style>
  <w:style w:type="paragraph" w:customStyle="1" w:styleId="definition">
    <w:name w:val="definition"/>
    <w:basedOn w:val="Normal"/>
    <w:uiPriority w:val="99"/>
    <w:rsid w:val="002C423B"/>
    <w:pPr>
      <w:spacing w:before="80" w:line="260" w:lineRule="exact"/>
      <w:ind w:left="964"/>
      <w:jc w:val="both"/>
    </w:pPr>
    <w:rPr>
      <w:szCs w:val="24"/>
      <w:lang w:val="en-AU"/>
    </w:rPr>
  </w:style>
  <w:style w:type="paragraph" w:customStyle="1" w:styleId="Note">
    <w:name w:val="Note"/>
    <w:basedOn w:val="Normal"/>
    <w:uiPriority w:val="99"/>
    <w:rsid w:val="00CF2559"/>
    <w:pPr>
      <w:spacing w:before="120" w:line="220" w:lineRule="exact"/>
      <w:ind w:left="964"/>
      <w:jc w:val="both"/>
    </w:pPr>
    <w:rPr>
      <w:sz w:val="20"/>
      <w:szCs w:val="24"/>
      <w:lang w:val="en-AU"/>
    </w:rPr>
  </w:style>
</w:styles>
</file>

<file path=word/webSettings.xml><?xml version="1.0" encoding="utf-8"?>
<w:webSettings xmlns:r="http://schemas.openxmlformats.org/officeDocument/2006/relationships" xmlns:w="http://schemas.openxmlformats.org/wordprocessingml/2006/main">
  <w:divs>
    <w:div w:id="858812477">
      <w:marLeft w:val="0"/>
      <w:marRight w:val="0"/>
      <w:marTop w:val="0"/>
      <w:marBottom w:val="0"/>
      <w:divBdr>
        <w:top w:val="none" w:sz="0" w:space="0" w:color="auto"/>
        <w:left w:val="none" w:sz="0" w:space="0" w:color="auto"/>
        <w:bottom w:val="none" w:sz="0" w:space="0" w:color="auto"/>
        <w:right w:val="none" w:sz="0" w:space="0" w:color="auto"/>
      </w:divBdr>
      <w:divsChild>
        <w:div w:id="858812480">
          <w:marLeft w:val="0"/>
          <w:marRight w:val="0"/>
          <w:marTop w:val="0"/>
          <w:marBottom w:val="0"/>
          <w:divBdr>
            <w:top w:val="none" w:sz="0" w:space="0" w:color="auto"/>
            <w:left w:val="none" w:sz="0" w:space="0" w:color="auto"/>
            <w:bottom w:val="none" w:sz="0" w:space="0" w:color="auto"/>
            <w:right w:val="none" w:sz="0" w:space="0" w:color="auto"/>
          </w:divBdr>
          <w:divsChild>
            <w:div w:id="858812476">
              <w:marLeft w:val="0"/>
              <w:marRight w:val="0"/>
              <w:marTop w:val="0"/>
              <w:marBottom w:val="0"/>
              <w:divBdr>
                <w:top w:val="none" w:sz="0" w:space="0" w:color="auto"/>
                <w:left w:val="none" w:sz="0" w:space="0" w:color="auto"/>
                <w:bottom w:val="none" w:sz="0" w:space="0" w:color="auto"/>
                <w:right w:val="none" w:sz="0" w:space="0" w:color="auto"/>
              </w:divBdr>
              <w:divsChild>
                <w:div w:id="858812487">
                  <w:marLeft w:val="0"/>
                  <w:marRight w:val="0"/>
                  <w:marTop w:val="0"/>
                  <w:marBottom w:val="0"/>
                  <w:divBdr>
                    <w:top w:val="none" w:sz="0" w:space="0" w:color="auto"/>
                    <w:left w:val="none" w:sz="0" w:space="0" w:color="auto"/>
                    <w:bottom w:val="none" w:sz="0" w:space="0" w:color="auto"/>
                    <w:right w:val="none" w:sz="0" w:space="0" w:color="auto"/>
                  </w:divBdr>
                  <w:divsChild>
                    <w:div w:id="858812485">
                      <w:marLeft w:val="0"/>
                      <w:marRight w:val="0"/>
                      <w:marTop w:val="0"/>
                      <w:marBottom w:val="0"/>
                      <w:divBdr>
                        <w:top w:val="none" w:sz="0" w:space="0" w:color="auto"/>
                        <w:left w:val="none" w:sz="0" w:space="0" w:color="auto"/>
                        <w:bottom w:val="none" w:sz="0" w:space="0" w:color="auto"/>
                        <w:right w:val="none" w:sz="0" w:space="0" w:color="auto"/>
                      </w:divBdr>
                      <w:divsChild>
                        <w:div w:id="858812492">
                          <w:marLeft w:val="0"/>
                          <w:marRight w:val="0"/>
                          <w:marTop w:val="0"/>
                          <w:marBottom w:val="0"/>
                          <w:divBdr>
                            <w:top w:val="single" w:sz="6" w:space="0" w:color="828282"/>
                            <w:left w:val="single" w:sz="6" w:space="0" w:color="828282"/>
                            <w:bottom w:val="single" w:sz="6" w:space="0" w:color="828282"/>
                            <w:right w:val="single" w:sz="6" w:space="0" w:color="828282"/>
                          </w:divBdr>
                          <w:divsChild>
                            <w:div w:id="858812488">
                              <w:marLeft w:val="0"/>
                              <w:marRight w:val="0"/>
                              <w:marTop w:val="0"/>
                              <w:marBottom w:val="0"/>
                              <w:divBdr>
                                <w:top w:val="none" w:sz="0" w:space="0" w:color="auto"/>
                                <w:left w:val="none" w:sz="0" w:space="0" w:color="auto"/>
                                <w:bottom w:val="none" w:sz="0" w:space="0" w:color="auto"/>
                                <w:right w:val="none" w:sz="0" w:space="0" w:color="auto"/>
                              </w:divBdr>
                              <w:divsChild>
                                <w:div w:id="858812479">
                                  <w:marLeft w:val="0"/>
                                  <w:marRight w:val="0"/>
                                  <w:marTop w:val="0"/>
                                  <w:marBottom w:val="0"/>
                                  <w:divBdr>
                                    <w:top w:val="none" w:sz="0" w:space="0" w:color="auto"/>
                                    <w:left w:val="none" w:sz="0" w:space="0" w:color="auto"/>
                                    <w:bottom w:val="none" w:sz="0" w:space="0" w:color="auto"/>
                                    <w:right w:val="none" w:sz="0" w:space="0" w:color="auto"/>
                                  </w:divBdr>
                                  <w:divsChild>
                                    <w:div w:id="858812490">
                                      <w:marLeft w:val="0"/>
                                      <w:marRight w:val="0"/>
                                      <w:marTop w:val="0"/>
                                      <w:marBottom w:val="0"/>
                                      <w:divBdr>
                                        <w:top w:val="none" w:sz="0" w:space="0" w:color="auto"/>
                                        <w:left w:val="none" w:sz="0" w:space="0" w:color="auto"/>
                                        <w:bottom w:val="none" w:sz="0" w:space="0" w:color="auto"/>
                                        <w:right w:val="none" w:sz="0" w:space="0" w:color="auto"/>
                                      </w:divBdr>
                                      <w:divsChild>
                                        <w:div w:id="858812483">
                                          <w:marLeft w:val="0"/>
                                          <w:marRight w:val="0"/>
                                          <w:marTop w:val="0"/>
                                          <w:marBottom w:val="0"/>
                                          <w:divBdr>
                                            <w:top w:val="none" w:sz="0" w:space="0" w:color="auto"/>
                                            <w:left w:val="none" w:sz="0" w:space="0" w:color="auto"/>
                                            <w:bottom w:val="none" w:sz="0" w:space="0" w:color="auto"/>
                                            <w:right w:val="none" w:sz="0" w:space="0" w:color="auto"/>
                                          </w:divBdr>
                                          <w:divsChild>
                                            <w:div w:id="858812482">
                                              <w:marLeft w:val="0"/>
                                              <w:marRight w:val="0"/>
                                              <w:marTop w:val="0"/>
                                              <w:marBottom w:val="0"/>
                                              <w:divBdr>
                                                <w:top w:val="none" w:sz="0" w:space="0" w:color="auto"/>
                                                <w:left w:val="none" w:sz="0" w:space="0" w:color="auto"/>
                                                <w:bottom w:val="none" w:sz="0" w:space="0" w:color="auto"/>
                                                <w:right w:val="none" w:sz="0" w:space="0" w:color="auto"/>
                                              </w:divBdr>
                                              <w:divsChild>
                                                <w:div w:id="8588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812478">
      <w:marLeft w:val="0"/>
      <w:marRight w:val="0"/>
      <w:marTop w:val="0"/>
      <w:marBottom w:val="0"/>
      <w:divBdr>
        <w:top w:val="none" w:sz="0" w:space="0" w:color="auto"/>
        <w:left w:val="none" w:sz="0" w:space="0" w:color="auto"/>
        <w:bottom w:val="none" w:sz="0" w:space="0" w:color="auto"/>
        <w:right w:val="none" w:sz="0" w:space="0" w:color="auto"/>
      </w:divBdr>
    </w:div>
    <w:div w:id="858812484">
      <w:marLeft w:val="0"/>
      <w:marRight w:val="0"/>
      <w:marTop w:val="0"/>
      <w:marBottom w:val="0"/>
      <w:divBdr>
        <w:top w:val="none" w:sz="0" w:space="0" w:color="auto"/>
        <w:left w:val="none" w:sz="0" w:space="0" w:color="auto"/>
        <w:bottom w:val="none" w:sz="0" w:space="0" w:color="auto"/>
        <w:right w:val="none" w:sz="0" w:space="0" w:color="auto"/>
      </w:divBdr>
    </w:div>
    <w:div w:id="858812486">
      <w:marLeft w:val="0"/>
      <w:marRight w:val="0"/>
      <w:marTop w:val="0"/>
      <w:marBottom w:val="0"/>
      <w:divBdr>
        <w:top w:val="none" w:sz="0" w:space="0" w:color="auto"/>
        <w:left w:val="none" w:sz="0" w:space="0" w:color="auto"/>
        <w:bottom w:val="none" w:sz="0" w:space="0" w:color="auto"/>
        <w:right w:val="none" w:sz="0" w:space="0" w:color="auto"/>
      </w:divBdr>
    </w:div>
    <w:div w:id="858812489">
      <w:marLeft w:val="0"/>
      <w:marRight w:val="0"/>
      <w:marTop w:val="0"/>
      <w:marBottom w:val="0"/>
      <w:divBdr>
        <w:top w:val="none" w:sz="0" w:space="0" w:color="auto"/>
        <w:left w:val="none" w:sz="0" w:space="0" w:color="auto"/>
        <w:bottom w:val="none" w:sz="0" w:space="0" w:color="auto"/>
        <w:right w:val="none" w:sz="0" w:space="0" w:color="auto"/>
      </w:divBdr>
    </w:div>
    <w:div w:id="858812491">
      <w:marLeft w:val="0"/>
      <w:marRight w:val="0"/>
      <w:marTop w:val="0"/>
      <w:marBottom w:val="0"/>
      <w:divBdr>
        <w:top w:val="none" w:sz="0" w:space="0" w:color="auto"/>
        <w:left w:val="none" w:sz="0" w:space="0" w:color="auto"/>
        <w:bottom w:val="none" w:sz="0" w:space="0" w:color="auto"/>
        <w:right w:val="none" w:sz="0" w:space="0" w:color="auto"/>
      </w:divBdr>
    </w:div>
    <w:div w:id="858812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35410-0B07-4B92-909C-F1708043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1659</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Aust Communications Authority</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creator>cbornst</dc:creator>
  <cp:lastModifiedBy>Helen Turnbull</cp:lastModifiedBy>
  <cp:revision>9</cp:revision>
  <cp:lastPrinted>2012-12-17T23:35:00Z</cp:lastPrinted>
  <dcterms:created xsi:type="dcterms:W3CDTF">2012-12-17T00:21:00Z</dcterms:created>
  <dcterms:modified xsi:type="dcterms:W3CDTF">2012-12-18T06:17:00Z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0x010100F3B87CF1831231499AB06102660F5006</vt:lpwstr>
  </property>
  <property fmtid="{D5CDD505-2E9C-101B-9397-08002B2CF9AE}" pid="3" name="_dlc_DocIdItemGuid">
    <vt:lpwstr>94bf1070-013d-4f3a-9702-40a7937818d8</vt:lpwstr>
  </property>
  <property fmtid="{D5CDD505-2E9C-101B-9397-08002B2CF9AE}" pid="4" name="_dlc_DocId">
    <vt:lpwstr>KNAH4PPFC442-1229-15</vt:lpwstr>
  </property>
  <property fmtid="{D5CDD505-2E9C-101B-9397-08002B2CF9AE}" pid="5" name="_dlc_DocIdUrl">
    <vt:lpwstr>http://collaboration/organisation/CID/IRB/SORS/_layouts/DocIdRedir.aspx?ID=KNAH4PPFC442-1229-15, KNAH4PPFC442-1229-15</vt:lpwstr>
  </property>
</Properties>
</file>