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F" w:rsidRPr="00275FA3" w:rsidRDefault="00DD63FF" w:rsidP="00DD63FF">
      <w:pPr>
        <w:pStyle w:val="HP"/>
        <w:keepNext w:val="0"/>
        <w:spacing w:before="0"/>
      </w:pPr>
      <w:r w:rsidRPr="00275FA3"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275FA3">
            <w:t>Australia</w:t>
          </w:r>
        </w:smartTag>
      </w:smartTag>
    </w:p>
    <w:p w:rsidR="00DD63FF" w:rsidRPr="00275FA3" w:rsidRDefault="00DD63FF" w:rsidP="00DD63FF">
      <w:pPr>
        <w:jc w:val="center"/>
        <w:rPr>
          <w:b/>
        </w:rPr>
      </w:pPr>
    </w:p>
    <w:p w:rsidR="00DD63FF" w:rsidRPr="00275FA3" w:rsidRDefault="00DD63FF" w:rsidP="00DD63FF">
      <w:pPr>
        <w:spacing w:before="240"/>
        <w:jc w:val="center"/>
        <w:rPr>
          <w:i/>
        </w:rPr>
      </w:pPr>
      <w:r w:rsidRPr="00275FA3">
        <w:rPr>
          <w:i/>
        </w:rPr>
        <w:t>Radiocommunications Act 1992</w:t>
      </w:r>
    </w:p>
    <w:p w:rsidR="00DD63FF" w:rsidRPr="00275FA3" w:rsidRDefault="00DD63FF" w:rsidP="00DD63FF">
      <w:pPr>
        <w:pStyle w:val="Title"/>
        <w:spacing w:before="0"/>
      </w:pPr>
      <w:bookmarkStart w:id="0" w:name="year"/>
    </w:p>
    <w:bookmarkEnd w:id="0"/>
    <w:p w:rsidR="00DD63FF" w:rsidRPr="00275FA3" w:rsidRDefault="00DD63FF" w:rsidP="00DD63FF">
      <w:pPr>
        <w:pStyle w:val="Title"/>
        <w:spacing w:before="0"/>
        <w:rPr>
          <w:sz w:val="32"/>
          <w:szCs w:val="32"/>
        </w:rPr>
      </w:pPr>
      <w:r w:rsidRPr="00275FA3">
        <w:rPr>
          <w:sz w:val="32"/>
          <w:szCs w:val="32"/>
        </w:rPr>
        <w:t xml:space="preserve">Radiocommunications (Spectrum </w:t>
      </w:r>
      <w:r w:rsidR="00C33DA0" w:rsidRPr="00275FA3">
        <w:rPr>
          <w:sz w:val="32"/>
          <w:szCs w:val="32"/>
        </w:rPr>
        <w:t>Licence Limits) Direction No. 1 of 201</w:t>
      </w:r>
      <w:r w:rsidR="003106B3" w:rsidRPr="00275FA3">
        <w:rPr>
          <w:sz w:val="32"/>
          <w:szCs w:val="32"/>
        </w:rPr>
        <w:t>2</w:t>
      </w:r>
      <w:r w:rsidR="008C75E9" w:rsidRPr="00275FA3">
        <w:rPr>
          <w:sz w:val="32"/>
          <w:szCs w:val="32"/>
        </w:rPr>
        <w:t xml:space="preserve"> (Amendment No. 1 of 2012)</w:t>
      </w:r>
    </w:p>
    <w:p w:rsidR="00DD63FF" w:rsidRPr="00275FA3" w:rsidRDefault="00DD63FF" w:rsidP="00DD63FF"/>
    <w:p w:rsidR="00DD63FF" w:rsidRPr="00275FA3" w:rsidRDefault="00DD63FF" w:rsidP="00C54D3E">
      <w:pPr>
        <w:spacing w:before="400" w:line="300" w:lineRule="atLeast"/>
        <w:jc w:val="left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 xml:space="preserve">I, STEPHEN MICHAEL CONROY, Minister for Broadband, Communications and the Digital Economy, </w:t>
      </w:r>
      <w:r w:rsidR="0061378A" w:rsidRPr="00275FA3">
        <w:rPr>
          <w:rFonts w:ascii="Times New Roman" w:hAnsi="Times New Roman"/>
          <w:sz w:val="24"/>
          <w:szCs w:val="24"/>
        </w:rPr>
        <w:t xml:space="preserve">amend the direction given to the Australian Communications and Media Authority on 2 February 2012, </w:t>
      </w:r>
      <w:r w:rsidR="00C33DA0" w:rsidRPr="00275FA3">
        <w:rPr>
          <w:rFonts w:ascii="Times New Roman" w:hAnsi="Times New Roman"/>
          <w:sz w:val="24"/>
          <w:szCs w:val="24"/>
        </w:rPr>
        <w:t>under subsection 60(10) of the</w:t>
      </w:r>
      <w:r w:rsidR="00034FB0" w:rsidRPr="00275FA3">
        <w:rPr>
          <w:rFonts w:ascii="Times New Roman" w:hAnsi="Times New Roman"/>
          <w:sz w:val="24"/>
          <w:szCs w:val="24"/>
        </w:rPr>
        <w:t xml:space="preserve"> </w:t>
      </w:r>
      <w:r w:rsidRPr="00275FA3">
        <w:rPr>
          <w:rFonts w:ascii="Times New Roman" w:hAnsi="Times New Roman"/>
          <w:i/>
          <w:sz w:val="24"/>
          <w:szCs w:val="24"/>
        </w:rPr>
        <w:t>Radiocommunications</w:t>
      </w:r>
      <w:r w:rsidR="00034FB0" w:rsidRPr="00275FA3">
        <w:rPr>
          <w:rFonts w:ascii="Times New Roman" w:hAnsi="Times New Roman"/>
          <w:i/>
          <w:sz w:val="24"/>
          <w:szCs w:val="24"/>
        </w:rPr>
        <w:t xml:space="preserve"> </w:t>
      </w:r>
      <w:r w:rsidRPr="00275FA3">
        <w:rPr>
          <w:rFonts w:ascii="Times New Roman" w:hAnsi="Times New Roman"/>
          <w:i/>
          <w:sz w:val="24"/>
          <w:szCs w:val="24"/>
        </w:rPr>
        <w:t>Act</w:t>
      </w:r>
      <w:r w:rsidR="00034FB0" w:rsidRPr="00275FA3">
        <w:rPr>
          <w:rFonts w:ascii="Times New Roman" w:hAnsi="Times New Roman"/>
          <w:i/>
          <w:sz w:val="24"/>
          <w:szCs w:val="24"/>
        </w:rPr>
        <w:t xml:space="preserve"> </w:t>
      </w:r>
      <w:r w:rsidRPr="00275FA3">
        <w:rPr>
          <w:rFonts w:ascii="Times New Roman" w:hAnsi="Times New Roman"/>
          <w:i/>
          <w:sz w:val="24"/>
          <w:szCs w:val="24"/>
        </w:rPr>
        <w:t>1992</w:t>
      </w:r>
      <w:r w:rsidR="00034FB0" w:rsidRPr="00275FA3">
        <w:rPr>
          <w:rFonts w:ascii="Times New Roman" w:hAnsi="Times New Roman"/>
          <w:i/>
          <w:sz w:val="24"/>
          <w:szCs w:val="24"/>
        </w:rPr>
        <w:t xml:space="preserve"> </w:t>
      </w:r>
      <w:r w:rsidR="00034FB0" w:rsidRPr="00275FA3">
        <w:rPr>
          <w:iCs/>
          <w:sz w:val="24"/>
          <w:szCs w:val="24"/>
        </w:rPr>
        <w:t>and subsection 33(3) of the</w:t>
      </w:r>
      <w:r w:rsidR="00034FB0" w:rsidRPr="00275FA3">
        <w:rPr>
          <w:i/>
          <w:iCs/>
          <w:sz w:val="24"/>
          <w:szCs w:val="24"/>
        </w:rPr>
        <w:t xml:space="preserve"> Acts Interpretation Act 1901</w:t>
      </w:r>
      <w:r w:rsidRPr="00275FA3">
        <w:rPr>
          <w:rFonts w:ascii="Times New Roman" w:hAnsi="Times New Roman"/>
          <w:sz w:val="24"/>
          <w:szCs w:val="24"/>
        </w:rPr>
        <w:t>.</w:t>
      </w:r>
    </w:p>
    <w:p w:rsidR="00223F40" w:rsidRPr="00275FA3" w:rsidRDefault="00CC4CDC" w:rsidP="00223F40">
      <w:pPr>
        <w:tabs>
          <w:tab w:val="center" w:pos="3119"/>
        </w:tabs>
        <w:spacing w:before="300" w:after="600" w:line="300" w:lineRule="atLeast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 xml:space="preserve">Dated 14 </w:t>
      </w:r>
      <w:bookmarkStart w:id="1" w:name="_GoBack"/>
      <w:bookmarkEnd w:id="1"/>
      <w:r w:rsidR="00223F40" w:rsidRPr="00275FA3">
        <w:rPr>
          <w:rFonts w:ascii="Times New Roman" w:hAnsi="Times New Roman"/>
          <w:sz w:val="24"/>
          <w:szCs w:val="24"/>
        </w:rPr>
        <w:t>December 2012</w:t>
      </w:r>
    </w:p>
    <w:p w:rsidR="00DD63FF" w:rsidRPr="00275FA3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>STEPHEN MICHAEL CONROY</w:t>
      </w:r>
    </w:p>
    <w:p w:rsidR="00DD63FF" w:rsidRPr="00275FA3" w:rsidRDefault="00DD63FF" w:rsidP="00DD63FF">
      <w:pPr>
        <w:jc w:val="center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>Minister for Broadband, Communications and the Digital Economy</w:t>
      </w:r>
    </w:p>
    <w:p w:rsidR="00DD63FF" w:rsidRPr="00275FA3" w:rsidRDefault="00DD63FF" w:rsidP="00DD63FF">
      <w:pPr>
        <w:jc w:val="center"/>
      </w:pPr>
      <w:r w:rsidRPr="00275FA3">
        <w:t>_______________________________________________________________</w:t>
      </w:r>
    </w:p>
    <w:p w:rsidR="00DD63FF" w:rsidRPr="00275FA3" w:rsidRDefault="00DD63FF" w:rsidP="00034FB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 xml:space="preserve">Name of </w:t>
      </w:r>
      <w:r w:rsidR="00C33DA0" w:rsidRPr="00275FA3">
        <w:rPr>
          <w:rFonts w:ascii="Times New Roman" w:hAnsi="Times New Roman"/>
          <w:sz w:val="24"/>
          <w:szCs w:val="24"/>
        </w:rPr>
        <w:t>Direction</w:t>
      </w:r>
    </w:p>
    <w:p w:rsidR="00DD63FF" w:rsidRPr="00275FA3" w:rsidRDefault="00DD63FF" w:rsidP="00DD63FF">
      <w:pPr>
        <w:spacing w:before="240" w:line="300" w:lineRule="atLeast"/>
        <w:ind w:left="567"/>
        <w:rPr>
          <w:rFonts w:ascii="Times New Roman" w:hAnsi="Times New Roman"/>
          <w:b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 xml:space="preserve">This </w:t>
      </w:r>
      <w:r w:rsidR="00C33DA0" w:rsidRPr="00275FA3">
        <w:rPr>
          <w:rFonts w:ascii="Times New Roman" w:hAnsi="Times New Roman"/>
          <w:sz w:val="24"/>
          <w:szCs w:val="24"/>
        </w:rPr>
        <w:t>Direction</w:t>
      </w:r>
      <w:r w:rsidRPr="00275FA3">
        <w:rPr>
          <w:rFonts w:ascii="Times New Roman" w:hAnsi="Times New Roman"/>
          <w:sz w:val="24"/>
          <w:szCs w:val="24"/>
        </w:rPr>
        <w:t xml:space="preserve"> is the </w:t>
      </w:r>
      <w:r w:rsidRPr="00275FA3">
        <w:rPr>
          <w:rFonts w:ascii="Times New Roman" w:hAnsi="Times New Roman"/>
          <w:i/>
          <w:sz w:val="24"/>
          <w:szCs w:val="24"/>
        </w:rPr>
        <w:t xml:space="preserve">Radiocommunications (Spectrum </w:t>
      </w:r>
      <w:r w:rsidR="00C33DA0" w:rsidRPr="00275FA3">
        <w:rPr>
          <w:rFonts w:ascii="Times New Roman" w:hAnsi="Times New Roman"/>
          <w:i/>
          <w:sz w:val="24"/>
          <w:szCs w:val="24"/>
        </w:rPr>
        <w:t>Licence Limits) Direction</w:t>
      </w:r>
      <w:r w:rsidRPr="00275FA3">
        <w:rPr>
          <w:rFonts w:ascii="Times New Roman" w:hAnsi="Times New Roman"/>
          <w:i/>
          <w:sz w:val="24"/>
          <w:szCs w:val="24"/>
        </w:rPr>
        <w:t xml:space="preserve"> No.</w:t>
      </w:r>
      <w:r w:rsidR="00C33DA0" w:rsidRPr="00275FA3">
        <w:rPr>
          <w:rFonts w:ascii="Times New Roman" w:hAnsi="Times New Roman"/>
          <w:i/>
          <w:sz w:val="24"/>
          <w:szCs w:val="24"/>
        </w:rPr>
        <w:t xml:space="preserve"> 1</w:t>
      </w:r>
      <w:r w:rsidRPr="00275FA3">
        <w:rPr>
          <w:rFonts w:ascii="Times New Roman" w:hAnsi="Times New Roman"/>
          <w:i/>
          <w:sz w:val="24"/>
          <w:szCs w:val="24"/>
        </w:rPr>
        <w:t xml:space="preserve"> of 201</w:t>
      </w:r>
      <w:r w:rsidR="003106B3" w:rsidRPr="00275FA3">
        <w:rPr>
          <w:rFonts w:ascii="Times New Roman" w:hAnsi="Times New Roman"/>
          <w:i/>
          <w:sz w:val="24"/>
          <w:szCs w:val="24"/>
        </w:rPr>
        <w:t>2</w:t>
      </w:r>
      <w:r w:rsidR="00D86AE1" w:rsidRPr="00275FA3">
        <w:rPr>
          <w:rFonts w:ascii="Times New Roman" w:hAnsi="Times New Roman"/>
          <w:i/>
          <w:sz w:val="24"/>
          <w:szCs w:val="24"/>
        </w:rPr>
        <w:t xml:space="preserve"> (Amendment No. 1 of 2012)</w:t>
      </w:r>
      <w:r w:rsidRPr="00275FA3">
        <w:rPr>
          <w:rFonts w:ascii="Times New Roman" w:hAnsi="Times New Roman"/>
          <w:sz w:val="24"/>
          <w:szCs w:val="24"/>
        </w:rPr>
        <w:t>.</w:t>
      </w:r>
    </w:p>
    <w:p w:rsidR="00DD63FF" w:rsidRPr="00275FA3" w:rsidRDefault="00DD63FF" w:rsidP="00034FB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>Commencement</w:t>
      </w:r>
    </w:p>
    <w:p w:rsidR="0058618E" w:rsidRPr="00275FA3" w:rsidRDefault="0058618E" w:rsidP="0058618E">
      <w:pPr>
        <w:spacing w:before="240"/>
        <w:ind w:left="567"/>
        <w:jc w:val="left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>This Direction commences on the day it is made.</w:t>
      </w:r>
    </w:p>
    <w:p w:rsidR="00DD63FF" w:rsidRPr="00275FA3" w:rsidRDefault="00D86AE1" w:rsidP="00034FB0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ind w:left="567" w:hanging="567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>Variation</w:t>
      </w:r>
    </w:p>
    <w:p w:rsidR="00D86AE1" w:rsidRPr="00275FA3" w:rsidRDefault="00D86AE1" w:rsidP="00D86AE1">
      <w:pPr>
        <w:pStyle w:val="R1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275FA3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034FB0" w:rsidRPr="00275FA3">
        <w:rPr>
          <w:rFonts w:ascii="Times New Roman" w:hAnsi="Times New Roman"/>
          <w:i/>
          <w:sz w:val="24"/>
          <w:szCs w:val="24"/>
        </w:rPr>
        <w:t>Radiocommunications (Spectrum Licence Limits) Direction No. 1 of 2012</w:t>
      </w:r>
      <w:r w:rsidRPr="00275FA3">
        <w:rPr>
          <w:rFonts w:ascii="Times New Roman" w:hAnsi="Times New Roman"/>
          <w:color w:val="000000"/>
          <w:sz w:val="24"/>
          <w:szCs w:val="24"/>
        </w:rPr>
        <w:t xml:space="preserve"> is amended as set out in the Schedule to this </w:t>
      </w:r>
      <w:r w:rsidR="00034FB0" w:rsidRPr="00275FA3">
        <w:rPr>
          <w:rFonts w:ascii="Times New Roman" w:hAnsi="Times New Roman"/>
          <w:color w:val="000000"/>
          <w:sz w:val="24"/>
          <w:szCs w:val="24"/>
        </w:rPr>
        <w:t>Direction</w:t>
      </w:r>
      <w:r w:rsidRPr="00275FA3">
        <w:rPr>
          <w:rFonts w:ascii="Times New Roman" w:hAnsi="Times New Roman"/>
          <w:color w:val="000000"/>
          <w:sz w:val="24"/>
          <w:szCs w:val="24"/>
        </w:rPr>
        <w:t>.</w:t>
      </w:r>
    </w:p>
    <w:p w:rsidR="00DD63FF" w:rsidRPr="00275FA3" w:rsidRDefault="00DD63FF" w:rsidP="00034FB0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</w:pPr>
    </w:p>
    <w:p w:rsidR="006A438E" w:rsidRPr="00275FA3" w:rsidRDefault="006A438E">
      <w:pPr>
        <w:spacing w:after="200" w:line="276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275FA3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034FB0" w:rsidRPr="00275FA3" w:rsidRDefault="00034FB0" w:rsidP="00034FB0">
      <w:pPr>
        <w:pStyle w:val="NoteBody2"/>
        <w:tabs>
          <w:tab w:val="left" w:pos="851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Schedule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ab/>
        <w:t>Amendments</w:t>
      </w:r>
    </w:p>
    <w:p w:rsidR="00034FB0" w:rsidRPr="00275FA3" w:rsidRDefault="00034FB0" w:rsidP="007A048A">
      <w:pPr>
        <w:pStyle w:val="NoteBody2"/>
        <w:tabs>
          <w:tab w:val="left" w:pos="851"/>
        </w:tabs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FB0" w:rsidRPr="00275FA3" w:rsidRDefault="00034FB0" w:rsidP="006A438E">
      <w:pPr>
        <w:pStyle w:val="NoteBody2"/>
        <w:numPr>
          <w:ilvl w:val="0"/>
          <w:numId w:val="10"/>
        </w:numPr>
        <w:tabs>
          <w:tab w:val="left" w:pos="567"/>
        </w:tabs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6A3C23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ection 3</w:t>
      </w:r>
      <w:r w:rsidR="003A3E00"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(1), definition of </w:t>
      </w:r>
      <w:r w:rsidR="003A3E00" w:rsidRPr="00275FA3">
        <w:rPr>
          <w:rFonts w:ascii="Times New Roman" w:hAnsi="Times New Roman" w:cs="Times New Roman"/>
          <w:b/>
          <w:i/>
          <w:color w:val="000000"/>
          <w:sz w:val="24"/>
          <w:szCs w:val="24"/>
        </w:rPr>
        <w:t>associate</w:t>
      </w:r>
      <w:r w:rsidR="009F7DE0"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F56A06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sub</w:t>
      </w:r>
      <w:r w:rsidR="009F7DE0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paragraph (a)</w:t>
      </w:r>
      <w:r w:rsidR="00F56A06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547B8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="00F56A06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9F7DE0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438E" w:rsidRPr="00275FA3" w:rsidRDefault="006A438E" w:rsidP="006A438E">
      <w:pPr>
        <w:pStyle w:val="NoteBody2"/>
        <w:tabs>
          <w:tab w:val="left" w:pos="567"/>
        </w:tabs>
        <w:spacing w:before="0" w:after="0" w:line="240" w:lineRule="auto"/>
        <w:ind w:left="567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1238A" w:rsidRPr="00275FA3" w:rsidRDefault="00F97C30" w:rsidP="006A438E">
      <w:pPr>
        <w:pStyle w:val="R1"/>
        <w:tabs>
          <w:tab w:val="left" w:pos="851"/>
        </w:tabs>
        <w:spacing w:before="0" w:after="240"/>
        <w:ind w:left="567"/>
        <w:rPr>
          <w:rFonts w:ascii="Times New Roman" w:hAnsi="Times New Roman"/>
          <w:i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>omit the subparagraph</w:t>
      </w:r>
    </w:p>
    <w:p w:rsidR="0005021E" w:rsidRPr="00275FA3" w:rsidRDefault="0005021E" w:rsidP="006A438E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6A3C23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3(1), definition of </w:t>
      </w:r>
      <w:r w:rsidRPr="00275FA3">
        <w:rPr>
          <w:rFonts w:ascii="Times New Roman" w:hAnsi="Times New Roman" w:cs="Times New Roman"/>
          <w:b/>
          <w:i/>
          <w:color w:val="000000"/>
          <w:sz w:val="24"/>
          <w:szCs w:val="24"/>
        </w:rPr>
        <w:t>associate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8547B8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sub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paragraph (b)</w:t>
      </w:r>
      <w:r w:rsidR="008547B8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(iii)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6A438E" w:rsidRPr="00275FA3" w:rsidRDefault="006A438E" w:rsidP="007A048A">
      <w:pPr>
        <w:pStyle w:val="R1"/>
        <w:tabs>
          <w:tab w:val="left" w:pos="851"/>
        </w:tabs>
        <w:spacing w:before="0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91238A" w:rsidRPr="00275FA3" w:rsidRDefault="0091238A" w:rsidP="0091238A">
      <w:pPr>
        <w:pStyle w:val="R1"/>
        <w:tabs>
          <w:tab w:val="left" w:pos="851"/>
        </w:tabs>
        <w:spacing w:before="0" w:after="240"/>
        <w:ind w:left="567"/>
        <w:rPr>
          <w:rFonts w:ascii="Times New Roman" w:hAnsi="Times New Roman"/>
          <w:i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>omit the subparagraph</w:t>
      </w:r>
    </w:p>
    <w:p w:rsidR="0005021E" w:rsidRPr="00275FA3" w:rsidRDefault="0005021E" w:rsidP="006A438E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6A3C23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3(1), definition of </w:t>
      </w:r>
      <w:r w:rsidRPr="00275FA3">
        <w:rPr>
          <w:rFonts w:ascii="Times New Roman" w:hAnsi="Times New Roman" w:cs="Times New Roman"/>
          <w:b/>
          <w:i/>
          <w:color w:val="000000"/>
          <w:sz w:val="24"/>
          <w:szCs w:val="24"/>
        </w:rPr>
        <w:t>associate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91238A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sub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paragraph (c)</w:t>
      </w:r>
      <w:r w:rsidR="007A048A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(i)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C54AB5" w:rsidRPr="00275FA3" w:rsidRDefault="00C54AB5" w:rsidP="007A048A">
      <w:pPr>
        <w:pStyle w:val="R1"/>
        <w:tabs>
          <w:tab w:val="left" w:pos="851"/>
        </w:tabs>
        <w:spacing w:before="0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C54AB5" w:rsidRPr="00275FA3" w:rsidRDefault="00F97C30" w:rsidP="00C54AB5">
      <w:pPr>
        <w:pStyle w:val="R1"/>
        <w:tabs>
          <w:tab w:val="left" w:pos="851"/>
        </w:tabs>
        <w:spacing w:before="0" w:after="240"/>
        <w:ind w:left="567"/>
        <w:rPr>
          <w:rFonts w:ascii="Times New Roman" w:hAnsi="Times New Roman"/>
          <w:i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>omit</w:t>
      </w:r>
    </w:p>
    <w:p w:rsidR="00C54AB5" w:rsidRPr="00275FA3" w:rsidRDefault="00C54AB5" w:rsidP="007A048A">
      <w:pPr>
        <w:pStyle w:val="R1"/>
        <w:tabs>
          <w:tab w:val="left" w:pos="851"/>
        </w:tabs>
        <w:spacing w:before="0"/>
        <w:ind w:left="567"/>
        <w:rPr>
          <w:rFonts w:ascii="Times New Roman" w:hAnsi="Times New Roman"/>
          <w:color w:val="000000"/>
          <w:sz w:val="24"/>
          <w:szCs w:val="24"/>
        </w:rPr>
      </w:pPr>
      <w:r w:rsidRPr="00275FA3">
        <w:rPr>
          <w:rFonts w:ascii="Times New Roman" w:hAnsi="Times New Roman"/>
          <w:color w:val="000000"/>
          <w:sz w:val="24"/>
          <w:szCs w:val="24"/>
        </w:rPr>
        <w:t xml:space="preserve">relates to </w:t>
      </w:r>
    </w:p>
    <w:p w:rsidR="00C54AB5" w:rsidRPr="00275FA3" w:rsidRDefault="00C54AB5" w:rsidP="007A048A">
      <w:pPr>
        <w:pStyle w:val="R1"/>
        <w:tabs>
          <w:tab w:val="left" w:pos="851"/>
        </w:tabs>
        <w:spacing w:before="0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C54AB5" w:rsidRPr="00275FA3" w:rsidRDefault="00F97C30" w:rsidP="00C54AB5">
      <w:pPr>
        <w:pStyle w:val="R1"/>
        <w:tabs>
          <w:tab w:val="left" w:pos="851"/>
        </w:tabs>
        <w:spacing w:before="0" w:after="240"/>
        <w:ind w:left="567"/>
        <w:rPr>
          <w:rFonts w:ascii="Times New Roman" w:hAnsi="Times New Roman"/>
          <w:i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>substitute</w:t>
      </w:r>
    </w:p>
    <w:p w:rsidR="00C54AB5" w:rsidRPr="00275FA3" w:rsidRDefault="00C54AB5" w:rsidP="000725D5">
      <w:pPr>
        <w:pStyle w:val="R1"/>
        <w:tabs>
          <w:tab w:val="left" w:pos="851"/>
        </w:tabs>
        <w:spacing w:before="0" w:after="120"/>
        <w:ind w:left="567"/>
        <w:rPr>
          <w:rFonts w:ascii="Times New Roman" w:hAnsi="Times New Roman"/>
          <w:color w:val="000000"/>
          <w:sz w:val="24"/>
          <w:szCs w:val="24"/>
        </w:rPr>
      </w:pPr>
      <w:r w:rsidRPr="00275FA3">
        <w:rPr>
          <w:rFonts w:ascii="Times New Roman" w:hAnsi="Times New Roman"/>
          <w:color w:val="000000"/>
          <w:sz w:val="24"/>
          <w:szCs w:val="24"/>
        </w:rPr>
        <w:t xml:space="preserve">is for </w:t>
      </w:r>
    </w:p>
    <w:p w:rsidR="007A048A" w:rsidRPr="00275FA3" w:rsidRDefault="007A048A" w:rsidP="006A438E">
      <w:pPr>
        <w:pStyle w:val="NoteBody2"/>
        <w:tabs>
          <w:tab w:val="left" w:pos="567"/>
        </w:tabs>
        <w:spacing w:before="0" w:after="0" w:line="240" w:lineRule="auto"/>
        <w:ind w:left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697D" w:rsidRPr="00275FA3" w:rsidRDefault="00C7697D" w:rsidP="00C7697D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6A3C23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3(1), after definition of </w:t>
      </w:r>
      <w:r w:rsidRPr="00275FA3">
        <w:rPr>
          <w:rFonts w:ascii="Times New Roman" w:hAnsi="Times New Roman" w:cs="Times New Roman"/>
          <w:b/>
          <w:i/>
          <w:color w:val="000000"/>
          <w:sz w:val="24"/>
          <w:szCs w:val="24"/>
        </w:rPr>
        <w:t>associate</w:t>
      </w:r>
    </w:p>
    <w:p w:rsidR="00C7697D" w:rsidRPr="00275FA3" w:rsidRDefault="00C7697D" w:rsidP="00C7697D">
      <w:pPr>
        <w:pStyle w:val="R1"/>
        <w:tabs>
          <w:tab w:val="left" w:pos="851"/>
        </w:tabs>
        <w:spacing w:before="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7697D" w:rsidRPr="00275FA3" w:rsidRDefault="0091238A" w:rsidP="00C7697D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>i</w:t>
      </w:r>
      <w:r w:rsidR="00F97C30" w:rsidRPr="00275FA3">
        <w:rPr>
          <w:rFonts w:ascii="Times New Roman" w:hAnsi="Times New Roman"/>
          <w:i/>
          <w:color w:val="000000"/>
          <w:sz w:val="24"/>
          <w:szCs w:val="24"/>
        </w:rPr>
        <w:t>nsert</w:t>
      </w:r>
    </w:p>
    <w:p w:rsidR="00C7697D" w:rsidRPr="00275FA3" w:rsidRDefault="00C7697D" w:rsidP="00C7697D">
      <w:pPr>
        <w:pStyle w:val="P1"/>
        <w:tabs>
          <w:tab w:val="clear" w:pos="1080"/>
          <w:tab w:val="right" w:pos="567"/>
        </w:tabs>
        <w:spacing w:before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b/>
          <w:i/>
          <w:sz w:val="24"/>
          <w:szCs w:val="24"/>
        </w:rPr>
        <w:t xml:space="preserve">carrier </w:t>
      </w:r>
      <w:r w:rsidRPr="00275FA3">
        <w:rPr>
          <w:rFonts w:ascii="Times New Roman" w:hAnsi="Times New Roman"/>
          <w:sz w:val="24"/>
          <w:szCs w:val="24"/>
        </w:rPr>
        <w:t xml:space="preserve">has the same meaning as in the </w:t>
      </w:r>
      <w:r w:rsidRPr="00275FA3">
        <w:rPr>
          <w:rFonts w:ascii="Times New Roman" w:hAnsi="Times New Roman"/>
          <w:i/>
          <w:sz w:val="24"/>
          <w:szCs w:val="24"/>
        </w:rPr>
        <w:t>Telecommunications Act 1997</w:t>
      </w:r>
      <w:r w:rsidRPr="00275FA3">
        <w:rPr>
          <w:rFonts w:ascii="Times New Roman" w:hAnsi="Times New Roman"/>
          <w:sz w:val="24"/>
          <w:szCs w:val="24"/>
        </w:rPr>
        <w:t xml:space="preserve">.  </w:t>
      </w:r>
    </w:p>
    <w:p w:rsidR="00C7697D" w:rsidRPr="00275FA3" w:rsidRDefault="00C7697D" w:rsidP="00C7697D">
      <w:pPr>
        <w:pStyle w:val="NoteBody2"/>
        <w:tabs>
          <w:tab w:val="left" w:pos="567"/>
        </w:tabs>
        <w:spacing w:after="0" w:line="240" w:lineRule="auto"/>
        <w:ind w:left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021E" w:rsidRPr="00275FA3" w:rsidRDefault="0005021E" w:rsidP="006A438E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6A3C23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3(1), after definition of </w:t>
      </w:r>
      <w:r w:rsidRPr="00275FA3">
        <w:rPr>
          <w:rFonts w:ascii="Times New Roman" w:hAnsi="Times New Roman" w:cs="Times New Roman"/>
          <w:b/>
          <w:i/>
          <w:color w:val="000000"/>
          <w:sz w:val="24"/>
          <w:szCs w:val="24"/>
        </w:rPr>
        <w:t>designated area</w:t>
      </w:r>
    </w:p>
    <w:p w:rsidR="00B17FCA" w:rsidRPr="00275FA3" w:rsidRDefault="00B17FCA" w:rsidP="00B17FCA">
      <w:pPr>
        <w:pStyle w:val="R1"/>
        <w:tabs>
          <w:tab w:val="left" w:pos="851"/>
        </w:tabs>
        <w:spacing w:before="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05021E" w:rsidRPr="00275FA3" w:rsidRDefault="0091238A" w:rsidP="007A048A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>i</w:t>
      </w:r>
      <w:r w:rsidR="00F97C30" w:rsidRPr="00275FA3">
        <w:rPr>
          <w:rFonts w:ascii="Times New Roman" w:hAnsi="Times New Roman"/>
          <w:i/>
          <w:color w:val="000000"/>
          <w:sz w:val="24"/>
          <w:szCs w:val="24"/>
        </w:rPr>
        <w:t>nsert</w:t>
      </w:r>
    </w:p>
    <w:p w:rsidR="00F56A06" w:rsidRPr="00275FA3" w:rsidRDefault="00F97C30" w:rsidP="00AA43A3">
      <w:pPr>
        <w:pStyle w:val="P1"/>
        <w:tabs>
          <w:tab w:val="clear" w:pos="1080"/>
          <w:tab w:val="right" w:pos="567"/>
        </w:tabs>
        <w:spacing w:before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b/>
          <w:i/>
          <w:sz w:val="24"/>
          <w:szCs w:val="24"/>
        </w:rPr>
        <w:t>public mobile telecommunications service</w:t>
      </w:r>
      <w:r w:rsidRPr="00275FA3">
        <w:rPr>
          <w:rFonts w:ascii="Times New Roman" w:hAnsi="Times New Roman"/>
          <w:b/>
          <w:sz w:val="24"/>
          <w:szCs w:val="24"/>
        </w:rPr>
        <w:t xml:space="preserve"> </w:t>
      </w:r>
      <w:r w:rsidR="00F56A06" w:rsidRPr="00275FA3">
        <w:rPr>
          <w:rFonts w:ascii="Times New Roman" w:hAnsi="Times New Roman"/>
          <w:sz w:val="24"/>
          <w:szCs w:val="24"/>
        </w:rPr>
        <w:t>has</w:t>
      </w:r>
      <w:r w:rsidRPr="00275FA3">
        <w:rPr>
          <w:rFonts w:ascii="Times New Roman" w:hAnsi="Times New Roman"/>
          <w:b/>
          <w:sz w:val="24"/>
          <w:szCs w:val="24"/>
        </w:rPr>
        <w:t xml:space="preserve"> </w:t>
      </w:r>
      <w:r w:rsidR="00F56A06" w:rsidRPr="00275FA3">
        <w:rPr>
          <w:rFonts w:ascii="Times New Roman" w:hAnsi="Times New Roman"/>
          <w:sz w:val="24"/>
          <w:szCs w:val="24"/>
        </w:rPr>
        <w:t xml:space="preserve">the same meaning as in the </w:t>
      </w:r>
      <w:r w:rsidRPr="00275FA3">
        <w:rPr>
          <w:rFonts w:ascii="Times New Roman" w:hAnsi="Times New Roman"/>
          <w:i/>
          <w:sz w:val="24"/>
          <w:szCs w:val="24"/>
        </w:rPr>
        <w:t>Telecommunications Act 1997</w:t>
      </w:r>
      <w:r w:rsidR="00F56A06" w:rsidRPr="00275FA3">
        <w:rPr>
          <w:rFonts w:ascii="Times New Roman" w:hAnsi="Times New Roman"/>
          <w:sz w:val="24"/>
          <w:szCs w:val="24"/>
        </w:rPr>
        <w:t>.</w:t>
      </w:r>
    </w:p>
    <w:p w:rsidR="00F56A06" w:rsidRPr="00275FA3" w:rsidRDefault="00F56A06" w:rsidP="00AA43A3">
      <w:pPr>
        <w:pStyle w:val="P1"/>
        <w:tabs>
          <w:tab w:val="clear" w:pos="1080"/>
          <w:tab w:val="right" w:pos="567"/>
        </w:tabs>
        <w:spacing w:before="0" w:line="240" w:lineRule="auto"/>
        <w:ind w:left="567" w:firstLine="0"/>
        <w:jc w:val="left"/>
        <w:rPr>
          <w:rFonts w:ascii="Times New Roman" w:hAnsi="Times New Roman"/>
          <w:i/>
          <w:sz w:val="24"/>
          <w:szCs w:val="24"/>
        </w:rPr>
      </w:pPr>
    </w:p>
    <w:p w:rsidR="0005021E" w:rsidRPr="00275FA3" w:rsidRDefault="0005021E" w:rsidP="006A438E">
      <w:pPr>
        <w:pStyle w:val="NoteBody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6A3C23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3(1), </w:t>
      </w:r>
      <w:r w:rsidR="007A048A"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definition of </w:t>
      </w:r>
      <w:r w:rsidR="007A048A" w:rsidRPr="00275FA3">
        <w:rPr>
          <w:rFonts w:ascii="Times New Roman" w:hAnsi="Times New Roman" w:cs="Times New Roman"/>
          <w:b/>
          <w:i/>
          <w:color w:val="000000"/>
          <w:sz w:val="24"/>
          <w:szCs w:val="24"/>
        </w:rPr>
        <w:t>relevant agreement</w:t>
      </w:r>
    </w:p>
    <w:p w:rsidR="00B17FCA" w:rsidRPr="00275FA3" w:rsidRDefault="00B17FCA" w:rsidP="00B17FCA">
      <w:pPr>
        <w:pStyle w:val="R1"/>
        <w:tabs>
          <w:tab w:val="left" w:pos="851"/>
        </w:tabs>
        <w:spacing w:before="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1238A" w:rsidRPr="00275FA3" w:rsidRDefault="00F97C30" w:rsidP="00B17FCA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>omit</w:t>
      </w:r>
    </w:p>
    <w:p w:rsidR="0091238A" w:rsidRPr="00275FA3" w:rsidRDefault="007A048A" w:rsidP="00B17FCA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275FA3">
        <w:rPr>
          <w:rFonts w:ascii="Times New Roman" w:hAnsi="Times New Roman"/>
          <w:color w:val="000000"/>
          <w:sz w:val="24"/>
          <w:szCs w:val="24"/>
        </w:rPr>
        <w:t>other than</w:t>
      </w:r>
      <w:r w:rsidR="00904E01" w:rsidRPr="00275FA3">
        <w:rPr>
          <w:rFonts w:ascii="Times New Roman" w:hAnsi="Times New Roman"/>
          <w:color w:val="000000"/>
          <w:sz w:val="24"/>
          <w:szCs w:val="24"/>
        </w:rPr>
        <w:t xml:space="preserve"> an agreement betw</w:t>
      </w:r>
      <w:r w:rsidR="0091238A" w:rsidRPr="00275FA3">
        <w:rPr>
          <w:rFonts w:ascii="Times New Roman" w:hAnsi="Times New Roman"/>
          <w:color w:val="000000"/>
          <w:sz w:val="24"/>
          <w:szCs w:val="24"/>
        </w:rPr>
        <w:t>een carriers</w:t>
      </w:r>
    </w:p>
    <w:p w:rsidR="0005021E" w:rsidRPr="00275FA3" w:rsidRDefault="00F97C30" w:rsidP="00B17FCA">
      <w:pPr>
        <w:pStyle w:val="R1"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>substitute</w:t>
      </w:r>
    </w:p>
    <w:p w:rsidR="0005021E" w:rsidRPr="00275FA3" w:rsidRDefault="00B17FCA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 xml:space="preserve"> </w:t>
      </w:r>
      <w:r w:rsidR="0091238A" w:rsidRPr="00275FA3">
        <w:rPr>
          <w:rFonts w:ascii="Times New Roman" w:hAnsi="Times New Roman"/>
          <w:sz w:val="24"/>
          <w:szCs w:val="24"/>
        </w:rPr>
        <w:t xml:space="preserve">other than </w:t>
      </w:r>
      <w:r w:rsidR="007A048A" w:rsidRPr="00275FA3">
        <w:rPr>
          <w:rFonts w:ascii="Times New Roman" w:hAnsi="Times New Roman"/>
          <w:sz w:val="24"/>
          <w:szCs w:val="24"/>
        </w:rPr>
        <w:t xml:space="preserve">a Roaming </w:t>
      </w:r>
      <w:r w:rsidR="008F2C39" w:rsidRPr="00275FA3">
        <w:rPr>
          <w:rFonts w:ascii="Times New Roman" w:hAnsi="Times New Roman"/>
          <w:sz w:val="24"/>
          <w:szCs w:val="24"/>
        </w:rPr>
        <w:t xml:space="preserve">Services </w:t>
      </w:r>
      <w:r w:rsidR="007A048A" w:rsidRPr="00275FA3">
        <w:rPr>
          <w:rFonts w:ascii="Times New Roman" w:hAnsi="Times New Roman"/>
          <w:sz w:val="24"/>
          <w:szCs w:val="24"/>
        </w:rPr>
        <w:t>Agreement or</w:t>
      </w:r>
      <w:r w:rsidR="0091238A" w:rsidRPr="00275FA3">
        <w:rPr>
          <w:rFonts w:ascii="Times New Roman" w:hAnsi="Times New Roman"/>
          <w:sz w:val="24"/>
          <w:szCs w:val="24"/>
        </w:rPr>
        <w:t xml:space="preserve"> an agreement between carriers</w:t>
      </w:r>
    </w:p>
    <w:p w:rsidR="00376963" w:rsidRPr="00275FA3" w:rsidRDefault="00376963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sz w:val="24"/>
          <w:szCs w:val="24"/>
        </w:rPr>
      </w:pPr>
    </w:p>
    <w:p w:rsidR="00376963" w:rsidRPr="00275FA3" w:rsidRDefault="00376963" w:rsidP="00376963">
      <w:pPr>
        <w:pStyle w:val="NoteBody2"/>
        <w:keepNext/>
        <w:keepLines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</w:t>
      </w:r>
      <w:r w:rsidR="006A3C23" w:rsidRPr="00275FA3">
        <w:rPr>
          <w:rFonts w:ascii="Times New Roman" w:hAnsi="Times New Roman" w:cs="Times New Roman"/>
          <w:b/>
          <w:color w:val="000000"/>
          <w:sz w:val="24"/>
          <w:szCs w:val="24"/>
        </w:rPr>
        <w:t>ubs</w:t>
      </w: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ection 3(1), after definition of </w:t>
      </w:r>
      <w:r w:rsidRPr="00275FA3">
        <w:rPr>
          <w:rFonts w:ascii="Times New Roman" w:hAnsi="Times New Roman" w:cs="Times New Roman"/>
          <w:b/>
          <w:i/>
          <w:color w:val="000000"/>
          <w:sz w:val="24"/>
          <w:szCs w:val="24"/>
        </w:rPr>
        <w:t>relevant agreement</w:t>
      </w:r>
    </w:p>
    <w:p w:rsidR="00376963" w:rsidRPr="00275FA3" w:rsidRDefault="00376963" w:rsidP="00376963">
      <w:pPr>
        <w:pStyle w:val="R1"/>
        <w:keepNext/>
        <w:keepLines/>
        <w:tabs>
          <w:tab w:val="left" w:pos="851"/>
        </w:tabs>
        <w:spacing w:before="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376963" w:rsidRPr="00275FA3" w:rsidRDefault="00376963" w:rsidP="00376963">
      <w:pPr>
        <w:pStyle w:val="R1"/>
        <w:keepNext/>
        <w:keepLines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>insert</w:t>
      </w:r>
    </w:p>
    <w:p w:rsidR="00376963" w:rsidRPr="00275FA3" w:rsidRDefault="00376963" w:rsidP="00376963">
      <w:pPr>
        <w:pStyle w:val="P1"/>
        <w:keepNext/>
        <w:keepLines/>
        <w:tabs>
          <w:tab w:val="clear" w:pos="1080"/>
          <w:tab w:val="right" w:pos="567"/>
        </w:tabs>
        <w:spacing w:before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b/>
          <w:i/>
          <w:sz w:val="24"/>
          <w:szCs w:val="24"/>
        </w:rPr>
        <w:t>Roaming Services Agreement</w:t>
      </w:r>
      <w:r w:rsidRPr="00275FA3">
        <w:rPr>
          <w:rFonts w:ascii="Times New Roman" w:hAnsi="Times New Roman"/>
          <w:sz w:val="24"/>
          <w:szCs w:val="24"/>
        </w:rPr>
        <w:t xml:space="preserve"> means an agreement between carriers for the principal purpose of enabling end-users of public mobile telecommunications services supplied by one carrier to use public mobile telecommunications services supplied by another carrier, in geographic locations where the first-mentioned carrier’s public mobile telecommunications services are not available.  </w:t>
      </w:r>
    </w:p>
    <w:p w:rsidR="00376963" w:rsidRPr="00275FA3" w:rsidRDefault="00376963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sz w:val="24"/>
          <w:szCs w:val="24"/>
        </w:rPr>
      </w:pPr>
    </w:p>
    <w:p w:rsidR="006A3C23" w:rsidRPr="00275FA3" w:rsidRDefault="006A3C23" w:rsidP="006A3C23">
      <w:pPr>
        <w:pStyle w:val="NoteBody2"/>
        <w:keepNext/>
        <w:keepLines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FA3">
        <w:rPr>
          <w:rFonts w:ascii="Times New Roman" w:hAnsi="Times New Roman" w:cs="Times New Roman"/>
          <w:b/>
          <w:color w:val="000000"/>
          <w:sz w:val="24"/>
          <w:szCs w:val="24"/>
        </w:rPr>
        <w:t>Subsection 4(1), paragraphs (a) and (b)</w:t>
      </w:r>
    </w:p>
    <w:p w:rsidR="006A3C23" w:rsidRPr="00275FA3" w:rsidRDefault="006A3C23" w:rsidP="006A3C23">
      <w:pPr>
        <w:pStyle w:val="R1"/>
        <w:keepNext/>
        <w:keepLines/>
        <w:tabs>
          <w:tab w:val="left" w:pos="851"/>
        </w:tabs>
        <w:spacing w:before="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6A3C23" w:rsidRPr="00275FA3" w:rsidRDefault="006A3C23" w:rsidP="006A3C23">
      <w:pPr>
        <w:pStyle w:val="R1"/>
        <w:keepNext/>
        <w:keepLines/>
        <w:tabs>
          <w:tab w:val="left" w:pos="851"/>
        </w:tabs>
        <w:spacing w:before="0" w:after="240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275FA3">
        <w:rPr>
          <w:rFonts w:ascii="Times New Roman" w:hAnsi="Times New Roman"/>
          <w:i/>
          <w:color w:val="000000"/>
          <w:sz w:val="24"/>
          <w:szCs w:val="24"/>
        </w:rPr>
        <w:t xml:space="preserve">Omit </w:t>
      </w:r>
    </w:p>
    <w:p w:rsidR="006A3C23" w:rsidRPr="00275FA3" w:rsidRDefault="006A3C23" w:rsidP="006A3C23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  <w:ind w:left="1134" w:hanging="567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 xml:space="preserve">(a) </w:t>
      </w:r>
      <w:r w:rsidRPr="00275FA3">
        <w:rPr>
          <w:rFonts w:ascii="Times New Roman" w:hAnsi="Times New Roman"/>
          <w:sz w:val="24"/>
          <w:szCs w:val="24"/>
        </w:rPr>
        <w:tab/>
        <w:t>20MHz of spectrum available in the designated area in the frequency band 703MHz to 748MHz; and</w:t>
      </w:r>
    </w:p>
    <w:p w:rsidR="006A3C23" w:rsidRPr="00275FA3" w:rsidRDefault="006A3C23" w:rsidP="006A3C23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  <w:ind w:left="1134" w:hanging="567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>(b)</w:t>
      </w:r>
      <w:r w:rsidRPr="00275FA3">
        <w:rPr>
          <w:rFonts w:ascii="Times New Roman" w:hAnsi="Times New Roman"/>
          <w:sz w:val="24"/>
          <w:szCs w:val="24"/>
        </w:rPr>
        <w:tab/>
        <w:t>20MHz of spectrum available in the designated area in the frequency band 758MHz to 803MHz.</w:t>
      </w:r>
    </w:p>
    <w:p w:rsidR="006A3C23" w:rsidRPr="00275FA3" w:rsidRDefault="006A3C23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sz w:val="24"/>
          <w:szCs w:val="24"/>
        </w:rPr>
      </w:pPr>
    </w:p>
    <w:p w:rsidR="006A3C23" w:rsidRPr="00275FA3" w:rsidRDefault="006A3C23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i/>
          <w:sz w:val="24"/>
          <w:szCs w:val="24"/>
        </w:rPr>
      </w:pPr>
      <w:r w:rsidRPr="00275FA3">
        <w:rPr>
          <w:rFonts w:ascii="Times New Roman" w:hAnsi="Times New Roman"/>
          <w:i/>
          <w:sz w:val="24"/>
          <w:szCs w:val="24"/>
        </w:rPr>
        <w:t>Substitute</w:t>
      </w:r>
    </w:p>
    <w:p w:rsidR="006A3C23" w:rsidRPr="00275FA3" w:rsidRDefault="006A3C23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i/>
          <w:sz w:val="24"/>
          <w:szCs w:val="24"/>
        </w:rPr>
      </w:pPr>
    </w:p>
    <w:p w:rsidR="006A3C23" w:rsidRPr="00275FA3" w:rsidRDefault="006A3C23" w:rsidP="006A3C23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  <w:ind w:left="1134" w:hanging="567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 xml:space="preserve">(a) </w:t>
      </w:r>
      <w:r w:rsidRPr="00275FA3">
        <w:rPr>
          <w:rFonts w:ascii="Times New Roman" w:hAnsi="Times New Roman"/>
          <w:sz w:val="24"/>
          <w:szCs w:val="24"/>
        </w:rPr>
        <w:tab/>
        <w:t>25</w:t>
      </w:r>
      <w:r w:rsidR="00223F40" w:rsidRPr="00275FA3">
        <w:rPr>
          <w:rFonts w:ascii="Times New Roman" w:hAnsi="Times New Roman"/>
          <w:sz w:val="24"/>
          <w:szCs w:val="24"/>
        </w:rPr>
        <w:t xml:space="preserve"> </w:t>
      </w:r>
      <w:r w:rsidRPr="00275FA3">
        <w:rPr>
          <w:rFonts w:ascii="Times New Roman" w:hAnsi="Times New Roman"/>
          <w:sz w:val="24"/>
          <w:szCs w:val="24"/>
        </w:rPr>
        <w:t>MHz of spectrum available in the designated area in the frequency band 703</w:t>
      </w:r>
      <w:r w:rsidR="00223F40" w:rsidRPr="00275FA3">
        <w:rPr>
          <w:rFonts w:ascii="Times New Roman" w:hAnsi="Times New Roman"/>
          <w:sz w:val="24"/>
          <w:szCs w:val="24"/>
        </w:rPr>
        <w:t> </w:t>
      </w:r>
      <w:r w:rsidRPr="00275FA3">
        <w:rPr>
          <w:rFonts w:ascii="Times New Roman" w:hAnsi="Times New Roman"/>
          <w:sz w:val="24"/>
          <w:szCs w:val="24"/>
        </w:rPr>
        <w:t>MHz to 748</w:t>
      </w:r>
      <w:r w:rsidR="00223F40" w:rsidRPr="00275FA3">
        <w:rPr>
          <w:rFonts w:ascii="Times New Roman" w:hAnsi="Times New Roman"/>
          <w:sz w:val="24"/>
          <w:szCs w:val="24"/>
        </w:rPr>
        <w:t xml:space="preserve"> </w:t>
      </w:r>
      <w:r w:rsidRPr="00275FA3">
        <w:rPr>
          <w:rFonts w:ascii="Times New Roman" w:hAnsi="Times New Roman"/>
          <w:sz w:val="24"/>
          <w:szCs w:val="24"/>
        </w:rPr>
        <w:t>MHz; and</w:t>
      </w:r>
    </w:p>
    <w:p w:rsidR="006A3C23" w:rsidRPr="006A3C23" w:rsidRDefault="006A3C23" w:rsidP="006A3C23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  <w:ind w:left="1134" w:hanging="567"/>
        <w:rPr>
          <w:rFonts w:ascii="Times New Roman" w:hAnsi="Times New Roman"/>
          <w:sz w:val="24"/>
          <w:szCs w:val="24"/>
        </w:rPr>
      </w:pPr>
      <w:r w:rsidRPr="00275FA3">
        <w:rPr>
          <w:rFonts w:ascii="Times New Roman" w:hAnsi="Times New Roman"/>
          <w:sz w:val="24"/>
          <w:szCs w:val="24"/>
        </w:rPr>
        <w:t>(b)</w:t>
      </w:r>
      <w:r w:rsidRPr="00275FA3">
        <w:rPr>
          <w:rFonts w:ascii="Times New Roman" w:hAnsi="Times New Roman"/>
          <w:sz w:val="24"/>
          <w:szCs w:val="24"/>
        </w:rPr>
        <w:tab/>
        <w:t>25</w:t>
      </w:r>
      <w:r w:rsidR="00223F40" w:rsidRPr="00275FA3">
        <w:rPr>
          <w:rFonts w:ascii="Times New Roman" w:hAnsi="Times New Roman"/>
          <w:sz w:val="24"/>
          <w:szCs w:val="24"/>
        </w:rPr>
        <w:t xml:space="preserve"> </w:t>
      </w:r>
      <w:r w:rsidRPr="00275FA3">
        <w:rPr>
          <w:rFonts w:ascii="Times New Roman" w:hAnsi="Times New Roman"/>
          <w:sz w:val="24"/>
          <w:szCs w:val="24"/>
        </w:rPr>
        <w:t>MHz of spectrum available in the designated area in the frequency band 758</w:t>
      </w:r>
      <w:r w:rsidR="00223F40" w:rsidRPr="00275FA3">
        <w:rPr>
          <w:rFonts w:ascii="Times New Roman" w:hAnsi="Times New Roman"/>
          <w:sz w:val="24"/>
          <w:szCs w:val="24"/>
        </w:rPr>
        <w:t> </w:t>
      </w:r>
      <w:r w:rsidRPr="00275FA3">
        <w:rPr>
          <w:rFonts w:ascii="Times New Roman" w:hAnsi="Times New Roman"/>
          <w:sz w:val="24"/>
          <w:szCs w:val="24"/>
        </w:rPr>
        <w:t>MHz to 803</w:t>
      </w:r>
      <w:r w:rsidR="00223F40" w:rsidRPr="00275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FA3">
        <w:rPr>
          <w:rFonts w:ascii="Times New Roman" w:hAnsi="Times New Roman"/>
          <w:sz w:val="24"/>
          <w:szCs w:val="24"/>
        </w:rPr>
        <w:t>MHz.</w:t>
      </w:r>
      <w:proofErr w:type="spellEnd"/>
    </w:p>
    <w:p w:rsidR="006A3C23" w:rsidRPr="006A3C23" w:rsidRDefault="006A3C23" w:rsidP="007A048A">
      <w:pPr>
        <w:pStyle w:val="P1"/>
        <w:spacing w:before="0" w:line="240" w:lineRule="auto"/>
        <w:ind w:left="1701" w:hanging="1134"/>
        <w:jc w:val="left"/>
        <w:rPr>
          <w:rFonts w:ascii="Times New Roman" w:hAnsi="Times New Roman"/>
          <w:i/>
          <w:sz w:val="24"/>
          <w:szCs w:val="24"/>
        </w:rPr>
      </w:pPr>
    </w:p>
    <w:sectPr w:rsidR="006A3C23" w:rsidRPr="006A3C23" w:rsidSect="00A127EF">
      <w:footerReference w:type="default" r:id="rId11"/>
      <w:type w:val="continuous"/>
      <w:pgSz w:w="11901" w:h="16840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73" w:rsidRDefault="00E61973" w:rsidP="00794EB0">
      <w:r>
        <w:separator/>
      </w:r>
    </w:p>
  </w:endnote>
  <w:endnote w:type="continuationSeparator" w:id="0">
    <w:p w:rsidR="00E61973" w:rsidRDefault="00E61973" w:rsidP="0079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8A" w:rsidRPr="00BB56FD" w:rsidRDefault="0065557B">
    <w:pPr>
      <w:pStyle w:val="Footer"/>
      <w:jc w:val="center"/>
      <w:rPr>
        <w:rFonts w:ascii="Times New Roman" w:hAnsi="Times New Roman"/>
        <w:sz w:val="24"/>
        <w:szCs w:val="24"/>
      </w:rPr>
    </w:pPr>
    <w:r w:rsidRPr="00BB56FD">
      <w:rPr>
        <w:rFonts w:ascii="Times New Roman" w:hAnsi="Times New Roman"/>
        <w:sz w:val="24"/>
        <w:szCs w:val="24"/>
      </w:rPr>
      <w:fldChar w:fldCharType="begin"/>
    </w:r>
    <w:r w:rsidR="0091238A" w:rsidRPr="00BB56FD">
      <w:rPr>
        <w:rFonts w:ascii="Times New Roman" w:hAnsi="Times New Roman"/>
        <w:sz w:val="24"/>
        <w:szCs w:val="24"/>
      </w:rPr>
      <w:instrText xml:space="preserve"> PAGE   \* MERGEFORMAT </w:instrText>
    </w:r>
    <w:r w:rsidRPr="00BB56FD">
      <w:rPr>
        <w:rFonts w:ascii="Times New Roman" w:hAnsi="Times New Roman"/>
        <w:sz w:val="24"/>
        <w:szCs w:val="24"/>
      </w:rPr>
      <w:fldChar w:fldCharType="separate"/>
    </w:r>
    <w:r w:rsidR="00275FA3">
      <w:rPr>
        <w:rFonts w:ascii="Times New Roman" w:hAnsi="Times New Roman"/>
        <w:noProof/>
        <w:sz w:val="24"/>
        <w:szCs w:val="24"/>
      </w:rPr>
      <w:t>3</w:t>
    </w:r>
    <w:r w:rsidRPr="00BB56FD">
      <w:rPr>
        <w:rFonts w:ascii="Times New Roman" w:hAnsi="Times New Roman"/>
        <w:sz w:val="24"/>
        <w:szCs w:val="24"/>
      </w:rPr>
      <w:fldChar w:fldCharType="end"/>
    </w:r>
  </w:p>
  <w:p w:rsidR="0091238A" w:rsidRDefault="009123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73" w:rsidRDefault="00E61973" w:rsidP="00794EB0">
      <w:r>
        <w:separator/>
      </w:r>
    </w:p>
  </w:footnote>
  <w:footnote w:type="continuationSeparator" w:id="0">
    <w:p w:rsidR="00E61973" w:rsidRDefault="00E61973" w:rsidP="0079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BB"/>
    <w:multiLevelType w:val="hybridMultilevel"/>
    <w:tmpl w:val="CE286C66"/>
    <w:lvl w:ilvl="0" w:tplc="C39E06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B5E6E"/>
    <w:multiLevelType w:val="hybridMultilevel"/>
    <w:tmpl w:val="0F28E57A"/>
    <w:lvl w:ilvl="0" w:tplc="A880CAAE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DFB"/>
    <w:multiLevelType w:val="hybridMultilevel"/>
    <w:tmpl w:val="97EEF8F8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E7EE2D76">
      <w:start w:val="1"/>
      <w:numFmt w:val="lowerRoman"/>
      <w:lvlText w:val="(%3)"/>
      <w:lvlJc w:val="right"/>
      <w:pPr>
        <w:ind w:left="2520" w:hanging="180"/>
      </w:pPr>
      <w:rPr>
        <w:rFonts w:ascii="Times" w:eastAsia="Times New Roman" w:hAnsi="Times"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62A0F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95C26"/>
    <w:multiLevelType w:val="hybridMultilevel"/>
    <w:tmpl w:val="C296A6F8"/>
    <w:lvl w:ilvl="0" w:tplc="77C2D8C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E5068"/>
    <w:multiLevelType w:val="hybridMultilevel"/>
    <w:tmpl w:val="1338876C"/>
    <w:lvl w:ilvl="0" w:tplc="B0BEF78A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A1336"/>
    <w:multiLevelType w:val="hybridMultilevel"/>
    <w:tmpl w:val="42787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B7D9F"/>
    <w:multiLevelType w:val="hybridMultilevel"/>
    <w:tmpl w:val="3E4EA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87E6D"/>
    <w:multiLevelType w:val="hybridMultilevel"/>
    <w:tmpl w:val="EF68FEB4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F4BB9"/>
    <w:multiLevelType w:val="hybridMultilevel"/>
    <w:tmpl w:val="8654B9CE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23099"/>
    <w:multiLevelType w:val="hybridMultilevel"/>
    <w:tmpl w:val="1EE23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5496B"/>
    <w:multiLevelType w:val="hybridMultilevel"/>
    <w:tmpl w:val="91563922"/>
    <w:lvl w:ilvl="0" w:tplc="E7EE2D76">
      <w:start w:val="1"/>
      <w:numFmt w:val="lowerRoman"/>
      <w:lvlText w:val="(%1)"/>
      <w:lvlJc w:val="right"/>
      <w:pPr>
        <w:ind w:left="2520" w:hanging="180"/>
      </w:pPr>
      <w:rPr>
        <w:rFonts w:ascii="Times" w:eastAsia="Times New Roman" w:hAnsi="Times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E01DA"/>
    <w:multiLevelType w:val="hybridMultilevel"/>
    <w:tmpl w:val="5630D6C0"/>
    <w:lvl w:ilvl="0" w:tplc="411AE9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D76978"/>
    <w:multiLevelType w:val="hybridMultilevel"/>
    <w:tmpl w:val="582E7604"/>
    <w:lvl w:ilvl="0" w:tplc="D6422A4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E1F4107"/>
    <w:multiLevelType w:val="hybridMultilevel"/>
    <w:tmpl w:val="1DA82920"/>
    <w:lvl w:ilvl="0" w:tplc="08503776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03CA9"/>
    <w:multiLevelType w:val="singleLevel"/>
    <w:tmpl w:val="B3344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F"/>
    <w:rsid w:val="000005E9"/>
    <w:rsid w:val="00002015"/>
    <w:rsid w:val="000039C5"/>
    <w:rsid w:val="00005E9A"/>
    <w:rsid w:val="000137D4"/>
    <w:rsid w:val="00022DB4"/>
    <w:rsid w:val="000247D2"/>
    <w:rsid w:val="000254A0"/>
    <w:rsid w:val="00034FB0"/>
    <w:rsid w:val="000355F1"/>
    <w:rsid w:val="0004062C"/>
    <w:rsid w:val="00046C56"/>
    <w:rsid w:val="0004738E"/>
    <w:rsid w:val="0005021E"/>
    <w:rsid w:val="00052998"/>
    <w:rsid w:val="00052B39"/>
    <w:rsid w:val="00054F7B"/>
    <w:rsid w:val="000557BB"/>
    <w:rsid w:val="00061909"/>
    <w:rsid w:val="000717BF"/>
    <w:rsid w:val="000725D5"/>
    <w:rsid w:val="00076563"/>
    <w:rsid w:val="00080366"/>
    <w:rsid w:val="000A5792"/>
    <w:rsid w:val="000A6A48"/>
    <w:rsid w:val="000C70DB"/>
    <w:rsid w:val="000D7FFD"/>
    <w:rsid w:val="000E0921"/>
    <w:rsid w:val="000F428F"/>
    <w:rsid w:val="000F5608"/>
    <w:rsid w:val="001104A4"/>
    <w:rsid w:val="00113C1C"/>
    <w:rsid w:val="00130137"/>
    <w:rsid w:val="001523B2"/>
    <w:rsid w:val="001546EF"/>
    <w:rsid w:val="0016509B"/>
    <w:rsid w:val="00170CCB"/>
    <w:rsid w:val="001976D5"/>
    <w:rsid w:val="001A289A"/>
    <w:rsid w:val="001A6BD0"/>
    <w:rsid w:val="001B64F0"/>
    <w:rsid w:val="001C0E4E"/>
    <w:rsid w:val="001E5BBB"/>
    <w:rsid w:val="001E666A"/>
    <w:rsid w:val="001F2CEA"/>
    <w:rsid w:val="00201FE7"/>
    <w:rsid w:val="00212F26"/>
    <w:rsid w:val="00223F40"/>
    <w:rsid w:val="002306AD"/>
    <w:rsid w:val="00243889"/>
    <w:rsid w:val="002450B8"/>
    <w:rsid w:val="00252EC8"/>
    <w:rsid w:val="00255F35"/>
    <w:rsid w:val="00263136"/>
    <w:rsid w:val="002634CB"/>
    <w:rsid w:val="002679F5"/>
    <w:rsid w:val="00275030"/>
    <w:rsid w:val="00275FA3"/>
    <w:rsid w:val="00282262"/>
    <w:rsid w:val="00284FC6"/>
    <w:rsid w:val="00292E9A"/>
    <w:rsid w:val="0029366E"/>
    <w:rsid w:val="00297948"/>
    <w:rsid w:val="002A64C8"/>
    <w:rsid w:val="002A7487"/>
    <w:rsid w:val="002B6F7B"/>
    <w:rsid w:val="002B70CB"/>
    <w:rsid w:val="002C428A"/>
    <w:rsid w:val="002D1ADA"/>
    <w:rsid w:val="002E0047"/>
    <w:rsid w:val="002E3C2B"/>
    <w:rsid w:val="002F5AAA"/>
    <w:rsid w:val="003008B7"/>
    <w:rsid w:val="00302FBA"/>
    <w:rsid w:val="003076B4"/>
    <w:rsid w:val="00307911"/>
    <w:rsid w:val="003106B3"/>
    <w:rsid w:val="003130A3"/>
    <w:rsid w:val="00316E4F"/>
    <w:rsid w:val="00326B24"/>
    <w:rsid w:val="00351648"/>
    <w:rsid w:val="00360144"/>
    <w:rsid w:val="00376963"/>
    <w:rsid w:val="00377CE7"/>
    <w:rsid w:val="00381DDA"/>
    <w:rsid w:val="003850E3"/>
    <w:rsid w:val="00385C3F"/>
    <w:rsid w:val="003A2013"/>
    <w:rsid w:val="003A3E00"/>
    <w:rsid w:val="003A703F"/>
    <w:rsid w:val="003B10B0"/>
    <w:rsid w:val="003C1F35"/>
    <w:rsid w:val="003D2E07"/>
    <w:rsid w:val="003D69C5"/>
    <w:rsid w:val="003E1C61"/>
    <w:rsid w:val="003F2E77"/>
    <w:rsid w:val="003F5981"/>
    <w:rsid w:val="00403064"/>
    <w:rsid w:val="00403688"/>
    <w:rsid w:val="004040ED"/>
    <w:rsid w:val="004052CF"/>
    <w:rsid w:val="004062DE"/>
    <w:rsid w:val="00406797"/>
    <w:rsid w:val="00406DD5"/>
    <w:rsid w:val="00411FF5"/>
    <w:rsid w:val="00425284"/>
    <w:rsid w:val="00427211"/>
    <w:rsid w:val="0042749E"/>
    <w:rsid w:val="00437B69"/>
    <w:rsid w:val="004414E0"/>
    <w:rsid w:val="00456287"/>
    <w:rsid w:val="00457903"/>
    <w:rsid w:val="004628B6"/>
    <w:rsid w:val="00465130"/>
    <w:rsid w:val="00465772"/>
    <w:rsid w:val="004808AD"/>
    <w:rsid w:val="004976B3"/>
    <w:rsid w:val="004A59B8"/>
    <w:rsid w:val="004B1570"/>
    <w:rsid w:val="004C2EC4"/>
    <w:rsid w:val="004C5C18"/>
    <w:rsid w:val="004C74F4"/>
    <w:rsid w:val="004D3669"/>
    <w:rsid w:val="004D6FA6"/>
    <w:rsid w:val="004E42C0"/>
    <w:rsid w:val="004F21CD"/>
    <w:rsid w:val="00506316"/>
    <w:rsid w:val="00516032"/>
    <w:rsid w:val="00520C26"/>
    <w:rsid w:val="00524516"/>
    <w:rsid w:val="0053144A"/>
    <w:rsid w:val="00535290"/>
    <w:rsid w:val="00540DA9"/>
    <w:rsid w:val="00564C12"/>
    <w:rsid w:val="005678A7"/>
    <w:rsid w:val="00567E4F"/>
    <w:rsid w:val="00577F3E"/>
    <w:rsid w:val="00582C74"/>
    <w:rsid w:val="00584554"/>
    <w:rsid w:val="0058618E"/>
    <w:rsid w:val="005879CF"/>
    <w:rsid w:val="005C610D"/>
    <w:rsid w:val="005D5531"/>
    <w:rsid w:val="005E1CF8"/>
    <w:rsid w:val="005E1D2E"/>
    <w:rsid w:val="005E6C92"/>
    <w:rsid w:val="005F3C93"/>
    <w:rsid w:val="00604BC5"/>
    <w:rsid w:val="00610784"/>
    <w:rsid w:val="0061378A"/>
    <w:rsid w:val="006258A2"/>
    <w:rsid w:val="006263B9"/>
    <w:rsid w:val="00630BA7"/>
    <w:rsid w:val="00631DF5"/>
    <w:rsid w:val="006379E8"/>
    <w:rsid w:val="00651B5A"/>
    <w:rsid w:val="00654A04"/>
    <w:rsid w:val="0065557B"/>
    <w:rsid w:val="00656802"/>
    <w:rsid w:val="00657600"/>
    <w:rsid w:val="00666B9B"/>
    <w:rsid w:val="00672C3E"/>
    <w:rsid w:val="00673399"/>
    <w:rsid w:val="0067692A"/>
    <w:rsid w:val="00694710"/>
    <w:rsid w:val="00694714"/>
    <w:rsid w:val="00697F82"/>
    <w:rsid w:val="006A3C23"/>
    <w:rsid w:val="006A438E"/>
    <w:rsid w:val="006B1E6C"/>
    <w:rsid w:val="006B3059"/>
    <w:rsid w:val="006B6167"/>
    <w:rsid w:val="006B764B"/>
    <w:rsid w:val="006C327D"/>
    <w:rsid w:val="006C3FFD"/>
    <w:rsid w:val="006C5549"/>
    <w:rsid w:val="006E1F2A"/>
    <w:rsid w:val="006E2293"/>
    <w:rsid w:val="006F0354"/>
    <w:rsid w:val="00703EFB"/>
    <w:rsid w:val="007262D7"/>
    <w:rsid w:val="00740EAA"/>
    <w:rsid w:val="00771FE8"/>
    <w:rsid w:val="00781BE2"/>
    <w:rsid w:val="00783E05"/>
    <w:rsid w:val="007906F0"/>
    <w:rsid w:val="00794EB0"/>
    <w:rsid w:val="007A048A"/>
    <w:rsid w:val="007A14A5"/>
    <w:rsid w:val="007A6404"/>
    <w:rsid w:val="007B350C"/>
    <w:rsid w:val="007B7874"/>
    <w:rsid w:val="007C2DFD"/>
    <w:rsid w:val="007E65AB"/>
    <w:rsid w:val="00810AAF"/>
    <w:rsid w:val="00835759"/>
    <w:rsid w:val="008547B8"/>
    <w:rsid w:val="00872D6E"/>
    <w:rsid w:val="00882210"/>
    <w:rsid w:val="008822B1"/>
    <w:rsid w:val="00897EBC"/>
    <w:rsid w:val="008A3716"/>
    <w:rsid w:val="008A596F"/>
    <w:rsid w:val="008A79C2"/>
    <w:rsid w:val="008C75E9"/>
    <w:rsid w:val="008D08E3"/>
    <w:rsid w:val="008D7971"/>
    <w:rsid w:val="008E03C6"/>
    <w:rsid w:val="008F2C39"/>
    <w:rsid w:val="008F7D8A"/>
    <w:rsid w:val="00904296"/>
    <w:rsid w:val="00904E01"/>
    <w:rsid w:val="00910442"/>
    <w:rsid w:val="0091238A"/>
    <w:rsid w:val="00913F61"/>
    <w:rsid w:val="00925EE2"/>
    <w:rsid w:val="0093420A"/>
    <w:rsid w:val="00937EE9"/>
    <w:rsid w:val="009405AD"/>
    <w:rsid w:val="00941B12"/>
    <w:rsid w:val="009427FF"/>
    <w:rsid w:val="009555E5"/>
    <w:rsid w:val="009578C1"/>
    <w:rsid w:val="00963D28"/>
    <w:rsid w:val="00965579"/>
    <w:rsid w:val="0096597D"/>
    <w:rsid w:val="00966481"/>
    <w:rsid w:val="00967B24"/>
    <w:rsid w:val="00973981"/>
    <w:rsid w:val="009766ED"/>
    <w:rsid w:val="009807E2"/>
    <w:rsid w:val="009817D7"/>
    <w:rsid w:val="00995622"/>
    <w:rsid w:val="009A1D2B"/>
    <w:rsid w:val="009B5803"/>
    <w:rsid w:val="009C2611"/>
    <w:rsid w:val="009D5A09"/>
    <w:rsid w:val="009F134E"/>
    <w:rsid w:val="009F6B64"/>
    <w:rsid w:val="009F7DE0"/>
    <w:rsid w:val="00A00068"/>
    <w:rsid w:val="00A014B9"/>
    <w:rsid w:val="00A127EF"/>
    <w:rsid w:val="00A43CD1"/>
    <w:rsid w:val="00A53993"/>
    <w:rsid w:val="00A614D6"/>
    <w:rsid w:val="00A638E1"/>
    <w:rsid w:val="00A7435A"/>
    <w:rsid w:val="00A8065A"/>
    <w:rsid w:val="00A91038"/>
    <w:rsid w:val="00AA43A3"/>
    <w:rsid w:val="00AB5EC0"/>
    <w:rsid w:val="00AC443C"/>
    <w:rsid w:val="00AD1CB2"/>
    <w:rsid w:val="00AD3E36"/>
    <w:rsid w:val="00AD67DE"/>
    <w:rsid w:val="00AE040F"/>
    <w:rsid w:val="00AE102A"/>
    <w:rsid w:val="00B17FCA"/>
    <w:rsid w:val="00B346AD"/>
    <w:rsid w:val="00B45C59"/>
    <w:rsid w:val="00B4630D"/>
    <w:rsid w:val="00B63D68"/>
    <w:rsid w:val="00B667F6"/>
    <w:rsid w:val="00B7550E"/>
    <w:rsid w:val="00B80DBA"/>
    <w:rsid w:val="00B9171D"/>
    <w:rsid w:val="00BA3DA6"/>
    <w:rsid w:val="00BB1BB0"/>
    <w:rsid w:val="00BB2E3E"/>
    <w:rsid w:val="00BC0BE4"/>
    <w:rsid w:val="00BE52BD"/>
    <w:rsid w:val="00BF42A4"/>
    <w:rsid w:val="00BF6787"/>
    <w:rsid w:val="00C1775F"/>
    <w:rsid w:val="00C33DA0"/>
    <w:rsid w:val="00C35A0D"/>
    <w:rsid w:val="00C532AC"/>
    <w:rsid w:val="00C54AB5"/>
    <w:rsid w:val="00C54D3E"/>
    <w:rsid w:val="00C55FFC"/>
    <w:rsid w:val="00C57F03"/>
    <w:rsid w:val="00C659AE"/>
    <w:rsid w:val="00C73885"/>
    <w:rsid w:val="00C7392B"/>
    <w:rsid w:val="00C7563B"/>
    <w:rsid w:val="00C7697D"/>
    <w:rsid w:val="00C83B2B"/>
    <w:rsid w:val="00C9107C"/>
    <w:rsid w:val="00CB392D"/>
    <w:rsid w:val="00CC234B"/>
    <w:rsid w:val="00CC4CDC"/>
    <w:rsid w:val="00CC5007"/>
    <w:rsid w:val="00CE168F"/>
    <w:rsid w:val="00CE7E59"/>
    <w:rsid w:val="00CF2BB2"/>
    <w:rsid w:val="00CF5D95"/>
    <w:rsid w:val="00D07735"/>
    <w:rsid w:val="00D1130F"/>
    <w:rsid w:val="00D354B9"/>
    <w:rsid w:val="00D3715E"/>
    <w:rsid w:val="00D3756F"/>
    <w:rsid w:val="00D42195"/>
    <w:rsid w:val="00D42919"/>
    <w:rsid w:val="00D42CE2"/>
    <w:rsid w:val="00D5613E"/>
    <w:rsid w:val="00D86AE1"/>
    <w:rsid w:val="00D91D5B"/>
    <w:rsid w:val="00D93ECA"/>
    <w:rsid w:val="00DA07CA"/>
    <w:rsid w:val="00DA0F5A"/>
    <w:rsid w:val="00DB652E"/>
    <w:rsid w:val="00DB6DAE"/>
    <w:rsid w:val="00DB7878"/>
    <w:rsid w:val="00DC7416"/>
    <w:rsid w:val="00DD1E11"/>
    <w:rsid w:val="00DD50CA"/>
    <w:rsid w:val="00DD63FF"/>
    <w:rsid w:val="00DE18C8"/>
    <w:rsid w:val="00DE4192"/>
    <w:rsid w:val="00E023A4"/>
    <w:rsid w:val="00E05011"/>
    <w:rsid w:val="00E21767"/>
    <w:rsid w:val="00E24C81"/>
    <w:rsid w:val="00E25A5E"/>
    <w:rsid w:val="00E26398"/>
    <w:rsid w:val="00E26E5B"/>
    <w:rsid w:val="00E26F60"/>
    <w:rsid w:val="00E31F22"/>
    <w:rsid w:val="00E61973"/>
    <w:rsid w:val="00E71908"/>
    <w:rsid w:val="00E80FE8"/>
    <w:rsid w:val="00E84FF1"/>
    <w:rsid w:val="00E91FB4"/>
    <w:rsid w:val="00EA2CFA"/>
    <w:rsid w:val="00EB0947"/>
    <w:rsid w:val="00EC17B5"/>
    <w:rsid w:val="00EC6B97"/>
    <w:rsid w:val="00ED7176"/>
    <w:rsid w:val="00EF1222"/>
    <w:rsid w:val="00EF2903"/>
    <w:rsid w:val="00F001AA"/>
    <w:rsid w:val="00F10645"/>
    <w:rsid w:val="00F21986"/>
    <w:rsid w:val="00F23384"/>
    <w:rsid w:val="00F43710"/>
    <w:rsid w:val="00F53664"/>
    <w:rsid w:val="00F56A06"/>
    <w:rsid w:val="00F60265"/>
    <w:rsid w:val="00F628F7"/>
    <w:rsid w:val="00F64217"/>
    <w:rsid w:val="00F733A3"/>
    <w:rsid w:val="00F87D51"/>
    <w:rsid w:val="00F94B6C"/>
    <w:rsid w:val="00F97C30"/>
    <w:rsid w:val="00FA0234"/>
    <w:rsid w:val="00FA194F"/>
    <w:rsid w:val="00FD06E1"/>
    <w:rsid w:val="00FD3343"/>
    <w:rsid w:val="00FE5571"/>
    <w:rsid w:val="00FF0630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FF"/>
    <w:pPr>
      <w:spacing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DD63FF"/>
    <w:pPr>
      <w:tabs>
        <w:tab w:val="center" w:pos="3600"/>
        <w:tab w:val="right" w:pos="7200"/>
      </w:tabs>
      <w:spacing w:after="0" w:line="240" w:lineRule="auto"/>
      <w:jc w:val="both"/>
    </w:pPr>
    <w:rPr>
      <w:rFonts w:ascii="Helvetica" w:eastAsia="Times New Roman" w:hAnsi="Helvetica" w:cs="Times New Roman"/>
      <w:sz w:val="12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63FF"/>
    <w:rPr>
      <w:rFonts w:ascii="Helvetica" w:eastAsia="Times New Roman" w:hAnsi="Helvetica" w:cs="Times New Roman"/>
      <w:sz w:val="12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DD63FF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Normal"/>
    <w:next w:val="P1"/>
    <w:rsid w:val="00DD63FF"/>
    <w:pPr>
      <w:tabs>
        <w:tab w:val="right" w:pos="1080"/>
        <w:tab w:val="left" w:pos="1260"/>
        <w:tab w:val="left" w:pos="1800"/>
      </w:tabs>
      <w:spacing w:before="120"/>
    </w:pPr>
  </w:style>
  <w:style w:type="paragraph" w:customStyle="1" w:styleId="P1">
    <w:name w:val="P1"/>
    <w:aliases w:val="(a)"/>
    <w:basedOn w:val="Normal"/>
    <w:rsid w:val="00DD63FF"/>
    <w:pPr>
      <w:tabs>
        <w:tab w:val="right" w:pos="1080"/>
      </w:tabs>
      <w:spacing w:before="40" w:line="260" w:lineRule="atLeast"/>
      <w:ind w:left="1276" w:hanging="1280"/>
    </w:pPr>
  </w:style>
  <w:style w:type="paragraph" w:customStyle="1" w:styleId="R2">
    <w:name w:val="R2"/>
    <w:aliases w:val="(2)"/>
    <w:basedOn w:val="R1"/>
    <w:next w:val="P1"/>
    <w:rsid w:val="00DD63FF"/>
    <w:pPr>
      <w:spacing w:before="240"/>
    </w:pPr>
  </w:style>
  <w:style w:type="paragraph" w:styleId="Title">
    <w:name w:val="Title"/>
    <w:basedOn w:val="Normal"/>
    <w:next w:val="Normal"/>
    <w:link w:val="TitleChar"/>
    <w:qFormat/>
    <w:rsid w:val="00DD63FF"/>
    <w:pPr>
      <w:spacing w:before="48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D63FF"/>
    <w:rPr>
      <w:rFonts w:ascii="Times" w:eastAsia="Times New Roman" w:hAnsi="Times" w:cs="Times New Roman"/>
      <w:b/>
      <w:sz w:val="36"/>
      <w:szCs w:val="20"/>
      <w:lang w:eastAsia="en-AU"/>
    </w:rPr>
  </w:style>
  <w:style w:type="paragraph" w:customStyle="1" w:styleId="HP">
    <w:name w:val="HP"/>
    <w:aliases w:val="Part Heading"/>
    <w:basedOn w:val="Normal"/>
    <w:next w:val="Normal"/>
    <w:rsid w:val="00DD63FF"/>
    <w:pPr>
      <w:keepNext/>
      <w:spacing w:before="480"/>
      <w:jc w:val="center"/>
    </w:pPr>
    <w:rPr>
      <w:b/>
    </w:rPr>
  </w:style>
  <w:style w:type="paragraph" w:customStyle="1" w:styleId="definition">
    <w:name w:val="definition"/>
    <w:basedOn w:val="Normal"/>
    <w:rsid w:val="00DD63FF"/>
    <w:pPr>
      <w:tabs>
        <w:tab w:val="right" w:pos="1080"/>
        <w:tab w:val="left" w:pos="1260"/>
        <w:tab w:val="left" w:pos="1800"/>
      </w:tabs>
      <w:spacing w:before="40"/>
    </w:pPr>
  </w:style>
  <w:style w:type="paragraph" w:customStyle="1" w:styleId="TextWOutChapSectionBreak">
    <w:name w:val="TextW/OutChapSectionBreak"/>
    <w:basedOn w:val="Normal"/>
    <w:next w:val="Normal"/>
    <w:rsid w:val="00DD63FF"/>
    <w:pPr>
      <w:jc w:val="center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F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02"/>
    <w:rPr>
      <w:rFonts w:ascii="Times" w:eastAsia="Times New Roman" w:hAnsi="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02"/>
    <w:rPr>
      <w:rFonts w:ascii="Times" w:eastAsia="Times New Roman" w:hAnsi="Times" w:cs="Times New Roman"/>
      <w:b/>
      <w:bCs/>
      <w:sz w:val="20"/>
      <w:szCs w:val="20"/>
      <w:lang w:eastAsia="en-AU"/>
    </w:rPr>
  </w:style>
  <w:style w:type="paragraph" w:customStyle="1" w:styleId="paragraph">
    <w:name w:val="paragraph"/>
    <w:basedOn w:val="Normal"/>
    <w:rsid w:val="00F94B6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teBody2">
    <w:name w:val="Note Body 2"/>
    <w:basedOn w:val="Normal"/>
    <w:rsid w:val="00034FB0"/>
    <w:pPr>
      <w:autoSpaceDE w:val="0"/>
      <w:autoSpaceDN w:val="0"/>
      <w:spacing w:before="120" w:after="120" w:line="260" w:lineRule="atLeast"/>
    </w:pPr>
    <w:rPr>
      <w:rFonts w:cs="Time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A43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4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1238A"/>
    <w:pPr>
      <w:spacing w:after="0" w:line="240" w:lineRule="auto"/>
    </w:pPr>
    <w:rPr>
      <w:rFonts w:ascii="Times" w:eastAsia="Times New Roman" w:hAnsi="Times" w:cs="Times New Roman"/>
      <w:sz w:val="26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72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DocumentType xmlns="0d6bab15-32b2-482f-9d32-d1d4c802fe8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Point Blank Document" ma:contentTypeID="0x0101007F14BAF55DFB4E6381D4178E259E3EA40066E86025BF6FA0499C3F8E86C8E63468" ma:contentTypeVersion="1" ma:contentTypeDescription="Create a blank document" ma:contentTypeScope="" ma:versionID="1eedaeec2ff7e50ad9016196a92a1b49">
  <xsd:schema xmlns:xsd="http://www.w3.org/2001/XMLSchema" xmlns:xs="http://www.w3.org/2001/XMLSchema" xmlns:p="http://schemas.microsoft.com/office/2006/metadata/properties" xmlns:ns2="0d6bab15-32b2-482f-9d32-d1d4c802fe8a" targetNamespace="http://schemas.microsoft.com/office/2006/metadata/properties" ma:root="true" ma:fieldsID="d3364a9c063e77621f74a6736c9ed1ab" ns2:_="">
    <xsd:import namespace="0d6bab15-32b2-482f-9d32-d1d4c802fe8a"/>
    <xsd:element name="properties">
      <xsd:complexType>
        <xsd:sequence>
          <xsd:element name="documentManagement">
            <xsd:complexType>
              <xsd:all>
                <xsd:element ref="ns2:LP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b15-32b2-482f-9d32-d1d4c802fe8a" elementFormDefault="qualified">
    <xsd:import namespace="http://schemas.microsoft.com/office/2006/documentManagement/types"/>
    <xsd:import namespace="http://schemas.microsoft.com/office/infopath/2007/PartnerControls"/>
    <xsd:element name="LPDocumentType" ma:index="8" ma:displayName="Document Type" ma:list="{D1E78D4B-6B05-4362-8385-84435DC237BC}" ma:internalName="LPDocumentType" ma:showField="Title" ma:web="0d6bab15-32b2-482f-9d32-d1d4c802fe8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08B9-922A-4212-8CCD-5D7A77E4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0A2CC-7927-40E9-82ED-ABEB7F02124B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0d6bab15-32b2-482f-9d32-d1d4c802fe8a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65F5504-6BF7-4D03-B0A3-184AC770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ab15-32b2-482f-9d32-d1d4c802f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EBA32-D3D1-43F9-9D2E-ABD46C6D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Spectrum Re-allocation Declaration - 2.5GHz bands</vt:lpstr>
    </vt:vector>
  </TitlesOfParts>
  <Company>DBCDE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Spectrum Re-allocation Declaration - 2.5GHz bands</dc:title>
  <dc:creator>bmetschke</dc:creator>
  <cp:lastModifiedBy>douglj</cp:lastModifiedBy>
  <cp:revision>4</cp:revision>
  <cp:lastPrinted>2012-09-21T00:39:00Z</cp:lastPrinted>
  <dcterms:created xsi:type="dcterms:W3CDTF">2012-12-11T00:11:00Z</dcterms:created>
  <dcterms:modified xsi:type="dcterms:W3CDTF">2012-12-14T04:01:00Z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0x0101007F14BAF55DFB4E6381D4178E259E3EA40066E86025BF6FA0499C3F8E86C8E63468</vt:lpwstr>
  </property>
</Properties>
</file>