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9B" w:rsidRPr="00974448" w:rsidRDefault="0026179B" w:rsidP="00063C36">
      <w:pPr>
        <w:autoSpaceDE w:val="0"/>
        <w:autoSpaceDN w:val="0"/>
        <w:adjustRightInd w:val="0"/>
        <w:spacing w:before="0"/>
        <w:jc w:val="center"/>
        <w:rPr>
          <w:rFonts w:ascii="Times New Roman" w:hAnsi="Times New Roman" w:cs="Times New Roman"/>
          <w:b/>
          <w:bCs/>
          <w:sz w:val="24"/>
          <w:szCs w:val="24"/>
        </w:rPr>
      </w:pPr>
      <w:r w:rsidRPr="00974448">
        <w:rPr>
          <w:rFonts w:ascii="Times New Roman" w:hAnsi="Times New Roman" w:cs="Times New Roman"/>
          <w:b/>
          <w:bCs/>
          <w:sz w:val="24"/>
          <w:szCs w:val="24"/>
        </w:rPr>
        <w:t>EXPLANATORY STATEMENT</w:t>
      </w:r>
    </w:p>
    <w:p w:rsidR="003C4F17" w:rsidRPr="003C4F17" w:rsidRDefault="003C4F17" w:rsidP="003C4F17">
      <w:pPr>
        <w:pStyle w:val="Heading6"/>
        <w:jc w:val="center"/>
        <w:rPr>
          <w:rFonts w:ascii="Times New Roman" w:hAnsi="Times New Roman" w:cs="Times New Roman"/>
          <w:color w:val="000000"/>
          <w:sz w:val="24"/>
          <w:szCs w:val="24"/>
        </w:rPr>
      </w:pPr>
      <w:proofErr w:type="spellStart"/>
      <w:r w:rsidRPr="003C4F17">
        <w:rPr>
          <w:rFonts w:ascii="Times New Roman" w:hAnsi="Times New Roman" w:cs="Times New Roman"/>
          <w:iCs w:val="0"/>
          <w:color w:val="000000"/>
          <w:sz w:val="24"/>
          <w:szCs w:val="24"/>
        </w:rPr>
        <w:t>Radiocommunications</w:t>
      </w:r>
      <w:proofErr w:type="spellEnd"/>
      <w:r w:rsidRPr="003C4F17">
        <w:rPr>
          <w:rFonts w:ascii="Times New Roman" w:hAnsi="Times New Roman" w:cs="Times New Roman"/>
          <w:iCs w:val="0"/>
          <w:color w:val="000000"/>
          <w:sz w:val="24"/>
          <w:szCs w:val="24"/>
        </w:rPr>
        <w:t xml:space="preserve"> Act 1992</w:t>
      </w:r>
    </w:p>
    <w:p w:rsidR="00BC4DED" w:rsidRDefault="00BC4DED" w:rsidP="00BC4DED">
      <w:pPr>
        <w:pStyle w:val="Title"/>
        <w:spacing w:before="0"/>
        <w:rPr>
          <w:rFonts w:ascii="Times New Roman" w:eastAsiaTheme="minorHAnsi" w:hAnsi="Times New Roman" w:cs="Times New Roman"/>
          <w:sz w:val="28"/>
          <w:szCs w:val="28"/>
          <w:lang w:eastAsia="en-US"/>
        </w:rPr>
      </w:pPr>
    </w:p>
    <w:p w:rsidR="003C4F17" w:rsidRPr="003C4F17" w:rsidRDefault="003C4F17" w:rsidP="003C4F17">
      <w:pPr>
        <w:pStyle w:val="Title"/>
        <w:spacing w:before="0"/>
        <w:rPr>
          <w:rFonts w:ascii="Times New Roman" w:eastAsiaTheme="minorHAnsi" w:hAnsi="Times New Roman" w:cs="Times New Roman"/>
          <w:sz w:val="28"/>
          <w:szCs w:val="28"/>
          <w:lang w:eastAsia="en-US"/>
        </w:rPr>
      </w:pPr>
      <w:proofErr w:type="spellStart"/>
      <w:r w:rsidRPr="003C4F17">
        <w:rPr>
          <w:rFonts w:ascii="Times New Roman" w:eastAsiaTheme="minorHAnsi" w:hAnsi="Times New Roman" w:cs="Times New Roman"/>
          <w:sz w:val="28"/>
          <w:szCs w:val="28"/>
          <w:lang w:eastAsia="en-US"/>
        </w:rPr>
        <w:t>Radiocommunications</w:t>
      </w:r>
      <w:proofErr w:type="spellEnd"/>
      <w:r w:rsidRPr="003C4F17">
        <w:rPr>
          <w:rFonts w:ascii="Times New Roman" w:eastAsiaTheme="minorHAnsi" w:hAnsi="Times New Roman" w:cs="Times New Roman"/>
          <w:sz w:val="28"/>
          <w:szCs w:val="28"/>
          <w:lang w:eastAsia="en-US"/>
        </w:rPr>
        <w:t xml:space="preserve"> (Spectrum Licence Limits) </w:t>
      </w:r>
      <w:r w:rsidRPr="00481FF3">
        <w:rPr>
          <w:rFonts w:ascii="Times New Roman" w:eastAsiaTheme="minorHAnsi" w:hAnsi="Times New Roman" w:cs="Times New Roman"/>
          <w:sz w:val="28"/>
          <w:szCs w:val="28"/>
          <w:lang w:eastAsia="en-US"/>
        </w:rPr>
        <w:t>Direction No. 1 o</w:t>
      </w:r>
      <w:r w:rsidRPr="003C4F17">
        <w:rPr>
          <w:rFonts w:ascii="Times New Roman" w:eastAsiaTheme="minorHAnsi" w:hAnsi="Times New Roman" w:cs="Times New Roman"/>
          <w:sz w:val="28"/>
          <w:szCs w:val="28"/>
          <w:lang w:eastAsia="en-US"/>
        </w:rPr>
        <w:t>f 2012 (Amendment No. 1 of 2012)</w:t>
      </w:r>
    </w:p>
    <w:p w:rsidR="004B3952" w:rsidRPr="00974448" w:rsidRDefault="004B3952" w:rsidP="004B3952">
      <w:pPr>
        <w:autoSpaceDE w:val="0"/>
        <w:autoSpaceDN w:val="0"/>
        <w:adjustRightInd w:val="0"/>
        <w:spacing w:before="0" w:line="240" w:lineRule="auto"/>
        <w:jc w:val="center"/>
        <w:rPr>
          <w:rFonts w:ascii="Times New Roman" w:hAnsi="Times New Roman" w:cs="Times New Roman"/>
          <w:b/>
          <w:bCs/>
          <w:sz w:val="24"/>
          <w:szCs w:val="24"/>
        </w:rPr>
      </w:pPr>
    </w:p>
    <w:p w:rsidR="004B3952" w:rsidRPr="00974448" w:rsidRDefault="00BE49E5" w:rsidP="004B3952">
      <w:pPr>
        <w:autoSpaceDE w:val="0"/>
        <w:autoSpaceDN w:val="0"/>
        <w:adjustRightInd w:val="0"/>
        <w:spacing w:line="240" w:lineRule="auto"/>
        <w:jc w:val="center"/>
        <w:rPr>
          <w:rFonts w:ascii="Arial" w:eastAsia="Times New Roman" w:hAnsi="Arial" w:cs="Arial"/>
          <w:sz w:val="24"/>
          <w:szCs w:val="24"/>
          <w:lang w:eastAsia="en-AU"/>
        </w:rPr>
      </w:pPr>
      <w:r>
        <w:rPr>
          <w:rFonts w:ascii="Times New Roman" w:hAnsi="Times New Roman" w:cs="Times New Roman"/>
          <w:sz w:val="24"/>
          <w:szCs w:val="24"/>
        </w:rPr>
        <w:t>Issued by the authority of the Minister for Broadband, Communications and the Digital Economy</w:t>
      </w:r>
    </w:p>
    <w:p w:rsidR="0026179B" w:rsidRPr="00974448" w:rsidRDefault="0026179B" w:rsidP="004B3952">
      <w:pPr>
        <w:autoSpaceDE w:val="0"/>
        <w:autoSpaceDN w:val="0"/>
        <w:adjustRightInd w:val="0"/>
        <w:spacing w:before="0" w:line="240" w:lineRule="auto"/>
        <w:rPr>
          <w:rFonts w:ascii="Times New Roman" w:hAnsi="Times New Roman" w:cs="Times New Roman"/>
          <w:b/>
          <w:bCs/>
          <w:sz w:val="24"/>
          <w:szCs w:val="24"/>
        </w:rPr>
      </w:pPr>
    </w:p>
    <w:p w:rsidR="004B175B" w:rsidRPr="004B175B" w:rsidRDefault="004B175B" w:rsidP="004B175B">
      <w:pPr>
        <w:autoSpaceDE w:val="0"/>
        <w:autoSpaceDN w:val="0"/>
        <w:adjustRightInd w:val="0"/>
        <w:spacing w:before="0" w:after="240" w:line="240" w:lineRule="auto"/>
        <w:rPr>
          <w:rFonts w:ascii="Times New Roman" w:hAnsi="Times New Roman" w:cs="Times New Roman"/>
          <w:b/>
          <w:bCs/>
          <w:sz w:val="24"/>
          <w:szCs w:val="24"/>
        </w:rPr>
      </w:pPr>
      <w:r w:rsidRPr="004B175B">
        <w:rPr>
          <w:rFonts w:ascii="Times New Roman" w:hAnsi="Times New Roman" w:cs="Times New Roman"/>
          <w:b/>
          <w:bCs/>
          <w:sz w:val="24"/>
          <w:szCs w:val="24"/>
        </w:rPr>
        <w:t xml:space="preserve">Authority </w:t>
      </w:r>
    </w:p>
    <w:p w:rsidR="003C4F17" w:rsidRDefault="00D43F7A" w:rsidP="004B175B">
      <w:pPr>
        <w:pStyle w:val="BodyText"/>
        <w:spacing w:after="0"/>
        <w:rPr>
          <w:szCs w:val="24"/>
        </w:rPr>
      </w:pPr>
      <w:r w:rsidRPr="00D43F7A">
        <w:rPr>
          <w:color w:val="000000"/>
          <w:szCs w:val="24"/>
        </w:rPr>
        <w:t>S</w:t>
      </w:r>
      <w:r w:rsidR="008C70B4">
        <w:rPr>
          <w:color w:val="000000"/>
          <w:szCs w:val="24"/>
        </w:rPr>
        <w:t>ubs</w:t>
      </w:r>
      <w:r w:rsidRPr="00D43F7A">
        <w:rPr>
          <w:color w:val="000000"/>
          <w:szCs w:val="24"/>
        </w:rPr>
        <w:t xml:space="preserve">ection </w:t>
      </w:r>
      <w:r w:rsidR="003C4F17">
        <w:rPr>
          <w:color w:val="000000"/>
          <w:szCs w:val="24"/>
        </w:rPr>
        <w:t>60</w:t>
      </w:r>
      <w:r w:rsidRPr="00D43F7A">
        <w:rPr>
          <w:color w:val="000000"/>
          <w:szCs w:val="24"/>
        </w:rPr>
        <w:t>(</w:t>
      </w:r>
      <w:r w:rsidR="003C4F17">
        <w:rPr>
          <w:color w:val="000000"/>
          <w:szCs w:val="24"/>
        </w:rPr>
        <w:t>10</w:t>
      </w:r>
      <w:r w:rsidRPr="00D43F7A">
        <w:rPr>
          <w:color w:val="000000"/>
          <w:szCs w:val="24"/>
        </w:rPr>
        <w:t>) of</w:t>
      </w:r>
      <w:r w:rsidRPr="00D43F7A">
        <w:rPr>
          <w:szCs w:val="24"/>
        </w:rPr>
        <w:t xml:space="preserve"> the</w:t>
      </w:r>
      <w:r w:rsidRPr="00D43F7A">
        <w:rPr>
          <w:i/>
          <w:szCs w:val="24"/>
        </w:rPr>
        <w:t xml:space="preserve"> </w:t>
      </w:r>
      <w:proofErr w:type="spellStart"/>
      <w:r w:rsidR="003C4F17">
        <w:rPr>
          <w:i/>
          <w:szCs w:val="24"/>
        </w:rPr>
        <w:t>Radiocommunications</w:t>
      </w:r>
      <w:proofErr w:type="spellEnd"/>
      <w:r w:rsidR="003C4F17">
        <w:rPr>
          <w:i/>
          <w:szCs w:val="24"/>
        </w:rPr>
        <w:t xml:space="preserve"> Act 1992</w:t>
      </w:r>
      <w:r w:rsidRPr="00D43F7A">
        <w:rPr>
          <w:szCs w:val="24"/>
        </w:rPr>
        <w:t xml:space="preserve"> (the Act</w:t>
      </w:r>
      <w:r w:rsidRPr="00E60542">
        <w:rPr>
          <w:szCs w:val="24"/>
        </w:rPr>
        <w:t>)</w:t>
      </w:r>
      <w:r w:rsidRPr="00D43F7A">
        <w:rPr>
          <w:i/>
          <w:szCs w:val="24"/>
        </w:rPr>
        <w:t xml:space="preserve"> </w:t>
      </w:r>
      <w:r w:rsidRPr="00D43F7A">
        <w:rPr>
          <w:szCs w:val="24"/>
        </w:rPr>
        <w:t xml:space="preserve">provides that the Minister for Broadband, Communications and the Digital Economy </w:t>
      </w:r>
      <w:r w:rsidR="00B2363A">
        <w:rPr>
          <w:szCs w:val="24"/>
        </w:rPr>
        <w:t xml:space="preserve">(the Minister) </w:t>
      </w:r>
      <w:r w:rsidRPr="00D43F7A">
        <w:rPr>
          <w:szCs w:val="24"/>
        </w:rPr>
        <w:t>may</w:t>
      </w:r>
      <w:r w:rsidR="003C4F17">
        <w:rPr>
          <w:szCs w:val="24"/>
        </w:rPr>
        <w:t xml:space="preserve"> give </w:t>
      </w:r>
      <w:r w:rsidR="00C84133">
        <w:rPr>
          <w:szCs w:val="24"/>
        </w:rPr>
        <w:t xml:space="preserve">written directions to the Australian Communications and Media Authority (ACMA) in relation to the exercise of the power to determine procedures imposing a limit mentioned in subsection 60(5) of the Act.  </w:t>
      </w:r>
    </w:p>
    <w:p w:rsidR="003C4F17" w:rsidRDefault="003C4F17" w:rsidP="004B175B">
      <w:pPr>
        <w:pStyle w:val="BodyText"/>
        <w:spacing w:after="0"/>
        <w:rPr>
          <w:szCs w:val="24"/>
        </w:rPr>
      </w:pPr>
    </w:p>
    <w:p w:rsidR="004B175B" w:rsidRPr="00974448" w:rsidRDefault="004B175B" w:rsidP="004B175B">
      <w:pPr>
        <w:autoSpaceDE w:val="0"/>
        <w:autoSpaceDN w:val="0"/>
        <w:adjustRightInd w:val="0"/>
        <w:spacing w:before="0" w:after="24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rsidR="00C84133" w:rsidRPr="00481FF3" w:rsidRDefault="00C84133" w:rsidP="004B3952">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Pr="00481FF3">
        <w:rPr>
          <w:rFonts w:ascii="Times New Roman" w:hAnsi="Times New Roman" w:cs="Times New Roman"/>
          <w:sz w:val="24"/>
          <w:szCs w:val="24"/>
        </w:rPr>
        <w:t xml:space="preserve">this Direction is to amend the </w:t>
      </w:r>
      <w:proofErr w:type="spellStart"/>
      <w:r w:rsidRPr="00481FF3">
        <w:rPr>
          <w:rFonts w:ascii="Times New Roman" w:hAnsi="Times New Roman"/>
          <w:i/>
          <w:sz w:val="24"/>
          <w:szCs w:val="24"/>
        </w:rPr>
        <w:t>Radiocommunications</w:t>
      </w:r>
      <w:proofErr w:type="spellEnd"/>
      <w:r w:rsidRPr="00481FF3">
        <w:rPr>
          <w:rFonts w:ascii="Times New Roman" w:hAnsi="Times New Roman"/>
          <w:i/>
          <w:sz w:val="24"/>
          <w:szCs w:val="24"/>
        </w:rPr>
        <w:t xml:space="preserve"> (Spectrum Licence Limits) Direction No. 1 of 2012 </w:t>
      </w:r>
      <w:r w:rsidR="00CB7F3F" w:rsidRPr="00481FF3">
        <w:rPr>
          <w:rFonts w:ascii="Times New Roman" w:hAnsi="Times New Roman"/>
          <w:sz w:val="24"/>
          <w:szCs w:val="24"/>
        </w:rPr>
        <w:t xml:space="preserve">(the Principal Direction) </w:t>
      </w:r>
      <w:r w:rsidRPr="00481FF3">
        <w:rPr>
          <w:rFonts w:ascii="Times New Roman" w:hAnsi="Times New Roman"/>
          <w:sz w:val="24"/>
          <w:szCs w:val="24"/>
        </w:rPr>
        <w:t xml:space="preserve">to </w:t>
      </w:r>
      <w:r w:rsidR="00CB7F3F" w:rsidRPr="00481FF3">
        <w:rPr>
          <w:rFonts w:ascii="Times New Roman" w:hAnsi="Times New Roman"/>
          <w:sz w:val="24"/>
          <w:szCs w:val="24"/>
        </w:rPr>
        <w:t>clarify the scope of the term ‘associate’ as used in the Principal Direction</w:t>
      </w:r>
      <w:r w:rsidR="00B2363A">
        <w:rPr>
          <w:rFonts w:ascii="Times New Roman" w:hAnsi="Times New Roman"/>
          <w:sz w:val="24"/>
          <w:szCs w:val="24"/>
        </w:rPr>
        <w:t xml:space="preserve"> and to increase the quantum of spectrum that may be used by a person</w:t>
      </w:r>
      <w:r w:rsidR="00FB1E42">
        <w:rPr>
          <w:rFonts w:ascii="Times New Roman" w:hAnsi="Times New Roman"/>
          <w:sz w:val="24"/>
          <w:szCs w:val="24"/>
        </w:rPr>
        <w:t xml:space="preserve"> or specified group of persons</w:t>
      </w:r>
      <w:r w:rsidR="000E14E7">
        <w:rPr>
          <w:rFonts w:ascii="Times New Roman" w:hAnsi="Times New Roman"/>
          <w:sz w:val="24"/>
          <w:szCs w:val="24"/>
        </w:rPr>
        <w:t xml:space="preserve"> as a result of the allocation of spectrum licences by the ACMA</w:t>
      </w:r>
      <w:r w:rsidR="00CB7F3F" w:rsidRPr="00481FF3">
        <w:rPr>
          <w:rFonts w:ascii="Times New Roman" w:hAnsi="Times New Roman"/>
          <w:sz w:val="24"/>
          <w:szCs w:val="24"/>
        </w:rPr>
        <w:t xml:space="preserve">.  </w:t>
      </w:r>
    </w:p>
    <w:p w:rsidR="00C84133" w:rsidRPr="00481FF3" w:rsidRDefault="00C84133" w:rsidP="004B3952">
      <w:pPr>
        <w:spacing w:before="0" w:line="240" w:lineRule="auto"/>
        <w:rPr>
          <w:rFonts w:ascii="Times New Roman" w:hAnsi="Times New Roman" w:cs="Times New Roman"/>
          <w:sz w:val="24"/>
          <w:szCs w:val="24"/>
        </w:rPr>
      </w:pPr>
    </w:p>
    <w:p w:rsidR="005D3C08" w:rsidRPr="00481FF3" w:rsidRDefault="00151115" w:rsidP="00BC2064">
      <w:pPr>
        <w:spacing w:before="0" w:after="240" w:line="240" w:lineRule="auto"/>
        <w:rPr>
          <w:rFonts w:ascii="Times New Roman" w:hAnsi="Times New Roman" w:cs="Times New Roman"/>
          <w:b/>
          <w:bCs/>
          <w:sz w:val="24"/>
          <w:szCs w:val="24"/>
        </w:rPr>
      </w:pPr>
      <w:r w:rsidRPr="00481FF3">
        <w:rPr>
          <w:rFonts w:ascii="Times New Roman" w:hAnsi="Times New Roman" w:cs="Times New Roman"/>
          <w:b/>
          <w:bCs/>
          <w:sz w:val="24"/>
          <w:szCs w:val="24"/>
        </w:rPr>
        <w:t>B</w:t>
      </w:r>
      <w:r w:rsidR="007E1065" w:rsidRPr="00481FF3">
        <w:rPr>
          <w:rFonts w:ascii="Times New Roman" w:hAnsi="Times New Roman" w:cs="Times New Roman"/>
          <w:b/>
          <w:bCs/>
          <w:sz w:val="24"/>
          <w:szCs w:val="24"/>
        </w:rPr>
        <w:t>ackground</w:t>
      </w:r>
    </w:p>
    <w:p w:rsidR="007F3E71" w:rsidRDefault="007F3E71" w:rsidP="007F3E71">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1 November 2011, the Minister declared </w:t>
      </w:r>
      <w:r w:rsidR="00B8322E">
        <w:rPr>
          <w:rFonts w:ascii="Times New Roman" w:hAnsi="Times New Roman" w:cs="Times New Roman"/>
          <w:color w:val="000000"/>
          <w:sz w:val="24"/>
          <w:szCs w:val="24"/>
        </w:rPr>
        <w:t xml:space="preserve">the following ranges of </w:t>
      </w:r>
      <w:r>
        <w:rPr>
          <w:rFonts w:ascii="Times New Roman" w:hAnsi="Times New Roman" w:cs="Times New Roman"/>
          <w:color w:val="000000"/>
          <w:sz w:val="24"/>
          <w:szCs w:val="24"/>
        </w:rPr>
        <w:t xml:space="preserve">spectrum in the </w:t>
      </w:r>
      <w:r w:rsidR="00B8322E">
        <w:rPr>
          <w:rFonts w:ascii="Times New Roman" w:hAnsi="Times New Roman" w:cs="Times New Roman"/>
          <w:color w:val="000000"/>
          <w:sz w:val="24"/>
          <w:szCs w:val="24"/>
        </w:rPr>
        <w:t>700 MHz band</w:t>
      </w:r>
      <w:r>
        <w:rPr>
          <w:rFonts w:ascii="Times New Roman" w:hAnsi="Times New Roman" w:cs="Times New Roman"/>
          <w:color w:val="000000"/>
          <w:sz w:val="24"/>
          <w:szCs w:val="24"/>
        </w:rPr>
        <w:t xml:space="preserve"> to be re</w:t>
      </w:r>
      <w:r>
        <w:rPr>
          <w:rFonts w:ascii="Times New Roman" w:hAnsi="Times New Roman" w:cs="Times New Roman"/>
          <w:color w:val="000000"/>
          <w:sz w:val="24"/>
          <w:szCs w:val="24"/>
        </w:rPr>
        <w:noBreakHyphen/>
        <w:t>allocated by issuing spectrum licences</w:t>
      </w:r>
      <w:r w:rsidR="00B8322E">
        <w:rPr>
          <w:rFonts w:ascii="Times New Roman" w:hAnsi="Times New Roman" w:cs="Times New Roman"/>
          <w:color w:val="000000"/>
          <w:sz w:val="24"/>
          <w:szCs w:val="24"/>
        </w:rPr>
        <w:t xml:space="preserve"> </w:t>
      </w:r>
      <w:r w:rsidR="00B8322E" w:rsidRPr="0087711A">
        <w:rPr>
          <w:rFonts w:ascii="Times New Roman" w:hAnsi="Times New Roman" w:cs="Times New Roman"/>
          <w:color w:val="000000"/>
          <w:sz w:val="24"/>
          <w:szCs w:val="24"/>
        </w:rPr>
        <w:t>(</w:t>
      </w:r>
      <w:proofErr w:type="spellStart"/>
      <w:r w:rsidR="00B8322E" w:rsidRPr="0087711A">
        <w:rPr>
          <w:rFonts w:ascii="Times New Roman" w:hAnsi="Times New Roman" w:cs="Times New Roman"/>
          <w:i/>
          <w:color w:val="000000"/>
          <w:sz w:val="24"/>
          <w:szCs w:val="24"/>
        </w:rPr>
        <w:t>Radiocommunications</w:t>
      </w:r>
      <w:proofErr w:type="spellEnd"/>
      <w:r w:rsidR="00B8322E" w:rsidRPr="0087711A">
        <w:rPr>
          <w:rFonts w:ascii="Times New Roman" w:hAnsi="Times New Roman" w:cs="Times New Roman"/>
          <w:i/>
          <w:color w:val="000000"/>
          <w:sz w:val="24"/>
          <w:szCs w:val="24"/>
        </w:rPr>
        <w:t xml:space="preserve"> (Spectrum Re-allocation) Declaration No. 1 of 2011</w:t>
      </w:r>
      <w:r w:rsidR="00B8322E" w:rsidRPr="0087711A">
        <w:rPr>
          <w:rFonts w:ascii="Times New Roman" w:hAnsi="Times New Roman" w:cs="Times New Roman"/>
          <w:color w:val="000000"/>
          <w:sz w:val="24"/>
          <w:szCs w:val="24"/>
        </w:rPr>
        <w:t>)</w:t>
      </w:r>
      <w:r w:rsidR="00B8322E">
        <w:rPr>
          <w:rFonts w:ascii="Times New Roman" w:hAnsi="Times New Roman" w:cs="Times New Roman"/>
          <w:color w:val="000000"/>
          <w:sz w:val="24"/>
          <w:szCs w:val="24"/>
        </w:rPr>
        <w:t>:</w:t>
      </w:r>
    </w:p>
    <w:p w:rsidR="00B8322E" w:rsidRDefault="007F3E71" w:rsidP="007F3E71">
      <w:pPr>
        <w:pStyle w:val="ListParagraph"/>
        <w:numPr>
          <w:ilvl w:val="0"/>
          <w:numId w:val="18"/>
        </w:numPr>
        <w:spacing w:before="120" w:line="240" w:lineRule="auto"/>
        <w:ind w:left="714" w:hanging="35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703 MHz to 748 MHz</w:t>
      </w:r>
      <w:r w:rsidR="00B832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w:t>
      </w:r>
    </w:p>
    <w:p w:rsidR="007F3E71" w:rsidRDefault="007F3E71" w:rsidP="007F3E71">
      <w:pPr>
        <w:pStyle w:val="ListParagraph"/>
        <w:numPr>
          <w:ilvl w:val="0"/>
          <w:numId w:val="18"/>
        </w:numPr>
        <w:spacing w:before="120" w:line="240" w:lineRule="auto"/>
        <w:ind w:left="714" w:hanging="35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758 MHz to 803 </w:t>
      </w:r>
      <w:proofErr w:type="spellStart"/>
      <w:r>
        <w:rPr>
          <w:rFonts w:ascii="Times New Roman" w:hAnsi="Times New Roman" w:cs="Times New Roman"/>
          <w:color w:val="000000"/>
          <w:sz w:val="24"/>
          <w:szCs w:val="24"/>
        </w:rPr>
        <w:t>MHz</w:t>
      </w:r>
      <w:r w:rsidR="00B8322E">
        <w:rPr>
          <w:rFonts w:ascii="Times New Roman" w:hAnsi="Times New Roman" w:cs="Times New Roman"/>
          <w:color w:val="000000"/>
          <w:sz w:val="24"/>
          <w:szCs w:val="24"/>
        </w:rPr>
        <w:t>.</w:t>
      </w:r>
      <w:proofErr w:type="spellEnd"/>
    </w:p>
    <w:p w:rsidR="00EC6A92" w:rsidRDefault="00EC6A92" w:rsidP="00AE4975">
      <w:pPr>
        <w:spacing w:before="0" w:line="240" w:lineRule="auto"/>
        <w:rPr>
          <w:rFonts w:ascii="Times New Roman" w:hAnsi="Times New Roman" w:cs="Times New Roman"/>
          <w:color w:val="000000"/>
          <w:sz w:val="24"/>
          <w:szCs w:val="24"/>
        </w:rPr>
      </w:pPr>
    </w:p>
    <w:p w:rsidR="00A65234" w:rsidRPr="00481FF3" w:rsidRDefault="004577E7" w:rsidP="001C0761">
      <w:pPr>
        <w:spacing w:before="0" w:line="240" w:lineRule="auto"/>
        <w:rPr>
          <w:rFonts w:ascii="Times New Roman" w:eastAsia="Times New Roman" w:hAnsi="Times New Roman" w:cs="Times New Roman"/>
          <w:sz w:val="24"/>
          <w:szCs w:val="24"/>
          <w:lang w:eastAsia="en-AU"/>
        </w:rPr>
      </w:pPr>
      <w:r w:rsidRPr="00481FF3">
        <w:rPr>
          <w:rFonts w:ascii="Times New Roman" w:hAnsi="Times New Roman" w:cs="Times New Roman"/>
          <w:color w:val="000000"/>
          <w:sz w:val="24"/>
          <w:szCs w:val="24"/>
        </w:rPr>
        <w:t>On 2 February 2012, the Minister made the Principal Direction</w:t>
      </w:r>
      <w:r w:rsidR="001D0A91" w:rsidRPr="00481FF3">
        <w:rPr>
          <w:rFonts w:ascii="Times New Roman" w:hAnsi="Times New Roman" w:cs="Times New Roman"/>
          <w:color w:val="000000"/>
          <w:sz w:val="24"/>
          <w:szCs w:val="24"/>
        </w:rPr>
        <w:t xml:space="preserve">, following </w:t>
      </w:r>
      <w:r w:rsidRPr="00481FF3">
        <w:rPr>
          <w:rFonts w:ascii="Times New Roman" w:hAnsi="Times New Roman" w:cs="Times New Roman"/>
          <w:color w:val="000000"/>
          <w:sz w:val="24"/>
          <w:szCs w:val="24"/>
        </w:rPr>
        <w:t xml:space="preserve">consultation with the Australian Competition </w:t>
      </w:r>
      <w:r w:rsidR="008C33A7">
        <w:rPr>
          <w:rFonts w:ascii="Times New Roman" w:hAnsi="Times New Roman" w:cs="Times New Roman"/>
          <w:color w:val="000000"/>
          <w:sz w:val="24"/>
          <w:szCs w:val="24"/>
        </w:rPr>
        <w:t xml:space="preserve">and Consumer </w:t>
      </w:r>
      <w:r w:rsidRPr="00481FF3">
        <w:rPr>
          <w:rFonts w:ascii="Times New Roman" w:hAnsi="Times New Roman" w:cs="Times New Roman"/>
          <w:color w:val="000000"/>
          <w:sz w:val="24"/>
          <w:szCs w:val="24"/>
        </w:rPr>
        <w:t>Commission</w:t>
      </w:r>
      <w:r w:rsidR="004A4793" w:rsidRPr="00481FF3">
        <w:rPr>
          <w:rFonts w:ascii="Times New Roman" w:hAnsi="Times New Roman" w:cs="Times New Roman"/>
          <w:color w:val="000000"/>
          <w:sz w:val="24"/>
          <w:szCs w:val="24"/>
        </w:rPr>
        <w:t xml:space="preserve"> (ACCC)</w:t>
      </w:r>
      <w:r w:rsidRPr="00481FF3">
        <w:rPr>
          <w:rFonts w:ascii="Times New Roman" w:hAnsi="Times New Roman" w:cs="Times New Roman"/>
          <w:color w:val="000000"/>
          <w:sz w:val="24"/>
          <w:szCs w:val="24"/>
        </w:rPr>
        <w:t xml:space="preserve"> and the ACMA.  </w:t>
      </w:r>
      <w:r w:rsidR="00756E16" w:rsidRPr="00481FF3">
        <w:rPr>
          <w:rFonts w:ascii="Times New Roman" w:hAnsi="Times New Roman" w:cs="Times New Roman"/>
          <w:color w:val="000000"/>
          <w:sz w:val="24"/>
          <w:szCs w:val="24"/>
        </w:rPr>
        <w:t>The Principal Direction</w:t>
      </w:r>
      <w:r w:rsidR="00FA7F08" w:rsidRPr="00481FF3">
        <w:rPr>
          <w:rFonts w:ascii="Times New Roman" w:hAnsi="Times New Roman" w:cs="Times New Roman"/>
          <w:color w:val="000000"/>
          <w:sz w:val="24"/>
          <w:szCs w:val="24"/>
        </w:rPr>
        <w:t xml:space="preserve"> directs the ACMA to determine procedures under subsection 60(10) of the Act that impose</w:t>
      </w:r>
      <w:r w:rsidR="00756E16" w:rsidRPr="00481FF3">
        <w:rPr>
          <w:rFonts w:ascii="Times New Roman" w:hAnsi="Times New Roman" w:cs="Times New Roman"/>
          <w:color w:val="000000"/>
          <w:sz w:val="24"/>
          <w:szCs w:val="24"/>
        </w:rPr>
        <w:t xml:space="preserve"> </w:t>
      </w:r>
      <w:r w:rsidR="002B001C" w:rsidRPr="00481FF3">
        <w:rPr>
          <w:rFonts w:ascii="Times New Roman" w:hAnsi="Times New Roman" w:cs="Times New Roman"/>
          <w:color w:val="000000"/>
          <w:sz w:val="24"/>
          <w:szCs w:val="24"/>
        </w:rPr>
        <w:t xml:space="preserve">limits </w:t>
      </w:r>
      <w:r w:rsidR="00FA7F08" w:rsidRPr="00481FF3">
        <w:rPr>
          <w:rFonts w:ascii="Times New Roman" w:hAnsi="Times New Roman" w:cs="Times New Roman"/>
          <w:color w:val="000000"/>
          <w:sz w:val="24"/>
          <w:szCs w:val="24"/>
        </w:rPr>
        <w:t xml:space="preserve">on </w:t>
      </w:r>
      <w:r w:rsidR="002B001C" w:rsidRPr="00481FF3">
        <w:rPr>
          <w:rFonts w:ascii="Times New Roman" w:hAnsi="Times New Roman" w:cs="Times New Roman"/>
          <w:color w:val="000000"/>
          <w:sz w:val="24"/>
          <w:szCs w:val="24"/>
        </w:rPr>
        <w:t xml:space="preserve">the amount of spectrum that </w:t>
      </w:r>
      <w:r w:rsidR="001C0761" w:rsidRPr="00481FF3">
        <w:rPr>
          <w:rFonts w:ascii="Times New Roman" w:hAnsi="Times New Roman" w:cs="Times New Roman"/>
          <w:color w:val="000000"/>
          <w:sz w:val="24"/>
          <w:szCs w:val="24"/>
        </w:rPr>
        <w:t xml:space="preserve">any one person </w:t>
      </w:r>
      <w:r w:rsidR="001C0761" w:rsidRPr="00481FF3">
        <w:rPr>
          <w:rFonts w:ascii="Times New Roman" w:eastAsia="Times New Roman" w:hAnsi="Times New Roman" w:cs="Times New Roman"/>
          <w:sz w:val="24"/>
          <w:szCs w:val="24"/>
          <w:lang w:eastAsia="en-AU"/>
        </w:rPr>
        <w:t xml:space="preserve">or specified groups of persons </w:t>
      </w:r>
      <w:r w:rsidR="00FA7F08" w:rsidRPr="00481FF3">
        <w:rPr>
          <w:rFonts w:ascii="Times New Roman" w:eastAsia="Times New Roman" w:hAnsi="Times New Roman" w:cs="Times New Roman"/>
          <w:sz w:val="24"/>
          <w:szCs w:val="24"/>
          <w:lang w:eastAsia="en-AU"/>
        </w:rPr>
        <w:t xml:space="preserve">may use as a result of </w:t>
      </w:r>
      <w:r w:rsidR="002B001C" w:rsidRPr="00481FF3">
        <w:rPr>
          <w:rFonts w:ascii="Times New Roman" w:eastAsia="Times New Roman" w:hAnsi="Times New Roman" w:cs="Times New Roman"/>
          <w:sz w:val="24"/>
          <w:szCs w:val="24"/>
          <w:lang w:eastAsia="en-AU"/>
        </w:rPr>
        <w:t xml:space="preserve">the </w:t>
      </w:r>
      <w:r w:rsidR="001C0761" w:rsidRPr="00481FF3">
        <w:rPr>
          <w:rFonts w:ascii="Times New Roman" w:eastAsia="Times New Roman" w:hAnsi="Times New Roman" w:cs="Times New Roman"/>
          <w:sz w:val="24"/>
          <w:szCs w:val="24"/>
          <w:lang w:eastAsia="en-AU"/>
        </w:rPr>
        <w:t xml:space="preserve">allocation of spectrum licences </w:t>
      </w:r>
      <w:r w:rsidR="00AE4975" w:rsidRPr="00481FF3">
        <w:rPr>
          <w:rFonts w:ascii="Times New Roman" w:eastAsia="Times New Roman" w:hAnsi="Times New Roman" w:cs="Times New Roman"/>
          <w:sz w:val="24"/>
          <w:szCs w:val="24"/>
          <w:lang w:eastAsia="en-AU"/>
        </w:rPr>
        <w:t xml:space="preserve">under Subdivision B of Part 3.2 of the Act </w:t>
      </w:r>
      <w:r w:rsidR="001C0761" w:rsidRPr="00481FF3">
        <w:rPr>
          <w:rFonts w:ascii="Times New Roman" w:eastAsia="Times New Roman" w:hAnsi="Times New Roman" w:cs="Times New Roman"/>
          <w:sz w:val="24"/>
          <w:szCs w:val="24"/>
          <w:lang w:eastAsia="en-AU"/>
        </w:rPr>
        <w:t>in the 700</w:t>
      </w:r>
      <w:r w:rsidR="00B101E2">
        <w:rPr>
          <w:rFonts w:ascii="Times New Roman" w:eastAsia="Times New Roman" w:hAnsi="Times New Roman" w:cs="Times New Roman"/>
          <w:sz w:val="24"/>
          <w:szCs w:val="24"/>
          <w:lang w:eastAsia="en-AU"/>
        </w:rPr>
        <w:t xml:space="preserve"> </w:t>
      </w:r>
      <w:r w:rsidR="001C0761" w:rsidRPr="00481FF3">
        <w:rPr>
          <w:rFonts w:ascii="Times New Roman" w:eastAsia="Times New Roman" w:hAnsi="Times New Roman" w:cs="Times New Roman"/>
          <w:sz w:val="24"/>
          <w:szCs w:val="24"/>
          <w:lang w:eastAsia="en-AU"/>
        </w:rPr>
        <w:t>MHz band</w:t>
      </w:r>
      <w:r w:rsidR="00A65234" w:rsidRPr="00481FF3">
        <w:rPr>
          <w:rFonts w:ascii="Times New Roman" w:eastAsia="Times New Roman" w:hAnsi="Times New Roman" w:cs="Times New Roman"/>
          <w:sz w:val="24"/>
          <w:szCs w:val="24"/>
          <w:lang w:eastAsia="en-AU"/>
        </w:rPr>
        <w:t xml:space="preserve"> (no more than 2</w:t>
      </w:r>
      <w:r w:rsidR="00B101E2">
        <w:rPr>
          <w:rFonts w:ascii="Times New Roman" w:eastAsia="Times New Roman" w:hAnsi="Times New Roman" w:cs="Times New Roman"/>
          <w:sz w:val="24"/>
          <w:szCs w:val="24"/>
          <w:lang w:eastAsia="en-AU"/>
        </w:rPr>
        <w:t xml:space="preserve"> </w:t>
      </w:r>
      <w:r w:rsidR="009A31F8">
        <w:rPr>
          <w:rFonts w:ascii="Times New Roman" w:eastAsia="Times New Roman" w:hAnsi="Times New Roman" w:cs="Times New Roman"/>
          <w:sz w:val="24"/>
          <w:szCs w:val="24"/>
          <w:lang w:eastAsia="en-AU"/>
        </w:rPr>
        <w:t>×</w:t>
      </w:r>
      <w:r w:rsidR="00B101E2">
        <w:rPr>
          <w:rFonts w:ascii="Times New Roman" w:eastAsia="Times New Roman" w:hAnsi="Times New Roman" w:cs="Times New Roman"/>
          <w:sz w:val="24"/>
          <w:szCs w:val="24"/>
          <w:lang w:eastAsia="en-AU"/>
        </w:rPr>
        <w:t xml:space="preserve"> </w:t>
      </w:r>
      <w:r w:rsidR="00A65234" w:rsidRPr="00481FF3">
        <w:rPr>
          <w:rFonts w:ascii="Times New Roman" w:eastAsia="Times New Roman" w:hAnsi="Times New Roman" w:cs="Times New Roman"/>
          <w:sz w:val="24"/>
          <w:szCs w:val="24"/>
          <w:lang w:eastAsia="en-AU"/>
        </w:rPr>
        <w:t>20</w:t>
      </w:r>
      <w:r w:rsidR="00B101E2">
        <w:rPr>
          <w:rFonts w:ascii="Times New Roman" w:eastAsia="Times New Roman" w:hAnsi="Times New Roman" w:cs="Times New Roman"/>
          <w:sz w:val="24"/>
          <w:szCs w:val="24"/>
          <w:lang w:eastAsia="en-AU"/>
        </w:rPr>
        <w:t xml:space="preserve"> </w:t>
      </w:r>
      <w:r w:rsidR="00A65234" w:rsidRPr="00481FF3">
        <w:rPr>
          <w:rFonts w:ascii="Times New Roman" w:eastAsia="Times New Roman" w:hAnsi="Times New Roman" w:cs="Times New Roman"/>
          <w:sz w:val="24"/>
          <w:szCs w:val="24"/>
          <w:lang w:eastAsia="en-AU"/>
        </w:rPr>
        <w:t>MHz of the total 2</w:t>
      </w:r>
      <w:r w:rsidR="00B101E2">
        <w:rPr>
          <w:rFonts w:ascii="Times New Roman" w:eastAsia="Times New Roman" w:hAnsi="Times New Roman" w:cs="Times New Roman"/>
          <w:sz w:val="24"/>
          <w:szCs w:val="24"/>
          <w:lang w:eastAsia="en-AU"/>
        </w:rPr>
        <w:t xml:space="preserve"> </w:t>
      </w:r>
      <w:r w:rsidR="009A31F8">
        <w:rPr>
          <w:rFonts w:ascii="Times New Roman" w:eastAsia="Times New Roman" w:hAnsi="Times New Roman" w:cs="Times New Roman"/>
          <w:sz w:val="24"/>
          <w:szCs w:val="24"/>
          <w:lang w:eastAsia="en-AU"/>
        </w:rPr>
        <w:t>×</w:t>
      </w:r>
      <w:r w:rsidR="00B101E2">
        <w:rPr>
          <w:rFonts w:ascii="Times New Roman" w:eastAsia="Times New Roman" w:hAnsi="Times New Roman" w:cs="Times New Roman"/>
          <w:sz w:val="24"/>
          <w:szCs w:val="24"/>
          <w:lang w:eastAsia="en-AU"/>
        </w:rPr>
        <w:t xml:space="preserve"> </w:t>
      </w:r>
      <w:r w:rsidR="00A65234" w:rsidRPr="00481FF3">
        <w:rPr>
          <w:rFonts w:ascii="Times New Roman" w:eastAsia="Times New Roman" w:hAnsi="Times New Roman" w:cs="Times New Roman"/>
          <w:sz w:val="24"/>
          <w:szCs w:val="24"/>
          <w:lang w:eastAsia="en-AU"/>
        </w:rPr>
        <w:t xml:space="preserve">45MHz </w:t>
      </w:r>
      <w:r w:rsidR="001D0A91" w:rsidRPr="00481FF3">
        <w:rPr>
          <w:rFonts w:ascii="Times New Roman" w:eastAsia="Times New Roman" w:hAnsi="Times New Roman" w:cs="Times New Roman"/>
          <w:sz w:val="24"/>
          <w:szCs w:val="24"/>
          <w:lang w:eastAsia="en-AU"/>
        </w:rPr>
        <w:t xml:space="preserve">of spectrum </w:t>
      </w:r>
      <w:r w:rsidR="00A65234" w:rsidRPr="00481FF3">
        <w:rPr>
          <w:rFonts w:ascii="Times New Roman" w:eastAsia="Times New Roman" w:hAnsi="Times New Roman" w:cs="Times New Roman"/>
          <w:sz w:val="24"/>
          <w:szCs w:val="24"/>
          <w:lang w:eastAsia="en-AU"/>
        </w:rPr>
        <w:t xml:space="preserve">made available for allocation).  </w:t>
      </w:r>
    </w:p>
    <w:p w:rsidR="00146F5B" w:rsidRPr="00481FF3" w:rsidRDefault="00146F5B" w:rsidP="004577E7">
      <w:pPr>
        <w:spacing w:before="0" w:line="240" w:lineRule="auto"/>
        <w:rPr>
          <w:rFonts w:ascii="Times New Roman" w:eastAsia="Times New Roman" w:hAnsi="Times New Roman" w:cs="Times New Roman"/>
          <w:sz w:val="24"/>
          <w:szCs w:val="24"/>
          <w:lang w:eastAsia="en-AU"/>
        </w:rPr>
      </w:pPr>
    </w:p>
    <w:p w:rsidR="00204EC9" w:rsidRDefault="00AE4975" w:rsidP="000F43C3">
      <w:pPr>
        <w:spacing w:before="0" w:line="240" w:lineRule="auto"/>
        <w:rPr>
          <w:rFonts w:ascii="Times New Roman" w:hAnsi="Times New Roman" w:cs="Times New Roman"/>
          <w:color w:val="000000" w:themeColor="text1"/>
          <w:sz w:val="24"/>
          <w:szCs w:val="24"/>
        </w:rPr>
      </w:pPr>
      <w:r w:rsidRPr="00481FF3">
        <w:rPr>
          <w:rFonts w:ascii="Times New Roman" w:hAnsi="Times New Roman" w:cs="Times New Roman"/>
          <w:color w:val="000000"/>
          <w:sz w:val="24"/>
          <w:szCs w:val="24"/>
        </w:rPr>
        <w:t xml:space="preserve">The ACMA </w:t>
      </w:r>
      <w:r w:rsidR="00EE6717">
        <w:rPr>
          <w:rFonts w:ascii="Times New Roman" w:hAnsi="Times New Roman" w:cs="Times New Roman"/>
          <w:color w:val="000000"/>
          <w:sz w:val="24"/>
          <w:szCs w:val="24"/>
        </w:rPr>
        <w:t>is required</w:t>
      </w:r>
      <w:r w:rsidR="00EE6717" w:rsidRPr="00481FF3">
        <w:rPr>
          <w:rFonts w:ascii="Times New Roman" w:hAnsi="Times New Roman" w:cs="Times New Roman"/>
          <w:color w:val="000000"/>
          <w:sz w:val="24"/>
          <w:szCs w:val="24"/>
        </w:rPr>
        <w:t xml:space="preserve"> </w:t>
      </w:r>
      <w:r w:rsidRPr="00481FF3">
        <w:rPr>
          <w:rFonts w:ascii="Times New Roman" w:hAnsi="Times New Roman" w:cs="Times New Roman"/>
          <w:color w:val="000000"/>
          <w:sz w:val="24"/>
          <w:szCs w:val="24"/>
        </w:rPr>
        <w:t>to reallocate the radiofrequency</w:t>
      </w:r>
      <w:r w:rsidR="00FA7F08" w:rsidRPr="00481FF3">
        <w:rPr>
          <w:rFonts w:ascii="Times New Roman" w:hAnsi="Times New Roman" w:cs="Times New Roman"/>
          <w:color w:val="000000"/>
          <w:sz w:val="24"/>
          <w:szCs w:val="24"/>
        </w:rPr>
        <w:t xml:space="preserve"> spectrum </w:t>
      </w:r>
      <w:r w:rsidR="00D46523" w:rsidRPr="00481FF3">
        <w:rPr>
          <w:rFonts w:ascii="Times New Roman" w:hAnsi="Times New Roman" w:cs="Times New Roman"/>
          <w:color w:val="000000"/>
          <w:sz w:val="24"/>
          <w:szCs w:val="24"/>
        </w:rPr>
        <w:t>in the</w:t>
      </w:r>
      <w:r w:rsidR="00FA7F08" w:rsidRPr="00481FF3">
        <w:rPr>
          <w:rFonts w:ascii="Times New Roman" w:hAnsi="Times New Roman" w:cs="Times New Roman"/>
          <w:color w:val="000000"/>
          <w:sz w:val="24"/>
          <w:szCs w:val="24"/>
        </w:rPr>
        <w:t xml:space="preserve"> 700MHz band </w:t>
      </w:r>
      <w:r w:rsidRPr="00481FF3">
        <w:rPr>
          <w:rFonts w:ascii="Times New Roman" w:hAnsi="Times New Roman" w:cs="Times New Roman"/>
          <w:color w:val="000000"/>
          <w:sz w:val="24"/>
          <w:szCs w:val="24"/>
        </w:rPr>
        <w:t>(together</w:t>
      </w:r>
      <w:r w:rsidR="00FA7F08" w:rsidRPr="00481FF3">
        <w:rPr>
          <w:rFonts w:ascii="Times New Roman" w:hAnsi="Times New Roman" w:cs="Times New Roman"/>
          <w:color w:val="000000"/>
          <w:sz w:val="24"/>
          <w:szCs w:val="24"/>
        </w:rPr>
        <w:t xml:space="preserve"> with spectrum from the 2.5GHz band</w:t>
      </w:r>
      <w:r w:rsidRPr="00481FF3">
        <w:rPr>
          <w:rFonts w:ascii="Times New Roman" w:hAnsi="Times New Roman" w:cs="Times New Roman"/>
          <w:color w:val="000000"/>
          <w:sz w:val="24"/>
          <w:szCs w:val="24"/>
        </w:rPr>
        <w:t>) by auction</w:t>
      </w:r>
      <w:r w:rsidR="00EE6717">
        <w:rPr>
          <w:rFonts w:ascii="Times New Roman" w:hAnsi="Times New Roman" w:cs="Times New Roman"/>
          <w:color w:val="000000"/>
          <w:sz w:val="24"/>
          <w:szCs w:val="24"/>
        </w:rPr>
        <w:t xml:space="preserve">, following a direction issued by </w:t>
      </w:r>
      <w:bookmarkStart w:id="0" w:name="_GoBack"/>
      <w:bookmarkEnd w:id="0"/>
      <w:r w:rsidR="00EE6717">
        <w:rPr>
          <w:rFonts w:ascii="Times New Roman" w:hAnsi="Times New Roman" w:cs="Times New Roman"/>
          <w:color w:val="000000"/>
          <w:sz w:val="24"/>
          <w:szCs w:val="24"/>
        </w:rPr>
        <w:t xml:space="preserve">the Minister to the ACMA on 19 November 2012 (the </w:t>
      </w:r>
      <w:r w:rsidR="00EE6717" w:rsidRPr="00EE6717">
        <w:rPr>
          <w:rFonts w:ascii="Times New Roman" w:hAnsi="Times New Roman" w:cs="Times New Roman"/>
          <w:i/>
          <w:color w:val="000000"/>
          <w:sz w:val="24"/>
          <w:szCs w:val="24"/>
        </w:rPr>
        <w:t>Australian Communications and Media Authority (Allocation Procedures – Reserve Prices) Direction No. 1 of 2012</w:t>
      </w:r>
      <w:r w:rsidR="00EE6717">
        <w:rPr>
          <w:rFonts w:ascii="Times New Roman" w:hAnsi="Times New Roman" w:cs="Times New Roman"/>
          <w:color w:val="000000"/>
          <w:sz w:val="24"/>
          <w:szCs w:val="24"/>
        </w:rPr>
        <w:t>).  This auction is due</w:t>
      </w:r>
      <w:r w:rsidRPr="00481FF3">
        <w:rPr>
          <w:rFonts w:ascii="Times New Roman" w:hAnsi="Times New Roman" w:cs="Times New Roman"/>
          <w:color w:val="000000"/>
          <w:sz w:val="24"/>
          <w:szCs w:val="24"/>
        </w:rPr>
        <w:t xml:space="preserve"> to be conducted</w:t>
      </w:r>
      <w:r w:rsidR="00FA7F08" w:rsidRPr="00481FF3">
        <w:rPr>
          <w:rFonts w:ascii="Times New Roman" w:hAnsi="Times New Roman" w:cs="Times New Roman"/>
          <w:color w:val="000000"/>
          <w:sz w:val="24"/>
          <w:szCs w:val="24"/>
        </w:rPr>
        <w:t xml:space="preserve"> in or about April 2013.</w:t>
      </w:r>
      <w:r w:rsidR="000F43C3" w:rsidRPr="000F43C3">
        <w:rPr>
          <w:rFonts w:ascii="Times New Roman" w:hAnsi="Times New Roman" w:cs="Times New Roman"/>
          <w:color w:val="000000" w:themeColor="text1"/>
          <w:sz w:val="24"/>
          <w:szCs w:val="24"/>
        </w:rPr>
        <w:t xml:space="preserve"> </w:t>
      </w:r>
    </w:p>
    <w:p w:rsidR="00204EC9" w:rsidRDefault="00204EC9" w:rsidP="000F43C3">
      <w:pPr>
        <w:spacing w:before="0" w:line="240" w:lineRule="auto"/>
        <w:rPr>
          <w:rFonts w:ascii="Times New Roman" w:hAnsi="Times New Roman" w:cs="Times New Roman"/>
          <w:color w:val="000000" w:themeColor="text1"/>
          <w:sz w:val="24"/>
          <w:szCs w:val="24"/>
        </w:rPr>
      </w:pPr>
    </w:p>
    <w:p w:rsidR="000F43C3" w:rsidRDefault="000F43C3" w:rsidP="000F43C3">
      <w:pPr>
        <w:spacing w:before="0" w:line="240" w:lineRule="auto"/>
        <w:rPr>
          <w:rFonts w:ascii="Times New Roman" w:hAnsi="Times New Roman"/>
          <w:sz w:val="24"/>
          <w:szCs w:val="24"/>
        </w:rPr>
      </w:pPr>
      <w:r w:rsidRPr="00C02459">
        <w:rPr>
          <w:rFonts w:ascii="Times New Roman" w:hAnsi="Times New Roman" w:cs="Times New Roman"/>
          <w:color w:val="000000" w:themeColor="text1"/>
          <w:sz w:val="24"/>
          <w:szCs w:val="24"/>
        </w:rPr>
        <w:lastRenderedPageBreak/>
        <w:t xml:space="preserve">Consistent with the </w:t>
      </w:r>
      <w:r w:rsidRPr="00481FF3">
        <w:rPr>
          <w:rFonts w:ascii="Times New Roman" w:hAnsi="Times New Roman"/>
          <w:sz w:val="24"/>
          <w:szCs w:val="24"/>
        </w:rPr>
        <w:t>Principal Direction</w:t>
      </w:r>
      <w:r>
        <w:rPr>
          <w:rFonts w:ascii="Times New Roman" w:hAnsi="Times New Roman"/>
          <w:sz w:val="24"/>
          <w:szCs w:val="24"/>
        </w:rPr>
        <w:t>, this Direction is</w:t>
      </w:r>
      <w:r w:rsidR="00316CBB">
        <w:rPr>
          <w:rFonts w:ascii="Times New Roman" w:hAnsi="Times New Roman"/>
          <w:sz w:val="24"/>
          <w:szCs w:val="24"/>
        </w:rPr>
        <w:t xml:space="preserve"> a</w:t>
      </w:r>
      <w:r>
        <w:rPr>
          <w:rFonts w:ascii="Times New Roman" w:hAnsi="Times New Roman"/>
          <w:sz w:val="24"/>
          <w:szCs w:val="24"/>
        </w:rPr>
        <w:t xml:space="preserve"> </w:t>
      </w:r>
      <w:r w:rsidR="000E14E7">
        <w:rPr>
          <w:rFonts w:ascii="Times New Roman" w:hAnsi="Times New Roman"/>
          <w:sz w:val="24"/>
          <w:szCs w:val="24"/>
        </w:rPr>
        <w:t>legislative</w:t>
      </w:r>
      <w:r>
        <w:rPr>
          <w:rFonts w:ascii="Times New Roman" w:hAnsi="Times New Roman"/>
          <w:sz w:val="24"/>
          <w:szCs w:val="24"/>
        </w:rPr>
        <w:t xml:space="preserve"> instrument under the </w:t>
      </w:r>
      <w:r w:rsidRPr="00C02459">
        <w:rPr>
          <w:rFonts w:ascii="Times New Roman" w:hAnsi="Times New Roman"/>
          <w:i/>
          <w:sz w:val="24"/>
          <w:szCs w:val="24"/>
        </w:rPr>
        <w:t>Legislative Instruments Act 2003</w:t>
      </w:r>
      <w:r w:rsidR="000E14E7">
        <w:rPr>
          <w:rFonts w:ascii="Times New Roman" w:hAnsi="Times New Roman"/>
          <w:sz w:val="24"/>
          <w:szCs w:val="24"/>
        </w:rPr>
        <w:t xml:space="preserve"> but is not subject to disallowance: item 41 of the table in subsection 44(2) of that Act specifies that ministerial directions to any person or body are not subject to disallowance</w:t>
      </w:r>
      <w:r>
        <w:rPr>
          <w:rFonts w:ascii="Times New Roman" w:hAnsi="Times New Roman"/>
          <w:sz w:val="24"/>
          <w:szCs w:val="24"/>
        </w:rPr>
        <w:t xml:space="preserve">.  </w:t>
      </w:r>
    </w:p>
    <w:p w:rsidR="00FA7F08" w:rsidRDefault="00FA7F08" w:rsidP="004577E7">
      <w:pPr>
        <w:spacing w:before="0" w:line="240" w:lineRule="auto"/>
        <w:rPr>
          <w:rFonts w:ascii="Times New Roman" w:hAnsi="Times New Roman" w:cs="Times New Roman"/>
          <w:color w:val="000000"/>
          <w:sz w:val="24"/>
          <w:szCs w:val="24"/>
        </w:rPr>
      </w:pPr>
    </w:p>
    <w:p w:rsidR="00B67EEE" w:rsidRDefault="00967585" w:rsidP="003421D8">
      <w:pPr>
        <w:keepNext/>
        <w:spacing w:before="0" w:line="240" w:lineRule="auto"/>
        <w:rPr>
          <w:rFonts w:ascii="Times New Roman" w:hAnsi="Times New Roman" w:cs="Times New Roman"/>
          <w:i/>
          <w:color w:val="000000"/>
          <w:sz w:val="24"/>
          <w:szCs w:val="24"/>
        </w:rPr>
      </w:pPr>
      <w:r w:rsidRPr="00967585">
        <w:rPr>
          <w:rFonts w:ascii="Times New Roman" w:hAnsi="Times New Roman" w:cs="Times New Roman"/>
          <w:i/>
          <w:color w:val="000000"/>
          <w:sz w:val="24"/>
          <w:szCs w:val="24"/>
        </w:rPr>
        <w:t>Definition of ‘associate’</w:t>
      </w:r>
    </w:p>
    <w:p w:rsidR="00B67EEE" w:rsidRDefault="00B67EEE" w:rsidP="003421D8">
      <w:pPr>
        <w:keepNext/>
        <w:spacing w:before="0" w:line="240" w:lineRule="auto"/>
        <w:rPr>
          <w:rFonts w:ascii="Times New Roman" w:hAnsi="Times New Roman" w:cs="Times New Roman"/>
          <w:color w:val="000000"/>
          <w:sz w:val="24"/>
          <w:szCs w:val="24"/>
        </w:rPr>
      </w:pPr>
    </w:p>
    <w:p w:rsidR="004577E7" w:rsidRPr="004577E7" w:rsidRDefault="004577E7" w:rsidP="004577E7">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Between</w:t>
      </w:r>
      <w:r w:rsidR="00B76BED">
        <w:rPr>
          <w:rFonts w:ascii="Times New Roman" w:hAnsi="Times New Roman" w:cs="Times New Roman"/>
          <w:color w:val="000000"/>
          <w:sz w:val="24"/>
          <w:szCs w:val="24"/>
        </w:rPr>
        <w:t xml:space="preserve"> April 2012 and </w:t>
      </w:r>
      <w:r w:rsidR="00316CBB">
        <w:rPr>
          <w:rFonts w:ascii="Times New Roman" w:hAnsi="Times New Roman" w:cs="Times New Roman"/>
          <w:color w:val="000000"/>
          <w:sz w:val="24"/>
          <w:szCs w:val="24"/>
        </w:rPr>
        <w:t>September</w:t>
      </w:r>
      <w:r w:rsidR="00B76BED">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 the ACMA</w:t>
      </w:r>
      <w:r w:rsidR="008C2838">
        <w:rPr>
          <w:rFonts w:ascii="Times New Roman" w:hAnsi="Times New Roman" w:cs="Times New Roman"/>
          <w:color w:val="000000"/>
          <w:sz w:val="24"/>
          <w:szCs w:val="24"/>
        </w:rPr>
        <w:t xml:space="preserve"> publically consulted on </w:t>
      </w:r>
      <w:r w:rsidR="00B76BED">
        <w:rPr>
          <w:rFonts w:ascii="Times New Roman" w:hAnsi="Times New Roman" w:cs="Times New Roman"/>
          <w:color w:val="000000"/>
          <w:sz w:val="24"/>
          <w:szCs w:val="24"/>
        </w:rPr>
        <w:t xml:space="preserve">draft instruments in relation to the digital dividend auction, including in relation to </w:t>
      </w:r>
      <w:r w:rsidR="008C2838">
        <w:rPr>
          <w:rFonts w:ascii="Times New Roman" w:hAnsi="Times New Roman" w:cs="Times New Roman"/>
          <w:color w:val="000000"/>
          <w:sz w:val="24"/>
          <w:szCs w:val="24"/>
        </w:rPr>
        <w:t xml:space="preserve">its </w:t>
      </w:r>
      <w:r w:rsidR="008C2838">
        <w:rPr>
          <w:rFonts w:ascii="Times New Roman" w:hAnsi="Times New Roman" w:cs="Times New Roman"/>
          <w:color w:val="000000" w:themeColor="text1"/>
          <w:sz w:val="24"/>
          <w:szCs w:val="24"/>
        </w:rPr>
        <w:t xml:space="preserve">draft determination </w:t>
      </w:r>
      <w:r w:rsidR="000E14E7">
        <w:rPr>
          <w:rFonts w:ascii="Times New Roman" w:hAnsi="Times New Roman" w:cs="Times New Roman"/>
          <w:color w:val="000000" w:themeColor="text1"/>
          <w:sz w:val="24"/>
          <w:szCs w:val="24"/>
        </w:rPr>
        <w:t xml:space="preserve">to be </w:t>
      </w:r>
      <w:r w:rsidR="008C2838">
        <w:rPr>
          <w:rFonts w:ascii="Times New Roman" w:hAnsi="Times New Roman" w:cs="Times New Roman"/>
          <w:color w:val="000000" w:themeColor="text1"/>
          <w:sz w:val="24"/>
          <w:szCs w:val="24"/>
        </w:rPr>
        <w:t>made under section</w:t>
      </w:r>
      <w:r w:rsidR="00823047">
        <w:rPr>
          <w:rFonts w:ascii="Times New Roman" w:hAnsi="Times New Roman" w:cs="Times New Roman"/>
          <w:color w:val="000000" w:themeColor="text1"/>
          <w:sz w:val="24"/>
          <w:szCs w:val="24"/>
        </w:rPr>
        <w:t>s</w:t>
      </w:r>
      <w:r w:rsidR="008C2838">
        <w:rPr>
          <w:rFonts w:ascii="Times New Roman" w:hAnsi="Times New Roman" w:cs="Times New Roman"/>
          <w:color w:val="000000" w:themeColor="text1"/>
          <w:sz w:val="24"/>
          <w:szCs w:val="24"/>
        </w:rPr>
        <w:t xml:space="preserve"> 60 and </w:t>
      </w:r>
      <w:r w:rsidR="00164967">
        <w:rPr>
          <w:rFonts w:ascii="Times New Roman" w:hAnsi="Times New Roman" w:cs="Times New Roman"/>
          <w:color w:val="000000" w:themeColor="text1"/>
          <w:sz w:val="24"/>
          <w:szCs w:val="24"/>
        </w:rPr>
        <w:t xml:space="preserve">294 of the Act – </w:t>
      </w:r>
      <w:r w:rsidR="008C2838">
        <w:rPr>
          <w:rFonts w:ascii="Times New Roman" w:hAnsi="Times New Roman" w:cs="Times New Roman"/>
          <w:color w:val="000000" w:themeColor="text1"/>
          <w:sz w:val="24"/>
          <w:szCs w:val="24"/>
        </w:rPr>
        <w:t>the</w:t>
      </w:r>
      <w:r w:rsidR="00164967">
        <w:rPr>
          <w:rFonts w:ascii="Times New Roman" w:hAnsi="Times New Roman" w:cs="Times New Roman"/>
          <w:color w:val="000000" w:themeColor="text1"/>
          <w:sz w:val="24"/>
          <w:szCs w:val="24"/>
        </w:rPr>
        <w:t xml:space="preserve"> </w:t>
      </w:r>
      <w:proofErr w:type="spellStart"/>
      <w:r w:rsidR="008C2838" w:rsidRPr="009F3E6F">
        <w:rPr>
          <w:rFonts w:ascii="Times New Roman" w:hAnsi="Times New Roman" w:cs="Times New Roman"/>
          <w:i/>
          <w:color w:val="000000" w:themeColor="text1"/>
          <w:sz w:val="24"/>
          <w:szCs w:val="24"/>
        </w:rPr>
        <w:t>Radiocommunications</w:t>
      </w:r>
      <w:proofErr w:type="spellEnd"/>
      <w:r w:rsidR="008C2838" w:rsidRPr="009F3E6F">
        <w:rPr>
          <w:rFonts w:ascii="Times New Roman" w:hAnsi="Times New Roman" w:cs="Times New Roman"/>
          <w:i/>
          <w:color w:val="000000" w:themeColor="text1"/>
          <w:sz w:val="24"/>
          <w:szCs w:val="24"/>
        </w:rPr>
        <w:t xml:space="preserve"> (Spectrum Licence Allocation — Combinatorial Clock Auction) Determination 2012</w:t>
      </w:r>
      <w:r w:rsidR="00164967">
        <w:rPr>
          <w:rFonts w:ascii="Times New Roman" w:hAnsi="Times New Roman" w:cs="Times New Roman"/>
          <w:i/>
          <w:color w:val="000000" w:themeColor="text1"/>
          <w:sz w:val="24"/>
          <w:szCs w:val="24"/>
        </w:rPr>
        <w:t xml:space="preserve"> </w:t>
      </w:r>
      <w:r w:rsidR="00164967">
        <w:rPr>
          <w:rFonts w:ascii="Times New Roman" w:hAnsi="Times New Roman" w:cs="Times New Roman"/>
          <w:color w:val="000000" w:themeColor="text1"/>
          <w:sz w:val="24"/>
          <w:szCs w:val="24"/>
        </w:rPr>
        <w:t xml:space="preserve">(the  ACMA </w:t>
      </w:r>
      <w:r w:rsidR="00AE4975">
        <w:rPr>
          <w:rFonts w:ascii="Times New Roman" w:hAnsi="Times New Roman" w:cs="Times New Roman"/>
          <w:color w:val="000000" w:themeColor="text1"/>
          <w:sz w:val="24"/>
          <w:szCs w:val="24"/>
        </w:rPr>
        <w:t xml:space="preserve">Draft </w:t>
      </w:r>
      <w:r w:rsidR="00164967">
        <w:rPr>
          <w:rFonts w:ascii="Times New Roman" w:hAnsi="Times New Roman" w:cs="Times New Roman"/>
          <w:color w:val="000000" w:themeColor="text1"/>
          <w:sz w:val="24"/>
          <w:szCs w:val="24"/>
        </w:rPr>
        <w:t>Determination)</w:t>
      </w:r>
      <w:r w:rsidR="008C2838">
        <w:rPr>
          <w:rFonts w:ascii="Times New Roman" w:hAnsi="Times New Roman" w:cs="Times New Roman"/>
          <w:color w:val="000000" w:themeColor="text1"/>
          <w:sz w:val="24"/>
          <w:szCs w:val="24"/>
        </w:rPr>
        <w:t xml:space="preserve">.  </w:t>
      </w:r>
      <w:r w:rsidR="00164967">
        <w:rPr>
          <w:rFonts w:ascii="Times New Roman" w:hAnsi="Times New Roman" w:cs="Times New Roman"/>
          <w:color w:val="000000" w:themeColor="text1"/>
          <w:sz w:val="24"/>
          <w:szCs w:val="24"/>
        </w:rPr>
        <w:t xml:space="preserve">The ACMA Draft Determination </w:t>
      </w:r>
      <w:r w:rsidR="00481FF3">
        <w:rPr>
          <w:rFonts w:ascii="Times New Roman" w:hAnsi="Times New Roman" w:cs="Times New Roman"/>
          <w:color w:val="000000" w:themeColor="text1"/>
          <w:sz w:val="24"/>
          <w:szCs w:val="24"/>
        </w:rPr>
        <w:t xml:space="preserve">used </w:t>
      </w:r>
      <w:r w:rsidR="007D638A">
        <w:rPr>
          <w:rFonts w:ascii="Times New Roman" w:hAnsi="Times New Roman" w:cs="Times New Roman"/>
          <w:color w:val="000000" w:themeColor="text1"/>
          <w:sz w:val="24"/>
          <w:szCs w:val="24"/>
        </w:rPr>
        <w:t xml:space="preserve">the definition of ‘associate’ and ‘relevant agreement’ from the </w:t>
      </w:r>
      <w:r w:rsidR="00972190">
        <w:rPr>
          <w:rFonts w:ascii="Times New Roman" w:hAnsi="Times New Roman" w:cs="Times New Roman"/>
          <w:color w:val="000000" w:themeColor="text1"/>
          <w:sz w:val="24"/>
          <w:szCs w:val="24"/>
        </w:rPr>
        <w:t xml:space="preserve">Principal Direction.  </w:t>
      </w:r>
    </w:p>
    <w:p w:rsidR="00A2097D" w:rsidRDefault="00A2097D" w:rsidP="00BC2064">
      <w:pPr>
        <w:keepNext/>
        <w:keepLines/>
        <w:spacing w:before="0" w:line="240" w:lineRule="auto"/>
        <w:rPr>
          <w:rFonts w:ascii="Times New Roman" w:hAnsi="Times New Roman" w:cs="Times New Roman"/>
          <w:color w:val="000000" w:themeColor="text1"/>
          <w:sz w:val="24"/>
          <w:szCs w:val="24"/>
        </w:rPr>
      </w:pPr>
    </w:p>
    <w:p w:rsidR="00D5485C" w:rsidRDefault="00972190" w:rsidP="00BC2064">
      <w:pPr>
        <w:keepNext/>
        <w:keepLine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Submissions received in response to the ACMA</w:t>
      </w:r>
      <w:r w:rsidR="00B76BE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public consultation </w:t>
      </w:r>
      <w:r w:rsidR="00AE4975">
        <w:rPr>
          <w:rFonts w:ascii="Times New Roman" w:hAnsi="Times New Roman" w:cs="Times New Roman"/>
          <w:color w:val="000000" w:themeColor="text1"/>
          <w:sz w:val="24"/>
          <w:szCs w:val="24"/>
        </w:rPr>
        <w:t>expressed concern</w:t>
      </w:r>
      <w:r>
        <w:rPr>
          <w:rFonts w:ascii="Times New Roman" w:hAnsi="Times New Roman" w:cs="Times New Roman"/>
          <w:color w:val="000000" w:themeColor="text1"/>
          <w:sz w:val="24"/>
          <w:szCs w:val="24"/>
        </w:rPr>
        <w:t xml:space="preserve"> that</w:t>
      </w:r>
      <w:r w:rsidR="00D5485C">
        <w:rPr>
          <w:rFonts w:ascii="Times New Roman" w:hAnsi="Times New Roman" w:cs="Times New Roman"/>
          <w:color w:val="000000" w:themeColor="text1"/>
          <w:sz w:val="24"/>
          <w:szCs w:val="24"/>
        </w:rPr>
        <w:t xml:space="preserve"> there was a </w:t>
      </w:r>
      <w:r w:rsidR="00B76BED">
        <w:rPr>
          <w:rFonts w:ascii="Times New Roman" w:hAnsi="Times New Roman" w:cs="Times New Roman"/>
          <w:color w:val="000000" w:themeColor="text1"/>
          <w:sz w:val="24"/>
          <w:szCs w:val="24"/>
        </w:rPr>
        <w:t xml:space="preserve">lack of clarity around certain </w:t>
      </w:r>
      <w:r w:rsidR="00AE4975">
        <w:rPr>
          <w:rFonts w:ascii="Times New Roman" w:hAnsi="Times New Roman" w:cs="Times New Roman"/>
          <w:color w:val="000000" w:themeColor="text1"/>
          <w:sz w:val="24"/>
          <w:szCs w:val="24"/>
        </w:rPr>
        <w:t>aspects of</w:t>
      </w:r>
      <w:r w:rsidR="00B76BED">
        <w:rPr>
          <w:rFonts w:ascii="Times New Roman" w:hAnsi="Times New Roman" w:cs="Times New Roman"/>
          <w:color w:val="000000" w:themeColor="text1"/>
          <w:sz w:val="24"/>
          <w:szCs w:val="24"/>
        </w:rPr>
        <w:t xml:space="preserve"> the definition of ‘associate’</w:t>
      </w:r>
      <w:r w:rsidR="00AE4975">
        <w:rPr>
          <w:rFonts w:ascii="Times New Roman" w:hAnsi="Times New Roman" w:cs="Times New Roman"/>
          <w:color w:val="000000" w:themeColor="text1"/>
          <w:sz w:val="24"/>
          <w:szCs w:val="24"/>
        </w:rPr>
        <w:t xml:space="preserve"> used in the Principal Direction. </w:t>
      </w:r>
      <w:r w:rsidR="00D46523">
        <w:rPr>
          <w:rFonts w:ascii="Times New Roman" w:hAnsi="Times New Roman" w:cs="Times New Roman"/>
          <w:color w:val="000000" w:themeColor="text1"/>
          <w:sz w:val="24"/>
          <w:szCs w:val="24"/>
        </w:rPr>
        <w:t xml:space="preserve"> </w:t>
      </w:r>
      <w:r w:rsidR="00AE4975">
        <w:rPr>
          <w:rFonts w:ascii="Times New Roman" w:hAnsi="Times New Roman" w:cs="Times New Roman"/>
          <w:color w:val="000000" w:themeColor="text1"/>
          <w:sz w:val="24"/>
          <w:szCs w:val="24"/>
        </w:rPr>
        <w:t>In particular</w:t>
      </w:r>
      <w:r w:rsidR="00B76BED">
        <w:rPr>
          <w:rFonts w:ascii="Times New Roman" w:hAnsi="Times New Roman" w:cs="Times New Roman"/>
          <w:color w:val="000000" w:themeColor="text1"/>
          <w:sz w:val="24"/>
          <w:szCs w:val="24"/>
        </w:rPr>
        <w:t xml:space="preserve">, </w:t>
      </w:r>
      <w:r w:rsidR="004A4793">
        <w:rPr>
          <w:rFonts w:ascii="Times New Roman" w:hAnsi="Times New Roman" w:cs="Times New Roman"/>
          <w:color w:val="000000" w:themeColor="text1"/>
          <w:sz w:val="24"/>
          <w:szCs w:val="24"/>
        </w:rPr>
        <w:t>issues were raised in relation to the</w:t>
      </w:r>
      <w:r w:rsidR="00B76BED">
        <w:rPr>
          <w:rFonts w:ascii="Times New Roman" w:hAnsi="Times New Roman" w:cs="Times New Roman"/>
          <w:color w:val="000000" w:themeColor="text1"/>
          <w:sz w:val="24"/>
          <w:szCs w:val="24"/>
        </w:rPr>
        <w:t>:</w:t>
      </w:r>
    </w:p>
    <w:p w:rsidR="005E4D7F" w:rsidRDefault="009B010B" w:rsidP="00FD70DA">
      <w:pPr>
        <w:pStyle w:val="ListParagraph"/>
        <w:keepNext/>
        <w:keepLines/>
        <w:numPr>
          <w:ilvl w:val="0"/>
          <w:numId w:val="13"/>
        </w:numPr>
        <w:spacing w:before="120" w:after="120" w:line="240" w:lineRule="auto"/>
        <w:ind w:left="357" w:hanging="35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scope of the term ‘business partner’ as used </w:t>
      </w:r>
      <w:r w:rsidR="004A4793">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paragraphs (a) and (b)</w:t>
      </w:r>
      <w:r w:rsidR="004A4793">
        <w:rPr>
          <w:rFonts w:ascii="Times New Roman" w:hAnsi="Times New Roman" w:cs="Times New Roman"/>
          <w:color w:val="000000" w:themeColor="text1"/>
          <w:sz w:val="24"/>
          <w:szCs w:val="24"/>
        </w:rPr>
        <w:t xml:space="preserve"> of the definition of ‘associate’</w:t>
      </w:r>
      <w:r>
        <w:rPr>
          <w:rFonts w:ascii="Times New Roman" w:hAnsi="Times New Roman" w:cs="Times New Roman"/>
          <w:color w:val="000000" w:themeColor="text1"/>
          <w:sz w:val="24"/>
          <w:szCs w:val="24"/>
        </w:rPr>
        <w:t>; and</w:t>
      </w:r>
    </w:p>
    <w:p w:rsidR="009B010B" w:rsidRPr="009B010B" w:rsidRDefault="009B010B" w:rsidP="00FD70DA">
      <w:pPr>
        <w:pStyle w:val="ListParagraph"/>
        <w:keepNext/>
        <w:keepLines/>
        <w:numPr>
          <w:ilvl w:val="0"/>
          <w:numId w:val="13"/>
        </w:numPr>
        <w:spacing w:before="120" w:line="240" w:lineRule="auto"/>
        <w:ind w:left="357" w:hanging="35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types</w:t>
      </w:r>
      <w:proofErr w:type="gramEnd"/>
      <w:r>
        <w:rPr>
          <w:rFonts w:ascii="Times New Roman" w:hAnsi="Times New Roman" w:cs="Times New Roman"/>
          <w:color w:val="000000" w:themeColor="text1"/>
          <w:sz w:val="24"/>
          <w:szCs w:val="24"/>
        </w:rPr>
        <w:t xml:space="preserve"> of agreements intended to be covered by paragraph (c)</w:t>
      </w:r>
      <w:r w:rsidR="00FD70DA">
        <w:rPr>
          <w:rFonts w:ascii="Times New Roman" w:hAnsi="Times New Roman" w:cs="Times New Roman"/>
          <w:color w:val="000000" w:themeColor="text1"/>
          <w:sz w:val="24"/>
          <w:szCs w:val="24"/>
        </w:rPr>
        <w:t>(</w:t>
      </w:r>
      <w:proofErr w:type="spellStart"/>
      <w:r w:rsidR="00FD70DA">
        <w:rPr>
          <w:rFonts w:ascii="Times New Roman" w:hAnsi="Times New Roman" w:cs="Times New Roman"/>
          <w:color w:val="000000" w:themeColor="text1"/>
          <w:sz w:val="24"/>
          <w:szCs w:val="24"/>
        </w:rPr>
        <w:t>i</w:t>
      </w:r>
      <w:proofErr w:type="spellEnd"/>
      <w:r w:rsidR="00FD70DA">
        <w:rPr>
          <w:rFonts w:ascii="Times New Roman" w:hAnsi="Times New Roman" w:cs="Times New Roman"/>
          <w:color w:val="000000" w:themeColor="text1"/>
          <w:sz w:val="24"/>
          <w:szCs w:val="24"/>
        </w:rPr>
        <w:t>)</w:t>
      </w:r>
      <w:r w:rsidR="004A4793">
        <w:rPr>
          <w:rFonts w:ascii="Times New Roman" w:hAnsi="Times New Roman" w:cs="Times New Roman"/>
          <w:color w:val="000000" w:themeColor="text1"/>
          <w:sz w:val="24"/>
          <w:szCs w:val="24"/>
        </w:rPr>
        <w:t xml:space="preserve"> of the definition</w:t>
      </w:r>
      <w:r>
        <w:rPr>
          <w:rFonts w:ascii="Times New Roman" w:hAnsi="Times New Roman" w:cs="Times New Roman"/>
          <w:color w:val="000000" w:themeColor="text1"/>
          <w:sz w:val="24"/>
          <w:szCs w:val="24"/>
        </w:rPr>
        <w:t xml:space="preserve">.  </w:t>
      </w:r>
    </w:p>
    <w:p w:rsidR="005E4D7F" w:rsidRDefault="005E4D7F" w:rsidP="00BC2064">
      <w:pPr>
        <w:keepNext/>
        <w:keepLines/>
        <w:spacing w:before="0" w:line="240" w:lineRule="auto"/>
        <w:rPr>
          <w:rFonts w:ascii="Times New Roman" w:hAnsi="Times New Roman" w:cs="Times New Roman"/>
          <w:color w:val="000000" w:themeColor="text1"/>
          <w:sz w:val="24"/>
          <w:szCs w:val="24"/>
        </w:rPr>
      </w:pPr>
    </w:p>
    <w:p w:rsidR="00FD70DA" w:rsidRDefault="00FD70DA" w:rsidP="00BC2064">
      <w:pPr>
        <w:keepNext/>
        <w:keepLine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considering the submissions received and </w:t>
      </w:r>
      <w:r w:rsidR="004A4793">
        <w:rPr>
          <w:rFonts w:ascii="Times New Roman" w:hAnsi="Times New Roman" w:cs="Times New Roman"/>
          <w:color w:val="000000" w:themeColor="text1"/>
          <w:sz w:val="24"/>
          <w:szCs w:val="24"/>
        </w:rPr>
        <w:t xml:space="preserve">after </w:t>
      </w:r>
      <w:r>
        <w:rPr>
          <w:rFonts w:ascii="Times New Roman" w:hAnsi="Times New Roman" w:cs="Times New Roman"/>
          <w:color w:val="000000" w:themeColor="text1"/>
          <w:sz w:val="24"/>
          <w:szCs w:val="24"/>
        </w:rPr>
        <w:t xml:space="preserve">consulting </w:t>
      </w:r>
      <w:r w:rsidR="004A4793">
        <w:rPr>
          <w:rFonts w:ascii="Times New Roman" w:hAnsi="Times New Roman" w:cs="Times New Roman"/>
          <w:color w:val="000000" w:themeColor="text1"/>
          <w:sz w:val="24"/>
          <w:szCs w:val="24"/>
        </w:rPr>
        <w:t xml:space="preserve">further </w:t>
      </w:r>
      <w:r>
        <w:rPr>
          <w:rFonts w:ascii="Times New Roman" w:hAnsi="Times New Roman" w:cs="Times New Roman"/>
          <w:color w:val="000000" w:themeColor="text1"/>
          <w:sz w:val="24"/>
          <w:szCs w:val="24"/>
        </w:rPr>
        <w:t xml:space="preserve">with the ACMA on the intended scope of the term ‘associate’ as used in the Principal Direction, the </w:t>
      </w:r>
      <w:r w:rsidR="004A4793">
        <w:rPr>
          <w:rFonts w:ascii="Times New Roman" w:hAnsi="Times New Roman" w:cs="Times New Roman"/>
          <w:color w:val="000000" w:themeColor="text1"/>
          <w:sz w:val="24"/>
          <w:szCs w:val="24"/>
        </w:rPr>
        <w:t xml:space="preserve">Minister determined the most appropriate course of action is </w:t>
      </w:r>
      <w:r>
        <w:rPr>
          <w:rFonts w:ascii="Times New Roman" w:hAnsi="Times New Roman" w:cs="Times New Roman"/>
          <w:color w:val="000000" w:themeColor="text1"/>
          <w:sz w:val="24"/>
          <w:szCs w:val="24"/>
        </w:rPr>
        <w:t xml:space="preserve">to address these </w:t>
      </w:r>
      <w:r w:rsidR="007B0485">
        <w:rPr>
          <w:rFonts w:ascii="Times New Roman" w:hAnsi="Times New Roman" w:cs="Times New Roman"/>
          <w:color w:val="000000" w:themeColor="text1"/>
          <w:sz w:val="24"/>
          <w:szCs w:val="24"/>
        </w:rPr>
        <w:t>issue</w:t>
      </w:r>
      <w:r>
        <w:rPr>
          <w:rFonts w:ascii="Times New Roman" w:hAnsi="Times New Roman" w:cs="Times New Roman"/>
          <w:color w:val="000000" w:themeColor="text1"/>
          <w:sz w:val="24"/>
          <w:szCs w:val="24"/>
        </w:rPr>
        <w:t xml:space="preserve">s </w:t>
      </w:r>
      <w:r w:rsidR="004A4793">
        <w:rPr>
          <w:rFonts w:ascii="Times New Roman" w:hAnsi="Times New Roman" w:cs="Times New Roman"/>
          <w:color w:val="000000" w:themeColor="text1"/>
          <w:sz w:val="24"/>
          <w:szCs w:val="24"/>
        </w:rPr>
        <w:t>by amending</w:t>
      </w:r>
      <w:r>
        <w:rPr>
          <w:rFonts w:ascii="Times New Roman" w:hAnsi="Times New Roman" w:cs="Times New Roman"/>
          <w:color w:val="000000" w:themeColor="text1"/>
          <w:sz w:val="24"/>
          <w:szCs w:val="24"/>
        </w:rPr>
        <w:t xml:space="preserve"> the Principal Direction.  </w:t>
      </w:r>
    </w:p>
    <w:p w:rsidR="008C70B4" w:rsidRDefault="008C70B4" w:rsidP="00BC2064">
      <w:pPr>
        <w:keepNext/>
        <w:keepLines/>
        <w:spacing w:before="0" w:line="240" w:lineRule="auto"/>
        <w:rPr>
          <w:rFonts w:ascii="Times New Roman" w:hAnsi="Times New Roman" w:cs="Times New Roman"/>
          <w:color w:val="000000" w:themeColor="text1"/>
          <w:sz w:val="24"/>
          <w:szCs w:val="24"/>
        </w:rPr>
      </w:pPr>
    </w:p>
    <w:p w:rsidR="003421D8" w:rsidRDefault="003421D8" w:rsidP="003421D8">
      <w:pPr>
        <w:keepNext/>
        <w:spacing w:before="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Increase to the quantum of the limits </w:t>
      </w:r>
    </w:p>
    <w:p w:rsidR="003421D8" w:rsidRDefault="003421D8" w:rsidP="003421D8">
      <w:pPr>
        <w:keepNext/>
        <w:spacing w:before="0" w:line="240" w:lineRule="auto"/>
        <w:rPr>
          <w:rFonts w:ascii="Times New Roman" w:hAnsi="Times New Roman" w:cs="Times New Roman"/>
          <w:color w:val="000000"/>
          <w:sz w:val="24"/>
          <w:szCs w:val="24"/>
        </w:rPr>
      </w:pPr>
    </w:p>
    <w:p w:rsidR="008C5283" w:rsidRDefault="003421D8" w:rsidP="003421D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Further consideration has also been given to the amount of the competition limits.</w:t>
      </w:r>
    </w:p>
    <w:p w:rsidR="008C5283" w:rsidRDefault="003421D8" w:rsidP="003421D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421D8" w:rsidRDefault="005528BF" w:rsidP="003421D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003421D8">
        <w:rPr>
          <w:rFonts w:ascii="Times New Roman" w:hAnsi="Times New Roman" w:cs="Times New Roman"/>
          <w:color w:val="000000"/>
          <w:sz w:val="24"/>
          <w:szCs w:val="24"/>
        </w:rPr>
        <w:t xml:space="preserve">ompetition limits </w:t>
      </w:r>
      <w:r w:rsidR="008C5283">
        <w:rPr>
          <w:rFonts w:ascii="Times New Roman" w:hAnsi="Times New Roman" w:cs="Times New Roman"/>
          <w:color w:val="000000"/>
          <w:sz w:val="24"/>
          <w:szCs w:val="24"/>
        </w:rPr>
        <w:t>have been</w:t>
      </w:r>
      <w:r>
        <w:rPr>
          <w:rFonts w:ascii="Times New Roman" w:hAnsi="Times New Roman" w:cs="Times New Roman"/>
          <w:color w:val="000000"/>
          <w:sz w:val="24"/>
          <w:szCs w:val="24"/>
        </w:rPr>
        <w:t xml:space="preserve"> </w:t>
      </w:r>
      <w:r w:rsidR="003421D8">
        <w:rPr>
          <w:rFonts w:ascii="Times New Roman" w:hAnsi="Times New Roman" w:cs="Times New Roman"/>
          <w:color w:val="000000"/>
          <w:sz w:val="24"/>
          <w:szCs w:val="24"/>
        </w:rPr>
        <w:t>imposed to prevent the spectrum being monopolised. </w:t>
      </w:r>
      <w:r w:rsidR="008C5283">
        <w:rPr>
          <w:rFonts w:ascii="Times New Roman" w:hAnsi="Times New Roman" w:cs="Times New Roman"/>
          <w:color w:val="000000"/>
          <w:sz w:val="24"/>
          <w:szCs w:val="24"/>
        </w:rPr>
        <w:t xml:space="preserve"> </w:t>
      </w:r>
      <w:r w:rsidR="003421D8">
        <w:rPr>
          <w:rFonts w:ascii="Times New Roman" w:hAnsi="Times New Roman" w:cs="Times New Roman"/>
          <w:color w:val="000000"/>
          <w:sz w:val="24"/>
          <w:szCs w:val="24"/>
        </w:rPr>
        <w:t xml:space="preserve">The quantum of the competition limits has been amended to enable greater flexibility in terms of </w:t>
      </w:r>
      <w:r>
        <w:rPr>
          <w:rFonts w:ascii="Times New Roman" w:hAnsi="Times New Roman" w:cs="Times New Roman"/>
          <w:color w:val="000000"/>
          <w:sz w:val="24"/>
          <w:szCs w:val="24"/>
        </w:rPr>
        <w:t>different market</w:t>
      </w:r>
      <w:r w:rsidR="003421D8">
        <w:rPr>
          <w:rFonts w:ascii="Times New Roman" w:hAnsi="Times New Roman" w:cs="Times New Roman"/>
          <w:color w:val="000000"/>
          <w:sz w:val="24"/>
          <w:szCs w:val="24"/>
        </w:rPr>
        <w:t xml:space="preserve"> scenario</w:t>
      </w:r>
      <w:r>
        <w:rPr>
          <w:rFonts w:ascii="Times New Roman" w:hAnsi="Times New Roman" w:cs="Times New Roman"/>
          <w:color w:val="000000"/>
          <w:sz w:val="24"/>
          <w:szCs w:val="24"/>
        </w:rPr>
        <w:t>s</w:t>
      </w:r>
      <w:r w:rsidR="003421D8">
        <w:rPr>
          <w:rFonts w:ascii="Times New Roman" w:hAnsi="Times New Roman" w:cs="Times New Roman"/>
          <w:color w:val="000000"/>
          <w:sz w:val="24"/>
          <w:szCs w:val="24"/>
        </w:rPr>
        <w:t xml:space="preserve"> without precluding a new entrant and yet still preventing the spectrum from being monopolised.  The amended limits </w:t>
      </w:r>
      <w:r>
        <w:rPr>
          <w:rFonts w:ascii="Times New Roman" w:hAnsi="Times New Roman" w:cs="Times New Roman"/>
          <w:color w:val="000000"/>
          <w:sz w:val="24"/>
          <w:szCs w:val="24"/>
        </w:rPr>
        <w:t xml:space="preserve">will </w:t>
      </w:r>
      <w:r w:rsidR="003421D8">
        <w:rPr>
          <w:rFonts w:ascii="Times New Roman" w:hAnsi="Times New Roman" w:cs="Times New Roman"/>
          <w:color w:val="000000"/>
          <w:sz w:val="24"/>
          <w:szCs w:val="24"/>
        </w:rPr>
        <w:t>continue to ensure an appropriate balance is maintained between competition in the downstream markets and economic efficiency.</w:t>
      </w:r>
    </w:p>
    <w:p w:rsidR="003421D8" w:rsidRDefault="003421D8" w:rsidP="003421D8">
      <w:pPr>
        <w:spacing w:before="0" w:line="240" w:lineRule="auto"/>
        <w:rPr>
          <w:rFonts w:ascii="Times New Roman" w:hAnsi="Times New Roman" w:cs="Times New Roman"/>
          <w:color w:val="000000"/>
          <w:sz w:val="24"/>
          <w:szCs w:val="24"/>
        </w:rPr>
      </w:pPr>
    </w:p>
    <w:p w:rsidR="003421D8" w:rsidRDefault="003421D8" w:rsidP="003421D8">
      <w:pPr>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amended limits remain consistent with the advice provided by the ACCC in relation to the Principal Direction. </w:t>
      </w:r>
    </w:p>
    <w:p w:rsidR="003421D8" w:rsidRDefault="003421D8" w:rsidP="004C351A">
      <w:pPr>
        <w:spacing w:before="0" w:line="240" w:lineRule="auto"/>
        <w:rPr>
          <w:rFonts w:ascii="Times New Roman" w:hAnsi="Times New Roman" w:cs="Times New Roman"/>
          <w:color w:val="000000" w:themeColor="text1"/>
          <w:sz w:val="24"/>
          <w:szCs w:val="24"/>
        </w:rPr>
      </w:pPr>
    </w:p>
    <w:p w:rsidR="004B3952" w:rsidRPr="00C43FB8" w:rsidRDefault="00C43FB8" w:rsidP="00715007">
      <w:pPr>
        <w:keepNext/>
        <w:keepLines/>
        <w:spacing w:before="0" w:after="200" w:line="276" w:lineRule="auto"/>
        <w:rPr>
          <w:rFonts w:ascii="Times New Roman" w:hAnsi="Times New Roman" w:cs="Times New Roman"/>
          <w:b/>
          <w:color w:val="000000" w:themeColor="text1"/>
          <w:sz w:val="24"/>
          <w:szCs w:val="24"/>
        </w:rPr>
      </w:pPr>
      <w:r w:rsidRPr="00C43FB8">
        <w:rPr>
          <w:rFonts w:ascii="Times New Roman" w:hAnsi="Times New Roman" w:cs="Times New Roman"/>
          <w:b/>
          <w:color w:val="000000" w:themeColor="text1"/>
          <w:sz w:val="24"/>
          <w:szCs w:val="24"/>
        </w:rPr>
        <w:t>Consultation</w:t>
      </w:r>
      <w:r w:rsidR="006B4ED8">
        <w:rPr>
          <w:rFonts w:ascii="Times New Roman" w:hAnsi="Times New Roman" w:cs="Times New Roman"/>
          <w:b/>
          <w:color w:val="000000" w:themeColor="text1"/>
          <w:sz w:val="24"/>
          <w:szCs w:val="24"/>
        </w:rPr>
        <w:t xml:space="preserve"> </w:t>
      </w:r>
    </w:p>
    <w:p w:rsidR="00416A29" w:rsidRDefault="004A4793" w:rsidP="00715007">
      <w:pPr>
        <w:keepNext/>
        <w:keepLine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9975E6" w:rsidRPr="00FD70DA">
        <w:rPr>
          <w:rFonts w:ascii="Times New Roman" w:hAnsi="Times New Roman" w:cs="Times New Roman"/>
          <w:color w:val="000000" w:themeColor="text1"/>
          <w:sz w:val="24"/>
          <w:szCs w:val="24"/>
        </w:rPr>
        <w:t>ACMA</w:t>
      </w:r>
      <w:r w:rsidR="009F3E6F" w:rsidRPr="00FD70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w:t>
      </w:r>
      <w:r w:rsidR="002716F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been </w:t>
      </w:r>
      <w:r w:rsidR="009F3E6F" w:rsidRPr="00FD70DA">
        <w:rPr>
          <w:rFonts w:ascii="Times New Roman" w:hAnsi="Times New Roman" w:cs="Times New Roman"/>
          <w:color w:val="000000" w:themeColor="text1"/>
          <w:sz w:val="24"/>
          <w:szCs w:val="24"/>
        </w:rPr>
        <w:t xml:space="preserve">consulted in </w:t>
      </w:r>
      <w:r w:rsidR="009975E6" w:rsidRPr="00FD70DA">
        <w:rPr>
          <w:rFonts w:ascii="Times New Roman" w:hAnsi="Times New Roman" w:cs="Times New Roman"/>
          <w:color w:val="000000" w:themeColor="text1"/>
          <w:sz w:val="24"/>
          <w:szCs w:val="24"/>
        </w:rPr>
        <w:t>relation to this Direction</w:t>
      </w:r>
      <w:r w:rsidR="00FB1E42">
        <w:rPr>
          <w:rFonts w:ascii="Times New Roman" w:hAnsi="Times New Roman" w:cs="Times New Roman"/>
          <w:color w:val="000000" w:themeColor="text1"/>
          <w:sz w:val="24"/>
          <w:szCs w:val="24"/>
        </w:rPr>
        <w:t xml:space="preserve">.  In respect </w:t>
      </w:r>
      <w:r w:rsidR="000E14E7">
        <w:rPr>
          <w:rFonts w:ascii="Times New Roman" w:hAnsi="Times New Roman" w:cs="Times New Roman"/>
          <w:color w:val="000000" w:themeColor="text1"/>
          <w:sz w:val="24"/>
          <w:szCs w:val="24"/>
        </w:rPr>
        <w:t>of</w:t>
      </w:r>
      <w:r w:rsidR="00FB1E42">
        <w:rPr>
          <w:rFonts w:ascii="Times New Roman" w:hAnsi="Times New Roman" w:cs="Times New Roman"/>
          <w:color w:val="000000" w:themeColor="text1"/>
          <w:sz w:val="24"/>
          <w:szCs w:val="24"/>
        </w:rPr>
        <w:t xml:space="preserve"> the ‘associates’</w:t>
      </w:r>
      <w:r w:rsidR="000E14E7">
        <w:rPr>
          <w:rFonts w:ascii="Times New Roman" w:hAnsi="Times New Roman" w:cs="Times New Roman"/>
          <w:color w:val="000000" w:themeColor="text1"/>
          <w:sz w:val="24"/>
          <w:szCs w:val="24"/>
        </w:rPr>
        <w:t xml:space="preserve"> </w:t>
      </w:r>
      <w:r w:rsidR="00FB1E42">
        <w:rPr>
          <w:rFonts w:ascii="Times New Roman" w:hAnsi="Times New Roman" w:cs="Times New Roman"/>
          <w:color w:val="000000" w:themeColor="text1"/>
          <w:sz w:val="24"/>
          <w:szCs w:val="24"/>
        </w:rPr>
        <w:t>definition</w:t>
      </w:r>
      <w:r>
        <w:rPr>
          <w:rFonts w:ascii="Times New Roman" w:hAnsi="Times New Roman" w:cs="Times New Roman"/>
          <w:color w:val="000000" w:themeColor="text1"/>
          <w:sz w:val="24"/>
          <w:szCs w:val="24"/>
        </w:rPr>
        <w:t xml:space="preserve">, </w:t>
      </w:r>
      <w:r w:rsidR="00FB1E42">
        <w:rPr>
          <w:rFonts w:ascii="Times New Roman" w:hAnsi="Times New Roman" w:cs="Times New Roman"/>
          <w:color w:val="000000" w:themeColor="text1"/>
          <w:sz w:val="24"/>
          <w:szCs w:val="24"/>
        </w:rPr>
        <w:t xml:space="preserve">this </w:t>
      </w:r>
      <w:r w:rsidR="009975E6" w:rsidRPr="00FD70DA">
        <w:rPr>
          <w:rFonts w:ascii="Times New Roman" w:hAnsi="Times New Roman" w:cs="Times New Roman"/>
          <w:color w:val="000000" w:themeColor="text1"/>
          <w:sz w:val="24"/>
          <w:szCs w:val="24"/>
        </w:rPr>
        <w:t>follow</w:t>
      </w:r>
      <w:r w:rsidR="00FB1E4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FB1E42">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from the earlier</w:t>
      </w:r>
      <w:r w:rsidR="009975E6" w:rsidRPr="00FD70DA">
        <w:rPr>
          <w:rFonts w:ascii="Times New Roman" w:hAnsi="Times New Roman" w:cs="Times New Roman"/>
          <w:color w:val="000000" w:themeColor="text1"/>
          <w:sz w:val="24"/>
          <w:szCs w:val="24"/>
        </w:rPr>
        <w:t xml:space="preserve"> </w:t>
      </w:r>
      <w:r w:rsidR="009F3E6F" w:rsidRPr="00FD70DA">
        <w:rPr>
          <w:rFonts w:ascii="Times New Roman" w:hAnsi="Times New Roman" w:cs="Times New Roman"/>
          <w:color w:val="000000" w:themeColor="text1"/>
          <w:sz w:val="24"/>
          <w:szCs w:val="24"/>
        </w:rPr>
        <w:t xml:space="preserve">public </w:t>
      </w:r>
      <w:r w:rsidR="009975E6" w:rsidRPr="00FD70DA">
        <w:rPr>
          <w:rFonts w:ascii="Times New Roman" w:hAnsi="Times New Roman" w:cs="Times New Roman"/>
          <w:color w:val="000000" w:themeColor="text1"/>
          <w:sz w:val="24"/>
          <w:szCs w:val="24"/>
        </w:rPr>
        <w:t>consultation</w:t>
      </w:r>
      <w:r w:rsidR="009F3E6F" w:rsidRPr="00FD70DA">
        <w:rPr>
          <w:rFonts w:ascii="Times New Roman" w:hAnsi="Times New Roman" w:cs="Times New Roman"/>
          <w:color w:val="000000" w:themeColor="text1"/>
          <w:sz w:val="24"/>
          <w:szCs w:val="24"/>
        </w:rPr>
        <w:t xml:space="preserve"> </w:t>
      </w:r>
      <w:r w:rsidR="009975E6" w:rsidRPr="00FD70DA">
        <w:rPr>
          <w:rFonts w:ascii="Times New Roman" w:hAnsi="Times New Roman" w:cs="Times New Roman"/>
          <w:color w:val="000000" w:themeColor="text1"/>
          <w:sz w:val="24"/>
          <w:szCs w:val="24"/>
        </w:rPr>
        <w:t>undertaken by the ACMA</w:t>
      </w:r>
      <w:r w:rsidR="00F902F7">
        <w:rPr>
          <w:rFonts w:ascii="Times New Roman" w:hAnsi="Times New Roman" w:cs="Times New Roman"/>
          <w:color w:val="000000" w:themeColor="text1"/>
          <w:sz w:val="24"/>
          <w:szCs w:val="24"/>
        </w:rPr>
        <w:t>, in relation to the ACMA Draft Determination.</w:t>
      </w:r>
      <w:r w:rsidR="00FB1E42">
        <w:rPr>
          <w:rFonts w:ascii="Times New Roman" w:hAnsi="Times New Roman" w:cs="Times New Roman"/>
          <w:color w:val="000000" w:themeColor="text1"/>
          <w:sz w:val="24"/>
          <w:szCs w:val="24"/>
        </w:rPr>
        <w:t xml:space="preserve">  The ACCC was consulted on the amount of the limits in relation to the Principal Direction.</w:t>
      </w:r>
      <w:r w:rsidR="00F902F7">
        <w:rPr>
          <w:rFonts w:ascii="Times New Roman" w:hAnsi="Times New Roman" w:cs="Times New Roman"/>
          <w:color w:val="000000" w:themeColor="text1"/>
          <w:sz w:val="24"/>
          <w:szCs w:val="24"/>
        </w:rPr>
        <w:t xml:space="preserve">  </w:t>
      </w:r>
      <w:r w:rsidR="009975E6" w:rsidRPr="00FD70DA">
        <w:rPr>
          <w:rFonts w:ascii="Times New Roman" w:hAnsi="Times New Roman" w:cs="Times New Roman"/>
          <w:color w:val="000000" w:themeColor="text1"/>
          <w:sz w:val="24"/>
          <w:szCs w:val="24"/>
        </w:rPr>
        <w:t xml:space="preserve"> </w:t>
      </w:r>
    </w:p>
    <w:p w:rsidR="004B3952" w:rsidRDefault="004B3952" w:rsidP="004B3952">
      <w:pPr>
        <w:spacing w:before="0" w:line="240" w:lineRule="auto"/>
        <w:rPr>
          <w:rFonts w:ascii="Times New Roman" w:hAnsi="Times New Roman" w:cs="Times New Roman"/>
          <w:color w:val="000000" w:themeColor="text1"/>
          <w:sz w:val="24"/>
          <w:szCs w:val="24"/>
        </w:rPr>
      </w:pPr>
    </w:p>
    <w:p w:rsidR="00FD0132" w:rsidRDefault="00285856" w:rsidP="00BC2064">
      <w:pPr>
        <w:spacing w:before="0" w:after="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Regulatory i</w:t>
      </w:r>
      <w:r w:rsidR="00C07036" w:rsidRPr="00C07036">
        <w:rPr>
          <w:rFonts w:ascii="Times New Roman" w:hAnsi="Times New Roman" w:cs="Times New Roman"/>
          <w:b/>
          <w:color w:val="000000" w:themeColor="text1"/>
          <w:sz w:val="24"/>
          <w:szCs w:val="24"/>
        </w:rPr>
        <w:t>mpact</w:t>
      </w:r>
    </w:p>
    <w:p w:rsidR="001C1AEF" w:rsidRDefault="001C1AEF" w:rsidP="001C1AEF">
      <w:pPr>
        <w:spacing w:before="0" w:after="24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An addendum to the Regulation Impact Statement prepared for the Principal Direction has been</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assessed by the Office of Best Practice Regulation as adequate against best practice regulation requirements. </w:t>
      </w:r>
    </w:p>
    <w:p w:rsidR="00D31508" w:rsidRDefault="00BE49E5" w:rsidP="004C4F64">
      <w:pPr>
        <w:spacing w:before="0" w:line="240" w:lineRule="auto"/>
        <w:rPr>
          <w:rFonts w:ascii="Times New Roman" w:hAnsi="Times New Roman" w:cs="Times New Roman"/>
          <w:b/>
          <w:color w:val="000000" w:themeColor="text1"/>
          <w:sz w:val="24"/>
          <w:szCs w:val="24"/>
        </w:rPr>
      </w:pPr>
      <w:r w:rsidRPr="00BE49E5">
        <w:rPr>
          <w:rFonts w:ascii="Times New Roman" w:hAnsi="Times New Roman" w:cs="Times New Roman"/>
          <w:b/>
          <w:color w:val="000000" w:themeColor="text1"/>
          <w:sz w:val="24"/>
          <w:szCs w:val="24"/>
        </w:rPr>
        <w:t>Notes on Sections</w:t>
      </w:r>
    </w:p>
    <w:p w:rsidR="004C4F64" w:rsidRDefault="004C4F64" w:rsidP="004C4F64">
      <w:pPr>
        <w:spacing w:before="0" w:line="240" w:lineRule="auto"/>
        <w:rPr>
          <w:rFonts w:ascii="Times New Roman" w:hAnsi="Times New Roman" w:cs="Times New Roman"/>
          <w:b/>
          <w:color w:val="000000" w:themeColor="text1"/>
          <w:sz w:val="24"/>
          <w:szCs w:val="24"/>
        </w:rPr>
      </w:pPr>
    </w:p>
    <w:p w:rsidR="009058F8" w:rsidRPr="009058F8" w:rsidRDefault="00BE49E5" w:rsidP="004C4F64">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1</w:t>
      </w:r>
      <w:r w:rsidR="00CC5F6C" w:rsidRPr="00974448">
        <w:rPr>
          <w:rFonts w:ascii="Times New Roman" w:hAnsi="Times New Roman" w:cs="Times New Roman"/>
          <w:color w:val="000000" w:themeColor="text1"/>
          <w:sz w:val="24"/>
          <w:szCs w:val="24"/>
        </w:rPr>
        <w:t xml:space="preserve"> provides th</w:t>
      </w:r>
      <w:r w:rsidR="00CC5F6C" w:rsidRPr="00021401">
        <w:rPr>
          <w:rFonts w:ascii="Times New Roman" w:hAnsi="Times New Roman" w:cs="Times New Roman"/>
          <w:color w:val="000000" w:themeColor="text1"/>
          <w:sz w:val="24"/>
          <w:szCs w:val="24"/>
        </w:rPr>
        <w:t>at the name</w:t>
      </w:r>
      <w:r w:rsidR="009C7562" w:rsidRPr="00021401">
        <w:rPr>
          <w:rFonts w:ascii="Times New Roman" w:hAnsi="Times New Roman" w:cs="Times New Roman"/>
          <w:color w:val="000000" w:themeColor="text1"/>
          <w:sz w:val="24"/>
          <w:szCs w:val="24"/>
        </w:rPr>
        <w:t xml:space="preserve"> </w:t>
      </w:r>
      <w:r w:rsidR="00AB4684" w:rsidRPr="00021401">
        <w:rPr>
          <w:rFonts w:ascii="Times New Roman" w:hAnsi="Times New Roman" w:cs="Times New Roman"/>
          <w:color w:val="000000" w:themeColor="text1"/>
          <w:sz w:val="24"/>
          <w:szCs w:val="24"/>
        </w:rPr>
        <w:t xml:space="preserve">of the </w:t>
      </w:r>
      <w:r w:rsidR="00CB7F3F" w:rsidRPr="00021401">
        <w:rPr>
          <w:rFonts w:ascii="Times New Roman" w:hAnsi="Times New Roman" w:cs="Times New Roman"/>
          <w:color w:val="000000" w:themeColor="text1"/>
          <w:sz w:val="24"/>
          <w:szCs w:val="24"/>
        </w:rPr>
        <w:t>Direction</w:t>
      </w:r>
      <w:r w:rsidR="009058F8" w:rsidRPr="00021401">
        <w:rPr>
          <w:rFonts w:ascii="Times New Roman" w:hAnsi="Times New Roman" w:cs="Times New Roman"/>
          <w:color w:val="000000" w:themeColor="text1"/>
          <w:sz w:val="24"/>
          <w:szCs w:val="24"/>
        </w:rPr>
        <w:t xml:space="preserve"> is the </w:t>
      </w:r>
      <w:proofErr w:type="spellStart"/>
      <w:r w:rsidR="00924EC1" w:rsidRPr="00021401">
        <w:rPr>
          <w:rFonts w:ascii="Times New Roman" w:hAnsi="Times New Roman"/>
          <w:i/>
          <w:sz w:val="24"/>
          <w:szCs w:val="24"/>
        </w:rPr>
        <w:t>Radiocommunications</w:t>
      </w:r>
      <w:proofErr w:type="spellEnd"/>
      <w:r w:rsidR="00924EC1" w:rsidRPr="00021401">
        <w:rPr>
          <w:rFonts w:ascii="Times New Roman" w:hAnsi="Times New Roman"/>
          <w:i/>
          <w:sz w:val="24"/>
          <w:szCs w:val="24"/>
        </w:rPr>
        <w:t xml:space="preserve"> (Spectrum Licence Limits) Direction No. 1 of 2</w:t>
      </w:r>
      <w:r w:rsidR="00924EC1" w:rsidRPr="00D86AE1">
        <w:rPr>
          <w:rFonts w:ascii="Times New Roman" w:hAnsi="Times New Roman"/>
          <w:i/>
          <w:sz w:val="24"/>
          <w:szCs w:val="24"/>
        </w:rPr>
        <w:t>012 (Amendment No. 1 of 2012</w:t>
      </w:r>
      <w:r w:rsidR="00924EC1">
        <w:rPr>
          <w:rFonts w:ascii="Times New Roman" w:hAnsi="Times New Roman"/>
          <w:i/>
          <w:sz w:val="24"/>
          <w:szCs w:val="24"/>
        </w:rPr>
        <w:t>)</w:t>
      </w:r>
      <w:r w:rsidR="00924EC1">
        <w:rPr>
          <w:rFonts w:ascii="Times New Roman" w:hAnsi="Times New Roman"/>
          <w:sz w:val="24"/>
          <w:szCs w:val="24"/>
        </w:rPr>
        <w:t xml:space="preserve">.  </w:t>
      </w:r>
      <w:r w:rsidR="009058F8">
        <w:rPr>
          <w:rFonts w:ascii="Times New Roman" w:hAnsi="Times New Roman" w:cs="Times New Roman"/>
          <w:bCs/>
          <w:color w:val="000000" w:themeColor="text1"/>
          <w:sz w:val="24"/>
          <w:szCs w:val="24"/>
        </w:rPr>
        <w:t xml:space="preserve"> </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AB4684" w:rsidRDefault="00AB4684" w:rsidP="004C4F64">
      <w:pPr>
        <w:spacing w:before="0" w:line="240" w:lineRule="auto"/>
        <w:rPr>
          <w:rFonts w:ascii="Times New Roman" w:hAnsi="Times New Roman" w:cs="Times New Roman"/>
          <w:color w:val="000000" w:themeColor="text1"/>
          <w:sz w:val="24"/>
          <w:szCs w:val="24"/>
        </w:rPr>
      </w:pPr>
      <w:r w:rsidRPr="00974448">
        <w:rPr>
          <w:rFonts w:ascii="Times New Roman" w:hAnsi="Times New Roman" w:cs="Times New Roman"/>
          <w:b/>
          <w:color w:val="000000" w:themeColor="text1"/>
          <w:sz w:val="24"/>
          <w:szCs w:val="24"/>
        </w:rPr>
        <w:t>Section 2</w:t>
      </w:r>
      <w:r w:rsidR="00CC5F6C" w:rsidRPr="00974448">
        <w:rPr>
          <w:rFonts w:ascii="Times New Roman" w:hAnsi="Times New Roman" w:cs="Times New Roman"/>
          <w:color w:val="000000" w:themeColor="text1"/>
          <w:sz w:val="24"/>
          <w:szCs w:val="24"/>
        </w:rPr>
        <w:t xml:space="preserve"> </w:t>
      </w:r>
      <w:r w:rsidRPr="00974448">
        <w:rPr>
          <w:rFonts w:ascii="Times New Roman" w:hAnsi="Times New Roman" w:cs="Times New Roman"/>
          <w:color w:val="000000" w:themeColor="text1"/>
          <w:sz w:val="24"/>
          <w:szCs w:val="24"/>
        </w:rPr>
        <w:t xml:space="preserve">provides that the </w:t>
      </w:r>
      <w:r w:rsidR="00730E91">
        <w:rPr>
          <w:rFonts w:ascii="Times New Roman" w:hAnsi="Times New Roman" w:cs="Times New Roman"/>
          <w:color w:val="000000" w:themeColor="text1"/>
          <w:sz w:val="24"/>
          <w:szCs w:val="24"/>
        </w:rPr>
        <w:t>Direction</w:t>
      </w:r>
      <w:r w:rsidRPr="00974448">
        <w:rPr>
          <w:rFonts w:ascii="Times New Roman" w:hAnsi="Times New Roman" w:cs="Times New Roman"/>
          <w:color w:val="000000" w:themeColor="text1"/>
          <w:sz w:val="24"/>
          <w:szCs w:val="24"/>
        </w:rPr>
        <w:t xml:space="preserve"> </w:t>
      </w:r>
      <w:r w:rsidR="00880CFD" w:rsidRPr="00880CFD">
        <w:rPr>
          <w:rFonts w:ascii="Times New Roman" w:hAnsi="Times New Roman" w:cs="Times New Roman"/>
          <w:color w:val="000000" w:themeColor="text1"/>
          <w:sz w:val="24"/>
          <w:szCs w:val="24"/>
        </w:rPr>
        <w:t xml:space="preserve">commences </w:t>
      </w:r>
      <w:r w:rsidR="00924EC1" w:rsidRPr="00D86AE1">
        <w:rPr>
          <w:rFonts w:ascii="Times New Roman" w:hAnsi="Times New Roman"/>
          <w:sz w:val="24"/>
          <w:szCs w:val="24"/>
        </w:rPr>
        <w:t xml:space="preserve">on the day </w:t>
      </w:r>
      <w:r w:rsidR="0063223E">
        <w:rPr>
          <w:rFonts w:ascii="Times New Roman" w:hAnsi="Times New Roman"/>
          <w:sz w:val="24"/>
          <w:szCs w:val="24"/>
        </w:rPr>
        <w:t>it is made.</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CB6D25" w:rsidRPr="00974448" w:rsidRDefault="00BE49E5" w:rsidP="004C4F64">
      <w:pPr>
        <w:spacing w:before="0" w:line="240" w:lineRule="auto"/>
        <w:rPr>
          <w:rFonts w:ascii="Times New Roman" w:hAnsi="Times New Roman" w:cs="Times New Roman"/>
          <w:color w:val="000000" w:themeColor="text1"/>
          <w:sz w:val="24"/>
          <w:szCs w:val="24"/>
        </w:rPr>
      </w:pPr>
      <w:r w:rsidRPr="00BE49E5">
        <w:rPr>
          <w:rFonts w:ascii="Times New Roman" w:hAnsi="Times New Roman" w:cs="Times New Roman"/>
          <w:b/>
          <w:color w:val="000000" w:themeColor="text1"/>
          <w:sz w:val="24"/>
          <w:szCs w:val="24"/>
        </w:rPr>
        <w:t>Section 3</w:t>
      </w:r>
      <w:r w:rsidRPr="00BE49E5">
        <w:rPr>
          <w:rFonts w:ascii="Times New Roman" w:hAnsi="Times New Roman" w:cs="Times New Roman"/>
          <w:color w:val="000000" w:themeColor="text1"/>
          <w:sz w:val="24"/>
          <w:szCs w:val="24"/>
        </w:rPr>
        <w:t xml:space="preserve"> </w:t>
      </w:r>
      <w:r w:rsidR="009058F8">
        <w:rPr>
          <w:rFonts w:ascii="Times New Roman" w:hAnsi="Times New Roman" w:cs="Times New Roman"/>
          <w:color w:val="000000" w:themeColor="text1"/>
          <w:sz w:val="24"/>
          <w:szCs w:val="24"/>
        </w:rPr>
        <w:t xml:space="preserve">provides that the </w:t>
      </w:r>
      <w:r w:rsidR="00924EC1">
        <w:rPr>
          <w:rFonts w:ascii="Times New Roman" w:hAnsi="Times New Roman" w:cs="Times New Roman"/>
          <w:color w:val="000000" w:themeColor="text1"/>
          <w:sz w:val="24"/>
          <w:szCs w:val="24"/>
        </w:rPr>
        <w:t>Principal Direction</w:t>
      </w:r>
      <w:r w:rsidR="009058F8">
        <w:rPr>
          <w:rFonts w:ascii="Times New Roman" w:hAnsi="Times New Roman" w:cs="Times New Roman"/>
          <w:color w:val="000000" w:themeColor="text1"/>
          <w:sz w:val="24"/>
          <w:szCs w:val="24"/>
        </w:rPr>
        <w:t xml:space="preserve"> is amended as set out in the Schedule to th</w:t>
      </w:r>
      <w:r w:rsidR="00730E91">
        <w:rPr>
          <w:rFonts w:ascii="Times New Roman" w:hAnsi="Times New Roman" w:cs="Times New Roman"/>
          <w:color w:val="000000" w:themeColor="text1"/>
          <w:sz w:val="24"/>
          <w:szCs w:val="24"/>
        </w:rPr>
        <w:t>e</w:t>
      </w:r>
      <w:r w:rsidR="00924EC1">
        <w:rPr>
          <w:rFonts w:ascii="Times New Roman" w:hAnsi="Times New Roman" w:cs="Times New Roman"/>
          <w:color w:val="000000" w:themeColor="text1"/>
          <w:sz w:val="24"/>
          <w:szCs w:val="24"/>
        </w:rPr>
        <w:t xml:space="preserve"> Direction</w:t>
      </w:r>
      <w:r w:rsidR="009058F8">
        <w:rPr>
          <w:rFonts w:ascii="Times New Roman" w:hAnsi="Times New Roman" w:cs="Times New Roman"/>
          <w:color w:val="000000" w:themeColor="text1"/>
          <w:sz w:val="24"/>
          <w:szCs w:val="24"/>
        </w:rPr>
        <w:t>.</w:t>
      </w:r>
    </w:p>
    <w:p w:rsidR="003D0B3D" w:rsidRPr="00974448" w:rsidRDefault="003D0B3D" w:rsidP="004C4F64">
      <w:pPr>
        <w:spacing w:before="0" w:line="240" w:lineRule="auto"/>
        <w:rPr>
          <w:rFonts w:ascii="Times New Roman" w:hAnsi="Times New Roman" w:cs="Times New Roman"/>
          <w:b/>
          <w:color w:val="000000" w:themeColor="text1"/>
          <w:sz w:val="24"/>
          <w:szCs w:val="24"/>
        </w:rPr>
      </w:pPr>
    </w:p>
    <w:p w:rsidR="00E04A84" w:rsidRDefault="00BE49E5" w:rsidP="004C4F64">
      <w:pPr>
        <w:spacing w:before="0" w:line="240" w:lineRule="auto"/>
        <w:rPr>
          <w:rFonts w:ascii="Times New Roman" w:hAnsi="Times New Roman" w:cs="Times New Roman"/>
          <w:color w:val="000000" w:themeColor="text1"/>
          <w:sz w:val="24"/>
          <w:szCs w:val="24"/>
        </w:rPr>
      </w:pPr>
      <w:r w:rsidRPr="00CB31B2">
        <w:rPr>
          <w:rFonts w:ascii="Times New Roman" w:hAnsi="Times New Roman" w:cs="Times New Roman"/>
          <w:b/>
          <w:color w:val="000000" w:themeColor="text1"/>
          <w:sz w:val="24"/>
          <w:szCs w:val="24"/>
        </w:rPr>
        <w:t>Schedule 1</w:t>
      </w:r>
      <w:r w:rsidR="00CB31B2">
        <w:rPr>
          <w:rFonts w:ascii="Times New Roman" w:hAnsi="Times New Roman" w:cs="Times New Roman"/>
          <w:color w:val="000000" w:themeColor="text1"/>
          <w:sz w:val="24"/>
          <w:szCs w:val="24"/>
        </w:rPr>
        <w:t xml:space="preserve"> </w:t>
      </w:r>
      <w:r w:rsidR="00117502">
        <w:rPr>
          <w:rFonts w:ascii="Times New Roman" w:hAnsi="Times New Roman" w:cs="Times New Roman"/>
          <w:color w:val="000000" w:themeColor="text1"/>
          <w:sz w:val="24"/>
          <w:szCs w:val="24"/>
        </w:rPr>
        <w:t xml:space="preserve">sets out the amendments to the </w:t>
      </w:r>
      <w:r w:rsidR="00924EC1">
        <w:rPr>
          <w:rFonts w:ascii="Times New Roman" w:hAnsi="Times New Roman" w:cs="Times New Roman"/>
          <w:color w:val="000000" w:themeColor="text1"/>
          <w:sz w:val="24"/>
          <w:szCs w:val="24"/>
        </w:rPr>
        <w:t>Principal Direction</w:t>
      </w:r>
      <w:r w:rsidR="00117502">
        <w:rPr>
          <w:rFonts w:ascii="Times New Roman" w:hAnsi="Times New Roman" w:cs="Times New Roman"/>
          <w:color w:val="000000" w:themeColor="text1"/>
          <w:sz w:val="24"/>
          <w:szCs w:val="24"/>
        </w:rPr>
        <w:t xml:space="preserve">. </w:t>
      </w:r>
    </w:p>
    <w:p w:rsidR="00CB31B2" w:rsidRDefault="00CB31B2" w:rsidP="004C4F64">
      <w:pPr>
        <w:spacing w:before="0" w:line="240" w:lineRule="auto"/>
        <w:rPr>
          <w:rFonts w:ascii="Times New Roman" w:hAnsi="Times New Roman" w:cs="Times New Roman"/>
          <w:color w:val="000000" w:themeColor="text1"/>
          <w:sz w:val="24"/>
          <w:szCs w:val="24"/>
        </w:rPr>
      </w:pPr>
    </w:p>
    <w:p w:rsidR="00656F85" w:rsidRPr="00656F85" w:rsidRDefault="00732F58" w:rsidP="00AB2644">
      <w:pPr>
        <w:spacing w:before="0" w:line="240" w:lineRule="auto"/>
        <w:rPr>
          <w:rFonts w:ascii="Times New Roman" w:hAnsi="Times New Roman" w:cs="Times New Roman"/>
          <w:color w:val="000000" w:themeColor="text1"/>
          <w:sz w:val="24"/>
          <w:szCs w:val="24"/>
        </w:rPr>
      </w:pPr>
      <w:r w:rsidRPr="00587861">
        <w:rPr>
          <w:rFonts w:ascii="Times New Roman" w:hAnsi="Times New Roman" w:cs="Times New Roman"/>
          <w:color w:val="000000" w:themeColor="text1"/>
          <w:sz w:val="24"/>
          <w:szCs w:val="24"/>
          <w:u w:val="single"/>
        </w:rPr>
        <w:t>Item [1]</w:t>
      </w:r>
      <w:r w:rsidRPr="00587861">
        <w:rPr>
          <w:rFonts w:ascii="Times New Roman" w:hAnsi="Times New Roman" w:cs="Times New Roman"/>
          <w:color w:val="000000" w:themeColor="text1"/>
          <w:sz w:val="24"/>
          <w:szCs w:val="24"/>
        </w:rPr>
        <w:t xml:space="preserve"> </w:t>
      </w:r>
      <w:r w:rsidR="00656F85">
        <w:rPr>
          <w:rFonts w:ascii="Times New Roman" w:hAnsi="Times New Roman" w:cs="Times New Roman"/>
          <w:color w:val="000000" w:themeColor="text1"/>
          <w:sz w:val="24"/>
          <w:szCs w:val="24"/>
        </w:rPr>
        <w:t xml:space="preserve">amends paragraph (a) of the definition of </w:t>
      </w:r>
      <w:r w:rsidR="00D0398C">
        <w:rPr>
          <w:rFonts w:ascii="Times New Roman" w:hAnsi="Times New Roman" w:cs="Times New Roman"/>
          <w:color w:val="000000" w:themeColor="text1"/>
          <w:sz w:val="24"/>
          <w:szCs w:val="24"/>
        </w:rPr>
        <w:t>‘</w:t>
      </w:r>
      <w:r w:rsidR="00656F85">
        <w:rPr>
          <w:rFonts w:ascii="Times New Roman" w:hAnsi="Times New Roman" w:cs="Times New Roman"/>
          <w:color w:val="000000" w:themeColor="text1"/>
          <w:sz w:val="24"/>
          <w:szCs w:val="24"/>
        </w:rPr>
        <w:t>associate</w:t>
      </w:r>
      <w:r w:rsidR="00D0398C">
        <w:rPr>
          <w:rFonts w:ascii="Times New Roman" w:hAnsi="Times New Roman" w:cs="Times New Roman"/>
          <w:color w:val="000000" w:themeColor="text1"/>
          <w:sz w:val="24"/>
          <w:szCs w:val="24"/>
        </w:rPr>
        <w:t>’</w:t>
      </w:r>
      <w:r w:rsidR="00656F85">
        <w:rPr>
          <w:rFonts w:ascii="Times New Roman" w:hAnsi="Times New Roman" w:cs="Times New Roman"/>
          <w:color w:val="000000" w:themeColor="text1"/>
          <w:sz w:val="24"/>
          <w:szCs w:val="24"/>
        </w:rPr>
        <w:t xml:space="preserve"> by</w:t>
      </w:r>
      <w:r w:rsidR="00AB2644">
        <w:rPr>
          <w:rFonts w:ascii="Times New Roman" w:hAnsi="Times New Roman" w:cs="Times New Roman"/>
          <w:color w:val="000000" w:themeColor="text1"/>
          <w:sz w:val="24"/>
          <w:szCs w:val="24"/>
        </w:rPr>
        <w:t xml:space="preserve"> </w:t>
      </w:r>
      <w:r w:rsidR="007E1AEE" w:rsidRPr="00AB2644">
        <w:rPr>
          <w:rFonts w:ascii="Times New Roman" w:hAnsi="Times New Roman" w:cs="Times New Roman"/>
          <w:color w:val="000000" w:themeColor="text1"/>
          <w:sz w:val="24"/>
          <w:szCs w:val="24"/>
        </w:rPr>
        <w:t>r</w:t>
      </w:r>
      <w:r w:rsidR="00656F85" w:rsidRPr="00AB2644">
        <w:rPr>
          <w:rFonts w:ascii="Times New Roman" w:hAnsi="Times New Roman" w:cs="Times New Roman"/>
          <w:color w:val="000000" w:themeColor="text1"/>
          <w:sz w:val="24"/>
          <w:szCs w:val="24"/>
        </w:rPr>
        <w:t>emoving the reference to ‘business partner of the body’</w:t>
      </w:r>
      <w:r w:rsidR="00656F85">
        <w:rPr>
          <w:rFonts w:ascii="Times New Roman" w:hAnsi="Times New Roman" w:cs="Times New Roman"/>
          <w:color w:val="000000" w:themeColor="text1"/>
          <w:sz w:val="24"/>
          <w:szCs w:val="24"/>
        </w:rPr>
        <w:t xml:space="preserve">. </w:t>
      </w:r>
    </w:p>
    <w:p w:rsidR="00BC5148" w:rsidRDefault="000E7647" w:rsidP="004C4F64">
      <w:pPr>
        <w:spacing w:before="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p>
    <w:p w:rsidR="00AD3A1C" w:rsidRDefault="007E1AEE" w:rsidP="00AD3A1C">
      <w:pPr>
        <w:spacing w:before="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926CA1">
        <w:rPr>
          <w:rFonts w:ascii="Times New Roman" w:hAnsi="Times New Roman" w:cs="Times New Roman"/>
          <w:bCs/>
          <w:iCs/>
          <w:sz w:val="24"/>
          <w:szCs w:val="24"/>
        </w:rPr>
        <w:t>T</w:t>
      </w:r>
      <w:r>
        <w:rPr>
          <w:rFonts w:ascii="Times New Roman" w:hAnsi="Times New Roman" w:cs="Times New Roman"/>
          <w:bCs/>
          <w:iCs/>
          <w:sz w:val="24"/>
          <w:szCs w:val="24"/>
        </w:rPr>
        <w:t xml:space="preserve">he term ‘business partner’ is </w:t>
      </w:r>
      <w:r w:rsidR="002507B6">
        <w:rPr>
          <w:rFonts w:ascii="Times New Roman" w:hAnsi="Times New Roman" w:cs="Times New Roman"/>
          <w:bCs/>
          <w:iCs/>
          <w:sz w:val="24"/>
          <w:szCs w:val="24"/>
        </w:rPr>
        <w:t xml:space="preserve">not defined in the </w:t>
      </w:r>
      <w:r w:rsidR="00926CA1">
        <w:rPr>
          <w:rFonts w:ascii="Times New Roman" w:hAnsi="Times New Roman" w:cs="Times New Roman"/>
          <w:bCs/>
          <w:iCs/>
          <w:sz w:val="24"/>
          <w:szCs w:val="24"/>
        </w:rPr>
        <w:t xml:space="preserve">Principal </w:t>
      </w:r>
      <w:r w:rsidR="00553BC2">
        <w:rPr>
          <w:rFonts w:ascii="Times New Roman" w:hAnsi="Times New Roman" w:cs="Times New Roman"/>
          <w:bCs/>
          <w:iCs/>
          <w:sz w:val="24"/>
          <w:szCs w:val="24"/>
        </w:rPr>
        <w:t>Direction</w:t>
      </w:r>
      <w:r w:rsidR="00926CA1">
        <w:rPr>
          <w:rFonts w:ascii="Times New Roman" w:hAnsi="Times New Roman" w:cs="Times New Roman"/>
          <w:bCs/>
          <w:iCs/>
          <w:sz w:val="24"/>
          <w:szCs w:val="24"/>
        </w:rPr>
        <w:t xml:space="preserve"> and no further guidance was provided in relation to the term in the accompanying explanatory statement</w:t>
      </w:r>
      <w:r w:rsidR="00F440A4">
        <w:rPr>
          <w:rFonts w:ascii="Times New Roman" w:hAnsi="Times New Roman" w:cs="Times New Roman"/>
          <w:bCs/>
          <w:iCs/>
          <w:sz w:val="24"/>
          <w:szCs w:val="24"/>
        </w:rPr>
        <w:t xml:space="preserve">.  </w:t>
      </w:r>
      <w:r w:rsidR="00822F1E">
        <w:rPr>
          <w:rFonts w:ascii="Times New Roman" w:hAnsi="Times New Roman" w:cs="Times New Roman"/>
          <w:bCs/>
          <w:iCs/>
          <w:sz w:val="24"/>
          <w:szCs w:val="24"/>
        </w:rPr>
        <w:t xml:space="preserve">The </w:t>
      </w:r>
      <w:r w:rsidR="00926CA1">
        <w:rPr>
          <w:rFonts w:ascii="Times New Roman" w:hAnsi="Times New Roman" w:cs="Times New Roman"/>
          <w:bCs/>
          <w:iCs/>
          <w:sz w:val="24"/>
          <w:szCs w:val="24"/>
        </w:rPr>
        <w:t xml:space="preserve">term is not limited to relationships regarding the spectrum subject to the reallocation process. </w:t>
      </w:r>
      <w:r w:rsidR="00822F1E">
        <w:rPr>
          <w:rFonts w:ascii="Times New Roman" w:hAnsi="Times New Roman" w:cs="Times New Roman"/>
          <w:bCs/>
          <w:iCs/>
          <w:sz w:val="24"/>
          <w:szCs w:val="24"/>
        </w:rPr>
        <w:t xml:space="preserve"> </w:t>
      </w:r>
      <w:r w:rsidR="00926CA1">
        <w:rPr>
          <w:rFonts w:ascii="Times New Roman" w:hAnsi="Times New Roman" w:cs="Times New Roman"/>
          <w:bCs/>
          <w:iCs/>
          <w:sz w:val="24"/>
          <w:szCs w:val="24"/>
        </w:rPr>
        <w:t xml:space="preserve">The concern with respect to this term is that it may have the unintended consequence that two parties carrying on a business partnership unrelated to spectrum use may be </w:t>
      </w:r>
      <w:r w:rsidR="00F440A4">
        <w:rPr>
          <w:rFonts w:ascii="Times New Roman" w:hAnsi="Times New Roman" w:cs="Times New Roman"/>
          <w:bCs/>
          <w:iCs/>
          <w:sz w:val="24"/>
          <w:szCs w:val="24"/>
        </w:rPr>
        <w:t xml:space="preserve"> classified as ‘business partners’</w:t>
      </w:r>
      <w:r w:rsidR="00926CA1">
        <w:rPr>
          <w:rFonts w:ascii="Times New Roman" w:hAnsi="Times New Roman" w:cs="Times New Roman"/>
          <w:bCs/>
          <w:iCs/>
          <w:sz w:val="24"/>
          <w:szCs w:val="24"/>
        </w:rPr>
        <w:t xml:space="preserve"> and therefore will</w:t>
      </w:r>
      <w:r w:rsidR="00730E91">
        <w:rPr>
          <w:rFonts w:ascii="Times New Roman" w:hAnsi="Times New Roman" w:cs="Times New Roman"/>
          <w:bCs/>
          <w:iCs/>
          <w:sz w:val="24"/>
          <w:szCs w:val="24"/>
        </w:rPr>
        <w:t xml:space="preserve"> be limited in the amount of spectrum each may acquire at auction.  </w:t>
      </w:r>
    </w:p>
    <w:p w:rsidR="00AD3A1C" w:rsidRDefault="00AD3A1C" w:rsidP="004C4F64">
      <w:pPr>
        <w:spacing w:before="0" w:line="240" w:lineRule="auto"/>
        <w:rPr>
          <w:rFonts w:ascii="Times New Roman" w:hAnsi="Times New Roman" w:cs="Times New Roman"/>
          <w:bCs/>
          <w:iCs/>
          <w:sz w:val="24"/>
          <w:szCs w:val="24"/>
        </w:rPr>
      </w:pPr>
    </w:p>
    <w:p w:rsidR="002507B6" w:rsidRDefault="00D6105C" w:rsidP="004C4F64">
      <w:pPr>
        <w:spacing w:before="0" w:line="240" w:lineRule="auto"/>
        <w:rPr>
          <w:rFonts w:ascii="Times New Roman" w:hAnsi="Times New Roman" w:cs="Times New Roman"/>
          <w:bCs/>
          <w:iCs/>
          <w:sz w:val="24"/>
          <w:szCs w:val="24"/>
        </w:rPr>
      </w:pPr>
      <w:r>
        <w:rPr>
          <w:rFonts w:ascii="Times New Roman" w:hAnsi="Times New Roman" w:cs="Times New Roman"/>
          <w:bCs/>
          <w:iCs/>
          <w:sz w:val="24"/>
          <w:szCs w:val="24"/>
        </w:rPr>
        <w:t>For example,</w:t>
      </w:r>
      <w:r w:rsidR="00AD3A1C">
        <w:rPr>
          <w:rFonts w:ascii="Times New Roman" w:hAnsi="Times New Roman" w:cs="Times New Roman"/>
          <w:bCs/>
          <w:iCs/>
          <w:sz w:val="24"/>
          <w:szCs w:val="24"/>
        </w:rPr>
        <w:t xml:space="preserve"> two carriers may have an agreement in relation to </w:t>
      </w:r>
      <w:r w:rsidR="00E70E59">
        <w:rPr>
          <w:rFonts w:ascii="Times New Roman" w:hAnsi="Times New Roman" w:cs="Times New Roman"/>
          <w:bCs/>
          <w:iCs/>
          <w:sz w:val="24"/>
          <w:szCs w:val="24"/>
        </w:rPr>
        <w:t>a business of</w:t>
      </w:r>
      <w:r w:rsidR="00AD3A1C">
        <w:rPr>
          <w:rFonts w:ascii="Times New Roman" w:hAnsi="Times New Roman" w:cs="Times New Roman"/>
          <w:bCs/>
          <w:iCs/>
          <w:sz w:val="24"/>
          <w:szCs w:val="24"/>
        </w:rPr>
        <w:t xml:space="preserve"> provi</w:t>
      </w:r>
      <w:r w:rsidR="00E70E59">
        <w:rPr>
          <w:rFonts w:ascii="Times New Roman" w:hAnsi="Times New Roman" w:cs="Times New Roman"/>
          <w:bCs/>
          <w:iCs/>
          <w:sz w:val="24"/>
          <w:szCs w:val="24"/>
        </w:rPr>
        <w:t>ding</w:t>
      </w:r>
      <w:r w:rsidR="00AD3A1C">
        <w:rPr>
          <w:rFonts w:ascii="Times New Roman" w:hAnsi="Times New Roman" w:cs="Times New Roman"/>
          <w:bCs/>
          <w:iCs/>
          <w:sz w:val="24"/>
          <w:szCs w:val="24"/>
        </w:rPr>
        <w:t xml:space="preserve"> telecommunications training to </w:t>
      </w:r>
      <w:r w:rsidR="00EB7412">
        <w:rPr>
          <w:rFonts w:ascii="Times New Roman" w:hAnsi="Times New Roman" w:cs="Times New Roman"/>
          <w:bCs/>
          <w:iCs/>
          <w:sz w:val="24"/>
          <w:szCs w:val="24"/>
        </w:rPr>
        <w:t xml:space="preserve">the </w:t>
      </w:r>
      <w:r w:rsidR="00AD3A1C">
        <w:rPr>
          <w:rFonts w:ascii="Times New Roman" w:hAnsi="Times New Roman" w:cs="Times New Roman"/>
          <w:bCs/>
          <w:iCs/>
          <w:sz w:val="24"/>
          <w:szCs w:val="24"/>
        </w:rPr>
        <w:t>public</w:t>
      </w:r>
      <w:r w:rsidR="00926CA1">
        <w:rPr>
          <w:rFonts w:ascii="Times New Roman" w:hAnsi="Times New Roman" w:cs="Times New Roman"/>
          <w:bCs/>
          <w:iCs/>
          <w:sz w:val="24"/>
          <w:szCs w:val="24"/>
        </w:rPr>
        <w:t xml:space="preserve"> for which they each share in the profits</w:t>
      </w:r>
      <w:r w:rsidR="00AD3A1C">
        <w:rPr>
          <w:rFonts w:ascii="Times New Roman" w:hAnsi="Times New Roman" w:cs="Times New Roman"/>
          <w:bCs/>
          <w:iCs/>
          <w:sz w:val="24"/>
          <w:szCs w:val="24"/>
        </w:rPr>
        <w:t xml:space="preserve">.  </w:t>
      </w:r>
      <w:r w:rsidR="00926CA1">
        <w:rPr>
          <w:rFonts w:ascii="Times New Roman" w:hAnsi="Times New Roman" w:cs="Times New Roman"/>
          <w:bCs/>
          <w:iCs/>
          <w:sz w:val="24"/>
          <w:szCs w:val="24"/>
        </w:rPr>
        <w:t xml:space="preserve">Arguably the two carriers will be deemed ‘associates’ </w:t>
      </w:r>
      <w:r w:rsidR="00492A2E">
        <w:rPr>
          <w:rFonts w:ascii="Times New Roman" w:hAnsi="Times New Roman" w:cs="Times New Roman"/>
          <w:bCs/>
          <w:iCs/>
          <w:sz w:val="24"/>
          <w:szCs w:val="24"/>
        </w:rPr>
        <w:t>due to</w:t>
      </w:r>
      <w:r w:rsidR="00926CA1">
        <w:rPr>
          <w:rFonts w:ascii="Times New Roman" w:hAnsi="Times New Roman" w:cs="Times New Roman"/>
          <w:bCs/>
          <w:iCs/>
          <w:sz w:val="24"/>
          <w:szCs w:val="24"/>
        </w:rPr>
        <w:t xml:space="preserve"> the breadth of the term ‘business partner’. </w:t>
      </w:r>
      <w:r w:rsidR="00492A2E">
        <w:rPr>
          <w:rFonts w:ascii="Times New Roman" w:hAnsi="Times New Roman" w:cs="Times New Roman"/>
          <w:bCs/>
          <w:iCs/>
          <w:sz w:val="24"/>
          <w:szCs w:val="24"/>
        </w:rPr>
        <w:t xml:space="preserve"> </w:t>
      </w:r>
      <w:r w:rsidR="00EB7412">
        <w:rPr>
          <w:rFonts w:ascii="Times New Roman" w:hAnsi="Times New Roman" w:cs="Times New Roman"/>
          <w:bCs/>
          <w:iCs/>
          <w:sz w:val="24"/>
          <w:szCs w:val="24"/>
        </w:rPr>
        <w:t>S</w:t>
      </w:r>
      <w:r w:rsidR="00AD3A1C">
        <w:rPr>
          <w:rFonts w:ascii="Times New Roman" w:hAnsi="Times New Roman" w:cs="Times New Roman"/>
          <w:bCs/>
          <w:iCs/>
          <w:sz w:val="24"/>
          <w:szCs w:val="24"/>
        </w:rPr>
        <w:t xml:space="preserve">uch an </w:t>
      </w:r>
      <w:r w:rsidR="00926CA1">
        <w:rPr>
          <w:rFonts w:ascii="Times New Roman" w:hAnsi="Times New Roman" w:cs="Times New Roman"/>
          <w:bCs/>
          <w:iCs/>
          <w:sz w:val="24"/>
          <w:szCs w:val="24"/>
        </w:rPr>
        <w:t xml:space="preserve">outcome </w:t>
      </w:r>
      <w:r w:rsidR="00492A2E">
        <w:rPr>
          <w:rFonts w:ascii="Times New Roman" w:hAnsi="Times New Roman" w:cs="Times New Roman"/>
          <w:bCs/>
          <w:iCs/>
          <w:sz w:val="24"/>
          <w:szCs w:val="24"/>
        </w:rPr>
        <w:t>is</w:t>
      </w:r>
      <w:r w:rsidR="00926CA1">
        <w:rPr>
          <w:rFonts w:ascii="Times New Roman" w:hAnsi="Times New Roman" w:cs="Times New Roman"/>
          <w:bCs/>
          <w:iCs/>
          <w:sz w:val="24"/>
          <w:szCs w:val="24"/>
        </w:rPr>
        <w:t xml:space="preserve"> contrary to the intent of the competition limits</w:t>
      </w:r>
      <w:r w:rsidR="00492A2E">
        <w:rPr>
          <w:rFonts w:ascii="Times New Roman" w:hAnsi="Times New Roman" w:cs="Times New Roman"/>
          <w:bCs/>
          <w:iCs/>
          <w:sz w:val="24"/>
          <w:szCs w:val="24"/>
        </w:rPr>
        <w:t>,</w:t>
      </w:r>
      <w:r w:rsidR="00926CA1">
        <w:rPr>
          <w:rFonts w:ascii="Times New Roman" w:hAnsi="Times New Roman" w:cs="Times New Roman"/>
          <w:bCs/>
          <w:iCs/>
          <w:sz w:val="24"/>
          <w:szCs w:val="24"/>
        </w:rPr>
        <w:t xml:space="preserve"> which is to prevent a monopoly and provide for a level playing field</w:t>
      </w:r>
      <w:r w:rsidR="00CA4942">
        <w:rPr>
          <w:rFonts w:ascii="Times New Roman" w:hAnsi="Times New Roman" w:cs="Times New Roman"/>
          <w:bCs/>
          <w:iCs/>
          <w:sz w:val="24"/>
          <w:szCs w:val="24"/>
        </w:rPr>
        <w:t xml:space="preserve"> and not to unnecessarily preclude a </w:t>
      </w:r>
      <w:r w:rsidR="00021401">
        <w:rPr>
          <w:rFonts w:ascii="Times New Roman" w:hAnsi="Times New Roman" w:cs="Times New Roman"/>
          <w:bCs/>
          <w:iCs/>
          <w:sz w:val="24"/>
          <w:szCs w:val="24"/>
        </w:rPr>
        <w:t xml:space="preserve">person </w:t>
      </w:r>
      <w:r w:rsidR="00CA4942">
        <w:rPr>
          <w:rFonts w:ascii="Times New Roman" w:hAnsi="Times New Roman" w:cs="Times New Roman"/>
          <w:bCs/>
          <w:iCs/>
          <w:sz w:val="24"/>
          <w:szCs w:val="24"/>
        </w:rPr>
        <w:t>from participating</w:t>
      </w:r>
      <w:r w:rsidR="00E70E59">
        <w:rPr>
          <w:rFonts w:ascii="Times New Roman" w:hAnsi="Times New Roman" w:cs="Times New Roman"/>
          <w:bCs/>
          <w:iCs/>
          <w:sz w:val="24"/>
          <w:szCs w:val="24"/>
        </w:rPr>
        <w:t xml:space="preserve"> in the auction</w:t>
      </w:r>
      <w:r w:rsidR="00CA4942">
        <w:rPr>
          <w:rFonts w:ascii="Times New Roman" w:hAnsi="Times New Roman" w:cs="Times New Roman"/>
          <w:bCs/>
          <w:iCs/>
          <w:sz w:val="24"/>
          <w:szCs w:val="24"/>
        </w:rPr>
        <w:t>.</w:t>
      </w:r>
      <w:r w:rsidR="00CA4942" w:rsidDel="00CA4942">
        <w:rPr>
          <w:rFonts w:ascii="Times New Roman" w:hAnsi="Times New Roman" w:cs="Times New Roman"/>
          <w:bCs/>
          <w:iCs/>
          <w:sz w:val="24"/>
          <w:szCs w:val="24"/>
        </w:rPr>
        <w:t xml:space="preserve"> </w:t>
      </w:r>
    </w:p>
    <w:p w:rsidR="00E17B2A" w:rsidRDefault="00E17B2A" w:rsidP="004C4F64">
      <w:pPr>
        <w:spacing w:before="0" w:line="240" w:lineRule="auto"/>
        <w:rPr>
          <w:rFonts w:ascii="Times New Roman" w:hAnsi="Times New Roman" w:cs="Times New Roman"/>
          <w:bCs/>
          <w:iCs/>
          <w:sz w:val="24"/>
          <w:szCs w:val="24"/>
        </w:rPr>
      </w:pPr>
    </w:p>
    <w:p w:rsidR="00656F85" w:rsidRDefault="00CA4942" w:rsidP="004C4F64">
      <w:pPr>
        <w:spacing w:before="0" w:line="240" w:lineRule="auto"/>
        <w:rPr>
          <w:rFonts w:ascii="Times New Roman" w:hAnsi="Times New Roman" w:cs="Times New Roman"/>
          <w:bCs/>
          <w:iCs/>
          <w:sz w:val="24"/>
          <w:szCs w:val="24"/>
        </w:rPr>
      </w:pPr>
      <w:r>
        <w:rPr>
          <w:rFonts w:ascii="Times New Roman" w:hAnsi="Times New Roman" w:cs="Times New Roman"/>
          <w:bCs/>
          <w:iCs/>
          <w:sz w:val="24"/>
          <w:szCs w:val="24"/>
        </w:rPr>
        <w:t>The decision was made to remove the reference to ‘business partner’ rather than clarify the meaning of the term or limit its application to relationships involving spectrum use.  The term was not considered necessary</w:t>
      </w:r>
      <w:r w:rsidR="00492A2E">
        <w:rPr>
          <w:rFonts w:ascii="Times New Roman" w:hAnsi="Times New Roman" w:cs="Times New Roman"/>
          <w:bCs/>
          <w:iCs/>
          <w:sz w:val="24"/>
          <w:szCs w:val="24"/>
        </w:rPr>
        <w:t>, as</w:t>
      </w:r>
      <w:r w:rsidR="00E70E59">
        <w:rPr>
          <w:rFonts w:ascii="Times New Roman" w:hAnsi="Times New Roman" w:cs="Times New Roman"/>
          <w:bCs/>
          <w:iCs/>
          <w:sz w:val="24"/>
          <w:szCs w:val="24"/>
        </w:rPr>
        <w:t xml:space="preserve"> </w:t>
      </w:r>
      <w:r>
        <w:rPr>
          <w:rFonts w:ascii="Times New Roman" w:hAnsi="Times New Roman" w:cs="Times New Roman"/>
          <w:bCs/>
          <w:iCs/>
          <w:sz w:val="24"/>
          <w:szCs w:val="24"/>
        </w:rPr>
        <w:t>t</w:t>
      </w:r>
      <w:r w:rsidR="00D80FE2">
        <w:rPr>
          <w:rFonts w:ascii="Times New Roman" w:hAnsi="Times New Roman" w:cs="Times New Roman"/>
          <w:bCs/>
          <w:iCs/>
          <w:sz w:val="24"/>
          <w:szCs w:val="24"/>
        </w:rPr>
        <w:t xml:space="preserve">he types of relationships intended to be covered by the term ‘business partner’ will be </w:t>
      </w:r>
      <w:r w:rsidR="00730E91">
        <w:rPr>
          <w:rFonts w:ascii="Times New Roman" w:hAnsi="Times New Roman" w:cs="Times New Roman"/>
          <w:bCs/>
          <w:iCs/>
          <w:sz w:val="24"/>
          <w:szCs w:val="24"/>
        </w:rPr>
        <w:t>c</w:t>
      </w:r>
      <w:r>
        <w:rPr>
          <w:rFonts w:ascii="Times New Roman" w:hAnsi="Times New Roman" w:cs="Times New Roman"/>
          <w:bCs/>
          <w:iCs/>
          <w:sz w:val="24"/>
          <w:szCs w:val="24"/>
        </w:rPr>
        <w:t>aptured</w:t>
      </w:r>
      <w:r w:rsidR="00D80FE2">
        <w:rPr>
          <w:rFonts w:ascii="Times New Roman" w:hAnsi="Times New Roman" w:cs="Times New Roman"/>
          <w:bCs/>
          <w:iCs/>
          <w:sz w:val="24"/>
          <w:szCs w:val="24"/>
        </w:rPr>
        <w:t xml:space="preserve"> by paragraph (c) of the definition of </w:t>
      </w:r>
      <w:r w:rsidR="00B83EE8">
        <w:rPr>
          <w:rFonts w:ascii="Times New Roman" w:hAnsi="Times New Roman" w:cs="Times New Roman"/>
          <w:bCs/>
          <w:iCs/>
          <w:sz w:val="24"/>
          <w:szCs w:val="24"/>
        </w:rPr>
        <w:t>‘</w:t>
      </w:r>
      <w:r w:rsidR="00D80FE2">
        <w:rPr>
          <w:rFonts w:ascii="Times New Roman" w:hAnsi="Times New Roman" w:cs="Times New Roman"/>
          <w:bCs/>
          <w:iCs/>
          <w:sz w:val="24"/>
          <w:szCs w:val="24"/>
        </w:rPr>
        <w:t>associate</w:t>
      </w:r>
      <w:r w:rsidR="00B83EE8">
        <w:rPr>
          <w:rFonts w:ascii="Times New Roman" w:hAnsi="Times New Roman" w:cs="Times New Roman"/>
          <w:bCs/>
          <w:iCs/>
          <w:sz w:val="24"/>
          <w:szCs w:val="24"/>
        </w:rPr>
        <w:t>’</w:t>
      </w:r>
      <w:r w:rsidR="00D80FE2">
        <w:rPr>
          <w:rFonts w:ascii="Times New Roman" w:hAnsi="Times New Roman" w:cs="Times New Roman"/>
          <w:bCs/>
          <w:iCs/>
          <w:sz w:val="24"/>
          <w:szCs w:val="24"/>
        </w:rPr>
        <w:t xml:space="preserve"> (i.e. </w:t>
      </w:r>
      <w:r w:rsidR="00B83EE8">
        <w:rPr>
          <w:rFonts w:ascii="Times New Roman" w:hAnsi="Times New Roman" w:cs="Times New Roman"/>
          <w:bCs/>
          <w:iCs/>
          <w:sz w:val="24"/>
          <w:szCs w:val="24"/>
        </w:rPr>
        <w:t>‘</w:t>
      </w:r>
      <w:r w:rsidR="00D80FE2">
        <w:rPr>
          <w:rFonts w:ascii="Times New Roman" w:hAnsi="Times New Roman" w:cs="Times New Roman"/>
          <w:bCs/>
          <w:iCs/>
          <w:sz w:val="24"/>
          <w:szCs w:val="24"/>
        </w:rPr>
        <w:t>relevant agreements</w:t>
      </w:r>
      <w:r w:rsidR="00B83EE8">
        <w:rPr>
          <w:rFonts w:ascii="Times New Roman" w:hAnsi="Times New Roman" w:cs="Times New Roman"/>
          <w:bCs/>
          <w:iCs/>
          <w:sz w:val="24"/>
          <w:szCs w:val="24"/>
        </w:rPr>
        <w:t>’</w:t>
      </w:r>
      <w:r w:rsidR="00D80FE2">
        <w:rPr>
          <w:rFonts w:ascii="Times New Roman" w:hAnsi="Times New Roman" w:cs="Times New Roman"/>
          <w:bCs/>
          <w:iCs/>
          <w:sz w:val="24"/>
          <w:szCs w:val="24"/>
        </w:rPr>
        <w:t xml:space="preserve">). </w:t>
      </w:r>
    </w:p>
    <w:p w:rsidR="00D80FE2" w:rsidRDefault="00D80FE2" w:rsidP="004C4F64">
      <w:pPr>
        <w:spacing w:before="0" w:line="240" w:lineRule="auto"/>
        <w:rPr>
          <w:rFonts w:ascii="Times New Roman" w:hAnsi="Times New Roman" w:cs="Times New Roman"/>
          <w:bCs/>
          <w:iCs/>
          <w:sz w:val="24"/>
          <w:szCs w:val="24"/>
        </w:rPr>
      </w:pPr>
    </w:p>
    <w:p w:rsidR="003D49FE" w:rsidRPr="00656F85" w:rsidRDefault="003D49FE" w:rsidP="00AB2644">
      <w:pPr>
        <w:spacing w:before="0" w:line="240" w:lineRule="auto"/>
        <w:rPr>
          <w:rFonts w:ascii="Times New Roman" w:hAnsi="Times New Roman" w:cs="Times New Roman"/>
          <w:color w:val="000000" w:themeColor="text1"/>
          <w:sz w:val="24"/>
          <w:szCs w:val="24"/>
        </w:rPr>
      </w:pPr>
      <w:r w:rsidRPr="00587861">
        <w:rPr>
          <w:rFonts w:ascii="Times New Roman" w:hAnsi="Times New Roman" w:cs="Times New Roman"/>
          <w:color w:val="000000" w:themeColor="text1"/>
          <w:sz w:val="24"/>
          <w:szCs w:val="24"/>
          <w:u w:val="single"/>
        </w:rPr>
        <w:t>Item [</w:t>
      </w:r>
      <w:r>
        <w:rPr>
          <w:rFonts w:ascii="Times New Roman" w:hAnsi="Times New Roman" w:cs="Times New Roman"/>
          <w:color w:val="000000" w:themeColor="text1"/>
          <w:sz w:val="24"/>
          <w:szCs w:val="24"/>
          <w:u w:val="single"/>
        </w:rPr>
        <w:t>2</w:t>
      </w:r>
      <w:r w:rsidRPr="00587861">
        <w:rPr>
          <w:rFonts w:ascii="Times New Roman" w:hAnsi="Times New Roman" w:cs="Times New Roman"/>
          <w:color w:val="000000" w:themeColor="text1"/>
          <w:sz w:val="24"/>
          <w:szCs w:val="24"/>
          <w:u w:val="single"/>
        </w:rPr>
        <w:t>]</w:t>
      </w:r>
      <w:r w:rsidRPr="005878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amends paragraph (b) of the definition of </w:t>
      </w:r>
      <w:r w:rsidR="00AA6F8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associate</w:t>
      </w:r>
      <w:r w:rsidR="00AA6F8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by</w:t>
      </w:r>
      <w:r w:rsidR="00AB2644">
        <w:rPr>
          <w:rFonts w:ascii="Times New Roman" w:hAnsi="Times New Roman" w:cs="Times New Roman"/>
          <w:color w:val="000000" w:themeColor="text1"/>
          <w:sz w:val="24"/>
          <w:szCs w:val="24"/>
        </w:rPr>
        <w:t xml:space="preserve"> </w:t>
      </w:r>
      <w:r w:rsidRPr="00AB2644">
        <w:rPr>
          <w:rFonts w:ascii="Times New Roman" w:hAnsi="Times New Roman" w:cs="Times New Roman"/>
          <w:color w:val="000000" w:themeColor="text1"/>
          <w:sz w:val="24"/>
          <w:szCs w:val="24"/>
        </w:rPr>
        <w:t xml:space="preserve">removing the reference to ‘business partner of the </w:t>
      </w:r>
      <w:r w:rsidR="00B83EE8" w:rsidRPr="00AB2644">
        <w:rPr>
          <w:rFonts w:ascii="Times New Roman" w:hAnsi="Times New Roman" w:cs="Times New Roman"/>
          <w:color w:val="000000" w:themeColor="text1"/>
          <w:sz w:val="24"/>
          <w:szCs w:val="24"/>
        </w:rPr>
        <w:t>individual</w:t>
      </w:r>
      <w:r w:rsidRPr="00AB26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D80FE2" w:rsidRDefault="00D80FE2" w:rsidP="004C4F64">
      <w:pPr>
        <w:spacing w:before="0" w:line="240" w:lineRule="auto"/>
        <w:rPr>
          <w:rFonts w:ascii="Times New Roman" w:hAnsi="Times New Roman" w:cs="Times New Roman"/>
          <w:bCs/>
          <w:iCs/>
          <w:sz w:val="24"/>
          <w:szCs w:val="24"/>
        </w:rPr>
      </w:pPr>
    </w:p>
    <w:p w:rsidR="00D80FE2" w:rsidRDefault="00C30612" w:rsidP="004C4F64">
      <w:pPr>
        <w:spacing w:before="0" w:line="240" w:lineRule="auto"/>
        <w:rPr>
          <w:rFonts w:ascii="Times New Roman" w:hAnsi="Times New Roman" w:cs="Times New Roman"/>
          <w:bCs/>
          <w:iCs/>
          <w:sz w:val="24"/>
          <w:szCs w:val="24"/>
        </w:rPr>
      </w:pPr>
      <w:r>
        <w:rPr>
          <w:rFonts w:ascii="Times New Roman" w:hAnsi="Times New Roman" w:cs="Times New Roman"/>
          <w:bCs/>
          <w:iCs/>
          <w:sz w:val="24"/>
          <w:szCs w:val="24"/>
        </w:rPr>
        <w:t>The discussion in relation to item [1] is applicable to this item</w:t>
      </w:r>
      <w:r w:rsidR="00B83EE8">
        <w:rPr>
          <w:rFonts w:ascii="Times New Roman" w:hAnsi="Times New Roman" w:cs="Times New Roman"/>
          <w:bCs/>
          <w:iCs/>
          <w:sz w:val="24"/>
          <w:szCs w:val="24"/>
        </w:rPr>
        <w:t>, in the context of an individual rather than a body corporate.</w:t>
      </w:r>
      <w:r>
        <w:rPr>
          <w:rFonts w:ascii="Times New Roman" w:hAnsi="Times New Roman" w:cs="Times New Roman"/>
          <w:bCs/>
          <w:iCs/>
          <w:sz w:val="24"/>
          <w:szCs w:val="24"/>
        </w:rPr>
        <w:t xml:space="preserve"> </w:t>
      </w:r>
      <w:r w:rsidR="00730E91">
        <w:rPr>
          <w:rFonts w:ascii="Times New Roman" w:hAnsi="Times New Roman" w:cs="Times New Roman"/>
          <w:bCs/>
          <w:iCs/>
          <w:sz w:val="24"/>
          <w:szCs w:val="24"/>
        </w:rPr>
        <w:t xml:space="preserve"> </w:t>
      </w:r>
    </w:p>
    <w:p w:rsidR="00656F85" w:rsidRDefault="00656F85" w:rsidP="004C4F64">
      <w:pPr>
        <w:spacing w:before="0" w:line="240" w:lineRule="auto"/>
        <w:rPr>
          <w:rFonts w:ascii="Times New Roman" w:hAnsi="Times New Roman" w:cs="Times New Roman"/>
          <w:bCs/>
          <w:iCs/>
          <w:sz w:val="24"/>
          <w:szCs w:val="24"/>
        </w:rPr>
      </w:pPr>
    </w:p>
    <w:p w:rsidR="00656F85" w:rsidRDefault="00C30612" w:rsidP="00C30612">
      <w:pPr>
        <w:spacing w:before="0" w:line="240" w:lineRule="auto"/>
        <w:rPr>
          <w:rFonts w:ascii="Times New Roman" w:hAnsi="Times New Roman" w:cs="Times New Roman"/>
          <w:color w:val="000000" w:themeColor="text1"/>
          <w:sz w:val="24"/>
          <w:szCs w:val="24"/>
        </w:rPr>
      </w:pPr>
      <w:r w:rsidRPr="00587861">
        <w:rPr>
          <w:rFonts w:ascii="Times New Roman" w:hAnsi="Times New Roman" w:cs="Times New Roman"/>
          <w:color w:val="000000" w:themeColor="text1"/>
          <w:sz w:val="24"/>
          <w:szCs w:val="24"/>
          <w:u w:val="single"/>
        </w:rPr>
        <w:t>Item [</w:t>
      </w:r>
      <w:r>
        <w:rPr>
          <w:rFonts w:ascii="Times New Roman" w:hAnsi="Times New Roman" w:cs="Times New Roman"/>
          <w:color w:val="000000" w:themeColor="text1"/>
          <w:sz w:val="24"/>
          <w:szCs w:val="24"/>
          <w:u w:val="single"/>
        </w:rPr>
        <w:t>3</w:t>
      </w:r>
      <w:r w:rsidRPr="00587861">
        <w:rPr>
          <w:rFonts w:ascii="Times New Roman" w:hAnsi="Times New Roman" w:cs="Times New Roman"/>
          <w:color w:val="000000" w:themeColor="text1"/>
          <w:sz w:val="24"/>
          <w:szCs w:val="24"/>
          <w:u w:val="single"/>
        </w:rPr>
        <w:t>]</w:t>
      </w:r>
      <w:r w:rsidRPr="00587861">
        <w:rPr>
          <w:rFonts w:ascii="Times New Roman" w:hAnsi="Times New Roman" w:cs="Times New Roman"/>
          <w:color w:val="000000" w:themeColor="text1"/>
          <w:sz w:val="24"/>
          <w:szCs w:val="24"/>
        </w:rPr>
        <w:t xml:space="preserve"> </w:t>
      </w:r>
      <w:r w:rsidR="00E70E59">
        <w:rPr>
          <w:rFonts w:ascii="Times New Roman" w:hAnsi="Times New Roman" w:cs="Times New Roman"/>
          <w:color w:val="000000" w:themeColor="text1"/>
          <w:sz w:val="24"/>
          <w:szCs w:val="24"/>
        </w:rPr>
        <w:t>amends</w:t>
      </w:r>
      <w:r w:rsidR="00885C42">
        <w:rPr>
          <w:rFonts w:ascii="Times New Roman" w:hAnsi="Times New Roman" w:cs="Times New Roman"/>
          <w:color w:val="000000" w:themeColor="text1"/>
          <w:sz w:val="24"/>
          <w:szCs w:val="24"/>
        </w:rPr>
        <w:t xml:space="preserve"> the definition of ‘associate’ by clarifying that a relevant agreement must be </w:t>
      </w:r>
      <w:r w:rsidR="00885C42" w:rsidRPr="00B03D14">
        <w:rPr>
          <w:rFonts w:ascii="Times New Roman" w:hAnsi="Times New Roman" w:cs="Times New Roman"/>
          <w:color w:val="000000" w:themeColor="text1"/>
          <w:sz w:val="24"/>
          <w:szCs w:val="24"/>
          <w:u w:val="single"/>
        </w:rPr>
        <w:t>for</w:t>
      </w:r>
      <w:r w:rsidR="00885C42">
        <w:rPr>
          <w:rFonts w:ascii="Times New Roman" w:hAnsi="Times New Roman" w:cs="Times New Roman"/>
          <w:color w:val="000000" w:themeColor="text1"/>
          <w:sz w:val="24"/>
          <w:szCs w:val="24"/>
        </w:rPr>
        <w:t xml:space="preserve"> the use of </w:t>
      </w:r>
      <w:r w:rsidR="00BB7E0D">
        <w:rPr>
          <w:rFonts w:ascii="Times New Roman" w:hAnsi="Times New Roman" w:cs="Times New Roman"/>
          <w:color w:val="000000" w:themeColor="text1"/>
          <w:sz w:val="24"/>
          <w:szCs w:val="24"/>
        </w:rPr>
        <w:t xml:space="preserve">relevant </w:t>
      </w:r>
      <w:r w:rsidR="00885C42">
        <w:rPr>
          <w:rFonts w:ascii="Times New Roman" w:hAnsi="Times New Roman" w:cs="Times New Roman"/>
          <w:color w:val="000000" w:themeColor="text1"/>
          <w:sz w:val="24"/>
          <w:szCs w:val="24"/>
        </w:rPr>
        <w:t xml:space="preserve">spectrum rather than </w:t>
      </w:r>
      <w:r w:rsidR="00885C42" w:rsidRPr="00B03D14">
        <w:rPr>
          <w:rFonts w:ascii="Times New Roman" w:hAnsi="Times New Roman" w:cs="Times New Roman"/>
          <w:color w:val="000000" w:themeColor="text1"/>
          <w:sz w:val="24"/>
          <w:szCs w:val="24"/>
          <w:u w:val="single"/>
        </w:rPr>
        <w:t>relate</w:t>
      </w:r>
      <w:r w:rsidR="00885C42">
        <w:rPr>
          <w:rFonts w:ascii="Times New Roman" w:hAnsi="Times New Roman" w:cs="Times New Roman"/>
          <w:color w:val="000000" w:themeColor="text1"/>
          <w:sz w:val="24"/>
          <w:szCs w:val="24"/>
        </w:rPr>
        <w:t xml:space="preserve"> to the use of </w:t>
      </w:r>
      <w:r w:rsidR="00021401">
        <w:rPr>
          <w:rFonts w:ascii="Times New Roman" w:hAnsi="Times New Roman" w:cs="Times New Roman"/>
          <w:color w:val="000000" w:themeColor="text1"/>
          <w:sz w:val="24"/>
          <w:szCs w:val="24"/>
        </w:rPr>
        <w:t xml:space="preserve">that </w:t>
      </w:r>
      <w:r w:rsidR="00885C42">
        <w:rPr>
          <w:rFonts w:ascii="Times New Roman" w:hAnsi="Times New Roman" w:cs="Times New Roman"/>
          <w:color w:val="000000" w:themeColor="text1"/>
          <w:sz w:val="24"/>
          <w:szCs w:val="24"/>
        </w:rPr>
        <w:t>spectrum.</w:t>
      </w:r>
      <w:r>
        <w:rPr>
          <w:rFonts w:ascii="Times New Roman" w:hAnsi="Times New Roman" w:cs="Times New Roman"/>
          <w:color w:val="000000" w:themeColor="text1"/>
          <w:sz w:val="24"/>
          <w:szCs w:val="24"/>
        </w:rPr>
        <w:t xml:space="preserve"> </w:t>
      </w:r>
    </w:p>
    <w:p w:rsidR="00C30612" w:rsidRDefault="00C30612" w:rsidP="00C30612">
      <w:pPr>
        <w:spacing w:before="0" w:line="240" w:lineRule="auto"/>
        <w:rPr>
          <w:rFonts w:ascii="Times New Roman" w:hAnsi="Times New Roman" w:cs="Times New Roman"/>
          <w:color w:val="000000" w:themeColor="text1"/>
          <w:sz w:val="24"/>
          <w:szCs w:val="24"/>
        </w:rPr>
      </w:pPr>
    </w:p>
    <w:p w:rsidR="00C73883" w:rsidRDefault="00B03D14" w:rsidP="00C3061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Subparagraph (c</w:t>
      </w:r>
      <w:proofErr w:type="gramStart"/>
      <w:r>
        <w:rPr>
          <w:rFonts w:ascii="Times New Roman" w:hAnsi="Times New Roman" w:cs="Times New Roman"/>
          <w:color w:val="000000" w:themeColor="text1"/>
          <w:sz w:val="24"/>
          <w:szCs w:val="24"/>
        </w:rPr>
        <w:t>)(</w:t>
      </w:r>
      <w:proofErr w:type="spellStart"/>
      <w:proofErr w:type="gramEnd"/>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was</w:t>
      </w:r>
      <w:r w:rsidR="00147F7C">
        <w:rPr>
          <w:rFonts w:ascii="Times New Roman" w:hAnsi="Times New Roman" w:cs="Times New Roman"/>
          <w:color w:val="000000" w:themeColor="text1"/>
          <w:sz w:val="24"/>
          <w:szCs w:val="24"/>
        </w:rPr>
        <w:t xml:space="preserve"> intended to be narrow in application and capture particular </w:t>
      </w:r>
      <w:r>
        <w:rPr>
          <w:rFonts w:ascii="Times New Roman" w:hAnsi="Times New Roman" w:cs="Times New Roman"/>
          <w:color w:val="000000" w:themeColor="text1"/>
          <w:sz w:val="24"/>
          <w:szCs w:val="24"/>
        </w:rPr>
        <w:t xml:space="preserve">types of </w:t>
      </w:r>
      <w:r w:rsidR="00CA1AD1">
        <w:rPr>
          <w:rFonts w:ascii="Times New Roman" w:hAnsi="Times New Roman" w:cs="Times New Roman"/>
          <w:color w:val="000000" w:themeColor="text1"/>
          <w:sz w:val="24"/>
          <w:szCs w:val="24"/>
        </w:rPr>
        <w:t xml:space="preserve">uncompetitive relationships </w:t>
      </w:r>
      <w:r w:rsidR="00534F48">
        <w:rPr>
          <w:rFonts w:ascii="Times New Roman" w:hAnsi="Times New Roman" w:cs="Times New Roman"/>
          <w:color w:val="000000" w:themeColor="text1"/>
          <w:sz w:val="24"/>
          <w:szCs w:val="24"/>
        </w:rPr>
        <w:t xml:space="preserve">designed to monopolize the </w:t>
      </w:r>
      <w:r w:rsidR="00BB7E0D">
        <w:rPr>
          <w:rFonts w:ascii="Times New Roman" w:hAnsi="Times New Roman" w:cs="Times New Roman"/>
          <w:color w:val="000000" w:themeColor="text1"/>
          <w:sz w:val="24"/>
          <w:szCs w:val="24"/>
        </w:rPr>
        <w:t xml:space="preserve">relevant </w:t>
      </w:r>
      <w:r w:rsidR="00534F48">
        <w:rPr>
          <w:rFonts w:ascii="Times New Roman" w:hAnsi="Times New Roman" w:cs="Times New Roman"/>
          <w:color w:val="000000" w:themeColor="text1"/>
          <w:sz w:val="24"/>
          <w:szCs w:val="24"/>
        </w:rPr>
        <w:t xml:space="preserve">spectrum band. </w:t>
      </w:r>
    </w:p>
    <w:p w:rsidR="00416D51" w:rsidRDefault="00534F48" w:rsidP="00C3061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E45560" w:rsidRDefault="00BC268C" w:rsidP="00C3061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w:t>
      </w:r>
      <w:r w:rsidR="00E70E59">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amendment make</w:t>
      </w:r>
      <w:r w:rsidR="0085625A">
        <w:rPr>
          <w:rFonts w:ascii="Times New Roman" w:hAnsi="Times New Roman" w:cs="Times New Roman"/>
          <w:color w:val="000000" w:themeColor="text1"/>
          <w:sz w:val="24"/>
          <w:szCs w:val="24"/>
        </w:rPr>
        <w:t>s it</w:t>
      </w:r>
      <w:r>
        <w:rPr>
          <w:rFonts w:ascii="Times New Roman" w:hAnsi="Times New Roman" w:cs="Times New Roman"/>
          <w:color w:val="000000" w:themeColor="text1"/>
          <w:sz w:val="24"/>
          <w:szCs w:val="24"/>
        </w:rPr>
        <w:t xml:space="preserve"> clear that </w:t>
      </w:r>
      <w:r w:rsidR="00E70E59">
        <w:rPr>
          <w:rFonts w:ascii="Times New Roman" w:hAnsi="Times New Roman" w:cs="Times New Roman"/>
          <w:color w:val="000000" w:themeColor="text1"/>
          <w:sz w:val="24"/>
          <w:szCs w:val="24"/>
        </w:rPr>
        <w:t>only</w:t>
      </w:r>
      <w:r>
        <w:rPr>
          <w:rFonts w:ascii="Times New Roman" w:hAnsi="Times New Roman" w:cs="Times New Roman"/>
          <w:color w:val="000000" w:themeColor="text1"/>
          <w:sz w:val="24"/>
          <w:szCs w:val="24"/>
        </w:rPr>
        <w:t xml:space="preserve"> agreement</w:t>
      </w:r>
      <w:r w:rsidR="002F1E7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4A4793">
        <w:rPr>
          <w:rFonts w:ascii="Times New Roman" w:hAnsi="Times New Roman" w:cs="Times New Roman"/>
          <w:color w:val="000000" w:themeColor="text1"/>
          <w:sz w:val="24"/>
          <w:szCs w:val="24"/>
        </w:rPr>
        <w:t>that concern the actual</w:t>
      </w:r>
      <w:r>
        <w:rPr>
          <w:rFonts w:ascii="Times New Roman" w:hAnsi="Times New Roman" w:cs="Times New Roman"/>
          <w:color w:val="000000" w:themeColor="text1"/>
          <w:sz w:val="24"/>
          <w:szCs w:val="24"/>
        </w:rPr>
        <w:t xml:space="preserve"> </w:t>
      </w:r>
      <w:r w:rsidR="004A479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use of </w:t>
      </w:r>
      <w:r w:rsidR="00021401">
        <w:rPr>
          <w:rFonts w:ascii="Times New Roman" w:hAnsi="Times New Roman" w:cs="Times New Roman"/>
          <w:color w:val="000000" w:themeColor="text1"/>
          <w:sz w:val="24"/>
          <w:szCs w:val="24"/>
        </w:rPr>
        <w:t xml:space="preserve">the relevant </w:t>
      </w:r>
      <w:r>
        <w:rPr>
          <w:rFonts w:ascii="Times New Roman" w:hAnsi="Times New Roman" w:cs="Times New Roman"/>
          <w:color w:val="000000" w:themeColor="text1"/>
          <w:sz w:val="24"/>
          <w:szCs w:val="24"/>
        </w:rPr>
        <w:t>spectrum</w:t>
      </w:r>
      <w:r w:rsidR="004A4793">
        <w:rPr>
          <w:rFonts w:ascii="Times New Roman" w:hAnsi="Times New Roman" w:cs="Times New Roman"/>
          <w:color w:val="000000" w:themeColor="text1"/>
          <w:sz w:val="24"/>
          <w:szCs w:val="24"/>
        </w:rPr>
        <w:t>’ are captured</w:t>
      </w:r>
      <w:r>
        <w:rPr>
          <w:rFonts w:ascii="Times New Roman" w:hAnsi="Times New Roman" w:cs="Times New Roman"/>
          <w:color w:val="000000" w:themeColor="text1"/>
          <w:sz w:val="24"/>
          <w:szCs w:val="24"/>
        </w:rPr>
        <w:t xml:space="preserve"> by this provision</w:t>
      </w:r>
      <w:r w:rsidR="004A4793">
        <w:rPr>
          <w:rFonts w:ascii="Times New Roman" w:hAnsi="Times New Roman" w:cs="Times New Roman"/>
          <w:color w:val="000000" w:themeColor="text1"/>
          <w:sz w:val="24"/>
          <w:szCs w:val="24"/>
        </w:rPr>
        <w:t xml:space="preserve"> – it is not enough that the agreements ‘relate to’ the use of </w:t>
      </w:r>
      <w:r w:rsidR="00021401">
        <w:rPr>
          <w:rFonts w:ascii="Times New Roman" w:hAnsi="Times New Roman" w:cs="Times New Roman"/>
          <w:color w:val="000000" w:themeColor="text1"/>
          <w:sz w:val="24"/>
          <w:szCs w:val="24"/>
        </w:rPr>
        <w:t xml:space="preserve">that </w:t>
      </w:r>
      <w:r w:rsidR="004A4793">
        <w:rPr>
          <w:rFonts w:ascii="Times New Roman" w:hAnsi="Times New Roman" w:cs="Times New Roman"/>
          <w:color w:val="000000" w:themeColor="text1"/>
          <w:sz w:val="24"/>
          <w:szCs w:val="24"/>
        </w:rPr>
        <w:t xml:space="preserve">spectrum. </w:t>
      </w:r>
      <w:r w:rsidR="00492A2E">
        <w:rPr>
          <w:rFonts w:ascii="Times New Roman" w:hAnsi="Times New Roman" w:cs="Times New Roman"/>
          <w:color w:val="000000" w:themeColor="text1"/>
          <w:sz w:val="24"/>
          <w:szCs w:val="24"/>
        </w:rPr>
        <w:t xml:space="preserve"> </w:t>
      </w:r>
      <w:r w:rsidR="004A4793">
        <w:rPr>
          <w:rFonts w:ascii="Times New Roman" w:hAnsi="Times New Roman" w:cs="Times New Roman"/>
          <w:color w:val="000000" w:themeColor="text1"/>
          <w:sz w:val="24"/>
          <w:szCs w:val="24"/>
        </w:rPr>
        <w:t>For example, an agreement between two carriers to install and co-share an infrastructure site is clearly outside of this amended definition</w:t>
      </w:r>
      <w:r w:rsidR="0088699A">
        <w:rPr>
          <w:rFonts w:ascii="Times New Roman" w:hAnsi="Times New Roman" w:cs="Times New Roman"/>
          <w:color w:val="000000" w:themeColor="text1"/>
          <w:sz w:val="24"/>
          <w:szCs w:val="24"/>
        </w:rPr>
        <w:t>,</w:t>
      </w:r>
      <w:r w:rsidR="004A4793">
        <w:rPr>
          <w:rFonts w:ascii="Times New Roman" w:hAnsi="Times New Roman" w:cs="Times New Roman"/>
          <w:color w:val="000000" w:themeColor="text1"/>
          <w:sz w:val="24"/>
          <w:szCs w:val="24"/>
        </w:rPr>
        <w:t xml:space="preserve"> </w:t>
      </w:r>
      <w:r w:rsidR="0088699A">
        <w:rPr>
          <w:rFonts w:ascii="Times New Roman" w:hAnsi="Times New Roman" w:cs="Times New Roman"/>
          <w:color w:val="000000" w:themeColor="text1"/>
          <w:sz w:val="24"/>
          <w:szCs w:val="24"/>
        </w:rPr>
        <w:t xml:space="preserve">as </w:t>
      </w:r>
      <w:r w:rsidR="00C73883">
        <w:rPr>
          <w:rFonts w:ascii="Times New Roman" w:hAnsi="Times New Roman" w:cs="Times New Roman"/>
          <w:color w:val="000000" w:themeColor="text1"/>
          <w:sz w:val="24"/>
          <w:szCs w:val="24"/>
        </w:rPr>
        <w:t xml:space="preserve">whilst </w:t>
      </w:r>
      <w:r w:rsidR="004A4793">
        <w:rPr>
          <w:rFonts w:ascii="Times New Roman" w:hAnsi="Times New Roman" w:cs="Times New Roman"/>
          <w:color w:val="000000" w:themeColor="text1"/>
          <w:sz w:val="24"/>
          <w:szCs w:val="24"/>
        </w:rPr>
        <w:t>an infrastructure site is required to facilita</w:t>
      </w:r>
      <w:r w:rsidR="0088699A">
        <w:rPr>
          <w:rFonts w:ascii="Times New Roman" w:hAnsi="Times New Roman" w:cs="Times New Roman"/>
          <w:color w:val="000000" w:themeColor="text1"/>
          <w:sz w:val="24"/>
          <w:szCs w:val="24"/>
        </w:rPr>
        <w:t xml:space="preserve">te the eventual use of spectrum </w:t>
      </w:r>
      <w:r w:rsidR="00C73883">
        <w:rPr>
          <w:rFonts w:ascii="Times New Roman" w:hAnsi="Times New Roman" w:cs="Times New Roman"/>
          <w:color w:val="000000" w:themeColor="text1"/>
          <w:sz w:val="24"/>
          <w:szCs w:val="24"/>
        </w:rPr>
        <w:t>it</w:t>
      </w:r>
      <w:r w:rsidR="0088699A">
        <w:rPr>
          <w:rFonts w:ascii="Times New Roman" w:hAnsi="Times New Roman" w:cs="Times New Roman"/>
          <w:color w:val="000000" w:themeColor="text1"/>
          <w:sz w:val="24"/>
          <w:szCs w:val="24"/>
        </w:rPr>
        <w:t xml:space="preserve"> </w:t>
      </w:r>
      <w:r w:rsidR="004A4793">
        <w:rPr>
          <w:rFonts w:ascii="Times New Roman" w:hAnsi="Times New Roman" w:cs="Times New Roman"/>
          <w:color w:val="000000" w:themeColor="text1"/>
          <w:sz w:val="24"/>
          <w:szCs w:val="24"/>
        </w:rPr>
        <w:t xml:space="preserve">does not in itself entail the use of spectrum.  Spectrum is defined in </w:t>
      </w:r>
      <w:r w:rsidR="00E45560">
        <w:rPr>
          <w:rFonts w:ascii="Times New Roman" w:hAnsi="Times New Roman" w:cs="Times New Roman"/>
          <w:color w:val="000000" w:themeColor="text1"/>
          <w:sz w:val="24"/>
          <w:szCs w:val="24"/>
        </w:rPr>
        <w:t xml:space="preserve">section 5 of </w:t>
      </w:r>
      <w:r w:rsidR="004A4793">
        <w:rPr>
          <w:rFonts w:ascii="Times New Roman" w:hAnsi="Times New Roman" w:cs="Times New Roman"/>
          <w:color w:val="000000" w:themeColor="text1"/>
          <w:sz w:val="24"/>
          <w:szCs w:val="24"/>
        </w:rPr>
        <w:t xml:space="preserve">the Act </w:t>
      </w:r>
      <w:r w:rsidR="00B32879">
        <w:rPr>
          <w:rFonts w:ascii="Times New Roman" w:hAnsi="Times New Roman" w:cs="Times New Roman"/>
          <w:color w:val="000000" w:themeColor="text1"/>
          <w:sz w:val="24"/>
          <w:szCs w:val="24"/>
        </w:rPr>
        <w:t xml:space="preserve">to mean </w:t>
      </w:r>
      <w:r w:rsidR="004A4793">
        <w:rPr>
          <w:rFonts w:ascii="Times New Roman" w:hAnsi="Times New Roman" w:cs="Times New Roman"/>
          <w:i/>
          <w:color w:val="000000" w:themeColor="text1"/>
          <w:sz w:val="24"/>
          <w:szCs w:val="24"/>
        </w:rPr>
        <w:t>the range of frequencies</w:t>
      </w:r>
      <w:r w:rsidR="00E45560">
        <w:rPr>
          <w:rFonts w:ascii="Times New Roman" w:hAnsi="Times New Roman" w:cs="Times New Roman"/>
          <w:i/>
          <w:color w:val="000000" w:themeColor="text1"/>
          <w:sz w:val="24"/>
          <w:szCs w:val="24"/>
        </w:rPr>
        <w:t xml:space="preserve"> within which telecommunications are capable of being made</w:t>
      </w:r>
      <w:r w:rsidR="00E45560">
        <w:rPr>
          <w:rFonts w:ascii="Times New Roman" w:hAnsi="Times New Roman" w:cs="Times New Roman"/>
          <w:color w:val="000000" w:themeColor="text1"/>
          <w:sz w:val="24"/>
          <w:szCs w:val="24"/>
        </w:rPr>
        <w:t xml:space="preserve">. </w:t>
      </w:r>
      <w:r w:rsidR="00492A2E">
        <w:rPr>
          <w:rFonts w:ascii="Times New Roman" w:hAnsi="Times New Roman" w:cs="Times New Roman"/>
          <w:color w:val="000000" w:themeColor="text1"/>
          <w:sz w:val="24"/>
          <w:szCs w:val="24"/>
        </w:rPr>
        <w:t xml:space="preserve"> </w:t>
      </w:r>
      <w:r w:rsidR="00E45560">
        <w:rPr>
          <w:rFonts w:ascii="Times New Roman" w:hAnsi="Times New Roman" w:cs="Times New Roman"/>
          <w:color w:val="000000" w:themeColor="text1"/>
          <w:sz w:val="24"/>
          <w:szCs w:val="24"/>
        </w:rPr>
        <w:t>Similarly, agreements for the building, installation, design and/or sharing of other infrastructure or associated equipment will not be captured by the amended paragraph (c) of the definition of ‘associate’.</w:t>
      </w:r>
    </w:p>
    <w:p w:rsidR="00E45560" w:rsidRDefault="00E45560" w:rsidP="00C30612">
      <w:pPr>
        <w:spacing w:before="0" w:line="240" w:lineRule="auto"/>
        <w:rPr>
          <w:rFonts w:ascii="Times New Roman" w:hAnsi="Times New Roman" w:cs="Times New Roman"/>
          <w:color w:val="000000" w:themeColor="text1"/>
          <w:sz w:val="24"/>
          <w:szCs w:val="24"/>
        </w:rPr>
      </w:pPr>
    </w:p>
    <w:p w:rsidR="00E45560" w:rsidRDefault="00E45560" w:rsidP="00E45560">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Examples of the types of agreements paragraph (c) is intended to cover are discussed in the explanatory statement to the Principal Direction.  </w:t>
      </w:r>
    </w:p>
    <w:p w:rsidR="00AA6F83" w:rsidRDefault="00AA6F83" w:rsidP="00C30612">
      <w:pPr>
        <w:spacing w:before="0" w:line="240" w:lineRule="auto"/>
        <w:rPr>
          <w:rFonts w:ascii="Times New Roman" w:hAnsi="Times New Roman" w:cs="Times New Roman"/>
          <w:color w:val="000000" w:themeColor="text1"/>
          <w:sz w:val="24"/>
          <w:szCs w:val="24"/>
        </w:rPr>
      </w:pPr>
    </w:p>
    <w:p w:rsidR="005D3E43" w:rsidRDefault="00147F7C" w:rsidP="00C30612">
      <w:pPr>
        <w:spacing w:before="0" w:line="240" w:lineRule="auto"/>
        <w:rPr>
          <w:rFonts w:ascii="Times New Roman" w:hAnsi="Times New Roman" w:cs="Times New Roman"/>
          <w:color w:val="000000" w:themeColor="text1"/>
          <w:sz w:val="24"/>
          <w:szCs w:val="24"/>
        </w:rPr>
      </w:pPr>
      <w:r w:rsidRPr="00147F7C">
        <w:rPr>
          <w:rFonts w:ascii="Times New Roman" w:hAnsi="Times New Roman" w:cs="Times New Roman"/>
          <w:color w:val="000000" w:themeColor="text1"/>
          <w:sz w:val="24"/>
          <w:szCs w:val="24"/>
          <w:u w:val="single"/>
        </w:rPr>
        <w:t xml:space="preserve">Item </w:t>
      </w:r>
      <w:r>
        <w:rPr>
          <w:rFonts w:ascii="Times New Roman" w:hAnsi="Times New Roman" w:cs="Times New Roman"/>
          <w:color w:val="000000" w:themeColor="text1"/>
          <w:sz w:val="24"/>
          <w:szCs w:val="24"/>
          <w:u w:val="single"/>
        </w:rPr>
        <w:t>[</w:t>
      </w:r>
      <w:r w:rsidRPr="00147F7C">
        <w:rPr>
          <w:rFonts w:ascii="Times New Roman" w:hAnsi="Times New Roman" w:cs="Times New Roman"/>
          <w:color w:val="000000" w:themeColor="text1"/>
          <w:sz w:val="24"/>
          <w:szCs w:val="24"/>
          <w:u w:val="single"/>
        </w:rPr>
        <w:t>4</w:t>
      </w:r>
      <w:r>
        <w:rPr>
          <w:rFonts w:ascii="Times New Roman" w:hAnsi="Times New Roman" w:cs="Times New Roman"/>
          <w:color w:val="000000" w:themeColor="text1"/>
          <w:sz w:val="24"/>
          <w:szCs w:val="24"/>
          <w:u w:val="single"/>
        </w:rPr>
        <w:t>]</w:t>
      </w:r>
      <w:r w:rsidRPr="00CD76B0">
        <w:rPr>
          <w:rFonts w:ascii="Times New Roman" w:hAnsi="Times New Roman" w:cs="Times New Roman"/>
          <w:color w:val="000000" w:themeColor="text1"/>
          <w:sz w:val="24"/>
          <w:szCs w:val="24"/>
        </w:rPr>
        <w:t xml:space="preserve"> </w:t>
      </w:r>
      <w:r w:rsidR="005D3E43">
        <w:rPr>
          <w:rFonts w:ascii="Times New Roman" w:hAnsi="Times New Roman" w:cs="Times New Roman"/>
          <w:color w:val="000000" w:themeColor="text1"/>
          <w:sz w:val="24"/>
          <w:szCs w:val="24"/>
        </w:rPr>
        <w:t>inserts a definition of ‘carrier’ into the Principal Direction, which is referenced in the definition</w:t>
      </w:r>
      <w:r w:rsidR="00EF74B5">
        <w:rPr>
          <w:rFonts w:ascii="Times New Roman" w:hAnsi="Times New Roman" w:cs="Times New Roman"/>
          <w:color w:val="000000" w:themeColor="text1"/>
          <w:sz w:val="24"/>
          <w:szCs w:val="24"/>
        </w:rPr>
        <w:t>s</w:t>
      </w:r>
      <w:r w:rsidR="005D3E43">
        <w:rPr>
          <w:rFonts w:ascii="Times New Roman" w:hAnsi="Times New Roman" w:cs="Times New Roman"/>
          <w:color w:val="000000" w:themeColor="text1"/>
          <w:sz w:val="24"/>
          <w:szCs w:val="24"/>
        </w:rPr>
        <w:t xml:space="preserve"> of </w:t>
      </w:r>
      <w:r w:rsidR="00EF74B5">
        <w:rPr>
          <w:rFonts w:ascii="Times New Roman" w:hAnsi="Times New Roman" w:cs="Times New Roman"/>
          <w:color w:val="000000" w:themeColor="text1"/>
          <w:sz w:val="24"/>
          <w:szCs w:val="24"/>
        </w:rPr>
        <w:t xml:space="preserve">‘Roaming Services Agreement’ and </w:t>
      </w:r>
      <w:r w:rsidR="005D3E43">
        <w:rPr>
          <w:rFonts w:ascii="Times New Roman" w:hAnsi="Times New Roman" w:cs="Times New Roman"/>
          <w:color w:val="000000" w:themeColor="text1"/>
          <w:sz w:val="24"/>
          <w:szCs w:val="24"/>
        </w:rPr>
        <w:t>‘relevant agreement</w:t>
      </w:r>
      <w:r w:rsidR="00C73883">
        <w:rPr>
          <w:rFonts w:ascii="Times New Roman" w:hAnsi="Times New Roman" w:cs="Times New Roman"/>
          <w:color w:val="000000" w:themeColor="text1"/>
          <w:sz w:val="24"/>
          <w:szCs w:val="24"/>
        </w:rPr>
        <w:t>’</w:t>
      </w:r>
      <w:r w:rsidR="005D3E43">
        <w:rPr>
          <w:rFonts w:ascii="Times New Roman" w:hAnsi="Times New Roman" w:cs="Times New Roman"/>
          <w:color w:val="000000" w:themeColor="text1"/>
          <w:sz w:val="24"/>
          <w:szCs w:val="24"/>
        </w:rPr>
        <w:t xml:space="preserve">.  </w:t>
      </w:r>
      <w:r w:rsidR="00EF74B5">
        <w:rPr>
          <w:rFonts w:ascii="Times New Roman" w:hAnsi="Times New Roman" w:cs="Times New Roman"/>
          <w:color w:val="000000" w:themeColor="text1"/>
          <w:sz w:val="24"/>
          <w:szCs w:val="24"/>
        </w:rPr>
        <w:t xml:space="preserve">The term has the same meaning as in the </w:t>
      </w:r>
      <w:r w:rsidR="00EF74B5" w:rsidRPr="00EF74B5">
        <w:rPr>
          <w:rFonts w:ascii="Times New Roman" w:hAnsi="Times New Roman" w:cs="Times New Roman"/>
          <w:i/>
          <w:color w:val="000000" w:themeColor="text1"/>
          <w:sz w:val="24"/>
          <w:szCs w:val="24"/>
        </w:rPr>
        <w:t>Telecommunications Act 1997</w:t>
      </w:r>
      <w:r w:rsidR="00EF74B5">
        <w:rPr>
          <w:rFonts w:ascii="Times New Roman" w:hAnsi="Times New Roman" w:cs="Times New Roman"/>
          <w:color w:val="000000" w:themeColor="text1"/>
          <w:sz w:val="24"/>
          <w:szCs w:val="24"/>
        </w:rPr>
        <w:t xml:space="preserve">.  </w:t>
      </w:r>
    </w:p>
    <w:p w:rsidR="005D3E43" w:rsidRDefault="005D3E43" w:rsidP="00C30612">
      <w:pPr>
        <w:spacing w:before="0" w:line="240" w:lineRule="auto"/>
        <w:rPr>
          <w:rFonts w:ascii="Times New Roman" w:hAnsi="Times New Roman" w:cs="Times New Roman"/>
          <w:color w:val="000000" w:themeColor="text1"/>
          <w:sz w:val="24"/>
          <w:szCs w:val="24"/>
        </w:rPr>
      </w:pPr>
    </w:p>
    <w:p w:rsidR="00147F7C" w:rsidRDefault="005D3E43" w:rsidP="00C30612">
      <w:pPr>
        <w:spacing w:before="0" w:line="240" w:lineRule="auto"/>
        <w:rPr>
          <w:rFonts w:ascii="Times New Roman" w:hAnsi="Times New Roman" w:cs="Times New Roman"/>
          <w:color w:val="000000" w:themeColor="text1"/>
          <w:sz w:val="24"/>
          <w:szCs w:val="24"/>
        </w:rPr>
      </w:pPr>
      <w:r w:rsidRPr="005D3E43">
        <w:rPr>
          <w:rFonts w:ascii="Times New Roman" w:hAnsi="Times New Roman" w:cs="Times New Roman"/>
          <w:color w:val="000000" w:themeColor="text1"/>
          <w:sz w:val="24"/>
          <w:szCs w:val="24"/>
          <w:u w:val="single"/>
        </w:rPr>
        <w:t>Item [5]</w:t>
      </w:r>
      <w:r>
        <w:rPr>
          <w:rFonts w:ascii="Times New Roman" w:hAnsi="Times New Roman" w:cs="Times New Roman"/>
          <w:color w:val="000000" w:themeColor="text1"/>
          <w:sz w:val="24"/>
          <w:szCs w:val="24"/>
        </w:rPr>
        <w:t xml:space="preserve"> </w:t>
      </w:r>
      <w:r w:rsidR="00CD76B0">
        <w:rPr>
          <w:rFonts w:ascii="Times New Roman" w:hAnsi="Times New Roman" w:cs="Times New Roman"/>
          <w:color w:val="000000" w:themeColor="text1"/>
          <w:sz w:val="24"/>
          <w:szCs w:val="24"/>
        </w:rPr>
        <w:t xml:space="preserve">inserts </w:t>
      </w:r>
      <w:r w:rsidR="00B403D3">
        <w:rPr>
          <w:rFonts w:ascii="Times New Roman" w:hAnsi="Times New Roman" w:cs="Times New Roman"/>
          <w:color w:val="000000" w:themeColor="text1"/>
          <w:sz w:val="24"/>
          <w:szCs w:val="24"/>
        </w:rPr>
        <w:t xml:space="preserve">a </w:t>
      </w:r>
      <w:r w:rsidR="00CD76B0">
        <w:rPr>
          <w:rFonts w:ascii="Times New Roman" w:hAnsi="Times New Roman" w:cs="Times New Roman"/>
          <w:color w:val="000000" w:themeColor="text1"/>
          <w:sz w:val="24"/>
          <w:szCs w:val="24"/>
        </w:rPr>
        <w:t>definition</w:t>
      </w:r>
      <w:r w:rsidR="00E45560">
        <w:rPr>
          <w:rFonts w:ascii="Times New Roman" w:hAnsi="Times New Roman" w:cs="Times New Roman"/>
          <w:color w:val="000000" w:themeColor="text1"/>
          <w:sz w:val="24"/>
          <w:szCs w:val="24"/>
        </w:rPr>
        <w:t xml:space="preserve"> of </w:t>
      </w:r>
      <w:r w:rsidR="00002D25">
        <w:rPr>
          <w:rFonts w:ascii="Times New Roman" w:hAnsi="Times New Roman" w:cs="Times New Roman"/>
          <w:color w:val="000000" w:themeColor="text1"/>
          <w:sz w:val="24"/>
          <w:szCs w:val="24"/>
        </w:rPr>
        <w:t>‘</w:t>
      </w:r>
      <w:r w:rsidR="00002D25" w:rsidRPr="00002D25">
        <w:rPr>
          <w:rFonts w:ascii="Times New Roman" w:hAnsi="Times New Roman"/>
          <w:sz w:val="24"/>
          <w:szCs w:val="24"/>
        </w:rPr>
        <w:t>public mobile telecommunications service</w:t>
      </w:r>
      <w:r w:rsidR="00002D25">
        <w:rPr>
          <w:rFonts w:ascii="Times New Roman" w:hAnsi="Times New Roman" w:cs="Times New Roman"/>
          <w:color w:val="000000" w:themeColor="text1"/>
          <w:sz w:val="24"/>
          <w:szCs w:val="24"/>
        </w:rPr>
        <w:t>’</w:t>
      </w:r>
      <w:r w:rsidR="00CD76B0">
        <w:rPr>
          <w:rFonts w:ascii="Times New Roman" w:hAnsi="Times New Roman" w:cs="Times New Roman"/>
          <w:color w:val="000000" w:themeColor="text1"/>
          <w:sz w:val="24"/>
          <w:szCs w:val="24"/>
        </w:rPr>
        <w:t xml:space="preserve"> into the Principal Direction</w:t>
      </w:r>
      <w:r w:rsidR="003246E1">
        <w:rPr>
          <w:rFonts w:ascii="Times New Roman" w:hAnsi="Times New Roman" w:cs="Times New Roman"/>
          <w:color w:val="000000" w:themeColor="text1"/>
          <w:sz w:val="24"/>
          <w:szCs w:val="24"/>
        </w:rPr>
        <w:t xml:space="preserve">.  </w:t>
      </w:r>
      <w:r w:rsidR="00CD76B0">
        <w:rPr>
          <w:rFonts w:ascii="Times New Roman" w:hAnsi="Times New Roman" w:cs="Times New Roman"/>
          <w:color w:val="000000" w:themeColor="text1"/>
          <w:sz w:val="24"/>
          <w:szCs w:val="24"/>
        </w:rPr>
        <w:t xml:space="preserve">  </w:t>
      </w:r>
    </w:p>
    <w:p w:rsidR="00002D25" w:rsidRDefault="00002D25" w:rsidP="00C30612">
      <w:pPr>
        <w:spacing w:before="0" w:line="240" w:lineRule="auto"/>
        <w:rPr>
          <w:rFonts w:ascii="Times New Roman" w:hAnsi="Times New Roman" w:cs="Times New Roman"/>
          <w:color w:val="000000" w:themeColor="text1"/>
          <w:sz w:val="24"/>
          <w:szCs w:val="24"/>
        </w:rPr>
      </w:pPr>
    </w:p>
    <w:p w:rsidR="007E2EDA" w:rsidRDefault="00002D25" w:rsidP="00C3061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term ‘</w:t>
      </w:r>
      <w:r w:rsidRPr="00002D25">
        <w:rPr>
          <w:rFonts w:ascii="Times New Roman" w:hAnsi="Times New Roman"/>
          <w:sz w:val="24"/>
          <w:szCs w:val="24"/>
        </w:rPr>
        <w:t>public mobile telecommunications service</w:t>
      </w:r>
      <w:r>
        <w:rPr>
          <w:rFonts w:ascii="Times New Roman" w:hAnsi="Times New Roman" w:cs="Times New Roman"/>
          <w:color w:val="000000" w:themeColor="text1"/>
          <w:sz w:val="24"/>
          <w:szCs w:val="24"/>
        </w:rPr>
        <w:t xml:space="preserve">’ is referenced in the definition </w:t>
      </w:r>
      <w:r w:rsidR="0030313C">
        <w:rPr>
          <w:rFonts w:ascii="Times New Roman" w:hAnsi="Times New Roman" w:cs="Times New Roman"/>
          <w:color w:val="000000" w:themeColor="text1"/>
          <w:sz w:val="24"/>
          <w:szCs w:val="24"/>
        </w:rPr>
        <w:t>of ‘Roaming Services Agreement’</w:t>
      </w:r>
      <w:r>
        <w:rPr>
          <w:rFonts w:ascii="Times New Roman" w:hAnsi="Times New Roman" w:cs="Times New Roman"/>
          <w:color w:val="000000" w:themeColor="text1"/>
          <w:sz w:val="24"/>
          <w:szCs w:val="24"/>
        </w:rPr>
        <w:t xml:space="preserve">.  The term has the same meaning as in the </w:t>
      </w:r>
      <w:r w:rsidRPr="00EF74B5">
        <w:rPr>
          <w:rFonts w:ascii="Times New Roman" w:hAnsi="Times New Roman" w:cs="Times New Roman"/>
          <w:i/>
          <w:color w:val="000000" w:themeColor="text1"/>
          <w:sz w:val="24"/>
          <w:szCs w:val="24"/>
        </w:rPr>
        <w:t>Telecommunications Act 1997</w:t>
      </w:r>
      <w:r>
        <w:rPr>
          <w:rFonts w:ascii="Times New Roman" w:hAnsi="Times New Roman" w:cs="Times New Roman"/>
          <w:color w:val="000000" w:themeColor="text1"/>
          <w:sz w:val="24"/>
          <w:szCs w:val="24"/>
        </w:rPr>
        <w:t xml:space="preserve">.  </w:t>
      </w:r>
    </w:p>
    <w:p w:rsidR="00792ED1" w:rsidRDefault="00792ED1" w:rsidP="00C30612">
      <w:pPr>
        <w:spacing w:before="0" w:line="240" w:lineRule="auto"/>
        <w:rPr>
          <w:rFonts w:ascii="Times New Roman" w:hAnsi="Times New Roman" w:cs="Times New Roman"/>
          <w:color w:val="000000" w:themeColor="text1"/>
          <w:sz w:val="24"/>
          <w:szCs w:val="24"/>
          <w:u w:val="single"/>
        </w:rPr>
      </w:pPr>
    </w:p>
    <w:p w:rsidR="007E2EDA" w:rsidRDefault="007E2EDA" w:rsidP="00C30612">
      <w:pPr>
        <w:spacing w:before="0" w:line="240" w:lineRule="auto"/>
        <w:rPr>
          <w:rFonts w:ascii="Times New Roman" w:hAnsi="Times New Roman" w:cs="Times New Roman"/>
          <w:color w:val="000000" w:themeColor="text1"/>
          <w:sz w:val="24"/>
          <w:szCs w:val="24"/>
        </w:rPr>
      </w:pPr>
      <w:r w:rsidRPr="00BC268C">
        <w:rPr>
          <w:rFonts w:ascii="Times New Roman" w:hAnsi="Times New Roman" w:cs="Times New Roman"/>
          <w:color w:val="000000" w:themeColor="text1"/>
          <w:sz w:val="24"/>
          <w:szCs w:val="24"/>
          <w:u w:val="single"/>
        </w:rPr>
        <w:t>Item [</w:t>
      </w:r>
      <w:r w:rsidR="005D3E43">
        <w:rPr>
          <w:rFonts w:ascii="Times New Roman" w:hAnsi="Times New Roman" w:cs="Times New Roman"/>
          <w:color w:val="000000" w:themeColor="text1"/>
          <w:sz w:val="24"/>
          <w:szCs w:val="24"/>
          <w:u w:val="single"/>
        </w:rPr>
        <w:t>6</w:t>
      </w:r>
      <w:r w:rsidRPr="00BC268C">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inserts wording to exclude the term</w:t>
      </w:r>
      <w:r w:rsidR="00EF74B5">
        <w:rPr>
          <w:rFonts w:ascii="Times New Roman" w:hAnsi="Times New Roman" w:cs="Times New Roman"/>
          <w:color w:val="000000" w:themeColor="text1"/>
          <w:sz w:val="24"/>
          <w:szCs w:val="24"/>
        </w:rPr>
        <w:t xml:space="preserve"> ‘Roaming Services Agreement’ </w:t>
      </w:r>
      <w:r w:rsidR="00BD1370">
        <w:rPr>
          <w:rFonts w:ascii="Times New Roman" w:hAnsi="Times New Roman" w:cs="Times New Roman"/>
          <w:color w:val="000000" w:themeColor="text1"/>
          <w:sz w:val="24"/>
          <w:szCs w:val="24"/>
        </w:rPr>
        <w:t>(</w:t>
      </w:r>
      <w:r w:rsidR="002258FB">
        <w:rPr>
          <w:rFonts w:ascii="Times New Roman" w:hAnsi="Times New Roman" w:cs="Times New Roman"/>
          <w:color w:val="000000" w:themeColor="text1"/>
          <w:sz w:val="24"/>
          <w:szCs w:val="24"/>
        </w:rPr>
        <w:t>th</w:t>
      </w:r>
      <w:r w:rsidR="00C73E0F">
        <w:rPr>
          <w:rFonts w:ascii="Times New Roman" w:hAnsi="Times New Roman" w:cs="Times New Roman"/>
          <w:color w:val="000000" w:themeColor="text1"/>
          <w:sz w:val="24"/>
          <w:szCs w:val="24"/>
        </w:rPr>
        <w:t>i</w:t>
      </w:r>
      <w:r w:rsidR="002258FB">
        <w:rPr>
          <w:rFonts w:ascii="Times New Roman" w:hAnsi="Times New Roman" w:cs="Times New Roman"/>
          <w:color w:val="000000" w:themeColor="text1"/>
          <w:sz w:val="24"/>
          <w:szCs w:val="24"/>
        </w:rPr>
        <w:t>s defined term</w:t>
      </w:r>
      <w:r w:rsidR="00C73E0F">
        <w:rPr>
          <w:rFonts w:ascii="Times New Roman" w:hAnsi="Times New Roman" w:cs="Times New Roman"/>
          <w:color w:val="000000" w:themeColor="text1"/>
          <w:sz w:val="24"/>
          <w:szCs w:val="24"/>
        </w:rPr>
        <w:t xml:space="preserve"> is</w:t>
      </w:r>
      <w:r w:rsidR="002258FB">
        <w:rPr>
          <w:rFonts w:ascii="Times New Roman" w:hAnsi="Times New Roman" w:cs="Times New Roman"/>
          <w:color w:val="000000" w:themeColor="text1"/>
          <w:sz w:val="24"/>
          <w:szCs w:val="24"/>
        </w:rPr>
        <w:t xml:space="preserve"> discussed in </w:t>
      </w:r>
      <w:r w:rsidR="00BD1370">
        <w:rPr>
          <w:rFonts w:ascii="Times New Roman" w:hAnsi="Times New Roman" w:cs="Times New Roman"/>
          <w:color w:val="000000" w:themeColor="text1"/>
          <w:sz w:val="24"/>
          <w:szCs w:val="24"/>
        </w:rPr>
        <w:t>item [</w:t>
      </w:r>
      <w:r w:rsidR="00536ED8">
        <w:rPr>
          <w:rFonts w:ascii="Times New Roman" w:hAnsi="Times New Roman" w:cs="Times New Roman"/>
          <w:color w:val="000000" w:themeColor="text1"/>
          <w:sz w:val="24"/>
          <w:szCs w:val="24"/>
        </w:rPr>
        <w:t>7</w:t>
      </w:r>
      <w:r w:rsidR="00BD1370">
        <w:rPr>
          <w:rFonts w:ascii="Times New Roman" w:hAnsi="Times New Roman" w:cs="Times New Roman"/>
          <w:color w:val="000000" w:themeColor="text1"/>
          <w:sz w:val="24"/>
          <w:szCs w:val="24"/>
        </w:rPr>
        <w:t>]</w:t>
      </w:r>
      <w:r w:rsidR="002258FB">
        <w:rPr>
          <w:rFonts w:ascii="Times New Roman" w:hAnsi="Times New Roman" w:cs="Times New Roman"/>
          <w:color w:val="000000" w:themeColor="text1"/>
          <w:sz w:val="24"/>
          <w:szCs w:val="24"/>
        </w:rPr>
        <w:t xml:space="preserve">, </w:t>
      </w:r>
      <w:r w:rsidR="00536ED8">
        <w:rPr>
          <w:rFonts w:ascii="Times New Roman" w:hAnsi="Times New Roman" w:cs="Times New Roman"/>
          <w:color w:val="000000" w:themeColor="text1"/>
          <w:sz w:val="24"/>
          <w:szCs w:val="24"/>
        </w:rPr>
        <w:t>below</w:t>
      </w:r>
      <w:r w:rsidR="00BD137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from </w:t>
      </w:r>
      <w:r w:rsidR="00BD1370">
        <w:rPr>
          <w:rFonts w:ascii="Times New Roman" w:hAnsi="Times New Roman" w:cs="Times New Roman"/>
          <w:color w:val="000000" w:themeColor="text1"/>
          <w:sz w:val="24"/>
          <w:szCs w:val="24"/>
        </w:rPr>
        <w:t xml:space="preserve">being included within the </w:t>
      </w:r>
      <w:r w:rsidR="002258FB">
        <w:rPr>
          <w:rFonts w:ascii="Times New Roman" w:hAnsi="Times New Roman" w:cs="Times New Roman"/>
          <w:color w:val="000000" w:themeColor="text1"/>
          <w:sz w:val="24"/>
          <w:szCs w:val="24"/>
        </w:rPr>
        <w:t>term</w:t>
      </w:r>
      <w:r w:rsidR="00BD1370">
        <w:rPr>
          <w:rFonts w:ascii="Times New Roman" w:hAnsi="Times New Roman" w:cs="Times New Roman"/>
          <w:color w:val="000000" w:themeColor="text1"/>
          <w:sz w:val="24"/>
          <w:szCs w:val="24"/>
        </w:rPr>
        <w:t xml:space="preserve"> ‘relevant agreement’</w:t>
      </w:r>
      <w:r>
        <w:rPr>
          <w:rFonts w:ascii="Times New Roman" w:hAnsi="Times New Roman" w:cs="Times New Roman"/>
          <w:color w:val="000000" w:themeColor="text1"/>
          <w:sz w:val="24"/>
          <w:szCs w:val="24"/>
        </w:rPr>
        <w:t xml:space="preserve">.   </w:t>
      </w:r>
    </w:p>
    <w:p w:rsidR="00656F85" w:rsidRDefault="00656F85" w:rsidP="004C4F64">
      <w:pPr>
        <w:spacing w:before="0" w:line="240" w:lineRule="auto"/>
        <w:rPr>
          <w:rFonts w:ascii="Times New Roman" w:eastAsia="Times New Roman" w:hAnsi="Times New Roman" w:cs="Times New Roman"/>
          <w:b/>
          <w:color w:val="000000"/>
          <w:sz w:val="24"/>
          <w:szCs w:val="24"/>
          <w:lang w:eastAsia="en-AU"/>
        </w:rPr>
      </w:pPr>
    </w:p>
    <w:p w:rsidR="00536ED8" w:rsidRDefault="00536ED8" w:rsidP="00536ED8">
      <w:pPr>
        <w:spacing w:before="0" w:line="240" w:lineRule="auto"/>
        <w:rPr>
          <w:rFonts w:ascii="Times New Roman" w:hAnsi="Times New Roman" w:cs="Times New Roman"/>
          <w:color w:val="000000" w:themeColor="text1"/>
          <w:sz w:val="24"/>
          <w:szCs w:val="24"/>
        </w:rPr>
      </w:pPr>
      <w:r w:rsidRPr="005D3E43">
        <w:rPr>
          <w:rFonts w:ascii="Times New Roman" w:hAnsi="Times New Roman" w:cs="Times New Roman"/>
          <w:color w:val="000000" w:themeColor="text1"/>
          <w:sz w:val="24"/>
          <w:szCs w:val="24"/>
          <w:u w:val="single"/>
        </w:rPr>
        <w:t>Item [</w:t>
      </w:r>
      <w:r>
        <w:rPr>
          <w:rFonts w:ascii="Times New Roman" w:hAnsi="Times New Roman" w:cs="Times New Roman"/>
          <w:color w:val="000000" w:themeColor="text1"/>
          <w:sz w:val="24"/>
          <w:szCs w:val="24"/>
          <w:u w:val="single"/>
        </w:rPr>
        <w:t>7</w:t>
      </w:r>
      <w:r w:rsidRPr="005D3E43">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inserts</w:t>
      </w:r>
      <w:r w:rsidR="00B403D3">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definition of ‘</w:t>
      </w:r>
      <w:r>
        <w:rPr>
          <w:rFonts w:ascii="Times New Roman" w:hAnsi="Times New Roman"/>
          <w:sz w:val="24"/>
          <w:szCs w:val="24"/>
        </w:rPr>
        <w:t>Roaming Services Agreement</w:t>
      </w:r>
      <w:r>
        <w:rPr>
          <w:rFonts w:ascii="Times New Roman" w:hAnsi="Times New Roman" w:cs="Times New Roman"/>
          <w:color w:val="000000" w:themeColor="text1"/>
          <w:sz w:val="24"/>
          <w:szCs w:val="24"/>
        </w:rPr>
        <w:t xml:space="preserve">’ into the Principal Direction.    </w:t>
      </w:r>
    </w:p>
    <w:p w:rsidR="00536ED8" w:rsidRDefault="00536ED8" w:rsidP="00536ED8">
      <w:pPr>
        <w:spacing w:before="0" w:line="240" w:lineRule="auto"/>
        <w:rPr>
          <w:rFonts w:ascii="Times New Roman" w:hAnsi="Times New Roman" w:cs="Times New Roman"/>
          <w:color w:val="000000" w:themeColor="text1"/>
          <w:sz w:val="24"/>
          <w:szCs w:val="24"/>
        </w:rPr>
      </w:pPr>
    </w:p>
    <w:p w:rsidR="00536ED8" w:rsidRDefault="00536ED8" w:rsidP="00536ED8">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term ‘Roaming Services Agreement’ is referenced in the definition of ‘relevant agreement’.  This term is intended to capture agreements between carriers which enable customers (i.e. end-users) of one carrier to roam onto the mobile network of another carrier </w:t>
      </w:r>
      <w:r w:rsidRPr="00D95185">
        <w:rPr>
          <w:rFonts w:ascii="Times New Roman" w:hAnsi="Times New Roman" w:cs="Times New Roman"/>
          <w:color w:val="000000" w:themeColor="text1"/>
          <w:sz w:val="24"/>
          <w:szCs w:val="24"/>
        </w:rPr>
        <w:t xml:space="preserve">when </w:t>
      </w:r>
      <w:r>
        <w:rPr>
          <w:rFonts w:ascii="Times New Roman" w:hAnsi="Times New Roman" w:cs="Times New Roman"/>
          <w:color w:val="000000" w:themeColor="text1"/>
          <w:sz w:val="24"/>
          <w:szCs w:val="24"/>
        </w:rPr>
        <w:t xml:space="preserve">the customer is </w:t>
      </w:r>
      <w:r w:rsidRPr="00D95185">
        <w:rPr>
          <w:rFonts w:ascii="Times New Roman" w:hAnsi="Times New Roman" w:cs="Times New Roman"/>
          <w:color w:val="000000" w:themeColor="text1"/>
          <w:sz w:val="24"/>
          <w:szCs w:val="24"/>
        </w:rPr>
        <w:t xml:space="preserve">outside the geographical coverage area of the </w:t>
      </w:r>
      <w:r>
        <w:rPr>
          <w:rFonts w:ascii="Times New Roman" w:hAnsi="Times New Roman" w:cs="Times New Roman"/>
          <w:color w:val="000000" w:themeColor="text1"/>
          <w:sz w:val="24"/>
          <w:szCs w:val="24"/>
        </w:rPr>
        <w:t>first-mentioned carrier’s</w:t>
      </w:r>
      <w:r w:rsidRPr="00D95185">
        <w:rPr>
          <w:rFonts w:ascii="Times New Roman" w:hAnsi="Times New Roman" w:cs="Times New Roman"/>
          <w:color w:val="000000" w:themeColor="text1"/>
          <w:sz w:val="24"/>
          <w:szCs w:val="24"/>
        </w:rPr>
        <w:t xml:space="preserve"> </w:t>
      </w:r>
      <w:hyperlink r:id="rId9" w:tooltip="Telecommunications network" w:history="1">
        <w:r w:rsidRPr="00D95185">
          <w:rPr>
            <w:rFonts w:ascii="Times New Roman" w:hAnsi="Times New Roman" w:cs="Times New Roman"/>
            <w:color w:val="000000" w:themeColor="text1"/>
            <w:sz w:val="24"/>
            <w:szCs w:val="24"/>
          </w:rPr>
          <w:t>network</w:t>
        </w:r>
      </w:hyperlink>
      <w:r>
        <w:rPr>
          <w:rFonts w:ascii="Times New Roman" w:hAnsi="Times New Roman" w:cs="Times New Roman"/>
          <w:color w:val="000000" w:themeColor="text1"/>
          <w:sz w:val="24"/>
          <w:szCs w:val="24"/>
        </w:rPr>
        <w:t xml:space="preserve">.  Such use is for temporary periods of time.  This amendment has been made to make it clear that such arrangements are not captured by paragraph (c) of the definition of ‘associates’.  The concern was that such agreements may be considered to be for the use of spectrum even though such arrangements only enable the </w:t>
      </w:r>
      <w:r w:rsidRPr="00C73883">
        <w:rPr>
          <w:rFonts w:ascii="Times New Roman" w:hAnsi="Times New Roman" w:cs="Times New Roman"/>
          <w:i/>
          <w:color w:val="000000" w:themeColor="text1"/>
          <w:sz w:val="24"/>
          <w:szCs w:val="24"/>
        </w:rPr>
        <w:t>customers</w:t>
      </w:r>
      <w:r>
        <w:rPr>
          <w:rFonts w:ascii="Times New Roman" w:hAnsi="Times New Roman" w:cs="Times New Roman"/>
          <w:color w:val="000000" w:themeColor="text1"/>
          <w:sz w:val="24"/>
          <w:szCs w:val="24"/>
        </w:rPr>
        <w:t xml:space="preserve"> of a carrier to temporarily use the spectrum of another carrier.  This is not an arrangement which provides one carrier with exclusive use of another carrier’s spectrum (so as to monopolize the spectrum band).  </w:t>
      </w:r>
    </w:p>
    <w:p w:rsidR="00430417" w:rsidRDefault="00430417" w:rsidP="00430417">
      <w:pPr>
        <w:spacing w:before="0" w:line="240" w:lineRule="auto"/>
        <w:rPr>
          <w:rFonts w:ascii="Times New Roman" w:hAnsi="Times New Roman" w:cs="Times New Roman"/>
          <w:color w:val="000000" w:themeColor="text1"/>
          <w:sz w:val="24"/>
          <w:szCs w:val="24"/>
        </w:rPr>
      </w:pPr>
    </w:p>
    <w:p w:rsidR="00430417" w:rsidRDefault="00430417" w:rsidP="00430417">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the agreement between two carriers covers matters that extend beyond arrangements in relation to roaming for the use of the relevant spectrum, there will be a risk that the </w:t>
      </w:r>
      <w:r>
        <w:rPr>
          <w:rFonts w:ascii="Times New Roman" w:hAnsi="Times New Roman" w:cs="Times New Roman"/>
          <w:color w:val="000000" w:themeColor="text1"/>
          <w:sz w:val="24"/>
          <w:szCs w:val="24"/>
        </w:rPr>
        <w:lastRenderedPageBreak/>
        <w:t>agreement as a whole will be captured by paragraph (c) of the ‘associates’ definition and therefore limit the amount of spectrum that may be used by the respective parties.</w:t>
      </w:r>
    </w:p>
    <w:p w:rsidR="00BD1370" w:rsidRDefault="00BD1370" w:rsidP="004C4F64">
      <w:pPr>
        <w:spacing w:before="0" w:line="240" w:lineRule="auto"/>
        <w:rPr>
          <w:rFonts w:ascii="Times New Roman" w:hAnsi="Times New Roman" w:cs="Times New Roman"/>
          <w:color w:val="000000" w:themeColor="text1"/>
          <w:sz w:val="24"/>
          <w:szCs w:val="24"/>
        </w:rPr>
      </w:pPr>
    </w:p>
    <w:p w:rsidR="001F77BD" w:rsidRPr="009B1162" w:rsidRDefault="001F77BD" w:rsidP="009B1162">
      <w:pPr>
        <w:autoSpaceDE w:val="0"/>
        <w:autoSpaceDN w:val="0"/>
        <w:adjustRightInd w:val="0"/>
        <w:spacing w:before="0" w:line="240" w:lineRule="auto"/>
        <w:rPr>
          <w:rFonts w:ascii="Times New Roman" w:hAnsi="Times New Roman" w:cs="Times New Roman"/>
          <w:sz w:val="24"/>
          <w:szCs w:val="24"/>
        </w:rPr>
      </w:pPr>
      <w:r w:rsidRPr="005D3E43">
        <w:rPr>
          <w:rFonts w:ascii="Times New Roman" w:hAnsi="Times New Roman" w:cs="Times New Roman"/>
          <w:color w:val="000000" w:themeColor="text1"/>
          <w:sz w:val="24"/>
          <w:szCs w:val="24"/>
          <w:u w:val="single"/>
        </w:rPr>
        <w:t>Item [</w:t>
      </w:r>
      <w:r>
        <w:rPr>
          <w:rFonts w:ascii="Times New Roman" w:hAnsi="Times New Roman" w:cs="Times New Roman"/>
          <w:color w:val="000000" w:themeColor="text1"/>
          <w:sz w:val="24"/>
          <w:szCs w:val="24"/>
          <w:u w:val="single"/>
        </w:rPr>
        <w:t>8</w:t>
      </w:r>
      <w:r w:rsidRPr="005D3E43">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amends </w:t>
      </w:r>
      <w:r w:rsidR="00AA6F83">
        <w:rPr>
          <w:rFonts w:ascii="Times New Roman" w:hAnsi="Times New Roman" w:cs="Times New Roman"/>
          <w:color w:val="000000" w:themeColor="text1"/>
          <w:sz w:val="24"/>
          <w:szCs w:val="24"/>
        </w:rPr>
        <w:t xml:space="preserve">subsection 4(1) of the </w:t>
      </w:r>
      <w:r w:rsidR="005652AF">
        <w:rPr>
          <w:rFonts w:ascii="Times New Roman" w:hAnsi="Times New Roman" w:cs="Times New Roman"/>
          <w:color w:val="000000" w:themeColor="text1"/>
          <w:sz w:val="24"/>
          <w:szCs w:val="24"/>
        </w:rPr>
        <w:t xml:space="preserve">Principal </w:t>
      </w:r>
      <w:r w:rsidR="00AA6F83">
        <w:rPr>
          <w:rFonts w:ascii="Times New Roman" w:hAnsi="Times New Roman" w:cs="Times New Roman"/>
          <w:color w:val="000000" w:themeColor="text1"/>
          <w:sz w:val="24"/>
          <w:szCs w:val="24"/>
        </w:rPr>
        <w:t>Direction to</w:t>
      </w:r>
      <w:r w:rsidR="00823BF9">
        <w:rPr>
          <w:rFonts w:ascii="Times New Roman" w:hAnsi="Times New Roman" w:cs="Times New Roman"/>
          <w:color w:val="000000" w:themeColor="text1"/>
          <w:sz w:val="24"/>
          <w:szCs w:val="24"/>
        </w:rPr>
        <w:t xml:space="preserve"> increase the </w:t>
      </w:r>
      <w:r w:rsidR="00823BF9" w:rsidRPr="00823BF9">
        <w:rPr>
          <w:rFonts w:ascii="Times New Roman" w:hAnsi="Times New Roman" w:cs="Times New Roman"/>
          <w:color w:val="000000" w:themeColor="text1"/>
          <w:sz w:val="24"/>
          <w:szCs w:val="24"/>
        </w:rPr>
        <w:t xml:space="preserve">quantum limits </w:t>
      </w:r>
      <w:r w:rsidR="009B1162">
        <w:rPr>
          <w:rFonts w:ascii="Times New Roman" w:hAnsi="Times New Roman" w:cs="Times New Roman"/>
          <w:color w:val="000000" w:themeColor="text1"/>
          <w:sz w:val="24"/>
          <w:szCs w:val="24"/>
        </w:rPr>
        <w:t xml:space="preserve">that apply to a </w:t>
      </w:r>
      <w:r w:rsidR="009B1162" w:rsidRPr="009B1162">
        <w:rPr>
          <w:rFonts w:ascii="Times New Roman" w:hAnsi="Times New Roman" w:cs="Times New Roman"/>
          <w:color w:val="000000" w:themeColor="text1"/>
          <w:sz w:val="24"/>
          <w:szCs w:val="24"/>
        </w:rPr>
        <w:t>person or specified group of persons</w:t>
      </w:r>
      <w:r w:rsidR="009B1162">
        <w:rPr>
          <w:rFonts w:ascii="Times New Roman" w:hAnsi="Times New Roman" w:cs="Times New Roman"/>
          <w:color w:val="000000" w:themeColor="text1"/>
          <w:sz w:val="24"/>
          <w:szCs w:val="24"/>
        </w:rPr>
        <w:t xml:space="preserve">, to be </w:t>
      </w:r>
      <w:r w:rsidR="009B1162">
        <w:rPr>
          <w:rFonts w:ascii="Times New Roman" w:hAnsi="Times New Roman" w:cs="Times New Roman"/>
          <w:sz w:val="24"/>
          <w:szCs w:val="24"/>
        </w:rPr>
        <w:t>included in the spectrum allocation procedures</w:t>
      </w:r>
      <w:r w:rsidR="00FB1E42">
        <w:rPr>
          <w:rFonts w:ascii="Times New Roman" w:hAnsi="Times New Roman" w:cs="Times New Roman"/>
          <w:sz w:val="24"/>
          <w:szCs w:val="24"/>
        </w:rPr>
        <w:t>, from 2</w:t>
      </w:r>
      <w:r w:rsidR="003421D8">
        <w:rPr>
          <w:rFonts w:ascii="Times New Roman" w:hAnsi="Times New Roman" w:cs="Times New Roman"/>
          <w:sz w:val="24"/>
          <w:szCs w:val="24"/>
        </w:rPr>
        <w:t xml:space="preserve"> </w:t>
      </w:r>
      <w:r w:rsidR="00C03F68">
        <w:rPr>
          <w:rFonts w:ascii="Times New Roman" w:hAnsi="Times New Roman" w:cs="Times New Roman"/>
          <w:sz w:val="24"/>
          <w:szCs w:val="24"/>
        </w:rPr>
        <w:t>×</w:t>
      </w:r>
      <w:r w:rsidR="003421D8">
        <w:rPr>
          <w:rFonts w:ascii="Times New Roman" w:hAnsi="Times New Roman" w:cs="Times New Roman"/>
          <w:sz w:val="24"/>
          <w:szCs w:val="24"/>
        </w:rPr>
        <w:t xml:space="preserve"> </w:t>
      </w:r>
      <w:r w:rsidR="00FB1E42">
        <w:rPr>
          <w:rFonts w:ascii="Times New Roman" w:hAnsi="Times New Roman" w:cs="Times New Roman"/>
          <w:sz w:val="24"/>
          <w:szCs w:val="24"/>
        </w:rPr>
        <w:t>20</w:t>
      </w:r>
      <w:r w:rsidR="00B101E2">
        <w:rPr>
          <w:rFonts w:ascii="Times New Roman" w:hAnsi="Times New Roman" w:cs="Times New Roman"/>
          <w:sz w:val="24"/>
          <w:szCs w:val="24"/>
        </w:rPr>
        <w:t xml:space="preserve"> </w:t>
      </w:r>
      <w:r w:rsidR="00FB1E42">
        <w:rPr>
          <w:rFonts w:ascii="Times New Roman" w:hAnsi="Times New Roman" w:cs="Times New Roman"/>
          <w:sz w:val="24"/>
          <w:szCs w:val="24"/>
        </w:rPr>
        <w:t>MHz to 2</w:t>
      </w:r>
      <w:r w:rsidR="003421D8">
        <w:rPr>
          <w:rFonts w:ascii="Times New Roman" w:hAnsi="Times New Roman" w:cs="Times New Roman"/>
          <w:sz w:val="24"/>
          <w:szCs w:val="24"/>
        </w:rPr>
        <w:t xml:space="preserve"> </w:t>
      </w:r>
      <w:r w:rsidR="00C03F68">
        <w:rPr>
          <w:rFonts w:ascii="Times New Roman" w:hAnsi="Times New Roman" w:cs="Times New Roman"/>
          <w:sz w:val="24"/>
          <w:szCs w:val="24"/>
        </w:rPr>
        <w:t>×</w:t>
      </w:r>
      <w:r w:rsidR="003421D8">
        <w:rPr>
          <w:rFonts w:ascii="Times New Roman" w:hAnsi="Times New Roman" w:cs="Times New Roman"/>
          <w:sz w:val="24"/>
          <w:szCs w:val="24"/>
        </w:rPr>
        <w:t xml:space="preserve"> </w:t>
      </w:r>
      <w:r w:rsidR="00FB1E42">
        <w:rPr>
          <w:rFonts w:ascii="Times New Roman" w:hAnsi="Times New Roman" w:cs="Times New Roman"/>
          <w:sz w:val="24"/>
          <w:szCs w:val="24"/>
        </w:rPr>
        <w:t>25</w:t>
      </w:r>
      <w:r w:rsidR="00B101E2">
        <w:rPr>
          <w:rFonts w:ascii="Times New Roman" w:hAnsi="Times New Roman" w:cs="Times New Roman"/>
          <w:sz w:val="24"/>
          <w:szCs w:val="24"/>
        </w:rPr>
        <w:t xml:space="preserve"> </w:t>
      </w:r>
      <w:r w:rsidR="00FB1E42">
        <w:rPr>
          <w:rFonts w:ascii="Times New Roman" w:hAnsi="Times New Roman" w:cs="Times New Roman"/>
          <w:sz w:val="24"/>
          <w:szCs w:val="24"/>
        </w:rPr>
        <w:t>MHz in the 700</w:t>
      </w:r>
      <w:r w:rsidR="00B101E2">
        <w:rPr>
          <w:rFonts w:ascii="Times New Roman" w:hAnsi="Times New Roman" w:cs="Times New Roman"/>
          <w:sz w:val="24"/>
          <w:szCs w:val="24"/>
        </w:rPr>
        <w:t xml:space="preserve"> </w:t>
      </w:r>
      <w:r w:rsidR="00FB1E42">
        <w:rPr>
          <w:rFonts w:ascii="Times New Roman" w:hAnsi="Times New Roman" w:cs="Times New Roman"/>
          <w:sz w:val="24"/>
          <w:szCs w:val="24"/>
        </w:rPr>
        <w:t>MHz frequency band</w:t>
      </w:r>
      <w:r w:rsidR="009B1162">
        <w:rPr>
          <w:rFonts w:ascii="Times New Roman" w:hAnsi="Times New Roman" w:cs="Times New Roman"/>
          <w:sz w:val="24"/>
          <w:szCs w:val="24"/>
        </w:rPr>
        <w:t xml:space="preserve">. </w:t>
      </w:r>
    </w:p>
    <w:sectPr w:rsidR="001F77BD" w:rsidRPr="009B1162" w:rsidSect="0026179B">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2E" w:rsidRDefault="00440F2E" w:rsidP="0026179B">
      <w:pPr>
        <w:spacing w:before="0" w:line="240" w:lineRule="auto"/>
      </w:pPr>
      <w:r>
        <w:separator/>
      </w:r>
    </w:p>
  </w:endnote>
  <w:endnote w:type="continuationSeparator" w:id="0">
    <w:p w:rsidR="00440F2E" w:rsidRDefault="00440F2E" w:rsidP="002617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2E" w:rsidRDefault="00440F2E" w:rsidP="0026179B">
      <w:pPr>
        <w:spacing w:before="0" w:line="240" w:lineRule="auto"/>
      </w:pPr>
      <w:r>
        <w:separator/>
      </w:r>
    </w:p>
  </w:footnote>
  <w:footnote w:type="continuationSeparator" w:id="0">
    <w:p w:rsidR="00440F2E" w:rsidRDefault="00440F2E" w:rsidP="0026179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102"/>
      <w:docPartObj>
        <w:docPartGallery w:val="Page Numbers (Top of Page)"/>
        <w:docPartUnique/>
      </w:docPartObj>
    </w:sdtPr>
    <w:sdtEndPr>
      <w:rPr>
        <w:sz w:val="23"/>
        <w:szCs w:val="23"/>
      </w:rPr>
    </w:sdtEndPr>
    <w:sdtContent>
      <w:p w:rsidR="00280B96" w:rsidRPr="00840BF2" w:rsidRDefault="00C545FF">
        <w:pPr>
          <w:pStyle w:val="Header"/>
          <w:jc w:val="center"/>
          <w:rPr>
            <w:sz w:val="23"/>
            <w:szCs w:val="23"/>
          </w:rPr>
        </w:pPr>
        <w:r w:rsidRPr="00840BF2">
          <w:rPr>
            <w:rFonts w:ascii="Times New Roman" w:hAnsi="Times New Roman" w:cs="Times New Roman"/>
            <w:sz w:val="23"/>
            <w:szCs w:val="23"/>
          </w:rPr>
          <w:fldChar w:fldCharType="begin"/>
        </w:r>
        <w:r w:rsidR="00280B96" w:rsidRPr="00840BF2">
          <w:rPr>
            <w:rFonts w:ascii="Times New Roman" w:hAnsi="Times New Roman" w:cs="Times New Roman"/>
            <w:sz w:val="23"/>
            <w:szCs w:val="23"/>
          </w:rPr>
          <w:instrText xml:space="preserve"> PAGE   \* MERGEFORMAT </w:instrText>
        </w:r>
        <w:r w:rsidRPr="00840BF2">
          <w:rPr>
            <w:rFonts w:ascii="Times New Roman" w:hAnsi="Times New Roman" w:cs="Times New Roman"/>
            <w:sz w:val="23"/>
            <w:szCs w:val="23"/>
          </w:rPr>
          <w:fldChar w:fldCharType="separate"/>
        </w:r>
        <w:r w:rsidR="008C33A7">
          <w:rPr>
            <w:rFonts w:ascii="Times New Roman" w:hAnsi="Times New Roman" w:cs="Times New Roman"/>
            <w:noProof/>
            <w:sz w:val="23"/>
            <w:szCs w:val="23"/>
          </w:rPr>
          <w:t>2</w:t>
        </w:r>
        <w:r w:rsidRPr="00840BF2">
          <w:rPr>
            <w:rFonts w:ascii="Times New Roman" w:hAnsi="Times New Roman" w:cs="Times New Roman"/>
            <w:sz w:val="23"/>
            <w:szCs w:val="23"/>
          </w:rPr>
          <w:fldChar w:fldCharType="end"/>
        </w:r>
      </w:p>
    </w:sdtContent>
  </w:sdt>
  <w:p w:rsidR="00280B96" w:rsidRDefault="00280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BA6"/>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5571C6B"/>
    <w:multiLevelType w:val="hybridMultilevel"/>
    <w:tmpl w:val="6174199E"/>
    <w:lvl w:ilvl="0" w:tplc="D2F6D650">
      <w:start w:val="8"/>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D425A0"/>
    <w:multiLevelType w:val="hybridMultilevel"/>
    <w:tmpl w:val="3C6C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17239D"/>
    <w:multiLevelType w:val="hybridMultilevel"/>
    <w:tmpl w:val="E204544E"/>
    <w:lvl w:ilvl="0" w:tplc="B274A3FC">
      <w:start w:val="1"/>
      <w:numFmt w:val="decimal"/>
      <w:lvlText w:val="%1."/>
      <w:lvlJc w:val="left"/>
      <w:pPr>
        <w:ind w:left="360" w:hanging="360"/>
      </w:pPr>
      <w:rPr>
        <w:color w:val="auto"/>
      </w:rPr>
    </w:lvl>
    <w:lvl w:ilvl="1" w:tplc="02F6DE8E">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0D1932DD"/>
    <w:multiLevelType w:val="hybridMultilevel"/>
    <w:tmpl w:val="110C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AE03F5"/>
    <w:multiLevelType w:val="hybridMultilevel"/>
    <w:tmpl w:val="FE42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C40196"/>
    <w:multiLevelType w:val="hybridMultilevel"/>
    <w:tmpl w:val="FC96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A553D3"/>
    <w:multiLevelType w:val="hybridMultilevel"/>
    <w:tmpl w:val="0AC0A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DE5068"/>
    <w:multiLevelType w:val="hybridMultilevel"/>
    <w:tmpl w:val="1338876C"/>
    <w:lvl w:ilvl="0" w:tplc="B0BEF78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6A3788"/>
    <w:multiLevelType w:val="hybridMultilevel"/>
    <w:tmpl w:val="1EA61B2E"/>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0">
    <w:nsid w:val="383A42A1"/>
    <w:multiLevelType w:val="hybridMultilevel"/>
    <w:tmpl w:val="977C2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FA1336"/>
    <w:multiLevelType w:val="hybridMultilevel"/>
    <w:tmpl w:val="42787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B5744D"/>
    <w:multiLevelType w:val="hybridMultilevel"/>
    <w:tmpl w:val="F6C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4B3E05"/>
    <w:multiLevelType w:val="hybridMultilevel"/>
    <w:tmpl w:val="0868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BB7D9F"/>
    <w:multiLevelType w:val="hybridMultilevel"/>
    <w:tmpl w:val="3E4EA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8734A3A"/>
    <w:multiLevelType w:val="hybridMultilevel"/>
    <w:tmpl w:val="B04E507A"/>
    <w:lvl w:ilvl="0" w:tplc="CD26E5DC">
      <w:start w:val="1"/>
      <w:numFmt w:val="lowerLetter"/>
      <w:lvlText w:val="(%1)"/>
      <w:lvlJc w:val="left"/>
      <w:pPr>
        <w:ind w:left="1002" w:hanging="43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79B55C14"/>
    <w:multiLevelType w:val="hybridMultilevel"/>
    <w:tmpl w:val="6C92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147312"/>
    <w:multiLevelType w:val="hybridMultilevel"/>
    <w:tmpl w:val="A8A0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3"/>
  </w:num>
  <w:num w:numId="10">
    <w:abstractNumId w:val="8"/>
  </w:num>
  <w:num w:numId="11">
    <w:abstractNumId w:val="5"/>
  </w:num>
  <w:num w:numId="12">
    <w:abstractNumId w:val="7"/>
  </w:num>
  <w:num w:numId="13">
    <w:abstractNumId w:val="9"/>
  </w:num>
  <w:num w:numId="14">
    <w:abstractNumId w:val="10"/>
  </w:num>
  <w:num w:numId="15">
    <w:abstractNumId w:val="11"/>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4638"/>
    <w:rsid w:val="000017BB"/>
    <w:rsid w:val="00002D25"/>
    <w:rsid w:val="00007CBE"/>
    <w:rsid w:val="00011518"/>
    <w:rsid w:val="00014FE7"/>
    <w:rsid w:val="00016C2E"/>
    <w:rsid w:val="00021401"/>
    <w:rsid w:val="000260F3"/>
    <w:rsid w:val="0002688A"/>
    <w:rsid w:val="00034785"/>
    <w:rsid w:val="00040C42"/>
    <w:rsid w:val="000417F2"/>
    <w:rsid w:val="00042B9A"/>
    <w:rsid w:val="00047C88"/>
    <w:rsid w:val="00052022"/>
    <w:rsid w:val="000574B5"/>
    <w:rsid w:val="00061987"/>
    <w:rsid w:val="000626BB"/>
    <w:rsid w:val="00063C36"/>
    <w:rsid w:val="00070B09"/>
    <w:rsid w:val="00070BF0"/>
    <w:rsid w:val="00073453"/>
    <w:rsid w:val="000753B2"/>
    <w:rsid w:val="0007570F"/>
    <w:rsid w:val="000801D3"/>
    <w:rsid w:val="00080540"/>
    <w:rsid w:val="000813B2"/>
    <w:rsid w:val="000829EE"/>
    <w:rsid w:val="00093401"/>
    <w:rsid w:val="000A0B03"/>
    <w:rsid w:val="000A7856"/>
    <w:rsid w:val="000A7FA0"/>
    <w:rsid w:val="000B208A"/>
    <w:rsid w:val="000B222E"/>
    <w:rsid w:val="000B63C7"/>
    <w:rsid w:val="000B6559"/>
    <w:rsid w:val="000C38BB"/>
    <w:rsid w:val="000C728A"/>
    <w:rsid w:val="000D26D6"/>
    <w:rsid w:val="000D2AE6"/>
    <w:rsid w:val="000D2F71"/>
    <w:rsid w:val="000E14E7"/>
    <w:rsid w:val="000E7647"/>
    <w:rsid w:val="000F38E5"/>
    <w:rsid w:val="000F43C3"/>
    <w:rsid w:val="00103C68"/>
    <w:rsid w:val="001041A8"/>
    <w:rsid w:val="00111705"/>
    <w:rsid w:val="00114E76"/>
    <w:rsid w:val="00117502"/>
    <w:rsid w:val="001177F1"/>
    <w:rsid w:val="00122672"/>
    <w:rsid w:val="00126472"/>
    <w:rsid w:val="00134BBD"/>
    <w:rsid w:val="00141118"/>
    <w:rsid w:val="00142289"/>
    <w:rsid w:val="001433D4"/>
    <w:rsid w:val="00143835"/>
    <w:rsid w:val="00145222"/>
    <w:rsid w:val="00145E4C"/>
    <w:rsid w:val="00146F5B"/>
    <w:rsid w:val="00147F7C"/>
    <w:rsid w:val="00151115"/>
    <w:rsid w:val="00152925"/>
    <w:rsid w:val="00156153"/>
    <w:rsid w:val="00156584"/>
    <w:rsid w:val="00157DBF"/>
    <w:rsid w:val="001606D8"/>
    <w:rsid w:val="00162192"/>
    <w:rsid w:val="00162622"/>
    <w:rsid w:val="0016331D"/>
    <w:rsid w:val="00164967"/>
    <w:rsid w:val="001649F3"/>
    <w:rsid w:val="001729B0"/>
    <w:rsid w:val="00173CA2"/>
    <w:rsid w:val="00174AD5"/>
    <w:rsid w:val="00187F0A"/>
    <w:rsid w:val="001919AB"/>
    <w:rsid w:val="00194A04"/>
    <w:rsid w:val="00194F8B"/>
    <w:rsid w:val="001A348F"/>
    <w:rsid w:val="001B11BF"/>
    <w:rsid w:val="001B4668"/>
    <w:rsid w:val="001C0761"/>
    <w:rsid w:val="001C1AEF"/>
    <w:rsid w:val="001C253E"/>
    <w:rsid w:val="001C42A4"/>
    <w:rsid w:val="001C465C"/>
    <w:rsid w:val="001C509F"/>
    <w:rsid w:val="001C6E00"/>
    <w:rsid w:val="001D0A91"/>
    <w:rsid w:val="001D1B63"/>
    <w:rsid w:val="001D3960"/>
    <w:rsid w:val="001D5212"/>
    <w:rsid w:val="001E2CA1"/>
    <w:rsid w:val="001F0B2D"/>
    <w:rsid w:val="001F35F7"/>
    <w:rsid w:val="001F77BD"/>
    <w:rsid w:val="00202541"/>
    <w:rsid w:val="00203A49"/>
    <w:rsid w:val="00204EC9"/>
    <w:rsid w:val="00211573"/>
    <w:rsid w:val="00212939"/>
    <w:rsid w:val="00212BEE"/>
    <w:rsid w:val="00213326"/>
    <w:rsid w:val="0021595E"/>
    <w:rsid w:val="00215BE0"/>
    <w:rsid w:val="00216245"/>
    <w:rsid w:val="002162BC"/>
    <w:rsid w:val="00221328"/>
    <w:rsid w:val="002225D3"/>
    <w:rsid w:val="00223F50"/>
    <w:rsid w:val="002240C3"/>
    <w:rsid w:val="002258FB"/>
    <w:rsid w:val="0023212A"/>
    <w:rsid w:val="002361BB"/>
    <w:rsid w:val="00241B27"/>
    <w:rsid w:val="00243F82"/>
    <w:rsid w:val="00244911"/>
    <w:rsid w:val="00244A66"/>
    <w:rsid w:val="0025017D"/>
    <w:rsid w:val="002507B6"/>
    <w:rsid w:val="00255680"/>
    <w:rsid w:val="00255C89"/>
    <w:rsid w:val="00257C03"/>
    <w:rsid w:val="002614CE"/>
    <w:rsid w:val="0026179B"/>
    <w:rsid w:val="00262E64"/>
    <w:rsid w:val="002638D9"/>
    <w:rsid w:val="00266226"/>
    <w:rsid w:val="002716F2"/>
    <w:rsid w:val="002738B8"/>
    <w:rsid w:val="002738EA"/>
    <w:rsid w:val="002763E8"/>
    <w:rsid w:val="00280B96"/>
    <w:rsid w:val="00281616"/>
    <w:rsid w:val="00281759"/>
    <w:rsid w:val="00284FF1"/>
    <w:rsid w:val="00285856"/>
    <w:rsid w:val="002A0B95"/>
    <w:rsid w:val="002A12E1"/>
    <w:rsid w:val="002A21DE"/>
    <w:rsid w:val="002A2411"/>
    <w:rsid w:val="002B001C"/>
    <w:rsid w:val="002B07BC"/>
    <w:rsid w:val="002B4652"/>
    <w:rsid w:val="002B7E77"/>
    <w:rsid w:val="002C052C"/>
    <w:rsid w:val="002C105C"/>
    <w:rsid w:val="002C377B"/>
    <w:rsid w:val="002D05E6"/>
    <w:rsid w:val="002D677D"/>
    <w:rsid w:val="002D6A9E"/>
    <w:rsid w:val="002D6FD1"/>
    <w:rsid w:val="002E45DA"/>
    <w:rsid w:val="002E50E4"/>
    <w:rsid w:val="002E6FDD"/>
    <w:rsid w:val="002F1D62"/>
    <w:rsid w:val="002F1E73"/>
    <w:rsid w:val="002F2A18"/>
    <w:rsid w:val="002F3A14"/>
    <w:rsid w:val="002F77E2"/>
    <w:rsid w:val="00301D05"/>
    <w:rsid w:val="0030313C"/>
    <w:rsid w:val="003035FC"/>
    <w:rsid w:val="00303E58"/>
    <w:rsid w:val="00305626"/>
    <w:rsid w:val="00305A65"/>
    <w:rsid w:val="00306AA9"/>
    <w:rsid w:val="00306B1E"/>
    <w:rsid w:val="00311EB9"/>
    <w:rsid w:val="0031491C"/>
    <w:rsid w:val="00314E48"/>
    <w:rsid w:val="00316CBB"/>
    <w:rsid w:val="00317492"/>
    <w:rsid w:val="003246E1"/>
    <w:rsid w:val="0032664F"/>
    <w:rsid w:val="003266B9"/>
    <w:rsid w:val="003277D0"/>
    <w:rsid w:val="00327975"/>
    <w:rsid w:val="00331452"/>
    <w:rsid w:val="00336A1D"/>
    <w:rsid w:val="003421D8"/>
    <w:rsid w:val="003432FD"/>
    <w:rsid w:val="00344FC7"/>
    <w:rsid w:val="00346A45"/>
    <w:rsid w:val="00347885"/>
    <w:rsid w:val="0035494D"/>
    <w:rsid w:val="003552FB"/>
    <w:rsid w:val="0035644E"/>
    <w:rsid w:val="00357BD9"/>
    <w:rsid w:val="00357BDA"/>
    <w:rsid w:val="00360EBA"/>
    <w:rsid w:val="00364416"/>
    <w:rsid w:val="003644BC"/>
    <w:rsid w:val="00364A49"/>
    <w:rsid w:val="00365938"/>
    <w:rsid w:val="00367925"/>
    <w:rsid w:val="00367D89"/>
    <w:rsid w:val="00375454"/>
    <w:rsid w:val="003762AD"/>
    <w:rsid w:val="00383A4E"/>
    <w:rsid w:val="00385708"/>
    <w:rsid w:val="00394C41"/>
    <w:rsid w:val="003960A4"/>
    <w:rsid w:val="003C0589"/>
    <w:rsid w:val="003C2EC4"/>
    <w:rsid w:val="003C48F7"/>
    <w:rsid w:val="003C4F17"/>
    <w:rsid w:val="003D0B3D"/>
    <w:rsid w:val="003D49FE"/>
    <w:rsid w:val="003D4EBA"/>
    <w:rsid w:val="003E1336"/>
    <w:rsid w:val="003F10DE"/>
    <w:rsid w:val="003F6124"/>
    <w:rsid w:val="003F623B"/>
    <w:rsid w:val="003F6FA9"/>
    <w:rsid w:val="0040072D"/>
    <w:rsid w:val="004065D5"/>
    <w:rsid w:val="004071E3"/>
    <w:rsid w:val="004071FF"/>
    <w:rsid w:val="0041494D"/>
    <w:rsid w:val="00416A29"/>
    <w:rsid w:val="00416D51"/>
    <w:rsid w:val="00422F74"/>
    <w:rsid w:val="00425D29"/>
    <w:rsid w:val="00427D7C"/>
    <w:rsid w:val="00430417"/>
    <w:rsid w:val="00431395"/>
    <w:rsid w:val="004334A5"/>
    <w:rsid w:val="00440F2E"/>
    <w:rsid w:val="0044299E"/>
    <w:rsid w:val="00447348"/>
    <w:rsid w:val="00450F3F"/>
    <w:rsid w:val="004577E7"/>
    <w:rsid w:val="00460BBF"/>
    <w:rsid w:val="004634E6"/>
    <w:rsid w:val="0046445A"/>
    <w:rsid w:val="00464D76"/>
    <w:rsid w:val="00467BB3"/>
    <w:rsid w:val="00471DEA"/>
    <w:rsid w:val="0048136E"/>
    <w:rsid w:val="004815DD"/>
    <w:rsid w:val="00481FF3"/>
    <w:rsid w:val="004835E1"/>
    <w:rsid w:val="004854FE"/>
    <w:rsid w:val="0048602E"/>
    <w:rsid w:val="00491A35"/>
    <w:rsid w:val="00491BB7"/>
    <w:rsid w:val="00492A2E"/>
    <w:rsid w:val="00495E1F"/>
    <w:rsid w:val="004974B3"/>
    <w:rsid w:val="004A0015"/>
    <w:rsid w:val="004A1544"/>
    <w:rsid w:val="004A1BEC"/>
    <w:rsid w:val="004A2251"/>
    <w:rsid w:val="004A4793"/>
    <w:rsid w:val="004A6D45"/>
    <w:rsid w:val="004B175B"/>
    <w:rsid w:val="004B3952"/>
    <w:rsid w:val="004B4D1B"/>
    <w:rsid w:val="004C1073"/>
    <w:rsid w:val="004C351A"/>
    <w:rsid w:val="004C4F64"/>
    <w:rsid w:val="004D056B"/>
    <w:rsid w:val="004D151B"/>
    <w:rsid w:val="004D2AE1"/>
    <w:rsid w:val="004D2C69"/>
    <w:rsid w:val="004E051E"/>
    <w:rsid w:val="004E31C7"/>
    <w:rsid w:val="004E7AB7"/>
    <w:rsid w:val="004F0D59"/>
    <w:rsid w:val="004F2A28"/>
    <w:rsid w:val="004F52B3"/>
    <w:rsid w:val="004F5B42"/>
    <w:rsid w:val="0050510C"/>
    <w:rsid w:val="0050597D"/>
    <w:rsid w:val="0051272B"/>
    <w:rsid w:val="0051382E"/>
    <w:rsid w:val="00517EB2"/>
    <w:rsid w:val="00527C3D"/>
    <w:rsid w:val="00530B7A"/>
    <w:rsid w:val="00530FC3"/>
    <w:rsid w:val="00534F48"/>
    <w:rsid w:val="0053565C"/>
    <w:rsid w:val="00536ED8"/>
    <w:rsid w:val="00540C6F"/>
    <w:rsid w:val="0054171B"/>
    <w:rsid w:val="00542427"/>
    <w:rsid w:val="0054254A"/>
    <w:rsid w:val="00542AE6"/>
    <w:rsid w:val="005469E7"/>
    <w:rsid w:val="005528BF"/>
    <w:rsid w:val="00552F08"/>
    <w:rsid w:val="00553BC2"/>
    <w:rsid w:val="00557D9B"/>
    <w:rsid w:val="00562639"/>
    <w:rsid w:val="005652AF"/>
    <w:rsid w:val="00566651"/>
    <w:rsid w:val="005675A0"/>
    <w:rsid w:val="00567F5E"/>
    <w:rsid w:val="00570C29"/>
    <w:rsid w:val="00572199"/>
    <w:rsid w:val="005735E4"/>
    <w:rsid w:val="00577F96"/>
    <w:rsid w:val="0058041C"/>
    <w:rsid w:val="005807E7"/>
    <w:rsid w:val="00581EAB"/>
    <w:rsid w:val="00582899"/>
    <w:rsid w:val="005867FB"/>
    <w:rsid w:val="00587861"/>
    <w:rsid w:val="005879C0"/>
    <w:rsid w:val="00591107"/>
    <w:rsid w:val="005A488A"/>
    <w:rsid w:val="005A6262"/>
    <w:rsid w:val="005A7556"/>
    <w:rsid w:val="005B0D26"/>
    <w:rsid w:val="005B404F"/>
    <w:rsid w:val="005B5C2C"/>
    <w:rsid w:val="005C1E89"/>
    <w:rsid w:val="005C4C6B"/>
    <w:rsid w:val="005D1EAC"/>
    <w:rsid w:val="005D2447"/>
    <w:rsid w:val="005D3C08"/>
    <w:rsid w:val="005D3E43"/>
    <w:rsid w:val="005E1DC0"/>
    <w:rsid w:val="005E28FA"/>
    <w:rsid w:val="005E4375"/>
    <w:rsid w:val="005E4D7F"/>
    <w:rsid w:val="005E6AF6"/>
    <w:rsid w:val="005F1FD9"/>
    <w:rsid w:val="005F23EB"/>
    <w:rsid w:val="005F256C"/>
    <w:rsid w:val="00600FD0"/>
    <w:rsid w:val="00613ABE"/>
    <w:rsid w:val="00614B3E"/>
    <w:rsid w:val="00614C2B"/>
    <w:rsid w:val="006153B2"/>
    <w:rsid w:val="00615F08"/>
    <w:rsid w:val="00623346"/>
    <w:rsid w:val="00623989"/>
    <w:rsid w:val="006245EF"/>
    <w:rsid w:val="0062481B"/>
    <w:rsid w:val="00631F48"/>
    <w:rsid w:val="0063223E"/>
    <w:rsid w:val="00650817"/>
    <w:rsid w:val="00652C90"/>
    <w:rsid w:val="00654EF1"/>
    <w:rsid w:val="00656F85"/>
    <w:rsid w:val="0066287C"/>
    <w:rsid w:val="006643CE"/>
    <w:rsid w:val="006712F4"/>
    <w:rsid w:val="00672E95"/>
    <w:rsid w:val="00674746"/>
    <w:rsid w:val="00675725"/>
    <w:rsid w:val="00675C7E"/>
    <w:rsid w:val="00682E28"/>
    <w:rsid w:val="006834B9"/>
    <w:rsid w:val="006850A3"/>
    <w:rsid w:val="006854AB"/>
    <w:rsid w:val="006931C7"/>
    <w:rsid w:val="00696D9E"/>
    <w:rsid w:val="006A2E50"/>
    <w:rsid w:val="006A47CB"/>
    <w:rsid w:val="006B2A30"/>
    <w:rsid w:val="006B3051"/>
    <w:rsid w:val="006B4DBE"/>
    <w:rsid w:val="006B4ED8"/>
    <w:rsid w:val="006B693C"/>
    <w:rsid w:val="006C0092"/>
    <w:rsid w:val="006C0563"/>
    <w:rsid w:val="006C0703"/>
    <w:rsid w:val="006C5E39"/>
    <w:rsid w:val="006D3279"/>
    <w:rsid w:val="006D51A1"/>
    <w:rsid w:val="006E0EF6"/>
    <w:rsid w:val="006E2117"/>
    <w:rsid w:val="006E40EA"/>
    <w:rsid w:val="006F0564"/>
    <w:rsid w:val="006F23E8"/>
    <w:rsid w:val="006F2402"/>
    <w:rsid w:val="0070720A"/>
    <w:rsid w:val="00710046"/>
    <w:rsid w:val="00711963"/>
    <w:rsid w:val="00714374"/>
    <w:rsid w:val="00714494"/>
    <w:rsid w:val="00715007"/>
    <w:rsid w:val="00721BE9"/>
    <w:rsid w:val="00723E71"/>
    <w:rsid w:val="00724712"/>
    <w:rsid w:val="00730E91"/>
    <w:rsid w:val="00732F58"/>
    <w:rsid w:val="00734BD3"/>
    <w:rsid w:val="007411DB"/>
    <w:rsid w:val="007475B8"/>
    <w:rsid w:val="0075090E"/>
    <w:rsid w:val="00751AA3"/>
    <w:rsid w:val="00753284"/>
    <w:rsid w:val="007552C2"/>
    <w:rsid w:val="00756DD6"/>
    <w:rsid w:val="00756E16"/>
    <w:rsid w:val="00763222"/>
    <w:rsid w:val="00764D31"/>
    <w:rsid w:val="00765614"/>
    <w:rsid w:val="007677CD"/>
    <w:rsid w:val="007728E5"/>
    <w:rsid w:val="00777053"/>
    <w:rsid w:val="00781080"/>
    <w:rsid w:val="00784487"/>
    <w:rsid w:val="0078497C"/>
    <w:rsid w:val="00787204"/>
    <w:rsid w:val="00787311"/>
    <w:rsid w:val="00792ED1"/>
    <w:rsid w:val="00796C12"/>
    <w:rsid w:val="00797620"/>
    <w:rsid w:val="007A15E5"/>
    <w:rsid w:val="007B0485"/>
    <w:rsid w:val="007B26FA"/>
    <w:rsid w:val="007B35B4"/>
    <w:rsid w:val="007B576F"/>
    <w:rsid w:val="007B6165"/>
    <w:rsid w:val="007B6391"/>
    <w:rsid w:val="007B785C"/>
    <w:rsid w:val="007C2BB3"/>
    <w:rsid w:val="007C2F83"/>
    <w:rsid w:val="007C53B8"/>
    <w:rsid w:val="007D3980"/>
    <w:rsid w:val="007D638A"/>
    <w:rsid w:val="007E1065"/>
    <w:rsid w:val="007E1AEE"/>
    <w:rsid w:val="007E2EDA"/>
    <w:rsid w:val="007E774E"/>
    <w:rsid w:val="007F0346"/>
    <w:rsid w:val="007F0523"/>
    <w:rsid w:val="007F1E78"/>
    <w:rsid w:val="007F2AF3"/>
    <w:rsid w:val="007F3E71"/>
    <w:rsid w:val="007F6B7B"/>
    <w:rsid w:val="00806827"/>
    <w:rsid w:val="00807DB0"/>
    <w:rsid w:val="0081252A"/>
    <w:rsid w:val="00816345"/>
    <w:rsid w:val="0082120B"/>
    <w:rsid w:val="00822F1E"/>
    <w:rsid w:val="00823047"/>
    <w:rsid w:val="00823BF9"/>
    <w:rsid w:val="0082688E"/>
    <w:rsid w:val="00832880"/>
    <w:rsid w:val="00840BF2"/>
    <w:rsid w:val="00845BB3"/>
    <w:rsid w:val="00845CBC"/>
    <w:rsid w:val="00846CD9"/>
    <w:rsid w:val="00855D16"/>
    <w:rsid w:val="0085625A"/>
    <w:rsid w:val="00862C52"/>
    <w:rsid w:val="00863EB7"/>
    <w:rsid w:val="008710E1"/>
    <w:rsid w:val="00871637"/>
    <w:rsid w:val="00875151"/>
    <w:rsid w:val="00880CFD"/>
    <w:rsid w:val="00883D7F"/>
    <w:rsid w:val="008846A7"/>
    <w:rsid w:val="00885C42"/>
    <w:rsid w:val="0088699A"/>
    <w:rsid w:val="008938EF"/>
    <w:rsid w:val="00894199"/>
    <w:rsid w:val="008A02F9"/>
    <w:rsid w:val="008A05C1"/>
    <w:rsid w:val="008A50F1"/>
    <w:rsid w:val="008B267F"/>
    <w:rsid w:val="008B288E"/>
    <w:rsid w:val="008B7B84"/>
    <w:rsid w:val="008C0B60"/>
    <w:rsid w:val="008C2460"/>
    <w:rsid w:val="008C2838"/>
    <w:rsid w:val="008C335A"/>
    <w:rsid w:val="008C33A7"/>
    <w:rsid w:val="008C5283"/>
    <w:rsid w:val="008C70B4"/>
    <w:rsid w:val="008D41A0"/>
    <w:rsid w:val="008E053A"/>
    <w:rsid w:val="008E0AA1"/>
    <w:rsid w:val="008E572A"/>
    <w:rsid w:val="008E5BC3"/>
    <w:rsid w:val="008E663F"/>
    <w:rsid w:val="008E7BE4"/>
    <w:rsid w:val="008F3ED8"/>
    <w:rsid w:val="008F57ED"/>
    <w:rsid w:val="008F6515"/>
    <w:rsid w:val="008F6EA7"/>
    <w:rsid w:val="00903BC8"/>
    <w:rsid w:val="009058F8"/>
    <w:rsid w:val="009109E2"/>
    <w:rsid w:val="00912430"/>
    <w:rsid w:val="00912F86"/>
    <w:rsid w:val="00914514"/>
    <w:rsid w:val="009162AE"/>
    <w:rsid w:val="00920F76"/>
    <w:rsid w:val="00924EC1"/>
    <w:rsid w:val="00926CA1"/>
    <w:rsid w:val="00931A58"/>
    <w:rsid w:val="00932AC5"/>
    <w:rsid w:val="00932EB6"/>
    <w:rsid w:val="00933584"/>
    <w:rsid w:val="00934FC1"/>
    <w:rsid w:val="0093539C"/>
    <w:rsid w:val="00936A51"/>
    <w:rsid w:val="00936A90"/>
    <w:rsid w:val="009413F9"/>
    <w:rsid w:val="00944F3C"/>
    <w:rsid w:val="00952802"/>
    <w:rsid w:val="00952F5D"/>
    <w:rsid w:val="009545D8"/>
    <w:rsid w:val="00957FA9"/>
    <w:rsid w:val="00963AC2"/>
    <w:rsid w:val="00963BA3"/>
    <w:rsid w:val="00967585"/>
    <w:rsid w:val="00972190"/>
    <w:rsid w:val="00974448"/>
    <w:rsid w:val="009855D3"/>
    <w:rsid w:val="00987FB2"/>
    <w:rsid w:val="00991824"/>
    <w:rsid w:val="00991EB6"/>
    <w:rsid w:val="00992393"/>
    <w:rsid w:val="009975E6"/>
    <w:rsid w:val="009A0C5E"/>
    <w:rsid w:val="009A31F8"/>
    <w:rsid w:val="009A3D58"/>
    <w:rsid w:val="009A4209"/>
    <w:rsid w:val="009B010B"/>
    <w:rsid w:val="009B1162"/>
    <w:rsid w:val="009B1EE7"/>
    <w:rsid w:val="009B3AD6"/>
    <w:rsid w:val="009B7417"/>
    <w:rsid w:val="009C1B88"/>
    <w:rsid w:val="009C6740"/>
    <w:rsid w:val="009C7562"/>
    <w:rsid w:val="009D7DC8"/>
    <w:rsid w:val="009E50E7"/>
    <w:rsid w:val="009F3121"/>
    <w:rsid w:val="009F3C0B"/>
    <w:rsid w:val="009F3E6F"/>
    <w:rsid w:val="009F49EE"/>
    <w:rsid w:val="009F661A"/>
    <w:rsid w:val="00A00226"/>
    <w:rsid w:val="00A01677"/>
    <w:rsid w:val="00A04567"/>
    <w:rsid w:val="00A0514C"/>
    <w:rsid w:val="00A15DF1"/>
    <w:rsid w:val="00A2097D"/>
    <w:rsid w:val="00A20B24"/>
    <w:rsid w:val="00A27A37"/>
    <w:rsid w:val="00A30B52"/>
    <w:rsid w:val="00A36782"/>
    <w:rsid w:val="00A36DFF"/>
    <w:rsid w:val="00A457FF"/>
    <w:rsid w:val="00A539BF"/>
    <w:rsid w:val="00A56217"/>
    <w:rsid w:val="00A56B1C"/>
    <w:rsid w:val="00A57B0A"/>
    <w:rsid w:val="00A57F49"/>
    <w:rsid w:val="00A65234"/>
    <w:rsid w:val="00A65A64"/>
    <w:rsid w:val="00A70B19"/>
    <w:rsid w:val="00A71690"/>
    <w:rsid w:val="00A71AE0"/>
    <w:rsid w:val="00A80798"/>
    <w:rsid w:val="00A8599F"/>
    <w:rsid w:val="00A8608D"/>
    <w:rsid w:val="00A86B1C"/>
    <w:rsid w:val="00A91F95"/>
    <w:rsid w:val="00A963A7"/>
    <w:rsid w:val="00AA17CC"/>
    <w:rsid w:val="00AA3397"/>
    <w:rsid w:val="00AA5B7D"/>
    <w:rsid w:val="00AA6356"/>
    <w:rsid w:val="00AA6F83"/>
    <w:rsid w:val="00AB2644"/>
    <w:rsid w:val="00AB4199"/>
    <w:rsid w:val="00AB4684"/>
    <w:rsid w:val="00AB613D"/>
    <w:rsid w:val="00AC3D80"/>
    <w:rsid w:val="00AC59ED"/>
    <w:rsid w:val="00AC74FD"/>
    <w:rsid w:val="00AD113E"/>
    <w:rsid w:val="00AD3A1C"/>
    <w:rsid w:val="00AD46F9"/>
    <w:rsid w:val="00AE079F"/>
    <w:rsid w:val="00AE4545"/>
    <w:rsid w:val="00AE4975"/>
    <w:rsid w:val="00AE7E29"/>
    <w:rsid w:val="00AF50E3"/>
    <w:rsid w:val="00AF5EA2"/>
    <w:rsid w:val="00B03D14"/>
    <w:rsid w:val="00B101E2"/>
    <w:rsid w:val="00B10312"/>
    <w:rsid w:val="00B10900"/>
    <w:rsid w:val="00B12548"/>
    <w:rsid w:val="00B17AF8"/>
    <w:rsid w:val="00B233BD"/>
    <w:rsid w:val="00B2363A"/>
    <w:rsid w:val="00B26501"/>
    <w:rsid w:val="00B27D1D"/>
    <w:rsid w:val="00B32879"/>
    <w:rsid w:val="00B403D3"/>
    <w:rsid w:val="00B425E3"/>
    <w:rsid w:val="00B45D05"/>
    <w:rsid w:val="00B46FA0"/>
    <w:rsid w:val="00B52292"/>
    <w:rsid w:val="00B523C5"/>
    <w:rsid w:val="00B52469"/>
    <w:rsid w:val="00B530FF"/>
    <w:rsid w:val="00B5426A"/>
    <w:rsid w:val="00B6011E"/>
    <w:rsid w:val="00B65010"/>
    <w:rsid w:val="00B67EEE"/>
    <w:rsid w:val="00B71A39"/>
    <w:rsid w:val="00B73086"/>
    <w:rsid w:val="00B76BED"/>
    <w:rsid w:val="00B8159E"/>
    <w:rsid w:val="00B8322E"/>
    <w:rsid w:val="00B834F1"/>
    <w:rsid w:val="00B837DC"/>
    <w:rsid w:val="00B83EE8"/>
    <w:rsid w:val="00B840C1"/>
    <w:rsid w:val="00B873AA"/>
    <w:rsid w:val="00B90C64"/>
    <w:rsid w:val="00B95775"/>
    <w:rsid w:val="00BA2760"/>
    <w:rsid w:val="00BA5AA1"/>
    <w:rsid w:val="00BB2C55"/>
    <w:rsid w:val="00BB71AC"/>
    <w:rsid w:val="00BB7E0D"/>
    <w:rsid w:val="00BC2064"/>
    <w:rsid w:val="00BC268C"/>
    <w:rsid w:val="00BC3223"/>
    <w:rsid w:val="00BC4DED"/>
    <w:rsid w:val="00BC5148"/>
    <w:rsid w:val="00BD1370"/>
    <w:rsid w:val="00BD5D5A"/>
    <w:rsid w:val="00BE0E16"/>
    <w:rsid w:val="00BE0FBA"/>
    <w:rsid w:val="00BE49E5"/>
    <w:rsid w:val="00BF318E"/>
    <w:rsid w:val="00BF4638"/>
    <w:rsid w:val="00BF4B04"/>
    <w:rsid w:val="00C00D49"/>
    <w:rsid w:val="00C02459"/>
    <w:rsid w:val="00C02763"/>
    <w:rsid w:val="00C03F68"/>
    <w:rsid w:val="00C06E4E"/>
    <w:rsid w:val="00C07036"/>
    <w:rsid w:val="00C11ADF"/>
    <w:rsid w:val="00C150D2"/>
    <w:rsid w:val="00C163BF"/>
    <w:rsid w:val="00C20D21"/>
    <w:rsid w:val="00C25528"/>
    <w:rsid w:val="00C25FFA"/>
    <w:rsid w:val="00C30612"/>
    <w:rsid w:val="00C36B1A"/>
    <w:rsid w:val="00C36E26"/>
    <w:rsid w:val="00C43FB8"/>
    <w:rsid w:val="00C44589"/>
    <w:rsid w:val="00C4564C"/>
    <w:rsid w:val="00C47F88"/>
    <w:rsid w:val="00C535BB"/>
    <w:rsid w:val="00C545FF"/>
    <w:rsid w:val="00C56BA1"/>
    <w:rsid w:val="00C60CBB"/>
    <w:rsid w:val="00C611A4"/>
    <w:rsid w:val="00C65F23"/>
    <w:rsid w:val="00C66EAF"/>
    <w:rsid w:val="00C73883"/>
    <w:rsid w:val="00C73B93"/>
    <w:rsid w:val="00C73E0F"/>
    <w:rsid w:val="00C75FF0"/>
    <w:rsid w:val="00C84133"/>
    <w:rsid w:val="00C84445"/>
    <w:rsid w:val="00C8497D"/>
    <w:rsid w:val="00C86B6B"/>
    <w:rsid w:val="00C876DE"/>
    <w:rsid w:val="00C92281"/>
    <w:rsid w:val="00C92EF0"/>
    <w:rsid w:val="00C94977"/>
    <w:rsid w:val="00C97985"/>
    <w:rsid w:val="00C97F59"/>
    <w:rsid w:val="00CA1153"/>
    <w:rsid w:val="00CA1AD1"/>
    <w:rsid w:val="00CA4942"/>
    <w:rsid w:val="00CA71B2"/>
    <w:rsid w:val="00CA764C"/>
    <w:rsid w:val="00CB0CA5"/>
    <w:rsid w:val="00CB2C9C"/>
    <w:rsid w:val="00CB31B2"/>
    <w:rsid w:val="00CB330A"/>
    <w:rsid w:val="00CB5BD4"/>
    <w:rsid w:val="00CB6D25"/>
    <w:rsid w:val="00CB7F3F"/>
    <w:rsid w:val="00CC3335"/>
    <w:rsid w:val="00CC5F6C"/>
    <w:rsid w:val="00CD38AD"/>
    <w:rsid w:val="00CD64AF"/>
    <w:rsid w:val="00CD76B0"/>
    <w:rsid w:val="00CD7ECE"/>
    <w:rsid w:val="00CE0807"/>
    <w:rsid w:val="00CE1736"/>
    <w:rsid w:val="00CF0938"/>
    <w:rsid w:val="00CF308F"/>
    <w:rsid w:val="00CF3594"/>
    <w:rsid w:val="00D00681"/>
    <w:rsid w:val="00D0354B"/>
    <w:rsid w:val="00D0398C"/>
    <w:rsid w:val="00D03D8E"/>
    <w:rsid w:val="00D0773C"/>
    <w:rsid w:val="00D10094"/>
    <w:rsid w:val="00D1575A"/>
    <w:rsid w:val="00D22A3E"/>
    <w:rsid w:val="00D274F8"/>
    <w:rsid w:val="00D31508"/>
    <w:rsid w:val="00D32E11"/>
    <w:rsid w:val="00D36F07"/>
    <w:rsid w:val="00D401F1"/>
    <w:rsid w:val="00D410CD"/>
    <w:rsid w:val="00D420A2"/>
    <w:rsid w:val="00D43F7A"/>
    <w:rsid w:val="00D448A4"/>
    <w:rsid w:val="00D46523"/>
    <w:rsid w:val="00D46A4D"/>
    <w:rsid w:val="00D47451"/>
    <w:rsid w:val="00D50212"/>
    <w:rsid w:val="00D52159"/>
    <w:rsid w:val="00D534CE"/>
    <w:rsid w:val="00D53776"/>
    <w:rsid w:val="00D5485C"/>
    <w:rsid w:val="00D56C12"/>
    <w:rsid w:val="00D6105C"/>
    <w:rsid w:val="00D66478"/>
    <w:rsid w:val="00D673CF"/>
    <w:rsid w:val="00D704A7"/>
    <w:rsid w:val="00D716C5"/>
    <w:rsid w:val="00D7340E"/>
    <w:rsid w:val="00D800F7"/>
    <w:rsid w:val="00D8084E"/>
    <w:rsid w:val="00D80FE2"/>
    <w:rsid w:val="00D871FF"/>
    <w:rsid w:val="00D87A5D"/>
    <w:rsid w:val="00D929AE"/>
    <w:rsid w:val="00D95185"/>
    <w:rsid w:val="00D966F6"/>
    <w:rsid w:val="00D97ECC"/>
    <w:rsid w:val="00DA5781"/>
    <w:rsid w:val="00DA797D"/>
    <w:rsid w:val="00DB020B"/>
    <w:rsid w:val="00DB2C37"/>
    <w:rsid w:val="00DB3162"/>
    <w:rsid w:val="00DC5203"/>
    <w:rsid w:val="00DD020E"/>
    <w:rsid w:val="00DD05E0"/>
    <w:rsid w:val="00DD44C6"/>
    <w:rsid w:val="00DD618A"/>
    <w:rsid w:val="00DE24CD"/>
    <w:rsid w:val="00DE353B"/>
    <w:rsid w:val="00DF35A1"/>
    <w:rsid w:val="00E01D79"/>
    <w:rsid w:val="00E04A84"/>
    <w:rsid w:val="00E07162"/>
    <w:rsid w:val="00E17B2A"/>
    <w:rsid w:val="00E20716"/>
    <w:rsid w:val="00E26078"/>
    <w:rsid w:val="00E332DC"/>
    <w:rsid w:val="00E37A7C"/>
    <w:rsid w:val="00E40940"/>
    <w:rsid w:val="00E435EC"/>
    <w:rsid w:val="00E43FAC"/>
    <w:rsid w:val="00E44346"/>
    <w:rsid w:val="00E45560"/>
    <w:rsid w:val="00E46117"/>
    <w:rsid w:val="00E50B28"/>
    <w:rsid w:val="00E51ED0"/>
    <w:rsid w:val="00E52A36"/>
    <w:rsid w:val="00E55254"/>
    <w:rsid w:val="00E60542"/>
    <w:rsid w:val="00E676C2"/>
    <w:rsid w:val="00E67AD8"/>
    <w:rsid w:val="00E7016A"/>
    <w:rsid w:val="00E70E59"/>
    <w:rsid w:val="00E73D58"/>
    <w:rsid w:val="00E84572"/>
    <w:rsid w:val="00E85018"/>
    <w:rsid w:val="00EA24B5"/>
    <w:rsid w:val="00EA290B"/>
    <w:rsid w:val="00EA415E"/>
    <w:rsid w:val="00EA7E62"/>
    <w:rsid w:val="00EB296F"/>
    <w:rsid w:val="00EB44FC"/>
    <w:rsid w:val="00EB613B"/>
    <w:rsid w:val="00EB7412"/>
    <w:rsid w:val="00EC079B"/>
    <w:rsid w:val="00EC1FAF"/>
    <w:rsid w:val="00EC6A92"/>
    <w:rsid w:val="00ED037F"/>
    <w:rsid w:val="00ED1DEE"/>
    <w:rsid w:val="00ED4C3F"/>
    <w:rsid w:val="00ED4FA9"/>
    <w:rsid w:val="00EE25AE"/>
    <w:rsid w:val="00EE4327"/>
    <w:rsid w:val="00EE47B9"/>
    <w:rsid w:val="00EE6717"/>
    <w:rsid w:val="00EE7FB1"/>
    <w:rsid w:val="00EF0E0F"/>
    <w:rsid w:val="00EF2B34"/>
    <w:rsid w:val="00EF4D92"/>
    <w:rsid w:val="00EF726C"/>
    <w:rsid w:val="00EF74B5"/>
    <w:rsid w:val="00F00F27"/>
    <w:rsid w:val="00F01412"/>
    <w:rsid w:val="00F01E7C"/>
    <w:rsid w:val="00F03081"/>
    <w:rsid w:val="00F04EA3"/>
    <w:rsid w:val="00F068D0"/>
    <w:rsid w:val="00F12FCE"/>
    <w:rsid w:val="00F12FEF"/>
    <w:rsid w:val="00F20535"/>
    <w:rsid w:val="00F276DD"/>
    <w:rsid w:val="00F37356"/>
    <w:rsid w:val="00F37AE9"/>
    <w:rsid w:val="00F43C74"/>
    <w:rsid w:val="00F440A4"/>
    <w:rsid w:val="00F4475B"/>
    <w:rsid w:val="00F4696C"/>
    <w:rsid w:val="00F504D1"/>
    <w:rsid w:val="00F52993"/>
    <w:rsid w:val="00F56543"/>
    <w:rsid w:val="00F62942"/>
    <w:rsid w:val="00F65E46"/>
    <w:rsid w:val="00F67EF6"/>
    <w:rsid w:val="00F7389D"/>
    <w:rsid w:val="00F7399B"/>
    <w:rsid w:val="00F75648"/>
    <w:rsid w:val="00F827DD"/>
    <w:rsid w:val="00F828FC"/>
    <w:rsid w:val="00F830BE"/>
    <w:rsid w:val="00F902F7"/>
    <w:rsid w:val="00F914E2"/>
    <w:rsid w:val="00F92A1D"/>
    <w:rsid w:val="00F97861"/>
    <w:rsid w:val="00F9791F"/>
    <w:rsid w:val="00FA26ED"/>
    <w:rsid w:val="00FA402D"/>
    <w:rsid w:val="00FA7F08"/>
    <w:rsid w:val="00FB1E42"/>
    <w:rsid w:val="00FB2110"/>
    <w:rsid w:val="00FB3508"/>
    <w:rsid w:val="00FC4CC4"/>
    <w:rsid w:val="00FC6B95"/>
    <w:rsid w:val="00FD0132"/>
    <w:rsid w:val="00FD2310"/>
    <w:rsid w:val="00FD434D"/>
    <w:rsid w:val="00FD5112"/>
    <w:rsid w:val="00FD5F55"/>
    <w:rsid w:val="00FD66AE"/>
    <w:rsid w:val="00FD7014"/>
    <w:rsid w:val="00FD70DA"/>
    <w:rsid w:val="00FD71BD"/>
    <w:rsid w:val="00FD7B27"/>
    <w:rsid w:val="00FE3FE0"/>
    <w:rsid w:val="00FE7C0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9B"/>
    <w:pPr>
      <w:spacing w:before="200" w:after="0" w:line="288" w:lineRule="auto"/>
    </w:pPr>
    <w:rPr>
      <w:rFonts w:cstheme="minorHAnsi"/>
    </w:rPr>
  </w:style>
  <w:style w:type="paragraph" w:styleId="Heading3">
    <w:name w:val="heading 3"/>
    <w:basedOn w:val="Normal"/>
    <w:next w:val="Normal"/>
    <w:link w:val="Heading3Char"/>
    <w:uiPriority w:val="9"/>
    <w:unhideWhenUsed/>
    <w:qFormat/>
    <w:rsid w:val="0026179B"/>
    <w:pPr>
      <w:keepNext/>
      <w:keepLines/>
      <w:outlineLvl w:val="2"/>
    </w:pPr>
    <w:rPr>
      <w:rFonts w:asciiTheme="majorHAnsi" w:eastAsiaTheme="majorEastAsia" w:hAnsiTheme="majorHAnsi" w:cstheme="majorBidi"/>
      <w:b/>
      <w:bCs/>
      <w:color w:val="244061" w:themeColor="accent1" w:themeShade="80"/>
    </w:rPr>
  </w:style>
  <w:style w:type="paragraph" w:styleId="Heading6">
    <w:name w:val="heading 6"/>
    <w:basedOn w:val="Normal"/>
    <w:next w:val="Normal"/>
    <w:link w:val="Heading6Char"/>
    <w:uiPriority w:val="9"/>
    <w:unhideWhenUsed/>
    <w:qFormat/>
    <w:rsid w:val="00845CBC"/>
    <w:pPr>
      <w:keepNext/>
      <w:keepLines/>
      <w:autoSpaceDE w:val="0"/>
      <w:autoSpaceDN w:val="0"/>
      <w:adjustRightInd w:val="0"/>
      <w:spacing w:line="240" w:lineRule="auto"/>
      <w:outlineLvl w:val="5"/>
    </w:pPr>
    <w:rPr>
      <w:rFonts w:asciiTheme="majorHAnsi" w:eastAsiaTheme="majorEastAsia" w:hAnsiTheme="majorHAnsi" w:cstheme="majorBidi"/>
      <w:i/>
      <w:iCs/>
      <w:color w:val="243F60" w:themeColor="accent1" w:themeShade="7F"/>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9B"/>
    <w:pPr>
      <w:tabs>
        <w:tab w:val="center" w:pos="4513"/>
        <w:tab w:val="right" w:pos="9026"/>
      </w:tabs>
      <w:spacing w:line="240" w:lineRule="auto"/>
    </w:pPr>
  </w:style>
  <w:style w:type="character" w:customStyle="1" w:styleId="HeaderChar">
    <w:name w:val="Header Char"/>
    <w:basedOn w:val="DefaultParagraphFont"/>
    <w:link w:val="Header"/>
    <w:uiPriority w:val="99"/>
    <w:rsid w:val="0026179B"/>
  </w:style>
  <w:style w:type="paragraph" w:styleId="Footer">
    <w:name w:val="footer"/>
    <w:basedOn w:val="Normal"/>
    <w:link w:val="FooterChar"/>
    <w:uiPriority w:val="99"/>
    <w:semiHidden/>
    <w:unhideWhenUsed/>
    <w:rsid w:val="0026179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6179B"/>
  </w:style>
  <w:style w:type="character" w:customStyle="1" w:styleId="Heading3Char">
    <w:name w:val="Heading 3 Char"/>
    <w:basedOn w:val="DefaultParagraphFont"/>
    <w:link w:val="Heading3"/>
    <w:uiPriority w:val="9"/>
    <w:rsid w:val="0026179B"/>
    <w:rPr>
      <w:rFonts w:asciiTheme="majorHAnsi" w:eastAsiaTheme="majorEastAsia" w:hAnsiTheme="majorHAnsi" w:cstheme="majorBidi"/>
      <w:b/>
      <w:bCs/>
      <w:color w:val="244061" w:themeColor="accent1" w:themeShade="80"/>
    </w:rPr>
  </w:style>
  <w:style w:type="character" w:styleId="FootnoteReference">
    <w:name w:val="footnote reference"/>
    <w:basedOn w:val="DefaultParagraphFont"/>
    <w:uiPriority w:val="99"/>
    <w:semiHidden/>
    <w:unhideWhenUsed/>
    <w:rsid w:val="0026179B"/>
    <w:rPr>
      <w:vertAlign w:val="superscript"/>
    </w:rPr>
  </w:style>
  <w:style w:type="character" w:styleId="Hyperlink">
    <w:name w:val="Hyperlink"/>
    <w:basedOn w:val="DefaultParagraphFont"/>
    <w:uiPriority w:val="99"/>
    <w:unhideWhenUsed/>
    <w:rsid w:val="0026179B"/>
    <w:rPr>
      <w:color w:val="0000FF" w:themeColor="hyperlink"/>
      <w:u w:val="single"/>
    </w:rPr>
  </w:style>
  <w:style w:type="paragraph" w:customStyle="1" w:styleId="Footnote1">
    <w:name w:val="Footnote1"/>
    <w:basedOn w:val="FootnoteText"/>
    <w:link w:val="Footnote1Char"/>
    <w:qFormat/>
    <w:rsid w:val="0026179B"/>
    <w:pPr>
      <w:spacing w:before="60"/>
    </w:pPr>
    <w:rPr>
      <w:sz w:val="18"/>
      <w:szCs w:val="18"/>
    </w:rPr>
  </w:style>
  <w:style w:type="character" w:customStyle="1" w:styleId="Footnote1Char">
    <w:name w:val="Footnote1 Char"/>
    <w:basedOn w:val="FootnoteTextChar"/>
    <w:link w:val="Footnote1"/>
    <w:rsid w:val="0026179B"/>
    <w:rPr>
      <w:rFonts w:cstheme="minorHAnsi"/>
      <w:sz w:val="18"/>
      <w:szCs w:val="18"/>
    </w:rPr>
  </w:style>
  <w:style w:type="paragraph" w:customStyle="1" w:styleId="Quotenormal1">
    <w:name w:val="Quote normal 1"/>
    <w:basedOn w:val="Quote"/>
    <w:link w:val="Quotenormal1Char"/>
    <w:qFormat/>
    <w:rsid w:val="0026179B"/>
    <w:pPr>
      <w:ind w:left="284"/>
    </w:pPr>
    <w:rPr>
      <w:i w:val="0"/>
      <w:sz w:val="20"/>
      <w:szCs w:val="20"/>
    </w:rPr>
  </w:style>
  <w:style w:type="character" w:customStyle="1" w:styleId="Quotenormal1Char">
    <w:name w:val="Quote normal 1 Char"/>
    <w:basedOn w:val="QuoteChar"/>
    <w:link w:val="Quotenormal1"/>
    <w:rsid w:val="0026179B"/>
    <w:rPr>
      <w:rFonts w:cstheme="minorHAnsi"/>
      <w:i/>
      <w:iCs/>
      <w:color w:val="000000" w:themeColor="text1"/>
      <w:sz w:val="20"/>
      <w:szCs w:val="20"/>
    </w:rPr>
  </w:style>
  <w:style w:type="paragraph" w:styleId="FootnoteText">
    <w:name w:val="footnote text"/>
    <w:basedOn w:val="Normal"/>
    <w:link w:val="FootnoteTextChar"/>
    <w:uiPriority w:val="99"/>
    <w:semiHidden/>
    <w:unhideWhenUsed/>
    <w:rsid w:val="0026179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179B"/>
    <w:rPr>
      <w:rFonts w:cstheme="minorHAnsi"/>
      <w:sz w:val="20"/>
      <w:szCs w:val="20"/>
    </w:rPr>
  </w:style>
  <w:style w:type="paragraph" w:styleId="Quote">
    <w:name w:val="Quote"/>
    <w:basedOn w:val="Normal"/>
    <w:next w:val="Normal"/>
    <w:link w:val="QuoteChar"/>
    <w:uiPriority w:val="29"/>
    <w:qFormat/>
    <w:rsid w:val="0026179B"/>
    <w:rPr>
      <w:i/>
      <w:iCs/>
      <w:color w:val="000000" w:themeColor="text1"/>
    </w:rPr>
  </w:style>
  <w:style w:type="character" w:customStyle="1" w:styleId="QuoteChar">
    <w:name w:val="Quote Char"/>
    <w:basedOn w:val="DefaultParagraphFont"/>
    <w:link w:val="Quote"/>
    <w:uiPriority w:val="29"/>
    <w:rsid w:val="0026179B"/>
    <w:rPr>
      <w:rFonts w:cstheme="minorHAnsi"/>
      <w:i/>
      <w:iCs/>
      <w:color w:val="000000" w:themeColor="text1"/>
    </w:rPr>
  </w:style>
  <w:style w:type="paragraph" w:styleId="ListParagraph">
    <w:name w:val="List Paragraph"/>
    <w:basedOn w:val="Normal"/>
    <w:uiPriority w:val="34"/>
    <w:qFormat/>
    <w:rsid w:val="00CD7ECE"/>
    <w:pPr>
      <w:ind w:left="720"/>
      <w:contextualSpacing/>
    </w:pPr>
  </w:style>
  <w:style w:type="table" w:styleId="TableGrid">
    <w:name w:val="Table Grid"/>
    <w:basedOn w:val="TableNormal"/>
    <w:uiPriority w:val="59"/>
    <w:rsid w:val="00D10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9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52"/>
    <w:rPr>
      <w:rFonts w:ascii="Tahoma" w:hAnsi="Tahoma" w:cs="Tahoma"/>
      <w:sz w:val="16"/>
      <w:szCs w:val="16"/>
    </w:rPr>
  </w:style>
  <w:style w:type="paragraph" w:styleId="Revision">
    <w:name w:val="Revision"/>
    <w:hidden/>
    <w:uiPriority w:val="99"/>
    <w:semiHidden/>
    <w:rsid w:val="00614B3E"/>
    <w:pPr>
      <w:spacing w:after="0" w:line="240" w:lineRule="auto"/>
    </w:pPr>
    <w:rPr>
      <w:rFonts w:cstheme="minorHAnsi"/>
    </w:rPr>
  </w:style>
  <w:style w:type="character" w:styleId="CommentReference">
    <w:name w:val="annotation reference"/>
    <w:basedOn w:val="DefaultParagraphFont"/>
    <w:uiPriority w:val="99"/>
    <w:semiHidden/>
    <w:unhideWhenUsed/>
    <w:rsid w:val="0066287C"/>
    <w:rPr>
      <w:sz w:val="16"/>
      <w:szCs w:val="16"/>
    </w:rPr>
  </w:style>
  <w:style w:type="paragraph" w:styleId="CommentText">
    <w:name w:val="annotation text"/>
    <w:basedOn w:val="Normal"/>
    <w:link w:val="CommentTextChar"/>
    <w:uiPriority w:val="99"/>
    <w:unhideWhenUsed/>
    <w:rsid w:val="0066287C"/>
    <w:pPr>
      <w:spacing w:line="240" w:lineRule="auto"/>
    </w:pPr>
    <w:rPr>
      <w:sz w:val="20"/>
      <w:szCs w:val="20"/>
    </w:rPr>
  </w:style>
  <w:style w:type="character" w:customStyle="1" w:styleId="CommentTextChar">
    <w:name w:val="Comment Text Char"/>
    <w:basedOn w:val="DefaultParagraphFont"/>
    <w:link w:val="CommentText"/>
    <w:uiPriority w:val="99"/>
    <w:rsid w:val="0066287C"/>
    <w:rPr>
      <w:rFonts w:cstheme="minorHAnsi"/>
      <w:sz w:val="20"/>
      <w:szCs w:val="20"/>
    </w:rPr>
  </w:style>
  <w:style w:type="paragraph" w:styleId="CommentSubject">
    <w:name w:val="annotation subject"/>
    <w:basedOn w:val="CommentText"/>
    <w:next w:val="CommentText"/>
    <w:link w:val="CommentSubjectChar"/>
    <w:uiPriority w:val="99"/>
    <w:semiHidden/>
    <w:unhideWhenUsed/>
    <w:rsid w:val="0066287C"/>
    <w:rPr>
      <w:b/>
      <w:bCs/>
    </w:rPr>
  </w:style>
  <w:style w:type="character" w:customStyle="1" w:styleId="CommentSubjectChar">
    <w:name w:val="Comment Subject Char"/>
    <w:basedOn w:val="CommentTextChar"/>
    <w:link w:val="CommentSubject"/>
    <w:uiPriority w:val="99"/>
    <w:semiHidden/>
    <w:rsid w:val="0066287C"/>
    <w:rPr>
      <w:rFonts w:cstheme="minorHAnsi"/>
      <w:b/>
      <w:bCs/>
      <w:sz w:val="20"/>
      <w:szCs w:val="20"/>
    </w:rPr>
  </w:style>
  <w:style w:type="paragraph" w:customStyle="1" w:styleId="paragraph">
    <w:name w:val="paragraph"/>
    <w:basedOn w:val="Normal"/>
    <w:rsid w:val="00394C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0B7A"/>
  </w:style>
  <w:style w:type="paragraph" w:customStyle="1" w:styleId="r1">
    <w:name w:val="r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BC51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
    <w:rsid w:val="00845CBC"/>
    <w:rPr>
      <w:rFonts w:asciiTheme="majorHAnsi" w:eastAsiaTheme="majorEastAsia" w:hAnsiTheme="majorHAnsi" w:cstheme="majorBidi"/>
      <w:i/>
      <w:iCs/>
      <w:color w:val="243F60" w:themeColor="accent1" w:themeShade="7F"/>
      <w:sz w:val="23"/>
      <w:szCs w:val="23"/>
      <w:lang w:eastAsia="en-AU"/>
    </w:rPr>
  </w:style>
  <w:style w:type="paragraph" w:styleId="Title">
    <w:name w:val="Title"/>
    <w:basedOn w:val="Normal"/>
    <w:next w:val="Normal"/>
    <w:link w:val="TitleChar"/>
    <w:qFormat/>
    <w:rsid w:val="00BC4DED"/>
    <w:pPr>
      <w:autoSpaceDE w:val="0"/>
      <w:autoSpaceDN w:val="0"/>
      <w:spacing w:before="480" w:line="240" w:lineRule="auto"/>
      <w:jc w:val="center"/>
    </w:pPr>
    <w:rPr>
      <w:rFonts w:ascii="Times" w:eastAsia="Times New Roman" w:hAnsi="Times" w:cs="Times"/>
      <w:b/>
      <w:bCs/>
      <w:sz w:val="36"/>
      <w:szCs w:val="36"/>
      <w:lang w:eastAsia="en-AU"/>
    </w:rPr>
  </w:style>
  <w:style w:type="character" w:customStyle="1" w:styleId="TitleChar">
    <w:name w:val="Title Char"/>
    <w:basedOn w:val="DefaultParagraphFont"/>
    <w:link w:val="Title"/>
    <w:rsid w:val="00BC4DED"/>
    <w:rPr>
      <w:rFonts w:ascii="Times" w:eastAsia="Times New Roman" w:hAnsi="Times" w:cs="Times"/>
      <w:b/>
      <w:bCs/>
      <w:sz w:val="36"/>
      <w:szCs w:val="36"/>
      <w:lang w:eastAsia="en-AU"/>
    </w:rPr>
  </w:style>
  <w:style w:type="paragraph" w:styleId="BodyText">
    <w:name w:val="Body Text"/>
    <w:basedOn w:val="Normal"/>
    <w:link w:val="BodyTextChar"/>
    <w:uiPriority w:val="99"/>
    <w:unhideWhenUsed/>
    <w:rsid w:val="00D43F7A"/>
    <w:pPr>
      <w:spacing w:before="0" w:after="120" w:line="240" w:lineRule="auto"/>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99"/>
    <w:rsid w:val="00D43F7A"/>
    <w:rPr>
      <w:rFonts w:ascii="Times New Roman" w:eastAsia="Times New Roman" w:hAnsi="Times New Roman" w:cs="Times New Roman"/>
      <w:sz w:val="24"/>
      <w:szCs w:val="20"/>
      <w:lang w:val="en-GB" w:eastAsia="en-AU"/>
    </w:rPr>
  </w:style>
  <w:style w:type="paragraph" w:styleId="NormalWeb">
    <w:name w:val="Normal (Web)"/>
    <w:basedOn w:val="Normal"/>
    <w:uiPriority w:val="99"/>
    <w:unhideWhenUsed/>
    <w:rsid w:val="00244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0">
    <w:name w:val="R1"/>
    <w:aliases w:val="1. or 1.(1)"/>
    <w:basedOn w:val="Normal"/>
    <w:next w:val="Normal"/>
    <w:rsid w:val="00117502"/>
    <w:pPr>
      <w:tabs>
        <w:tab w:val="right" w:pos="1134"/>
      </w:tabs>
      <w:autoSpaceDE w:val="0"/>
      <w:autoSpaceDN w:val="0"/>
      <w:spacing w:before="240" w:line="240" w:lineRule="auto"/>
      <w:ind w:left="851"/>
      <w:jc w:val="both"/>
    </w:pPr>
    <w:rPr>
      <w:rFonts w:ascii="Times" w:eastAsia="Times New Roman" w:hAnsi="Times" w:cs="Times"/>
      <w:sz w:val="26"/>
      <w:szCs w:val="26"/>
      <w:lang w:eastAsia="en-AU"/>
    </w:rPr>
  </w:style>
  <w:style w:type="paragraph" w:customStyle="1" w:styleId="definition">
    <w:name w:val="definition"/>
    <w:basedOn w:val="Normal"/>
    <w:rsid w:val="00117502"/>
    <w:pPr>
      <w:tabs>
        <w:tab w:val="right" w:pos="1134"/>
      </w:tabs>
      <w:autoSpaceDE w:val="0"/>
      <w:autoSpaceDN w:val="0"/>
      <w:spacing w:before="240" w:line="260" w:lineRule="atLeast"/>
      <w:ind w:left="851"/>
      <w:jc w:val="both"/>
    </w:pPr>
    <w:rPr>
      <w:rFonts w:ascii="Times" w:eastAsia="Times New Roman" w:hAnsi="Times" w:cs="Times"/>
      <w:color w:val="000000"/>
      <w:sz w:val="26"/>
      <w:szCs w:val="26"/>
      <w:lang w:eastAsia="en-AU"/>
    </w:rPr>
  </w:style>
  <w:style w:type="character" w:styleId="Emphasis">
    <w:name w:val="Emphasis"/>
    <w:basedOn w:val="DefaultParagraphFont"/>
    <w:uiPriority w:val="20"/>
    <w:qFormat/>
    <w:rsid w:val="000260F3"/>
    <w:rPr>
      <w:i/>
      <w:iCs/>
    </w:rPr>
  </w:style>
  <w:style w:type="paragraph" w:customStyle="1" w:styleId="Default">
    <w:name w:val="Default"/>
    <w:rsid w:val="009975E6"/>
    <w:pPr>
      <w:autoSpaceDE w:val="0"/>
      <w:autoSpaceDN w:val="0"/>
      <w:adjustRightInd w:val="0"/>
      <w:spacing w:after="0" w:line="240" w:lineRule="auto"/>
    </w:pPr>
    <w:rPr>
      <w:rFonts w:ascii="Arial" w:hAnsi="Arial" w:cs="Arial"/>
      <w:color w:val="000000"/>
      <w:sz w:val="24"/>
      <w:szCs w:val="24"/>
    </w:rPr>
  </w:style>
  <w:style w:type="paragraph" w:customStyle="1" w:styleId="P10">
    <w:name w:val="P1"/>
    <w:aliases w:val="(a)"/>
    <w:basedOn w:val="Normal"/>
    <w:rsid w:val="00656F85"/>
    <w:pPr>
      <w:tabs>
        <w:tab w:val="right" w:pos="1080"/>
      </w:tabs>
      <w:spacing w:before="40" w:line="260" w:lineRule="atLeast"/>
      <w:ind w:left="1276" w:hanging="1280"/>
      <w:jc w:val="both"/>
    </w:pPr>
    <w:rPr>
      <w:rFonts w:ascii="Times" w:eastAsia="Times New Roman" w:hAnsi="Times" w:cs="Times New Roman"/>
      <w:sz w:val="26"/>
      <w:szCs w:val="20"/>
      <w:lang w:eastAsia="en-AU"/>
    </w:rPr>
  </w:style>
  <w:style w:type="paragraph" w:customStyle="1" w:styleId="NoteBody2">
    <w:name w:val="Note Body 2"/>
    <w:basedOn w:val="Normal"/>
    <w:rsid w:val="00656F85"/>
    <w:pPr>
      <w:autoSpaceDE w:val="0"/>
      <w:autoSpaceDN w:val="0"/>
      <w:spacing w:before="120" w:after="120" w:line="260" w:lineRule="atLeast"/>
      <w:jc w:val="both"/>
    </w:pPr>
    <w:rPr>
      <w:rFonts w:ascii="Times" w:eastAsia="Times New Roman" w:hAnsi="Times" w:cs="Time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235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93">
          <w:marLeft w:val="0"/>
          <w:marRight w:val="0"/>
          <w:marTop w:val="0"/>
          <w:marBottom w:val="0"/>
          <w:divBdr>
            <w:top w:val="none" w:sz="0" w:space="0" w:color="auto"/>
            <w:left w:val="none" w:sz="0" w:space="0" w:color="auto"/>
            <w:bottom w:val="none" w:sz="0" w:space="0" w:color="auto"/>
            <w:right w:val="none" w:sz="0" w:space="0" w:color="auto"/>
          </w:divBdr>
          <w:divsChild>
            <w:div w:id="17778089">
              <w:marLeft w:val="0"/>
              <w:marRight w:val="0"/>
              <w:marTop w:val="0"/>
              <w:marBottom w:val="0"/>
              <w:divBdr>
                <w:top w:val="none" w:sz="0" w:space="0" w:color="auto"/>
                <w:left w:val="none" w:sz="0" w:space="0" w:color="auto"/>
                <w:bottom w:val="none" w:sz="0" w:space="0" w:color="auto"/>
                <w:right w:val="none" w:sz="0" w:space="0" w:color="auto"/>
              </w:divBdr>
              <w:divsChild>
                <w:div w:id="749888165">
                  <w:marLeft w:val="0"/>
                  <w:marRight w:val="0"/>
                  <w:marTop w:val="0"/>
                  <w:marBottom w:val="0"/>
                  <w:divBdr>
                    <w:top w:val="none" w:sz="0" w:space="0" w:color="auto"/>
                    <w:left w:val="none" w:sz="0" w:space="0" w:color="auto"/>
                    <w:bottom w:val="none" w:sz="0" w:space="0" w:color="auto"/>
                    <w:right w:val="none" w:sz="0" w:space="0" w:color="auto"/>
                  </w:divBdr>
                  <w:divsChild>
                    <w:div w:id="1610383016">
                      <w:marLeft w:val="0"/>
                      <w:marRight w:val="0"/>
                      <w:marTop w:val="0"/>
                      <w:marBottom w:val="0"/>
                      <w:divBdr>
                        <w:top w:val="none" w:sz="0" w:space="0" w:color="auto"/>
                        <w:left w:val="none" w:sz="0" w:space="0" w:color="auto"/>
                        <w:bottom w:val="none" w:sz="0" w:space="0" w:color="auto"/>
                        <w:right w:val="none" w:sz="0" w:space="0" w:color="auto"/>
                      </w:divBdr>
                      <w:divsChild>
                        <w:div w:id="382949138">
                          <w:marLeft w:val="0"/>
                          <w:marRight w:val="0"/>
                          <w:marTop w:val="0"/>
                          <w:marBottom w:val="0"/>
                          <w:divBdr>
                            <w:top w:val="single" w:sz="6" w:space="0" w:color="828282"/>
                            <w:left w:val="single" w:sz="6" w:space="0" w:color="828282"/>
                            <w:bottom w:val="single" w:sz="6" w:space="0" w:color="828282"/>
                            <w:right w:val="single" w:sz="6" w:space="0" w:color="828282"/>
                          </w:divBdr>
                          <w:divsChild>
                            <w:div w:id="33699037">
                              <w:marLeft w:val="0"/>
                              <w:marRight w:val="0"/>
                              <w:marTop w:val="0"/>
                              <w:marBottom w:val="0"/>
                              <w:divBdr>
                                <w:top w:val="none" w:sz="0" w:space="0" w:color="auto"/>
                                <w:left w:val="none" w:sz="0" w:space="0" w:color="auto"/>
                                <w:bottom w:val="none" w:sz="0" w:space="0" w:color="auto"/>
                                <w:right w:val="none" w:sz="0" w:space="0" w:color="auto"/>
                              </w:divBdr>
                              <w:divsChild>
                                <w:div w:id="946235142">
                                  <w:marLeft w:val="0"/>
                                  <w:marRight w:val="0"/>
                                  <w:marTop w:val="0"/>
                                  <w:marBottom w:val="0"/>
                                  <w:divBdr>
                                    <w:top w:val="none" w:sz="0" w:space="0" w:color="auto"/>
                                    <w:left w:val="none" w:sz="0" w:space="0" w:color="auto"/>
                                    <w:bottom w:val="none" w:sz="0" w:space="0" w:color="auto"/>
                                    <w:right w:val="none" w:sz="0" w:space="0" w:color="auto"/>
                                  </w:divBdr>
                                  <w:divsChild>
                                    <w:div w:id="1735736692">
                                      <w:marLeft w:val="0"/>
                                      <w:marRight w:val="0"/>
                                      <w:marTop w:val="0"/>
                                      <w:marBottom w:val="0"/>
                                      <w:divBdr>
                                        <w:top w:val="none" w:sz="0" w:space="0" w:color="auto"/>
                                        <w:left w:val="none" w:sz="0" w:space="0" w:color="auto"/>
                                        <w:bottom w:val="none" w:sz="0" w:space="0" w:color="auto"/>
                                        <w:right w:val="none" w:sz="0" w:space="0" w:color="auto"/>
                                      </w:divBdr>
                                      <w:divsChild>
                                        <w:div w:id="1751196043">
                                          <w:marLeft w:val="0"/>
                                          <w:marRight w:val="0"/>
                                          <w:marTop w:val="0"/>
                                          <w:marBottom w:val="0"/>
                                          <w:divBdr>
                                            <w:top w:val="none" w:sz="0" w:space="0" w:color="auto"/>
                                            <w:left w:val="none" w:sz="0" w:space="0" w:color="auto"/>
                                            <w:bottom w:val="none" w:sz="0" w:space="0" w:color="auto"/>
                                            <w:right w:val="none" w:sz="0" w:space="0" w:color="auto"/>
                                          </w:divBdr>
                                          <w:divsChild>
                                            <w:div w:id="798105498">
                                              <w:marLeft w:val="0"/>
                                              <w:marRight w:val="0"/>
                                              <w:marTop w:val="0"/>
                                              <w:marBottom w:val="0"/>
                                              <w:divBdr>
                                                <w:top w:val="none" w:sz="0" w:space="0" w:color="auto"/>
                                                <w:left w:val="none" w:sz="0" w:space="0" w:color="auto"/>
                                                <w:bottom w:val="none" w:sz="0" w:space="0" w:color="auto"/>
                                                <w:right w:val="none" w:sz="0" w:space="0" w:color="auto"/>
                                              </w:divBdr>
                                              <w:divsChild>
                                                <w:div w:id="2117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223429">
      <w:bodyDiv w:val="1"/>
      <w:marLeft w:val="0"/>
      <w:marRight w:val="0"/>
      <w:marTop w:val="0"/>
      <w:marBottom w:val="0"/>
      <w:divBdr>
        <w:top w:val="none" w:sz="0" w:space="0" w:color="auto"/>
        <w:left w:val="none" w:sz="0" w:space="0" w:color="auto"/>
        <w:bottom w:val="none" w:sz="0" w:space="0" w:color="auto"/>
        <w:right w:val="none" w:sz="0" w:space="0" w:color="auto"/>
      </w:divBdr>
    </w:div>
    <w:div w:id="382027567">
      <w:bodyDiv w:val="1"/>
      <w:marLeft w:val="0"/>
      <w:marRight w:val="0"/>
      <w:marTop w:val="0"/>
      <w:marBottom w:val="0"/>
      <w:divBdr>
        <w:top w:val="none" w:sz="0" w:space="0" w:color="auto"/>
        <w:left w:val="none" w:sz="0" w:space="0" w:color="auto"/>
        <w:bottom w:val="none" w:sz="0" w:space="0" w:color="auto"/>
        <w:right w:val="none" w:sz="0" w:space="0" w:color="auto"/>
      </w:divBdr>
    </w:div>
    <w:div w:id="640620067">
      <w:bodyDiv w:val="1"/>
      <w:marLeft w:val="0"/>
      <w:marRight w:val="0"/>
      <w:marTop w:val="0"/>
      <w:marBottom w:val="0"/>
      <w:divBdr>
        <w:top w:val="none" w:sz="0" w:space="0" w:color="auto"/>
        <w:left w:val="none" w:sz="0" w:space="0" w:color="auto"/>
        <w:bottom w:val="none" w:sz="0" w:space="0" w:color="auto"/>
        <w:right w:val="none" w:sz="0" w:space="0" w:color="auto"/>
      </w:divBdr>
      <w:divsChild>
        <w:div w:id="698549256">
          <w:marLeft w:val="0"/>
          <w:marRight w:val="0"/>
          <w:marTop w:val="0"/>
          <w:marBottom w:val="0"/>
          <w:divBdr>
            <w:top w:val="none" w:sz="0" w:space="0" w:color="auto"/>
            <w:left w:val="none" w:sz="0" w:space="0" w:color="auto"/>
            <w:bottom w:val="none" w:sz="0" w:space="0" w:color="auto"/>
            <w:right w:val="none" w:sz="0" w:space="0" w:color="auto"/>
          </w:divBdr>
          <w:divsChild>
            <w:div w:id="2019962851">
              <w:marLeft w:val="0"/>
              <w:marRight w:val="0"/>
              <w:marTop w:val="0"/>
              <w:marBottom w:val="0"/>
              <w:divBdr>
                <w:top w:val="none" w:sz="0" w:space="0" w:color="auto"/>
                <w:left w:val="none" w:sz="0" w:space="0" w:color="auto"/>
                <w:bottom w:val="none" w:sz="0" w:space="0" w:color="auto"/>
                <w:right w:val="none" w:sz="0" w:space="0" w:color="auto"/>
              </w:divBdr>
              <w:divsChild>
                <w:div w:id="436099101">
                  <w:marLeft w:val="0"/>
                  <w:marRight w:val="0"/>
                  <w:marTop w:val="0"/>
                  <w:marBottom w:val="0"/>
                  <w:divBdr>
                    <w:top w:val="none" w:sz="0" w:space="0" w:color="auto"/>
                    <w:left w:val="none" w:sz="0" w:space="0" w:color="auto"/>
                    <w:bottom w:val="none" w:sz="0" w:space="0" w:color="auto"/>
                    <w:right w:val="none" w:sz="0" w:space="0" w:color="auto"/>
                  </w:divBdr>
                  <w:divsChild>
                    <w:div w:id="1548835026">
                      <w:marLeft w:val="0"/>
                      <w:marRight w:val="0"/>
                      <w:marTop w:val="0"/>
                      <w:marBottom w:val="0"/>
                      <w:divBdr>
                        <w:top w:val="none" w:sz="0" w:space="0" w:color="auto"/>
                        <w:left w:val="none" w:sz="0" w:space="0" w:color="auto"/>
                        <w:bottom w:val="none" w:sz="0" w:space="0" w:color="auto"/>
                        <w:right w:val="none" w:sz="0" w:space="0" w:color="auto"/>
                      </w:divBdr>
                      <w:divsChild>
                        <w:div w:id="1317883295">
                          <w:marLeft w:val="0"/>
                          <w:marRight w:val="0"/>
                          <w:marTop w:val="0"/>
                          <w:marBottom w:val="0"/>
                          <w:divBdr>
                            <w:top w:val="single" w:sz="6" w:space="0" w:color="828282"/>
                            <w:left w:val="single" w:sz="6" w:space="0" w:color="828282"/>
                            <w:bottom w:val="single" w:sz="6" w:space="0" w:color="828282"/>
                            <w:right w:val="single" w:sz="6" w:space="0" w:color="828282"/>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176232982">
                                  <w:marLeft w:val="0"/>
                                  <w:marRight w:val="0"/>
                                  <w:marTop w:val="0"/>
                                  <w:marBottom w:val="0"/>
                                  <w:divBdr>
                                    <w:top w:val="none" w:sz="0" w:space="0" w:color="auto"/>
                                    <w:left w:val="none" w:sz="0" w:space="0" w:color="auto"/>
                                    <w:bottom w:val="none" w:sz="0" w:space="0" w:color="auto"/>
                                    <w:right w:val="none" w:sz="0" w:space="0" w:color="auto"/>
                                  </w:divBdr>
                                  <w:divsChild>
                                    <w:div w:id="847255560">
                                      <w:marLeft w:val="0"/>
                                      <w:marRight w:val="0"/>
                                      <w:marTop w:val="0"/>
                                      <w:marBottom w:val="0"/>
                                      <w:divBdr>
                                        <w:top w:val="none" w:sz="0" w:space="0" w:color="auto"/>
                                        <w:left w:val="none" w:sz="0" w:space="0" w:color="auto"/>
                                        <w:bottom w:val="none" w:sz="0" w:space="0" w:color="auto"/>
                                        <w:right w:val="none" w:sz="0" w:space="0" w:color="auto"/>
                                      </w:divBdr>
                                      <w:divsChild>
                                        <w:div w:id="85464587">
                                          <w:marLeft w:val="0"/>
                                          <w:marRight w:val="0"/>
                                          <w:marTop w:val="0"/>
                                          <w:marBottom w:val="0"/>
                                          <w:divBdr>
                                            <w:top w:val="none" w:sz="0" w:space="0" w:color="auto"/>
                                            <w:left w:val="none" w:sz="0" w:space="0" w:color="auto"/>
                                            <w:bottom w:val="none" w:sz="0" w:space="0" w:color="auto"/>
                                            <w:right w:val="none" w:sz="0" w:space="0" w:color="auto"/>
                                          </w:divBdr>
                                          <w:divsChild>
                                            <w:div w:id="2091148488">
                                              <w:marLeft w:val="0"/>
                                              <w:marRight w:val="0"/>
                                              <w:marTop w:val="0"/>
                                              <w:marBottom w:val="0"/>
                                              <w:divBdr>
                                                <w:top w:val="none" w:sz="0" w:space="0" w:color="auto"/>
                                                <w:left w:val="none" w:sz="0" w:space="0" w:color="auto"/>
                                                <w:bottom w:val="none" w:sz="0" w:space="0" w:color="auto"/>
                                                <w:right w:val="none" w:sz="0" w:space="0" w:color="auto"/>
                                              </w:divBdr>
                                              <w:divsChild>
                                                <w:div w:id="4562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634033">
      <w:bodyDiv w:val="1"/>
      <w:marLeft w:val="0"/>
      <w:marRight w:val="0"/>
      <w:marTop w:val="0"/>
      <w:marBottom w:val="0"/>
      <w:divBdr>
        <w:top w:val="none" w:sz="0" w:space="0" w:color="auto"/>
        <w:left w:val="none" w:sz="0" w:space="0" w:color="auto"/>
        <w:bottom w:val="none" w:sz="0" w:space="0" w:color="auto"/>
        <w:right w:val="none" w:sz="0" w:space="0" w:color="auto"/>
      </w:divBdr>
    </w:div>
    <w:div w:id="838085984">
      <w:bodyDiv w:val="1"/>
      <w:marLeft w:val="0"/>
      <w:marRight w:val="0"/>
      <w:marTop w:val="0"/>
      <w:marBottom w:val="0"/>
      <w:divBdr>
        <w:top w:val="none" w:sz="0" w:space="0" w:color="auto"/>
        <w:left w:val="none" w:sz="0" w:space="0" w:color="auto"/>
        <w:bottom w:val="none" w:sz="0" w:space="0" w:color="auto"/>
        <w:right w:val="none" w:sz="0" w:space="0" w:color="auto"/>
      </w:divBdr>
    </w:div>
    <w:div w:id="854031994">
      <w:bodyDiv w:val="1"/>
      <w:marLeft w:val="0"/>
      <w:marRight w:val="0"/>
      <w:marTop w:val="0"/>
      <w:marBottom w:val="0"/>
      <w:divBdr>
        <w:top w:val="none" w:sz="0" w:space="0" w:color="auto"/>
        <w:left w:val="none" w:sz="0" w:space="0" w:color="auto"/>
        <w:bottom w:val="none" w:sz="0" w:space="0" w:color="auto"/>
        <w:right w:val="none" w:sz="0" w:space="0" w:color="auto"/>
      </w:divBdr>
    </w:div>
    <w:div w:id="921573370">
      <w:bodyDiv w:val="1"/>
      <w:marLeft w:val="0"/>
      <w:marRight w:val="0"/>
      <w:marTop w:val="0"/>
      <w:marBottom w:val="0"/>
      <w:divBdr>
        <w:top w:val="none" w:sz="0" w:space="0" w:color="auto"/>
        <w:left w:val="none" w:sz="0" w:space="0" w:color="auto"/>
        <w:bottom w:val="none" w:sz="0" w:space="0" w:color="auto"/>
        <w:right w:val="none" w:sz="0" w:space="0" w:color="auto"/>
      </w:divBdr>
    </w:div>
    <w:div w:id="964970270">
      <w:bodyDiv w:val="1"/>
      <w:marLeft w:val="0"/>
      <w:marRight w:val="0"/>
      <w:marTop w:val="0"/>
      <w:marBottom w:val="0"/>
      <w:divBdr>
        <w:top w:val="none" w:sz="0" w:space="0" w:color="auto"/>
        <w:left w:val="none" w:sz="0" w:space="0" w:color="auto"/>
        <w:bottom w:val="none" w:sz="0" w:space="0" w:color="auto"/>
        <w:right w:val="none" w:sz="0" w:space="0" w:color="auto"/>
      </w:divBdr>
      <w:divsChild>
        <w:div w:id="330643972">
          <w:marLeft w:val="0"/>
          <w:marRight w:val="0"/>
          <w:marTop w:val="0"/>
          <w:marBottom w:val="0"/>
          <w:divBdr>
            <w:top w:val="none" w:sz="0" w:space="0" w:color="auto"/>
            <w:left w:val="none" w:sz="0" w:space="0" w:color="auto"/>
            <w:bottom w:val="none" w:sz="0" w:space="0" w:color="auto"/>
            <w:right w:val="none" w:sz="0" w:space="0" w:color="auto"/>
          </w:divBdr>
          <w:divsChild>
            <w:div w:id="784887396">
              <w:marLeft w:val="0"/>
              <w:marRight w:val="0"/>
              <w:marTop w:val="0"/>
              <w:marBottom w:val="0"/>
              <w:divBdr>
                <w:top w:val="none" w:sz="0" w:space="0" w:color="auto"/>
                <w:left w:val="none" w:sz="0" w:space="0" w:color="auto"/>
                <w:bottom w:val="none" w:sz="0" w:space="0" w:color="auto"/>
                <w:right w:val="none" w:sz="0" w:space="0" w:color="auto"/>
              </w:divBdr>
              <w:divsChild>
                <w:div w:id="303044094">
                  <w:marLeft w:val="0"/>
                  <w:marRight w:val="0"/>
                  <w:marTop w:val="0"/>
                  <w:marBottom w:val="0"/>
                  <w:divBdr>
                    <w:top w:val="none" w:sz="0" w:space="0" w:color="auto"/>
                    <w:left w:val="none" w:sz="0" w:space="0" w:color="auto"/>
                    <w:bottom w:val="none" w:sz="0" w:space="0" w:color="auto"/>
                    <w:right w:val="none" w:sz="0" w:space="0" w:color="auto"/>
                  </w:divBdr>
                  <w:divsChild>
                    <w:div w:id="1698386063">
                      <w:marLeft w:val="0"/>
                      <w:marRight w:val="0"/>
                      <w:marTop w:val="0"/>
                      <w:marBottom w:val="0"/>
                      <w:divBdr>
                        <w:top w:val="none" w:sz="0" w:space="0" w:color="auto"/>
                        <w:left w:val="none" w:sz="0" w:space="0" w:color="auto"/>
                        <w:bottom w:val="none" w:sz="0" w:space="0" w:color="auto"/>
                        <w:right w:val="none" w:sz="0" w:space="0" w:color="auto"/>
                      </w:divBdr>
                      <w:divsChild>
                        <w:div w:id="1106461596">
                          <w:marLeft w:val="0"/>
                          <w:marRight w:val="0"/>
                          <w:marTop w:val="0"/>
                          <w:marBottom w:val="0"/>
                          <w:divBdr>
                            <w:top w:val="single" w:sz="6" w:space="0" w:color="828282"/>
                            <w:left w:val="single" w:sz="6" w:space="0" w:color="828282"/>
                            <w:bottom w:val="single" w:sz="6" w:space="0" w:color="828282"/>
                            <w:right w:val="single" w:sz="6" w:space="0" w:color="828282"/>
                          </w:divBdr>
                          <w:divsChild>
                            <w:div w:id="1599563308">
                              <w:marLeft w:val="0"/>
                              <w:marRight w:val="0"/>
                              <w:marTop w:val="0"/>
                              <w:marBottom w:val="0"/>
                              <w:divBdr>
                                <w:top w:val="none" w:sz="0" w:space="0" w:color="auto"/>
                                <w:left w:val="none" w:sz="0" w:space="0" w:color="auto"/>
                                <w:bottom w:val="none" w:sz="0" w:space="0" w:color="auto"/>
                                <w:right w:val="none" w:sz="0" w:space="0" w:color="auto"/>
                              </w:divBdr>
                              <w:divsChild>
                                <w:div w:id="1259485470">
                                  <w:marLeft w:val="0"/>
                                  <w:marRight w:val="0"/>
                                  <w:marTop w:val="0"/>
                                  <w:marBottom w:val="0"/>
                                  <w:divBdr>
                                    <w:top w:val="none" w:sz="0" w:space="0" w:color="auto"/>
                                    <w:left w:val="none" w:sz="0" w:space="0" w:color="auto"/>
                                    <w:bottom w:val="none" w:sz="0" w:space="0" w:color="auto"/>
                                    <w:right w:val="none" w:sz="0" w:space="0" w:color="auto"/>
                                  </w:divBdr>
                                  <w:divsChild>
                                    <w:div w:id="391269056">
                                      <w:marLeft w:val="0"/>
                                      <w:marRight w:val="0"/>
                                      <w:marTop w:val="0"/>
                                      <w:marBottom w:val="0"/>
                                      <w:divBdr>
                                        <w:top w:val="none" w:sz="0" w:space="0" w:color="auto"/>
                                        <w:left w:val="none" w:sz="0" w:space="0" w:color="auto"/>
                                        <w:bottom w:val="none" w:sz="0" w:space="0" w:color="auto"/>
                                        <w:right w:val="none" w:sz="0" w:space="0" w:color="auto"/>
                                      </w:divBdr>
                                      <w:divsChild>
                                        <w:div w:id="2096241259">
                                          <w:marLeft w:val="0"/>
                                          <w:marRight w:val="0"/>
                                          <w:marTop w:val="0"/>
                                          <w:marBottom w:val="0"/>
                                          <w:divBdr>
                                            <w:top w:val="none" w:sz="0" w:space="0" w:color="auto"/>
                                            <w:left w:val="none" w:sz="0" w:space="0" w:color="auto"/>
                                            <w:bottom w:val="none" w:sz="0" w:space="0" w:color="auto"/>
                                            <w:right w:val="none" w:sz="0" w:space="0" w:color="auto"/>
                                          </w:divBdr>
                                          <w:divsChild>
                                            <w:div w:id="551159411">
                                              <w:marLeft w:val="0"/>
                                              <w:marRight w:val="0"/>
                                              <w:marTop w:val="0"/>
                                              <w:marBottom w:val="0"/>
                                              <w:divBdr>
                                                <w:top w:val="none" w:sz="0" w:space="0" w:color="auto"/>
                                                <w:left w:val="none" w:sz="0" w:space="0" w:color="auto"/>
                                                <w:bottom w:val="none" w:sz="0" w:space="0" w:color="auto"/>
                                                <w:right w:val="none" w:sz="0" w:space="0" w:color="auto"/>
                                              </w:divBdr>
                                              <w:divsChild>
                                                <w:div w:id="128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677296">
      <w:bodyDiv w:val="1"/>
      <w:marLeft w:val="0"/>
      <w:marRight w:val="0"/>
      <w:marTop w:val="0"/>
      <w:marBottom w:val="0"/>
      <w:divBdr>
        <w:top w:val="none" w:sz="0" w:space="0" w:color="auto"/>
        <w:left w:val="none" w:sz="0" w:space="0" w:color="auto"/>
        <w:bottom w:val="none" w:sz="0" w:space="0" w:color="auto"/>
        <w:right w:val="none" w:sz="0" w:space="0" w:color="auto"/>
      </w:divBdr>
    </w:div>
    <w:div w:id="1345592316">
      <w:bodyDiv w:val="1"/>
      <w:marLeft w:val="0"/>
      <w:marRight w:val="0"/>
      <w:marTop w:val="0"/>
      <w:marBottom w:val="0"/>
      <w:divBdr>
        <w:top w:val="none" w:sz="0" w:space="0" w:color="auto"/>
        <w:left w:val="none" w:sz="0" w:space="0" w:color="auto"/>
        <w:bottom w:val="none" w:sz="0" w:space="0" w:color="auto"/>
        <w:right w:val="none" w:sz="0" w:space="0" w:color="auto"/>
      </w:divBdr>
    </w:div>
    <w:div w:id="1376002112">
      <w:bodyDiv w:val="1"/>
      <w:marLeft w:val="0"/>
      <w:marRight w:val="0"/>
      <w:marTop w:val="0"/>
      <w:marBottom w:val="0"/>
      <w:divBdr>
        <w:top w:val="none" w:sz="0" w:space="0" w:color="auto"/>
        <w:left w:val="none" w:sz="0" w:space="0" w:color="auto"/>
        <w:bottom w:val="none" w:sz="0" w:space="0" w:color="auto"/>
        <w:right w:val="none" w:sz="0" w:space="0" w:color="auto"/>
      </w:divBdr>
      <w:divsChild>
        <w:div w:id="784083386">
          <w:marLeft w:val="0"/>
          <w:marRight w:val="0"/>
          <w:marTop w:val="0"/>
          <w:marBottom w:val="0"/>
          <w:divBdr>
            <w:top w:val="none" w:sz="0" w:space="0" w:color="auto"/>
            <w:left w:val="none" w:sz="0" w:space="0" w:color="auto"/>
            <w:bottom w:val="none" w:sz="0" w:space="0" w:color="auto"/>
            <w:right w:val="none" w:sz="0" w:space="0" w:color="auto"/>
          </w:divBdr>
          <w:divsChild>
            <w:div w:id="835653304">
              <w:marLeft w:val="0"/>
              <w:marRight w:val="0"/>
              <w:marTop w:val="0"/>
              <w:marBottom w:val="0"/>
              <w:divBdr>
                <w:top w:val="none" w:sz="0" w:space="0" w:color="auto"/>
                <w:left w:val="none" w:sz="0" w:space="0" w:color="auto"/>
                <w:bottom w:val="none" w:sz="0" w:space="0" w:color="auto"/>
                <w:right w:val="none" w:sz="0" w:space="0" w:color="auto"/>
              </w:divBdr>
              <w:divsChild>
                <w:div w:id="1327628533">
                  <w:marLeft w:val="0"/>
                  <w:marRight w:val="0"/>
                  <w:marTop w:val="0"/>
                  <w:marBottom w:val="0"/>
                  <w:divBdr>
                    <w:top w:val="none" w:sz="0" w:space="0" w:color="auto"/>
                    <w:left w:val="none" w:sz="0" w:space="0" w:color="auto"/>
                    <w:bottom w:val="none" w:sz="0" w:space="0" w:color="auto"/>
                    <w:right w:val="none" w:sz="0" w:space="0" w:color="auto"/>
                  </w:divBdr>
                  <w:divsChild>
                    <w:div w:id="900094511">
                      <w:marLeft w:val="0"/>
                      <w:marRight w:val="0"/>
                      <w:marTop w:val="0"/>
                      <w:marBottom w:val="0"/>
                      <w:divBdr>
                        <w:top w:val="none" w:sz="0" w:space="0" w:color="auto"/>
                        <w:left w:val="none" w:sz="0" w:space="0" w:color="auto"/>
                        <w:bottom w:val="none" w:sz="0" w:space="0" w:color="auto"/>
                        <w:right w:val="none" w:sz="0" w:space="0" w:color="auto"/>
                      </w:divBdr>
                      <w:divsChild>
                        <w:div w:id="104736445">
                          <w:marLeft w:val="0"/>
                          <w:marRight w:val="0"/>
                          <w:marTop w:val="0"/>
                          <w:marBottom w:val="0"/>
                          <w:divBdr>
                            <w:top w:val="single" w:sz="6" w:space="0" w:color="828282"/>
                            <w:left w:val="single" w:sz="6" w:space="0" w:color="828282"/>
                            <w:bottom w:val="single" w:sz="6" w:space="0" w:color="828282"/>
                            <w:right w:val="single" w:sz="6" w:space="0" w:color="828282"/>
                          </w:divBdr>
                          <w:divsChild>
                            <w:div w:id="2126462467">
                              <w:marLeft w:val="0"/>
                              <w:marRight w:val="0"/>
                              <w:marTop w:val="0"/>
                              <w:marBottom w:val="0"/>
                              <w:divBdr>
                                <w:top w:val="none" w:sz="0" w:space="0" w:color="auto"/>
                                <w:left w:val="none" w:sz="0" w:space="0" w:color="auto"/>
                                <w:bottom w:val="none" w:sz="0" w:space="0" w:color="auto"/>
                                <w:right w:val="none" w:sz="0" w:space="0" w:color="auto"/>
                              </w:divBdr>
                              <w:divsChild>
                                <w:div w:id="1913000864">
                                  <w:marLeft w:val="0"/>
                                  <w:marRight w:val="0"/>
                                  <w:marTop w:val="0"/>
                                  <w:marBottom w:val="0"/>
                                  <w:divBdr>
                                    <w:top w:val="none" w:sz="0" w:space="0" w:color="auto"/>
                                    <w:left w:val="none" w:sz="0" w:space="0" w:color="auto"/>
                                    <w:bottom w:val="none" w:sz="0" w:space="0" w:color="auto"/>
                                    <w:right w:val="none" w:sz="0" w:space="0" w:color="auto"/>
                                  </w:divBdr>
                                  <w:divsChild>
                                    <w:div w:id="515270286">
                                      <w:marLeft w:val="0"/>
                                      <w:marRight w:val="0"/>
                                      <w:marTop w:val="0"/>
                                      <w:marBottom w:val="0"/>
                                      <w:divBdr>
                                        <w:top w:val="none" w:sz="0" w:space="0" w:color="auto"/>
                                        <w:left w:val="none" w:sz="0" w:space="0" w:color="auto"/>
                                        <w:bottom w:val="none" w:sz="0" w:space="0" w:color="auto"/>
                                        <w:right w:val="none" w:sz="0" w:space="0" w:color="auto"/>
                                      </w:divBdr>
                                      <w:divsChild>
                                        <w:div w:id="83501816">
                                          <w:marLeft w:val="0"/>
                                          <w:marRight w:val="0"/>
                                          <w:marTop w:val="0"/>
                                          <w:marBottom w:val="0"/>
                                          <w:divBdr>
                                            <w:top w:val="none" w:sz="0" w:space="0" w:color="auto"/>
                                            <w:left w:val="none" w:sz="0" w:space="0" w:color="auto"/>
                                            <w:bottom w:val="none" w:sz="0" w:space="0" w:color="auto"/>
                                            <w:right w:val="none" w:sz="0" w:space="0" w:color="auto"/>
                                          </w:divBdr>
                                          <w:divsChild>
                                            <w:div w:id="1174681514">
                                              <w:marLeft w:val="0"/>
                                              <w:marRight w:val="0"/>
                                              <w:marTop w:val="0"/>
                                              <w:marBottom w:val="0"/>
                                              <w:divBdr>
                                                <w:top w:val="none" w:sz="0" w:space="0" w:color="auto"/>
                                                <w:left w:val="none" w:sz="0" w:space="0" w:color="auto"/>
                                                <w:bottom w:val="none" w:sz="0" w:space="0" w:color="auto"/>
                                                <w:right w:val="none" w:sz="0" w:space="0" w:color="auto"/>
                                              </w:divBdr>
                                              <w:divsChild>
                                                <w:div w:id="312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644293">
      <w:bodyDiv w:val="1"/>
      <w:marLeft w:val="0"/>
      <w:marRight w:val="0"/>
      <w:marTop w:val="0"/>
      <w:marBottom w:val="0"/>
      <w:divBdr>
        <w:top w:val="none" w:sz="0" w:space="0" w:color="auto"/>
        <w:left w:val="none" w:sz="0" w:space="0" w:color="auto"/>
        <w:bottom w:val="none" w:sz="0" w:space="0" w:color="auto"/>
        <w:right w:val="none" w:sz="0" w:space="0" w:color="auto"/>
      </w:divBdr>
      <w:divsChild>
        <w:div w:id="428165638">
          <w:marLeft w:val="0"/>
          <w:marRight w:val="0"/>
          <w:marTop w:val="0"/>
          <w:marBottom w:val="0"/>
          <w:divBdr>
            <w:top w:val="none" w:sz="0" w:space="0" w:color="auto"/>
            <w:left w:val="none" w:sz="0" w:space="0" w:color="auto"/>
            <w:bottom w:val="none" w:sz="0" w:space="0" w:color="auto"/>
            <w:right w:val="none" w:sz="0" w:space="0" w:color="auto"/>
          </w:divBdr>
          <w:divsChild>
            <w:div w:id="2020503624">
              <w:marLeft w:val="0"/>
              <w:marRight w:val="0"/>
              <w:marTop w:val="0"/>
              <w:marBottom w:val="0"/>
              <w:divBdr>
                <w:top w:val="none" w:sz="0" w:space="0" w:color="auto"/>
                <w:left w:val="none" w:sz="0" w:space="0" w:color="auto"/>
                <w:bottom w:val="none" w:sz="0" w:space="0" w:color="auto"/>
                <w:right w:val="none" w:sz="0" w:space="0" w:color="auto"/>
              </w:divBdr>
              <w:divsChild>
                <w:div w:id="1870533339">
                  <w:marLeft w:val="0"/>
                  <w:marRight w:val="0"/>
                  <w:marTop w:val="0"/>
                  <w:marBottom w:val="0"/>
                  <w:divBdr>
                    <w:top w:val="none" w:sz="0" w:space="0" w:color="auto"/>
                    <w:left w:val="none" w:sz="0" w:space="0" w:color="auto"/>
                    <w:bottom w:val="none" w:sz="0" w:space="0" w:color="auto"/>
                    <w:right w:val="none" w:sz="0" w:space="0" w:color="auto"/>
                  </w:divBdr>
                  <w:divsChild>
                    <w:div w:id="3095519">
                      <w:marLeft w:val="0"/>
                      <w:marRight w:val="0"/>
                      <w:marTop w:val="0"/>
                      <w:marBottom w:val="0"/>
                      <w:divBdr>
                        <w:top w:val="none" w:sz="0" w:space="0" w:color="auto"/>
                        <w:left w:val="none" w:sz="0" w:space="0" w:color="auto"/>
                        <w:bottom w:val="none" w:sz="0" w:space="0" w:color="auto"/>
                        <w:right w:val="none" w:sz="0" w:space="0" w:color="auto"/>
                      </w:divBdr>
                      <w:divsChild>
                        <w:div w:id="575241642">
                          <w:marLeft w:val="0"/>
                          <w:marRight w:val="0"/>
                          <w:marTop w:val="0"/>
                          <w:marBottom w:val="0"/>
                          <w:divBdr>
                            <w:top w:val="single" w:sz="6" w:space="0" w:color="828282"/>
                            <w:left w:val="single" w:sz="6" w:space="0" w:color="828282"/>
                            <w:bottom w:val="single" w:sz="6" w:space="0" w:color="828282"/>
                            <w:right w:val="single" w:sz="6" w:space="0" w:color="828282"/>
                          </w:divBdr>
                          <w:divsChild>
                            <w:div w:id="1529834618">
                              <w:marLeft w:val="0"/>
                              <w:marRight w:val="0"/>
                              <w:marTop w:val="0"/>
                              <w:marBottom w:val="0"/>
                              <w:divBdr>
                                <w:top w:val="none" w:sz="0" w:space="0" w:color="auto"/>
                                <w:left w:val="none" w:sz="0" w:space="0" w:color="auto"/>
                                <w:bottom w:val="none" w:sz="0" w:space="0" w:color="auto"/>
                                <w:right w:val="none" w:sz="0" w:space="0" w:color="auto"/>
                              </w:divBdr>
                              <w:divsChild>
                                <w:div w:id="235435572">
                                  <w:marLeft w:val="0"/>
                                  <w:marRight w:val="0"/>
                                  <w:marTop w:val="0"/>
                                  <w:marBottom w:val="0"/>
                                  <w:divBdr>
                                    <w:top w:val="none" w:sz="0" w:space="0" w:color="auto"/>
                                    <w:left w:val="none" w:sz="0" w:space="0" w:color="auto"/>
                                    <w:bottom w:val="none" w:sz="0" w:space="0" w:color="auto"/>
                                    <w:right w:val="none" w:sz="0" w:space="0" w:color="auto"/>
                                  </w:divBdr>
                                  <w:divsChild>
                                    <w:div w:id="2030141032">
                                      <w:marLeft w:val="0"/>
                                      <w:marRight w:val="0"/>
                                      <w:marTop w:val="0"/>
                                      <w:marBottom w:val="0"/>
                                      <w:divBdr>
                                        <w:top w:val="none" w:sz="0" w:space="0" w:color="auto"/>
                                        <w:left w:val="none" w:sz="0" w:space="0" w:color="auto"/>
                                        <w:bottom w:val="none" w:sz="0" w:space="0" w:color="auto"/>
                                        <w:right w:val="none" w:sz="0" w:space="0" w:color="auto"/>
                                      </w:divBdr>
                                      <w:divsChild>
                                        <w:div w:id="12414593">
                                          <w:marLeft w:val="0"/>
                                          <w:marRight w:val="0"/>
                                          <w:marTop w:val="0"/>
                                          <w:marBottom w:val="0"/>
                                          <w:divBdr>
                                            <w:top w:val="none" w:sz="0" w:space="0" w:color="auto"/>
                                            <w:left w:val="none" w:sz="0" w:space="0" w:color="auto"/>
                                            <w:bottom w:val="none" w:sz="0" w:space="0" w:color="auto"/>
                                            <w:right w:val="none" w:sz="0" w:space="0" w:color="auto"/>
                                          </w:divBdr>
                                          <w:divsChild>
                                            <w:div w:id="881861598">
                                              <w:marLeft w:val="0"/>
                                              <w:marRight w:val="0"/>
                                              <w:marTop w:val="0"/>
                                              <w:marBottom w:val="0"/>
                                              <w:divBdr>
                                                <w:top w:val="none" w:sz="0" w:space="0" w:color="auto"/>
                                                <w:left w:val="none" w:sz="0" w:space="0" w:color="auto"/>
                                                <w:bottom w:val="none" w:sz="0" w:space="0" w:color="auto"/>
                                                <w:right w:val="none" w:sz="0" w:space="0" w:color="auto"/>
                                              </w:divBdr>
                                              <w:divsChild>
                                                <w:div w:id="1618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325954">
      <w:bodyDiv w:val="1"/>
      <w:marLeft w:val="0"/>
      <w:marRight w:val="0"/>
      <w:marTop w:val="0"/>
      <w:marBottom w:val="0"/>
      <w:divBdr>
        <w:top w:val="none" w:sz="0" w:space="0" w:color="auto"/>
        <w:left w:val="none" w:sz="0" w:space="0" w:color="auto"/>
        <w:bottom w:val="none" w:sz="0" w:space="0" w:color="auto"/>
        <w:right w:val="none" w:sz="0" w:space="0" w:color="auto"/>
      </w:divBdr>
    </w:div>
    <w:div w:id="1638023169">
      <w:bodyDiv w:val="1"/>
      <w:marLeft w:val="0"/>
      <w:marRight w:val="0"/>
      <w:marTop w:val="0"/>
      <w:marBottom w:val="0"/>
      <w:divBdr>
        <w:top w:val="none" w:sz="0" w:space="0" w:color="auto"/>
        <w:left w:val="none" w:sz="0" w:space="0" w:color="auto"/>
        <w:bottom w:val="none" w:sz="0" w:space="0" w:color="auto"/>
        <w:right w:val="none" w:sz="0" w:space="0" w:color="auto"/>
      </w:divBdr>
    </w:div>
    <w:div w:id="1665008515">
      <w:bodyDiv w:val="1"/>
      <w:marLeft w:val="0"/>
      <w:marRight w:val="0"/>
      <w:marTop w:val="0"/>
      <w:marBottom w:val="0"/>
      <w:divBdr>
        <w:top w:val="none" w:sz="0" w:space="0" w:color="auto"/>
        <w:left w:val="none" w:sz="0" w:space="0" w:color="auto"/>
        <w:bottom w:val="none" w:sz="0" w:space="0" w:color="auto"/>
        <w:right w:val="none" w:sz="0" w:space="0" w:color="auto"/>
      </w:divBdr>
      <w:divsChild>
        <w:div w:id="2135321680">
          <w:marLeft w:val="0"/>
          <w:marRight w:val="0"/>
          <w:marTop w:val="0"/>
          <w:marBottom w:val="0"/>
          <w:divBdr>
            <w:top w:val="none" w:sz="0" w:space="0" w:color="auto"/>
            <w:left w:val="none" w:sz="0" w:space="0" w:color="auto"/>
            <w:bottom w:val="none" w:sz="0" w:space="0" w:color="auto"/>
            <w:right w:val="none" w:sz="0" w:space="0" w:color="auto"/>
          </w:divBdr>
          <w:divsChild>
            <w:div w:id="1602100776">
              <w:marLeft w:val="0"/>
              <w:marRight w:val="0"/>
              <w:marTop w:val="0"/>
              <w:marBottom w:val="0"/>
              <w:divBdr>
                <w:top w:val="none" w:sz="0" w:space="0" w:color="auto"/>
                <w:left w:val="none" w:sz="0" w:space="0" w:color="auto"/>
                <w:bottom w:val="none" w:sz="0" w:space="0" w:color="auto"/>
                <w:right w:val="none" w:sz="0" w:space="0" w:color="auto"/>
              </w:divBdr>
              <w:divsChild>
                <w:div w:id="203060952">
                  <w:marLeft w:val="0"/>
                  <w:marRight w:val="0"/>
                  <w:marTop w:val="0"/>
                  <w:marBottom w:val="0"/>
                  <w:divBdr>
                    <w:top w:val="none" w:sz="0" w:space="0" w:color="auto"/>
                    <w:left w:val="none" w:sz="0" w:space="0" w:color="auto"/>
                    <w:bottom w:val="none" w:sz="0" w:space="0" w:color="auto"/>
                    <w:right w:val="none" w:sz="0" w:space="0" w:color="auto"/>
                  </w:divBdr>
                  <w:divsChild>
                    <w:div w:id="1925408145">
                      <w:marLeft w:val="0"/>
                      <w:marRight w:val="0"/>
                      <w:marTop w:val="0"/>
                      <w:marBottom w:val="0"/>
                      <w:divBdr>
                        <w:top w:val="none" w:sz="0" w:space="0" w:color="auto"/>
                        <w:left w:val="none" w:sz="0" w:space="0" w:color="auto"/>
                        <w:bottom w:val="none" w:sz="0" w:space="0" w:color="auto"/>
                        <w:right w:val="none" w:sz="0" w:space="0" w:color="auto"/>
                      </w:divBdr>
                      <w:divsChild>
                        <w:div w:id="664624181">
                          <w:marLeft w:val="0"/>
                          <w:marRight w:val="0"/>
                          <w:marTop w:val="0"/>
                          <w:marBottom w:val="0"/>
                          <w:divBdr>
                            <w:top w:val="single" w:sz="6" w:space="0" w:color="828282"/>
                            <w:left w:val="single" w:sz="6" w:space="0" w:color="828282"/>
                            <w:bottom w:val="single" w:sz="6" w:space="0" w:color="828282"/>
                            <w:right w:val="single" w:sz="6" w:space="0" w:color="828282"/>
                          </w:divBdr>
                          <w:divsChild>
                            <w:div w:id="866021221">
                              <w:marLeft w:val="0"/>
                              <w:marRight w:val="0"/>
                              <w:marTop w:val="0"/>
                              <w:marBottom w:val="0"/>
                              <w:divBdr>
                                <w:top w:val="none" w:sz="0" w:space="0" w:color="auto"/>
                                <w:left w:val="none" w:sz="0" w:space="0" w:color="auto"/>
                                <w:bottom w:val="none" w:sz="0" w:space="0" w:color="auto"/>
                                <w:right w:val="none" w:sz="0" w:space="0" w:color="auto"/>
                              </w:divBdr>
                              <w:divsChild>
                                <w:div w:id="1769960601">
                                  <w:marLeft w:val="0"/>
                                  <w:marRight w:val="0"/>
                                  <w:marTop w:val="0"/>
                                  <w:marBottom w:val="0"/>
                                  <w:divBdr>
                                    <w:top w:val="none" w:sz="0" w:space="0" w:color="auto"/>
                                    <w:left w:val="none" w:sz="0" w:space="0" w:color="auto"/>
                                    <w:bottom w:val="none" w:sz="0" w:space="0" w:color="auto"/>
                                    <w:right w:val="none" w:sz="0" w:space="0" w:color="auto"/>
                                  </w:divBdr>
                                  <w:divsChild>
                                    <w:div w:id="1003513923">
                                      <w:marLeft w:val="0"/>
                                      <w:marRight w:val="0"/>
                                      <w:marTop w:val="0"/>
                                      <w:marBottom w:val="0"/>
                                      <w:divBdr>
                                        <w:top w:val="none" w:sz="0" w:space="0" w:color="auto"/>
                                        <w:left w:val="none" w:sz="0" w:space="0" w:color="auto"/>
                                        <w:bottom w:val="none" w:sz="0" w:space="0" w:color="auto"/>
                                        <w:right w:val="none" w:sz="0" w:space="0" w:color="auto"/>
                                      </w:divBdr>
                                      <w:divsChild>
                                        <w:div w:id="1871145386">
                                          <w:marLeft w:val="0"/>
                                          <w:marRight w:val="0"/>
                                          <w:marTop w:val="0"/>
                                          <w:marBottom w:val="0"/>
                                          <w:divBdr>
                                            <w:top w:val="none" w:sz="0" w:space="0" w:color="auto"/>
                                            <w:left w:val="none" w:sz="0" w:space="0" w:color="auto"/>
                                            <w:bottom w:val="none" w:sz="0" w:space="0" w:color="auto"/>
                                            <w:right w:val="none" w:sz="0" w:space="0" w:color="auto"/>
                                          </w:divBdr>
                                          <w:divsChild>
                                            <w:div w:id="1317303407">
                                              <w:marLeft w:val="0"/>
                                              <w:marRight w:val="0"/>
                                              <w:marTop w:val="0"/>
                                              <w:marBottom w:val="0"/>
                                              <w:divBdr>
                                                <w:top w:val="none" w:sz="0" w:space="0" w:color="auto"/>
                                                <w:left w:val="none" w:sz="0" w:space="0" w:color="auto"/>
                                                <w:bottom w:val="none" w:sz="0" w:space="0" w:color="auto"/>
                                                <w:right w:val="none" w:sz="0" w:space="0" w:color="auto"/>
                                              </w:divBdr>
                                              <w:divsChild>
                                                <w:div w:id="8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004391">
      <w:bodyDiv w:val="1"/>
      <w:marLeft w:val="0"/>
      <w:marRight w:val="0"/>
      <w:marTop w:val="0"/>
      <w:marBottom w:val="0"/>
      <w:divBdr>
        <w:top w:val="none" w:sz="0" w:space="0" w:color="auto"/>
        <w:left w:val="none" w:sz="0" w:space="0" w:color="auto"/>
        <w:bottom w:val="none" w:sz="0" w:space="0" w:color="auto"/>
        <w:right w:val="none" w:sz="0" w:space="0" w:color="auto"/>
      </w:divBdr>
      <w:divsChild>
        <w:div w:id="2031444604">
          <w:marLeft w:val="0"/>
          <w:marRight w:val="0"/>
          <w:marTop w:val="0"/>
          <w:marBottom w:val="0"/>
          <w:divBdr>
            <w:top w:val="none" w:sz="0" w:space="0" w:color="auto"/>
            <w:left w:val="none" w:sz="0" w:space="0" w:color="auto"/>
            <w:bottom w:val="none" w:sz="0" w:space="0" w:color="auto"/>
            <w:right w:val="none" w:sz="0" w:space="0" w:color="auto"/>
          </w:divBdr>
          <w:divsChild>
            <w:div w:id="1228807283">
              <w:marLeft w:val="0"/>
              <w:marRight w:val="0"/>
              <w:marTop w:val="0"/>
              <w:marBottom w:val="0"/>
              <w:divBdr>
                <w:top w:val="none" w:sz="0" w:space="0" w:color="auto"/>
                <w:left w:val="none" w:sz="0" w:space="0" w:color="auto"/>
                <w:bottom w:val="none" w:sz="0" w:space="0" w:color="auto"/>
                <w:right w:val="none" w:sz="0" w:space="0" w:color="auto"/>
              </w:divBdr>
              <w:divsChild>
                <w:div w:id="1789347316">
                  <w:marLeft w:val="0"/>
                  <w:marRight w:val="0"/>
                  <w:marTop w:val="0"/>
                  <w:marBottom w:val="0"/>
                  <w:divBdr>
                    <w:top w:val="none" w:sz="0" w:space="0" w:color="auto"/>
                    <w:left w:val="none" w:sz="0" w:space="0" w:color="auto"/>
                    <w:bottom w:val="none" w:sz="0" w:space="0" w:color="auto"/>
                    <w:right w:val="none" w:sz="0" w:space="0" w:color="auto"/>
                  </w:divBdr>
                  <w:divsChild>
                    <w:div w:id="1991445160">
                      <w:marLeft w:val="0"/>
                      <w:marRight w:val="0"/>
                      <w:marTop w:val="0"/>
                      <w:marBottom w:val="0"/>
                      <w:divBdr>
                        <w:top w:val="none" w:sz="0" w:space="0" w:color="auto"/>
                        <w:left w:val="none" w:sz="0" w:space="0" w:color="auto"/>
                        <w:bottom w:val="none" w:sz="0" w:space="0" w:color="auto"/>
                        <w:right w:val="none" w:sz="0" w:space="0" w:color="auto"/>
                      </w:divBdr>
                      <w:divsChild>
                        <w:div w:id="1884321023">
                          <w:marLeft w:val="0"/>
                          <w:marRight w:val="0"/>
                          <w:marTop w:val="0"/>
                          <w:marBottom w:val="0"/>
                          <w:divBdr>
                            <w:top w:val="single" w:sz="6" w:space="0" w:color="828282"/>
                            <w:left w:val="single" w:sz="6" w:space="0" w:color="828282"/>
                            <w:bottom w:val="single" w:sz="6" w:space="0" w:color="828282"/>
                            <w:right w:val="single" w:sz="6" w:space="0" w:color="828282"/>
                          </w:divBdr>
                          <w:divsChild>
                            <w:div w:id="118955263">
                              <w:marLeft w:val="0"/>
                              <w:marRight w:val="0"/>
                              <w:marTop w:val="0"/>
                              <w:marBottom w:val="0"/>
                              <w:divBdr>
                                <w:top w:val="none" w:sz="0" w:space="0" w:color="auto"/>
                                <w:left w:val="none" w:sz="0" w:space="0" w:color="auto"/>
                                <w:bottom w:val="none" w:sz="0" w:space="0" w:color="auto"/>
                                <w:right w:val="none" w:sz="0" w:space="0" w:color="auto"/>
                              </w:divBdr>
                              <w:divsChild>
                                <w:div w:id="353120713">
                                  <w:marLeft w:val="0"/>
                                  <w:marRight w:val="0"/>
                                  <w:marTop w:val="0"/>
                                  <w:marBottom w:val="0"/>
                                  <w:divBdr>
                                    <w:top w:val="none" w:sz="0" w:space="0" w:color="auto"/>
                                    <w:left w:val="none" w:sz="0" w:space="0" w:color="auto"/>
                                    <w:bottom w:val="none" w:sz="0" w:space="0" w:color="auto"/>
                                    <w:right w:val="none" w:sz="0" w:space="0" w:color="auto"/>
                                  </w:divBdr>
                                  <w:divsChild>
                                    <w:div w:id="339088993">
                                      <w:marLeft w:val="0"/>
                                      <w:marRight w:val="0"/>
                                      <w:marTop w:val="0"/>
                                      <w:marBottom w:val="0"/>
                                      <w:divBdr>
                                        <w:top w:val="none" w:sz="0" w:space="0" w:color="auto"/>
                                        <w:left w:val="none" w:sz="0" w:space="0" w:color="auto"/>
                                        <w:bottom w:val="none" w:sz="0" w:space="0" w:color="auto"/>
                                        <w:right w:val="none" w:sz="0" w:space="0" w:color="auto"/>
                                      </w:divBdr>
                                      <w:divsChild>
                                        <w:div w:id="550503762">
                                          <w:marLeft w:val="0"/>
                                          <w:marRight w:val="0"/>
                                          <w:marTop w:val="0"/>
                                          <w:marBottom w:val="0"/>
                                          <w:divBdr>
                                            <w:top w:val="none" w:sz="0" w:space="0" w:color="auto"/>
                                            <w:left w:val="none" w:sz="0" w:space="0" w:color="auto"/>
                                            <w:bottom w:val="none" w:sz="0" w:space="0" w:color="auto"/>
                                            <w:right w:val="none" w:sz="0" w:space="0" w:color="auto"/>
                                          </w:divBdr>
                                          <w:divsChild>
                                            <w:div w:id="125439832">
                                              <w:marLeft w:val="0"/>
                                              <w:marRight w:val="0"/>
                                              <w:marTop w:val="0"/>
                                              <w:marBottom w:val="0"/>
                                              <w:divBdr>
                                                <w:top w:val="none" w:sz="0" w:space="0" w:color="auto"/>
                                                <w:left w:val="none" w:sz="0" w:space="0" w:color="auto"/>
                                                <w:bottom w:val="none" w:sz="0" w:space="0" w:color="auto"/>
                                                <w:right w:val="none" w:sz="0" w:space="0" w:color="auto"/>
                                              </w:divBdr>
                                              <w:divsChild>
                                                <w:div w:id="147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270780">
      <w:bodyDiv w:val="1"/>
      <w:marLeft w:val="0"/>
      <w:marRight w:val="0"/>
      <w:marTop w:val="0"/>
      <w:marBottom w:val="0"/>
      <w:divBdr>
        <w:top w:val="none" w:sz="0" w:space="0" w:color="auto"/>
        <w:left w:val="none" w:sz="0" w:space="0" w:color="auto"/>
        <w:bottom w:val="none" w:sz="0" w:space="0" w:color="auto"/>
        <w:right w:val="none" w:sz="0" w:space="0" w:color="auto"/>
      </w:divBdr>
    </w:div>
    <w:div w:id="20007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Telecommunications_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F423-043E-4535-B978-110D238C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beltonp</dc:creator>
  <cp:lastModifiedBy>bmetschke</cp:lastModifiedBy>
  <cp:revision>3</cp:revision>
  <cp:lastPrinted>2012-11-13T01:49:00Z</cp:lastPrinted>
  <dcterms:created xsi:type="dcterms:W3CDTF">2012-12-14T02:09:00Z</dcterms:created>
  <dcterms:modified xsi:type="dcterms:W3CDTF">2012-12-14T02:11:00Z</dcterms:modified>
</cp:coreProperties>
</file>