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0A58FE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8" o:title=""/>
          </v:shape>
        </w:pict>
      </w:r>
    </w:p>
    <w:p w:rsidR="000A58FE" w:rsidRDefault="000A58FE" w:rsidP="000A58FE">
      <w:pPr>
        <w:pStyle w:val="Title"/>
        <w:ind w:left="397" w:right="397"/>
      </w:pPr>
      <w:bookmarkStart w:id="0" w:name="Citation"/>
      <w:r>
        <w:t xml:space="preserve">National Trade Measurement Amendment Regulation </w:t>
      </w:r>
      <w:fldSimple w:instr=" REF Year \* charformat ">
        <w:r w:rsidR="003B3343">
          <w:t>2012</w:t>
        </w:r>
      </w:fldSimple>
      <w:r>
        <w:t xml:space="preserve"> (No.</w:t>
      </w:r>
      <w:r w:rsidR="00F905D1">
        <w:t> </w:t>
      </w:r>
      <w:r w:rsidR="003B3343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0A58FE" w:rsidRDefault="000A58FE" w:rsidP="000A58FE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3B3343">
        <w:t>302</w:t>
      </w:r>
      <w:bookmarkEnd w:id="2"/>
    </w:p>
    <w:p w:rsidR="000A58FE" w:rsidRDefault="000A58FE" w:rsidP="000A58FE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0A58FE">
        <w:rPr>
          <w:i/>
        </w:rPr>
        <w:t>National Measurement Act 1960</w:t>
      </w:r>
      <w:r>
        <w:t>.</w:t>
      </w:r>
    </w:p>
    <w:p w:rsidR="000A58FE" w:rsidRDefault="000A58FE" w:rsidP="000A58FE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3B3343">
        <w:t xml:space="preserve"> 6 December </w:t>
      </w:r>
      <w:fldSimple w:instr=" REF Year \* charformat ">
        <w:r w:rsidR="003B3343">
          <w:t>2012</w:t>
        </w:r>
      </w:fldSimple>
    </w:p>
    <w:p w:rsidR="000A58FE" w:rsidRDefault="003B3343" w:rsidP="000A58FE">
      <w:pPr>
        <w:spacing w:before="1080" w:line="300" w:lineRule="atLeast"/>
        <w:ind w:left="397" w:right="397"/>
        <w:jc w:val="right"/>
      </w:pPr>
      <w:r>
        <w:t>QUENTIN BRYCE</w:t>
      </w:r>
    </w:p>
    <w:p w:rsidR="000A58FE" w:rsidRDefault="000A58FE" w:rsidP="000A58FE">
      <w:pPr>
        <w:spacing w:line="300" w:lineRule="atLeast"/>
        <w:ind w:left="397" w:right="397"/>
        <w:jc w:val="right"/>
      </w:pPr>
      <w:r>
        <w:t>Governor-General</w:t>
      </w:r>
    </w:p>
    <w:p w:rsidR="000A58FE" w:rsidRDefault="000A58FE" w:rsidP="000A58FE">
      <w:pPr>
        <w:spacing w:after="800" w:line="300" w:lineRule="atLeast"/>
        <w:ind w:left="397" w:right="397"/>
      </w:pPr>
      <w:r>
        <w:t>By Her Excellency’s Command</w:t>
      </w:r>
    </w:p>
    <w:p w:rsidR="000A58FE" w:rsidRDefault="00DE4851" w:rsidP="000A58FE">
      <w:pPr>
        <w:spacing w:before="480" w:line="300" w:lineRule="atLeast"/>
        <w:ind w:left="397" w:right="397"/>
        <w:rPr>
          <w:b/>
        </w:rPr>
      </w:pPr>
      <w:r w:rsidRPr="00DE4851">
        <w:t>GREG COMBET</w:t>
      </w:r>
    </w:p>
    <w:p w:rsidR="000A58FE" w:rsidRDefault="000A58FE" w:rsidP="000A58FE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Industry and Innovation</w:t>
      </w:r>
      <w:bookmarkEnd w:id="3"/>
    </w:p>
    <w:p w:rsidR="000A58FE" w:rsidRDefault="000A58FE" w:rsidP="000A58FE">
      <w:pPr>
        <w:pStyle w:val="SigningPageBreak"/>
        <w:ind w:left="397" w:right="397"/>
        <w:sectPr w:rsidR="000A58FE" w:rsidSect="003B4C2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0A58FE" w:rsidRDefault="000A58FE" w:rsidP="000A58FE">
      <w:pPr>
        <w:pStyle w:val="A1"/>
      </w:pPr>
      <w:r w:rsidRPr="00F905D1">
        <w:rPr>
          <w:rStyle w:val="CharSectnoAm"/>
        </w:rPr>
        <w:lastRenderedPageBreak/>
        <w:t>1</w:t>
      </w:r>
      <w:r>
        <w:tab/>
        <w:t>Name of regulation</w:t>
      </w:r>
    </w:p>
    <w:p w:rsidR="000A58FE" w:rsidRDefault="000A58FE" w:rsidP="000A58FE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3B3343" w:rsidRPr="003B3343">
        <w:rPr>
          <w:i/>
        </w:rPr>
        <w:t>National Trade Measurement Amendment Regulation 2012 (No. 1)</w:t>
      </w:r>
      <w:r>
        <w:rPr>
          <w:i/>
        </w:rPr>
        <w:fldChar w:fldCharType="end"/>
      </w:r>
      <w:r>
        <w:t>.</w:t>
      </w:r>
    </w:p>
    <w:p w:rsidR="000A58FE" w:rsidRDefault="000A58FE" w:rsidP="000A58FE">
      <w:pPr>
        <w:pStyle w:val="A1"/>
      </w:pPr>
      <w:r w:rsidRPr="00F905D1">
        <w:rPr>
          <w:rStyle w:val="CharSectnoAm"/>
        </w:rPr>
        <w:t>2</w:t>
      </w:r>
      <w:r>
        <w:tab/>
        <w:t>Commencement</w:t>
      </w:r>
    </w:p>
    <w:p w:rsidR="000A58FE" w:rsidRDefault="000A58FE" w:rsidP="000A58FE">
      <w:pPr>
        <w:pStyle w:val="A2"/>
      </w:pPr>
      <w:r>
        <w:tab/>
      </w:r>
      <w:r>
        <w:tab/>
        <w:t xml:space="preserve">This regulation commences on </w:t>
      </w:r>
      <w:r w:rsidR="003B4C2C">
        <w:t>1 January 2013.</w:t>
      </w:r>
    </w:p>
    <w:p w:rsidR="000A58FE" w:rsidRDefault="000A58FE" w:rsidP="000A58FE">
      <w:pPr>
        <w:pStyle w:val="A1"/>
      </w:pPr>
      <w:r w:rsidRPr="00F905D1">
        <w:rPr>
          <w:rStyle w:val="CharSectnoAm"/>
        </w:rPr>
        <w:t>3</w:t>
      </w:r>
      <w:r>
        <w:tab/>
        <w:t xml:space="preserve">Amendment of </w:t>
      </w:r>
      <w:r w:rsidRPr="003B4C2C">
        <w:rPr>
          <w:i/>
        </w:rPr>
        <w:t>National Trade Measurement Regulation</w:t>
      </w:r>
      <w:r w:rsidR="003B4C2C" w:rsidRPr="003B4C2C">
        <w:rPr>
          <w:i/>
        </w:rPr>
        <w:t>s 2009</w:t>
      </w:r>
    </w:p>
    <w:p w:rsidR="000A58FE" w:rsidRDefault="000A58FE" w:rsidP="000A58FE">
      <w:pPr>
        <w:pStyle w:val="A2"/>
      </w:pPr>
      <w:r>
        <w:tab/>
      </w:r>
      <w:r>
        <w:tab/>
        <w:t xml:space="preserve">Schedule 1 amends the </w:t>
      </w:r>
      <w:r w:rsidRPr="003B4C2C">
        <w:rPr>
          <w:i/>
        </w:rPr>
        <w:t>Natio</w:t>
      </w:r>
      <w:r w:rsidR="003B4C2C" w:rsidRPr="003B4C2C">
        <w:rPr>
          <w:i/>
        </w:rPr>
        <w:t>nal Trade Measurement Regulations 2009</w:t>
      </w:r>
      <w:r>
        <w:t>.</w:t>
      </w:r>
    </w:p>
    <w:p w:rsidR="000A58FE" w:rsidRDefault="000A58FE" w:rsidP="003B4C2C">
      <w:pPr>
        <w:pStyle w:val="MainBodySectionBreak"/>
        <w:sectPr w:rsidR="000A58FE" w:rsidSect="000A58F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A58FE" w:rsidRDefault="000A58FE" w:rsidP="003B4C2C">
      <w:pPr>
        <w:pStyle w:val="AS"/>
      </w:pPr>
      <w:r w:rsidRPr="00F905D1">
        <w:rPr>
          <w:rStyle w:val="CharAmSchNo"/>
        </w:rPr>
        <w:lastRenderedPageBreak/>
        <w:t>Schedule 1</w:t>
      </w:r>
      <w:r>
        <w:tab/>
      </w:r>
      <w:r w:rsidRPr="00F905D1">
        <w:rPr>
          <w:rStyle w:val="CharAmSchText"/>
        </w:rPr>
        <w:t>Amendments</w:t>
      </w:r>
    </w:p>
    <w:p w:rsidR="000A58FE" w:rsidRDefault="000A58FE" w:rsidP="003B4C2C">
      <w:pPr>
        <w:pStyle w:val="ASref"/>
      </w:pPr>
      <w:r>
        <w:t>(section 3)</w:t>
      </w:r>
    </w:p>
    <w:p w:rsidR="00DE1652" w:rsidRPr="00DE1652" w:rsidRDefault="00DE1652" w:rsidP="00DE1652">
      <w:pPr>
        <w:pStyle w:val="Header"/>
        <w:rPr>
          <w:vanish/>
        </w:rPr>
      </w:pPr>
      <w:r w:rsidRPr="00DE1652">
        <w:rPr>
          <w:vanish/>
        </w:rPr>
        <w:t xml:space="preserve">  </w:t>
      </w:r>
    </w:p>
    <w:p w:rsidR="00FD0A62" w:rsidRPr="0055362D" w:rsidRDefault="00FD0A62" w:rsidP="00FD0A62">
      <w:pPr>
        <w:pStyle w:val="A1S"/>
      </w:pPr>
      <w:r w:rsidRPr="0055362D">
        <w:t>[</w:t>
      </w:r>
      <w:fldSimple w:instr=" SEQ Sch1Item " w:fldLock="1">
        <w:r w:rsidR="003B3343">
          <w:rPr>
            <w:noProof/>
          </w:rPr>
          <w:t>1</w:t>
        </w:r>
      </w:fldSimple>
      <w:r w:rsidR="005479E3">
        <w:t>]</w:t>
      </w:r>
      <w:r w:rsidR="005479E3">
        <w:tab/>
        <w:t xml:space="preserve">Paragraph 5.6 </w:t>
      </w:r>
      <w:r w:rsidRPr="0055362D">
        <w:t>(b)</w:t>
      </w:r>
    </w:p>
    <w:p w:rsidR="00FD0A62" w:rsidRPr="0055362D" w:rsidRDefault="00FD0A62" w:rsidP="00FD0A62">
      <w:pPr>
        <w:pStyle w:val="A2S"/>
      </w:pPr>
      <w:r w:rsidRPr="0055362D">
        <w:t>substitute</w:t>
      </w:r>
    </w:p>
    <w:p w:rsidR="00964968" w:rsidRPr="0055362D" w:rsidRDefault="00964968" w:rsidP="00964968">
      <w:pPr>
        <w:pStyle w:val="P1"/>
      </w:pPr>
      <w:r w:rsidRPr="0055362D">
        <w:rPr>
          <w:color w:val="548DD4"/>
        </w:rPr>
        <w:tab/>
      </w:r>
      <w:r w:rsidRPr="0055362D">
        <w:t>(b)</w:t>
      </w:r>
      <w:r w:rsidRPr="0055362D">
        <w:tab/>
        <w:t>electricity meters installed before 1 January 2013;</w:t>
      </w:r>
    </w:p>
    <w:p w:rsidR="00B41301" w:rsidRPr="008461C0" w:rsidRDefault="00964968" w:rsidP="00B41301">
      <w:pPr>
        <w:pStyle w:val="P1"/>
      </w:pPr>
      <w:r w:rsidRPr="0055362D">
        <w:tab/>
        <w:t>(ba)</w:t>
      </w:r>
      <w:r w:rsidRPr="0055362D">
        <w:tab/>
        <w:t xml:space="preserve">electricity meters installed on or after 1 January 2013, </w:t>
      </w:r>
      <w:r w:rsidR="00B41301" w:rsidRPr="0055362D">
        <w:t>other than electricity meters that measure less than 750</w:t>
      </w:r>
      <w:r w:rsidR="00F905D1">
        <w:t> </w:t>
      </w:r>
      <w:r w:rsidR="00B41301" w:rsidRPr="0055362D">
        <w:t>MWh of energy per year;</w:t>
      </w:r>
    </w:p>
    <w:p w:rsidR="00F1253E" w:rsidRDefault="000A58FE" w:rsidP="00D26C8D">
      <w:pPr>
        <w:pStyle w:val="A1S"/>
      </w:pPr>
      <w:r>
        <w:t>[</w:t>
      </w:r>
      <w:fldSimple w:instr=" SEQ Sch1Item " w:fldLock="1">
        <w:r w:rsidR="003B3343">
          <w:rPr>
            <w:noProof/>
          </w:rPr>
          <w:t>2</w:t>
        </w:r>
      </w:fldSimple>
      <w:r>
        <w:t>]</w:t>
      </w:r>
      <w:r w:rsidR="00B36C1F">
        <w:tab/>
      </w:r>
      <w:r w:rsidR="005479E3">
        <w:t xml:space="preserve">Paragraph 5.6 </w:t>
      </w:r>
      <w:r w:rsidR="00853DBB">
        <w:t>(d)</w:t>
      </w:r>
    </w:p>
    <w:p w:rsidR="00F1253E" w:rsidRDefault="00853DBB" w:rsidP="00853DBB">
      <w:pPr>
        <w:pStyle w:val="A2S"/>
      </w:pPr>
      <w:r>
        <w:t>substitute</w:t>
      </w:r>
    </w:p>
    <w:p w:rsidR="00F3478C" w:rsidRDefault="00F3478C" w:rsidP="00853DBB">
      <w:pPr>
        <w:pStyle w:val="P1"/>
      </w:pPr>
      <w:r>
        <w:tab/>
        <w:t>(d)</w:t>
      </w:r>
      <w:r>
        <w:tab/>
        <w:t>water meters installed on or after 1 July 2004, other than cold water meters with a maximum continuous flow rate capacity of not more than 4</w:t>
      </w:r>
      <w:r w:rsidR="00F905D1">
        <w:t> </w:t>
      </w:r>
      <w:r>
        <w:t>000 litres per hour.</w:t>
      </w:r>
    </w:p>
    <w:p w:rsidR="003B41DF" w:rsidRPr="00C83C69" w:rsidRDefault="003B41DF" w:rsidP="003B41DF">
      <w:pPr>
        <w:pStyle w:val="A1S"/>
      </w:pPr>
      <w:r w:rsidRPr="00C83C69">
        <w:lastRenderedPageBreak/>
        <w:t>[</w:t>
      </w:r>
      <w:fldSimple w:instr=" SEQ Sch1Item " w:fldLock="1">
        <w:r w:rsidR="003B3343">
          <w:rPr>
            <w:noProof/>
          </w:rPr>
          <w:t>3</w:t>
        </w:r>
      </w:fldSimple>
      <w:r w:rsidRPr="00C83C69">
        <w:t>]</w:t>
      </w:r>
      <w:r w:rsidRPr="00C83C69">
        <w:tab/>
        <w:t>Schedule 1, Part 3, Division 2</w:t>
      </w:r>
      <w:r w:rsidR="008D6A76" w:rsidRPr="00C83C69">
        <w:t>, clause 1</w:t>
      </w:r>
    </w:p>
    <w:p w:rsidR="008D6A76" w:rsidRPr="00C83C69" w:rsidRDefault="008D6A76" w:rsidP="008D6A76">
      <w:pPr>
        <w:pStyle w:val="A2S"/>
      </w:pPr>
      <w:r w:rsidRPr="00C83C69">
        <w:t>substitute</w:t>
      </w:r>
    </w:p>
    <w:p w:rsidR="001463F2" w:rsidRPr="00C83C69" w:rsidRDefault="00D521A4" w:rsidP="003B41DF">
      <w:pPr>
        <w:pStyle w:val="Schedulepara"/>
      </w:pPr>
      <w:r w:rsidRPr="00C83C69">
        <w:tab/>
        <w:t>1</w:t>
      </w:r>
      <w:r w:rsidRPr="00C83C69">
        <w:tab/>
      </w:r>
      <w:r w:rsidR="00AF0B95" w:rsidRPr="00C83C69">
        <w:t>For in</w:t>
      </w:r>
      <w:r w:rsidR="00AF0B95" w:rsidRPr="00C83C69">
        <w:noBreakHyphen/>
        <w:t xml:space="preserve">service inspection of instruments with digital indication, </w:t>
      </w:r>
      <w:r w:rsidRPr="00C83C69">
        <w:t>add 0.5 scale interval to the maximum permissible error</w:t>
      </w:r>
      <w:r w:rsidR="001463F2" w:rsidRPr="00C83C69">
        <w:t xml:space="preserve"> for in</w:t>
      </w:r>
      <w:r w:rsidR="001463F2" w:rsidRPr="00C83C69">
        <w:noBreakHyphen/>
        <w:t>service inspection</w:t>
      </w:r>
      <w:r w:rsidRPr="00C83C69">
        <w:t xml:space="preserve"> </w:t>
      </w:r>
      <w:r w:rsidR="00AF0B95" w:rsidRPr="00C83C69">
        <w:t xml:space="preserve">that applies to </w:t>
      </w:r>
      <w:r w:rsidRPr="00C83C69">
        <w:t>an analog instrument</w:t>
      </w:r>
      <w:r w:rsidR="004447C5" w:rsidRPr="00C83C69">
        <w:t>.</w:t>
      </w:r>
    </w:p>
    <w:p w:rsidR="00107BA8" w:rsidRDefault="00D521A4" w:rsidP="00AF0B95">
      <w:pPr>
        <w:pStyle w:val="Schedulepara"/>
      </w:pPr>
      <w:r w:rsidRPr="00C83C69">
        <w:tab/>
      </w:r>
      <w:r w:rsidR="003B41DF" w:rsidRPr="00C83C69">
        <w:t>1A</w:t>
      </w:r>
      <w:r w:rsidR="003B41DF" w:rsidRPr="00C83C69">
        <w:tab/>
      </w:r>
      <w:r w:rsidR="00AF0B95" w:rsidRPr="00C83C69">
        <w:t>However, i</w:t>
      </w:r>
      <w:r w:rsidR="003B41DF" w:rsidRPr="00C83C69">
        <w:t>tem 1 does not apply to an instrument with digital indication if</w:t>
      </w:r>
      <w:r w:rsidR="00AF0B95" w:rsidRPr="00C83C69">
        <w:t xml:space="preserve"> </w:t>
      </w:r>
      <w:r w:rsidRPr="00C83C69">
        <w:t>t</w:t>
      </w:r>
      <w:r w:rsidR="003B41DF" w:rsidRPr="00C83C69">
        <w:t>he scale interval for the instrument is less than or equal to 0.2</w:t>
      </w:r>
      <w:r w:rsidR="00F905D1">
        <w:t> </w:t>
      </w:r>
      <w:r w:rsidR="003B41DF" w:rsidRPr="00C83C69">
        <w:t>dm</w:t>
      </w:r>
      <w:r w:rsidR="003B41DF" w:rsidRPr="00C83C69">
        <w:rPr>
          <w:vertAlign w:val="superscript"/>
        </w:rPr>
        <w:t>2</w:t>
      </w:r>
      <w:r w:rsidR="00AF0B95" w:rsidRPr="00C83C69">
        <w:t>.</w:t>
      </w:r>
    </w:p>
    <w:p w:rsidR="00B3475F" w:rsidRPr="00555CFF" w:rsidRDefault="00B3475F" w:rsidP="00B3475F">
      <w:pPr>
        <w:pStyle w:val="A1S"/>
      </w:pPr>
      <w:r w:rsidRPr="00555CFF">
        <w:t>[</w:t>
      </w:r>
      <w:fldSimple w:instr=" SEQ Sch1Item " w:fldLock="1">
        <w:r w:rsidR="003B3343">
          <w:rPr>
            <w:noProof/>
          </w:rPr>
          <w:t>4</w:t>
        </w:r>
      </w:fldSimple>
      <w:r w:rsidRPr="00555CFF">
        <w:t>]</w:t>
      </w:r>
      <w:r w:rsidRPr="00555CFF">
        <w:tab/>
      </w:r>
      <w:r w:rsidR="0007661E" w:rsidRPr="00555CFF">
        <w:t>Schedule 1, Part 3, Division 6</w:t>
      </w:r>
      <w:r w:rsidR="008D6A76" w:rsidRPr="00555CFF">
        <w:t>, clause 5</w:t>
      </w:r>
    </w:p>
    <w:p w:rsidR="008D6A76" w:rsidRPr="00555CFF" w:rsidRDefault="008D6A76" w:rsidP="008D6A76">
      <w:pPr>
        <w:pStyle w:val="A2S"/>
      </w:pPr>
      <w:r w:rsidRPr="00555CFF">
        <w:t>substitute</w:t>
      </w:r>
    </w:p>
    <w:p w:rsidR="0007661E" w:rsidRPr="00555CFF" w:rsidRDefault="0007661E" w:rsidP="0007661E">
      <w:pPr>
        <w:pStyle w:val="Schedulepara"/>
      </w:pPr>
      <w:r w:rsidRPr="00555CFF">
        <w:tab/>
        <w:t>5</w:t>
      </w:r>
      <w:r w:rsidRPr="00555CFF">
        <w:tab/>
        <w:t>The maximum permissible error for any load equal to or greater than the minimum capacity and equal to or less than the maximum capacity in automatic operation is:</w:t>
      </w:r>
    </w:p>
    <w:p w:rsidR="004F7B76" w:rsidRPr="00555CFF" w:rsidRDefault="0007661E" w:rsidP="0007661E">
      <w:pPr>
        <w:pStyle w:val="P1"/>
      </w:pPr>
      <w:r w:rsidRPr="00555CFF">
        <w:tab/>
        <w:t>(a)</w:t>
      </w:r>
      <w:r w:rsidRPr="00555CFF">
        <w:tab/>
      </w:r>
      <w:r w:rsidR="004F7B76" w:rsidRPr="00555CFF">
        <w:t>if the national instrument test procedures that apply to catch weighers eliminate the need for digital rounding—the maximum permissible error set out in table 13 minu</w:t>
      </w:r>
      <w:r w:rsidR="00F7344C" w:rsidRPr="00555CFF">
        <w:t>s a verification scale interval</w:t>
      </w:r>
      <w:r w:rsidR="004F7B76" w:rsidRPr="00555CFF">
        <w:t xml:space="preserve"> of 0.5 e; or</w:t>
      </w:r>
    </w:p>
    <w:p w:rsidR="0007661E" w:rsidRPr="00555CFF" w:rsidRDefault="004F7B76" w:rsidP="0007661E">
      <w:pPr>
        <w:pStyle w:val="P1"/>
      </w:pPr>
      <w:r w:rsidRPr="00555CFF">
        <w:tab/>
        <w:t>(b)</w:t>
      </w:r>
      <w:r w:rsidRPr="00555CFF">
        <w:tab/>
        <w:t>in any other case—set out in table 13.</w:t>
      </w:r>
    </w:p>
    <w:p w:rsidR="0007661E" w:rsidRPr="00633FAF" w:rsidRDefault="00633FAF" w:rsidP="0007661E">
      <w:pPr>
        <w:pStyle w:val="Note"/>
      </w:pPr>
      <w:r w:rsidRPr="00555CFF">
        <w:rPr>
          <w:i/>
        </w:rPr>
        <w:t>Note</w:t>
      </w:r>
      <w:r w:rsidR="00F905D1">
        <w:rPr>
          <w:i/>
        </w:rPr>
        <w:t>   </w:t>
      </w:r>
      <w:r w:rsidRPr="00555CFF">
        <w:t xml:space="preserve">The national instrument test procedures are defined in the Act and are available at </w:t>
      </w:r>
      <w:r w:rsidRPr="00555CFF">
        <w:rPr>
          <w:u w:val="single"/>
        </w:rPr>
        <w:t>www.nmi.gov.au</w:t>
      </w:r>
      <w:r w:rsidRPr="00555CFF">
        <w:t>.</w:t>
      </w:r>
    </w:p>
    <w:p w:rsidR="00F74D4D" w:rsidRPr="008E1C04" w:rsidRDefault="00F74D4D" w:rsidP="003B41DF">
      <w:pPr>
        <w:pStyle w:val="A1S"/>
      </w:pPr>
      <w:r>
        <w:t>[</w:t>
      </w:r>
      <w:fldSimple w:instr=" SEQ Sch1Item " w:fldLock="1">
        <w:r w:rsidR="003B3343">
          <w:rPr>
            <w:noProof/>
          </w:rPr>
          <w:t>5</w:t>
        </w:r>
      </w:fldSimple>
      <w:r>
        <w:t>]</w:t>
      </w:r>
      <w:r>
        <w:tab/>
        <w:t>Schedule 1, Part 3, Division 11</w:t>
      </w:r>
    </w:p>
    <w:p w:rsidR="00F74D4D" w:rsidRDefault="00F74D4D" w:rsidP="00F74D4D">
      <w:pPr>
        <w:pStyle w:val="A2S"/>
      </w:pPr>
      <w:r w:rsidRPr="006C0394">
        <w:t>omit</w:t>
      </w:r>
    </w:p>
    <w:p w:rsidR="00F74D4D" w:rsidRPr="00DD00F4" w:rsidRDefault="00F74D4D" w:rsidP="00F74D4D">
      <w:pPr>
        <w:pStyle w:val="Schedulepara"/>
        <w:spacing w:after="120"/>
        <w:rPr>
          <w:rFonts w:ascii="Arial" w:hAnsi="Arial" w:cs="Arial"/>
          <w:b/>
          <w:sz w:val="20"/>
          <w:szCs w:val="20"/>
        </w:rPr>
      </w:pPr>
      <w:r w:rsidRPr="00DD00F4">
        <w:rPr>
          <w:rFonts w:ascii="Arial" w:hAnsi="Arial" w:cs="Arial"/>
          <w:b/>
          <w:sz w:val="20"/>
          <w:szCs w:val="20"/>
        </w:rPr>
        <w:t>Table 1</w:t>
      </w:r>
      <w:r w:rsidRPr="00DD00F4">
        <w:rPr>
          <w:rFonts w:ascii="Arial" w:hAnsi="Arial" w:cs="Arial"/>
          <w:b/>
          <w:sz w:val="20"/>
          <w:szCs w:val="20"/>
        </w:rPr>
        <w:tab/>
        <w:t>Maximum permissible errors for water meters</w:t>
      </w:r>
    </w:p>
    <w:p w:rsidR="00F74D4D" w:rsidRDefault="00F74D4D" w:rsidP="00F74D4D">
      <w:pPr>
        <w:pStyle w:val="A2S"/>
      </w:pPr>
      <w:r>
        <w:t>insert</w:t>
      </w:r>
    </w:p>
    <w:p w:rsidR="00F74D4D" w:rsidRPr="00DD00F4" w:rsidRDefault="00F74D4D" w:rsidP="00F74D4D">
      <w:pPr>
        <w:pStyle w:val="Schedulepara"/>
        <w:spacing w:after="120"/>
        <w:rPr>
          <w:rFonts w:ascii="Arial" w:hAnsi="Arial" w:cs="Arial"/>
          <w:b/>
          <w:sz w:val="20"/>
          <w:szCs w:val="20"/>
        </w:rPr>
      </w:pPr>
      <w:r w:rsidRPr="00DD00F4">
        <w:rPr>
          <w:rFonts w:ascii="Arial" w:hAnsi="Arial" w:cs="Arial"/>
          <w:b/>
          <w:sz w:val="20"/>
          <w:szCs w:val="20"/>
        </w:rPr>
        <w:t>Table 1</w:t>
      </w:r>
      <w:r>
        <w:rPr>
          <w:rFonts w:ascii="Arial" w:hAnsi="Arial" w:cs="Arial"/>
          <w:b/>
          <w:sz w:val="20"/>
          <w:szCs w:val="20"/>
        </w:rPr>
        <w:t>7</w:t>
      </w:r>
      <w:r w:rsidRPr="00DD00F4">
        <w:rPr>
          <w:rFonts w:ascii="Arial" w:hAnsi="Arial" w:cs="Arial"/>
          <w:b/>
          <w:sz w:val="20"/>
          <w:szCs w:val="20"/>
        </w:rPr>
        <w:tab/>
        <w:t>Maximum permissible errors for water meters</w:t>
      </w:r>
    </w:p>
    <w:p w:rsidR="00F3407E" w:rsidRDefault="00F3407E" w:rsidP="00F3407E">
      <w:pPr>
        <w:pStyle w:val="A1S"/>
      </w:pPr>
      <w:r>
        <w:lastRenderedPageBreak/>
        <w:t>[</w:t>
      </w:r>
      <w:fldSimple w:instr=" SEQ Sch1Item " w:fldLock="1">
        <w:r w:rsidR="003B3343">
          <w:rPr>
            <w:noProof/>
          </w:rPr>
          <w:t>6</w:t>
        </w:r>
      </w:fldSimple>
      <w:r>
        <w:t>]</w:t>
      </w:r>
      <w:r>
        <w:tab/>
      </w:r>
      <w:r w:rsidR="005645C6">
        <w:t>Schedule 1, Part 3, after Division 11</w:t>
      </w:r>
    </w:p>
    <w:p w:rsidR="005645C6" w:rsidRDefault="005645C6" w:rsidP="005645C6">
      <w:pPr>
        <w:pStyle w:val="A2S"/>
      </w:pPr>
      <w:r>
        <w:t>insert</w:t>
      </w:r>
    </w:p>
    <w:p w:rsidR="005645C6" w:rsidRDefault="005645C6" w:rsidP="005645C6">
      <w:pPr>
        <w:pStyle w:val="ScheduleDivision"/>
      </w:pPr>
      <w:r>
        <w:t>Division 12</w:t>
      </w:r>
      <w:r>
        <w:tab/>
        <w:t>Electricity meters</w:t>
      </w:r>
    </w:p>
    <w:p w:rsidR="00910E6C" w:rsidRDefault="00910E6C" w:rsidP="00910E6C">
      <w:pPr>
        <w:pStyle w:val="Schedulepara"/>
      </w:pPr>
      <w:r>
        <w:tab/>
        <w:t>1</w:t>
      </w:r>
      <w:r>
        <w:tab/>
        <w:t>In this Division:</w:t>
      </w:r>
    </w:p>
    <w:p w:rsidR="00F711E4" w:rsidRDefault="00910E6C" w:rsidP="00910E6C">
      <w:pPr>
        <w:pStyle w:val="definition"/>
      </w:pPr>
      <w:r w:rsidRPr="00910E6C">
        <w:rPr>
          <w:b/>
          <w:i/>
        </w:rPr>
        <w:t>I</w:t>
      </w:r>
      <w:r w:rsidRPr="00910E6C">
        <w:rPr>
          <w:b/>
          <w:i/>
          <w:vertAlign w:val="subscript"/>
        </w:rPr>
        <w:t>b</w:t>
      </w:r>
      <w:r>
        <w:t xml:space="preserve">, for </w:t>
      </w:r>
      <w:r w:rsidR="00F711E4">
        <w:t xml:space="preserve">an electricity meter of a kind mentioned in </w:t>
      </w:r>
      <w:r w:rsidR="003C5E23">
        <w:t>clause</w:t>
      </w:r>
      <w:r w:rsidR="00F711E4">
        <w:t xml:space="preserve"> 3, </w:t>
      </w:r>
      <w:r>
        <w:t>is the basic current</w:t>
      </w:r>
      <w:r w:rsidRPr="00CF5B37">
        <w:t>.</w:t>
      </w:r>
    </w:p>
    <w:p w:rsidR="00F711E4" w:rsidRPr="00F711E4" w:rsidRDefault="00F711E4" w:rsidP="00910E6C">
      <w:pPr>
        <w:pStyle w:val="definition"/>
        <w:rPr>
          <w:b/>
          <w:i/>
        </w:rPr>
      </w:pPr>
      <w:r w:rsidRPr="00F711E4">
        <w:rPr>
          <w:b/>
          <w:i/>
        </w:rPr>
        <w:t>I</w:t>
      </w:r>
      <w:r w:rsidRPr="00F711E4">
        <w:rPr>
          <w:b/>
          <w:i/>
          <w:vertAlign w:val="subscript"/>
        </w:rPr>
        <w:t>max</w:t>
      </w:r>
      <w:r>
        <w:t xml:space="preserve">, for an electricity meter of a kind mentioned in </w:t>
      </w:r>
      <w:r w:rsidR="003C5E23">
        <w:t xml:space="preserve">clause </w:t>
      </w:r>
      <w:r w:rsidR="005479E3">
        <w:t>3 or </w:t>
      </w:r>
      <w:r>
        <w:t>4, is the maximum current.</w:t>
      </w:r>
    </w:p>
    <w:p w:rsidR="00F711E4" w:rsidRDefault="00910E6C" w:rsidP="00F711E4">
      <w:pPr>
        <w:pStyle w:val="definition"/>
      </w:pPr>
      <w:r w:rsidRPr="00910E6C">
        <w:rPr>
          <w:b/>
          <w:i/>
        </w:rPr>
        <w:t>I</w:t>
      </w:r>
      <w:r w:rsidRPr="00910E6C">
        <w:rPr>
          <w:b/>
          <w:i/>
          <w:vertAlign w:val="subscript"/>
        </w:rPr>
        <w:t>n</w:t>
      </w:r>
      <w:r w:rsidR="00F711E4">
        <w:t>,</w:t>
      </w:r>
      <w:r>
        <w:t xml:space="preserve"> </w:t>
      </w:r>
      <w:r w:rsidR="00F711E4">
        <w:t xml:space="preserve">for an electricity meter of a kind mentioned in </w:t>
      </w:r>
      <w:r w:rsidR="003C5E23">
        <w:t>clause</w:t>
      </w:r>
      <w:r w:rsidR="00F711E4">
        <w:t xml:space="preserve"> 4, is the nominal current.</w:t>
      </w:r>
    </w:p>
    <w:p w:rsidR="00103B75" w:rsidRPr="00103B75" w:rsidRDefault="00103B75" w:rsidP="008E1C04">
      <w:pPr>
        <w:pStyle w:val="HSR"/>
      </w:pPr>
      <w:r>
        <w:t>Accuracy classes</w:t>
      </w:r>
    </w:p>
    <w:p w:rsidR="00CB1173" w:rsidRPr="00EF4EDE" w:rsidRDefault="00103B75" w:rsidP="00F65CCB">
      <w:pPr>
        <w:pStyle w:val="Schedulepara"/>
      </w:pPr>
      <w:r>
        <w:tab/>
      </w:r>
      <w:r w:rsidR="00910E6C" w:rsidRPr="00EF4EDE">
        <w:t>2</w:t>
      </w:r>
      <w:r w:rsidRPr="00EF4EDE">
        <w:tab/>
      </w:r>
      <w:r w:rsidR="004653E5" w:rsidRPr="00EF4EDE">
        <w:t>Electricity meters</w:t>
      </w:r>
      <w:r w:rsidR="00F65CCB" w:rsidRPr="00EF4EDE">
        <w:t xml:space="preserve"> </w:t>
      </w:r>
      <w:r w:rsidR="008E1C04" w:rsidRPr="00EF4EDE">
        <w:t xml:space="preserve">are classified into </w:t>
      </w:r>
      <w:r w:rsidR="00CB1173" w:rsidRPr="00EF4EDE">
        <w:t xml:space="preserve">the </w:t>
      </w:r>
      <w:r w:rsidR="00CB1A8D" w:rsidRPr="00EF4EDE">
        <w:t xml:space="preserve">following </w:t>
      </w:r>
      <w:r w:rsidR="00CB1173" w:rsidRPr="00EF4EDE">
        <w:t>accuracy classes</w:t>
      </w:r>
      <w:r w:rsidR="00CB1A8D" w:rsidRPr="00EF4EDE">
        <w:t>:</w:t>
      </w:r>
    </w:p>
    <w:p w:rsidR="00F65CCB" w:rsidRPr="00EF4EDE" w:rsidRDefault="00594B7F" w:rsidP="00F65CCB">
      <w:pPr>
        <w:pStyle w:val="P1"/>
      </w:pPr>
      <w:r w:rsidRPr="00EF4EDE">
        <w:tab/>
      </w:r>
      <w:r w:rsidR="00F65CCB" w:rsidRPr="00EF4EDE">
        <w:t>(a</w:t>
      </w:r>
      <w:r w:rsidR="00CB1A8D" w:rsidRPr="00EF4EDE">
        <w:t>)</w:t>
      </w:r>
      <w:r w:rsidR="00CB1A8D" w:rsidRPr="00EF4EDE">
        <w:tab/>
        <w:t>0.2;</w:t>
      </w:r>
    </w:p>
    <w:p w:rsidR="00F65CCB" w:rsidRPr="00EF4EDE" w:rsidRDefault="00F65CCB" w:rsidP="00F65CCB">
      <w:pPr>
        <w:pStyle w:val="P1"/>
      </w:pPr>
      <w:r w:rsidRPr="00EF4EDE">
        <w:tab/>
        <w:t>(b</w:t>
      </w:r>
      <w:r w:rsidR="00CB1A8D" w:rsidRPr="00EF4EDE">
        <w:t>)</w:t>
      </w:r>
      <w:r w:rsidR="00CB1A8D" w:rsidRPr="00EF4EDE">
        <w:tab/>
        <w:t>0.5;</w:t>
      </w:r>
    </w:p>
    <w:p w:rsidR="00F65CCB" w:rsidRPr="00EF4EDE" w:rsidRDefault="00F65CCB" w:rsidP="00F65CCB">
      <w:pPr>
        <w:pStyle w:val="P1"/>
      </w:pPr>
      <w:r w:rsidRPr="00EF4EDE">
        <w:tab/>
        <w:t>(c</w:t>
      </w:r>
      <w:r w:rsidR="00CB1A8D" w:rsidRPr="00EF4EDE">
        <w:t>)</w:t>
      </w:r>
      <w:r w:rsidR="00CB1A8D" w:rsidRPr="00EF4EDE">
        <w:tab/>
        <w:t>1;</w:t>
      </w:r>
    </w:p>
    <w:p w:rsidR="00CB1A8D" w:rsidRPr="00687BFF" w:rsidRDefault="00F65CCB" w:rsidP="00F65CCB">
      <w:pPr>
        <w:pStyle w:val="P1"/>
      </w:pPr>
      <w:r w:rsidRPr="00EF4EDE">
        <w:tab/>
        <w:t>(d</w:t>
      </w:r>
      <w:r w:rsidR="00CB1A8D" w:rsidRPr="00EF4EDE">
        <w:t>)</w:t>
      </w:r>
      <w:r w:rsidR="00CB1A8D" w:rsidRPr="00EF4EDE">
        <w:tab/>
        <w:t>1.5.</w:t>
      </w:r>
    </w:p>
    <w:p w:rsidR="00103B75" w:rsidRPr="00017396" w:rsidRDefault="00103B75" w:rsidP="00103B75">
      <w:pPr>
        <w:pStyle w:val="HSR"/>
      </w:pPr>
      <w:r w:rsidRPr="00017396">
        <w:t>Maximum permissible errors</w:t>
      </w:r>
      <w:r w:rsidR="00E6449C" w:rsidRPr="00017396">
        <w:t>—</w:t>
      </w:r>
      <w:r w:rsidRPr="00017396">
        <w:t>direct</w:t>
      </w:r>
      <w:r w:rsidRPr="00017396">
        <w:noBreakHyphen/>
        <w:t>connected electricity meters</w:t>
      </w:r>
    </w:p>
    <w:p w:rsidR="004450B0" w:rsidRPr="00017396" w:rsidRDefault="004450B0" w:rsidP="004450B0">
      <w:pPr>
        <w:pStyle w:val="Schedulepara"/>
        <w:keepNext/>
      </w:pPr>
      <w:r w:rsidRPr="00017396">
        <w:tab/>
        <w:t>3</w:t>
      </w:r>
      <w:r w:rsidR="004C2008" w:rsidRPr="00017396">
        <w:tab/>
        <w:t xml:space="preserve">The maximum permissible errors </w:t>
      </w:r>
      <w:r w:rsidRPr="00017396">
        <w:t>for the following kinds of electricity meters are set out</w:t>
      </w:r>
      <w:r w:rsidR="00D26C8D" w:rsidRPr="00017396">
        <w:t>, for an item,</w:t>
      </w:r>
      <w:r w:rsidRPr="00017396">
        <w:t xml:space="preserve"> in </w:t>
      </w:r>
      <w:r w:rsidR="009C7E0C" w:rsidRPr="00017396">
        <w:t>columns 4 and</w:t>
      </w:r>
      <w:r w:rsidR="00D26C8D" w:rsidRPr="00017396">
        <w:t xml:space="preserve"> 5 of </w:t>
      </w:r>
      <w:r w:rsidRPr="00017396">
        <w:t>table</w:t>
      </w:r>
      <w:r w:rsidR="00F905D1">
        <w:t> </w:t>
      </w:r>
      <w:r w:rsidRPr="00017396">
        <w:t>18:</w:t>
      </w:r>
    </w:p>
    <w:p w:rsidR="00D26C8D" w:rsidRPr="00017396" w:rsidRDefault="004450B0" w:rsidP="0055362D">
      <w:pPr>
        <w:pStyle w:val="P1"/>
      </w:pPr>
      <w:r w:rsidRPr="00017396">
        <w:tab/>
        <w:t>(a)</w:t>
      </w:r>
      <w:r w:rsidRPr="00017396">
        <w:tab/>
        <w:t>single phase direct</w:t>
      </w:r>
      <w:r w:rsidRPr="00017396">
        <w:noBreakHyphen/>
        <w:t>connected electricity meters</w:t>
      </w:r>
      <w:r w:rsidR="0055362D" w:rsidRPr="00017396">
        <w:t xml:space="preserve"> </w:t>
      </w:r>
      <w:r w:rsidR="00005095" w:rsidRPr="00017396">
        <w:t xml:space="preserve">with </w:t>
      </w:r>
      <w:r w:rsidR="00D26C8D" w:rsidRPr="00017396">
        <w:t>an accuracy class mentioned, for the item, in column 4 or 5 of that table;</w:t>
      </w:r>
    </w:p>
    <w:p w:rsidR="00776FFF" w:rsidRPr="00017396" w:rsidRDefault="004450B0" w:rsidP="0055362D">
      <w:pPr>
        <w:pStyle w:val="P1"/>
      </w:pPr>
      <w:r w:rsidRPr="00017396">
        <w:tab/>
        <w:t>(b)</w:t>
      </w:r>
      <w:r w:rsidRPr="00017396">
        <w:tab/>
        <w:t>polyphase direct</w:t>
      </w:r>
      <w:r w:rsidRPr="00017396">
        <w:noBreakHyphen/>
        <w:t>connected electricity meters</w:t>
      </w:r>
      <w:r w:rsidR="0055362D" w:rsidRPr="00017396">
        <w:t xml:space="preserve"> </w:t>
      </w:r>
      <w:r w:rsidR="00005095" w:rsidRPr="00017396">
        <w:t>with an accuracy class mentioned, for the item, in column 4 or</w:t>
      </w:r>
      <w:r w:rsidR="004C2008" w:rsidRPr="00017396">
        <w:t xml:space="preserve"> 5 of that table.</w:t>
      </w:r>
    </w:p>
    <w:p w:rsidR="004C2008" w:rsidRDefault="004C2008" w:rsidP="004C2008">
      <w:pPr>
        <w:pStyle w:val="Schedulepara"/>
      </w:pPr>
      <w:r w:rsidRPr="00017396">
        <w:tab/>
        <w:t>4</w:t>
      </w:r>
      <w:r w:rsidRPr="00017396">
        <w:tab/>
        <w:t>The maximum permissible errors mentioned in column 4 or 5 of table</w:t>
      </w:r>
      <w:r w:rsidR="00F905D1">
        <w:t> </w:t>
      </w:r>
      <w:r w:rsidRPr="00017396">
        <w:t>18 apply at the current rate and power factor mentioned, for an item, in column 2 and 3 of</w:t>
      </w:r>
      <w:r w:rsidR="00C37A8D" w:rsidRPr="00017396">
        <w:t xml:space="preserve"> that table</w:t>
      </w:r>
      <w:r w:rsidRPr="00017396">
        <w:t>.</w:t>
      </w:r>
    </w:p>
    <w:p w:rsidR="001D6ADF" w:rsidRPr="00283A33" w:rsidRDefault="00F57D98" w:rsidP="00B84AD4">
      <w:pPr>
        <w:pStyle w:val="Schedulepara"/>
        <w:keepNext/>
        <w:rPr>
          <w:rFonts w:ascii="Arial" w:hAnsi="Arial" w:cs="Arial"/>
          <w:b/>
          <w:sz w:val="20"/>
          <w:szCs w:val="20"/>
        </w:rPr>
      </w:pPr>
      <w:r w:rsidRPr="00283A33">
        <w:rPr>
          <w:rFonts w:ascii="Arial" w:hAnsi="Arial" w:cs="Arial"/>
          <w:b/>
          <w:sz w:val="20"/>
          <w:szCs w:val="20"/>
        </w:rPr>
        <w:lastRenderedPageBreak/>
        <w:t>Table 1</w:t>
      </w:r>
      <w:r w:rsidR="00687BFF" w:rsidRPr="00283A33">
        <w:rPr>
          <w:rFonts w:ascii="Arial" w:hAnsi="Arial" w:cs="Arial"/>
          <w:b/>
          <w:sz w:val="20"/>
          <w:szCs w:val="20"/>
        </w:rPr>
        <w:t>8</w:t>
      </w:r>
      <w:r w:rsidRPr="00283A33">
        <w:rPr>
          <w:rFonts w:ascii="Arial" w:hAnsi="Arial" w:cs="Arial"/>
          <w:b/>
          <w:sz w:val="20"/>
          <w:szCs w:val="20"/>
        </w:rPr>
        <w:tab/>
        <w:t>Single phase and polyphase direct</w:t>
      </w:r>
      <w:r w:rsidR="003B07FC" w:rsidRPr="00283A33">
        <w:rPr>
          <w:rFonts w:ascii="Arial" w:hAnsi="Arial" w:cs="Arial"/>
          <w:b/>
          <w:sz w:val="20"/>
          <w:szCs w:val="20"/>
        </w:rPr>
        <w:noBreakHyphen/>
      </w:r>
      <w:r w:rsidRPr="00283A33">
        <w:rPr>
          <w:rFonts w:ascii="Arial" w:hAnsi="Arial" w:cs="Arial"/>
          <w:b/>
          <w:sz w:val="20"/>
          <w:szCs w:val="20"/>
        </w:rPr>
        <w:t>connected electricity meters</w:t>
      </w:r>
    </w:p>
    <w:tbl>
      <w:tblPr>
        <w:tblW w:w="7080" w:type="dxa"/>
        <w:tblLayout w:type="fixed"/>
        <w:tblLook w:val="04A0"/>
      </w:tblPr>
      <w:tblGrid>
        <w:gridCol w:w="817"/>
        <w:gridCol w:w="1701"/>
        <w:gridCol w:w="1418"/>
        <w:gridCol w:w="1559"/>
        <w:gridCol w:w="1585"/>
      </w:tblGrid>
      <w:tr w:rsidR="003C7348" w:rsidRPr="00DD00F4" w:rsidTr="005479E3">
        <w:trPr>
          <w:cantSplit/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3C7348" w:rsidRPr="00DD00F4" w:rsidRDefault="003C7348" w:rsidP="00796717">
            <w:pPr>
              <w:pStyle w:val="TableColHead"/>
            </w:pPr>
            <w:r w:rsidRPr="00DD00F4">
              <w:t>Item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C7348" w:rsidRPr="00DD00F4" w:rsidRDefault="003B07FC" w:rsidP="00796717">
            <w:pPr>
              <w:pStyle w:val="TableColHead"/>
            </w:pPr>
            <w:r>
              <w:t>Current range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C7348" w:rsidRPr="00DD00F4" w:rsidRDefault="003C7348" w:rsidP="00796717">
            <w:pPr>
              <w:pStyle w:val="TableColHead"/>
            </w:pPr>
            <w:r>
              <w:t>Power factor</w:t>
            </w:r>
          </w:p>
        </w:tc>
        <w:tc>
          <w:tcPr>
            <w:tcW w:w="31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7348" w:rsidRPr="00DD00F4" w:rsidRDefault="003C7348" w:rsidP="005479E3">
            <w:pPr>
              <w:pStyle w:val="TableColHead"/>
              <w:ind w:left="175"/>
            </w:pPr>
            <w:r w:rsidRPr="00DD00F4">
              <w:t>Maximum permissible error (</w:t>
            </w:r>
            <w:r>
              <w:t>%</w:t>
            </w:r>
            <w:r w:rsidRPr="00DD00F4">
              <w:t>)</w:t>
            </w:r>
          </w:p>
        </w:tc>
      </w:tr>
      <w:tr w:rsidR="003C7348" w:rsidRPr="00DD00F4" w:rsidTr="005479E3">
        <w:trPr>
          <w:cantSplit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3C7348" w:rsidRPr="00DD00F4" w:rsidRDefault="003C7348" w:rsidP="006E09BC">
            <w:pPr>
              <w:pStyle w:val="TableText"/>
              <w:keepNext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C7348" w:rsidRPr="00DD00F4" w:rsidRDefault="003C7348" w:rsidP="001D6ADF">
            <w:pPr>
              <w:pStyle w:val="TableText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C7348" w:rsidRDefault="003C7348" w:rsidP="003C7348">
            <w:pPr>
              <w:pStyle w:val="TableTex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348" w:rsidRPr="00DD00F4" w:rsidRDefault="00537C22" w:rsidP="00283A33">
            <w:pPr>
              <w:pStyle w:val="TableColHead"/>
              <w:keepNext w:val="0"/>
              <w:spacing w:before="60"/>
              <w:jc w:val="center"/>
            </w:pPr>
            <w:r>
              <w:t>Accuracy c</w:t>
            </w:r>
            <w:r w:rsidR="003C7348">
              <w:t>lass</w:t>
            </w:r>
            <w:r w:rsidR="00283A33">
              <w:t> </w:t>
            </w:r>
            <w:r w:rsidR="003C7348"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348" w:rsidRPr="00DD00F4" w:rsidRDefault="00537C22" w:rsidP="00283A33">
            <w:pPr>
              <w:pStyle w:val="TableColHead"/>
              <w:keepNext w:val="0"/>
              <w:spacing w:before="60"/>
              <w:jc w:val="center"/>
            </w:pPr>
            <w:r>
              <w:t>Accuracy c</w:t>
            </w:r>
            <w:r w:rsidR="003C7348">
              <w:t>lass</w:t>
            </w:r>
            <w:r w:rsidR="00283A33">
              <w:t> </w:t>
            </w:r>
            <w:r w:rsidR="003C7348">
              <w:t>1.5</w:t>
            </w:r>
          </w:p>
        </w:tc>
      </w:tr>
      <w:tr w:rsidR="003C7348" w:rsidRPr="00DD00F4" w:rsidTr="005479E3">
        <w:trPr>
          <w:cantSplit/>
        </w:trPr>
        <w:tc>
          <w:tcPr>
            <w:tcW w:w="817" w:type="dxa"/>
            <w:shd w:val="clear" w:color="auto" w:fill="auto"/>
          </w:tcPr>
          <w:p w:rsidR="003C7348" w:rsidRPr="00283A33" w:rsidRDefault="00BC18B8" w:rsidP="00283A33">
            <w:pPr>
              <w:pStyle w:val="TableText"/>
              <w:ind w:left="22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C7348" w:rsidRPr="00283A33" w:rsidRDefault="00BC18B8" w:rsidP="001D6ADF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 xml:space="preserve">0.05 </w:t>
            </w:r>
            <w:r w:rsidRPr="00283A33">
              <w:rPr>
                <w:iCs/>
                <w:sz w:val="20"/>
                <w:szCs w:val="20"/>
                <w:lang w:val="en-US"/>
              </w:rPr>
              <w:t>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283A33">
              <w:rPr>
                <w:sz w:val="20"/>
                <w:szCs w:val="20"/>
                <w:lang w:val="en-US"/>
              </w:rPr>
              <w:t xml:space="preserve"> </w:t>
            </w:r>
            <w:r w:rsidRPr="00283A33">
              <w:rPr>
                <w:sz w:val="20"/>
                <w:szCs w:val="20"/>
              </w:rPr>
              <w:t>≤ I &lt; 0.1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:rsidR="003C7348" w:rsidRPr="00283A33" w:rsidRDefault="00BC18B8" w:rsidP="003C7348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C7348" w:rsidRPr="00283A33" w:rsidRDefault="00BC18B8" w:rsidP="00283A33">
            <w:pPr>
              <w:pStyle w:val="TableText"/>
              <w:ind w:right="53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±1.5%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</w:tcPr>
          <w:p w:rsidR="003C7348" w:rsidRPr="00283A33" w:rsidRDefault="00BC18B8" w:rsidP="00283A33">
            <w:pPr>
              <w:pStyle w:val="TableText"/>
              <w:ind w:right="48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±1.5%</w:t>
            </w:r>
          </w:p>
        </w:tc>
      </w:tr>
      <w:tr w:rsidR="00BC18B8" w:rsidRPr="00DD00F4" w:rsidTr="00283A33">
        <w:trPr>
          <w:cantSplit/>
        </w:trPr>
        <w:tc>
          <w:tcPr>
            <w:tcW w:w="817" w:type="dxa"/>
            <w:shd w:val="clear" w:color="auto" w:fill="auto"/>
          </w:tcPr>
          <w:p w:rsidR="00BC18B8" w:rsidRPr="00283A33" w:rsidRDefault="00BC18B8" w:rsidP="00283A33">
            <w:pPr>
              <w:pStyle w:val="TableText"/>
              <w:ind w:left="22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C18B8" w:rsidRPr="00283A33" w:rsidRDefault="00BC18B8" w:rsidP="001D6ADF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0.1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283A33">
              <w:rPr>
                <w:sz w:val="20"/>
                <w:szCs w:val="20"/>
                <w:lang w:val="en-US"/>
              </w:rPr>
              <w:t xml:space="preserve"> </w:t>
            </w:r>
            <w:r w:rsidRPr="00283A33">
              <w:rPr>
                <w:sz w:val="20"/>
                <w:szCs w:val="20"/>
              </w:rPr>
              <w:t>≤ I ≤ I</w:t>
            </w:r>
            <w:r w:rsidRPr="00283A33">
              <w:rPr>
                <w:bCs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418" w:type="dxa"/>
            <w:shd w:val="clear" w:color="auto" w:fill="auto"/>
          </w:tcPr>
          <w:p w:rsidR="00BC18B8" w:rsidRPr="00283A33" w:rsidRDefault="00BC18B8" w:rsidP="003C7348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C18B8" w:rsidRPr="00283A33" w:rsidRDefault="00BC18B8" w:rsidP="00283A33">
            <w:pPr>
              <w:pStyle w:val="TableText"/>
              <w:ind w:right="53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±1.0%</w:t>
            </w:r>
          </w:p>
        </w:tc>
        <w:tc>
          <w:tcPr>
            <w:tcW w:w="1585" w:type="dxa"/>
            <w:shd w:val="clear" w:color="auto" w:fill="auto"/>
          </w:tcPr>
          <w:p w:rsidR="00BC18B8" w:rsidRPr="00283A33" w:rsidRDefault="00BC18B8" w:rsidP="00283A33">
            <w:pPr>
              <w:pStyle w:val="TableText"/>
              <w:ind w:right="48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±1.5%</w:t>
            </w:r>
          </w:p>
        </w:tc>
      </w:tr>
      <w:tr w:rsidR="00BC18B8" w:rsidRPr="00DD00F4" w:rsidTr="00283A33">
        <w:trPr>
          <w:cantSplit/>
        </w:trPr>
        <w:tc>
          <w:tcPr>
            <w:tcW w:w="817" w:type="dxa"/>
            <w:shd w:val="clear" w:color="auto" w:fill="auto"/>
          </w:tcPr>
          <w:p w:rsidR="00BC18B8" w:rsidRPr="00283A33" w:rsidRDefault="00BC18B8" w:rsidP="00283A33">
            <w:pPr>
              <w:pStyle w:val="TableText"/>
              <w:ind w:left="22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C18B8" w:rsidRPr="00283A33" w:rsidRDefault="00BC18B8" w:rsidP="001D6ADF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0.1</w:t>
            </w:r>
            <w:r w:rsidRPr="00283A33">
              <w:rPr>
                <w:sz w:val="20"/>
                <w:szCs w:val="20"/>
                <w:lang w:val="en-US"/>
              </w:rPr>
              <w:t xml:space="preserve">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283A33">
              <w:rPr>
                <w:sz w:val="20"/>
                <w:szCs w:val="20"/>
                <w:lang w:val="en-US"/>
              </w:rPr>
              <w:t xml:space="preserve"> </w:t>
            </w:r>
            <w:r w:rsidRPr="00283A33">
              <w:rPr>
                <w:sz w:val="20"/>
                <w:szCs w:val="20"/>
              </w:rPr>
              <w:t>≤ I &lt; 0.2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:rsidR="00BC18B8" w:rsidRPr="00283A33" w:rsidRDefault="00BC18B8" w:rsidP="003C7348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0.5 inductive</w:t>
            </w:r>
          </w:p>
        </w:tc>
        <w:tc>
          <w:tcPr>
            <w:tcW w:w="1559" w:type="dxa"/>
            <w:shd w:val="clear" w:color="auto" w:fill="auto"/>
          </w:tcPr>
          <w:p w:rsidR="00BC18B8" w:rsidRPr="00283A33" w:rsidRDefault="009D286E" w:rsidP="00283A33">
            <w:pPr>
              <w:pStyle w:val="TableText"/>
              <w:ind w:right="53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±1.5%</w:t>
            </w:r>
          </w:p>
        </w:tc>
        <w:tc>
          <w:tcPr>
            <w:tcW w:w="1585" w:type="dxa"/>
            <w:shd w:val="clear" w:color="auto" w:fill="auto"/>
          </w:tcPr>
          <w:p w:rsidR="00BC18B8" w:rsidRPr="00283A33" w:rsidRDefault="009D286E" w:rsidP="00283A33">
            <w:pPr>
              <w:pStyle w:val="TableText"/>
              <w:ind w:right="48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±1.5%</w:t>
            </w:r>
          </w:p>
        </w:tc>
      </w:tr>
      <w:tr w:rsidR="009D286E" w:rsidRPr="00DD00F4" w:rsidTr="00283A33">
        <w:trPr>
          <w:cantSplit/>
        </w:trPr>
        <w:tc>
          <w:tcPr>
            <w:tcW w:w="817" w:type="dxa"/>
            <w:shd w:val="clear" w:color="auto" w:fill="auto"/>
          </w:tcPr>
          <w:p w:rsidR="009D286E" w:rsidRPr="00283A33" w:rsidRDefault="00537C22" w:rsidP="00283A33">
            <w:pPr>
              <w:pStyle w:val="TableText"/>
              <w:ind w:left="22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D286E" w:rsidRPr="00283A33" w:rsidRDefault="00537C22" w:rsidP="001D6ADF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0.1</w:t>
            </w:r>
            <w:r w:rsidRPr="00283A33">
              <w:rPr>
                <w:sz w:val="20"/>
                <w:szCs w:val="20"/>
                <w:lang w:val="en-US"/>
              </w:rPr>
              <w:t xml:space="preserve">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283A33">
              <w:rPr>
                <w:sz w:val="20"/>
                <w:szCs w:val="20"/>
                <w:lang w:val="en-US"/>
              </w:rPr>
              <w:t xml:space="preserve"> </w:t>
            </w:r>
            <w:r w:rsidRPr="00283A33">
              <w:rPr>
                <w:sz w:val="20"/>
                <w:szCs w:val="20"/>
              </w:rPr>
              <w:t>≤ I &lt; 0.2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:rsidR="009D286E" w:rsidRPr="00283A33" w:rsidRDefault="00A7530C" w:rsidP="003C7348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0.8 capacitive</w:t>
            </w:r>
          </w:p>
        </w:tc>
        <w:tc>
          <w:tcPr>
            <w:tcW w:w="1559" w:type="dxa"/>
            <w:shd w:val="clear" w:color="auto" w:fill="auto"/>
          </w:tcPr>
          <w:p w:rsidR="009D286E" w:rsidRPr="00283A33" w:rsidRDefault="00A7530C" w:rsidP="00283A33">
            <w:pPr>
              <w:pStyle w:val="TableText"/>
              <w:ind w:right="53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±1.5%</w:t>
            </w:r>
          </w:p>
        </w:tc>
        <w:tc>
          <w:tcPr>
            <w:tcW w:w="1585" w:type="dxa"/>
            <w:shd w:val="clear" w:color="auto" w:fill="auto"/>
          </w:tcPr>
          <w:p w:rsidR="009D286E" w:rsidRPr="00283A33" w:rsidRDefault="00A7530C" w:rsidP="005479E3">
            <w:pPr>
              <w:pStyle w:val="TableText"/>
              <w:ind w:left="39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noBreakHyphen/>
            </w:r>
          </w:p>
        </w:tc>
      </w:tr>
      <w:tr w:rsidR="00537C22" w:rsidRPr="00DD00F4" w:rsidTr="00283A33">
        <w:trPr>
          <w:cantSplit/>
        </w:trPr>
        <w:tc>
          <w:tcPr>
            <w:tcW w:w="817" w:type="dxa"/>
            <w:shd w:val="clear" w:color="auto" w:fill="auto"/>
          </w:tcPr>
          <w:p w:rsidR="00537C22" w:rsidRPr="00283A33" w:rsidRDefault="00537C22" w:rsidP="00283A33">
            <w:pPr>
              <w:pStyle w:val="TableText"/>
              <w:ind w:left="22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37C22" w:rsidRPr="00283A33" w:rsidRDefault="00537C22" w:rsidP="001D6ADF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0.2</w:t>
            </w:r>
            <w:r w:rsidRPr="00283A33">
              <w:rPr>
                <w:sz w:val="20"/>
                <w:szCs w:val="20"/>
                <w:lang w:val="en-US"/>
              </w:rPr>
              <w:t xml:space="preserve">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283A33">
              <w:rPr>
                <w:sz w:val="20"/>
                <w:szCs w:val="20"/>
                <w:lang w:val="en-US"/>
              </w:rPr>
              <w:t xml:space="preserve"> </w:t>
            </w:r>
            <w:r w:rsidRPr="00283A33">
              <w:rPr>
                <w:sz w:val="20"/>
                <w:szCs w:val="20"/>
              </w:rPr>
              <w:t>≤ I ≤ I</w:t>
            </w:r>
            <w:r w:rsidRPr="00283A33">
              <w:rPr>
                <w:bCs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418" w:type="dxa"/>
            <w:shd w:val="clear" w:color="auto" w:fill="auto"/>
          </w:tcPr>
          <w:p w:rsidR="00537C22" w:rsidRPr="00283A33" w:rsidRDefault="00537C22" w:rsidP="003C7348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0.5 inductive</w:t>
            </w:r>
          </w:p>
        </w:tc>
        <w:tc>
          <w:tcPr>
            <w:tcW w:w="1559" w:type="dxa"/>
            <w:shd w:val="clear" w:color="auto" w:fill="auto"/>
          </w:tcPr>
          <w:p w:rsidR="00537C22" w:rsidRPr="00283A33" w:rsidRDefault="00537C22" w:rsidP="00283A33">
            <w:pPr>
              <w:pStyle w:val="TableText"/>
              <w:ind w:right="53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±1.0%</w:t>
            </w:r>
          </w:p>
        </w:tc>
        <w:tc>
          <w:tcPr>
            <w:tcW w:w="1585" w:type="dxa"/>
            <w:shd w:val="clear" w:color="auto" w:fill="auto"/>
          </w:tcPr>
          <w:p w:rsidR="00537C22" w:rsidRPr="00283A33" w:rsidRDefault="00537C22" w:rsidP="00283A33">
            <w:pPr>
              <w:pStyle w:val="TableText"/>
              <w:ind w:right="48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±1.5%</w:t>
            </w:r>
          </w:p>
        </w:tc>
      </w:tr>
      <w:tr w:rsidR="00537C22" w:rsidRPr="00DD00F4" w:rsidTr="00283A33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37C22" w:rsidRPr="00283A33" w:rsidRDefault="00537C22" w:rsidP="00283A33">
            <w:pPr>
              <w:pStyle w:val="TableText"/>
              <w:ind w:left="22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7C22" w:rsidRPr="00283A33" w:rsidRDefault="00537C22" w:rsidP="001D6ADF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0.2</w:t>
            </w:r>
            <w:r w:rsidRPr="00283A33">
              <w:rPr>
                <w:sz w:val="20"/>
                <w:szCs w:val="20"/>
                <w:lang w:val="en-US"/>
              </w:rPr>
              <w:t xml:space="preserve"> I</w:t>
            </w:r>
            <w:r w:rsidRPr="00283A33">
              <w:rPr>
                <w:sz w:val="20"/>
                <w:szCs w:val="20"/>
                <w:vertAlign w:val="subscript"/>
                <w:lang w:val="en-US"/>
              </w:rPr>
              <w:t>b</w:t>
            </w:r>
            <w:r w:rsidRPr="00283A33">
              <w:rPr>
                <w:sz w:val="20"/>
                <w:szCs w:val="20"/>
                <w:lang w:val="en-US"/>
              </w:rPr>
              <w:t xml:space="preserve"> </w:t>
            </w:r>
            <w:r w:rsidRPr="00283A33">
              <w:rPr>
                <w:sz w:val="20"/>
                <w:szCs w:val="20"/>
              </w:rPr>
              <w:t>≤ I ≤ I</w:t>
            </w:r>
            <w:r w:rsidRPr="00283A33">
              <w:rPr>
                <w:bCs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37C22" w:rsidRPr="00283A33" w:rsidRDefault="00537C22" w:rsidP="003C7348">
            <w:pPr>
              <w:pStyle w:val="TableTex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0.8 capacitive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37C22" w:rsidRPr="00283A33" w:rsidRDefault="00537C22" w:rsidP="00283A33">
            <w:pPr>
              <w:pStyle w:val="TableText"/>
              <w:ind w:right="535"/>
              <w:jc w:val="right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±1.0%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37C22" w:rsidRPr="00283A33" w:rsidRDefault="00537C22" w:rsidP="005479E3">
            <w:pPr>
              <w:pStyle w:val="TableText"/>
              <w:ind w:left="397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noBreakHyphen/>
            </w:r>
          </w:p>
        </w:tc>
      </w:tr>
    </w:tbl>
    <w:p w:rsidR="00796717" w:rsidRPr="00017396" w:rsidRDefault="00796717" w:rsidP="00796717">
      <w:pPr>
        <w:pStyle w:val="HSR"/>
      </w:pPr>
      <w:r w:rsidRPr="00017396">
        <w:t>Maximum permissible errors—transformer</w:t>
      </w:r>
      <w:r w:rsidRPr="00017396">
        <w:noBreakHyphen/>
        <w:t>operated electricity meters</w:t>
      </w:r>
    </w:p>
    <w:p w:rsidR="003B07FC" w:rsidRPr="00017396" w:rsidRDefault="003B07FC" w:rsidP="003B07FC">
      <w:pPr>
        <w:pStyle w:val="Schedulepara"/>
        <w:keepNext/>
      </w:pPr>
      <w:r w:rsidRPr="00017396">
        <w:tab/>
      </w:r>
      <w:r w:rsidR="00EF4EDE" w:rsidRPr="00017396">
        <w:t>5</w:t>
      </w:r>
      <w:r w:rsidRPr="00017396">
        <w:tab/>
        <w:t>The maximum permissible errors for the following kinds of electricity meters are set out</w:t>
      </w:r>
      <w:r w:rsidR="00A52BA9" w:rsidRPr="00017396">
        <w:t>, for an item,</w:t>
      </w:r>
      <w:r w:rsidRPr="00017396">
        <w:t xml:space="preserve"> in</w:t>
      </w:r>
      <w:r w:rsidR="008E1C04" w:rsidRPr="00017396">
        <w:t xml:space="preserve"> </w:t>
      </w:r>
      <w:r w:rsidR="009C7E0C" w:rsidRPr="00017396">
        <w:t>columns</w:t>
      </w:r>
      <w:r w:rsidR="00A52BA9" w:rsidRPr="00017396">
        <w:t xml:space="preserve"> 4, </w:t>
      </w:r>
      <w:r w:rsidR="009C7E0C" w:rsidRPr="00017396">
        <w:t xml:space="preserve">5 and </w:t>
      </w:r>
      <w:r w:rsidR="00A52BA9" w:rsidRPr="00017396">
        <w:t xml:space="preserve">6 of </w:t>
      </w:r>
      <w:r w:rsidRPr="00017396">
        <w:t>table</w:t>
      </w:r>
      <w:r w:rsidR="00F905D1">
        <w:t> </w:t>
      </w:r>
      <w:r w:rsidRPr="00017396">
        <w:t>19:</w:t>
      </w:r>
    </w:p>
    <w:p w:rsidR="00A52BA9" w:rsidRPr="00017396" w:rsidRDefault="00BC18B8" w:rsidP="00C37A8D">
      <w:pPr>
        <w:pStyle w:val="P1"/>
        <w:keepNext/>
      </w:pPr>
      <w:r w:rsidRPr="00017396">
        <w:rPr>
          <w:color w:val="7030A0"/>
        </w:rPr>
        <w:tab/>
      </w:r>
      <w:r w:rsidR="003B07FC" w:rsidRPr="00017396">
        <w:t>(a)</w:t>
      </w:r>
      <w:r w:rsidR="003B07FC" w:rsidRPr="00017396">
        <w:tab/>
        <w:t>single phase transformer</w:t>
      </w:r>
      <w:r w:rsidR="003B07FC" w:rsidRPr="00017396">
        <w:noBreakHyphen/>
        <w:t>operated electricity meters</w:t>
      </w:r>
      <w:r w:rsidR="00C37A8D" w:rsidRPr="00017396">
        <w:t xml:space="preserve"> </w:t>
      </w:r>
      <w:r w:rsidR="00776FFF" w:rsidRPr="00017396">
        <w:t xml:space="preserve">with </w:t>
      </w:r>
      <w:r w:rsidR="00A52BA9" w:rsidRPr="00017396">
        <w:t>an accuracy class mentioned, for the item, in column 4, 5 or 6 of that table;</w:t>
      </w:r>
    </w:p>
    <w:p w:rsidR="003B07FC" w:rsidRPr="00017396" w:rsidRDefault="003B07FC" w:rsidP="00C37A8D">
      <w:pPr>
        <w:pStyle w:val="P1"/>
        <w:keepNext/>
      </w:pPr>
      <w:r w:rsidRPr="00017396">
        <w:tab/>
        <w:t>(b)</w:t>
      </w:r>
      <w:r w:rsidRPr="00017396">
        <w:tab/>
        <w:t xml:space="preserve">polyphase </w:t>
      </w:r>
      <w:r w:rsidR="00E6449C" w:rsidRPr="00017396">
        <w:t>transformer</w:t>
      </w:r>
      <w:r w:rsidR="00E6449C" w:rsidRPr="00017396">
        <w:noBreakHyphen/>
        <w:t xml:space="preserve">operated </w:t>
      </w:r>
      <w:r w:rsidRPr="00017396">
        <w:t>electricity meters</w:t>
      </w:r>
      <w:r w:rsidR="00C37A8D" w:rsidRPr="00017396">
        <w:t xml:space="preserve"> </w:t>
      </w:r>
      <w:r w:rsidR="00776FFF" w:rsidRPr="00017396">
        <w:t xml:space="preserve">with </w:t>
      </w:r>
      <w:r w:rsidR="00D26C8D" w:rsidRPr="00017396">
        <w:t xml:space="preserve">an accuracy class mentioned, </w:t>
      </w:r>
      <w:r w:rsidR="005479E3">
        <w:t>for the item, in column 4, 5 or </w:t>
      </w:r>
      <w:r w:rsidR="00D26C8D" w:rsidRPr="00017396">
        <w:t>6 of that table.</w:t>
      </w:r>
    </w:p>
    <w:p w:rsidR="00C37A8D" w:rsidRDefault="00C37A8D" w:rsidP="00C37A8D">
      <w:pPr>
        <w:pStyle w:val="Schedulepara"/>
      </w:pPr>
      <w:r w:rsidRPr="00017396">
        <w:tab/>
      </w:r>
      <w:r w:rsidR="00EF4EDE" w:rsidRPr="00017396">
        <w:t>6</w:t>
      </w:r>
      <w:r w:rsidRPr="00017396">
        <w:tab/>
        <w:t>The maximum permissible errors mentio</w:t>
      </w:r>
      <w:r w:rsidR="005479E3">
        <w:t>ned in column 4, 5 or </w:t>
      </w:r>
      <w:r w:rsidRPr="00017396">
        <w:t>6 of table</w:t>
      </w:r>
      <w:r w:rsidR="00F905D1">
        <w:t> </w:t>
      </w:r>
      <w:r w:rsidRPr="00017396">
        <w:t>19 apply at the current rate and power factor mentioned, for an item, in column 2 and 3 of that table.</w:t>
      </w:r>
    </w:p>
    <w:p w:rsidR="003B07FC" w:rsidRPr="005479E3" w:rsidRDefault="003B07FC" w:rsidP="00505AB1">
      <w:pPr>
        <w:pStyle w:val="Schedulepara"/>
        <w:keepNext/>
        <w:rPr>
          <w:rFonts w:ascii="Arial" w:hAnsi="Arial" w:cs="Arial"/>
          <w:b/>
          <w:sz w:val="20"/>
          <w:szCs w:val="20"/>
        </w:rPr>
      </w:pPr>
      <w:r w:rsidRPr="005479E3">
        <w:rPr>
          <w:rFonts w:ascii="Arial" w:hAnsi="Arial" w:cs="Arial"/>
          <w:b/>
          <w:sz w:val="20"/>
          <w:szCs w:val="20"/>
        </w:rPr>
        <w:t>Table 19</w:t>
      </w:r>
      <w:r w:rsidRPr="005479E3">
        <w:rPr>
          <w:rFonts w:ascii="Arial" w:hAnsi="Arial" w:cs="Arial"/>
          <w:b/>
          <w:sz w:val="20"/>
          <w:szCs w:val="20"/>
        </w:rPr>
        <w:tab/>
        <w:t>Single phase and polyphase transformer</w:t>
      </w:r>
      <w:r w:rsidRPr="005479E3">
        <w:rPr>
          <w:rFonts w:ascii="Arial" w:hAnsi="Arial" w:cs="Arial"/>
          <w:b/>
          <w:sz w:val="20"/>
          <w:szCs w:val="20"/>
        </w:rPr>
        <w:noBreakHyphen/>
        <w:t>operated electricity meters</w:t>
      </w:r>
    </w:p>
    <w:tbl>
      <w:tblPr>
        <w:tblW w:w="7196" w:type="dxa"/>
        <w:tblLayout w:type="fixed"/>
        <w:tblLook w:val="04A0"/>
      </w:tblPr>
      <w:tblGrid>
        <w:gridCol w:w="675"/>
        <w:gridCol w:w="2025"/>
        <w:gridCol w:w="1519"/>
        <w:gridCol w:w="1134"/>
        <w:gridCol w:w="992"/>
        <w:gridCol w:w="851"/>
      </w:tblGrid>
      <w:tr w:rsidR="0051422E" w:rsidRPr="00DD00F4" w:rsidTr="007405AE">
        <w:trPr>
          <w:cantSplit/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B07FC" w:rsidRPr="00DD00F4" w:rsidRDefault="003B07FC" w:rsidP="0051422E">
            <w:pPr>
              <w:pStyle w:val="TableColHead"/>
            </w:pPr>
            <w:r w:rsidRPr="00DD00F4">
              <w:t>Item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3B07FC" w:rsidRPr="00DD00F4" w:rsidRDefault="003B07FC" w:rsidP="00505AB1">
            <w:pPr>
              <w:pStyle w:val="TableColHead"/>
              <w:keepNext w:val="0"/>
            </w:pPr>
            <w:r>
              <w:t>Current range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3B07FC" w:rsidRPr="00DD00F4" w:rsidRDefault="003B07FC" w:rsidP="0051422E">
            <w:pPr>
              <w:pStyle w:val="TableColHead"/>
            </w:pPr>
            <w:r>
              <w:t>Power factor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07FC" w:rsidRPr="00DD00F4" w:rsidRDefault="003B07FC" w:rsidP="0051422E">
            <w:pPr>
              <w:pStyle w:val="TableColHead"/>
            </w:pPr>
            <w:r w:rsidRPr="00DD00F4">
              <w:t>Maximum permissible error (</w:t>
            </w:r>
            <w:r>
              <w:t>%</w:t>
            </w:r>
            <w:r w:rsidRPr="00DD00F4">
              <w:t>)</w:t>
            </w:r>
          </w:p>
        </w:tc>
      </w:tr>
      <w:tr w:rsidR="0051422E" w:rsidRPr="00DD00F4" w:rsidTr="007405AE">
        <w:trPr>
          <w:cantSplit/>
          <w:trHeight w:val="1038"/>
          <w:tblHeader/>
        </w:trPr>
        <w:tc>
          <w:tcPr>
            <w:tcW w:w="675" w:type="dxa"/>
            <w:shd w:val="clear" w:color="auto" w:fill="auto"/>
            <w:textDirection w:val="btLr"/>
          </w:tcPr>
          <w:p w:rsidR="003B07FC" w:rsidRPr="00DD00F4" w:rsidRDefault="003B07FC" w:rsidP="002F6353">
            <w:pPr>
              <w:pStyle w:val="TableText"/>
              <w:keepNext/>
              <w:ind w:left="113" w:right="113"/>
            </w:pPr>
          </w:p>
        </w:tc>
        <w:tc>
          <w:tcPr>
            <w:tcW w:w="2025" w:type="dxa"/>
            <w:shd w:val="clear" w:color="auto" w:fill="auto"/>
            <w:textDirection w:val="btLr"/>
          </w:tcPr>
          <w:p w:rsidR="003B07FC" w:rsidRPr="00DD00F4" w:rsidRDefault="003B07FC" w:rsidP="002F6353">
            <w:pPr>
              <w:pStyle w:val="TableText"/>
              <w:keepNext/>
              <w:ind w:left="113" w:right="113"/>
            </w:pPr>
          </w:p>
        </w:tc>
        <w:tc>
          <w:tcPr>
            <w:tcW w:w="1519" w:type="dxa"/>
            <w:shd w:val="clear" w:color="auto" w:fill="auto"/>
            <w:textDirection w:val="btLr"/>
          </w:tcPr>
          <w:p w:rsidR="003B07FC" w:rsidRDefault="003B07FC" w:rsidP="002F6353">
            <w:pPr>
              <w:pStyle w:val="TableText"/>
              <w:ind w:left="113"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B07FC" w:rsidRPr="00DD00F4" w:rsidRDefault="003B07FC" w:rsidP="00C37A8D">
            <w:pPr>
              <w:pStyle w:val="TableColHead"/>
              <w:keepNext w:val="0"/>
              <w:spacing w:before="60"/>
              <w:ind w:left="113" w:right="113"/>
              <w:jc w:val="center"/>
            </w:pPr>
            <w:r>
              <w:t>Accuracy class 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B07FC" w:rsidRPr="00DD00F4" w:rsidRDefault="003B07FC" w:rsidP="00C37A8D">
            <w:pPr>
              <w:pStyle w:val="TableColHead"/>
              <w:keepNext w:val="0"/>
              <w:spacing w:before="60"/>
              <w:ind w:left="113" w:right="113"/>
              <w:jc w:val="center"/>
            </w:pPr>
            <w:r>
              <w:t>Accuracy class 0.5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B07FC" w:rsidRPr="00DD00F4" w:rsidRDefault="003B07FC" w:rsidP="00C37A8D">
            <w:pPr>
              <w:pStyle w:val="TableColHead"/>
              <w:keepNext w:val="0"/>
              <w:spacing w:before="60"/>
              <w:ind w:left="113" w:right="113"/>
              <w:jc w:val="center"/>
            </w:pPr>
            <w:r>
              <w:t>Accuracy class 1</w:t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3B07FC" w:rsidRPr="005479E3" w:rsidRDefault="003B07FC" w:rsidP="005479E3">
            <w:pPr>
              <w:pStyle w:val="TableText"/>
              <w:keepNext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3B07FC" w:rsidRPr="005479E3" w:rsidRDefault="003B07F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0.01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&lt; 0.05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19" w:type="dxa"/>
            <w:shd w:val="clear" w:color="auto" w:fill="auto"/>
          </w:tcPr>
          <w:p w:rsidR="003B07FC" w:rsidRPr="005479E3" w:rsidRDefault="003B07F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07F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±0.4%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07F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±1.0%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7F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6079BC" w:rsidRPr="005479E3" w:rsidRDefault="006079BC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0.02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&lt; 0.05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19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  <w:tc>
          <w:tcPr>
            <w:tcW w:w="992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  <w:tc>
          <w:tcPr>
            <w:tcW w:w="851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±1.5%</w:t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6079BC" w:rsidRPr="005479E3" w:rsidRDefault="006079BC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25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0.05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≤ I</w:t>
            </w:r>
            <w:r w:rsidRPr="005479E3">
              <w:rPr>
                <w:bCs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519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±0.2%</w:t>
            </w:r>
          </w:p>
        </w:tc>
        <w:tc>
          <w:tcPr>
            <w:tcW w:w="992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±0.5%</w:t>
            </w:r>
          </w:p>
        </w:tc>
        <w:tc>
          <w:tcPr>
            <w:tcW w:w="851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±1.0%</w:t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6079BC" w:rsidRPr="005479E3" w:rsidRDefault="006079BC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0.02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&lt; 0.1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19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0.5 inductive</w:t>
            </w:r>
          </w:p>
        </w:tc>
        <w:tc>
          <w:tcPr>
            <w:tcW w:w="1134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±0.5%</w:t>
            </w:r>
          </w:p>
        </w:tc>
        <w:tc>
          <w:tcPr>
            <w:tcW w:w="992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±1.0%</w:t>
            </w:r>
          </w:p>
        </w:tc>
        <w:tc>
          <w:tcPr>
            <w:tcW w:w="851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6079BC" w:rsidRPr="005479E3" w:rsidRDefault="006079BC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0.02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&lt; 0.1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19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0.8 capacitive</w:t>
            </w:r>
          </w:p>
        </w:tc>
        <w:tc>
          <w:tcPr>
            <w:tcW w:w="1134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±0.5%</w:t>
            </w:r>
          </w:p>
        </w:tc>
        <w:tc>
          <w:tcPr>
            <w:tcW w:w="992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b/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±1.0%</w:t>
            </w:r>
          </w:p>
        </w:tc>
        <w:tc>
          <w:tcPr>
            <w:tcW w:w="851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6079BC" w:rsidRPr="005479E3" w:rsidRDefault="006079BC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0.05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&lt; 0.1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19" w:type="dxa"/>
            <w:shd w:val="clear" w:color="auto" w:fill="auto"/>
          </w:tcPr>
          <w:p w:rsidR="006079BC" w:rsidRPr="005479E3" w:rsidRDefault="006079BC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0.5 inductive</w:t>
            </w:r>
          </w:p>
        </w:tc>
        <w:tc>
          <w:tcPr>
            <w:tcW w:w="1134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  <w:tc>
          <w:tcPr>
            <w:tcW w:w="992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  <w:tc>
          <w:tcPr>
            <w:tcW w:w="851" w:type="dxa"/>
            <w:shd w:val="clear" w:color="auto" w:fill="auto"/>
          </w:tcPr>
          <w:p w:rsidR="006079BC" w:rsidRPr="005479E3" w:rsidRDefault="006079BC" w:rsidP="006079B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±1.5%</w:t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536EC0" w:rsidRPr="005479E3" w:rsidRDefault="00536EC0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 w:rsidR="00536EC0" w:rsidRPr="005479E3" w:rsidRDefault="00536EC0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0.05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&lt; 0.1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519" w:type="dxa"/>
            <w:shd w:val="clear" w:color="auto" w:fill="auto"/>
          </w:tcPr>
          <w:p w:rsidR="00536EC0" w:rsidRPr="005479E3" w:rsidRDefault="00536EC0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0.8 capacitive</w:t>
            </w:r>
          </w:p>
        </w:tc>
        <w:tc>
          <w:tcPr>
            <w:tcW w:w="1134" w:type="dxa"/>
            <w:shd w:val="clear" w:color="auto" w:fill="auto"/>
          </w:tcPr>
          <w:p w:rsidR="00536EC0" w:rsidRPr="005479E3" w:rsidRDefault="00536EC0" w:rsidP="00F22416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  <w:tc>
          <w:tcPr>
            <w:tcW w:w="992" w:type="dxa"/>
            <w:shd w:val="clear" w:color="auto" w:fill="auto"/>
          </w:tcPr>
          <w:p w:rsidR="00536EC0" w:rsidRPr="005479E3" w:rsidRDefault="00536EC0" w:rsidP="00F22416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noBreakHyphen/>
            </w:r>
          </w:p>
        </w:tc>
        <w:tc>
          <w:tcPr>
            <w:tcW w:w="851" w:type="dxa"/>
            <w:shd w:val="clear" w:color="auto" w:fill="auto"/>
          </w:tcPr>
          <w:p w:rsidR="00536EC0" w:rsidRPr="005479E3" w:rsidRDefault="00536EC0" w:rsidP="00F22416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±1.5%</w:t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shd w:val="clear" w:color="auto" w:fill="auto"/>
          </w:tcPr>
          <w:p w:rsidR="00536EC0" w:rsidRPr="005479E3" w:rsidRDefault="00536EC0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 w:rsidR="00536EC0" w:rsidRPr="005479E3" w:rsidRDefault="00536EC0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0.1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≤ I</w:t>
            </w:r>
            <w:r w:rsidRPr="005479E3">
              <w:rPr>
                <w:bCs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519" w:type="dxa"/>
            <w:shd w:val="clear" w:color="auto" w:fill="auto"/>
          </w:tcPr>
          <w:p w:rsidR="00536EC0" w:rsidRPr="005479E3" w:rsidRDefault="00536EC0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0.5 inductive</w:t>
            </w:r>
          </w:p>
        </w:tc>
        <w:tc>
          <w:tcPr>
            <w:tcW w:w="1134" w:type="dxa"/>
            <w:shd w:val="clear" w:color="auto" w:fill="auto"/>
          </w:tcPr>
          <w:p w:rsidR="00536EC0" w:rsidRPr="005479E3" w:rsidRDefault="00536EC0" w:rsidP="00536EC0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±0.3%</w:t>
            </w:r>
          </w:p>
        </w:tc>
        <w:tc>
          <w:tcPr>
            <w:tcW w:w="992" w:type="dxa"/>
            <w:shd w:val="clear" w:color="auto" w:fill="auto"/>
          </w:tcPr>
          <w:p w:rsidR="00536EC0" w:rsidRPr="005479E3" w:rsidRDefault="00536EC0" w:rsidP="00536EC0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±0.6%</w:t>
            </w:r>
          </w:p>
        </w:tc>
        <w:tc>
          <w:tcPr>
            <w:tcW w:w="851" w:type="dxa"/>
            <w:shd w:val="clear" w:color="auto" w:fill="auto"/>
          </w:tcPr>
          <w:p w:rsidR="00536EC0" w:rsidRPr="005479E3" w:rsidRDefault="00536EC0" w:rsidP="00536EC0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±1.0%</w:t>
            </w:r>
          </w:p>
        </w:tc>
      </w:tr>
      <w:tr w:rsidR="0051422E" w:rsidRPr="00DD00F4" w:rsidTr="007405A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536EC0" w:rsidRPr="005479E3" w:rsidRDefault="00536EC0" w:rsidP="005479E3">
            <w:pPr>
              <w:pStyle w:val="TableText"/>
              <w:ind w:left="227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9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536EC0" w:rsidRPr="005479E3" w:rsidRDefault="00536EC0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0.1</w:t>
            </w:r>
            <w:r w:rsidRPr="005479E3">
              <w:rPr>
                <w:sz w:val="20"/>
                <w:szCs w:val="20"/>
                <w:lang w:val="en-US"/>
              </w:rPr>
              <w:t xml:space="preserve"> I</w:t>
            </w:r>
            <w:r w:rsidRPr="005479E3">
              <w:rPr>
                <w:sz w:val="20"/>
                <w:szCs w:val="20"/>
                <w:vertAlign w:val="subscript"/>
                <w:lang w:val="en-US"/>
              </w:rPr>
              <w:t>n</w:t>
            </w:r>
            <w:r w:rsidRPr="005479E3">
              <w:rPr>
                <w:sz w:val="20"/>
                <w:szCs w:val="20"/>
              </w:rPr>
              <w:t xml:space="preserve"> ≤ I ≤ I</w:t>
            </w:r>
            <w:r w:rsidRPr="005479E3">
              <w:rPr>
                <w:bCs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:rsidR="00536EC0" w:rsidRPr="005479E3" w:rsidRDefault="00536EC0" w:rsidP="003B07FC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0.8 capacitive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6EC0" w:rsidRPr="005479E3" w:rsidRDefault="00536EC0" w:rsidP="00F22416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±0.3%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6EC0" w:rsidRPr="005479E3" w:rsidRDefault="00536EC0" w:rsidP="00F22416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±0.6%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36EC0" w:rsidRPr="005479E3" w:rsidRDefault="00536EC0" w:rsidP="00F22416">
            <w:pPr>
              <w:pStyle w:val="TableText"/>
              <w:rPr>
                <w:sz w:val="20"/>
                <w:szCs w:val="20"/>
              </w:rPr>
            </w:pPr>
            <w:r w:rsidRPr="005479E3">
              <w:rPr>
                <w:sz w:val="20"/>
                <w:szCs w:val="20"/>
              </w:rPr>
              <w:t>±1.0%</w:t>
            </w:r>
          </w:p>
        </w:tc>
      </w:tr>
    </w:tbl>
    <w:p w:rsidR="00F57D98" w:rsidRPr="00555CFF" w:rsidRDefault="00383E80" w:rsidP="00F905D1">
      <w:pPr>
        <w:pStyle w:val="A1S"/>
        <w:spacing w:before="360"/>
      </w:pPr>
      <w:r w:rsidRPr="00555CFF">
        <w:t>[</w:t>
      </w:r>
      <w:fldSimple w:instr=" SEQ Sch1Item " w:fldLock="1">
        <w:r w:rsidR="003B3343">
          <w:rPr>
            <w:noProof/>
          </w:rPr>
          <w:t>7</w:t>
        </w:r>
      </w:fldSimple>
      <w:r w:rsidRPr="00555CFF">
        <w:t>]</w:t>
      </w:r>
      <w:r w:rsidRPr="00555CFF">
        <w:tab/>
        <w:t>Schedule 2, Part 1, subitems 5.1 to 5.3</w:t>
      </w:r>
    </w:p>
    <w:p w:rsidR="00203772" w:rsidRPr="00203772" w:rsidRDefault="00203772" w:rsidP="00203772">
      <w:pPr>
        <w:pStyle w:val="A2S"/>
      </w:pPr>
      <w:r>
        <w:t>s</w:t>
      </w:r>
      <w:r w:rsidR="00383E80" w:rsidRPr="00555CFF">
        <w:t>ubstitute</w:t>
      </w:r>
    </w:p>
    <w:tbl>
      <w:tblPr>
        <w:tblW w:w="7230" w:type="dxa"/>
        <w:tblInd w:w="-34" w:type="dxa"/>
        <w:tblLayout w:type="fixed"/>
        <w:tblLook w:val="04A0"/>
      </w:tblPr>
      <w:tblGrid>
        <w:gridCol w:w="686"/>
        <w:gridCol w:w="709"/>
        <w:gridCol w:w="5835"/>
      </w:tblGrid>
      <w:tr w:rsidR="00203772" w:rsidRPr="00555CFF" w:rsidTr="00203772">
        <w:trPr>
          <w:cantSplit/>
        </w:trPr>
        <w:tc>
          <w:tcPr>
            <w:tcW w:w="686" w:type="dxa"/>
          </w:tcPr>
          <w:p w:rsidR="00203772" w:rsidRPr="00555CFF" w:rsidRDefault="00203772" w:rsidP="00383E80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555CFF" w:rsidRDefault="00203772" w:rsidP="00383E80">
            <w:pPr>
              <w:pStyle w:val="TableText"/>
            </w:pPr>
            <w:r w:rsidRPr="00555CFF">
              <w:t>5.1</w:t>
            </w:r>
          </w:p>
        </w:tc>
        <w:tc>
          <w:tcPr>
            <w:tcW w:w="5835" w:type="dxa"/>
            <w:shd w:val="clear" w:color="auto" w:fill="auto"/>
          </w:tcPr>
          <w:p w:rsidR="00203772" w:rsidRPr="00555CFF" w:rsidRDefault="00203772" w:rsidP="00CB396B">
            <w:pPr>
              <w:pStyle w:val="TableText"/>
            </w:pPr>
            <w:r w:rsidRPr="00555CFF">
              <w:t>Fuel dispensers used for petroleum products other than LPG</w:t>
            </w:r>
          </w:p>
        </w:tc>
      </w:tr>
      <w:tr w:rsidR="00203772" w:rsidRPr="00555CFF" w:rsidTr="00203772">
        <w:trPr>
          <w:cantSplit/>
        </w:trPr>
        <w:tc>
          <w:tcPr>
            <w:tcW w:w="686" w:type="dxa"/>
          </w:tcPr>
          <w:p w:rsidR="00203772" w:rsidRPr="00555CFF" w:rsidRDefault="00203772" w:rsidP="00383E80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555CFF" w:rsidRDefault="00203772" w:rsidP="00383E80">
            <w:pPr>
              <w:pStyle w:val="TableText"/>
            </w:pPr>
            <w:r w:rsidRPr="00555CFF">
              <w:t>5.2</w:t>
            </w:r>
          </w:p>
        </w:tc>
        <w:tc>
          <w:tcPr>
            <w:tcW w:w="5835" w:type="dxa"/>
            <w:shd w:val="clear" w:color="auto" w:fill="auto"/>
          </w:tcPr>
          <w:p w:rsidR="00203772" w:rsidRPr="00555CFF" w:rsidRDefault="00203772" w:rsidP="00CB396B">
            <w:pPr>
              <w:pStyle w:val="TableText"/>
            </w:pPr>
            <w:r w:rsidRPr="00555CFF">
              <w:t>Flow meters used for petroleum products</w:t>
            </w:r>
          </w:p>
        </w:tc>
      </w:tr>
      <w:tr w:rsidR="00203772" w:rsidRPr="00555CFF" w:rsidTr="00203772">
        <w:trPr>
          <w:cantSplit/>
        </w:trPr>
        <w:tc>
          <w:tcPr>
            <w:tcW w:w="686" w:type="dxa"/>
          </w:tcPr>
          <w:p w:rsidR="00203772" w:rsidRPr="00555CFF" w:rsidRDefault="00203772" w:rsidP="00383E80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555CFF" w:rsidRDefault="00203772" w:rsidP="00383E80">
            <w:pPr>
              <w:pStyle w:val="TableText"/>
            </w:pPr>
            <w:r w:rsidRPr="00555CFF">
              <w:t>5.3</w:t>
            </w:r>
          </w:p>
        </w:tc>
        <w:tc>
          <w:tcPr>
            <w:tcW w:w="5835" w:type="dxa"/>
            <w:shd w:val="clear" w:color="auto" w:fill="auto"/>
          </w:tcPr>
          <w:p w:rsidR="00203772" w:rsidRPr="00555CFF" w:rsidRDefault="00203772" w:rsidP="00CB396B">
            <w:pPr>
              <w:pStyle w:val="TableText"/>
            </w:pPr>
            <w:r w:rsidRPr="00555CFF">
              <w:t>Flow meters used for liquids other than petroleum products</w:t>
            </w:r>
          </w:p>
        </w:tc>
      </w:tr>
    </w:tbl>
    <w:p w:rsidR="00E007E8" w:rsidRPr="00555CFF" w:rsidRDefault="00E007E8" w:rsidP="00E007E8">
      <w:pPr>
        <w:pStyle w:val="A1S"/>
      </w:pPr>
      <w:r w:rsidRPr="00555CFF">
        <w:t>[</w:t>
      </w:r>
      <w:fldSimple w:instr=" SEQ Sch1Item " w:fldLock="1">
        <w:r w:rsidR="003B3343">
          <w:rPr>
            <w:noProof/>
          </w:rPr>
          <w:t>8</w:t>
        </w:r>
      </w:fldSimple>
      <w:r w:rsidRPr="00555CFF">
        <w:t>]</w:t>
      </w:r>
      <w:r w:rsidRPr="00555CFF">
        <w:tab/>
        <w:t>Schedule 2, Part 1, subitems 10.1 and 10.2</w:t>
      </w:r>
    </w:p>
    <w:p w:rsidR="00E007E8" w:rsidRPr="00555CFF" w:rsidRDefault="00E007E8" w:rsidP="00E007E8">
      <w:pPr>
        <w:pStyle w:val="A2S"/>
      </w:pPr>
      <w:r w:rsidRPr="00555CFF">
        <w:t>substitute</w:t>
      </w:r>
    </w:p>
    <w:tbl>
      <w:tblPr>
        <w:tblW w:w="7196" w:type="dxa"/>
        <w:tblLayout w:type="fixed"/>
        <w:tblLook w:val="04A0"/>
      </w:tblPr>
      <w:tblGrid>
        <w:gridCol w:w="675"/>
        <w:gridCol w:w="709"/>
        <w:gridCol w:w="5812"/>
      </w:tblGrid>
      <w:tr w:rsidR="00203772" w:rsidRPr="00555CFF" w:rsidTr="00203772">
        <w:trPr>
          <w:cantSplit/>
        </w:trPr>
        <w:tc>
          <w:tcPr>
            <w:tcW w:w="675" w:type="dxa"/>
          </w:tcPr>
          <w:p w:rsidR="00203772" w:rsidRPr="00555CFF" w:rsidRDefault="00203772" w:rsidP="0076149E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555CFF" w:rsidRDefault="00203772" w:rsidP="00223F2E">
            <w:pPr>
              <w:pStyle w:val="TableText"/>
            </w:pPr>
            <w:r w:rsidRPr="00555CFF">
              <w:t>10.1</w:t>
            </w:r>
          </w:p>
        </w:tc>
        <w:tc>
          <w:tcPr>
            <w:tcW w:w="5812" w:type="dxa"/>
            <w:shd w:val="clear" w:color="auto" w:fill="auto"/>
          </w:tcPr>
          <w:p w:rsidR="00203772" w:rsidRPr="00555CFF" w:rsidRDefault="00203772" w:rsidP="00017396">
            <w:pPr>
              <w:pStyle w:val="TableText"/>
            </w:pPr>
            <w:r w:rsidRPr="00555CFF">
              <w:t>Fuel dispensers used for LPG, other than cryogenic liquids</w:t>
            </w:r>
          </w:p>
        </w:tc>
      </w:tr>
      <w:tr w:rsidR="00203772" w:rsidRPr="00DD00F4" w:rsidTr="00203772">
        <w:trPr>
          <w:cantSplit/>
        </w:trPr>
        <w:tc>
          <w:tcPr>
            <w:tcW w:w="675" w:type="dxa"/>
          </w:tcPr>
          <w:p w:rsidR="00203772" w:rsidRPr="00555CFF" w:rsidRDefault="00203772" w:rsidP="0076149E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555CFF" w:rsidRDefault="00203772" w:rsidP="00223F2E">
            <w:pPr>
              <w:pStyle w:val="TableText"/>
            </w:pPr>
            <w:r w:rsidRPr="00555CFF">
              <w:t>10.2</w:t>
            </w:r>
          </w:p>
        </w:tc>
        <w:tc>
          <w:tcPr>
            <w:tcW w:w="5812" w:type="dxa"/>
            <w:shd w:val="clear" w:color="auto" w:fill="auto"/>
          </w:tcPr>
          <w:p w:rsidR="00203772" w:rsidRPr="00017396" w:rsidRDefault="00203772" w:rsidP="00017396">
            <w:pPr>
              <w:pStyle w:val="TableText"/>
            </w:pPr>
            <w:r w:rsidRPr="00555CFF">
              <w:t>Flow meters used for LPG, other than cryogenic liquids</w:t>
            </w:r>
          </w:p>
        </w:tc>
      </w:tr>
    </w:tbl>
    <w:p w:rsidR="00383E80" w:rsidRDefault="00383E80" w:rsidP="00383E80">
      <w:pPr>
        <w:pStyle w:val="A1S"/>
      </w:pPr>
      <w:r>
        <w:t>[</w:t>
      </w:r>
      <w:fldSimple w:instr=" SEQ Sch1Item " w:fldLock="1">
        <w:r w:rsidR="003B3343">
          <w:rPr>
            <w:noProof/>
          </w:rPr>
          <w:t>9</w:t>
        </w:r>
      </w:fldSimple>
      <w:r>
        <w:t>]</w:t>
      </w:r>
      <w:r>
        <w:tab/>
        <w:t>Schedule 2, Part 1, subitems 15.1 to 15.3</w:t>
      </w:r>
    </w:p>
    <w:p w:rsidR="00383E80" w:rsidRDefault="00383E80" w:rsidP="00383E80">
      <w:pPr>
        <w:pStyle w:val="A2S"/>
      </w:pPr>
      <w:r>
        <w:t>substitute</w:t>
      </w:r>
    </w:p>
    <w:tbl>
      <w:tblPr>
        <w:tblW w:w="7196" w:type="dxa"/>
        <w:tblLayout w:type="fixed"/>
        <w:tblLook w:val="04A0"/>
      </w:tblPr>
      <w:tblGrid>
        <w:gridCol w:w="675"/>
        <w:gridCol w:w="709"/>
        <w:gridCol w:w="5812"/>
      </w:tblGrid>
      <w:tr w:rsidR="00203772" w:rsidRPr="00DD00F4" w:rsidTr="00203772">
        <w:trPr>
          <w:cantSplit/>
        </w:trPr>
        <w:tc>
          <w:tcPr>
            <w:tcW w:w="675" w:type="dxa"/>
          </w:tcPr>
          <w:p w:rsidR="00203772" w:rsidRPr="00555CFF" w:rsidRDefault="00203772" w:rsidP="0076149E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DD00F4" w:rsidRDefault="00203772" w:rsidP="00E007E8">
            <w:pPr>
              <w:pStyle w:val="TableText"/>
            </w:pPr>
            <w:r w:rsidRPr="00DD00F4">
              <w:t>15.1</w:t>
            </w:r>
          </w:p>
        </w:tc>
        <w:tc>
          <w:tcPr>
            <w:tcW w:w="5812" w:type="dxa"/>
            <w:shd w:val="clear" w:color="auto" w:fill="auto"/>
          </w:tcPr>
          <w:p w:rsidR="00203772" w:rsidRPr="00DD00F4" w:rsidRDefault="00203772" w:rsidP="00E42BFB">
            <w:pPr>
              <w:pStyle w:val="TableText"/>
            </w:pPr>
            <w:r>
              <w:t>Grain</w:t>
            </w:r>
          </w:p>
        </w:tc>
      </w:tr>
      <w:tr w:rsidR="00203772" w:rsidRPr="00DD00F4" w:rsidTr="00203772">
        <w:trPr>
          <w:cantSplit/>
        </w:trPr>
        <w:tc>
          <w:tcPr>
            <w:tcW w:w="675" w:type="dxa"/>
          </w:tcPr>
          <w:p w:rsidR="00203772" w:rsidRPr="00555CFF" w:rsidRDefault="00203772" w:rsidP="0076149E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DD00F4" w:rsidRDefault="00203772" w:rsidP="00E007E8">
            <w:pPr>
              <w:pStyle w:val="TableText"/>
            </w:pPr>
            <w:r w:rsidRPr="00DD00F4">
              <w:t>15.2</w:t>
            </w:r>
          </w:p>
        </w:tc>
        <w:tc>
          <w:tcPr>
            <w:tcW w:w="5812" w:type="dxa"/>
            <w:shd w:val="clear" w:color="auto" w:fill="auto"/>
          </w:tcPr>
          <w:p w:rsidR="00203772" w:rsidRPr="00DD00F4" w:rsidRDefault="00203772" w:rsidP="00E007E8">
            <w:pPr>
              <w:pStyle w:val="TableText"/>
            </w:pPr>
            <w:r>
              <w:t>Cane s</w:t>
            </w:r>
            <w:r w:rsidRPr="00DD00F4">
              <w:t>ugar</w:t>
            </w:r>
          </w:p>
        </w:tc>
      </w:tr>
      <w:tr w:rsidR="00203772" w:rsidRPr="00DD00F4" w:rsidTr="00203772">
        <w:trPr>
          <w:cantSplit/>
        </w:trPr>
        <w:tc>
          <w:tcPr>
            <w:tcW w:w="675" w:type="dxa"/>
          </w:tcPr>
          <w:p w:rsidR="00203772" w:rsidRPr="00DD00F4" w:rsidRDefault="00203772" w:rsidP="00E007E8">
            <w:pPr>
              <w:pStyle w:val="TableText"/>
            </w:pPr>
          </w:p>
        </w:tc>
        <w:tc>
          <w:tcPr>
            <w:tcW w:w="709" w:type="dxa"/>
            <w:shd w:val="clear" w:color="auto" w:fill="auto"/>
          </w:tcPr>
          <w:p w:rsidR="00203772" w:rsidRPr="00DD00F4" w:rsidRDefault="00203772" w:rsidP="00E007E8">
            <w:pPr>
              <w:pStyle w:val="TableText"/>
            </w:pPr>
            <w:r w:rsidRPr="00DD00F4">
              <w:t>15.3</w:t>
            </w:r>
          </w:p>
        </w:tc>
        <w:tc>
          <w:tcPr>
            <w:tcW w:w="5812" w:type="dxa"/>
            <w:shd w:val="clear" w:color="auto" w:fill="auto"/>
          </w:tcPr>
          <w:p w:rsidR="00203772" w:rsidRPr="00DD00F4" w:rsidRDefault="00203772" w:rsidP="00E007E8">
            <w:pPr>
              <w:pStyle w:val="TableText"/>
            </w:pPr>
            <w:r w:rsidRPr="00DD00F4">
              <w:t>Wine</w:t>
            </w:r>
            <w:r>
              <w:t xml:space="preserve"> grapes</w:t>
            </w:r>
          </w:p>
        </w:tc>
      </w:tr>
    </w:tbl>
    <w:p w:rsidR="000A58FE" w:rsidRDefault="000A58FE" w:rsidP="003B4C2C">
      <w:pPr>
        <w:pStyle w:val="SchedSectionBreak"/>
        <w:sectPr w:rsidR="000A58FE" w:rsidSect="003B4C2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A58FE" w:rsidRDefault="000A58FE" w:rsidP="00DE1652">
      <w:pPr>
        <w:pStyle w:val="NoteEnd"/>
        <w:keepNext/>
        <w:spacing w:before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0A58FE" w:rsidRDefault="000A58FE" w:rsidP="003B4C2C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6" w:history="1">
        <w:r w:rsidRPr="00F905D1">
          <w:rPr>
            <w:rStyle w:val="Hyperlink"/>
          </w:rPr>
          <w:t>www.comlaw.gov.au</w:t>
        </w:r>
      </w:hyperlink>
      <w:r w:rsidRPr="00F905D1">
        <w:rPr>
          <w:color w:val="000000"/>
          <w:u w:val="single"/>
        </w:rPr>
        <w:t>.</w:t>
      </w:r>
    </w:p>
    <w:p w:rsidR="000A58FE" w:rsidRDefault="000A58FE" w:rsidP="003B4C2C">
      <w:pPr>
        <w:pStyle w:val="NotesSectionBreak"/>
        <w:sectPr w:rsidR="000A58FE" w:rsidSect="003B4C2C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A58FE" w:rsidRPr="000A58FE" w:rsidRDefault="000A58FE" w:rsidP="000A58FE"/>
    <w:sectPr w:rsidR="000A58FE" w:rsidRPr="000A58FE" w:rsidSect="000A58FE">
      <w:headerReference w:type="even" r:id="rId33"/>
      <w:headerReference w:type="default" r:id="rId34"/>
      <w:footerReference w:type="even" r:id="rId35"/>
      <w:footerReference w:type="default" r:id="rId36"/>
      <w:footerReference w:type="first" r:id="rId37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04" w:rsidRDefault="00106604">
      <w:r>
        <w:separator/>
      </w:r>
    </w:p>
  </w:endnote>
  <w:endnote w:type="continuationSeparator" w:id="0">
    <w:p w:rsidR="00106604" w:rsidRDefault="0010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 w:rsidP="003B4C2C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905D1">
      <w:tc>
        <w:tcPr>
          <w:tcW w:w="1134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fldSimple w:instr=" REF  Citation\*charformat ">
            <w:r w:rsidR="003B3343">
              <w:t>National Trade Measurement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jc w:val="right"/>
          </w:pPr>
          <w:fldSimple w:instr=" REF Year \*Charformat ">
            <w:r w:rsidR="003B3343">
              <w:t>2012</w:t>
            </w:r>
          </w:fldSimple>
          <w:r w:rsidRPr="007F6065">
            <w:t xml:space="preserve">, </w:t>
          </w:r>
          <w:fldSimple w:instr=" REF refno \*Charformat ">
            <w:r w:rsidR="003B3343">
              <w:t>302</w:t>
            </w:r>
          </w:fldSimple>
        </w:p>
      </w:tc>
    </w:tr>
  </w:tbl>
  <w:p w:rsidR="00F905D1" w:rsidRDefault="00F905D1" w:rsidP="003B4C2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 w:rsidP="003B4C2C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905D1">
      <w:tc>
        <w:tcPr>
          <w:tcW w:w="1134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fldSimple w:instr=" REF  Citation\*charformat ">
            <w:r w:rsidR="003B3343">
              <w:t>National Trade Measurement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jc w:val="right"/>
          </w:pPr>
          <w:fldSimple w:instr=" REF Year \*Charformat ">
            <w:r w:rsidR="003B3343">
              <w:t>2012</w:t>
            </w:r>
          </w:fldSimple>
          <w:r w:rsidRPr="007F6065">
            <w:t xml:space="preserve">, </w:t>
          </w:r>
          <w:fldSimple w:instr=" REF refno \*Charformat ">
            <w:r w:rsidR="003B3343">
              <w:t>302</w:t>
            </w:r>
          </w:fldSimple>
        </w:p>
      </w:tc>
    </w:tr>
  </w:tbl>
  <w:p w:rsidR="00F905D1" w:rsidRDefault="00F905D1" w:rsidP="003B4C2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A41806" w:rsidRDefault="00F905D1" w:rsidP="003B4C2C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905D1" w:rsidRPr="00A41806">
      <w:tc>
        <w:tcPr>
          <w:tcW w:w="1191" w:type="dxa"/>
          <w:shd w:val="clear" w:color="auto" w:fill="auto"/>
        </w:tcPr>
        <w:p w:rsidR="00F905D1" w:rsidRPr="00A41806" w:rsidRDefault="00F905D1" w:rsidP="003B4C2C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B3343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B3343">
            <w:fldChar w:fldCharType="separate"/>
          </w:r>
          <w:r w:rsidR="003B3343">
            <w:t>302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B3343">
            <w:t>National Trade Measurement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905D1" w:rsidRPr="005968DD" w:rsidRDefault="00F905D1" w:rsidP="003B4C2C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7</w:t>
          </w:r>
          <w:r w:rsidRPr="005968DD">
            <w:rPr>
              <w:rStyle w:val="PageNumber"/>
            </w:rPr>
            <w:fldChar w:fldCharType="end"/>
          </w:r>
        </w:p>
      </w:tc>
    </w:tr>
  </w:tbl>
  <w:p w:rsidR="00F905D1" w:rsidRPr="00A41806" w:rsidRDefault="00F905D1" w:rsidP="003B4C2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556EB9" w:rsidRDefault="007B2874" w:rsidP="003B4C2C">
    <w:pPr>
      <w:pStyle w:val="FooterCitation"/>
    </w:pPr>
    <w:r>
      <w:rPr>
        <w:noProof/>
      </w:rPr>
      <w:t>G:\Drafting-Unit 2\#edit\1211253A Drafts\1211253A-121108Z.doc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A41806" w:rsidRDefault="00F905D1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905D1" w:rsidRPr="00A41806">
      <w:tc>
        <w:tcPr>
          <w:tcW w:w="1134" w:type="dxa"/>
        </w:tcPr>
        <w:p w:rsidR="00F905D1" w:rsidRPr="00A41806" w:rsidRDefault="00F905D1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F905D1" w:rsidRPr="00EF2F9D" w:rsidRDefault="00F905D1" w:rsidP="008C15A7">
          <w:pPr>
            <w:pStyle w:val="FooterCitation"/>
          </w:pPr>
          <w:fldSimple w:instr=" REF  Citation\*charformat ">
            <w:r w:rsidR="003B3343">
              <w:t>National Trade Measurement Amendment Regulation 2012 (No. 1)</w:t>
            </w:r>
          </w:fldSimple>
        </w:p>
      </w:tc>
      <w:tc>
        <w:tcPr>
          <w:tcW w:w="1191" w:type="dxa"/>
        </w:tcPr>
        <w:p w:rsidR="00F905D1" w:rsidRPr="00A41806" w:rsidRDefault="00F905D1" w:rsidP="008C15A7">
          <w:pPr>
            <w:pStyle w:val="Footer"/>
            <w:spacing w:before="20"/>
            <w:jc w:val="right"/>
          </w:pPr>
          <w:fldSimple w:instr=" REF Year \*Charformat ">
            <w:r w:rsidR="003B3343">
              <w:t>2012</w:t>
            </w:r>
          </w:fldSimple>
          <w:r w:rsidRPr="00A41806">
            <w:t xml:space="preserve">, </w:t>
          </w:r>
          <w:fldSimple w:instr=" REF refno \*Charformat ">
            <w:r w:rsidR="003B3343">
              <w:t>302</w:t>
            </w:r>
          </w:fldSimple>
        </w:p>
      </w:tc>
    </w:tr>
  </w:tbl>
  <w:p w:rsidR="00F905D1" w:rsidRPr="00A41806" w:rsidRDefault="00F905D1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F905D1" w:rsidRPr="004675CE" w:rsidRDefault="00F905D1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905D1" w:rsidRPr="004675CE" w:rsidRDefault="007B287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F905D1" w:rsidRPr="004675CE" w:rsidRDefault="00F905D1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F905D1" w:rsidRPr="004675CE" w:rsidRDefault="007B287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905D1" w:rsidRPr="008D3896">
      <w:tc>
        <w:tcPr>
          <w:tcW w:w="1191" w:type="dxa"/>
        </w:tcPr>
        <w:p w:rsidR="00F905D1" w:rsidRPr="008D3896" w:rsidRDefault="00F905D1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F905D1" w:rsidRPr="00EF2F9D" w:rsidRDefault="00F905D1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F905D1" w:rsidRPr="008D3896" w:rsidRDefault="00F905D1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F905D1" w:rsidRDefault="00F905D1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F905D1" w:rsidRPr="004675CE" w:rsidRDefault="00F905D1">
                <w:pPr>
                  <w:pStyle w:val="FooterDraft"/>
                </w:pPr>
                <w:r w:rsidRPr="004675CE">
                  <w:t>DRAFT ONLY</w:t>
                </w:r>
              </w:p>
              <w:p w:rsidR="00F905D1" w:rsidRPr="004675CE" w:rsidRDefault="007B2874">
                <w:pPr>
                  <w:pStyle w:val="FooterInfo"/>
                </w:pPr>
                <w:r>
                  <w:rPr>
                    <w:noProof/>
                  </w:rPr>
                  <w:t>1211253A-121108Z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A41806" w:rsidRDefault="00F905D1" w:rsidP="003B4C2C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905D1" w:rsidRPr="00A41806">
      <w:tc>
        <w:tcPr>
          <w:tcW w:w="1191" w:type="dxa"/>
          <w:shd w:val="clear" w:color="auto" w:fill="auto"/>
        </w:tcPr>
        <w:p w:rsidR="00F905D1" w:rsidRPr="00A41806" w:rsidRDefault="00F905D1" w:rsidP="003B4C2C">
          <w:pPr>
            <w:pStyle w:val="Footer"/>
            <w:spacing w:before="20"/>
          </w:pPr>
          <w:fldSimple w:instr=" REF Year \*Charformat ">
            <w:r w:rsidR="003B3343">
              <w:t>2012</w:t>
            </w:r>
          </w:fldSimple>
          <w:r w:rsidRPr="00A41806">
            <w:t xml:space="preserve">, </w:t>
          </w:r>
          <w:fldSimple w:instr=" REF refno \*Charformat ">
            <w:r w:rsidR="003B3343">
              <w:t>302</w:t>
            </w:r>
          </w:fldSimple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fldSimple w:instr=" REF  Citation\*charformat ">
            <w:r w:rsidR="003B3343">
              <w:t>National Trade Measurement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F905D1" w:rsidRPr="0014079B" w:rsidRDefault="00F905D1" w:rsidP="003B4C2C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F905D1" w:rsidRPr="00094457" w:rsidRDefault="00F905D1" w:rsidP="003B4C2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 w:rsidP="003B4C2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F905D1" w:rsidRPr="004675CE" w:rsidRDefault="00F905D1" w:rsidP="003B4C2C">
                <w:pPr>
                  <w:pStyle w:val="FooterDraft"/>
                </w:pPr>
              </w:p>
              <w:p w:rsidR="00F905D1" w:rsidRPr="004675CE" w:rsidRDefault="007B2874" w:rsidP="003B4C2C">
                <w:pPr>
                  <w:pStyle w:val="FooterInfo"/>
                </w:pPr>
                <w:r>
                  <w:rPr>
                    <w:noProof/>
                  </w:rPr>
                  <w:t>1211253A-121108Z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 w:rsidP="003B4C2C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905D1">
      <w:tc>
        <w:tcPr>
          <w:tcW w:w="1134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fldSimple w:instr=" REF  Citation\*charformat ">
            <w:r w:rsidR="003B3343">
              <w:t>National Trade Measurement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jc w:val="right"/>
          </w:pPr>
          <w:fldSimple w:instr=" REF Year \*Charformat ">
            <w:r w:rsidR="003B3343">
              <w:t>2012</w:t>
            </w:r>
          </w:fldSimple>
          <w:r w:rsidRPr="007F6065">
            <w:t xml:space="preserve">, </w:t>
          </w:r>
          <w:fldSimple w:instr=" REF refno \*Charformat ">
            <w:r w:rsidR="003B3343">
              <w:t>302</w:t>
            </w:r>
          </w:fldSimple>
        </w:p>
      </w:tc>
    </w:tr>
  </w:tbl>
  <w:p w:rsidR="00F905D1" w:rsidRDefault="00F905D1" w:rsidP="003B4C2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A41806" w:rsidRDefault="00F905D1" w:rsidP="003B4C2C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905D1" w:rsidRPr="00A41806">
      <w:tc>
        <w:tcPr>
          <w:tcW w:w="1191" w:type="dxa"/>
          <w:shd w:val="clear" w:color="auto" w:fill="auto"/>
        </w:tcPr>
        <w:p w:rsidR="00F905D1" w:rsidRPr="00A41806" w:rsidRDefault="00F905D1" w:rsidP="003B4C2C">
          <w:pPr>
            <w:pStyle w:val="Footer"/>
            <w:spacing w:before="20"/>
          </w:pPr>
          <w:fldSimple w:instr=" REF Year \*Charformat ">
            <w:r w:rsidR="003B3343">
              <w:t>2012</w:t>
            </w:r>
          </w:fldSimple>
          <w:r w:rsidRPr="00A41806">
            <w:t xml:space="preserve">, </w:t>
          </w:r>
          <w:fldSimple w:instr=" REF refno \*Charformat ">
            <w:r w:rsidR="003B3343">
              <w:t>302</w:t>
            </w:r>
          </w:fldSimple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fldSimple w:instr=" REF  Citation\*charformat ">
            <w:r w:rsidR="003B3343">
              <w:t>National Trade Measurement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F905D1" w:rsidRPr="00845B98" w:rsidRDefault="00F905D1" w:rsidP="003B4C2C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905D1" w:rsidRPr="00A41806" w:rsidRDefault="00F905D1" w:rsidP="003B4C2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556EB9" w:rsidRDefault="007B2874" w:rsidP="003B4C2C">
    <w:pPr>
      <w:pStyle w:val="FooterCitation"/>
    </w:pPr>
    <w:r>
      <w:rPr>
        <w:noProof/>
      </w:rPr>
      <w:t>G:\Drafting-Unit 2\#edit\1211253A Drafts\1211253A-121108Z.doc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 w:rsidP="003B4C2C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905D1">
      <w:tc>
        <w:tcPr>
          <w:tcW w:w="1134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6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fldSimple w:instr=" REF  Citation\*charformat ">
            <w:r w:rsidR="003B3343">
              <w:t>National Trade Measurement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F905D1" w:rsidRPr="007F6065" w:rsidRDefault="00F905D1" w:rsidP="003B4C2C">
          <w:pPr>
            <w:pStyle w:val="Footer"/>
            <w:spacing w:before="20"/>
            <w:jc w:val="right"/>
          </w:pPr>
          <w:fldSimple w:instr=" REF Year \*Charformat ">
            <w:r w:rsidR="003B3343">
              <w:t>2012</w:t>
            </w:r>
          </w:fldSimple>
          <w:r w:rsidRPr="007F6065">
            <w:t xml:space="preserve">, </w:t>
          </w:r>
          <w:fldSimple w:instr=" REF refno \*Charformat ">
            <w:r w:rsidR="003B3343">
              <w:t>302</w:t>
            </w:r>
          </w:fldSimple>
        </w:p>
      </w:tc>
    </w:tr>
  </w:tbl>
  <w:p w:rsidR="00F905D1" w:rsidRDefault="00F905D1" w:rsidP="003B4C2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F905D1" w:rsidRPr="004675CE" w:rsidRDefault="00F905D1" w:rsidP="008B5549">
                <w:pPr>
                  <w:pStyle w:val="FooterDraft"/>
                </w:pPr>
              </w:p>
              <w:p w:rsidR="00F905D1" w:rsidRPr="004675CE" w:rsidRDefault="007B2874" w:rsidP="003B4C2C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B2874">
                  <w:rPr>
                    <w:rFonts w:ascii="Arial" w:hAnsi="Arial" w:cs="Arial"/>
                    <w:noProof/>
                    <w:sz w:val="12"/>
                    <w:szCs w:val="12"/>
                  </w:rPr>
                  <w:t>1211253A-121108Z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A41806" w:rsidRDefault="00F905D1" w:rsidP="003B4C2C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905D1" w:rsidRPr="00845B98">
      <w:tc>
        <w:tcPr>
          <w:tcW w:w="1191" w:type="dxa"/>
          <w:shd w:val="clear" w:color="auto" w:fill="auto"/>
        </w:tcPr>
        <w:p w:rsidR="00F905D1" w:rsidRPr="00A41806" w:rsidRDefault="00F905D1" w:rsidP="003B4C2C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B3343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B3343">
            <w:fldChar w:fldCharType="separate"/>
          </w:r>
          <w:r w:rsidR="003B3343">
            <w:t>302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905D1" w:rsidRPr="00EF2F9D" w:rsidRDefault="00F905D1" w:rsidP="003B4C2C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B3343">
            <w:t>National Trade Measurement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905D1" w:rsidRPr="00845B98" w:rsidRDefault="00F905D1" w:rsidP="003B4C2C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B3343">
            <w:rPr>
              <w:rStyle w:val="PageNumber"/>
              <w:noProof/>
            </w:rPr>
            <w:t>5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905D1" w:rsidRPr="00A41806" w:rsidRDefault="00F905D1" w:rsidP="003B4C2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F905D1" w:rsidRPr="003B3343" w:rsidRDefault="00F905D1" w:rsidP="003B3343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Pr="00556EB9" w:rsidRDefault="007B2874" w:rsidP="003B4C2C">
    <w:pPr>
      <w:pStyle w:val="FooterCitation"/>
    </w:pPr>
    <w:r>
      <w:rPr>
        <w:noProof/>
      </w:rPr>
      <w:t>G:\Drafting-Unit 2\#edit\1211253A Drafts\1211253A-121108Z.doc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04" w:rsidRDefault="00106604">
      <w:r>
        <w:separator/>
      </w:r>
    </w:p>
  </w:footnote>
  <w:footnote w:type="continuationSeparator" w:id="0">
    <w:p w:rsidR="00106604" w:rsidRDefault="00106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905D1">
      <w:tc>
        <w:tcPr>
          <w:tcW w:w="1531" w:type="dxa"/>
        </w:tcPr>
        <w:p w:rsidR="00F905D1" w:rsidRDefault="00F905D1">
          <w:pPr>
            <w:pStyle w:val="HeaderLiteEven"/>
          </w:pPr>
        </w:p>
      </w:tc>
      <w:tc>
        <w:tcPr>
          <w:tcW w:w="5636" w:type="dxa"/>
          <w:vAlign w:val="bottom"/>
        </w:tcPr>
        <w:p w:rsidR="00F905D1" w:rsidRDefault="00F905D1">
          <w:pPr>
            <w:pStyle w:val="HeaderLiteEven"/>
          </w:pPr>
        </w:p>
      </w:tc>
    </w:tr>
    <w:tr w:rsidR="00F905D1">
      <w:tc>
        <w:tcPr>
          <w:tcW w:w="1531" w:type="dxa"/>
        </w:tcPr>
        <w:p w:rsidR="00F905D1" w:rsidRDefault="00F905D1">
          <w:pPr>
            <w:pStyle w:val="HeaderLiteEven"/>
          </w:pPr>
        </w:p>
      </w:tc>
      <w:tc>
        <w:tcPr>
          <w:tcW w:w="5636" w:type="dxa"/>
          <w:vAlign w:val="bottom"/>
        </w:tcPr>
        <w:p w:rsidR="00F905D1" w:rsidRDefault="00F905D1">
          <w:pPr>
            <w:pStyle w:val="HeaderLiteEven"/>
          </w:pPr>
        </w:p>
      </w:tc>
    </w:tr>
    <w:tr w:rsidR="00F905D1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05D1" w:rsidRDefault="00F905D1">
          <w:pPr>
            <w:pStyle w:val="HeaderBoldEven"/>
          </w:pPr>
        </w:p>
      </w:tc>
    </w:tr>
  </w:tbl>
  <w:p w:rsidR="00F905D1" w:rsidRDefault="00F905D1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905D1">
      <w:tc>
        <w:tcPr>
          <w:tcW w:w="7167" w:type="dxa"/>
        </w:tcPr>
        <w:p w:rsidR="00F905D1" w:rsidRDefault="00F905D1">
          <w:pPr>
            <w:pStyle w:val="HeaderLiteOdd"/>
          </w:pPr>
          <w:r>
            <w:t>Note</w:t>
          </w:r>
        </w:p>
      </w:tc>
    </w:tr>
    <w:tr w:rsidR="00F905D1">
      <w:tc>
        <w:tcPr>
          <w:tcW w:w="7167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905D1" w:rsidRDefault="00F905D1">
          <w:pPr>
            <w:pStyle w:val="HeaderBoldOdd"/>
          </w:pPr>
        </w:p>
      </w:tc>
    </w:tr>
  </w:tbl>
  <w:p w:rsidR="00F905D1" w:rsidRDefault="00F905D1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F905D1">
      <w:tc>
        <w:tcPr>
          <w:tcW w:w="1531" w:type="dxa"/>
        </w:tcPr>
        <w:p w:rsidR="00F905D1" w:rsidRDefault="00F905D1" w:rsidP="004B0996">
          <w:pPr>
            <w:pStyle w:val="HeaderLiteEven"/>
          </w:pPr>
        </w:p>
      </w:tc>
      <w:tc>
        <w:tcPr>
          <w:tcW w:w="5636" w:type="dxa"/>
        </w:tcPr>
        <w:p w:rsidR="00F905D1" w:rsidRDefault="00F905D1" w:rsidP="004B0996">
          <w:pPr>
            <w:pStyle w:val="HeaderLiteEven"/>
          </w:pPr>
        </w:p>
      </w:tc>
    </w:tr>
    <w:tr w:rsidR="00F905D1">
      <w:tc>
        <w:tcPr>
          <w:tcW w:w="1531" w:type="dxa"/>
        </w:tcPr>
        <w:p w:rsidR="00F905D1" w:rsidRDefault="00F905D1" w:rsidP="004B0996">
          <w:pPr>
            <w:pStyle w:val="HeaderLiteEven"/>
          </w:pPr>
        </w:p>
      </w:tc>
      <w:tc>
        <w:tcPr>
          <w:tcW w:w="5636" w:type="dxa"/>
        </w:tcPr>
        <w:p w:rsidR="00F905D1" w:rsidRDefault="00F905D1" w:rsidP="004B0996">
          <w:pPr>
            <w:pStyle w:val="HeaderLiteEven"/>
          </w:pPr>
        </w:p>
      </w:tc>
    </w:tr>
    <w:tr w:rsidR="00F905D1">
      <w:tc>
        <w:tcPr>
          <w:tcW w:w="1531" w:type="dxa"/>
        </w:tcPr>
        <w:p w:rsidR="00F905D1" w:rsidRDefault="00F905D1" w:rsidP="004B0996">
          <w:pPr>
            <w:pStyle w:val="HeaderBoldEven"/>
          </w:pPr>
        </w:p>
      </w:tc>
      <w:tc>
        <w:tcPr>
          <w:tcW w:w="5636" w:type="dxa"/>
        </w:tcPr>
        <w:p w:rsidR="00F905D1" w:rsidRDefault="00F905D1" w:rsidP="004B0996">
          <w:pPr>
            <w:pStyle w:val="HeaderBoldEven"/>
          </w:pPr>
        </w:p>
      </w:tc>
    </w:tr>
  </w:tbl>
  <w:p w:rsidR="00F905D1" w:rsidRDefault="00F905D1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F905D1">
      <w:tc>
        <w:tcPr>
          <w:tcW w:w="1531" w:type="dxa"/>
        </w:tcPr>
        <w:p w:rsidR="00F905D1" w:rsidRDefault="00F905D1">
          <w:pPr>
            <w:pStyle w:val="HeaderLiteOdd"/>
          </w:pPr>
        </w:p>
      </w:tc>
      <w:tc>
        <w:tcPr>
          <w:tcW w:w="1531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1531" w:type="dxa"/>
        </w:tcPr>
        <w:p w:rsidR="00F905D1" w:rsidRDefault="00F905D1">
          <w:pPr>
            <w:pStyle w:val="HeaderLiteOdd"/>
          </w:pPr>
        </w:p>
      </w:tc>
      <w:tc>
        <w:tcPr>
          <w:tcW w:w="1531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5636" w:type="dxa"/>
          <w:tcBorders>
            <w:bottom w:val="single" w:sz="4" w:space="0" w:color="auto"/>
          </w:tcBorders>
        </w:tcPr>
        <w:p w:rsidR="00F905D1" w:rsidRDefault="00F905D1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F905D1" w:rsidRDefault="00F905D1">
          <w:pPr>
            <w:pStyle w:val="HeaderBoldOdd"/>
          </w:pPr>
        </w:p>
      </w:tc>
    </w:tr>
  </w:tbl>
  <w:p w:rsidR="00F905D1" w:rsidRDefault="00F905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905D1">
      <w:tc>
        <w:tcPr>
          <w:tcW w:w="5636" w:type="dxa"/>
          <w:vAlign w:val="bottom"/>
        </w:tcPr>
        <w:p w:rsidR="00F905D1" w:rsidRDefault="00F905D1">
          <w:pPr>
            <w:pStyle w:val="HeaderLiteOdd"/>
          </w:pPr>
        </w:p>
      </w:tc>
      <w:tc>
        <w:tcPr>
          <w:tcW w:w="1531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5636" w:type="dxa"/>
          <w:vAlign w:val="bottom"/>
        </w:tcPr>
        <w:p w:rsidR="00F905D1" w:rsidRDefault="00F905D1">
          <w:pPr>
            <w:pStyle w:val="HeaderLiteOdd"/>
          </w:pPr>
        </w:p>
      </w:tc>
      <w:tc>
        <w:tcPr>
          <w:tcW w:w="1531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05D1" w:rsidRDefault="00F905D1">
          <w:pPr>
            <w:pStyle w:val="HeaderBoldOdd"/>
          </w:pPr>
        </w:p>
      </w:tc>
    </w:tr>
  </w:tbl>
  <w:p w:rsidR="00F905D1" w:rsidRDefault="00F905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905D1">
      <w:tc>
        <w:tcPr>
          <w:tcW w:w="1531" w:type="dxa"/>
        </w:tcPr>
        <w:p w:rsidR="00F905D1" w:rsidRDefault="00F905D1">
          <w:pPr>
            <w:pStyle w:val="HeaderLiteEven"/>
          </w:pPr>
        </w:p>
      </w:tc>
      <w:tc>
        <w:tcPr>
          <w:tcW w:w="5636" w:type="dxa"/>
          <w:vAlign w:val="bottom"/>
        </w:tcPr>
        <w:p w:rsidR="00F905D1" w:rsidRDefault="00F905D1">
          <w:pPr>
            <w:pStyle w:val="HeaderLiteEven"/>
          </w:pPr>
        </w:p>
      </w:tc>
    </w:tr>
    <w:tr w:rsidR="00F905D1">
      <w:tc>
        <w:tcPr>
          <w:tcW w:w="1531" w:type="dxa"/>
        </w:tcPr>
        <w:p w:rsidR="00F905D1" w:rsidRDefault="00F905D1">
          <w:pPr>
            <w:pStyle w:val="HeaderLiteEven"/>
          </w:pPr>
        </w:p>
      </w:tc>
      <w:tc>
        <w:tcPr>
          <w:tcW w:w="5636" w:type="dxa"/>
          <w:vAlign w:val="bottom"/>
        </w:tcPr>
        <w:p w:rsidR="00F905D1" w:rsidRDefault="00F905D1">
          <w:pPr>
            <w:pStyle w:val="HeaderLiteEven"/>
          </w:pPr>
        </w:p>
      </w:tc>
    </w:tr>
    <w:tr w:rsidR="00F905D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05D1" w:rsidRPr="00F905D1" w:rsidRDefault="00F905D1" w:rsidP="003B4C2C">
          <w:pPr>
            <w:pStyle w:val="HeaderBoldEven"/>
          </w:pPr>
          <w:r>
            <w:t xml:space="preserve">Section </w:t>
          </w:r>
          <w:r w:rsidRPr="00F905D1">
            <w:fldChar w:fldCharType="begin"/>
          </w:r>
          <w:r w:rsidRPr="00F905D1">
            <w:instrText xml:space="preserve"> If </w:instrText>
          </w:r>
          <w:fldSimple w:instr=" STYLEREF CharSectnoAm \*Charformat ">
            <w:r w:rsidR="003B3343">
              <w:rPr>
                <w:noProof/>
              </w:rPr>
              <w:instrText>1</w:instrText>
            </w:r>
          </w:fldSimple>
          <w:r w:rsidRPr="00F905D1">
            <w:instrText xml:space="preserve"> &lt;&gt; "Error*" </w:instrText>
          </w:r>
          <w:fldSimple w:instr=" STYLEREF CharSectnoAm \*Charformat ">
            <w:r w:rsidR="003B3343">
              <w:rPr>
                <w:noProof/>
              </w:rPr>
              <w:instrText>1</w:instrText>
            </w:r>
          </w:fldSimple>
          <w:r w:rsidRPr="00F905D1">
            <w:instrText xml:space="preserve"> </w:instrText>
          </w:r>
          <w:r w:rsidRPr="00F905D1">
            <w:fldChar w:fldCharType="separate"/>
          </w:r>
          <w:r w:rsidR="003B3343">
            <w:rPr>
              <w:noProof/>
            </w:rPr>
            <w:t>1</w:t>
          </w:r>
          <w:r w:rsidRPr="00F905D1">
            <w:fldChar w:fldCharType="end"/>
          </w:r>
        </w:p>
      </w:tc>
    </w:tr>
  </w:tbl>
  <w:p w:rsidR="00F905D1" w:rsidRDefault="00F905D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905D1">
      <w:tc>
        <w:tcPr>
          <w:tcW w:w="5636" w:type="dxa"/>
          <w:vAlign w:val="bottom"/>
        </w:tcPr>
        <w:p w:rsidR="00F905D1" w:rsidRDefault="00F905D1">
          <w:pPr>
            <w:pStyle w:val="HeaderLiteOdd"/>
          </w:pPr>
        </w:p>
      </w:tc>
      <w:tc>
        <w:tcPr>
          <w:tcW w:w="1531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5636" w:type="dxa"/>
          <w:vAlign w:val="bottom"/>
        </w:tcPr>
        <w:p w:rsidR="00F905D1" w:rsidRDefault="00F905D1">
          <w:pPr>
            <w:pStyle w:val="HeaderLiteOdd"/>
          </w:pPr>
        </w:p>
      </w:tc>
      <w:tc>
        <w:tcPr>
          <w:tcW w:w="1531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05D1" w:rsidRPr="00F905D1" w:rsidRDefault="00F905D1">
          <w:pPr>
            <w:pStyle w:val="HeaderBoldOdd"/>
          </w:pPr>
          <w:r>
            <w:t xml:space="preserve">Section </w:t>
          </w:r>
          <w:r w:rsidRPr="00F905D1">
            <w:fldChar w:fldCharType="begin"/>
          </w:r>
          <w:r w:rsidRPr="00F905D1">
            <w:instrText xml:space="preserve"> If </w:instrText>
          </w:r>
          <w:fldSimple w:instr=" STYLEREF CharSectnoAm \*Charformat \l ">
            <w:r w:rsidR="003B3343">
              <w:rPr>
                <w:noProof/>
              </w:rPr>
              <w:instrText>1</w:instrText>
            </w:r>
          </w:fldSimple>
          <w:r w:rsidRPr="00F905D1">
            <w:instrText xml:space="preserve"> &lt;&gt; "Error*" </w:instrText>
          </w:r>
          <w:fldSimple w:instr=" STYLEREF CharSectnoAm \*Charformat \l ">
            <w:r w:rsidR="003B3343">
              <w:rPr>
                <w:noProof/>
              </w:rPr>
              <w:instrText>1</w:instrText>
            </w:r>
          </w:fldSimple>
          <w:r w:rsidRPr="00F905D1">
            <w:instrText xml:space="preserve"> </w:instrText>
          </w:r>
          <w:r w:rsidRPr="00F905D1">
            <w:fldChar w:fldCharType="separate"/>
          </w:r>
          <w:r w:rsidR="003B3343">
            <w:rPr>
              <w:noProof/>
            </w:rPr>
            <w:t>1</w:t>
          </w:r>
          <w:r w:rsidRPr="00F905D1">
            <w:fldChar w:fldCharType="end"/>
          </w:r>
        </w:p>
      </w:tc>
    </w:tr>
  </w:tbl>
  <w:p w:rsidR="00F905D1" w:rsidRDefault="00F905D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905D1">
      <w:tc>
        <w:tcPr>
          <w:tcW w:w="1531" w:type="dxa"/>
        </w:tcPr>
        <w:p w:rsidR="00F905D1" w:rsidRDefault="00F905D1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3B334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3B334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B3343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F905D1" w:rsidRDefault="00F905D1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3B334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3B334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B3343">
            <w:rPr>
              <w:noProof/>
            </w:rPr>
            <w:t>Amendments</w:t>
          </w:r>
          <w:r>
            <w:fldChar w:fldCharType="end"/>
          </w:r>
        </w:p>
      </w:tc>
    </w:tr>
    <w:tr w:rsidR="00F905D1">
      <w:tc>
        <w:tcPr>
          <w:tcW w:w="1531" w:type="dxa"/>
        </w:tcPr>
        <w:p w:rsidR="00F905D1" w:rsidRDefault="00F905D1">
          <w:pPr>
            <w:pStyle w:val="HeaderLiteEven"/>
          </w:pPr>
        </w:p>
      </w:tc>
      <w:tc>
        <w:tcPr>
          <w:tcW w:w="5636" w:type="dxa"/>
          <w:vAlign w:val="bottom"/>
        </w:tcPr>
        <w:p w:rsidR="00F905D1" w:rsidRDefault="00F905D1">
          <w:pPr>
            <w:pStyle w:val="HeaderLiteEven"/>
          </w:pPr>
        </w:p>
      </w:tc>
    </w:tr>
    <w:tr w:rsidR="00F905D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05D1" w:rsidRDefault="00F905D1" w:rsidP="003B4C2C">
          <w:pPr>
            <w:pStyle w:val="HeaderBoldEven"/>
          </w:pPr>
        </w:p>
      </w:tc>
    </w:tr>
  </w:tbl>
  <w:p w:rsidR="00F905D1" w:rsidRDefault="00F905D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905D1">
      <w:tc>
        <w:tcPr>
          <w:tcW w:w="5636" w:type="dxa"/>
          <w:vAlign w:val="bottom"/>
        </w:tcPr>
        <w:p w:rsidR="00F905D1" w:rsidRDefault="00F905D1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3B334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3B334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B3343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F905D1" w:rsidRDefault="00F905D1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3B334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3B334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B3343">
            <w:rPr>
              <w:noProof/>
            </w:rPr>
            <w:t>Schedule 1</w:t>
          </w:r>
          <w:r>
            <w:fldChar w:fldCharType="end"/>
          </w:r>
        </w:p>
      </w:tc>
    </w:tr>
    <w:tr w:rsidR="00F905D1">
      <w:tc>
        <w:tcPr>
          <w:tcW w:w="5636" w:type="dxa"/>
          <w:vAlign w:val="bottom"/>
        </w:tcPr>
        <w:p w:rsidR="00F905D1" w:rsidRDefault="00F905D1">
          <w:pPr>
            <w:pStyle w:val="HeaderLiteOdd"/>
          </w:pPr>
        </w:p>
      </w:tc>
      <w:tc>
        <w:tcPr>
          <w:tcW w:w="1531" w:type="dxa"/>
        </w:tcPr>
        <w:p w:rsidR="00F905D1" w:rsidRDefault="00F905D1">
          <w:pPr>
            <w:pStyle w:val="HeaderLiteOdd"/>
          </w:pPr>
        </w:p>
      </w:tc>
    </w:tr>
    <w:tr w:rsidR="00F905D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05D1" w:rsidRDefault="00F905D1" w:rsidP="003B4C2C">
          <w:pPr>
            <w:pStyle w:val="HeaderBoldOdd"/>
          </w:pPr>
        </w:p>
      </w:tc>
    </w:tr>
  </w:tbl>
  <w:p w:rsidR="00F905D1" w:rsidRDefault="00F905D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D1" w:rsidRDefault="00F905D1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905D1">
      <w:tc>
        <w:tcPr>
          <w:tcW w:w="7167" w:type="dxa"/>
        </w:tcPr>
        <w:p w:rsidR="00F905D1" w:rsidRDefault="00F905D1">
          <w:pPr>
            <w:pStyle w:val="HeaderLiteEven"/>
          </w:pPr>
          <w:r>
            <w:t>Note</w:t>
          </w:r>
        </w:p>
      </w:tc>
    </w:tr>
    <w:tr w:rsidR="00F905D1">
      <w:tc>
        <w:tcPr>
          <w:tcW w:w="7167" w:type="dxa"/>
        </w:tcPr>
        <w:p w:rsidR="00F905D1" w:rsidRDefault="00F905D1">
          <w:pPr>
            <w:pStyle w:val="HeaderLiteEven"/>
          </w:pPr>
        </w:p>
      </w:tc>
    </w:tr>
    <w:tr w:rsidR="00F905D1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905D1" w:rsidRDefault="00F905D1">
          <w:pPr>
            <w:pStyle w:val="HeaderBoldEven"/>
          </w:pPr>
        </w:p>
      </w:tc>
    </w:tr>
  </w:tbl>
  <w:p w:rsidR="00F905D1" w:rsidRDefault="00F905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BC85CB1"/>
    <w:multiLevelType w:val="hybridMultilevel"/>
    <w:tmpl w:val="99389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C2C"/>
    <w:rsid w:val="00002328"/>
    <w:rsid w:val="00003996"/>
    <w:rsid w:val="000047FD"/>
    <w:rsid w:val="00005095"/>
    <w:rsid w:val="000056EE"/>
    <w:rsid w:val="00010203"/>
    <w:rsid w:val="00012A4E"/>
    <w:rsid w:val="00013A38"/>
    <w:rsid w:val="00017396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4701"/>
    <w:rsid w:val="000753EE"/>
    <w:rsid w:val="00075B3D"/>
    <w:rsid w:val="0007661E"/>
    <w:rsid w:val="00076B35"/>
    <w:rsid w:val="00085877"/>
    <w:rsid w:val="00086090"/>
    <w:rsid w:val="00086E1D"/>
    <w:rsid w:val="00087215"/>
    <w:rsid w:val="00092802"/>
    <w:rsid w:val="00095CC4"/>
    <w:rsid w:val="000A3C52"/>
    <w:rsid w:val="000A58FE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291B"/>
    <w:rsid w:val="000E470D"/>
    <w:rsid w:val="000F0B1F"/>
    <w:rsid w:val="000F140F"/>
    <w:rsid w:val="000F3758"/>
    <w:rsid w:val="00102347"/>
    <w:rsid w:val="00103B75"/>
    <w:rsid w:val="00106604"/>
    <w:rsid w:val="00107BA8"/>
    <w:rsid w:val="00110F98"/>
    <w:rsid w:val="0011161E"/>
    <w:rsid w:val="0011172E"/>
    <w:rsid w:val="00111E48"/>
    <w:rsid w:val="0011314E"/>
    <w:rsid w:val="00114286"/>
    <w:rsid w:val="00117290"/>
    <w:rsid w:val="00117B13"/>
    <w:rsid w:val="00121B18"/>
    <w:rsid w:val="00122CA1"/>
    <w:rsid w:val="0012560F"/>
    <w:rsid w:val="00126D00"/>
    <w:rsid w:val="00133419"/>
    <w:rsid w:val="00134204"/>
    <w:rsid w:val="001363F5"/>
    <w:rsid w:val="00137EF4"/>
    <w:rsid w:val="001450EE"/>
    <w:rsid w:val="00145C33"/>
    <w:rsid w:val="001463F2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47D0"/>
    <w:rsid w:val="00176457"/>
    <w:rsid w:val="0017669E"/>
    <w:rsid w:val="00176BCE"/>
    <w:rsid w:val="00180CD3"/>
    <w:rsid w:val="001840EA"/>
    <w:rsid w:val="00190D22"/>
    <w:rsid w:val="00191B57"/>
    <w:rsid w:val="001938DB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6ADF"/>
    <w:rsid w:val="001D71D4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3772"/>
    <w:rsid w:val="00204220"/>
    <w:rsid w:val="0020488A"/>
    <w:rsid w:val="0020650F"/>
    <w:rsid w:val="002125DA"/>
    <w:rsid w:val="00220EDA"/>
    <w:rsid w:val="00222DA1"/>
    <w:rsid w:val="00223A7F"/>
    <w:rsid w:val="00223F2E"/>
    <w:rsid w:val="002250FB"/>
    <w:rsid w:val="002271DC"/>
    <w:rsid w:val="00230352"/>
    <w:rsid w:val="00236609"/>
    <w:rsid w:val="00240CD1"/>
    <w:rsid w:val="00244BAA"/>
    <w:rsid w:val="00253EE7"/>
    <w:rsid w:val="00254B2F"/>
    <w:rsid w:val="00254C12"/>
    <w:rsid w:val="00260641"/>
    <w:rsid w:val="00262431"/>
    <w:rsid w:val="00265E15"/>
    <w:rsid w:val="00265ED0"/>
    <w:rsid w:val="002673BD"/>
    <w:rsid w:val="00267453"/>
    <w:rsid w:val="00270826"/>
    <w:rsid w:val="0027106F"/>
    <w:rsid w:val="002757D6"/>
    <w:rsid w:val="00283A33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5C11"/>
    <w:rsid w:val="002C0290"/>
    <w:rsid w:val="002C0E89"/>
    <w:rsid w:val="002C42F1"/>
    <w:rsid w:val="002C77BC"/>
    <w:rsid w:val="002C79E4"/>
    <w:rsid w:val="002C7F8D"/>
    <w:rsid w:val="002D35D3"/>
    <w:rsid w:val="002D4CDA"/>
    <w:rsid w:val="002D658C"/>
    <w:rsid w:val="002E4402"/>
    <w:rsid w:val="002E77D6"/>
    <w:rsid w:val="002F05DB"/>
    <w:rsid w:val="002F11AE"/>
    <w:rsid w:val="002F149C"/>
    <w:rsid w:val="002F597A"/>
    <w:rsid w:val="002F6353"/>
    <w:rsid w:val="002F7F66"/>
    <w:rsid w:val="00302D1D"/>
    <w:rsid w:val="00304F86"/>
    <w:rsid w:val="0030627F"/>
    <w:rsid w:val="00307011"/>
    <w:rsid w:val="00312BF2"/>
    <w:rsid w:val="003229AA"/>
    <w:rsid w:val="00323901"/>
    <w:rsid w:val="0032409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3E80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07FC"/>
    <w:rsid w:val="003B3343"/>
    <w:rsid w:val="003B41DF"/>
    <w:rsid w:val="003B4C2C"/>
    <w:rsid w:val="003B55ED"/>
    <w:rsid w:val="003C1016"/>
    <w:rsid w:val="003C41F2"/>
    <w:rsid w:val="003C5E23"/>
    <w:rsid w:val="003C6D45"/>
    <w:rsid w:val="003C700C"/>
    <w:rsid w:val="003C7348"/>
    <w:rsid w:val="003D0A16"/>
    <w:rsid w:val="003D0CBC"/>
    <w:rsid w:val="003D1F25"/>
    <w:rsid w:val="003D20DD"/>
    <w:rsid w:val="003D5B35"/>
    <w:rsid w:val="003E289C"/>
    <w:rsid w:val="003E5662"/>
    <w:rsid w:val="003E64C5"/>
    <w:rsid w:val="003F18D4"/>
    <w:rsid w:val="003F1A97"/>
    <w:rsid w:val="003F1AF9"/>
    <w:rsid w:val="00402E52"/>
    <w:rsid w:val="00403373"/>
    <w:rsid w:val="00403AE4"/>
    <w:rsid w:val="00403D60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34278"/>
    <w:rsid w:val="00440DE0"/>
    <w:rsid w:val="00441257"/>
    <w:rsid w:val="00442444"/>
    <w:rsid w:val="004446E0"/>
    <w:rsid w:val="004447C5"/>
    <w:rsid w:val="004450B0"/>
    <w:rsid w:val="004454CF"/>
    <w:rsid w:val="0044728E"/>
    <w:rsid w:val="00447FF1"/>
    <w:rsid w:val="0045063A"/>
    <w:rsid w:val="00454D0B"/>
    <w:rsid w:val="00456454"/>
    <w:rsid w:val="004653E5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0E73"/>
    <w:rsid w:val="004C2008"/>
    <w:rsid w:val="004C3A75"/>
    <w:rsid w:val="004C6D83"/>
    <w:rsid w:val="004D25B2"/>
    <w:rsid w:val="004D2CCB"/>
    <w:rsid w:val="004D460F"/>
    <w:rsid w:val="004D754C"/>
    <w:rsid w:val="004E01BE"/>
    <w:rsid w:val="004E1500"/>
    <w:rsid w:val="004E212D"/>
    <w:rsid w:val="004E3375"/>
    <w:rsid w:val="004E3516"/>
    <w:rsid w:val="004E6672"/>
    <w:rsid w:val="004E70BA"/>
    <w:rsid w:val="004F0A32"/>
    <w:rsid w:val="004F586F"/>
    <w:rsid w:val="004F6F63"/>
    <w:rsid w:val="004F7B76"/>
    <w:rsid w:val="00505AB1"/>
    <w:rsid w:val="005069EE"/>
    <w:rsid w:val="00507C08"/>
    <w:rsid w:val="00512C3B"/>
    <w:rsid w:val="0051422E"/>
    <w:rsid w:val="0051543A"/>
    <w:rsid w:val="00516CB4"/>
    <w:rsid w:val="00517E9B"/>
    <w:rsid w:val="00520066"/>
    <w:rsid w:val="0052196C"/>
    <w:rsid w:val="00524BE1"/>
    <w:rsid w:val="00524C2B"/>
    <w:rsid w:val="0052732A"/>
    <w:rsid w:val="00535BFA"/>
    <w:rsid w:val="00536EC0"/>
    <w:rsid w:val="0053705C"/>
    <w:rsid w:val="00537C22"/>
    <w:rsid w:val="005430FE"/>
    <w:rsid w:val="005479E3"/>
    <w:rsid w:val="0055362D"/>
    <w:rsid w:val="00553BBD"/>
    <w:rsid w:val="00553CCE"/>
    <w:rsid w:val="005547EB"/>
    <w:rsid w:val="005548F9"/>
    <w:rsid w:val="00555098"/>
    <w:rsid w:val="00555CFF"/>
    <w:rsid w:val="00560D28"/>
    <w:rsid w:val="00561460"/>
    <w:rsid w:val="00564001"/>
    <w:rsid w:val="005645C6"/>
    <w:rsid w:val="0056559C"/>
    <w:rsid w:val="005665B2"/>
    <w:rsid w:val="00571FCD"/>
    <w:rsid w:val="005732A7"/>
    <w:rsid w:val="00574A09"/>
    <w:rsid w:val="00574CAE"/>
    <w:rsid w:val="00577475"/>
    <w:rsid w:val="00580958"/>
    <w:rsid w:val="00580E49"/>
    <w:rsid w:val="005818B9"/>
    <w:rsid w:val="00584A71"/>
    <w:rsid w:val="005867F2"/>
    <w:rsid w:val="00590B66"/>
    <w:rsid w:val="005914FF"/>
    <w:rsid w:val="00592CA2"/>
    <w:rsid w:val="00594B7F"/>
    <w:rsid w:val="00594F6A"/>
    <w:rsid w:val="00596B78"/>
    <w:rsid w:val="005A04A5"/>
    <w:rsid w:val="005A06CC"/>
    <w:rsid w:val="005A0F53"/>
    <w:rsid w:val="005A2A56"/>
    <w:rsid w:val="005A388A"/>
    <w:rsid w:val="005A3E83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3C82"/>
    <w:rsid w:val="005F3EB8"/>
    <w:rsid w:val="005F5365"/>
    <w:rsid w:val="005F667E"/>
    <w:rsid w:val="0060499E"/>
    <w:rsid w:val="006079BC"/>
    <w:rsid w:val="00610CB1"/>
    <w:rsid w:val="00612688"/>
    <w:rsid w:val="006133D2"/>
    <w:rsid w:val="00614BB2"/>
    <w:rsid w:val="0062109B"/>
    <w:rsid w:val="006228F8"/>
    <w:rsid w:val="00625EBE"/>
    <w:rsid w:val="00626972"/>
    <w:rsid w:val="00630C62"/>
    <w:rsid w:val="006334F8"/>
    <w:rsid w:val="00633FAF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0EF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1BE9"/>
    <w:rsid w:val="00686152"/>
    <w:rsid w:val="00686485"/>
    <w:rsid w:val="006865B3"/>
    <w:rsid w:val="00687BFF"/>
    <w:rsid w:val="00691AD5"/>
    <w:rsid w:val="006A1544"/>
    <w:rsid w:val="006A1BED"/>
    <w:rsid w:val="006A4638"/>
    <w:rsid w:val="006A4BA5"/>
    <w:rsid w:val="006B058D"/>
    <w:rsid w:val="006B141F"/>
    <w:rsid w:val="006B28EE"/>
    <w:rsid w:val="006B3F9E"/>
    <w:rsid w:val="006B6FE0"/>
    <w:rsid w:val="006C05C0"/>
    <w:rsid w:val="006C0BFA"/>
    <w:rsid w:val="006C31CA"/>
    <w:rsid w:val="006C35BE"/>
    <w:rsid w:val="006C4BED"/>
    <w:rsid w:val="006C53D2"/>
    <w:rsid w:val="006C6A02"/>
    <w:rsid w:val="006C708C"/>
    <w:rsid w:val="006C795D"/>
    <w:rsid w:val="006D0603"/>
    <w:rsid w:val="006D18DE"/>
    <w:rsid w:val="006E09BC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318C"/>
    <w:rsid w:val="00725A68"/>
    <w:rsid w:val="00726620"/>
    <w:rsid w:val="00730AB3"/>
    <w:rsid w:val="007312FD"/>
    <w:rsid w:val="00732425"/>
    <w:rsid w:val="00733D1E"/>
    <w:rsid w:val="00733ED9"/>
    <w:rsid w:val="0073521A"/>
    <w:rsid w:val="007352EF"/>
    <w:rsid w:val="00735B24"/>
    <w:rsid w:val="0073761F"/>
    <w:rsid w:val="007405AE"/>
    <w:rsid w:val="00741706"/>
    <w:rsid w:val="00742BE4"/>
    <w:rsid w:val="0074530F"/>
    <w:rsid w:val="00745ACF"/>
    <w:rsid w:val="007507CB"/>
    <w:rsid w:val="00750F54"/>
    <w:rsid w:val="007576E3"/>
    <w:rsid w:val="00757D9D"/>
    <w:rsid w:val="007600AC"/>
    <w:rsid w:val="0076149E"/>
    <w:rsid w:val="00761E10"/>
    <w:rsid w:val="007640FB"/>
    <w:rsid w:val="00767850"/>
    <w:rsid w:val="00772F15"/>
    <w:rsid w:val="007755B6"/>
    <w:rsid w:val="00776570"/>
    <w:rsid w:val="00776FFF"/>
    <w:rsid w:val="0077765E"/>
    <w:rsid w:val="007803FF"/>
    <w:rsid w:val="0078324E"/>
    <w:rsid w:val="00785DFE"/>
    <w:rsid w:val="00787B6A"/>
    <w:rsid w:val="00787D5F"/>
    <w:rsid w:val="00787E97"/>
    <w:rsid w:val="007916FB"/>
    <w:rsid w:val="00792C57"/>
    <w:rsid w:val="00792D08"/>
    <w:rsid w:val="007952D3"/>
    <w:rsid w:val="0079643C"/>
    <w:rsid w:val="00796717"/>
    <w:rsid w:val="0079710F"/>
    <w:rsid w:val="00797C09"/>
    <w:rsid w:val="007A0273"/>
    <w:rsid w:val="007A1349"/>
    <w:rsid w:val="007A18FD"/>
    <w:rsid w:val="007A3567"/>
    <w:rsid w:val="007A5278"/>
    <w:rsid w:val="007A7596"/>
    <w:rsid w:val="007A7801"/>
    <w:rsid w:val="007B0E83"/>
    <w:rsid w:val="007B2874"/>
    <w:rsid w:val="007B5948"/>
    <w:rsid w:val="007B7D3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E4642"/>
    <w:rsid w:val="007F6065"/>
    <w:rsid w:val="007F6B43"/>
    <w:rsid w:val="00800EE9"/>
    <w:rsid w:val="00801E11"/>
    <w:rsid w:val="00802693"/>
    <w:rsid w:val="00805B1D"/>
    <w:rsid w:val="00812E73"/>
    <w:rsid w:val="008200F1"/>
    <w:rsid w:val="00820E6A"/>
    <w:rsid w:val="008258AD"/>
    <w:rsid w:val="00826D3D"/>
    <w:rsid w:val="0083232E"/>
    <w:rsid w:val="00833881"/>
    <w:rsid w:val="00834026"/>
    <w:rsid w:val="00836F81"/>
    <w:rsid w:val="00837950"/>
    <w:rsid w:val="008405E8"/>
    <w:rsid w:val="008421EA"/>
    <w:rsid w:val="008461C0"/>
    <w:rsid w:val="008529D0"/>
    <w:rsid w:val="00853DBB"/>
    <w:rsid w:val="00855B7C"/>
    <w:rsid w:val="008621D6"/>
    <w:rsid w:val="00863108"/>
    <w:rsid w:val="00871BD1"/>
    <w:rsid w:val="00872D79"/>
    <w:rsid w:val="00876FDD"/>
    <w:rsid w:val="008800E2"/>
    <w:rsid w:val="00880302"/>
    <w:rsid w:val="00881973"/>
    <w:rsid w:val="00884A91"/>
    <w:rsid w:val="00884AF0"/>
    <w:rsid w:val="00885A66"/>
    <w:rsid w:val="00890489"/>
    <w:rsid w:val="00890A16"/>
    <w:rsid w:val="008911A6"/>
    <w:rsid w:val="00893857"/>
    <w:rsid w:val="008A0D3A"/>
    <w:rsid w:val="008A0EF2"/>
    <w:rsid w:val="008A1B60"/>
    <w:rsid w:val="008A3D32"/>
    <w:rsid w:val="008A5870"/>
    <w:rsid w:val="008A5DD5"/>
    <w:rsid w:val="008B02F9"/>
    <w:rsid w:val="008B09DB"/>
    <w:rsid w:val="008B5549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D6A76"/>
    <w:rsid w:val="008E02E5"/>
    <w:rsid w:val="008E1131"/>
    <w:rsid w:val="008E1C04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0E6C"/>
    <w:rsid w:val="009123E3"/>
    <w:rsid w:val="009125B8"/>
    <w:rsid w:val="00913ECD"/>
    <w:rsid w:val="009149F1"/>
    <w:rsid w:val="00914CC9"/>
    <w:rsid w:val="00915994"/>
    <w:rsid w:val="00922335"/>
    <w:rsid w:val="00923493"/>
    <w:rsid w:val="009240F2"/>
    <w:rsid w:val="00924C24"/>
    <w:rsid w:val="0093033C"/>
    <w:rsid w:val="0093062F"/>
    <w:rsid w:val="00930C1D"/>
    <w:rsid w:val="00932203"/>
    <w:rsid w:val="009356C5"/>
    <w:rsid w:val="009360BD"/>
    <w:rsid w:val="00942C0F"/>
    <w:rsid w:val="009437DF"/>
    <w:rsid w:val="009439A0"/>
    <w:rsid w:val="00944599"/>
    <w:rsid w:val="00946AE0"/>
    <w:rsid w:val="00950B11"/>
    <w:rsid w:val="0095322A"/>
    <w:rsid w:val="009553F5"/>
    <w:rsid w:val="00960E91"/>
    <w:rsid w:val="00963435"/>
    <w:rsid w:val="00964968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A0E"/>
    <w:rsid w:val="009A4BDC"/>
    <w:rsid w:val="009A595E"/>
    <w:rsid w:val="009B10B3"/>
    <w:rsid w:val="009B242B"/>
    <w:rsid w:val="009B252C"/>
    <w:rsid w:val="009B5826"/>
    <w:rsid w:val="009C58D1"/>
    <w:rsid w:val="009C7E0C"/>
    <w:rsid w:val="009D286E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3FF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2BA9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530C"/>
    <w:rsid w:val="00A8600F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3AA8"/>
    <w:rsid w:val="00AD4C82"/>
    <w:rsid w:val="00AD56FF"/>
    <w:rsid w:val="00AD6369"/>
    <w:rsid w:val="00AD7490"/>
    <w:rsid w:val="00AE3BDB"/>
    <w:rsid w:val="00AE5649"/>
    <w:rsid w:val="00AF0B95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475F"/>
    <w:rsid w:val="00B35329"/>
    <w:rsid w:val="00B36C1F"/>
    <w:rsid w:val="00B4067E"/>
    <w:rsid w:val="00B41301"/>
    <w:rsid w:val="00B41A08"/>
    <w:rsid w:val="00B425A5"/>
    <w:rsid w:val="00B427E1"/>
    <w:rsid w:val="00B4372D"/>
    <w:rsid w:val="00B440EB"/>
    <w:rsid w:val="00B44A30"/>
    <w:rsid w:val="00B50B2D"/>
    <w:rsid w:val="00B55474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0730"/>
    <w:rsid w:val="00B73182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84AD4"/>
    <w:rsid w:val="00B91BFB"/>
    <w:rsid w:val="00B922ED"/>
    <w:rsid w:val="00B947B5"/>
    <w:rsid w:val="00B94967"/>
    <w:rsid w:val="00BA2073"/>
    <w:rsid w:val="00BA3AA3"/>
    <w:rsid w:val="00BA454E"/>
    <w:rsid w:val="00BA4CD6"/>
    <w:rsid w:val="00BA4E2C"/>
    <w:rsid w:val="00BA56DA"/>
    <w:rsid w:val="00BA5A9A"/>
    <w:rsid w:val="00BA61EE"/>
    <w:rsid w:val="00BA761C"/>
    <w:rsid w:val="00BB1EEE"/>
    <w:rsid w:val="00BB4AFF"/>
    <w:rsid w:val="00BB626D"/>
    <w:rsid w:val="00BC18B8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BF7C2C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5CDE"/>
    <w:rsid w:val="00C26338"/>
    <w:rsid w:val="00C2651E"/>
    <w:rsid w:val="00C321EA"/>
    <w:rsid w:val="00C33891"/>
    <w:rsid w:val="00C33E69"/>
    <w:rsid w:val="00C34B2A"/>
    <w:rsid w:val="00C37A8D"/>
    <w:rsid w:val="00C44605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66134"/>
    <w:rsid w:val="00C70AEF"/>
    <w:rsid w:val="00C70FAF"/>
    <w:rsid w:val="00C72EFE"/>
    <w:rsid w:val="00C73929"/>
    <w:rsid w:val="00C756B4"/>
    <w:rsid w:val="00C757B2"/>
    <w:rsid w:val="00C77407"/>
    <w:rsid w:val="00C82B39"/>
    <w:rsid w:val="00C82D38"/>
    <w:rsid w:val="00C839E5"/>
    <w:rsid w:val="00C83C69"/>
    <w:rsid w:val="00C83FC3"/>
    <w:rsid w:val="00C84977"/>
    <w:rsid w:val="00C85260"/>
    <w:rsid w:val="00C86150"/>
    <w:rsid w:val="00C861D2"/>
    <w:rsid w:val="00C92281"/>
    <w:rsid w:val="00C92CDA"/>
    <w:rsid w:val="00C9472B"/>
    <w:rsid w:val="00C95A4E"/>
    <w:rsid w:val="00C96597"/>
    <w:rsid w:val="00C969F3"/>
    <w:rsid w:val="00C97211"/>
    <w:rsid w:val="00CA019B"/>
    <w:rsid w:val="00CA12A7"/>
    <w:rsid w:val="00CA1EB2"/>
    <w:rsid w:val="00CA2653"/>
    <w:rsid w:val="00CA4476"/>
    <w:rsid w:val="00CB1173"/>
    <w:rsid w:val="00CB1A8D"/>
    <w:rsid w:val="00CB2099"/>
    <w:rsid w:val="00CB396B"/>
    <w:rsid w:val="00CB418B"/>
    <w:rsid w:val="00CC0028"/>
    <w:rsid w:val="00CC0C95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2EDE"/>
    <w:rsid w:val="00CF5B37"/>
    <w:rsid w:val="00CF60F8"/>
    <w:rsid w:val="00D035FA"/>
    <w:rsid w:val="00D10555"/>
    <w:rsid w:val="00D11044"/>
    <w:rsid w:val="00D1206A"/>
    <w:rsid w:val="00D222D8"/>
    <w:rsid w:val="00D25252"/>
    <w:rsid w:val="00D26C8D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1A4"/>
    <w:rsid w:val="00D52833"/>
    <w:rsid w:val="00D608D7"/>
    <w:rsid w:val="00D61C41"/>
    <w:rsid w:val="00D62311"/>
    <w:rsid w:val="00D62BB9"/>
    <w:rsid w:val="00D637E5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009F"/>
    <w:rsid w:val="00DA112B"/>
    <w:rsid w:val="00DA39B1"/>
    <w:rsid w:val="00DB2833"/>
    <w:rsid w:val="00DB6AD2"/>
    <w:rsid w:val="00DB6EFB"/>
    <w:rsid w:val="00DB78AA"/>
    <w:rsid w:val="00DB7978"/>
    <w:rsid w:val="00DC13C7"/>
    <w:rsid w:val="00DC160B"/>
    <w:rsid w:val="00DC41D5"/>
    <w:rsid w:val="00DC686D"/>
    <w:rsid w:val="00DD3616"/>
    <w:rsid w:val="00DE0A50"/>
    <w:rsid w:val="00DE0B13"/>
    <w:rsid w:val="00DE1652"/>
    <w:rsid w:val="00DE2A58"/>
    <w:rsid w:val="00DE4851"/>
    <w:rsid w:val="00DF7A67"/>
    <w:rsid w:val="00E007E8"/>
    <w:rsid w:val="00E0170F"/>
    <w:rsid w:val="00E01972"/>
    <w:rsid w:val="00E046CD"/>
    <w:rsid w:val="00E06384"/>
    <w:rsid w:val="00E11435"/>
    <w:rsid w:val="00E115EE"/>
    <w:rsid w:val="00E147C5"/>
    <w:rsid w:val="00E14C28"/>
    <w:rsid w:val="00E212D0"/>
    <w:rsid w:val="00E21C9C"/>
    <w:rsid w:val="00E22161"/>
    <w:rsid w:val="00E2378E"/>
    <w:rsid w:val="00E2518D"/>
    <w:rsid w:val="00E26CDE"/>
    <w:rsid w:val="00E3021A"/>
    <w:rsid w:val="00E30BFD"/>
    <w:rsid w:val="00E326F4"/>
    <w:rsid w:val="00E34B83"/>
    <w:rsid w:val="00E36DF4"/>
    <w:rsid w:val="00E371BB"/>
    <w:rsid w:val="00E42BFB"/>
    <w:rsid w:val="00E42DB0"/>
    <w:rsid w:val="00E476B6"/>
    <w:rsid w:val="00E51B0C"/>
    <w:rsid w:val="00E51FF8"/>
    <w:rsid w:val="00E529BC"/>
    <w:rsid w:val="00E537B4"/>
    <w:rsid w:val="00E55B87"/>
    <w:rsid w:val="00E61DD6"/>
    <w:rsid w:val="00E62BED"/>
    <w:rsid w:val="00E6449C"/>
    <w:rsid w:val="00E73A1B"/>
    <w:rsid w:val="00E76310"/>
    <w:rsid w:val="00E7672E"/>
    <w:rsid w:val="00E83CB5"/>
    <w:rsid w:val="00E876A1"/>
    <w:rsid w:val="00E91A76"/>
    <w:rsid w:val="00E924EE"/>
    <w:rsid w:val="00E94FEE"/>
    <w:rsid w:val="00E9529F"/>
    <w:rsid w:val="00E95A6B"/>
    <w:rsid w:val="00EA0056"/>
    <w:rsid w:val="00EA14B9"/>
    <w:rsid w:val="00EA16AD"/>
    <w:rsid w:val="00EB00FD"/>
    <w:rsid w:val="00EB0254"/>
    <w:rsid w:val="00EB31CA"/>
    <w:rsid w:val="00EB7BDE"/>
    <w:rsid w:val="00EC0C5E"/>
    <w:rsid w:val="00EC0D6B"/>
    <w:rsid w:val="00EC1470"/>
    <w:rsid w:val="00EC18DC"/>
    <w:rsid w:val="00EC542A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EDE"/>
    <w:rsid w:val="00EF4F03"/>
    <w:rsid w:val="00EF54E6"/>
    <w:rsid w:val="00EF7CD9"/>
    <w:rsid w:val="00F00C4C"/>
    <w:rsid w:val="00F01B87"/>
    <w:rsid w:val="00F02FB6"/>
    <w:rsid w:val="00F03BA0"/>
    <w:rsid w:val="00F04553"/>
    <w:rsid w:val="00F057F6"/>
    <w:rsid w:val="00F05B4F"/>
    <w:rsid w:val="00F07689"/>
    <w:rsid w:val="00F10548"/>
    <w:rsid w:val="00F1253E"/>
    <w:rsid w:val="00F126D4"/>
    <w:rsid w:val="00F1343A"/>
    <w:rsid w:val="00F13B15"/>
    <w:rsid w:val="00F1449F"/>
    <w:rsid w:val="00F21027"/>
    <w:rsid w:val="00F22416"/>
    <w:rsid w:val="00F24827"/>
    <w:rsid w:val="00F3058D"/>
    <w:rsid w:val="00F33606"/>
    <w:rsid w:val="00F3407E"/>
    <w:rsid w:val="00F3478C"/>
    <w:rsid w:val="00F35903"/>
    <w:rsid w:val="00F3623A"/>
    <w:rsid w:val="00F3797F"/>
    <w:rsid w:val="00F41EA3"/>
    <w:rsid w:val="00F4594E"/>
    <w:rsid w:val="00F4771F"/>
    <w:rsid w:val="00F504C6"/>
    <w:rsid w:val="00F5332E"/>
    <w:rsid w:val="00F534CC"/>
    <w:rsid w:val="00F54B0B"/>
    <w:rsid w:val="00F54EC9"/>
    <w:rsid w:val="00F55371"/>
    <w:rsid w:val="00F57858"/>
    <w:rsid w:val="00F57D98"/>
    <w:rsid w:val="00F60524"/>
    <w:rsid w:val="00F60AAA"/>
    <w:rsid w:val="00F61562"/>
    <w:rsid w:val="00F65CCB"/>
    <w:rsid w:val="00F711E4"/>
    <w:rsid w:val="00F72662"/>
    <w:rsid w:val="00F7344C"/>
    <w:rsid w:val="00F74D4D"/>
    <w:rsid w:val="00F7544B"/>
    <w:rsid w:val="00F8004D"/>
    <w:rsid w:val="00F80AF7"/>
    <w:rsid w:val="00F81BE7"/>
    <w:rsid w:val="00F8464C"/>
    <w:rsid w:val="00F85736"/>
    <w:rsid w:val="00F8632C"/>
    <w:rsid w:val="00F87B42"/>
    <w:rsid w:val="00F904D6"/>
    <w:rsid w:val="00F905D1"/>
    <w:rsid w:val="00F94B4D"/>
    <w:rsid w:val="00F94F72"/>
    <w:rsid w:val="00F96701"/>
    <w:rsid w:val="00FA2260"/>
    <w:rsid w:val="00FA33E4"/>
    <w:rsid w:val="00FA61AA"/>
    <w:rsid w:val="00FA6DE7"/>
    <w:rsid w:val="00FB2A3E"/>
    <w:rsid w:val="00FB515C"/>
    <w:rsid w:val="00FC1AA9"/>
    <w:rsid w:val="00FC1CF1"/>
    <w:rsid w:val="00FD0A62"/>
    <w:rsid w:val="00FD0E8A"/>
    <w:rsid w:val="00FD189C"/>
    <w:rsid w:val="00FD212A"/>
    <w:rsid w:val="00FD41B2"/>
    <w:rsid w:val="00FD4915"/>
    <w:rsid w:val="00FD4B3A"/>
    <w:rsid w:val="00FD4C92"/>
    <w:rsid w:val="00FE0F9A"/>
    <w:rsid w:val="00FE3ED0"/>
    <w:rsid w:val="00FE6284"/>
    <w:rsid w:val="00FF20D1"/>
    <w:rsid w:val="00FF5B0A"/>
    <w:rsid w:val="00FF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98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D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57D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7D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57D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7D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57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57D9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7D9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7D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F57D98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F57D98"/>
    <w:rPr>
      <w:b/>
      <w:bCs/>
    </w:rPr>
  </w:style>
  <w:style w:type="paragraph" w:styleId="Subtitle">
    <w:name w:val="Subtitle"/>
    <w:basedOn w:val="Normal"/>
    <w:qFormat/>
    <w:rsid w:val="00F57D9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F57D98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link w:val="P1Char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link w:val="QueryChar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link w:val="ScheduleparaChar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7D98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P1Char">
    <w:name w:val="P1 Char"/>
    <w:aliases w:val="(a) Char"/>
    <w:basedOn w:val="DefaultParagraphFont"/>
    <w:link w:val="P1"/>
    <w:rsid w:val="00103B75"/>
    <w:rPr>
      <w:sz w:val="24"/>
      <w:szCs w:val="24"/>
      <w:lang w:eastAsia="en-US"/>
    </w:rPr>
  </w:style>
  <w:style w:type="character" w:customStyle="1" w:styleId="ScheduleparaChar">
    <w:name w:val="Schedule para Char"/>
    <w:basedOn w:val="DefaultParagraphFont"/>
    <w:link w:val="Schedulepara"/>
    <w:rsid w:val="00103B75"/>
    <w:rPr>
      <w:sz w:val="24"/>
      <w:szCs w:val="24"/>
      <w:lang w:eastAsia="en-US"/>
    </w:rPr>
  </w:style>
  <w:style w:type="character" w:customStyle="1" w:styleId="QueryChar">
    <w:name w:val="Query Char"/>
    <w:aliases w:val="QY Char"/>
    <w:basedOn w:val="DefaultParagraphFont"/>
    <w:link w:val="Query"/>
    <w:rsid w:val="00CA4476"/>
    <w:rPr>
      <w:b/>
      <w:i/>
      <w:sz w:val="24"/>
      <w:szCs w:val="24"/>
      <w:lang w:eastAsia="en-US"/>
    </w:rPr>
  </w:style>
  <w:style w:type="character" w:customStyle="1" w:styleId="CharSectnoAm">
    <w:name w:val="CharSectnoAm"/>
    <w:basedOn w:val="DefaultParagraphFont"/>
    <w:rsid w:val="00F90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comlaw.gov.a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33CF-E7CF-4067-B3EA-611B5159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1019</Words>
  <Characters>4821</Characters>
  <Application>Microsoft Office Word</Application>
  <DocSecurity>0</DocSecurity>
  <Lines>256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Trade Measurement Amendment Regulation 2012 (No.   )</vt:lpstr>
    </vt:vector>
  </TitlesOfParts>
  <Manager/>
  <Company/>
  <LinksUpToDate>false</LinksUpToDate>
  <CharactersWithSpaces>5678</CharactersWithSpaces>
  <SharedDoc>false</SharedDoc>
  <HLinks>
    <vt:vector size="6" baseType="variant">
      <vt:variant>
        <vt:i4>6160468</vt:i4>
      </vt:variant>
      <vt:variant>
        <vt:i4>36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Trade Measurement Amendment Regulation 2012 (No.   )</dc:title>
  <dc:subject/>
  <dc:creator/>
  <cp:keywords/>
  <cp:lastModifiedBy/>
  <cp:revision>1</cp:revision>
  <cp:lastPrinted>2012-11-08T04:55:00Z</cp:lastPrinted>
  <dcterms:created xsi:type="dcterms:W3CDTF">2012-12-04T01:48:00Z</dcterms:created>
  <dcterms:modified xsi:type="dcterms:W3CDTF">2012-12-04T01:48:00Z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1050</vt:lpwstr>
  </property>
  <property fmtid="{D5CDD505-2E9C-101B-9397-08002B2CF9AE}" pid="3" name="IndexMatter">
    <vt:lpwstr>1211253A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