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D4" w:rsidRDefault="00F109D4" w:rsidP="00A12209">
      <w:pPr>
        <w:pStyle w:val="Heading1"/>
      </w:pPr>
      <w:bookmarkStart w:id="0" w:name="_GoBack"/>
      <w:bookmarkEnd w:id="0"/>
      <w:r w:rsidRPr="00503E44">
        <w:t>EXPLANATORY STATEMENT</w:t>
      </w:r>
    </w:p>
    <w:p w:rsidR="002F6180" w:rsidRDefault="002F6180" w:rsidP="002F6180"/>
    <w:p w:rsidR="002F6180" w:rsidRPr="002F6180" w:rsidRDefault="002F6180" w:rsidP="002F6180">
      <w:pPr>
        <w:jc w:val="center"/>
        <w:rPr>
          <w:b/>
          <w:u w:val="single"/>
        </w:rPr>
      </w:pPr>
      <w:r w:rsidRPr="002F6180">
        <w:rPr>
          <w:b/>
          <w:u w:val="single"/>
        </w:rPr>
        <w:t>Select Legislative Instrument 2012 No. 309</w:t>
      </w:r>
    </w:p>
    <w:p w:rsidR="005833BE" w:rsidRPr="00503E44" w:rsidRDefault="005833BE" w:rsidP="005833BE">
      <w:pPr>
        <w:pStyle w:val="base-text-paragraph"/>
        <w:tabs>
          <w:tab w:val="clear" w:pos="1987"/>
        </w:tabs>
        <w:ind w:left="0"/>
        <w:rPr>
          <w:b/>
          <w:u w:val="single"/>
        </w:rPr>
      </w:pPr>
    </w:p>
    <w:p w:rsidR="00F109D4" w:rsidRPr="00503E44" w:rsidRDefault="00F109D4" w:rsidP="002F6180">
      <w:pPr>
        <w:pStyle w:val="Heading2"/>
        <w:jc w:val="center"/>
      </w:pPr>
      <w:r w:rsidRPr="00503E44">
        <w:t xml:space="preserve">Issued by authority of the </w:t>
      </w:r>
      <w:r w:rsidR="00D545B4">
        <w:t>Assistant Treasurer</w:t>
      </w:r>
    </w:p>
    <w:p w:rsidR="00D545B4" w:rsidRDefault="00D545B4">
      <w:pPr>
        <w:tabs>
          <w:tab w:val="left" w:pos="1418"/>
        </w:tabs>
        <w:spacing w:after="240"/>
        <w:jc w:val="center"/>
        <w:rPr>
          <w:i/>
        </w:rPr>
      </w:pPr>
      <w:r>
        <w:rPr>
          <w:i/>
        </w:rPr>
        <w:t>Foreign Acquisitions and Takeovers Act 1975</w:t>
      </w:r>
    </w:p>
    <w:p w:rsidR="00D545B4" w:rsidRDefault="00D545B4" w:rsidP="00D545B4">
      <w:pPr>
        <w:jc w:val="center"/>
        <w:rPr>
          <w:i/>
        </w:rPr>
      </w:pPr>
      <w:r>
        <w:rPr>
          <w:i/>
        </w:rPr>
        <w:t>Foreign Acquisitions and Takeovers Amendment Regulation 2012</w:t>
      </w:r>
      <w:r w:rsidRPr="00392DA5">
        <w:rPr>
          <w:i/>
        </w:rPr>
        <w:t xml:space="preserve"> (No</w:t>
      </w:r>
      <w:r>
        <w:rPr>
          <w:i/>
        </w:rPr>
        <w:t xml:space="preserve">. </w:t>
      </w:r>
      <w:r w:rsidR="002F6180">
        <w:rPr>
          <w:i/>
        </w:rPr>
        <w:t>1</w:t>
      </w:r>
      <w:r w:rsidRPr="00392DA5">
        <w:rPr>
          <w:i/>
        </w:rPr>
        <w:t>)</w:t>
      </w:r>
    </w:p>
    <w:p w:rsidR="00F109D4" w:rsidRDefault="00C55D29">
      <w:r w:rsidRPr="00503E44">
        <w:t xml:space="preserve">Section </w:t>
      </w:r>
      <w:r w:rsidR="00D545B4">
        <w:t>39</w:t>
      </w:r>
      <w:r w:rsidR="00F109D4" w:rsidRPr="00503E44">
        <w:t xml:space="preserve"> of the </w:t>
      </w:r>
      <w:r w:rsidR="00D545B4">
        <w:rPr>
          <w:i/>
        </w:rPr>
        <w:t>Foreign Acquisitions and Takeovers Act 1975</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rsidR="00F109D4" w:rsidRDefault="00552431">
      <w:r>
        <w:t>The Regulation</w:t>
      </w:r>
      <w:r w:rsidR="00D545B4">
        <w:t xml:space="preserve"> amend</w:t>
      </w:r>
      <w:r w:rsidR="00114991">
        <w:t xml:space="preserve">s </w:t>
      </w:r>
      <w:r w:rsidR="00D545B4" w:rsidRPr="00410E5E">
        <w:t xml:space="preserve">the </w:t>
      </w:r>
      <w:r w:rsidR="00D545B4" w:rsidRPr="00552431">
        <w:rPr>
          <w:i/>
        </w:rPr>
        <w:t>Foreign Acquisitions and Takeovers Regulations 1989</w:t>
      </w:r>
      <w:r w:rsidR="00D545B4" w:rsidRPr="00410E5E">
        <w:t xml:space="preserve"> to </w:t>
      </w:r>
      <w:r w:rsidR="0070752D">
        <w:t xml:space="preserve">give effect to Australia’s commitments under the Protocol on Investment to the Australia-New Zealand Closer Economic Relations Trade Agreement.  </w:t>
      </w:r>
    </w:p>
    <w:p w:rsidR="0070752D" w:rsidRDefault="0070752D" w:rsidP="0070752D">
      <w:r>
        <w:t>The Protocol on Investment to the Australia</w:t>
      </w:r>
      <w:r>
        <w:noBreakHyphen/>
        <w:t xml:space="preserve">New Zealand Closer Economic Relations Trade Agreement, which was signed by the Australian and New Zealand Prime Ministers in February 2011, includes a commitment by Australia to provide New Zealand investors with the higher foreign investment screening thresholds that apply to United States investors.  </w:t>
      </w:r>
    </w:p>
    <w:p w:rsidR="00D545B4" w:rsidRPr="0018299A" w:rsidRDefault="00D545B4" w:rsidP="00D545B4">
      <w:pPr>
        <w:tabs>
          <w:tab w:val="left" w:pos="6521"/>
        </w:tabs>
        <w:spacing w:after="0"/>
        <w:ind w:right="91"/>
      </w:pPr>
      <w:r w:rsidRPr="0018299A">
        <w:t xml:space="preserve">The </w:t>
      </w:r>
      <w:r w:rsidRPr="0018299A">
        <w:rPr>
          <w:i/>
        </w:rPr>
        <w:t>Foreign Acquisitions and Takeovers Act 1975</w:t>
      </w:r>
      <w:r w:rsidRPr="0018299A">
        <w:t xml:space="preserve"> and the associated </w:t>
      </w:r>
      <w:r w:rsidRPr="00552431">
        <w:rPr>
          <w:i/>
        </w:rPr>
        <w:t>Foreign Acquisitions and Takeovers Regulations 1989</w:t>
      </w:r>
      <w:r w:rsidRPr="0018299A">
        <w:t xml:space="preserve"> stipulate the notification and approval requirements for foreign investors proposing to invest in Australia.  An investment proposal is subject to these notification and approval requirements if its value is greater than the relevant monetary thresholds specified in the </w:t>
      </w:r>
      <w:r w:rsidRPr="00853EEC">
        <w:rPr>
          <w:i/>
        </w:rPr>
        <w:t>Foreign Acquisitions and Takeovers Regulations 1989</w:t>
      </w:r>
      <w:r w:rsidRPr="0018299A">
        <w:t xml:space="preserve">. </w:t>
      </w:r>
    </w:p>
    <w:p w:rsidR="00D545B4" w:rsidRDefault="00D545B4" w:rsidP="00D545B4">
      <w:pPr>
        <w:tabs>
          <w:tab w:val="left" w:pos="6521"/>
        </w:tabs>
        <w:spacing w:after="0"/>
        <w:ind w:right="91"/>
      </w:pPr>
      <w:r w:rsidRPr="0018299A">
        <w:t xml:space="preserve">Currently, </w:t>
      </w:r>
      <w:r>
        <w:t>New Zealand investors</w:t>
      </w:r>
      <w:r w:rsidRPr="0018299A">
        <w:t xml:space="preserve"> seeking to obtain a </w:t>
      </w:r>
      <w:r w:rsidR="00A70E04">
        <w:t>substantial</w:t>
      </w:r>
      <w:r w:rsidRPr="0018299A">
        <w:t xml:space="preserve"> interest in an Australian business or corporation valued above A$244 million (indexed annually) are required to notify and seek approval from the Treasurer.  Also, </w:t>
      </w:r>
      <w:r>
        <w:t>New</w:t>
      </w:r>
      <w:r w:rsidR="0070752D">
        <w:t> </w:t>
      </w:r>
      <w:r>
        <w:t>Zealand investors</w:t>
      </w:r>
      <w:r w:rsidRPr="0018299A">
        <w:t xml:space="preserve"> seeking to acquire an interest in developed commercial real estate valued at A$53 million (indexed annually) or more require approval.  </w:t>
      </w:r>
    </w:p>
    <w:p w:rsidR="00552431" w:rsidRPr="0018299A" w:rsidRDefault="00552431" w:rsidP="00552431">
      <w:pPr>
        <w:tabs>
          <w:tab w:val="left" w:pos="6521"/>
        </w:tabs>
        <w:spacing w:after="0"/>
        <w:ind w:right="91"/>
      </w:pPr>
      <w:r w:rsidRPr="0018299A">
        <w:t>United States investors</w:t>
      </w:r>
      <w:r>
        <w:t xml:space="preserve"> have benefited from</w:t>
      </w:r>
      <w:r w:rsidRPr="0018299A">
        <w:t xml:space="preserve"> </w:t>
      </w:r>
      <w:r>
        <w:t xml:space="preserve">higher </w:t>
      </w:r>
      <w:r w:rsidRPr="0018299A">
        <w:t xml:space="preserve">monetary thresholds since 1 January 2005, following implementation of the Australia-United States Free Trade Agreement.  As a result of the Australia-United States Free Trade Agreement, privately owned United States investors </w:t>
      </w:r>
      <w:r>
        <w:t xml:space="preserve">(businesses) </w:t>
      </w:r>
      <w:r w:rsidRPr="0018299A">
        <w:t xml:space="preserve">are </w:t>
      </w:r>
      <w:r>
        <w:t xml:space="preserve">only </w:t>
      </w:r>
      <w:r w:rsidRPr="0018299A">
        <w:t xml:space="preserve">subject to </w:t>
      </w:r>
      <w:r>
        <w:t xml:space="preserve">the notification and approval requirement if their investment proposal is greater than </w:t>
      </w:r>
      <w:r w:rsidRPr="0018299A">
        <w:t xml:space="preserve">a higher threshold of A$1,062 million (indexed annually) in relation to developed commercial real estate and most businesses.  The lower A$244 million threshold applies to acquisitions </w:t>
      </w:r>
      <w:r>
        <w:t xml:space="preserve">by these investors </w:t>
      </w:r>
      <w:r w:rsidRPr="0018299A">
        <w:t>of businesses in the prescribed sensitive sectors</w:t>
      </w:r>
      <w:r>
        <w:t>, which are media, telecommunications, transport, military related goods and services, encryption and security technologies and communications systems and uranium or plutonium related activities</w:t>
      </w:r>
      <w:r w:rsidRPr="0018299A">
        <w:t>.</w:t>
      </w:r>
    </w:p>
    <w:p w:rsidR="00D545B4" w:rsidRDefault="00D545B4" w:rsidP="00D545B4">
      <w:pPr>
        <w:tabs>
          <w:tab w:val="left" w:pos="6521"/>
        </w:tabs>
        <w:spacing w:after="0"/>
        <w:ind w:right="91"/>
      </w:pPr>
      <w:r>
        <w:lastRenderedPageBreak/>
        <w:t xml:space="preserve">The </w:t>
      </w:r>
      <w:r w:rsidR="00552431">
        <w:t>Regulation</w:t>
      </w:r>
      <w:r>
        <w:t xml:space="preserve"> </w:t>
      </w:r>
      <w:r w:rsidR="0070752D">
        <w:t>provide</w:t>
      </w:r>
      <w:r w:rsidR="00114991">
        <w:t>s</w:t>
      </w:r>
      <w:r w:rsidR="0070752D">
        <w:t xml:space="preserve"> the higher screening thresholds to New Zealand investors</w:t>
      </w:r>
      <w:r>
        <w:t xml:space="preserve"> by:</w:t>
      </w:r>
    </w:p>
    <w:p w:rsidR="00D545B4" w:rsidRPr="0070752D" w:rsidRDefault="00D545B4" w:rsidP="0070752D">
      <w:pPr>
        <w:pStyle w:val="Bullet"/>
      </w:pPr>
      <w:r w:rsidRPr="0070752D">
        <w:t xml:space="preserve">including equivalent definitions for New Zealand enterprises and nationals to those applying to United States enterprises and nationals; and </w:t>
      </w:r>
    </w:p>
    <w:p w:rsidR="00D545B4" w:rsidRPr="0070752D" w:rsidRDefault="00D545B4" w:rsidP="0070752D">
      <w:pPr>
        <w:pStyle w:val="Bullet"/>
      </w:pPr>
      <w:r w:rsidRPr="0070752D">
        <w:t>including New Zealand enterprises and nationals in the definition of prescribed foreign investors and prescribed foreign government investors.</w:t>
      </w:r>
    </w:p>
    <w:p w:rsidR="00D545B4" w:rsidRPr="00C940DC" w:rsidRDefault="0070752D" w:rsidP="00D545B4">
      <w:pPr>
        <w:tabs>
          <w:tab w:val="left" w:pos="6521"/>
        </w:tabs>
        <w:spacing w:after="0"/>
        <w:ind w:right="91"/>
      </w:pPr>
      <w:r>
        <w:t>I</w:t>
      </w:r>
      <w:r w:rsidR="00D545B4">
        <w:t>ncluding New Zealand investors in the definition of prescribed foreign investors</w:t>
      </w:r>
      <w:r>
        <w:t xml:space="preserve"> also implement</w:t>
      </w:r>
      <w:r w:rsidR="000840EF">
        <w:t>s</w:t>
      </w:r>
      <w:r>
        <w:t xml:space="preserve"> Australia’s commitment that proposed N</w:t>
      </w:r>
      <w:r w:rsidR="00D545B4" w:rsidRPr="00C940DC">
        <w:t xml:space="preserve">ew Zealand investment in Australian financial sector companies would no longer be subject to foreign investment screening under the </w:t>
      </w:r>
      <w:r w:rsidR="00D545B4" w:rsidRPr="0018299A">
        <w:rPr>
          <w:i/>
        </w:rPr>
        <w:t>Foreign Acquisitions and Takeovers Act 1975</w:t>
      </w:r>
      <w:r w:rsidR="000B7ACE">
        <w:rPr>
          <w:i/>
        </w:rPr>
        <w:t xml:space="preserve"> </w:t>
      </w:r>
      <w:r w:rsidR="000B7ACE">
        <w:t xml:space="preserve">(although approval is still required under the </w:t>
      </w:r>
      <w:r w:rsidR="000B7ACE">
        <w:rPr>
          <w:i/>
        </w:rPr>
        <w:t>Financial Sector (Shareholdings) Act 1998</w:t>
      </w:r>
      <w:r w:rsidR="000B7ACE">
        <w:t>)</w:t>
      </w:r>
      <w:r w:rsidR="000B7ACE" w:rsidRPr="00C940DC">
        <w:t xml:space="preserve">. </w:t>
      </w:r>
    </w:p>
    <w:p w:rsidR="00D545B4" w:rsidRDefault="00552431" w:rsidP="00D545B4">
      <w:pPr>
        <w:tabs>
          <w:tab w:val="left" w:pos="517"/>
        </w:tabs>
        <w:spacing w:after="0"/>
        <w:ind w:right="91"/>
        <w:rPr>
          <w:color w:val="1F497D"/>
        </w:rPr>
      </w:pPr>
      <w:r>
        <w:t>The Regulation</w:t>
      </w:r>
      <w:r w:rsidR="00B91AE5">
        <w:t xml:space="preserve"> also include</w:t>
      </w:r>
      <w:r>
        <w:t>s</w:t>
      </w:r>
      <w:r w:rsidR="00D545B4">
        <w:t xml:space="preserve"> a</w:t>
      </w:r>
      <w:r w:rsidR="00B91AE5">
        <w:t>n</w:t>
      </w:r>
      <w:r w:rsidR="00D545B4">
        <w:t xml:space="preserve"> amendment to </w:t>
      </w:r>
      <w:r w:rsidR="00D545B4" w:rsidRPr="00E7128E">
        <w:t>remove a</w:t>
      </w:r>
      <w:r w:rsidR="00B91AE5">
        <w:t xml:space="preserve"> minor</w:t>
      </w:r>
      <w:r w:rsidR="00D545B4" w:rsidRPr="00E7128E">
        <w:t xml:space="preserve"> inconsistency between the percentage interest threshold to be a foreign government investor (contained in </w:t>
      </w:r>
      <w:r w:rsidR="00D545B4">
        <w:t xml:space="preserve">the </w:t>
      </w:r>
      <w:r w:rsidR="00D545B4" w:rsidRPr="00552431">
        <w:rPr>
          <w:i/>
        </w:rPr>
        <w:t>Foreign Acquisitions and Takeovers Regulations 1989</w:t>
      </w:r>
      <w:r w:rsidR="00D545B4" w:rsidRPr="00E7128E">
        <w:t xml:space="preserve">) and that to be a foreign person (prescribed under Section 9 of the </w:t>
      </w:r>
      <w:r w:rsidR="00D545B4" w:rsidRPr="000B7ACE">
        <w:rPr>
          <w:i/>
        </w:rPr>
        <w:t>Foreign Acquisitions and Takeovers Act 1975</w:t>
      </w:r>
      <w:r w:rsidR="00D545B4" w:rsidRPr="00E7128E">
        <w:t xml:space="preserve">). The amendment will ensure a consistent definition </w:t>
      </w:r>
      <w:r w:rsidR="00D545B4">
        <w:t>applies to</w:t>
      </w:r>
      <w:r w:rsidR="00D545B4" w:rsidRPr="00E7128E">
        <w:t xml:space="preserve"> all foreign persons, including foreign government investors.</w:t>
      </w:r>
    </w:p>
    <w:p w:rsidR="005E153C" w:rsidRDefault="005E153C" w:rsidP="005E153C">
      <w:r>
        <w:t>T</w:t>
      </w:r>
      <w:r w:rsidRPr="00D10C97">
        <w:t xml:space="preserve">he Protocol </w:t>
      </w:r>
      <w:r>
        <w:t xml:space="preserve">on Investment </w:t>
      </w:r>
      <w:r w:rsidRPr="00D10C97">
        <w:t xml:space="preserve">was tabled with the Joint Standing Committee on Treaties and considered at a hearing </w:t>
      </w:r>
      <w:r>
        <w:t>of the Committee</w:t>
      </w:r>
      <w:r w:rsidRPr="00D10C97">
        <w:t xml:space="preserve">.  </w:t>
      </w:r>
      <w:r>
        <w:t xml:space="preserve">The </w:t>
      </w:r>
      <w:r w:rsidRPr="00D10C97">
        <w:t>Joint Standing Committee on Treaties recommended that binding treaty action be taken.</w:t>
      </w:r>
    </w:p>
    <w:p w:rsidR="005E153C" w:rsidRDefault="005E153C" w:rsidP="005E153C">
      <w:r>
        <w:t xml:space="preserve">The National Interest Analysis provided to the Joint Standing Committee outlines the extensive consultation process undertaken as part of the negotiations.  </w:t>
      </w:r>
    </w:p>
    <w:p w:rsidR="005E153C" w:rsidRDefault="005E153C" w:rsidP="005E153C">
      <w:r>
        <w:t xml:space="preserve">Australia has worked closely with New Zealand to ensure implementation is consistent with the agreed Protocol on Investment. </w:t>
      </w:r>
    </w:p>
    <w:p w:rsidR="00853EEC" w:rsidRPr="00BA25A4" w:rsidRDefault="00853EEC" w:rsidP="00853EEC">
      <w:pPr>
        <w:tabs>
          <w:tab w:val="left" w:pos="6521"/>
        </w:tabs>
        <w:spacing w:after="0"/>
        <w:ind w:right="91"/>
      </w:pPr>
      <w:r w:rsidRPr="00BA25A4">
        <w:t>The Regulation w</w:t>
      </w:r>
      <w:r>
        <w:t>ill</w:t>
      </w:r>
      <w:r w:rsidRPr="00BA25A4">
        <w:t xml:space="preserve"> commence on </w:t>
      </w:r>
      <w:r>
        <w:t xml:space="preserve">a day notified by the Minister in an instrument, following the agreement between Australia and New Zealand of a start date for the Protocol on Investment. </w:t>
      </w:r>
    </w:p>
    <w:p w:rsidR="009000C4" w:rsidRDefault="009000C4">
      <w:pPr>
        <w:spacing w:before="0" w:after="0"/>
        <w:rPr>
          <w:rFonts w:ascii="Helvetica" w:hAnsi="Helvetica"/>
          <w:b/>
          <w:kern w:val="28"/>
        </w:rPr>
      </w:pPr>
      <w:r>
        <w:br w:type="page"/>
      </w:r>
    </w:p>
    <w:p w:rsidR="00E4438C" w:rsidRDefault="00E4438C" w:rsidP="00E4438C">
      <w:pPr>
        <w:pStyle w:val="Heading3"/>
        <w:jc w:val="center"/>
      </w:pPr>
      <w:r>
        <w:lastRenderedPageBreak/>
        <w:t>Statement of Compatibility with Human Rights</w:t>
      </w:r>
    </w:p>
    <w:p w:rsidR="00E4438C" w:rsidRPr="00E4438C" w:rsidRDefault="00E4438C" w:rsidP="00E4438C">
      <w:pPr>
        <w:jc w:val="center"/>
        <w:rPr>
          <w:i/>
        </w:rPr>
      </w:pPr>
      <w:r w:rsidRPr="00E4438C">
        <w:rPr>
          <w:i/>
        </w:rPr>
        <w:t>Prepared in accordance with Part 3 of the Human Rights (Parliamentary Scrutiny) Act 2011</w:t>
      </w:r>
    </w:p>
    <w:p w:rsidR="000C3A83" w:rsidRDefault="000C3A83" w:rsidP="000C3A83">
      <w:pPr>
        <w:jc w:val="center"/>
        <w:rPr>
          <w:b/>
        </w:rPr>
      </w:pPr>
      <w:r w:rsidRPr="000C3A83">
        <w:rPr>
          <w:b/>
        </w:rPr>
        <w:t xml:space="preserve">Foreign Acquisitions and Takeovers Amendment Regulation 2012 (No. </w:t>
      </w:r>
      <w:r w:rsidR="002F6180">
        <w:rPr>
          <w:b/>
        </w:rPr>
        <w:t>1</w:t>
      </w:r>
      <w:r w:rsidRPr="000C3A83">
        <w:rPr>
          <w:b/>
        </w:rPr>
        <w:t>)</w:t>
      </w:r>
    </w:p>
    <w:p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rsidR="00E4438C" w:rsidRDefault="00E4438C" w:rsidP="00E4438C">
      <w:pPr>
        <w:pStyle w:val="Heading4"/>
      </w:pPr>
      <w:r>
        <w:t xml:space="preserve">Overview of the </w:t>
      </w:r>
      <w:r w:rsidRPr="00E4438C">
        <w:t>Legislative</w:t>
      </w:r>
      <w:r>
        <w:t xml:space="preserve"> Instrument</w:t>
      </w:r>
    </w:p>
    <w:p w:rsidR="00CF686B" w:rsidRDefault="00CF686B" w:rsidP="00CF686B">
      <w:r>
        <w:t>Th</w:t>
      </w:r>
      <w:r w:rsidR="009000C4">
        <w:t>e</w:t>
      </w:r>
      <w:r>
        <w:t xml:space="preserve"> Regulation makes amendments to the </w:t>
      </w:r>
      <w:r w:rsidRPr="00B9755C">
        <w:rPr>
          <w:i/>
        </w:rPr>
        <w:t>Foreign Acquisitions and Takeovers Amendment Regulations 1989</w:t>
      </w:r>
      <w:r>
        <w:rPr>
          <w:b/>
        </w:rPr>
        <w:t xml:space="preserve"> </w:t>
      </w:r>
      <w:r>
        <w:t xml:space="preserve">to give effect to Australia’s commitments under the Protocol on Investment to the Australia-New Zealand Closer Economic Relations Trade Agreement.  </w:t>
      </w:r>
    </w:p>
    <w:p w:rsidR="00E4438C" w:rsidRDefault="00CF686B" w:rsidP="00E4438C">
      <w:r>
        <w:t xml:space="preserve">The amendments include </w:t>
      </w:r>
      <w:r w:rsidRPr="0070752D">
        <w:t>New Zealand enterprises and nationals in the definition of prescribed foreign investors and prescribed foreign government investors</w:t>
      </w:r>
      <w:r>
        <w:t xml:space="preserve"> so that the higher foreign investment screening thresholds </w:t>
      </w:r>
      <w:r w:rsidR="009000C4">
        <w:t xml:space="preserve">applying to these investors (currently United States investors) apply to New Zealand. </w:t>
      </w:r>
      <w:r w:rsidR="00726A29">
        <w:t xml:space="preserve"> </w:t>
      </w:r>
      <w:r w:rsidR="00726A29" w:rsidRPr="0018299A">
        <w:t xml:space="preserve">As a result, privately owned </w:t>
      </w:r>
      <w:r w:rsidR="00726A29">
        <w:t>New Zealand</w:t>
      </w:r>
      <w:r w:rsidR="00726A29" w:rsidRPr="0018299A">
        <w:t xml:space="preserve"> investors </w:t>
      </w:r>
      <w:r w:rsidR="00726A29">
        <w:t xml:space="preserve">(businesses) </w:t>
      </w:r>
      <w:r w:rsidR="00726A29" w:rsidRPr="0018299A">
        <w:t xml:space="preserve">are </w:t>
      </w:r>
      <w:r w:rsidR="00726A29">
        <w:t xml:space="preserve">only </w:t>
      </w:r>
      <w:r w:rsidR="00726A29" w:rsidRPr="0018299A">
        <w:t xml:space="preserve">subject </w:t>
      </w:r>
      <w:r w:rsidR="00726A29">
        <w:t xml:space="preserve">foreign investment screening if their investment proposal is greater than </w:t>
      </w:r>
      <w:r w:rsidR="00726A29" w:rsidRPr="0018299A">
        <w:t xml:space="preserve">A$1,062 million (indexed annually) in relation to developed commercial </w:t>
      </w:r>
      <w:r w:rsidR="00726A29">
        <w:t xml:space="preserve">real estate and most businesses (the threshold is currently A$244 million). </w:t>
      </w:r>
    </w:p>
    <w:p w:rsidR="009000C4" w:rsidRPr="00CF686B" w:rsidRDefault="009000C4" w:rsidP="00E4438C">
      <w:r>
        <w:t>The Regulation also makes a minor amendment to ensure a consistent percentage interest threshold applies to</w:t>
      </w:r>
      <w:r w:rsidRPr="00E7128E">
        <w:t xml:space="preserve"> </w:t>
      </w:r>
      <w:r w:rsidR="003759BC">
        <w:t xml:space="preserve">the definition of </w:t>
      </w:r>
      <w:r w:rsidRPr="00E7128E">
        <w:t>all foreign persons, including foreign government investors.</w:t>
      </w:r>
    </w:p>
    <w:p w:rsidR="00E4438C" w:rsidRDefault="00E4438C" w:rsidP="00E4438C">
      <w:pPr>
        <w:pStyle w:val="Heading4"/>
      </w:pPr>
      <w:r>
        <w:t>Human rights implications</w:t>
      </w:r>
    </w:p>
    <w:p w:rsidR="00E4438C" w:rsidRDefault="00E4438C" w:rsidP="00E4438C">
      <w:r>
        <w:t>This Legislative Instrument does not engage any of the applicable rights or freedoms.</w:t>
      </w:r>
    </w:p>
    <w:p w:rsidR="00E4438C" w:rsidRDefault="00E4438C" w:rsidP="00E4438C">
      <w:pPr>
        <w:pStyle w:val="Heading4"/>
      </w:pPr>
      <w:r>
        <w:t>Conclusion</w:t>
      </w:r>
    </w:p>
    <w:p w:rsidR="00E4438C" w:rsidRDefault="00E4438C" w:rsidP="00E4438C">
      <w:r>
        <w:t>This Legislative Instrument is compatible with human rights as it does not raise any human rights issues.</w:t>
      </w:r>
    </w:p>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453C9B0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3594260D"/>
    <w:multiLevelType w:val="multilevel"/>
    <w:tmpl w:val="E7ECC6EA"/>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ED11ECA"/>
    <w:multiLevelType w:val="multilevel"/>
    <w:tmpl w:val="F626C31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7A43C0B"/>
    <w:multiLevelType w:val="multilevel"/>
    <w:tmpl w:val="23CA85D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B4"/>
    <w:rsid w:val="00016EA2"/>
    <w:rsid w:val="000840EF"/>
    <w:rsid w:val="00095211"/>
    <w:rsid w:val="000B7ACE"/>
    <w:rsid w:val="000C10DF"/>
    <w:rsid w:val="000C3A83"/>
    <w:rsid w:val="00113B45"/>
    <w:rsid w:val="00114991"/>
    <w:rsid w:val="001E6A74"/>
    <w:rsid w:val="001F41D0"/>
    <w:rsid w:val="00220F16"/>
    <w:rsid w:val="00254C5B"/>
    <w:rsid w:val="002F6180"/>
    <w:rsid w:val="003342CD"/>
    <w:rsid w:val="00335042"/>
    <w:rsid w:val="003537ED"/>
    <w:rsid w:val="003759BC"/>
    <w:rsid w:val="00392BBA"/>
    <w:rsid w:val="004E39E1"/>
    <w:rsid w:val="00503E44"/>
    <w:rsid w:val="00515283"/>
    <w:rsid w:val="00552431"/>
    <w:rsid w:val="0055675D"/>
    <w:rsid w:val="005833BE"/>
    <w:rsid w:val="005D7D5A"/>
    <w:rsid w:val="005E153C"/>
    <w:rsid w:val="0060130D"/>
    <w:rsid w:val="0063335A"/>
    <w:rsid w:val="0064129F"/>
    <w:rsid w:val="0070752D"/>
    <w:rsid w:val="00726A29"/>
    <w:rsid w:val="007270E8"/>
    <w:rsid w:val="007E018D"/>
    <w:rsid w:val="00807E7D"/>
    <w:rsid w:val="00831675"/>
    <w:rsid w:val="00853EEC"/>
    <w:rsid w:val="0088467C"/>
    <w:rsid w:val="008D16F7"/>
    <w:rsid w:val="009000C4"/>
    <w:rsid w:val="009E2F86"/>
    <w:rsid w:val="00A12209"/>
    <w:rsid w:val="00A36DF3"/>
    <w:rsid w:val="00A532DD"/>
    <w:rsid w:val="00A70E04"/>
    <w:rsid w:val="00A80BCF"/>
    <w:rsid w:val="00B07B0C"/>
    <w:rsid w:val="00B91AE5"/>
    <w:rsid w:val="00B9755C"/>
    <w:rsid w:val="00BD61A2"/>
    <w:rsid w:val="00BE484D"/>
    <w:rsid w:val="00C37E05"/>
    <w:rsid w:val="00C55D29"/>
    <w:rsid w:val="00C83F55"/>
    <w:rsid w:val="00CF686B"/>
    <w:rsid w:val="00D34626"/>
    <w:rsid w:val="00D4257A"/>
    <w:rsid w:val="00D545B4"/>
    <w:rsid w:val="00DC0CDE"/>
    <w:rsid w:val="00E0624D"/>
    <w:rsid w:val="00E4438C"/>
    <w:rsid w:val="00EB7E71"/>
    <w:rsid w:val="00F109D4"/>
    <w:rsid w:val="00F2261D"/>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paragraph" w:customStyle="1" w:styleId="OutlineNumbered1">
    <w:name w:val="Outline Numbered 1"/>
    <w:basedOn w:val="Normal"/>
    <w:link w:val="OutlineNumbered1Char"/>
    <w:rsid w:val="005E153C"/>
    <w:pPr>
      <w:numPr>
        <w:numId w:val="5"/>
      </w:numPr>
      <w:spacing w:before="0" w:after="240"/>
    </w:pPr>
    <w:rPr>
      <w:szCs w:val="24"/>
    </w:rPr>
  </w:style>
  <w:style w:type="character" w:customStyle="1" w:styleId="OutlineNumbered1Char">
    <w:name w:val="Outline Numbered 1 Char"/>
    <w:basedOn w:val="DefaultParagraphFont"/>
    <w:link w:val="OutlineNumbered1"/>
    <w:rsid w:val="005E153C"/>
    <w:rPr>
      <w:sz w:val="24"/>
      <w:szCs w:val="24"/>
    </w:rPr>
  </w:style>
  <w:style w:type="paragraph" w:customStyle="1" w:styleId="OutlineNumbered2">
    <w:name w:val="Outline Numbered 2"/>
    <w:basedOn w:val="Normal"/>
    <w:rsid w:val="005E153C"/>
    <w:pPr>
      <w:numPr>
        <w:ilvl w:val="1"/>
        <w:numId w:val="5"/>
      </w:numPr>
      <w:spacing w:before="0" w:after="240"/>
    </w:pPr>
    <w:rPr>
      <w:szCs w:val="24"/>
    </w:rPr>
  </w:style>
  <w:style w:type="paragraph" w:customStyle="1" w:styleId="OutlineNumbered3">
    <w:name w:val="Outline Numbered 3"/>
    <w:basedOn w:val="Normal"/>
    <w:rsid w:val="005E153C"/>
    <w:pPr>
      <w:numPr>
        <w:ilvl w:val="2"/>
        <w:numId w:val="5"/>
      </w:numPr>
      <w:spacing w:before="0" w:after="24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paragraph" w:customStyle="1" w:styleId="OutlineNumbered1">
    <w:name w:val="Outline Numbered 1"/>
    <w:basedOn w:val="Normal"/>
    <w:link w:val="OutlineNumbered1Char"/>
    <w:rsid w:val="005E153C"/>
    <w:pPr>
      <w:numPr>
        <w:numId w:val="5"/>
      </w:numPr>
      <w:spacing w:before="0" w:after="240"/>
    </w:pPr>
    <w:rPr>
      <w:szCs w:val="24"/>
    </w:rPr>
  </w:style>
  <w:style w:type="character" w:customStyle="1" w:styleId="OutlineNumbered1Char">
    <w:name w:val="Outline Numbered 1 Char"/>
    <w:basedOn w:val="DefaultParagraphFont"/>
    <w:link w:val="OutlineNumbered1"/>
    <w:rsid w:val="005E153C"/>
    <w:rPr>
      <w:sz w:val="24"/>
      <w:szCs w:val="24"/>
    </w:rPr>
  </w:style>
  <w:style w:type="paragraph" w:customStyle="1" w:styleId="OutlineNumbered2">
    <w:name w:val="Outline Numbered 2"/>
    <w:basedOn w:val="Normal"/>
    <w:rsid w:val="005E153C"/>
    <w:pPr>
      <w:numPr>
        <w:ilvl w:val="1"/>
        <w:numId w:val="5"/>
      </w:numPr>
      <w:spacing w:before="0" w:after="240"/>
    </w:pPr>
    <w:rPr>
      <w:szCs w:val="24"/>
    </w:rPr>
  </w:style>
  <w:style w:type="paragraph" w:customStyle="1" w:styleId="OutlineNumbered3">
    <w:name w:val="Outline Numbered 3"/>
    <w:basedOn w:val="Normal"/>
    <w:rsid w:val="005E153C"/>
    <w:pPr>
      <w:numPr>
        <w:ilvl w:val="2"/>
        <w:numId w:val="5"/>
      </w:numPr>
      <w:spacing w:before="0"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0E297-F27C-41DC-9ADB-065CE2EF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1</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Nixon, Stewart</dc:creator>
  <cp:lastModifiedBy>Hilhorst, Matt</cp:lastModifiedBy>
  <cp:revision>2</cp:revision>
  <cp:lastPrinted>2011-09-27T02:53:00Z</cp:lastPrinted>
  <dcterms:created xsi:type="dcterms:W3CDTF">2013-05-16T01:19:00Z</dcterms:created>
  <dcterms:modified xsi:type="dcterms:W3CDTF">2013-05-16T01:19:00Z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94015296</vt:i4>
  </property>
  <property fmtid="{D5CDD505-2E9C-101B-9397-08002B2CF9AE}" pid="3" name="_NewReviewCycle">
    <vt:lpwstr/>
  </property>
  <property fmtid="{D5CDD505-2E9C-101B-9397-08002B2CF9AE}" pid="4" name="_EmailSubject">
    <vt:lpwstr>FRLI Registration for 6 December ExCo regulations [SEC=UNCLASSIFIED]</vt:lpwstr>
  </property>
  <property fmtid="{D5CDD505-2E9C-101B-9397-08002B2CF9AE}" pid="5" name="_AuthorEmail">
    <vt:lpwstr>Stewart.Nixon@TREASURY.GOV.AU</vt:lpwstr>
  </property>
  <property fmtid="{D5CDD505-2E9C-101B-9397-08002B2CF9AE}" pid="6" name="_AuthorEmailDisplayName">
    <vt:lpwstr>Nixon, Stewart</vt:lpwstr>
  </property>
  <property fmtid="{D5CDD505-2E9C-101B-9397-08002B2CF9AE}" pid="7" name="_PreviousAdHocReviewCycleID">
    <vt:i4>-2119910230</vt:i4>
  </property>
  <property fmtid="{D5CDD505-2E9C-101B-9397-08002B2CF9AE}" pid="8" name="_ReviewingToolsShownOnce">
    <vt:lpwstr/>
  </property>
</Properties>
</file>