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62" w:rsidRPr="00964D9A" w:rsidRDefault="00160362" w:rsidP="00160362">
      <w:pPr>
        <w:keepNext/>
        <w:spacing w:before="120" w:after="120"/>
        <w:rPr>
          <w:rFonts w:ascii="Times New Roman" w:hAnsi="Times New Roman"/>
          <w:b/>
          <w:sz w:val="28"/>
          <w:szCs w:val="28"/>
        </w:rPr>
      </w:pPr>
      <w:bookmarkStart w:id="0" w:name="_Toc290210739"/>
      <w:r w:rsidRPr="00964D9A">
        <w:rPr>
          <w:rFonts w:ascii="Times New Roman" w:hAnsi="Times New Roman"/>
          <w:b/>
          <w:sz w:val="28"/>
          <w:szCs w:val="28"/>
        </w:rPr>
        <w:t>STATEMENT OF COMPATIBILITY WITH HUMAN RIGHTS</w:t>
      </w:r>
    </w:p>
    <w:p w:rsidR="00160362" w:rsidRPr="00E4135E" w:rsidRDefault="00160362" w:rsidP="00160362">
      <w:pPr>
        <w:spacing w:before="120" w:after="120"/>
        <w:rPr>
          <w:rFonts w:ascii="Times New Roman" w:hAnsi="Times New Roman"/>
          <w:sz w:val="24"/>
          <w:szCs w:val="24"/>
        </w:rPr>
      </w:pPr>
      <w:r w:rsidRPr="00E4135E">
        <w:rPr>
          <w:rFonts w:ascii="Times New Roman" w:hAnsi="Times New Roman"/>
          <w:i/>
          <w:sz w:val="24"/>
          <w:szCs w:val="24"/>
        </w:rPr>
        <w:t>Prepared in accordance with Part 3 of the Human Rights (Parliamentary Scrutiny) Act 2011</w:t>
      </w:r>
    </w:p>
    <w:p w:rsidR="00160362" w:rsidRPr="00E4135E" w:rsidRDefault="00160362" w:rsidP="00160362">
      <w:pPr>
        <w:spacing w:before="120" w:after="120"/>
        <w:rPr>
          <w:rFonts w:ascii="Times New Roman" w:hAnsi="Times New Roman"/>
          <w:sz w:val="24"/>
          <w:szCs w:val="24"/>
        </w:rPr>
      </w:pPr>
    </w:p>
    <w:p w:rsidR="00160362" w:rsidRPr="00AB5345" w:rsidRDefault="000C0DEE" w:rsidP="00160362">
      <w:pPr>
        <w:spacing w:before="120" w:after="120"/>
        <w:rPr>
          <w:rFonts w:ascii="Times New Roman" w:hAnsi="Times New Roman"/>
          <w:b/>
          <w:i/>
          <w:sz w:val="24"/>
          <w:szCs w:val="24"/>
        </w:rPr>
      </w:pPr>
      <w:r>
        <w:rPr>
          <w:rFonts w:ascii="Times New Roman" w:hAnsi="Times New Roman"/>
          <w:b/>
          <w:i/>
          <w:sz w:val="24"/>
          <w:szCs w:val="24"/>
        </w:rPr>
        <w:t>Family Law (Fees) Regulation 2012</w:t>
      </w:r>
    </w:p>
    <w:p w:rsidR="00160362" w:rsidRPr="00E4135E" w:rsidRDefault="00160362" w:rsidP="00AA6B79">
      <w:pPr>
        <w:numPr>
          <w:ilvl w:val="0"/>
          <w:numId w:val="5"/>
        </w:numPr>
        <w:spacing w:before="240" w:after="0" w:line="240" w:lineRule="auto"/>
        <w:ind w:left="0" w:hanging="11"/>
        <w:rPr>
          <w:rFonts w:ascii="Times New Roman" w:hAnsi="Times New Roman"/>
          <w:sz w:val="24"/>
          <w:szCs w:val="24"/>
        </w:rPr>
      </w:pPr>
      <w:r w:rsidRPr="00E4135E">
        <w:rPr>
          <w:rFonts w:ascii="Times New Roman" w:hAnsi="Times New Roman"/>
          <w:sz w:val="24"/>
          <w:szCs w:val="24"/>
        </w:rPr>
        <w:t xml:space="preserve">This </w:t>
      </w:r>
      <w:r w:rsidR="001E1998">
        <w:rPr>
          <w:rFonts w:ascii="Times New Roman" w:hAnsi="Times New Roman"/>
          <w:sz w:val="24"/>
          <w:szCs w:val="24"/>
        </w:rPr>
        <w:t>Regulation</w:t>
      </w:r>
      <w:r w:rsidRPr="00E4135E">
        <w:rPr>
          <w:rFonts w:ascii="Times New Roman" w:hAnsi="Times New Roman"/>
          <w:sz w:val="24"/>
          <w:szCs w:val="24"/>
        </w:rPr>
        <w:t xml:space="preserve"> is compatible with the human rights and freedoms recognised or declared in the international instruments listed in section 3 of the </w:t>
      </w:r>
      <w:r w:rsidRPr="00AA6B79">
        <w:rPr>
          <w:rFonts w:ascii="Times New Roman" w:hAnsi="Times New Roman"/>
          <w:i/>
          <w:sz w:val="24"/>
          <w:szCs w:val="24"/>
        </w:rPr>
        <w:t>Human Rights (Parliamentary Scrutiny) Act 2011</w:t>
      </w:r>
      <w:r w:rsidRPr="00E4135E">
        <w:rPr>
          <w:rFonts w:ascii="Times New Roman" w:hAnsi="Times New Roman"/>
          <w:sz w:val="24"/>
          <w:szCs w:val="24"/>
        </w:rPr>
        <w:t>.</w:t>
      </w:r>
    </w:p>
    <w:p w:rsidR="00160362" w:rsidRPr="00E4135E" w:rsidRDefault="00160362" w:rsidP="00160362">
      <w:pPr>
        <w:spacing w:before="120" w:after="120"/>
        <w:rPr>
          <w:rFonts w:ascii="Times New Roman" w:hAnsi="Times New Roman"/>
          <w:sz w:val="24"/>
          <w:szCs w:val="24"/>
        </w:rPr>
      </w:pPr>
    </w:p>
    <w:p w:rsidR="00160362" w:rsidRPr="00E4135E" w:rsidRDefault="00160362" w:rsidP="00160362">
      <w:pPr>
        <w:spacing w:before="120" w:after="120"/>
        <w:jc w:val="both"/>
        <w:rPr>
          <w:rFonts w:ascii="Times New Roman" w:hAnsi="Times New Roman"/>
          <w:b/>
          <w:sz w:val="24"/>
          <w:szCs w:val="24"/>
        </w:rPr>
      </w:pPr>
      <w:r w:rsidRPr="00E4135E">
        <w:rPr>
          <w:rFonts w:ascii="Times New Roman" w:hAnsi="Times New Roman"/>
          <w:b/>
          <w:sz w:val="24"/>
          <w:szCs w:val="24"/>
        </w:rPr>
        <w:t xml:space="preserve">Overview of the </w:t>
      </w:r>
      <w:r w:rsidR="001E1998">
        <w:rPr>
          <w:rFonts w:ascii="Times New Roman" w:hAnsi="Times New Roman"/>
          <w:b/>
          <w:sz w:val="24"/>
          <w:szCs w:val="24"/>
        </w:rPr>
        <w:t>Regulation</w:t>
      </w:r>
    </w:p>
    <w:p w:rsidR="00DF6174" w:rsidRPr="00CB3EA8" w:rsidRDefault="00DF6174" w:rsidP="00DF6174">
      <w:pPr>
        <w:numPr>
          <w:ilvl w:val="0"/>
          <w:numId w:val="5"/>
        </w:numPr>
        <w:spacing w:before="240" w:after="0" w:line="240" w:lineRule="auto"/>
        <w:ind w:left="0" w:hanging="11"/>
        <w:rPr>
          <w:rFonts w:ascii="Times New Roman" w:hAnsi="Times New Roman"/>
          <w:sz w:val="24"/>
          <w:szCs w:val="24"/>
        </w:rPr>
      </w:pPr>
      <w:r w:rsidRPr="00CB3EA8">
        <w:rPr>
          <w:rFonts w:ascii="Times New Roman" w:hAnsi="Times New Roman"/>
          <w:sz w:val="24"/>
          <w:szCs w:val="24"/>
        </w:rPr>
        <w:t xml:space="preserve">The purpose of the </w:t>
      </w:r>
      <w:r w:rsidRPr="00175A49">
        <w:rPr>
          <w:rFonts w:ascii="Times New Roman" w:hAnsi="Times New Roman"/>
          <w:i/>
          <w:sz w:val="24"/>
          <w:szCs w:val="24"/>
        </w:rPr>
        <w:t>Family Law (Fees) Regulation 2012</w:t>
      </w:r>
      <w:r w:rsidRPr="00CB3EA8">
        <w:rPr>
          <w:rFonts w:ascii="Times New Roman" w:hAnsi="Times New Roman"/>
          <w:sz w:val="24"/>
          <w:szCs w:val="24"/>
        </w:rPr>
        <w:t xml:space="preserve"> is to provide a single regulation in family law applying to proceedings under the </w:t>
      </w:r>
      <w:r w:rsidRPr="00175A49">
        <w:rPr>
          <w:rFonts w:ascii="Times New Roman" w:hAnsi="Times New Roman"/>
          <w:i/>
          <w:sz w:val="24"/>
          <w:szCs w:val="24"/>
        </w:rPr>
        <w:t>Family Law Act 1975</w:t>
      </w:r>
      <w:r>
        <w:rPr>
          <w:rFonts w:ascii="Times New Roman" w:hAnsi="Times New Roman"/>
          <w:sz w:val="24"/>
          <w:szCs w:val="24"/>
        </w:rPr>
        <w:t xml:space="preserve"> </w:t>
      </w:r>
      <w:r w:rsidRPr="00CB3EA8">
        <w:rPr>
          <w:rFonts w:ascii="Times New Roman" w:hAnsi="Times New Roman"/>
          <w:sz w:val="24"/>
          <w:szCs w:val="24"/>
        </w:rPr>
        <w:t>in the Family Court</w:t>
      </w:r>
      <w:r>
        <w:rPr>
          <w:rFonts w:ascii="Times New Roman" w:hAnsi="Times New Roman"/>
          <w:sz w:val="24"/>
          <w:szCs w:val="24"/>
        </w:rPr>
        <w:t xml:space="preserve"> of Australia</w:t>
      </w:r>
      <w:r w:rsidRPr="00CB3EA8">
        <w:rPr>
          <w:rFonts w:ascii="Times New Roman" w:hAnsi="Times New Roman"/>
          <w:sz w:val="24"/>
          <w:szCs w:val="24"/>
        </w:rPr>
        <w:t xml:space="preserve">, the </w:t>
      </w:r>
      <w:r>
        <w:rPr>
          <w:rFonts w:ascii="Times New Roman" w:hAnsi="Times New Roman"/>
          <w:sz w:val="24"/>
          <w:szCs w:val="24"/>
        </w:rPr>
        <w:t>Federal Magistrates Court of Australia</w:t>
      </w:r>
      <w:r w:rsidRPr="00CB3EA8">
        <w:rPr>
          <w:rFonts w:ascii="Times New Roman" w:hAnsi="Times New Roman"/>
          <w:sz w:val="24"/>
          <w:szCs w:val="24"/>
        </w:rPr>
        <w:t xml:space="preserve"> and other courts that exercise jurisdiction under </w:t>
      </w:r>
      <w:r w:rsidR="00175A49">
        <w:rPr>
          <w:rFonts w:ascii="Times New Roman" w:hAnsi="Times New Roman"/>
          <w:sz w:val="24"/>
          <w:szCs w:val="24"/>
        </w:rPr>
        <w:t>the Family Law Act</w:t>
      </w:r>
      <w:r w:rsidRPr="00CB3EA8">
        <w:rPr>
          <w:rFonts w:ascii="Times New Roman" w:hAnsi="Times New Roman"/>
          <w:sz w:val="24"/>
          <w:szCs w:val="24"/>
        </w:rPr>
        <w:t>, and also to implement a range of reforms to court fees in proceedings under that Act, including:</w:t>
      </w:r>
    </w:p>
    <w:p w:rsidR="00DF6174" w:rsidRDefault="00DF6174" w:rsidP="00DF6174">
      <w:pPr>
        <w:numPr>
          <w:ilvl w:val="0"/>
          <w:numId w:val="6"/>
        </w:numPr>
        <w:spacing w:before="240" w:after="0" w:line="240" w:lineRule="auto"/>
        <w:rPr>
          <w:rFonts w:ascii="Times New Roman" w:hAnsi="Times New Roman"/>
          <w:sz w:val="24"/>
          <w:szCs w:val="24"/>
        </w:rPr>
      </w:pPr>
      <w:r w:rsidRPr="00CB3EA8">
        <w:rPr>
          <w:rFonts w:ascii="Times New Roman" w:hAnsi="Times New Roman"/>
          <w:sz w:val="24"/>
          <w:szCs w:val="24"/>
        </w:rPr>
        <w:t xml:space="preserve">an increase in the fee for an application for a divorce in the </w:t>
      </w:r>
      <w:r w:rsidR="00175A49">
        <w:rPr>
          <w:rFonts w:ascii="Times New Roman" w:hAnsi="Times New Roman"/>
          <w:sz w:val="24"/>
          <w:szCs w:val="24"/>
        </w:rPr>
        <w:t xml:space="preserve">Federal Magistrates Court of Australia </w:t>
      </w:r>
      <w:r w:rsidRPr="00CB3EA8">
        <w:rPr>
          <w:rFonts w:ascii="Times New Roman" w:hAnsi="Times New Roman"/>
          <w:sz w:val="24"/>
          <w:szCs w:val="24"/>
        </w:rPr>
        <w:t>from $577 to $800</w:t>
      </w:r>
    </w:p>
    <w:p w:rsidR="00DF6174" w:rsidRDefault="00DF6174" w:rsidP="00DF6174">
      <w:pPr>
        <w:numPr>
          <w:ilvl w:val="0"/>
          <w:numId w:val="6"/>
        </w:numPr>
        <w:spacing w:before="240" w:after="0" w:line="240" w:lineRule="auto"/>
        <w:rPr>
          <w:rFonts w:ascii="Times New Roman" w:hAnsi="Times New Roman"/>
          <w:sz w:val="24"/>
          <w:szCs w:val="24"/>
        </w:rPr>
      </w:pPr>
      <w:r>
        <w:rPr>
          <w:rFonts w:ascii="Times New Roman" w:hAnsi="Times New Roman"/>
          <w:sz w:val="24"/>
          <w:szCs w:val="24"/>
        </w:rPr>
        <w:t>an increase in the fee for filing a consent order in the Family Court of Australia from $84 to $145</w:t>
      </w:r>
    </w:p>
    <w:p w:rsidR="00DF6174" w:rsidRDefault="00DF6174" w:rsidP="00DF6174">
      <w:pPr>
        <w:numPr>
          <w:ilvl w:val="0"/>
          <w:numId w:val="6"/>
        </w:numPr>
        <w:spacing w:before="240" w:after="0" w:line="240" w:lineRule="auto"/>
        <w:rPr>
          <w:rFonts w:ascii="Times New Roman" w:hAnsi="Times New Roman"/>
          <w:sz w:val="24"/>
          <w:szCs w:val="24"/>
        </w:rPr>
      </w:pPr>
      <w:r w:rsidRPr="00CB3EA8">
        <w:rPr>
          <w:rFonts w:ascii="Times New Roman" w:hAnsi="Times New Roman"/>
          <w:sz w:val="24"/>
          <w:szCs w:val="24"/>
        </w:rPr>
        <w:t>general increases to most other existing fees by approximately 20 per</w:t>
      </w:r>
      <w:bookmarkStart w:id="1" w:name="_GoBack"/>
      <w:bookmarkEnd w:id="1"/>
      <w:r w:rsidRPr="00CB3EA8">
        <w:rPr>
          <w:rFonts w:ascii="Times New Roman" w:hAnsi="Times New Roman"/>
          <w:sz w:val="24"/>
          <w:szCs w:val="24"/>
        </w:rPr>
        <w:t xml:space="preserve">cent </w:t>
      </w:r>
    </w:p>
    <w:p w:rsidR="00DF6174" w:rsidRPr="00CB3EA8" w:rsidRDefault="00DF6174" w:rsidP="00DF6174">
      <w:pPr>
        <w:numPr>
          <w:ilvl w:val="0"/>
          <w:numId w:val="6"/>
        </w:numPr>
        <w:spacing w:before="240" w:after="0" w:line="240" w:lineRule="auto"/>
        <w:rPr>
          <w:rFonts w:ascii="Times New Roman" w:hAnsi="Times New Roman"/>
          <w:sz w:val="24"/>
          <w:szCs w:val="24"/>
        </w:rPr>
      </w:pPr>
      <w:r w:rsidRPr="00CB3EA8">
        <w:rPr>
          <w:rFonts w:ascii="Times New Roman" w:hAnsi="Times New Roman"/>
          <w:sz w:val="24"/>
          <w:szCs w:val="24"/>
        </w:rPr>
        <w:t>removing the reduced fee of $60 payable by legal aid recipients and people on Commonwealth income support</w:t>
      </w:r>
      <w:r>
        <w:rPr>
          <w:rFonts w:ascii="Times New Roman" w:hAnsi="Times New Roman"/>
          <w:sz w:val="24"/>
          <w:szCs w:val="24"/>
        </w:rPr>
        <w:t xml:space="preserve"> under the previous regulations</w:t>
      </w:r>
      <w:r w:rsidRPr="00CB3EA8">
        <w:rPr>
          <w:rFonts w:ascii="Times New Roman" w:hAnsi="Times New Roman"/>
          <w:sz w:val="24"/>
          <w:szCs w:val="24"/>
        </w:rPr>
        <w:t>, and providing that those persons need not pay court fees (with the exception of filing a divorce or nullity of marriage application), and</w:t>
      </w:r>
    </w:p>
    <w:p w:rsidR="00DF6174" w:rsidRPr="00CB3EA8" w:rsidRDefault="00DF6174" w:rsidP="00DF6174">
      <w:pPr>
        <w:numPr>
          <w:ilvl w:val="0"/>
          <w:numId w:val="6"/>
        </w:numPr>
        <w:spacing w:before="240" w:after="0" w:line="240" w:lineRule="auto"/>
        <w:rPr>
          <w:rFonts w:ascii="Times New Roman" w:hAnsi="Times New Roman"/>
          <w:sz w:val="24"/>
          <w:szCs w:val="24"/>
        </w:rPr>
      </w:pPr>
      <w:r w:rsidRPr="00CB3EA8">
        <w:rPr>
          <w:rFonts w:ascii="Times New Roman" w:hAnsi="Times New Roman"/>
          <w:sz w:val="24"/>
          <w:szCs w:val="24"/>
        </w:rPr>
        <w:t>introducing new fees targeting resource intensive processes to encourage court users to utilise alternative dispute processes.</w:t>
      </w:r>
    </w:p>
    <w:p w:rsidR="00DF6174" w:rsidRPr="00CB3EA8" w:rsidRDefault="00DF6174" w:rsidP="00DF6174">
      <w:pPr>
        <w:numPr>
          <w:ilvl w:val="0"/>
          <w:numId w:val="5"/>
        </w:numPr>
        <w:spacing w:before="240" w:after="0" w:line="240" w:lineRule="auto"/>
        <w:ind w:left="0" w:hanging="11"/>
        <w:rPr>
          <w:rFonts w:ascii="Times New Roman" w:hAnsi="Times New Roman"/>
          <w:sz w:val="24"/>
          <w:szCs w:val="24"/>
        </w:rPr>
      </w:pPr>
      <w:r w:rsidRPr="00CB3EA8">
        <w:rPr>
          <w:rFonts w:ascii="Times New Roman" w:hAnsi="Times New Roman"/>
          <w:sz w:val="24"/>
          <w:szCs w:val="24"/>
        </w:rPr>
        <w:t>These measures are part of wider reforms to the feder</w:t>
      </w:r>
      <w:r>
        <w:rPr>
          <w:rFonts w:ascii="Times New Roman" w:hAnsi="Times New Roman"/>
          <w:sz w:val="24"/>
          <w:szCs w:val="24"/>
        </w:rPr>
        <w:t>al courts announced in the 2012</w:t>
      </w:r>
      <w:r>
        <w:rPr>
          <w:rFonts w:ascii="Times New Roman" w:hAnsi="Times New Roman"/>
          <w:sz w:val="24"/>
          <w:szCs w:val="24"/>
        </w:rPr>
        <w:noBreakHyphen/>
      </w:r>
      <w:r w:rsidRPr="00CB3EA8">
        <w:rPr>
          <w:rFonts w:ascii="Times New Roman" w:hAnsi="Times New Roman"/>
          <w:sz w:val="24"/>
          <w:szCs w:val="24"/>
        </w:rPr>
        <w:t xml:space="preserve">13 Budget.  These measures include an increase to federal court fees to ensure there is a greater contribution by court users to the costs of running the courts, and lower fees or exemptions from fees in some cases to assist access to the courts.    </w:t>
      </w:r>
    </w:p>
    <w:p w:rsidR="00160362" w:rsidRPr="00E4135E" w:rsidRDefault="00160362" w:rsidP="00160362">
      <w:pPr>
        <w:spacing w:before="120" w:after="120"/>
        <w:rPr>
          <w:rFonts w:ascii="Times New Roman" w:hAnsi="Times New Roman"/>
          <w:sz w:val="24"/>
          <w:szCs w:val="24"/>
        </w:rPr>
      </w:pPr>
    </w:p>
    <w:p w:rsidR="00160362" w:rsidRPr="00E4135E" w:rsidRDefault="00160362" w:rsidP="00160362">
      <w:pPr>
        <w:spacing w:before="120" w:after="120"/>
        <w:rPr>
          <w:rFonts w:ascii="Times New Roman" w:hAnsi="Times New Roman"/>
          <w:b/>
          <w:sz w:val="24"/>
          <w:szCs w:val="24"/>
        </w:rPr>
      </w:pPr>
      <w:r w:rsidRPr="00E4135E">
        <w:rPr>
          <w:rFonts w:ascii="Times New Roman" w:hAnsi="Times New Roman"/>
          <w:b/>
          <w:sz w:val="24"/>
          <w:szCs w:val="24"/>
        </w:rPr>
        <w:t>Human rights implications</w:t>
      </w:r>
    </w:p>
    <w:p w:rsidR="00160362" w:rsidRPr="00E4135E" w:rsidRDefault="00BA3EBE" w:rsidP="00160362">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The</w:t>
      </w:r>
      <w:r w:rsidR="00160362" w:rsidRPr="00E4135E">
        <w:rPr>
          <w:rFonts w:ascii="Times New Roman" w:hAnsi="Times New Roman"/>
          <w:sz w:val="24"/>
          <w:szCs w:val="24"/>
        </w:rPr>
        <w:t xml:space="preserve"> </w:t>
      </w:r>
      <w:r w:rsidR="001E1998">
        <w:rPr>
          <w:rFonts w:ascii="Times New Roman" w:hAnsi="Times New Roman"/>
          <w:sz w:val="24"/>
          <w:szCs w:val="24"/>
        </w:rPr>
        <w:t>Regulation</w:t>
      </w:r>
      <w:r w:rsidR="00160362">
        <w:rPr>
          <w:rFonts w:ascii="Times New Roman" w:hAnsi="Times New Roman"/>
          <w:sz w:val="24"/>
          <w:szCs w:val="24"/>
        </w:rPr>
        <w:t xml:space="preserve"> engages the right to access to justice, which is implied in the right to effective remedy under Article 2(3) of the International Covenant on Civil and Political Rights (ICCPR).  </w:t>
      </w:r>
    </w:p>
    <w:p w:rsidR="00160362" w:rsidRDefault="00160362" w:rsidP="00160362">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Article 2(3) of the ICCPR protects the right to effective remedy for violation of rights or freedoms recognised by the ICCPR, and provides for a person’s right to be determined by competent judicial authorities</w:t>
      </w:r>
      <w:r w:rsidR="00F709D8">
        <w:rPr>
          <w:rFonts w:ascii="Times New Roman" w:hAnsi="Times New Roman"/>
          <w:sz w:val="24"/>
          <w:szCs w:val="24"/>
        </w:rPr>
        <w:t>,</w:t>
      </w:r>
      <w:r w:rsidR="00F709D8" w:rsidRPr="00F709D8">
        <w:rPr>
          <w:rFonts w:ascii="Times New Roman" w:hAnsi="Times New Roman"/>
          <w:sz w:val="24"/>
          <w:szCs w:val="24"/>
        </w:rPr>
        <w:t xml:space="preserve"> </w:t>
      </w:r>
      <w:r w:rsidR="00F709D8">
        <w:rPr>
          <w:rFonts w:ascii="Times New Roman" w:hAnsi="Times New Roman"/>
          <w:sz w:val="24"/>
          <w:szCs w:val="24"/>
        </w:rPr>
        <w:t>administrative or legislative authorities, or by any other competent authority provided for by the legal system of the State.</w:t>
      </w:r>
      <w:r>
        <w:rPr>
          <w:rFonts w:ascii="Times New Roman" w:hAnsi="Times New Roman"/>
          <w:sz w:val="24"/>
          <w:szCs w:val="24"/>
        </w:rPr>
        <w:t xml:space="preserve"> </w:t>
      </w:r>
    </w:p>
    <w:p w:rsidR="00DF70CE" w:rsidRDefault="00DF70CE" w:rsidP="00DF70CE">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ICCPR recognises a number of rights and freedoms </w:t>
      </w:r>
      <w:r w:rsidR="005C03FF">
        <w:rPr>
          <w:rFonts w:ascii="Times New Roman" w:hAnsi="Times New Roman"/>
          <w:sz w:val="24"/>
          <w:szCs w:val="24"/>
        </w:rPr>
        <w:t xml:space="preserve">which may be </w:t>
      </w:r>
      <w:r>
        <w:rPr>
          <w:rFonts w:ascii="Times New Roman" w:hAnsi="Times New Roman"/>
          <w:sz w:val="24"/>
          <w:szCs w:val="24"/>
        </w:rPr>
        <w:t>relevant to family law proceedings</w:t>
      </w:r>
      <w:r w:rsidR="005C03FF">
        <w:rPr>
          <w:rFonts w:ascii="Times New Roman" w:hAnsi="Times New Roman"/>
          <w:sz w:val="24"/>
          <w:szCs w:val="24"/>
        </w:rPr>
        <w:t>:</w:t>
      </w:r>
    </w:p>
    <w:p w:rsidR="00DF70CE" w:rsidRPr="00AE3F17" w:rsidRDefault="00DF70CE" w:rsidP="00E93014">
      <w:pPr>
        <w:numPr>
          <w:ilvl w:val="0"/>
          <w:numId w:val="10"/>
        </w:numPr>
        <w:spacing w:before="240" w:after="0" w:line="240" w:lineRule="auto"/>
        <w:rPr>
          <w:rFonts w:ascii="Times New Roman" w:hAnsi="Times New Roman"/>
          <w:sz w:val="24"/>
          <w:szCs w:val="24"/>
        </w:rPr>
      </w:pPr>
      <w:r w:rsidRPr="00DF70CE">
        <w:rPr>
          <w:rFonts w:ascii="Times New Roman" w:hAnsi="Times New Roman"/>
          <w:sz w:val="24"/>
          <w:szCs w:val="24"/>
        </w:rPr>
        <w:lastRenderedPageBreak/>
        <w:t xml:space="preserve">Article 2(3)(b) provides </w:t>
      </w:r>
      <w:r w:rsidR="003628CE">
        <w:rPr>
          <w:rFonts w:ascii="Times New Roman" w:hAnsi="Times New Roman"/>
          <w:sz w:val="24"/>
          <w:szCs w:val="24"/>
        </w:rPr>
        <w:t xml:space="preserve">that </w:t>
      </w:r>
      <w:r w:rsidR="002470F3">
        <w:rPr>
          <w:rFonts w:ascii="Times New Roman" w:hAnsi="Times New Roman"/>
          <w:sz w:val="24"/>
          <w:szCs w:val="24"/>
        </w:rPr>
        <w:t xml:space="preserve">determination of </w:t>
      </w:r>
      <w:r w:rsidR="003628CE">
        <w:rPr>
          <w:rFonts w:ascii="Times New Roman" w:hAnsi="Times New Roman"/>
          <w:sz w:val="24"/>
          <w:szCs w:val="24"/>
        </w:rPr>
        <w:t xml:space="preserve">violation of rights must be </w:t>
      </w:r>
      <w:r w:rsidR="002470F3">
        <w:rPr>
          <w:rFonts w:ascii="Times New Roman" w:hAnsi="Times New Roman"/>
          <w:sz w:val="24"/>
          <w:szCs w:val="24"/>
        </w:rPr>
        <w:t xml:space="preserve">by </w:t>
      </w:r>
      <w:r w:rsidRPr="00DF70CE">
        <w:rPr>
          <w:rFonts w:ascii="Times New Roman" w:hAnsi="Times New Roman"/>
          <w:sz w:val="24"/>
          <w:szCs w:val="24"/>
        </w:rPr>
        <w:t>competent judicial, administrative or legislative authorities</w:t>
      </w:r>
      <w:r w:rsidRPr="00AE3F17">
        <w:rPr>
          <w:rFonts w:ascii="Times New Roman" w:hAnsi="Times New Roman"/>
          <w:sz w:val="24"/>
          <w:szCs w:val="24"/>
        </w:rPr>
        <w:t xml:space="preserve"> </w:t>
      </w:r>
    </w:p>
    <w:p w:rsidR="00DF70CE" w:rsidRDefault="00DF70CE" w:rsidP="00E93014">
      <w:pPr>
        <w:numPr>
          <w:ilvl w:val="0"/>
          <w:numId w:val="10"/>
        </w:numPr>
        <w:spacing w:before="240" w:after="0" w:line="240" w:lineRule="auto"/>
        <w:rPr>
          <w:rFonts w:ascii="Times New Roman" w:hAnsi="Times New Roman"/>
          <w:sz w:val="24"/>
          <w:szCs w:val="24"/>
        </w:rPr>
      </w:pPr>
      <w:r w:rsidRPr="00DF70CE">
        <w:rPr>
          <w:rFonts w:ascii="Times New Roman" w:hAnsi="Times New Roman"/>
          <w:sz w:val="24"/>
          <w:szCs w:val="24"/>
        </w:rPr>
        <w:t xml:space="preserve">Article 23 provides </w:t>
      </w:r>
      <w:r w:rsidRPr="00AE3F17">
        <w:rPr>
          <w:rFonts w:ascii="Times New Roman" w:hAnsi="Times New Roman"/>
          <w:sz w:val="24"/>
          <w:szCs w:val="24"/>
        </w:rPr>
        <w:t>that state parties shall take appropriate steps to ensure equality of rights and responsibilities of spouses as to marriage, during marriage and at its dissolution, in the case of dissolution, provision shall be made for the neces</w:t>
      </w:r>
      <w:r w:rsidR="003628CE">
        <w:rPr>
          <w:rFonts w:ascii="Times New Roman" w:hAnsi="Times New Roman"/>
          <w:sz w:val="24"/>
          <w:szCs w:val="24"/>
        </w:rPr>
        <w:t>sary protection of any children, and</w:t>
      </w:r>
    </w:p>
    <w:p w:rsidR="00DF70CE" w:rsidRDefault="00DF70CE" w:rsidP="00E93014">
      <w:pPr>
        <w:numPr>
          <w:ilvl w:val="0"/>
          <w:numId w:val="10"/>
        </w:numPr>
        <w:spacing w:before="240" w:after="0" w:line="240" w:lineRule="auto"/>
        <w:rPr>
          <w:rFonts w:ascii="Times New Roman" w:hAnsi="Times New Roman"/>
          <w:sz w:val="24"/>
          <w:szCs w:val="24"/>
        </w:rPr>
      </w:pPr>
      <w:r w:rsidRPr="00DF70CE">
        <w:rPr>
          <w:rFonts w:ascii="Times New Roman" w:hAnsi="Times New Roman"/>
          <w:sz w:val="24"/>
          <w:szCs w:val="24"/>
        </w:rPr>
        <w:t>Article 24 provides that e</w:t>
      </w:r>
      <w:r w:rsidR="003628CE">
        <w:rPr>
          <w:rFonts w:ascii="Times New Roman" w:hAnsi="Times New Roman"/>
          <w:sz w:val="24"/>
          <w:szCs w:val="24"/>
        </w:rPr>
        <w:t>very child shall have</w:t>
      </w:r>
      <w:r w:rsidRPr="00DF70CE">
        <w:rPr>
          <w:rFonts w:ascii="Times New Roman" w:hAnsi="Times New Roman"/>
          <w:sz w:val="24"/>
          <w:szCs w:val="24"/>
        </w:rPr>
        <w:t xml:space="preserve"> </w:t>
      </w:r>
      <w:r w:rsidRPr="00AE3F17">
        <w:rPr>
          <w:rFonts w:ascii="Times New Roman" w:hAnsi="Times New Roman"/>
          <w:sz w:val="24"/>
          <w:szCs w:val="24"/>
        </w:rPr>
        <w:t xml:space="preserve">the right to such measures of protection as are required by his status as a minor, on the part of his family, society and the State. </w:t>
      </w:r>
    </w:p>
    <w:p w:rsidR="001E1998" w:rsidRDefault="001E1998" w:rsidP="001E1998">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right to access to justice is not absolute.  </w:t>
      </w:r>
    </w:p>
    <w:p w:rsidR="005C03FF" w:rsidRDefault="00160362" w:rsidP="00E93014">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w:t>
      </w:r>
      <w:r w:rsidR="001E1998">
        <w:rPr>
          <w:rFonts w:ascii="Times New Roman" w:hAnsi="Times New Roman"/>
          <w:sz w:val="24"/>
          <w:szCs w:val="24"/>
        </w:rPr>
        <w:t>Regulation</w:t>
      </w:r>
      <w:r>
        <w:rPr>
          <w:rFonts w:ascii="Times New Roman" w:hAnsi="Times New Roman"/>
          <w:sz w:val="24"/>
          <w:szCs w:val="24"/>
        </w:rPr>
        <w:t xml:space="preserve"> both promotes and limits elements of this right to access to justice. </w:t>
      </w:r>
    </w:p>
    <w:p w:rsidR="00874398" w:rsidRDefault="00AA6B79" w:rsidP="00874398">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Regulation </w:t>
      </w:r>
      <w:r w:rsidR="00874398">
        <w:rPr>
          <w:rFonts w:ascii="Times New Roman" w:hAnsi="Times New Roman"/>
          <w:sz w:val="24"/>
          <w:szCs w:val="24"/>
        </w:rPr>
        <w:t>advance</w:t>
      </w:r>
      <w:r>
        <w:rPr>
          <w:rFonts w:ascii="Times New Roman" w:hAnsi="Times New Roman"/>
          <w:sz w:val="24"/>
          <w:szCs w:val="24"/>
        </w:rPr>
        <w:t>s</w:t>
      </w:r>
      <w:r w:rsidR="00874398">
        <w:rPr>
          <w:rFonts w:ascii="Times New Roman" w:hAnsi="Times New Roman"/>
          <w:sz w:val="24"/>
          <w:szCs w:val="24"/>
        </w:rPr>
        <w:t xml:space="preserve"> the right to access</w:t>
      </w:r>
      <w:r w:rsidR="003628CE">
        <w:rPr>
          <w:rFonts w:ascii="Times New Roman" w:hAnsi="Times New Roman"/>
          <w:sz w:val="24"/>
          <w:szCs w:val="24"/>
        </w:rPr>
        <w:t xml:space="preserve"> to justice</w:t>
      </w:r>
      <w:r w:rsidR="00874398">
        <w:rPr>
          <w:rFonts w:ascii="Times New Roman" w:hAnsi="Times New Roman"/>
          <w:sz w:val="24"/>
          <w:szCs w:val="24"/>
        </w:rPr>
        <w:t xml:space="preserve"> by providing a fee exemption for </w:t>
      </w:r>
      <w:r w:rsidR="003628CE">
        <w:rPr>
          <w:rFonts w:ascii="Times New Roman" w:hAnsi="Times New Roman"/>
          <w:sz w:val="24"/>
          <w:szCs w:val="24"/>
        </w:rPr>
        <w:t xml:space="preserve">certain </w:t>
      </w:r>
      <w:r w:rsidR="00874398" w:rsidRPr="00C4420A">
        <w:rPr>
          <w:rFonts w:ascii="Times New Roman" w:hAnsi="Times New Roman"/>
          <w:sz w:val="24"/>
          <w:szCs w:val="24"/>
        </w:rPr>
        <w:t>disadvantaged litigants specified in the proposed Regulation or where payment of the fee would cause financial hardship to the individual.  These persons will b</w:t>
      </w:r>
      <w:r w:rsidR="00874398">
        <w:rPr>
          <w:rFonts w:ascii="Times New Roman" w:hAnsi="Times New Roman"/>
          <w:sz w:val="24"/>
          <w:szCs w:val="24"/>
        </w:rPr>
        <w:t xml:space="preserve">e able to access court services </w:t>
      </w:r>
      <w:r w:rsidR="00874398" w:rsidRPr="00C4420A">
        <w:rPr>
          <w:rFonts w:ascii="Times New Roman" w:hAnsi="Times New Roman"/>
          <w:sz w:val="24"/>
          <w:szCs w:val="24"/>
        </w:rPr>
        <w:t xml:space="preserve">without paying court fees.  These disadvantaged persons include recipients of legal aid, people receiving Commonwealth income support, and </w:t>
      </w:r>
      <w:r w:rsidR="003628CE">
        <w:rPr>
          <w:rFonts w:ascii="Times New Roman" w:hAnsi="Times New Roman"/>
          <w:sz w:val="24"/>
          <w:szCs w:val="24"/>
        </w:rPr>
        <w:t>minors under 18 years of age</w:t>
      </w:r>
      <w:r w:rsidR="00874398" w:rsidRPr="00C4420A">
        <w:rPr>
          <w:rFonts w:ascii="Times New Roman" w:hAnsi="Times New Roman"/>
          <w:sz w:val="24"/>
          <w:szCs w:val="24"/>
        </w:rPr>
        <w:t>.</w:t>
      </w:r>
    </w:p>
    <w:p w:rsidR="005C03FF" w:rsidRDefault="00F709D8" w:rsidP="00E93014">
      <w:pPr>
        <w:numPr>
          <w:ilvl w:val="0"/>
          <w:numId w:val="5"/>
        </w:numPr>
        <w:spacing w:before="240" w:after="0" w:line="240" w:lineRule="auto"/>
        <w:ind w:left="0" w:hanging="11"/>
        <w:rPr>
          <w:rFonts w:ascii="Times New Roman" w:hAnsi="Times New Roman"/>
          <w:sz w:val="24"/>
          <w:szCs w:val="24"/>
        </w:rPr>
      </w:pPr>
      <w:r w:rsidRPr="00DF70CE">
        <w:rPr>
          <w:rFonts w:ascii="Times New Roman" w:hAnsi="Times New Roman"/>
          <w:sz w:val="24"/>
          <w:szCs w:val="24"/>
        </w:rPr>
        <w:t xml:space="preserve">Further, the </w:t>
      </w:r>
      <w:r w:rsidR="001E1998" w:rsidRPr="00DF70CE">
        <w:rPr>
          <w:rFonts w:ascii="Times New Roman" w:hAnsi="Times New Roman"/>
          <w:sz w:val="24"/>
          <w:szCs w:val="24"/>
        </w:rPr>
        <w:t>Regulation</w:t>
      </w:r>
      <w:r w:rsidRPr="00DF70CE">
        <w:rPr>
          <w:rFonts w:ascii="Times New Roman" w:hAnsi="Times New Roman"/>
          <w:sz w:val="24"/>
          <w:szCs w:val="24"/>
        </w:rPr>
        <w:t xml:space="preserve"> promotes access to justice </w:t>
      </w:r>
      <w:r w:rsidR="00874398">
        <w:rPr>
          <w:rFonts w:ascii="Times New Roman" w:hAnsi="Times New Roman"/>
          <w:sz w:val="24"/>
          <w:szCs w:val="24"/>
        </w:rPr>
        <w:t xml:space="preserve">to remedy </w:t>
      </w:r>
      <w:r w:rsidRPr="00DF70CE">
        <w:rPr>
          <w:rFonts w:ascii="Times New Roman" w:hAnsi="Times New Roman"/>
          <w:sz w:val="24"/>
          <w:szCs w:val="24"/>
        </w:rPr>
        <w:t>violations of applicable rights or freedoms by providing that fees are not payable in a</w:t>
      </w:r>
      <w:r w:rsidR="003628CE">
        <w:rPr>
          <w:rFonts w:ascii="Times New Roman" w:hAnsi="Times New Roman"/>
          <w:sz w:val="24"/>
          <w:szCs w:val="24"/>
        </w:rPr>
        <w:t xml:space="preserve"> number of proceedings.  These proceedings include </w:t>
      </w:r>
      <w:r w:rsidR="00874398">
        <w:rPr>
          <w:rFonts w:ascii="Times New Roman" w:hAnsi="Times New Roman"/>
          <w:sz w:val="24"/>
          <w:szCs w:val="24"/>
        </w:rPr>
        <w:t xml:space="preserve">matters </w:t>
      </w:r>
      <w:r w:rsidRPr="00DF70CE">
        <w:rPr>
          <w:rFonts w:ascii="Times New Roman" w:hAnsi="Times New Roman"/>
          <w:sz w:val="24"/>
          <w:szCs w:val="24"/>
        </w:rPr>
        <w:t>for which an international convention to which Australia is party provides that no fee is to be payable</w:t>
      </w:r>
      <w:r w:rsidR="005C03FF">
        <w:rPr>
          <w:rFonts w:ascii="Times New Roman" w:hAnsi="Times New Roman"/>
          <w:sz w:val="24"/>
          <w:szCs w:val="24"/>
        </w:rPr>
        <w:t xml:space="preserve">, </w:t>
      </w:r>
      <w:r w:rsidR="00874398">
        <w:rPr>
          <w:rFonts w:ascii="Times New Roman" w:hAnsi="Times New Roman"/>
          <w:sz w:val="24"/>
          <w:szCs w:val="24"/>
        </w:rPr>
        <w:t xml:space="preserve">child support and maintenance, and </w:t>
      </w:r>
      <w:r w:rsidR="005C03FF">
        <w:rPr>
          <w:rFonts w:ascii="Times New Roman" w:hAnsi="Times New Roman"/>
          <w:sz w:val="24"/>
          <w:szCs w:val="24"/>
        </w:rPr>
        <w:t>spousal maintenance</w:t>
      </w:r>
      <w:r w:rsidRPr="00DF70CE">
        <w:rPr>
          <w:rFonts w:ascii="Times New Roman" w:hAnsi="Times New Roman"/>
          <w:sz w:val="24"/>
          <w:szCs w:val="24"/>
        </w:rPr>
        <w:t>.</w:t>
      </w:r>
    </w:p>
    <w:p w:rsidR="005C03FF" w:rsidRDefault="00160362" w:rsidP="00E93014">
      <w:pPr>
        <w:numPr>
          <w:ilvl w:val="0"/>
          <w:numId w:val="5"/>
        </w:numPr>
        <w:spacing w:before="240" w:after="0" w:line="240" w:lineRule="auto"/>
        <w:ind w:left="0" w:hanging="11"/>
        <w:rPr>
          <w:rFonts w:ascii="Times New Roman" w:hAnsi="Times New Roman"/>
          <w:sz w:val="24"/>
          <w:szCs w:val="24"/>
        </w:rPr>
      </w:pPr>
      <w:r w:rsidRPr="005C03FF">
        <w:rPr>
          <w:rFonts w:ascii="Times New Roman" w:hAnsi="Times New Roman"/>
          <w:sz w:val="24"/>
          <w:szCs w:val="24"/>
        </w:rPr>
        <w:t xml:space="preserve">The </w:t>
      </w:r>
      <w:r w:rsidR="001E1998" w:rsidRPr="005C03FF">
        <w:rPr>
          <w:rFonts w:ascii="Times New Roman" w:hAnsi="Times New Roman"/>
          <w:sz w:val="24"/>
          <w:szCs w:val="24"/>
        </w:rPr>
        <w:t>Regulation</w:t>
      </w:r>
      <w:r w:rsidRPr="005C03FF">
        <w:rPr>
          <w:rFonts w:ascii="Times New Roman" w:hAnsi="Times New Roman"/>
          <w:sz w:val="24"/>
          <w:szCs w:val="24"/>
        </w:rPr>
        <w:t xml:space="preserve"> introduces new fees and increases particular fees in </w:t>
      </w:r>
      <w:r w:rsidR="00AA2E1A" w:rsidRPr="005C03FF">
        <w:rPr>
          <w:rFonts w:ascii="Times New Roman" w:hAnsi="Times New Roman"/>
          <w:sz w:val="24"/>
          <w:szCs w:val="24"/>
        </w:rPr>
        <w:t xml:space="preserve">the Family Court of Australia, the Federal Magistrates Court of Australia and other courts which exercise jurisdiction under the Family Law Act (the Courts).  </w:t>
      </w:r>
      <w:r w:rsidRPr="005C03FF">
        <w:rPr>
          <w:rFonts w:ascii="Times New Roman" w:hAnsi="Times New Roman"/>
          <w:sz w:val="24"/>
          <w:szCs w:val="24"/>
        </w:rPr>
        <w:t xml:space="preserve">This may limit some persons’ right of access to remedies which are enforceable by the </w:t>
      </w:r>
      <w:r w:rsidR="006130AC" w:rsidRPr="005C03FF">
        <w:rPr>
          <w:rFonts w:ascii="Times New Roman" w:hAnsi="Times New Roman"/>
          <w:sz w:val="24"/>
          <w:szCs w:val="24"/>
        </w:rPr>
        <w:t>Courts</w:t>
      </w:r>
      <w:r w:rsidR="005C03FF" w:rsidRPr="005C03FF">
        <w:rPr>
          <w:rFonts w:ascii="Times New Roman" w:hAnsi="Times New Roman"/>
          <w:sz w:val="24"/>
          <w:szCs w:val="24"/>
        </w:rPr>
        <w:t xml:space="preserve"> but this is balance</w:t>
      </w:r>
      <w:r w:rsidR="003628CE">
        <w:rPr>
          <w:rFonts w:ascii="Times New Roman" w:hAnsi="Times New Roman"/>
          <w:sz w:val="24"/>
          <w:szCs w:val="24"/>
        </w:rPr>
        <w:t>d</w:t>
      </w:r>
      <w:r w:rsidR="005C03FF" w:rsidRPr="005C03FF">
        <w:rPr>
          <w:rFonts w:ascii="Times New Roman" w:hAnsi="Times New Roman"/>
          <w:sz w:val="24"/>
          <w:szCs w:val="24"/>
        </w:rPr>
        <w:t xml:space="preserve"> by the </w:t>
      </w:r>
      <w:r w:rsidR="003628CE">
        <w:rPr>
          <w:rFonts w:ascii="Times New Roman" w:hAnsi="Times New Roman"/>
          <w:sz w:val="24"/>
          <w:szCs w:val="24"/>
        </w:rPr>
        <w:t xml:space="preserve">fees changes </w:t>
      </w:r>
      <w:r w:rsidR="005C03FF">
        <w:rPr>
          <w:rFonts w:ascii="Times New Roman" w:hAnsi="Times New Roman"/>
          <w:sz w:val="24"/>
          <w:szCs w:val="24"/>
        </w:rPr>
        <w:t xml:space="preserve">being </w:t>
      </w:r>
      <w:r w:rsidR="005C03FF" w:rsidRPr="005C03FF">
        <w:rPr>
          <w:rFonts w:ascii="Times New Roman" w:hAnsi="Times New Roman"/>
          <w:sz w:val="24"/>
          <w:szCs w:val="24"/>
        </w:rPr>
        <w:t xml:space="preserve">reasonable, necessary and proportionate.  </w:t>
      </w:r>
    </w:p>
    <w:p w:rsidR="005C03FF" w:rsidRPr="005C03FF" w:rsidRDefault="005C03FF" w:rsidP="00E93014">
      <w:pPr>
        <w:numPr>
          <w:ilvl w:val="0"/>
          <w:numId w:val="5"/>
        </w:numPr>
        <w:spacing w:before="240" w:after="0" w:line="240" w:lineRule="auto"/>
        <w:ind w:left="0" w:hanging="11"/>
        <w:rPr>
          <w:rFonts w:ascii="Times New Roman" w:hAnsi="Times New Roman"/>
          <w:sz w:val="24"/>
          <w:szCs w:val="24"/>
        </w:rPr>
      </w:pPr>
      <w:r w:rsidRPr="00AE3F17">
        <w:rPr>
          <w:rFonts w:ascii="Times New Roman" w:hAnsi="Times New Roman"/>
          <w:sz w:val="24"/>
          <w:szCs w:val="24"/>
        </w:rPr>
        <w:t>The Regulation introduces fees for resource intensive processes, which are reasonable in order to distribute court resources equitably and to send pricing signals to court users to encourage them to utilise alternative dispute processes.</w:t>
      </w:r>
      <w:r>
        <w:rPr>
          <w:rFonts w:ascii="Times New Roman" w:hAnsi="Times New Roman"/>
          <w:sz w:val="24"/>
          <w:szCs w:val="24"/>
        </w:rPr>
        <w:t xml:space="preserve">  For example, fees for subpoenas and interim orders would encourage parties to utilise court processes more efficiently.  </w:t>
      </w:r>
      <w:r w:rsidRPr="005C03FF">
        <w:rPr>
          <w:rFonts w:ascii="Times New Roman" w:hAnsi="Times New Roman"/>
          <w:sz w:val="24"/>
          <w:szCs w:val="24"/>
        </w:rPr>
        <w:t xml:space="preserve">The new </w:t>
      </w:r>
      <w:r>
        <w:rPr>
          <w:rFonts w:ascii="Times New Roman" w:hAnsi="Times New Roman"/>
          <w:sz w:val="24"/>
          <w:szCs w:val="24"/>
        </w:rPr>
        <w:t>fee</w:t>
      </w:r>
      <w:r w:rsidRPr="005C03FF">
        <w:rPr>
          <w:rFonts w:ascii="Times New Roman" w:hAnsi="Times New Roman"/>
          <w:sz w:val="24"/>
          <w:szCs w:val="24"/>
        </w:rPr>
        <w:t xml:space="preserve"> for conciliation conferences are reasonable and proportionate to better reflect that there is cost of providing the service.  At the same time, the Regulations provide exemptions from fees for disadvantaged litigants</w:t>
      </w:r>
      <w:r>
        <w:rPr>
          <w:rFonts w:ascii="Times New Roman" w:hAnsi="Times New Roman"/>
          <w:sz w:val="24"/>
          <w:szCs w:val="24"/>
        </w:rPr>
        <w:t xml:space="preserve"> as discussed above</w:t>
      </w:r>
      <w:r w:rsidRPr="005C03FF">
        <w:rPr>
          <w:rFonts w:ascii="Times New Roman" w:hAnsi="Times New Roman"/>
          <w:sz w:val="24"/>
          <w:szCs w:val="24"/>
        </w:rPr>
        <w:t xml:space="preserve">.  </w:t>
      </w:r>
    </w:p>
    <w:p w:rsidR="005C03FF" w:rsidRPr="00402584" w:rsidRDefault="005C03FF" w:rsidP="005C03FF">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Further, the changes to court fees are necessary to achieve a legitimate objective.  Increased fees provide for court users to contribute to the running of the Courts as some </w:t>
      </w:r>
      <w:r w:rsidR="003628CE">
        <w:rPr>
          <w:rFonts w:ascii="Times New Roman" w:hAnsi="Times New Roman"/>
          <w:sz w:val="24"/>
          <w:szCs w:val="24"/>
        </w:rPr>
        <w:t xml:space="preserve">of the </w:t>
      </w:r>
      <w:r>
        <w:rPr>
          <w:rFonts w:ascii="Times New Roman" w:hAnsi="Times New Roman"/>
          <w:sz w:val="24"/>
          <w:szCs w:val="24"/>
        </w:rPr>
        <w:t>revenue raised by fees will be returned to the Courts.  The changes will provide for greater accessibility in general by ensuring the Courts are able to maintain vital services through increased funding to them.</w:t>
      </w:r>
    </w:p>
    <w:p w:rsidR="005C03FF" w:rsidRDefault="005C03FF" w:rsidP="00160362"/>
    <w:p w:rsidR="00160362" w:rsidRPr="00CD1874" w:rsidRDefault="00160362" w:rsidP="00160362">
      <w:pPr>
        <w:spacing w:before="120" w:after="120"/>
        <w:rPr>
          <w:rFonts w:ascii="Times New Roman" w:hAnsi="Times New Roman"/>
          <w:b/>
          <w:sz w:val="24"/>
          <w:szCs w:val="24"/>
        </w:rPr>
      </w:pPr>
      <w:r w:rsidRPr="00CD1874">
        <w:rPr>
          <w:rFonts w:ascii="Times New Roman" w:hAnsi="Times New Roman"/>
          <w:b/>
          <w:sz w:val="24"/>
          <w:szCs w:val="24"/>
        </w:rPr>
        <w:t>Conclusion</w:t>
      </w:r>
    </w:p>
    <w:p w:rsidR="00160362" w:rsidRPr="00CD1874" w:rsidRDefault="00160362" w:rsidP="00E93014">
      <w:pPr>
        <w:numPr>
          <w:ilvl w:val="0"/>
          <w:numId w:val="5"/>
        </w:numPr>
        <w:spacing w:before="240" w:after="0" w:line="240" w:lineRule="auto"/>
        <w:ind w:left="0" w:hanging="11"/>
        <w:rPr>
          <w:rFonts w:ascii="Times New Roman" w:hAnsi="Times New Roman"/>
          <w:sz w:val="24"/>
          <w:szCs w:val="24"/>
        </w:rPr>
      </w:pPr>
      <w:r>
        <w:rPr>
          <w:rFonts w:ascii="Times New Roman" w:hAnsi="Times New Roman"/>
          <w:sz w:val="24"/>
          <w:szCs w:val="24"/>
        </w:rPr>
        <w:t xml:space="preserve">The </w:t>
      </w:r>
      <w:r w:rsidR="001E1998">
        <w:rPr>
          <w:rFonts w:ascii="Times New Roman" w:hAnsi="Times New Roman"/>
          <w:sz w:val="24"/>
          <w:szCs w:val="24"/>
        </w:rPr>
        <w:t>Regulation</w:t>
      </w:r>
      <w:r>
        <w:rPr>
          <w:rFonts w:ascii="Times New Roman" w:hAnsi="Times New Roman"/>
          <w:sz w:val="24"/>
          <w:szCs w:val="24"/>
        </w:rPr>
        <w:t xml:space="preserve"> is compatible with human rights because it advances the protection of human rights</w:t>
      </w:r>
      <w:r w:rsidR="005C03FF">
        <w:rPr>
          <w:rFonts w:ascii="Times New Roman" w:hAnsi="Times New Roman"/>
          <w:sz w:val="24"/>
          <w:szCs w:val="24"/>
        </w:rPr>
        <w:t>, in particular the right to access to justice,</w:t>
      </w:r>
      <w:r>
        <w:rPr>
          <w:rFonts w:ascii="Times New Roman" w:hAnsi="Times New Roman"/>
          <w:sz w:val="24"/>
          <w:szCs w:val="24"/>
        </w:rPr>
        <w:t xml:space="preserve"> and to the extent that it may limit human rights, those limitations are reasonable, necessary and proportionate.  </w:t>
      </w:r>
    </w:p>
    <w:p w:rsidR="00160362" w:rsidRDefault="00160362" w:rsidP="00160362">
      <w:pPr>
        <w:spacing w:before="120" w:after="120"/>
        <w:jc w:val="center"/>
        <w:rPr>
          <w:rFonts w:ascii="Times New Roman" w:hAnsi="Times New Roman"/>
          <w:sz w:val="24"/>
          <w:szCs w:val="24"/>
        </w:rPr>
      </w:pPr>
    </w:p>
    <w:p w:rsidR="00160362" w:rsidRPr="009B4153" w:rsidRDefault="009B4153" w:rsidP="009B4153">
      <w:pPr>
        <w:keepNext/>
        <w:spacing w:before="120" w:after="120" w:line="240" w:lineRule="auto"/>
        <w:jc w:val="center"/>
        <w:rPr>
          <w:rFonts w:ascii="Times New Roman" w:hAnsi="Times New Roman"/>
          <w:b/>
          <w:sz w:val="24"/>
          <w:szCs w:val="24"/>
        </w:rPr>
      </w:pPr>
      <w:r w:rsidRPr="00DC103E">
        <w:rPr>
          <w:rFonts w:ascii="Times New Roman" w:hAnsi="Times New Roman"/>
          <w:b/>
          <w:sz w:val="24"/>
          <w:szCs w:val="24"/>
        </w:rPr>
        <w:t>The Hon Ni</w:t>
      </w:r>
      <w:r>
        <w:rPr>
          <w:rFonts w:ascii="Times New Roman" w:hAnsi="Times New Roman"/>
          <w:b/>
          <w:sz w:val="24"/>
          <w:szCs w:val="24"/>
        </w:rPr>
        <w:t>cola Roxon MP, Attorney-General</w:t>
      </w:r>
    </w:p>
    <w:sectPr w:rsidR="00160362" w:rsidRPr="009B4153" w:rsidSect="00C474C8">
      <w:headerReference w:type="default" r:id="rId12"/>
      <w:pgSz w:w="11906" w:h="16838"/>
      <w:pgMar w:top="1077" w:right="1077" w:bottom="1077" w:left="107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A84" w:rsidRDefault="00382A84" w:rsidP="00341B5E">
      <w:pPr>
        <w:spacing w:after="0" w:line="240" w:lineRule="auto"/>
      </w:pPr>
      <w:r>
        <w:separator/>
      </w:r>
    </w:p>
  </w:endnote>
  <w:endnote w:type="continuationSeparator" w:id="0">
    <w:p w:rsidR="00382A84" w:rsidRDefault="00382A84" w:rsidP="0034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A84" w:rsidRDefault="00382A84" w:rsidP="00341B5E">
      <w:pPr>
        <w:spacing w:after="0" w:line="240" w:lineRule="auto"/>
      </w:pPr>
      <w:r>
        <w:separator/>
      </w:r>
    </w:p>
  </w:footnote>
  <w:footnote w:type="continuationSeparator" w:id="0">
    <w:p w:rsidR="00382A84" w:rsidRDefault="00382A84" w:rsidP="00341B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F6E" w:rsidRPr="00F75F6E" w:rsidRDefault="00F75F6E" w:rsidP="00F75F6E">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873688"/>
    <w:multiLevelType w:val="hybridMultilevel"/>
    <w:tmpl w:val="88AA6FF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F84223A"/>
    <w:multiLevelType w:val="hybridMultilevel"/>
    <w:tmpl w:val="52749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E7517C0"/>
    <w:multiLevelType w:val="hybridMultilevel"/>
    <w:tmpl w:val="A4365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C1B3DE0"/>
    <w:multiLevelType w:val="hybridMultilevel"/>
    <w:tmpl w:val="11C2B0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nsid w:val="7F604EC8"/>
    <w:multiLevelType w:val="hybridMultilevel"/>
    <w:tmpl w:val="52749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7FA05E91"/>
    <w:multiLevelType w:val="hybridMultilevel"/>
    <w:tmpl w:val="52749A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0"/>
  </w:num>
  <w:num w:numId="3">
    <w:abstractNumId w:val="3"/>
  </w:num>
  <w:num w:numId="4">
    <w:abstractNumId w:val="6"/>
  </w:num>
  <w:num w:numId="5">
    <w:abstractNumId w:val="9"/>
  </w:num>
  <w:num w:numId="6">
    <w:abstractNumId w:val="5"/>
  </w:num>
  <w:num w:numId="7">
    <w:abstractNumId w:val="8"/>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1B5E"/>
    <w:rsid w:val="00076F62"/>
    <w:rsid w:val="00094299"/>
    <w:rsid w:val="000B4BAD"/>
    <w:rsid w:val="000C0DEE"/>
    <w:rsid w:val="000E53FD"/>
    <w:rsid w:val="000F2561"/>
    <w:rsid w:val="00160362"/>
    <w:rsid w:val="00170CD1"/>
    <w:rsid w:val="00175A49"/>
    <w:rsid w:val="001847A9"/>
    <w:rsid w:val="001B64E8"/>
    <w:rsid w:val="001E1998"/>
    <w:rsid w:val="001E6E19"/>
    <w:rsid w:val="001F26C4"/>
    <w:rsid w:val="002470F3"/>
    <w:rsid w:val="002B394B"/>
    <w:rsid w:val="002D25E9"/>
    <w:rsid w:val="00341B5E"/>
    <w:rsid w:val="0034501B"/>
    <w:rsid w:val="003628CE"/>
    <w:rsid w:val="00382A84"/>
    <w:rsid w:val="003A6AAF"/>
    <w:rsid w:val="004023A0"/>
    <w:rsid w:val="004251AD"/>
    <w:rsid w:val="00505FD8"/>
    <w:rsid w:val="00575C50"/>
    <w:rsid w:val="005C03FF"/>
    <w:rsid w:val="006130AC"/>
    <w:rsid w:val="00620840"/>
    <w:rsid w:val="00626522"/>
    <w:rsid w:val="00630F8B"/>
    <w:rsid w:val="006A0DB2"/>
    <w:rsid w:val="006A7FA8"/>
    <w:rsid w:val="006E138A"/>
    <w:rsid w:val="00716916"/>
    <w:rsid w:val="00750E2D"/>
    <w:rsid w:val="0075367F"/>
    <w:rsid w:val="00773A2F"/>
    <w:rsid w:val="00780D37"/>
    <w:rsid w:val="00797B7F"/>
    <w:rsid w:val="007D19D4"/>
    <w:rsid w:val="00815DA2"/>
    <w:rsid w:val="00834748"/>
    <w:rsid w:val="00865441"/>
    <w:rsid w:val="00867E9C"/>
    <w:rsid w:val="00874398"/>
    <w:rsid w:val="008A5152"/>
    <w:rsid w:val="00920863"/>
    <w:rsid w:val="00930AB0"/>
    <w:rsid w:val="00956F84"/>
    <w:rsid w:val="00961CC4"/>
    <w:rsid w:val="00961F49"/>
    <w:rsid w:val="00964D9A"/>
    <w:rsid w:val="0098177E"/>
    <w:rsid w:val="009938A6"/>
    <w:rsid w:val="009B4153"/>
    <w:rsid w:val="009C6ABB"/>
    <w:rsid w:val="00A66212"/>
    <w:rsid w:val="00AA2E1A"/>
    <w:rsid w:val="00AA6B79"/>
    <w:rsid w:val="00AB5345"/>
    <w:rsid w:val="00AD41A2"/>
    <w:rsid w:val="00B32EA9"/>
    <w:rsid w:val="00B648DF"/>
    <w:rsid w:val="00B70FE3"/>
    <w:rsid w:val="00BA3EBE"/>
    <w:rsid w:val="00BB4BF2"/>
    <w:rsid w:val="00BC1869"/>
    <w:rsid w:val="00BE26D1"/>
    <w:rsid w:val="00BF5E16"/>
    <w:rsid w:val="00C07BF7"/>
    <w:rsid w:val="00C474C8"/>
    <w:rsid w:val="00C648E3"/>
    <w:rsid w:val="00C77305"/>
    <w:rsid w:val="00C967F8"/>
    <w:rsid w:val="00CB6537"/>
    <w:rsid w:val="00D837A8"/>
    <w:rsid w:val="00D84BD3"/>
    <w:rsid w:val="00D93DA0"/>
    <w:rsid w:val="00DC3D96"/>
    <w:rsid w:val="00DD673C"/>
    <w:rsid w:val="00DF6174"/>
    <w:rsid w:val="00DF70CE"/>
    <w:rsid w:val="00E30CBD"/>
    <w:rsid w:val="00E33641"/>
    <w:rsid w:val="00E4135E"/>
    <w:rsid w:val="00E45C63"/>
    <w:rsid w:val="00E93014"/>
    <w:rsid w:val="00EB12AB"/>
    <w:rsid w:val="00EB591C"/>
    <w:rsid w:val="00F17CC3"/>
    <w:rsid w:val="00F66081"/>
    <w:rsid w:val="00F709D8"/>
    <w:rsid w:val="00F75F6E"/>
    <w:rsid w:val="00F81D9A"/>
    <w:rsid w:val="00FA00B5"/>
    <w:rsid w:val="00FE2D52"/>
    <w:rsid w:val="00FF145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5">
    <w:name w:val="heading 5"/>
    <w:basedOn w:val="Normal"/>
    <w:next w:val="Normal"/>
    <w:link w:val="Heading5Char"/>
    <w:uiPriority w:val="9"/>
    <w:semiHidden/>
    <w:unhideWhenUsed/>
    <w:qFormat/>
    <w:rsid w:val="001F26C4"/>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basedOn w:val="DefaultParagraphFont"/>
    <w:link w:val="FootnoteText"/>
    <w:uiPriority w:val="99"/>
    <w:rsid w:val="00341B5E"/>
    <w:rPr>
      <w:rFonts w:ascii="Calibri" w:eastAsia="Calibri" w:hAnsi="Calibri" w:cs="Times New Roman"/>
      <w:sz w:val="20"/>
      <w:szCs w:val="20"/>
    </w:rPr>
  </w:style>
  <w:style w:type="character" w:styleId="FootnoteReference">
    <w:name w:val="footnote reference"/>
    <w:basedOn w:val="DefaultParagraphFont"/>
    <w:unhideWhenUsed/>
    <w:rsid w:val="00341B5E"/>
    <w:rPr>
      <w:vertAlign w:val="superscript"/>
    </w:rPr>
  </w:style>
  <w:style w:type="character" w:styleId="Hyperlink">
    <w:name w:val="Hyperlink"/>
    <w:basedOn w:val="DefaultParagraphFont"/>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basedOn w:val="DefaultParagraphFont"/>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basedOn w:val="DefaultParagraphFont"/>
    <w:link w:val="Footer"/>
    <w:uiPriority w:val="99"/>
    <w:semiHidden/>
    <w:rsid w:val="00F75F6E"/>
    <w:rPr>
      <w:sz w:val="22"/>
      <w:szCs w:val="22"/>
      <w:lang w:eastAsia="en-US"/>
    </w:rPr>
  </w:style>
  <w:style w:type="character" w:styleId="CommentReference">
    <w:name w:val="annotation reference"/>
    <w:basedOn w:val="DefaultParagraphFont"/>
    <w:uiPriority w:val="99"/>
    <w:semiHidden/>
    <w:unhideWhenUsed/>
    <w:rsid w:val="006E138A"/>
    <w:rPr>
      <w:sz w:val="16"/>
      <w:szCs w:val="16"/>
    </w:rPr>
  </w:style>
  <w:style w:type="paragraph" w:styleId="CommentText">
    <w:name w:val="annotation text"/>
    <w:basedOn w:val="Normal"/>
    <w:link w:val="CommentTextChar"/>
    <w:uiPriority w:val="99"/>
    <w:semiHidden/>
    <w:unhideWhenUsed/>
    <w:rsid w:val="006E138A"/>
    <w:rPr>
      <w:sz w:val="20"/>
      <w:szCs w:val="20"/>
    </w:rPr>
  </w:style>
  <w:style w:type="character" w:customStyle="1" w:styleId="CommentTextChar">
    <w:name w:val="Comment Text Char"/>
    <w:basedOn w:val="DefaultParagraphFont"/>
    <w:link w:val="CommentText"/>
    <w:uiPriority w:val="99"/>
    <w:semiHidden/>
    <w:rsid w:val="006E138A"/>
    <w:rPr>
      <w:lang w:eastAsia="en-US"/>
    </w:rPr>
  </w:style>
  <w:style w:type="paragraph" w:styleId="CommentSubject">
    <w:name w:val="annotation subject"/>
    <w:basedOn w:val="CommentText"/>
    <w:next w:val="CommentText"/>
    <w:link w:val="CommentSubjectChar"/>
    <w:uiPriority w:val="99"/>
    <w:semiHidden/>
    <w:unhideWhenUsed/>
    <w:rsid w:val="006E138A"/>
    <w:rPr>
      <w:b/>
      <w:bCs/>
    </w:rPr>
  </w:style>
  <w:style w:type="character" w:customStyle="1" w:styleId="CommentSubjectChar">
    <w:name w:val="Comment Subject Char"/>
    <w:basedOn w:val="CommentTextChar"/>
    <w:link w:val="CommentSubject"/>
    <w:uiPriority w:val="99"/>
    <w:semiHidden/>
    <w:rsid w:val="006E138A"/>
    <w:rPr>
      <w:b/>
      <w:bCs/>
      <w:lang w:eastAsia="en-US"/>
    </w:rPr>
  </w:style>
  <w:style w:type="paragraph" w:styleId="BalloonText">
    <w:name w:val="Balloon Text"/>
    <w:basedOn w:val="Normal"/>
    <w:link w:val="BalloonTextChar"/>
    <w:uiPriority w:val="99"/>
    <w:semiHidden/>
    <w:unhideWhenUsed/>
    <w:rsid w:val="006E1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8A"/>
    <w:rPr>
      <w:rFonts w:ascii="Tahoma" w:hAnsi="Tahoma" w:cs="Tahoma"/>
      <w:sz w:val="16"/>
      <w:szCs w:val="16"/>
      <w:lang w:eastAsia="en-US"/>
    </w:rPr>
  </w:style>
  <w:style w:type="character" w:customStyle="1" w:styleId="Heading5Char">
    <w:name w:val="Heading 5 Char"/>
    <w:basedOn w:val="DefaultParagraphFont"/>
    <w:link w:val="Heading5"/>
    <w:uiPriority w:val="9"/>
    <w:semiHidden/>
    <w:rsid w:val="001F26C4"/>
    <w:rPr>
      <w:rFonts w:asciiTheme="minorHAnsi" w:eastAsiaTheme="minorEastAsia" w:hAnsiTheme="minorHAnsi" w:cstheme="minorBidi"/>
      <w:b/>
      <w:bCs/>
      <w:i/>
      <w:i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stylesWithEffects" Target="stylesWithEffect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B922DD129354F9AB84620853B2E96" ma:contentTypeVersion="1" ma:contentTypeDescription="Create a new document." ma:contentTypeScope="" ma:versionID="431cc24aafd95a2c67f9469b522eb31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2CB-2BAC-42AD-8025-C1B4971A0A8C}">
  <ds:schemaRefs>
    <ds:schemaRef ds:uri="http://schemas.microsoft.com/sharepoint/v3/contenttype/forms"/>
  </ds:schemaRefs>
</ds:datastoreItem>
</file>

<file path=customXml/itemProps2.xml><?xml version="1.0" encoding="utf-8"?>
<ds:datastoreItem xmlns:ds="http://schemas.openxmlformats.org/officeDocument/2006/customXml" ds:itemID="{738DC832-1A33-48AC-8348-7F51E59FAF05}">
  <ds:schemaRefs>
    <ds:schemaRef ds:uri="http://schemas.microsoft.com/office/2006/metadata/longProperties"/>
  </ds:schemaRefs>
</ds:datastoreItem>
</file>

<file path=customXml/itemProps3.xml><?xml version="1.0" encoding="utf-8"?>
<ds:datastoreItem xmlns:ds="http://schemas.openxmlformats.org/officeDocument/2006/customXml" ds:itemID="{FB2EBF1D-09D0-44D4-B367-1FF14DD0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00E03-1C12-48E2-A38E-5A791F501A39}">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A3222321-8346-4FF7-AF68-A5578966B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4889</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ngthuh</dc:creator>
  <cp:keywords/>
  <cp:lastModifiedBy>gobbid</cp:lastModifiedBy>
  <cp:revision>2</cp:revision>
  <cp:lastPrinted>2012-11-27T03:29:00Z</cp:lastPrinted>
  <dcterms:created xsi:type="dcterms:W3CDTF">2012-12-05T02:10:00Z</dcterms:created>
  <dcterms:modified xsi:type="dcterms:W3CDTF">2012-12-05T02:10:00Z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700.000000000000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