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85" w:rsidRDefault="00774585" w:rsidP="00774585">
      <w:pPr>
        <w:tabs>
          <w:tab w:val="right" w:pos="9072"/>
        </w:tabs>
        <w:spacing w:before="0" w:line="240" w:lineRule="exact"/>
        <w:ind w:right="91"/>
        <w:rPr>
          <w:b/>
        </w:rPr>
      </w:pPr>
    </w:p>
    <w:p w:rsidR="00774585" w:rsidRDefault="00774585" w:rsidP="00774585">
      <w:pPr>
        <w:tabs>
          <w:tab w:val="right" w:pos="9072"/>
        </w:tabs>
        <w:spacing w:before="0" w:line="240" w:lineRule="exact"/>
        <w:ind w:right="91"/>
        <w:rPr>
          <w:b/>
        </w:rPr>
      </w:pPr>
    </w:p>
    <w:p w:rsidR="00774585" w:rsidRDefault="00774585" w:rsidP="00774585">
      <w:pPr>
        <w:spacing w:before="0"/>
        <w:ind w:right="91"/>
        <w:jc w:val="center"/>
      </w:pPr>
      <w:r>
        <w:rPr>
          <w:b/>
          <w:u w:val="single"/>
        </w:rPr>
        <w:t xml:space="preserve">EXPLANATORY </w:t>
      </w:r>
      <w:r w:rsidR="000D64D1">
        <w:rPr>
          <w:b/>
          <w:u w:val="single"/>
        </w:rPr>
        <w:t>STATEMENT</w:t>
      </w:r>
    </w:p>
    <w:p w:rsidR="00774585" w:rsidRDefault="00774585" w:rsidP="00774585">
      <w:pPr>
        <w:spacing w:before="0"/>
        <w:ind w:right="91"/>
        <w:jc w:val="center"/>
      </w:pPr>
    </w:p>
    <w:p w:rsidR="000D64D1" w:rsidRPr="00FA0DEB" w:rsidRDefault="000D64D1" w:rsidP="000D64D1">
      <w:pPr>
        <w:pStyle w:val="Heading6"/>
        <w:spacing w:before="0"/>
        <w:jc w:val="center"/>
        <w:rPr>
          <w:b/>
        </w:rPr>
      </w:pPr>
      <w:r w:rsidRPr="00FA0DEB">
        <w:rPr>
          <w:b/>
        </w:rPr>
        <w:t xml:space="preserve">Select Legislative Instrument 2012 No. </w:t>
      </w:r>
      <w:r w:rsidR="000D3978">
        <w:rPr>
          <w:b/>
        </w:rPr>
        <w:t>279</w:t>
      </w:r>
    </w:p>
    <w:p w:rsidR="000D64D1" w:rsidRDefault="000D64D1" w:rsidP="000D64D1">
      <w:pPr>
        <w:spacing w:before="0"/>
        <w:ind w:right="91"/>
      </w:pPr>
    </w:p>
    <w:p w:rsidR="000D64D1" w:rsidRPr="00FA0DEB" w:rsidRDefault="000D64D1" w:rsidP="000D64D1">
      <w:pPr>
        <w:ind w:right="91"/>
        <w:jc w:val="center"/>
        <w:rPr>
          <w:u w:val="single"/>
        </w:rPr>
      </w:pPr>
      <w:r w:rsidRPr="00FA0DEB">
        <w:rPr>
          <w:u w:val="single"/>
        </w:rPr>
        <w:t>Issued by Authority of the Attorney-General</w:t>
      </w:r>
    </w:p>
    <w:p w:rsidR="000D64D1" w:rsidRDefault="000D64D1" w:rsidP="000D64D1">
      <w:pPr>
        <w:spacing w:before="0"/>
        <w:ind w:right="91"/>
        <w:jc w:val="center"/>
        <w:rPr>
          <w:i/>
        </w:rPr>
      </w:pPr>
    </w:p>
    <w:p w:rsidR="000D64D1" w:rsidRDefault="000D64D1" w:rsidP="000D64D1">
      <w:pPr>
        <w:ind w:right="91"/>
        <w:jc w:val="center"/>
        <w:rPr>
          <w:i/>
        </w:rPr>
      </w:pPr>
      <w:r>
        <w:rPr>
          <w:i/>
        </w:rPr>
        <w:t>Family Law Act 1975</w:t>
      </w:r>
    </w:p>
    <w:p w:rsidR="00D27710" w:rsidRDefault="00D27710" w:rsidP="00D27710">
      <w:pPr>
        <w:ind w:right="91"/>
        <w:jc w:val="center"/>
        <w:rPr>
          <w:i/>
        </w:rPr>
      </w:pPr>
      <w:r>
        <w:rPr>
          <w:i/>
        </w:rPr>
        <w:t>Federal Magistrates Act 1999</w:t>
      </w:r>
      <w:r>
        <w:rPr>
          <w:i/>
        </w:rPr>
        <w:br/>
      </w:r>
    </w:p>
    <w:p w:rsidR="00774585" w:rsidRDefault="00774585" w:rsidP="00774585">
      <w:pPr>
        <w:spacing w:before="0"/>
        <w:ind w:right="91"/>
      </w:pPr>
    </w:p>
    <w:p w:rsidR="00774585" w:rsidRDefault="00474450" w:rsidP="000D64D1">
      <w:pPr>
        <w:spacing w:before="0"/>
        <w:ind w:right="91"/>
        <w:jc w:val="center"/>
        <w:rPr>
          <w:i/>
        </w:rPr>
      </w:pPr>
      <w:r>
        <w:rPr>
          <w:i/>
        </w:rPr>
        <w:t>Family Law (Fees) Regulation 2012</w:t>
      </w:r>
    </w:p>
    <w:p w:rsidR="000D64D1" w:rsidRPr="00547901" w:rsidRDefault="000D64D1" w:rsidP="000D64D1">
      <w:pPr>
        <w:spacing w:before="0"/>
        <w:ind w:right="91"/>
        <w:jc w:val="center"/>
        <w:rPr>
          <w:i/>
        </w:rPr>
      </w:pPr>
    </w:p>
    <w:p w:rsidR="00474450" w:rsidRDefault="00982354" w:rsidP="000D64D1">
      <w:pPr>
        <w:spacing w:before="120" w:after="120"/>
        <w:ind w:right="91"/>
      </w:pPr>
      <w:r>
        <w:t xml:space="preserve">Subsection 125(1) of </w:t>
      </w:r>
      <w:r w:rsidR="00474450" w:rsidRPr="00474450">
        <w:t xml:space="preserve">the </w:t>
      </w:r>
      <w:r w:rsidR="00474450" w:rsidRPr="000D64D1">
        <w:rPr>
          <w:i/>
        </w:rPr>
        <w:t xml:space="preserve">Family Law </w:t>
      </w:r>
      <w:r w:rsidRPr="000D64D1">
        <w:rPr>
          <w:i/>
        </w:rPr>
        <w:t>Act</w:t>
      </w:r>
      <w:r w:rsidR="000D64D1">
        <w:t xml:space="preserve"> </w:t>
      </w:r>
      <w:r w:rsidR="000D64D1" w:rsidRPr="000D64D1">
        <w:rPr>
          <w:i/>
        </w:rPr>
        <w:t>1975</w:t>
      </w:r>
      <w:r w:rsidR="00474450" w:rsidRPr="00474450">
        <w:t xml:space="preserve"> provi</w:t>
      </w:r>
      <w:r w:rsidR="00381967">
        <w:t>des</w:t>
      </w:r>
      <w:r>
        <w:t xml:space="preserve"> </w:t>
      </w:r>
      <w:r w:rsidR="00381967">
        <w:t>that the Governor-</w:t>
      </w:r>
      <w:r w:rsidR="00474450" w:rsidRPr="00474450">
        <w:t xml:space="preserve">General may make regulations, not inconsistent with </w:t>
      </w:r>
      <w:r w:rsidR="00474450">
        <w:t>that</w:t>
      </w:r>
      <w:r w:rsidR="00474450" w:rsidRPr="00474450">
        <w:t xml:space="preserve"> Act, prescribing matters required or permitted by </w:t>
      </w:r>
      <w:r w:rsidR="00474450" w:rsidRPr="00F123CA">
        <w:t xml:space="preserve">the </w:t>
      </w:r>
      <w:r w:rsidRPr="00F123CA">
        <w:t xml:space="preserve">Family Law </w:t>
      </w:r>
      <w:r w:rsidR="00474450" w:rsidRPr="00F123CA">
        <w:t>Act to be prescribed for carrying out or giving effect to t</w:t>
      </w:r>
      <w:r w:rsidR="00071387">
        <w:t>ha</w:t>
      </w:r>
      <w:r w:rsidR="00474450" w:rsidRPr="00F123CA">
        <w:t>t Act</w:t>
      </w:r>
      <w:r w:rsidRPr="00F123CA">
        <w:t>, and in particular</w:t>
      </w:r>
      <w:r w:rsidR="00474450" w:rsidRPr="00F123CA">
        <w:t xml:space="preserve"> prescribing court fees </w:t>
      </w:r>
      <w:r w:rsidR="003166A4">
        <w:t>payable</w:t>
      </w:r>
      <w:r w:rsidR="00474450" w:rsidRPr="00F123CA">
        <w:t xml:space="preserve"> in respect of proceedings </w:t>
      </w:r>
      <w:r w:rsidR="00071387">
        <w:t>under that Act</w:t>
      </w:r>
      <w:r w:rsidR="00F123CA" w:rsidRPr="00F123CA">
        <w:t>, including</w:t>
      </w:r>
      <w:r w:rsidR="00F123CA">
        <w:t xml:space="preserve"> provisions for fee exemptions and refunds. </w:t>
      </w:r>
    </w:p>
    <w:p w:rsidR="0011328D" w:rsidRDefault="00774585" w:rsidP="00566B94">
      <w:pPr>
        <w:spacing w:after="120"/>
        <w:ind w:right="91"/>
      </w:pPr>
      <w:r>
        <w:t xml:space="preserve">Subsection 120(1) of the </w:t>
      </w:r>
      <w:r w:rsidR="00566B94" w:rsidRPr="002808DD">
        <w:rPr>
          <w:i/>
        </w:rPr>
        <w:t xml:space="preserve">Federal Magistrates </w:t>
      </w:r>
      <w:r w:rsidRPr="002808DD">
        <w:rPr>
          <w:i/>
        </w:rPr>
        <w:t xml:space="preserve">Act </w:t>
      </w:r>
      <w:r w:rsidR="002808DD" w:rsidRPr="002808DD">
        <w:rPr>
          <w:i/>
        </w:rPr>
        <w:t>1999</w:t>
      </w:r>
      <w:r w:rsidR="002808DD">
        <w:t xml:space="preserve"> </w:t>
      </w:r>
      <w:r>
        <w:t xml:space="preserve">provides that the </w:t>
      </w:r>
      <w:proofErr w:type="spellStart"/>
      <w:r>
        <w:t>Governor</w:t>
      </w:r>
      <w:r w:rsidR="00325AFB">
        <w:noBreakHyphen/>
      </w:r>
      <w:r>
        <w:t>General</w:t>
      </w:r>
      <w:proofErr w:type="spellEnd"/>
      <w:r>
        <w:t xml:space="preserve"> may make regulations prescribing matters required or permitted by the </w:t>
      </w:r>
      <w:r w:rsidR="00366FCE">
        <w:t xml:space="preserve">Federal Magistrates </w:t>
      </w:r>
      <w:r>
        <w:t xml:space="preserve">Act to be prescribed or necessary or convenient to be prescribed for carrying </w:t>
      </w:r>
      <w:r w:rsidR="00222F32">
        <w:t>ou</w:t>
      </w:r>
      <w:r w:rsidR="0011328D">
        <w:t xml:space="preserve">t or giving effect to </w:t>
      </w:r>
      <w:r w:rsidR="00B306A0">
        <w:t>that</w:t>
      </w:r>
      <w:r w:rsidR="0011328D">
        <w:t xml:space="preserve"> Act</w:t>
      </w:r>
      <w:r w:rsidR="00982354">
        <w:t>, and in particular,</w:t>
      </w:r>
      <w:r w:rsidR="0011328D">
        <w:t xml:space="preserve"> s</w:t>
      </w:r>
      <w:r w:rsidR="0011328D" w:rsidRPr="00222F32">
        <w:t>ub</w:t>
      </w:r>
      <w:r w:rsidR="00566B94">
        <w:t>paragraph</w:t>
      </w:r>
      <w:r w:rsidR="0011328D" w:rsidRPr="00222F32">
        <w:t xml:space="preserve"> 120(</w:t>
      </w:r>
      <w:r w:rsidR="00566B94">
        <w:t>3</w:t>
      </w:r>
      <w:r w:rsidR="0011328D" w:rsidRPr="00222F32">
        <w:t>)</w:t>
      </w:r>
      <w:r w:rsidR="00566B94">
        <w:t>(a)</w:t>
      </w:r>
      <w:r w:rsidR="0011328D" w:rsidRPr="00222F32">
        <w:t xml:space="preserve"> </w:t>
      </w:r>
      <w:r w:rsidR="00473C60">
        <w:t xml:space="preserve">provides for the prescribing of fees to be paid in respect of proceedings in </w:t>
      </w:r>
      <w:r w:rsidR="00325AFB">
        <w:t>the Federal Magistrates Court (</w:t>
      </w:r>
      <w:r w:rsidR="00473C60">
        <w:t xml:space="preserve">the </w:t>
      </w:r>
      <w:r w:rsidR="00B465C8">
        <w:t>FMC</w:t>
      </w:r>
      <w:r w:rsidR="00325AFB">
        <w:t>)</w:t>
      </w:r>
      <w:r w:rsidR="00982354">
        <w:t>, including</w:t>
      </w:r>
      <w:r w:rsidR="00566B94">
        <w:t xml:space="preserve"> fee waivers, exemptions and refunds</w:t>
      </w:r>
      <w:r w:rsidR="00366FCE">
        <w:t>.</w:t>
      </w:r>
    </w:p>
    <w:p w:rsidR="00563F61" w:rsidRPr="00563F61" w:rsidRDefault="00563F61" w:rsidP="00381967">
      <w:r>
        <w:t xml:space="preserve">Pursuant to subsection 125(1) of the Family Law Act, the Governor-General made the </w:t>
      </w:r>
      <w:r>
        <w:rPr>
          <w:i/>
        </w:rPr>
        <w:t>Family Law Regulations 1984</w:t>
      </w:r>
      <w:r w:rsidR="00F330CD">
        <w:t xml:space="preserve"> </w:t>
      </w:r>
      <w:r w:rsidR="00FB09CF">
        <w:t>prescribing</w:t>
      </w:r>
      <w:r w:rsidR="00545D0F">
        <w:t>, amongst other matters,</w:t>
      </w:r>
      <w:r w:rsidR="00FB09CF">
        <w:t xml:space="preserve"> </w:t>
      </w:r>
      <w:r w:rsidR="003166A4">
        <w:t xml:space="preserve">court </w:t>
      </w:r>
      <w:r w:rsidR="00FB09CF">
        <w:t>fees</w:t>
      </w:r>
      <w:r w:rsidR="003166A4">
        <w:t xml:space="preserve"> payable in respect of proceedings under the Family Law </w:t>
      </w:r>
      <w:r w:rsidR="00545D0F">
        <w:t>Act.  Pursuant to subsection 120</w:t>
      </w:r>
      <w:r w:rsidR="003166A4">
        <w:t>(1) of the Federal Magistrates Act, the Governor-General made</w:t>
      </w:r>
      <w:r>
        <w:t xml:space="preserve"> the </w:t>
      </w:r>
      <w:r>
        <w:rPr>
          <w:i/>
        </w:rPr>
        <w:t>Federal Magistrates Regulation</w:t>
      </w:r>
      <w:r w:rsidR="005B5A07">
        <w:rPr>
          <w:i/>
        </w:rPr>
        <w:t>s</w:t>
      </w:r>
      <w:r>
        <w:rPr>
          <w:i/>
        </w:rPr>
        <w:t xml:space="preserve"> 2000</w:t>
      </w:r>
      <w:r>
        <w:t xml:space="preserve"> prescribing </w:t>
      </w:r>
      <w:r w:rsidR="003166A4">
        <w:t>court</w:t>
      </w:r>
      <w:r>
        <w:t xml:space="preserve"> fees </w:t>
      </w:r>
      <w:r w:rsidR="00545D0F">
        <w:t>payable</w:t>
      </w:r>
      <w:r>
        <w:t xml:space="preserve"> for proceedings in the FMC</w:t>
      </w:r>
      <w:r w:rsidR="003166A4">
        <w:t>, including proceedings under the Family Law Act</w:t>
      </w:r>
      <w:r>
        <w:t>.</w:t>
      </w:r>
    </w:p>
    <w:p w:rsidR="00381967" w:rsidRDefault="00924A45" w:rsidP="00381967">
      <w:r w:rsidRPr="00893B48">
        <w:t>The pur</w:t>
      </w:r>
      <w:r w:rsidR="00B447D2">
        <w:t>pose of the</w:t>
      </w:r>
      <w:r w:rsidR="00F123CA">
        <w:t xml:space="preserve"> </w:t>
      </w:r>
      <w:r w:rsidR="00F123CA">
        <w:rPr>
          <w:i/>
        </w:rPr>
        <w:t xml:space="preserve">Family Law (Fees) Regulation 2012 </w:t>
      </w:r>
      <w:r w:rsidR="00F330CD">
        <w:t>(the </w:t>
      </w:r>
      <w:r w:rsidR="00B447D2">
        <w:t>Regulation</w:t>
      </w:r>
      <w:r w:rsidR="00F123CA">
        <w:t>)</w:t>
      </w:r>
      <w:r w:rsidRPr="00893B48">
        <w:t xml:space="preserve"> </w:t>
      </w:r>
      <w:r w:rsidR="003166A4">
        <w:t>is</w:t>
      </w:r>
      <w:r w:rsidRPr="00893B48">
        <w:t xml:space="preserve"> </w:t>
      </w:r>
      <w:r w:rsidR="008116A7">
        <w:t>to</w:t>
      </w:r>
      <w:r w:rsidR="00BD134A">
        <w:t xml:space="preserve"> </w:t>
      </w:r>
      <w:r w:rsidR="0076663A">
        <w:t xml:space="preserve">provide </w:t>
      </w:r>
      <w:r w:rsidR="00381967" w:rsidRPr="00381967">
        <w:t xml:space="preserve">a </w:t>
      </w:r>
      <w:r w:rsidR="00071387">
        <w:t xml:space="preserve">single </w:t>
      </w:r>
      <w:r w:rsidR="0076663A">
        <w:t xml:space="preserve">court </w:t>
      </w:r>
      <w:r w:rsidR="00381967" w:rsidRPr="00381967">
        <w:t xml:space="preserve">fees </w:t>
      </w:r>
      <w:r w:rsidR="00545D0F">
        <w:t>regulation</w:t>
      </w:r>
      <w:r w:rsidR="00381967" w:rsidRPr="00253225">
        <w:t xml:space="preserve"> in family law </w:t>
      </w:r>
      <w:r w:rsidR="0076663A">
        <w:t>applying to proceedings under the Family Law Act in t</w:t>
      </w:r>
      <w:r w:rsidR="00F123CA">
        <w:t>he Family </w:t>
      </w:r>
      <w:r w:rsidR="00381967" w:rsidRPr="00253225">
        <w:t xml:space="preserve">Court, the </w:t>
      </w:r>
      <w:r w:rsidR="00F123CA">
        <w:t xml:space="preserve">FMC </w:t>
      </w:r>
      <w:r w:rsidR="00381967" w:rsidRPr="00253225">
        <w:t xml:space="preserve">and other courts </w:t>
      </w:r>
      <w:r w:rsidR="0076663A">
        <w:t>that exercise</w:t>
      </w:r>
      <w:r w:rsidR="00381967" w:rsidRPr="00253225">
        <w:t xml:space="preserve"> jurisd</w:t>
      </w:r>
      <w:r w:rsidR="00F123CA">
        <w:t xml:space="preserve">iction under </w:t>
      </w:r>
      <w:r w:rsidR="0076663A">
        <w:t>that</w:t>
      </w:r>
      <w:r w:rsidR="00F123CA">
        <w:t xml:space="preserve"> Act, and </w:t>
      </w:r>
      <w:r w:rsidR="003166A4">
        <w:t xml:space="preserve">also </w:t>
      </w:r>
      <w:r w:rsidR="00F123CA">
        <w:t xml:space="preserve">to implement a range of reforms to court fees in proceedings under </w:t>
      </w:r>
      <w:r w:rsidR="0076663A">
        <w:t>that</w:t>
      </w:r>
      <w:r w:rsidR="00F123CA">
        <w:t xml:space="preserve"> Act, including:</w:t>
      </w:r>
    </w:p>
    <w:p w:rsidR="00291B4E" w:rsidRDefault="00EB12D6" w:rsidP="00291B4E">
      <w:pPr>
        <w:numPr>
          <w:ilvl w:val="0"/>
          <w:numId w:val="10"/>
        </w:numPr>
        <w:spacing w:after="120"/>
        <w:ind w:right="91"/>
      </w:pPr>
      <w:r>
        <w:t xml:space="preserve">an increase in the fee for an application for a divorce in the </w:t>
      </w:r>
      <w:r w:rsidR="0023505D">
        <w:t>FMC</w:t>
      </w:r>
      <w:r>
        <w:t xml:space="preserve"> </w:t>
      </w:r>
      <w:r w:rsidR="00F330CD">
        <w:t xml:space="preserve">from $577 </w:t>
      </w:r>
      <w:r>
        <w:t xml:space="preserve">to $800, and </w:t>
      </w:r>
      <w:r w:rsidR="00F123CA">
        <w:t>general increase</w:t>
      </w:r>
      <w:r w:rsidR="003166A4">
        <w:t>s</w:t>
      </w:r>
      <w:r w:rsidR="00F123CA">
        <w:t xml:space="preserve"> to </w:t>
      </w:r>
      <w:r>
        <w:t xml:space="preserve">most other </w:t>
      </w:r>
      <w:r w:rsidR="00F123CA">
        <w:t xml:space="preserve">existing </w:t>
      </w:r>
      <w:r w:rsidR="00F330CD">
        <w:t>fees by approximately 20 percent</w:t>
      </w:r>
      <w:r w:rsidR="00291B4E">
        <w:t xml:space="preserve"> </w:t>
      </w:r>
    </w:p>
    <w:p w:rsidR="00F123CA" w:rsidRDefault="00F123CA" w:rsidP="00476BFD">
      <w:pPr>
        <w:numPr>
          <w:ilvl w:val="0"/>
          <w:numId w:val="10"/>
        </w:numPr>
        <w:spacing w:after="120"/>
        <w:ind w:right="91"/>
      </w:pPr>
      <w:r>
        <w:t xml:space="preserve">removing the reduced fee of $60 </w:t>
      </w:r>
      <w:r w:rsidR="001F146E">
        <w:t xml:space="preserve">now payable by </w:t>
      </w:r>
      <w:r w:rsidR="00813B39">
        <w:t xml:space="preserve">legal aid </w:t>
      </w:r>
      <w:r w:rsidR="00061BE4">
        <w:t xml:space="preserve">recipients </w:t>
      </w:r>
      <w:r w:rsidR="00813B39">
        <w:t xml:space="preserve">and </w:t>
      </w:r>
      <w:r w:rsidR="00061BE4">
        <w:t xml:space="preserve">people on </w:t>
      </w:r>
      <w:r w:rsidR="001F146E">
        <w:t>Commonwealth income support</w:t>
      </w:r>
      <w:r w:rsidR="00813B39">
        <w:t>,</w:t>
      </w:r>
      <w:r w:rsidR="005B5A07">
        <w:t xml:space="preserve"> </w:t>
      </w:r>
      <w:r w:rsidR="00476BFD">
        <w:t xml:space="preserve">and </w:t>
      </w:r>
      <w:r w:rsidR="003166A4">
        <w:t>providing</w:t>
      </w:r>
      <w:r>
        <w:t xml:space="preserve"> that </w:t>
      </w:r>
      <w:r w:rsidR="00061BE4">
        <w:t>those persons</w:t>
      </w:r>
      <w:r>
        <w:t xml:space="preserve"> need </w:t>
      </w:r>
      <w:r w:rsidR="00061BE4">
        <w:t xml:space="preserve">not </w:t>
      </w:r>
      <w:r>
        <w:t xml:space="preserve">pay court </w:t>
      </w:r>
      <w:r w:rsidRPr="00682072">
        <w:t xml:space="preserve">fees (with the exception of </w:t>
      </w:r>
      <w:r>
        <w:t xml:space="preserve">filing a </w:t>
      </w:r>
      <w:r w:rsidRPr="00682072">
        <w:t xml:space="preserve">divorce </w:t>
      </w:r>
      <w:r w:rsidR="0076663A">
        <w:t xml:space="preserve">or nullity of marriage </w:t>
      </w:r>
      <w:r>
        <w:t>application</w:t>
      </w:r>
      <w:r w:rsidR="006624E5">
        <w:t>)</w:t>
      </w:r>
      <w:r w:rsidR="00061BE4">
        <w:t>, and</w:t>
      </w:r>
    </w:p>
    <w:p w:rsidR="00061BE4" w:rsidRPr="0070617C" w:rsidRDefault="00291B4E" w:rsidP="00061BE4">
      <w:pPr>
        <w:numPr>
          <w:ilvl w:val="0"/>
          <w:numId w:val="10"/>
        </w:numPr>
        <w:spacing w:after="120"/>
        <w:ind w:right="91"/>
      </w:pPr>
      <w:r>
        <w:lastRenderedPageBreak/>
        <w:t>introduc</w:t>
      </w:r>
      <w:r w:rsidR="006624E5">
        <w:t>ing new fees targeting</w:t>
      </w:r>
      <w:r>
        <w:t xml:space="preserve"> resource intensive processes</w:t>
      </w:r>
      <w:r w:rsidR="00061BE4">
        <w:t xml:space="preserve"> to encourage court users to utilise alternative dispute </w:t>
      </w:r>
      <w:r w:rsidR="0063621F">
        <w:t xml:space="preserve">resolution </w:t>
      </w:r>
      <w:r w:rsidR="00061BE4">
        <w:t>processes.</w:t>
      </w:r>
    </w:p>
    <w:p w:rsidR="00422851" w:rsidRDefault="00B306A0" w:rsidP="00325AFB">
      <w:pPr>
        <w:spacing w:after="120"/>
        <w:ind w:right="91"/>
      </w:pPr>
      <w:r>
        <w:t>These measures are part of wider reforms to the federal courts announced in the 2012</w:t>
      </w:r>
      <w:r>
        <w:noBreakHyphen/>
        <w:t>13 Budget</w:t>
      </w:r>
      <w:r w:rsidR="00325AFB">
        <w:t xml:space="preserve"> which also include similar reforms for the High Court of Australia, </w:t>
      </w:r>
      <w:r w:rsidR="00381967">
        <w:t>the Federal Court</w:t>
      </w:r>
      <w:r w:rsidR="004F582C">
        <w:t xml:space="preserve"> of Australia</w:t>
      </w:r>
      <w:r w:rsidR="00325AFB">
        <w:t xml:space="preserve"> and proceedings in the </w:t>
      </w:r>
      <w:r w:rsidR="00381967">
        <w:t xml:space="preserve">FMC </w:t>
      </w:r>
      <w:r w:rsidR="00325AFB">
        <w:t>that are not proceedings under the Family Law Act</w:t>
      </w:r>
      <w:r w:rsidR="00422851">
        <w:t>.</w:t>
      </w:r>
    </w:p>
    <w:p w:rsidR="00071387" w:rsidRDefault="00071387" w:rsidP="00071387">
      <w:pPr>
        <w:spacing w:after="120"/>
        <w:ind w:right="91"/>
        <w:rPr>
          <w:rFonts w:cs="Calibri"/>
          <w:i/>
        </w:rPr>
      </w:pPr>
      <w:r>
        <w:t xml:space="preserve">The </w:t>
      </w:r>
      <w:r>
        <w:rPr>
          <w:i/>
        </w:rPr>
        <w:t xml:space="preserve">Family Law Amendment Regulation 2012 (No. </w:t>
      </w:r>
      <w:r w:rsidR="000D64D1">
        <w:rPr>
          <w:i/>
        </w:rPr>
        <w:t>4</w:t>
      </w:r>
      <w:r>
        <w:rPr>
          <w:i/>
        </w:rPr>
        <w:t xml:space="preserve">) </w:t>
      </w:r>
      <w:r>
        <w:t xml:space="preserve">and </w:t>
      </w:r>
      <w:r>
        <w:rPr>
          <w:i/>
        </w:rPr>
        <w:t xml:space="preserve">Federal Court and Federal Magistrates Court Regulation 2012 </w:t>
      </w:r>
      <w:r>
        <w:t xml:space="preserve">will, respectively, </w:t>
      </w:r>
      <w:r>
        <w:rPr>
          <w:rFonts w:cs="Calibri"/>
        </w:rPr>
        <w:t>r</w:t>
      </w:r>
      <w:r w:rsidRPr="004F1AF8">
        <w:rPr>
          <w:rFonts w:cs="Calibri"/>
        </w:rPr>
        <w:t xml:space="preserve">epeal the </w:t>
      </w:r>
      <w:proofErr w:type="spellStart"/>
      <w:r w:rsidRPr="004F1AF8">
        <w:rPr>
          <w:rFonts w:cs="Calibri"/>
        </w:rPr>
        <w:t>fee</w:t>
      </w:r>
      <w:r>
        <w:rPr>
          <w:rFonts w:cs="Calibri"/>
        </w:rPr>
        <w:noBreakHyphen/>
        <w:t>related</w:t>
      </w:r>
      <w:proofErr w:type="spellEnd"/>
      <w:r>
        <w:rPr>
          <w:rFonts w:cs="Calibri"/>
        </w:rPr>
        <w:t xml:space="preserve"> provisions </w:t>
      </w:r>
      <w:r w:rsidRPr="004F1AF8">
        <w:rPr>
          <w:rFonts w:cs="Calibri"/>
        </w:rPr>
        <w:t xml:space="preserve">in the </w:t>
      </w:r>
      <w:r w:rsidRPr="00C30F04">
        <w:rPr>
          <w:rFonts w:cs="Calibri"/>
        </w:rPr>
        <w:t>Family Law Regulations</w:t>
      </w:r>
      <w:r w:rsidRPr="004F1AF8">
        <w:rPr>
          <w:rFonts w:cs="Calibri"/>
          <w:i/>
        </w:rPr>
        <w:t xml:space="preserve"> </w:t>
      </w:r>
      <w:r>
        <w:rPr>
          <w:rFonts w:cs="Calibri"/>
        </w:rPr>
        <w:t xml:space="preserve">and </w:t>
      </w:r>
      <w:r w:rsidR="005B5A07">
        <w:rPr>
          <w:rFonts w:cs="Calibri"/>
        </w:rPr>
        <w:t xml:space="preserve">repeal </w:t>
      </w:r>
      <w:r w:rsidR="00C44734">
        <w:rPr>
          <w:rFonts w:cs="Calibri"/>
        </w:rPr>
        <w:t xml:space="preserve">and replace </w:t>
      </w:r>
      <w:r>
        <w:rPr>
          <w:rFonts w:cs="Calibri"/>
        </w:rPr>
        <w:t xml:space="preserve">the </w:t>
      </w:r>
      <w:r w:rsidR="004F582C">
        <w:rPr>
          <w:rFonts w:cs="Calibri"/>
        </w:rPr>
        <w:t>Federal Magistrates</w:t>
      </w:r>
      <w:r w:rsidR="00C30F04">
        <w:rPr>
          <w:rFonts w:cs="Calibri"/>
        </w:rPr>
        <w:t xml:space="preserve"> Regulations </w:t>
      </w:r>
      <w:r w:rsidR="005B5A07">
        <w:rPr>
          <w:rFonts w:cs="Calibri"/>
        </w:rPr>
        <w:t>in full</w:t>
      </w:r>
      <w:r>
        <w:rPr>
          <w:rFonts w:cs="Calibri"/>
          <w:i/>
        </w:rPr>
        <w:t xml:space="preserve">.  </w:t>
      </w:r>
    </w:p>
    <w:p w:rsidR="000D64D1" w:rsidRDefault="000D64D1" w:rsidP="000D64D1">
      <w:pPr>
        <w:tabs>
          <w:tab w:val="left" w:pos="6521"/>
        </w:tabs>
        <w:ind w:right="91"/>
      </w:pPr>
      <w:r>
        <w:t xml:space="preserve">The Family Court of Australia, the Federal Magistrates Court and the Family Court of Western Australia were consulted on the content of the Regulation.  The consultation involved exchange of correspondence and discussions. </w:t>
      </w:r>
    </w:p>
    <w:p w:rsidR="000D64D1" w:rsidRDefault="000D64D1" w:rsidP="000D64D1">
      <w:pPr>
        <w:tabs>
          <w:tab w:val="left" w:pos="6521"/>
        </w:tabs>
        <w:spacing w:before="0"/>
        <w:ind w:right="91"/>
      </w:pPr>
    </w:p>
    <w:p w:rsidR="000D64D1" w:rsidRDefault="000D64D1" w:rsidP="000D64D1">
      <w:pPr>
        <w:tabs>
          <w:tab w:val="left" w:pos="6521"/>
        </w:tabs>
        <w:spacing w:before="0"/>
        <w:ind w:right="91"/>
      </w:pPr>
      <w:r>
        <w:t xml:space="preserve">The Office of Best Practice Regulation was consulted on the </w:t>
      </w:r>
      <w:r w:rsidR="00325AFB">
        <w:t>measures announced in the 20012-13 Budget</w:t>
      </w:r>
      <w:r>
        <w:t xml:space="preserve"> and advised that no Regulation Impact Statement was required.</w:t>
      </w:r>
    </w:p>
    <w:p w:rsidR="000D64D1" w:rsidRDefault="000D64D1" w:rsidP="000D64D1">
      <w:pPr>
        <w:tabs>
          <w:tab w:val="left" w:pos="6521"/>
        </w:tabs>
        <w:spacing w:before="0"/>
        <w:ind w:right="91"/>
      </w:pPr>
    </w:p>
    <w:p w:rsidR="000D64D1" w:rsidRDefault="000D64D1" w:rsidP="000D64D1">
      <w:pPr>
        <w:tabs>
          <w:tab w:val="left" w:pos="6521"/>
        </w:tabs>
        <w:spacing w:before="0"/>
        <w:ind w:right="91"/>
      </w:pPr>
      <w:r>
        <w:t xml:space="preserve">The Regulation is a legislative instrument for the purposes of the </w:t>
      </w:r>
      <w:r w:rsidRPr="00B63B3C">
        <w:rPr>
          <w:i/>
        </w:rPr>
        <w:t>Legislative Instruments Act 2003</w:t>
      </w:r>
      <w:r>
        <w:t>.</w:t>
      </w:r>
    </w:p>
    <w:p w:rsidR="000D64D1" w:rsidRDefault="000D64D1" w:rsidP="000D64D1">
      <w:pPr>
        <w:tabs>
          <w:tab w:val="left" w:pos="6521"/>
        </w:tabs>
        <w:ind w:right="91"/>
      </w:pPr>
      <w:r>
        <w:t>The Regulation commence</w:t>
      </w:r>
      <w:r w:rsidR="00325AFB">
        <w:t>s</w:t>
      </w:r>
      <w:r>
        <w:t xml:space="preserve"> on 1 January 2013.</w:t>
      </w:r>
    </w:p>
    <w:p w:rsidR="000D64D1" w:rsidRDefault="000D64D1" w:rsidP="000D64D1">
      <w:pPr>
        <w:tabs>
          <w:tab w:val="left" w:pos="6521"/>
        </w:tabs>
        <w:spacing w:before="0"/>
        <w:ind w:right="91"/>
      </w:pPr>
    </w:p>
    <w:p w:rsidR="000D64D1" w:rsidRDefault="000D64D1" w:rsidP="000D64D1">
      <w:pPr>
        <w:tabs>
          <w:tab w:val="left" w:pos="6521"/>
        </w:tabs>
        <w:spacing w:before="0"/>
        <w:ind w:right="91"/>
      </w:pPr>
      <w:r>
        <w:t>Details of the Regulation are as follows:</w:t>
      </w:r>
    </w:p>
    <w:p w:rsidR="00F123CA" w:rsidRDefault="00F123CA" w:rsidP="00F123CA">
      <w:pPr>
        <w:spacing w:before="0"/>
        <w:ind w:right="91"/>
      </w:pPr>
    </w:p>
    <w:p w:rsidR="00F123CA" w:rsidRDefault="00F123CA" w:rsidP="00F123CA">
      <w:pPr>
        <w:spacing w:before="0"/>
        <w:ind w:right="91"/>
        <w:rPr>
          <w:u w:val="single"/>
        </w:rPr>
      </w:pPr>
      <w:r>
        <w:rPr>
          <w:u w:val="single"/>
        </w:rPr>
        <w:t xml:space="preserve">Part 1 </w:t>
      </w:r>
      <w:r w:rsidR="004F582C">
        <w:rPr>
          <w:u w:val="single"/>
        </w:rPr>
        <w:t xml:space="preserve">– </w:t>
      </w:r>
      <w:r>
        <w:rPr>
          <w:u w:val="single"/>
        </w:rPr>
        <w:t>Preliminary</w:t>
      </w:r>
      <w:r w:rsidR="004F582C">
        <w:rPr>
          <w:u w:val="single"/>
        </w:rPr>
        <w:t xml:space="preserve"> </w:t>
      </w:r>
    </w:p>
    <w:p w:rsidR="00F123CA" w:rsidRDefault="00F123CA" w:rsidP="00F123CA">
      <w:pPr>
        <w:spacing w:before="0"/>
        <w:ind w:right="91"/>
        <w:rPr>
          <w:u w:val="single"/>
        </w:rPr>
      </w:pPr>
    </w:p>
    <w:p w:rsidR="00F123CA" w:rsidRPr="009A77A3" w:rsidRDefault="00F123CA" w:rsidP="00F123CA">
      <w:pPr>
        <w:spacing w:before="0"/>
        <w:ind w:right="91"/>
        <w:rPr>
          <w:b/>
        </w:rPr>
      </w:pPr>
      <w:r w:rsidRPr="009A77A3">
        <w:rPr>
          <w:b/>
        </w:rPr>
        <w:t>Section 1.01 – Name of regulation</w:t>
      </w:r>
    </w:p>
    <w:p w:rsidR="00F123CA" w:rsidRDefault="00F123CA" w:rsidP="00F123CA">
      <w:pPr>
        <w:spacing w:before="0"/>
        <w:ind w:right="91"/>
      </w:pPr>
    </w:p>
    <w:p w:rsidR="00F123CA" w:rsidRDefault="00F123CA" w:rsidP="00F123CA">
      <w:pPr>
        <w:spacing w:before="0"/>
        <w:ind w:right="91"/>
      </w:pPr>
      <w:r>
        <w:t>This section provide</w:t>
      </w:r>
      <w:r w:rsidR="000D64D1">
        <w:t>s</w:t>
      </w:r>
      <w:r>
        <w:t xml:space="preserve"> that the title of the Regulation </w:t>
      </w:r>
      <w:r w:rsidR="000D64D1">
        <w:t>is</w:t>
      </w:r>
      <w:r>
        <w:t xml:space="preserve"> the</w:t>
      </w:r>
      <w:r>
        <w:rPr>
          <w:i/>
        </w:rPr>
        <w:t xml:space="preserve"> Family Law (Fees) Regulation 2012</w:t>
      </w:r>
      <w:r>
        <w:t>.</w:t>
      </w:r>
    </w:p>
    <w:p w:rsidR="00F123CA" w:rsidRDefault="00F123CA" w:rsidP="00F123CA">
      <w:pPr>
        <w:spacing w:before="0"/>
        <w:ind w:right="91"/>
      </w:pPr>
    </w:p>
    <w:p w:rsidR="00F123CA" w:rsidRPr="009A77A3" w:rsidRDefault="00F123CA" w:rsidP="00F123CA">
      <w:pPr>
        <w:spacing w:before="0"/>
        <w:ind w:right="91"/>
        <w:rPr>
          <w:b/>
        </w:rPr>
      </w:pPr>
      <w:r>
        <w:rPr>
          <w:b/>
        </w:rPr>
        <w:t>Section 1.02</w:t>
      </w:r>
      <w:r w:rsidRPr="009A77A3">
        <w:rPr>
          <w:b/>
        </w:rPr>
        <w:t xml:space="preserve"> – </w:t>
      </w:r>
      <w:r>
        <w:rPr>
          <w:b/>
        </w:rPr>
        <w:t>Commencement</w:t>
      </w:r>
    </w:p>
    <w:p w:rsidR="00F123CA" w:rsidRDefault="00F123CA" w:rsidP="00F123CA">
      <w:pPr>
        <w:spacing w:before="0"/>
        <w:ind w:right="91"/>
      </w:pPr>
    </w:p>
    <w:p w:rsidR="00F123CA" w:rsidRDefault="00F123CA" w:rsidP="00F123CA">
      <w:pPr>
        <w:spacing w:before="0"/>
        <w:ind w:right="91"/>
      </w:pPr>
      <w:r>
        <w:t>This section provide</w:t>
      </w:r>
      <w:r w:rsidR="000D64D1">
        <w:t>s</w:t>
      </w:r>
      <w:r>
        <w:t xml:space="preserve"> that the </w:t>
      </w:r>
      <w:r w:rsidR="00DD1546">
        <w:t xml:space="preserve">Regulation </w:t>
      </w:r>
      <w:r w:rsidR="000D64D1">
        <w:t>c</w:t>
      </w:r>
      <w:r w:rsidR="00DD1546">
        <w:t>ommence</w:t>
      </w:r>
      <w:r w:rsidR="000D64D1">
        <w:t>s</w:t>
      </w:r>
      <w:r w:rsidR="00DD1546">
        <w:t xml:space="preserve"> on 1 </w:t>
      </w:r>
      <w:r>
        <w:t>January 2013.</w:t>
      </w:r>
    </w:p>
    <w:p w:rsidR="00F123CA" w:rsidRDefault="00F123CA" w:rsidP="00F123CA">
      <w:pPr>
        <w:spacing w:before="0"/>
        <w:ind w:right="91"/>
      </w:pPr>
    </w:p>
    <w:p w:rsidR="00F123CA" w:rsidRDefault="00F123CA" w:rsidP="00F123CA">
      <w:pPr>
        <w:spacing w:before="0"/>
        <w:ind w:right="91"/>
        <w:rPr>
          <w:b/>
        </w:rPr>
      </w:pPr>
      <w:r w:rsidRPr="009A77A3">
        <w:rPr>
          <w:b/>
        </w:rPr>
        <w:t>Section 1</w:t>
      </w:r>
      <w:r>
        <w:rPr>
          <w:b/>
        </w:rPr>
        <w:t>.03</w:t>
      </w:r>
      <w:r w:rsidRPr="009A77A3">
        <w:rPr>
          <w:b/>
        </w:rPr>
        <w:t xml:space="preserve"> – </w:t>
      </w:r>
      <w:r>
        <w:rPr>
          <w:b/>
        </w:rPr>
        <w:t>Definitions</w:t>
      </w:r>
    </w:p>
    <w:p w:rsidR="00F123CA" w:rsidRDefault="00F123CA" w:rsidP="00F123CA">
      <w:pPr>
        <w:spacing w:before="0"/>
        <w:ind w:right="91"/>
        <w:rPr>
          <w:b/>
        </w:rPr>
      </w:pPr>
    </w:p>
    <w:p w:rsidR="00F123CA" w:rsidRPr="00023ADE" w:rsidRDefault="00F123CA" w:rsidP="00F123CA">
      <w:pPr>
        <w:spacing w:before="0"/>
        <w:ind w:right="91"/>
      </w:pPr>
      <w:r w:rsidRPr="00023ADE">
        <w:t>This section provide</w:t>
      </w:r>
      <w:r w:rsidR="000D64D1">
        <w:t>s</w:t>
      </w:r>
      <w:r w:rsidRPr="00023ADE">
        <w:t xml:space="preserve"> for definitions of terms used in the Regulation. </w:t>
      </w:r>
      <w:r w:rsidR="00A77D7F">
        <w:t xml:space="preserve"> Some undefined terms </w:t>
      </w:r>
      <w:r w:rsidR="000D64D1">
        <w:t>are</w:t>
      </w:r>
      <w:r w:rsidR="00A77D7F">
        <w:t xml:space="preserve"> defined in the Family Law Act.  </w:t>
      </w:r>
      <w:r w:rsidRPr="00023ADE">
        <w:t>Significant new or amended definitions are explained below.</w:t>
      </w:r>
    </w:p>
    <w:p w:rsidR="00F123CA" w:rsidRPr="00023ADE" w:rsidRDefault="00F123CA" w:rsidP="00F123CA">
      <w:pPr>
        <w:spacing w:before="0"/>
        <w:ind w:right="91"/>
        <w:rPr>
          <w:i/>
        </w:rPr>
      </w:pPr>
    </w:p>
    <w:p w:rsidR="00F123CA" w:rsidRDefault="00F123CA" w:rsidP="00F123CA">
      <w:pPr>
        <w:spacing w:before="0"/>
        <w:ind w:right="91"/>
        <w:rPr>
          <w:i/>
        </w:rPr>
      </w:pPr>
      <w:r>
        <w:rPr>
          <w:i/>
        </w:rPr>
        <w:t>‘conciliation conference’</w:t>
      </w:r>
    </w:p>
    <w:p w:rsidR="005864EA" w:rsidRPr="00023ADE" w:rsidRDefault="005864EA" w:rsidP="005864EA">
      <w:pPr>
        <w:spacing w:before="0"/>
        <w:ind w:right="91"/>
        <w:rPr>
          <w:i/>
        </w:rPr>
      </w:pPr>
    </w:p>
    <w:p w:rsidR="005864EA" w:rsidRDefault="005864EA" w:rsidP="00F123CA">
      <w:pPr>
        <w:spacing w:before="0"/>
        <w:ind w:right="91"/>
      </w:pPr>
      <w:r w:rsidRPr="00F2573A">
        <w:t xml:space="preserve">The term </w:t>
      </w:r>
      <w:r w:rsidR="000D64D1">
        <w:t>is</w:t>
      </w:r>
      <w:r w:rsidR="00DD389D">
        <w:t xml:space="preserve"> </w:t>
      </w:r>
      <w:r w:rsidRPr="00F2573A">
        <w:t>defined to</w:t>
      </w:r>
      <w:r>
        <w:t xml:space="preserve"> mean a conference</w:t>
      </w:r>
      <w:r w:rsidR="006624E5">
        <w:t>,</w:t>
      </w:r>
      <w:r>
        <w:t xml:space="preserve"> </w:t>
      </w:r>
      <w:r w:rsidR="006624E5">
        <w:t xml:space="preserve">attended by the parties with either a registrar or a family dispute resolution practitioner, </w:t>
      </w:r>
      <w:r>
        <w:t>where the parties try to reach agreement on the matters in issue in the proceeding</w:t>
      </w:r>
      <w:r w:rsidR="006624E5">
        <w:t xml:space="preserve">.  In the case of a conference </w:t>
      </w:r>
      <w:r w:rsidR="006624E5">
        <w:lastRenderedPageBreak/>
        <w:t xml:space="preserve">attended by a family dispute resolution practitioner, only a conference in which the parties are not required to pay the fees of the practitioner </w:t>
      </w:r>
      <w:r w:rsidR="000D64D1">
        <w:t>is</w:t>
      </w:r>
      <w:r w:rsidR="006624E5">
        <w:t xml:space="preserve"> a conciliation conference.</w:t>
      </w:r>
      <w:r w:rsidR="00E301D7">
        <w:t xml:space="preserve">  </w:t>
      </w:r>
    </w:p>
    <w:p w:rsidR="00973120" w:rsidRDefault="00973120" w:rsidP="00F123CA">
      <w:pPr>
        <w:spacing w:before="0"/>
        <w:ind w:right="91"/>
      </w:pPr>
    </w:p>
    <w:p w:rsidR="00973120" w:rsidRDefault="00973120" w:rsidP="00F123CA">
      <w:pPr>
        <w:spacing w:before="0"/>
        <w:ind w:right="91"/>
      </w:pPr>
      <w:r>
        <w:t xml:space="preserve">Conciliation conferences are usually conducted by a </w:t>
      </w:r>
      <w:r w:rsidR="00DD1546">
        <w:t>r</w:t>
      </w:r>
      <w:r>
        <w:t xml:space="preserve">egistrar of the relevant court in which proceedings are commenced.  In some circumstances, </w:t>
      </w:r>
      <w:r w:rsidR="006624E5">
        <w:t>including</w:t>
      </w:r>
      <w:r>
        <w:t xml:space="preserve"> where the geographic location of the parties makes access to a </w:t>
      </w:r>
      <w:r w:rsidR="00DD1546">
        <w:t>r</w:t>
      </w:r>
      <w:r>
        <w:t>egistrar difficult, the conference may be conducted by a family dispute resolution practitioner and the court</w:t>
      </w:r>
      <w:r w:rsidR="000D64D1">
        <w:t>s</w:t>
      </w:r>
      <w:r>
        <w:t xml:space="preserve"> pay for the practitioner’s services.  </w:t>
      </w:r>
    </w:p>
    <w:p w:rsidR="00973120" w:rsidRDefault="00973120" w:rsidP="00F123CA">
      <w:pPr>
        <w:spacing w:before="0"/>
        <w:ind w:right="91"/>
        <w:rPr>
          <w:i/>
        </w:rPr>
      </w:pPr>
    </w:p>
    <w:p w:rsidR="005864EA" w:rsidRDefault="005864EA" w:rsidP="00F123CA">
      <w:pPr>
        <w:spacing w:before="0"/>
        <w:ind w:right="91"/>
        <w:rPr>
          <w:i/>
        </w:rPr>
      </w:pPr>
      <w:r>
        <w:rPr>
          <w:i/>
        </w:rPr>
        <w:t>‘Family Court’</w:t>
      </w:r>
    </w:p>
    <w:p w:rsidR="005864EA" w:rsidRDefault="005864EA" w:rsidP="00F123CA">
      <w:pPr>
        <w:spacing w:before="0"/>
        <w:ind w:right="91"/>
        <w:rPr>
          <w:i/>
        </w:rPr>
      </w:pPr>
    </w:p>
    <w:p w:rsidR="005864EA" w:rsidRDefault="00DD389D" w:rsidP="00F123CA">
      <w:pPr>
        <w:spacing w:before="0"/>
        <w:ind w:right="91"/>
      </w:pPr>
      <w:r>
        <w:t>The</w:t>
      </w:r>
      <w:r w:rsidR="005864EA">
        <w:t xml:space="preserve"> term </w:t>
      </w:r>
      <w:r w:rsidR="0063621F">
        <w:t>is</w:t>
      </w:r>
      <w:r>
        <w:t xml:space="preserve"> </w:t>
      </w:r>
      <w:r w:rsidR="005864EA">
        <w:t xml:space="preserve">defined to include the Family Court and a </w:t>
      </w:r>
      <w:r w:rsidR="00B55D89">
        <w:t>Family Court of a State</w:t>
      </w:r>
      <w:r w:rsidR="005864EA">
        <w:t>.  Th</w:t>
      </w:r>
      <w:r w:rsidR="006624E5">
        <w:t>e term</w:t>
      </w:r>
      <w:r w:rsidR="005864EA">
        <w:t xml:space="preserve"> </w:t>
      </w:r>
      <w:r w:rsidR="00B55D89">
        <w:t>include</w:t>
      </w:r>
      <w:r w:rsidR="006624E5">
        <w:t>s</w:t>
      </w:r>
      <w:r w:rsidR="00B55D89">
        <w:t xml:space="preserve"> </w:t>
      </w:r>
      <w:r w:rsidR="005864EA">
        <w:t>the Family Court of Western Australia.</w:t>
      </w:r>
    </w:p>
    <w:p w:rsidR="005864EA" w:rsidRDefault="005864EA" w:rsidP="00F123CA">
      <w:pPr>
        <w:spacing w:before="0"/>
        <w:ind w:right="91"/>
      </w:pPr>
    </w:p>
    <w:p w:rsidR="005864EA" w:rsidRDefault="005864EA" w:rsidP="005864EA">
      <w:pPr>
        <w:spacing w:before="0"/>
        <w:ind w:right="91"/>
        <w:rPr>
          <w:i/>
        </w:rPr>
      </w:pPr>
      <w:r>
        <w:rPr>
          <w:i/>
        </w:rPr>
        <w:t>‘interim order application’</w:t>
      </w:r>
    </w:p>
    <w:p w:rsidR="005864EA" w:rsidRDefault="005864EA" w:rsidP="005864EA">
      <w:pPr>
        <w:spacing w:before="0"/>
        <w:ind w:right="91"/>
        <w:rPr>
          <w:i/>
        </w:rPr>
      </w:pPr>
    </w:p>
    <w:p w:rsidR="00A77D7F" w:rsidRDefault="00DD389D" w:rsidP="005864EA">
      <w:pPr>
        <w:spacing w:before="0"/>
        <w:ind w:right="91"/>
        <w:rPr>
          <w:rFonts w:cs="Calibri"/>
        </w:rPr>
      </w:pPr>
      <w:r>
        <w:t>The</w:t>
      </w:r>
      <w:r w:rsidR="005864EA">
        <w:t xml:space="preserve"> term </w:t>
      </w:r>
      <w:r w:rsidR="000D64D1">
        <w:t>is</w:t>
      </w:r>
      <w:r>
        <w:t xml:space="preserve"> </w:t>
      </w:r>
      <w:r w:rsidR="00A77D7F">
        <w:t>defined to include</w:t>
      </w:r>
      <w:r w:rsidR="005864EA">
        <w:t xml:space="preserve"> an application for an interlocutory order</w:t>
      </w:r>
      <w:r w:rsidR="00260F6F">
        <w:t xml:space="preserve">, </w:t>
      </w:r>
      <w:r w:rsidR="00A77D7F">
        <w:t>an interim order</w:t>
      </w:r>
      <w:r w:rsidR="00260F6F">
        <w:t xml:space="preserve">, an order that would only apply for a specified period during the proceeding, and interim </w:t>
      </w:r>
      <w:r w:rsidR="006624E5">
        <w:t xml:space="preserve">or partial property </w:t>
      </w:r>
      <w:r w:rsidR="00260F6F">
        <w:t xml:space="preserve">orders under Part VIII or VIIIAB of the Family Law Act.  </w:t>
      </w:r>
      <w:r w:rsidR="00A77D7F">
        <w:t xml:space="preserve">It </w:t>
      </w:r>
      <w:r w:rsidR="00DD1546">
        <w:t>include</w:t>
      </w:r>
      <w:r w:rsidR="000D64D1">
        <w:t>s</w:t>
      </w:r>
      <w:r w:rsidR="00A77D7F">
        <w:t xml:space="preserve"> an application for </w:t>
      </w:r>
      <w:r w:rsidR="00260F6F">
        <w:t>an interim order</w:t>
      </w:r>
      <w:r w:rsidR="00A77D7F">
        <w:t xml:space="preserve"> that is sought with other types of orders, for example, an </w:t>
      </w:r>
      <w:r w:rsidR="00A77D7F">
        <w:rPr>
          <w:rFonts w:cs="Calibri"/>
        </w:rPr>
        <w:t>application for an interim order contained in an application commencing proceedings.</w:t>
      </w:r>
    </w:p>
    <w:p w:rsidR="003A3744" w:rsidRDefault="003A3744" w:rsidP="005864EA">
      <w:pPr>
        <w:spacing w:before="0"/>
        <w:ind w:right="91"/>
      </w:pPr>
    </w:p>
    <w:p w:rsidR="00A77D7F" w:rsidRDefault="00A77D7F" w:rsidP="005864EA">
      <w:pPr>
        <w:spacing w:before="0"/>
        <w:ind w:right="91"/>
      </w:pPr>
      <w:r>
        <w:t xml:space="preserve">An interim order application </w:t>
      </w:r>
      <w:r w:rsidR="000D64D1">
        <w:t>does</w:t>
      </w:r>
      <w:r w:rsidR="00DD389D">
        <w:t xml:space="preserve"> </w:t>
      </w:r>
      <w:r>
        <w:t xml:space="preserve">not include an </w:t>
      </w:r>
      <w:r w:rsidR="006624E5">
        <w:t xml:space="preserve">application for an </w:t>
      </w:r>
      <w:r>
        <w:t xml:space="preserve">order of a procedural nature, for example, directing that </w:t>
      </w:r>
      <w:r w:rsidR="00B272DE">
        <w:t xml:space="preserve">a </w:t>
      </w:r>
      <w:r>
        <w:t>party file a document within a specified timeframe.</w:t>
      </w:r>
    </w:p>
    <w:p w:rsidR="00B05A59" w:rsidRDefault="00B05A59" w:rsidP="005864EA">
      <w:pPr>
        <w:spacing w:before="0"/>
        <w:ind w:right="91"/>
      </w:pPr>
    </w:p>
    <w:p w:rsidR="00796E30" w:rsidRDefault="00B05A59" w:rsidP="005864EA">
      <w:pPr>
        <w:spacing w:before="0"/>
        <w:ind w:right="91"/>
      </w:pPr>
      <w:r>
        <w:t>A fee for filing an interim order application is specifie</w:t>
      </w:r>
      <w:r w:rsidR="006C24D0">
        <w:t xml:space="preserve">d at fee item 9 of Schedule 1 to </w:t>
      </w:r>
      <w:r>
        <w:t>the Regulation.</w:t>
      </w:r>
      <w:r w:rsidR="00796E30">
        <w:t xml:space="preserve">  </w:t>
      </w:r>
    </w:p>
    <w:p w:rsidR="009A77A3" w:rsidRDefault="009A77A3" w:rsidP="009A77A3">
      <w:pPr>
        <w:spacing w:before="0"/>
        <w:ind w:right="91"/>
        <w:rPr>
          <w:b/>
        </w:rPr>
      </w:pPr>
    </w:p>
    <w:p w:rsidR="009A77A3" w:rsidRPr="00F123CA" w:rsidRDefault="009A77A3" w:rsidP="009A77A3">
      <w:pPr>
        <w:spacing w:before="0"/>
        <w:ind w:right="91"/>
        <w:rPr>
          <w:b/>
        </w:rPr>
      </w:pPr>
      <w:r w:rsidRPr="00F123CA">
        <w:rPr>
          <w:b/>
        </w:rPr>
        <w:t xml:space="preserve">Section 1.04 – </w:t>
      </w:r>
      <w:r w:rsidR="00D34A29" w:rsidRPr="00F123CA">
        <w:rPr>
          <w:b/>
        </w:rPr>
        <w:t>Application</w:t>
      </w:r>
    </w:p>
    <w:p w:rsidR="009A77A3" w:rsidRDefault="009A77A3" w:rsidP="009A77A3">
      <w:pPr>
        <w:spacing w:before="0"/>
        <w:ind w:right="91"/>
        <w:rPr>
          <w:b/>
        </w:rPr>
      </w:pPr>
    </w:p>
    <w:p w:rsidR="004456B4" w:rsidRDefault="00BD2585" w:rsidP="009A77A3">
      <w:pPr>
        <w:spacing w:before="0"/>
        <w:ind w:right="91"/>
      </w:pPr>
      <w:r>
        <w:t>Subsection 1.04(1) provide</w:t>
      </w:r>
      <w:r w:rsidR="000D64D1">
        <w:t>s</w:t>
      </w:r>
      <w:r>
        <w:t xml:space="preserve"> that the Regulation appl</w:t>
      </w:r>
      <w:r w:rsidR="000D64D1">
        <w:t>ies</w:t>
      </w:r>
      <w:r>
        <w:t xml:space="preserve"> to a fee for a service requested or the filing of a document lodged, </w:t>
      </w:r>
      <w:r w:rsidR="002A57EA">
        <w:t xml:space="preserve">under the </w:t>
      </w:r>
      <w:r>
        <w:t>Family Law Act</w:t>
      </w:r>
      <w:r w:rsidR="002A57EA">
        <w:t>,</w:t>
      </w:r>
      <w:r w:rsidR="000D64D1">
        <w:t xml:space="preserve"> on or after 1 </w:t>
      </w:r>
      <w:r>
        <w:t>January 2013.</w:t>
      </w:r>
    </w:p>
    <w:p w:rsidR="002A57EA" w:rsidRDefault="002A57EA" w:rsidP="009A77A3">
      <w:pPr>
        <w:spacing w:before="0"/>
        <w:ind w:right="91"/>
      </w:pPr>
    </w:p>
    <w:p w:rsidR="002A57EA" w:rsidRDefault="002A57EA" w:rsidP="009A77A3">
      <w:pPr>
        <w:spacing w:before="0"/>
        <w:ind w:right="91"/>
      </w:pPr>
      <w:r>
        <w:t>Subsection 1.04(2) provide</w:t>
      </w:r>
      <w:r w:rsidR="000D64D1">
        <w:t>s</w:t>
      </w:r>
      <w:r>
        <w:t xml:space="preserve"> for the application of particular provisions of the Regulation to some services requested before 1 January 2013.</w:t>
      </w:r>
    </w:p>
    <w:p w:rsidR="002A57EA" w:rsidRDefault="002A57EA" w:rsidP="009A77A3">
      <w:pPr>
        <w:spacing w:before="0"/>
        <w:ind w:right="91"/>
      </w:pPr>
    </w:p>
    <w:p w:rsidR="002A57EA" w:rsidRDefault="002A57EA" w:rsidP="002A57EA">
      <w:pPr>
        <w:spacing w:before="0"/>
        <w:ind w:right="91"/>
      </w:pPr>
      <w:r>
        <w:t xml:space="preserve">In the case of a service requested before 1 January 2013, </w:t>
      </w:r>
      <w:r w:rsidR="0063621F">
        <w:t>paragraph</w:t>
      </w:r>
      <w:r>
        <w:t xml:space="preserve"> 1.04(2)(a) permit</w:t>
      </w:r>
      <w:r w:rsidR="000D64D1">
        <w:t>s</w:t>
      </w:r>
      <w:r>
        <w:t xml:space="preserve"> payment of the fee for the service to be deferred under section 2.10 (for example, payment of the fee would, because of subsection 2.10(4), be able to be deferred, after 1 January 2013, for a second time).  </w:t>
      </w:r>
    </w:p>
    <w:p w:rsidR="002A57EA" w:rsidRDefault="002A57EA" w:rsidP="002A57EA">
      <w:pPr>
        <w:spacing w:before="0"/>
        <w:ind w:right="91"/>
      </w:pPr>
    </w:p>
    <w:p w:rsidR="002A57EA" w:rsidRPr="004456B4" w:rsidRDefault="002A57EA" w:rsidP="002A57EA">
      <w:pPr>
        <w:spacing w:before="0"/>
        <w:ind w:right="91"/>
      </w:pPr>
      <w:r>
        <w:t xml:space="preserve">In the case </w:t>
      </w:r>
      <w:r w:rsidR="006C24D0">
        <w:t xml:space="preserve">of </w:t>
      </w:r>
      <w:r>
        <w:t xml:space="preserve">hearing days </w:t>
      </w:r>
      <w:r w:rsidR="00B345E4">
        <w:t xml:space="preserve">scheduled in 2012 to be </w:t>
      </w:r>
      <w:r w:rsidR="006C24D0">
        <w:t xml:space="preserve">heard </w:t>
      </w:r>
      <w:r w:rsidR="00B345E4">
        <w:t xml:space="preserve">on or </w:t>
      </w:r>
      <w:r>
        <w:t xml:space="preserve">after 1 January 2013, </w:t>
      </w:r>
      <w:r w:rsidR="0063621F">
        <w:t>paragraph</w:t>
      </w:r>
      <w:r>
        <w:t xml:space="preserve"> 1.04(2)(b</w:t>
      </w:r>
      <w:r w:rsidR="005F7D35">
        <w:t xml:space="preserve">), where the hearing of the proceeding commences, </w:t>
      </w:r>
      <w:r>
        <w:t>entitle</w:t>
      </w:r>
      <w:r w:rsidR="000D64D1">
        <w:t>s</w:t>
      </w:r>
      <w:r>
        <w:t xml:space="preserve"> a person to a refund of fees paid for any unused hearing days in 2013 if the proceeding settles or is discontinued or, for some other reason, the hearing day does not proceed.</w:t>
      </w:r>
      <w:r w:rsidR="00B345E4">
        <w:t xml:space="preserve">  This refund only appl</w:t>
      </w:r>
      <w:r w:rsidR="000D64D1">
        <w:t>ies</w:t>
      </w:r>
      <w:r w:rsidR="00B345E4">
        <w:t xml:space="preserve"> to hearing days where the hearing has commenced.</w:t>
      </w:r>
    </w:p>
    <w:p w:rsidR="00C30ADE" w:rsidRDefault="00C30ADE" w:rsidP="009A77A3">
      <w:pPr>
        <w:spacing w:before="0"/>
        <w:ind w:right="91"/>
        <w:rPr>
          <w:u w:val="single"/>
        </w:rPr>
      </w:pPr>
    </w:p>
    <w:p w:rsidR="009A77A3" w:rsidRDefault="009A77A3" w:rsidP="009A77A3">
      <w:pPr>
        <w:spacing w:before="0"/>
        <w:ind w:right="91"/>
        <w:rPr>
          <w:u w:val="single"/>
        </w:rPr>
      </w:pPr>
      <w:r w:rsidRPr="004456B4">
        <w:rPr>
          <w:u w:val="single"/>
        </w:rPr>
        <w:lastRenderedPageBreak/>
        <w:t xml:space="preserve">Part 2 </w:t>
      </w:r>
      <w:r w:rsidR="00295B94">
        <w:rPr>
          <w:u w:val="single"/>
        </w:rPr>
        <w:t xml:space="preserve">– </w:t>
      </w:r>
      <w:r w:rsidRPr="004456B4">
        <w:rPr>
          <w:u w:val="single"/>
        </w:rPr>
        <w:t>Fees</w:t>
      </w:r>
      <w:r w:rsidR="00295B94">
        <w:rPr>
          <w:u w:val="single"/>
        </w:rPr>
        <w:t xml:space="preserve"> </w:t>
      </w:r>
    </w:p>
    <w:p w:rsidR="00295B94" w:rsidRDefault="00295B94" w:rsidP="009A77A3">
      <w:pPr>
        <w:spacing w:before="0"/>
        <w:ind w:right="91"/>
        <w:rPr>
          <w:u w:val="single"/>
        </w:rPr>
      </w:pPr>
    </w:p>
    <w:p w:rsidR="00295B94" w:rsidRPr="00295B94" w:rsidRDefault="00295B94" w:rsidP="009A77A3">
      <w:pPr>
        <w:spacing w:before="0"/>
        <w:ind w:right="91"/>
        <w:rPr>
          <w:u w:val="single"/>
        </w:rPr>
      </w:pPr>
      <w:r w:rsidRPr="00295B94">
        <w:rPr>
          <w:u w:val="single"/>
        </w:rPr>
        <w:t xml:space="preserve">Division 2.1 – Fees–general </w:t>
      </w:r>
    </w:p>
    <w:p w:rsidR="00295B94" w:rsidRDefault="00295B94" w:rsidP="009A77A3">
      <w:pPr>
        <w:spacing w:before="0"/>
        <w:ind w:right="91"/>
        <w:rPr>
          <w:b/>
        </w:rPr>
      </w:pPr>
    </w:p>
    <w:p w:rsidR="009A77A3" w:rsidRPr="004456B4" w:rsidRDefault="009A77A3" w:rsidP="009A77A3">
      <w:pPr>
        <w:spacing w:before="0"/>
        <w:ind w:right="91"/>
        <w:rPr>
          <w:b/>
        </w:rPr>
      </w:pPr>
      <w:r w:rsidRPr="004456B4">
        <w:rPr>
          <w:b/>
        </w:rPr>
        <w:t>Section 2.01 – Purpose of Part</w:t>
      </w:r>
    </w:p>
    <w:p w:rsidR="009A77A3" w:rsidRDefault="009A77A3" w:rsidP="009A77A3">
      <w:pPr>
        <w:spacing w:before="0"/>
        <w:ind w:right="91"/>
      </w:pPr>
    </w:p>
    <w:p w:rsidR="00DD389D" w:rsidRPr="00DD389D" w:rsidRDefault="006624E5" w:rsidP="009A77A3">
      <w:pPr>
        <w:spacing w:before="0"/>
        <w:ind w:right="91"/>
      </w:pPr>
      <w:r>
        <w:t>This section</w:t>
      </w:r>
      <w:r w:rsidR="00DD389D">
        <w:t xml:space="preserve"> provide</w:t>
      </w:r>
      <w:r w:rsidR="00846983">
        <w:t>s</w:t>
      </w:r>
      <w:r w:rsidR="00DD389D">
        <w:t xml:space="preserve"> that Part 2 </w:t>
      </w:r>
      <w:r>
        <w:t xml:space="preserve">of the Regulation sets out </w:t>
      </w:r>
      <w:r w:rsidR="00DD389D">
        <w:t>matters relating to court fees.</w:t>
      </w:r>
    </w:p>
    <w:p w:rsidR="00DD389D" w:rsidRPr="004456B4" w:rsidRDefault="00DD389D" w:rsidP="009A77A3">
      <w:pPr>
        <w:spacing w:before="0"/>
        <w:ind w:right="91"/>
      </w:pPr>
    </w:p>
    <w:p w:rsidR="009A77A3" w:rsidRDefault="009A77A3" w:rsidP="009A77A3">
      <w:pPr>
        <w:spacing w:before="0"/>
        <w:ind w:right="91"/>
        <w:rPr>
          <w:b/>
        </w:rPr>
      </w:pPr>
      <w:r w:rsidRPr="004456B4">
        <w:rPr>
          <w:b/>
        </w:rPr>
        <w:t>Section 2.02 – Fees</w:t>
      </w:r>
    </w:p>
    <w:p w:rsidR="00DD389D" w:rsidRDefault="00DD389D" w:rsidP="009A77A3">
      <w:pPr>
        <w:spacing w:before="0"/>
        <w:ind w:right="91"/>
        <w:rPr>
          <w:b/>
        </w:rPr>
      </w:pPr>
    </w:p>
    <w:p w:rsidR="00824C41" w:rsidRDefault="00824C41" w:rsidP="00824C41">
      <w:pPr>
        <w:spacing w:before="0"/>
        <w:ind w:right="91"/>
      </w:pPr>
      <w:r>
        <w:t>This section provide</w:t>
      </w:r>
      <w:r w:rsidR="00846983">
        <w:t>s</w:t>
      </w:r>
      <w:r>
        <w:t xml:space="preserve"> for Schedule 1 to the Regulation to set out court fees payable </w:t>
      </w:r>
      <w:r w:rsidR="006624E5">
        <w:t xml:space="preserve">in a proceeding under </w:t>
      </w:r>
      <w:r w:rsidR="00E261F3">
        <w:t>the Family Law Act</w:t>
      </w:r>
      <w:r>
        <w:t>.</w:t>
      </w:r>
    </w:p>
    <w:p w:rsidR="00824C41" w:rsidRDefault="00824C41" w:rsidP="00824C41">
      <w:pPr>
        <w:spacing w:before="0"/>
        <w:ind w:right="91"/>
      </w:pPr>
    </w:p>
    <w:p w:rsidR="00824C41" w:rsidRDefault="00824C41" w:rsidP="00824C41">
      <w:pPr>
        <w:spacing w:before="0"/>
        <w:ind w:right="91"/>
      </w:pPr>
      <w:r>
        <w:t>Subsection 2.02(2) clarif</w:t>
      </w:r>
      <w:r w:rsidR="00846983">
        <w:t>ies</w:t>
      </w:r>
      <w:r>
        <w:t xml:space="preserve"> that where a person files a document seeking both an interim order and other matters, the fee payable </w:t>
      </w:r>
      <w:r w:rsidR="00846983">
        <w:t>is</w:t>
      </w:r>
      <w:r>
        <w:t xml:space="preserve"> both the fee for the interim order (item 9 of Schedule 1) and the fee in Schedule 1 for filing the document cover</w:t>
      </w:r>
      <w:r w:rsidR="00E261F3">
        <w:t>ing</w:t>
      </w:r>
      <w:r>
        <w:t xml:space="preserve"> the other matter.</w:t>
      </w:r>
    </w:p>
    <w:p w:rsidR="00824C41" w:rsidRDefault="00824C41" w:rsidP="00824C41">
      <w:pPr>
        <w:spacing w:before="0"/>
        <w:ind w:right="91"/>
      </w:pPr>
    </w:p>
    <w:p w:rsidR="00824C41" w:rsidRPr="00DD389D" w:rsidRDefault="00824C41" w:rsidP="00824C41">
      <w:pPr>
        <w:spacing w:before="0"/>
        <w:ind w:right="91"/>
      </w:pPr>
      <w:r>
        <w:t xml:space="preserve">Subsection 2.02(3) </w:t>
      </w:r>
      <w:r w:rsidR="00846983">
        <w:t>p</w:t>
      </w:r>
      <w:r>
        <w:t>rovide</w:t>
      </w:r>
      <w:r w:rsidR="00846983">
        <w:t>s</w:t>
      </w:r>
      <w:r>
        <w:t xml:space="preserve"> that where multiple persons are liable to pay the fee, then the fee rate charged </w:t>
      </w:r>
      <w:r w:rsidR="00846983">
        <w:t>is</w:t>
      </w:r>
      <w:r>
        <w:t xml:space="preserve"> the highest rate.  For example, if a</w:t>
      </w:r>
      <w:r w:rsidR="00F03B93">
        <w:t xml:space="preserve">n application for final orders in parenting proceedings (fee item 4 in Schedule 1) is jointly commenced by a parent and a grandparent and the parent is eligible for the fee exemption under section 2.04 but the grandparent is not, the fee </w:t>
      </w:r>
      <w:r>
        <w:t xml:space="preserve">charged is the </w:t>
      </w:r>
      <w:r w:rsidR="00F03B93">
        <w:t>full fee in Schedule 1</w:t>
      </w:r>
      <w:r>
        <w:t xml:space="preserve">.  </w:t>
      </w:r>
      <w:r w:rsidR="00F03B93">
        <w:t xml:space="preserve">Where a joint application for divorce is filed and one party is eligible for the reduced fee prescribed in 2.06 and the other party is not, then the fee payable is the general fee </w:t>
      </w:r>
      <w:r w:rsidR="00E261F3">
        <w:t xml:space="preserve">set out in the relevant item </w:t>
      </w:r>
      <w:r w:rsidR="00F03B93">
        <w:t>in Schedule 1.</w:t>
      </w:r>
    </w:p>
    <w:p w:rsidR="009A77A3" w:rsidRDefault="009A77A3" w:rsidP="009A77A3">
      <w:pPr>
        <w:spacing w:before="0"/>
        <w:ind w:right="91"/>
        <w:rPr>
          <w:b/>
        </w:rPr>
      </w:pPr>
    </w:p>
    <w:p w:rsidR="00295B94" w:rsidRPr="00295B94" w:rsidRDefault="00295B94" w:rsidP="009A77A3">
      <w:pPr>
        <w:spacing w:before="0"/>
        <w:ind w:right="91"/>
        <w:rPr>
          <w:u w:val="single"/>
        </w:rPr>
      </w:pPr>
      <w:r w:rsidRPr="00295B94">
        <w:rPr>
          <w:u w:val="single"/>
        </w:rPr>
        <w:t>Division</w:t>
      </w:r>
      <w:r>
        <w:rPr>
          <w:u w:val="single"/>
        </w:rPr>
        <w:t xml:space="preserve"> 2.2 – Liability to pay fee </w:t>
      </w:r>
    </w:p>
    <w:p w:rsidR="00295B94" w:rsidRDefault="00295B94" w:rsidP="009A77A3">
      <w:pPr>
        <w:spacing w:before="0"/>
        <w:ind w:right="91"/>
        <w:rPr>
          <w:b/>
        </w:rPr>
      </w:pPr>
    </w:p>
    <w:p w:rsidR="00D34A29" w:rsidRPr="004456B4" w:rsidRDefault="00D34A29" w:rsidP="009A77A3">
      <w:pPr>
        <w:spacing w:before="0"/>
        <w:ind w:right="91"/>
        <w:rPr>
          <w:b/>
        </w:rPr>
      </w:pPr>
      <w:r w:rsidRPr="004456B4">
        <w:rPr>
          <w:b/>
        </w:rPr>
        <w:t xml:space="preserve">Section 2.03 </w:t>
      </w:r>
      <w:r w:rsidR="00295B94">
        <w:rPr>
          <w:b/>
        </w:rPr>
        <w:t>–</w:t>
      </w:r>
      <w:r w:rsidRPr="004456B4">
        <w:rPr>
          <w:b/>
        </w:rPr>
        <w:t xml:space="preserve"> Persons</w:t>
      </w:r>
      <w:r w:rsidR="00295B94">
        <w:rPr>
          <w:b/>
        </w:rPr>
        <w:t xml:space="preserve"> </w:t>
      </w:r>
      <w:r w:rsidRPr="004456B4">
        <w:rPr>
          <w:b/>
        </w:rPr>
        <w:t>liable to pay fee</w:t>
      </w:r>
    </w:p>
    <w:p w:rsidR="00DD389D" w:rsidRDefault="00DD389D" w:rsidP="009A77A3">
      <w:pPr>
        <w:spacing w:before="0"/>
        <w:ind w:right="91"/>
        <w:rPr>
          <w:b/>
        </w:rPr>
      </w:pPr>
    </w:p>
    <w:p w:rsidR="0076663A" w:rsidRPr="0076663A" w:rsidRDefault="0076663A" w:rsidP="009A77A3">
      <w:pPr>
        <w:spacing w:before="0"/>
        <w:ind w:right="91"/>
      </w:pPr>
      <w:r>
        <w:t>This section specif</w:t>
      </w:r>
      <w:r w:rsidR="00846983">
        <w:t>ies</w:t>
      </w:r>
      <w:r>
        <w:t xml:space="preserve"> the persons who are liable to pay a fee set out in Schedule 1.</w:t>
      </w:r>
    </w:p>
    <w:p w:rsidR="0076663A" w:rsidRDefault="0076663A" w:rsidP="00DA6181">
      <w:pPr>
        <w:spacing w:before="0"/>
        <w:ind w:right="91"/>
      </w:pPr>
    </w:p>
    <w:p w:rsidR="00DA6181" w:rsidRPr="00DA6181" w:rsidRDefault="00014F29" w:rsidP="00DA6181">
      <w:pPr>
        <w:spacing w:before="0"/>
        <w:ind w:right="91"/>
      </w:pPr>
      <w:r>
        <w:t>Subsection 2.03(1</w:t>
      </w:r>
      <w:r w:rsidR="00DA6181" w:rsidRPr="00DA6181">
        <w:t>) provide</w:t>
      </w:r>
      <w:r w:rsidR="00846983">
        <w:t>s</w:t>
      </w:r>
      <w:r w:rsidR="00DA6181" w:rsidRPr="00DA6181">
        <w:t xml:space="preserve"> that </w:t>
      </w:r>
      <w:r w:rsidR="00AA604D">
        <w:t>a</w:t>
      </w:r>
      <w:r>
        <w:t xml:space="preserve"> fee </w:t>
      </w:r>
      <w:r w:rsidR="00AA604D">
        <w:t xml:space="preserve">is payable by the person who commences the proceeding, with the exceptions that the fees for filing a response to an application or an interim order application are payable by the person for whom the application is filed, and the fee for issuing a subpoena is payable by the person who requests that the subpoena be issued.  </w:t>
      </w:r>
      <w:r w:rsidR="00DA6181" w:rsidRPr="00DA6181">
        <w:t xml:space="preserve">  </w:t>
      </w:r>
    </w:p>
    <w:p w:rsidR="00AA604D" w:rsidRDefault="00AA604D" w:rsidP="009A77A3">
      <w:pPr>
        <w:spacing w:before="0"/>
        <w:ind w:right="91"/>
      </w:pPr>
    </w:p>
    <w:p w:rsidR="005B4C33" w:rsidRDefault="00AA604D" w:rsidP="009A77A3">
      <w:pPr>
        <w:spacing w:before="0"/>
        <w:ind w:right="91"/>
      </w:pPr>
      <w:r>
        <w:t>Subsection 2.03(2)</w:t>
      </w:r>
      <w:r w:rsidR="00B86C98">
        <w:t xml:space="preserve"> allow</w:t>
      </w:r>
      <w:r w:rsidR="00846983">
        <w:t>s</w:t>
      </w:r>
      <w:r w:rsidR="00B86C98">
        <w:t xml:space="preserve"> </w:t>
      </w:r>
      <w:r>
        <w:t>any</w:t>
      </w:r>
      <w:r w:rsidR="00B86C98">
        <w:t xml:space="preserve"> </w:t>
      </w:r>
      <w:r w:rsidR="005B4C33">
        <w:t xml:space="preserve">party to the proceeding </w:t>
      </w:r>
      <w:r w:rsidR="00B86C98">
        <w:t xml:space="preserve">to pay </w:t>
      </w:r>
      <w:r>
        <w:t xml:space="preserve">a fee </w:t>
      </w:r>
      <w:r w:rsidR="00B86C98">
        <w:t>on their own initiative</w:t>
      </w:r>
      <w:r>
        <w:t>, whether or not the fee is payable by them</w:t>
      </w:r>
      <w:r w:rsidR="00B86C98">
        <w:t xml:space="preserve">.  </w:t>
      </w:r>
      <w:r>
        <w:t>The provision also enable</w:t>
      </w:r>
      <w:r w:rsidR="00846983">
        <w:t>s</w:t>
      </w:r>
      <w:r>
        <w:t xml:space="preserve"> </w:t>
      </w:r>
      <w:r w:rsidR="005B4C33">
        <w:t xml:space="preserve">a </w:t>
      </w:r>
      <w:r w:rsidR="00CE4756">
        <w:t>j</w:t>
      </w:r>
      <w:r w:rsidR="005B4C33">
        <w:t xml:space="preserve">udge, a </w:t>
      </w:r>
      <w:r w:rsidR="00CE4756">
        <w:t>f</w:t>
      </w:r>
      <w:r w:rsidR="005B4C33">
        <w:t xml:space="preserve">ederal </w:t>
      </w:r>
      <w:r w:rsidR="00CE4756">
        <w:t>m</w:t>
      </w:r>
      <w:r w:rsidR="005B4C33">
        <w:t xml:space="preserve">agistrate or a </w:t>
      </w:r>
      <w:r w:rsidR="00CE4756">
        <w:t>r</w:t>
      </w:r>
      <w:r w:rsidR="005B4C33">
        <w:t xml:space="preserve">egistrar </w:t>
      </w:r>
      <w:r>
        <w:t xml:space="preserve">to </w:t>
      </w:r>
      <w:r w:rsidR="005B4C33">
        <w:t xml:space="preserve">order that another party </w:t>
      </w:r>
      <w:r>
        <w:t>must</w:t>
      </w:r>
      <w:r w:rsidR="005B4C33">
        <w:t xml:space="preserve"> pay </w:t>
      </w:r>
      <w:r>
        <w:t xml:space="preserve">a </w:t>
      </w:r>
      <w:r w:rsidR="005B4C33">
        <w:t xml:space="preserve">fee </w:t>
      </w:r>
      <w:r>
        <w:t xml:space="preserve">(or part of a fee) </w:t>
      </w:r>
      <w:r w:rsidR="005B4C33">
        <w:t xml:space="preserve">instead of the person </w:t>
      </w:r>
      <w:r>
        <w:t>by whom the fee is payable</w:t>
      </w:r>
      <w:r w:rsidR="005B4C33">
        <w:t>.</w:t>
      </w:r>
    </w:p>
    <w:p w:rsidR="00295B94" w:rsidRDefault="00295B94" w:rsidP="009A77A3">
      <w:pPr>
        <w:spacing w:before="0"/>
        <w:ind w:right="91"/>
      </w:pPr>
    </w:p>
    <w:p w:rsidR="00295B94" w:rsidRPr="00295B94" w:rsidRDefault="00295B94" w:rsidP="009A77A3">
      <w:pPr>
        <w:spacing w:before="0"/>
        <w:ind w:right="91"/>
        <w:rPr>
          <w:u w:val="single"/>
        </w:rPr>
      </w:pPr>
      <w:r>
        <w:rPr>
          <w:u w:val="single"/>
        </w:rPr>
        <w:t xml:space="preserve">Division 2.3 – Exemptions from liability to pay fee </w:t>
      </w:r>
    </w:p>
    <w:p w:rsidR="00DD389D" w:rsidRDefault="00DD389D" w:rsidP="009A77A3">
      <w:pPr>
        <w:spacing w:before="0"/>
        <w:ind w:right="91"/>
        <w:rPr>
          <w:b/>
        </w:rPr>
      </w:pPr>
    </w:p>
    <w:p w:rsidR="00D34A29" w:rsidRDefault="00D34A29" w:rsidP="009A77A3">
      <w:pPr>
        <w:spacing w:before="0"/>
        <w:ind w:right="91"/>
        <w:rPr>
          <w:b/>
        </w:rPr>
      </w:pPr>
      <w:r w:rsidRPr="004456B4">
        <w:rPr>
          <w:b/>
        </w:rPr>
        <w:t>Section 2.04 – Persons exempt from paying fee – general</w:t>
      </w:r>
    </w:p>
    <w:p w:rsidR="00F8042C" w:rsidRDefault="00F8042C" w:rsidP="009A77A3">
      <w:pPr>
        <w:spacing w:before="0"/>
        <w:ind w:right="91"/>
        <w:rPr>
          <w:b/>
        </w:rPr>
      </w:pPr>
    </w:p>
    <w:p w:rsidR="007E710C" w:rsidRDefault="007E710C" w:rsidP="007E710C">
      <w:pPr>
        <w:spacing w:before="0"/>
        <w:ind w:right="91"/>
      </w:pPr>
      <w:r>
        <w:lastRenderedPageBreak/>
        <w:t xml:space="preserve">This section </w:t>
      </w:r>
      <w:r w:rsidR="00782927">
        <w:t>p</w:t>
      </w:r>
      <w:r>
        <w:t>rovide</w:t>
      </w:r>
      <w:r w:rsidR="00782927">
        <w:t>s</w:t>
      </w:r>
      <w:r>
        <w:t xml:space="preserve"> a fee exemption </w:t>
      </w:r>
      <w:r w:rsidR="00C25A53">
        <w:t xml:space="preserve">(except for </w:t>
      </w:r>
      <w:r w:rsidR="00857845">
        <w:t>an</w:t>
      </w:r>
      <w:r w:rsidR="00D450A3">
        <w:t xml:space="preserve"> </w:t>
      </w:r>
      <w:r w:rsidR="00C25A53">
        <w:t xml:space="preserve">application for </w:t>
      </w:r>
      <w:r w:rsidR="00FB1952">
        <w:t xml:space="preserve">a divorce </w:t>
      </w:r>
      <w:r w:rsidR="00FB1952" w:rsidRPr="009B726B">
        <w:t xml:space="preserve">order or decree of nullity of marriage </w:t>
      </w:r>
      <w:r w:rsidR="00C25A53" w:rsidRPr="009B726B">
        <w:t>prescribed</w:t>
      </w:r>
      <w:r w:rsidR="00C25A53">
        <w:t xml:space="preserve"> by fee items 1 and 2) </w:t>
      </w:r>
      <w:r>
        <w:t xml:space="preserve">for the same categories of persons who </w:t>
      </w:r>
      <w:r w:rsidR="00782927">
        <w:t>paid</w:t>
      </w:r>
      <w:r>
        <w:t xml:space="preserve"> the reduced fee under regulation 11A of the Family Law Regulations and regulation 8D of the F</w:t>
      </w:r>
      <w:r w:rsidR="00CE4756">
        <w:t xml:space="preserve">ederal </w:t>
      </w:r>
      <w:r>
        <w:t>M</w:t>
      </w:r>
      <w:r w:rsidR="00CE4756">
        <w:t>agistrates</w:t>
      </w:r>
      <w:r>
        <w:t> Regulations.  These categories of persons are:</w:t>
      </w:r>
    </w:p>
    <w:p w:rsidR="007E710C" w:rsidRDefault="007E710C" w:rsidP="007E710C">
      <w:pPr>
        <w:numPr>
          <w:ilvl w:val="0"/>
          <w:numId w:val="12"/>
        </w:numPr>
        <w:ind w:left="714" w:right="91" w:hanging="357"/>
      </w:pPr>
      <w:r>
        <w:t xml:space="preserve">recipients of legal aid under a scheme or service approved by the </w:t>
      </w:r>
      <w:proofErr w:type="spellStart"/>
      <w:r>
        <w:t>Attorney</w:t>
      </w:r>
      <w:r>
        <w:noBreakHyphen/>
        <w:t>General</w:t>
      </w:r>
      <w:proofErr w:type="spellEnd"/>
      <w:r>
        <w:t xml:space="preserve"> </w:t>
      </w:r>
    </w:p>
    <w:p w:rsidR="007E710C" w:rsidRDefault="007E710C" w:rsidP="007E710C">
      <w:pPr>
        <w:numPr>
          <w:ilvl w:val="0"/>
          <w:numId w:val="12"/>
        </w:numPr>
        <w:ind w:left="714" w:right="91" w:hanging="357"/>
      </w:pPr>
      <w:r>
        <w:t xml:space="preserve">persons holding certain concession cards </w:t>
      </w:r>
    </w:p>
    <w:p w:rsidR="007E710C" w:rsidRDefault="007E710C" w:rsidP="007E710C">
      <w:pPr>
        <w:numPr>
          <w:ilvl w:val="0"/>
          <w:numId w:val="12"/>
        </w:numPr>
        <w:ind w:left="714" w:right="91" w:hanging="357"/>
      </w:pPr>
      <w:r>
        <w:t>persons serving a term of imprisonment or otherwise detained</w:t>
      </w:r>
      <w:r w:rsidR="00AA604D">
        <w:t xml:space="preserve"> in a public institution</w:t>
      </w:r>
    </w:p>
    <w:p w:rsidR="007E710C" w:rsidRDefault="007E710C" w:rsidP="007E710C">
      <w:pPr>
        <w:numPr>
          <w:ilvl w:val="0"/>
          <w:numId w:val="12"/>
        </w:numPr>
        <w:ind w:left="714" w:right="91" w:hanging="357"/>
      </w:pPr>
      <w:r>
        <w:t>persons aged less than 18 years, and</w:t>
      </w:r>
    </w:p>
    <w:p w:rsidR="007E710C" w:rsidRDefault="007E710C" w:rsidP="007E710C">
      <w:pPr>
        <w:numPr>
          <w:ilvl w:val="0"/>
          <w:numId w:val="12"/>
        </w:numPr>
        <w:ind w:left="714" w:right="91" w:hanging="357"/>
      </w:pPr>
      <w:r>
        <w:t xml:space="preserve">persons receiving youth allowance, </w:t>
      </w:r>
      <w:proofErr w:type="spellStart"/>
      <w:r>
        <w:t>Austudy</w:t>
      </w:r>
      <w:proofErr w:type="spellEnd"/>
      <w:r>
        <w:t xml:space="preserve"> payments or benefits under the ABSTUDY scheme.</w:t>
      </w:r>
    </w:p>
    <w:p w:rsidR="007E710C" w:rsidRDefault="007E710C" w:rsidP="007E710C">
      <w:pPr>
        <w:spacing w:before="0"/>
        <w:ind w:right="91"/>
      </w:pPr>
    </w:p>
    <w:p w:rsidR="00FB1952" w:rsidRDefault="007E710C" w:rsidP="007E710C">
      <w:pPr>
        <w:spacing w:before="0"/>
        <w:ind w:right="91"/>
      </w:pPr>
      <w:r>
        <w:t xml:space="preserve">The </w:t>
      </w:r>
      <w:r>
        <w:rPr>
          <w:i/>
        </w:rPr>
        <w:t>Family Law Amendment Regulations 2010 (No</w:t>
      </w:r>
      <w:r w:rsidR="00D450A3">
        <w:rPr>
          <w:i/>
        </w:rPr>
        <w:t>.</w:t>
      </w:r>
      <w:r>
        <w:rPr>
          <w:i/>
        </w:rPr>
        <w:t xml:space="preserve"> 3</w:t>
      </w:r>
      <w:r w:rsidRPr="0079121E">
        <w:rPr>
          <w:i/>
        </w:rPr>
        <w:t>)</w:t>
      </w:r>
      <w:r>
        <w:rPr>
          <w:i/>
        </w:rPr>
        <w:t xml:space="preserve"> </w:t>
      </w:r>
      <w:r>
        <w:t xml:space="preserve">and the </w:t>
      </w:r>
      <w:r w:rsidRPr="00830E1B">
        <w:rPr>
          <w:i/>
        </w:rPr>
        <w:t>Federal Magistrates Amendment Regulations 2010 (No</w:t>
      </w:r>
      <w:r w:rsidR="00D450A3">
        <w:rPr>
          <w:i/>
        </w:rPr>
        <w:t>.</w:t>
      </w:r>
      <w:r w:rsidRPr="00830E1B">
        <w:rPr>
          <w:i/>
        </w:rPr>
        <w:t xml:space="preserve"> 2)</w:t>
      </w:r>
      <w:r>
        <w:t xml:space="preserve">, which commenced on 1 November 2010, introduced a reduced fee of $60 for persons in the above categories in family law proceedings.  Prior to 1 November 2010, persons in those categories did not pay court fees prescribed in </w:t>
      </w:r>
      <w:r w:rsidR="00CE4756">
        <w:t xml:space="preserve">the </w:t>
      </w:r>
      <w:r>
        <w:t>regulations.  This section effectively revert</w:t>
      </w:r>
      <w:r w:rsidR="00782927">
        <w:t>s</w:t>
      </w:r>
      <w:r>
        <w:t xml:space="preserve"> to the arrangements existing prior to introduction of the reduced fee</w:t>
      </w:r>
      <w:r w:rsidR="00FB1952">
        <w:t xml:space="preserve">, except in relation to divorce </w:t>
      </w:r>
      <w:r w:rsidR="006C0527">
        <w:t xml:space="preserve">or nullity of marriage </w:t>
      </w:r>
      <w:r w:rsidR="00FB1952">
        <w:t>orders</w:t>
      </w:r>
      <w:r>
        <w:t xml:space="preserve">.  </w:t>
      </w:r>
      <w:r w:rsidR="006C0527">
        <w:t>Fees for a divorce or nullity of marriage</w:t>
      </w:r>
      <w:r w:rsidR="00FB1952">
        <w:t xml:space="preserve"> application </w:t>
      </w:r>
      <w:r w:rsidR="00782927">
        <w:t>are</w:t>
      </w:r>
      <w:r w:rsidR="00FB1952">
        <w:t xml:space="preserve"> covered by section </w:t>
      </w:r>
      <w:r w:rsidR="009B726B">
        <w:t xml:space="preserve">2.06 </w:t>
      </w:r>
      <w:r w:rsidR="00CE4756">
        <w:t xml:space="preserve">of the Regulation </w:t>
      </w:r>
      <w:r w:rsidR="009B726B">
        <w:t>for persons in the above categories.</w:t>
      </w:r>
    </w:p>
    <w:p w:rsidR="00EE148F" w:rsidRDefault="00EE148F" w:rsidP="00AE0F6F">
      <w:pPr>
        <w:spacing w:before="0"/>
        <w:ind w:right="91"/>
      </w:pPr>
    </w:p>
    <w:p w:rsidR="00295B94" w:rsidRPr="00295B94" w:rsidRDefault="00AE0F6F" w:rsidP="00AE0F6F">
      <w:pPr>
        <w:spacing w:before="0"/>
        <w:ind w:right="91"/>
      </w:pPr>
      <w:r>
        <w:t xml:space="preserve">This provision </w:t>
      </w:r>
      <w:r w:rsidR="006C0527">
        <w:t>extends</w:t>
      </w:r>
      <w:r>
        <w:t xml:space="preserve"> to </w:t>
      </w:r>
      <w:r w:rsidR="007E710C">
        <w:t xml:space="preserve">exempt </w:t>
      </w:r>
      <w:r>
        <w:t xml:space="preserve">the fee for filing a consent order </w:t>
      </w:r>
      <w:r w:rsidR="007E710C">
        <w:t>(fee item 6 of Schedule 1</w:t>
      </w:r>
      <w:r w:rsidR="00CE4756">
        <w:t xml:space="preserve"> </w:t>
      </w:r>
      <w:r w:rsidR="0063621F">
        <w:t>to</w:t>
      </w:r>
      <w:r w:rsidR="00CE4756">
        <w:t xml:space="preserve"> the Regulation</w:t>
      </w:r>
      <w:r w:rsidR="006C0527">
        <w:t xml:space="preserve">) where a person is eligible </w:t>
      </w:r>
      <w:r w:rsidR="007E710C">
        <w:t>under the section</w:t>
      </w:r>
      <w:r>
        <w:t>.  Under the Family Law Regulations, a consent order fee could not be reduced to $60.</w:t>
      </w:r>
    </w:p>
    <w:p w:rsidR="00D34A29" w:rsidRPr="004456B4" w:rsidRDefault="00D34A29" w:rsidP="009A77A3">
      <w:pPr>
        <w:spacing w:before="0"/>
        <w:ind w:right="91"/>
        <w:rPr>
          <w:b/>
        </w:rPr>
      </w:pPr>
    </w:p>
    <w:p w:rsidR="00D34A29" w:rsidRDefault="00D34A29" w:rsidP="009A77A3">
      <w:pPr>
        <w:spacing w:before="0"/>
        <w:ind w:right="91"/>
        <w:rPr>
          <w:b/>
        </w:rPr>
      </w:pPr>
      <w:r w:rsidRPr="004456B4">
        <w:rPr>
          <w:b/>
        </w:rPr>
        <w:t>Section 2.05 – Persons exempt from paying fee – financial hardship</w:t>
      </w:r>
    </w:p>
    <w:p w:rsidR="00F8042C" w:rsidRDefault="00F8042C" w:rsidP="009A77A3">
      <w:pPr>
        <w:spacing w:before="0"/>
        <w:ind w:right="91"/>
        <w:rPr>
          <w:b/>
        </w:rPr>
      </w:pPr>
    </w:p>
    <w:p w:rsidR="00071387" w:rsidRDefault="002403DC" w:rsidP="00071387">
      <w:pPr>
        <w:spacing w:before="0"/>
        <w:ind w:right="91"/>
      </w:pPr>
      <w:r w:rsidRPr="002403DC">
        <w:t>This section provide</w:t>
      </w:r>
      <w:r w:rsidR="006C0527">
        <w:t>s</w:t>
      </w:r>
      <w:r w:rsidRPr="002403DC">
        <w:t xml:space="preserve"> a fee exemption </w:t>
      </w:r>
      <w:r w:rsidR="009B726B">
        <w:t xml:space="preserve">(except for an application for a divorce </w:t>
      </w:r>
      <w:r w:rsidR="009B726B" w:rsidRPr="009B726B">
        <w:t>order or decree of nullity of marriage prescribed</w:t>
      </w:r>
      <w:r w:rsidR="009B726B">
        <w:t xml:space="preserve"> by fee items 1 and 2</w:t>
      </w:r>
      <w:r w:rsidR="00CE4756">
        <w:t xml:space="preserve"> of Schedule 1 </w:t>
      </w:r>
      <w:r w:rsidR="0063621F">
        <w:t>to</w:t>
      </w:r>
      <w:r w:rsidR="00CE4756">
        <w:t xml:space="preserve"> the Regulation</w:t>
      </w:r>
      <w:r w:rsidR="009B726B">
        <w:t xml:space="preserve">) </w:t>
      </w:r>
      <w:r w:rsidRPr="002403DC">
        <w:t xml:space="preserve">where the </w:t>
      </w:r>
      <w:r w:rsidR="00CE4756">
        <w:t>r</w:t>
      </w:r>
      <w:r w:rsidRPr="002403DC">
        <w:t xml:space="preserve">egistrar or authorised officer is of the opinion that payment of the fee would cause financial hardship to an individual.  In considering whether payment of a fee would have that effect, the </w:t>
      </w:r>
      <w:r w:rsidR="00CE4756">
        <w:t>r</w:t>
      </w:r>
      <w:r w:rsidRPr="002403DC">
        <w:t xml:space="preserve">egistrar or authorised officer </w:t>
      </w:r>
      <w:r w:rsidR="006C0527">
        <w:t>is</w:t>
      </w:r>
      <w:r w:rsidRPr="002403DC">
        <w:t xml:space="preserve"> required to consider the individual’s income, day-to-day living expenses, liabilities and assets.  These considerations are the same as those considered in exercising the power under regulation 11B</w:t>
      </w:r>
      <w:r w:rsidR="007A6120">
        <w:t>(1)</w:t>
      </w:r>
      <w:r w:rsidRPr="002403DC">
        <w:t xml:space="preserve"> of the </w:t>
      </w:r>
      <w:r w:rsidR="00CE4756">
        <w:t>Family </w:t>
      </w:r>
      <w:r w:rsidR="00503818">
        <w:t xml:space="preserve">Law Regulations </w:t>
      </w:r>
      <w:r w:rsidRPr="002403DC">
        <w:t>and regulation 9</w:t>
      </w:r>
      <w:r w:rsidR="007A6120">
        <w:t>(1)</w:t>
      </w:r>
      <w:r w:rsidRPr="002403DC">
        <w:t xml:space="preserve"> of the </w:t>
      </w:r>
      <w:r w:rsidR="00CE4756">
        <w:t xml:space="preserve">Federal Magistrates </w:t>
      </w:r>
      <w:r w:rsidRPr="002403DC">
        <w:t xml:space="preserve">Regulations to reduce court fees on the basis of </w:t>
      </w:r>
      <w:r w:rsidR="00503818">
        <w:t xml:space="preserve">financial </w:t>
      </w:r>
      <w:r w:rsidRPr="002403DC">
        <w:t>hardship.</w:t>
      </w:r>
    </w:p>
    <w:p w:rsidR="009B726B" w:rsidRDefault="009B726B" w:rsidP="00071387">
      <w:pPr>
        <w:spacing w:before="0"/>
        <w:ind w:right="91"/>
      </w:pPr>
    </w:p>
    <w:p w:rsidR="00503818" w:rsidRDefault="00503818" w:rsidP="00503818">
      <w:pPr>
        <w:spacing w:before="0"/>
        <w:ind w:right="91"/>
      </w:pPr>
      <w:r>
        <w:t xml:space="preserve">This provision </w:t>
      </w:r>
      <w:r w:rsidR="006C0527">
        <w:t>extends</w:t>
      </w:r>
      <w:r>
        <w:t xml:space="preserve"> to exempt the fee for filing a consent order (fee item 6 of Schedule 1) where a person is eligible under the section.  Under the Family Law Regulations, a consent order fee could not be reduced to $60.</w:t>
      </w:r>
    </w:p>
    <w:p w:rsidR="009B726B" w:rsidRDefault="009B726B" w:rsidP="00503818">
      <w:pPr>
        <w:spacing w:before="0"/>
        <w:ind w:right="91"/>
      </w:pPr>
    </w:p>
    <w:p w:rsidR="009B726B" w:rsidRPr="00F8042C" w:rsidRDefault="009B726B" w:rsidP="00503818">
      <w:pPr>
        <w:spacing w:before="0"/>
        <w:ind w:right="91"/>
      </w:pPr>
      <w:r>
        <w:lastRenderedPageBreak/>
        <w:t>Persons who w</w:t>
      </w:r>
      <w:r w:rsidR="006C0527">
        <w:t>ould</w:t>
      </w:r>
      <w:r>
        <w:t xml:space="preserve"> suffer financial hardship if they wer</w:t>
      </w:r>
      <w:r w:rsidR="006C0527">
        <w:t xml:space="preserve">e to pay the general fee for a divorce or nullity of marriage </w:t>
      </w:r>
      <w:r>
        <w:t xml:space="preserve">application (the fee specified in paragraphs (a) of column 3 for fee items 1 and 2 of Schedule 1) </w:t>
      </w:r>
      <w:r w:rsidR="006C0527">
        <w:t>are</w:t>
      </w:r>
      <w:r>
        <w:t xml:space="preserve"> covered by section 2.06.</w:t>
      </w:r>
    </w:p>
    <w:p w:rsidR="00D34A29" w:rsidRPr="004456B4" w:rsidRDefault="00D34A29" w:rsidP="009A77A3">
      <w:pPr>
        <w:spacing w:before="0"/>
        <w:ind w:right="91"/>
        <w:rPr>
          <w:b/>
        </w:rPr>
      </w:pPr>
    </w:p>
    <w:p w:rsidR="00D34A29" w:rsidRDefault="00D34A29" w:rsidP="009A77A3">
      <w:pPr>
        <w:spacing w:before="0"/>
        <w:ind w:right="91"/>
        <w:rPr>
          <w:b/>
        </w:rPr>
      </w:pPr>
      <w:r w:rsidRPr="004456B4">
        <w:rPr>
          <w:b/>
        </w:rPr>
        <w:t>Section 2.0</w:t>
      </w:r>
      <w:r w:rsidR="00FB1952">
        <w:rPr>
          <w:b/>
        </w:rPr>
        <w:t>6</w:t>
      </w:r>
      <w:r w:rsidRPr="004456B4">
        <w:rPr>
          <w:b/>
        </w:rPr>
        <w:t xml:space="preserve"> – </w:t>
      </w:r>
      <w:r w:rsidR="00F8042C">
        <w:rPr>
          <w:b/>
        </w:rPr>
        <w:t>Reduc</w:t>
      </w:r>
      <w:r w:rsidR="00FB40BC">
        <w:rPr>
          <w:b/>
        </w:rPr>
        <w:t>ed</w:t>
      </w:r>
      <w:r w:rsidR="00F8042C">
        <w:rPr>
          <w:b/>
        </w:rPr>
        <w:t xml:space="preserve"> </w:t>
      </w:r>
      <w:r w:rsidR="00FB40BC">
        <w:rPr>
          <w:b/>
        </w:rPr>
        <w:t>fee for</w:t>
      </w:r>
      <w:r w:rsidRPr="004456B4">
        <w:rPr>
          <w:b/>
        </w:rPr>
        <w:t xml:space="preserve"> filing application for divorce </w:t>
      </w:r>
      <w:r w:rsidR="00297B8D">
        <w:rPr>
          <w:b/>
        </w:rPr>
        <w:t xml:space="preserve">or nullity of marriage </w:t>
      </w:r>
      <w:r w:rsidRPr="004456B4">
        <w:rPr>
          <w:b/>
        </w:rPr>
        <w:t>order</w:t>
      </w:r>
    </w:p>
    <w:p w:rsidR="007C237B" w:rsidRPr="00C25A53" w:rsidRDefault="007C237B" w:rsidP="009A77A3">
      <w:pPr>
        <w:spacing w:before="0"/>
        <w:ind w:right="91"/>
      </w:pPr>
    </w:p>
    <w:p w:rsidR="009E7205" w:rsidRPr="00C25A53" w:rsidRDefault="00530693" w:rsidP="009E7205">
      <w:pPr>
        <w:spacing w:before="0"/>
        <w:ind w:right="91"/>
      </w:pPr>
      <w:r>
        <w:t>This section</w:t>
      </w:r>
      <w:r w:rsidR="009E7205">
        <w:t xml:space="preserve"> would provide for circumstances in which the reduced fee for a</w:t>
      </w:r>
      <w:r w:rsidR="00B942BD">
        <w:t xml:space="preserve">n application for </w:t>
      </w:r>
      <w:r w:rsidR="009E7205">
        <w:t xml:space="preserve">divorce </w:t>
      </w:r>
      <w:r w:rsidR="00FB40BC">
        <w:t xml:space="preserve">or nullity of marriage </w:t>
      </w:r>
      <w:r w:rsidR="009E7205">
        <w:t>would be payable</w:t>
      </w:r>
      <w:r w:rsidR="0095394F">
        <w:t>.</w:t>
      </w:r>
      <w:r w:rsidR="009E7205">
        <w:t xml:space="preserve"> </w:t>
      </w:r>
      <w:r w:rsidR="0095394F">
        <w:t xml:space="preserve"> Column 3 of fee items 1 and 2 of Schedule 1 prescribe a ‘general fee’ (paragraphs (a) of column 3) and a ‘reduced fee’ (</w:t>
      </w:r>
      <w:r w:rsidR="006C0527">
        <w:t>paragraph (b) of column 3) for each fee item</w:t>
      </w:r>
      <w:r w:rsidR="0095394F">
        <w:t xml:space="preserve">.  </w:t>
      </w:r>
      <w:r>
        <w:t>Both reduced fees are one-third of the general fee, rounded down to the nearest $5</w:t>
      </w:r>
      <w:r w:rsidR="009E7205">
        <w:t>.  The reduced fee is only payable by persons who are eligible under this section.  In all other cases, they pay the general fee for an application for divorce</w:t>
      </w:r>
      <w:r w:rsidR="00FB40BC">
        <w:t xml:space="preserve"> or nullity </w:t>
      </w:r>
      <w:r w:rsidR="0076663A">
        <w:t>o</w:t>
      </w:r>
      <w:r w:rsidR="00FB40BC">
        <w:t>f marriage</w:t>
      </w:r>
      <w:r w:rsidR="009E7205">
        <w:t>.</w:t>
      </w:r>
    </w:p>
    <w:p w:rsidR="009E7205" w:rsidRDefault="009E7205" w:rsidP="00C25A53">
      <w:pPr>
        <w:spacing w:before="0"/>
        <w:ind w:right="91"/>
      </w:pPr>
    </w:p>
    <w:p w:rsidR="009E7205" w:rsidRDefault="009E7205" w:rsidP="00C25A53">
      <w:pPr>
        <w:spacing w:before="0"/>
        <w:ind w:right="91"/>
      </w:pPr>
      <w:r>
        <w:t xml:space="preserve">Subsection 2.06(1) </w:t>
      </w:r>
      <w:r w:rsidRPr="00C25A53">
        <w:t>provide</w:t>
      </w:r>
      <w:r w:rsidR="006C0527">
        <w:t>s</w:t>
      </w:r>
      <w:r w:rsidRPr="00C25A53">
        <w:t xml:space="preserve"> that </w:t>
      </w:r>
      <w:r>
        <w:t xml:space="preserve">if a person is exempt from paying fees set out in Schedule 1 because of the operation of section 2.04 of the Regulation (namely, they fall into a specified category of persons such as recipients of legal aid), then the person </w:t>
      </w:r>
      <w:r w:rsidR="00530693">
        <w:t>may</w:t>
      </w:r>
      <w:r>
        <w:t xml:space="preserve"> </w:t>
      </w:r>
      <w:r w:rsidR="00B942BD">
        <w:t xml:space="preserve">pay </w:t>
      </w:r>
      <w:r w:rsidRPr="00C25A53">
        <w:t xml:space="preserve">the </w:t>
      </w:r>
      <w:r>
        <w:t xml:space="preserve">reduced </w:t>
      </w:r>
      <w:r w:rsidRPr="00C25A53">
        <w:t>fee</w:t>
      </w:r>
      <w:r>
        <w:t xml:space="preserve"> </w:t>
      </w:r>
      <w:r w:rsidR="00B942BD">
        <w:t xml:space="preserve">for a divorce </w:t>
      </w:r>
      <w:r w:rsidR="0076663A">
        <w:t xml:space="preserve">or nullity of marriage </w:t>
      </w:r>
      <w:r w:rsidR="00B942BD">
        <w:t>application.</w:t>
      </w:r>
    </w:p>
    <w:p w:rsidR="009E7205" w:rsidRDefault="009E7205" w:rsidP="00C25A53">
      <w:pPr>
        <w:spacing w:before="0"/>
        <w:ind w:right="91"/>
      </w:pPr>
    </w:p>
    <w:p w:rsidR="007C237B" w:rsidRDefault="009E7205" w:rsidP="00C25A53">
      <w:pPr>
        <w:spacing w:before="0"/>
        <w:ind w:right="91"/>
      </w:pPr>
      <w:r>
        <w:t xml:space="preserve">Subsection 2.06(2) </w:t>
      </w:r>
      <w:r w:rsidR="006C0527">
        <w:t>e</w:t>
      </w:r>
      <w:r w:rsidR="00530693">
        <w:t>nable</w:t>
      </w:r>
      <w:r w:rsidR="006C0527">
        <w:t>s</w:t>
      </w:r>
      <w:r w:rsidR="00CE4756">
        <w:t xml:space="preserve"> a r</w:t>
      </w:r>
      <w:r w:rsidR="00C25A53" w:rsidRPr="00C25A53">
        <w:t xml:space="preserve">egistrar </w:t>
      </w:r>
      <w:r w:rsidR="00CE4756">
        <w:t xml:space="preserve">or an authorised officer </w:t>
      </w:r>
      <w:r w:rsidR="00530693">
        <w:t>to determine</w:t>
      </w:r>
      <w:r w:rsidR="00C25A53" w:rsidRPr="00C25A53">
        <w:t xml:space="preserve"> that a person </w:t>
      </w:r>
      <w:r w:rsidR="00530693">
        <w:t>may</w:t>
      </w:r>
      <w:r w:rsidR="00C25A53" w:rsidRPr="00C25A53">
        <w:t xml:space="preserve"> pay the </w:t>
      </w:r>
      <w:r w:rsidR="009B726B">
        <w:t xml:space="preserve">reduced </w:t>
      </w:r>
      <w:r w:rsidR="00C25A53" w:rsidRPr="00C25A53">
        <w:t>fee</w:t>
      </w:r>
      <w:r w:rsidR="00B942BD">
        <w:t xml:space="preserve"> </w:t>
      </w:r>
      <w:r w:rsidR="00C25A53" w:rsidRPr="00C25A53">
        <w:t>if payment of the fee would cause financial hardship to the person after considering their income, day-to-day living expenses</w:t>
      </w:r>
      <w:r w:rsidR="00D450A3">
        <w:t>,</w:t>
      </w:r>
      <w:r w:rsidR="00C25A53" w:rsidRPr="00C25A53">
        <w:t xml:space="preserve"> liabilities and assets.</w:t>
      </w:r>
      <w:r w:rsidR="00B942BD">
        <w:t xml:space="preserve">  </w:t>
      </w:r>
      <w:r w:rsidR="00C25A53" w:rsidRPr="00C25A53">
        <w:t xml:space="preserve">These considerations </w:t>
      </w:r>
      <w:r w:rsidR="00F66E18">
        <w:t>are</w:t>
      </w:r>
      <w:r w:rsidR="00C25A53" w:rsidRPr="00C25A53">
        <w:t xml:space="preserve"> the same as </w:t>
      </w:r>
      <w:r w:rsidR="00B942BD">
        <w:t>those prescribed in section 2.05.</w:t>
      </w:r>
      <w:r w:rsidR="00C25A53" w:rsidRPr="00C25A53">
        <w:t xml:space="preserve">   </w:t>
      </w:r>
    </w:p>
    <w:p w:rsidR="00EE148F" w:rsidRDefault="00EE148F" w:rsidP="00C25A53">
      <w:pPr>
        <w:spacing w:before="0"/>
        <w:ind w:right="91"/>
        <w:rPr>
          <w:u w:val="single"/>
        </w:rPr>
      </w:pPr>
    </w:p>
    <w:p w:rsidR="00295B94" w:rsidRPr="00295B94" w:rsidRDefault="00295B94" w:rsidP="00C25A53">
      <w:pPr>
        <w:spacing w:before="0"/>
        <w:ind w:right="91"/>
        <w:rPr>
          <w:u w:val="single"/>
        </w:rPr>
      </w:pPr>
      <w:r w:rsidRPr="00295B94">
        <w:rPr>
          <w:u w:val="single"/>
        </w:rPr>
        <w:t xml:space="preserve">Division 2.4 – When fee is not payable </w:t>
      </w:r>
    </w:p>
    <w:p w:rsidR="003A617F" w:rsidRPr="004456B4" w:rsidRDefault="003A617F" w:rsidP="009A77A3">
      <w:pPr>
        <w:spacing w:before="0"/>
        <w:ind w:right="91"/>
        <w:rPr>
          <w:u w:val="single"/>
        </w:rPr>
      </w:pPr>
    </w:p>
    <w:p w:rsidR="003A617F" w:rsidRPr="004456B4" w:rsidRDefault="00FB1952" w:rsidP="009A77A3">
      <w:pPr>
        <w:spacing w:before="0"/>
        <w:ind w:right="91"/>
        <w:rPr>
          <w:b/>
        </w:rPr>
      </w:pPr>
      <w:r>
        <w:rPr>
          <w:b/>
        </w:rPr>
        <w:t>Section 2.07</w:t>
      </w:r>
      <w:r w:rsidR="003A617F" w:rsidRPr="004456B4">
        <w:rPr>
          <w:b/>
        </w:rPr>
        <w:t xml:space="preserve"> – Fee not payable by liable person if already paid</w:t>
      </w:r>
    </w:p>
    <w:p w:rsidR="003A617F" w:rsidRDefault="003A617F" w:rsidP="009A77A3">
      <w:pPr>
        <w:spacing w:before="0"/>
        <w:ind w:right="91"/>
        <w:rPr>
          <w:b/>
        </w:rPr>
      </w:pPr>
    </w:p>
    <w:p w:rsidR="007F60A1" w:rsidRDefault="00530693" w:rsidP="00530693">
      <w:pPr>
        <w:spacing w:before="0"/>
        <w:ind w:right="91"/>
      </w:pPr>
      <w:r>
        <w:t>This section</w:t>
      </w:r>
      <w:r w:rsidR="007F60A1">
        <w:t xml:space="preserve"> </w:t>
      </w:r>
      <w:r w:rsidR="0095394F">
        <w:t>provide</w:t>
      </w:r>
      <w:r w:rsidR="00F66E18">
        <w:t>s</w:t>
      </w:r>
      <w:r w:rsidR="0095394F">
        <w:t xml:space="preserve"> that a person who is liable to pay the fee does not have to pay the fee if another person has paid the fee.  This can include another party to the proceedings or a person unrelated to the proceeding.  For example, the applicant would not have to pay the fee where a respondent pays a </w:t>
      </w:r>
      <w:r w:rsidR="007F60A1">
        <w:t xml:space="preserve">conciliation conference fee </w:t>
      </w:r>
      <w:r w:rsidR="0095394F">
        <w:t>to ensure the matter proceeds.</w:t>
      </w:r>
    </w:p>
    <w:p w:rsidR="00B272DE" w:rsidRPr="004456B4" w:rsidRDefault="00B272DE" w:rsidP="009A77A3">
      <w:pPr>
        <w:spacing w:before="0"/>
        <w:ind w:right="91"/>
        <w:rPr>
          <w:b/>
        </w:rPr>
      </w:pPr>
    </w:p>
    <w:p w:rsidR="003A617F" w:rsidRPr="004456B4" w:rsidRDefault="00FB1952" w:rsidP="009A77A3">
      <w:pPr>
        <w:spacing w:before="0"/>
        <w:ind w:right="91"/>
        <w:rPr>
          <w:b/>
        </w:rPr>
      </w:pPr>
      <w:r>
        <w:rPr>
          <w:b/>
        </w:rPr>
        <w:t>Section 2.08 –</w:t>
      </w:r>
      <w:r w:rsidR="003A617F" w:rsidRPr="004456B4">
        <w:rPr>
          <w:b/>
        </w:rPr>
        <w:t xml:space="preserve"> Proceedings</w:t>
      </w:r>
      <w:r>
        <w:rPr>
          <w:b/>
        </w:rPr>
        <w:t xml:space="preserve"> </w:t>
      </w:r>
      <w:r w:rsidR="003A617F" w:rsidRPr="004456B4">
        <w:rPr>
          <w:b/>
        </w:rPr>
        <w:t>in which fee is not payable</w:t>
      </w:r>
    </w:p>
    <w:p w:rsidR="00AE0F6F" w:rsidRDefault="00AE0F6F" w:rsidP="009A77A3">
      <w:pPr>
        <w:spacing w:before="0"/>
        <w:ind w:right="91"/>
        <w:rPr>
          <w:u w:val="single"/>
        </w:rPr>
      </w:pPr>
    </w:p>
    <w:p w:rsidR="007F60A1" w:rsidRDefault="007F60A1" w:rsidP="009A77A3">
      <w:pPr>
        <w:spacing w:before="0"/>
        <w:ind w:right="91"/>
      </w:pPr>
      <w:r w:rsidRPr="007F60A1">
        <w:t xml:space="preserve">This section </w:t>
      </w:r>
      <w:r>
        <w:t>set</w:t>
      </w:r>
      <w:r w:rsidR="00F66E18">
        <w:t>s</w:t>
      </w:r>
      <w:r>
        <w:t xml:space="preserve"> out the circumstances where fees are not payable.</w:t>
      </w:r>
    </w:p>
    <w:p w:rsidR="007F60A1" w:rsidRDefault="007F60A1" w:rsidP="009A77A3">
      <w:pPr>
        <w:spacing w:before="0"/>
        <w:ind w:right="91"/>
      </w:pPr>
    </w:p>
    <w:p w:rsidR="007F60A1" w:rsidRDefault="007F60A1" w:rsidP="009A77A3">
      <w:pPr>
        <w:spacing w:before="0"/>
        <w:ind w:right="91"/>
      </w:pPr>
      <w:r>
        <w:t>Subsection 2.08(1) provide</w:t>
      </w:r>
      <w:r w:rsidR="00F66E18">
        <w:t>s</w:t>
      </w:r>
      <w:r>
        <w:t xml:space="preserve"> that no fees are </w:t>
      </w:r>
      <w:r w:rsidRPr="007F60A1">
        <w:t>pay</w:t>
      </w:r>
      <w:r>
        <w:t>able for the following proceedings:</w:t>
      </w:r>
    </w:p>
    <w:p w:rsidR="007F60A1" w:rsidRPr="00826FCF" w:rsidRDefault="007F60A1" w:rsidP="007F60A1">
      <w:pPr>
        <w:numPr>
          <w:ilvl w:val="0"/>
          <w:numId w:val="13"/>
        </w:numPr>
        <w:ind w:left="714" w:right="91" w:hanging="357"/>
        <w:rPr>
          <w:szCs w:val="24"/>
        </w:rPr>
      </w:pPr>
      <w:r>
        <w:rPr>
          <w:szCs w:val="24"/>
        </w:rPr>
        <w:t xml:space="preserve">divorce orders in relation to a marriage that was previously dissolved or annulled under the </w:t>
      </w:r>
      <w:r w:rsidRPr="00CE4756">
        <w:rPr>
          <w:szCs w:val="24"/>
        </w:rPr>
        <w:t xml:space="preserve">Family Law Act </w:t>
      </w:r>
      <w:r>
        <w:rPr>
          <w:szCs w:val="24"/>
        </w:rPr>
        <w:t xml:space="preserve">or the </w:t>
      </w:r>
      <w:r>
        <w:rPr>
          <w:i/>
          <w:szCs w:val="24"/>
        </w:rPr>
        <w:t>Matrimonial Causes Act 1959</w:t>
      </w:r>
    </w:p>
    <w:p w:rsidR="007F60A1" w:rsidRDefault="007F60A1" w:rsidP="007F60A1">
      <w:pPr>
        <w:numPr>
          <w:ilvl w:val="0"/>
          <w:numId w:val="13"/>
        </w:numPr>
        <w:ind w:left="714" w:right="91" w:hanging="357"/>
        <w:rPr>
          <w:szCs w:val="24"/>
        </w:rPr>
      </w:pPr>
      <w:r>
        <w:rPr>
          <w:szCs w:val="24"/>
        </w:rPr>
        <w:t>which an international convention to which Australia is party provides that no fee is payable</w:t>
      </w:r>
    </w:p>
    <w:p w:rsidR="001A2DCE" w:rsidRDefault="001A2DCE" w:rsidP="001A2DCE">
      <w:pPr>
        <w:ind w:left="357" w:right="91"/>
        <w:rPr>
          <w:szCs w:val="24"/>
        </w:rPr>
      </w:pPr>
    </w:p>
    <w:p w:rsidR="007F60A1" w:rsidRDefault="007F60A1" w:rsidP="007F60A1">
      <w:pPr>
        <w:numPr>
          <w:ilvl w:val="0"/>
          <w:numId w:val="13"/>
        </w:numPr>
        <w:ind w:left="714" w:right="91" w:hanging="357"/>
        <w:rPr>
          <w:szCs w:val="24"/>
        </w:rPr>
      </w:pPr>
      <w:r>
        <w:rPr>
          <w:szCs w:val="24"/>
        </w:rPr>
        <w:lastRenderedPageBreak/>
        <w:t xml:space="preserve">matters under the </w:t>
      </w:r>
      <w:r>
        <w:rPr>
          <w:i/>
          <w:szCs w:val="24"/>
        </w:rPr>
        <w:t>Family Law (Child Abduction Convention) Regulations 1986</w:t>
      </w:r>
      <w:r>
        <w:rPr>
          <w:szCs w:val="24"/>
        </w:rPr>
        <w:t>, and</w:t>
      </w:r>
    </w:p>
    <w:p w:rsidR="007F60A1" w:rsidRDefault="007F60A1" w:rsidP="007F60A1">
      <w:pPr>
        <w:numPr>
          <w:ilvl w:val="0"/>
          <w:numId w:val="13"/>
        </w:numPr>
        <w:ind w:left="714" w:right="91" w:hanging="357"/>
        <w:rPr>
          <w:szCs w:val="24"/>
        </w:rPr>
      </w:pPr>
      <w:r w:rsidRPr="001D5B79">
        <w:rPr>
          <w:szCs w:val="24"/>
        </w:rPr>
        <w:t>an application to set aside a subpoena</w:t>
      </w:r>
      <w:r w:rsidR="00CE4756">
        <w:rPr>
          <w:szCs w:val="24"/>
        </w:rPr>
        <w:t>.</w:t>
      </w:r>
    </w:p>
    <w:p w:rsidR="007F60A1" w:rsidRDefault="007F60A1" w:rsidP="007F60A1">
      <w:pPr>
        <w:ind w:right="91"/>
        <w:rPr>
          <w:szCs w:val="24"/>
        </w:rPr>
      </w:pPr>
      <w:r>
        <w:rPr>
          <w:szCs w:val="24"/>
        </w:rPr>
        <w:t>Subsection 2.08(2) provide</w:t>
      </w:r>
      <w:r w:rsidR="00F66E18">
        <w:rPr>
          <w:szCs w:val="24"/>
        </w:rPr>
        <w:t>s</w:t>
      </w:r>
      <w:r>
        <w:rPr>
          <w:szCs w:val="24"/>
        </w:rPr>
        <w:t xml:space="preserve"> that a fee in Schedule 1 is not payable for an objection to a subpoena</w:t>
      </w:r>
      <w:r w:rsidR="00EA4625">
        <w:rPr>
          <w:szCs w:val="24"/>
        </w:rPr>
        <w:t>ed</w:t>
      </w:r>
      <w:r>
        <w:rPr>
          <w:szCs w:val="24"/>
        </w:rPr>
        <w:t xml:space="preserve"> document being inspected</w:t>
      </w:r>
      <w:r w:rsidR="00EA4625">
        <w:rPr>
          <w:szCs w:val="24"/>
        </w:rPr>
        <w:t xml:space="preserve"> or cop</w:t>
      </w:r>
      <w:r>
        <w:rPr>
          <w:szCs w:val="24"/>
        </w:rPr>
        <w:t>ied.</w:t>
      </w:r>
    </w:p>
    <w:p w:rsidR="00796E30" w:rsidRDefault="00EA4625" w:rsidP="007F60A1">
      <w:pPr>
        <w:ind w:right="91"/>
        <w:rPr>
          <w:szCs w:val="24"/>
        </w:rPr>
      </w:pPr>
      <w:r>
        <w:rPr>
          <w:szCs w:val="24"/>
        </w:rPr>
        <w:t>Subsection 2.08(3) provide</w:t>
      </w:r>
      <w:r w:rsidR="00F66E18">
        <w:rPr>
          <w:szCs w:val="24"/>
        </w:rPr>
        <w:t>s</w:t>
      </w:r>
      <w:r>
        <w:rPr>
          <w:szCs w:val="24"/>
        </w:rPr>
        <w:t xml:space="preserve"> that fees are not payable for matters under the </w:t>
      </w:r>
      <w:r w:rsidRPr="00CE4756">
        <w:rPr>
          <w:szCs w:val="24"/>
        </w:rPr>
        <w:t xml:space="preserve">Family Law Act </w:t>
      </w:r>
      <w:r>
        <w:rPr>
          <w:szCs w:val="24"/>
        </w:rPr>
        <w:t xml:space="preserve">as </w:t>
      </w:r>
      <w:r w:rsidR="00796E30">
        <w:rPr>
          <w:szCs w:val="24"/>
        </w:rPr>
        <w:t xml:space="preserve">itemised </w:t>
      </w:r>
      <w:r>
        <w:rPr>
          <w:szCs w:val="24"/>
        </w:rPr>
        <w:t xml:space="preserve">in the subsection.  These matters </w:t>
      </w:r>
      <w:r w:rsidR="00796E30">
        <w:rPr>
          <w:szCs w:val="24"/>
        </w:rPr>
        <w:t xml:space="preserve">reflect the same fee exemptions in </w:t>
      </w:r>
      <w:r w:rsidR="00844510">
        <w:rPr>
          <w:szCs w:val="24"/>
        </w:rPr>
        <w:t>regulation</w:t>
      </w:r>
      <w:r w:rsidR="00796E30">
        <w:rPr>
          <w:szCs w:val="24"/>
        </w:rPr>
        <w:t xml:space="preserve"> 7(d) of the </w:t>
      </w:r>
      <w:r w:rsidR="00CE4756">
        <w:rPr>
          <w:szCs w:val="24"/>
        </w:rPr>
        <w:t xml:space="preserve">Federal Magistrates </w:t>
      </w:r>
      <w:r w:rsidR="00796E30">
        <w:rPr>
          <w:szCs w:val="24"/>
        </w:rPr>
        <w:t xml:space="preserve">Regulations, with the exception of matters involving interlocutory and interim orders.  </w:t>
      </w:r>
    </w:p>
    <w:p w:rsidR="00796E30" w:rsidRDefault="00796E30" w:rsidP="007F60A1">
      <w:pPr>
        <w:ind w:right="91"/>
        <w:rPr>
          <w:szCs w:val="24"/>
        </w:rPr>
      </w:pPr>
      <w:r>
        <w:rPr>
          <w:szCs w:val="24"/>
        </w:rPr>
        <w:t>Inter</w:t>
      </w:r>
      <w:r w:rsidR="00F66E18">
        <w:rPr>
          <w:szCs w:val="24"/>
        </w:rPr>
        <w:t>im and interlocutory order applications</w:t>
      </w:r>
      <w:r>
        <w:rPr>
          <w:szCs w:val="24"/>
        </w:rPr>
        <w:t xml:space="preserve"> </w:t>
      </w:r>
      <w:r w:rsidR="00F66E18">
        <w:rPr>
          <w:szCs w:val="24"/>
        </w:rPr>
        <w:t>are</w:t>
      </w:r>
      <w:r>
        <w:rPr>
          <w:szCs w:val="24"/>
        </w:rPr>
        <w:t xml:space="preserve"> charged a fee as prescribed by item 9 of Schedule 1 to the Regulation.  </w:t>
      </w:r>
    </w:p>
    <w:p w:rsidR="00796E30" w:rsidRDefault="00325AFB" w:rsidP="007F60A1">
      <w:pPr>
        <w:ind w:right="91"/>
        <w:rPr>
          <w:szCs w:val="24"/>
        </w:rPr>
      </w:pPr>
      <w:r>
        <w:rPr>
          <w:szCs w:val="24"/>
        </w:rPr>
        <w:t>The term ‘i</w:t>
      </w:r>
      <w:r w:rsidR="00796E30">
        <w:rPr>
          <w:szCs w:val="24"/>
        </w:rPr>
        <w:t>nterim order application</w:t>
      </w:r>
      <w:r>
        <w:rPr>
          <w:szCs w:val="24"/>
        </w:rPr>
        <w:t>’ is</w:t>
      </w:r>
      <w:r w:rsidR="00CC6758">
        <w:rPr>
          <w:szCs w:val="24"/>
        </w:rPr>
        <w:t xml:space="preserve"> </w:t>
      </w:r>
      <w:r w:rsidR="00796E30">
        <w:rPr>
          <w:szCs w:val="24"/>
        </w:rPr>
        <w:t>defined in section 1.03</w:t>
      </w:r>
      <w:r w:rsidR="00CE4756">
        <w:rPr>
          <w:szCs w:val="24"/>
        </w:rPr>
        <w:t xml:space="preserve"> of the Regulation</w:t>
      </w:r>
      <w:r w:rsidR="00796E30">
        <w:rPr>
          <w:szCs w:val="24"/>
        </w:rPr>
        <w:t xml:space="preserve">.  </w:t>
      </w:r>
    </w:p>
    <w:p w:rsidR="00EA4625" w:rsidRDefault="0063621F" w:rsidP="007F60A1">
      <w:pPr>
        <w:ind w:right="91"/>
        <w:rPr>
          <w:szCs w:val="24"/>
        </w:rPr>
      </w:pPr>
      <w:r>
        <w:rPr>
          <w:szCs w:val="24"/>
        </w:rPr>
        <w:t>P</w:t>
      </w:r>
      <w:r w:rsidR="00CE4756">
        <w:rPr>
          <w:szCs w:val="24"/>
        </w:rPr>
        <w:t>aragraph</w:t>
      </w:r>
      <w:r w:rsidR="00082F0F">
        <w:rPr>
          <w:szCs w:val="24"/>
        </w:rPr>
        <w:t xml:space="preserve"> 2.08(3)(p) </w:t>
      </w:r>
      <w:r w:rsidR="00CC6758">
        <w:rPr>
          <w:szCs w:val="24"/>
        </w:rPr>
        <w:t>maintain</w:t>
      </w:r>
      <w:r w:rsidR="00F66E18">
        <w:rPr>
          <w:szCs w:val="24"/>
        </w:rPr>
        <w:t>s</w:t>
      </w:r>
      <w:r w:rsidR="00082F0F">
        <w:rPr>
          <w:szCs w:val="24"/>
        </w:rPr>
        <w:t xml:space="preserve"> that p</w:t>
      </w:r>
      <w:r w:rsidR="00796E30">
        <w:rPr>
          <w:szCs w:val="24"/>
        </w:rPr>
        <w:t xml:space="preserve">rocedural orders </w:t>
      </w:r>
      <w:r w:rsidR="00CE4756">
        <w:rPr>
          <w:szCs w:val="24"/>
        </w:rPr>
        <w:t>would</w:t>
      </w:r>
      <w:r w:rsidR="00796E30">
        <w:rPr>
          <w:szCs w:val="24"/>
        </w:rPr>
        <w:t xml:space="preserve"> be exempt from fees.</w:t>
      </w:r>
    </w:p>
    <w:p w:rsidR="00295B94" w:rsidRPr="00295B94" w:rsidRDefault="00295B94" w:rsidP="007F60A1">
      <w:pPr>
        <w:ind w:right="91"/>
        <w:rPr>
          <w:szCs w:val="24"/>
          <w:u w:val="single"/>
        </w:rPr>
      </w:pPr>
      <w:r>
        <w:rPr>
          <w:szCs w:val="24"/>
          <w:u w:val="single"/>
        </w:rPr>
        <w:t>Division 2.5 – Payment of fees</w:t>
      </w:r>
    </w:p>
    <w:p w:rsidR="007F60A1" w:rsidRPr="001D5B79" w:rsidRDefault="007F60A1" w:rsidP="007F60A1">
      <w:pPr>
        <w:spacing w:before="0"/>
        <w:ind w:left="720" w:right="91"/>
        <w:rPr>
          <w:szCs w:val="24"/>
        </w:rPr>
      </w:pPr>
    </w:p>
    <w:p w:rsidR="003A617F" w:rsidRDefault="00FB1952" w:rsidP="009A77A3">
      <w:pPr>
        <w:spacing w:before="0"/>
        <w:ind w:right="91"/>
        <w:rPr>
          <w:b/>
        </w:rPr>
      </w:pPr>
      <w:r>
        <w:rPr>
          <w:b/>
        </w:rPr>
        <w:t>Section 2.09</w:t>
      </w:r>
      <w:r w:rsidR="003A617F" w:rsidRPr="004456B4">
        <w:rPr>
          <w:b/>
        </w:rPr>
        <w:t xml:space="preserve"> – When fee must be paid</w:t>
      </w:r>
    </w:p>
    <w:p w:rsidR="00AE0F6F" w:rsidRDefault="00AE0F6F" w:rsidP="009A77A3">
      <w:pPr>
        <w:spacing w:before="0"/>
        <w:ind w:right="91"/>
        <w:rPr>
          <w:b/>
        </w:rPr>
      </w:pPr>
    </w:p>
    <w:p w:rsidR="00D43207" w:rsidRPr="00564D55" w:rsidRDefault="00D43207" w:rsidP="00D43207">
      <w:pPr>
        <w:spacing w:before="0"/>
        <w:ind w:right="91"/>
        <w:rPr>
          <w:i/>
        </w:rPr>
      </w:pPr>
      <w:r w:rsidRPr="00564D55">
        <w:rPr>
          <w:i/>
        </w:rPr>
        <w:t>Filing fee</w:t>
      </w:r>
    </w:p>
    <w:p w:rsidR="00D43207" w:rsidRDefault="00D43207" w:rsidP="00D43207">
      <w:pPr>
        <w:spacing w:before="0"/>
        <w:ind w:right="91"/>
      </w:pPr>
    </w:p>
    <w:p w:rsidR="00D43207" w:rsidRDefault="00D43207" w:rsidP="00D43207">
      <w:pPr>
        <w:spacing w:before="0"/>
        <w:ind w:right="91"/>
      </w:pPr>
      <w:r>
        <w:t>Subsection 2.</w:t>
      </w:r>
      <w:r w:rsidR="00077E51">
        <w:t>09</w:t>
      </w:r>
      <w:r>
        <w:t xml:space="preserve">(1) </w:t>
      </w:r>
      <w:r w:rsidR="009012C6">
        <w:t>p</w:t>
      </w:r>
      <w:r>
        <w:t>rovide</w:t>
      </w:r>
      <w:r w:rsidR="009012C6">
        <w:t>s</w:t>
      </w:r>
      <w:r>
        <w:t xml:space="preserve"> that the fee for filing a document must be paid before the document is filed.  </w:t>
      </w:r>
    </w:p>
    <w:p w:rsidR="00D43207" w:rsidRDefault="00D43207" w:rsidP="00D43207">
      <w:pPr>
        <w:spacing w:before="0"/>
        <w:ind w:right="91"/>
      </w:pPr>
    </w:p>
    <w:p w:rsidR="00D43207" w:rsidRPr="00564D55" w:rsidRDefault="00D43207" w:rsidP="00D43207">
      <w:pPr>
        <w:spacing w:before="0"/>
        <w:ind w:right="91"/>
        <w:rPr>
          <w:i/>
        </w:rPr>
      </w:pPr>
      <w:r w:rsidRPr="00564D55">
        <w:rPr>
          <w:i/>
        </w:rPr>
        <w:t>Setting down fee</w:t>
      </w:r>
    </w:p>
    <w:p w:rsidR="00D43207" w:rsidRDefault="00D43207" w:rsidP="00D43207">
      <w:pPr>
        <w:spacing w:before="0"/>
        <w:ind w:right="91"/>
      </w:pPr>
    </w:p>
    <w:p w:rsidR="00D43207" w:rsidRDefault="00CD59F7" w:rsidP="00D43207">
      <w:pPr>
        <w:spacing w:before="0"/>
        <w:ind w:right="91"/>
      </w:pPr>
      <w:r>
        <w:t>Subsection 2.09(2</w:t>
      </w:r>
      <w:r w:rsidR="00D43207">
        <w:t xml:space="preserve">) </w:t>
      </w:r>
      <w:r w:rsidR="009012C6">
        <w:t>p</w:t>
      </w:r>
      <w:r w:rsidR="00D43207">
        <w:t>rovide</w:t>
      </w:r>
      <w:r w:rsidR="009012C6">
        <w:t>s</w:t>
      </w:r>
      <w:r w:rsidR="00D43207">
        <w:t xml:space="preserve"> that the fee for setting down a proceeding for a hearing must be paid no later than 28 days before the hearing day or, for a proceeding set down for hearing within 28 days, within the period o</w:t>
      </w:r>
      <w:r w:rsidR="00C45F77">
        <w:t xml:space="preserve">r at the time </w:t>
      </w:r>
      <w:r w:rsidR="0076663A">
        <w:t>approved</w:t>
      </w:r>
      <w:r w:rsidR="00C45F77">
        <w:t xml:space="preserve"> by the r</w:t>
      </w:r>
      <w:r w:rsidR="00D43207">
        <w:t>egistrar or authorised officer of the court.</w:t>
      </w:r>
    </w:p>
    <w:p w:rsidR="00D43207" w:rsidRDefault="00D43207" w:rsidP="00D43207">
      <w:pPr>
        <w:spacing w:before="0"/>
        <w:ind w:right="91"/>
      </w:pPr>
    </w:p>
    <w:p w:rsidR="00D43207" w:rsidRPr="00564D55" w:rsidRDefault="00D43207" w:rsidP="00D43207">
      <w:pPr>
        <w:spacing w:before="0"/>
        <w:ind w:right="91"/>
        <w:rPr>
          <w:i/>
        </w:rPr>
      </w:pPr>
      <w:r w:rsidRPr="00564D55">
        <w:rPr>
          <w:i/>
        </w:rPr>
        <w:t xml:space="preserve">Hearing fee </w:t>
      </w:r>
    </w:p>
    <w:p w:rsidR="00D43207" w:rsidRDefault="00D43207" w:rsidP="00D43207">
      <w:pPr>
        <w:spacing w:before="0"/>
        <w:ind w:right="91"/>
      </w:pPr>
    </w:p>
    <w:p w:rsidR="00D43207" w:rsidRDefault="00CD59F7" w:rsidP="00D43207">
      <w:pPr>
        <w:spacing w:before="0"/>
        <w:ind w:right="91"/>
      </w:pPr>
      <w:r>
        <w:t>Subsection 2.09</w:t>
      </w:r>
      <w:r w:rsidR="00D43207">
        <w:t>(3) provide</w:t>
      </w:r>
      <w:r w:rsidR="009012C6">
        <w:t>s</w:t>
      </w:r>
      <w:r w:rsidR="00D43207">
        <w:t xml:space="preserve"> that the fee for a hearing of a proceeding must be paid no later than close </w:t>
      </w:r>
      <w:r w:rsidR="00D450A3">
        <w:t>of business on the day that is two</w:t>
      </w:r>
      <w:r w:rsidR="00D43207">
        <w:t xml:space="preserve"> business days before the hearing day or, for a hearing fixed within </w:t>
      </w:r>
      <w:r w:rsidR="00D450A3">
        <w:t>two</w:t>
      </w:r>
      <w:r w:rsidR="00D43207">
        <w:t xml:space="preserve"> business days, no later than 9.30am on the hearing day.</w:t>
      </w:r>
    </w:p>
    <w:p w:rsidR="00CD59F7" w:rsidRDefault="00CD59F7" w:rsidP="00D43207">
      <w:pPr>
        <w:spacing w:before="0"/>
        <w:ind w:right="91"/>
      </w:pPr>
    </w:p>
    <w:p w:rsidR="00CD59F7" w:rsidRPr="00CD59F7" w:rsidRDefault="00CD59F7" w:rsidP="00CD59F7">
      <w:pPr>
        <w:spacing w:before="0"/>
        <w:ind w:right="91"/>
      </w:pPr>
      <w:r>
        <w:rPr>
          <w:i/>
        </w:rPr>
        <w:t>Conciliation conference fee</w:t>
      </w:r>
    </w:p>
    <w:p w:rsidR="00CD59F7" w:rsidRDefault="00CD59F7" w:rsidP="00CD59F7">
      <w:pPr>
        <w:spacing w:before="0"/>
        <w:ind w:right="91"/>
      </w:pPr>
    </w:p>
    <w:p w:rsidR="00CD59F7" w:rsidRDefault="00CD59F7" w:rsidP="00CD59F7">
      <w:pPr>
        <w:spacing w:before="0"/>
        <w:ind w:right="91"/>
      </w:pPr>
      <w:r>
        <w:t>Subsection 2.09(4) provide</w:t>
      </w:r>
      <w:r w:rsidR="009012C6">
        <w:t>s</w:t>
      </w:r>
      <w:r>
        <w:t xml:space="preserve"> that the fee for a conciliation conference must be paid no later than 28 days before the day of the conference or, for a conference scheduled within 28 days, before the conference commences.  </w:t>
      </w:r>
    </w:p>
    <w:p w:rsidR="00D43207" w:rsidRDefault="00D43207" w:rsidP="00D43207">
      <w:pPr>
        <w:spacing w:before="0"/>
        <w:ind w:right="91"/>
      </w:pPr>
    </w:p>
    <w:p w:rsidR="00D43207" w:rsidRPr="00564D55" w:rsidRDefault="00D43207" w:rsidP="00D43207">
      <w:pPr>
        <w:spacing w:before="0"/>
        <w:ind w:right="91"/>
        <w:rPr>
          <w:i/>
        </w:rPr>
      </w:pPr>
      <w:r w:rsidRPr="00564D55">
        <w:rPr>
          <w:i/>
        </w:rPr>
        <w:t xml:space="preserve">Fee for </w:t>
      </w:r>
      <w:r w:rsidR="00CD59F7">
        <w:rPr>
          <w:i/>
        </w:rPr>
        <w:t>other service</w:t>
      </w:r>
    </w:p>
    <w:p w:rsidR="00D43207" w:rsidRDefault="00D43207" w:rsidP="00D43207">
      <w:pPr>
        <w:spacing w:before="0"/>
        <w:ind w:right="91"/>
      </w:pPr>
    </w:p>
    <w:p w:rsidR="00CD59F7" w:rsidRDefault="00D43207" w:rsidP="00CD59F7">
      <w:pPr>
        <w:spacing w:before="0"/>
        <w:ind w:right="91"/>
      </w:pPr>
      <w:r>
        <w:t>Subsection 2.</w:t>
      </w:r>
      <w:r w:rsidR="00CD59F7">
        <w:t>09(5</w:t>
      </w:r>
      <w:r w:rsidR="009012C6">
        <w:t>)</w:t>
      </w:r>
      <w:r>
        <w:t xml:space="preserve"> provide</w:t>
      </w:r>
      <w:r w:rsidR="009012C6">
        <w:t>s</w:t>
      </w:r>
      <w:r>
        <w:t xml:space="preserve"> that </w:t>
      </w:r>
      <w:r w:rsidR="00CD59F7">
        <w:t>fee</w:t>
      </w:r>
      <w:r w:rsidR="00530693">
        <w:t>s</w:t>
      </w:r>
      <w:r w:rsidR="00CD59F7">
        <w:t xml:space="preserve"> </w:t>
      </w:r>
      <w:r w:rsidR="00783686">
        <w:t xml:space="preserve">for </w:t>
      </w:r>
      <w:r w:rsidR="00530693">
        <w:t>other</w:t>
      </w:r>
      <w:r w:rsidR="00783686">
        <w:t xml:space="preserve"> service</w:t>
      </w:r>
      <w:r w:rsidR="00530693">
        <w:t>s</w:t>
      </w:r>
      <w:r w:rsidR="00783686">
        <w:t xml:space="preserve"> </w:t>
      </w:r>
      <w:r w:rsidR="00CD59F7">
        <w:t>must be paid before the service is provided.</w:t>
      </w:r>
    </w:p>
    <w:p w:rsidR="004456B4" w:rsidRPr="004456B4" w:rsidRDefault="004456B4" w:rsidP="009A77A3">
      <w:pPr>
        <w:spacing w:before="0"/>
        <w:ind w:right="91"/>
        <w:rPr>
          <w:b/>
        </w:rPr>
      </w:pPr>
    </w:p>
    <w:p w:rsidR="003A617F" w:rsidRPr="004456B4" w:rsidRDefault="00287EA9" w:rsidP="009A77A3">
      <w:pPr>
        <w:spacing w:before="0"/>
        <w:ind w:right="91"/>
        <w:rPr>
          <w:b/>
        </w:rPr>
      </w:pPr>
      <w:r>
        <w:rPr>
          <w:b/>
        </w:rPr>
        <w:t>Section 2.10</w:t>
      </w:r>
      <w:r w:rsidR="003A617F" w:rsidRPr="004456B4">
        <w:rPr>
          <w:b/>
        </w:rPr>
        <w:t xml:space="preserve"> – Deferral of payment of fees</w:t>
      </w:r>
    </w:p>
    <w:p w:rsidR="003A617F" w:rsidRDefault="003A617F" w:rsidP="009A77A3">
      <w:pPr>
        <w:spacing w:before="0"/>
        <w:ind w:right="91"/>
        <w:rPr>
          <w:b/>
        </w:rPr>
      </w:pPr>
    </w:p>
    <w:p w:rsidR="00287EA9" w:rsidRDefault="00530693" w:rsidP="00287EA9">
      <w:pPr>
        <w:spacing w:before="0"/>
        <w:ind w:right="91"/>
      </w:pPr>
      <w:r>
        <w:t>This section</w:t>
      </w:r>
      <w:r w:rsidR="004F582C">
        <w:t xml:space="preserve"> </w:t>
      </w:r>
      <w:r w:rsidR="00287EA9">
        <w:t>allow</w:t>
      </w:r>
      <w:r w:rsidR="009012C6">
        <w:t>s</w:t>
      </w:r>
      <w:r w:rsidR="00287EA9">
        <w:t xml:space="preserve"> </w:t>
      </w:r>
      <w:r w:rsidR="004F582C">
        <w:t>a r</w:t>
      </w:r>
      <w:r w:rsidR="00287EA9">
        <w:t>egistrar or an authorised officer to defer the time for payment of a fee</w:t>
      </w:r>
      <w:r w:rsidR="004F582C">
        <w:t>.</w:t>
      </w:r>
    </w:p>
    <w:p w:rsidR="00287EA9" w:rsidRDefault="00287EA9" w:rsidP="00287EA9">
      <w:pPr>
        <w:spacing w:before="0"/>
        <w:ind w:right="91"/>
      </w:pPr>
    </w:p>
    <w:p w:rsidR="00287EA9" w:rsidRDefault="004F582C" w:rsidP="00287EA9">
      <w:pPr>
        <w:spacing w:before="0"/>
        <w:ind w:right="91"/>
      </w:pPr>
      <w:r>
        <w:t>Subsection 2.10</w:t>
      </w:r>
      <w:r w:rsidR="00287EA9">
        <w:t>(2) allow</w:t>
      </w:r>
      <w:r w:rsidR="009012C6">
        <w:t>s</w:t>
      </w:r>
      <w:r w:rsidR="00287EA9">
        <w:t xml:space="preserve"> the time for payment of a fee to be </w:t>
      </w:r>
      <w:r>
        <w:t>deferred where a r</w:t>
      </w:r>
      <w:r w:rsidR="00287EA9">
        <w:t>egistrar or authorised officer is of the opinion that:</w:t>
      </w:r>
    </w:p>
    <w:p w:rsidR="00287EA9" w:rsidRDefault="00287EA9" w:rsidP="00287EA9">
      <w:pPr>
        <w:spacing w:before="0"/>
        <w:ind w:right="91"/>
      </w:pPr>
    </w:p>
    <w:p w:rsidR="00530693" w:rsidRDefault="00530693" w:rsidP="00530693">
      <w:pPr>
        <w:numPr>
          <w:ilvl w:val="0"/>
          <w:numId w:val="14"/>
        </w:numPr>
        <w:spacing w:before="0"/>
        <w:ind w:right="91"/>
      </w:pPr>
      <w:r>
        <w:t>it would be oppressive or otherwise unreasonable, having regard to the financial circumstances of the person required to pay the fee, to require payment of the fee at the time required under section 2.09, or</w:t>
      </w:r>
    </w:p>
    <w:p w:rsidR="00530693" w:rsidRDefault="00530693" w:rsidP="00530693">
      <w:pPr>
        <w:spacing w:before="0"/>
        <w:ind w:left="360" w:right="91"/>
      </w:pPr>
    </w:p>
    <w:p w:rsidR="004F582C" w:rsidRDefault="00287EA9" w:rsidP="004F582C">
      <w:pPr>
        <w:numPr>
          <w:ilvl w:val="0"/>
          <w:numId w:val="14"/>
        </w:numPr>
        <w:spacing w:before="0"/>
        <w:ind w:right="91"/>
      </w:pPr>
      <w:r>
        <w:t>in the case of a fee for the filing of a document</w:t>
      </w:r>
      <w:r w:rsidR="004F582C">
        <w:t xml:space="preserve"> (other than the filing of a response)</w:t>
      </w:r>
      <w:r>
        <w:t>, the need to file the document is so urgent that it overrides the requirement to pay the fee</w:t>
      </w:r>
      <w:r w:rsidR="004F582C">
        <w:t xml:space="preserve"> </w:t>
      </w:r>
      <w:r w:rsidR="00530693">
        <w:t>before the document is filed.</w:t>
      </w:r>
    </w:p>
    <w:p w:rsidR="00C45F77" w:rsidRDefault="00C45F77" w:rsidP="004F582C">
      <w:pPr>
        <w:spacing w:before="0"/>
        <w:ind w:right="91"/>
      </w:pPr>
    </w:p>
    <w:p w:rsidR="00287EA9" w:rsidRDefault="00287EA9" w:rsidP="00287EA9">
      <w:pPr>
        <w:spacing w:before="0"/>
        <w:ind w:right="91"/>
      </w:pPr>
      <w:r>
        <w:t>Subsection 2.</w:t>
      </w:r>
      <w:r w:rsidR="00DE4F89">
        <w:t>10</w:t>
      </w:r>
      <w:r>
        <w:t>(3) require</w:t>
      </w:r>
      <w:r w:rsidR="009012C6">
        <w:t>s</w:t>
      </w:r>
      <w:r>
        <w:t>, where the time for payment of a fee has been deferred, the fee to be paid within 28 days after the day payment is deferred, or within another p</w:t>
      </w:r>
      <w:r w:rsidR="004F582C">
        <w:t>eriod approved in writing by a r</w:t>
      </w:r>
      <w:r>
        <w:t>egistrar or authorised officer.</w:t>
      </w:r>
      <w:r w:rsidR="00DE4F89">
        <w:t xml:space="preserve"> </w:t>
      </w:r>
      <w:r>
        <w:t xml:space="preserve"> These time periods apply instead of the time for payme</w:t>
      </w:r>
      <w:r w:rsidR="00DE4F89">
        <w:t>nt of the fee under section 2.09</w:t>
      </w:r>
      <w:r>
        <w:t>.</w:t>
      </w:r>
    </w:p>
    <w:p w:rsidR="00287EA9" w:rsidRDefault="00287EA9" w:rsidP="00287EA9">
      <w:pPr>
        <w:spacing w:before="0"/>
        <w:ind w:right="91"/>
      </w:pPr>
    </w:p>
    <w:p w:rsidR="00287EA9" w:rsidRDefault="00287EA9" w:rsidP="00287EA9">
      <w:pPr>
        <w:spacing w:before="0"/>
        <w:ind w:right="91"/>
      </w:pPr>
      <w:r>
        <w:t>Subsection 2.</w:t>
      </w:r>
      <w:r w:rsidR="00DE4F89">
        <w:t>10</w:t>
      </w:r>
      <w:r>
        <w:t>(4) clarif</w:t>
      </w:r>
      <w:r w:rsidR="009012C6">
        <w:t>ies</w:t>
      </w:r>
      <w:r>
        <w:t xml:space="preserve"> that the time for payment of a fee may be deferred more than once.</w:t>
      </w:r>
    </w:p>
    <w:p w:rsidR="00287EA9" w:rsidRDefault="00287EA9" w:rsidP="00287EA9">
      <w:pPr>
        <w:spacing w:before="0"/>
        <w:ind w:right="91"/>
      </w:pPr>
    </w:p>
    <w:p w:rsidR="00287EA9" w:rsidRDefault="00287EA9" w:rsidP="00287EA9">
      <w:pPr>
        <w:spacing w:before="0"/>
        <w:ind w:right="91"/>
      </w:pPr>
      <w:r>
        <w:t>Subsection 2.1</w:t>
      </w:r>
      <w:r w:rsidR="00DE4F89">
        <w:t>0</w:t>
      </w:r>
      <w:r w:rsidR="004F582C">
        <w:t>(5) permit</w:t>
      </w:r>
      <w:r w:rsidR="009012C6">
        <w:t>s</w:t>
      </w:r>
      <w:r w:rsidR="004F582C">
        <w:t xml:space="preserve"> a r</w:t>
      </w:r>
      <w:r>
        <w:t xml:space="preserve">egistrar or authorised officer to impose conditions on the deferral of the time for payment of a fee. </w:t>
      </w:r>
    </w:p>
    <w:p w:rsidR="00961BB7" w:rsidRPr="004456B4" w:rsidRDefault="00961BB7" w:rsidP="009A77A3">
      <w:pPr>
        <w:spacing w:before="0"/>
        <w:ind w:right="91"/>
        <w:rPr>
          <w:b/>
        </w:rPr>
      </w:pPr>
    </w:p>
    <w:p w:rsidR="003A617F" w:rsidRPr="004456B4" w:rsidRDefault="003A617F" w:rsidP="009A77A3">
      <w:pPr>
        <w:spacing w:before="0"/>
        <w:ind w:right="91"/>
        <w:rPr>
          <w:b/>
        </w:rPr>
      </w:pPr>
      <w:r w:rsidRPr="004456B4">
        <w:rPr>
          <w:b/>
        </w:rPr>
        <w:t>Sect</w:t>
      </w:r>
      <w:r w:rsidR="00287EA9">
        <w:rPr>
          <w:b/>
        </w:rPr>
        <w:t>ion 2.11</w:t>
      </w:r>
      <w:r w:rsidRPr="004456B4">
        <w:rPr>
          <w:b/>
        </w:rPr>
        <w:t xml:space="preserve"> – What happens if fee is not paid</w:t>
      </w:r>
    </w:p>
    <w:p w:rsidR="003A617F" w:rsidRDefault="003A617F" w:rsidP="009A77A3">
      <w:pPr>
        <w:spacing w:before="0"/>
        <w:ind w:right="91"/>
        <w:rPr>
          <w:b/>
          <w:i/>
        </w:rPr>
      </w:pPr>
    </w:p>
    <w:p w:rsidR="001C2977" w:rsidRDefault="001C2977" w:rsidP="001C2977">
      <w:pPr>
        <w:spacing w:before="0"/>
        <w:ind w:right="91"/>
      </w:pPr>
      <w:r>
        <w:t>This section set</w:t>
      </w:r>
      <w:r w:rsidR="009012C6">
        <w:t>s</w:t>
      </w:r>
      <w:r>
        <w:t xml:space="preserve"> out what happens if a fee is not paid and it is not deferred under section 2.10.</w:t>
      </w:r>
    </w:p>
    <w:p w:rsidR="001C2977" w:rsidRDefault="001C2977" w:rsidP="001C2977">
      <w:pPr>
        <w:spacing w:before="0"/>
        <w:ind w:right="91"/>
      </w:pPr>
    </w:p>
    <w:p w:rsidR="001C2977" w:rsidRDefault="001C2977" w:rsidP="001C2977">
      <w:pPr>
        <w:spacing w:before="0"/>
        <w:ind w:right="91"/>
      </w:pPr>
      <w:r>
        <w:t xml:space="preserve">Subsection 2.11(2) </w:t>
      </w:r>
      <w:r w:rsidR="009012C6">
        <w:t>p</w:t>
      </w:r>
      <w:r>
        <w:t>rovide</w:t>
      </w:r>
      <w:r w:rsidR="009012C6">
        <w:t>s</w:t>
      </w:r>
      <w:r>
        <w:t xml:space="preserve"> that if the fee must be paid before or at the time of the filing of a document or the provision of the service for which the fee is payable, the document must not be filed or the service provided until the whole fee is paid.</w:t>
      </w:r>
    </w:p>
    <w:p w:rsidR="001C2977" w:rsidRDefault="001C2977" w:rsidP="001C2977">
      <w:pPr>
        <w:spacing w:before="0"/>
        <w:ind w:right="91"/>
      </w:pPr>
    </w:p>
    <w:p w:rsidR="001C2977" w:rsidRDefault="001C2977" w:rsidP="001C2977">
      <w:pPr>
        <w:spacing w:before="0"/>
        <w:ind w:right="91"/>
      </w:pPr>
      <w:r>
        <w:t>Subsection 2.11(3) permit</w:t>
      </w:r>
      <w:r w:rsidR="009012C6">
        <w:t>s</w:t>
      </w:r>
      <w:r>
        <w:t xml:space="preserve"> the court for the relevant proceeding, a judge, federal magistrate or a registrar of that court to allow the document to be filed or the service to be provided even though the fee, or part of the fee, has not been paid.</w:t>
      </w:r>
    </w:p>
    <w:p w:rsidR="001C2977" w:rsidRDefault="001C2977" w:rsidP="001C2977">
      <w:pPr>
        <w:spacing w:before="0"/>
        <w:ind w:right="91"/>
      </w:pPr>
    </w:p>
    <w:p w:rsidR="001C2977" w:rsidRDefault="001C2977" w:rsidP="001C2977">
      <w:pPr>
        <w:spacing w:before="0"/>
        <w:ind w:right="91"/>
      </w:pPr>
      <w:r>
        <w:t>Subsection</w:t>
      </w:r>
      <w:r w:rsidR="0076663A">
        <w:t>s</w:t>
      </w:r>
      <w:r>
        <w:t xml:space="preserve"> 2.11</w:t>
      </w:r>
      <w:r w:rsidR="00530693">
        <w:t xml:space="preserve">(4) and </w:t>
      </w:r>
      <w:r w:rsidR="009012C6">
        <w:t xml:space="preserve">(5) </w:t>
      </w:r>
      <w:r>
        <w:t>provide</w:t>
      </w:r>
      <w:r w:rsidR="009012C6">
        <w:t>s</w:t>
      </w:r>
      <w:r>
        <w:t xml:space="preserve"> that, in the case of an unpaid (or partially unpaid) conciliation conference fee, a hearing fee or a setting down fee:</w:t>
      </w:r>
    </w:p>
    <w:p w:rsidR="001C2977" w:rsidRDefault="001C2977" w:rsidP="001C2977">
      <w:pPr>
        <w:spacing w:before="0"/>
        <w:ind w:right="91"/>
      </w:pPr>
    </w:p>
    <w:p w:rsidR="001C2977" w:rsidRDefault="001C2977" w:rsidP="001C2977">
      <w:pPr>
        <w:numPr>
          <w:ilvl w:val="0"/>
          <w:numId w:val="15"/>
        </w:numPr>
        <w:spacing w:before="0"/>
        <w:ind w:right="91"/>
      </w:pPr>
      <w:r>
        <w:t xml:space="preserve">the relevant court, a judge, federal magistrate or a registrar of that court may order that no proceeding, or no proceeding other than a specified proceeding, is to take place </w:t>
      </w:r>
      <w:r w:rsidR="00857845">
        <w:t>without permission</w:t>
      </w:r>
    </w:p>
    <w:p w:rsidR="001C2977" w:rsidRDefault="001C2977" w:rsidP="001C2977">
      <w:pPr>
        <w:spacing w:before="0"/>
        <w:ind w:right="91"/>
      </w:pPr>
    </w:p>
    <w:p w:rsidR="001C2977" w:rsidRDefault="001C2977" w:rsidP="001C2977">
      <w:pPr>
        <w:numPr>
          <w:ilvl w:val="0"/>
          <w:numId w:val="15"/>
        </w:numPr>
        <w:spacing w:before="0"/>
        <w:ind w:right="91"/>
      </w:pPr>
      <w:r>
        <w:t xml:space="preserve">a person, other than the person required to pay the fee, may pay the fee (without affecting any power for the making of an order for costs for the fee), and   </w:t>
      </w:r>
    </w:p>
    <w:p w:rsidR="001C2977" w:rsidRDefault="001C2977" w:rsidP="001C2977">
      <w:pPr>
        <w:spacing w:before="0"/>
        <w:ind w:right="91"/>
      </w:pPr>
    </w:p>
    <w:p w:rsidR="00940277" w:rsidRDefault="001C2977" w:rsidP="009A77A3">
      <w:pPr>
        <w:numPr>
          <w:ilvl w:val="0"/>
          <w:numId w:val="15"/>
        </w:numPr>
        <w:spacing w:before="0"/>
        <w:ind w:right="91"/>
      </w:pPr>
      <w:r>
        <w:t xml:space="preserve">the relevant court, a judge, federal magistrate or a registrar of that court may </w:t>
      </w:r>
      <w:r w:rsidR="00325AFB">
        <w:t>vacate</w:t>
      </w:r>
      <w:r>
        <w:t xml:space="preserve"> the hearing day or conciliation conference.</w:t>
      </w:r>
    </w:p>
    <w:p w:rsidR="00295B94" w:rsidRDefault="00295B94" w:rsidP="00295B94">
      <w:pPr>
        <w:spacing w:before="0"/>
        <w:ind w:right="91"/>
        <w:rPr>
          <w:rFonts w:eastAsia="Calibri"/>
          <w:szCs w:val="24"/>
        </w:rPr>
      </w:pPr>
    </w:p>
    <w:p w:rsidR="00295B94" w:rsidRPr="00295B94" w:rsidRDefault="00295B94" w:rsidP="00295B94">
      <w:pPr>
        <w:spacing w:before="0"/>
        <w:ind w:right="91"/>
        <w:rPr>
          <w:u w:val="single"/>
        </w:rPr>
      </w:pPr>
      <w:r>
        <w:rPr>
          <w:rFonts w:eastAsia="Calibri"/>
          <w:szCs w:val="24"/>
          <w:u w:val="single"/>
        </w:rPr>
        <w:t xml:space="preserve">Division 2.6 – Miscellaneous </w:t>
      </w:r>
    </w:p>
    <w:p w:rsidR="001C2977" w:rsidRPr="001F3FD1" w:rsidRDefault="001C2977" w:rsidP="009A77A3">
      <w:pPr>
        <w:spacing w:before="0"/>
        <w:ind w:right="91"/>
        <w:rPr>
          <w:b/>
          <w:i/>
        </w:rPr>
      </w:pPr>
    </w:p>
    <w:p w:rsidR="003A617F" w:rsidRDefault="000E0590" w:rsidP="009A77A3">
      <w:pPr>
        <w:spacing w:before="0"/>
        <w:ind w:right="91"/>
        <w:rPr>
          <w:b/>
        </w:rPr>
      </w:pPr>
      <w:r>
        <w:rPr>
          <w:b/>
        </w:rPr>
        <w:t>Section 2.12</w:t>
      </w:r>
      <w:r w:rsidR="003A617F" w:rsidRPr="004456B4">
        <w:rPr>
          <w:b/>
        </w:rPr>
        <w:t xml:space="preserve"> – Refund of fee</w:t>
      </w:r>
    </w:p>
    <w:p w:rsidR="000E0590" w:rsidRDefault="000E0590" w:rsidP="009A77A3">
      <w:pPr>
        <w:spacing w:before="0"/>
        <w:ind w:right="91"/>
        <w:rPr>
          <w:b/>
        </w:rPr>
      </w:pPr>
    </w:p>
    <w:p w:rsidR="000E0590" w:rsidRDefault="000E0590" w:rsidP="000E0590">
      <w:pPr>
        <w:spacing w:before="0"/>
        <w:ind w:right="91"/>
        <w:rPr>
          <w:i/>
        </w:rPr>
      </w:pPr>
      <w:r>
        <w:t>This section set</w:t>
      </w:r>
      <w:r w:rsidR="009012C6">
        <w:t>s</w:t>
      </w:r>
      <w:r>
        <w:t xml:space="preserve"> out the circumstances </w:t>
      </w:r>
      <w:r w:rsidR="00857845">
        <w:t>under which a fee can be refunded</w:t>
      </w:r>
      <w:r>
        <w:t>.</w:t>
      </w:r>
    </w:p>
    <w:p w:rsidR="009012C6" w:rsidRDefault="009012C6" w:rsidP="000E0590">
      <w:pPr>
        <w:spacing w:before="0"/>
        <w:ind w:right="91"/>
        <w:rPr>
          <w:i/>
        </w:rPr>
      </w:pPr>
    </w:p>
    <w:p w:rsidR="000E0590" w:rsidRDefault="000E0590" w:rsidP="000E0590">
      <w:pPr>
        <w:spacing w:before="0"/>
        <w:ind w:right="91"/>
        <w:rPr>
          <w:i/>
        </w:rPr>
      </w:pPr>
      <w:r>
        <w:rPr>
          <w:i/>
        </w:rPr>
        <w:t xml:space="preserve">General </w:t>
      </w:r>
    </w:p>
    <w:p w:rsidR="000E0590" w:rsidRPr="00E65F9B" w:rsidRDefault="000E0590" w:rsidP="000E0590">
      <w:pPr>
        <w:spacing w:before="0"/>
        <w:ind w:right="91"/>
        <w:rPr>
          <w:i/>
        </w:rPr>
      </w:pPr>
    </w:p>
    <w:p w:rsidR="000E0590" w:rsidRDefault="000E0590" w:rsidP="000E0590">
      <w:pPr>
        <w:spacing w:before="0"/>
        <w:ind w:right="91"/>
      </w:pPr>
      <w:r>
        <w:t>Subsection</w:t>
      </w:r>
      <w:r w:rsidR="00530693">
        <w:t>s</w:t>
      </w:r>
      <w:r>
        <w:t xml:space="preserve"> 2.12(1) </w:t>
      </w:r>
      <w:r w:rsidR="00530693">
        <w:t xml:space="preserve">and (2) </w:t>
      </w:r>
      <w:r>
        <w:t xml:space="preserve">provide an entitlement to a refund of an amount in relation to the payment of a fee if a </w:t>
      </w:r>
      <w:r w:rsidRPr="00F2749E">
        <w:t xml:space="preserve">person </w:t>
      </w:r>
      <w:r>
        <w:t xml:space="preserve">pays more than he or she is </w:t>
      </w:r>
      <w:r w:rsidRPr="00F2749E">
        <w:t>required to pay for the fee under the Regulation</w:t>
      </w:r>
      <w:r>
        <w:t xml:space="preserve">.  The amount to be refunded, under that entitlement, </w:t>
      </w:r>
      <w:r w:rsidR="009012C6">
        <w:t>is</w:t>
      </w:r>
      <w:r>
        <w:t xml:space="preserve"> the difference between the amount paid by the person and the amount the person is required to pay for the fee.</w:t>
      </w:r>
    </w:p>
    <w:p w:rsidR="000E0590" w:rsidRDefault="000E0590" w:rsidP="000E0590">
      <w:pPr>
        <w:spacing w:before="0"/>
        <w:ind w:right="91"/>
      </w:pPr>
    </w:p>
    <w:p w:rsidR="000E0590" w:rsidRDefault="000E0590" w:rsidP="000E0590">
      <w:pPr>
        <w:spacing w:before="0"/>
        <w:ind w:right="91"/>
      </w:pPr>
      <w:r>
        <w:t>Subsection 2.12(3) provide</w:t>
      </w:r>
      <w:r w:rsidR="009012C6">
        <w:t>s</w:t>
      </w:r>
      <w:r>
        <w:t xml:space="preserve"> an entitlement to a refund of the amount paid by a person as a fee where another person has paid the fee, or where the fee is not payable under the Regulation</w:t>
      </w:r>
      <w:r w:rsidRPr="00F2749E">
        <w:t xml:space="preserve">.  </w:t>
      </w:r>
    </w:p>
    <w:p w:rsidR="000E0590" w:rsidRDefault="000E0590" w:rsidP="000E0590">
      <w:pPr>
        <w:spacing w:before="0"/>
        <w:ind w:right="91"/>
      </w:pPr>
    </w:p>
    <w:p w:rsidR="000E0590" w:rsidRDefault="000E0590" w:rsidP="000E0590">
      <w:pPr>
        <w:spacing w:before="0"/>
        <w:ind w:right="91"/>
        <w:rPr>
          <w:i/>
        </w:rPr>
      </w:pPr>
      <w:r>
        <w:rPr>
          <w:i/>
        </w:rPr>
        <w:t>Setting down fee</w:t>
      </w:r>
    </w:p>
    <w:p w:rsidR="000E0590" w:rsidRDefault="000E0590" w:rsidP="000E0590">
      <w:pPr>
        <w:spacing w:before="0"/>
        <w:ind w:right="91"/>
        <w:rPr>
          <w:i/>
        </w:rPr>
      </w:pPr>
    </w:p>
    <w:p w:rsidR="000E0590" w:rsidRDefault="000E0590" w:rsidP="000E0590">
      <w:pPr>
        <w:spacing w:before="0"/>
        <w:ind w:right="91"/>
        <w:rPr>
          <w:rFonts w:cs="Calibri"/>
        </w:rPr>
      </w:pPr>
      <w:r>
        <w:rPr>
          <w:rFonts w:cs="Calibri"/>
        </w:rPr>
        <w:t>Subsection 2.12(4) provide</w:t>
      </w:r>
      <w:r w:rsidR="009012C6">
        <w:rPr>
          <w:rFonts w:cs="Calibri"/>
        </w:rPr>
        <w:t>s</w:t>
      </w:r>
      <w:r>
        <w:rPr>
          <w:rFonts w:cs="Calibri"/>
        </w:rPr>
        <w:t xml:space="preserve"> that a s</w:t>
      </w:r>
      <w:r w:rsidRPr="007214DE">
        <w:rPr>
          <w:rFonts w:cs="Calibri"/>
        </w:rPr>
        <w:t>e</w:t>
      </w:r>
      <w:r>
        <w:rPr>
          <w:rFonts w:cs="Calibri"/>
        </w:rPr>
        <w:t>tting down fee is</w:t>
      </w:r>
      <w:r w:rsidRPr="007214DE">
        <w:rPr>
          <w:rFonts w:cs="Calibri"/>
        </w:rPr>
        <w:t xml:space="preserve"> not refundable </w:t>
      </w:r>
      <w:r w:rsidR="00407E24">
        <w:rPr>
          <w:rFonts w:cs="Calibri"/>
        </w:rPr>
        <w:t xml:space="preserve">if </w:t>
      </w:r>
      <w:bookmarkStart w:id="0" w:name="_GoBack"/>
      <w:bookmarkEnd w:id="0"/>
      <w:r>
        <w:rPr>
          <w:rFonts w:cs="Calibri"/>
        </w:rPr>
        <w:t>the first day hearing fixed by the setting down, or a hearing day scheduled in place of that first hearing date, does not occur.</w:t>
      </w:r>
    </w:p>
    <w:p w:rsidR="000E0590" w:rsidRDefault="000E0590" w:rsidP="000E0590">
      <w:pPr>
        <w:spacing w:before="0"/>
        <w:ind w:right="91"/>
        <w:rPr>
          <w:rFonts w:cs="Calibri"/>
        </w:rPr>
      </w:pPr>
    </w:p>
    <w:p w:rsidR="000E0590" w:rsidRDefault="000E0590" w:rsidP="000E0590">
      <w:pPr>
        <w:spacing w:before="0"/>
        <w:ind w:right="91"/>
        <w:rPr>
          <w:rFonts w:cs="Calibri"/>
        </w:rPr>
      </w:pPr>
      <w:r w:rsidRPr="006951D9">
        <w:rPr>
          <w:rFonts w:cs="Calibri"/>
        </w:rPr>
        <w:t xml:space="preserve">Refunds </w:t>
      </w:r>
      <w:r w:rsidR="009012C6">
        <w:rPr>
          <w:rFonts w:cs="Calibri"/>
        </w:rPr>
        <w:t>are</w:t>
      </w:r>
      <w:r w:rsidRPr="006951D9">
        <w:rPr>
          <w:rFonts w:cs="Calibri"/>
        </w:rPr>
        <w:t xml:space="preserve"> still available for secon</w:t>
      </w:r>
      <w:r>
        <w:rPr>
          <w:rFonts w:cs="Calibri"/>
        </w:rPr>
        <w:t>d and subsequent hearing days, in accordance with the</w:t>
      </w:r>
      <w:r w:rsidR="00C45F77">
        <w:rPr>
          <w:rFonts w:cs="Calibri"/>
        </w:rPr>
        <w:t xml:space="preserve"> </w:t>
      </w:r>
      <w:r>
        <w:rPr>
          <w:rFonts w:cs="Calibri"/>
        </w:rPr>
        <w:t>Regulation.</w:t>
      </w:r>
    </w:p>
    <w:p w:rsidR="000E0590" w:rsidRDefault="000E0590" w:rsidP="000E0590">
      <w:pPr>
        <w:spacing w:before="0"/>
        <w:ind w:right="91"/>
        <w:rPr>
          <w:rFonts w:cs="Calibri"/>
        </w:rPr>
      </w:pPr>
    </w:p>
    <w:p w:rsidR="000E0590" w:rsidRDefault="000E0590" w:rsidP="000E0590">
      <w:pPr>
        <w:spacing w:before="0"/>
        <w:ind w:right="91"/>
        <w:rPr>
          <w:i/>
        </w:rPr>
      </w:pPr>
      <w:r>
        <w:rPr>
          <w:i/>
        </w:rPr>
        <w:t>Hearing fees – hearing not commenced</w:t>
      </w:r>
    </w:p>
    <w:p w:rsidR="000E0590" w:rsidRDefault="000E0590" w:rsidP="000E0590">
      <w:pPr>
        <w:spacing w:before="0"/>
        <w:ind w:right="91"/>
      </w:pPr>
    </w:p>
    <w:p w:rsidR="000E0590" w:rsidRDefault="000E0590" w:rsidP="000E0590">
      <w:pPr>
        <w:spacing w:before="0"/>
        <w:ind w:right="91"/>
      </w:pPr>
      <w:r>
        <w:t>Subsection</w:t>
      </w:r>
      <w:r w:rsidR="00830C69">
        <w:t>s</w:t>
      </w:r>
      <w:r>
        <w:t xml:space="preserve"> 2.12(5) </w:t>
      </w:r>
      <w:r w:rsidR="00830C69">
        <w:t xml:space="preserve">and (6) </w:t>
      </w:r>
      <w:r>
        <w:t xml:space="preserve">provide an entitlement to a refund of a hearing fee paid by a person for a hearing that has not commenced in relation to a proceeding if the person notifies the registrar or an authorised officer in writing at least 10 business days before the hearing day that the hearing will not occur, or will occur only for the making of formal orders.  In the case of any hearing day fixed less than 10 business days before the hearing day, the person must have notified the registrar or authorised officer in writing at least </w:t>
      </w:r>
      <w:r w:rsidR="00F9102E">
        <w:t>two</w:t>
      </w:r>
      <w:r>
        <w:t xml:space="preserve"> business days before the hearing day.  </w:t>
      </w:r>
    </w:p>
    <w:p w:rsidR="000E0590" w:rsidRDefault="000E0590" w:rsidP="000E0590">
      <w:pPr>
        <w:spacing w:before="0"/>
        <w:ind w:right="91"/>
      </w:pPr>
    </w:p>
    <w:p w:rsidR="000E0590" w:rsidRDefault="000E0590" w:rsidP="000E0590">
      <w:pPr>
        <w:spacing w:before="0"/>
        <w:ind w:right="91"/>
      </w:pPr>
      <w:r>
        <w:t xml:space="preserve">A registrar or authorised officer </w:t>
      </w:r>
      <w:r w:rsidR="009012C6">
        <w:t>has</w:t>
      </w:r>
      <w:r>
        <w:t>, under subsection 2.12(7), a discretion to refund a hearing fee for a hearing that has not commenced in relation to a proceeding if</w:t>
      </w:r>
      <w:r w:rsidR="00530693">
        <w:t xml:space="preserve"> the person, through no fault on</w:t>
      </w:r>
      <w:r>
        <w:t xml:space="preserve"> his or her part, has not notified the registrar or authorised officer in writing, within the relevant time limit, that the hearing will not occur (or will occur only for the making of formal orders).   </w:t>
      </w:r>
    </w:p>
    <w:p w:rsidR="000E0590" w:rsidRDefault="000E0590" w:rsidP="000E0590">
      <w:pPr>
        <w:spacing w:before="0"/>
        <w:ind w:right="91"/>
      </w:pPr>
    </w:p>
    <w:p w:rsidR="000E0590" w:rsidRDefault="000E0590" w:rsidP="009A77A3">
      <w:pPr>
        <w:spacing w:before="0"/>
        <w:ind w:right="91"/>
      </w:pPr>
      <w:r>
        <w:t>Subsection 2.12(8) define</w:t>
      </w:r>
      <w:r w:rsidR="009012C6">
        <w:t>s</w:t>
      </w:r>
      <w:r>
        <w:t xml:space="preserve"> ‘formal orders’ for the purposes of subsections 2.12(5) and 2.12(7) as orders finalising the proceedings that were to be the subject of the hearing.</w:t>
      </w:r>
    </w:p>
    <w:p w:rsidR="001D1512" w:rsidRDefault="001D1512" w:rsidP="009A77A3">
      <w:pPr>
        <w:spacing w:before="0"/>
        <w:ind w:right="91"/>
      </w:pPr>
    </w:p>
    <w:p w:rsidR="001D1512" w:rsidRDefault="001D1512" w:rsidP="001D1512">
      <w:pPr>
        <w:spacing w:before="0"/>
        <w:ind w:right="91"/>
        <w:rPr>
          <w:i/>
        </w:rPr>
      </w:pPr>
      <w:r>
        <w:rPr>
          <w:i/>
        </w:rPr>
        <w:t>Hearing fees – hearing commenced</w:t>
      </w:r>
    </w:p>
    <w:p w:rsidR="001D1512" w:rsidRDefault="001D1512" w:rsidP="001D1512">
      <w:pPr>
        <w:spacing w:before="0"/>
        <w:ind w:right="91"/>
      </w:pPr>
    </w:p>
    <w:p w:rsidR="001D1512" w:rsidRDefault="009012C6" w:rsidP="001D1512">
      <w:pPr>
        <w:spacing w:before="0"/>
        <w:ind w:right="91"/>
      </w:pPr>
      <w:r>
        <w:t xml:space="preserve">Subsection 2.12(9) </w:t>
      </w:r>
      <w:r w:rsidR="001D1512">
        <w:t>provide</w:t>
      </w:r>
      <w:r>
        <w:t>s</w:t>
      </w:r>
      <w:r w:rsidR="001D1512">
        <w:t xml:space="preserve"> an entitlement to a refund of a hearing fee for any unused hearing days where the hearing has commenced.  For example, if a perso</w:t>
      </w:r>
      <w:r w:rsidR="0076663A">
        <w:t>n were to pay hearing fees for 1</w:t>
      </w:r>
      <w:r w:rsidR="001D1512">
        <w:t xml:space="preserve">0 hearing days in advance, but the proceeding </w:t>
      </w:r>
      <w:r w:rsidR="00F9102E">
        <w:t>settles or discontinues after five</w:t>
      </w:r>
      <w:r w:rsidR="001D1512">
        <w:t xml:space="preserve"> hearing days (or if the proceeding</w:t>
      </w:r>
      <w:r w:rsidR="0076663A">
        <w:t xml:space="preserve">s are fully heard within those </w:t>
      </w:r>
      <w:r w:rsidR="00F9102E">
        <w:t>five</w:t>
      </w:r>
      <w:r w:rsidR="0076663A">
        <w:t> </w:t>
      </w:r>
      <w:r w:rsidR="001D1512">
        <w:t>hearing days), the person would be entitled to a refund of the hearing fees paid for unused hearing days.  As it is anticipated that the entitlement would usually arise when a multi</w:t>
      </w:r>
      <w:r w:rsidR="001D1512">
        <w:noBreakHyphen/>
        <w:t xml:space="preserve">day hearing finishes early, no advance written notification to the registrar </w:t>
      </w:r>
      <w:r>
        <w:t>is</w:t>
      </w:r>
      <w:r w:rsidR="001D1512">
        <w:t xml:space="preserve"> required.  The provision enable</w:t>
      </w:r>
      <w:r>
        <w:t>s</w:t>
      </w:r>
      <w:r w:rsidR="001D1512">
        <w:t xml:space="preserve"> litigants to be able to prepay all their hearing fees in one transaction rather than paying individually each day, and be assured that the hearing fees paid for any unused hearing days </w:t>
      </w:r>
      <w:r w:rsidR="0063621F">
        <w:t>are</w:t>
      </w:r>
      <w:r w:rsidR="001D1512">
        <w:t xml:space="preserve"> refundable.   </w:t>
      </w:r>
    </w:p>
    <w:p w:rsidR="001D1512" w:rsidRDefault="001D1512" w:rsidP="001D1512">
      <w:pPr>
        <w:spacing w:before="0"/>
        <w:ind w:right="91"/>
        <w:rPr>
          <w:i/>
        </w:rPr>
      </w:pPr>
    </w:p>
    <w:p w:rsidR="001D1512" w:rsidRDefault="001D1512" w:rsidP="001D1512">
      <w:pPr>
        <w:spacing w:before="0"/>
        <w:ind w:right="91"/>
        <w:rPr>
          <w:i/>
        </w:rPr>
      </w:pPr>
      <w:r>
        <w:rPr>
          <w:i/>
        </w:rPr>
        <w:t>Conciliation conference fee</w:t>
      </w:r>
    </w:p>
    <w:p w:rsidR="001D1512" w:rsidRDefault="001D1512" w:rsidP="001D1512">
      <w:pPr>
        <w:spacing w:before="0"/>
        <w:ind w:right="91"/>
        <w:rPr>
          <w:i/>
        </w:rPr>
      </w:pPr>
    </w:p>
    <w:p w:rsidR="001D1512" w:rsidRPr="00F2749E" w:rsidRDefault="001D1512" w:rsidP="001D1512">
      <w:pPr>
        <w:spacing w:before="0"/>
        <w:ind w:right="91"/>
      </w:pPr>
      <w:r>
        <w:t>Subsection 2.12(10) provide</w:t>
      </w:r>
      <w:r w:rsidR="009012C6">
        <w:t>s</w:t>
      </w:r>
      <w:r>
        <w:t xml:space="preserve"> an entitlement to a refund of a </w:t>
      </w:r>
      <w:r w:rsidR="008B3802">
        <w:t xml:space="preserve">conciliation conference </w:t>
      </w:r>
      <w:r>
        <w:t xml:space="preserve">fee where the </w:t>
      </w:r>
      <w:r w:rsidR="008B3802">
        <w:t xml:space="preserve">conference </w:t>
      </w:r>
      <w:r>
        <w:t xml:space="preserve">does not proceed </w:t>
      </w:r>
      <w:r w:rsidR="008B3802">
        <w:t xml:space="preserve">because the proceedings in relation to the conference </w:t>
      </w:r>
      <w:r w:rsidR="00325AFB">
        <w:t>are</w:t>
      </w:r>
      <w:r w:rsidR="008B3802">
        <w:t xml:space="preserve"> settled or discontinued before the conference could be held.</w:t>
      </w:r>
      <w:r>
        <w:t xml:space="preserve"> </w:t>
      </w:r>
    </w:p>
    <w:p w:rsidR="00A5589A" w:rsidRPr="004456B4" w:rsidRDefault="00A5589A" w:rsidP="009A77A3">
      <w:pPr>
        <w:spacing w:before="0"/>
        <w:ind w:right="91"/>
        <w:rPr>
          <w:b/>
        </w:rPr>
      </w:pPr>
    </w:p>
    <w:p w:rsidR="003A617F" w:rsidRPr="004456B4" w:rsidRDefault="00CE4CF1" w:rsidP="009A77A3">
      <w:pPr>
        <w:spacing w:before="0"/>
        <w:ind w:right="91"/>
        <w:rPr>
          <w:b/>
        </w:rPr>
      </w:pPr>
      <w:r>
        <w:rPr>
          <w:b/>
        </w:rPr>
        <w:t>Section 2.13</w:t>
      </w:r>
      <w:r w:rsidR="003A617F" w:rsidRPr="004456B4">
        <w:rPr>
          <w:b/>
        </w:rPr>
        <w:t xml:space="preserve"> – Biennial increase in fees</w:t>
      </w:r>
    </w:p>
    <w:p w:rsidR="003A617F" w:rsidRDefault="003A617F" w:rsidP="009A77A3">
      <w:pPr>
        <w:spacing w:before="0"/>
        <w:ind w:right="91"/>
        <w:rPr>
          <w:b/>
        </w:rPr>
      </w:pPr>
    </w:p>
    <w:p w:rsidR="00CE4CF1" w:rsidRDefault="00530693" w:rsidP="00CE4CF1">
      <w:pPr>
        <w:spacing w:before="0"/>
        <w:ind w:right="91"/>
      </w:pPr>
      <w:r>
        <w:t>This section</w:t>
      </w:r>
      <w:r w:rsidR="00CE4CF1">
        <w:t xml:space="preserve"> provide</w:t>
      </w:r>
      <w:r w:rsidR="009012C6">
        <w:t>s</w:t>
      </w:r>
      <w:r w:rsidR="00CE4CF1">
        <w:t xml:space="preserve"> for automatic biennial increase </w:t>
      </w:r>
      <w:r w:rsidR="006F0213">
        <w:t>of</w:t>
      </w:r>
      <w:r w:rsidR="00CE4CF1">
        <w:t xml:space="preserve"> the court fees set out in Schedule 1 to the Regulation, commencing from 1 July 2014.  </w:t>
      </w:r>
      <w:r>
        <w:t>The</w:t>
      </w:r>
      <w:r w:rsidR="00CE4CF1">
        <w:t xml:space="preserve"> fees </w:t>
      </w:r>
      <w:r w:rsidR="0063621F">
        <w:t>wil</w:t>
      </w:r>
      <w:r w:rsidR="009012C6">
        <w:t>l</w:t>
      </w:r>
      <w:r w:rsidR="00CE4CF1">
        <w:t xml:space="preserve"> be increased biennially in accordance with upwards movement in the All Groups Consumer Price Index published by the Australian Statistician.  </w:t>
      </w:r>
    </w:p>
    <w:p w:rsidR="00CE4CF1" w:rsidRPr="004456B4" w:rsidRDefault="00CE4CF1" w:rsidP="009A77A3">
      <w:pPr>
        <w:spacing w:before="0"/>
        <w:ind w:right="91"/>
        <w:rPr>
          <w:b/>
        </w:rPr>
      </w:pPr>
    </w:p>
    <w:p w:rsidR="003A617F" w:rsidRDefault="00CE4CF1" w:rsidP="009A77A3">
      <w:pPr>
        <w:spacing w:before="0"/>
        <w:ind w:right="91"/>
        <w:rPr>
          <w:b/>
        </w:rPr>
      </w:pPr>
      <w:r>
        <w:rPr>
          <w:b/>
        </w:rPr>
        <w:t>Section 2.14</w:t>
      </w:r>
      <w:r w:rsidR="003A617F" w:rsidRPr="004456B4">
        <w:rPr>
          <w:b/>
        </w:rPr>
        <w:t xml:space="preserve"> – Notice of decision and AAT review</w:t>
      </w:r>
    </w:p>
    <w:p w:rsidR="00461130" w:rsidRDefault="00461130" w:rsidP="009A77A3">
      <w:pPr>
        <w:spacing w:before="0"/>
        <w:ind w:right="91"/>
        <w:rPr>
          <w:b/>
        </w:rPr>
      </w:pPr>
    </w:p>
    <w:p w:rsidR="00461130" w:rsidRDefault="00461130" w:rsidP="00461130">
      <w:pPr>
        <w:spacing w:before="0"/>
        <w:ind w:right="91"/>
      </w:pPr>
      <w:r>
        <w:t>This section (subsections 2.14(1) and (5)) provide</w:t>
      </w:r>
      <w:r w:rsidR="009012C6">
        <w:t>s</w:t>
      </w:r>
      <w:r>
        <w:t xml:space="preserve"> for rights of appeal to the Administrative Appeals Tribunal (AAT) from a decision of a registrar or authorised officer about the payment of a fee </w:t>
      </w:r>
      <w:r w:rsidR="00C45F77">
        <w:t xml:space="preserve">in the Regulation </w:t>
      </w:r>
      <w:r>
        <w:t>under:</w:t>
      </w:r>
    </w:p>
    <w:p w:rsidR="00461130" w:rsidRDefault="00461130" w:rsidP="00461130">
      <w:pPr>
        <w:spacing w:before="0"/>
        <w:ind w:right="91"/>
      </w:pPr>
    </w:p>
    <w:p w:rsidR="00461130" w:rsidRDefault="00461130" w:rsidP="00461130">
      <w:pPr>
        <w:numPr>
          <w:ilvl w:val="0"/>
          <w:numId w:val="16"/>
        </w:numPr>
        <w:spacing w:before="0"/>
        <w:ind w:right="91"/>
      </w:pPr>
      <w:r>
        <w:t>sections 2.05 (exemption from payment on the ground of financial hardship)</w:t>
      </w:r>
    </w:p>
    <w:p w:rsidR="00461130" w:rsidRDefault="00461130" w:rsidP="00461130">
      <w:pPr>
        <w:spacing w:before="0"/>
        <w:ind w:right="91"/>
      </w:pPr>
    </w:p>
    <w:p w:rsidR="00461130" w:rsidRDefault="00461130" w:rsidP="00461130">
      <w:pPr>
        <w:numPr>
          <w:ilvl w:val="0"/>
          <w:numId w:val="16"/>
        </w:numPr>
        <w:spacing w:before="0"/>
        <w:ind w:right="91"/>
      </w:pPr>
      <w:r>
        <w:t xml:space="preserve">section 2.10 (deferral of the time for payment of a fee) </w:t>
      </w:r>
    </w:p>
    <w:p w:rsidR="00461130" w:rsidRDefault="00461130" w:rsidP="00461130">
      <w:pPr>
        <w:spacing w:before="0"/>
        <w:ind w:right="91"/>
      </w:pPr>
    </w:p>
    <w:p w:rsidR="00461130" w:rsidRDefault="00461130" w:rsidP="00461130">
      <w:pPr>
        <w:numPr>
          <w:ilvl w:val="0"/>
          <w:numId w:val="16"/>
        </w:numPr>
        <w:spacing w:before="0"/>
        <w:ind w:right="91"/>
      </w:pPr>
      <w:r>
        <w:t xml:space="preserve">subsection 2.06(2) (payment of the reduced fee for a divorce </w:t>
      </w:r>
      <w:r w:rsidR="00FB40BC">
        <w:t xml:space="preserve">or nullity of marriage </w:t>
      </w:r>
      <w:r>
        <w:t xml:space="preserve">application), and </w:t>
      </w:r>
    </w:p>
    <w:p w:rsidR="00461130" w:rsidRDefault="00461130" w:rsidP="00461130">
      <w:pPr>
        <w:spacing w:before="0"/>
        <w:ind w:right="91"/>
      </w:pPr>
    </w:p>
    <w:p w:rsidR="00461130" w:rsidRDefault="00461130" w:rsidP="00461130">
      <w:pPr>
        <w:numPr>
          <w:ilvl w:val="0"/>
          <w:numId w:val="16"/>
        </w:numPr>
        <w:spacing w:before="0"/>
        <w:ind w:right="91"/>
      </w:pPr>
      <w:r>
        <w:t>subsection 2.12(7) (refund of a hearing fee where notification within required time limit has not occurred).</w:t>
      </w:r>
    </w:p>
    <w:p w:rsidR="00461130" w:rsidRDefault="00461130" w:rsidP="00461130">
      <w:pPr>
        <w:spacing w:before="0"/>
        <w:ind w:right="91"/>
      </w:pPr>
    </w:p>
    <w:p w:rsidR="00461130" w:rsidRDefault="00461130" w:rsidP="00461130">
      <w:pPr>
        <w:spacing w:before="0"/>
        <w:ind w:right="91"/>
      </w:pPr>
      <w:r>
        <w:t>The section require</w:t>
      </w:r>
      <w:r w:rsidR="00C92F30">
        <w:t>s</w:t>
      </w:r>
      <w:r w:rsidR="00417989">
        <w:t xml:space="preserve"> a r</w:t>
      </w:r>
      <w:r>
        <w:t>egistrar or authorised officer to give a notice of the decision to the person required to pay the fee (subsection 2.</w:t>
      </w:r>
      <w:r w:rsidR="00417989">
        <w:t>14</w:t>
      </w:r>
      <w:r>
        <w:t xml:space="preserve">(1)) within 28 days after making </w:t>
      </w:r>
      <w:r>
        <w:lastRenderedPageBreak/>
        <w:t>the decision (subsection 2.</w:t>
      </w:r>
      <w:r w:rsidR="00417989">
        <w:t>14</w:t>
      </w:r>
      <w:r>
        <w:t>(2)) setting out the decision and, for particular decisions, a statement that the person may apply to the AAT for review of the decision and the reasons for the decision (subsections 2.</w:t>
      </w:r>
      <w:r w:rsidR="00417989">
        <w:t>14</w:t>
      </w:r>
      <w:r>
        <w:t>(3) and (4)).</w:t>
      </w:r>
    </w:p>
    <w:p w:rsidR="00461130" w:rsidRDefault="00461130" w:rsidP="00461130">
      <w:pPr>
        <w:spacing w:before="0"/>
        <w:ind w:right="91"/>
      </w:pPr>
    </w:p>
    <w:p w:rsidR="00461130" w:rsidRDefault="00461130" w:rsidP="00461130">
      <w:pPr>
        <w:spacing w:before="0"/>
        <w:ind w:right="91"/>
      </w:pPr>
      <w:r>
        <w:t>Subsection 2.</w:t>
      </w:r>
      <w:r w:rsidR="00417989">
        <w:t>14</w:t>
      </w:r>
      <w:r>
        <w:t>(6) provide</w:t>
      </w:r>
      <w:r w:rsidR="00C92F30">
        <w:t>s</w:t>
      </w:r>
      <w:r>
        <w:t xml:space="preserve"> that failure to advise of rights of appeal to the AAT does not affect the validity of the decision made by the </w:t>
      </w:r>
      <w:r w:rsidR="00417989">
        <w:t>r</w:t>
      </w:r>
      <w:r>
        <w:t>egistrar or authorised officer.</w:t>
      </w:r>
    </w:p>
    <w:p w:rsidR="00461130" w:rsidRDefault="00461130" w:rsidP="00461130">
      <w:pPr>
        <w:spacing w:before="0"/>
        <w:ind w:right="91"/>
      </w:pPr>
    </w:p>
    <w:p w:rsidR="003A617F" w:rsidRPr="004456B4" w:rsidRDefault="00CE4CF1" w:rsidP="009A77A3">
      <w:pPr>
        <w:spacing w:before="0"/>
        <w:ind w:right="91"/>
        <w:rPr>
          <w:b/>
        </w:rPr>
      </w:pPr>
      <w:r>
        <w:rPr>
          <w:b/>
        </w:rPr>
        <w:t>Section 2.15</w:t>
      </w:r>
      <w:r w:rsidR="003A617F" w:rsidRPr="004456B4">
        <w:rPr>
          <w:b/>
        </w:rPr>
        <w:t xml:space="preserve"> – Debt due to Commonwealth</w:t>
      </w:r>
      <w:r w:rsidR="0023185F">
        <w:rPr>
          <w:b/>
        </w:rPr>
        <w:t xml:space="preserve"> or State</w:t>
      </w:r>
    </w:p>
    <w:p w:rsidR="003A617F" w:rsidRDefault="003A617F" w:rsidP="009A77A3">
      <w:pPr>
        <w:spacing w:before="0"/>
        <w:ind w:right="91"/>
        <w:rPr>
          <w:u w:val="single"/>
        </w:rPr>
      </w:pPr>
    </w:p>
    <w:p w:rsidR="006446D6" w:rsidRDefault="006446D6" w:rsidP="006446D6">
      <w:pPr>
        <w:spacing w:before="0"/>
        <w:ind w:right="91"/>
      </w:pPr>
      <w:r>
        <w:t>Subsection 2.15(1) provide</w:t>
      </w:r>
      <w:r w:rsidR="00C92F30">
        <w:t>s</w:t>
      </w:r>
      <w:r>
        <w:t xml:space="preserve"> that if a fee is not paid in accordance with the Regulation, then it immediately becomes a debt due to the Commonwealth.  This would include where a fee is not paid at the end of an invoice period or deferral period (and no further deferral is granted).  </w:t>
      </w:r>
    </w:p>
    <w:p w:rsidR="006446D6" w:rsidRDefault="006446D6" w:rsidP="006446D6">
      <w:pPr>
        <w:spacing w:before="0"/>
        <w:ind w:right="91"/>
      </w:pPr>
    </w:p>
    <w:p w:rsidR="006446D6" w:rsidRDefault="006446D6" w:rsidP="006446D6">
      <w:pPr>
        <w:spacing w:before="0"/>
        <w:ind w:right="91"/>
      </w:pPr>
      <w:r>
        <w:t>Subsection 2.15(2) provide</w:t>
      </w:r>
      <w:r w:rsidR="00C92F30">
        <w:t>s</w:t>
      </w:r>
      <w:r>
        <w:t xml:space="preserve"> that subsection (1) is subject to the following:</w:t>
      </w:r>
    </w:p>
    <w:p w:rsidR="006446D6" w:rsidRDefault="006446D6" w:rsidP="006446D6">
      <w:pPr>
        <w:spacing w:before="0"/>
        <w:ind w:left="720" w:right="91"/>
      </w:pPr>
    </w:p>
    <w:p w:rsidR="006446D6" w:rsidRDefault="006446D6" w:rsidP="006446D6">
      <w:pPr>
        <w:numPr>
          <w:ilvl w:val="0"/>
          <w:numId w:val="16"/>
        </w:numPr>
        <w:spacing w:before="0"/>
        <w:ind w:right="91"/>
      </w:pPr>
      <w:r>
        <w:t xml:space="preserve">if the fee is payable in relation to a proceeding in a Family Court of a State – then it is recoverable </w:t>
      </w:r>
      <w:r w:rsidR="00530693">
        <w:t xml:space="preserve">by the State as a debt due to </w:t>
      </w:r>
      <w:r>
        <w:t>that State</w:t>
      </w:r>
      <w:r w:rsidR="00530693">
        <w:t xml:space="preserve">, and </w:t>
      </w:r>
    </w:p>
    <w:p w:rsidR="006446D6" w:rsidRDefault="006446D6" w:rsidP="006446D6">
      <w:pPr>
        <w:spacing w:before="0"/>
        <w:ind w:right="91"/>
      </w:pPr>
    </w:p>
    <w:p w:rsidR="006446D6" w:rsidRDefault="006446D6" w:rsidP="006446D6">
      <w:pPr>
        <w:numPr>
          <w:ilvl w:val="0"/>
          <w:numId w:val="16"/>
        </w:numPr>
        <w:spacing w:before="0"/>
        <w:ind w:right="91"/>
      </w:pPr>
      <w:r>
        <w:t>if the fee is payable in relation to the proceeding in a court of summary jurisdiction of a State or Territory – then it is recoverabl</w:t>
      </w:r>
      <w:r w:rsidR="00530693">
        <w:t>e</w:t>
      </w:r>
      <w:r>
        <w:t xml:space="preserve"> by the State or Territory</w:t>
      </w:r>
      <w:r w:rsidR="00BA082B">
        <w:t xml:space="preserve"> as a debt due to that State or Territory</w:t>
      </w:r>
      <w:r>
        <w:t>.</w:t>
      </w:r>
    </w:p>
    <w:p w:rsidR="006446D6" w:rsidRDefault="006446D6" w:rsidP="009A77A3">
      <w:pPr>
        <w:spacing w:before="0"/>
        <w:ind w:right="91"/>
        <w:rPr>
          <w:u w:val="single"/>
        </w:rPr>
      </w:pPr>
    </w:p>
    <w:p w:rsidR="003C21A2" w:rsidRDefault="003A617F" w:rsidP="009A77A3">
      <w:pPr>
        <w:spacing w:before="0"/>
        <w:ind w:right="91"/>
        <w:rPr>
          <w:u w:val="single"/>
        </w:rPr>
      </w:pPr>
      <w:r w:rsidRPr="003C21A2">
        <w:rPr>
          <w:u w:val="single"/>
        </w:rPr>
        <w:t xml:space="preserve">Schedule 1 </w:t>
      </w:r>
      <w:r w:rsidR="00732241">
        <w:rPr>
          <w:u w:val="single"/>
        </w:rPr>
        <w:t xml:space="preserve">– </w:t>
      </w:r>
      <w:r w:rsidRPr="003C21A2">
        <w:rPr>
          <w:u w:val="single"/>
        </w:rPr>
        <w:t>Fees</w:t>
      </w:r>
      <w:r w:rsidR="00732241">
        <w:rPr>
          <w:u w:val="single"/>
        </w:rPr>
        <w:t xml:space="preserve"> </w:t>
      </w:r>
    </w:p>
    <w:p w:rsidR="00732241" w:rsidRDefault="00732241" w:rsidP="009A77A3">
      <w:pPr>
        <w:spacing w:before="0"/>
        <w:ind w:right="91"/>
        <w:rPr>
          <w:u w:val="single"/>
        </w:rPr>
      </w:pPr>
    </w:p>
    <w:p w:rsidR="003C21A2" w:rsidRDefault="003C21A2" w:rsidP="0023185F">
      <w:pPr>
        <w:spacing w:before="0" w:after="240"/>
        <w:ind w:right="91"/>
        <w:rPr>
          <w:szCs w:val="24"/>
        </w:rPr>
      </w:pPr>
      <w:r w:rsidRPr="00FF0C51">
        <w:rPr>
          <w:szCs w:val="24"/>
        </w:rPr>
        <w:t xml:space="preserve">Schedule 1 </w:t>
      </w:r>
      <w:r>
        <w:rPr>
          <w:szCs w:val="24"/>
        </w:rPr>
        <w:t>list</w:t>
      </w:r>
      <w:r w:rsidR="00C92F30">
        <w:rPr>
          <w:szCs w:val="24"/>
        </w:rPr>
        <w:t>s</w:t>
      </w:r>
      <w:r w:rsidRPr="00FF0C51">
        <w:rPr>
          <w:szCs w:val="24"/>
        </w:rPr>
        <w:t xml:space="preserve"> the fees payable for the filing of documents or provision of a service </w:t>
      </w:r>
      <w:r w:rsidR="00BA082B">
        <w:rPr>
          <w:szCs w:val="24"/>
        </w:rPr>
        <w:t>in respect of proceedings under the Family Law Act</w:t>
      </w:r>
      <w:r w:rsidRPr="00FF0C51">
        <w:rPr>
          <w:szCs w:val="24"/>
        </w:rPr>
        <w:t xml:space="preserve">. </w:t>
      </w:r>
      <w:r>
        <w:rPr>
          <w:szCs w:val="24"/>
        </w:rPr>
        <w:t xml:space="preserve"> </w:t>
      </w:r>
      <w:r w:rsidRPr="00FF0C51">
        <w:rPr>
          <w:szCs w:val="24"/>
        </w:rPr>
        <w:t xml:space="preserve">The fees </w:t>
      </w:r>
      <w:r w:rsidR="00C92F30">
        <w:rPr>
          <w:szCs w:val="24"/>
        </w:rPr>
        <w:t>are</w:t>
      </w:r>
      <w:r>
        <w:rPr>
          <w:szCs w:val="24"/>
        </w:rPr>
        <w:t xml:space="preserve"> </w:t>
      </w:r>
      <w:r w:rsidRPr="00FF0C51">
        <w:rPr>
          <w:szCs w:val="24"/>
        </w:rPr>
        <w:t xml:space="preserve">the fees prescribed under the </w:t>
      </w:r>
      <w:r>
        <w:rPr>
          <w:szCs w:val="24"/>
        </w:rPr>
        <w:t xml:space="preserve">Family </w:t>
      </w:r>
      <w:r w:rsidR="0040779D">
        <w:rPr>
          <w:szCs w:val="24"/>
        </w:rPr>
        <w:t xml:space="preserve">Law </w:t>
      </w:r>
      <w:r w:rsidRPr="00FF0C51">
        <w:rPr>
          <w:szCs w:val="24"/>
        </w:rPr>
        <w:t>Regulations</w:t>
      </w:r>
      <w:r>
        <w:rPr>
          <w:szCs w:val="24"/>
        </w:rPr>
        <w:t xml:space="preserve"> and the F</w:t>
      </w:r>
      <w:r w:rsidR="00732241">
        <w:rPr>
          <w:szCs w:val="24"/>
        </w:rPr>
        <w:t xml:space="preserve">ederal </w:t>
      </w:r>
      <w:r>
        <w:rPr>
          <w:szCs w:val="24"/>
        </w:rPr>
        <w:t>M</w:t>
      </w:r>
      <w:r w:rsidR="00732241">
        <w:rPr>
          <w:szCs w:val="24"/>
        </w:rPr>
        <w:t>agistrates</w:t>
      </w:r>
      <w:r>
        <w:rPr>
          <w:szCs w:val="24"/>
        </w:rPr>
        <w:t xml:space="preserve"> Regulations</w:t>
      </w:r>
      <w:r w:rsidRPr="00FF0C51">
        <w:rPr>
          <w:szCs w:val="24"/>
        </w:rPr>
        <w:t>, as increase</w:t>
      </w:r>
      <w:r>
        <w:rPr>
          <w:szCs w:val="24"/>
        </w:rPr>
        <w:t xml:space="preserve">d every two years in accordance with </w:t>
      </w:r>
      <w:r w:rsidR="00BA082B">
        <w:rPr>
          <w:szCs w:val="24"/>
        </w:rPr>
        <w:t>regulation 21AA</w:t>
      </w:r>
      <w:r w:rsidR="005864EA">
        <w:rPr>
          <w:szCs w:val="24"/>
        </w:rPr>
        <w:t xml:space="preserve"> </w:t>
      </w:r>
      <w:r>
        <w:rPr>
          <w:szCs w:val="24"/>
        </w:rPr>
        <w:t xml:space="preserve">of the </w:t>
      </w:r>
      <w:r w:rsidR="0040779D">
        <w:rPr>
          <w:szCs w:val="24"/>
        </w:rPr>
        <w:t xml:space="preserve">Family Law </w:t>
      </w:r>
      <w:r>
        <w:rPr>
          <w:szCs w:val="24"/>
        </w:rPr>
        <w:t>Regulations</w:t>
      </w:r>
      <w:r w:rsidR="005864EA">
        <w:rPr>
          <w:szCs w:val="24"/>
        </w:rPr>
        <w:t xml:space="preserve"> and </w:t>
      </w:r>
      <w:r w:rsidR="00BA082B">
        <w:rPr>
          <w:szCs w:val="24"/>
        </w:rPr>
        <w:t xml:space="preserve">regulation </w:t>
      </w:r>
      <w:r w:rsidR="005864EA">
        <w:rPr>
          <w:szCs w:val="24"/>
        </w:rPr>
        <w:t xml:space="preserve">14 of the </w:t>
      </w:r>
      <w:r w:rsidR="00732241">
        <w:rPr>
          <w:szCs w:val="24"/>
        </w:rPr>
        <w:t xml:space="preserve">Federal Magistrates </w:t>
      </w:r>
      <w:r>
        <w:rPr>
          <w:szCs w:val="24"/>
        </w:rPr>
        <w:t>Regulations, with the following changes:</w:t>
      </w:r>
    </w:p>
    <w:p w:rsidR="0040779D" w:rsidRDefault="0040779D" w:rsidP="00BA082B">
      <w:pPr>
        <w:numPr>
          <w:ilvl w:val="0"/>
          <w:numId w:val="11"/>
        </w:numPr>
        <w:spacing w:before="0" w:after="240"/>
        <w:ind w:left="714" w:right="91" w:hanging="357"/>
        <w:rPr>
          <w:szCs w:val="24"/>
        </w:rPr>
      </w:pPr>
      <w:r>
        <w:rPr>
          <w:szCs w:val="24"/>
        </w:rPr>
        <w:t>consolidation of fees in both the F</w:t>
      </w:r>
      <w:r w:rsidR="00732241">
        <w:rPr>
          <w:szCs w:val="24"/>
        </w:rPr>
        <w:t>amily Law Regulations and the Federal Magistrates</w:t>
      </w:r>
      <w:r>
        <w:rPr>
          <w:szCs w:val="24"/>
        </w:rPr>
        <w:t xml:space="preserve"> Regulations into </w:t>
      </w:r>
      <w:r w:rsidR="00BA082B">
        <w:rPr>
          <w:szCs w:val="24"/>
        </w:rPr>
        <w:t>one Schedule</w:t>
      </w:r>
    </w:p>
    <w:p w:rsidR="003C21A2" w:rsidRDefault="003C21A2" w:rsidP="00BA082B">
      <w:pPr>
        <w:numPr>
          <w:ilvl w:val="0"/>
          <w:numId w:val="11"/>
        </w:numPr>
        <w:spacing w:before="0" w:after="240"/>
        <w:ind w:left="714" w:right="91" w:hanging="357"/>
        <w:rPr>
          <w:szCs w:val="24"/>
        </w:rPr>
      </w:pPr>
      <w:r>
        <w:rPr>
          <w:szCs w:val="24"/>
        </w:rPr>
        <w:t xml:space="preserve">fee amounts </w:t>
      </w:r>
      <w:r w:rsidR="00C92F30">
        <w:rPr>
          <w:szCs w:val="24"/>
        </w:rPr>
        <w:t>are</w:t>
      </w:r>
      <w:r>
        <w:rPr>
          <w:szCs w:val="24"/>
        </w:rPr>
        <w:t xml:space="preserve"> updated to reflect fee increases as part of the 2</w:t>
      </w:r>
      <w:r w:rsidR="007126EC">
        <w:rPr>
          <w:szCs w:val="24"/>
        </w:rPr>
        <w:t>012</w:t>
      </w:r>
      <w:r w:rsidR="007126EC">
        <w:rPr>
          <w:szCs w:val="24"/>
        </w:rPr>
        <w:noBreakHyphen/>
        <w:t>13 </w:t>
      </w:r>
      <w:r>
        <w:rPr>
          <w:szCs w:val="24"/>
        </w:rPr>
        <w:t xml:space="preserve">Budget, with </w:t>
      </w:r>
      <w:r w:rsidR="00BD2240">
        <w:rPr>
          <w:szCs w:val="24"/>
        </w:rPr>
        <w:t xml:space="preserve">most </w:t>
      </w:r>
      <w:r>
        <w:rPr>
          <w:szCs w:val="24"/>
        </w:rPr>
        <w:t xml:space="preserve">fees generally increased by 20%.  These </w:t>
      </w:r>
      <w:r w:rsidRPr="00FE66E2">
        <w:rPr>
          <w:szCs w:val="24"/>
        </w:rPr>
        <w:t xml:space="preserve">increases </w:t>
      </w:r>
      <w:r w:rsidR="00C92F30">
        <w:rPr>
          <w:szCs w:val="24"/>
        </w:rPr>
        <w:t>apply</w:t>
      </w:r>
      <w:r w:rsidRPr="00FE66E2">
        <w:rPr>
          <w:szCs w:val="24"/>
        </w:rPr>
        <w:t xml:space="preserve"> </w:t>
      </w:r>
      <w:r>
        <w:rPr>
          <w:szCs w:val="24"/>
        </w:rPr>
        <w:t xml:space="preserve">to </w:t>
      </w:r>
      <w:r w:rsidRPr="00FE66E2">
        <w:rPr>
          <w:szCs w:val="24"/>
        </w:rPr>
        <w:t xml:space="preserve">fee amounts listed in the </w:t>
      </w:r>
      <w:r w:rsidRPr="00FE66E2">
        <w:rPr>
          <w:i/>
          <w:szCs w:val="24"/>
        </w:rPr>
        <w:t>Australian Government Notices Gazette,</w:t>
      </w:r>
      <w:r>
        <w:rPr>
          <w:szCs w:val="24"/>
        </w:rPr>
        <w:t xml:space="preserve"> No. GN 22, 6 June 2012</w:t>
      </w:r>
    </w:p>
    <w:p w:rsidR="003C21A2" w:rsidRDefault="003C21A2" w:rsidP="00BA082B">
      <w:pPr>
        <w:numPr>
          <w:ilvl w:val="0"/>
          <w:numId w:val="11"/>
        </w:numPr>
        <w:spacing w:before="0" w:after="240"/>
        <w:ind w:left="714" w:right="91" w:hanging="357"/>
        <w:rPr>
          <w:szCs w:val="24"/>
        </w:rPr>
      </w:pPr>
      <w:r>
        <w:rPr>
          <w:szCs w:val="24"/>
        </w:rPr>
        <w:t>introduction of new fee items as part of the 2012-13 Budget, and</w:t>
      </w:r>
    </w:p>
    <w:p w:rsidR="003C21A2" w:rsidRDefault="003C21A2" w:rsidP="003C21A2">
      <w:pPr>
        <w:numPr>
          <w:ilvl w:val="0"/>
          <w:numId w:val="11"/>
        </w:numPr>
        <w:spacing w:before="0"/>
        <w:ind w:right="91"/>
        <w:rPr>
          <w:szCs w:val="24"/>
        </w:rPr>
      </w:pPr>
      <w:r>
        <w:rPr>
          <w:szCs w:val="24"/>
        </w:rPr>
        <w:t>removal of the reduced fee</w:t>
      </w:r>
      <w:r w:rsidR="00BA082B">
        <w:rPr>
          <w:szCs w:val="24"/>
        </w:rPr>
        <w:t>s under those Regulations</w:t>
      </w:r>
      <w:r>
        <w:rPr>
          <w:szCs w:val="24"/>
        </w:rPr>
        <w:t>.</w:t>
      </w:r>
    </w:p>
    <w:p w:rsidR="003C21A2" w:rsidRDefault="003C21A2" w:rsidP="003C21A2">
      <w:pPr>
        <w:spacing w:before="0"/>
        <w:ind w:right="91"/>
      </w:pPr>
    </w:p>
    <w:p w:rsidR="003C21A2" w:rsidRDefault="003C21A2" w:rsidP="003C21A2">
      <w:pPr>
        <w:spacing w:before="0"/>
        <w:ind w:right="91"/>
      </w:pPr>
      <w:r>
        <w:t>Proposed specific changes to fee items and new fee items are set out below.</w:t>
      </w:r>
    </w:p>
    <w:p w:rsidR="00642ECB" w:rsidRDefault="00642ECB" w:rsidP="00642ECB">
      <w:pPr>
        <w:spacing w:before="0"/>
        <w:ind w:right="91"/>
      </w:pPr>
    </w:p>
    <w:p w:rsidR="00142AA5" w:rsidRDefault="00142AA5" w:rsidP="00642ECB">
      <w:pPr>
        <w:spacing w:before="0"/>
        <w:ind w:right="91"/>
        <w:rPr>
          <w:i/>
        </w:rPr>
      </w:pPr>
      <w:r>
        <w:rPr>
          <w:i/>
        </w:rPr>
        <w:t>Item 1</w:t>
      </w:r>
    </w:p>
    <w:p w:rsidR="00D77282" w:rsidRDefault="00D77282" w:rsidP="00642ECB">
      <w:pPr>
        <w:spacing w:before="0"/>
        <w:ind w:right="91"/>
      </w:pPr>
    </w:p>
    <w:p w:rsidR="00D77282" w:rsidRDefault="00BA082B" w:rsidP="00D77282">
      <w:pPr>
        <w:spacing w:before="0"/>
        <w:ind w:right="91"/>
      </w:pPr>
      <w:r>
        <w:t>This item</w:t>
      </w:r>
      <w:r w:rsidR="00D77282">
        <w:t xml:space="preserve"> specif</w:t>
      </w:r>
      <w:r w:rsidR="00C92F30">
        <w:t>ies</w:t>
      </w:r>
      <w:r w:rsidR="00D77282">
        <w:t xml:space="preserve"> the </w:t>
      </w:r>
      <w:r w:rsidR="00A17D20">
        <w:t xml:space="preserve">reduced fee </w:t>
      </w:r>
      <w:r w:rsidR="00D77282">
        <w:t xml:space="preserve">for a divorce </w:t>
      </w:r>
      <w:r w:rsidR="0023185F">
        <w:t xml:space="preserve">or nullity of marriage </w:t>
      </w:r>
      <w:r w:rsidR="00D77282">
        <w:t xml:space="preserve">application that is payable </w:t>
      </w:r>
      <w:r w:rsidR="0023185F">
        <w:t xml:space="preserve">in the Family Court </w:t>
      </w:r>
      <w:r w:rsidR="00D77282">
        <w:t>by a pe</w:t>
      </w:r>
      <w:r w:rsidR="00A17D20">
        <w:t>rson eligible under section</w:t>
      </w:r>
      <w:r w:rsidR="00BD2240">
        <w:t> </w:t>
      </w:r>
      <w:r w:rsidR="00A17D20">
        <w:t>2.06</w:t>
      </w:r>
      <w:r w:rsidR="00D77282">
        <w:t>.</w:t>
      </w:r>
    </w:p>
    <w:p w:rsidR="00142AA5" w:rsidRDefault="00142AA5" w:rsidP="00642ECB">
      <w:pPr>
        <w:spacing w:before="0"/>
        <w:ind w:right="91"/>
      </w:pPr>
    </w:p>
    <w:p w:rsidR="00142AA5" w:rsidRDefault="00142AA5" w:rsidP="00142AA5">
      <w:pPr>
        <w:spacing w:before="0"/>
        <w:ind w:right="91"/>
        <w:rPr>
          <w:i/>
        </w:rPr>
      </w:pPr>
      <w:r>
        <w:rPr>
          <w:i/>
        </w:rPr>
        <w:t>Item 2</w:t>
      </w:r>
    </w:p>
    <w:p w:rsidR="00142AA5" w:rsidRDefault="00142AA5" w:rsidP="00142AA5">
      <w:pPr>
        <w:spacing w:before="0"/>
        <w:ind w:right="91"/>
        <w:rPr>
          <w:i/>
        </w:rPr>
      </w:pPr>
    </w:p>
    <w:p w:rsidR="00142AA5" w:rsidRDefault="00BA082B" w:rsidP="00642ECB">
      <w:pPr>
        <w:spacing w:before="0"/>
        <w:ind w:right="91"/>
      </w:pPr>
      <w:r>
        <w:t>This item</w:t>
      </w:r>
      <w:r w:rsidR="00D77282">
        <w:t xml:space="preserve"> </w:t>
      </w:r>
      <w:r w:rsidR="00C92F30">
        <w:t xml:space="preserve">specifies </w:t>
      </w:r>
      <w:r w:rsidR="00D77282">
        <w:t xml:space="preserve">the </w:t>
      </w:r>
      <w:r w:rsidR="00A17D20">
        <w:t xml:space="preserve">reduced </w:t>
      </w:r>
      <w:r w:rsidR="00D77282">
        <w:t xml:space="preserve">fee for a divorce application that is payable </w:t>
      </w:r>
      <w:r w:rsidR="0023505D">
        <w:t xml:space="preserve">in the FMC or other courts that may hear these applications </w:t>
      </w:r>
      <w:r w:rsidR="00D77282">
        <w:t>by a pe</w:t>
      </w:r>
      <w:r w:rsidR="00A17D20">
        <w:t>rson eligible under section 2.06</w:t>
      </w:r>
      <w:r w:rsidR="00D77282">
        <w:t>.</w:t>
      </w:r>
    </w:p>
    <w:p w:rsidR="00D77282" w:rsidRDefault="00D77282" w:rsidP="00642ECB">
      <w:pPr>
        <w:spacing w:before="0"/>
        <w:ind w:right="91"/>
      </w:pPr>
    </w:p>
    <w:p w:rsidR="00A5589A" w:rsidRDefault="00A5589A" w:rsidP="00642ECB">
      <w:pPr>
        <w:spacing w:before="0"/>
        <w:ind w:right="91"/>
        <w:rPr>
          <w:i/>
        </w:rPr>
      </w:pPr>
      <w:r w:rsidRPr="00A5589A">
        <w:rPr>
          <w:i/>
        </w:rPr>
        <w:t>Item 8</w:t>
      </w:r>
    </w:p>
    <w:p w:rsidR="00A5589A" w:rsidRDefault="00A5589A" w:rsidP="00642ECB">
      <w:pPr>
        <w:spacing w:before="0"/>
        <w:ind w:right="91"/>
        <w:rPr>
          <w:i/>
        </w:rPr>
      </w:pPr>
    </w:p>
    <w:p w:rsidR="001E2200" w:rsidRPr="00A5589A" w:rsidRDefault="00BA082B" w:rsidP="00A5589A">
      <w:pPr>
        <w:spacing w:before="0"/>
        <w:ind w:right="91"/>
      </w:pPr>
      <w:r>
        <w:t>This item</w:t>
      </w:r>
      <w:r w:rsidR="001E2200">
        <w:t xml:space="preserve"> </w:t>
      </w:r>
      <w:r w:rsidR="00C92F30">
        <w:t>introduces</w:t>
      </w:r>
      <w:r w:rsidR="001E2200">
        <w:t xml:space="preserve"> a fee for </w:t>
      </w:r>
      <w:r w:rsidR="00A5589A" w:rsidRPr="00A5589A">
        <w:t>filing an application for leave to appeal under section</w:t>
      </w:r>
      <w:r w:rsidR="00325AFB">
        <w:t> </w:t>
      </w:r>
      <w:r w:rsidR="00A5589A" w:rsidRPr="00A5589A">
        <w:t>94 or 94AAA</w:t>
      </w:r>
      <w:r w:rsidR="001E2200">
        <w:t xml:space="preserve"> of the Family Law Act</w:t>
      </w:r>
      <w:r>
        <w:t xml:space="preserve">, at </w:t>
      </w:r>
      <w:r w:rsidR="001E2200">
        <w:t>the same rate as the fee for filing an appeal.</w:t>
      </w:r>
      <w:r w:rsidR="009E1A29">
        <w:t xml:space="preserve">  </w:t>
      </w:r>
      <w:r w:rsidR="001E2200">
        <w:t xml:space="preserve">The fee for filing the appeal at item 7 </w:t>
      </w:r>
      <w:r w:rsidR="00C92F30">
        <w:t>is not</w:t>
      </w:r>
      <w:r w:rsidR="001E2200">
        <w:t xml:space="preserve"> payable if the fee for leave to a</w:t>
      </w:r>
      <w:r w:rsidR="009E1A29">
        <w:t xml:space="preserve">ppeal at item 8 has been paid. </w:t>
      </w:r>
    </w:p>
    <w:p w:rsidR="00720656" w:rsidRDefault="00720656" w:rsidP="00DE108F">
      <w:pPr>
        <w:spacing w:before="0"/>
        <w:ind w:right="91"/>
      </w:pPr>
    </w:p>
    <w:p w:rsidR="00142AA5" w:rsidRDefault="00142AA5" w:rsidP="00DE108F">
      <w:pPr>
        <w:spacing w:before="0"/>
        <w:ind w:right="91"/>
        <w:rPr>
          <w:i/>
        </w:rPr>
      </w:pPr>
      <w:r>
        <w:rPr>
          <w:i/>
        </w:rPr>
        <w:t>Item 9</w:t>
      </w:r>
    </w:p>
    <w:p w:rsidR="00142AA5" w:rsidRDefault="00142AA5" w:rsidP="00DE108F">
      <w:pPr>
        <w:spacing w:before="0"/>
        <w:ind w:right="91"/>
        <w:rPr>
          <w:i/>
        </w:rPr>
      </w:pPr>
    </w:p>
    <w:p w:rsidR="00142AA5" w:rsidRDefault="009E1A29" w:rsidP="00142AA5">
      <w:pPr>
        <w:spacing w:before="0"/>
        <w:ind w:right="91"/>
      </w:pPr>
      <w:r>
        <w:t>This item</w:t>
      </w:r>
      <w:r w:rsidR="00A475CF">
        <w:t xml:space="preserve"> </w:t>
      </w:r>
      <w:r w:rsidR="00C92F30">
        <w:t xml:space="preserve">introduces </w:t>
      </w:r>
      <w:r w:rsidR="00A475CF">
        <w:t xml:space="preserve">a fee </w:t>
      </w:r>
      <w:r w:rsidR="00142AA5" w:rsidRPr="00F162EE">
        <w:t xml:space="preserve">for filing </w:t>
      </w:r>
      <w:r w:rsidR="00A475CF">
        <w:t>an application seeking an interim order.  Th</w:t>
      </w:r>
      <w:r w:rsidR="00BD2240">
        <w:t>e</w:t>
      </w:r>
      <w:r w:rsidR="00A475CF">
        <w:t xml:space="preserve"> fee </w:t>
      </w:r>
      <w:r w:rsidR="00C92F30">
        <w:t>is</w:t>
      </w:r>
      <w:r w:rsidR="00A475CF">
        <w:t xml:space="preserve"> charged in addition to the fee for final orders at item 4 or item 10, if an interim order is sought in conjunction with </w:t>
      </w:r>
      <w:r w:rsidR="00BD2240">
        <w:t>the</w:t>
      </w:r>
      <w:r w:rsidR="00A475CF">
        <w:t xml:space="preserve"> final order.</w:t>
      </w:r>
      <w:r w:rsidR="001E2200">
        <w:t xml:space="preserve">  </w:t>
      </w:r>
      <w:r w:rsidR="00325AFB">
        <w:t>The term ‘i</w:t>
      </w:r>
      <w:r w:rsidR="001E2200">
        <w:t xml:space="preserve">nterim order </w:t>
      </w:r>
      <w:r w:rsidR="00325AFB">
        <w:t xml:space="preserve">application’ </w:t>
      </w:r>
      <w:r w:rsidR="001E2200">
        <w:t>is defined in section 1.03.</w:t>
      </w:r>
    </w:p>
    <w:p w:rsidR="00B05A59" w:rsidRDefault="00B05A59" w:rsidP="00142AA5">
      <w:pPr>
        <w:spacing w:before="0"/>
        <w:ind w:right="91"/>
      </w:pPr>
    </w:p>
    <w:p w:rsidR="00B05A59" w:rsidRDefault="00B05A59" w:rsidP="00B05A59">
      <w:pPr>
        <w:spacing w:before="0"/>
        <w:ind w:right="91"/>
      </w:pPr>
      <w:r>
        <w:t>T</w:t>
      </w:r>
      <w:r w:rsidRPr="00260F6F">
        <w:t>h</w:t>
      </w:r>
      <w:r w:rsidR="009E1A29">
        <w:t>e</w:t>
      </w:r>
      <w:r w:rsidRPr="00260F6F">
        <w:t xml:space="preserve"> fee only appl</w:t>
      </w:r>
      <w:r w:rsidR="00C92F30">
        <w:t>ies</w:t>
      </w:r>
      <w:r w:rsidRPr="00260F6F">
        <w:t xml:space="preserve"> where an application for </w:t>
      </w:r>
      <w:r>
        <w:t>i</w:t>
      </w:r>
      <w:r w:rsidR="00325AFB">
        <w:t>nterim orders i</w:t>
      </w:r>
      <w:r w:rsidRPr="00260F6F">
        <w:t xml:space="preserve">s filed.  For example, no fee </w:t>
      </w:r>
      <w:r w:rsidR="00C92F30">
        <w:t>applies</w:t>
      </w:r>
      <w:r w:rsidRPr="00260F6F">
        <w:t xml:space="preserve"> if </w:t>
      </w:r>
      <w:r w:rsidR="009E1A29">
        <w:t>a court</w:t>
      </w:r>
      <w:r w:rsidRPr="00260F6F">
        <w:t xml:space="preserve"> made interim orders arising out of the filing of a notification of family violence.</w:t>
      </w:r>
    </w:p>
    <w:p w:rsidR="00142AA5" w:rsidRPr="00142AA5" w:rsidRDefault="00142AA5" w:rsidP="00DE108F">
      <w:pPr>
        <w:spacing w:before="0"/>
        <w:ind w:right="91"/>
        <w:rPr>
          <w:i/>
        </w:rPr>
      </w:pPr>
    </w:p>
    <w:p w:rsidR="00A5589A" w:rsidRPr="00A5589A" w:rsidRDefault="00A5589A" w:rsidP="00A5589A">
      <w:pPr>
        <w:spacing w:before="0"/>
        <w:ind w:right="91"/>
        <w:rPr>
          <w:i/>
        </w:rPr>
      </w:pPr>
      <w:r w:rsidRPr="00A5589A">
        <w:rPr>
          <w:i/>
        </w:rPr>
        <w:t>Item 10</w:t>
      </w:r>
    </w:p>
    <w:p w:rsidR="00A5589A" w:rsidRDefault="00A5589A" w:rsidP="00A5589A">
      <w:pPr>
        <w:spacing w:before="0"/>
        <w:ind w:right="91"/>
      </w:pPr>
    </w:p>
    <w:p w:rsidR="00A475CF" w:rsidRDefault="00BD2240" w:rsidP="00A5589A">
      <w:pPr>
        <w:spacing w:before="0"/>
        <w:ind w:right="91"/>
      </w:pPr>
      <w:r>
        <w:t>This item</w:t>
      </w:r>
      <w:r w:rsidR="00142AA5">
        <w:t xml:space="preserve"> </w:t>
      </w:r>
      <w:r w:rsidR="00C92F30">
        <w:t xml:space="preserve">introduces </w:t>
      </w:r>
      <w:r w:rsidR="00142AA5">
        <w:t xml:space="preserve">a fee for applications which seek final orders </w:t>
      </w:r>
      <w:r w:rsidR="00A475CF">
        <w:t xml:space="preserve">in respect of </w:t>
      </w:r>
      <w:r w:rsidR="009E1A29">
        <w:t xml:space="preserve">both </w:t>
      </w:r>
      <w:r w:rsidR="00A475CF">
        <w:t xml:space="preserve">children and </w:t>
      </w:r>
      <w:r w:rsidR="009E1A29">
        <w:t xml:space="preserve">financial </w:t>
      </w:r>
      <w:r w:rsidR="00A475CF">
        <w:t>order</w:t>
      </w:r>
      <w:r w:rsidR="00844510">
        <w:t>s under Part </w:t>
      </w:r>
      <w:r w:rsidR="004A2A5F">
        <w:t>VIII, Part VI</w:t>
      </w:r>
      <w:r w:rsidR="009E1A29">
        <w:t>I</w:t>
      </w:r>
      <w:r w:rsidR="004A2A5F">
        <w:t>IA or</w:t>
      </w:r>
      <w:r w:rsidR="00A475CF">
        <w:t xml:space="preserve"> Part VIIIAB of </w:t>
      </w:r>
      <w:r w:rsidR="00142AA5">
        <w:t>the Family Law Act</w:t>
      </w:r>
      <w:r w:rsidR="00A475CF">
        <w:t xml:space="preserve"> (other than </w:t>
      </w:r>
      <w:r w:rsidR="004A2A5F">
        <w:t xml:space="preserve">orders for </w:t>
      </w:r>
      <w:r w:rsidR="009E1A29">
        <w:t xml:space="preserve">spousal </w:t>
      </w:r>
      <w:r w:rsidR="00A475CF">
        <w:t>maint</w:t>
      </w:r>
      <w:r w:rsidR="004A2A5F">
        <w:t>en</w:t>
      </w:r>
      <w:r w:rsidR="00A475CF">
        <w:t>ance).</w:t>
      </w:r>
      <w:r w:rsidR="00142AA5">
        <w:t xml:space="preserve"> </w:t>
      </w:r>
    </w:p>
    <w:p w:rsidR="00A475CF" w:rsidRDefault="00A475CF" w:rsidP="00A5589A">
      <w:pPr>
        <w:spacing w:before="0"/>
        <w:ind w:right="91"/>
      </w:pPr>
    </w:p>
    <w:p w:rsidR="00A5589A" w:rsidRDefault="00142AA5" w:rsidP="00A5589A">
      <w:pPr>
        <w:spacing w:before="0"/>
        <w:ind w:right="91"/>
      </w:pPr>
      <w:r>
        <w:t xml:space="preserve">For example, </w:t>
      </w:r>
      <w:r w:rsidR="009E1A29">
        <w:t>if a person were to seek</w:t>
      </w:r>
      <w:r>
        <w:t xml:space="preserve"> an order to </w:t>
      </w:r>
      <w:r w:rsidR="009E1A29">
        <w:t xml:space="preserve">spend </w:t>
      </w:r>
      <w:r>
        <w:t xml:space="preserve">time with a child and </w:t>
      </w:r>
      <w:r w:rsidR="009E1A29">
        <w:t xml:space="preserve">also an order to distribute property he or she owns with a spouse, </w:t>
      </w:r>
      <w:r>
        <w:t xml:space="preserve">then </w:t>
      </w:r>
      <w:r w:rsidR="00A475CF">
        <w:t xml:space="preserve">the applicable fee </w:t>
      </w:r>
      <w:r w:rsidR="00C92F30">
        <w:t>is</w:t>
      </w:r>
      <w:r w:rsidR="00A475CF">
        <w:t xml:space="preserve"> fee item 10, and not fee item 4.</w:t>
      </w:r>
    </w:p>
    <w:p w:rsidR="00A5589A" w:rsidRDefault="00A5589A" w:rsidP="00A5589A">
      <w:pPr>
        <w:spacing w:before="0"/>
        <w:ind w:right="91"/>
      </w:pPr>
    </w:p>
    <w:p w:rsidR="00142AA5" w:rsidRDefault="00142AA5" w:rsidP="00A5589A">
      <w:pPr>
        <w:spacing w:before="0"/>
        <w:ind w:right="91"/>
        <w:rPr>
          <w:i/>
        </w:rPr>
      </w:pPr>
      <w:r>
        <w:rPr>
          <w:i/>
        </w:rPr>
        <w:t>Item 19</w:t>
      </w:r>
    </w:p>
    <w:p w:rsidR="00142AA5" w:rsidRDefault="00142AA5" w:rsidP="00A5589A">
      <w:pPr>
        <w:spacing w:before="0"/>
        <w:ind w:right="91"/>
        <w:rPr>
          <w:i/>
        </w:rPr>
      </w:pPr>
    </w:p>
    <w:p w:rsidR="00142AA5" w:rsidRDefault="009E1A29" w:rsidP="00142AA5">
      <w:pPr>
        <w:spacing w:before="0"/>
        <w:ind w:right="91"/>
      </w:pPr>
      <w:r>
        <w:t xml:space="preserve">This item </w:t>
      </w:r>
      <w:r w:rsidR="00C92F30">
        <w:t xml:space="preserve">introduces </w:t>
      </w:r>
      <w:r w:rsidR="00142AA5">
        <w:t xml:space="preserve">a fee for issuing </w:t>
      </w:r>
      <w:r>
        <w:t>a</w:t>
      </w:r>
      <w:r w:rsidR="00142AA5">
        <w:t xml:space="preserve"> subpoena.</w:t>
      </w:r>
    </w:p>
    <w:p w:rsidR="00142AA5" w:rsidRPr="00142AA5" w:rsidRDefault="00142AA5" w:rsidP="00A5589A">
      <w:pPr>
        <w:spacing w:before="0"/>
        <w:ind w:right="91"/>
        <w:rPr>
          <w:i/>
        </w:rPr>
      </w:pPr>
    </w:p>
    <w:p w:rsidR="00A5589A" w:rsidRPr="00A5589A" w:rsidRDefault="00A5589A" w:rsidP="00A5589A">
      <w:pPr>
        <w:spacing w:before="0"/>
        <w:ind w:right="91"/>
        <w:rPr>
          <w:i/>
        </w:rPr>
      </w:pPr>
      <w:r>
        <w:rPr>
          <w:i/>
        </w:rPr>
        <w:t>Item 20</w:t>
      </w:r>
    </w:p>
    <w:p w:rsidR="00142AA5" w:rsidRDefault="00142AA5" w:rsidP="00A5589A">
      <w:pPr>
        <w:spacing w:before="0"/>
        <w:ind w:right="91"/>
      </w:pPr>
    </w:p>
    <w:p w:rsidR="00142AA5" w:rsidRDefault="009E1A29" w:rsidP="00A5589A">
      <w:pPr>
        <w:spacing w:before="0"/>
        <w:ind w:right="91"/>
      </w:pPr>
      <w:r>
        <w:t>This item</w:t>
      </w:r>
      <w:r w:rsidR="00142AA5">
        <w:t xml:space="preserve"> </w:t>
      </w:r>
      <w:r w:rsidR="00C92F30">
        <w:t xml:space="preserve">introduces </w:t>
      </w:r>
      <w:r w:rsidR="00142AA5">
        <w:t>a fee for c</w:t>
      </w:r>
      <w:r w:rsidR="00A5589A" w:rsidRPr="00F162EE">
        <w:t xml:space="preserve">onciliation </w:t>
      </w:r>
      <w:r w:rsidR="00142AA5">
        <w:t xml:space="preserve">conferences in </w:t>
      </w:r>
      <w:r>
        <w:t xml:space="preserve">financial </w:t>
      </w:r>
      <w:r w:rsidR="00142AA5">
        <w:t>proceeding</w:t>
      </w:r>
      <w:r w:rsidR="00844510">
        <w:t>s under Part </w:t>
      </w:r>
      <w:r w:rsidR="00142AA5">
        <w:t>VIII or VIII</w:t>
      </w:r>
      <w:r w:rsidR="00A17D20">
        <w:t>A</w:t>
      </w:r>
      <w:r w:rsidR="00142AA5">
        <w:t>B of the Family Law Act.</w:t>
      </w:r>
    </w:p>
    <w:sectPr w:rsidR="00142AA5" w:rsidSect="000157B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797" w:bottom="1134" w:left="179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E51" w:rsidRDefault="00077E51" w:rsidP="000E25AD">
      <w:pPr>
        <w:spacing w:before="0"/>
      </w:pPr>
      <w:r>
        <w:separator/>
      </w:r>
    </w:p>
  </w:endnote>
  <w:endnote w:type="continuationSeparator" w:id="0">
    <w:p w:rsidR="00077E51" w:rsidRDefault="00077E51" w:rsidP="000E25A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CD" w:rsidRDefault="00247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CD" w:rsidRDefault="008A1A6E">
    <w:pPr>
      <w:pStyle w:val="Footer"/>
      <w:jc w:val="center"/>
    </w:pPr>
    <w:r>
      <w:fldChar w:fldCharType="begin"/>
    </w:r>
    <w:r w:rsidR="002477CD">
      <w:instrText xml:space="preserve"> PAGE   \* MERGEFORMAT </w:instrText>
    </w:r>
    <w:r>
      <w:fldChar w:fldCharType="separate"/>
    </w:r>
    <w:r w:rsidR="000D3978">
      <w:rPr>
        <w:noProof/>
      </w:rPr>
      <w:t>2</w:t>
    </w:r>
    <w:r>
      <w:rPr>
        <w:noProof/>
      </w:rPr>
      <w:fldChar w:fldCharType="end"/>
    </w:r>
  </w:p>
  <w:p w:rsidR="002477CD" w:rsidRDefault="002477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CD" w:rsidRDefault="00247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E51" w:rsidRDefault="00077E51" w:rsidP="000E25AD">
      <w:pPr>
        <w:spacing w:before="0"/>
      </w:pPr>
      <w:r>
        <w:separator/>
      </w:r>
    </w:p>
  </w:footnote>
  <w:footnote w:type="continuationSeparator" w:id="0">
    <w:p w:rsidR="00077E51" w:rsidRDefault="00077E51" w:rsidP="000E25AD">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CD" w:rsidRDefault="002477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B3" w:rsidRDefault="00015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CD" w:rsidRDefault="002477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9A5955"/>
    <w:multiLevelType w:val="hybridMultilevel"/>
    <w:tmpl w:val="14FA399A"/>
    <w:lvl w:ilvl="0" w:tplc="0980B56A">
      <w:numFmt w:val="bullet"/>
      <w:lvlText w:val=""/>
      <w:lvlJc w:val="left"/>
      <w:pPr>
        <w:ind w:left="795" w:hanging="405"/>
      </w:pPr>
      <w:rPr>
        <w:rFonts w:ascii="Symbol" w:eastAsia="Calibri" w:hAnsi="Symbol" w:cs="Times New Roman"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
    <w:nsid w:val="23B631D3"/>
    <w:multiLevelType w:val="hybridMultilevel"/>
    <w:tmpl w:val="F126CEE4"/>
    <w:lvl w:ilvl="0" w:tplc="8EF48C38">
      <w:start w:val="1"/>
      <w:numFmt w:val="decimal"/>
      <w:pStyle w:val="ItemX"/>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5">
    <w:nsid w:val="495F7680"/>
    <w:multiLevelType w:val="hybridMultilevel"/>
    <w:tmpl w:val="81DA16C6"/>
    <w:lvl w:ilvl="0" w:tplc="A7A02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CFD4A52"/>
    <w:multiLevelType w:val="hybridMultilevel"/>
    <w:tmpl w:val="F7E4AC8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E2E0478"/>
    <w:multiLevelType w:val="singleLevel"/>
    <w:tmpl w:val="8408B4BE"/>
    <w:lvl w:ilvl="0">
      <w:start w:val="2"/>
      <w:numFmt w:val="decimal"/>
      <w:pStyle w:val="Paragraphnumbered"/>
      <w:lvlText w:val="%1."/>
      <w:legacy w:legacy="1" w:legacySpace="0" w:legacyIndent="567"/>
      <w:lvlJc w:val="left"/>
      <w:pPr>
        <w:ind w:left="567" w:hanging="567"/>
      </w:pPr>
    </w:lvl>
  </w:abstractNum>
  <w:abstractNum w:abstractNumId="8">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E9587D"/>
    <w:multiLevelType w:val="hybridMultilevel"/>
    <w:tmpl w:val="CA14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EB2F66"/>
    <w:multiLevelType w:val="hybridMultilevel"/>
    <w:tmpl w:val="0BA4D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2C167D"/>
    <w:multiLevelType w:val="hybridMultilevel"/>
    <w:tmpl w:val="7018E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1F21FF6"/>
    <w:multiLevelType w:val="hybridMultilevel"/>
    <w:tmpl w:val="8C48483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7F1210"/>
    <w:multiLevelType w:val="hybridMultilevel"/>
    <w:tmpl w:val="36A8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F704954"/>
    <w:multiLevelType w:val="hybridMultilevel"/>
    <w:tmpl w:val="A5E84EA2"/>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num w:numId="1">
    <w:abstractNumId w:val="4"/>
  </w:num>
  <w:num w:numId="2">
    <w:abstractNumId w:val="7"/>
  </w:num>
  <w:num w:numId="3">
    <w:abstractNumId w:val="2"/>
  </w:num>
  <w:num w:numId="4">
    <w:abstractNumId w:val="11"/>
  </w:num>
  <w:num w:numId="5">
    <w:abstractNumId w:val="5"/>
  </w:num>
  <w:num w:numId="6">
    <w:abstractNumId w:val="14"/>
  </w:num>
  <w:num w:numId="7">
    <w:abstractNumId w:val="15"/>
  </w:num>
  <w:num w:numId="8">
    <w:abstractNumId w:val="1"/>
  </w:num>
  <w:num w:numId="9">
    <w:abstractNumId w:val="12"/>
  </w:num>
  <w:num w:numId="10">
    <w:abstractNumId w:val="0"/>
  </w:num>
  <w:num w:numId="11">
    <w:abstractNumId w:val="10"/>
  </w:num>
  <w:num w:numId="12">
    <w:abstractNumId w:val="8"/>
  </w:num>
  <w:num w:numId="13">
    <w:abstractNumId w:val="6"/>
  </w:num>
  <w:num w:numId="14">
    <w:abstractNumId w:val="9"/>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characterSpacingControl w:val="doNotCompress"/>
  <w:hdrShapeDefaults>
    <o:shapedefaults v:ext="edit" spidmax="32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7B80"/>
    <w:rsid w:val="0001082D"/>
    <w:rsid w:val="000126EB"/>
    <w:rsid w:val="00014F29"/>
    <w:rsid w:val="000157B3"/>
    <w:rsid w:val="00016AB5"/>
    <w:rsid w:val="00053940"/>
    <w:rsid w:val="0005457C"/>
    <w:rsid w:val="00061BE4"/>
    <w:rsid w:val="000652B6"/>
    <w:rsid w:val="00071387"/>
    <w:rsid w:val="000738E2"/>
    <w:rsid w:val="00076BFC"/>
    <w:rsid w:val="00077E51"/>
    <w:rsid w:val="00082F0F"/>
    <w:rsid w:val="000854EA"/>
    <w:rsid w:val="000854F6"/>
    <w:rsid w:val="000904B3"/>
    <w:rsid w:val="00097949"/>
    <w:rsid w:val="000A0361"/>
    <w:rsid w:val="000A49E1"/>
    <w:rsid w:val="000A615E"/>
    <w:rsid w:val="000B5163"/>
    <w:rsid w:val="000B5733"/>
    <w:rsid w:val="000D340B"/>
    <w:rsid w:val="000D3978"/>
    <w:rsid w:val="000D64D1"/>
    <w:rsid w:val="000E0590"/>
    <w:rsid w:val="000E0A50"/>
    <w:rsid w:val="000E25AD"/>
    <w:rsid w:val="000E491C"/>
    <w:rsid w:val="000F1288"/>
    <w:rsid w:val="00101B43"/>
    <w:rsid w:val="0011328D"/>
    <w:rsid w:val="001154AC"/>
    <w:rsid w:val="001353EE"/>
    <w:rsid w:val="0013738E"/>
    <w:rsid w:val="00142AA5"/>
    <w:rsid w:val="00147C5B"/>
    <w:rsid w:val="00155B10"/>
    <w:rsid w:val="0016612D"/>
    <w:rsid w:val="00167614"/>
    <w:rsid w:val="00170874"/>
    <w:rsid w:val="00174D63"/>
    <w:rsid w:val="001813A8"/>
    <w:rsid w:val="001846CE"/>
    <w:rsid w:val="0019438A"/>
    <w:rsid w:val="001A1AA7"/>
    <w:rsid w:val="001A2DCE"/>
    <w:rsid w:val="001A3536"/>
    <w:rsid w:val="001B3B1E"/>
    <w:rsid w:val="001C2977"/>
    <w:rsid w:val="001D0A4C"/>
    <w:rsid w:val="001D1512"/>
    <w:rsid w:val="001D4872"/>
    <w:rsid w:val="001E2200"/>
    <w:rsid w:val="001E6D68"/>
    <w:rsid w:val="001F146E"/>
    <w:rsid w:val="001F3FD1"/>
    <w:rsid w:val="00220876"/>
    <w:rsid w:val="00222F32"/>
    <w:rsid w:val="00225C15"/>
    <w:rsid w:val="0023185F"/>
    <w:rsid w:val="0023505D"/>
    <w:rsid w:val="00235A99"/>
    <w:rsid w:val="002403DC"/>
    <w:rsid w:val="00241AB5"/>
    <w:rsid w:val="00241D6F"/>
    <w:rsid w:val="002477CD"/>
    <w:rsid w:val="00247B80"/>
    <w:rsid w:val="00253225"/>
    <w:rsid w:val="0025543A"/>
    <w:rsid w:val="002577C1"/>
    <w:rsid w:val="00260F6F"/>
    <w:rsid w:val="00273077"/>
    <w:rsid w:val="002808DD"/>
    <w:rsid w:val="002847AF"/>
    <w:rsid w:val="00286AC6"/>
    <w:rsid w:val="00287EA9"/>
    <w:rsid w:val="00290FA8"/>
    <w:rsid w:val="00291B4E"/>
    <w:rsid w:val="00295B94"/>
    <w:rsid w:val="0029701D"/>
    <w:rsid w:val="00297B8D"/>
    <w:rsid w:val="002A2D3E"/>
    <w:rsid w:val="002A57EA"/>
    <w:rsid w:val="002A5B08"/>
    <w:rsid w:val="002A78CD"/>
    <w:rsid w:val="002B0181"/>
    <w:rsid w:val="002B7584"/>
    <w:rsid w:val="002B7A01"/>
    <w:rsid w:val="002C7411"/>
    <w:rsid w:val="002D65BD"/>
    <w:rsid w:val="002E134F"/>
    <w:rsid w:val="002E1E42"/>
    <w:rsid w:val="002E492C"/>
    <w:rsid w:val="002E69B2"/>
    <w:rsid w:val="002F1ECF"/>
    <w:rsid w:val="003046FD"/>
    <w:rsid w:val="00307870"/>
    <w:rsid w:val="003166A4"/>
    <w:rsid w:val="00325AFB"/>
    <w:rsid w:val="00344B73"/>
    <w:rsid w:val="00353BE3"/>
    <w:rsid w:val="00355878"/>
    <w:rsid w:val="00366185"/>
    <w:rsid w:val="00366FCE"/>
    <w:rsid w:val="00381967"/>
    <w:rsid w:val="00396134"/>
    <w:rsid w:val="003965BF"/>
    <w:rsid w:val="003A2F77"/>
    <w:rsid w:val="003A327C"/>
    <w:rsid w:val="003A3744"/>
    <w:rsid w:val="003A617F"/>
    <w:rsid w:val="003B0AE9"/>
    <w:rsid w:val="003C21A2"/>
    <w:rsid w:val="003D3DD7"/>
    <w:rsid w:val="003D5A3C"/>
    <w:rsid w:val="003D63A1"/>
    <w:rsid w:val="003D7A3C"/>
    <w:rsid w:val="003E1C49"/>
    <w:rsid w:val="00401C8D"/>
    <w:rsid w:val="0040407B"/>
    <w:rsid w:val="0040779D"/>
    <w:rsid w:val="00407E24"/>
    <w:rsid w:val="00417989"/>
    <w:rsid w:val="00422851"/>
    <w:rsid w:val="00426B96"/>
    <w:rsid w:val="00432C00"/>
    <w:rsid w:val="0043786C"/>
    <w:rsid w:val="004456B4"/>
    <w:rsid w:val="00457D5B"/>
    <w:rsid w:val="0046045A"/>
    <w:rsid w:val="00461130"/>
    <w:rsid w:val="00462767"/>
    <w:rsid w:val="00473062"/>
    <w:rsid w:val="00473C60"/>
    <w:rsid w:val="00474371"/>
    <w:rsid w:val="00474450"/>
    <w:rsid w:val="00474B9C"/>
    <w:rsid w:val="00476BFD"/>
    <w:rsid w:val="00482F76"/>
    <w:rsid w:val="004916DF"/>
    <w:rsid w:val="004A2A5F"/>
    <w:rsid w:val="004D3115"/>
    <w:rsid w:val="004F582C"/>
    <w:rsid w:val="004F7045"/>
    <w:rsid w:val="00503818"/>
    <w:rsid w:val="00525CA2"/>
    <w:rsid w:val="00530693"/>
    <w:rsid w:val="00545D0F"/>
    <w:rsid w:val="005517C5"/>
    <w:rsid w:val="005541CF"/>
    <w:rsid w:val="00560B5D"/>
    <w:rsid w:val="00563D64"/>
    <w:rsid w:val="00563F61"/>
    <w:rsid w:val="00566B94"/>
    <w:rsid w:val="005804E5"/>
    <w:rsid w:val="00583426"/>
    <w:rsid w:val="00583B0D"/>
    <w:rsid w:val="005864EA"/>
    <w:rsid w:val="005946B4"/>
    <w:rsid w:val="005A32C7"/>
    <w:rsid w:val="005B191C"/>
    <w:rsid w:val="005B35B6"/>
    <w:rsid w:val="005B4C33"/>
    <w:rsid w:val="005B5A07"/>
    <w:rsid w:val="005D11D5"/>
    <w:rsid w:val="005D5730"/>
    <w:rsid w:val="005D67EC"/>
    <w:rsid w:val="005F17CD"/>
    <w:rsid w:val="005F28E2"/>
    <w:rsid w:val="005F4B9E"/>
    <w:rsid w:val="005F7D35"/>
    <w:rsid w:val="0060074F"/>
    <w:rsid w:val="0060210E"/>
    <w:rsid w:val="00602A49"/>
    <w:rsid w:val="00606A76"/>
    <w:rsid w:val="006074CA"/>
    <w:rsid w:val="0063621F"/>
    <w:rsid w:val="00642ECB"/>
    <w:rsid w:val="006446D6"/>
    <w:rsid w:val="00660821"/>
    <w:rsid w:val="00660CC1"/>
    <w:rsid w:val="006624E5"/>
    <w:rsid w:val="0066529B"/>
    <w:rsid w:val="0067704E"/>
    <w:rsid w:val="00682072"/>
    <w:rsid w:val="006822A2"/>
    <w:rsid w:val="0068681B"/>
    <w:rsid w:val="00697D30"/>
    <w:rsid w:val="006B4FE4"/>
    <w:rsid w:val="006C0527"/>
    <w:rsid w:val="006C24D0"/>
    <w:rsid w:val="006D6F5C"/>
    <w:rsid w:val="006E77E5"/>
    <w:rsid w:val="006E7FB7"/>
    <w:rsid w:val="006F0213"/>
    <w:rsid w:val="006F138A"/>
    <w:rsid w:val="006F18B5"/>
    <w:rsid w:val="0070617C"/>
    <w:rsid w:val="007109AE"/>
    <w:rsid w:val="00712658"/>
    <w:rsid w:val="007126EC"/>
    <w:rsid w:val="00720656"/>
    <w:rsid w:val="00721FE5"/>
    <w:rsid w:val="007222CE"/>
    <w:rsid w:val="00732241"/>
    <w:rsid w:val="0076663A"/>
    <w:rsid w:val="00774585"/>
    <w:rsid w:val="00782927"/>
    <w:rsid w:val="00783686"/>
    <w:rsid w:val="00784997"/>
    <w:rsid w:val="00795409"/>
    <w:rsid w:val="00796E30"/>
    <w:rsid w:val="007A5541"/>
    <w:rsid w:val="007A6120"/>
    <w:rsid w:val="007B7AE9"/>
    <w:rsid w:val="007C237B"/>
    <w:rsid w:val="007D386E"/>
    <w:rsid w:val="007E070F"/>
    <w:rsid w:val="007E710C"/>
    <w:rsid w:val="007E7A84"/>
    <w:rsid w:val="007F22BE"/>
    <w:rsid w:val="007F26A0"/>
    <w:rsid w:val="007F5B0C"/>
    <w:rsid w:val="007F60A1"/>
    <w:rsid w:val="007F7297"/>
    <w:rsid w:val="0080378D"/>
    <w:rsid w:val="00807C7F"/>
    <w:rsid w:val="00810E1C"/>
    <w:rsid w:val="00810EF2"/>
    <w:rsid w:val="008116A7"/>
    <w:rsid w:val="00813B39"/>
    <w:rsid w:val="008149A5"/>
    <w:rsid w:val="00816479"/>
    <w:rsid w:val="0082107E"/>
    <w:rsid w:val="00823590"/>
    <w:rsid w:val="00824C41"/>
    <w:rsid w:val="00830C69"/>
    <w:rsid w:val="008353E9"/>
    <w:rsid w:val="00844510"/>
    <w:rsid w:val="00846983"/>
    <w:rsid w:val="008546B3"/>
    <w:rsid w:val="00857845"/>
    <w:rsid w:val="008674A8"/>
    <w:rsid w:val="008741D5"/>
    <w:rsid w:val="00875034"/>
    <w:rsid w:val="00882DD5"/>
    <w:rsid w:val="008845B3"/>
    <w:rsid w:val="00893B48"/>
    <w:rsid w:val="00896B20"/>
    <w:rsid w:val="008A1A6E"/>
    <w:rsid w:val="008B3802"/>
    <w:rsid w:val="008C60DF"/>
    <w:rsid w:val="008D18C9"/>
    <w:rsid w:val="008D52C4"/>
    <w:rsid w:val="008D6923"/>
    <w:rsid w:val="008E1AEB"/>
    <w:rsid w:val="008E216B"/>
    <w:rsid w:val="008E4D0B"/>
    <w:rsid w:val="008F05E9"/>
    <w:rsid w:val="008F5AA8"/>
    <w:rsid w:val="009012C6"/>
    <w:rsid w:val="00901C67"/>
    <w:rsid w:val="0090560D"/>
    <w:rsid w:val="009154E9"/>
    <w:rsid w:val="00921430"/>
    <w:rsid w:val="00924A45"/>
    <w:rsid w:val="009258B8"/>
    <w:rsid w:val="00930FB7"/>
    <w:rsid w:val="0093227F"/>
    <w:rsid w:val="009374B0"/>
    <w:rsid w:val="00937EC3"/>
    <w:rsid w:val="00940277"/>
    <w:rsid w:val="00940AA7"/>
    <w:rsid w:val="00950C13"/>
    <w:rsid w:val="009513EB"/>
    <w:rsid w:val="0095299D"/>
    <w:rsid w:val="0095394F"/>
    <w:rsid w:val="00961BB7"/>
    <w:rsid w:val="009649AA"/>
    <w:rsid w:val="00973120"/>
    <w:rsid w:val="00975D23"/>
    <w:rsid w:val="00982354"/>
    <w:rsid w:val="0098507D"/>
    <w:rsid w:val="009858FE"/>
    <w:rsid w:val="0098674F"/>
    <w:rsid w:val="00992E15"/>
    <w:rsid w:val="009A10E1"/>
    <w:rsid w:val="009A77A3"/>
    <w:rsid w:val="009B17EB"/>
    <w:rsid w:val="009B726B"/>
    <w:rsid w:val="009D28C7"/>
    <w:rsid w:val="009D3A7C"/>
    <w:rsid w:val="009E1A29"/>
    <w:rsid w:val="009E4C64"/>
    <w:rsid w:val="009E7205"/>
    <w:rsid w:val="009E75DB"/>
    <w:rsid w:val="009F137E"/>
    <w:rsid w:val="009F14BF"/>
    <w:rsid w:val="009F2F3E"/>
    <w:rsid w:val="00A002A5"/>
    <w:rsid w:val="00A0219A"/>
    <w:rsid w:val="00A17D20"/>
    <w:rsid w:val="00A203D7"/>
    <w:rsid w:val="00A23BA4"/>
    <w:rsid w:val="00A44B30"/>
    <w:rsid w:val="00A45EAC"/>
    <w:rsid w:val="00A46376"/>
    <w:rsid w:val="00A475CF"/>
    <w:rsid w:val="00A501F8"/>
    <w:rsid w:val="00A512A1"/>
    <w:rsid w:val="00A546FE"/>
    <w:rsid w:val="00A5589A"/>
    <w:rsid w:val="00A60DAC"/>
    <w:rsid w:val="00A63359"/>
    <w:rsid w:val="00A655DF"/>
    <w:rsid w:val="00A77D7F"/>
    <w:rsid w:val="00A84DAD"/>
    <w:rsid w:val="00AA604D"/>
    <w:rsid w:val="00AB33D7"/>
    <w:rsid w:val="00AB635B"/>
    <w:rsid w:val="00AD2AAE"/>
    <w:rsid w:val="00AE0F6F"/>
    <w:rsid w:val="00B05A59"/>
    <w:rsid w:val="00B214CE"/>
    <w:rsid w:val="00B272DE"/>
    <w:rsid w:val="00B306A0"/>
    <w:rsid w:val="00B345E4"/>
    <w:rsid w:val="00B362BA"/>
    <w:rsid w:val="00B40F3F"/>
    <w:rsid w:val="00B42DCF"/>
    <w:rsid w:val="00B447D2"/>
    <w:rsid w:val="00B447D4"/>
    <w:rsid w:val="00B465C8"/>
    <w:rsid w:val="00B55D89"/>
    <w:rsid w:val="00B61F8E"/>
    <w:rsid w:val="00B76731"/>
    <w:rsid w:val="00B77CA0"/>
    <w:rsid w:val="00B86A56"/>
    <w:rsid w:val="00B86C98"/>
    <w:rsid w:val="00B876B4"/>
    <w:rsid w:val="00B93E87"/>
    <w:rsid w:val="00B942BD"/>
    <w:rsid w:val="00B947A6"/>
    <w:rsid w:val="00BA082B"/>
    <w:rsid w:val="00BB6C09"/>
    <w:rsid w:val="00BB70F0"/>
    <w:rsid w:val="00BC2789"/>
    <w:rsid w:val="00BC29F5"/>
    <w:rsid w:val="00BD0AA8"/>
    <w:rsid w:val="00BD134A"/>
    <w:rsid w:val="00BD2240"/>
    <w:rsid w:val="00BD2585"/>
    <w:rsid w:val="00BD3A7F"/>
    <w:rsid w:val="00BE03EA"/>
    <w:rsid w:val="00BE0AF5"/>
    <w:rsid w:val="00BE1287"/>
    <w:rsid w:val="00BF18DA"/>
    <w:rsid w:val="00C01C77"/>
    <w:rsid w:val="00C2259A"/>
    <w:rsid w:val="00C25A53"/>
    <w:rsid w:val="00C26B69"/>
    <w:rsid w:val="00C30ADE"/>
    <w:rsid w:val="00C30DF9"/>
    <w:rsid w:val="00C30F04"/>
    <w:rsid w:val="00C407C4"/>
    <w:rsid w:val="00C43E8C"/>
    <w:rsid w:val="00C4462D"/>
    <w:rsid w:val="00C44734"/>
    <w:rsid w:val="00C45C45"/>
    <w:rsid w:val="00C45F77"/>
    <w:rsid w:val="00C51A04"/>
    <w:rsid w:val="00C561B5"/>
    <w:rsid w:val="00C6091B"/>
    <w:rsid w:val="00C621A2"/>
    <w:rsid w:val="00C67C03"/>
    <w:rsid w:val="00C71F87"/>
    <w:rsid w:val="00C92F30"/>
    <w:rsid w:val="00C93601"/>
    <w:rsid w:val="00C9618C"/>
    <w:rsid w:val="00CB6FFE"/>
    <w:rsid w:val="00CC5E59"/>
    <w:rsid w:val="00CC5EDA"/>
    <w:rsid w:val="00CC6758"/>
    <w:rsid w:val="00CD2555"/>
    <w:rsid w:val="00CD59F7"/>
    <w:rsid w:val="00CD6BE1"/>
    <w:rsid w:val="00CE31EC"/>
    <w:rsid w:val="00CE4756"/>
    <w:rsid w:val="00CE4CF1"/>
    <w:rsid w:val="00CE5FAA"/>
    <w:rsid w:val="00CF056A"/>
    <w:rsid w:val="00D10A98"/>
    <w:rsid w:val="00D206AC"/>
    <w:rsid w:val="00D24C27"/>
    <w:rsid w:val="00D27710"/>
    <w:rsid w:val="00D34A29"/>
    <w:rsid w:val="00D404C0"/>
    <w:rsid w:val="00D43207"/>
    <w:rsid w:val="00D43D39"/>
    <w:rsid w:val="00D450A3"/>
    <w:rsid w:val="00D51671"/>
    <w:rsid w:val="00D64422"/>
    <w:rsid w:val="00D661F5"/>
    <w:rsid w:val="00D77282"/>
    <w:rsid w:val="00D802A9"/>
    <w:rsid w:val="00DA0946"/>
    <w:rsid w:val="00DA6181"/>
    <w:rsid w:val="00DB04C6"/>
    <w:rsid w:val="00DD1179"/>
    <w:rsid w:val="00DD1546"/>
    <w:rsid w:val="00DD28E9"/>
    <w:rsid w:val="00DD389D"/>
    <w:rsid w:val="00DE0720"/>
    <w:rsid w:val="00DE0900"/>
    <w:rsid w:val="00DE0AE3"/>
    <w:rsid w:val="00DE108F"/>
    <w:rsid w:val="00DE4F89"/>
    <w:rsid w:val="00DE58B8"/>
    <w:rsid w:val="00DF167D"/>
    <w:rsid w:val="00E04449"/>
    <w:rsid w:val="00E22651"/>
    <w:rsid w:val="00E261F3"/>
    <w:rsid w:val="00E26295"/>
    <w:rsid w:val="00E301D7"/>
    <w:rsid w:val="00E45A51"/>
    <w:rsid w:val="00E53324"/>
    <w:rsid w:val="00E61B07"/>
    <w:rsid w:val="00E624B9"/>
    <w:rsid w:val="00E63DE3"/>
    <w:rsid w:val="00E66424"/>
    <w:rsid w:val="00E71900"/>
    <w:rsid w:val="00E804C8"/>
    <w:rsid w:val="00E85C2D"/>
    <w:rsid w:val="00E86BD7"/>
    <w:rsid w:val="00E9635B"/>
    <w:rsid w:val="00EA4625"/>
    <w:rsid w:val="00EB12D6"/>
    <w:rsid w:val="00EC411A"/>
    <w:rsid w:val="00EC6294"/>
    <w:rsid w:val="00ED516B"/>
    <w:rsid w:val="00EE0244"/>
    <w:rsid w:val="00EE148F"/>
    <w:rsid w:val="00EF6D7C"/>
    <w:rsid w:val="00F001ED"/>
    <w:rsid w:val="00F00E45"/>
    <w:rsid w:val="00F02A1A"/>
    <w:rsid w:val="00F03B93"/>
    <w:rsid w:val="00F10BAD"/>
    <w:rsid w:val="00F123CA"/>
    <w:rsid w:val="00F162EE"/>
    <w:rsid w:val="00F205F3"/>
    <w:rsid w:val="00F23052"/>
    <w:rsid w:val="00F330CD"/>
    <w:rsid w:val="00F43969"/>
    <w:rsid w:val="00F44C8A"/>
    <w:rsid w:val="00F529A1"/>
    <w:rsid w:val="00F569D4"/>
    <w:rsid w:val="00F66E18"/>
    <w:rsid w:val="00F6754F"/>
    <w:rsid w:val="00F8042C"/>
    <w:rsid w:val="00F80550"/>
    <w:rsid w:val="00F81848"/>
    <w:rsid w:val="00F9102E"/>
    <w:rsid w:val="00F94467"/>
    <w:rsid w:val="00FA194D"/>
    <w:rsid w:val="00FA2431"/>
    <w:rsid w:val="00FA39BD"/>
    <w:rsid w:val="00FA3EEE"/>
    <w:rsid w:val="00FB09CF"/>
    <w:rsid w:val="00FB1952"/>
    <w:rsid w:val="00FB40BC"/>
    <w:rsid w:val="00FC4F12"/>
    <w:rsid w:val="00FC5BFC"/>
    <w:rsid w:val="00FD1F55"/>
    <w:rsid w:val="00FD5CFF"/>
    <w:rsid w:val="00FE142F"/>
    <w:rsid w:val="00FE6F6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80"/>
    <w:pPr>
      <w:spacing w:before="240"/>
    </w:pPr>
    <w:rPr>
      <w:rFonts w:ascii="Times New Roman" w:eastAsia="Times New Roman" w:hAnsi="Times New Roman"/>
      <w:sz w:val="24"/>
    </w:rPr>
  </w:style>
  <w:style w:type="paragraph" w:styleId="Heading6">
    <w:name w:val="heading 6"/>
    <w:basedOn w:val="Normal"/>
    <w:next w:val="Normal"/>
    <w:link w:val="Heading6Char"/>
    <w:qFormat/>
    <w:rsid w:val="00247B80"/>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47B80"/>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rsid w:val="00247B80"/>
    <w:pPr>
      <w:tabs>
        <w:tab w:val="center" w:pos="4153"/>
        <w:tab w:val="right" w:pos="8306"/>
      </w:tabs>
    </w:pPr>
  </w:style>
  <w:style w:type="character" w:customStyle="1" w:styleId="FooterChar">
    <w:name w:val="Footer Char"/>
    <w:link w:val="Footer"/>
    <w:uiPriority w:val="99"/>
    <w:rsid w:val="00247B80"/>
    <w:rPr>
      <w:rFonts w:ascii="Times New Roman" w:eastAsia="Times New Roman" w:hAnsi="Times New Roman" w:cs="Times New Roman"/>
      <w:sz w:val="24"/>
      <w:szCs w:val="20"/>
      <w:lang w:eastAsia="en-AU"/>
    </w:rPr>
  </w:style>
  <w:style w:type="paragraph" w:customStyle="1" w:styleId="HB-dotpoint">
    <w:name w:val="HB - dotpoint"/>
    <w:basedOn w:val="Normal"/>
    <w:rsid w:val="00247B80"/>
    <w:pPr>
      <w:numPr>
        <w:numId w:val="1"/>
      </w:numPr>
      <w:spacing w:before="180"/>
    </w:pPr>
  </w:style>
  <w:style w:type="character" w:styleId="PageNumber">
    <w:name w:val="page number"/>
    <w:basedOn w:val="DefaultParagraphFont"/>
    <w:rsid w:val="00247B80"/>
  </w:style>
  <w:style w:type="paragraph" w:customStyle="1" w:styleId="Paragraphnumbered">
    <w:name w:val="Paragraph (numbered)"/>
    <w:basedOn w:val="Normal"/>
    <w:rsid w:val="00247B80"/>
    <w:pPr>
      <w:numPr>
        <w:numId w:val="2"/>
      </w:numPr>
      <w:ind w:left="0" w:firstLine="0"/>
    </w:pPr>
  </w:style>
  <w:style w:type="paragraph" w:customStyle="1" w:styleId="Paragraph">
    <w:name w:val="Paragraph"/>
    <w:basedOn w:val="Paragraphnumbered"/>
    <w:rsid w:val="00247B80"/>
    <w:pPr>
      <w:numPr>
        <w:ilvl w:val="12"/>
        <w:numId w:val="0"/>
      </w:numPr>
    </w:pPr>
  </w:style>
  <w:style w:type="paragraph" w:styleId="Header">
    <w:name w:val="header"/>
    <w:basedOn w:val="Normal"/>
    <w:link w:val="HeaderChar"/>
    <w:uiPriority w:val="99"/>
    <w:unhideWhenUsed/>
    <w:rsid w:val="000E25AD"/>
    <w:pPr>
      <w:tabs>
        <w:tab w:val="center" w:pos="4513"/>
        <w:tab w:val="right" w:pos="9026"/>
      </w:tabs>
    </w:pPr>
  </w:style>
  <w:style w:type="character" w:customStyle="1" w:styleId="HeaderChar">
    <w:name w:val="Header Char"/>
    <w:link w:val="Header"/>
    <w:uiPriority w:val="99"/>
    <w:rsid w:val="000E25AD"/>
    <w:rPr>
      <w:rFonts w:ascii="Times New Roman" w:eastAsia="Times New Roman" w:hAnsi="Times New Roman" w:cs="Times New Roman"/>
      <w:sz w:val="24"/>
      <w:szCs w:val="20"/>
      <w:lang w:eastAsia="en-AU"/>
    </w:rPr>
  </w:style>
  <w:style w:type="paragraph" w:customStyle="1" w:styleId="ItemX">
    <w:name w:val="Item X"/>
    <w:basedOn w:val="Normal"/>
    <w:link w:val="ItemXChar"/>
    <w:qFormat/>
    <w:rsid w:val="00583426"/>
    <w:pPr>
      <w:keepNext/>
      <w:numPr>
        <w:numId w:val="3"/>
      </w:numPr>
      <w:ind w:left="0" w:right="91" w:firstLine="0"/>
    </w:pPr>
    <w:rPr>
      <w:b/>
    </w:rPr>
  </w:style>
  <w:style w:type="character" w:customStyle="1" w:styleId="ItemXChar">
    <w:name w:val="Item X Char"/>
    <w:link w:val="ItemX"/>
    <w:rsid w:val="00583426"/>
    <w:rPr>
      <w:rFonts w:ascii="Times New Roman" w:eastAsia="Times New Roman" w:hAnsi="Times New Roman"/>
      <w:b/>
      <w:sz w:val="24"/>
    </w:rPr>
  </w:style>
  <w:style w:type="paragraph" w:styleId="ListParagraph">
    <w:name w:val="List Paragraph"/>
    <w:basedOn w:val="Normal"/>
    <w:uiPriority w:val="34"/>
    <w:qFormat/>
    <w:rsid w:val="00DE108F"/>
    <w:pPr>
      <w:spacing w:before="100" w:beforeAutospacing="1" w:after="100" w:afterAutospacing="1"/>
    </w:pPr>
    <w:rPr>
      <w:rFonts w:eastAsia="Calibri"/>
      <w:szCs w:val="24"/>
    </w:rPr>
  </w:style>
  <w:style w:type="paragraph" w:styleId="BalloonText">
    <w:name w:val="Balloon Text"/>
    <w:basedOn w:val="Normal"/>
    <w:link w:val="BalloonTextChar"/>
    <w:uiPriority w:val="99"/>
    <w:semiHidden/>
    <w:unhideWhenUsed/>
    <w:rsid w:val="00606A76"/>
    <w:pPr>
      <w:spacing w:before="0"/>
    </w:pPr>
    <w:rPr>
      <w:rFonts w:ascii="Tahoma" w:hAnsi="Tahoma" w:cs="Tahoma"/>
      <w:sz w:val="16"/>
      <w:szCs w:val="16"/>
    </w:rPr>
  </w:style>
  <w:style w:type="character" w:customStyle="1" w:styleId="BalloonTextChar">
    <w:name w:val="Balloon Text Char"/>
    <w:link w:val="BalloonText"/>
    <w:uiPriority w:val="99"/>
    <w:semiHidden/>
    <w:rsid w:val="00606A76"/>
    <w:rPr>
      <w:rFonts w:ascii="Tahoma" w:eastAsia="Times New Roman" w:hAnsi="Tahoma" w:cs="Tahoma"/>
      <w:sz w:val="16"/>
      <w:szCs w:val="16"/>
    </w:rPr>
  </w:style>
  <w:style w:type="paragraph" w:customStyle="1" w:styleId="subsection">
    <w:name w:val="subsection"/>
    <w:basedOn w:val="Normal"/>
    <w:rsid w:val="009D3A7C"/>
    <w:pPr>
      <w:spacing w:before="100" w:beforeAutospacing="1" w:after="100" w:afterAutospacing="1"/>
    </w:pPr>
    <w:rPr>
      <w:szCs w:val="24"/>
    </w:rPr>
  </w:style>
  <w:style w:type="character" w:styleId="Hyperlink">
    <w:name w:val="Hyperlink"/>
    <w:uiPriority w:val="99"/>
    <w:semiHidden/>
    <w:unhideWhenUsed/>
    <w:rsid w:val="009D3A7C"/>
    <w:rPr>
      <w:color w:val="0000FF"/>
      <w:u w:val="single"/>
    </w:rPr>
  </w:style>
  <w:style w:type="paragraph" w:customStyle="1" w:styleId="paragraph0">
    <w:name w:val="paragraph"/>
    <w:basedOn w:val="Normal"/>
    <w:rsid w:val="009D3A7C"/>
    <w:pPr>
      <w:spacing w:before="100" w:beforeAutospacing="1" w:after="100" w:afterAutospacing="1"/>
    </w:pPr>
    <w:rPr>
      <w:szCs w:val="24"/>
    </w:rPr>
  </w:style>
  <w:style w:type="character" w:styleId="CommentReference">
    <w:name w:val="annotation reference"/>
    <w:uiPriority w:val="99"/>
    <w:semiHidden/>
    <w:unhideWhenUsed/>
    <w:rsid w:val="00A23BA4"/>
    <w:rPr>
      <w:sz w:val="16"/>
      <w:szCs w:val="16"/>
    </w:rPr>
  </w:style>
  <w:style w:type="paragraph" w:styleId="CommentText">
    <w:name w:val="annotation text"/>
    <w:basedOn w:val="Normal"/>
    <w:link w:val="CommentTextChar"/>
    <w:uiPriority w:val="99"/>
    <w:semiHidden/>
    <w:unhideWhenUsed/>
    <w:rsid w:val="00A23BA4"/>
    <w:rPr>
      <w:sz w:val="20"/>
    </w:rPr>
  </w:style>
  <w:style w:type="character" w:customStyle="1" w:styleId="CommentTextChar">
    <w:name w:val="Comment Text Char"/>
    <w:link w:val="CommentText"/>
    <w:uiPriority w:val="99"/>
    <w:semiHidden/>
    <w:rsid w:val="00A23BA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23BA4"/>
    <w:rPr>
      <w:b/>
      <w:bCs/>
    </w:rPr>
  </w:style>
  <w:style w:type="character" w:customStyle="1" w:styleId="CommentSubjectChar">
    <w:name w:val="Comment Subject Char"/>
    <w:link w:val="CommentSubject"/>
    <w:uiPriority w:val="99"/>
    <w:semiHidden/>
    <w:rsid w:val="00A23BA4"/>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11801">
      <w:bodyDiv w:val="1"/>
      <w:marLeft w:val="0"/>
      <w:marRight w:val="0"/>
      <w:marTop w:val="0"/>
      <w:marBottom w:val="0"/>
      <w:divBdr>
        <w:top w:val="none" w:sz="0" w:space="0" w:color="auto"/>
        <w:left w:val="none" w:sz="0" w:space="0" w:color="auto"/>
        <w:bottom w:val="none" w:sz="0" w:space="0" w:color="auto"/>
        <w:right w:val="none" w:sz="0" w:space="0" w:color="auto"/>
      </w:divBdr>
    </w:div>
    <w:div w:id="142159802">
      <w:bodyDiv w:val="1"/>
      <w:marLeft w:val="0"/>
      <w:marRight w:val="0"/>
      <w:marTop w:val="0"/>
      <w:marBottom w:val="0"/>
      <w:divBdr>
        <w:top w:val="none" w:sz="0" w:space="0" w:color="auto"/>
        <w:left w:val="none" w:sz="0" w:space="0" w:color="auto"/>
        <w:bottom w:val="none" w:sz="0" w:space="0" w:color="auto"/>
        <w:right w:val="none" w:sz="0" w:space="0" w:color="auto"/>
      </w:divBdr>
    </w:div>
    <w:div w:id="499735376">
      <w:bodyDiv w:val="1"/>
      <w:marLeft w:val="0"/>
      <w:marRight w:val="0"/>
      <w:marTop w:val="0"/>
      <w:marBottom w:val="0"/>
      <w:divBdr>
        <w:top w:val="none" w:sz="0" w:space="0" w:color="auto"/>
        <w:left w:val="none" w:sz="0" w:space="0" w:color="auto"/>
        <w:bottom w:val="none" w:sz="0" w:space="0" w:color="auto"/>
        <w:right w:val="none" w:sz="0" w:space="0" w:color="auto"/>
      </w:divBdr>
    </w:div>
    <w:div w:id="658727553">
      <w:bodyDiv w:val="1"/>
      <w:marLeft w:val="0"/>
      <w:marRight w:val="0"/>
      <w:marTop w:val="0"/>
      <w:marBottom w:val="0"/>
      <w:divBdr>
        <w:top w:val="none" w:sz="0" w:space="0" w:color="auto"/>
        <w:left w:val="none" w:sz="0" w:space="0" w:color="auto"/>
        <w:bottom w:val="none" w:sz="0" w:space="0" w:color="auto"/>
        <w:right w:val="none" w:sz="0" w:space="0" w:color="auto"/>
      </w:divBdr>
    </w:div>
    <w:div w:id="689647877">
      <w:bodyDiv w:val="1"/>
      <w:marLeft w:val="0"/>
      <w:marRight w:val="0"/>
      <w:marTop w:val="0"/>
      <w:marBottom w:val="0"/>
      <w:divBdr>
        <w:top w:val="none" w:sz="0" w:space="0" w:color="auto"/>
        <w:left w:val="none" w:sz="0" w:space="0" w:color="auto"/>
        <w:bottom w:val="none" w:sz="0" w:space="0" w:color="auto"/>
        <w:right w:val="none" w:sz="0" w:space="0" w:color="auto"/>
      </w:divBdr>
    </w:div>
    <w:div w:id="1008754104">
      <w:bodyDiv w:val="1"/>
      <w:marLeft w:val="0"/>
      <w:marRight w:val="0"/>
      <w:marTop w:val="0"/>
      <w:marBottom w:val="0"/>
      <w:divBdr>
        <w:top w:val="none" w:sz="0" w:space="0" w:color="auto"/>
        <w:left w:val="none" w:sz="0" w:space="0" w:color="auto"/>
        <w:bottom w:val="none" w:sz="0" w:space="0" w:color="auto"/>
        <w:right w:val="none" w:sz="0" w:space="0" w:color="auto"/>
      </w:divBdr>
    </w:div>
    <w:div w:id="1086850663">
      <w:bodyDiv w:val="1"/>
      <w:marLeft w:val="0"/>
      <w:marRight w:val="0"/>
      <w:marTop w:val="0"/>
      <w:marBottom w:val="0"/>
      <w:divBdr>
        <w:top w:val="none" w:sz="0" w:space="0" w:color="auto"/>
        <w:left w:val="none" w:sz="0" w:space="0" w:color="auto"/>
        <w:bottom w:val="none" w:sz="0" w:space="0" w:color="auto"/>
        <w:right w:val="none" w:sz="0" w:space="0" w:color="auto"/>
      </w:divBdr>
    </w:div>
    <w:div w:id="1396204171">
      <w:bodyDiv w:val="1"/>
      <w:marLeft w:val="0"/>
      <w:marRight w:val="0"/>
      <w:marTop w:val="0"/>
      <w:marBottom w:val="0"/>
      <w:divBdr>
        <w:top w:val="none" w:sz="0" w:space="0" w:color="auto"/>
        <w:left w:val="none" w:sz="0" w:space="0" w:color="auto"/>
        <w:bottom w:val="none" w:sz="0" w:space="0" w:color="auto"/>
        <w:right w:val="none" w:sz="0" w:space="0" w:color="auto"/>
      </w:divBdr>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sChild>
        <w:div w:id="366225400">
          <w:marLeft w:val="0"/>
          <w:marRight w:val="0"/>
          <w:marTop w:val="0"/>
          <w:marBottom w:val="0"/>
          <w:divBdr>
            <w:top w:val="none" w:sz="0" w:space="0" w:color="auto"/>
            <w:left w:val="none" w:sz="0" w:space="0" w:color="auto"/>
            <w:bottom w:val="none" w:sz="0" w:space="0" w:color="auto"/>
            <w:right w:val="none" w:sz="0" w:space="0" w:color="auto"/>
          </w:divBdr>
          <w:divsChild>
            <w:div w:id="1628464209">
              <w:marLeft w:val="0"/>
              <w:marRight w:val="0"/>
              <w:marTop w:val="0"/>
              <w:marBottom w:val="0"/>
              <w:divBdr>
                <w:top w:val="none" w:sz="0" w:space="0" w:color="auto"/>
                <w:left w:val="none" w:sz="0" w:space="0" w:color="auto"/>
                <w:bottom w:val="none" w:sz="0" w:space="0" w:color="auto"/>
                <w:right w:val="none" w:sz="0" w:space="0" w:color="auto"/>
              </w:divBdr>
              <w:divsChild>
                <w:div w:id="1211190650">
                  <w:marLeft w:val="0"/>
                  <w:marRight w:val="0"/>
                  <w:marTop w:val="0"/>
                  <w:marBottom w:val="0"/>
                  <w:divBdr>
                    <w:top w:val="none" w:sz="0" w:space="0" w:color="auto"/>
                    <w:left w:val="none" w:sz="0" w:space="0" w:color="auto"/>
                    <w:bottom w:val="none" w:sz="0" w:space="0" w:color="auto"/>
                    <w:right w:val="none" w:sz="0" w:space="0" w:color="auto"/>
                  </w:divBdr>
                  <w:divsChild>
                    <w:div w:id="906770755">
                      <w:marLeft w:val="0"/>
                      <w:marRight w:val="0"/>
                      <w:marTop w:val="0"/>
                      <w:marBottom w:val="0"/>
                      <w:divBdr>
                        <w:top w:val="none" w:sz="0" w:space="0" w:color="auto"/>
                        <w:left w:val="none" w:sz="0" w:space="0" w:color="auto"/>
                        <w:bottom w:val="none" w:sz="0" w:space="0" w:color="auto"/>
                        <w:right w:val="none" w:sz="0" w:space="0" w:color="auto"/>
                      </w:divBdr>
                      <w:divsChild>
                        <w:div w:id="641732747">
                          <w:marLeft w:val="0"/>
                          <w:marRight w:val="0"/>
                          <w:marTop w:val="0"/>
                          <w:marBottom w:val="0"/>
                          <w:divBdr>
                            <w:top w:val="single" w:sz="6" w:space="0" w:color="828282"/>
                            <w:left w:val="single" w:sz="6" w:space="0" w:color="828282"/>
                            <w:bottom w:val="single" w:sz="6" w:space="0" w:color="828282"/>
                            <w:right w:val="single" w:sz="6" w:space="0" w:color="828282"/>
                          </w:divBdr>
                          <w:divsChild>
                            <w:div w:id="1637828968">
                              <w:marLeft w:val="0"/>
                              <w:marRight w:val="0"/>
                              <w:marTop w:val="0"/>
                              <w:marBottom w:val="0"/>
                              <w:divBdr>
                                <w:top w:val="none" w:sz="0" w:space="0" w:color="auto"/>
                                <w:left w:val="none" w:sz="0" w:space="0" w:color="auto"/>
                                <w:bottom w:val="none" w:sz="0" w:space="0" w:color="auto"/>
                                <w:right w:val="none" w:sz="0" w:space="0" w:color="auto"/>
                              </w:divBdr>
                              <w:divsChild>
                                <w:div w:id="268201901">
                                  <w:marLeft w:val="0"/>
                                  <w:marRight w:val="0"/>
                                  <w:marTop w:val="0"/>
                                  <w:marBottom w:val="0"/>
                                  <w:divBdr>
                                    <w:top w:val="none" w:sz="0" w:space="0" w:color="auto"/>
                                    <w:left w:val="none" w:sz="0" w:space="0" w:color="auto"/>
                                    <w:bottom w:val="none" w:sz="0" w:space="0" w:color="auto"/>
                                    <w:right w:val="none" w:sz="0" w:space="0" w:color="auto"/>
                                  </w:divBdr>
                                  <w:divsChild>
                                    <w:div w:id="774904322">
                                      <w:marLeft w:val="0"/>
                                      <w:marRight w:val="0"/>
                                      <w:marTop w:val="0"/>
                                      <w:marBottom w:val="0"/>
                                      <w:divBdr>
                                        <w:top w:val="none" w:sz="0" w:space="0" w:color="auto"/>
                                        <w:left w:val="none" w:sz="0" w:space="0" w:color="auto"/>
                                        <w:bottom w:val="none" w:sz="0" w:space="0" w:color="auto"/>
                                        <w:right w:val="none" w:sz="0" w:space="0" w:color="auto"/>
                                      </w:divBdr>
                                      <w:divsChild>
                                        <w:div w:id="1429696491">
                                          <w:marLeft w:val="0"/>
                                          <w:marRight w:val="0"/>
                                          <w:marTop w:val="0"/>
                                          <w:marBottom w:val="0"/>
                                          <w:divBdr>
                                            <w:top w:val="none" w:sz="0" w:space="0" w:color="auto"/>
                                            <w:left w:val="none" w:sz="0" w:space="0" w:color="auto"/>
                                            <w:bottom w:val="none" w:sz="0" w:space="0" w:color="auto"/>
                                            <w:right w:val="none" w:sz="0" w:space="0" w:color="auto"/>
                                          </w:divBdr>
                                          <w:divsChild>
                                            <w:div w:id="1474564383">
                                              <w:marLeft w:val="0"/>
                                              <w:marRight w:val="0"/>
                                              <w:marTop w:val="0"/>
                                              <w:marBottom w:val="0"/>
                                              <w:divBdr>
                                                <w:top w:val="none" w:sz="0" w:space="0" w:color="auto"/>
                                                <w:left w:val="none" w:sz="0" w:space="0" w:color="auto"/>
                                                <w:bottom w:val="none" w:sz="0" w:space="0" w:color="auto"/>
                                                <w:right w:val="none" w:sz="0" w:space="0" w:color="auto"/>
                                              </w:divBdr>
                                              <w:divsChild>
                                                <w:div w:id="7266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6362">
      <w:bodyDiv w:val="1"/>
      <w:marLeft w:val="0"/>
      <w:marRight w:val="0"/>
      <w:marTop w:val="0"/>
      <w:marBottom w:val="0"/>
      <w:divBdr>
        <w:top w:val="none" w:sz="0" w:space="0" w:color="auto"/>
        <w:left w:val="none" w:sz="0" w:space="0" w:color="auto"/>
        <w:bottom w:val="none" w:sz="0" w:space="0" w:color="auto"/>
        <w:right w:val="none" w:sz="0" w:space="0" w:color="auto"/>
      </w:divBdr>
      <w:divsChild>
        <w:div w:id="1356157026">
          <w:marLeft w:val="0"/>
          <w:marRight w:val="0"/>
          <w:marTop w:val="0"/>
          <w:marBottom w:val="0"/>
          <w:divBdr>
            <w:top w:val="none" w:sz="0" w:space="0" w:color="auto"/>
            <w:left w:val="none" w:sz="0" w:space="0" w:color="auto"/>
            <w:bottom w:val="none" w:sz="0" w:space="0" w:color="auto"/>
            <w:right w:val="none" w:sz="0" w:space="0" w:color="auto"/>
          </w:divBdr>
          <w:divsChild>
            <w:div w:id="177425198">
              <w:marLeft w:val="0"/>
              <w:marRight w:val="0"/>
              <w:marTop w:val="0"/>
              <w:marBottom w:val="0"/>
              <w:divBdr>
                <w:top w:val="none" w:sz="0" w:space="0" w:color="auto"/>
                <w:left w:val="none" w:sz="0" w:space="0" w:color="auto"/>
                <w:bottom w:val="none" w:sz="0" w:space="0" w:color="auto"/>
                <w:right w:val="none" w:sz="0" w:space="0" w:color="auto"/>
              </w:divBdr>
              <w:divsChild>
                <w:div w:id="1357072596">
                  <w:marLeft w:val="0"/>
                  <w:marRight w:val="0"/>
                  <w:marTop w:val="0"/>
                  <w:marBottom w:val="0"/>
                  <w:divBdr>
                    <w:top w:val="none" w:sz="0" w:space="0" w:color="auto"/>
                    <w:left w:val="none" w:sz="0" w:space="0" w:color="auto"/>
                    <w:bottom w:val="none" w:sz="0" w:space="0" w:color="auto"/>
                    <w:right w:val="none" w:sz="0" w:space="0" w:color="auto"/>
                  </w:divBdr>
                  <w:divsChild>
                    <w:div w:id="2121295684">
                      <w:marLeft w:val="0"/>
                      <w:marRight w:val="0"/>
                      <w:marTop w:val="0"/>
                      <w:marBottom w:val="0"/>
                      <w:divBdr>
                        <w:top w:val="none" w:sz="0" w:space="0" w:color="auto"/>
                        <w:left w:val="none" w:sz="0" w:space="0" w:color="auto"/>
                        <w:bottom w:val="none" w:sz="0" w:space="0" w:color="auto"/>
                        <w:right w:val="none" w:sz="0" w:space="0" w:color="auto"/>
                      </w:divBdr>
                      <w:divsChild>
                        <w:div w:id="761529694">
                          <w:marLeft w:val="0"/>
                          <w:marRight w:val="0"/>
                          <w:marTop w:val="0"/>
                          <w:marBottom w:val="0"/>
                          <w:divBdr>
                            <w:top w:val="none" w:sz="0" w:space="0" w:color="auto"/>
                            <w:left w:val="none" w:sz="0" w:space="0" w:color="auto"/>
                            <w:bottom w:val="none" w:sz="0" w:space="0" w:color="auto"/>
                            <w:right w:val="none" w:sz="0" w:space="0" w:color="auto"/>
                          </w:divBdr>
                          <w:divsChild>
                            <w:div w:id="375082895">
                              <w:marLeft w:val="0"/>
                              <w:marRight w:val="0"/>
                              <w:marTop w:val="0"/>
                              <w:marBottom w:val="0"/>
                              <w:divBdr>
                                <w:top w:val="none" w:sz="0" w:space="0" w:color="auto"/>
                                <w:left w:val="none" w:sz="0" w:space="0" w:color="auto"/>
                                <w:bottom w:val="none" w:sz="0" w:space="0" w:color="auto"/>
                                <w:right w:val="none" w:sz="0" w:space="0" w:color="auto"/>
                              </w:divBdr>
                            </w:div>
                            <w:div w:id="8292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7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F4C0-9501-4867-86DB-6BE35C6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4588</Words>
  <Characters>22503</Characters>
  <Application>Microsoft Office Word</Application>
  <DocSecurity>4</DocSecurity>
  <Lines>558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ngthuh</dc:creator>
  <cp:keywords/>
  <dc:description/>
  <cp:lastModifiedBy>gobbid</cp:lastModifiedBy>
  <cp:revision>2</cp:revision>
  <cp:lastPrinted>2012-11-25T02:35:00Z</cp:lastPrinted>
  <dcterms:created xsi:type="dcterms:W3CDTF">2012-12-06T00:16:00Z</dcterms:created>
  <dcterms:modified xsi:type="dcterms:W3CDTF">2012-12-06T00:16:00Z</dcterms:modified>
</cp:coreProperties>
</file>