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C46084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C46084" w:rsidRDefault="00C46084" w:rsidP="00C46084">
      <w:pPr>
        <w:pStyle w:val="Title"/>
        <w:ind w:left="397" w:right="397"/>
      </w:pPr>
      <w:bookmarkStart w:id="0" w:name="Citation"/>
      <w:r>
        <w:t xml:space="preserve">Australian Sports Anti-Doping Authority Amendment Regulation </w:t>
      </w:r>
      <w:fldSimple w:instr=" REF Year \* charformat ">
        <w:r w:rsidR="00E92CAD">
          <w:t>2012</w:t>
        </w:r>
      </w:fldSimple>
      <w:r>
        <w:t xml:space="preserve"> (No.</w:t>
      </w:r>
      <w:r w:rsidR="00C90E3B">
        <w:t> </w:t>
      </w:r>
      <w:r w:rsidR="00E92CAD">
        <w:t>1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C46084" w:rsidRDefault="00C46084" w:rsidP="00C46084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E92CAD">
        <w:t>307</w:t>
      </w:r>
      <w:bookmarkEnd w:id="2"/>
    </w:p>
    <w:p w:rsidR="00C46084" w:rsidRDefault="00C46084" w:rsidP="00C46084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regulation under the </w:t>
      </w:r>
      <w:r w:rsidRPr="00C46084">
        <w:rPr>
          <w:i/>
        </w:rPr>
        <w:t>Australian Sports Anti-Doping Authority Act 2006</w:t>
      </w:r>
      <w:r>
        <w:t>.</w:t>
      </w:r>
    </w:p>
    <w:p w:rsidR="00C46084" w:rsidRDefault="00C46084" w:rsidP="00C46084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E92CAD">
        <w:t xml:space="preserve"> 6 December </w:t>
      </w:r>
      <w:fldSimple w:instr=" REF Year \* charformat ">
        <w:r w:rsidR="00E92CAD">
          <w:t>2012</w:t>
        </w:r>
      </w:fldSimple>
    </w:p>
    <w:p w:rsidR="00C46084" w:rsidRDefault="00E92CAD" w:rsidP="00C46084">
      <w:pPr>
        <w:spacing w:before="1080" w:line="300" w:lineRule="atLeast"/>
        <w:ind w:left="397" w:right="397"/>
        <w:jc w:val="right"/>
      </w:pPr>
      <w:r>
        <w:t>QUENTIN BRYCE</w:t>
      </w:r>
    </w:p>
    <w:p w:rsidR="00C46084" w:rsidRDefault="00C46084" w:rsidP="00C46084">
      <w:pPr>
        <w:spacing w:line="300" w:lineRule="atLeast"/>
        <w:ind w:left="397" w:right="397"/>
        <w:jc w:val="right"/>
      </w:pPr>
      <w:r>
        <w:t>Governor-General</w:t>
      </w:r>
    </w:p>
    <w:p w:rsidR="00C46084" w:rsidRDefault="00C46084" w:rsidP="00C46084">
      <w:pPr>
        <w:spacing w:after="800" w:line="300" w:lineRule="atLeast"/>
        <w:ind w:left="397" w:right="397"/>
      </w:pPr>
      <w:r>
        <w:t>By Her Excellency’s Command</w:t>
      </w:r>
    </w:p>
    <w:p w:rsidR="00C46084" w:rsidRDefault="00C90E3B" w:rsidP="00C46084">
      <w:pPr>
        <w:spacing w:before="480" w:line="300" w:lineRule="atLeast"/>
        <w:ind w:left="397" w:right="397"/>
        <w:rPr>
          <w:b/>
        </w:rPr>
      </w:pPr>
      <w:r w:rsidRPr="00C90E3B">
        <w:t>KATE LUNDY</w:t>
      </w:r>
    </w:p>
    <w:p w:rsidR="00C46084" w:rsidRDefault="00C46084" w:rsidP="00C46084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 xml:space="preserve">Minister for </w:t>
      </w:r>
      <w:r w:rsidR="001519E0">
        <w:t>Spor</w:t>
      </w:r>
      <w:r>
        <w:t>t</w:t>
      </w:r>
      <w:bookmarkEnd w:id="3"/>
    </w:p>
    <w:p w:rsidR="00C46084" w:rsidRDefault="00C46084" w:rsidP="00C46084">
      <w:pPr>
        <w:pStyle w:val="SigningPageBreak"/>
        <w:ind w:left="397" w:right="397"/>
        <w:sectPr w:rsidR="00C46084" w:rsidSect="00772E11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C46084" w:rsidRDefault="00C46084" w:rsidP="00C46084">
      <w:pPr>
        <w:pStyle w:val="A1"/>
      </w:pPr>
      <w:r w:rsidRPr="00A44D46">
        <w:rPr>
          <w:rStyle w:val="CharSectnoAm"/>
          <w:vertAlign w:val="baseline"/>
        </w:rPr>
        <w:lastRenderedPageBreak/>
        <w:t>1</w:t>
      </w:r>
      <w:r>
        <w:tab/>
        <w:t>Name of regulation</w:t>
      </w:r>
    </w:p>
    <w:p w:rsidR="00C46084" w:rsidRDefault="00C46084" w:rsidP="00C46084">
      <w:pPr>
        <w:pStyle w:val="A2"/>
      </w:pPr>
      <w:r>
        <w:tab/>
      </w:r>
      <w:r>
        <w:tab/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 charformat </w:instrText>
      </w:r>
      <w:r>
        <w:rPr>
          <w:i/>
        </w:rPr>
        <w:fldChar w:fldCharType="separate"/>
      </w:r>
      <w:r w:rsidR="00E92CAD" w:rsidRPr="00E92CAD">
        <w:rPr>
          <w:i/>
        </w:rPr>
        <w:t>Australian Sports Anti-Doping Authority Amendment Regulation 2012 (No. 1)</w:t>
      </w:r>
      <w:r>
        <w:rPr>
          <w:i/>
        </w:rPr>
        <w:fldChar w:fldCharType="end"/>
      </w:r>
      <w:r>
        <w:t>.</w:t>
      </w:r>
    </w:p>
    <w:p w:rsidR="00C46084" w:rsidRDefault="00C46084" w:rsidP="00C46084">
      <w:pPr>
        <w:pStyle w:val="A1"/>
      </w:pPr>
      <w:r w:rsidRPr="00A44D46">
        <w:rPr>
          <w:rStyle w:val="CharSectnoAm"/>
          <w:vertAlign w:val="baseline"/>
        </w:rPr>
        <w:t>2</w:t>
      </w:r>
      <w:r>
        <w:tab/>
        <w:t>Commencement</w:t>
      </w:r>
    </w:p>
    <w:p w:rsidR="00C46084" w:rsidRDefault="00C46084" w:rsidP="00C46084">
      <w:pPr>
        <w:pStyle w:val="A2"/>
      </w:pPr>
      <w:r>
        <w:tab/>
      </w:r>
      <w:r>
        <w:tab/>
        <w:t xml:space="preserve">This regulation commences on </w:t>
      </w:r>
      <w:r w:rsidR="001519E0">
        <w:t>the day after it is registered</w:t>
      </w:r>
      <w:r>
        <w:t>.</w:t>
      </w:r>
    </w:p>
    <w:p w:rsidR="00C46084" w:rsidRDefault="00C46084" w:rsidP="00C46084">
      <w:pPr>
        <w:pStyle w:val="A1"/>
      </w:pPr>
      <w:r w:rsidRPr="00A44D46">
        <w:rPr>
          <w:rStyle w:val="CharSectnoAm"/>
          <w:vertAlign w:val="baseline"/>
        </w:rPr>
        <w:t>3</w:t>
      </w:r>
      <w:r>
        <w:tab/>
        <w:t xml:space="preserve">Amendment of </w:t>
      </w:r>
      <w:r w:rsidRPr="00C46084">
        <w:rPr>
          <w:i/>
        </w:rPr>
        <w:t>Australian Sports Anti-Doping Authority Regulations 2006</w:t>
      </w:r>
    </w:p>
    <w:p w:rsidR="00C46084" w:rsidRDefault="00C46084" w:rsidP="00C46084">
      <w:pPr>
        <w:pStyle w:val="A2"/>
      </w:pPr>
      <w:r>
        <w:tab/>
      </w:r>
      <w:r>
        <w:tab/>
        <w:t xml:space="preserve">Schedule 1 amends the </w:t>
      </w:r>
      <w:r w:rsidRPr="00C46084">
        <w:rPr>
          <w:i/>
        </w:rPr>
        <w:t>Australian Sports Anti-Doping Authority Regulations 2006</w:t>
      </w:r>
      <w:r>
        <w:t>.</w:t>
      </w:r>
    </w:p>
    <w:p w:rsidR="00C46084" w:rsidRDefault="00C46084" w:rsidP="00772E11">
      <w:pPr>
        <w:pStyle w:val="MainBodySectionBreak"/>
        <w:sectPr w:rsidR="00C46084" w:rsidSect="00C4608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C46084" w:rsidRDefault="00C46084" w:rsidP="00772E11">
      <w:pPr>
        <w:pStyle w:val="AS"/>
      </w:pPr>
      <w:r w:rsidRPr="00C90E3B">
        <w:rPr>
          <w:rStyle w:val="CharAmSchNo"/>
        </w:rPr>
        <w:lastRenderedPageBreak/>
        <w:t>Schedule 1</w:t>
      </w:r>
      <w:r>
        <w:tab/>
      </w:r>
      <w:r w:rsidRPr="00C90E3B">
        <w:rPr>
          <w:rStyle w:val="CharAmSchText"/>
        </w:rPr>
        <w:t>Amendments</w:t>
      </w:r>
    </w:p>
    <w:p w:rsidR="00C46084" w:rsidRDefault="00C46084" w:rsidP="00772E11">
      <w:pPr>
        <w:pStyle w:val="ASref"/>
      </w:pPr>
      <w:r>
        <w:t>(section 3)</w:t>
      </w:r>
    </w:p>
    <w:p w:rsidR="0027281C" w:rsidRPr="0027281C" w:rsidRDefault="0027281C" w:rsidP="0027281C">
      <w:pPr>
        <w:pStyle w:val="Header"/>
        <w:rPr>
          <w:vanish/>
        </w:rPr>
      </w:pPr>
      <w:r w:rsidRPr="0027281C">
        <w:rPr>
          <w:vanish/>
        </w:rPr>
        <w:t xml:space="preserve">  </w:t>
      </w:r>
    </w:p>
    <w:p w:rsidR="00325800" w:rsidRDefault="00C46084" w:rsidP="009C3305">
      <w:pPr>
        <w:pStyle w:val="A1S"/>
      </w:pPr>
      <w:r>
        <w:t>[</w:t>
      </w:r>
      <w:fldSimple w:instr=" SEQ Sch1Item " w:fldLock="1">
        <w:r w:rsidR="00E92CAD">
          <w:rPr>
            <w:noProof/>
          </w:rPr>
          <w:t>1</w:t>
        </w:r>
      </w:fldSimple>
      <w:r>
        <w:t>]</w:t>
      </w:r>
      <w:r>
        <w:tab/>
      </w:r>
      <w:r w:rsidR="00325800">
        <w:t>Schedule 1, clause 1.03</w:t>
      </w:r>
    </w:p>
    <w:p w:rsidR="00325800" w:rsidRDefault="00325800" w:rsidP="00325800">
      <w:pPr>
        <w:pStyle w:val="A2S"/>
      </w:pPr>
      <w:r>
        <w:t>substitute</w:t>
      </w:r>
    </w:p>
    <w:p w:rsidR="00325800" w:rsidRDefault="00325800" w:rsidP="00325800">
      <w:pPr>
        <w:pStyle w:val="HR"/>
      </w:pPr>
      <w:bookmarkStart w:id="4" w:name="_Toc249176396"/>
      <w:r w:rsidRPr="00C90E3B">
        <w:rPr>
          <w:rStyle w:val="CharSectno"/>
        </w:rPr>
        <w:t>1.03</w:t>
      </w:r>
      <w:r w:rsidRPr="001C75C9">
        <w:tab/>
      </w:r>
      <w:r>
        <w:t xml:space="preserve">Authority for ASADA to </w:t>
      </w:r>
      <w:r w:rsidRPr="00A77C6E">
        <w:t xml:space="preserve">exercise </w:t>
      </w:r>
      <w:r>
        <w:t xml:space="preserve">certain </w:t>
      </w:r>
      <w:r w:rsidRPr="00A77C6E">
        <w:t>powers</w:t>
      </w:r>
      <w:bookmarkEnd w:id="4"/>
    </w:p>
    <w:p w:rsidR="00325800" w:rsidRPr="004C3C1E" w:rsidRDefault="00325800" w:rsidP="00DB40BD">
      <w:pPr>
        <w:pStyle w:val="HSR"/>
      </w:pPr>
      <w:r w:rsidRPr="004C3C1E">
        <w:t xml:space="preserve">Exercise of powers in relation to requests </w:t>
      </w:r>
      <w:r w:rsidRPr="00A73226">
        <w:t>from</w:t>
      </w:r>
      <w:r w:rsidRPr="004C3C1E">
        <w:t xml:space="preserve"> sporting administration bodies</w:t>
      </w:r>
    </w:p>
    <w:p w:rsidR="00325800" w:rsidRPr="006D30F8" w:rsidRDefault="00325800" w:rsidP="00325800">
      <w:pPr>
        <w:pStyle w:val="R1"/>
      </w:pPr>
      <w:r>
        <w:tab/>
      </w:r>
      <w:r w:rsidRPr="006D30F8">
        <w:t>(</w:t>
      </w:r>
      <w:r>
        <w:t>1</w:t>
      </w:r>
      <w:r w:rsidRPr="006D30F8">
        <w:t>)</w:t>
      </w:r>
      <w:r w:rsidRPr="006D30F8">
        <w:tab/>
        <w:t xml:space="preserve">ASADA is authorised to exercise powers under the NAD scheme in order to cooperate with </w:t>
      </w:r>
      <w:r>
        <w:t>a</w:t>
      </w:r>
      <w:r w:rsidRPr="006D30F8">
        <w:t xml:space="preserve"> request</w:t>
      </w:r>
      <w:r>
        <w:t xml:space="preserve"> </w:t>
      </w:r>
      <w:r w:rsidRPr="006D30F8">
        <w:t xml:space="preserve">from </w:t>
      </w:r>
      <w:r w:rsidRPr="00302B98">
        <w:t>a sporting administration body</w:t>
      </w:r>
      <w:r>
        <w:t xml:space="preserve"> i</w:t>
      </w:r>
      <w:r w:rsidRPr="006D30F8">
        <w:t>f</w:t>
      </w:r>
      <w:r>
        <w:t xml:space="preserve"> </w:t>
      </w:r>
      <w:r w:rsidRPr="006D30F8">
        <w:t>the request is reasonably necessary to enforce or give effect to the World Anti</w:t>
      </w:r>
      <w:r>
        <w:t>-</w:t>
      </w:r>
      <w:r w:rsidRPr="006D30F8">
        <w:t xml:space="preserve">Doping Code and </w:t>
      </w:r>
      <w:r>
        <w:t xml:space="preserve">other </w:t>
      </w:r>
      <w:r w:rsidRPr="006D30F8">
        <w:t>relevant international anti</w:t>
      </w:r>
      <w:r>
        <w:t>-</w:t>
      </w:r>
      <w:r w:rsidRPr="006D30F8">
        <w:t>doping instruments</w:t>
      </w:r>
      <w:r>
        <w:t>.</w:t>
      </w:r>
    </w:p>
    <w:p w:rsidR="00325800" w:rsidRPr="004C3C1E" w:rsidRDefault="00325800" w:rsidP="00DB40BD">
      <w:pPr>
        <w:pStyle w:val="HSR"/>
      </w:pPr>
      <w:r w:rsidRPr="004C3C1E">
        <w:lastRenderedPageBreak/>
        <w:t xml:space="preserve">Exercise of powers in relation to requests </w:t>
      </w:r>
      <w:r w:rsidRPr="00A73226">
        <w:t>to</w:t>
      </w:r>
      <w:r w:rsidRPr="004C3C1E">
        <w:t xml:space="preserve"> sporting administration bodies</w:t>
      </w:r>
    </w:p>
    <w:p w:rsidR="00325800" w:rsidRPr="006D30F8" w:rsidRDefault="00325800" w:rsidP="00C90E3B">
      <w:pPr>
        <w:pStyle w:val="R2"/>
      </w:pPr>
      <w:r>
        <w:tab/>
      </w:r>
      <w:r w:rsidRPr="006D30F8">
        <w:t>(</w:t>
      </w:r>
      <w:r>
        <w:t>2</w:t>
      </w:r>
      <w:r w:rsidRPr="006D30F8">
        <w:t>)</w:t>
      </w:r>
      <w:r w:rsidRPr="006D30F8">
        <w:tab/>
        <w:t xml:space="preserve">ASADA is authorised to </w:t>
      </w:r>
      <w:r>
        <w:t>use</w:t>
      </w:r>
      <w:r w:rsidRPr="006D30F8">
        <w:t xml:space="preserve"> information </w:t>
      </w:r>
      <w:r>
        <w:t xml:space="preserve">about an athlete or support person that is given to ASADA by </w:t>
      </w:r>
      <w:r w:rsidRPr="00302B98">
        <w:t>a sporting administration body as</w:t>
      </w:r>
      <w:r w:rsidRPr="006D30F8">
        <w:t xml:space="preserve"> if it were information that was obtained by an investigation by ASADA under the NAD scheme</w:t>
      </w:r>
      <w:r>
        <w:t xml:space="preserve"> i</w:t>
      </w:r>
      <w:r w:rsidRPr="006D30F8">
        <w:t>f ASADA request</w:t>
      </w:r>
      <w:r>
        <w:t xml:space="preserve">ed the </w:t>
      </w:r>
      <w:r w:rsidRPr="00275B8C">
        <w:t>sporting administration body</w:t>
      </w:r>
      <w:r>
        <w:t xml:space="preserve"> </w:t>
      </w:r>
      <w:r w:rsidRPr="006D30F8">
        <w:t>to</w:t>
      </w:r>
      <w:r>
        <w:t xml:space="preserve"> </w:t>
      </w:r>
      <w:r w:rsidRPr="006D30F8">
        <w:t>provide</w:t>
      </w:r>
      <w:r>
        <w:t>, or obtain and provide,</w:t>
      </w:r>
      <w:r w:rsidRPr="006D30F8">
        <w:t xml:space="preserve"> </w:t>
      </w:r>
      <w:r>
        <w:t xml:space="preserve">the </w:t>
      </w:r>
      <w:r w:rsidRPr="006D30F8">
        <w:t>information</w:t>
      </w:r>
      <w:r>
        <w:t>.</w:t>
      </w:r>
    </w:p>
    <w:p w:rsidR="00325800" w:rsidRPr="006D30F8" w:rsidRDefault="00325800" w:rsidP="00325800">
      <w:pPr>
        <w:pStyle w:val="Note"/>
      </w:pPr>
      <w:r w:rsidRPr="004C3C1E">
        <w:rPr>
          <w:i/>
        </w:rPr>
        <w:t>Note</w:t>
      </w:r>
      <w:r w:rsidR="00C90E3B">
        <w:t>   </w:t>
      </w:r>
      <w:r w:rsidRPr="006D30F8">
        <w:t xml:space="preserve">Regulation 4 </w:t>
      </w:r>
      <w:r>
        <w:t xml:space="preserve">of the </w:t>
      </w:r>
      <w:r w:rsidRPr="004C3C1E">
        <w:rPr>
          <w:i/>
        </w:rPr>
        <w:t>Australian Sports Anti</w:t>
      </w:r>
      <w:r>
        <w:rPr>
          <w:i/>
        </w:rPr>
        <w:t>-</w:t>
      </w:r>
      <w:r w:rsidRPr="004C3C1E">
        <w:rPr>
          <w:i/>
        </w:rPr>
        <w:t xml:space="preserve">Doping </w:t>
      </w:r>
      <w:r w:rsidR="00CD4DB0" w:rsidRPr="00A43580">
        <w:rPr>
          <w:rFonts w:ascii="Times"/>
          <w:i/>
          <w:szCs w:val="20"/>
        </w:rPr>
        <w:t xml:space="preserve">Authority </w:t>
      </w:r>
      <w:r w:rsidRPr="004C3C1E">
        <w:rPr>
          <w:i/>
        </w:rPr>
        <w:t>Regulations 2006</w:t>
      </w:r>
      <w:r>
        <w:t xml:space="preserve"> </w:t>
      </w:r>
      <w:r w:rsidRPr="006D30F8">
        <w:t xml:space="preserve">prescribes additional </w:t>
      </w:r>
      <w:r w:rsidRPr="00781D33">
        <w:t>relevant international anti</w:t>
      </w:r>
      <w:r>
        <w:t>-</w:t>
      </w:r>
      <w:r w:rsidRPr="00781D33">
        <w:t>doping instruments</w:t>
      </w:r>
      <w:r w:rsidRPr="006D30F8">
        <w:t xml:space="preserve"> for the Act.</w:t>
      </w:r>
    </w:p>
    <w:p w:rsidR="00325800" w:rsidRDefault="00325800" w:rsidP="00325800">
      <w:pPr>
        <w:pStyle w:val="HR"/>
      </w:pPr>
      <w:r w:rsidRPr="00C90E3B">
        <w:rPr>
          <w:rStyle w:val="CharSectno"/>
        </w:rPr>
        <w:t>1.03A</w:t>
      </w:r>
      <w:r>
        <w:tab/>
        <w:t>Functions of the ADRVP under the NAD scheme</w:t>
      </w:r>
    </w:p>
    <w:p w:rsidR="00325800" w:rsidRDefault="00325800" w:rsidP="00C90E3B">
      <w:pPr>
        <w:pStyle w:val="ZR1"/>
      </w:pPr>
      <w:r>
        <w:tab/>
        <w:t>(1)</w:t>
      </w:r>
      <w:r>
        <w:tab/>
        <w:t>In addition to the functions of the ADRVP mentioned in paragraphs 41</w:t>
      </w:r>
      <w:r w:rsidR="00C90E3B">
        <w:t> </w:t>
      </w:r>
      <w:r>
        <w:t>(1)</w:t>
      </w:r>
      <w:r w:rsidR="00C90E3B">
        <w:t> </w:t>
      </w:r>
      <w:r>
        <w:t>(b) and (c) of the Act, the ADRVP has the following functions under the NAD scheme:</w:t>
      </w:r>
    </w:p>
    <w:p w:rsidR="00325800" w:rsidRDefault="00325800" w:rsidP="00C90E3B">
      <w:pPr>
        <w:pStyle w:val="ZP1"/>
      </w:pPr>
      <w:r>
        <w:tab/>
        <w:t>(a)</w:t>
      </w:r>
      <w:r>
        <w:tab/>
        <w:t>to consider a submission made to it by a participant in relation to:</w:t>
      </w:r>
    </w:p>
    <w:p w:rsidR="00325800" w:rsidRDefault="00325800" w:rsidP="00325800">
      <w:pPr>
        <w:pStyle w:val="P2"/>
      </w:pPr>
      <w:r>
        <w:tab/>
        <w:t>(i)</w:t>
      </w:r>
      <w:r>
        <w:tab/>
        <w:t>an adverse analytical finding; or</w:t>
      </w:r>
    </w:p>
    <w:p w:rsidR="00325800" w:rsidRDefault="00325800" w:rsidP="00325800">
      <w:pPr>
        <w:pStyle w:val="P2"/>
      </w:pPr>
      <w:r>
        <w:tab/>
        <w:t>(ii)</w:t>
      </w:r>
      <w:r>
        <w:tab/>
        <w:t>a</w:t>
      </w:r>
      <w:r w:rsidR="00231385">
        <w:t xml:space="preserve"> possible</w:t>
      </w:r>
      <w:r w:rsidR="00CD4DB0">
        <w:t xml:space="preserve"> </w:t>
      </w:r>
      <w:r>
        <w:t>n</w:t>
      </w:r>
      <w:r w:rsidR="00CD4DB0">
        <w:t>on-presence</w:t>
      </w:r>
      <w:r>
        <w:t xml:space="preserve"> anti-doping rule violation;</w:t>
      </w:r>
    </w:p>
    <w:p w:rsidR="00325800" w:rsidRDefault="00325800" w:rsidP="00C90E3B">
      <w:pPr>
        <w:pStyle w:val="ZP1"/>
      </w:pPr>
      <w:r>
        <w:tab/>
        <w:t>(b)</w:t>
      </w:r>
      <w:r>
        <w:tab/>
        <w:t>to receive and consider information and material that:</w:t>
      </w:r>
    </w:p>
    <w:p w:rsidR="00325800" w:rsidRDefault="00325800" w:rsidP="00325800">
      <w:pPr>
        <w:pStyle w:val="P2"/>
      </w:pPr>
      <w:r>
        <w:tab/>
        <w:t>(i)</w:t>
      </w:r>
      <w:r>
        <w:tab/>
        <w:t>is given to it by the CEO or a member of the ASADA staff; and</w:t>
      </w:r>
    </w:p>
    <w:p w:rsidR="00325800" w:rsidRDefault="00325800" w:rsidP="00325800">
      <w:pPr>
        <w:pStyle w:val="P2"/>
      </w:pPr>
      <w:r>
        <w:tab/>
        <w:t>(ii)</w:t>
      </w:r>
      <w:r>
        <w:tab/>
        <w:t xml:space="preserve">relates to </w:t>
      </w:r>
      <w:r w:rsidR="00E4101F">
        <w:t>a</w:t>
      </w:r>
      <w:r>
        <w:t xml:space="preserve"> </w:t>
      </w:r>
      <w:r w:rsidR="00CD4DB0">
        <w:t>participant mentioned in paragraph (a)</w:t>
      </w:r>
      <w:r>
        <w:t>;</w:t>
      </w:r>
    </w:p>
    <w:p w:rsidR="00325800" w:rsidRDefault="00325800" w:rsidP="00325800">
      <w:pPr>
        <w:pStyle w:val="P1"/>
      </w:pPr>
      <w:r>
        <w:tab/>
        <w:t>(c)</w:t>
      </w:r>
      <w:r>
        <w:tab/>
        <w:t>to consider whether to make a finding that an adverse analytical finding has occurred and to make a finding of that kind;</w:t>
      </w:r>
    </w:p>
    <w:p w:rsidR="00325800" w:rsidRDefault="00325800" w:rsidP="00325800">
      <w:pPr>
        <w:pStyle w:val="P1"/>
      </w:pPr>
      <w:r>
        <w:tab/>
        <w:t>(d)</w:t>
      </w:r>
      <w:r>
        <w:tab/>
        <w:t xml:space="preserve">to consider whether to make a finding that </w:t>
      </w:r>
      <w:r w:rsidR="003539E3">
        <w:t xml:space="preserve">it is possible that </w:t>
      </w:r>
      <w:r w:rsidR="003539E3" w:rsidRPr="00AB5F07">
        <w:t>an athlete or support person has committed a</w:t>
      </w:r>
      <w:r w:rsidR="003539E3">
        <w:t xml:space="preserve"> non-presence</w:t>
      </w:r>
      <w:r w:rsidR="003539E3" w:rsidRPr="00AB5F07">
        <w:t xml:space="preserve"> anti-doping rule violation</w:t>
      </w:r>
      <w:r w:rsidR="003539E3">
        <w:t xml:space="preserve"> </w:t>
      </w:r>
      <w:r>
        <w:t>and to make a finding of that kind;</w:t>
      </w:r>
    </w:p>
    <w:p w:rsidR="00325800" w:rsidRDefault="00325800" w:rsidP="00C90E3B">
      <w:pPr>
        <w:pStyle w:val="ZP1"/>
      </w:pPr>
      <w:r>
        <w:tab/>
        <w:t>(e)</w:t>
      </w:r>
      <w:r>
        <w:tab/>
        <w:t>to make recommendations about the consequences of a finding that:</w:t>
      </w:r>
    </w:p>
    <w:p w:rsidR="00325800" w:rsidRDefault="00325800" w:rsidP="00325800">
      <w:pPr>
        <w:pStyle w:val="P2"/>
      </w:pPr>
      <w:r>
        <w:tab/>
        <w:t>(i)</w:t>
      </w:r>
      <w:r>
        <w:tab/>
      </w:r>
      <w:r w:rsidR="00CD4DB0">
        <w:t xml:space="preserve">there is </w:t>
      </w:r>
      <w:r>
        <w:t>an adverse analytical finding; or</w:t>
      </w:r>
    </w:p>
    <w:p w:rsidR="00325800" w:rsidRDefault="00325800" w:rsidP="00CD4DB0">
      <w:pPr>
        <w:pStyle w:val="P2"/>
      </w:pPr>
      <w:r>
        <w:tab/>
        <w:t>(ii)</w:t>
      </w:r>
      <w:r>
        <w:tab/>
      </w:r>
      <w:r w:rsidR="00CD4DB0">
        <w:t xml:space="preserve">it is possible that </w:t>
      </w:r>
      <w:r w:rsidR="00CD4DB0" w:rsidRPr="00AB5F07">
        <w:t>an athlete or support person has committed a</w:t>
      </w:r>
      <w:r w:rsidR="00CD4DB0">
        <w:t xml:space="preserve"> non-presence</w:t>
      </w:r>
      <w:r w:rsidR="00CD4DB0" w:rsidRPr="00AB5F07">
        <w:t xml:space="preserve"> anti-doping rule violation</w:t>
      </w:r>
      <w:r w:rsidR="005B0E60">
        <w:t>;</w:t>
      </w:r>
    </w:p>
    <w:p w:rsidR="005B0E60" w:rsidRDefault="005B0E60" w:rsidP="005B0E60">
      <w:pPr>
        <w:pStyle w:val="P1"/>
      </w:pPr>
      <w:r>
        <w:lastRenderedPageBreak/>
        <w:tab/>
        <w:t>(f)</w:t>
      </w:r>
      <w:r>
        <w:tab/>
        <w:t>to make entries on the Register of Findings.</w:t>
      </w:r>
    </w:p>
    <w:p w:rsidR="00325800" w:rsidRDefault="00325800" w:rsidP="00325800">
      <w:pPr>
        <w:pStyle w:val="R2"/>
      </w:pPr>
      <w:r>
        <w:tab/>
        <w:t>(2)</w:t>
      </w:r>
      <w:r>
        <w:tab/>
        <w:t>The ADRVP does not have the function of acting as a hearing panel of the kind mentioned</w:t>
      </w:r>
      <w:r w:rsidRPr="001A014C">
        <w:t xml:space="preserve"> in Article </w:t>
      </w:r>
      <w:r>
        <w:t>8</w:t>
      </w:r>
      <w:r w:rsidRPr="001A014C">
        <w:t xml:space="preserve"> of the World Anti</w:t>
      </w:r>
      <w:r>
        <w:t>-</w:t>
      </w:r>
      <w:r w:rsidRPr="001A014C">
        <w:t>Doping Code</w:t>
      </w:r>
      <w:r>
        <w:t>.</w:t>
      </w:r>
    </w:p>
    <w:p w:rsidR="00325800" w:rsidRPr="004C3C1E" w:rsidRDefault="00325800" w:rsidP="00325800">
      <w:pPr>
        <w:pStyle w:val="HR"/>
      </w:pPr>
      <w:r w:rsidRPr="00C90E3B">
        <w:rPr>
          <w:rStyle w:val="CharSectno"/>
        </w:rPr>
        <w:t>1.03B</w:t>
      </w:r>
      <w:r>
        <w:tab/>
      </w:r>
      <w:r w:rsidRPr="004C3C1E">
        <w:t xml:space="preserve">ASADA </w:t>
      </w:r>
      <w:r>
        <w:t xml:space="preserve">and ADRVP </w:t>
      </w:r>
      <w:r w:rsidRPr="004C3C1E">
        <w:t>to have regard to World Anti</w:t>
      </w:r>
      <w:r>
        <w:t>-</w:t>
      </w:r>
      <w:r w:rsidRPr="004C3C1E">
        <w:t>Doping Code</w:t>
      </w:r>
      <w:r w:rsidR="00A44D46">
        <w:t xml:space="preserve"> etc</w:t>
      </w:r>
    </w:p>
    <w:p w:rsidR="00325800" w:rsidRPr="006D30F8" w:rsidRDefault="00325800" w:rsidP="00C90E3B">
      <w:pPr>
        <w:pStyle w:val="ZR1"/>
      </w:pPr>
      <w:r>
        <w:tab/>
      </w:r>
      <w:r w:rsidRPr="006D30F8">
        <w:tab/>
        <w:t xml:space="preserve">In exercising powers for the NAD scheme and making recommendations, </w:t>
      </w:r>
      <w:r w:rsidR="00C50C9E">
        <w:t>the CEO</w:t>
      </w:r>
      <w:r>
        <w:t xml:space="preserve"> and the ADRVP</w:t>
      </w:r>
      <w:r w:rsidRPr="001A014C">
        <w:t xml:space="preserve"> must have regard to</w:t>
      </w:r>
      <w:r>
        <w:t>:</w:t>
      </w:r>
    </w:p>
    <w:p w:rsidR="00325800" w:rsidRDefault="00325800" w:rsidP="00325800">
      <w:pPr>
        <w:pStyle w:val="P1"/>
      </w:pPr>
      <w:r>
        <w:tab/>
        <w:t>(a)</w:t>
      </w:r>
      <w:r>
        <w:tab/>
      </w:r>
      <w:r w:rsidRPr="001A014C">
        <w:t>the World Anti</w:t>
      </w:r>
      <w:r>
        <w:t>-</w:t>
      </w:r>
      <w:r w:rsidRPr="001A014C">
        <w:t>Doping Code (including the comments annotating various provisions of the World Anti</w:t>
      </w:r>
      <w:r>
        <w:t>-</w:t>
      </w:r>
      <w:r w:rsidRPr="001A014C">
        <w:t>Doping Code)</w:t>
      </w:r>
      <w:r>
        <w:t>;</w:t>
      </w:r>
      <w:r w:rsidRPr="001A014C">
        <w:t xml:space="preserve"> and</w:t>
      </w:r>
    </w:p>
    <w:p w:rsidR="00325800" w:rsidRPr="006D30F8" w:rsidRDefault="00325800" w:rsidP="00325800">
      <w:pPr>
        <w:pStyle w:val="P1"/>
      </w:pPr>
      <w:r>
        <w:tab/>
        <w:t>(b)</w:t>
      </w:r>
      <w:r>
        <w:tab/>
      </w:r>
      <w:r w:rsidRPr="006D30F8">
        <w:t>other relevant international anti</w:t>
      </w:r>
      <w:r>
        <w:t>-</w:t>
      </w:r>
      <w:r w:rsidRPr="006D30F8">
        <w:t>doping instruments.</w:t>
      </w:r>
    </w:p>
    <w:p w:rsidR="00325800" w:rsidRPr="006D30F8" w:rsidRDefault="00325800" w:rsidP="00325800">
      <w:pPr>
        <w:pStyle w:val="Note"/>
      </w:pPr>
      <w:r w:rsidRPr="004C3C1E">
        <w:rPr>
          <w:i/>
        </w:rPr>
        <w:t>Note</w:t>
      </w:r>
      <w:r w:rsidR="00C90E3B">
        <w:t>   </w:t>
      </w:r>
      <w:r w:rsidRPr="006D30F8">
        <w:t xml:space="preserve">Regulation 4 </w:t>
      </w:r>
      <w:r>
        <w:t xml:space="preserve">of the </w:t>
      </w:r>
      <w:r w:rsidRPr="004C3C1E">
        <w:rPr>
          <w:i/>
        </w:rPr>
        <w:t>Australian Sports Anti</w:t>
      </w:r>
      <w:r>
        <w:rPr>
          <w:i/>
        </w:rPr>
        <w:t>-</w:t>
      </w:r>
      <w:r w:rsidRPr="004C3C1E">
        <w:rPr>
          <w:i/>
        </w:rPr>
        <w:t xml:space="preserve">Doping </w:t>
      </w:r>
      <w:r w:rsidR="00CD4DB0" w:rsidRPr="00A43580">
        <w:rPr>
          <w:rFonts w:ascii="Times"/>
          <w:i/>
          <w:szCs w:val="20"/>
        </w:rPr>
        <w:t xml:space="preserve">Authority </w:t>
      </w:r>
      <w:r w:rsidRPr="004C3C1E">
        <w:rPr>
          <w:i/>
        </w:rPr>
        <w:t>Regulations 2006</w:t>
      </w:r>
      <w:r>
        <w:t xml:space="preserve"> </w:t>
      </w:r>
      <w:r w:rsidRPr="006D30F8">
        <w:t xml:space="preserve">prescribes additional </w:t>
      </w:r>
      <w:r w:rsidRPr="00781D33">
        <w:t>relevant international anti</w:t>
      </w:r>
      <w:r>
        <w:t>-</w:t>
      </w:r>
      <w:r w:rsidRPr="00781D33">
        <w:t>doping instruments</w:t>
      </w:r>
      <w:r w:rsidRPr="006D30F8">
        <w:t xml:space="preserve"> for the Act.</w:t>
      </w:r>
    </w:p>
    <w:p w:rsidR="00BE7309" w:rsidRDefault="00BE7309" w:rsidP="00C85C42">
      <w:pPr>
        <w:pStyle w:val="A1S"/>
        <w:rPr>
          <w:i/>
        </w:rPr>
      </w:pPr>
      <w:r>
        <w:t>[</w:t>
      </w:r>
      <w:fldSimple w:instr=" SEQ Sch1Item " w:fldLock="1">
        <w:r w:rsidR="00E92CAD">
          <w:rPr>
            <w:noProof/>
          </w:rPr>
          <w:t>2</w:t>
        </w:r>
      </w:fldSimple>
      <w:r>
        <w:t>]</w:t>
      </w:r>
      <w:r>
        <w:tab/>
      </w:r>
      <w:r w:rsidR="00110AC4">
        <w:t>Schedule 1, c</w:t>
      </w:r>
      <w:r w:rsidR="00980D02">
        <w:t xml:space="preserve">lause 1.05, definition of </w:t>
      </w:r>
      <w:r w:rsidR="00980D02">
        <w:rPr>
          <w:i/>
        </w:rPr>
        <w:t>consequences</w:t>
      </w:r>
    </w:p>
    <w:p w:rsidR="00980D02" w:rsidRDefault="00980D02" w:rsidP="00980D02">
      <w:pPr>
        <w:pStyle w:val="A2S"/>
      </w:pPr>
      <w:r>
        <w:t>omit</w:t>
      </w:r>
    </w:p>
    <w:p w:rsidR="00980D02" w:rsidRDefault="00980D02" w:rsidP="00980D02">
      <w:pPr>
        <w:pStyle w:val="A1S"/>
        <w:rPr>
          <w:i/>
        </w:rPr>
      </w:pPr>
      <w:r>
        <w:t>[</w:t>
      </w:r>
      <w:fldSimple w:instr=" SEQ Sch1Item " w:fldLock="1">
        <w:r w:rsidR="00E92CAD">
          <w:rPr>
            <w:noProof/>
          </w:rPr>
          <w:t>3</w:t>
        </w:r>
      </w:fldSimple>
      <w:r>
        <w:t>]</w:t>
      </w:r>
      <w:r>
        <w:tab/>
      </w:r>
      <w:r w:rsidR="008852BB">
        <w:t>Schedule 1, c</w:t>
      </w:r>
      <w:r w:rsidR="00361F0E">
        <w:t xml:space="preserve">lause 1.05, definition of </w:t>
      </w:r>
      <w:r w:rsidR="00361F0E">
        <w:rPr>
          <w:i/>
        </w:rPr>
        <w:t>finding</w:t>
      </w:r>
    </w:p>
    <w:p w:rsidR="00361F0E" w:rsidRPr="00361F0E" w:rsidRDefault="00361F0E" w:rsidP="00361F0E">
      <w:pPr>
        <w:pStyle w:val="A2S"/>
      </w:pPr>
      <w:r>
        <w:t>substitute</w:t>
      </w:r>
    </w:p>
    <w:p w:rsidR="009735AE" w:rsidRDefault="00361F0E" w:rsidP="00361F0E">
      <w:pPr>
        <w:pStyle w:val="definition"/>
      </w:pPr>
      <w:r w:rsidRPr="001A014C">
        <w:rPr>
          <w:b/>
          <w:i/>
        </w:rPr>
        <w:t>finding</w:t>
      </w:r>
      <w:r w:rsidR="009735AE">
        <w:t>: see clause 1.05A.</w:t>
      </w:r>
    </w:p>
    <w:p w:rsidR="00C85C42" w:rsidRDefault="003539E3" w:rsidP="00C85C42">
      <w:pPr>
        <w:pStyle w:val="A1S"/>
      </w:pPr>
      <w:r>
        <w:t>[</w:t>
      </w:r>
      <w:fldSimple w:instr=" SEQ Sch1Item " w:fldLock="1">
        <w:r w:rsidR="00E92CAD">
          <w:rPr>
            <w:noProof/>
          </w:rPr>
          <w:t>4</w:t>
        </w:r>
      </w:fldSimple>
      <w:r>
        <w:t>]</w:t>
      </w:r>
      <w:r>
        <w:tab/>
      </w:r>
      <w:r w:rsidR="00C85C42">
        <w:t>Schedule 1, clause 1.05</w:t>
      </w:r>
    </w:p>
    <w:p w:rsidR="00C85C42" w:rsidRDefault="00C85C42" w:rsidP="00C85C42">
      <w:pPr>
        <w:pStyle w:val="A2S"/>
      </w:pPr>
      <w:r>
        <w:t>insert</w:t>
      </w:r>
    </w:p>
    <w:p w:rsidR="00C85C42" w:rsidRDefault="00C85C42" w:rsidP="00C85C42">
      <w:pPr>
        <w:pStyle w:val="definition"/>
      </w:pPr>
      <w:r w:rsidRPr="00C85C42">
        <w:rPr>
          <w:b/>
          <w:i/>
        </w:rPr>
        <w:t>non-presence anti-doping rule violation</w:t>
      </w:r>
      <w:r>
        <w:t xml:space="preserve"> means an anti-doping rule violation mentioned in any of paragraphs 2.01</w:t>
      </w:r>
      <w:r w:rsidR="00C90E3B">
        <w:t> </w:t>
      </w:r>
      <w:r>
        <w:t>(</w:t>
      </w:r>
      <w:r w:rsidR="00A44D46">
        <w:t>2</w:t>
      </w:r>
      <w:r>
        <w:t>)</w:t>
      </w:r>
      <w:r w:rsidR="00C90E3B">
        <w:t> </w:t>
      </w:r>
      <w:r>
        <w:t>(b) to</w:t>
      </w:r>
      <w:r w:rsidR="00A44D46">
        <w:t> </w:t>
      </w:r>
      <w:r>
        <w:t>(h).</w:t>
      </w:r>
    </w:p>
    <w:p w:rsidR="00C85C42" w:rsidRPr="00C85C42" w:rsidRDefault="00C85C42" w:rsidP="00C85C42">
      <w:pPr>
        <w:pStyle w:val="Note"/>
      </w:pPr>
      <w:r>
        <w:rPr>
          <w:i/>
        </w:rPr>
        <w:t>Note</w:t>
      </w:r>
      <w:r w:rsidR="00C90E3B">
        <w:t>   </w:t>
      </w:r>
      <w:r>
        <w:t>The anti-doping rule violation mentioned in paragraph 2.01</w:t>
      </w:r>
      <w:r w:rsidR="00C90E3B">
        <w:t> </w:t>
      </w:r>
      <w:r>
        <w:t>(</w:t>
      </w:r>
      <w:r w:rsidR="00A44D46">
        <w:t>2</w:t>
      </w:r>
      <w:r>
        <w:t>)</w:t>
      </w:r>
      <w:r w:rsidR="00C90E3B">
        <w:t> </w:t>
      </w:r>
      <w:r>
        <w:t>(a) relates to the presence of a prohibited substance or its metabolites or markers in an athlete’s sample.</w:t>
      </w:r>
    </w:p>
    <w:p w:rsidR="008B7CE0" w:rsidRDefault="008B7CE0" w:rsidP="008B7CE0">
      <w:pPr>
        <w:pStyle w:val="A1S"/>
      </w:pPr>
      <w:r>
        <w:lastRenderedPageBreak/>
        <w:t>[</w:t>
      </w:r>
      <w:fldSimple w:instr=" SEQ Sch1Item " w:fldLock="1">
        <w:r w:rsidR="00E92CAD">
          <w:rPr>
            <w:noProof/>
          </w:rPr>
          <w:t>5</w:t>
        </w:r>
      </w:fldSimple>
      <w:r>
        <w:t>]</w:t>
      </w:r>
      <w:r>
        <w:tab/>
      </w:r>
      <w:r w:rsidR="008852BB">
        <w:t>Schedule 1, c</w:t>
      </w:r>
      <w:r>
        <w:t>lause 1.05, notes</w:t>
      </w:r>
    </w:p>
    <w:p w:rsidR="008B7CE0" w:rsidRPr="008B7CE0" w:rsidRDefault="008B7CE0" w:rsidP="008B7CE0">
      <w:pPr>
        <w:pStyle w:val="A2S"/>
      </w:pPr>
      <w:r>
        <w:t>substitute</w:t>
      </w:r>
    </w:p>
    <w:p w:rsidR="008B7CE0" w:rsidRDefault="008B7CE0" w:rsidP="008B7CE0">
      <w:pPr>
        <w:pStyle w:val="Note"/>
      </w:pPr>
      <w:r w:rsidRPr="001A014C">
        <w:rPr>
          <w:i/>
          <w:iCs/>
        </w:rPr>
        <w:t>Note</w:t>
      </w:r>
      <w:r w:rsidR="00C90E3B">
        <w:rPr>
          <w:i/>
          <w:iCs/>
        </w:rPr>
        <w:t> </w:t>
      </w:r>
      <w:r>
        <w:rPr>
          <w:i/>
          <w:iCs/>
        </w:rPr>
        <w:t>1</w:t>
      </w:r>
      <w:r w:rsidR="00C90E3B">
        <w:rPr>
          <w:i/>
          <w:iCs/>
        </w:rPr>
        <w:t> </w:t>
      </w:r>
      <w:r w:rsidR="00C90E3B">
        <w:t>  </w:t>
      </w:r>
      <w:r w:rsidRPr="001A014C">
        <w:t xml:space="preserve">In accordance with the definition of </w:t>
      </w:r>
      <w:r w:rsidRPr="001A014C">
        <w:rPr>
          <w:b/>
          <w:bCs/>
          <w:i/>
          <w:iCs/>
        </w:rPr>
        <w:t>World Anti</w:t>
      </w:r>
      <w:r w:rsidR="00A43580">
        <w:rPr>
          <w:b/>
          <w:bCs/>
          <w:i/>
          <w:iCs/>
        </w:rPr>
        <w:t>-</w:t>
      </w:r>
      <w:r w:rsidRPr="001A014C">
        <w:rPr>
          <w:b/>
          <w:bCs/>
          <w:i/>
          <w:iCs/>
        </w:rPr>
        <w:t>Doping Code</w:t>
      </w:r>
      <w:r w:rsidRPr="001A014C">
        <w:t xml:space="preserve"> in subsection 4</w:t>
      </w:r>
      <w:r w:rsidR="00C90E3B">
        <w:t> </w:t>
      </w:r>
      <w:r w:rsidRPr="001A014C">
        <w:t xml:space="preserve">(1) </w:t>
      </w:r>
      <w:r w:rsidRPr="001A014C">
        <w:rPr>
          <w:rFonts w:ascii="Times"/>
          <w:szCs w:val="20"/>
        </w:rPr>
        <w:t>of the</w:t>
      </w:r>
      <w:r w:rsidRPr="006D30F8">
        <w:rPr>
          <w:rFonts w:ascii="Times"/>
          <w:szCs w:val="20"/>
        </w:rPr>
        <w:t xml:space="preserve"> Act, a </w:t>
      </w:r>
      <w:r w:rsidRPr="006D30F8">
        <w:t xml:space="preserve">reference to the </w:t>
      </w:r>
      <w:r>
        <w:t>World Anti</w:t>
      </w:r>
      <w:r w:rsidR="00A43580">
        <w:t>-</w:t>
      </w:r>
      <w:r>
        <w:t xml:space="preserve">Doping </w:t>
      </w:r>
      <w:r w:rsidRPr="006D30F8">
        <w:t>Code is a reference to the</w:t>
      </w:r>
      <w:r>
        <w:t xml:space="preserve"> World Anti</w:t>
      </w:r>
      <w:r w:rsidR="00A43580">
        <w:t>-</w:t>
      </w:r>
      <w:r>
        <w:t>Doping</w:t>
      </w:r>
      <w:r w:rsidR="00C90E3B">
        <w:t xml:space="preserve"> </w:t>
      </w:r>
      <w:r w:rsidRPr="006D30F8">
        <w:t>Code as in force from time to time.</w:t>
      </w:r>
    </w:p>
    <w:p w:rsidR="008B7CE0" w:rsidRDefault="008B7CE0" w:rsidP="008B7CE0">
      <w:pPr>
        <w:pStyle w:val="Note"/>
        <w:rPr>
          <w:rFonts w:ascii="Times"/>
          <w:szCs w:val="20"/>
        </w:rPr>
      </w:pPr>
      <w:r w:rsidRPr="006D30F8">
        <w:rPr>
          <w:i/>
          <w:iCs/>
        </w:rPr>
        <w:t>Note</w:t>
      </w:r>
      <w:r w:rsidR="00C90E3B">
        <w:rPr>
          <w:i/>
          <w:iCs/>
        </w:rPr>
        <w:t> </w:t>
      </w:r>
      <w:r>
        <w:rPr>
          <w:i/>
          <w:iCs/>
        </w:rPr>
        <w:t>2</w:t>
      </w:r>
      <w:r w:rsidR="00C90E3B">
        <w:rPr>
          <w:i/>
          <w:iCs/>
        </w:rPr>
        <w:t>   </w:t>
      </w:r>
      <w:r w:rsidRPr="006D30F8">
        <w:rPr>
          <w:iCs/>
        </w:rPr>
        <w:t>O</w:t>
      </w:r>
      <w:r w:rsidRPr="006D30F8">
        <w:t xml:space="preserve">ther words and phrases used in the NAD scheme, including </w:t>
      </w:r>
      <w:r w:rsidRPr="006D30F8">
        <w:rPr>
          <w:b/>
          <w:bCs/>
          <w:i/>
          <w:iCs/>
        </w:rPr>
        <w:t>ASADA</w:t>
      </w:r>
      <w:r w:rsidRPr="006D30F8">
        <w:t xml:space="preserve"> and </w:t>
      </w:r>
      <w:r w:rsidRPr="006D30F8">
        <w:rPr>
          <w:b/>
          <w:bCs/>
          <w:i/>
          <w:iCs/>
        </w:rPr>
        <w:t>ASC</w:t>
      </w:r>
      <w:r w:rsidRPr="00E10507">
        <w:rPr>
          <w:bCs/>
          <w:iCs/>
        </w:rPr>
        <w:t>,</w:t>
      </w:r>
      <w:r w:rsidRPr="00E10507">
        <w:t xml:space="preserve"> </w:t>
      </w:r>
      <w:r w:rsidRPr="006D30F8">
        <w:t xml:space="preserve">are defined in section </w:t>
      </w:r>
      <w:r w:rsidRPr="006D30F8">
        <w:rPr>
          <w:rFonts w:ascii="Times"/>
          <w:szCs w:val="20"/>
        </w:rPr>
        <w:t>4 of the Act.</w:t>
      </w:r>
    </w:p>
    <w:p w:rsidR="008B7CE0" w:rsidRPr="008B7CE0" w:rsidRDefault="008B7CE0" w:rsidP="008B7CE0">
      <w:pPr>
        <w:pStyle w:val="Note"/>
        <w:rPr>
          <w:rFonts w:ascii="Times"/>
          <w:szCs w:val="20"/>
        </w:rPr>
      </w:pPr>
      <w:r>
        <w:rPr>
          <w:rFonts w:ascii="Times"/>
          <w:i/>
          <w:szCs w:val="20"/>
        </w:rPr>
        <w:t>Note</w:t>
      </w:r>
      <w:r w:rsidR="00C90E3B">
        <w:rPr>
          <w:rFonts w:ascii="Times"/>
          <w:i/>
          <w:szCs w:val="20"/>
        </w:rPr>
        <w:t> </w:t>
      </w:r>
      <w:r>
        <w:rPr>
          <w:rFonts w:ascii="Times"/>
          <w:i/>
          <w:szCs w:val="20"/>
        </w:rPr>
        <w:t>3</w:t>
      </w:r>
      <w:r w:rsidR="00C90E3B">
        <w:rPr>
          <w:rFonts w:ascii="Times"/>
          <w:i/>
          <w:szCs w:val="20"/>
        </w:rPr>
        <w:t>   </w:t>
      </w:r>
      <w:r w:rsidR="00A43580">
        <w:rPr>
          <w:rFonts w:ascii="Times"/>
          <w:szCs w:val="20"/>
        </w:rPr>
        <w:t>A reference</w:t>
      </w:r>
      <w:r>
        <w:rPr>
          <w:rFonts w:ascii="Times"/>
          <w:szCs w:val="20"/>
        </w:rPr>
        <w:t xml:space="preserve"> in these definitions to ASADA may be treated as </w:t>
      </w:r>
      <w:r w:rsidR="00A43580">
        <w:rPr>
          <w:rFonts w:ascii="Times"/>
          <w:szCs w:val="20"/>
        </w:rPr>
        <w:t>a reference</w:t>
      </w:r>
      <w:r>
        <w:rPr>
          <w:rFonts w:ascii="Times"/>
          <w:szCs w:val="20"/>
        </w:rPr>
        <w:t xml:space="preserve"> to the </w:t>
      </w:r>
      <w:r w:rsidR="006050A5">
        <w:rPr>
          <w:rFonts w:ascii="Times"/>
          <w:szCs w:val="20"/>
        </w:rPr>
        <w:t xml:space="preserve">CEO or to the </w:t>
      </w:r>
      <w:r>
        <w:rPr>
          <w:rFonts w:ascii="Times"/>
          <w:szCs w:val="20"/>
        </w:rPr>
        <w:t>ADRVP i</w:t>
      </w:r>
      <w:r w:rsidR="00A43580">
        <w:rPr>
          <w:rFonts w:ascii="Times"/>
          <w:szCs w:val="20"/>
        </w:rPr>
        <w:t>f</w:t>
      </w:r>
      <w:r>
        <w:rPr>
          <w:rFonts w:ascii="Times"/>
          <w:szCs w:val="20"/>
        </w:rPr>
        <w:t xml:space="preserve"> </w:t>
      </w:r>
      <w:r w:rsidR="00A43580">
        <w:rPr>
          <w:rFonts w:ascii="Times"/>
          <w:szCs w:val="20"/>
        </w:rPr>
        <w:t xml:space="preserve">a determination made under </w:t>
      </w:r>
      <w:r w:rsidR="006050A5">
        <w:rPr>
          <w:rFonts w:ascii="Times"/>
          <w:szCs w:val="20"/>
        </w:rPr>
        <w:t>subsection</w:t>
      </w:r>
      <w:r w:rsidR="00A43580">
        <w:rPr>
          <w:rFonts w:ascii="Times"/>
          <w:szCs w:val="20"/>
        </w:rPr>
        <w:t xml:space="preserve"> 131</w:t>
      </w:r>
      <w:r w:rsidR="00C90E3B">
        <w:rPr>
          <w:rFonts w:ascii="Times"/>
          <w:szCs w:val="20"/>
        </w:rPr>
        <w:t> </w:t>
      </w:r>
      <w:r w:rsidR="00A43580">
        <w:rPr>
          <w:rFonts w:ascii="Times"/>
          <w:szCs w:val="20"/>
        </w:rPr>
        <w:t xml:space="preserve">(2) of Schedule 1 to the </w:t>
      </w:r>
      <w:r w:rsidR="00A43580" w:rsidRPr="00A43580">
        <w:rPr>
          <w:rFonts w:ascii="Times"/>
          <w:i/>
          <w:szCs w:val="20"/>
        </w:rPr>
        <w:t>Australian Sports Anti-Doping Authority Amendment Act 2009</w:t>
      </w:r>
      <w:r w:rsidR="00A43580">
        <w:rPr>
          <w:rFonts w:ascii="Times"/>
          <w:i/>
          <w:szCs w:val="20"/>
        </w:rPr>
        <w:t xml:space="preserve"> </w:t>
      </w:r>
      <w:r w:rsidR="00A43580">
        <w:rPr>
          <w:rFonts w:ascii="Times"/>
          <w:szCs w:val="20"/>
        </w:rPr>
        <w:t>applies to the reference.</w:t>
      </w:r>
    </w:p>
    <w:p w:rsidR="008852BB" w:rsidRDefault="00772E11" w:rsidP="008B7CE0">
      <w:pPr>
        <w:pStyle w:val="A1S"/>
      </w:pPr>
      <w:r w:rsidRPr="00E922C7">
        <w:t>[</w:t>
      </w:r>
      <w:fldSimple w:instr=" SEQ Sch1Item " w:fldLock="1">
        <w:r w:rsidR="00E92CAD">
          <w:rPr>
            <w:noProof/>
          </w:rPr>
          <w:t>6</w:t>
        </w:r>
      </w:fldSimple>
      <w:r w:rsidRPr="00E922C7">
        <w:t>]</w:t>
      </w:r>
      <w:r w:rsidRPr="00E922C7">
        <w:tab/>
      </w:r>
      <w:r w:rsidR="008852BB">
        <w:t>Schedule 1, after clause 1.05</w:t>
      </w:r>
    </w:p>
    <w:p w:rsidR="008852BB" w:rsidRDefault="008852BB" w:rsidP="008852BB">
      <w:pPr>
        <w:pStyle w:val="A2S"/>
      </w:pPr>
      <w:r>
        <w:t>insert</w:t>
      </w:r>
    </w:p>
    <w:p w:rsidR="008852BB" w:rsidRPr="00AB5F07" w:rsidRDefault="00AB5F07" w:rsidP="008852BB">
      <w:pPr>
        <w:pStyle w:val="HR"/>
        <w:rPr>
          <w:i/>
        </w:rPr>
      </w:pPr>
      <w:r w:rsidRPr="00C90E3B">
        <w:rPr>
          <w:rStyle w:val="CharSectno"/>
        </w:rPr>
        <w:t>1.05A</w:t>
      </w:r>
      <w:r>
        <w:tab/>
        <w:t xml:space="preserve">Meaning of </w:t>
      </w:r>
      <w:r>
        <w:rPr>
          <w:i/>
        </w:rPr>
        <w:t>finding</w:t>
      </w:r>
    </w:p>
    <w:p w:rsidR="00AB5F07" w:rsidRDefault="00AB5F07" w:rsidP="00C90E3B">
      <w:pPr>
        <w:pStyle w:val="ZR1"/>
      </w:pPr>
      <w:r>
        <w:tab/>
      </w:r>
      <w:r>
        <w:tab/>
        <w:t xml:space="preserve">In the NAD scheme, a </w:t>
      </w:r>
      <w:r>
        <w:rPr>
          <w:b/>
          <w:i/>
        </w:rPr>
        <w:t xml:space="preserve">finding </w:t>
      </w:r>
      <w:r>
        <w:t>i</w:t>
      </w:r>
      <w:r w:rsidRPr="001A014C">
        <w:t>s</w:t>
      </w:r>
      <w:r w:rsidRPr="00BE2679">
        <w:t xml:space="preserve"> </w:t>
      </w:r>
      <w:r>
        <w:t xml:space="preserve">a </w:t>
      </w:r>
      <w:r w:rsidRPr="001A014C">
        <w:t xml:space="preserve">finding by </w:t>
      </w:r>
      <w:r>
        <w:t>the ADRVP</w:t>
      </w:r>
      <w:r w:rsidRPr="001A014C">
        <w:t xml:space="preserve"> that</w:t>
      </w:r>
      <w:r>
        <w:t>:</w:t>
      </w:r>
    </w:p>
    <w:p w:rsidR="00AB5F07" w:rsidRDefault="00AB5F07" w:rsidP="00AB5F07">
      <w:pPr>
        <w:pStyle w:val="P1"/>
      </w:pPr>
      <w:r>
        <w:tab/>
        <w:t>(a)</w:t>
      </w:r>
      <w:r>
        <w:tab/>
      </w:r>
      <w:r w:rsidR="003539E3">
        <w:t xml:space="preserve">there is </w:t>
      </w:r>
      <w:r>
        <w:t>an adverse analytical finding; or</w:t>
      </w:r>
    </w:p>
    <w:p w:rsidR="00AB5F07" w:rsidRPr="003539E3" w:rsidRDefault="00AB5F07" w:rsidP="00AB5F07">
      <w:pPr>
        <w:pStyle w:val="P1"/>
      </w:pPr>
      <w:r w:rsidRPr="003539E3">
        <w:tab/>
        <w:t>(b)</w:t>
      </w:r>
      <w:r w:rsidRPr="003539E3">
        <w:tab/>
        <w:t>it is possible that an athlete or support person has committed a</w:t>
      </w:r>
      <w:r w:rsidR="00CD4DB0" w:rsidRPr="003539E3">
        <w:t xml:space="preserve"> </w:t>
      </w:r>
      <w:r w:rsidRPr="003539E3">
        <w:t>n</w:t>
      </w:r>
      <w:r w:rsidR="00CD4DB0" w:rsidRPr="003539E3">
        <w:t>on-presence</w:t>
      </w:r>
      <w:r w:rsidRPr="003539E3">
        <w:t xml:space="preserve"> anti-doping rule violation</w:t>
      </w:r>
      <w:r w:rsidR="003539E3">
        <w:t>.</w:t>
      </w:r>
    </w:p>
    <w:p w:rsidR="00980D02" w:rsidRPr="00E922C7" w:rsidRDefault="008852BB" w:rsidP="00AB5F07">
      <w:pPr>
        <w:pStyle w:val="A1S"/>
      </w:pPr>
      <w:r>
        <w:t>[</w:t>
      </w:r>
      <w:fldSimple w:instr=" SEQ Sch1Item " w:fldLock="1">
        <w:r w:rsidR="00E92CAD">
          <w:rPr>
            <w:noProof/>
          </w:rPr>
          <w:t>7</w:t>
        </w:r>
      </w:fldSimple>
      <w:r>
        <w:t>]</w:t>
      </w:r>
      <w:r>
        <w:tab/>
      </w:r>
      <w:r w:rsidR="00110AC4" w:rsidRPr="00E922C7">
        <w:t xml:space="preserve">Schedule 1, </w:t>
      </w:r>
      <w:r w:rsidR="00772E11" w:rsidRPr="00E922C7">
        <w:t>paragraph 2.04 (</w:t>
      </w:r>
      <w:r w:rsidR="00E922C7" w:rsidRPr="00E922C7">
        <w:t>m</w:t>
      </w:r>
      <w:r w:rsidR="00772E11" w:rsidRPr="00E922C7">
        <w:t>)</w:t>
      </w:r>
    </w:p>
    <w:p w:rsidR="00772E11" w:rsidRPr="00E922C7" w:rsidRDefault="00E922C7" w:rsidP="00772E11">
      <w:pPr>
        <w:pStyle w:val="A2S"/>
      </w:pPr>
      <w:r w:rsidRPr="00E922C7">
        <w:t>substitute</w:t>
      </w:r>
    </w:p>
    <w:p w:rsidR="00E922C7" w:rsidRDefault="00E922C7" w:rsidP="00E922C7">
      <w:pPr>
        <w:pStyle w:val="P1"/>
      </w:pPr>
      <w:r>
        <w:tab/>
        <w:t>(m)</w:t>
      </w:r>
      <w:r>
        <w:tab/>
      </w:r>
      <w:r w:rsidRPr="006D30F8">
        <w:t>accept finding</w:t>
      </w:r>
      <w:r>
        <w:t>s</w:t>
      </w:r>
      <w:r w:rsidRPr="006D30F8">
        <w:t xml:space="preserve"> by </w:t>
      </w:r>
      <w:r>
        <w:t>the ADRVP</w:t>
      </w:r>
      <w:r w:rsidRPr="006D30F8">
        <w:t xml:space="preserve">, </w:t>
      </w:r>
      <w:r w:rsidR="00473D44">
        <w:t xml:space="preserve">act on </w:t>
      </w:r>
      <w:r w:rsidR="00473D44" w:rsidRPr="006D30F8">
        <w:t>finding</w:t>
      </w:r>
      <w:r w:rsidR="00473D44">
        <w:t>s</w:t>
      </w:r>
      <w:r w:rsidR="00473D44" w:rsidRPr="006D30F8">
        <w:t xml:space="preserve"> by </w:t>
      </w:r>
      <w:r w:rsidR="00473D44">
        <w:t>the ADRVP</w:t>
      </w:r>
      <w:r w:rsidR="00473D44" w:rsidRPr="006D30F8">
        <w:t>,</w:t>
      </w:r>
      <w:r w:rsidR="00E4101F">
        <w:t xml:space="preserve"> </w:t>
      </w:r>
      <w:r w:rsidRPr="006D30F8">
        <w:t>ensure</w:t>
      </w:r>
      <w:r w:rsidR="00E4101F">
        <w:t xml:space="preserve"> that</w:t>
      </w:r>
      <w:r w:rsidRPr="006D30F8">
        <w:t xml:space="preserve"> </w:t>
      </w:r>
      <w:r w:rsidR="00E4101F">
        <w:t xml:space="preserve">a notice of an </w:t>
      </w:r>
      <w:r w:rsidR="00B316A0">
        <w:t xml:space="preserve">alleged </w:t>
      </w:r>
      <w:r w:rsidR="00E4101F" w:rsidRPr="003539E3">
        <w:t>anti-doping rule violation</w:t>
      </w:r>
      <w:r w:rsidR="00E4101F">
        <w:t xml:space="preserve"> is issued in accordance with a recommendation made by the ADRVP, and </w:t>
      </w:r>
      <w:r w:rsidRPr="006D30F8">
        <w:t xml:space="preserve">enforce </w:t>
      </w:r>
      <w:r w:rsidR="00E4101F">
        <w:t>sanctions</w:t>
      </w:r>
      <w:r w:rsidRPr="006D30F8">
        <w:t xml:space="preserve"> imposed </w:t>
      </w:r>
      <w:r>
        <w:t>by a sporting tribunal</w:t>
      </w:r>
      <w:r w:rsidRPr="006D30F8">
        <w:t>; and</w:t>
      </w:r>
    </w:p>
    <w:p w:rsidR="00E04A6A" w:rsidRDefault="00110AC4" w:rsidP="0056527A">
      <w:pPr>
        <w:pStyle w:val="A1S"/>
      </w:pPr>
      <w:r>
        <w:lastRenderedPageBreak/>
        <w:t>[</w:t>
      </w:r>
      <w:fldSimple w:instr=" SEQ Sch1Item " w:fldLock="1">
        <w:r w:rsidR="00E92CAD">
          <w:rPr>
            <w:noProof/>
          </w:rPr>
          <w:t>8</w:t>
        </w:r>
      </w:fldSimple>
      <w:r>
        <w:t>]</w:t>
      </w:r>
      <w:r>
        <w:tab/>
      </w:r>
      <w:r w:rsidR="00E04A6A">
        <w:t xml:space="preserve">Schedule 1, </w:t>
      </w:r>
      <w:r w:rsidR="00F47DD5">
        <w:t>section 4.07</w:t>
      </w:r>
    </w:p>
    <w:p w:rsidR="00E04A6A" w:rsidRDefault="00F47DD5" w:rsidP="00E04A6A">
      <w:pPr>
        <w:pStyle w:val="A2S"/>
      </w:pPr>
      <w:r>
        <w:t>substitute</w:t>
      </w:r>
    </w:p>
    <w:p w:rsidR="00F47DD5" w:rsidRDefault="00F47DD5" w:rsidP="00F47DD5">
      <w:pPr>
        <w:pStyle w:val="HR"/>
      </w:pPr>
      <w:bookmarkStart w:id="5" w:name="_Toc249176453"/>
      <w:r w:rsidRPr="00C90E3B">
        <w:rPr>
          <w:rStyle w:val="CharSectno"/>
        </w:rPr>
        <w:t>4.07</w:t>
      </w:r>
      <w:r w:rsidR="001A6B17" w:rsidRPr="00C90E3B">
        <w:rPr>
          <w:rStyle w:val="CharSectno"/>
        </w:rPr>
        <w:t>A</w:t>
      </w:r>
      <w:r>
        <w:tab/>
        <w:t xml:space="preserve">Notification of </w:t>
      </w:r>
      <w:bookmarkEnd w:id="5"/>
      <w:r>
        <w:t xml:space="preserve">possible </w:t>
      </w:r>
      <w:r w:rsidRPr="003539E3">
        <w:t>non-presence anti-doping rule violation</w:t>
      </w:r>
    </w:p>
    <w:p w:rsidR="00F47DD5" w:rsidRDefault="00F47DD5" w:rsidP="00C90E3B">
      <w:pPr>
        <w:pStyle w:val="ZR1"/>
      </w:pPr>
      <w:r>
        <w:tab/>
        <w:t>(1)</w:t>
      </w:r>
      <w:r>
        <w:tab/>
        <w:t>This clause applies if:</w:t>
      </w:r>
    </w:p>
    <w:p w:rsidR="00F47DD5" w:rsidRDefault="00F47DD5" w:rsidP="00F47DD5">
      <w:pPr>
        <w:pStyle w:val="P1"/>
      </w:pPr>
      <w:r>
        <w:tab/>
        <w:t>(a)</w:t>
      </w:r>
      <w:r>
        <w:tab/>
      </w:r>
      <w:r w:rsidR="000E75F4">
        <w:t>the CEO</w:t>
      </w:r>
      <w:r>
        <w:t xml:space="preserve"> receives evidence or information showing a possible </w:t>
      </w:r>
      <w:r w:rsidRPr="003539E3">
        <w:t>non-presence anti-doping rule violation</w:t>
      </w:r>
      <w:r>
        <w:t>; and</w:t>
      </w:r>
    </w:p>
    <w:p w:rsidR="00F47DD5" w:rsidRDefault="00F47DD5" w:rsidP="00F47DD5">
      <w:pPr>
        <w:pStyle w:val="P1"/>
      </w:pPr>
      <w:r>
        <w:tab/>
        <w:t>(b)</w:t>
      </w:r>
      <w:r>
        <w:tab/>
        <w:t xml:space="preserve">following a review of the evidence or information, </w:t>
      </w:r>
      <w:r w:rsidR="000E75F4">
        <w:t xml:space="preserve">the CEO </w:t>
      </w:r>
      <w:r>
        <w:t xml:space="preserve">determines there is a possible </w:t>
      </w:r>
      <w:r w:rsidRPr="003539E3">
        <w:t>non-presence anti-doping rule violation</w:t>
      </w:r>
      <w:r>
        <w:t xml:space="preserve"> that warrants action by </w:t>
      </w:r>
      <w:r w:rsidR="000E75F4">
        <w:t>the CEO</w:t>
      </w:r>
      <w:r>
        <w:t>.</w:t>
      </w:r>
    </w:p>
    <w:p w:rsidR="00955966" w:rsidRDefault="00F47DD5" w:rsidP="00F47DD5">
      <w:pPr>
        <w:pStyle w:val="R2"/>
      </w:pPr>
      <w:r>
        <w:tab/>
        <w:t>(2)</w:t>
      </w:r>
      <w:r>
        <w:tab/>
      </w:r>
      <w:r w:rsidR="001A6B17">
        <w:t>The CEO</w:t>
      </w:r>
      <w:r>
        <w:t xml:space="preserve"> must notify the participant in writing of the possible </w:t>
      </w:r>
      <w:r w:rsidRPr="003539E3">
        <w:t>non-presence anti-doping rule violation</w:t>
      </w:r>
      <w:r>
        <w:t>.</w:t>
      </w:r>
    </w:p>
    <w:p w:rsidR="00F47DD5" w:rsidRDefault="00955966" w:rsidP="00C90E3B">
      <w:pPr>
        <w:pStyle w:val="ZR2"/>
      </w:pPr>
      <w:r>
        <w:tab/>
        <w:t>(3)</w:t>
      </w:r>
      <w:r>
        <w:tab/>
      </w:r>
      <w:r w:rsidR="00F47DD5">
        <w:t>The notice must include:</w:t>
      </w:r>
    </w:p>
    <w:p w:rsidR="00F47DD5" w:rsidRDefault="00F47DD5" w:rsidP="00F47DD5">
      <w:pPr>
        <w:pStyle w:val="P1"/>
      </w:pPr>
      <w:r>
        <w:tab/>
        <w:t>(a)</w:t>
      </w:r>
      <w:r>
        <w:tab/>
        <w:t xml:space="preserve">details of the possible </w:t>
      </w:r>
      <w:r w:rsidRPr="003539E3">
        <w:t>non-presence anti-doping rule violation</w:t>
      </w:r>
      <w:r>
        <w:t>; and</w:t>
      </w:r>
    </w:p>
    <w:p w:rsidR="00F47DD5" w:rsidRDefault="00F47DD5" w:rsidP="00F47DD5">
      <w:pPr>
        <w:pStyle w:val="P1"/>
      </w:pPr>
      <w:r>
        <w:tab/>
        <w:t>(b)</w:t>
      </w:r>
      <w:r>
        <w:tab/>
      </w:r>
      <w:r w:rsidR="00DE4776">
        <w:t xml:space="preserve">a statement </w:t>
      </w:r>
      <w:r>
        <w:t xml:space="preserve">that the participant (or a person on the participant’s behalf) may, within the response period, give </w:t>
      </w:r>
      <w:r w:rsidR="000E75F4">
        <w:t xml:space="preserve">the CEO </w:t>
      </w:r>
      <w:r>
        <w:t xml:space="preserve">a written submission setting out information or evidence relating to the possible </w:t>
      </w:r>
      <w:r w:rsidRPr="003539E3">
        <w:t>non-presence anti-doping rule violation</w:t>
      </w:r>
      <w:r>
        <w:t>, or waiving this right to make a submission; and</w:t>
      </w:r>
    </w:p>
    <w:p w:rsidR="00F47DD5" w:rsidRDefault="00F47DD5" w:rsidP="00F47DD5">
      <w:pPr>
        <w:pStyle w:val="P1"/>
      </w:pPr>
      <w:r>
        <w:tab/>
        <w:t>(c)</w:t>
      </w:r>
      <w:r>
        <w:tab/>
      </w:r>
      <w:r w:rsidR="00DE4776">
        <w:t xml:space="preserve">a statement </w:t>
      </w:r>
      <w:r>
        <w:t xml:space="preserve">that if the participant (or a person on the participant’s behalf) does not give </w:t>
      </w:r>
      <w:r w:rsidR="000E75F4">
        <w:t xml:space="preserve">the CEO </w:t>
      </w:r>
      <w:r>
        <w:t>a written submission or notice within the response period, the participant is taken to have waived the participant’s right to make a submission; and</w:t>
      </w:r>
    </w:p>
    <w:p w:rsidR="00F47DD5" w:rsidRDefault="00F47DD5" w:rsidP="00F47DD5">
      <w:pPr>
        <w:pStyle w:val="P1"/>
      </w:pPr>
      <w:r>
        <w:tab/>
        <w:t>(d)</w:t>
      </w:r>
      <w:r>
        <w:tab/>
      </w:r>
      <w:r w:rsidR="00DE4776">
        <w:t xml:space="preserve">a statement </w:t>
      </w:r>
      <w:r>
        <w:t xml:space="preserve">that, after considering any submission made by the participant (or a person on the participant’s behalf), </w:t>
      </w:r>
      <w:r w:rsidR="000E75F4">
        <w:t>the ADRVP</w:t>
      </w:r>
      <w:r>
        <w:t xml:space="preserve"> may make an entry on the Register relating to the possible </w:t>
      </w:r>
      <w:r w:rsidRPr="003539E3">
        <w:t>non-presence anti-doping rule violation</w:t>
      </w:r>
      <w:r>
        <w:t>; and</w:t>
      </w:r>
    </w:p>
    <w:p w:rsidR="00F47DD5" w:rsidRDefault="00F47DD5" w:rsidP="00F47DD5">
      <w:pPr>
        <w:pStyle w:val="P1"/>
      </w:pPr>
      <w:r>
        <w:tab/>
        <w:t>(e)</w:t>
      </w:r>
      <w:r>
        <w:tab/>
      </w:r>
      <w:r w:rsidR="00DE4776">
        <w:t xml:space="preserve">a statement </w:t>
      </w:r>
      <w:r>
        <w:t xml:space="preserve">that </w:t>
      </w:r>
      <w:r w:rsidR="000E75F4">
        <w:t>the ADRVP</w:t>
      </w:r>
      <w:r>
        <w:t xml:space="preserve"> may make recommendations to relevant sporting organisations about the consequences of the possible </w:t>
      </w:r>
      <w:r w:rsidRPr="003539E3">
        <w:t>non-presence anti-doping rule violation</w:t>
      </w:r>
      <w:r>
        <w:t>; and</w:t>
      </w:r>
    </w:p>
    <w:p w:rsidR="00F47DD5" w:rsidRDefault="00F47DD5" w:rsidP="00F47DD5">
      <w:pPr>
        <w:pStyle w:val="P1"/>
      </w:pPr>
      <w:r>
        <w:tab/>
        <w:t>(f)</w:t>
      </w:r>
      <w:r>
        <w:tab/>
        <w:t>details of other parties that will be notified of the entry on the Register; and</w:t>
      </w:r>
    </w:p>
    <w:p w:rsidR="00F47DD5" w:rsidRDefault="00F47DD5" w:rsidP="00F47DD5">
      <w:pPr>
        <w:pStyle w:val="P1"/>
      </w:pPr>
      <w:r>
        <w:lastRenderedPageBreak/>
        <w:tab/>
        <w:t>(g)</w:t>
      </w:r>
      <w:r>
        <w:tab/>
      </w:r>
      <w:r w:rsidR="00DE4776">
        <w:t xml:space="preserve">a statement </w:t>
      </w:r>
      <w:r>
        <w:t xml:space="preserve">that </w:t>
      </w:r>
      <w:r w:rsidR="000E75F4">
        <w:t>the ADRVP</w:t>
      </w:r>
      <w:r>
        <w:t xml:space="preserve"> may also publicly disclose details of the entry on the Register.</w:t>
      </w:r>
    </w:p>
    <w:p w:rsidR="00955966" w:rsidRDefault="00F47DD5" w:rsidP="00C90E3B">
      <w:pPr>
        <w:pStyle w:val="ZR2"/>
      </w:pPr>
      <w:r>
        <w:tab/>
        <w:t>(</w:t>
      </w:r>
      <w:r w:rsidR="00955966">
        <w:t>4)</w:t>
      </w:r>
      <w:r w:rsidR="00955966">
        <w:tab/>
        <w:t>In this clause:</w:t>
      </w:r>
    </w:p>
    <w:p w:rsidR="00F47DD5" w:rsidRDefault="00F47DD5" w:rsidP="00C90E3B">
      <w:pPr>
        <w:pStyle w:val="Zdefinition"/>
      </w:pPr>
      <w:r w:rsidRPr="00C90E3B">
        <w:rPr>
          <w:b/>
          <w:i/>
        </w:rPr>
        <w:t>response period</w:t>
      </w:r>
      <w:r>
        <w:t xml:space="preserve"> means:</w:t>
      </w:r>
    </w:p>
    <w:p w:rsidR="00F47DD5" w:rsidRDefault="00F47DD5" w:rsidP="00F47DD5">
      <w:pPr>
        <w:pStyle w:val="P1"/>
      </w:pPr>
      <w:r>
        <w:tab/>
        <w:t>(a)</w:t>
      </w:r>
      <w:r>
        <w:tab/>
      </w:r>
      <w:r w:rsidR="00955966">
        <w:t>the</w:t>
      </w:r>
      <w:r>
        <w:t xml:space="preserve"> </w:t>
      </w:r>
      <w:r w:rsidR="00955966">
        <w:t xml:space="preserve">period of </w:t>
      </w:r>
      <w:r>
        <w:t xml:space="preserve">10 days after </w:t>
      </w:r>
      <w:r w:rsidR="00955966">
        <w:t>a participant receives</w:t>
      </w:r>
      <w:r>
        <w:t xml:space="preserve"> </w:t>
      </w:r>
      <w:r w:rsidR="00955966">
        <w:t>a</w:t>
      </w:r>
      <w:r>
        <w:t xml:space="preserve"> notice; or</w:t>
      </w:r>
    </w:p>
    <w:p w:rsidR="00F47DD5" w:rsidRDefault="00F47DD5" w:rsidP="00F47DD5">
      <w:pPr>
        <w:pStyle w:val="P1"/>
      </w:pPr>
      <w:r>
        <w:tab/>
        <w:t>(b)</w:t>
      </w:r>
      <w:r>
        <w:tab/>
        <w:t xml:space="preserve">if </w:t>
      </w:r>
      <w:r w:rsidR="000E75F4">
        <w:t xml:space="preserve">the CEO </w:t>
      </w:r>
      <w:r>
        <w:t xml:space="preserve">considers that a shorter period is reasonably necessary due to the circumstances (for example, because of a forthcoming international event or national event)—a shorter period notified by </w:t>
      </w:r>
      <w:r w:rsidR="000E75F4">
        <w:t xml:space="preserve">the CEO </w:t>
      </w:r>
      <w:r>
        <w:t>in writing to the participant before the end of the original response period; or</w:t>
      </w:r>
    </w:p>
    <w:p w:rsidR="00F47DD5" w:rsidRDefault="00F47DD5" w:rsidP="00F47DD5">
      <w:pPr>
        <w:pStyle w:val="P1"/>
      </w:pPr>
      <w:r>
        <w:tab/>
        <w:t>(c)</w:t>
      </w:r>
      <w:r>
        <w:tab/>
        <w:t xml:space="preserve">a longer period notified by </w:t>
      </w:r>
      <w:r w:rsidR="000E75F4">
        <w:t xml:space="preserve">the CEO </w:t>
      </w:r>
      <w:r>
        <w:t>in writing to the participant.</w:t>
      </w:r>
    </w:p>
    <w:p w:rsidR="00DF2B41" w:rsidRDefault="00DF2B41" w:rsidP="00DF2B41">
      <w:pPr>
        <w:pStyle w:val="A1S"/>
      </w:pPr>
      <w:r>
        <w:t>[</w:t>
      </w:r>
      <w:fldSimple w:instr=" SEQ Sch1Item " w:fldLock="1">
        <w:r w:rsidR="00E92CAD">
          <w:rPr>
            <w:noProof/>
          </w:rPr>
          <w:t>9</w:t>
        </w:r>
      </w:fldSimple>
      <w:r>
        <w:t>]</w:t>
      </w:r>
      <w:r>
        <w:tab/>
        <w:t>Schedule 1, clause 4.08</w:t>
      </w:r>
    </w:p>
    <w:p w:rsidR="00DF2B41" w:rsidRDefault="00DF2B41" w:rsidP="00DF2B41">
      <w:pPr>
        <w:pStyle w:val="A2S"/>
      </w:pPr>
      <w:r>
        <w:t>omit</w:t>
      </w:r>
    </w:p>
    <w:p w:rsidR="00DF2B41" w:rsidRPr="00DF2B41" w:rsidRDefault="00DF2B41" w:rsidP="00DF2B41">
      <w:pPr>
        <w:pStyle w:val="A3S"/>
      </w:pPr>
      <w:r>
        <w:t>other possible anti-doping rule violations</w:t>
      </w:r>
    </w:p>
    <w:p w:rsidR="00DF2B41" w:rsidRDefault="00C90E3B" w:rsidP="00DF2B41">
      <w:pPr>
        <w:pStyle w:val="A2S"/>
      </w:pPr>
      <w:r>
        <w:t>insert</w:t>
      </w:r>
    </w:p>
    <w:p w:rsidR="00DF2B41" w:rsidRPr="00DF2B41" w:rsidRDefault="00DF2B41" w:rsidP="00DF2B41">
      <w:pPr>
        <w:pStyle w:val="A3S"/>
      </w:pPr>
      <w:r>
        <w:t xml:space="preserve">possible </w:t>
      </w:r>
      <w:r w:rsidRPr="003539E3">
        <w:t>non-presence anti-doping rule violation</w:t>
      </w:r>
      <w:r>
        <w:t>s</w:t>
      </w:r>
    </w:p>
    <w:p w:rsidR="00110AC4" w:rsidRDefault="00E04A6A" w:rsidP="00DF2B41">
      <w:pPr>
        <w:pStyle w:val="A1S"/>
      </w:pPr>
      <w:r>
        <w:t>[</w:t>
      </w:r>
      <w:fldSimple w:instr=" SEQ Sch1Item " w:fldLock="1">
        <w:r w:rsidR="00E92CAD">
          <w:rPr>
            <w:noProof/>
          </w:rPr>
          <w:t>10</w:t>
        </w:r>
      </w:fldSimple>
      <w:r>
        <w:t>]</w:t>
      </w:r>
      <w:r>
        <w:tab/>
      </w:r>
      <w:r w:rsidR="00110AC4">
        <w:t>Schedule 1, clause</w:t>
      </w:r>
      <w:r w:rsidR="00DF2B41">
        <w:t>s</w:t>
      </w:r>
      <w:r w:rsidR="00110AC4">
        <w:t xml:space="preserve"> 4.09 </w:t>
      </w:r>
      <w:r w:rsidR="00DF2B41">
        <w:t>and 4.10</w:t>
      </w:r>
    </w:p>
    <w:p w:rsidR="00110AC4" w:rsidRDefault="00110AC4" w:rsidP="00110AC4">
      <w:pPr>
        <w:pStyle w:val="A2S"/>
      </w:pPr>
      <w:r>
        <w:t>substitute</w:t>
      </w:r>
    </w:p>
    <w:p w:rsidR="00110AC4" w:rsidRDefault="00110AC4" w:rsidP="00110AC4">
      <w:pPr>
        <w:pStyle w:val="HR"/>
      </w:pPr>
      <w:r w:rsidRPr="00C90E3B">
        <w:rPr>
          <w:rStyle w:val="CharSectno"/>
        </w:rPr>
        <w:t>4.09</w:t>
      </w:r>
      <w:r>
        <w:tab/>
        <w:t>Finding—consideration by the ADRVP</w:t>
      </w:r>
    </w:p>
    <w:p w:rsidR="007C3ED0" w:rsidRPr="0039044B" w:rsidRDefault="007C3ED0" w:rsidP="00C90E3B">
      <w:pPr>
        <w:pStyle w:val="ZR1"/>
      </w:pPr>
      <w:r>
        <w:tab/>
        <w:t>(1)</w:t>
      </w:r>
      <w:r>
        <w:tab/>
        <w:t>This clause applies if:</w:t>
      </w:r>
    </w:p>
    <w:p w:rsidR="007C3ED0" w:rsidRDefault="007C3ED0" w:rsidP="007C3ED0">
      <w:pPr>
        <w:pStyle w:val="P1"/>
      </w:pPr>
      <w:r>
        <w:tab/>
        <w:t>(a)</w:t>
      </w:r>
      <w:r>
        <w:tab/>
        <w:t>a participant has received notification under clause 4.06 or 4.07</w:t>
      </w:r>
      <w:r w:rsidR="00A44D46">
        <w:t>A</w:t>
      </w:r>
      <w:r>
        <w:t>; and</w:t>
      </w:r>
    </w:p>
    <w:p w:rsidR="007C3ED0" w:rsidRDefault="007C3ED0" w:rsidP="007C3ED0">
      <w:pPr>
        <w:pStyle w:val="P1"/>
      </w:pPr>
      <w:r>
        <w:tab/>
        <w:t>(b)</w:t>
      </w:r>
      <w:r>
        <w:tab/>
        <w:t>the response period for the notification has ended.</w:t>
      </w:r>
    </w:p>
    <w:p w:rsidR="007C3ED0" w:rsidRDefault="007C3ED0" w:rsidP="007C3ED0">
      <w:pPr>
        <w:pStyle w:val="R2"/>
      </w:pPr>
      <w:r>
        <w:tab/>
        <w:t>(2)</w:t>
      </w:r>
      <w:r>
        <w:tab/>
        <w:t>The ADRVP must, as soon as practicable, consider any submissions made by the participant and decide whether or not to make an entry on the Register.</w:t>
      </w:r>
    </w:p>
    <w:p w:rsidR="00E91FFB" w:rsidRDefault="007C3ED0" w:rsidP="00C90E3B">
      <w:pPr>
        <w:pStyle w:val="ZR2"/>
      </w:pPr>
      <w:r>
        <w:lastRenderedPageBreak/>
        <w:tab/>
        <w:t>(3)</w:t>
      </w:r>
      <w:r>
        <w:tab/>
        <w:t xml:space="preserve">If the ADRVP decides not to make an entry on the Register, the ADRVP </w:t>
      </w:r>
      <w:r w:rsidR="00E91FFB">
        <w:t>must notify:</w:t>
      </w:r>
    </w:p>
    <w:p w:rsidR="00E91FFB" w:rsidRDefault="00E91FFB" w:rsidP="00E91FFB">
      <w:pPr>
        <w:pStyle w:val="P1"/>
      </w:pPr>
      <w:r>
        <w:tab/>
        <w:t>(a)</w:t>
      </w:r>
      <w:r>
        <w:tab/>
      </w:r>
      <w:r w:rsidR="007C3ED0">
        <w:t>the participant</w:t>
      </w:r>
      <w:r>
        <w:t>;</w:t>
      </w:r>
      <w:r w:rsidR="007C3ED0">
        <w:t xml:space="preserve"> and</w:t>
      </w:r>
    </w:p>
    <w:p w:rsidR="007C3ED0" w:rsidRDefault="00E91FFB" w:rsidP="00E91FFB">
      <w:pPr>
        <w:pStyle w:val="P1"/>
      </w:pPr>
      <w:r>
        <w:tab/>
        <w:t>(b)</w:t>
      </w:r>
      <w:r>
        <w:tab/>
        <w:t>any other party that has</w:t>
      </w:r>
      <w:r w:rsidR="007C3ED0">
        <w:t xml:space="preserve"> been notified of the adverse analytical finding or possible </w:t>
      </w:r>
      <w:r w:rsidR="00E4101F" w:rsidRPr="003539E3">
        <w:t>non-presence</w:t>
      </w:r>
      <w:r w:rsidR="00E4101F">
        <w:t xml:space="preserve"> </w:t>
      </w:r>
      <w:r w:rsidR="007C3ED0">
        <w:t>anti-doping rule violation.</w:t>
      </w:r>
    </w:p>
    <w:p w:rsidR="00DF2B41" w:rsidRDefault="00DF2B41" w:rsidP="00DF2B41">
      <w:pPr>
        <w:pStyle w:val="HR"/>
      </w:pPr>
      <w:bookmarkStart w:id="6" w:name="_Toc249176457"/>
      <w:r w:rsidRPr="00C90E3B">
        <w:rPr>
          <w:rStyle w:val="CharSectno"/>
        </w:rPr>
        <w:t>4.10</w:t>
      </w:r>
      <w:r>
        <w:tab/>
        <w:t>Entry of finding on Register</w:t>
      </w:r>
      <w:bookmarkEnd w:id="6"/>
    </w:p>
    <w:p w:rsidR="00DF2B41" w:rsidRDefault="00DF2B41" w:rsidP="00C90E3B">
      <w:pPr>
        <w:pStyle w:val="ZR1"/>
      </w:pPr>
      <w:r>
        <w:tab/>
      </w:r>
      <w:r>
        <w:tab/>
        <w:t>As soon as practicable after deciding to make an entry on the Register, the ADRVP must enter the following information on the Register:</w:t>
      </w:r>
    </w:p>
    <w:p w:rsidR="00DF2B41" w:rsidRDefault="00DF2B41" w:rsidP="00DF2B41">
      <w:pPr>
        <w:pStyle w:val="P1"/>
      </w:pPr>
      <w:r>
        <w:tab/>
        <w:t>(a)</w:t>
      </w:r>
      <w:r>
        <w:tab/>
        <w:t>the name of the participant;</w:t>
      </w:r>
    </w:p>
    <w:p w:rsidR="00DF2B41" w:rsidRDefault="00DF2B41" w:rsidP="00C90E3B">
      <w:pPr>
        <w:pStyle w:val="ZP1"/>
      </w:pPr>
      <w:r>
        <w:tab/>
        <w:t>(b)</w:t>
      </w:r>
      <w:r>
        <w:tab/>
        <w:t>if the participant is an athlete:</w:t>
      </w:r>
    </w:p>
    <w:p w:rsidR="00DF2B41" w:rsidRDefault="00DF2B41" w:rsidP="00DF2B41">
      <w:pPr>
        <w:pStyle w:val="P2"/>
      </w:pPr>
      <w:r>
        <w:tab/>
        <w:t>(i)</w:t>
      </w:r>
      <w:r>
        <w:tab/>
        <w:t>the athlete’s date of birth;</w:t>
      </w:r>
      <w:r w:rsidR="00A44D46">
        <w:t xml:space="preserve"> and</w:t>
      </w:r>
    </w:p>
    <w:p w:rsidR="00DF2B41" w:rsidRDefault="00DF2B41" w:rsidP="00DF2B41">
      <w:pPr>
        <w:pStyle w:val="P2"/>
      </w:pPr>
      <w:r>
        <w:tab/>
        <w:t>(ii)</w:t>
      </w:r>
      <w:r>
        <w:tab/>
        <w:t>the athlete’s sport;</w:t>
      </w:r>
    </w:p>
    <w:p w:rsidR="00DF2B41" w:rsidRDefault="00DF2B41" w:rsidP="00DF2B41">
      <w:pPr>
        <w:pStyle w:val="P1"/>
      </w:pPr>
      <w:r>
        <w:tab/>
        <w:t>(c)</w:t>
      </w:r>
      <w:r>
        <w:tab/>
        <w:t xml:space="preserve">the nature of the finding relating to the adverse analytical finding or possible </w:t>
      </w:r>
      <w:r w:rsidRPr="003539E3">
        <w:t>non-presence anti-doping rule violation</w:t>
      </w:r>
      <w:r>
        <w:t>;</w:t>
      </w:r>
    </w:p>
    <w:p w:rsidR="00DF2B41" w:rsidRDefault="00DF2B41" w:rsidP="00DF2B41">
      <w:pPr>
        <w:pStyle w:val="P1"/>
      </w:pPr>
      <w:r>
        <w:tab/>
        <w:t>(d)</w:t>
      </w:r>
      <w:r>
        <w:tab/>
        <w:t xml:space="preserve">the date of the adverse analytical finding or possible </w:t>
      </w:r>
      <w:r w:rsidRPr="003539E3">
        <w:t>non-presence anti-doping rule violation</w:t>
      </w:r>
      <w:r>
        <w:t>;</w:t>
      </w:r>
    </w:p>
    <w:p w:rsidR="00DF2B41" w:rsidRDefault="00DF2B41" w:rsidP="00DF2B41">
      <w:pPr>
        <w:pStyle w:val="P1"/>
      </w:pPr>
      <w:r>
        <w:tab/>
        <w:t>(e)</w:t>
      </w:r>
      <w:r>
        <w:tab/>
        <w:t xml:space="preserve">any other details relevant to the adverse analytical finding or possible </w:t>
      </w:r>
      <w:r w:rsidRPr="003539E3">
        <w:t>non-presence anti-doping rule violation</w:t>
      </w:r>
      <w:r>
        <w:t xml:space="preserve"> that the ADRVP considers should be entered on the Register.</w:t>
      </w:r>
    </w:p>
    <w:p w:rsidR="00C46084" w:rsidRDefault="00DF2B41" w:rsidP="00DF2B41">
      <w:pPr>
        <w:pStyle w:val="A1S"/>
      </w:pPr>
      <w:r>
        <w:t>[</w:t>
      </w:r>
      <w:fldSimple w:instr=" SEQ Sch1Item " w:fldLock="1">
        <w:r w:rsidR="00E92CAD">
          <w:rPr>
            <w:noProof/>
          </w:rPr>
          <w:t>11</w:t>
        </w:r>
      </w:fldSimple>
      <w:r>
        <w:t>]</w:t>
      </w:r>
      <w:r>
        <w:tab/>
        <w:t>Schedule 1, paragraph 4.11 (1)</w:t>
      </w:r>
      <w:r w:rsidR="008F66EC">
        <w:t xml:space="preserve"> (a)</w:t>
      </w:r>
    </w:p>
    <w:p w:rsidR="00DF2B41" w:rsidRDefault="00DF2B41" w:rsidP="00DF2B41">
      <w:pPr>
        <w:pStyle w:val="A2S"/>
      </w:pPr>
      <w:r>
        <w:t>omit</w:t>
      </w:r>
    </w:p>
    <w:p w:rsidR="00DF2B41" w:rsidRPr="00DF2B41" w:rsidRDefault="00DF2B41" w:rsidP="00DF2B41">
      <w:pPr>
        <w:pStyle w:val="A3S"/>
      </w:pPr>
      <w:r>
        <w:t>other possible anti-doping rule violation</w:t>
      </w:r>
    </w:p>
    <w:p w:rsidR="00DF2B41" w:rsidRDefault="00C90E3B" w:rsidP="00DF2B41">
      <w:pPr>
        <w:pStyle w:val="A2S"/>
      </w:pPr>
      <w:r>
        <w:t>insert</w:t>
      </w:r>
    </w:p>
    <w:p w:rsidR="00DF2B41" w:rsidRPr="00DF2B41" w:rsidRDefault="00DF2B41" w:rsidP="00DF2B41">
      <w:pPr>
        <w:pStyle w:val="A3S"/>
      </w:pPr>
      <w:r>
        <w:t xml:space="preserve">possible </w:t>
      </w:r>
      <w:r w:rsidRPr="003539E3">
        <w:t>non-presence anti-doping rule violation</w:t>
      </w:r>
    </w:p>
    <w:p w:rsidR="00DF2B41" w:rsidRPr="00DF2B41" w:rsidRDefault="00DF2B41" w:rsidP="00A44D46">
      <w:pPr>
        <w:pStyle w:val="A1S"/>
        <w:keepLines/>
      </w:pPr>
      <w:r>
        <w:lastRenderedPageBreak/>
        <w:t>[</w:t>
      </w:r>
      <w:fldSimple w:instr=" SEQ Sch1Item " w:fldLock="1">
        <w:r w:rsidR="00E92CAD">
          <w:rPr>
            <w:noProof/>
          </w:rPr>
          <w:t>12</w:t>
        </w:r>
      </w:fldSimple>
      <w:r>
        <w:t>]</w:t>
      </w:r>
      <w:r>
        <w:tab/>
        <w:t>Schedule 1, paragraph 4.11 (2) (a)</w:t>
      </w:r>
    </w:p>
    <w:p w:rsidR="00DF2B41" w:rsidRDefault="00DF2B41" w:rsidP="00DF2B41">
      <w:pPr>
        <w:pStyle w:val="A2S"/>
      </w:pPr>
      <w:r>
        <w:t>omit</w:t>
      </w:r>
    </w:p>
    <w:p w:rsidR="00DF2B41" w:rsidRPr="00DF2B41" w:rsidRDefault="00DF2B41" w:rsidP="00A44D46">
      <w:pPr>
        <w:pStyle w:val="A3S"/>
        <w:keepNext/>
      </w:pPr>
      <w:r>
        <w:t>other possible anti-doping rule violation</w:t>
      </w:r>
    </w:p>
    <w:p w:rsidR="00DF2B41" w:rsidRDefault="00DF2B41" w:rsidP="00DF2B41">
      <w:pPr>
        <w:pStyle w:val="A2S"/>
      </w:pPr>
      <w:r>
        <w:t>insert</w:t>
      </w:r>
    </w:p>
    <w:p w:rsidR="00DF2B41" w:rsidRPr="00DF2B41" w:rsidRDefault="00DF2B41" w:rsidP="00DF2B41">
      <w:pPr>
        <w:pStyle w:val="A3S"/>
      </w:pPr>
      <w:r>
        <w:t xml:space="preserve">possible </w:t>
      </w:r>
      <w:r w:rsidRPr="003539E3">
        <w:t>non-presence anti-doping rule violation</w:t>
      </w:r>
    </w:p>
    <w:p w:rsidR="00C90E3B" w:rsidRDefault="00C90E3B" w:rsidP="00931C01">
      <w:pPr>
        <w:pStyle w:val="SchedSectionBreak"/>
        <w:sectPr w:rsidR="00C90E3B" w:rsidSect="00931C0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C46084" w:rsidRDefault="00C46084" w:rsidP="00772E11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C46084" w:rsidRDefault="00C46084" w:rsidP="00772E11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hyperlink r:id="rId25" w:history="1">
        <w:r w:rsidRPr="006543B3">
          <w:rPr>
            <w:rStyle w:val="Hyperlink"/>
          </w:rPr>
          <w:t>www.comlaw.gov.au</w:t>
        </w:r>
      </w:hyperlink>
      <w:r>
        <w:rPr>
          <w:color w:val="000000"/>
        </w:rPr>
        <w:t>.</w:t>
      </w:r>
    </w:p>
    <w:p w:rsidR="00C46084" w:rsidRDefault="00C46084" w:rsidP="00772E11">
      <w:pPr>
        <w:pStyle w:val="NotesSectionBreak"/>
        <w:sectPr w:rsidR="00C46084" w:rsidSect="00772E1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C46084" w:rsidRPr="00C46084" w:rsidRDefault="00C46084" w:rsidP="00C46084"/>
    <w:sectPr w:rsidR="00C46084" w:rsidRPr="00C46084" w:rsidSect="00C46084">
      <w:headerReference w:type="even" r:id="rId32"/>
      <w:headerReference w:type="default" r:id="rId33"/>
      <w:footerReference w:type="even" r:id="rId34"/>
      <w:footerReference w:type="default" r:id="rId35"/>
      <w:footerReference w:type="first" r:id="rId36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CCE" w:rsidRDefault="00922CCE">
      <w:r>
        <w:separator/>
      </w:r>
    </w:p>
  </w:endnote>
  <w:endnote w:type="continuationSeparator" w:id="0">
    <w:p w:rsidR="00922CCE" w:rsidRDefault="00922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Default="00EA5883" w:rsidP="00772E11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EA5883">
      <w:tc>
        <w:tcPr>
          <w:tcW w:w="1134" w:type="dxa"/>
          <w:shd w:val="clear" w:color="auto" w:fill="auto"/>
        </w:tcPr>
        <w:p w:rsidR="00EA5883" w:rsidRPr="007F6065" w:rsidRDefault="00EA5883" w:rsidP="00772E11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92CAD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EA5883" w:rsidRPr="00EF2F9D" w:rsidRDefault="00EA5883" w:rsidP="00772E11">
          <w:pPr>
            <w:pStyle w:val="FooterCitation"/>
          </w:pPr>
          <w:fldSimple w:instr=" REF  Citation\*charformat ">
            <w:r w:rsidR="00E92CAD">
              <w:t>Australian Sports Anti-Doping Authority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EA5883" w:rsidRPr="007F6065" w:rsidRDefault="00EA5883" w:rsidP="00772E11">
          <w:pPr>
            <w:pStyle w:val="Footer"/>
            <w:spacing w:before="20"/>
            <w:jc w:val="right"/>
          </w:pPr>
          <w:fldSimple w:instr=" REF Year \*Charformat ">
            <w:r w:rsidR="00E92CAD">
              <w:t>2012</w:t>
            </w:r>
          </w:fldSimple>
          <w:r w:rsidRPr="007F6065">
            <w:t xml:space="preserve">, </w:t>
          </w:r>
          <w:fldSimple w:instr=" REF refno \*Charformat ">
            <w:r w:rsidR="00E92CAD">
              <w:t>307</w:t>
            </w:r>
          </w:fldSimple>
        </w:p>
      </w:tc>
    </w:tr>
  </w:tbl>
  <w:p w:rsidR="00EA5883" w:rsidRDefault="00EA5883" w:rsidP="00772E1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EA5883" w:rsidRPr="00E92CAD" w:rsidRDefault="00EA5883" w:rsidP="00E92CAD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EA5883" w:rsidRPr="004675CE" w:rsidRDefault="00EA5883" w:rsidP="0096041A">
                <w:pPr>
                  <w:pStyle w:val="FooterDraft"/>
                </w:pPr>
              </w:p>
              <w:p w:rsidR="00EA5883" w:rsidRPr="004675CE" w:rsidRDefault="00EA5883" w:rsidP="00772E11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5883">
                  <w:rPr>
                    <w:rFonts w:ascii="Arial" w:hAnsi="Arial" w:cs="Arial"/>
                    <w:noProof/>
                    <w:sz w:val="12"/>
                    <w:szCs w:val="12"/>
                  </w:rPr>
                  <w:t>1217855A-121128Z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EA5883" w:rsidRPr="004675CE" w:rsidRDefault="00EA5883" w:rsidP="0096041A">
                <w:pPr>
                  <w:pStyle w:val="FooterDraft"/>
                </w:pPr>
              </w:p>
              <w:p w:rsidR="00EA5883" w:rsidRPr="004675CE" w:rsidRDefault="00EA5883" w:rsidP="00772E11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5883">
                  <w:rPr>
                    <w:rFonts w:ascii="Arial" w:hAnsi="Arial" w:cs="Arial"/>
                    <w:noProof/>
                    <w:sz w:val="12"/>
                    <w:szCs w:val="12"/>
                  </w:rPr>
                  <w:t>1217855A-121128Z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Default="00EA5883" w:rsidP="00772E11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EA5883">
      <w:tc>
        <w:tcPr>
          <w:tcW w:w="1134" w:type="dxa"/>
          <w:shd w:val="clear" w:color="auto" w:fill="auto"/>
        </w:tcPr>
        <w:p w:rsidR="00EA5883" w:rsidRPr="007F6065" w:rsidRDefault="00EA5883" w:rsidP="00772E11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92CAD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EA5883" w:rsidRPr="00EF2F9D" w:rsidRDefault="00EA5883" w:rsidP="00772E11">
          <w:pPr>
            <w:pStyle w:val="FooterCitation"/>
          </w:pPr>
          <w:fldSimple w:instr=" REF  Citation\*charformat ">
            <w:r w:rsidR="00E92CAD">
              <w:t>Australian Sports Anti-Doping Authority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EA5883" w:rsidRPr="007F6065" w:rsidRDefault="00EA5883" w:rsidP="00772E11">
          <w:pPr>
            <w:pStyle w:val="Footer"/>
            <w:spacing w:before="20"/>
            <w:jc w:val="right"/>
          </w:pPr>
          <w:fldSimple w:instr=" REF Year \*Charformat ">
            <w:r w:rsidR="00E92CAD">
              <w:t>2012</w:t>
            </w:r>
          </w:fldSimple>
          <w:r w:rsidRPr="007F6065">
            <w:t xml:space="preserve">, </w:t>
          </w:r>
          <w:fldSimple w:instr=" REF refno \*Charformat ">
            <w:r w:rsidR="00E92CAD">
              <w:t>307</w:t>
            </w:r>
          </w:fldSimple>
        </w:p>
      </w:tc>
    </w:tr>
  </w:tbl>
  <w:p w:rsidR="00EA5883" w:rsidRDefault="00EA5883" w:rsidP="00772E1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401" inset="0,0,0,0">
            <w:txbxContent>
              <w:p w:rsidR="00EA5883" w:rsidRPr="00E92CAD" w:rsidRDefault="00EA5883" w:rsidP="00E92CAD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400">
            <w:txbxContent>
              <w:p w:rsidR="00EA5883" w:rsidRPr="004675CE" w:rsidRDefault="00EA5883" w:rsidP="0096041A">
                <w:pPr>
                  <w:pStyle w:val="FooterDraft"/>
                </w:pPr>
              </w:p>
              <w:p w:rsidR="00EA5883" w:rsidRPr="004675CE" w:rsidRDefault="00EA5883" w:rsidP="00772E11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5883">
                  <w:rPr>
                    <w:rFonts w:ascii="Arial" w:hAnsi="Arial" w:cs="Arial"/>
                    <w:noProof/>
                    <w:sz w:val="12"/>
                    <w:szCs w:val="12"/>
                  </w:rPr>
                  <w:t>1217855A-121128Z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9">
            <w:txbxContent>
              <w:p w:rsidR="00EA5883" w:rsidRPr="004675CE" w:rsidRDefault="00EA5883" w:rsidP="0096041A">
                <w:pPr>
                  <w:pStyle w:val="FooterDraft"/>
                </w:pPr>
              </w:p>
              <w:p w:rsidR="00EA5883" w:rsidRPr="004675CE" w:rsidRDefault="00EA5883" w:rsidP="00772E11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5883">
                  <w:rPr>
                    <w:rFonts w:ascii="Arial" w:hAnsi="Arial" w:cs="Arial"/>
                    <w:noProof/>
                    <w:sz w:val="12"/>
                    <w:szCs w:val="12"/>
                  </w:rPr>
                  <w:t>1217855A-121128Z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Pr="00A41806" w:rsidRDefault="00EA5883" w:rsidP="00772E11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EA5883" w:rsidRPr="00A41806">
      <w:tc>
        <w:tcPr>
          <w:tcW w:w="1191" w:type="dxa"/>
          <w:shd w:val="clear" w:color="auto" w:fill="auto"/>
        </w:tcPr>
        <w:p w:rsidR="00EA5883" w:rsidRPr="00A41806" w:rsidRDefault="00EA5883" w:rsidP="00772E11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E92CAD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E92CAD">
            <w:fldChar w:fldCharType="separate"/>
          </w:r>
          <w:r w:rsidR="00E92CAD">
            <w:t>307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EA5883" w:rsidRPr="00EF2F9D" w:rsidRDefault="00EA5883" w:rsidP="00772E11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E92CAD">
            <w:t>Australian Sports Anti-Doping Authority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EA5883" w:rsidRPr="005968DD" w:rsidRDefault="00EA5883" w:rsidP="00772E11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E92CAD">
            <w:rPr>
              <w:rStyle w:val="PageNumber"/>
              <w:noProof/>
            </w:rPr>
            <w:t>2</w:t>
          </w:r>
          <w:r w:rsidRPr="005968DD">
            <w:rPr>
              <w:rStyle w:val="PageNumber"/>
            </w:rPr>
            <w:fldChar w:fldCharType="end"/>
          </w:r>
        </w:p>
      </w:tc>
    </w:tr>
  </w:tbl>
  <w:p w:rsidR="00EA5883" w:rsidRPr="00A41806" w:rsidRDefault="00EA5883" w:rsidP="00772E11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8" inset="0,0,0,0">
            <w:txbxContent>
              <w:p w:rsidR="00EA5883" w:rsidRPr="00E92CAD" w:rsidRDefault="00EA5883" w:rsidP="00E92CAD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Pr="00556EB9" w:rsidRDefault="00EA5883" w:rsidP="00772E11">
    <w:pPr>
      <w:pStyle w:val="FooterCitation"/>
    </w:pPr>
    <w:r>
      <w:rPr>
        <w:noProof/>
      </w:rPr>
      <w:t>G:\Drafting-Unit 2\#edit\1217855A Drafts\1217855A-121128Z.doc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Pr="00A41806" w:rsidRDefault="00EA5883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EA5883" w:rsidRPr="00A41806">
      <w:tc>
        <w:tcPr>
          <w:tcW w:w="1134" w:type="dxa"/>
        </w:tcPr>
        <w:p w:rsidR="00EA5883" w:rsidRPr="00A41806" w:rsidRDefault="00EA5883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E92CAD">
            <w:rPr>
              <w:rStyle w:val="PageNumber"/>
              <w:noProof/>
            </w:rPr>
            <w:t>2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EA5883" w:rsidRPr="00EF2F9D" w:rsidRDefault="00EA5883" w:rsidP="008C15A7">
          <w:pPr>
            <w:pStyle w:val="FooterCitation"/>
          </w:pPr>
          <w:fldSimple w:instr=" REF  Citation\*charformat ">
            <w:r w:rsidR="00E92CAD">
              <w:t>Australian Sports Anti-Doping Authority Amendment Regulation 2012 (No. 1)</w:t>
            </w:r>
          </w:fldSimple>
        </w:p>
      </w:tc>
      <w:tc>
        <w:tcPr>
          <w:tcW w:w="1191" w:type="dxa"/>
        </w:tcPr>
        <w:p w:rsidR="00EA5883" w:rsidRPr="00A41806" w:rsidRDefault="00EA5883" w:rsidP="008C15A7">
          <w:pPr>
            <w:pStyle w:val="Footer"/>
            <w:spacing w:before="20"/>
            <w:jc w:val="right"/>
          </w:pPr>
          <w:fldSimple w:instr=" REF Year \*Charformat ">
            <w:r w:rsidR="00E92CAD">
              <w:t>2012</w:t>
            </w:r>
          </w:fldSimple>
          <w:r w:rsidRPr="00A41806">
            <w:t xml:space="preserve">, </w:t>
          </w:r>
          <w:fldSimple w:instr=" REF refno \*Charformat ">
            <w:r w:rsidR="00E92CAD">
              <w:t>307</w:t>
            </w:r>
          </w:fldSimple>
        </w:p>
      </w:tc>
    </w:tr>
  </w:tbl>
  <w:p w:rsidR="00EA5883" w:rsidRPr="00A41806" w:rsidRDefault="00EA5883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EA5883" w:rsidRPr="00E92CAD" w:rsidRDefault="00EA5883" w:rsidP="00E92CAD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EA5883" w:rsidRPr="004675CE" w:rsidRDefault="00EA5883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EA5883" w:rsidRPr="004675CE" w:rsidRDefault="00EA5883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5883">
                  <w:rPr>
                    <w:rFonts w:ascii="Arial" w:hAnsi="Arial" w:cs="Arial"/>
                    <w:noProof/>
                    <w:sz w:val="12"/>
                    <w:szCs w:val="12"/>
                  </w:rPr>
                  <w:t>1217855A-121128Z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EA5883" w:rsidRPr="004675CE" w:rsidRDefault="00EA5883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EA5883" w:rsidRPr="004675CE" w:rsidRDefault="00EA5883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5883">
                  <w:rPr>
                    <w:rFonts w:ascii="Arial" w:hAnsi="Arial" w:cs="Arial"/>
                    <w:noProof/>
                    <w:sz w:val="12"/>
                    <w:szCs w:val="12"/>
                  </w:rPr>
                  <w:t>1217855A-121128Z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Default="00EA5883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EA5883" w:rsidRPr="008D3896">
      <w:tc>
        <w:tcPr>
          <w:tcW w:w="1191" w:type="dxa"/>
        </w:tcPr>
        <w:p w:rsidR="00EA5883" w:rsidRPr="008D3896" w:rsidRDefault="00EA5883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EA5883" w:rsidRPr="00EF2F9D" w:rsidRDefault="00EA5883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EA5883" w:rsidRPr="008D3896" w:rsidRDefault="00EA5883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E92CAD">
            <w:rPr>
              <w:rStyle w:val="PageNumber"/>
              <w:noProof/>
            </w:rPr>
            <w:t>2</w:t>
          </w:r>
          <w:r w:rsidRPr="008D3896">
            <w:rPr>
              <w:rStyle w:val="PageNumber"/>
            </w:rPr>
            <w:fldChar w:fldCharType="end"/>
          </w:r>
        </w:p>
      </w:tc>
    </w:tr>
  </w:tbl>
  <w:p w:rsidR="00EA5883" w:rsidRDefault="00EA5883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EA5883" w:rsidRPr="00E92CAD" w:rsidRDefault="00EA5883" w:rsidP="00E92CAD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Default="00EA588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EA5883" w:rsidRPr="004675CE" w:rsidRDefault="00EA5883">
                <w:pPr>
                  <w:pStyle w:val="FooterDraft"/>
                </w:pPr>
                <w:r w:rsidRPr="004675CE">
                  <w:t>DRAFT ONLY</w:t>
                </w:r>
              </w:p>
              <w:p w:rsidR="00EA5883" w:rsidRPr="004675CE" w:rsidRDefault="00EA5883">
                <w:pPr>
                  <w:pStyle w:val="FooterInfo"/>
                </w:pPr>
                <w:r>
                  <w:rPr>
                    <w:noProof/>
                  </w:rPr>
                  <w:t>1217855A-121128Z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Pr="00A41806" w:rsidRDefault="00EA5883" w:rsidP="00772E11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EA5883" w:rsidRPr="00A41806">
      <w:tc>
        <w:tcPr>
          <w:tcW w:w="1191" w:type="dxa"/>
          <w:shd w:val="clear" w:color="auto" w:fill="auto"/>
        </w:tcPr>
        <w:p w:rsidR="00EA5883" w:rsidRPr="00A41806" w:rsidRDefault="00EA5883" w:rsidP="00772E11">
          <w:pPr>
            <w:pStyle w:val="Footer"/>
            <w:spacing w:before="20"/>
          </w:pPr>
          <w:fldSimple w:instr=" REF Year \*Charformat ">
            <w:r w:rsidR="00E92CAD">
              <w:t>2012</w:t>
            </w:r>
          </w:fldSimple>
          <w:r w:rsidRPr="00A41806">
            <w:t xml:space="preserve">, </w:t>
          </w:r>
          <w:fldSimple w:instr=" REF refno \*Charformat ">
            <w:r w:rsidR="00E92CAD">
              <w:t>307</w:t>
            </w:r>
          </w:fldSimple>
        </w:p>
      </w:tc>
      <w:tc>
        <w:tcPr>
          <w:tcW w:w="4820" w:type="dxa"/>
          <w:shd w:val="clear" w:color="auto" w:fill="auto"/>
        </w:tcPr>
        <w:p w:rsidR="00EA5883" w:rsidRPr="00EF2F9D" w:rsidRDefault="00EA5883" w:rsidP="00772E11">
          <w:pPr>
            <w:pStyle w:val="FooterCitation"/>
          </w:pPr>
          <w:fldSimple w:instr=" REF  Citation\*charformat ">
            <w:r w:rsidR="00E92CAD">
              <w:t>Australian Sports Anti-Doping Authority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EA5883" w:rsidRPr="0014079B" w:rsidRDefault="00EA5883" w:rsidP="00772E11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E92CAD">
            <w:rPr>
              <w:rStyle w:val="PageNumber"/>
              <w:noProof/>
            </w:rPr>
            <w:t>2</w:t>
          </w:r>
          <w:r w:rsidRPr="0014079B">
            <w:rPr>
              <w:rStyle w:val="PageNumber"/>
            </w:rPr>
            <w:fldChar w:fldCharType="end"/>
          </w:r>
        </w:p>
      </w:tc>
    </w:tr>
  </w:tbl>
  <w:p w:rsidR="00EA5883" w:rsidRPr="00094457" w:rsidRDefault="00EA5883" w:rsidP="00772E11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EA5883" w:rsidRPr="00E92CAD" w:rsidRDefault="00EA5883" w:rsidP="00E92CAD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Default="00EA5883" w:rsidP="00772E1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EA5883" w:rsidRPr="004675CE" w:rsidRDefault="00EA5883" w:rsidP="00772E11">
                <w:pPr>
                  <w:pStyle w:val="FooterDraft"/>
                </w:pPr>
              </w:p>
              <w:p w:rsidR="00EA5883" w:rsidRPr="004675CE" w:rsidRDefault="00EA5883" w:rsidP="00772E11">
                <w:pPr>
                  <w:pStyle w:val="FooterInfo"/>
                </w:pPr>
                <w:r>
                  <w:rPr>
                    <w:noProof/>
                  </w:rPr>
                  <w:t>1217855A-121128Z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Default="00EA5883" w:rsidP="00772E11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EA5883">
      <w:tc>
        <w:tcPr>
          <w:tcW w:w="1134" w:type="dxa"/>
          <w:shd w:val="clear" w:color="auto" w:fill="auto"/>
        </w:tcPr>
        <w:p w:rsidR="00EA5883" w:rsidRPr="007F6065" w:rsidRDefault="00EA5883" w:rsidP="00772E11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92CAD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EA5883" w:rsidRPr="00EF2F9D" w:rsidRDefault="00EA5883" w:rsidP="00772E11">
          <w:pPr>
            <w:pStyle w:val="FooterCitation"/>
          </w:pPr>
          <w:fldSimple w:instr=" REF  Citation\*charformat ">
            <w:r w:rsidR="00E92CAD">
              <w:t>Australian Sports Anti-Doping Authority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EA5883" w:rsidRPr="007F6065" w:rsidRDefault="00EA5883" w:rsidP="00772E11">
          <w:pPr>
            <w:pStyle w:val="Footer"/>
            <w:spacing w:before="20"/>
            <w:jc w:val="right"/>
          </w:pPr>
          <w:fldSimple w:instr=" REF Year \*Charformat ">
            <w:r w:rsidR="00E92CAD">
              <w:t>2012</w:t>
            </w:r>
          </w:fldSimple>
          <w:r w:rsidRPr="007F6065">
            <w:t xml:space="preserve">, </w:t>
          </w:r>
          <w:fldSimple w:instr=" REF refno \*Charformat ">
            <w:r w:rsidR="00E92CAD">
              <w:t>307</w:t>
            </w:r>
          </w:fldSimple>
        </w:p>
      </w:tc>
    </w:tr>
  </w:tbl>
  <w:p w:rsidR="00EA5883" w:rsidRDefault="00EA5883" w:rsidP="00772E1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EA5883" w:rsidRPr="00E92CAD" w:rsidRDefault="00EA5883" w:rsidP="00E92CAD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EA5883" w:rsidRPr="004675CE" w:rsidRDefault="00EA5883" w:rsidP="0096041A">
                <w:pPr>
                  <w:pStyle w:val="FooterDraft"/>
                </w:pPr>
              </w:p>
              <w:p w:rsidR="00EA5883" w:rsidRPr="004675CE" w:rsidRDefault="00EA5883" w:rsidP="00772E11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5883">
                  <w:rPr>
                    <w:rFonts w:ascii="Arial" w:hAnsi="Arial" w:cs="Arial"/>
                    <w:noProof/>
                    <w:sz w:val="12"/>
                    <w:szCs w:val="12"/>
                  </w:rPr>
                  <w:t>1217855A-121128Z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EA5883" w:rsidRPr="004675CE" w:rsidRDefault="00EA5883" w:rsidP="0096041A">
                <w:pPr>
                  <w:pStyle w:val="FooterDraft"/>
                </w:pPr>
              </w:p>
              <w:p w:rsidR="00EA5883" w:rsidRPr="004675CE" w:rsidRDefault="00EA5883" w:rsidP="00772E11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5883">
                  <w:rPr>
                    <w:rFonts w:ascii="Arial" w:hAnsi="Arial" w:cs="Arial"/>
                    <w:noProof/>
                    <w:sz w:val="12"/>
                    <w:szCs w:val="12"/>
                  </w:rPr>
                  <w:t>1217855A-121128Z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Pr="00A41806" w:rsidRDefault="00EA5883" w:rsidP="00772E11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EA5883" w:rsidRPr="00A41806">
      <w:tc>
        <w:tcPr>
          <w:tcW w:w="1191" w:type="dxa"/>
          <w:shd w:val="clear" w:color="auto" w:fill="auto"/>
        </w:tcPr>
        <w:p w:rsidR="00EA5883" w:rsidRPr="00A41806" w:rsidRDefault="00EA5883" w:rsidP="00772E11">
          <w:pPr>
            <w:pStyle w:val="Footer"/>
            <w:spacing w:before="20"/>
          </w:pPr>
          <w:fldSimple w:instr=" REF Year \*Charformat ">
            <w:r w:rsidR="00E92CAD">
              <w:t>2012</w:t>
            </w:r>
          </w:fldSimple>
          <w:r w:rsidRPr="00A41806">
            <w:t xml:space="preserve">, </w:t>
          </w:r>
          <w:fldSimple w:instr=" REF refno \*Charformat ">
            <w:r w:rsidR="00E92CAD">
              <w:t>307</w:t>
            </w:r>
          </w:fldSimple>
        </w:p>
      </w:tc>
      <w:tc>
        <w:tcPr>
          <w:tcW w:w="4820" w:type="dxa"/>
          <w:shd w:val="clear" w:color="auto" w:fill="auto"/>
        </w:tcPr>
        <w:p w:rsidR="00EA5883" w:rsidRPr="00EF2F9D" w:rsidRDefault="00EA5883" w:rsidP="00772E11">
          <w:pPr>
            <w:pStyle w:val="FooterCitation"/>
          </w:pPr>
          <w:fldSimple w:instr=" REF  Citation\*charformat ">
            <w:r w:rsidR="00E92CAD">
              <w:t>Australian Sports Anti-Doping Authority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EA5883" w:rsidRPr="00845B98" w:rsidRDefault="00EA5883" w:rsidP="00772E11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E92CAD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EA5883" w:rsidRPr="00A41806" w:rsidRDefault="00EA5883" w:rsidP="00772E11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EA5883" w:rsidRPr="00E92CAD" w:rsidRDefault="00EA5883" w:rsidP="00E92CAD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Pr="00556EB9" w:rsidRDefault="00EA5883" w:rsidP="00772E11">
    <w:pPr>
      <w:pStyle w:val="FooterCitation"/>
    </w:pPr>
    <w:r>
      <w:rPr>
        <w:noProof/>
      </w:rPr>
      <w:t>G:\Drafting-Unit 2\#edit\1217855A Drafts\1217855A-121128Z.doc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Default="00EA5883" w:rsidP="00931C01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EA5883">
      <w:tc>
        <w:tcPr>
          <w:tcW w:w="1134" w:type="dxa"/>
          <w:shd w:val="clear" w:color="auto" w:fill="auto"/>
        </w:tcPr>
        <w:p w:rsidR="00EA5883" w:rsidRPr="007F6065" w:rsidRDefault="00EA5883" w:rsidP="00931C01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E92CAD">
            <w:rPr>
              <w:rStyle w:val="PageNumber"/>
              <w:noProof/>
            </w:rPr>
            <w:t>8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EA5883" w:rsidRPr="00EF2F9D" w:rsidRDefault="00EA5883" w:rsidP="00931C01">
          <w:pPr>
            <w:pStyle w:val="FooterCitation"/>
          </w:pPr>
          <w:fldSimple w:instr=" REF  Citation\*charformat ">
            <w:r w:rsidR="00E92CAD">
              <w:t>Australian Sports Anti-Doping Authority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EA5883" w:rsidRPr="007F6065" w:rsidRDefault="00EA5883" w:rsidP="00931C01">
          <w:pPr>
            <w:pStyle w:val="Footer"/>
            <w:spacing w:before="20"/>
            <w:jc w:val="right"/>
          </w:pPr>
          <w:fldSimple w:instr=" REF Year \*Charformat ">
            <w:r w:rsidR="00E92CAD">
              <w:t>2012</w:t>
            </w:r>
          </w:fldSimple>
          <w:r w:rsidRPr="007F6065">
            <w:t xml:space="preserve">, </w:t>
          </w:r>
          <w:fldSimple w:instr=" REF refno \*Charformat ">
            <w:r w:rsidR="00E92CAD">
              <w:t>307</w:t>
            </w:r>
          </w:fldSimple>
        </w:p>
      </w:tc>
    </w:tr>
  </w:tbl>
  <w:p w:rsidR="00EA5883" w:rsidRDefault="00EA5883" w:rsidP="00931C0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5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5" inset="0,0,0,0">
            <w:txbxContent>
              <w:p w:rsidR="00EA5883" w:rsidRPr="00E92CAD" w:rsidRDefault="00EA5883" w:rsidP="00E92CAD"/>
            </w:txbxContent>
          </v:textbox>
          <w10:wrap anchory="page"/>
        </v:shape>
      </w:pict>
    </w:r>
    <w:r>
      <w:rPr>
        <w:noProof/>
      </w:rPr>
      <w:pict>
        <v:shape id="_x0000_s2404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4">
            <w:txbxContent>
              <w:p w:rsidR="00EA5883" w:rsidRPr="004675CE" w:rsidRDefault="00EA5883" w:rsidP="0096041A">
                <w:pPr>
                  <w:pStyle w:val="FooterDraft"/>
                </w:pPr>
              </w:p>
              <w:p w:rsidR="00EA5883" w:rsidRPr="004675CE" w:rsidRDefault="00EA5883" w:rsidP="00931C01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5883">
                  <w:rPr>
                    <w:rFonts w:ascii="Arial" w:hAnsi="Arial" w:cs="Arial"/>
                    <w:noProof/>
                    <w:sz w:val="12"/>
                    <w:szCs w:val="12"/>
                  </w:rPr>
                  <w:t>1217855A-121128Z</w:t>
                </w:r>
              </w:p>
            </w:txbxContent>
          </v:textbox>
        </v:shape>
      </w:pict>
    </w:r>
    <w:r>
      <w:rPr>
        <w:noProof/>
      </w:rPr>
      <w:pict>
        <v:shape id="_x0000_s2403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403">
            <w:txbxContent>
              <w:p w:rsidR="00EA5883" w:rsidRPr="004675CE" w:rsidRDefault="00EA5883" w:rsidP="0096041A">
                <w:pPr>
                  <w:pStyle w:val="FooterDraft"/>
                </w:pPr>
              </w:p>
              <w:p w:rsidR="00EA5883" w:rsidRPr="004675CE" w:rsidRDefault="00EA5883" w:rsidP="00931C01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EA5883">
                  <w:rPr>
                    <w:rFonts w:ascii="Arial" w:hAnsi="Arial" w:cs="Arial"/>
                    <w:noProof/>
                    <w:sz w:val="12"/>
                    <w:szCs w:val="12"/>
                  </w:rPr>
                  <w:t>1217855A-121128Z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Pr="00A41806" w:rsidRDefault="00EA5883" w:rsidP="00931C01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EA5883" w:rsidRPr="00845B98">
      <w:tc>
        <w:tcPr>
          <w:tcW w:w="1191" w:type="dxa"/>
          <w:shd w:val="clear" w:color="auto" w:fill="auto"/>
        </w:tcPr>
        <w:p w:rsidR="00EA5883" w:rsidRPr="00A41806" w:rsidRDefault="00EA5883" w:rsidP="00931C01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E92CAD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E92CAD">
            <w:fldChar w:fldCharType="separate"/>
          </w:r>
          <w:r w:rsidR="00E92CAD">
            <w:t>307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EA5883" w:rsidRPr="00EF2F9D" w:rsidRDefault="00EA5883" w:rsidP="00931C01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E92CAD">
            <w:t>Australian Sports Anti-Doping Authority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EA5883" w:rsidRPr="00845B98" w:rsidRDefault="00EA5883" w:rsidP="00931C01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E92CAD">
            <w:rPr>
              <w:rStyle w:val="PageNumber"/>
              <w:noProof/>
            </w:rPr>
            <w:t>9</w:t>
          </w:r>
          <w:r w:rsidRPr="00845B98">
            <w:rPr>
              <w:rStyle w:val="PageNumber"/>
            </w:rPr>
            <w:fldChar w:fldCharType="end"/>
          </w:r>
        </w:p>
      </w:tc>
    </w:tr>
  </w:tbl>
  <w:p w:rsidR="00EA5883" w:rsidRPr="00A41806" w:rsidRDefault="00EA5883" w:rsidP="00931C01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2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402" inset="0,0,0,0">
            <w:txbxContent>
              <w:p w:rsidR="00EA5883" w:rsidRPr="00E92CAD" w:rsidRDefault="00EA5883" w:rsidP="00E92CAD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Pr="00556EB9" w:rsidRDefault="00EA5883" w:rsidP="00931C01">
    <w:pPr>
      <w:pStyle w:val="FooterCitation"/>
    </w:pPr>
    <w:r>
      <w:rPr>
        <w:noProof/>
      </w:rPr>
      <w:t>G:\Drafting-Unit 2\#edit\1217855A Drafts\1217855A-121128Z.doc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CCE" w:rsidRDefault="00922CCE">
      <w:r>
        <w:separator/>
      </w:r>
    </w:p>
  </w:footnote>
  <w:footnote w:type="continuationSeparator" w:id="0">
    <w:p w:rsidR="00922CCE" w:rsidRDefault="00922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EA5883">
      <w:tc>
        <w:tcPr>
          <w:tcW w:w="1531" w:type="dxa"/>
        </w:tcPr>
        <w:p w:rsidR="00EA5883" w:rsidRDefault="00EA5883">
          <w:pPr>
            <w:pStyle w:val="HeaderLiteEven"/>
          </w:pPr>
        </w:p>
      </w:tc>
      <w:tc>
        <w:tcPr>
          <w:tcW w:w="5636" w:type="dxa"/>
          <w:vAlign w:val="bottom"/>
        </w:tcPr>
        <w:p w:rsidR="00EA5883" w:rsidRDefault="00EA5883">
          <w:pPr>
            <w:pStyle w:val="HeaderLiteEven"/>
          </w:pPr>
        </w:p>
      </w:tc>
    </w:tr>
    <w:tr w:rsidR="00EA5883">
      <w:tc>
        <w:tcPr>
          <w:tcW w:w="1531" w:type="dxa"/>
        </w:tcPr>
        <w:p w:rsidR="00EA5883" w:rsidRDefault="00EA5883">
          <w:pPr>
            <w:pStyle w:val="HeaderLiteEven"/>
          </w:pPr>
        </w:p>
      </w:tc>
      <w:tc>
        <w:tcPr>
          <w:tcW w:w="5636" w:type="dxa"/>
          <w:vAlign w:val="bottom"/>
        </w:tcPr>
        <w:p w:rsidR="00EA5883" w:rsidRDefault="00EA5883">
          <w:pPr>
            <w:pStyle w:val="HeaderLiteEven"/>
          </w:pPr>
        </w:p>
      </w:tc>
    </w:tr>
    <w:tr w:rsidR="00EA5883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A5883" w:rsidRDefault="00EA5883">
          <w:pPr>
            <w:pStyle w:val="HeaderBoldEven"/>
          </w:pPr>
        </w:p>
      </w:tc>
    </w:tr>
  </w:tbl>
  <w:p w:rsidR="00EA5883" w:rsidRDefault="00EA5883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EA5883">
      <w:tc>
        <w:tcPr>
          <w:tcW w:w="7167" w:type="dxa"/>
        </w:tcPr>
        <w:p w:rsidR="00EA5883" w:rsidRDefault="00EA5883">
          <w:pPr>
            <w:pStyle w:val="HeaderLiteOdd"/>
          </w:pPr>
          <w:r>
            <w:t>Note</w:t>
          </w:r>
        </w:p>
      </w:tc>
    </w:tr>
    <w:tr w:rsidR="00EA5883">
      <w:tc>
        <w:tcPr>
          <w:tcW w:w="7167" w:type="dxa"/>
        </w:tcPr>
        <w:p w:rsidR="00EA5883" w:rsidRDefault="00EA5883">
          <w:pPr>
            <w:pStyle w:val="HeaderLiteOdd"/>
          </w:pPr>
        </w:p>
      </w:tc>
    </w:tr>
    <w:tr w:rsidR="00EA5883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EA5883" w:rsidRDefault="00EA5883">
          <w:pPr>
            <w:pStyle w:val="HeaderBoldOdd"/>
          </w:pPr>
        </w:p>
      </w:tc>
    </w:tr>
  </w:tbl>
  <w:p w:rsidR="00EA5883" w:rsidRDefault="00EA5883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Default="00EA5883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EA5883">
      <w:tc>
        <w:tcPr>
          <w:tcW w:w="1531" w:type="dxa"/>
        </w:tcPr>
        <w:p w:rsidR="00EA5883" w:rsidRDefault="00EA5883" w:rsidP="004B0996">
          <w:pPr>
            <w:pStyle w:val="HeaderLiteEven"/>
          </w:pPr>
        </w:p>
      </w:tc>
      <w:tc>
        <w:tcPr>
          <w:tcW w:w="5636" w:type="dxa"/>
        </w:tcPr>
        <w:p w:rsidR="00EA5883" w:rsidRDefault="00EA5883" w:rsidP="004B0996">
          <w:pPr>
            <w:pStyle w:val="HeaderLiteEven"/>
          </w:pPr>
        </w:p>
      </w:tc>
    </w:tr>
    <w:tr w:rsidR="00EA5883">
      <w:tc>
        <w:tcPr>
          <w:tcW w:w="1531" w:type="dxa"/>
        </w:tcPr>
        <w:p w:rsidR="00EA5883" w:rsidRDefault="00EA5883" w:rsidP="004B0996">
          <w:pPr>
            <w:pStyle w:val="HeaderLiteEven"/>
          </w:pPr>
        </w:p>
      </w:tc>
      <w:tc>
        <w:tcPr>
          <w:tcW w:w="5636" w:type="dxa"/>
        </w:tcPr>
        <w:p w:rsidR="00EA5883" w:rsidRDefault="00EA5883" w:rsidP="004B0996">
          <w:pPr>
            <w:pStyle w:val="HeaderLiteEven"/>
          </w:pPr>
        </w:p>
      </w:tc>
    </w:tr>
    <w:tr w:rsidR="00EA5883">
      <w:tc>
        <w:tcPr>
          <w:tcW w:w="1531" w:type="dxa"/>
        </w:tcPr>
        <w:p w:rsidR="00EA5883" w:rsidRDefault="00EA5883" w:rsidP="004B0996">
          <w:pPr>
            <w:pStyle w:val="HeaderBoldEven"/>
          </w:pPr>
        </w:p>
      </w:tc>
      <w:tc>
        <w:tcPr>
          <w:tcW w:w="5636" w:type="dxa"/>
        </w:tcPr>
        <w:p w:rsidR="00EA5883" w:rsidRDefault="00EA5883" w:rsidP="004B0996">
          <w:pPr>
            <w:pStyle w:val="HeaderBoldEven"/>
          </w:pPr>
        </w:p>
      </w:tc>
    </w:tr>
  </w:tbl>
  <w:p w:rsidR="00EA5883" w:rsidRDefault="00EA5883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EA5883">
      <w:tc>
        <w:tcPr>
          <w:tcW w:w="1531" w:type="dxa"/>
        </w:tcPr>
        <w:p w:rsidR="00EA5883" w:rsidRDefault="00EA5883">
          <w:pPr>
            <w:pStyle w:val="HeaderLiteOdd"/>
          </w:pPr>
        </w:p>
      </w:tc>
      <w:tc>
        <w:tcPr>
          <w:tcW w:w="1531" w:type="dxa"/>
        </w:tcPr>
        <w:p w:rsidR="00EA5883" w:rsidRDefault="00EA5883">
          <w:pPr>
            <w:pStyle w:val="HeaderLiteOdd"/>
          </w:pPr>
        </w:p>
      </w:tc>
    </w:tr>
    <w:tr w:rsidR="00EA5883">
      <w:tc>
        <w:tcPr>
          <w:tcW w:w="1531" w:type="dxa"/>
        </w:tcPr>
        <w:p w:rsidR="00EA5883" w:rsidRDefault="00EA5883">
          <w:pPr>
            <w:pStyle w:val="HeaderLiteOdd"/>
          </w:pPr>
        </w:p>
      </w:tc>
      <w:tc>
        <w:tcPr>
          <w:tcW w:w="1531" w:type="dxa"/>
        </w:tcPr>
        <w:p w:rsidR="00EA5883" w:rsidRDefault="00EA5883">
          <w:pPr>
            <w:pStyle w:val="HeaderLiteOdd"/>
          </w:pPr>
        </w:p>
      </w:tc>
    </w:tr>
    <w:tr w:rsidR="00EA5883">
      <w:tc>
        <w:tcPr>
          <w:tcW w:w="5636" w:type="dxa"/>
          <w:tcBorders>
            <w:bottom w:val="single" w:sz="4" w:space="0" w:color="auto"/>
          </w:tcBorders>
        </w:tcPr>
        <w:p w:rsidR="00EA5883" w:rsidRDefault="00EA5883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EA5883" w:rsidRDefault="00EA5883">
          <w:pPr>
            <w:pStyle w:val="HeaderBoldOdd"/>
          </w:pPr>
        </w:p>
      </w:tc>
    </w:tr>
  </w:tbl>
  <w:p w:rsidR="00EA5883" w:rsidRDefault="00EA58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EA5883">
      <w:tc>
        <w:tcPr>
          <w:tcW w:w="5636" w:type="dxa"/>
          <w:vAlign w:val="bottom"/>
        </w:tcPr>
        <w:p w:rsidR="00EA5883" w:rsidRDefault="00EA5883">
          <w:pPr>
            <w:pStyle w:val="HeaderLiteOdd"/>
          </w:pPr>
        </w:p>
      </w:tc>
      <w:tc>
        <w:tcPr>
          <w:tcW w:w="1531" w:type="dxa"/>
        </w:tcPr>
        <w:p w:rsidR="00EA5883" w:rsidRDefault="00EA5883">
          <w:pPr>
            <w:pStyle w:val="HeaderLiteOdd"/>
          </w:pPr>
        </w:p>
      </w:tc>
    </w:tr>
    <w:tr w:rsidR="00EA5883">
      <w:tc>
        <w:tcPr>
          <w:tcW w:w="5636" w:type="dxa"/>
          <w:vAlign w:val="bottom"/>
        </w:tcPr>
        <w:p w:rsidR="00EA5883" w:rsidRDefault="00EA5883">
          <w:pPr>
            <w:pStyle w:val="HeaderLiteOdd"/>
          </w:pPr>
        </w:p>
      </w:tc>
      <w:tc>
        <w:tcPr>
          <w:tcW w:w="1531" w:type="dxa"/>
        </w:tcPr>
        <w:p w:rsidR="00EA5883" w:rsidRDefault="00EA5883">
          <w:pPr>
            <w:pStyle w:val="HeaderLiteOdd"/>
          </w:pPr>
        </w:p>
      </w:tc>
    </w:tr>
    <w:tr w:rsidR="00EA5883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A5883" w:rsidRDefault="00EA5883">
          <w:pPr>
            <w:pStyle w:val="HeaderBoldOdd"/>
          </w:pPr>
        </w:p>
      </w:tc>
    </w:tr>
  </w:tbl>
  <w:p w:rsidR="00EA5883" w:rsidRDefault="00EA588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EA5883">
      <w:tc>
        <w:tcPr>
          <w:tcW w:w="1531" w:type="dxa"/>
        </w:tcPr>
        <w:p w:rsidR="00EA5883" w:rsidRDefault="00EA5883">
          <w:pPr>
            <w:pStyle w:val="HeaderLiteEven"/>
          </w:pPr>
        </w:p>
      </w:tc>
      <w:tc>
        <w:tcPr>
          <w:tcW w:w="5636" w:type="dxa"/>
          <w:vAlign w:val="bottom"/>
        </w:tcPr>
        <w:p w:rsidR="00EA5883" w:rsidRDefault="00EA5883">
          <w:pPr>
            <w:pStyle w:val="HeaderLiteEven"/>
          </w:pPr>
        </w:p>
      </w:tc>
    </w:tr>
    <w:tr w:rsidR="00EA5883">
      <w:tc>
        <w:tcPr>
          <w:tcW w:w="1531" w:type="dxa"/>
        </w:tcPr>
        <w:p w:rsidR="00EA5883" w:rsidRDefault="00EA5883">
          <w:pPr>
            <w:pStyle w:val="HeaderLiteEven"/>
          </w:pPr>
        </w:p>
      </w:tc>
      <w:tc>
        <w:tcPr>
          <w:tcW w:w="5636" w:type="dxa"/>
          <w:vAlign w:val="bottom"/>
        </w:tcPr>
        <w:p w:rsidR="00EA5883" w:rsidRDefault="00EA5883">
          <w:pPr>
            <w:pStyle w:val="HeaderLiteEven"/>
          </w:pPr>
        </w:p>
      </w:tc>
    </w:tr>
    <w:tr w:rsidR="00EA588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A5883" w:rsidRPr="00C90E3B" w:rsidRDefault="00EA5883" w:rsidP="00772E11">
          <w:pPr>
            <w:pStyle w:val="HeaderBoldEven"/>
          </w:pPr>
          <w:r>
            <w:t xml:space="preserve">Section </w:t>
          </w:r>
          <w:r w:rsidRPr="00C90E3B">
            <w:fldChar w:fldCharType="begin"/>
          </w:r>
          <w:r w:rsidRPr="00C90E3B">
            <w:instrText xml:space="preserve"> If </w:instrText>
          </w:r>
          <w:fldSimple w:instr=" STYLEREF CharSectnoAm \*Charformat ">
            <w:r w:rsidR="00E92CAD">
              <w:rPr>
                <w:noProof/>
              </w:rPr>
              <w:instrText>1</w:instrText>
            </w:r>
          </w:fldSimple>
          <w:r w:rsidRPr="00C90E3B">
            <w:instrText xml:space="preserve"> &lt;&gt; "Error*" </w:instrText>
          </w:r>
          <w:fldSimple w:instr=" STYLEREF CharSectnoAm \*Charformat ">
            <w:r w:rsidR="00E92CAD">
              <w:rPr>
                <w:noProof/>
              </w:rPr>
              <w:instrText>1</w:instrText>
            </w:r>
          </w:fldSimple>
          <w:r w:rsidRPr="00C90E3B">
            <w:instrText xml:space="preserve"> </w:instrText>
          </w:r>
          <w:r w:rsidRPr="00C90E3B">
            <w:fldChar w:fldCharType="separate"/>
          </w:r>
          <w:r w:rsidR="00E92CAD">
            <w:rPr>
              <w:noProof/>
            </w:rPr>
            <w:t>1</w:t>
          </w:r>
          <w:r w:rsidRPr="00C90E3B">
            <w:fldChar w:fldCharType="end"/>
          </w:r>
        </w:p>
      </w:tc>
    </w:tr>
  </w:tbl>
  <w:p w:rsidR="00EA5883" w:rsidRDefault="00EA588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EA5883">
      <w:tc>
        <w:tcPr>
          <w:tcW w:w="5636" w:type="dxa"/>
          <w:vAlign w:val="bottom"/>
        </w:tcPr>
        <w:p w:rsidR="00EA5883" w:rsidRDefault="00EA5883">
          <w:pPr>
            <w:pStyle w:val="HeaderLiteOdd"/>
          </w:pPr>
        </w:p>
      </w:tc>
      <w:tc>
        <w:tcPr>
          <w:tcW w:w="1531" w:type="dxa"/>
        </w:tcPr>
        <w:p w:rsidR="00EA5883" w:rsidRDefault="00EA5883">
          <w:pPr>
            <w:pStyle w:val="HeaderLiteOdd"/>
          </w:pPr>
        </w:p>
      </w:tc>
    </w:tr>
    <w:tr w:rsidR="00EA5883">
      <w:tc>
        <w:tcPr>
          <w:tcW w:w="5636" w:type="dxa"/>
          <w:vAlign w:val="bottom"/>
        </w:tcPr>
        <w:p w:rsidR="00EA5883" w:rsidRDefault="00EA5883">
          <w:pPr>
            <w:pStyle w:val="HeaderLiteOdd"/>
          </w:pPr>
        </w:p>
      </w:tc>
      <w:tc>
        <w:tcPr>
          <w:tcW w:w="1531" w:type="dxa"/>
        </w:tcPr>
        <w:p w:rsidR="00EA5883" w:rsidRDefault="00EA5883">
          <w:pPr>
            <w:pStyle w:val="HeaderLiteOdd"/>
          </w:pPr>
        </w:p>
      </w:tc>
    </w:tr>
    <w:tr w:rsidR="00EA588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A5883" w:rsidRPr="00C90E3B" w:rsidRDefault="00EA5883">
          <w:pPr>
            <w:pStyle w:val="HeaderBoldOdd"/>
          </w:pPr>
          <w:r>
            <w:t xml:space="preserve">Section </w:t>
          </w:r>
          <w:r w:rsidRPr="00C90E3B">
            <w:fldChar w:fldCharType="begin"/>
          </w:r>
          <w:r w:rsidRPr="00C90E3B">
            <w:instrText xml:space="preserve"> If </w:instrText>
          </w:r>
          <w:fldSimple w:instr=" STYLEREF CharSectnoAm \*Charformat \l ">
            <w:r w:rsidR="00E92CAD">
              <w:rPr>
                <w:noProof/>
              </w:rPr>
              <w:instrText>1</w:instrText>
            </w:r>
          </w:fldSimple>
          <w:r w:rsidRPr="00C90E3B">
            <w:instrText xml:space="preserve"> &lt;&gt; "Error*" </w:instrText>
          </w:r>
          <w:fldSimple w:instr=" STYLEREF CharSectnoAm \*Charformat \l ">
            <w:r w:rsidR="00E92CAD">
              <w:rPr>
                <w:noProof/>
              </w:rPr>
              <w:instrText>1</w:instrText>
            </w:r>
          </w:fldSimple>
          <w:r w:rsidRPr="00C90E3B">
            <w:instrText xml:space="preserve"> </w:instrText>
          </w:r>
          <w:r w:rsidRPr="00C90E3B">
            <w:fldChar w:fldCharType="separate"/>
          </w:r>
          <w:r w:rsidR="00E92CAD">
            <w:rPr>
              <w:noProof/>
            </w:rPr>
            <w:t>1</w:t>
          </w:r>
          <w:r w:rsidRPr="00C90E3B">
            <w:fldChar w:fldCharType="end"/>
          </w:r>
        </w:p>
      </w:tc>
    </w:tr>
  </w:tbl>
  <w:p w:rsidR="00EA5883" w:rsidRDefault="00EA588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Default="00EA5883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EA5883">
      <w:tc>
        <w:tcPr>
          <w:tcW w:w="1531" w:type="dxa"/>
        </w:tcPr>
        <w:p w:rsidR="00EA5883" w:rsidRDefault="00EA5883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E92CAD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E92CAD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E92CAD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EA5883" w:rsidRDefault="00EA5883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E92CAD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">
            <w:r w:rsidR="00E92CAD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E92CAD">
            <w:rPr>
              <w:noProof/>
            </w:rPr>
            <w:t>Amendments</w:t>
          </w:r>
          <w:r>
            <w:fldChar w:fldCharType="end"/>
          </w:r>
        </w:p>
      </w:tc>
    </w:tr>
    <w:tr w:rsidR="00EA5883">
      <w:tc>
        <w:tcPr>
          <w:tcW w:w="1531" w:type="dxa"/>
        </w:tcPr>
        <w:p w:rsidR="00EA5883" w:rsidRDefault="00EA5883">
          <w:pPr>
            <w:pStyle w:val="HeaderLiteEven"/>
          </w:pPr>
        </w:p>
      </w:tc>
      <w:tc>
        <w:tcPr>
          <w:tcW w:w="5636" w:type="dxa"/>
          <w:vAlign w:val="bottom"/>
        </w:tcPr>
        <w:p w:rsidR="00EA5883" w:rsidRDefault="00EA5883">
          <w:pPr>
            <w:pStyle w:val="HeaderLiteEven"/>
          </w:pPr>
        </w:p>
      </w:tc>
    </w:tr>
    <w:tr w:rsidR="00EA588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A5883" w:rsidRDefault="00EA5883" w:rsidP="00931C01">
          <w:pPr>
            <w:pStyle w:val="HeaderBoldEven"/>
          </w:pPr>
        </w:p>
      </w:tc>
    </w:tr>
  </w:tbl>
  <w:p w:rsidR="00EA5883" w:rsidRDefault="00EA5883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EA5883">
      <w:tc>
        <w:tcPr>
          <w:tcW w:w="5636" w:type="dxa"/>
          <w:vAlign w:val="bottom"/>
        </w:tcPr>
        <w:p w:rsidR="00EA5883" w:rsidRDefault="00EA5883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E92CAD">
              <w:rPr>
                <w:noProof/>
              </w:rPr>
              <w:instrText>Amendments</w:instrText>
            </w:r>
          </w:fldSimple>
          <w:r>
            <w:instrText xml:space="preserve"> &lt;&gt; "Error*" </w:instrText>
          </w:r>
          <w:fldSimple w:instr=" STYLEREF CharAmSchText \*Charformat \l ">
            <w:r w:rsidR="00E92CAD">
              <w:rPr>
                <w:noProof/>
              </w:rPr>
              <w:instrText>Amendments</w:instrText>
            </w:r>
          </w:fldSimple>
          <w:r>
            <w:instrText xml:space="preserve"> </w:instrText>
          </w:r>
          <w:r>
            <w:fldChar w:fldCharType="separate"/>
          </w:r>
          <w:r w:rsidR="00E92CAD">
            <w:rPr>
              <w:noProof/>
            </w:rPr>
            <w:t>Amendments</w:t>
          </w:r>
          <w:r>
            <w:fldChar w:fldCharType="end"/>
          </w:r>
        </w:p>
      </w:tc>
      <w:tc>
        <w:tcPr>
          <w:tcW w:w="1531" w:type="dxa"/>
        </w:tcPr>
        <w:p w:rsidR="00EA5883" w:rsidRDefault="00EA5883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E92CAD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E92CAD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E92CAD">
            <w:rPr>
              <w:noProof/>
            </w:rPr>
            <w:t>Schedule 1</w:t>
          </w:r>
          <w:r>
            <w:fldChar w:fldCharType="end"/>
          </w:r>
        </w:p>
      </w:tc>
    </w:tr>
    <w:tr w:rsidR="00EA5883">
      <w:tc>
        <w:tcPr>
          <w:tcW w:w="5636" w:type="dxa"/>
          <w:vAlign w:val="bottom"/>
        </w:tcPr>
        <w:p w:rsidR="00EA5883" w:rsidRDefault="00EA5883">
          <w:pPr>
            <w:pStyle w:val="HeaderLiteOdd"/>
          </w:pPr>
        </w:p>
      </w:tc>
      <w:tc>
        <w:tcPr>
          <w:tcW w:w="1531" w:type="dxa"/>
        </w:tcPr>
        <w:p w:rsidR="00EA5883" w:rsidRDefault="00EA5883">
          <w:pPr>
            <w:pStyle w:val="HeaderLiteOdd"/>
          </w:pPr>
        </w:p>
      </w:tc>
    </w:tr>
    <w:tr w:rsidR="00EA5883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A5883" w:rsidRDefault="00EA5883" w:rsidP="00931C01">
          <w:pPr>
            <w:pStyle w:val="HeaderBoldOdd"/>
          </w:pPr>
        </w:p>
      </w:tc>
    </w:tr>
  </w:tbl>
  <w:p w:rsidR="00EA5883" w:rsidRDefault="00EA5883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883" w:rsidRDefault="00EA5883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EA5883">
      <w:tc>
        <w:tcPr>
          <w:tcW w:w="7167" w:type="dxa"/>
        </w:tcPr>
        <w:p w:rsidR="00EA5883" w:rsidRDefault="00EA5883">
          <w:pPr>
            <w:pStyle w:val="HeaderLiteEven"/>
          </w:pPr>
          <w:r>
            <w:t>Note</w:t>
          </w:r>
        </w:p>
      </w:tc>
    </w:tr>
    <w:tr w:rsidR="00EA5883">
      <w:tc>
        <w:tcPr>
          <w:tcW w:w="7167" w:type="dxa"/>
        </w:tcPr>
        <w:p w:rsidR="00EA5883" w:rsidRDefault="00EA5883">
          <w:pPr>
            <w:pStyle w:val="HeaderLiteEven"/>
          </w:pPr>
        </w:p>
      </w:tc>
    </w:tr>
    <w:tr w:rsidR="00EA5883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EA5883" w:rsidRDefault="00EA5883">
          <w:pPr>
            <w:pStyle w:val="HeaderBoldEven"/>
          </w:pPr>
        </w:p>
      </w:tc>
    </w:tr>
  </w:tbl>
  <w:p w:rsidR="00EA5883" w:rsidRDefault="00EA588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309"/>
    <w:rsid w:val="00002328"/>
    <w:rsid w:val="000047FD"/>
    <w:rsid w:val="00004ED4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2871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42D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E75F4"/>
    <w:rsid w:val="000F140F"/>
    <w:rsid w:val="000F3758"/>
    <w:rsid w:val="00102347"/>
    <w:rsid w:val="00110AC4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26DF5"/>
    <w:rsid w:val="00133419"/>
    <w:rsid w:val="00134204"/>
    <w:rsid w:val="001363F5"/>
    <w:rsid w:val="00137EF4"/>
    <w:rsid w:val="00145C33"/>
    <w:rsid w:val="0014660D"/>
    <w:rsid w:val="001509A9"/>
    <w:rsid w:val="001510F9"/>
    <w:rsid w:val="001519E0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25BD"/>
    <w:rsid w:val="001A2921"/>
    <w:rsid w:val="001A2B82"/>
    <w:rsid w:val="001A6B17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20EDA"/>
    <w:rsid w:val="00222DA1"/>
    <w:rsid w:val="00223A7F"/>
    <w:rsid w:val="002250FB"/>
    <w:rsid w:val="002271DC"/>
    <w:rsid w:val="00230352"/>
    <w:rsid w:val="00231385"/>
    <w:rsid w:val="00236609"/>
    <w:rsid w:val="00240CD1"/>
    <w:rsid w:val="00253EE7"/>
    <w:rsid w:val="00254372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281C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5CA6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0551"/>
    <w:rsid w:val="00321580"/>
    <w:rsid w:val="003229AA"/>
    <w:rsid w:val="00323901"/>
    <w:rsid w:val="003242D2"/>
    <w:rsid w:val="00325800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1668"/>
    <w:rsid w:val="003526D3"/>
    <w:rsid w:val="003539E3"/>
    <w:rsid w:val="003549ED"/>
    <w:rsid w:val="003567D5"/>
    <w:rsid w:val="003570F6"/>
    <w:rsid w:val="00361F0E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A59BC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3F439C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63735"/>
    <w:rsid w:val="00471344"/>
    <w:rsid w:val="0047221D"/>
    <w:rsid w:val="00473D44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C6F44"/>
    <w:rsid w:val="004D25B2"/>
    <w:rsid w:val="004D2CCB"/>
    <w:rsid w:val="004D460F"/>
    <w:rsid w:val="004E01BE"/>
    <w:rsid w:val="004E1500"/>
    <w:rsid w:val="004E3375"/>
    <w:rsid w:val="004E3516"/>
    <w:rsid w:val="004E5052"/>
    <w:rsid w:val="004E6672"/>
    <w:rsid w:val="004E70BA"/>
    <w:rsid w:val="004F0A32"/>
    <w:rsid w:val="004F105A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27A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0E60"/>
    <w:rsid w:val="005B19A9"/>
    <w:rsid w:val="005B2816"/>
    <w:rsid w:val="005C20BB"/>
    <w:rsid w:val="005C3553"/>
    <w:rsid w:val="005C5586"/>
    <w:rsid w:val="005C70B1"/>
    <w:rsid w:val="005C713B"/>
    <w:rsid w:val="005C7760"/>
    <w:rsid w:val="005C7BB8"/>
    <w:rsid w:val="005D40F1"/>
    <w:rsid w:val="005D491C"/>
    <w:rsid w:val="005D5651"/>
    <w:rsid w:val="005D68FA"/>
    <w:rsid w:val="005D6A4C"/>
    <w:rsid w:val="005D6F22"/>
    <w:rsid w:val="005E3C9E"/>
    <w:rsid w:val="005E42DE"/>
    <w:rsid w:val="005E5309"/>
    <w:rsid w:val="005E5BF6"/>
    <w:rsid w:val="005E6D7C"/>
    <w:rsid w:val="005F17D7"/>
    <w:rsid w:val="005F5365"/>
    <w:rsid w:val="005F667E"/>
    <w:rsid w:val="0060499E"/>
    <w:rsid w:val="006050A5"/>
    <w:rsid w:val="00610CB1"/>
    <w:rsid w:val="00612688"/>
    <w:rsid w:val="006133D2"/>
    <w:rsid w:val="00616568"/>
    <w:rsid w:val="00617AF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31CA"/>
    <w:rsid w:val="006C4BED"/>
    <w:rsid w:val="006C53D2"/>
    <w:rsid w:val="006C795D"/>
    <w:rsid w:val="006D0603"/>
    <w:rsid w:val="006D18DE"/>
    <w:rsid w:val="006E23CD"/>
    <w:rsid w:val="006E6AF8"/>
    <w:rsid w:val="006F2504"/>
    <w:rsid w:val="006F4850"/>
    <w:rsid w:val="007008EC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E11"/>
    <w:rsid w:val="00772F15"/>
    <w:rsid w:val="007755B6"/>
    <w:rsid w:val="00776570"/>
    <w:rsid w:val="0077765E"/>
    <w:rsid w:val="007803FF"/>
    <w:rsid w:val="00781D33"/>
    <w:rsid w:val="0078324E"/>
    <w:rsid w:val="00785DFE"/>
    <w:rsid w:val="00787D5F"/>
    <w:rsid w:val="00787E97"/>
    <w:rsid w:val="007916FB"/>
    <w:rsid w:val="007921BE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B6B52"/>
    <w:rsid w:val="007C012A"/>
    <w:rsid w:val="007C0378"/>
    <w:rsid w:val="007C18C3"/>
    <w:rsid w:val="007C23A0"/>
    <w:rsid w:val="007C27A1"/>
    <w:rsid w:val="007C378E"/>
    <w:rsid w:val="007C3ED0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2E73"/>
    <w:rsid w:val="008200F1"/>
    <w:rsid w:val="00820E6A"/>
    <w:rsid w:val="00826D3D"/>
    <w:rsid w:val="00830F5E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1204"/>
    <w:rsid w:val="00884A91"/>
    <w:rsid w:val="00884AF0"/>
    <w:rsid w:val="008852BB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A6CE5"/>
    <w:rsid w:val="008B02F9"/>
    <w:rsid w:val="008B09DB"/>
    <w:rsid w:val="008B7CE0"/>
    <w:rsid w:val="008B7DD7"/>
    <w:rsid w:val="008C117F"/>
    <w:rsid w:val="008C15A7"/>
    <w:rsid w:val="008C1D70"/>
    <w:rsid w:val="008C2B87"/>
    <w:rsid w:val="008C2BD7"/>
    <w:rsid w:val="008C38FE"/>
    <w:rsid w:val="008C628F"/>
    <w:rsid w:val="008C6FFC"/>
    <w:rsid w:val="008D027A"/>
    <w:rsid w:val="008D2C3B"/>
    <w:rsid w:val="008D2F4A"/>
    <w:rsid w:val="008D3896"/>
    <w:rsid w:val="008D3FB6"/>
    <w:rsid w:val="008D4E53"/>
    <w:rsid w:val="008D64ED"/>
    <w:rsid w:val="008E02E5"/>
    <w:rsid w:val="008E1131"/>
    <w:rsid w:val="008E45F9"/>
    <w:rsid w:val="008E74ED"/>
    <w:rsid w:val="008E7D39"/>
    <w:rsid w:val="008F5EC2"/>
    <w:rsid w:val="008F66EC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2CCE"/>
    <w:rsid w:val="00923493"/>
    <w:rsid w:val="00924C24"/>
    <w:rsid w:val="0093033C"/>
    <w:rsid w:val="00930C1D"/>
    <w:rsid w:val="00931C01"/>
    <w:rsid w:val="009356C5"/>
    <w:rsid w:val="009360BD"/>
    <w:rsid w:val="00942C0F"/>
    <w:rsid w:val="009437DF"/>
    <w:rsid w:val="00944599"/>
    <w:rsid w:val="009454A5"/>
    <w:rsid w:val="00946AE0"/>
    <w:rsid w:val="00950B11"/>
    <w:rsid w:val="0095322A"/>
    <w:rsid w:val="009553F5"/>
    <w:rsid w:val="00955966"/>
    <w:rsid w:val="0096041A"/>
    <w:rsid w:val="00960E91"/>
    <w:rsid w:val="00966987"/>
    <w:rsid w:val="009669B2"/>
    <w:rsid w:val="00966D2A"/>
    <w:rsid w:val="009676B9"/>
    <w:rsid w:val="00970DE9"/>
    <w:rsid w:val="009735AE"/>
    <w:rsid w:val="009746D4"/>
    <w:rsid w:val="00980D02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C3305"/>
    <w:rsid w:val="009C7C4D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612A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580"/>
    <w:rsid w:val="00A43AF6"/>
    <w:rsid w:val="00A44D46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0AFB"/>
    <w:rsid w:val="00A715A3"/>
    <w:rsid w:val="00A7238F"/>
    <w:rsid w:val="00A725A4"/>
    <w:rsid w:val="00A73226"/>
    <w:rsid w:val="00A759EB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B5F07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039F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15513"/>
    <w:rsid w:val="00B20DCA"/>
    <w:rsid w:val="00B23D22"/>
    <w:rsid w:val="00B267A3"/>
    <w:rsid w:val="00B2730F"/>
    <w:rsid w:val="00B30277"/>
    <w:rsid w:val="00B312AC"/>
    <w:rsid w:val="00B316A0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2679"/>
    <w:rsid w:val="00BE63CA"/>
    <w:rsid w:val="00BE7309"/>
    <w:rsid w:val="00BF039D"/>
    <w:rsid w:val="00BF12B8"/>
    <w:rsid w:val="00BF45FB"/>
    <w:rsid w:val="00BF65E6"/>
    <w:rsid w:val="00BF6D49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3899"/>
    <w:rsid w:val="00C24D82"/>
    <w:rsid w:val="00C26338"/>
    <w:rsid w:val="00C2651E"/>
    <w:rsid w:val="00C321EA"/>
    <w:rsid w:val="00C33891"/>
    <w:rsid w:val="00C33E69"/>
    <w:rsid w:val="00C34B2A"/>
    <w:rsid w:val="00C4099A"/>
    <w:rsid w:val="00C46084"/>
    <w:rsid w:val="00C47091"/>
    <w:rsid w:val="00C50C9E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7407"/>
    <w:rsid w:val="00C77D94"/>
    <w:rsid w:val="00C82B39"/>
    <w:rsid w:val="00C82D38"/>
    <w:rsid w:val="00C839E5"/>
    <w:rsid w:val="00C83FC3"/>
    <w:rsid w:val="00C84977"/>
    <w:rsid w:val="00C85260"/>
    <w:rsid w:val="00C85C42"/>
    <w:rsid w:val="00C861D2"/>
    <w:rsid w:val="00C90E3B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1E1D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4DB0"/>
    <w:rsid w:val="00CD5C01"/>
    <w:rsid w:val="00CE233A"/>
    <w:rsid w:val="00CF60F8"/>
    <w:rsid w:val="00D035FA"/>
    <w:rsid w:val="00D10555"/>
    <w:rsid w:val="00D1206A"/>
    <w:rsid w:val="00D218D3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8F9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40BD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E4776"/>
    <w:rsid w:val="00DF2B41"/>
    <w:rsid w:val="00DF7A67"/>
    <w:rsid w:val="00E0170F"/>
    <w:rsid w:val="00E01972"/>
    <w:rsid w:val="00E046CD"/>
    <w:rsid w:val="00E04A6A"/>
    <w:rsid w:val="00E06384"/>
    <w:rsid w:val="00E115EE"/>
    <w:rsid w:val="00E147C5"/>
    <w:rsid w:val="00E14C28"/>
    <w:rsid w:val="00E212D0"/>
    <w:rsid w:val="00E21C9C"/>
    <w:rsid w:val="00E22161"/>
    <w:rsid w:val="00E22739"/>
    <w:rsid w:val="00E2378E"/>
    <w:rsid w:val="00E26CDE"/>
    <w:rsid w:val="00E3021A"/>
    <w:rsid w:val="00E30BFD"/>
    <w:rsid w:val="00E326F4"/>
    <w:rsid w:val="00E34B83"/>
    <w:rsid w:val="00E36DF4"/>
    <w:rsid w:val="00E371BB"/>
    <w:rsid w:val="00E4101F"/>
    <w:rsid w:val="00E42DB0"/>
    <w:rsid w:val="00E476B6"/>
    <w:rsid w:val="00E51B0C"/>
    <w:rsid w:val="00E51FF8"/>
    <w:rsid w:val="00E529BC"/>
    <w:rsid w:val="00E537B4"/>
    <w:rsid w:val="00E61DD6"/>
    <w:rsid w:val="00E62BED"/>
    <w:rsid w:val="00E6480A"/>
    <w:rsid w:val="00E73A1B"/>
    <w:rsid w:val="00E76310"/>
    <w:rsid w:val="00E7672E"/>
    <w:rsid w:val="00E83CB5"/>
    <w:rsid w:val="00E876A1"/>
    <w:rsid w:val="00E91A76"/>
    <w:rsid w:val="00E91FFB"/>
    <w:rsid w:val="00E922C7"/>
    <w:rsid w:val="00E924EE"/>
    <w:rsid w:val="00E92CAD"/>
    <w:rsid w:val="00E94FEE"/>
    <w:rsid w:val="00E95A6B"/>
    <w:rsid w:val="00EA0056"/>
    <w:rsid w:val="00EA14B9"/>
    <w:rsid w:val="00EA5883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6900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2938"/>
    <w:rsid w:val="00F4594E"/>
    <w:rsid w:val="00F4771F"/>
    <w:rsid w:val="00F47DD5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B5A1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auto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auto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uiPriority w:val="99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uiPriority w:val="99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uiPriority w:val="99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uiPriority w:val="99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uiPriority w:val="99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C90E3B"/>
    <w:rPr>
      <w:position w:val="6"/>
      <w:sz w:val="24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3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yperlink" Target="http://www.comlaw.gov.au/" TargetMode="External"/><Relationship Id="rId33" Type="http://schemas.openxmlformats.org/officeDocument/2006/relationships/header" Target="header13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5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1513</Words>
  <Characters>8069</Characters>
  <Application>Microsoft Office Word</Application>
  <DocSecurity>0</DocSecurity>
  <Lines>231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Sports Anti-Doping Authority Amendment Regulation 2012 (No.   )</vt:lpstr>
    </vt:vector>
  </TitlesOfParts>
  <Manager/>
  <Company/>
  <LinksUpToDate>false</LinksUpToDate>
  <CharactersWithSpaces>9528</CharactersWithSpaces>
  <SharedDoc>false</SharedDoc>
  <HLinks>
    <vt:vector size="6" baseType="variant">
      <vt:variant>
        <vt:i4>6160468</vt:i4>
      </vt:variant>
      <vt:variant>
        <vt:i4>45</vt:i4>
      </vt:variant>
      <vt:variant>
        <vt:i4>0</vt:i4>
      </vt:variant>
      <vt:variant>
        <vt:i4>5</vt:i4>
      </vt:variant>
      <vt:variant>
        <vt:lpwstr>http://www.comlaw.gov.au/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Sports Anti-Doping Authority Amendment Regulation 2012 (No.   )</dc:title>
  <dc:subject/>
  <dc:creator/>
  <cp:keywords/>
  <cp:lastModifiedBy/>
  <cp:revision>1</cp:revision>
  <cp:lastPrinted>2012-11-28T00:37:00Z</cp:lastPrinted>
  <dcterms:created xsi:type="dcterms:W3CDTF">2012-12-04T01:59:00Z</dcterms:created>
  <dcterms:modified xsi:type="dcterms:W3CDTF">2012-12-04T01:59:00Z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0</vt:lpwstr>
  </property>
  <property fmtid="{D5CDD505-2E9C-101B-9397-08002B2CF9AE}" pid="3" name="IndexMatter">
    <vt:lpwstr>1217855A</vt:lpwstr>
  </property>
  <property fmtid="{D5CDD505-2E9C-101B-9397-08002B2CF9AE}" pid="4" name="Editor">
    <vt:bool>true</vt:bool>
  </property>
  <property fmtid="{D5CDD505-2E9C-101B-9397-08002B2CF9AE}" pid="5" name="Final">
    <vt:bool>true</vt:bool>
  </property>
</Properties>
</file>