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BA" w:rsidRDefault="002E601D" w:rsidP="002E601D">
      <w:pPr>
        <w:spacing w:before="0"/>
        <w:ind w:right="91"/>
        <w:jc w:val="center"/>
        <w:rPr>
          <w:b/>
          <w:u w:val="single"/>
        </w:rPr>
      </w:pPr>
      <w:bookmarkStart w:id="0" w:name="_GoBack"/>
      <w:bookmarkEnd w:id="0"/>
      <w:r>
        <w:rPr>
          <w:b/>
          <w:u w:val="single"/>
        </w:rPr>
        <w:t>EXPLANATORY STATEMENT</w:t>
      </w:r>
      <w:bookmarkStart w:id="1" w:name="OLE_LINK1"/>
    </w:p>
    <w:p w:rsidR="001067BA" w:rsidRDefault="001067BA" w:rsidP="002E601D">
      <w:pPr>
        <w:spacing w:before="0"/>
        <w:ind w:right="91"/>
        <w:jc w:val="center"/>
        <w:rPr>
          <w:b/>
          <w:u w:val="single"/>
        </w:rPr>
      </w:pPr>
    </w:p>
    <w:p w:rsidR="00E87247" w:rsidRDefault="00E87247" w:rsidP="002E601D">
      <w:pPr>
        <w:spacing w:before="0"/>
        <w:ind w:right="91"/>
        <w:jc w:val="center"/>
        <w:rPr>
          <w:i/>
        </w:rPr>
      </w:pPr>
    </w:p>
    <w:p w:rsidR="002E601D" w:rsidRDefault="002E601D" w:rsidP="002E601D">
      <w:pPr>
        <w:spacing w:before="0"/>
        <w:ind w:right="91"/>
        <w:jc w:val="center"/>
        <w:rPr>
          <w:i/>
        </w:rPr>
      </w:pPr>
      <w:r>
        <w:rPr>
          <w:i/>
        </w:rPr>
        <w:t xml:space="preserve">National Greenhouse and Energy Reporting </w:t>
      </w:r>
      <w:r w:rsidR="001C0614">
        <w:rPr>
          <w:i/>
        </w:rPr>
        <w:t>Regulations 2008</w:t>
      </w:r>
      <w:bookmarkEnd w:id="1"/>
    </w:p>
    <w:p w:rsidR="002E601D" w:rsidRDefault="002E601D" w:rsidP="002E601D">
      <w:pPr>
        <w:spacing w:before="0"/>
        <w:ind w:right="91"/>
        <w:jc w:val="center"/>
        <w:rPr>
          <w:i/>
        </w:rPr>
      </w:pPr>
    </w:p>
    <w:p w:rsidR="00F43363" w:rsidRDefault="002E601D">
      <w:pPr>
        <w:spacing w:before="0"/>
        <w:ind w:right="91"/>
        <w:jc w:val="center"/>
      </w:pPr>
      <w:r>
        <w:rPr>
          <w:i/>
        </w:rPr>
        <w:t>National Greenhouse and Energy Reporting (Audit</w:t>
      </w:r>
      <w:r w:rsidR="0061040C">
        <w:rPr>
          <w:i/>
        </w:rPr>
        <w:t>or Registration</w:t>
      </w:r>
      <w:r>
        <w:rPr>
          <w:i/>
        </w:rPr>
        <w:t xml:space="preserve">) </w:t>
      </w:r>
      <w:r w:rsidR="0061040C">
        <w:rPr>
          <w:i/>
        </w:rPr>
        <w:t>Instrument</w:t>
      </w:r>
      <w:r>
        <w:rPr>
          <w:i/>
        </w:rPr>
        <w:t xml:space="preserve"> 20</w:t>
      </w:r>
      <w:r w:rsidR="00A960A0">
        <w:rPr>
          <w:i/>
        </w:rPr>
        <w:t>1</w:t>
      </w:r>
      <w:r w:rsidR="0089619A">
        <w:rPr>
          <w:i/>
        </w:rPr>
        <w:t>2</w:t>
      </w:r>
    </w:p>
    <w:p w:rsidR="002E601D" w:rsidRDefault="002E601D" w:rsidP="002E601D">
      <w:pPr>
        <w:rPr>
          <w:b/>
          <w:color w:val="000000"/>
        </w:rPr>
      </w:pPr>
      <w:r>
        <w:rPr>
          <w:b/>
          <w:color w:val="000000"/>
        </w:rPr>
        <w:t>Introduction</w:t>
      </w:r>
    </w:p>
    <w:p w:rsidR="00F43363" w:rsidRDefault="001C50F8">
      <w:pPr>
        <w:jc w:val="both"/>
        <w:rPr>
          <w:color w:val="000000"/>
          <w:lang w:val="en-US"/>
        </w:rPr>
      </w:pPr>
      <w:r w:rsidRPr="00AF4A90">
        <w:rPr>
          <w:color w:val="000000"/>
          <w:szCs w:val="24"/>
        </w:rPr>
        <w:t xml:space="preserve">The </w:t>
      </w:r>
      <w:r w:rsidRPr="00B12747">
        <w:rPr>
          <w:i/>
          <w:color w:val="000000"/>
          <w:szCs w:val="24"/>
          <w:lang w:val="en-US"/>
        </w:rPr>
        <w:t>National Greenhouse and Energy Reporting Act 2007</w:t>
      </w:r>
      <w:r w:rsidRPr="00B12747">
        <w:rPr>
          <w:color w:val="000000"/>
          <w:szCs w:val="24"/>
          <w:lang w:val="en-US"/>
        </w:rPr>
        <w:t xml:space="preserve"> (the Act) </w:t>
      </w:r>
      <w:r w:rsidR="00F07B1B">
        <w:rPr>
          <w:color w:val="000000"/>
          <w:szCs w:val="24"/>
        </w:rPr>
        <w:t xml:space="preserve">establishes a framework for the conduct of audits under the Act and the </w:t>
      </w:r>
      <w:r w:rsidR="00F07B1B" w:rsidRPr="00B12747">
        <w:rPr>
          <w:i/>
          <w:color w:val="000000"/>
          <w:szCs w:val="24"/>
          <w:lang w:val="en-US"/>
        </w:rPr>
        <w:t>Carbon Credits (Carbon Farming Initiative) Act 2011 </w:t>
      </w:r>
      <w:r w:rsidR="00F07B1B" w:rsidRPr="00B12747">
        <w:rPr>
          <w:color w:val="000000"/>
          <w:szCs w:val="24"/>
          <w:lang w:val="en-US"/>
        </w:rPr>
        <w:t>(CFI Act)</w:t>
      </w:r>
      <w:r w:rsidRPr="00D24366">
        <w:rPr>
          <w:color w:val="000000"/>
          <w:szCs w:val="24"/>
        </w:rPr>
        <w:t>.</w:t>
      </w:r>
      <w:r w:rsidR="00F07B1B">
        <w:rPr>
          <w:color w:val="000000"/>
          <w:szCs w:val="24"/>
        </w:rPr>
        <w:t xml:space="preserve"> Section 75A of the Act requires </w:t>
      </w:r>
      <w:r w:rsidR="00F07B1B">
        <w:rPr>
          <w:color w:val="000000"/>
          <w:szCs w:val="24"/>
          <w:lang w:val="en-US"/>
        </w:rPr>
        <w:t>t</w:t>
      </w:r>
      <w:r w:rsidR="00B12747" w:rsidRPr="00B12747">
        <w:rPr>
          <w:color w:val="000000"/>
          <w:szCs w:val="24"/>
          <w:lang w:val="en-US"/>
        </w:rPr>
        <w:t xml:space="preserve">he Clean Energy Regulator (the Regulator) to register an individual in the register of greenhouse and energy auditors that is kept for the purposes of the </w:t>
      </w:r>
      <w:r>
        <w:rPr>
          <w:color w:val="000000"/>
          <w:szCs w:val="24"/>
          <w:lang w:val="en-US"/>
        </w:rPr>
        <w:t xml:space="preserve">Act </w:t>
      </w:r>
      <w:r w:rsidR="00B12747" w:rsidRPr="00B12747">
        <w:rPr>
          <w:color w:val="000000"/>
          <w:szCs w:val="24"/>
          <w:lang w:val="en-US"/>
        </w:rPr>
        <w:t>and the CFI Act</w:t>
      </w:r>
      <w:r w:rsidR="00B12747" w:rsidRPr="00B12747">
        <w:rPr>
          <w:i/>
          <w:color w:val="000000"/>
          <w:szCs w:val="24"/>
          <w:lang w:val="en-US"/>
        </w:rPr>
        <w:t xml:space="preserve"> </w:t>
      </w:r>
      <w:r w:rsidR="00B12747" w:rsidRPr="00B12747">
        <w:rPr>
          <w:color w:val="000000"/>
          <w:szCs w:val="24"/>
          <w:lang w:val="en-US"/>
        </w:rPr>
        <w:t xml:space="preserve">if the individual meets specified requirements. The specified requirements are set out in the </w:t>
      </w:r>
      <w:r w:rsidR="00F64CEC" w:rsidRPr="00F64CEC">
        <w:rPr>
          <w:i/>
          <w:color w:val="000000"/>
          <w:szCs w:val="24"/>
          <w:lang w:val="en-US"/>
        </w:rPr>
        <w:t>National Greenhouse and Energy Reporting Regulations 2008</w:t>
      </w:r>
      <w:r w:rsidR="00B12747" w:rsidRPr="00B12747">
        <w:rPr>
          <w:color w:val="000000"/>
          <w:szCs w:val="24"/>
          <w:lang w:val="en-US"/>
        </w:rPr>
        <w:t xml:space="preserve"> (the Regulations) or a legislative instrument made under regulation 6.72 of the Regulations, and relate to matters such as an applicant’s qualifications, knowledge, expertise, competence and independence. An instrument made under regulation 6.72 of the Regulations may also set out the ways in which requirements set out in the regulations may be met. </w:t>
      </w:r>
    </w:p>
    <w:p w:rsidR="00F43363" w:rsidRDefault="00352767">
      <w:pPr>
        <w:jc w:val="both"/>
      </w:pPr>
      <w:r>
        <w:t xml:space="preserve">The </w:t>
      </w:r>
      <w:r w:rsidR="001C50F8">
        <w:t xml:space="preserve">purpose of the </w:t>
      </w:r>
      <w:r>
        <w:rPr>
          <w:i/>
        </w:rPr>
        <w:t>National Greenhouse and Energy Reporting (Auditor Registration) Instrument 2012</w:t>
      </w:r>
      <w:r>
        <w:t xml:space="preserve"> </w:t>
      </w:r>
      <w:r w:rsidR="009619D5">
        <w:t xml:space="preserve">(the Instrument) </w:t>
      </w:r>
      <w:r w:rsidR="000C2141">
        <w:t xml:space="preserve">is to </w:t>
      </w:r>
      <w:r>
        <w:t xml:space="preserve">set out the ways in which the requirements of the Regulations </w:t>
      </w:r>
      <w:r w:rsidR="00FC6762">
        <w:t>(</w:t>
      </w:r>
      <w:r>
        <w:t xml:space="preserve">in relation to the knowledge and experience an applicant for registration as a greenhouse and energy auditor </w:t>
      </w:r>
      <w:r w:rsidR="009619D5">
        <w:t>must have</w:t>
      </w:r>
      <w:r w:rsidR="00FC6762">
        <w:t>) may be met</w:t>
      </w:r>
      <w:r w:rsidR="009619D5">
        <w:t xml:space="preserve">. The Instrument also revokes the </w:t>
      </w:r>
      <w:r w:rsidR="009619D5" w:rsidRPr="00114A74">
        <w:rPr>
          <w:i/>
        </w:rPr>
        <w:t>National Greenhouse and Energy Reporting (Auditor Registration) Instrument 2010</w:t>
      </w:r>
      <w:r w:rsidR="00915AD8">
        <w:t xml:space="preserve"> (the 2010 Instrument)</w:t>
      </w:r>
      <w:r w:rsidR="009619D5">
        <w:t>.</w:t>
      </w:r>
      <w:r w:rsidR="00915AD8">
        <w:t xml:space="preserve"> </w:t>
      </w:r>
    </w:p>
    <w:p w:rsidR="00F43363" w:rsidRDefault="002E601D">
      <w:pPr>
        <w:jc w:val="both"/>
      </w:pPr>
      <w:r>
        <w:t>The</w:t>
      </w:r>
      <w:r w:rsidR="00294D1F">
        <w:t xml:space="preserve"> </w:t>
      </w:r>
      <w:r w:rsidR="009619D5">
        <w:t xml:space="preserve">Instrument </w:t>
      </w:r>
      <w:r w:rsidR="00120DD4">
        <w:t>is</w:t>
      </w:r>
      <w:r>
        <w:t xml:space="preserve"> a legislative instrument for the purposes of the </w:t>
      </w:r>
      <w:r>
        <w:rPr>
          <w:i/>
        </w:rPr>
        <w:t>Legislative</w:t>
      </w:r>
      <w:r w:rsidR="00F07B1B">
        <w:rPr>
          <w:i/>
        </w:rPr>
        <w:t> </w:t>
      </w:r>
      <w:r>
        <w:rPr>
          <w:i/>
        </w:rPr>
        <w:t>Instruments</w:t>
      </w:r>
      <w:r w:rsidR="00F07B1B">
        <w:rPr>
          <w:i/>
        </w:rPr>
        <w:t> </w:t>
      </w:r>
      <w:r>
        <w:rPr>
          <w:i/>
        </w:rPr>
        <w:t>Act</w:t>
      </w:r>
      <w:r w:rsidR="00F07B1B">
        <w:rPr>
          <w:i/>
        </w:rPr>
        <w:t> </w:t>
      </w:r>
      <w:r>
        <w:rPr>
          <w:i/>
        </w:rPr>
        <w:t>2003</w:t>
      </w:r>
      <w:r>
        <w:t>.</w:t>
      </w:r>
      <w:r w:rsidR="005D2CF2">
        <w:t xml:space="preserve"> </w:t>
      </w:r>
      <w:r>
        <w:t>T</w:t>
      </w:r>
      <w:r w:rsidR="00294D1F">
        <w:t>he I</w:t>
      </w:r>
      <w:r w:rsidR="00AA7A0D">
        <w:t>nstrument</w:t>
      </w:r>
      <w:r>
        <w:t xml:space="preserve"> will commence on the day after it is registered</w:t>
      </w:r>
      <w:r w:rsidR="00120DD4">
        <w:t xml:space="preserve"> in the Federal Register of Legislative Instruments</w:t>
      </w:r>
      <w:r>
        <w:t>.</w:t>
      </w:r>
    </w:p>
    <w:p w:rsidR="00F43363" w:rsidRDefault="00E87247">
      <w:pPr>
        <w:jc w:val="both"/>
      </w:pPr>
      <w:r>
        <w:t xml:space="preserve">Details of the Instrument are set out in </w:t>
      </w:r>
      <w:r>
        <w:rPr>
          <w:u w:val="single"/>
        </w:rPr>
        <w:t>Attachment</w:t>
      </w:r>
      <w:r w:rsidRPr="00850A2B">
        <w:rPr>
          <w:u w:val="single"/>
        </w:rPr>
        <w:t xml:space="preserve"> </w:t>
      </w:r>
      <w:r>
        <w:rPr>
          <w:u w:val="single"/>
        </w:rPr>
        <w:t>A</w:t>
      </w:r>
      <w:r>
        <w:t>.</w:t>
      </w:r>
    </w:p>
    <w:p w:rsidR="00F43363" w:rsidRDefault="00E87247">
      <w:pPr>
        <w:jc w:val="both"/>
        <w:rPr>
          <w:u w:val="single"/>
        </w:rPr>
      </w:pPr>
      <w:r>
        <w:t xml:space="preserve">The statement of compatibility with human rights is set out in </w:t>
      </w:r>
      <w:r>
        <w:rPr>
          <w:u w:val="single"/>
        </w:rPr>
        <w:t>Attachment B</w:t>
      </w:r>
      <w:r w:rsidR="00F64CEC" w:rsidRPr="00F64CEC">
        <w:t>.</w:t>
      </w:r>
    </w:p>
    <w:p w:rsidR="002E601D" w:rsidRDefault="002E601D" w:rsidP="002E601D">
      <w:pPr>
        <w:keepNext/>
        <w:rPr>
          <w:b/>
        </w:rPr>
      </w:pPr>
      <w:r>
        <w:rPr>
          <w:b/>
        </w:rPr>
        <w:t>Consultation</w:t>
      </w:r>
    </w:p>
    <w:p w:rsidR="00C817DC" w:rsidRDefault="00B5188A">
      <w:pPr>
        <w:tabs>
          <w:tab w:val="left" w:pos="6521"/>
        </w:tabs>
        <w:spacing w:before="0"/>
        <w:ind w:right="91"/>
        <w:jc w:val="both"/>
      </w:pPr>
      <w:r>
        <w:t>A</w:t>
      </w:r>
      <w:r w:rsidR="00C817DC">
        <w:t xml:space="preserve"> </w:t>
      </w:r>
      <w:r w:rsidR="00F60E4B" w:rsidRPr="00F60E4B">
        <w:t xml:space="preserve">consultation </w:t>
      </w:r>
      <w:r w:rsidR="00C817DC">
        <w:t xml:space="preserve">paper, </w:t>
      </w:r>
      <w:r w:rsidR="00C817DC">
        <w:rPr>
          <w:i/>
        </w:rPr>
        <w:t>Amendments to the NGER Audit Determination and NGER Auditor Registration Instrument</w:t>
      </w:r>
      <w:r w:rsidR="00C817DC">
        <w:t xml:space="preserve">, </w:t>
      </w:r>
      <w:r w:rsidR="009D7298">
        <w:t xml:space="preserve">seeking comments on the proposed amendments to the Instrument was released on 5 </w:t>
      </w:r>
      <w:r w:rsidR="00C817DC">
        <w:t>April 2012</w:t>
      </w:r>
      <w:r w:rsidR="009D7298">
        <w:t xml:space="preserve">.  Two submissions were received, neither of which contained significant comments on the proposed amendments. No changes were made to the Instrument as a result of the consultation. </w:t>
      </w:r>
    </w:p>
    <w:p w:rsidR="00C817DC" w:rsidRDefault="00C817DC">
      <w:pPr>
        <w:tabs>
          <w:tab w:val="left" w:pos="6521"/>
        </w:tabs>
        <w:spacing w:before="0"/>
        <w:ind w:right="91"/>
        <w:jc w:val="both"/>
      </w:pPr>
    </w:p>
    <w:p w:rsidR="00FB1C7C" w:rsidRDefault="00FB1C7C">
      <w:pPr>
        <w:spacing w:before="0"/>
        <w:rPr>
          <w:rFonts w:cs="Arial"/>
          <w:bCs/>
          <w:kern w:val="32"/>
          <w:szCs w:val="24"/>
          <w:u w:val="single"/>
          <w:lang w:val="en-US" w:eastAsia="en-US"/>
        </w:rPr>
      </w:pPr>
    </w:p>
    <w:p w:rsidR="00F43363" w:rsidRDefault="00F64CEC">
      <w:pPr>
        <w:pStyle w:val="Heading1"/>
        <w:jc w:val="right"/>
        <w:rPr>
          <w:b w:val="0"/>
          <w:sz w:val="24"/>
          <w:szCs w:val="24"/>
          <w:u w:val="single"/>
        </w:rPr>
      </w:pPr>
      <w:r w:rsidRPr="00F64CEC">
        <w:rPr>
          <w:b w:val="0"/>
          <w:sz w:val="24"/>
          <w:szCs w:val="24"/>
          <w:u w:val="single"/>
        </w:rPr>
        <w:lastRenderedPageBreak/>
        <w:t>Attachment A</w:t>
      </w:r>
    </w:p>
    <w:p w:rsidR="002E601D" w:rsidRDefault="002E601D" w:rsidP="002E601D">
      <w:pPr>
        <w:pStyle w:val="Heading1"/>
      </w:pPr>
      <w:r>
        <w:t xml:space="preserve">Details of the </w:t>
      </w:r>
      <w:r w:rsidR="009619D5">
        <w:t>Instrument</w:t>
      </w:r>
    </w:p>
    <w:p w:rsidR="002E601D" w:rsidRDefault="0061040C" w:rsidP="002E601D">
      <w:pPr>
        <w:pStyle w:val="Heading6"/>
      </w:pPr>
      <w:r>
        <w:t>Section 1</w:t>
      </w:r>
      <w:r w:rsidR="009619D5">
        <w:t xml:space="preserve"> </w:t>
      </w:r>
      <w:r w:rsidR="002E601D">
        <w:t xml:space="preserve">Name of </w:t>
      </w:r>
      <w:r>
        <w:t>Instrument</w:t>
      </w:r>
    </w:p>
    <w:p w:rsidR="00F43363" w:rsidRDefault="00F9294C">
      <w:pPr>
        <w:jc w:val="both"/>
        <w:rPr>
          <w:i/>
        </w:rPr>
      </w:pPr>
      <w:r>
        <w:t xml:space="preserve">This section </w:t>
      </w:r>
      <w:r w:rsidR="001C50E6">
        <w:t>provides that</w:t>
      </w:r>
      <w:r>
        <w:t xml:space="preserve"> the name of the </w:t>
      </w:r>
      <w:r w:rsidR="00F07B1B">
        <w:t>I</w:t>
      </w:r>
      <w:r>
        <w:t xml:space="preserve">nstrument </w:t>
      </w:r>
      <w:r w:rsidR="001C50E6">
        <w:t>is</w:t>
      </w:r>
      <w:r>
        <w:t xml:space="preserve"> the </w:t>
      </w:r>
      <w:r>
        <w:rPr>
          <w:i/>
        </w:rPr>
        <w:t>National Greenhouse and Energy Reporting (Auditor Registration) Instrument 20</w:t>
      </w:r>
      <w:r w:rsidR="00DE0B76">
        <w:rPr>
          <w:i/>
        </w:rPr>
        <w:t>1</w:t>
      </w:r>
      <w:r w:rsidR="00120DD4">
        <w:rPr>
          <w:i/>
        </w:rPr>
        <w:t>2</w:t>
      </w:r>
      <w:r>
        <w:rPr>
          <w:i/>
        </w:rPr>
        <w:t>.</w:t>
      </w:r>
    </w:p>
    <w:p w:rsidR="001D57A8" w:rsidRDefault="001D57A8" w:rsidP="001D57A8">
      <w:pPr>
        <w:pStyle w:val="Heading6"/>
      </w:pPr>
      <w:r>
        <w:t xml:space="preserve">Section </w:t>
      </w:r>
      <w:r w:rsidR="00C978E0">
        <w:t>2</w:t>
      </w:r>
      <w:r w:rsidR="009619D5">
        <w:t xml:space="preserve"> </w:t>
      </w:r>
      <w:r>
        <w:t>Commencement</w:t>
      </w:r>
    </w:p>
    <w:p w:rsidR="00F43363" w:rsidRDefault="00F9294C">
      <w:pPr>
        <w:jc w:val="both"/>
      </w:pPr>
      <w:r>
        <w:t>This section provides that the Instrument commences the day after it is registered on the Federal Register of Legislative Instruments.</w:t>
      </w:r>
    </w:p>
    <w:p w:rsidR="001C50E6" w:rsidRDefault="001C50E6" w:rsidP="001D57A8">
      <w:pPr>
        <w:pStyle w:val="Heading6"/>
      </w:pPr>
      <w:r>
        <w:t xml:space="preserve">Section </w:t>
      </w:r>
      <w:r w:rsidR="00C978E0">
        <w:t>3</w:t>
      </w:r>
      <w:r w:rsidR="009619D5">
        <w:t xml:space="preserve"> </w:t>
      </w:r>
      <w:r w:rsidR="00D13740">
        <w:t>Revocation</w:t>
      </w:r>
    </w:p>
    <w:p w:rsidR="00F43363" w:rsidRDefault="00D13740">
      <w:pPr>
        <w:jc w:val="both"/>
      </w:pPr>
      <w:r>
        <w:t xml:space="preserve">This section revokes the </w:t>
      </w:r>
      <w:r w:rsidR="00F64CEC" w:rsidRPr="00F64CEC">
        <w:rPr>
          <w:i/>
        </w:rPr>
        <w:t>National Greenhouse and Energy Reporting (Auditor Registration) Instrument 2010</w:t>
      </w:r>
      <w:r w:rsidR="00572F83">
        <w:t xml:space="preserve"> (the 2010 Instrument)</w:t>
      </w:r>
      <w:r>
        <w:t xml:space="preserve">. </w:t>
      </w:r>
    </w:p>
    <w:p w:rsidR="001D57A8" w:rsidRDefault="001D57A8" w:rsidP="001D57A8">
      <w:pPr>
        <w:pStyle w:val="Heading6"/>
      </w:pPr>
      <w:r>
        <w:t xml:space="preserve">Section </w:t>
      </w:r>
      <w:r w:rsidR="00C978E0">
        <w:t>4</w:t>
      </w:r>
      <w:r w:rsidR="009619D5">
        <w:t xml:space="preserve"> </w:t>
      </w:r>
      <w:r>
        <w:t>Definitions</w:t>
      </w:r>
    </w:p>
    <w:p w:rsidR="00F43363" w:rsidRDefault="00F9294C">
      <w:pPr>
        <w:jc w:val="both"/>
      </w:pPr>
      <w:r>
        <w:t xml:space="preserve">This section </w:t>
      </w:r>
      <w:r w:rsidR="00D13740">
        <w:t>defines certain terms used</w:t>
      </w:r>
      <w:r>
        <w:t xml:space="preserve"> throughout the Instrument.</w:t>
      </w:r>
    </w:p>
    <w:p w:rsidR="00F43363" w:rsidRDefault="0041743F">
      <w:pPr>
        <w:jc w:val="both"/>
      </w:pPr>
      <w:r>
        <w:t>A number of the definitions incorporate by reference other documents.</w:t>
      </w:r>
      <w:r w:rsidR="005D2CF2">
        <w:t xml:space="preserve"> The documents incorporated by reference are:</w:t>
      </w:r>
    </w:p>
    <w:p w:rsidR="00F43363" w:rsidRDefault="00407CD6" w:rsidP="000E4041">
      <w:pPr>
        <w:pStyle w:val="definition"/>
        <w:keepLines/>
        <w:numPr>
          <w:ilvl w:val="0"/>
          <w:numId w:val="5"/>
        </w:numPr>
        <w:spacing w:before="240"/>
        <w:rPr>
          <w:color w:val="000000"/>
        </w:rPr>
      </w:pPr>
      <w:r w:rsidRPr="002D4D23">
        <w:rPr>
          <w:color w:val="000000"/>
        </w:rPr>
        <w:t xml:space="preserve">Standard on </w:t>
      </w:r>
      <w:r>
        <w:rPr>
          <w:color w:val="000000"/>
        </w:rPr>
        <w:t>Assurance Engagements ASAE 3000</w:t>
      </w:r>
      <w:r w:rsidRPr="002D4D23">
        <w:rPr>
          <w:color w:val="000000"/>
        </w:rPr>
        <w:t xml:space="preserve"> </w:t>
      </w:r>
      <w:r w:rsidRPr="002D4D23">
        <w:rPr>
          <w:i/>
          <w:color w:val="000000"/>
        </w:rPr>
        <w:t>Assurance Engagements Other than Audits or Reviews of Historical Financ</w:t>
      </w:r>
      <w:r>
        <w:rPr>
          <w:i/>
          <w:color w:val="000000"/>
        </w:rPr>
        <w:t>ial</w:t>
      </w:r>
      <w:r w:rsidRPr="002D4D23">
        <w:rPr>
          <w:i/>
          <w:color w:val="000000"/>
        </w:rPr>
        <w:t xml:space="preserve"> Information</w:t>
      </w:r>
      <w:r>
        <w:rPr>
          <w:i/>
          <w:color w:val="000000"/>
        </w:rPr>
        <w:t xml:space="preserve">, </w:t>
      </w:r>
      <w:r w:rsidR="00F64CEC" w:rsidRPr="00F64CEC">
        <w:rPr>
          <w:color w:val="000000"/>
        </w:rPr>
        <w:t>issued by the</w:t>
      </w:r>
      <w:r w:rsidRPr="002D4D23">
        <w:rPr>
          <w:color w:val="000000"/>
        </w:rPr>
        <w:t xml:space="preserve"> Auditing and Assurance Standards Board</w:t>
      </w:r>
      <w:r w:rsidR="0060091C">
        <w:rPr>
          <w:color w:val="000000"/>
        </w:rPr>
        <w:t>,</w:t>
      </w:r>
      <w:r w:rsidRPr="002D4D23">
        <w:rPr>
          <w:color w:val="000000"/>
        </w:rPr>
        <w:t xml:space="preserve"> July 2007.</w:t>
      </w:r>
      <w:r>
        <w:rPr>
          <w:color w:val="000000"/>
        </w:rPr>
        <w:t xml:space="preserve"> </w:t>
      </w:r>
      <w:r w:rsidR="00624790">
        <w:rPr>
          <w:color w:val="000000"/>
        </w:rPr>
        <w:t xml:space="preserve">The standard </w:t>
      </w:r>
      <w:r w:rsidR="00624790" w:rsidRPr="00624790">
        <w:rPr>
          <w:color w:val="000000"/>
        </w:rPr>
        <w:t>establish</w:t>
      </w:r>
      <w:r w:rsidR="00624790">
        <w:rPr>
          <w:color w:val="000000"/>
        </w:rPr>
        <w:t>es</w:t>
      </w:r>
      <w:r w:rsidR="00624790" w:rsidRPr="00624790">
        <w:rPr>
          <w:color w:val="000000"/>
        </w:rPr>
        <w:t xml:space="preserve"> requirements for undertaking and reporting on assurance engagements other than audits or reviews of historical financial information covered by Australian Auditing Standards or Standards on Review Engagements.</w:t>
      </w:r>
      <w:r w:rsidR="00624790">
        <w:rPr>
          <w:color w:val="000000"/>
        </w:rPr>
        <w:t xml:space="preserve"> </w:t>
      </w:r>
      <w:r w:rsidR="00F64CEC" w:rsidRPr="00F64CEC">
        <w:rPr>
          <w:color w:val="000000"/>
        </w:rPr>
        <w:t>At the time the Instrument was mad</w:t>
      </w:r>
      <w:r>
        <w:rPr>
          <w:color w:val="000000"/>
        </w:rPr>
        <w:t>e th</w:t>
      </w:r>
      <w:r w:rsidR="00624790">
        <w:rPr>
          <w:color w:val="000000"/>
        </w:rPr>
        <w:t>e</w:t>
      </w:r>
      <w:r>
        <w:rPr>
          <w:color w:val="000000"/>
        </w:rPr>
        <w:t xml:space="preserve"> </w:t>
      </w:r>
      <w:r w:rsidR="00624790">
        <w:rPr>
          <w:color w:val="000000"/>
        </w:rPr>
        <w:t>standard</w:t>
      </w:r>
      <w:r>
        <w:rPr>
          <w:color w:val="000000"/>
        </w:rPr>
        <w:t xml:space="preserve"> </w:t>
      </w:r>
      <w:r w:rsidR="00F64CEC" w:rsidRPr="00F64CEC">
        <w:rPr>
          <w:color w:val="000000"/>
        </w:rPr>
        <w:t>was available free of charge at</w:t>
      </w:r>
      <w:r w:rsidRPr="00407CD6">
        <w:t xml:space="preserve"> </w:t>
      </w:r>
      <w:hyperlink r:id="rId9" w:history="1">
        <w:r w:rsidR="00F64CEC" w:rsidRPr="00F64CEC">
          <w:rPr>
            <w:rStyle w:val="Hyperlink"/>
          </w:rPr>
          <w:t>http://www.auasb.gov.au/Standards-and-Guidance/Standards-on-Assurance-Engagements.aspx</w:t>
        </w:r>
      </w:hyperlink>
      <w:r w:rsidR="0060091C">
        <w:t>.</w:t>
      </w:r>
    </w:p>
    <w:p w:rsidR="00F43363" w:rsidRDefault="00F43363">
      <w:pPr>
        <w:pStyle w:val="definition"/>
        <w:spacing w:before="0" w:line="240" w:lineRule="auto"/>
        <w:ind w:left="720"/>
        <w:rPr>
          <w:color w:val="000000"/>
        </w:rPr>
      </w:pPr>
    </w:p>
    <w:p w:rsidR="00F43363" w:rsidRDefault="00407CD6" w:rsidP="000E4041">
      <w:pPr>
        <w:pStyle w:val="definition"/>
        <w:numPr>
          <w:ilvl w:val="0"/>
          <w:numId w:val="5"/>
        </w:numPr>
        <w:spacing w:before="0" w:line="240" w:lineRule="auto"/>
        <w:rPr>
          <w:color w:val="000000"/>
        </w:rPr>
      </w:pPr>
      <w:r w:rsidRPr="002D4D23">
        <w:rPr>
          <w:color w:val="000000"/>
        </w:rPr>
        <w:t xml:space="preserve">Standard on Assurance Engagements ASAE 3100 </w:t>
      </w:r>
      <w:r w:rsidRPr="002D4D23">
        <w:rPr>
          <w:i/>
          <w:color w:val="000000"/>
        </w:rPr>
        <w:t>Compliance Engagements</w:t>
      </w:r>
      <w:r w:rsidRPr="002D4D23">
        <w:rPr>
          <w:color w:val="000000"/>
        </w:rPr>
        <w:t>,</w:t>
      </w:r>
      <w:r w:rsidRPr="002D4D23">
        <w:rPr>
          <w:i/>
          <w:color w:val="000000"/>
        </w:rPr>
        <w:t xml:space="preserve"> </w:t>
      </w:r>
      <w:r w:rsidRPr="002D4D23">
        <w:rPr>
          <w:color w:val="000000"/>
        </w:rPr>
        <w:t>issued by the Auditing and Assu</w:t>
      </w:r>
      <w:r>
        <w:rPr>
          <w:color w:val="000000"/>
        </w:rPr>
        <w:t>rance Standards Board, reissued September</w:t>
      </w:r>
      <w:r w:rsidRPr="002D4D23">
        <w:rPr>
          <w:color w:val="000000"/>
        </w:rPr>
        <w:t xml:space="preserve"> 2008.</w:t>
      </w:r>
      <w:r>
        <w:rPr>
          <w:color w:val="000000"/>
        </w:rPr>
        <w:t xml:space="preserve"> At the time the Instrument was made th</w:t>
      </w:r>
      <w:r w:rsidR="00C978E0">
        <w:rPr>
          <w:color w:val="000000"/>
        </w:rPr>
        <w:t>e standard</w:t>
      </w:r>
      <w:r>
        <w:rPr>
          <w:color w:val="000000"/>
        </w:rPr>
        <w:t xml:space="preserve"> was available free of charge at </w:t>
      </w:r>
    </w:p>
    <w:p w:rsidR="00F43363" w:rsidRDefault="00C1092B">
      <w:pPr>
        <w:pStyle w:val="definition"/>
        <w:keepLines/>
        <w:spacing w:before="0" w:line="240" w:lineRule="auto"/>
        <w:ind w:left="720"/>
      </w:pPr>
      <w:hyperlink r:id="rId10" w:history="1">
        <w:r w:rsidR="00FA6417" w:rsidRPr="00E45702">
          <w:rPr>
            <w:rStyle w:val="Hyperlink"/>
          </w:rPr>
          <w:t>http://www.auasb.gov.au/admin/file/content102/c3/ASAE_3100_9-09-08.pdf</w:t>
        </w:r>
      </w:hyperlink>
      <w:r w:rsidR="0060091C">
        <w:t>.</w:t>
      </w:r>
    </w:p>
    <w:p w:rsidR="000E4041" w:rsidRDefault="000E4041">
      <w:pPr>
        <w:pStyle w:val="definition"/>
        <w:keepLines/>
        <w:spacing w:before="0" w:line="240" w:lineRule="auto"/>
        <w:ind w:left="720"/>
      </w:pPr>
    </w:p>
    <w:p w:rsidR="000E4041" w:rsidRPr="0060091C" w:rsidRDefault="000E4041" w:rsidP="0060091C">
      <w:pPr>
        <w:pStyle w:val="definition"/>
        <w:keepLines/>
        <w:numPr>
          <w:ilvl w:val="0"/>
          <w:numId w:val="5"/>
        </w:numPr>
        <w:spacing w:before="240" w:line="240" w:lineRule="auto"/>
        <w:jc w:val="left"/>
        <w:rPr>
          <w:i/>
          <w:iCs/>
          <w:color w:val="000000"/>
        </w:rPr>
      </w:pPr>
      <w:r>
        <w:t>Standard on Assurance Engagements ASAE 3410</w:t>
      </w:r>
      <w:r w:rsidR="00ED6EA9">
        <w:t xml:space="preserve"> </w:t>
      </w:r>
      <w:r w:rsidR="00ED6EA9">
        <w:rPr>
          <w:i/>
          <w:color w:val="000000"/>
        </w:rPr>
        <w:t>Assurance Engagements on Greenhouse Gas Statements</w:t>
      </w:r>
      <w:r w:rsidR="00685E53">
        <w:t xml:space="preserve">, issued by the </w:t>
      </w:r>
      <w:r w:rsidR="00685E53" w:rsidRPr="0060091C">
        <w:rPr>
          <w:color w:val="000000"/>
        </w:rPr>
        <w:t>Auditing and Assurance Standards Board</w:t>
      </w:r>
      <w:r w:rsidR="0060091C">
        <w:rPr>
          <w:color w:val="000000"/>
        </w:rPr>
        <w:t xml:space="preserve">, issued </w:t>
      </w:r>
      <w:r w:rsidR="0060091C" w:rsidRPr="0060091C">
        <w:rPr>
          <w:color w:val="000000"/>
        </w:rPr>
        <w:t>Jun</w:t>
      </w:r>
      <w:r w:rsidR="0060091C">
        <w:rPr>
          <w:color w:val="000000"/>
        </w:rPr>
        <w:t>e</w:t>
      </w:r>
      <w:r w:rsidR="0060091C" w:rsidRPr="0060091C">
        <w:rPr>
          <w:color w:val="000000"/>
        </w:rPr>
        <w:t xml:space="preserve"> 2012</w:t>
      </w:r>
      <w:r w:rsidR="00685E53" w:rsidRPr="0060091C">
        <w:rPr>
          <w:color w:val="000000"/>
        </w:rPr>
        <w:t xml:space="preserve">. At the time the Instrument was made, the standard was available free of charge at </w:t>
      </w:r>
      <w:hyperlink r:id="rId11" w:history="1">
        <w:r w:rsidR="0060091C" w:rsidRPr="00057FD6">
          <w:rPr>
            <w:rStyle w:val="Hyperlink"/>
          </w:rPr>
          <w:t>http://www.auasb.gov.au/admin/file/content102/c3/Jun12_Standard_on_Assurance_Engagements_ASAE_3410.pdf</w:t>
        </w:r>
      </w:hyperlink>
      <w:r w:rsidR="0060091C">
        <w:rPr>
          <w:color w:val="000000"/>
        </w:rPr>
        <w:t>.</w:t>
      </w:r>
    </w:p>
    <w:p w:rsidR="00F43363" w:rsidRPr="00C8375E" w:rsidRDefault="00CA5088" w:rsidP="000E4041">
      <w:pPr>
        <w:pStyle w:val="definition"/>
        <w:keepLines/>
        <w:numPr>
          <w:ilvl w:val="0"/>
          <w:numId w:val="5"/>
        </w:numPr>
        <w:spacing w:before="240"/>
        <w:rPr>
          <w:b/>
          <w:i/>
          <w:color w:val="000000"/>
        </w:rPr>
      </w:pPr>
      <w:r w:rsidRPr="0060091C">
        <w:rPr>
          <w:i/>
          <w:iCs/>
          <w:color w:val="000000"/>
        </w:rPr>
        <w:lastRenderedPageBreak/>
        <w:t>AS ISO 14064.2–2006, Greenhouse gases Part 2: Specification with guidance at the project level for quantification and reporting of greenhouse gas reduction and removal enhancements</w:t>
      </w:r>
      <w:r w:rsidRPr="0060091C">
        <w:rPr>
          <w:color w:val="000000"/>
        </w:rPr>
        <w:t>, published by Standards Australia</w:t>
      </w:r>
      <w:r w:rsidR="00AF41C4">
        <w:rPr>
          <w:color w:val="000000"/>
        </w:rPr>
        <w:t xml:space="preserve"> Limited</w:t>
      </w:r>
      <w:r w:rsidRPr="0060091C">
        <w:rPr>
          <w:color w:val="000000"/>
        </w:rPr>
        <w:t xml:space="preserve">, November 2006. This standard provides proponents of greenhouse gas emission reduction projects with an internationally agreed framework for reporting. The standard </w:t>
      </w:r>
      <w:r w:rsidR="0027078D">
        <w:rPr>
          <w:color w:val="000000"/>
        </w:rPr>
        <w:t>is available for purchase from Standards Australia</w:t>
      </w:r>
      <w:r w:rsidR="00AF41C4">
        <w:rPr>
          <w:color w:val="000000"/>
        </w:rPr>
        <w:t xml:space="preserve"> Limited</w:t>
      </w:r>
      <w:r w:rsidR="0027078D">
        <w:rPr>
          <w:color w:val="000000"/>
        </w:rPr>
        <w:t>.</w:t>
      </w:r>
      <w:r>
        <w:rPr>
          <w:color w:val="000000"/>
        </w:rPr>
        <w:t xml:space="preserve"> </w:t>
      </w:r>
    </w:p>
    <w:p w:rsidR="00C8375E" w:rsidRPr="00BE7A29" w:rsidRDefault="00C8375E" w:rsidP="0027078D">
      <w:pPr>
        <w:pStyle w:val="definition"/>
        <w:keepLines/>
        <w:numPr>
          <w:ilvl w:val="0"/>
          <w:numId w:val="5"/>
        </w:numPr>
        <w:spacing w:before="240"/>
        <w:rPr>
          <w:b/>
          <w:i/>
          <w:color w:val="000000"/>
        </w:rPr>
      </w:pPr>
      <w:r>
        <w:rPr>
          <w:color w:val="000000"/>
        </w:rPr>
        <w:t>AS ISO 14064.3</w:t>
      </w:r>
      <w:r w:rsidRPr="00311684">
        <w:rPr>
          <w:color w:val="000000"/>
        </w:rPr>
        <w:t>–2006</w:t>
      </w:r>
      <w:r w:rsidR="0060091C">
        <w:rPr>
          <w:color w:val="000000"/>
        </w:rPr>
        <w:t xml:space="preserve">, </w:t>
      </w:r>
      <w:r w:rsidR="0060091C" w:rsidRPr="0060091C">
        <w:rPr>
          <w:i/>
          <w:iCs/>
          <w:color w:val="000000"/>
        </w:rPr>
        <w:t xml:space="preserve">Greenhouse gases Part </w:t>
      </w:r>
      <w:r w:rsidR="0060091C">
        <w:rPr>
          <w:i/>
          <w:iCs/>
          <w:color w:val="000000"/>
        </w:rPr>
        <w:t>3</w:t>
      </w:r>
      <w:r w:rsidR="0060091C" w:rsidRPr="0060091C">
        <w:rPr>
          <w:i/>
          <w:iCs/>
          <w:color w:val="000000"/>
        </w:rPr>
        <w:t>: Specification with guidance at the project level for quantification and reporting of greenhouse gas reduction and removal enhancements</w:t>
      </w:r>
      <w:r w:rsidR="0060091C" w:rsidRPr="0060091C">
        <w:rPr>
          <w:color w:val="000000"/>
        </w:rPr>
        <w:t>,</w:t>
      </w:r>
      <w:r w:rsidR="0027078D">
        <w:rPr>
          <w:color w:val="000000"/>
        </w:rPr>
        <w:t xml:space="preserve"> published by Standards Australia, November 2006.</w:t>
      </w:r>
      <w:r w:rsidR="0027078D" w:rsidRPr="0027078D">
        <w:rPr>
          <w:color w:val="000000"/>
        </w:rPr>
        <w:t xml:space="preserve"> This standard provides a common approach to verification, validation and certification of greenhouse reductions and removals. The standard </w:t>
      </w:r>
      <w:r w:rsidR="00D50EBF">
        <w:rPr>
          <w:color w:val="000000"/>
        </w:rPr>
        <w:t>is available for purchase</w:t>
      </w:r>
      <w:r w:rsidR="0027078D" w:rsidRPr="0027078D">
        <w:rPr>
          <w:color w:val="000000"/>
        </w:rPr>
        <w:t xml:space="preserve"> from Standards Australia</w:t>
      </w:r>
      <w:r w:rsidR="00AF41C4">
        <w:rPr>
          <w:color w:val="000000"/>
        </w:rPr>
        <w:t xml:space="preserve"> Limited</w:t>
      </w:r>
      <w:r w:rsidR="0027078D" w:rsidRPr="0027078D">
        <w:rPr>
          <w:color w:val="000000"/>
        </w:rPr>
        <w:t>.</w:t>
      </w:r>
      <w:r w:rsidR="0027078D" w:rsidRPr="0027078D">
        <w:rPr>
          <w:strike/>
          <w:color w:val="000000"/>
        </w:rPr>
        <w:t xml:space="preserve"> </w:t>
      </w:r>
    </w:p>
    <w:p w:rsidR="00F43363" w:rsidRDefault="00571091" w:rsidP="000E4041">
      <w:pPr>
        <w:pStyle w:val="definition"/>
        <w:keepLines/>
        <w:numPr>
          <w:ilvl w:val="0"/>
          <w:numId w:val="5"/>
        </w:numPr>
        <w:spacing w:before="240"/>
        <w:rPr>
          <w:color w:val="000000"/>
        </w:rPr>
      </w:pPr>
      <w:r w:rsidRPr="0020471B">
        <w:rPr>
          <w:color w:val="000000"/>
        </w:rPr>
        <w:t xml:space="preserve">AS/NZS 3598:2000, </w:t>
      </w:r>
      <w:r w:rsidRPr="0020471B">
        <w:rPr>
          <w:i/>
          <w:color w:val="000000"/>
        </w:rPr>
        <w:t>Energy audits</w:t>
      </w:r>
      <w:r>
        <w:rPr>
          <w:color w:val="000000"/>
        </w:rPr>
        <w:t xml:space="preserve">, published by Standards Australia </w:t>
      </w:r>
      <w:r w:rsidR="00AF41C4">
        <w:rPr>
          <w:color w:val="000000"/>
        </w:rPr>
        <w:t xml:space="preserve">International Ltd </w:t>
      </w:r>
      <w:r>
        <w:rPr>
          <w:color w:val="000000"/>
        </w:rPr>
        <w:t xml:space="preserve">and Standards New </w:t>
      </w:r>
      <w:r w:rsidR="00B61F3D">
        <w:rPr>
          <w:color w:val="000000"/>
        </w:rPr>
        <w:t xml:space="preserve">Zealand, </w:t>
      </w:r>
      <w:r>
        <w:rPr>
          <w:color w:val="000000"/>
        </w:rPr>
        <w:t>November 2000.</w:t>
      </w:r>
      <w:r w:rsidR="00F016D8">
        <w:rPr>
          <w:color w:val="000000"/>
        </w:rPr>
        <w:t xml:space="preserve"> </w:t>
      </w:r>
      <w:r>
        <w:rPr>
          <w:color w:val="000000"/>
        </w:rPr>
        <w:t>Th</w:t>
      </w:r>
      <w:r w:rsidR="00F016D8">
        <w:rPr>
          <w:color w:val="000000"/>
        </w:rPr>
        <w:t>e</w:t>
      </w:r>
      <w:r>
        <w:rPr>
          <w:color w:val="000000"/>
        </w:rPr>
        <w:t xml:space="preserve"> s</w:t>
      </w:r>
      <w:r w:rsidR="00CA5088" w:rsidRPr="00CA5088">
        <w:rPr>
          <w:color w:val="000000"/>
        </w:rPr>
        <w:t>tandard sets out minimum requirements for comm</w:t>
      </w:r>
      <w:r w:rsidR="00CA5088">
        <w:rPr>
          <w:color w:val="000000"/>
        </w:rPr>
        <w:t xml:space="preserve">issioning and conducting energy </w:t>
      </w:r>
      <w:r w:rsidR="00CA5088" w:rsidRPr="00CA5088">
        <w:rPr>
          <w:color w:val="000000"/>
        </w:rPr>
        <w:t>audits which identify opportunities for cost</w:t>
      </w:r>
      <w:r w:rsidR="00D50EBF">
        <w:rPr>
          <w:color w:val="000000"/>
        </w:rPr>
        <w:t>-</w:t>
      </w:r>
      <w:r w:rsidR="00CA5088" w:rsidRPr="00CA5088">
        <w:rPr>
          <w:color w:val="000000"/>
        </w:rPr>
        <w:t>effective invest</w:t>
      </w:r>
      <w:r w:rsidR="00CA5088">
        <w:rPr>
          <w:color w:val="000000"/>
        </w:rPr>
        <w:t xml:space="preserve">ments to improve efficiency and </w:t>
      </w:r>
      <w:r w:rsidR="00CA5088" w:rsidRPr="00CA5088">
        <w:rPr>
          <w:color w:val="000000"/>
        </w:rPr>
        <w:t>effectiveness in the use of energy.</w:t>
      </w:r>
      <w:r>
        <w:rPr>
          <w:color w:val="000000"/>
        </w:rPr>
        <w:t xml:space="preserve"> </w:t>
      </w:r>
      <w:r w:rsidR="00D50EBF" w:rsidRPr="0027078D">
        <w:rPr>
          <w:color w:val="000000"/>
        </w:rPr>
        <w:t xml:space="preserve">The standard </w:t>
      </w:r>
      <w:r w:rsidR="00D50EBF">
        <w:rPr>
          <w:color w:val="000000"/>
        </w:rPr>
        <w:t>is available for purchase</w:t>
      </w:r>
      <w:r w:rsidR="00D50EBF" w:rsidRPr="0027078D">
        <w:rPr>
          <w:color w:val="000000"/>
        </w:rPr>
        <w:t xml:space="preserve"> from Standards Australia</w:t>
      </w:r>
      <w:r w:rsidR="00AF41C4">
        <w:rPr>
          <w:color w:val="000000"/>
        </w:rPr>
        <w:t xml:space="preserve"> Limited</w:t>
      </w:r>
      <w:r w:rsidR="00280DCB">
        <w:rPr>
          <w:color w:val="000000"/>
        </w:rPr>
        <w:t>.</w:t>
      </w:r>
    </w:p>
    <w:p w:rsidR="00C711C7" w:rsidRDefault="00571091" w:rsidP="000E4041">
      <w:pPr>
        <w:pStyle w:val="definition"/>
        <w:numPr>
          <w:ilvl w:val="0"/>
          <w:numId w:val="5"/>
        </w:numPr>
        <w:spacing w:before="240"/>
        <w:jc w:val="left"/>
        <w:rPr>
          <w:color w:val="000000"/>
        </w:rPr>
      </w:pPr>
      <w:r w:rsidRPr="00B30C14">
        <w:rPr>
          <w:color w:val="000000"/>
        </w:rPr>
        <w:t xml:space="preserve">AS/NZS ISO 19011:2003, </w:t>
      </w:r>
      <w:r w:rsidRPr="00B30C14">
        <w:rPr>
          <w:i/>
          <w:color w:val="000000"/>
        </w:rPr>
        <w:t>Guidelines for quality and/or environmental management systems auditing</w:t>
      </w:r>
      <w:r w:rsidRPr="00B30C14">
        <w:rPr>
          <w:color w:val="000000"/>
        </w:rPr>
        <w:t xml:space="preserve">, published by Standards Australia International Ltd and Standards New Zealand, March 2003. The standard </w:t>
      </w:r>
      <w:r w:rsidR="00114A74">
        <w:rPr>
          <w:color w:val="000000"/>
        </w:rPr>
        <w:t>provides guidance on the principles of auditing, managing audit programmes, conducting quality management systems audits and environmental management system audits</w:t>
      </w:r>
      <w:r w:rsidR="003355F9">
        <w:rPr>
          <w:color w:val="000000"/>
        </w:rPr>
        <w:t>. It also provides</w:t>
      </w:r>
      <w:r w:rsidR="00114A74">
        <w:rPr>
          <w:color w:val="000000"/>
        </w:rPr>
        <w:t xml:space="preserve"> guidance on the competence of quality and environmental management system auditors. </w:t>
      </w:r>
      <w:r w:rsidR="00C711C7" w:rsidRPr="0027078D">
        <w:rPr>
          <w:color w:val="000000"/>
        </w:rPr>
        <w:t xml:space="preserve">The standard </w:t>
      </w:r>
      <w:r w:rsidR="00C711C7">
        <w:rPr>
          <w:color w:val="000000"/>
        </w:rPr>
        <w:t>is available for purchase</w:t>
      </w:r>
      <w:r w:rsidR="00C711C7" w:rsidRPr="0027078D">
        <w:rPr>
          <w:color w:val="000000"/>
        </w:rPr>
        <w:t xml:space="preserve"> from Standards Australia</w:t>
      </w:r>
      <w:r w:rsidR="00847A27">
        <w:rPr>
          <w:color w:val="000000"/>
        </w:rPr>
        <w:t xml:space="preserve"> Limited</w:t>
      </w:r>
      <w:r w:rsidR="00C711C7">
        <w:rPr>
          <w:color w:val="000000"/>
        </w:rPr>
        <w:t>.</w:t>
      </w:r>
    </w:p>
    <w:p w:rsidR="00F43363" w:rsidRPr="00591AC4" w:rsidRDefault="00114A74" w:rsidP="000E4041">
      <w:pPr>
        <w:pStyle w:val="definition"/>
        <w:numPr>
          <w:ilvl w:val="0"/>
          <w:numId w:val="5"/>
        </w:numPr>
        <w:spacing w:before="240"/>
        <w:jc w:val="left"/>
      </w:pPr>
      <w:r w:rsidRPr="00C711C7">
        <w:rPr>
          <w:color w:val="000000"/>
        </w:rPr>
        <w:t>Standard on Related Ser</w:t>
      </w:r>
      <w:r w:rsidRPr="008B6982">
        <w:rPr>
          <w:color w:val="000000"/>
        </w:rPr>
        <w:t>vices ASRS 4400</w:t>
      </w:r>
      <w:r w:rsidR="008B6982">
        <w:rPr>
          <w:color w:val="000000"/>
        </w:rPr>
        <w:t>,</w:t>
      </w:r>
      <w:r w:rsidRPr="00C711C7">
        <w:rPr>
          <w:i/>
          <w:color w:val="000000"/>
        </w:rPr>
        <w:t xml:space="preserve"> Agreed-Upon Procedures Engagements to Report Factual Findings</w:t>
      </w:r>
      <w:r w:rsidRPr="00C711C7">
        <w:rPr>
          <w:color w:val="000000"/>
        </w:rPr>
        <w:t>, issued by the Auditing and Assurance Standards Board, June 2011. At the time the Instrument was made, th</w:t>
      </w:r>
      <w:r w:rsidR="00C978E0" w:rsidRPr="00C711C7">
        <w:rPr>
          <w:color w:val="000000"/>
        </w:rPr>
        <w:t>e standard</w:t>
      </w:r>
      <w:r w:rsidRPr="00C711C7">
        <w:rPr>
          <w:color w:val="000000"/>
        </w:rPr>
        <w:t xml:space="preserve"> was available free of charge </w:t>
      </w:r>
      <w:r w:rsidRPr="00591AC4">
        <w:t>from</w:t>
      </w:r>
      <w:r w:rsidR="00591AC4">
        <w:t xml:space="preserve"> </w:t>
      </w:r>
      <w:hyperlink r:id="rId12" w:history="1">
        <w:r w:rsidR="00591AC4" w:rsidRPr="00057FD6">
          <w:rPr>
            <w:rStyle w:val="Hyperlink"/>
          </w:rPr>
          <w:t>http://www.auasb.gov.au/admin/file/content102/c3/ASRS_4400_08-06-11.pdf</w:t>
        </w:r>
      </w:hyperlink>
      <w:r w:rsidR="00591AC4">
        <w:t>.</w:t>
      </w:r>
      <w:r w:rsidR="00F016D8" w:rsidRPr="00591AC4">
        <w:t xml:space="preserve"> </w:t>
      </w:r>
    </w:p>
    <w:p w:rsidR="00D00635" w:rsidRDefault="00B05653" w:rsidP="00D00635">
      <w:pPr>
        <w:pStyle w:val="definition"/>
        <w:numPr>
          <w:ilvl w:val="0"/>
          <w:numId w:val="5"/>
        </w:numPr>
        <w:spacing w:before="240"/>
        <w:rPr>
          <w:color w:val="000000"/>
        </w:rPr>
      </w:pPr>
      <w:r w:rsidRPr="00D00635">
        <w:rPr>
          <w:i/>
          <w:color w:val="000000"/>
        </w:rPr>
        <w:t>Greenhouse Challenge Plus</w:t>
      </w:r>
      <w:r w:rsidRPr="00D00635">
        <w:rPr>
          <w:color w:val="000000"/>
        </w:rPr>
        <w:t xml:space="preserve"> </w:t>
      </w:r>
      <w:r w:rsidRPr="00D00635">
        <w:rPr>
          <w:i/>
          <w:color w:val="000000"/>
        </w:rPr>
        <w:t>Independent Verification Guidelines</w:t>
      </w:r>
      <w:r w:rsidRPr="00D00635">
        <w:rPr>
          <w:color w:val="000000"/>
        </w:rPr>
        <w:t>, published by the Australian Greenhouse Office</w:t>
      </w:r>
      <w:r w:rsidR="00114A74" w:rsidRPr="00D00635">
        <w:rPr>
          <w:color w:val="000000"/>
        </w:rPr>
        <w:t>, December 2005. The guidelines are available</w:t>
      </w:r>
      <w:r w:rsidR="00114A74" w:rsidRPr="00D00635">
        <w:rPr>
          <w:i/>
          <w:color w:val="000000"/>
        </w:rPr>
        <w:t xml:space="preserve"> </w:t>
      </w:r>
      <w:r w:rsidR="00114A74" w:rsidRPr="00D00635">
        <w:rPr>
          <w:color w:val="000000"/>
        </w:rPr>
        <w:t>from</w:t>
      </w:r>
      <w:r w:rsidR="00F016D8" w:rsidRPr="00D00635">
        <w:rPr>
          <w:color w:val="000000"/>
        </w:rPr>
        <w:t xml:space="preserve"> </w:t>
      </w:r>
      <w:hyperlink r:id="rId13" w:history="1">
        <w:r w:rsidR="00D00635" w:rsidRPr="00D00635">
          <w:rPr>
            <w:rStyle w:val="Hyperlink"/>
            <w:rFonts w:ascii="Calibri" w:hAnsi="Calibri" w:cs="Calibri"/>
            <w:sz w:val="22"/>
            <w:szCs w:val="22"/>
          </w:rPr>
          <w:t>http://pandora.nla.gov.au/pan/38445/20070210-0000/www.greenhouse.gov.au/ges/publications/iv-guidelines.html</w:t>
        </w:r>
      </w:hyperlink>
      <w:r w:rsidR="00D00635" w:rsidRPr="00D00635">
        <w:rPr>
          <w:rFonts w:ascii="Calibri" w:hAnsi="Calibri" w:cs="Calibri"/>
          <w:color w:val="1F497D"/>
          <w:sz w:val="22"/>
          <w:szCs w:val="22"/>
        </w:rPr>
        <w:t>.</w:t>
      </w:r>
      <w:r w:rsidR="00D00635">
        <w:rPr>
          <w:rFonts w:ascii="Calibri" w:hAnsi="Calibri" w:cs="Calibri"/>
          <w:color w:val="1F497D"/>
          <w:sz w:val="22"/>
          <w:szCs w:val="22"/>
        </w:rPr>
        <w:t xml:space="preserve"> </w:t>
      </w:r>
      <w:r w:rsidR="00D00635" w:rsidRPr="00D00635">
        <w:rPr>
          <w:color w:val="000000"/>
        </w:rPr>
        <w:t>The guidelines provide the framework for Independent Verification in relation to greenhouse gas emissions and other elements of the Greenhouse Challenge Plus programme.</w:t>
      </w:r>
      <w:r w:rsidR="00114A74" w:rsidRPr="00D00635">
        <w:rPr>
          <w:color w:val="000000"/>
        </w:rPr>
        <w:t xml:space="preserve"> </w:t>
      </w:r>
    </w:p>
    <w:p w:rsidR="00F43363" w:rsidRPr="00D00635" w:rsidRDefault="00114A74" w:rsidP="00D00635">
      <w:pPr>
        <w:pStyle w:val="definition"/>
        <w:numPr>
          <w:ilvl w:val="0"/>
          <w:numId w:val="5"/>
        </w:numPr>
        <w:spacing w:before="240"/>
        <w:rPr>
          <w:color w:val="000000"/>
        </w:rPr>
      </w:pPr>
      <w:r w:rsidRPr="00D00635">
        <w:rPr>
          <w:i/>
          <w:color w:val="000000"/>
        </w:rPr>
        <w:t>International Handbook of Universities</w:t>
      </w:r>
      <w:r w:rsidRPr="00D00635">
        <w:rPr>
          <w:color w:val="000000"/>
        </w:rPr>
        <w:t>,</w:t>
      </w:r>
      <w:r w:rsidRPr="00D00635">
        <w:rPr>
          <w:i/>
          <w:color w:val="000000"/>
        </w:rPr>
        <w:t xml:space="preserve"> </w:t>
      </w:r>
      <w:r w:rsidR="005338FA" w:rsidRPr="00D00635">
        <w:rPr>
          <w:color w:val="000000"/>
        </w:rPr>
        <w:t>twenty-third edition</w:t>
      </w:r>
      <w:r w:rsidR="009C5912" w:rsidRPr="00D00635">
        <w:rPr>
          <w:color w:val="000000"/>
        </w:rPr>
        <w:t xml:space="preserve">, </w:t>
      </w:r>
      <w:r w:rsidRPr="00D00635">
        <w:rPr>
          <w:color w:val="000000"/>
        </w:rPr>
        <w:t>published by Palgrave Macmillan</w:t>
      </w:r>
      <w:r w:rsidR="009C5912" w:rsidRPr="00D00635">
        <w:rPr>
          <w:color w:val="000000"/>
        </w:rPr>
        <w:t xml:space="preserve"> on behalf of the International Association of Universities</w:t>
      </w:r>
      <w:r w:rsidRPr="00D00635">
        <w:rPr>
          <w:color w:val="000000"/>
        </w:rPr>
        <w:t>, September 2011. The handbook</w:t>
      </w:r>
      <w:r w:rsidR="00624790" w:rsidRPr="00D00635">
        <w:rPr>
          <w:color w:val="000000"/>
        </w:rPr>
        <w:t xml:space="preserve"> provides detailed information on higher education institutions across the world</w:t>
      </w:r>
      <w:r w:rsidRPr="00D00635">
        <w:rPr>
          <w:color w:val="000000"/>
        </w:rPr>
        <w:t xml:space="preserve"> </w:t>
      </w:r>
      <w:r w:rsidR="00624790" w:rsidRPr="00D00635">
        <w:rPr>
          <w:color w:val="000000"/>
        </w:rPr>
        <w:t xml:space="preserve">and </w:t>
      </w:r>
      <w:r w:rsidRPr="00D00635">
        <w:rPr>
          <w:color w:val="000000"/>
        </w:rPr>
        <w:t>can be purchased from</w:t>
      </w:r>
      <w:r w:rsidR="009C5912" w:rsidRPr="00D00635">
        <w:rPr>
          <w:color w:val="000000"/>
        </w:rPr>
        <w:t xml:space="preserve"> Palgrave MacMillan at</w:t>
      </w:r>
      <w:r w:rsidRPr="00D00635">
        <w:rPr>
          <w:color w:val="000000"/>
        </w:rPr>
        <w:t xml:space="preserve"> </w:t>
      </w:r>
      <w:hyperlink r:id="rId14" w:history="1">
        <w:r>
          <w:rPr>
            <w:rStyle w:val="Hyperlink"/>
          </w:rPr>
          <w:t>http://www.palgrave.com/home/index.asp</w:t>
        </w:r>
      </w:hyperlink>
      <w:r w:rsidR="00F016D8" w:rsidRPr="00D00635">
        <w:rPr>
          <w:color w:val="000000"/>
        </w:rPr>
        <w:t xml:space="preserve">. </w:t>
      </w:r>
    </w:p>
    <w:p w:rsidR="00FA5CEA" w:rsidRPr="00FA5CEA" w:rsidRDefault="00F64CEC" w:rsidP="008B6982">
      <w:pPr>
        <w:pStyle w:val="definition"/>
        <w:keepNext/>
        <w:keepLines/>
        <w:numPr>
          <w:ilvl w:val="0"/>
          <w:numId w:val="5"/>
        </w:numPr>
        <w:spacing w:before="240"/>
        <w:ind w:left="714" w:hanging="357"/>
        <w:jc w:val="left"/>
      </w:pPr>
      <w:r w:rsidRPr="00F64CEC">
        <w:rPr>
          <w:color w:val="000000"/>
        </w:rPr>
        <w:t xml:space="preserve">International Standard on Assurance Engagements 3000, </w:t>
      </w:r>
      <w:r w:rsidRPr="00F64CEC">
        <w:rPr>
          <w:i/>
          <w:color w:val="000000"/>
        </w:rPr>
        <w:t>Assurance Engagements Other than Audits or Reviews of Historical Financial Information</w:t>
      </w:r>
      <w:r w:rsidR="00862AB8" w:rsidRPr="00862AB8">
        <w:rPr>
          <w:color w:val="000000"/>
        </w:rPr>
        <w:t>, published by the</w:t>
      </w:r>
      <w:r w:rsidR="00862AB8">
        <w:rPr>
          <w:i/>
          <w:color w:val="000000"/>
        </w:rPr>
        <w:t xml:space="preserve"> </w:t>
      </w:r>
      <w:r w:rsidR="00862AB8" w:rsidRPr="00862AB8">
        <w:rPr>
          <w:color w:val="000000"/>
        </w:rPr>
        <w:t xml:space="preserve">International Auditing and Assurance Standards Board, revised </w:t>
      </w:r>
      <w:r w:rsidR="008B6982">
        <w:rPr>
          <w:color w:val="000000"/>
        </w:rPr>
        <w:t xml:space="preserve">March </w:t>
      </w:r>
      <w:r w:rsidR="00862AB8" w:rsidRPr="00862AB8">
        <w:rPr>
          <w:color w:val="000000"/>
        </w:rPr>
        <w:t>2008</w:t>
      </w:r>
      <w:r w:rsidRPr="00862AB8">
        <w:rPr>
          <w:color w:val="000000"/>
        </w:rPr>
        <w:t>.</w:t>
      </w:r>
      <w:r w:rsidRPr="00F64CEC">
        <w:rPr>
          <w:i/>
          <w:color w:val="000000"/>
        </w:rPr>
        <w:t xml:space="preserve"> </w:t>
      </w:r>
      <w:r w:rsidRPr="00F64CEC">
        <w:rPr>
          <w:color w:val="000000"/>
        </w:rPr>
        <w:t>The purpose of the standard is to establish principles and procedures for, and to provide guidance to, accountants for the performance of assurance engagements other than audits or reviews of historical financial information</w:t>
      </w:r>
      <w:r w:rsidR="00BC662A" w:rsidRPr="00B30C14">
        <w:rPr>
          <w:color w:val="000000"/>
        </w:rPr>
        <w:t xml:space="preserve">. </w:t>
      </w:r>
      <w:r w:rsidR="00DC3708" w:rsidRPr="00B30C14">
        <w:rPr>
          <w:color w:val="000000"/>
        </w:rPr>
        <w:t xml:space="preserve">At the time the </w:t>
      </w:r>
      <w:r w:rsidR="00F07B1B">
        <w:rPr>
          <w:color w:val="000000"/>
        </w:rPr>
        <w:t>I</w:t>
      </w:r>
      <w:r w:rsidR="00DC3708" w:rsidRPr="00B30C14">
        <w:rPr>
          <w:color w:val="000000"/>
        </w:rPr>
        <w:t>nstrument was made, t</w:t>
      </w:r>
      <w:r w:rsidR="00BC662A" w:rsidRPr="00B30C14">
        <w:rPr>
          <w:color w:val="000000"/>
        </w:rPr>
        <w:t xml:space="preserve">he standard </w:t>
      </w:r>
      <w:r w:rsidR="00F016D8">
        <w:rPr>
          <w:color w:val="000000"/>
        </w:rPr>
        <w:t>wa</w:t>
      </w:r>
      <w:r w:rsidR="00BC662A" w:rsidRPr="00B30C14">
        <w:rPr>
          <w:color w:val="000000"/>
        </w:rPr>
        <w:t xml:space="preserve">s available free of charge from </w:t>
      </w:r>
      <w:hyperlink r:id="rId15" w:history="1">
        <w:r w:rsidRPr="00F64CEC">
          <w:rPr>
            <w:rStyle w:val="Hyperlink"/>
          </w:rPr>
          <w:t>http://www.ifac.org/sites/default/files/downloads/2008_Auditing_Handbook_A270_ISAE_3000.pdf</w:t>
        </w:r>
      </w:hyperlink>
      <w:r w:rsidR="00F016D8">
        <w:t>.</w:t>
      </w:r>
    </w:p>
    <w:p w:rsidR="000D0244" w:rsidRPr="000D0244" w:rsidRDefault="00C8375E" w:rsidP="00806CB3">
      <w:pPr>
        <w:pStyle w:val="definition"/>
        <w:numPr>
          <w:ilvl w:val="0"/>
          <w:numId w:val="5"/>
        </w:numPr>
        <w:spacing w:before="240"/>
        <w:rPr>
          <w:color w:val="000000"/>
        </w:rPr>
      </w:pPr>
      <w:r w:rsidRPr="00806CB3">
        <w:rPr>
          <w:color w:val="000000"/>
        </w:rPr>
        <w:t xml:space="preserve">International Standard on Assurance Engagements 3410, </w:t>
      </w:r>
      <w:r w:rsidRPr="00806CB3">
        <w:rPr>
          <w:i/>
          <w:color w:val="000000"/>
        </w:rPr>
        <w:t>Assurance Engagements on Greenhouse Gas Statements</w:t>
      </w:r>
      <w:r w:rsidRPr="00806CB3">
        <w:rPr>
          <w:color w:val="000000"/>
        </w:rPr>
        <w:t xml:space="preserve">, </w:t>
      </w:r>
      <w:r w:rsidR="00806CB3" w:rsidRPr="00806CB3">
        <w:rPr>
          <w:color w:val="000000"/>
        </w:rPr>
        <w:t>published</w:t>
      </w:r>
      <w:r w:rsidR="000D0244">
        <w:rPr>
          <w:color w:val="000000"/>
        </w:rPr>
        <w:t xml:space="preserve"> </w:t>
      </w:r>
      <w:r w:rsidR="00806CB3" w:rsidRPr="00862AB8">
        <w:rPr>
          <w:color w:val="000000"/>
        </w:rPr>
        <w:t xml:space="preserve"> by the</w:t>
      </w:r>
      <w:r w:rsidR="00806CB3">
        <w:rPr>
          <w:i/>
          <w:color w:val="000000"/>
        </w:rPr>
        <w:t xml:space="preserve"> </w:t>
      </w:r>
      <w:r w:rsidR="00806CB3" w:rsidRPr="00862AB8">
        <w:rPr>
          <w:color w:val="000000"/>
        </w:rPr>
        <w:t xml:space="preserve">International Auditing and Assurance Standards </w:t>
      </w:r>
      <w:r w:rsidR="00806CB3" w:rsidRPr="00AD23B9">
        <w:rPr>
          <w:color w:val="000000"/>
        </w:rPr>
        <w:t>Board,</w:t>
      </w:r>
      <w:r w:rsidR="000D0244" w:rsidRPr="00AD23B9">
        <w:rPr>
          <w:color w:val="000000"/>
        </w:rPr>
        <w:t xml:space="preserve"> </w:t>
      </w:r>
      <w:r w:rsidR="00DA791E" w:rsidRPr="00AD23B9">
        <w:rPr>
          <w:color w:val="000000"/>
        </w:rPr>
        <w:t>March 2012</w:t>
      </w:r>
      <w:r w:rsidR="000D0244" w:rsidRPr="00AD23B9">
        <w:rPr>
          <w:color w:val="000000"/>
        </w:rPr>
        <w:t xml:space="preserve">. </w:t>
      </w:r>
      <w:r w:rsidR="00DA791E">
        <w:rPr>
          <w:color w:val="000000"/>
        </w:rPr>
        <w:t xml:space="preserve"> The standard provides guidance for assurance </w:t>
      </w:r>
      <w:r w:rsidR="00C852EE">
        <w:rPr>
          <w:color w:val="000000"/>
        </w:rPr>
        <w:t>engagements to report on an entity’s Greenhouse Gas statement.  The standard does not deal with, or provide specific guidance for, assurance engagements to report emissions other than Greenhouse Gas emissions</w:t>
      </w:r>
      <w:r w:rsidR="00B258B6">
        <w:rPr>
          <w:color w:val="000000"/>
        </w:rPr>
        <w:t xml:space="preserve">.  The standard is available at </w:t>
      </w:r>
      <w:hyperlink r:id="rId16" w:history="1">
        <w:r w:rsidR="00AD23B9" w:rsidRPr="004C12E4">
          <w:rPr>
            <w:rStyle w:val="Hyperlink"/>
          </w:rPr>
          <w:t>http://www.ifac.org/sites/default/files/publications/files/B010%202012%20IAASB%20Handbook%20ISAE%203410%20Final%20(revised%20IFAC%20logo%20placement).pdf</w:t>
        </w:r>
      </w:hyperlink>
      <w:r w:rsidR="00AD23B9">
        <w:rPr>
          <w:color w:val="000000"/>
        </w:rPr>
        <w:t xml:space="preserve"> or at short URL </w:t>
      </w:r>
      <w:hyperlink r:id="rId17" w:history="1">
        <w:r w:rsidR="00AD23B9" w:rsidRPr="004C12E4">
          <w:rPr>
            <w:rStyle w:val="Hyperlink"/>
          </w:rPr>
          <w:t>http://bit.ly/RQYytV</w:t>
        </w:r>
      </w:hyperlink>
      <w:r w:rsidR="00B258B6">
        <w:rPr>
          <w:color w:val="000000"/>
        </w:rPr>
        <w:t>.</w:t>
      </w:r>
    </w:p>
    <w:p w:rsidR="008B6982" w:rsidRDefault="008B6982" w:rsidP="008B6982">
      <w:pPr>
        <w:pStyle w:val="definition"/>
        <w:numPr>
          <w:ilvl w:val="0"/>
          <w:numId w:val="5"/>
        </w:numPr>
        <w:spacing w:before="240"/>
      </w:pPr>
      <w:r w:rsidRPr="00F64CEC">
        <w:rPr>
          <w:rFonts w:ascii="Helvetica Neue" w:hAnsi="Helvetica Neue"/>
          <w:bCs/>
        </w:rPr>
        <w:t xml:space="preserve">ISO 14064-2:2006, </w:t>
      </w:r>
      <w:r w:rsidRPr="00F64CEC">
        <w:rPr>
          <w:rFonts w:ascii="Helvetica Neue" w:hAnsi="Helvetica Neue"/>
          <w:bCs/>
          <w:i/>
        </w:rPr>
        <w:t>Greenhouse gases -- Part 2: Specification with guidance at the project level for quantificatio</w:t>
      </w:r>
      <w:r w:rsidRPr="008B6982">
        <w:rPr>
          <w:rFonts w:ascii="Helvetica Neue" w:hAnsi="Helvetica Neue"/>
          <w:bCs/>
          <w:i/>
        </w:rPr>
        <w:t>n, monitoring and reporting of greenhouse gas emission reductions or removal enhancements</w:t>
      </w:r>
      <w:r>
        <w:rPr>
          <w:rFonts w:ascii="Helvetica Neue" w:hAnsi="Helvetica Neue"/>
          <w:bCs/>
        </w:rPr>
        <w:t>, published by the International O</w:t>
      </w:r>
      <w:r w:rsidR="00005983">
        <w:rPr>
          <w:rFonts w:ascii="Helvetica Neue" w:hAnsi="Helvetica Neue"/>
          <w:bCs/>
        </w:rPr>
        <w:t>rganisation for Standardisation, March 2006</w:t>
      </w:r>
      <w:r w:rsidRPr="00F64CEC">
        <w:rPr>
          <w:rFonts w:ascii="Helvetica Neue" w:hAnsi="Helvetica Neue"/>
          <w:bCs/>
        </w:rPr>
        <w:t xml:space="preserve">. </w:t>
      </w:r>
      <w:r w:rsidRPr="00F64CEC">
        <w:rPr>
          <w:rFonts w:ascii="Helvetica Neue" w:hAnsi="Helvetica Neue"/>
        </w:rPr>
        <w:t>The standard specifies principles and requirements and provides guidance at the project level for quantification, monitoring and reporting of activities i</w:t>
      </w:r>
      <w:r w:rsidR="00AC3787">
        <w:rPr>
          <w:rFonts w:ascii="Helvetica Neue" w:hAnsi="Helvetica Neue"/>
        </w:rPr>
        <w:t>ntended to cause greenhouse gas</w:t>
      </w:r>
      <w:r w:rsidRPr="00F64CEC">
        <w:rPr>
          <w:rFonts w:ascii="Helvetica Neue" w:hAnsi="Helvetica Neue"/>
        </w:rPr>
        <w:t xml:space="preserve"> emission reductions or removal enhancements. The standard </w:t>
      </w:r>
      <w:r w:rsidR="00005983">
        <w:rPr>
          <w:rFonts w:ascii="Helvetica Neue" w:hAnsi="Helvetica Neue"/>
        </w:rPr>
        <w:t>is available for purchase</w:t>
      </w:r>
      <w:r w:rsidRPr="00F64CEC">
        <w:rPr>
          <w:rFonts w:ascii="Helvetica Neue" w:hAnsi="Helvetica Neue"/>
        </w:rPr>
        <w:t xml:space="preserve"> from </w:t>
      </w:r>
      <w:hyperlink r:id="rId18" w:history="1">
        <w:r w:rsidR="00A777C7" w:rsidRPr="00057FD6">
          <w:rPr>
            <w:rStyle w:val="Hyperlink"/>
            <w:rFonts w:ascii="Helvetica Neue" w:hAnsi="Helvetica Neue"/>
          </w:rPr>
          <w:t>http://www.iso.org/iso/home.htm</w:t>
        </w:r>
      </w:hyperlink>
      <w:r w:rsidR="00A777C7">
        <w:rPr>
          <w:rFonts w:ascii="Helvetica Neue" w:hAnsi="Helvetica Neue"/>
        </w:rPr>
        <w:t>.</w:t>
      </w:r>
    </w:p>
    <w:p w:rsidR="008D59E0" w:rsidRDefault="008B6982" w:rsidP="008D59E0">
      <w:pPr>
        <w:pStyle w:val="definition"/>
        <w:numPr>
          <w:ilvl w:val="0"/>
          <w:numId w:val="5"/>
        </w:numPr>
        <w:spacing w:before="240"/>
      </w:pPr>
      <w:r w:rsidRPr="008D59E0">
        <w:rPr>
          <w:bCs/>
        </w:rPr>
        <w:t xml:space="preserve">ISO 14064-3:2006 </w:t>
      </w:r>
      <w:r w:rsidRPr="008D59E0">
        <w:rPr>
          <w:bCs/>
          <w:i/>
        </w:rPr>
        <w:t>Greenhouse gases -- Part 3: Specification with guidance for the validation and verification of greenhouse gas assertions</w:t>
      </w:r>
      <w:r w:rsidR="005B7F60" w:rsidRPr="008D59E0">
        <w:rPr>
          <w:rFonts w:ascii="Helvetica Neue" w:hAnsi="Helvetica Neue"/>
          <w:bCs/>
        </w:rPr>
        <w:t>, published by the International Organisation for Standardisation, March 2006</w:t>
      </w:r>
      <w:r w:rsidRPr="008D59E0">
        <w:rPr>
          <w:bCs/>
        </w:rPr>
        <w:t xml:space="preserve">. The document </w:t>
      </w:r>
      <w:r w:rsidRPr="008D59E0">
        <w:rPr>
          <w:rFonts w:ascii="Helvetica Neue" w:hAnsi="Helvetica Neue"/>
        </w:rPr>
        <w:t xml:space="preserve">specifies principles and requirements and provides guidance for those conducting or managing the validation and/or verification of greenhouse gas assertions. </w:t>
      </w:r>
      <w:r w:rsidR="008D59E0" w:rsidRPr="00F64CEC">
        <w:rPr>
          <w:rFonts w:ascii="Helvetica Neue" w:hAnsi="Helvetica Neue"/>
        </w:rPr>
        <w:t xml:space="preserve">The standard </w:t>
      </w:r>
      <w:r w:rsidR="008D59E0">
        <w:rPr>
          <w:rFonts w:ascii="Helvetica Neue" w:hAnsi="Helvetica Neue"/>
        </w:rPr>
        <w:t>is available for purchase</w:t>
      </w:r>
      <w:r w:rsidR="008D59E0" w:rsidRPr="00F64CEC">
        <w:rPr>
          <w:rFonts w:ascii="Helvetica Neue" w:hAnsi="Helvetica Neue"/>
        </w:rPr>
        <w:t xml:space="preserve"> from </w:t>
      </w:r>
      <w:hyperlink r:id="rId19" w:history="1">
        <w:r w:rsidR="008D59E0" w:rsidRPr="00057FD6">
          <w:rPr>
            <w:rStyle w:val="Hyperlink"/>
            <w:rFonts w:ascii="Helvetica Neue" w:hAnsi="Helvetica Neue"/>
          </w:rPr>
          <w:t>http://www.iso.org/iso/home.htm</w:t>
        </w:r>
      </w:hyperlink>
      <w:r w:rsidR="008D59E0">
        <w:rPr>
          <w:rFonts w:ascii="Helvetica Neue" w:hAnsi="Helvetica Neue"/>
        </w:rPr>
        <w:t>.</w:t>
      </w:r>
    </w:p>
    <w:p w:rsidR="008B6982" w:rsidRPr="008D59E0" w:rsidRDefault="008B6982" w:rsidP="008D59E0">
      <w:pPr>
        <w:pStyle w:val="definition"/>
        <w:numPr>
          <w:ilvl w:val="0"/>
          <w:numId w:val="5"/>
        </w:numPr>
        <w:spacing w:before="240"/>
      </w:pPr>
      <w:r w:rsidRPr="008D59E0">
        <w:rPr>
          <w:rFonts w:ascii="Helvetica Neue" w:hAnsi="Helvetica Neue"/>
          <w:bCs/>
          <w:color w:val="000000" w:themeColor="text1"/>
        </w:rPr>
        <w:t xml:space="preserve">ISO 19011:2011 </w:t>
      </w:r>
      <w:r w:rsidRPr="008D59E0">
        <w:rPr>
          <w:rFonts w:ascii="Helvetica Neue" w:hAnsi="Helvetica Neue"/>
          <w:bCs/>
          <w:i/>
          <w:color w:val="000000" w:themeColor="text1"/>
        </w:rPr>
        <w:t>Guidelines for auditing management systems</w:t>
      </w:r>
      <w:r w:rsidR="00DD7BEB" w:rsidRPr="008D59E0">
        <w:rPr>
          <w:rFonts w:ascii="Helvetica Neue" w:hAnsi="Helvetica Neue"/>
          <w:bCs/>
          <w:i/>
          <w:color w:val="000000" w:themeColor="text1"/>
        </w:rPr>
        <w:t xml:space="preserve">, </w:t>
      </w:r>
      <w:r w:rsidR="00DD7BEB" w:rsidRPr="008D59E0">
        <w:rPr>
          <w:rFonts w:ascii="Helvetica Neue" w:hAnsi="Helvetica Neue"/>
          <w:bCs/>
        </w:rPr>
        <w:t>published by the International Organisation for Standardisation, November 2011</w:t>
      </w:r>
      <w:r w:rsidRPr="008D59E0">
        <w:rPr>
          <w:rFonts w:ascii="Helvetica Neue" w:hAnsi="Helvetica Neue"/>
          <w:bCs/>
          <w:color w:val="000000" w:themeColor="text1"/>
        </w:rPr>
        <w:t xml:space="preserve">. The document provides guidance on auditing management systems, including the principles of auditing, managing an audit programme and conducting management system audits. It also provides guidance on the evaluation of competence of individuals involved in the audit process, including the person managing the audit programme, auditors and audit teams. </w:t>
      </w:r>
      <w:r w:rsidR="008D59E0" w:rsidRPr="00F64CEC">
        <w:rPr>
          <w:rFonts w:ascii="Helvetica Neue" w:hAnsi="Helvetica Neue"/>
        </w:rPr>
        <w:t xml:space="preserve">The standard </w:t>
      </w:r>
      <w:r w:rsidR="008D59E0">
        <w:rPr>
          <w:rFonts w:ascii="Helvetica Neue" w:hAnsi="Helvetica Neue"/>
        </w:rPr>
        <w:t>is available for purchase</w:t>
      </w:r>
      <w:r w:rsidR="008D59E0" w:rsidRPr="00F64CEC">
        <w:rPr>
          <w:rFonts w:ascii="Helvetica Neue" w:hAnsi="Helvetica Neue"/>
        </w:rPr>
        <w:t xml:space="preserve"> from </w:t>
      </w:r>
      <w:hyperlink r:id="rId20" w:history="1">
        <w:r w:rsidR="008D59E0" w:rsidRPr="00057FD6">
          <w:rPr>
            <w:rStyle w:val="Hyperlink"/>
            <w:rFonts w:ascii="Helvetica Neue" w:hAnsi="Helvetica Neue"/>
          </w:rPr>
          <w:t>http://www.iso.org/iso/home.htm</w:t>
        </w:r>
      </w:hyperlink>
      <w:r w:rsidR="008D59E0">
        <w:rPr>
          <w:rFonts w:ascii="Helvetica Neue" w:hAnsi="Helvetica Neue"/>
        </w:rPr>
        <w:t>.</w:t>
      </w:r>
    </w:p>
    <w:p w:rsidR="008D59E0" w:rsidRDefault="00AF41C4" w:rsidP="008D59E0">
      <w:pPr>
        <w:pStyle w:val="definition"/>
        <w:numPr>
          <w:ilvl w:val="0"/>
          <w:numId w:val="5"/>
        </w:numPr>
        <w:spacing w:before="240"/>
      </w:pPr>
      <w:r w:rsidRPr="00F64CEC">
        <w:rPr>
          <w:rFonts w:ascii="Helvetica Neue" w:hAnsi="Helvetica Neue"/>
          <w:bCs/>
          <w:color w:val="000000" w:themeColor="text1"/>
        </w:rPr>
        <w:t xml:space="preserve">ISO/IEC 17024:2012 </w:t>
      </w:r>
      <w:r w:rsidRPr="00F64CEC">
        <w:rPr>
          <w:rFonts w:ascii="Helvetica Neue" w:hAnsi="Helvetica Neue"/>
          <w:bCs/>
          <w:i/>
          <w:color w:val="000000" w:themeColor="text1"/>
        </w:rPr>
        <w:t>Conformity assessment -- General requirements for bodies operating certification of persons</w:t>
      </w:r>
      <w:r w:rsidRPr="00BE7A29">
        <w:rPr>
          <w:rFonts w:ascii="Helvetica Neue" w:hAnsi="Helvetica Neue"/>
          <w:bCs/>
          <w:color w:val="000000" w:themeColor="text1"/>
        </w:rPr>
        <w:t>, published by Standards Australia International Ltd, June 2004</w:t>
      </w:r>
      <w:r w:rsidRPr="00F64CEC">
        <w:rPr>
          <w:rFonts w:ascii="Helvetica Neue" w:hAnsi="Helvetica Neue"/>
          <w:bCs/>
          <w:color w:val="000000" w:themeColor="text1"/>
        </w:rPr>
        <w:t xml:space="preserve">. </w:t>
      </w:r>
      <w:r w:rsidR="00F60E4B" w:rsidRPr="00F60E4B">
        <w:rPr>
          <w:rFonts w:ascii="Helvetica Neue" w:hAnsi="Helvetica Neue"/>
          <w:bCs/>
          <w:color w:val="000000" w:themeColor="text1"/>
        </w:rPr>
        <w:t>The standard specifies requirements for those bodies operating the certification of persons.</w:t>
      </w:r>
      <w:r w:rsidR="008706B0">
        <w:rPr>
          <w:rFonts w:ascii="Helvetica Neue" w:hAnsi="Helvetica Neue"/>
          <w:bCs/>
          <w:color w:val="000000" w:themeColor="text1"/>
        </w:rPr>
        <w:t xml:space="preserve"> </w:t>
      </w:r>
      <w:r w:rsidR="008D59E0" w:rsidRPr="00F64CEC">
        <w:rPr>
          <w:rFonts w:ascii="Helvetica Neue" w:hAnsi="Helvetica Neue"/>
        </w:rPr>
        <w:t xml:space="preserve">The standard </w:t>
      </w:r>
      <w:r w:rsidR="008D59E0">
        <w:rPr>
          <w:rFonts w:ascii="Helvetica Neue" w:hAnsi="Helvetica Neue"/>
        </w:rPr>
        <w:t>is available for purchase</w:t>
      </w:r>
      <w:r w:rsidR="008D59E0" w:rsidRPr="00F64CEC">
        <w:rPr>
          <w:rFonts w:ascii="Helvetica Neue" w:hAnsi="Helvetica Neue"/>
        </w:rPr>
        <w:t xml:space="preserve"> from </w:t>
      </w:r>
      <w:hyperlink r:id="rId21" w:history="1">
        <w:r w:rsidR="008D59E0" w:rsidRPr="00057FD6">
          <w:rPr>
            <w:rStyle w:val="Hyperlink"/>
            <w:rFonts w:ascii="Helvetica Neue" w:hAnsi="Helvetica Neue"/>
          </w:rPr>
          <w:t>http://www.iso.org/iso/home.htm</w:t>
        </w:r>
      </w:hyperlink>
      <w:r w:rsidR="008D59E0">
        <w:rPr>
          <w:rFonts w:ascii="Helvetica Neue" w:hAnsi="Helvetica Neue"/>
        </w:rPr>
        <w:t>.</w:t>
      </w:r>
    </w:p>
    <w:p w:rsidR="00152A7B" w:rsidRDefault="001D57A8">
      <w:pPr>
        <w:pStyle w:val="Heading6"/>
      </w:pPr>
      <w:bookmarkStart w:id="2" w:name="content"/>
      <w:bookmarkEnd w:id="2"/>
      <w:r>
        <w:t xml:space="preserve">Section </w:t>
      </w:r>
      <w:r w:rsidR="00623A46">
        <w:t>5</w:t>
      </w:r>
      <w:r w:rsidR="005D2CF2">
        <w:t xml:space="preserve"> </w:t>
      </w:r>
      <w:r w:rsidR="00D13740">
        <w:t>Object</w:t>
      </w:r>
    </w:p>
    <w:p w:rsidR="00F43363" w:rsidRDefault="00696CB2">
      <w:pPr>
        <w:jc w:val="both"/>
      </w:pPr>
      <w:r>
        <w:t xml:space="preserve">The object of the Instrument is to set out ways to meet the requirements for knowledge and experience suitable for registration as a greenhouse and energy auditor. </w:t>
      </w:r>
    </w:p>
    <w:p w:rsidR="00F43363" w:rsidRDefault="00C03CDB">
      <w:pPr>
        <w:pStyle w:val="subsection"/>
      </w:pPr>
      <w:r>
        <w:t xml:space="preserve">The Regulations establish three categories of registered greenhouse and energy auditors—Category 1 auditors; Category 2 auditors and Category 3 auditors. There are three types of Category 1 auditors—NGER technical; CFI technical and non-technical. The categories and types of auditor have different requirements as to qualifications, knowledge and experience. </w:t>
      </w:r>
    </w:p>
    <w:p w:rsidR="001D57A8" w:rsidRDefault="001D57A8" w:rsidP="001D57A8">
      <w:pPr>
        <w:pStyle w:val="Heading6"/>
      </w:pPr>
      <w:r>
        <w:t xml:space="preserve">Section </w:t>
      </w:r>
      <w:r w:rsidR="00D316E1">
        <w:t>6</w:t>
      </w:r>
      <w:r w:rsidR="005D2CF2">
        <w:t xml:space="preserve"> </w:t>
      </w:r>
      <w:r>
        <w:t>Degree or equivalent to be conferred by appropriate institution</w:t>
      </w:r>
    </w:p>
    <w:p w:rsidR="00F43363" w:rsidRDefault="00F9294C">
      <w:pPr>
        <w:jc w:val="both"/>
      </w:pPr>
      <w:r>
        <w:t xml:space="preserve">Regulation 6.11 </w:t>
      </w:r>
      <w:r w:rsidR="00623A46">
        <w:t xml:space="preserve">of the Regulations </w:t>
      </w:r>
      <w:r>
        <w:t>requires that an individual applying for registration as a greenhouse and energy auditor must have a bachelor’s, master’s or doctoral degree (or equivalent) conferred by an appropriate university or an equivalent institution of higher learning.</w:t>
      </w:r>
    </w:p>
    <w:p w:rsidR="00F43363" w:rsidRDefault="00C978E0">
      <w:pPr>
        <w:jc w:val="both"/>
      </w:pPr>
      <w:r>
        <w:t xml:space="preserve">This </w:t>
      </w:r>
      <w:r w:rsidR="00F9294C">
        <w:t xml:space="preserve">section </w:t>
      </w:r>
      <w:r w:rsidR="007105F9">
        <w:t>specifies</w:t>
      </w:r>
      <w:r w:rsidR="00F9294C">
        <w:t xml:space="preserve"> </w:t>
      </w:r>
      <w:r w:rsidR="0002581B">
        <w:t xml:space="preserve">that an appropriate qualification will be a </w:t>
      </w:r>
      <w:r w:rsidR="00D20684">
        <w:t xml:space="preserve">relevant </w:t>
      </w:r>
      <w:r w:rsidR="0002581B">
        <w:t>degree (or equivalent) obtained from either</w:t>
      </w:r>
      <w:r w:rsidR="00F9294C">
        <w:t>:</w:t>
      </w:r>
    </w:p>
    <w:p w:rsidR="00F43363" w:rsidRDefault="00C978E0">
      <w:pPr>
        <w:pStyle w:val="Bullet"/>
        <w:jc w:val="both"/>
      </w:pPr>
      <w:r>
        <w:rPr>
          <w:rStyle w:val="Style1Char"/>
        </w:rPr>
        <w:t>i</w:t>
      </w:r>
      <w:r w:rsidR="0059664C" w:rsidRPr="00A7035A">
        <w:rPr>
          <w:rStyle w:val="Style1Char"/>
        </w:rPr>
        <w:t>n the case of Australian qualifications</w:t>
      </w:r>
      <w:r w:rsidR="005D2CF2">
        <w:rPr>
          <w:rStyle w:val="Style1Char"/>
        </w:rPr>
        <w:t>—</w:t>
      </w:r>
      <w:r w:rsidR="0059664C" w:rsidRPr="00A7035A">
        <w:rPr>
          <w:rStyle w:val="Style1Char"/>
        </w:rPr>
        <w:t>t</w:t>
      </w:r>
      <w:r w:rsidR="00F9294C" w:rsidRPr="00A7035A">
        <w:rPr>
          <w:rStyle w:val="Style1Char"/>
        </w:rPr>
        <w:t>able A and B providers (as listed in section</w:t>
      </w:r>
      <w:r w:rsidR="00F9294C">
        <w:t xml:space="preserve"> 16-15 and section 16-20 of the </w:t>
      </w:r>
      <w:r w:rsidR="00F9294C">
        <w:rPr>
          <w:i/>
        </w:rPr>
        <w:t>Higher Educ</w:t>
      </w:r>
      <w:r w:rsidR="0059664C">
        <w:rPr>
          <w:i/>
        </w:rPr>
        <w:t>a</w:t>
      </w:r>
      <w:r w:rsidR="00F9294C">
        <w:rPr>
          <w:i/>
        </w:rPr>
        <w:t>tion Support Act 2003</w:t>
      </w:r>
      <w:r w:rsidR="00F016D8">
        <w:t>)</w:t>
      </w:r>
      <w:r w:rsidR="00F9294C">
        <w:t>;</w:t>
      </w:r>
      <w:r w:rsidR="0002581B">
        <w:t xml:space="preserve"> or</w:t>
      </w:r>
    </w:p>
    <w:p w:rsidR="00F43363" w:rsidRDefault="00C978E0">
      <w:pPr>
        <w:pStyle w:val="Style1"/>
        <w:jc w:val="both"/>
      </w:pPr>
      <w:r>
        <w:t>i</w:t>
      </w:r>
      <w:r w:rsidR="0059664C">
        <w:t>n the case of international qualifications</w:t>
      </w:r>
      <w:r w:rsidR="007105F9">
        <w:t>—</w:t>
      </w:r>
      <w:r w:rsidR="0059664C">
        <w:t>a</w:t>
      </w:r>
      <w:r w:rsidR="0002581B">
        <w:t>n international institution listed in the</w:t>
      </w:r>
      <w:r w:rsidR="00623A46">
        <w:t xml:space="preserve"> </w:t>
      </w:r>
      <w:r w:rsidR="007105F9">
        <w:rPr>
          <w:i/>
        </w:rPr>
        <w:t xml:space="preserve">International Handbook of Universities. </w:t>
      </w:r>
    </w:p>
    <w:p w:rsidR="00F43363" w:rsidRDefault="0059664C">
      <w:pPr>
        <w:pStyle w:val="Bullet"/>
        <w:numPr>
          <w:ilvl w:val="0"/>
          <w:numId w:val="0"/>
        </w:numPr>
        <w:jc w:val="both"/>
      </w:pPr>
      <w:r>
        <w:t xml:space="preserve">The </w:t>
      </w:r>
      <w:r w:rsidR="007105F9">
        <w:t>Regulator</w:t>
      </w:r>
      <w:r>
        <w:t xml:space="preserve"> will be able to </w:t>
      </w:r>
      <w:r w:rsidR="00507726">
        <w:t>ac</w:t>
      </w:r>
      <w:r>
        <w:t xml:space="preserve">cept </w:t>
      </w:r>
      <w:r w:rsidR="008947A5">
        <w:t xml:space="preserve">a </w:t>
      </w:r>
      <w:r>
        <w:t xml:space="preserve">qualification which </w:t>
      </w:r>
      <w:r w:rsidR="008947A5">
        <w:t>is</w:t>
      </w:r>
      <w:r>
        <w:t xml:space="preserve"> equivalent to a degree if satisfied the</w:t>
      </w:r>
      <w:r w:rsidR="008947A5">
        <w:t xml:space="preserve"> qualification is</w:t>
      </w:r>
      <w:r>
        <w:t xml:space="preserve"> equivalent</w:t>
      </w:r>
      <w:r w:rsidR="00507726">
        <w:t xml:space="preserve">, such as </w:t>
      </w:r>
      <w:r w:rsidR="008947A5">
        <w:t xml:space="preserve">a </w:t>
      </w:r>
      <w:r w:rsidR="00507726">
        <w:t>professional qualification</w:t>
      </w:r>
      <w:r w:rsidR="008947A5">
        <w:t xml:space="preserve"> </w:t>
      </w:r>
      <w:r w:rsidR="002279D3">
        <w:t>attained prior to formal degrees being offered in certain disciplines</w:t>
      </w:r>
      <w:r>
        <w:t>.</w:t>
      </w:r>
    </w:p>
    <w:p w:rsidR="00F43363" w:rsidRDefault="002279D3">
      <w:pPr>
        <w:pStyle w:val="Bullet"/>
        <w:numPr>
          <w:ilvl w:val="0"/>
          <w:numId w:val="0"/>
        </w:numPr>
        <w:jc w:val="both"/>
      </w:pPr>
      <w:r>
        <w:t>Similarly, i</w:t>
      </w:r>
      <w:r w:rsidR="0002581B">
        <w:t xml:space="preserve">f an applicant has obtained </w:t>
      </w:r>
      <w:r w:rsidR="008947A5">
        <w:t xml:space="preserve">a </w:t>
      </w:r>
      <w:r w:rsidR="0002581B">
        <w:t xml:space="preserve">qualification from an institution which does not meet one of these criteria (for example, if </w:t>
      </w:r>
      <w:r w:rsidR="00FC2EB0">
        <w:t>an applicant</w:t>
      </w:r>
      <w:r w:rsidR="0002581B">
        <w:t xml:space="preserve"> ha</w:t>
      </w:r>
      <w:r w:rsidR="00FC2EB0">
        <w:t>s</w:t>
      </w:r>
      <w:r w:rsidR="0002581B">
        <w:t xml:space="preserve"> obtained a qualification from an Aus</w:t>
      </w:r>
      <w:r w:rsidR="0059664C">
        <w:t>tralian institution which was subsequently</w:t>
      </w:r>
      <w:r w:rsidR="0002581B">
        <w:t xml:space="preserve"> renamed, amalgamated with another body, or closed), the </w:t>
      </w:r>
      <w:r w:rsidR="00D316E1">
        <w:t>Regulator</w:t>
      </w:r>
      <w:r w:rsidR="0002581B">
        <w:t xml:space="preserve"> may accept </w:t>
      </w:r>
      <w:r w:rsidR="008947A5">
        <w:t xml:space="preserve">a </w:t>
      </w:r>
      <w:r w:rsidR="0002581B">
        <w:t xml:space="preserve">qualification from </w:t>
      </w:r>
      <w:r w:rsidR="008947A5">
        <w:t xml:space="preserve">an </w:t>
      </w:r>
      <w:r w:rsidR="0002581B">
        <w:t>institution</w:t>
      </w:r>
      <w:r w:rsidR="0059664C">
        <w:t xml:space="preserve"> which </w:t>
      </w:r>
      <w:r w:rsidR="008947A5">
        <w:t>is</w:t>
      </w:r>
      <w:r w:rsidR="0059664C">
        <w:t xml:space="preserve"> equivalent to those specified</w:t>
      </w:r>
      <w:r w:rsidR="0002581B">
        <w:t>.</w:t>
      </w:r>
    </w:p>
    <w:p w:rsidR="00F43363" w:rsidRDefault="006E698D">
      <w:pPr>
        <w:pStyle w:val="Bullet"/>
        <w:numPr>
          <w:ilvl w:val="0"/>
          <w:numId w:val="0"/>
        </w:numPr>
        <w:jc w:val="both"/>
      </w:pPr>
      <w:r>
        <w:t xml:space="preserve">In the case of </w:t>
      </w:r>
      <w:r w:rsidR="00FC2EB0">
        <w:t xml:space="preserve">a </w:t>
      </w:r>
      <w:r>
        <w:t xml:space="preserve">qualification obtained from </w:t>
      </w:r>
      <w:r w:rsidR="00FC2EB0">
        <w:t xml:space="preserve">an </w:t>
      </w:r>
      <w:r>
        <w:t xml:space="preserve">international institution, the </w:t>
      </w:r>
      <w:r w:rsidR="00D316E1">
        <w:t>Regulator</w:t>
      </w:r>
      <w:r>
        <w:t xml:space="preserve"> will need to be satisfied that the </w:t>
      </w:r>
      <w:r w:rsidR="0059664C">
        <w:t xml:space="preserve">institution </w:t>
      </w:r>
      <w:r>
        <w:t>is equivalent to</w:t>
      </w:r>
      <w:r w:rsidR="0059664C">
        <w:t xml:space="preserve"> one of those named in the International Handbook of Universities.</w:t>
      </w:r>
      <w:r>
        <w:t xml:space="preserve"> One method which might provide satisfactory evidence would be an education assessment of the qualification by the National Office of Overseas Skills Recognition within the Department of Education, Employment and Workplace Relations.</w:t>
      </w:r>
    </w:p>
    <w:p w:rsidR="001D57A8" w:rsidRDefault="001D57A8" w:rsidP="001D57A8">
      <w:pPr>
        <w:pStyle w:val="Heading6"/>
      </w:pPr>
      <w:r>
        <w:t xml:space="preserve">Section </w:t>
      </w:r>
      <w:r w:rsidR="00D316E1">
        <w:t>7</w:t>
      </w:r>
      <w:r w:rsidR="00FD2866">
        <w:t xml:space="preserve"> </w:t>
      </w:r>
      <w:r>
        <w:t xml:space="preserve">Knowledge </w:t>
      </w:r>
      <w:r w:rsidR="0059664C">
        <w:t xml:space="preserve">of </w:t>
      </w:r>
      <w:r w:rsidR="00D316E1">
        <w:t xml:space="preserve">relevant </w:t>
      </w:r>
      <w:r w:rsidR="0059664C">
        <w:t xml:space="preserve">legislation </w:t>
      </w:r>
      <w:r>
        <w:t xml:space="preserve">for category </w:t>
      </w:r>
      <w:r w:rsidR="00D316E1">
        <w:t xml:space="preserve">and type </w:t>
      </w:r>
      <w:r>
        <w:t>of auditor</w:t>
      </w:r>
    </w:p>
    <w:p w:rsidR="00F43363" w:rsidRDefault="0002581B">
      <w:pPr>
        <w:jc w:val="both"/>
      </w:pPr>
      <w:r>
        <w:t>Regulation</w:t>
      </w:r>
      <w:r w:rsidR="00D316E1">
        <w:t>s</w:t>
      </w:r>
      <w:r>
        <w:t xml:space="preserve"> 6.14</w:t>
      </w:r>
      <w:r w:rsidR="009619D5">
        <w:t> </w:t>
      </w:r>
      <w:r w:rsidR="00661FF4">
        <w:t>(1)</w:t>
      </w:r>
      <w:r>
        <w:t xml:space="preserve"> </w:t>
      </w:r>
      <w:r w:rsidR="00D316E1">
        <w:t>and 6.14A</w:t>
      </w:r>
      <w:r w:rsidR="009619D5">
        <w:t> </w:t>
      </w:r>
      <w:r w:rsidR="00661FF4">
        <w:t>(1)</w:t>
      </w:r>
      <w:r w:rsidR="00D316E1">
        <w:t xml:space="preserve"> </w:t>
      </w:r>
      <w:r w:rsidR="00623A46">
        <w:t xml:space="preserve">of the Regulations </w:t>
      </w:r>
      <w:r w:rsidR="00D316E1">
        <w:t>provide</w:t>
      </w:r>
      <w:r>
        <w:t xml:space="preserve"> that an applicant must have knowledge of the NGER legislation </w:t>
      </w:r>
      <w:r w:rsidR="00D316E1">
        <w:t xml:space="preserve">and the CFI legislation </w:t>
      </w:r>
      <w:r>
        <w:t xml:space="preserve">which is relevant to the category of auditor for which the applicant </w:t>
      </w:r>
      <w:r w:rsidR="00661FF4">
        <w:t>has applied to be registered</w:t>
      </w:r>
      <w:r>
        <w:t>.</w:t>
      </w:r>
      <w:r w:rsidR="00D316E1">
        <w:t xml:space="preserve"> The terms “NGER legislation” and “CFI legislation” are defined by regulation 1.03 of the Regulations. </w:t>
      </w:r>
    </w:p>
    <w:p w:rsidR="00F43363" w:rsidRDefault="00F07B1B">
      <w:pPr>
        <w:jc w:val="both"/>
      </w:pPr>
      <w:r>
        <w:t>S</w:t>
      </w:r>
      <w:r w:rsidR="0002581B">
        <w:t xml:space="preserve">ection </w:t>
      </w:r>
      <w:r w:rsidR="00FC2EB0">
        <w:t xml:space="preserve">7 </w:t>
      </w:r>
      <w:r w:rsidR="0002581B">
        <w:t xml:space="preserve">sets out which provisions of the NGER legislation </w:t>
      </w:r>
      <w:r w:rsidR="00D316E1">
        <w:t xml:space="preserve">and CFI legislation </w:t>
      </w:r>
      <w:r w:rsidR="0002581B">
        <w:t xml:space="preserve">are relevant to </w:t>
      </w:r>
      <w:r w:rsidR="00D316E1">
        <w:t>an applicant</w:t>
      </w:r>
      <w:r w:rsidR="0002581B">
        <w:t xml:space="preserve"> for </w:t>
      </w:r>
      <w:r w:rsidR="00C36C2D">
        <w:t xml:space="preserve">Category 1 </w:t>
      </w:r>
      <w:r w:rsidR="008947A5">
        <w:t xml:space="preserve">registration of the </w:t>
      </w:r>
      <w:r w:rsidR="00C36C2D">
        <w:t xml:space="preserve">CFI </w:t>
      </w:r>
      <w:r w:rsidR="00A31CBC">
        <w:t>t</w:t>
      </w:r>
      <w:r w:rsidR="00C36C2D">
        <w:t>echnical,</w:t>
      </w:r>
      <w:r w:rsidR="008947A5">
        <w:t xml:space="preserve"> NGER technical and non-technical</w:t>
      </w:r>
      <w:r w:rsidR="00C36C2D">
        <w:t xml:space="preserve"> </w:t>
      </w:r>
      <w:r w:rsidR="008947A5">
        <w:t>type</w:t>
      </w:r>
      <w:r w:rsidR="00623A46">
        <w:t xml:space="preserve"> and</w:t>
      </w:r>
      <w:r w:rsidR="0002581B">
        <w:t xml:space="preserve"> Category 2</w:t>
      </w:r>
      <w:r w:rsidR="00661FF4">
        <w:t xml:space="preserve"> registration</w:t>
      </w:r>
      <w:r w:rsidR="00623A46">
        <w:t>.</w:t>
      </w:r>
      <w:r w:rsidR="00661FF4">
        <w:t xml:space="preserve"> </w:t>
      </w:r>
    </w:p>
    <w:p w:rsidR="00F43363" w:rsidRDefault="0002581B">
      <w:pPr>
        <w:jc w:val="both"/>
      </w:pPr>
      <w:r>
        <w:t xml:space="preserve">The intention of specifying different knowledge requirements is to ensure that </w:t>
      </w:r>
      <w:r w:rsidR="00D316E1">
        <w:t xml:space="preserve">an </w:t>
      </w:r>
      <w:r>
        <w:t xml:space="preserve">applicant </w:t>
      </w:r>
      <w:r w:rsidR="00D316E1">
        <w:t>is</w:t>
      </w:r>
      <w:r>
        <w:t xml:space="preserve"> not obliged to become familiar with </w:t>
      </w:r>
      <w:r w:rsidR="0059664C">
        <w:t xml:space="preserve">all </w:t>
      </w:r>
      <w:r>
        <w:t xml:space="preserve">provisions of the </w:t>
      </w:r>
      <w:r w:rsidR="00661FF4">
        <w:t xml:space="preserve">NGER and CFI </w:t>
      </w:r>
      <w:r>
        <w:t>legislation</w:t>
      </w:r>
      <w:r w:rsidR="0059664C">
        <w:t xml:space="preserve">, </w:t>
      </w:r>
      <w:r w:rsidR="00A7035A">
        <w:t>but rather only with thos</w:t>
      </w:r>
      <w:r w:rsidR="00DE0B76">
        <w:t>e</w:t>
      </w:r>
      <w:r w:rsidR="0059664C">
        <w:t xml:space="preserve"> provisions</w:t>
      </w:r>
      <w:r>
        <w:t xml:space="preserve"> which will be relevant to the </w:t>
      </w:r>
      <w:r w:rsidR="00A7035A">
        <w:t xml:space="preserve">category of </w:t>
      </w:r>
      <w:r w:rsidR="00D316E1">
        <w:t xml:space="preserve">registration and, if an applicant has applied for registration as a Category 1 auditor, the type of </w:t>
      </w:r>
      <w:r w:rsidR="00623A46">
        <w:t>C</w:t>
      </w:r>
      <w:r w:rsidR="00D316E1">
        <w:t xml:space="preserve">ategory 1 auditor </w:t>
      </w:r>
      <w:r w:rsidR="00A7035A">
        <w:t xml:space="preserve">for which </w:t>
      </w:r>
      <w:r w:rsidR="00D316E1">
        <w:t>the individual is</w:t>
      </w:r>
      <w:r w:rsidR="00A7035A">
        <w:t xml:space="preserve"> applying</w:t>
      </w:r>
      <w:r>
        <w:t>.</w:t>
      </w:r>
    </w:p>
    <w:p w:rsidR="00F43363" w:rsidRDefault="00572F83">
      <w:pPr>
        <w:jc w:val="both"/>
      </w:pPr>
      <w:r>
        <w:t>Unlike the equivalent section of the 2010 Instrument, the section does not specify the provisions in the NGER or legislation or CFI legislation that an applicant for Category 3 registration must have knowledge of. This is because an applicant for registration as a Category 3 auditor must previously have been registered as a Category 2 or C</w:t>
      </w:r>
      <w:r w:rsidR="00FD2866">
        <w:t xml:space="preserve">ategory 3 auditor (see </w:t>
      </w:r>
      <w:r w:rsidR="00C36C2D">
        <w:t>sub</w:t>
      </w:r>
      <w:r w:rsidR="00FD2866">
        <w:t>section 20</w:t>
      </w:r>
      <w:r w:rsidR="00C36C2D">
        <w:t> (1)</w:t>
      </w:r>
      <w:r>
        <w:t xml:space="preserve"> of the Instrument) and has therefore already demonstrated his or her knowledge of the relevant provisions.   </w:t>
      </w:r>
      <w:r w:rsidR="0002581B">
        <w:t xml:space="preserve"> </w:t>
      </w:r>
    </w:p>
    <w:p w:rsidR="001D57A8" w:rsidRDefault="001D57A8" w:rsidP="001D57A8">
      <w:pPr>
        <w:pStyle w:val="Heading6"/>
      </w:pPr>
      <w:r>
        <w:t xml:space="preserve">Section </w:t>
      </w:r>
      <w:r w:rsidR="00D316E1">
        <w:t>8</w:t>
      </w:r>
      <w:r w:rsidR="00FD2866">
        <w:t xml:space="preserve"> </w:t>
      </w:r>
      <w:r>
        <w:t xml:space="preserve">Evidence </w:t>
      </w:r>
      <w:r w:rsidR="00B9065F">
        <w:t>of</w:t>
      </w:r>
      <w:r w:rsidR="00572F83">
        <w:t xml:space="preserve"> </w:t>
      </w:r>
      <w:r>
        <w:t>NGER legislation</w:t>
      </w:r>
      <w:r w:rsidR="00572F83">
        <w:t xml:space="preserve"> knowledge</w:t>
      </w:r>
    </w:p>
    <w:p w:rsidR="00F43363" w:rsidRDefault="006E65D6">
      <w:pPr>
        <w:jc w:val="both"/>
      </w:pPr>
      <w:r>
        <w:t>Subregulation 6.14</w:t>
      </w:r>
      <w:r w:rsidR="009619D5">
        <w:t> </w:t>
      </w:r>
      <w:r w:rsidR="00090D11">
        <w:t xml:space="preserve">(2) </w:t>
      </w:r>
      <w:r w:rsidR="00623A46">
        <w:t xml:space="preserve">of the Regulations </w:t>
      </w:r>
      <w:r w:rsidR="00090D11">
        <w:t xml:space="preserve">specifies that an applicant must provide appropriate evidence that </w:t>
      </w:r>
      <w:r w:rsidR="00D316E1">
        <w:t xml:space="preserve">he or she </w:t>
      </w:r>
      <w:r w:rsidR="00090D11">
        <w:t>ha</w:t>
      </w:r>
      <w:r w:rsidR="00D316E1">
        <w:t>s</w:t>
      </w:r>
      <w:r w:rsidR="00090D11">
        <w:t xml:space="preserve"> knowledge of the NGER legislation</w:t>
      </w:r>
      <w:r w:rsidR="00572F83">
        <w:t xml:space="preserve"> relevant to the category of auditor for which the applicant has applied to be registered</w:t>
      </w:r>
      <w:r w:rsidR="00090D11">
        <w:t>.</w:t>
      </w:r>
    </w:p>
    <w:p w:rsidR="00F43363" w:rsidRDefault="00090D11">
      <w:pPr>
        <w:jc w:val="both"/>
      </w:pPr>
      <w:r>
        <w:t xml:space="preserve">This section specifies that appropriate evidence will consist of a statement </w:t>
      </w:r>
      <w:r w:rsidR="00A7035A">
        <w:t xml:space="preserve">provided by the applicant in their application for registration </w:t>
      </w:r>
      <w:r>
        <w:t>setting out details of their knowledge of the legislation and how this was obtained.</w:t>
      </w:r>
    </w:p>
    <w:p w:rsidR="00D316E1" w:rsidRDefault="00B9065F" w:rsidP="001D57A8">
      <w:pPr>
        <w:pStyle w:val="Heading6"/>
      </w:pPr>
      <w:r>
        <w:t>Section 9</w:t>
      </w:r>
      <w:r w:rsidR="00FD2866">
        <w:t xml:space="preserve"> </w:t>
      </w:r>
      <w:r>
        <w:t>Evidence of CFI legislation</w:t>
      </w:r>
      <w:r w:rsidR="00572F83">
        <w:t xml:space="preserve"> knowledge</w:t>
      </w:r>
    </w:p>
    <w:p w:rsidR="00F43363" w:rsidRDefault="00B9065F">
      <w:pPr>
        <w:jc w:val="both"/>
      </w:pPr>
      <w:r>
        <w:t>Subregulation 6.14A</w:t>
      </w:r>
      <w:r w:rsidR="009619D5">
        <w:t> </w:t>
      </w:r>
      <w:r>
        <w:t xml:space="preserve">(2) </w:t>
      </w:r>
      <w:r w:rsidR="00572F83">
        <w:t xml:space="preserve">of the Regulations </w:t>
      </w:r>
      <w:r>
        <w:t>specifies that an applicant must provide appropriate evidence that he or she has knowledge of the CFI legislation</w:t>
      </w:r>
      <w:r w:rsidR="00572F83">
        <w:t xml:space="preserve"> relevant to the category of auditor for which the applicant has applied to be registered. </w:t>
      </w:r>
    </w:p>
    <w:p w:rsidR="00F43363" w:rsidRDefault="00B9065F">
      <w:pPr>
        <w:jc w:val="both"/>
      </w:pPr>
      <w:r>
        <w:t xml:space="preserve">This section specifies that appropriate evidence will consist of a statement provided by the applicant in their application for registration setting out details of their knowledge of the </w:t>
      </w:r>
      <w:r w:rsidR="00572F83">
        <w:t xml:space="preserve">CFI </w:t>
      </w:r>
      <w:r>
        <w:t>legislation and how this was obtained.</w:t>
      </w:r>
    </w:p>
    <w:p w:rsidR="00F43363" w:rsidRDefault="001C50F8">
      <w:pPr>
        <w:jc w:val="both"/>
      </w:pPr>
      <w:r>
        <w:rPr>
          <w:b/>
        </w:rPr>
        <w:t xml:space="preserve">Section 10 Evidence of technical knowledge—requirements for registration as a Category 1 CFI </w:t>
      </w:r>
      <w:r w:rsidR="002637DC">
        <w:rPr>
          <w:b/>
        </w:rPr>
        <w:t>t</w:t>
      </w:r>
      <w:r>
        <w:rPr>
          <w:b/>
        </w:rPr>
        <w:t>echnical</w:t>
      </w:r>
      <w:r w:rsidR="002637DC">
        <w:rPr>
          <w:b/>
        </w:rPr>
        <w:t xml:space="preserve"> auditor</w:t>
      </w:r>
    </w:p>
    <w:p w:rsidR="00F43363" w:rsidRDefault="001C50F8">
      <w:pPr>
        <w:jc w:val="both"/>
      </w:pPr>
      <w:r>
        <w:t xml:space="preserve">Section 10 sets out the technical knowledge an applicant for registration as a Category 1 CFI </w:t>
      </w:r>
      <w:r w:rsidR="002637DC">
        <w:t>t</w:t>
      </w:r>
      <w:r>
        <w:t xml:space="preserve">echnical </w:t>
      </w:r>
      <w:r w:rsidR="002637DC">
        <w:t xml:space="preserve">auditor </w:t>
      </w:r>
      <w:r>
        <w:t>must have obtained</w:t>
      </w:r>
      <w:r w:rsidR="009D7099">
        <w:t xml:space="preserve">. </w:t>
      </w:r>
      <w:r w:rsidR="00C36C2D">
        <w:t>In broad terms, an applicant may obtain technical training and experience by participating in at least one of four specified activities</w:t>
      </w:r>
      <w:r w:rsidR="009D7099">
        <w:t xml:space="preserve"> for at least 150 hours</w:t>
      </w:r>
      <w:r w:rsidR="00C36C2D">
        <w:t xml:space="preserve">. </w:t>
      </w:r>
    </w:p>
    <w:p w:rsidR="00F43363" w:rsidRDefault="009B1A83">
      <w:pPr>
        <w:jc w:val="both"/>
        <w:rPr>
          <w:i/>
        </w:rPr>
      </w:pPr>
      <w:r>
        <w:rPr>
          <w:i/>
        </w:rPr>
        <w:t>Participation in a technical working group</w:t>
      </w:r>
    </w:p>
    <w:p w:rsidR="00F43363" w:rsidRDefault="009D7099">
      <w:pPr>
        <w:jc w:val="both"/>
      </w:pPr>
      <w:r>
        <w:t>The first way a</w:t>
      </w:r>
      <w:r w:rsidR="00C36C2D">
        <w:t xml:space="preserve">n applicant may </w:t>
      </w:r>
      <w:r>
        <w:t xml:space="preserve">obtain the necessary technical training and experience is by </w:t>
      </w:r>
      <w:r w:rsidR="006165A0">
        <w:t>participat</w:t>
      </w:r>
      <w:r>
        <w:t>ing</w:t>
      </w:r>
      <w:r w:rsidR="006165A0">
        <w:t xml:space="preserve"> in a technical working group convened by the Department on the development of a proposal for a methodology determination. </w:t>
      </w:r>
      <w:r w:rsidR="006B7DA3">
        <w:t xml:space="preserve">Subsection 19A (3) of the </w:t>
      </w:r>
      <w:r w:rsidR="006B7DA3">
        <w:rPr>
          <w:i/>
        </w:rPr>
        <w:t xml:space="preserve">Acts Interpretation Act </w:t>
      </w:r>
      <w:r w:rsidR="00F64CEC" w:rsidRPr="00F64CEC">
        <w:rPr>
          <w:i/>
        </w:rPr>
        <w:t>1901</w:t>
      </w:r>
      <w:r w:rsidR="006B7DA3">
        <w:t xml:space="preserve"> explains how a provision of an Act that uses the expression “the Department” without specifying which Department is referred to is to be interpreted. </w:t>
      </w:r>
      <w:r w:rsidR="00F64CEC" w:rsidRPr="00F64CEC">
        <w:t>At</w:t>
      </w:r>
      <w:r w:rsidR="008E7039">
        <w:t xml:space="preserve"> the time the Instrument was made, “the Department” is a reference to the Department of Climat</w:t>
      </w:r>
      <w:r w:rsidR="006B7DA3">
        <w:t xml:space="preserve">e Change and Energy Efficiency. </w:t>
      </w:r>
    </w:p>
    <w:p w:rsidR="00F43363" w:rsidRDefault="006B7DA3">
      <w:pPr>
        <w:jc w:val="both"/>
      </w:pPr>
      <w:r>
        <w:t xml:space="preserve">The term “methodology determination” is defined by section 4 of the Instrument to have the same meaning as in the CFI Act. In </w:t>
      </w:r>
      <w:r w:rsidR="00FC2EB0">
        <w:t>broad</w:t>
      </w:r>
      <w:r>
        <w:t xml:space="preserve"> terms, a methodology determination is a legislative instrument that applies to a specified kind of offsets project and sets out requirements that must be met for such a project to be an eligible offsets project. </w:t>
      </w:r>
      <w:r w:rsidR="004A0741">
        <w:t xml:space="preserve">A methodology determination also specifies the method to be used to ascertain the carbon dioxide </w:t>
      </w:r>
      <w:r w:rsidR="009D7099">
        <w:t xml:space="preserve">equivalent </w:t>
      </w:r>
      <w:r w:rsidR="004A0741">
        <w:t>net abatement amount or</w:t>
      </w:r>
      <w:r w:rsidR="00DE5F18">
        <w:t>, if the methodology determination is for a native forest protection project,</w:t>
      </w:r>
      <w:r w:rsidR="004A0741">
        <w:t xml:space="preserve"> the carbon dioxide equivalent net </w:t>
      </w:r>
      <w:r w:rsidR="00DE5F18">
        <w:t xml:space="preserve">sequestration amount </w:t>
      </w:r>
      <w:r w:rsidR="004A0741">
        <w:t>for the pro</w:t>
      </w:r>
      <w:r w:rsidR="00DE5F18">
        <w:t>j</w:t>
      </w:r>
      <w:r w:rsidR="004A0741">
        <w:t>ect in relation to a reporting period.</w:t>
      </w:r>
    </w:p>
    <w:p w:rsidR="00F43363" w:rsidRDefault="009B1A83">
      <w:pPr>
        <w:jc w:val="both"/>
        <w:rPr>
          <w:i/>
        </w:rPr>
      </w:pPr>
      <w:r>
        <w:rPr>
          <w:i/>
        </w:rPr>
        <w:t xml:space="preserve">Participation in a technical expert review </w:t>
      </w:r>
    </w:p>
    <w:p w:rsidR="00F43363" w:rsidRDefault="00DE5F18">
      <w:pPr>
        <w:jc w:val="both"/>
      </w:pPr>
      <w:r>
        <w:t xml:space="preserve">Second, an applicant may obtain technical training and experience by participating in a technical expert review of a proposal for a methodology determination undertaken on behalf of the Domestic Offsets Integrity Committee. Section 4 of the Instrument defines “Domestic Offsets Integrity Committee” to mean </w:t>
      </w:r>
      <w:r w:rsidRPr="00EC3B65">
        <w:rPr>
          <w:color w:val="000000"/>
        </w:rPr>
        <w:t>the committee established by section 254 of the CFI Act and the Interim Domestic Offsets Integrity Committee.</w:t>
      </w:r>
      <w:r>
        <w:rPr>
          <w:color w:val="000000"/>
        </w:rPr>
        <w:t xml:space="preserve"> The committee established by section 254 of the CFI Act </w:t>
      </w:r>
      <w:r w:rsidR="001A3DE2">
        <w:rPr>
          <w:color w:val="000000"/>
        </w:rPr>
        <w:t>is known as the Domestic Offsets Integrity Committee (DOIC).</w:t>
      </w:r>
      <w:r w:rsidR="004A0741">
        <w:t xml:space="preserve"> </w:t>
      </w:r>
      <w:r w:rsidR="001A3DE2">
        <w:t>Under section 106(4) of the CFI Act, the Minister cannot make a methodology determination unless the determination gives effect to a particular proposal for a methodology determination and the DOIC has endorsed the proposal and advised the Minister of the endorsement. The Interim Domestic Offsets Integrity Committee was established under the executive power of the Commonwealth before the commencement of section 5 of the CFI Act and was known as the Domestic Offsets Integrity Committee.</w:t>
      </w:r>
    </w:p>
    <w:p w:rsidR="00F43363" w:rsidRDefault="009B1A83">
      <w:pPr>
        <w:jc w:val="both"/>
        <w:rPr>
          <w:i/>
        </w:rPr>
      </w:pPr>
      <w:r>
        <w:rPr>
          <w:i/>
        </w:rPr>
        <w:t>Participation in a technical project that estimates abatement under a non-CFI scheme</w:t>
      </w:r>
    </w:p>
    <w:p w:rsidR="00F43363" w:rsidRDefault="001A3DE2">
      <w:pPr>
        <w:jc w:val="both"/>
      </w:pPr>
      <w:r>
        <w:t xml:space="preserve">Third, an applicant may obtain technical training and experience by participating in a technical project undertaken for the purpose of estimating the carbon dioxide equivalent </w:t>
      </w:r>
      <w:r w:rsidR="009D7099">
        <w:t xml:space="preserve">amount of </w:t>
      </w:r>
      <w:r>
        <w:t>greenhouse gas abatement generated by a project that is an emissions avoidance offsets project or a sequestration offsets project wit</w:t>
      </w:r>
      <w:r w:rsidR="00A30E91">
        <w:t xml:space="preserve">hin the meaning of the CFI Act. The technical project </w:t>
      </w:r>
      <w:r w:rsidR="009D7099">
        <w:t>could</w:t>
      </w:r>
      <w:r w:rsidR="009B1A83">
        <w:t>, for example, have been undertaken in order to comply with a requirement under the New South Wales Government’s Greenhouse Gas Reduction Scheme, the Commonwealth Government’s Greenhouse Friendly Scheme or a an international standard or scheme</w:t>
      </w:r>
      <w:r w:rsidR="00FC2EB0">
        <w:t xml:space="preserve"> such as the Gold Standard</w:t>
      </w:r>
      <w:r w:rsidR="008947A5">
        <w:t xml:space="preserve"> or the Clean Development Mechanism</w:t>
      </w:r>
      <w:r w:rsidR="009B1A83">
        <w:t xml:space="preserve">. </w:t>
      </w:r>
    </w:p>
    <w:p w:rsidR="00F43363" w:rsidRDefault="001A3DE2">
      <w:pPr>
        <w:jc w:val="both"/>
      </w:pPr>
      <w:r>
        <w:t xml:space="preserve">The term “emissions avoidance offsets project” is defined by section 53 of the CFI Act to mean </w:t>
      </w:r>
      <w:r w:rsidR="00A30E91">
        <w:t xml:space="preserve">an agricultural emissions avoidance </w:t>
      </w:r>
      <w:r w:rsidR="009D7099">
        <w:t xml:space="preserve">offsets project; </w:t>
      </w:r>
      <w:r w:rsidR="00A30E91">
        <w:t>a landfill legacy emissions avoidance project or a project of a kind specified in the regulations</w:t>
      </w:r>
      <w:r w:rsidR="009D7099">
        <w:t xml:space="preserve"> made under the CFI Act</w:t>
      </w:r>
      <w:r w:rsidR="00A30E91">
        <w:t>. The term “sequestration offsets project” is defined by section 54 of the CFI Act</w:t>
      </w:r>
      <w:r w:rsidR="009D7099">
        <w:t xml:space="preserve"> to mean</w:t>
      </w:r>
      <w:r w:rsidR="00A30E91">
        <w:t xml:space="preserve"> a project </w:t>
      </w:r>
      <w:r w:rsidR="009D7099">
        <w:t xml:space="preserve">that </w:t>
      </w:r>
      <w:r w:rsidR="00A30E91">
        <w:t>is a sequestration offsets project if it is a project to remove carbon dioxide from the atmosphere by sequestering carbon in living biomass, dead organic matter or soil. A project will also be a sequestration offsets project if it is a project to remove carbon dioxide from the atmosphere by sequestering carbon in, and to avoid emissions of greenhouse gases from the atmosphere by sequestering carbon in, and to avoid emissions of greenhouse gases from living biomass, dead organic matter or soil.</w:t>
      </w:r>
    </w:p>
    <w:p w:rsidR="00F43363" w:rsidRDefault="009B1A83">
      <w:pPr>
        <w:keepNext/>
        <w:jc w:val="both"/>
        <w:rPr>
          <w:i/>
        </w:rPr>
      </w:pPr>
      <w:r>
        <w:rPr>
          <w:i/>
        </w:rPr>
        <w:t>Participation in training</w:t>
      </w:r>
    </w:p>
    <w:p w:rsidR="00F43363" w:rsidRDefault="009B1A83">
      <w:pPr>
        <w:keepNext/>
        <w:jc w:val="both"/>
      </w:pPr>
      <w:r>
        <w:t>Four</w:t>
      </w:r>
      <w:r w:rsidR="009D7099">
        <w:t>th</w:t>
      </w:r>
      <w:r>
        <w:t>, an applicant may obtain the necessary technical training and experience by</w:t>
      </w:r>
      <w:r w:rsidR="009D7099">
        <w:t xml:space="preserve"> participating in a specified training course in greenhouse gas emission reductions and removal enhancement. </w:t>
      </w:r>
      <w:r>
        <w:t xml:space="preserve"> </w:t>
      </w:r>
    </w:p>
    <w:p w:rsidR="001D57A8" w:rsidRDefault="001D57A8" w:rsidP="001D57A8">
      <w:pPr>
        <w:pStyle w:val="Heading6"/>
      </w:pPr>
      <w:r>
        <w:t xml:space="preserve">Section </w:t>
      </w:r>
      <w:r w:rsidR="00B9065F">
        <w:t>1</w:t>
      </w:r>
      <w:r w:rsidR="00572F83">
        <w:t>1</w:t>
      </w:r>
      <w:r w:rsidR="00FD2866">
        <w:t xml:space="preserve"> </w:t>
      </w:r>
      <w:r w:rsidR="0059664C">
        <w:t>Demonstrating knowledge of auditing</w:t>
      </w:r>
      <w:r>
        <w:t xml:space="preserve"> </w:t>
      </w:r>
    </w:p>
    <w:p w:rsidR="00F43363" w:rsidRDefault="00B9065F">
      <w:pPr>
        <w:jc w:val="both"/>
      </w:pPr>
      <w:r>
        <w:t>Subr</w:t>
      </w:r>
      <w:r w:rsidR="00201C2B">
        <w:t>egulation 6.15</w:t>
      </w:r>
      <w:r w:rsidR="009619D5">
        <w:t> </w:t>
      </w:r>
      <w:r>
        <w:t>(1) provides that an applicant must have knowledge of auditing. Subregulation 6.15</w:t>
      </w:r>
      <w:r w:rsidR="009619D5">
        <w:t> </w:t>
      </w:r>
      <w:r>
        <w:t>(2) provides that to demonstrate that knowledge, the applicant must, in or with the application, provide the Regulator with appropriate evidence.</w:t>
      </w:r>
    </w:p>
    <w:p w:rsidR="00F43363" w:rsidRDefault="00B9065F">
      <w:pPr>
        <w:jc w:val="both"/>
      </w:pPr>
      <w:r>
        <w:t>Section 1</w:t>
      </w:r>
      <w:r w:rsidR="008B245E">
        <w:t>1</w:t>
      </w:r>
      <w:r>
        <w:t xml:space="preserve"> </w:t>
      </w:r>
      <w:r w:rsidR="00661FF4">
        <w:t xml:space="preserve">of the Instrument </w:t>
      </w:r>
      <w:r>
        <w:t xml:space="preserve">provides that an applicant can demonstrate knowledge of auditing by successfully completing a training course specified in </w:t>
      </w:r>
      <w:r w:rsidR="008B245E">
        <w:t>section</w:t>
      </w:r>
      <w:r>
        <w:t xml:space="preserve"> 1</w:t>
      </w:r>
      <w:r w:rsidR="008B245E">
        <w:t xml:space="preserve">2 or </w:t>
      </w:r>
      <w:r>
        <w:t>is qualified in accordance with section 1</w:t>
      </w:r>
      <w:r w:rsidR="008B245E">
        <w:t>3.</w:t>
      </w:r>
      <w:r>
        <w:t xml:space="preserve"> </w:t>
      </w:r>
    </w:p>
    <w:p w:rsidR="001D57A8" w:rsidRDefault="001D57A8" w:rsidP="001D57A8">
      <w:pPr>
        <w:pStyle w:val="Heading6"/>
      </w:pPr>
      <w:r>
        <w:t xml:space="preserve">Section </w:t>
      </w:r>
      <w:r w:rsidR="007F5BE5">
        <w:t>12</w:t>
      </w:r>
      <w:r w:rsidR="00594126">
        <w:t xml:space="preserve"> </w:t>
      </w:r>
      <w:r w:rsidR="00FB2B96">
        <w:t>Evidence of knowledge of auditing</w:t>
      </w:r>
      <w:r w:rsidR="00B9065F">
        <w:t>—</w:t>
      </w:r>
      <w:r w:rsidR="00FB2B96">
        <w:t>t</w:t>
      </w:r>
      <w:r>
        <w:t>raining</w:t>
      </w:r>
    </w:p>
    <w:p w:rsidR="00F43363" w:rsidRDefault="00594126">
      <w:pPr>
        <w:jc w:val="both"/>
      </w:pPr>
      <w:r>
        <w:t>This section specifies the training courses that will satisfy the requirement in regulation 6.15</w:t>
      </w:r>
      <w:r w:rsidR="009619D5">
        <w:t> </w:t>
      </w:r>
      <w:r>
        <w:t xml:space="preserve">(1) of the Regulations that an applicant must have knowledge of auditing. </w:t>
      </w:r>
      <w:r w:rsidR="00FB2B96">
        <w:t xml:space="preserve">Such </w:t>
      </w:r>
      <w:r>
        <w:t xml:space="preserve">a training </w:t>
      </w:r>
      <w:r w:rsidR="00FB2B96">
        <w:t xml:space="preserve">course must be delivered by a </w:t>
      </w:r>
      <w:r w:rsidR="007F5BE5">
        <w:t>“</w:t>
      </w:r>
      <w:r w:rsidR="00FB2B96">
        <w:t>competent training provider</w:t>
      </w:r>
      <w:r w:rsidR="007F5BE5">
        <w:t>”</w:t>
      </w:r>
      <w:r w:rsidR="00FB2B96">
        <w:t xml:space="preserve"> </w:t>
      </w:r>
      <w:r w:rsidR="00661FF4">
        <w:t>within the meaning of</w:t>
      </w:r>
      <w:r w:rsidR="00FB2B96">
        <w:t xml:space="preserve"> section 3 of the Instrument.</w:t>
      </w:r>
    </w:p>
    <w:p w:rsidR="001D57A8" w:rsidRDefault="001D57A8" w:rsidP="001D57A8">
      <w:pPr>
        <w:pStyle w:val="Heading6"/>
      </w:pPr>
      <w:r>
        <w:t>Section 1</w:t>
      </w:r>
      <w:r w:rsidR="007F5BE5">
        <w:t>3</w:t>
      </w:r>
      <w:r w:rsidR="00594126">
        <w:t xml:space="preserve"> </w:t>
      </w:r>
      <w:r w:rsidR="00FB2B96">
        <w:t>Evidence of knowledge of auditing</w:t>
      </w:r>
      <w:r w:rsidR="00907F14">
        <w:t>—</w:t>
      </w:r>
      <w:r w:rsidR="00FB2B96">
        <w:t>q</w:t>
      </w:r>
      <w:r>
        <w:t>ualifications</w:t>
      </w:r>
    </w:p>
    <w:p w:rsidR="00434DB6" w:rsidRDefault="00434DB6" w:rsidP="00434DB6">
      <w:r>
        <w:t xml:space="preserve">This section </w:t>
      </w:r>
      <w:r w:rsidR="00C416E6">
        <w:t>specifies</w:t>
      </w:r>
      <w:r>
        <w:t xml:space="preserve"> </w:t>
      </w:r>
      <w:r w:rsidR="00C416E6">
        <w:t xml:space="preserve">the </w:t>
      </w:r>
      <w:r>
        <w:t xml:space="preserve">qualifications </w:t>
      </w:r>
      <w:r w:rsidR="00AC6EE1">
        <w:t xml:space="preserve">that </w:t>
      </w:r>
      <w:r>
        <w:t xml:space="preserve">will satisfy the requirement </w:t>
      </w:r>
      <w:r w:rsidR="00594126">
        <w:t>in regulation 6.15</w:t>
      </w:r>
      <w:r w:rsidR="009619D5">
        <w:t> </w:t>
      </w:r>
      <w:r w:rsidR="00594126">
        <w:t xml:space="preserve">(1) of the Regulations </w:t>
      </w:r>
      <w:r>
        <w:t xml:space="preserve">that </w:t>
      </w:r>
      <w:r w:rsidR="00C416E6">
        <w:t>an applicant must</w:t>
      </w:r>
      <w:r>
        <w:t xml:space="preserve"> have knowledge of auditing.</w:t>
      </w:r>
      <w:r w:rsidR="00C416E6">
        <w:t xml:space="preserve"> </w:t>
      </w:r>
    </w:p>
    <w:p w:rsidR="001D57A8" w:rsidRDefault="001D57A8" w:rsidP="001D57A8">
      <w:pPr>
        <w:pStyle w:val="Heading6"/>
      </w:pPr>
      <w:r>
        <w:t>Section 1</w:t>
      </w:r>
      <w:r w:rsidR="00907F14">
        <w:t>4</w:t>
      </w:r>
      <w:r w:rsidR="00594126">
        <w:t xml:space="preserve"> </w:t>
      </w:r>
      <w:r w:rsidR="00FB2B96">
        <w:t>Evidence of knowledge of auditing</w:t>
      </w:r>
      <w:r w:rsidR="00907F14">
        <w:t>—</w:t>
      </w:r>
      <w:r w:rsidR="00FB2B96">
        <w:t>experience</w:t>
      </w:r>
    </w:p>
    <w:p w:rsidR="00F43363" w:rsidRDefault="00FB2B96">
      <w:pPr>
        <w:jc w:val="both"/>
      </w:pPr>
      <w:r>
        <w:t>Subregulation 6.15</w:t>
      </w:r>
      <w:r w:rsidR="009619D5">
        <w:t> </w:t>
      </w:r>
      <w:r w:rsidR="00434DB6">
        <w:t xml:space="preserve">(3) </w:t>
      </w:r>
      <w:r w:rsidR="008B245E">
        <w:t xml:space="preserve">of the Regulations </w:t>
      </w:r>
      <w:r w:rsidR="00434DB6">
        <w:t>specifies that if an applicant does not supply evidence of having audit knowledge referr</w:t>
      </w:r>
      <w:r w:rsidR="007D3BF9">
        <w:t>ed to in subsection 6.15</w:t>
      </w:r>
      <w:r w:rsidR="009619D5">
        <w:t> </w:t>
      </w:r>
      <w:r w:rsidR="007D3BF9">
        <w:t xml:space="preserve">(2) (in other words, does not supply evidence of having completed one of the training courses listed in section </w:t>
      </w:r>
      <w:r w:rsidR="008B245E">
        <w:t>12</w:t>
      </w:r>
      <w:r w:rsidR="007D3BF9">
        <w:t xml:space="preserve"> or</w:t>
      </w:r>
      <w:r w:rsidR="008B245E">
        <w:t xml:space="preserve"> </w:t>
      </w:r>
      <w:r w:rsidR="007D3BF9">
        <w:t>holding one of the qualifications listed in section 1</w:t>
      </w:r>
      <w:r w:rsidR="008B245E">
        <w:t>3</w:t>
      </w:r>
      <w:r w:rsidR="007D3BF9">
        <w:t xml:space="preserve"> of this </w:t>
      </w:r>
      <w:r w:rsidR="00574F9C">
        <w:t>I</w:t>
      </w:r>
      <w:r w:rsidR="007D3BF9">
        <w:t>nstrument), the</w:t>
      </w:r>
      <w:r w:rsidR="008B245E">
        <w:t xml:space="preserve"> applicant</w:t>
      </w:r>
      <w:r w:rsidR="007D3BF9">
        <w:t xml:space="preserve"> may demonstrate </w:t>
      </w:r>
      <w:r w:rsidR="008B245E">
        <w:t>his or her</w:t>
      </w:r>
      <w:r w:rsidR="007D3BF9">
        <w:t xml:space="preserve"> knowledge of auditing </w:t>
      </w:r>
      <w:r w:rsidR="008B245E">
        <w:t>by complying with</w:t>
      </w:r>
      <w:r w:rsidR="007D3BF9">
        <w:t xml:space="preserve"> </w:t>
      </w:r>
      <w:r w:rsidR="006F5B2F">
        <w:t xml:space="preserve">regulation </w:t>
      </w:r>
      <w:r w:rsidR="007D3BF9">
        <w:t>6.15(4).</w:t>
      </w:r>
    </w:p>
    <w:p w:rsidR="00F43363" w:rsidRDefault="006F5B2F">
      <w:pPr>
        <w:jc w:val="both"/>
      </w:pPr>
      <w:r>
        <w:t>In order to comply with regulation 6.15</w:t>
      </w:r>
      <w:r w:rsidR="009619D5">
        <w:t> </w:t>
      </w:r>
      <w:r>
        <w:t xml:space="preserve">(4) of the Regulations, an applicant must have participated in the appropriate kind and number of audits for the appropriate period and provide written reports by two eligible referees attesting to the quality of that participation. </w:t>
      </w:r>
    </w:p>
    <w:p w:rsidR="00F43363" w:rsidRDefault="006F5B2F">
      <w:pPr>
        <w:jc w:val="both"/>
      </w:pPr>
      <w:r>
        <w:t>S</w:t>
      </w:r>
      <w:r w:rsidR="00FB2B96">
        <w:t xml:space="preserve">ection </w:t>
      </w:r>
      <w:r>
        <w:t xml:space="preserve">14 of the Instrument </w:t>
      </w:r>
      <w:r w:rsidR="00FB2B96">
        <w:t xml:space="preserve">specifies that </w:t>
      </w:r>
      <w:r>
        <w:t>for paragraph 6.15</w:t>
      </w:r>
      <w:r w:rsidR="009619D5">
        <w:t> </w:t>
      </w:r>
      <w:r>
        <w:t>(4)</w:t>
      </w:r>
      <w:r w:rsidR="009619D5">
        <w:t> </w:t>
      </w:r>
      <w:r>
        <w:t xml:space="preserve">(a) of the Regulations, an </w:t>
      </w:r>
      <w:r w:rsidR="00F05B7E">
        <w:t xml:space="preserve">applicant must have </w:t>
      </w:r>
      <w:r w:rsidR="00B345F2">
        <w:t xml:space="preserve">participated for </w:t>
      </w:r>
      <w:r>
        <w:t>700</w:t>
      </w:r>
      <w:r w:rsidR="00FB2B96">
        <w:t xml:space="preserve"> hours</w:t>
      </w:r>
      <w:r w:rsidR="00907F14">
        <w:t xml:space="preserve"> in </w:t>
      </w:r>
      <w:r w:rsidR="00B345F2">
        <w:t>at least</w:t>
      </w:r>
      <w:r w:rsidR="00907F14">
        <w:t xml:space="preserve"> five </w:t>
      </w:r>
      <w:r w:rsidR="00B345F2">
        <w:t xml:space="preserve">of the kinds of audits mentioned in that section. </w:t>
      </w:r>
    </w:p>
    <w:p w:rsidR="001D57A8" w:rsidRDefault="001D57A8" w:rsidP="001D57A8">
      <w:pPr>
        <w:pStyle w:val="Heading6"/>
      </w:pPr>
      <w:r>
        <w:t>Section 1</w:t>
      </w:r>
      <w:r w:rsidR="00907F14">
        <w:t>5</w:t>
      </w:r>
      <w:r w:rsidR="00594126">
        <w:t xml:space="preserve"> </w:t>
      </w:r>
      <w:r>
        <w:t>Knowledge of audit team leadership and assurance</w:t>
      </w:r>
      <w:r w:rsidR="00594126">
        <w:t>—</w:t>
      </w:r>
      <w:r>
        <w:t xml:space="preserve">Category 2 and </w:t>
      </w:r>
      <w:r w:rsidR="00907F14">
        <w:t xml:space="preserve">Category </w:t>
      </w:r>
      <w:r>
        <w:t>3 applicants</w:t>
      </w:r>
    </w:p>
    <w:p w:rsidR="00F43363" w:rsidRDefault="005A353B">
      <w:pPr>
        <w:jc w:val="both"/>
      </w:pPr>
      <w:r>
        <w:t>Subr</w:t>
      </w:r>
      <w:r w:rsidR="00543D4F">
        <w:t>egulation 6.16</w:t>
      </w:r>
      <w:r w:rsidR="009619D5">
        <w:t> </w:t>
      </w:r>
      <w:r w:rsidR="005D4688">
        <w:t>(1)</w:t>
      </w:r>
      <w:r w:rsidR="00594126">
        <w:t xml:space="preserve"> of the Regulations provides that </w:t>
      </w:r>
      <w:r w:rsidR="00E7154C">
        <w:t xml:space="preserve">an </w:t>
      </w:r>
      <w:r w:rsidR="00543D4F">
        <w:t xml:space="preserve">applicant for registration as a </w:t>
      </w:r>
      <w:r w:rsidR="00AC6EE1">
        <w:t>C</w:t>
      </w:r>
      <w:r w:rsidR="00543D4F">
        <w:t xml:space="preserve">ategory 2 or </w:t>
      </w:r>
      <w:r w:rsidR="00594126">
        <w:t xml:space="preserve">a </w:t>
      </w:r>
      <w:r w:rsidR="00AC6EE1">
        <w:t>C</w:t>
      </w:r>
      <w:r w:rsidR="00543D4F">
        <w:t>ategory</w:t>
      </w:r>
      <w:r w:rsidR="00AC6EE1">
        <w:t> </w:t>
      </w:r>
      <w:r w:rsidR="00543D4F">
        <w:t xml:space="preserve">3 auditor </w:t>
      </w:r>
      <w:r w:rsidR="00594126">
        <w:t xml:space="preserve">must </w:t>
      </w:r>
      <w:r w:rsidR="00543D4F">
        <w:t xml:space="preserve">have knowledge of audit team leadership </w:t>
      </w:r>
      <w:r w:rsidR="00F64CEC" w:rsidRPr="00F64CEC">
        <w:t xml:space="preserve">and </w:t>
      </w:r>
      <w:r w:rsidR="00543D4F">
        <w:t>assurance.</w:t>
      </w:r>
      <w:r w:rsidR="00D85778">
        <w:t xml:space="preserve"> </w:t>
      </w:r>
      <w:r w:rsidR="00E7154C">
        <w:t>To demonstrate that knowledge, the applicant must, in or with the application, provide the Regulator with appropriate evidence</w:t>
      </w:r>
      <w:r w:rsidR="005D4688">
        <w:t xml:space="preserve"> (subregulation 6.16</w:t>
      </w:r>
      <w:r w:rsidR="009619D5">
        <w:t> </w:t>
      </w:r>
      <w:r w:rsidR="005D4688">
        <w:t>(2))</w:t>
      </w:r>
      <w:r w:rsidR="00E7154C">
        <w:t xml:space="preserve">. </w:t>
      </w:r>
    </w:p>
    <w:p w:rsidR="00F43363" w:rsidRDefault="0095288A">
      <w:pPr>
        <w:jc w:val="both"/>
      </w:pPr>
      <w:r>
        <w:t>The effect of section 15</w:t>
      </w:r>
      <w:r w:rsidR="009619D5">
        <w:t> </w:t>
      </w:r>
      <w:r>
        <w:t xml:space="preserve">(1) of the </w:t>
      </w:r>
      <w:r w:rsidR="00594126">
        <w:t>I</w:t>
      </w:r>
      <w:r>
        <w:t>nstrument is that an applicant will satisfy the requirements provided for in subregulation 6.16</w:t>
      </w:r>
      <w:r w:rsidR="009619D5">
        <w:t> </w:t>
      </w:r>
      <w:r>
        <w:t xml:space="preserve">(1) if he or she is registered as an auditor under section 1280 of the </w:t>
      </w:r>
      <w:r>
        <w:rPr>
          <w:i/>
        </w:rPr>
        <w:t xml:space="preserve">Corporations Act </w:t>
      </w:r>
      <w:r w:rsidR="00F64CEC" w:rsidRPr="00F64CEC">
        <w:rPr>
          <w:i/>
        </w:rPr>
        <w:t xml:space="preserve">2001 </w:t>
      </w:r>
      <w:r>
        <w:t xml:space="preserve">or </w:t>
      </w:r>
      <w:r w:rsidR="005D4688">
        <w:t xml:space="preserve">has successfully completed one </w:t>
      </w:r>
      <w:r>
        <w:t xml:space="preserve">of the </w:t>
      </w:r>
      <w:r w:rsidR="005D4688">
        <w:t xml:space="preserve">specified </w:t>
      </w:r>
      <w:r>
        <w:t xml:space="preserve">training courses. </w:t>
      </w:r>
    </w:p>
    <w:p w:rsidR="00F43363" w:rsidRDefault="00543D4F">
      <w:pPr>
        <w:jc w:val="both"/>
      </w:pPr>
      <w:r>
        <w:t xml:space="preserve">If </w:t>
      </w:r>
      <w:r w:rsidR="005D4688">
        <w:t>an applicant</w:t>
      </w:r>
      <w:r>
        <w:t xml:space="preserve"> does not satisfy </w:t>
      </w:r>
      <w:r w:rsidR="005D4688">
        <w:t xml:space="preserve">the requirements in </w:t>
      </w:r>
      <w:r>
        <w:t xml:space="preserve">subsection </w:t>
      </w:r>
      <w:r w:rsidR="00C12404">
        <w:t>15</w:t>
      </w:r>
      <w:r w:rsidR="009619D5">
        <w:t> </w:t>
      </w:r>
      <w:r>
        <w:t xml:space="preserve">(1), </w:t>
      </w:r>
      <w:r w:rsidR="005D4688">
        <w:t>an</w:t>
      </w:r>
      <w:r>
        <w:t xml:space="preserve"> </w:t>
      </w:r>
      <w:r w:rsidR="005D4688">
        <w:t xml:space="preserve">applicant must satisfy the requirements in </w:t>
      </w:r>
      <w:r>
        <w:t xml:space="preserve">subsections </w:t>
      </w:r>
      <w:r w:rsidR="00C12404">
        <w:t>15</w:t>
      </w:r>
      <w:r w:rsidR="009619D5">
        <w:t> </w:t>
      </w:r>
      <w:r>
        <w:t xml:space="preserve">(2) and </w:t>
      </w:r>
      <w:r w:rsidR="00C12404">
        <w:t>15</w:t>
      </w:r>
      <w:r w:rsidR="009619D5">
        <w:t> </w:t>
      </w:r>
      <w:r>
        <w:t>(3)</w:t>
      </w:r>
      <w:r w:rsidR="005D4688">
        <w:t xml:space="preserve"> of the Instrument</w:t>
      </w:r>
      <w:r>
        <w:t>.</w:t>
      </w:r>
      <w:r w:rsidR="00C12404">
        <w:t xml:space="preserve"> Subsection 15</w:t>
      </w:r>
      <w:r w:rsidR="009619D5">
        <w:t> </w:t>
      </w:r>
      <w:r w:rsidR="00C12404">
        <w:t>(2) provides that an applicant has knowledge of audit team leadership if she or he meets the requirements set out in that subsection. Subsection 15</w:t>
      </w:r>
      <w:r w:rsidR="009619D5">
        <w:t> </w:t>
      </w:r>
      <w:r w:rsidR="00C12404">
        <w:t xml:space="preserve">(3) provides that an applicant has knowledge of assurance if he or she has successfully completed a specified course. </w:t>
      </w:r>
    </w:p>
    <w:p w:rsidR="001D57A8" w:rsidRDefault="001D57A8" w:rsidP="001D57A8">
      <w:pPr>
        <w:pStyle w:val="Heading6"/>
      </w:pPr>
      <w:r>
        <w:t>Section</w:t>
      </w:r>
      <w:r w:rsidR="009209C0">
        <w:t>s</w:t>
      </w:r>
      <w:r>
        <w:t xml:space="preserve"> 1</w:t>
      </w:r>
      <w:r w:rsidR="00C12404">
        <w:t>6</w:t>
      </w:r>
      <w:r>
        <w:t xml:space="preserve"> </w:t>
      </w:r>
      <w:r w:rsidR="009209C0">
        <w:t>and 17</w:t>
      </w:r>
      <w:r w:rsidR="005D4688">
        <w:t xml:space="preserve"> </w:t>
      </w:r>
      <w:r>
        <w:t>Auditing experience requirements for applicants for Category 1 registration</w:t>
      </w:r>
      <w:r w:rsidR="00C12404">
        <w:t>—</w:t>
      </w:r>
      <w:r w:rsidR="002132B9">
        <w:t>auditing and preparing audit reports</w:t>
      </w:r>
    </w:p>
    <w:p w:rsidR="00F43363" w:rsidRDefault="00C12404">
      <w:pPr>
        <w:jc w:val="both"/>
      </w:pPr>
      <w:r>
        <w:t>The effect of s</w:t>
      </w:r>
      <w:r w:rsidR="00543D4F">
        <w:t>ubregulation 6.19</w:t>
      </w:r>
      <w:r w:rsidR="009619D5">
        <w:t> </w:t>
      </w:r>
      <w:r w:rsidR="00543D4F">
        <w:t xml:space="preserve">(1) </w:t>
      </w:r>
      <w:r>
        <w:t>of the Regulations is that a</w:t>
      </w:r>
      <w:r w:rsidR="007C42F2">
        <w:t>n</w:t>
      </w:r>
      <w:r>
        <w:t xml:space="preserve"> applicant for registration as a Category 1 auditor must have the appropriate kind, and the appropriate period, of experience of auditing and preparing audit reports. Subregulation 6.19</w:t>
      </w:r>
      <w:r w:rsidR="009619D5">
        <w:t> </w:t>
      </w:r>
      <w:r>
        <w:t xml:space="preserve">(2) provides that the experience must have been obtained during the </w:t>
      </w:r>
      <w:r w:rsidR="005D4688">
        <w:t>five</w:t>
      </w:r>
      <w:r>
        <w:t xml:space="preserve"> years immediately preceding the day the application is made. To demonstrate the experience, the applicant must, in or with the application, provide the Regulator with appropriate evidence. </w:t>
      </w:r>
    </w:p>
    <w:p w:rsidR="00F43363" w:rsidRDefault="007C42F2">
      <w:pPr>
        <w:jc w:val="both"/>
      </w:pPr>
      <w:r>
        <w:t xml:space="preserve">Section 16 of the </w:t>
      </w:r>
      <w:r w:rsidR="003355F9">
        <w:t>I</w:t>
      </w:r>
      <w:r>
        <w:t xml:space="preserve">nstrument specifies the requirements that must be met by an individual who applies for registration as Category 1 auditor of the NGER technical type. </w:t>
      </w:r>
    </w:p>
    <w:p w:rsidR="00F43363" w:rsidRDefault="009209C0">
      <w:pPr>
        <w:jc w:val="both"/>
      </w:pPr>
      <w:r>
        <w:t xml:space="preserve">Section 17 of the </w:t>
      </w:r>
      <w:r w:rsidR="003355F9">
        <w:t>I</w:t>
      </w:r>
      <w:r>
        <w:t xml:space="preserve">nstrument specifies the requirements that must be met by an individual who applies for registration as a Category 1 auditor of the CFI technical type. </w:t>
      </w:r>
    </w:p>
    <w:p w:rsidR="001D57A8" w:rsidRDefault="001D57A8" w:rsidP="001D57A8">
      <w:pPr>
        <w:pStyle w:val="Heading6"/>
      </w:pPr>
      <w:r>
        <w:t>Section 1</w:t>
      </w:r>
      <w:r w:rsidR="009209C0">
        <w:t>8</w:t>
      </w:r>
      <w:r w:rsidR="005D4688">
        <w:t xml:space="preserve"> </w:t>
      </w:r>
      <w:r>
        <w:t>Auditing experience requirements for applicants for Category 2 registration</w:t>
      </w:r>
      <w:r w:rsidR="00A17281">
        <w:t>—</w:t>
      </w:r>
      <w:r>
        <w:t>auditing and preparing audit reports</w:t>
      </w:r>
    </w:p>
    <w:p w:rsidR="00F43363" w:rsidRDefault="009209C0">
      <w:pPr>
        <w:pStyle w:val="zr2"/>
        <w:jc w:val="both"/>
      </w:pPr>
      <w:r>
        <w:t>The effect of s</w:t>
      </w:r>
      <w:r w:rsidR="00F05B7E">
        <w:t>ubregulation 6.20</w:t>
      </w:r>
      <w:r w:rsidR="009619D5">
        <w:t> </w:t>
      </w:r>
      <w:r w:rsidR="00F05B7E">
        <w:t xml:space="preserve">(1) </w:t>
      </w:r>
      <w:r>
        <w:t xml:space="preserve">of the Regulations is that an applicant for registration as a Category 2 auditor must have the appropriate kind, and the appropriate period, of experience of auditing and preparing audit reports. </w:t>
      </w:r>
      <w:r w:rsidR="006E65D6">
        <w:t>Subsection 1</w:t>
      </w:r>
      <w:r>
        <w:t>8</w:t>
      </w:r>
      <w:r w:rsidR="009619D5">
        <w:t> </w:t>
      </w:r>
      <w:r w:rsidR="006E65D6">
        <w:t>(1)</w:t>
      </w:r>
      <w:r w:rsidR="00F05B7E">
        <w:t xml:space="preserve"> </w:t>
      </w:r>
      <w:r>
        <w:t xml:space="preserve">of the </w:t>
      </w:r>
      <w:r w:rsidR="003355F9">
        <w:t>I</w:t>
      </w:r>
      <w:r>
        <w:t xml:space="preserve">nstrument </w:t>
      </w:r>
      <w:r w:rsidR="00352412">
        <w:t xml:space="preserve">sets out the ways in which </w:t>
      </w:r>
      <w:r>
        <w:t xml:space="preserve">these requirements can be met. </w:t>
      </w:r>
    </w:p>
    <w:p w:rsidR="00F43363" w:rsidRDefault="009209C0">
      <w:pPr>
        <w:pStyle w:val="zr2"/>
        <w:jc w:val="both"/>
      </w:pPr>
      <w:r>
        <w:t xml:space="preserve">In broad terms, the section provides that an applicant must have </w:t>
      </w:r>
      <w:r w:rsidR="003355F9">
        <w:t>obtained</w:t>
      </w:r>
      <w:r>
        <w:t xml:space="preserve"> at least 700 hours experience in the last 5 years </w:t>
      </w:r>
      <w:r w:rsidR="00AE706E">
        <w:t xml:space="preserve">as an audit team </w:t>
      </w:r>
      <w:r w:rsidR="00D24366" w:rsidRPr="00D24366">
        <w:t xml:space="preserve">leader or a professional member of an audit team in auditing and preparing audit reports in </w:t>
      </w:r>
      <w:r w:rsidR="005D4688">
        <w:t>5</w:t>
      </w:r>
      <w:r w:rsidR="00D24366" w:rsidRPr="00D24366">
        <w:t xml:space="preserve"> or more specified kinds of audits. The experience must be equivalent to conducting a reasonable assurance engagement or a limited assurance engagement under the Audit Determination. </w:t>
      </w:r>
    </w:p>
    <w:p w:rsidR="00F43363" w:rsidRDefault="00D24366">
      <w:pPr>
        <w:pStyle w:val="zr2"/>
        <w:jc w:val="both"/>
      </w:pPr>
      <w:r w:rsidRPr="00D24366">
        <w:t>Section 1.5 of the Audit Determination provides that an “</w:t>
      </w:r>
      <w:r w:rsidR="00F64CEC" w:rsidRPr="00F64CEC">
        <w:rPr>
          <w:bCs/>
          <w:iCs/>
        </w:rPr>
        <w:t>assurance engagement</w:t>
      </w:r>
      <w:r w:rsidR="00F64CEC" w:rsidRPr="00F64CEC">
        <w:rPr>
          <w:rFonts w:hint="eastAsia"/>
          <w:bCs/>
          <w:iCs/>
        </w:rPr>
        <w:t>”</w:t>
      </w:r>
      <w:r w:rsidR="00F64CEC" w:rsidRPr="00F64CEC">
        <w:rPr>
          <w:i/>
          <w:iCs/>
        </w:rPr>
        <w:t xml:space="preserve"> </w:t>
      </w:r>
      <w:r w:rsidR="00F64CEC" w:rsidRPr="00F64CEC">
        <w:t>is a greenhouse and energy audit the purpose of which is to provide the audit team leader</w:t>
      </w:r>
      <w:r w:rsidR="00F64CEC" w:rsidRPr="00F64CEC">
        <w:rPr>
          <w:rFonts w:hint="eastAsia"/>
        </w:rPr>
        <w:t>’</w:t>
      </w:r>
      <w:r w:rsidR="00F64CEC" w:rsidRPr="00F64CEC">
        <w:t xml:space="preserve">s independent opinion as to the reliability, accuracy and completeness of the matter being audited. There are </w:t>
      </w:r>
      <w:r w:rsidR="00DA24D1">
        <w:t>two</w:t>
      </w:r>
      <w:r w:rsidR="00F64CEC" w:rsidRPr="00F64CEC">
        <w:t xml:space="preserve"> kinds of assurance engagement</w:t>
      </w:r>
      <w:r w:rsidR="00F64CEC" w:rsidRPr="00F64CEC">
        <w:rPr>
          <w:rFonts w:hint="eastAsia"/>
        </w:rPr>
        <w:t>—</w:t>
      </w:r>
      <w:r w:rsidR="00F64CEC" w:rsidRPr="00F64CEC">
        <w:t xml:space="preserve">a reasonable assurance engagement and a limited assurance engagement. </w:t>
      </w:r>
    </w:p>
    <w:p w:rsidR="001D57A8" w:rsidRDefault="001D57A8" w:rsidP="001D57A8">
      <w:pPr>
        <w:pStyle w:val="Heading6"/>
      </w:pPr>
      <w:r>
        <w:t>Section 1</w:t>
      </w:r>
      <w:r w:rsidR="00A17281">
        <w:t>9</w:t>
      </w:r>
      <w:r w:rsidR="005D4688">
        <w:t xml:space="preserve"> </w:t>
      </w:r>
      <w:r>
        <w:t>Auditing experience requirements for applicants for Category 2 registration</w:t>
      </w:r>
      <w:r w:rsidR="00A17281">
        <w:t>—</w:t>
      </w:r>
      <w:r>
        <w:t>audit team leadership</w:t>
      </w:r>
    </w:p>
    <w:p w:rsidR="00F43363" w:rsidRDefault="00A17281">
      <w:pPr>
        <w:jc w:val="both"/>
      </w:pPr>
      <w:r>
        <w:t>The effect of s</w:t>
      </w:r>
      <w:r w:rsidR="007F13CB">
        <w:t>ubregulation 6.20</w:t>
      </w:r>
      <w:r w:rsidR="00F322FF">
        <w:t> </w:t>
      </w:r>
      <w:r w:rsidR="007F13CB">
        <w:t xml:space="preserve">(2) </w:t>
      </w:r>
      <w:r>
        <w:t xml:space="preserve">of the Regulations is that an individual who applies for registration as a Category 2 auditor must have had at least the appropriate kind, and the appropriate period, of experience of audit team leadership. </w:t>
      </w:r>
      <w:r w:rsidR="00B345F2">
        <w:t xml:space="preserve">Subregulation 6.20(3) of the Regulations provides that the experience of auditing and preparing audit reports and of audit team leadership must have been obtained during the 5 years immediately preceding the day the application is made. </w:t>
      </w:r>
    </w:p>
    <w:p w:rsidR="00F43363" w:rsidRDefault="00F07E5F">
      <w:pPr>
        <w:jc w:val="both"/>
      </w:pPr>
      <w:r>
        <w:t xml:space="preserve">Section 19 sets out the ways in which the requirements of this subregulation may be met. In broad terms, section 19 of the </w:t>
      </w:r>
      <w:r w:rsidR="00FD2866">
        <w:t>I</w:t>
      </w:r>
      <w:r>
        <w:t>nstrume</w:t>
      </w:r>
      <w:r w:rsidR="00B345F2">
        <w:t xml:space="preserve">nt </w:t>
      </w:r>
      <w:r>
        <w:t xml:space="preserve">provides that an applicant must have </w:t>
      </w:r>
      <w:r w:rsidR="001B117F">
        <w:t>obtained</w:t>
      </w:r>
      <w:r>
        <w:t xml:space="preserve"> at l</w:t>
      </w:r>
      <w:r w:rsidR="001B117F">
        <w:t>e</w:t>
      </w:r>
      <w:r>
        <w:t xml:space="preserve">ast 490 hours experience as an audit team leader of an audit team that has three or more other members in 1 or more of the following kinds of specified audits. </w:t>
      </w:r>
      <w:r w:rsidR="00EF2D27">
        <w:t>Th</w:t>
      </w:r>
      <w:r w:rsidR="00FD2866">
        <w:t xml:space="preserve">e purpose of this requirement </w:t>
      </w:r>
      <w:r w:rsidR="00EF2D27">
        <w:t xml:space="preserve">is to ensure that </w:t>
      </w:r>
      <w:r w:rsidR="008947A5">
        <w:t xml:space="preserve">an </w:t>
      </w:r>
      <w:r w:rsidR="00EF2D27">
        <w:t xml:space="preserve">applicant for Category 2 </w:t>
      </w:r>
      <w:r>
        <w:t xml:space="preserve">registration </w:t>
      </w:r>
      <w:r w:rsidR="00EF2D27">
        <w:t>ha</w:t>
      </w:r>
      <w:r w:rsidR="008947A5">
        <w:t>s</w:t>
      </w:r>
      <w:r w:rsidR="00EF2D27">
        <w:t xml:space="preserve"> significant experience in leading large audit teams.</w:t>
      </w:r>
    </w:p>
    <w:p w:rsidR="001D57A8" w:rsidRDefault="001D57A8" w:rsidP="001D57A8">
      <w:pPr>
        <w:pStyle w:val="Heading6"/>
      </w:pPr>
      <w:r>
        <w:t xml:space="preserve">Section </w:t>
      </w:r>
      <w:r w:rsidR="00F07E5F">
        <w:t>20</w:t>
      </w:r>
      <w:r w:rsidR="005D2CF2">
        <w:t xml:space="preserve"> </w:t>
      </w:r>
      <w:r>
        <w:t>Auditing experience requirements for applicants for Category 3 registration</w:t>
      </w:r>
    </w:p>
    <w:p w:rsidR="00F43363" w:rsidRDefault="0088350A">
      <w:pPr>
        <w:jc w:val="both"/>
      </w:pPr>
      <w:r>
        <w:t>Paragraph 6.21</w:t>
      </w:r>
      <w:r w:rsidR="00F322FF">
        <w:t> </w:t>
      </w:r>
      <w:r>
        <w:t>(1)</w:t>
      </w:r>
      <w:r w:rsidR="00F322FF">
        <w:t> </w:t>
      </w:r>
      <w:r>
        <w:t xml:space="preserve">(a) </w:t>
      </w:r>
      <w:r w:rsidR="006E65D6">
        <w:t xml:space="preserve">of the Regulations </w:t>
      </w:r>
      <w:r w:rsidR="00F07E5F">
        <w:t>provides that an</w:t>
      </w:r>
      <w:r>
        <w:t xml:space="preserve"> applicant for </w:t>
      </w:r>
      <w:r w:rsidR="00F07E5F">
        <w:t xml:space="preserve">registration as a Category 3 auditor must demonstrate that she or he </w:t>
      </w:r>
      <w:r w:rsidR="00FD2866">
        <w:t xml:space="preserve">has </w:t>
      </w:r>
      <w:r w:rsidR="00F07E5F">
        <w:t xml:space="preserve">at least the appropriate kind, and the appropriate period, of experience of auditing and preparing audit reports. </w:t>
      </w:r>
      <w:r w:rsidR="00B345F2">
        <w:t xml:space="preserve">Subregulation 6.21 (3) provides that the experience must have been obtained during the 5 years immediately preceding the day the application is made. </w:t>
      </w:r>
    </w:p>
    <w:p w:rsidR="00F43363" w:rsidRDefault="001B117F">
      <w:pPr>
        <w:jc w:val="both"/>
      </w:pPr>
      <w:r>
        <w:t xml:space="preserve">Subsection </w:t>
      </w:r>
      <w:r w:rsidR="00F07E5F">
        <w:t>20</w:t>
      </w:r>
      <w:r>
        <w:t>(1)</w:t>
      </w:r>
      <w:r w:rsidR="00F07E5F">
        <w:t xml:space="preserve"> of the Instrument </w:t>
      </w:r>
      <w:r>
        <w:t xml:space="preserve">specifies that an applicant for Category 3 registration must demonstrate that he or she is registered as a Category 2 auditor or has previously been registered as a Category 3 auditor.  </w:t>
      </w:r>
    </w:p>
    <w:p w:rsidR="00F43363" w:rsidRDefault="00B12747">
      <w:pPr>
        <w:jc w:val="both"/>
      </w:pPr>
      <w:r>
        <w:t>Paragraph 6.21 (1) (b) of the Regulations provide that an applicant for registration as a Category 3 auditor must demonstrate that he or she has experience as an audit team member or as an audit team leader in at least 2 greenhouse and energy audits. The effect of s</w:t>
      </w:r>
      <w:r w:rsidR="006E65D6">
        <w:t>ub</w:t>
      </w:r>
      <w:r w:rsidR="0088350A">
        <w:t xml:space="preserve">section </w:t>
      </w:r>
      <w:r w:rsidR="00970DDC">
        <w:t>20</w:t>
      </w:r>
      <w:r w:rsidR="00F322FF">
        <w:t> </w:t>
      </w:r>
      <w:r w:rsidR="006E65D6">
        <w:t>(</w:t>
      </w:r>
      <w:r w:rsidR="001B117F">
        <w:t>2</w:t>
      </w:r>
      <w:r w:rsidR="006E65D6">
        <w:t xml:space="preserve">) </w:t>
      </w:r>
      <w:r w:rsidR="001B117F">
        <w:t xml:space="preserve">of the </w:t>
      </w:r>
      <w:r>
        <w:t>In</w:t>
      </w:r>
      <w:r w:rsidR="001B117F">
        <w:t xml:space="preserve">strument </w:t>
      </w:r>
      <w:r>
        <w:t xml:space="preserve">is that if the </w:t>
      </w:r>
      <w:r w:rsidR="00970DDC">
        <w:t xml:space="preserve">experience </w:t>
      </w:r>
      <w:r>
        <w:t xml:space="preserve">is </w:t>
      </w:r>
      <w:r w:rsidR="00970DDC">
        <w:t xml:space="preserve">as an audit team leader, the applicant must demonstrate </w:t>
      </w:r>
      <w:r>
        <w:t xml:space="preserve">that he or she has </w:t>
      </w:r>
      <w:r w:rsidR="00970DDC">
        <w:t xml:space="preserve">20 hours of experience. If the experience is as an audit team </w:t>
      </w:r>
      <w:r w:rsidR="00177144">
        <w:t>member</w:t>
      </w:r>
      <w:r w:rsidR="00970DDC">
        <w:t xml:space="preserve">, the applicant must demonstrate 60 hours of experience. </w:t>
      </w:r>
      <w:r>
        <w:t>Paragraph</w:t>
      </w:r>
      <w:r w:rsidR="00B1540E">
        <w:t xml:space="preserve"> </w:t>
      </w:r>
      <w:r>
        <w:t>20</w:t>
      </w:r>
      <w:r w:rsidR="00F322FF">
        <w:t> </w:t>
      </w:r>
      <w:r w:rsidR="00B1540E">
        <w:t>(2)</w:t>
      </w:r>
      <w:r>
        <w:t> (a)</w:t>
      </w:r>
      <w:r w:rsidR="00B1540E">
        <w:t xml:space="preserve"> </w:t>
      </w:r>
      <w:r w:rsidR="00970DDC">
        <w:t>of the Instrument provides</w:t>
      </w:r>
      <w:r w:rsidR="00B1540E">
        <w:t xml:space="preserve"> </w:t>
      </w:r>
      <w:r w:rsidR="00970DDC">
        <w:t xml:space="preserve">that </w:t>
      </w:r>
      <w:r w:rsidR="00B1540E">
        <w:t xml:space="preserve">the experience </w:t>
      </w:r>
      <w:r>
        <w:t xml:space="preserve">relied on by the applicant </w:t>
      </w:r>
      <w:r w:rsidR="00B1540E">
        <w:t>must be equivalent to conducting a reasonable assurance engagement or a limited assurance engagement under the Audit Determination. The Audit Determination describes the requirements for both types of engagement.</w:t>
      </w:r>
    </w:p>
    <w:p w:rsidR="005D2CF2" w:rsidRDefault="005D2CF2">
      <w:pPr>
        <w:spacing w:before="0"/>
        <w:rPr>
          <w:highlight w:val="yellow"/>
        </w:rPr>
      </w:pPr>
      <w:r>
        <w:rPr>
          <w:highlight w:val="yellow"/>
        </w:rPr>
        <w:br w:type="page"/>
      </w:r>
    </w:p>
    <w:p w:rsidR="00F43363" w:rsidRDefault="00F64CEC">
      <w:pPr>
        <w:jc w:val="right"/>
        <w:rPr>
          <w:u w:val="single"/>
        </w:rPr>
      </w:pPr>
      <w:r w:rsidRPr="00F64CEC">
        <w:rPr>
          <w:u w:val="single"/>
        </w:rPr>
        <w:t>Attachment B</w:t>
      </w:r>
    </w:p>
    <w:p w:rsidR="00F43363" w:rsidRDefault="00134848">
      <w:pPr>
        <w:jc w:val="center"/>
        <w:rPr>
          <w:b/>
        </w:rPr>
      </w:pPr>
      <w:r w:rsidRPr="00134848">
        <w:rPr>
          <w:b/>
        </w:rPr>
        <w:t>Statement of compatibility with human rights</w:t>
      </w:r>
    </w:p>
    <w:p w:rsidR="00134848" w:rsidRPr="00134848" w:rsidRDefault="00134848" w:rsidP="00134848">
      <w:pPr>
        <w:rPr>
          <w:i/>
        </w:rPr>
      </w:pPr>
      <w:r w:rsidRPr="00134848">
        <w:rPr>
          <w:i/>
        </w:rPr>
        <w:t>Prepared in accordance with Part 3 of the Human Rights (Parliamentary Scrutiny) Act 2011</w:t>
      </w:r>
    </w:p>
    <w:p w:rsidR="00134848" w:rsidRPr="00134848" w:rsidRDefault="00134848" w:rsidP="00134848">
      <w:pPr>
        <w:rPr>
          <w:b/>
        </w:rPr>
      </w:pPr>
      <w:r w:rsidRPr="00134848">
        <w:rPr>
          <w:b/>
        </w:rPr>
        <w:t>National Greenhouse and Energy Reporting (Audit</w:t>
      </w:r>
      <w:r>
        <w:rPr>
          <w:b/>
        </w:rPr>
        <w:t xml:space="preserve">or Registration) Instrument </w:t>
      </w:r>
      <w:r w:rsidRPr="00134848">
        <w:rPr>
          <w:b/>
        </w:rPr>
        <w:t>2012</w:t>
      </w:r>
    </w:p>
    <w:p w:rsidR="00134848" w:rsidRPr="0077312F" w:rsidRDefault="00F64CEC" w:rsidP="00134848">
      <w:r w:rsidRPr="00F64CEC">
        <w:t>The National Greenhouse and Energy Reporting (Auditor Registration) Instrument 2012</w:t>
      </w:r>
      <w:r w:rsidR="0077312F">
        <w:t xml:space="preserve"> </w:t>
      </w:r>
      <w:r w:rsidRPr="00F64CEC">
        <w:t xml:space="preserve">(the Instrument) is compatible with the human rights and freedoms recognised or declared in the international instruments listed in section 3 of the </w:t>
      </w:r>
      <w:r w:rsidRPr="00F64CEC">
        <w:rPr>
          <w:i/>
        </w:rPr>
        <w:t>Human Rights (Parliamentary Scrutiny) Act 2011</w:t>
      </w:r>
      <w:r w:rsidRPr="00F64CEC">
        <w:t>.</w:t>
      </w:r>
    </w:p>
    <w:p w:rsidR="00134848" w:rsidRPr="00134848" w:rsidRDefault="00134848" w:rsidP="00134848">
      <w:pPr>
        <w:rPr>
          <w:b/>
        </w:rPr>
      </w:pPr>
      <w:r w:rsidRPr="00134848">
        <w:rPr>
          <w:b/>
        </w:rPr>
        <w:t xml:space="preserve">Overview of the </w:t>
      </w:r>
      <w:r w:rsidR="0077312F">
        <w:rPr>
          <w:b/>
        </w:rPr>
        <w:t>I</w:t>
      </w:r>
      <w:r w:rsidRPr="00134848">
        <w:rPr>
          <w:b/>
        </w:rPr>
        <w:t>nstrument</w:t>
      </w:r>
    </w:p>
    <w:p w:rsidR="0077312F" w:rsidRDefault="0077312F" w:rsidP="0077312F">
      <w:pPr>
        <w:pStyle w:val="subsection"/>
      </w:pPr>
      <w:r>
        <w:t xml:space="preserve">The </w:t>
      </w:r>
      <w:r w:rsidR="00F64CEC" w:rsidRPr="00F64CEC">
        <w:rPr>
          <w:i/>
        </w:rPr>
        <w:t>National Greenhouse and Energy Regulations 2008</w:t>
      </w:r>
      <w:r>
        <w:t xml:space="preserve"> establish three categories of registered greenhouse and energy auditors—Category 1 auditors; Category 2 auditors and Category 3 auditors. There are three types of Category 1 auditors—NGER technical; CFI technical and non-technical. The categories and types of auditor have different requirements as to qualifications, knowledge and experience.</w:t>
      </w:r>
    </w:p>
    <w:p w:rsidR="0077312F" w:rsidRPr="0077312F" w:rsidRDefault="0077312F" w:rsidP="0077312F">
      <w:pPr>
        <w:jc w:val="both"/>
        <w:rPr>
          <w:i/>
        </w:rPr>
      </w:pPr>
      <w:r>
        <w:t xml:space="preserve">The Instrument sets out the ways in which the requirements of the </w:t>
      </w:r>
      <w:r w:rsidR="00F64CEC" w:rsidRPr="00F64CEC">
        <w:rPr>
          <w:i/>
        </w:rPr>
        <w:t>National Greenhouse and Energy Regulations 2008</w:t>
      </w:r>
      <w:r>
        <w:t xml:space="preserve"> in relation to auditing knowledge and experience may be met. The Instrument also revokes the </w:t>
      </w:r>
      <w:r>
        <w:rPr>
          <w:i/>
        </w:rPr>
        <w:t>National Greenhouse and Energy Reporting (Auditor Registration) Instrument 201</w:t>
      </w:r>
      <w:r w:rsidR="00CD44E0">
        <w:rPr>
          <w:i/>
        </w:rPr>
        <w:t>0</w:t>
      </w:r>
      <w:r>
        <w:rPr>
          <w:i/>
        </w:rPr>
        <w:t xml:space="preserve">.  </w:t>
      </w:r>
    </w:p>
    <w:p w:rsidR="00134848" w:rsidRPr="00134848" w:rsidRDefault="00134848" w:rsidP="00134848">
      <w:pPr>
        <w:rPr>
          <w:b/>
        </w:rPr>
      </w:pPr>
      <w:r w:rsidRPr="00134848">
        <w:rPr>
          <w:b/>
        </w:rPr>
        <w:t>Human rights implications</w:t>
      </w:r>
    </w:p>
    <w:p w:rsidR="00134848" w:rsidRPr="00134848" w:rsidRDefault="00134848" w:rsidP="00134848">
      <w:r w:rsidRPr="00134848">
        <w:t xml:space="preserve">The </w:t>
      </w:r>
      <w:r w:rsidR="0077312F">
        <w:t>I</w:t>
      </w:r>
      <w:r w:rsidRPr="00134848">
        <w:t>nstrument does not engage any of the applicable rights or freedoms.</w:t>
      </w:r>
    </w:p>
    <w:p w:rsidR="00134848" w:rsidRPr="00134848" w:rsidRDefault="00134848" w:rsidP="00134848">
      <w:pPr>
        <w:rPr>
          <w:b/>
        </w:rPr>
      </w:pPr>
      <w:r w:rsidRPr="00134848">
        <w:rPr>
          <w:b/>
        </w:rPr>
        <w:t>Conclusion</w:t>
      </w:r>
    </w:p>
    <w:p w:rsidR="00134848" w:rsidRPr="00134848" w:rsidRDefault="00134848" w:rsidP="00134848">
      <w:r w:rsidRPr="00134848">
        <w:t xml:space="preserve">The </w:t>
      </w:r>
      <w:r w:rsidR="0077312F">
        <w:t>I</w:t>
      </w:r>
      <w:r w:rsidRPr="00134848">
        <w:t>nstrument is compatible with human rights as it does not raise any human rights issues.</w:t>
      </w:r>
    </w:p>
    <w:p w:rsidR="002504D5" w:rsidRDefault="002504D5" w:rsidP="007F13CB"/>
    <w:sectPr w:rsidR="002504D5" w:rsidSect="002504D5">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9CF" w:rsidRDefault="00DC79CF" w:rsidP="00F07E5F">
      <w:pPr>
        <w:spacing w:before="0"/>
      </w:pPr>
      <w:r>
        <w:separator/>
      </w:r>
    </w:p>
  </w:endnote>
  <w:endnote w:type="continuationSeparator" w:id="0">
    <w:p w:rsidR="00DC79CF" w:rsidRDefault="00DC79CF" w:rsidP="00F07E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6396"/>
      <w:docPartObj>
        <w:docPartGallery w:val="Page Numbers (Bottom of Page)"/>
        <w:docPartUnique/>
      </w:docPartObj>
    </w:sdtPr>
    <w:sdtEndPr/>
    <w:sdtContent>
      <w:p w:rsidR="00696CB2" w:rsidRDefault="00D00635">
        <w:pPr>
          <w:pStyle w:val="Footer"/>
          <w:jc w:val="right"/>
        </w:pPr>
        <w:r>
          <w:fldChar w:fldCharType="begin"/>
        </w:r>
        <w:r>
          <w:instrText xml:space="preserve"> PAGE   \* MERGEFORMAT </w:instrText>
        </w:r>
        <w:r>
          <w:fldChar w:fldCharType="separate"/>
        </w:r>
        <w:r w:rsidR="00C1092B">
          <w:rPr>
            <w:noProof/>
          </w:rPr>
          <w:t>1</w:t>
        </w:r>
        <w:r>
          <w:rPr>
            <w:noProof/>
          </w:rPr>
          <w:fldChar w:fldCharType="end"/>
        </w:r>
      </w:p>
    </w:sdtContent>
  </w:sdt>
  <w:p w:rsidR="00696CB2" w:rsidRDefault="00696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9CF" w:rsidRDefault="00DC79CF" w:rsidP="00F07E5F">
      <w:pPr>
        <w:spacing w:before="0"/>
      </w:pPr>
      <w:r>
        <w:separator/>
      </w:r>
    </w:p>
  </w:footnote>
  <w:footnote w:type="continuationSeparator" w:id="0">
    <w:p w:rsidR="00DC79CF" w:rsidRDefault="00DC79CF" w:rsidP="00F07E5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E5CB5"/>
    <w:multiLevelType w:val="multilevel"/>
    <w:tmpl w:val="7040A750"/>
    <w:name w:val="StandardNumberedList"/>
    <w:lvl w:ilvl="0">
      <w:start w:val="1"/>
      <w:numFmt w:val="decimal"/>
      <w:pStyle w:val="OutlineNumbered1"/>
      <w:lvlText w:val="%1."/>
      <w:lvlJc w:val="left"/>
      <w:pPr>
        <w:tabs>
          <w:tab w:val="num" w:pos="1134"/>
        </w:tabs>
        <w:ind w:left="1134" w:hanging="567"/>
      </w:pPr>
    </w:lvl>
    <w:lvl w:ilvl="1">
      <w:start w:val="1"/>
      <w:numFmt w:val="decimal"/>
      <w:pStyle w:val="OutlineNumbered2"/>
      <w:lvlText w:val="%1.%2."/>
      <w:lvlJc w:val="left"/>
      <w:pPr>
        <w:tabs>
          <w:tab w:val="num" w:pos="1701"/>
        </w:tabs>
        <w:ind w:left="1701" w:hanging="567"/>
      </w:pPr>
    </w:lvl>
    <w:lvl w:ilvl="2">
      <w:start w:val="1"/>
      <w:numFmt w:val="decimal"/>
      <w:pStyle w:val="OutlineNumbered3"/>
      <w:lvlText w:val="%1.%2.%3."/>
      <w:lvlJc w:val="left"/>
      <w:pPr>
        <w:tabs>
          <w:tab w:val="num" w:pos="2268"/>
        </w:tabs>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
    <w:nsid w:val="22136AC3"/>
    <w:multiLevelType w:val="hybridMultilevel"/>
    <w:tmpl w:val="FB94239E"/>
    <w:lvl w:ilvl="0" w:tplc="EE9C74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477907"/>
    <w:multiLevelType w:val="multilevel"/>
    <w:tmpl w:val="89E24A0E"/>
    <w:lvl w:ilvl="0">
      <w:start w:val="1"/>
      <w:numFmt w:val="lowerLetter"/>
      <w:lvlText w:val="%1)"/>
      <w:lvlJc w:val="left"/>
      <w:pPr>
        <w:tabs>
          <w:tab w:val="num" w:pos="1134"/>
        </w:tabs>
        <w:ind w:left="1134" w:hanging="567"/>
      </w:pPr>
    </w:lvl>
    <w:lvl w:ilvl="1">
      <w:start w:val="1"/>
      <w:numFmt w:val="decimal"/>
      <w:lvlText w:val="%1.%2."/>
      <w:lvlJc w:val="left"/>
      <w:pPr>
        <w:tabs>
          <w:tab w:val="num" w:pos="1701"/>
        </w:tabs>
        <w:ind w:left="1701" w:hanging="567"/>
      </w:pPr>
    </w:lvl>
    <w:lvl w:ilvl="2">
      <w:start w:val="1"/>
      <w:numFmt w:val="decimal"/>
      <w:lvlText w:val="%1.%2.%3."/>
      <w:lvlJc w:val="left"/>
      <w:pPr>
        <w:tabs>
          <w:tab w:val="num" w:pos="2268"/>
        </w:tabs>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
    <w:nsid w:val="612D3592"/>
    <w:multiLevelType w:val="multilevel"/>
    <w:tmpl w:val="F83E0E1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2FE4BF4"/>
    <w:multiLevelType w:val="hybridMultilevel"/>
    <w:tmpl w:val="184C73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601D"/>
    <w:rsid w:val="00005983"/>
    <w:rsid w:val="0002581B"/>
    <w:rsid w:val="0005370E"/>
    <w:rsid w:val="00063A76"/>
    <w:rsid w:val="000701BF"/>
    <w:rsid w:val="00090D11"/>
    <w:rsid w:val="000C16CF"/>
    <w:rsid w:val="000C2141"/>
    <w:rsid w:val="000D0244"/>
    <w:rsid w:val="000E4041"/>
    <w:rsid w:val="001067BA"/>
    <w:rsid w:val="0011316F"/>
    <w:rsid w:val="00114A74"/>
    <w:rsid w:val="00120DD4"/>
    <w:rsid w:val="00134848"/>
    <w:rsid w:val="00152A7B"/>
    <w:rsid w:val="00177144"/>
    <w:rsid w:val="001A0D94"/>
    <w:rsid w:val="001A3DE2"/>
    <w:rsid w:val="001B117F"/>
    <w:rsid w:val="001C0614"/>
    <w:rsid w:val="001C50E6"/>
    <w:rsid w:val="001C50F8"/>
    <w:rsid w:val="001D57A8"/>
    <w:rsid w:val="001E2A67"/>
    <w:rsid w:val="00201C2B"/>
    <w:rsid w:val="002069DD"/>
    <w:rsid w:val="002132B9"/>
    <w:rsid w:val="002279D3"/>
    <w:rsid w:val="00235EBE"/>
    <w:rsid w:val="002504D5"/>
    <w:rsid w:val="002637DC"/>
    <w:rsid w:val="0027078D"/>
    <w:rsid w:val="00280DCB"/>
    <w:rsid w:val="002946C8"/>
    <w:rsid w:val="00294D1F"/>
    <w:rsid w:val="002E180B"/>
    <w:rsid w:val="002E601D"/>
    <w:rsid w:val="00303849"/>
    <w:rsid w:val="003355F9"/>
    <w:rsid w:val="003415A2"/>
    <w:rsid w:val="00352412"/>
    <w:rsid w:val="00352767"/>
    <w:rsid w:val="003749CE"/>
    <w:rsid w:val="003E570E"/>
    <w:rsid w:val="003E6DB3"/>
    <w:rsid w:val="00406FAA"/>
    <w:rsid w:val="00407CD6"/>
    <w:rsid w:val="0041743F"/>
    <w:rsid w:val="00434DB6"/>
    <w:rsid w:val="00437EEF"/>
    <w:rsid w:val="00460E19"/>
    <w:rsid w:val="00493D0A"/>
    <w:rsid w:val="004A0741"/>
    <w:rsid w:val="00507726"/>
    <w:rsid w:val="00524064"/>
    <w:rsid w:val="00532992"/>
    <w:rsid w:val="005338FA"/>
    <w:rsid w:val="00543D4F"/>
    <w:rsid w:val="00571091"/>
    <w:rsid w:val="00572F83"/>
    <w:rsid w:val="00574F9C"/>
    <w:rsid w:val="00591AC4"/>
    <w:rsid w:val="00594126"/>
    <w:rsid w:val="0059664C"/>
    <w:rsid w:val="005A353B"/>
    <w:rsid w:val="005B7F60"/>
    <w:rsid w:val="005D2CF2"/>
    <w:rsid w:val="005D310F"/>
    <w:rsid w:val="005D4688"/>
    <w:rsid w:val="005F46C1"/>
    <w:rsid w:val="0060091C"/>
    <w:rsid w:val="0061040C"/>
    <w:rsid w:val="006165A0"/>
    <w:rsid w:val="00623A46"/>
    <w:rsid w:val="00624790"/>
    <w:rsid w:val="00661FF4"/>
    <w:rsid w:val="00673F1C"/>
    <w:rsid w:val="006762AD"/>
    <w:rsid w:val="00685E53"/>
    <w:rsid w:val="00696CB2"/>
    <w:rsid w:val="00697EBB"/>
    <w:rsid w:val="006B782F"/>
    <w:rsid w:val="006B7DA3"/>
    <w:rsid w:val="006C4FB2"/>
    <w:rsid w:val="006E65D6"/>
    <w:rsid w:val="006E698D"/>
    <w:rsid w:val="006F5B2F"/>
    <w:rsid w:val="0070161E"/>
    <w:rsid w:val="007105F9"/>
    <w:rsid w:val="00756C80"/>
    <w:rsid w:val="0077312F"/>
    <w:rsid w:val="00791C17"/>
    <w:rsid w:val="007B5F87"/>
    <w:rsid w:val="007C42F2"/>
    <w:rsid w:val="007D1ACC"/>
    <w:rsid w:val="007D3BF9"/>
    <w:rsid w:val="007E4894"/>
    <w:rsid w:val="007F13CB"/>
    <w:rsid w:val="007F5BE5"/>
    <w:rsid w:val="00806CB3"/>
    <w:rsid w:val="00831833"/>
    <w:rsid w:val="00847A27"/>
    <w:rsid w:val="00862AB8"/>
    <w:rsid w:val="008706B0"/>
    <w:rsid w:val="008831D9"/>
    <w:rsid w:val="0088350A"/>
    <w:rsid w:val="008947A5"/>
    <w:rsid w:val="0089619A"/>
    <w:rsid w:val="00897499"/>
    <w:rsid w:val="008B245E"/>
    <w:rsid w:val="008B6982"/>
    <w:rsid w:val="008C0626"/>
    <w:rsid w:val="008C424F"/>
    <w:rsid w:val="008C61E4"/>
    <w:rsid w:val="008D59E0"/>
    <w:rsid w:val="008E7039"/>
    <w:rsid w:val="00907F14"/>
    <w:rsid w:val="00915AD8"/>
    <w:rsid w:val="009209C0"/>
    <w:rsid w:val="009250B3"/>
    <w:rsid w:val="00937495"/>
    <w:rsid w:val="0095288A"/>
    <w:rsid w:val="009619D5"/>
    <w:rsid w:val="00970DDC"/>
    <w:rsid w:val="009B1A83"/>
    <w:rsid w:val="009C5912"/>
    <w:rsid w:val="009D7099"/>
    <w:rsid w:val="009D7298"/>
    <w:rsid w:val="00A17281"/>
    <w:rsid w:val="00A30E91"/>
    <w:rsid w:val="00A31CBC"/>
    <w:rsid w:val="00A7035A"/>
    <w:rsid w:val="00A777C7"/>
    <w:rsid w:val="00A82956"/>
    <w:rsid w:val="00A960A0"/>
    <w:rsid w:val="00AA7A0D"/>
    <w:rsid w:val="00AC3787"/>
    <w:rsid w:val="00AC6622"/>
    <w:rsid w:val="00AC6EE1"/>
    <w:rsid w:val="00AD23B9"/>
    <w:rsid w:val="00AE706E"/>
    <w:rsid w:val="00AF41C4"/>
    <w:rsid w:val="00AF4A90"/>
    <w:rsid w:val="00B05653"/>
    <w:rsid w:val="00B12747"/>
    <w:rsid w:val="00B1540E"/>
    <w:rsid w:val="00B258B6"/>
    <w:rsid w:val="00B30C14"/>
    <w:rsid w:val="00B345F2"/>
    <w:rsid w:val="00B3672F"/>
    <w:rsid w:val="00B37786"/>
    <w:rsid w:val="00B46523"/>
    <w:rsid w:val="00B5188A"/>
    <w:rsid w:val="00B61F3D"/>
    <w:rsid w:val="00B704ED"/>
    <w:rsid w:val="00B9065F"/>
    <w:rsid w:val="00BA3351"/>
    <w:rsid w:val="00BC662A"/>
    <w:rsid w:val="00BE7A29"/>
    <w:rsid w:val="00C03CDB"/>
    <w:rsid w:val="00C1092B"/>
    <w:rsid w:val="00C12404"/>
    <w:rsid w:val="00C204A4"/>
    <w:rsid w:val="00C36C2D"/>
    <w:rsid w:val="00C416E6"/>
    <w:rsid w:val="00C711C7"/>
    <w:rsid w:val="00C817DC"/>
    <w:rsid w:val="00C8375E"/>
    <w:rsid w:val="00C852EE"/>
    <w:rsid w:val="00C921A4"/>
    <w:rsid w:val="00C978E0"/>
    <w:rsid w:val="00CA5088"/>
    <w:rsid w:val="00CD0079"/>
    <w:rsid w:val="00CD44E0"/>
    <w:rsid w:val="00CD5D88"/>
    <w:rsid w:val="00D00635"/>
    <w:rsid w:val="00D05A00"/>
    <w:rsid w:val="00D13740"/>
    <w:rsid w:val="00D20684"/>
    <w:rsid w:val="00D24366"/>
    <w:rsid w:val="00D316E1"/>
    <w:rsid w:val="00D46302"/>
    <w:rsid w:val="00D50EBF"/>
    <w:rsid w:val="00D85778"/>
    <w:rsid w:val="00DA24D1"/>
    <w:rsid w:val="00DA791E"/>
    <w:rsid w:val="00DC3708"/>
    <w:rsid w:val="00DC79CF"/>
    <w:rsid w:val="00DD345C"/>
    <w:rsid w:val="00DD7BEB"/>
    <w:rsid w:val="00DE0B76"/>
    <w:rsid w:val="00DE5F18"/>
    <w:rsid w:val="00E4192E"/>
    <w:rsid w:val="00E7154C"/>
    <w:rsid w:val="00E72D01"/>
    <w:rsid w:val="00E87247"/>
    <w:rsid w:val="00ED6DE2"/>
    <w:rsid w:val="00ED6EA9"/>
    <w:rsid w:val="00EF2D27"/>
    <w:rsid w:val="00F016D8"/>
    <w:rsid w:val="00F022B6"/>
    <w:rsid w:val="00F05B7E"/>
    <w:rsid w:val="00F07B1B"/>
    <w:rsid w:val="00F07E5F"/>
    <w:rsid w:val="00F322FF"/>
    <w:rsid w:val="00F43363"/>
    <w:rsid w:val="00F6060E"/>
    <w:rsid w:val="00F60E4B"/>
    <w:rsid w:val="00F64CEC"/>
    <w:rsid w:val="00F819FC"/>
    <w:rsid w:val="00F9294C"/>
    <w:rsid w:val="00FA5CEA"/>
    <w:rsid w:val="00FA6417"/>
    <w:rsid w:val="00FB05AE"/>
    <w:rsid w:val="00FB1C7C"/>
    <w:rsid w:val="00FB2B96"/>
    <w:rsid w:val="00FC2EB0"/>
    <w:rsid w:val="00FC6762"/>
    <w:rsid w:val="00FD2866"/>
    <w:rsid w:val="00FD4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1D"/>
    <w:pPr>
      <w:spacing w:before="240"/>
    </w:pPr>
    <w:rPr>
      <w:rFonts w:ascii="Times New Roman" w:eastAsia="Times New Roman" w:hAnsi="Times New Roman"/>
      <w:sz w:val="24"/>
    </w:rPr>
  </w:style>
  <w:style w:type="paragraph" w:styleId="Heading1">
    <w:name w:val="heading 1"/>
    <w:basedOn w:val="Normal"/>
    <w:next w:val="Normal"/>
    <w:link w:val="Heading1Char"/>
    <w:qFormat/>
    <w:rsid w:val="002E601D"/>
    <w:pPr>
      <w:keepNext/>
      <w:spacing w:after="60"/>
      <w:outlineLvl w:val="0"/>
    </w:pPr>
    <w:rPr>
      <w:rFonts w:cs="Arial"/>
      <w:b/>
      <w:bCs/>
      <w:kern w:val="32"/>
      <w:sz w:val="28"/>
      <w:szCs w:val="32"/>
      <w:lang w:val="en-US" w:eastAsia="en-US"/>
    </w:rPr>
  </w:style>
  <w:style w:type="paragraph" w:styleId="Heading3">
    <w:name w:val="heading 3"/>
    <w:basedOn w:val="Normal"/>
    <w:next w:val="Normal"/>
    <w:link w:val="Heading3Char"/>
    <w:qFormat/>
    <w:rsid w:val="002E601D"/>
    <w:pPr>
      <w:keepNext/>
      <w:spacing w:after="60"/>
      <w:outlineLvl w:val="2"/>
    </w:pPr>
    <w:rPr>
      <w:rFonts w:ascii="Arial" w:hAnsi="Arial" w:cs="Arial"/>
      <w:b/>
      <w:bCs/>
      <w:sz w:val="28"/>
      <w:szCs w:val="32"/>
      <w:lang w:val="en-US" w:eastAsia="en-US"/>
    </w:rPr>
  </w:style>
  <w:style w:type="paragraph" w:styleId="Heading6">
    <w:name w:val="heading 6"/>
    <w:basedOn w:val="Normal"/>
    <w:next w:val="Normal"/>
    <w:link w:val="Heading6Char"/>
    <w:qFormat/>
    <w:rsid w:val="002E601D"/>
    <w:pPr>
      <w:keepNext/>
      <w:ind w:right="91"/>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01D"/>
    <w:rPr>
      <w:rFonts w:ascii="Times New Roman" w:eastAsia="Times New Roman" w:hAnsi="Times New Roman" w:cs="Arial"/>
      <w:b/>
      <w:bCs/>
      <w:kern w:val="32"/>
      <w:sz w:val="28"/>
      <w:szCs w:val="32"/>
      <w:lang w:val="en-US"/>
    </w:rPr>
  </w:style>
  <w:style w:type="character" w:customStyle="1" w:styleId="Heading3Char">
    <w:name w:val="Heading 3 Char"/>
    <w:basedOn w:val="DefaultParagraphFont"/>
    <w:link w:val="Heading3"/>
    <w:semiHidden/>
    <w:rsid w:val="002E601D"/>
    <w:rPr>
      <w:rFonts w:ascii="Arial" w:eastAsia="Times New Roman" w:hAnsi="Arial" w:cs="Arial"/>
      <w:b/>
      <w:bCs/>
      <w:sz w:val="28"/>
      <w:szCs w:val="32"/>
      <w:lang w:val="en-US"/>
    </w:rPr>
  </w:style>
  <w:style w:type="character" w:customStyle="1" w:styleId="Heading6Char">
    <w:name w:val="Heading 6 Char"/>
    <w:basedOn w:val="DefaultParagraphFont"/>
    <w:link w:val="Heading6"/>
    <w:semiHidden/>
    <w:rsid w:val="002E601D"/>
    <w:rPr>
      <w:rFonts w:ascii="Times New Roman" w:eastAsia="Times New Roman" w:hAnsi="Times New Roman" w:cs="Times New Roman"/>
      <w:b/>
      <w:sz w:val="24"/>
      <w:szCs w:val="20"/>
      <w:lang w:eastAsia="en-AU"/>
    </w:rPr>
  </w:style>
  <w:style w:type="paragraph" w:styleId="CommentText">
    <w:name w:val="annotation text"/>
    <w:basedOn w:val="Normal"/>
    <w:link w:val="CommentTextChar"/>
    <w:unhideWhenUsed/>
    <w:rsid w:val="002E601D"/>
    <w:rPr>
      <w:sz w:val="20"/>
    </w:rPr>
  </w:style>
  <w:style w:type="character" w:customStyle="1" w:styleId="CommentTextChar">
    <w:name w:val="Comment Text Char"/>
    <w:basedOn w:val="DefaultParagraphFont"/>
    <w:link w:val="CommentText"/>
    <w:rsid w:val="002E601D"/>
    <w:rPr>
      <w:rFonts w:ascii="Times New Roman" w:eastAsia="Times New Roman" w:hAnsi="Times New Roman" w:cs="Times New Roman"/>
      <w:sz w:val="20"/>
      <w:szCs w:val="20"/>
      <w:lang w:eastAsia="en-AU"/>
    </w:rPr>
  </w:style>
  <w:style w:type="character" w:styleId="CommentReference">
    <w:name w:val="annotation reference"/>
    <w:basedOn w:val="DefaultParagraphFont"/>
    <w:unhideWhenUsed/>
    <w:rsid w:val="002E601D"/>
    <w:rPr>
      <w:sz w:val="16"/>
      <w:szCs w:val="16"/>
    </w:rPr>
  </w:style>
  <w:style w:type="paragraph" w:styleId="BalloonText">
    <w:name w:val="Balloon Text"/>
    <w:basedOn w:val="Normal"/>
    <w:link w:val="BalloonTextChar"/>
    <w:uiPriority w:val="99"/>
    <w:semiHidden/>
    <w:unhideWhenUsed/>
    <w:rsid w:val="002E601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01D"/>
    <w:rPr>
      <w:rFonts w:ascii="Tahoma" w:eastAsia="Times New Roman" w:hAnsi="Tahoma" w:cs="Tahoma"/>
      <w:sz w:val="16"/>
      <w:szCs w:val="16"/>
      <w:lang w:eastAsia="en-AU"/>
    </w:rPr>
  </w:style>
  <w:style w:type="paragraph" w:customStyle="1" w:styleId="Bullet">
    <w:name w:val="Bullet"/>
    <w:basedOn w:val="Normal"/>
    <w:link w:val="BulletChar"/>
    <w:rsid w:val="00F9294C"/>
    <w:pPr>
      <w:numPr>
        <w:numId w:val="1"/>
      </w:numPr>
    </w:pPr>
  </w:style>
  <w:style w:type="character" w:customStyle="1" w:styleId="BulletChar">
    <w:name w:val="Bullet Char"/>
    <w:basedOn w:val="DefaultParagraphFont"/>
    <w:link w:val="Bullet"/>
    <w:rsid w:val="00F9294C"/>
    <w:rPr>
      <w:rFonts w:ascii="Times New Roman" w:eastAsia="Times New Roman" w:hAnsi="Times New Roman" w:cs="Times New Roman"/>
      <w:sz w:val="24"/>
      <w:szCs w:val="20"/>
      <w:lang w:eastAsia="en-AU"/>
    </w:rPr>
  </w:style>
  <w:style w:type="paragraph" w:customStyle="1" w:styleId="Dash">
    <w:name w:val="Dash"/>
    <w:basedOn w:val="Normal"/>
    <w:link w:val="DashChar"/>
    <w:rsid w:val="00F9294C"/>
    <w:pPr>
      <w:numPr>
        <w:ilvl w:val="1"/>
        <w:numId w:val="1"/>
      </w:numPr>
    </w:pPr>
  </w:style>
  <w:style w:type="character" w:customStyle="1" w:styleId="DashChar">
    <w:name w:val="Dash Char"/>
    <w:basedOn w:val="DefaultParagraphFont"/>
    <w:link w:val="Dash"/>
    <w:rsid w:val="00F9294C"/>
    <w:rPr>
      <w:rFonts w:ascii="Times New Roman" w:eastAsia="Times New Roman" w:hAnsi="Times New Roman" w:cs="Times New Roman"/>
      <w:sz w:val="24"/>
      <w:szCs w:val="20"/>
      <w:lang w:eastAsia="en-AU"/>
    </w:rPr>
  </w:style>
  <w:style w:type="paragraph" w:customStyle="1" w:styleId="DoubleDot">
    <w:name w:val="Double Dot"/>
    <w:basedOn w:val="Normal"/>
    <w:link w:val="DoubleDotChar"/>
    <w:rsid w:val="00F9294C"/>
    <w:pPr>
      <w:numPr>
        <w:ilvl w:val="2"/>
        <w:numId w:val="1"/>
      </w:numPr>
    </w:pPr>
  </w:style>
  <w:style w:type="character" w:customStyle="1" w:styleId="DoubleDotChar">
    <w:name w:val="Double Dot Char"/>
    <w:basedOn w:val="DefaultParagraphFont"/>
    <w:link w:val="DoubleDot"/>
    <w:rsid w:val="00F9294C"/>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201C2B"/>
    <w:pPr>
      <w:ind w:left="720"/>
    </w:pPr>
  </w:style>
  <w:style w:type="paragraph" w:customStyle="1" w:styleId="OutlineNumbered1">
    <w:name w:val="Outline Numbered 1"/>
    <w:basedOn w:val="Normal"/>
    <w:link w:val="OutlineNumbered1Char"/>
    <w:rsid w:val="00201C2B"/>
    <w:pPr>
      <w:numPr>
        <w:numId w:val="2"/>
      </w:numPr>
    </w:pPr>
  </w:style>
  <w:style w:type="character" w:customStyle="1" w:styleId="OutlineNumbered1Char">
    <w:name w:val="Outline Numbered 1 Char"/>
    <w:basedOn w:val="BulletChar"/>
    <w:link w:val="OutlineNumbered1"/>
    <w:rsid w:val="00201C2B"/>
    <w:rPr>
      <w:rFonts w:ascii="Times New Roman" w:eastAsia="Times New Roman" w:hAnsi="Times New Roman" w:cs="Times New Roman"/>
      <w:sz w:val="24"/>
      <w:szCs w:val="20"/>
      <w:lang w:eastAsia="en-AU"/>
    </w:rPr>
  </w:style>
  <w:style w:type="paragraph" w:customStyle="1" w:styleId="OutlineNumbered2">
    <w:name w:val="Outline Numbered 2"/>
    <w:basedOn w:val="Normal"/>
    <w:link w:val="OutlineNumbered2Char"/>
    <w:rsid w:val="00201C2B"/>
    <w:pPr>
      <w:numPr>
        <w:ilvl w:val="1"/>
        <w:numId w:val="2"/>
      </w:numPr>
    </w:pPr>
  </w:style>
  <w:style w:type="character" w:customStyle="1" w:styleId="OutlineNumbered2Char">
    <w:name w:val="Outline Numbered 2 Char"/>
    <w:basedOn w:val="BulletChar"/>
    <w:link w:val="OutlineNumbered2"/>
    <w:rsid w:val="00201C2B"/>
    <w:rPr>
      <w:rFonts w:ascii="Times New Roman" w:eastAsia="Times New Roman" w:hAnsi="Times New Roman" w:cs="Times New Roman"/>
      <w:sz w:val="24"/>
      <w:szCs w:val="20"/>
      <w:lang w:eastAsia="en-AU"/>
    </w:rPr>
  </w:style>
  <w:style w:type="paragraph" w:customStyle="1" w:styleId="OutlineNumbered3">
    <w:name w:val="Outline Numbered 3"/>
    <w:basedOn w:val="Normal"/>
    <w:link w:val="OutlineNumbered3Char"/>
    <w:rsid w:val="00201C2B"/>
    <w:pPr>
      <w:numPr>
        <w:ilvl w:val="2"/>
        <w:numId w:val="2"/>
      </w:numPr>
    </w:pPr>
  </w:style>
  <w:style w:type="character" w:customStyle="1" w:styleId="OutlineNumbered3Char">
    <w:name w:val="Outline Numbered 3 Char"/>
    <w:basedOn w:val="BulletChar"/>
    <w:link w:val="OutlineNumbered3"/>
    <w:rsid w:val="00201C2B"/>
    <w:rPr>
      <w:rFonts w:ascii="Times New Roman" w:eastAsia="Times New Roman" w:hAnsi="Times New Roman" w:cs="Times New Roman"/>
      <w:sz w:val="24"/>
      <w:szCs w:val="20"/>
      <w:lang w:eastAsia="en-AU"/>
    </w:rPr>
  </w:style>
  <w:style w:type="paragraph" w:styleId="CommentSubject">
    <w:name w:val="annotation subject"/>
    <w:basedOn w:val="CommentText"/>
    <w:next w:val="CommentText"/>
    <w:link w:val="CommentSubjectChar"/>
    <w:uiPriority w:val="99"/>
    <w:semiHidden/>
    <w:unhideWhenUsed/>
    <w:rsid w:val="005F46C1"/>
    <w:rPr>
      <w:b/>
      <w:bCs/>
    </w:rPr>
  </w:style>
  <w:style w:type="character" w:customStyle="1" w:styleId="CommentSubjectChar">
    <w:name w:val="Comment Subject Char"/>
    <w:basedOn w:val="CommentTextChar"/>
    <w:link w:val="CommentSubject"/>
    <w:uiPriority w:val="99"/>
    <w:semiHidden/>
    <w:rsid w:val="005F46C1"/>
    <w:rPr>
      <w:rFonts w:ascii="Times New Roman" w:eastAsia="Times New Roman" w:hAnsi="Times New Roman" w:cs="Times New Roman"/>
      <w:b/>
      <w:bCs/>
      <w:sz w:val="20"/>
      <w:szCs w:val="20"/>
      <w:lang w:eastAsia="en-AU"/>
    </w:rPr>
  </w:style>
  <w:style w:type="paragraph" w:customStyle="1" w:styleId="Style1">
    <w:name w:val="Style1"/>
    <w:basedOn w:val="Bullet"/>
    <w:link w:val="Style1Char"/>
    <w:qFormat/>
    <w:rsid w:val="00A7035A"/>
  </w:style>
  <w:style w:type="character" w:customStyle="1" w:styleId="Style1Char">
    <w:name w:val="Style1 Char"/>
    <w:basedOn w:val="BulletChar"/>
    <w:link w:val="Style1"/>
    <w:rsid w:val="00A7035A"/>
    <w:rPr>
      <w:rFonts w:ascii="Times New Roman" w:eastAsia="Times New Roman" w:hAnsi="Times New Roman" w:cs="Times New Roman"/>
      <w:sz w:val="24"/>
      <w:szCs w:val="20"/>
      <w:lang w:eastAsia="en-AU"/>
    </w:rPr>
  </w:style>
  <w:style w:type="paragraph" w:customStyle="1" w:styleId="subsection">
    <w:name w:val="subsection"/>
    <w:basedOn w:val="Normal"/>
    <w:rsid w:val="009250B3"/>
    <w:pPr>
      <w:spacing w:before="100" w:beforeAutospacing="1" w:after="100" w:afterAutospacing="1"/>
    </w:pPr>
    <w:rPr>
      <w:szCs w:val="24"/>
    </w:rPr>
  </w:style>
  <w:style w:type="paragraph" w:customStyle="1" w:styleId="paragraph">
    <w:name w:val="paragraph"/>
    <w:basedOn w:val="Normal"/>
    <w:rsid w:val="009250B3"/>
    <w:pPr>
      <w:spacing w:before="100" w:beforeAutospacing="1" w:after="100" w:afterAutospacing="1"/>
    </w:pPr>
    <w:rPr>
      <w:szCs w:val="24"/>
    </w:rPr>
  </w:style>
  <w:style w:type="paragraph" w:customStyle="1" w:styleId="zr2">
    <w:name w:val="zr2"/>
    <w:basedOn w:val="Normal"/>
    <w:rsid w:val="00A17281"/>
    <w:pPr>
      <w:spacing w:before="100" w:beforeAutospacing="1" w:after="100" w:afterAutospacing="1"/>
    </w:pPr>
    <w:rPr>
      <w:szCs w:val="24"/>
    </w:rPr>
  </w:style>
  <w:style w:type="paragraph" w:customStyle="1" w:styleId="p1">
    <w:name w:val="p1"/>
    <w:basedOn w:val="Normal"/>
    <w:rsid w:val="00A17281"/>
    <w:pPr>
      <w:spacing w:before="100" w:beforeAutospacing="1" w:after="100" w:afterAutospacing="1"/>
    </w:pPr>
    <w:rPr>
      <w:szCs w:val="24"/>
    </w:rPr>
  </w:style>
  <w:style w:type="paragraph" w:styleId="Header">
    <w:name w:val="header"/>
    <w:basedOn w:val="Normal"/>
    <w:link w:val="HeaderChar"/>
    <w:uiPriority w:val="99"/>
    <w:semiHidden/>
    <w:unhideWhenUsed/>
    <w:rsid w:val="00F07E5F"/>
    <w:pPr>
      <w:tabs>
        <w:tab w:val="center" w:pos="4513"/>
        <w:tab w:val="right" w:pos="9026"/>
      </w:tabs>
      <w:spacing w:before="0"/>
    </w:pPr>
  </w:style>
  <w:style w:type="character" w:customStyle="1" w:styleId="HeaderChar">
    <w:name w:val="Header Char"/>
    <w:basedOn w:val="DefaultParagraphFont"/>
    <w:link w:val="Header"/>
    <w:uiPriority w:val="99"/>
    <w:semiHidden/>
    <w:rsid w:val="00F07E5F"/>
    <w:rPr>
      <w:rFonts w:ascii="Times New Roman" w:eastAsia="Times New Roman" w:hAnsi="Times New Roman"/>
      <w:sz w:val="24"/>
    </w:rPr>
  </w:style>
  <w:style w:type="paragraph" w:styleId="Footer">
    <w:name w:val="footer"/>
    <w:basedOn w:val="Normal"/>
    <w:link w:val="FooterChar"/>
    <w:uiPriority w:val="99"/>
    <w:unhideWhenUsed/>
    <w:rsid w:val="00F07E5F"/>
    <w:pPr>
      <w:tabs>
        <w:tab w:val="center" w:pos="4513"/>
        <w:tab w:val="right" w:pos="9026"/>
      </w:tabs>
      <w:spacing w:before="0"/>
    </w:pPr>
  </w:style>
  <w:style w:type="character" w:customStyle="1" w:styleId="FooterChar">
    <w:name w:val="Footer Char"/>
    <w:basedOn w:val="DefaultParagraphFont"/>
    <w:link w:val="Footer"/>
    <w:uiPriority w:val="99"/>
    <w:rsid w:val="00F07E5F"/>
    <w:rPr>
      <w:rFonts w:ascii="Times New Roman" w:eastAsia="Times New Roman" w:hAnsi="Times New Roman"/>
      <w:sz w:val="24"/>
    </w:rPr>
  </w:style>
  <w:style w:type="paragraph" w:customStyle="1" w:styleId="definition">
    <w:name w:val="definition"/>
    <w:basedOn w:val="Normal"/>
    <w:rsid w:val="00407CD6"/>
    <w:pPr>
      <w:spacing w:before="80" w:line="260" w:lineRule="exact"/>
      <w:ind w:left="964"/>
      <w:jc w:val="both"/>
    </w:pPr>
    <w:rPr>
      <w:szCs w:val="24"/>
    </w:rPr>
  </w:style>
  <w:style w:type="character" w:styleId="Hyperlink">
    <w:name w:val="Hyperlink"/>
    <w:basedOn w:val="DefaultParagraphFont"/>
    <w:uiPriority w:val="99"/>
    <w:unhideWhenUsed/>
    <w:rsid w:val="00407CD6"/>
    <w:rPr>
      <w:color w:val="0000FF" w:themeColor="hyperlink"/>
      <w:u w:val="single"/>
    </w:rPr>
  </w:style>
  <w:style w:type="paragraph" w:styleId="NormalWeb">
    <w:name w:val="Normal (Web)"/>
    <w:basedOn w:val="Normal"/>
    <w:uiPriority w:val="99"/>
    <w:semiHidden/>
    <w:unhideWhenUsed/>
    <w:rsid w:val="00B30C14"/>
    <w:rPr>
      <w:szCs w:val="24"/>
    </w:rPr>
  </w:style>
  <w:style w:type="character" w:styleId="FollowedHyperlink">
    <w:name w:val="FollowedHyperlink"/>
    <w:basedOn w:val="DefaultParagraphFont"/>
    <w:uiPriority w:val="99"/>
    <w:semiHidden/>
    <w:unhideWhenUsed/>
    <w:rsid w:val="005338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1726">
      <w:bodyDiv w:val="1"/>
      <w:marLeft w:val="0"/>
      <w:marRight w:val="0"/>
      <w:marTop w:val="0"/>
      <w:marBottom w:val="0"/>
      <w:divBdr>
        <w:top w:val="none" w:sz="0" w:space="0" w:color="auto"/>
        <w:left w:val="none" w:sz="0" w:space="0" w:color="auto"/>
        <w:bottom w:val="none" w:sz="0" w:space="0" w:color="auto"/>
        <w:right w:val="none" w:sz="0" w:space="0" w:color="auto"/>
      </w:divBdr>
      <w:divsChild>
        <w:div w:id="999037871">
          <w:marLeft w:val="0"/>
          <w:marRight w:val="0"/>
          <w:marTop w:val="0"/>
          <w:marBottom w:val="360"/>
          <w:divBdr>
            <w:top w:val="none" w:sz="0" w:space="0" w:color="auto"/>
            <w:left w:val="none" w:sz="0" w:space="0" w:color="auto"/>
            <w:bottom w:val="none" w:sz="0" w:space="0" w:color="auto"/>
            <w:right w:val="none" w:sz="0" w:space="0" w:color="auto"/>
          </w:divBdr>
          <w:divsChild>
            <w:div w:id="60686371">
              <w:marLeft w:val="0"/>
              <w:marRight w:val="0"/>
              <w:marTop w:val="0"/>
              <w:marBottom w:val="0"/>
              <w:divBdr>
                <w:top w:val="none" w:sz="0" w:space="0" w:color="auto"/>
                <w:left w:val="none" w:sz="0" w:space="0" w:color="auto"/>
                <w:bottom w:val="none" w:sz="0" w:space="0" w:color="auto"/>
                <w:right w:val="none" w:sz="0" w:space="0" w:color="auto"/>
              </w:divBdr>
              <w:divsChild>
                <w:div w:id="7469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30622">
      <w:bodyDiv w:val="1"/>
      <w:marLeft w:val="0"/>
      <w:marRight w:val="0"/>
      <w:marTop w:val="0"/>
      <w:marBottom w:val="0"/>
      <w:divBdr>
        <w:top w:val="none" w:sz="0" w:space="0" w:color="auto"/>
        <w:left w:val="none" w:sz="0" w:space="0" w:color="auto"/>
        <w:bottom w:val="none" w:sz="0" w:space="0" w:color="auto"/>
        <w:right w:val="none" w:sz="0" w:space="0" w:color="auto"/>
      </w:divBdr>
      <w:divsChild>
        <w:div w:id="289362093">
          <w:marLeft w:val="0"/>
          <w:marRight w:val="0"/>
          <w:marTop w:val="0"/>
          <w:marBottom w:val="0"/>
          <w:divBdr>
            <w:top w:val="none" w:sz="0" w:space="0" w:color="auto"/>
            <w:left w:val="none" w:sz="0" w:space="0" w:color="auto"/>
            <w:bottom w:val="none" w:sz="0" w:space="0" w:color="auto"/>
            <w:right w:val="none" w:sz="0" w:space="0" w:color="auto"/>
          </w:divBdr>
          <w:divsChild>
            <w:div w:id="18089845">
              <w:marLeft w:val="0"/>
              <w:marRight w:val="0"/>
              <w:marTop w:val="0"/>
              <w:marBottom w:val="0"/>
              <w:divBdr>
                <w:top w:val="none" w:sz="0" w:space="0" w:color="auto"/>
                <w:left w:val="none" w:sz="0" w:space="0" w:color="auto"/>
                <w:bottom w:val="none" w:sz="0" w:space="0" w:color="auto"/>
                <w:right w:val="none" w:sz="0" w:space="0" w:color="auto"/>
              </w:divBdr>
              <w:divsChild>
                <w:div w:id="1092162488">
                  <w:marLeft w:val="0"/>
                  <w:marRight w:val="0"/>
                  <w:marTop w:val="0"/>
                  <w:marBottom w:val="0"/>
                  <w:divBdr>
                    <w:top w:val="none" w:sz="0" w:space="0" w:color="auto"/>
                    <w:left w:val="none" w:sz="0" w:space="0" w:color="auto"/>
                    <w:bottom w:val="none" w:sz="0" w:space="0" w:color="auto"/>
                    <w:right w:val="none" w:sz="0" w:space="0" w:color="auto"/>
                  </w:divBdr>
                  <w:divsChild>
                    <w:div w:id="827553795">
                      <w:marLeft w:val="0"/>
                      <w:marRight w:val="0"/>
                      <w:marTop w:val="0"/>
                      <w:marBottom w:val="0"/>
                      <w:divBdr>
                        <w:top w:val="none" w:sz="0" w:space="0" w:color="auto"/>
                        <w:left w:val="none" w:sz="0" w:space="0" w:color="auto"/>
                        <w:bottom w:val="none" w:sz="0" w:space="0" w:color="auto"/>
                        <w:right w:val="none" w:sz="0" w:space="0" w:color="auto"/>
                      </w:divBdr>
                      <w:divsChild>
                        <w:div w:id="1954359387">
                          <w:marLeft w:val="0"/>
                          <w:marRight w:val="0"/>
                          <w:marTop w:val="0"/>
                          <w:marBottom w:val="0"/>
                          <w:divBdr>
                            <w:top w:val="single" w:sz="6" w:space="0" w:color="828282"/>
                            <w:left w:val="single" w:sz="6" w:space="0" w:color="828282"/>
                            <w:bottom w:val="single" w:sz="6" w:space="0" w:color="828282"/>
                            <w:right w:val="single" w:sz="6" w:space="0" w:color="828282"/>
                          </w:divBdr>
                          <w:divsChild>
                            <w:div w:id="246116446">
                              <w:marLeft w:val="0"/>
                              <w:marRight w:val="0"/>
                              <w:marTop w:val="0"/>
                              <w:marBottom w:val="0"/>
                              <w:divBdr>
                                <w:top w:val="none" w:sz="0" w:space="0" w:color="auto"/>
                                <w:left w:val="none" w:sz="0" w:space="0" w:color="auto"/>
                                <w:bottom w:val="none" w:sz="0" w:space="0" w:color="auto"/>
                                <w:right w:val="none" w:sz="0" w:space="0" w:color="auto"/>
                              </w:divBdr>
                              <w:divsChild>
                                <w:div w:id="1619532258">
                                  <w:marLeft w:val="0"/>
                                  <w:marRight w:val="0"/>
                                  <w:marTop w:val="0"/>
                                  <w:marBottom w:val="0"/>
                                  <w:divBdr>
                                    <w:top w:val="none" w:sz="0" w:space="0" w:color="auto"/>
                                    <w:left w:val="none" w:sz="0" w:space="0" w:color="auto"/>
                                    <w:bottom w:val="none" w:sz="0" w:space="0" w:color="auto"/>
                                    <w:right w:val="none" w:sz="0" w:space="0" w:color="auto"/>
                                  </w:divBdr>
                                  <w:divsChild>
                                    <w:div w:id="385252770">
                                      <w:marLeft w:val="0"/>
                                      <w:marRight w:val="0"/>
                                      <w:marTop w:val="0"/>
                                      <w:marBottom w:val="0"/>
                                      <w:divBdr>
                                        <w:top w:val="none" w:sz="0" w:space="0" w:color="auto"/>
                                        <w:left w:val="none" w:sz="0" w:space="0" w:color="auto"/>
                                        <w:bottom w:val="none" w:sz="0" w:space="0" w:color="auto"/>
                                        <w:right w:val="none" w:sz="0" w:space="0" w:color="auto"/>
                                      </w:divBdr>
                                      <w:divsChild>
                                        <w:div w:id="716709714">
                                          <w:marLeft w:val="0"/>
                                          <w:marRight w:val="0"/>
                                          <w:marTop w:val="0"/>
                                          <w:marBottom w:val="0"/>
                                          <w:divBdr>
                                            <w:top w:val="none" w:sz="0" w:space="0" w:color="auto"/>
                                            <w:left w:val="none" w:sz="0" w:space="0" w:color="auto"/>
                                            <w:bottom w:val="none" w:sz="0" w:space="0" w:color="auto"/>
                                            <w:right w:val="none" w:sz="0" w:space="0" w:color="auto"/>
                                          </w:divBdr>
                                          <w:divsChild>
                                            <w:div w:id="2006979073">
                                              <w:marLeft w:val="0"/>
                                              <w:marRight w:val="0"/>
                                              <w:marTop w:val="0"/>
                                              <w:marBottom w:val="0"/>
                                              <w:divBdr>
                                                <w:top w:val="none" w:sz="0" w:space="0" w:color="auto"/>
                                                <w:left w:val="none" w:sz="0" w:space="0" w:color="auto"/>
                                                <w:bottom w:val="none" w:sz="0" w:space="0" w:color="auto"/>
                                                <w:right w:val="none" w:sz="0" w:space="0" w:color="auto"/>
                                              </w:divBdr>
                                              <w:divsChild>
                                                <w:div w:id="1122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236921">
      <w:bodyDiv w:val="1"/>
      <w:marLeft w:val="0"/>
      <w:marRight w:val="0"/>
      <w:marTop w:val="0"/>
      <w:marBottom w:val="0"/>
      <w:divBdr>
        <w:top w:val="none" w:sz="0" w:space="0" w:color="auto"/>
        <w:left w:val="none" w:sz="0" w:space="0" w:color="auto"/>
        <w:bottom w:val="none" w:sz="0" w:space="0" w:color="auto"/>
        <w:right w:val="none" w:sz="0" w:space="0" w:color="auto"/>
      </w:divBdr>
      <w:divsChild>
        <w:div w:id="148374729">
          <w:marLeft w:val="0"/>
          <w:marRight w:val="0"/>
          <w:marTop w:val="0"/>
          <w:marBottom w:val="0"/>
          <w:divBdr>
            <w:top w:val="none" w:sz="0" w:space="0" w:color="auto"/>
            <w:left w:val="none" w:sz="0" w:space="0" w:color="auto"/>
            <w:bottom w:val="none" w:sz="0" w:space="0" w:color="auto"/>
            <w:right w:val="none" w:sz="0" w:space="0" w:color="auto"/>
          </w:divBdr>
          <w:divsChild>
            <w:div w:id="1773477063">
              <w:marLeft w:val="0"/>
              <w:marRight w:val="0"/>
              <w:marTop w:val="0"/>
              <w:marBottom w:val="0"/>
              <w:divBdr>
                <w:top w:val="none" w:sz="0" w:space="0" w:color="auto"/>
                <w:left w:val="none" w:sz="0" w:space="0" w:color="auto"/>
                <w:bottom w:val="none" w:sz="0" w:space="0" w:color="auto"/>
                <w:right w:val="none" w:sz="0" w:space="0" w:color="auto"/>
              </w:divBdr>
              <w:divsChild>
                <w:div w:id="1864323978">
                  <w:marLeft w:val="0"/>
                  <w:marRight w:val="0"/>
                  <w:marTop w:val="0"/>
                  <w:marBottom w:val="0"/>
                  <w:divBdr>
                    <w:top w:val="none" w:sz="0" w:space="0" w:color="auto"/>
                    <w:left w:val="none" w:sz="0" w:space="0" w:color="auto"/>
                    <w:bottom w:val="none" w:sz="0" w:space="0" w:color="auto"/>
                    <w:right w:val="none" w:sz="0" w:space="0" w:color="auto"/>
                  </w:divBdr>
                  <w:divsChild>
                    <w:div w:id="13472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94590">
      <w:bodyDiv w:val="1"/>
      <w:marLeft w:val="0"/>
      <w:marRight w:val="0"/>
      <w:marTop w:val="0"/>
      <w:marBottom w:val="0"/>
      <w:divBdr>
        <w:top w:val="none" w:sz="0" w:space="0" w:color="auto"/>
        <w:left w:val="none" w:sz="0" w:space="0" w:color="auto"/>
        <w:bottom w:val="none" w:sz="0" w:space="0" w:color="auto"/>
        <w:right w:val="none" w:sz="0" w:space="0" w:color="auto"/>
      </w:divBdr>
      <w:divsChild>
        <w:div w:id="2108496278">
          <w:marLeft w:val="0"/>
          <w:marRight w:val="0"/>
          <w:marTop w:val="0"/>
          <w:marBottom w:val="0"/>
          <w:divBdr>
            <w:top w:val="none" w:sz="0" w:space="0" w:color="auto"/>
            <w:left w:val="none" w:sz="0" w:space="0" w:color="auto"/>
            <w:bottom w:val="none" w:sz="0" w:space="0" w:color="auto"/>
            <w:right w:val="none" w:sz="0" w:space="0" w:color="auto"/>
          </w:divBdr>
          <w:divsChild>
            <w:div w:id="1220433115">
              <w:marLeft w:val="0"/>
              <w:marRight w:val="0"/>
              <w:marTop w:val="0"/>
              <w:marBottom w:val="0"/>
              <w:divBdr>
                <w:top w:val="none" w:sz="0" w:space="0" w:color="auto"/>
                <w:left w:val="none" w:sz="0" w:space="0" w:color="auto"/>
                <w:bottom w:val="none" w:sz="0" w:space="0" w:color="auto"/>
                <w:right w:val="none" w:sz="0" w:space="0" w:color="auto"/>
              </w:divBdr>
              <w:divsChild>
                <w:div w:id="260994235">
                  <w:marLeft w:val="0"/>
                  <w:marRight w:val="0"/>
                  <w:marTop w:val="0"/>
                  <w:marBottom w:val="0"/>
                  <w:divBdr>
                    <w:top w:val="none" w:sz="0" w:space="0" w:color="auto"/>
                    <w:left w:val="none" w:sz="0" w:space="0" w:color="auto"/>
                    <w:bottom w:val="none" w:sz="0" w:space="0" w:color="auto"/>
                    <w:right w:val="none" w:sz="0" w:space="0" w:color="auto"/>
                  </w:divBdr>
                  <w:divsChild>
                    <w:div w:id="1564678393">
                      <w:marLeft w:val="0"/>
                      <w:marRight w:val="0"/>
                      <w:marTop w:val="0"/>
                      <w:marBottom w:val="0"/>
                      <w:divBdr>
                        <w:top w:val="none" w:sz="0" w:space="0" w:color="auto"/>
                        <w:left w:val="none" w:sz="0" w:space="0" w:color="auto"/>
                        <w:bottom w:val="none" w:sz="0" w:space="0" w:color="auto"/>
                        <w:right w:val="none" w:sz="0" w:space="0" w:color="auto"/>
                      </w:divBdr>
                      <w:divsChild>
                        <w:div w:id="1406143117">
                          <w:marLeft w:val="0"/>
                          <w:marRight w:val="0"/>
                          <w:marTop w:val="0"/>
                          <w:marBottom w:val="0"/>
                          <w:divBdr>
                            <w:top w:val="single" w:sz="6" w:space="0" w:color="828282"/>
                            <w:left w:val="single" w:sz="6" w:space="0" w:color="828282"/>
                            <w:bottom w:val="single" w:sz="6" w:space="0" w:color="828282"/>
                            <w:right w:val="single" w:sz="6" w:space="0" w:color="828282"/>
                          </w:divBdr>
                          <w:divsChild>
                            <w:div w:id="318967367">
                              <w:marLeft w:val="0"/>
                              <w:marRight w:val="0"/>
                              <w:marTop w:val="0"/>
                              <w:marBottom w:val="0"/>
                              <w:divBdr>
                                <w:top w:val="none" w:sz="0" w:space="0" w:color="auto"/>
                                <w:left w:val="none" w:sz="0" w:space="0" w:color="auto"/>
                                <w:bottom w:val="none" w:sz="0" w:space="0" w:color="auto"/>
                                <w:right w:val="none" w:sz="0" w:space="0" w:color="auto"/>
                              </w:divBdr>
                              <w:divsChild>
                                <w:div w:id="1750732164">
                                  <w:marLeft w:val="0"/>
                                  <w:marRight w:val="0"/>
                                  <w:marTop w:val="0"/>
                                  <w:marBottom w:val="0"/>
                                  <w:divBdr>
                                    <w:top w:val="none" w:sz="0" w:space="0" w:color="auto"/>
                                    <w:left w:val="none" w:sz="0" w:space="0" w:color="auto"/>
                                    <w:bottom w:val="none" w:sz="0" w:space="0" w:color="auto"/>
                                    <w:right w:val="none" w:sz="0" w:space="0" w:color="auto"/>
                                  </w:divBdr>
                                  <w:divsChild>
                                    <w:div w:id="1942373610">
                                      <w:marLeft w:val="0"/>
                                      <w:marRight w:val="0"/>
                                      <w:marTop w:val="0"/>
                                      <w:marBottom w:val="0"/>
                                      <w:divBdr>
                                        <w:top w:val="none" w:sz="0" w:space="0" w:color="auto"/>
                                        <w:left w:val="none" w:sz="0" w:space="0" w:color="auto"/>
                                        <w:bottom w:val="none" w:sz="0" w:space="0" w:color="auto"/>
                                        <w:right w:val="none" w:sz="0" w:space="0" w:color="auto"/>
                                      </w:divBdr>
                                      <w:divsChild>
                                        <w:div w:id="2098552384">
                                          <w:marLeft w:val="0"/>
                                          <w:marRight w:val="0"/>
                                          <w:marTop w:val="0"/>
                                          <w:marBottom w:val="0"/>
                                          <w:divBdr>
                                            <w:top w:val="none" w:sz="0" w:space="0" w:color="auto"/>
                                            <w:left w:val="none" w:sz="0" w:space="0" w:color="auto"/>
                                            <w:bottom w:val="none" w:sz="0" w:space="0" w:color="auto"/>
                                            <w:right w:val="none" w:sz="0" w:space="0" w:color="auto"/>
                                          </w:divBdr>
                                          <w:divsChild>
                                            <w:div w:id="1488401318">
                                              <w:marLeft w:val="0"/>
                                              <w:marRight w:val="0"/>
                                              <w:marTop w:val="0"/>
                                              <w:marBottom w:val="0"/>
                                              <w:divBdr>
                                                <w:top w:val="none" w:sz="0" w:space="0" w:color="auto"/>
                                                <w:left w:val="none" w:sz="0" w:space="0" w:color="auto"/>
                                                <w:bottom w:val="none" w:sz="0" w:space="0" w:color="auto"/>
                                                <w:right w:val="none" w:sz="0" w:space="0" w:color="auto"/>
                                              </w:divBdr>
                                              <w:divsChild>
                                                <w:div w:id="4050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837040">
      <w:bodyDiv w:val="1"/>
      <w:marLeft w:val="0"/>
      <w:marRight w:val="0"/>
      <w:marTop w:val="0"/>
      <w:marBottom w:val="0"/>
      <w:divBdr>
        <w:top w:val="none" w:sz="0" w:space="0" w:color="auto"/>
        <w:left w:val="none" w:sz="0" w:space="0" w:color="auto"/>
        <w:bottom w:val="none" w:sz="0" w:space="0" w:color="auto"/>
        <w:right w:val="none" w:sz="0" w:space="0" w:color="auto"/>
      </w:divBdr>
      <w:divsChild>
        <w:div w:id="1831019333">
          <w:marLeft w:val="0"/>
          <w:marRight w:val="0"/>
          <w:marTop w:val="0"/>
          <w:marBottom w:val="0"/>
          <w:divBdr>
            <w:top w:val="none" w:sz="0" w:space="0" w:color="auto"/>
            <w:left w:val="none" w:sz="0" w:space="0" w:color="auto"/>
            <w:bottom w:val="none" w:sz="0" w:space="0" w:color="auto"/>
            <w:right w:val="none" w:sz="0" w:space="0" w:color="auto"/>
          </w:divBdr>
          <w:divsChild>
            <w:div w:id="44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7815">
      <w:bodyDiv w:val="1"/>
      <w:marLeft w:val="0"/>
      <w:marRight w:val="0"/>
      <w:marTop w:val="0"/>
      <w:marBottom w:val="0"/>
      <w:divBdr>
        <w:top w:val="none" w:sz="0" w:space="0" w:color="auto"/>
        <w:left w:val="none" w:sz="0" w:space="0" w:color="auto"/>
        <w:bottom w:val="none" w:sz="0" w:space="0" w:color="auto"/>
        <w:right w:val="none" w:sz="0" w:space="0" w:color="auto"/>
      </w:divBdr>
      <w:divsChild>
        <w:div w:id="1128234717">
          <w:marLeft w:val="0"/>
          <w:marRight w:val="0"/>
          <w:marTop w:val="0"/>
          <w:marBottom w:val="0"/>
          <w:divBdr>
            <w:top w:val="none" w:sz="0" w:space="0" w:color="auto"/>
            <w:left w:val="none" w:sz="0" w:space="0" w:color="auto"/>
            <w:bottom w:val="none" w:sz="0" w:space="0" w:color="auto"/>
            <w:right w:val="none" w:sz="0" w:space="0" w:color="auto"/>
          </w:divBdr>
          <w:divsChild>
            <w:div w:id="1123766636">
              <w:marLeft w:val="0"/>
              <w:marRight w:val="0"/>
              <w:marTop w:val="0"/>
              <w:marBottom w:val="0"/>
              <w:divBdr>
                <w:top w:val="single" w:sz="6" w:space="0" w:color="auto"/>
                <w:left w:val="none" w:sz="0" w:space="0" w:color="auto"/>
                <w:bottom w:val="none" w:sz="0" w:space="0" w:color="auto"/>
                <w:right w:val="none" w:sz="0" w:space="0" w:color="auto"/>
              </w:divBdr>
              <w:divsChild>
                <w:div w:id="7249894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639068960">
      <w:bodyDiv w:val="1"/>
      <w:marLeft w:val="0"/>
      <w:marRight w:val="0"/>
      <w:marTop w:val="0"/>
      <w:marBottom w:val="0"/>
      <w:divBdr>
        <w:top w:val="none" w:sz="0" w:space="0" w:color="auto"/>
        <w:left w:val="none" w:sz="0" w:space="0" w:color="auto"/>
        <w:bottom w:val="none" w:sz="0" w:space="0" w:color="auto"/>
        <w:right w:val="none" w:sz="0" w:space="0" w:color="auto"/>
      </w:divBdr>
      <w:divsChild>
        <w:div w:id="127550046">
          <w:marLeft w:val="0"/>
          <w:marRight w:val="0"/>
          <w:marTop w:val="0"/>
          <w:marBottom w:val="0"/>
          <w:divBdr>
            <w:top w:val="none" w:sz="0" w:space="0" w:color="auto"/>
            <w:left w:val="none" w:sz="0" w:space="0" w:color="auto"/>
            <w:bottom w:val="none" w:sz="0" w:space="0" w:color="auto"/>
            <w:right w:val="none" w:sz="0" w:space="0" w:color="auto"/>
          </w:divBdr>
          <w:divsChild>
            <w:div w:id="19429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42268">
      <w:bodyDiv w:val="1"/>
      <w:marLeft w:val="0"/>
      <w:marRight w:val="0"/>
      <w:marTop w:val="0"/>
      <w:marBottom w:val="0"/>
      <w:divBdr>
        <w:top w:val="none" w:sz="0" w:space="0" w:color="auto"/>
        <w:left w:val="none" w:sz="0" w:space="0" w:color="auto"/>
        <w:bottom w:val="none" w:sz="0" w:space="0" w:color="auto"/>
        <w:right w:val="none" w:sz="0" w:space="0" w:color="auto"/>
      </w:divBdr>
      <w:divsChild>
        <w:div w:id="803276128">
          <w:marLeft w:val="0"/>
          <w:marRight w:val="0"/>
          <w:marTop w:val="0"/>
          <w:marBottom w:val="360"/>
          <w:divBdr>
            <w:top w:val="none" w:sz="0" w:space="0" w:color="auto"/>
            <w:left w:val="none" w:sz="0" w:space="0" w:color="auto"/>
            <w:bottom w:val="none" w:sz="0" w:space="0" w:color="auto"/>
            <w:right w:val="none" w:sz="0" w:space="0" w:color="auto"/>
          </w:divBdr>
          <w:divsChild>
            <w:div w:id="1398628580">
              <w:marLeft w:val="0"/>
              <w:marRight w:val="0"/>
              <w:marTop w:val="0"/>
              <w:marBottom w:val="0"/>
              <w:divBdr>
                <w:top w:val="none" w:sz="0" w:space="0" w:color="auto"/>
                <w:left w:val="none" w:sz="0" w:space="0" w:color="auto"/>
                <w:bottom w:val="none" w:sz="0" w:space="0" w:color="auto"/>
                <w:right w:val="none" w:sz="0" w:space="0" w:color="auto"/>
              </w:divBdr>
              <w:divsChild>
                <w:div w:id="1300528512">
                  <w:marLeft w:val="0"/>
                  <w:marRight w:val="0"/>
                  <w:marTop w:val="0"/>
                  <w:marBottom w:val="0"/>
                  <w:divBdr>
                    <w:top w:val="none" w:sz="0" w:space="0" w:color="auto"/>
                    <w:left w:val="none" w:sz="0" w:space="0" w:color="auto"/>
                    <w:bottom w:val="none" w:sz="0" w:space="0" w:color="auto"/>
                    <w:right w:val="none" w:sz="0" w:space="0" w:color="auto"/>
                  </w:divBdr>
                  <w:divsChild>
                    <w:div w:id="25524661">
                      <w:marLeft w:val="0"/>
                      <w:marRight w:val="0"/>
                      <w:marTop w:val="0"/>
                      <w:marBottom w:val="360"/>
                      <w:divBdr>
                        <w:top w:val="single" w:sz="6" w:space="14" w:color="C3D9E6"/>
                        <w:left w:val="single" w:sz="6" w:space="14" w:color="C3D9E6"/>
                        <w:bottom w:val="single" w:sz="6" w:space="14" w:color="C3D9E6"/>
                        <w:right w:val="single" w:sz="6" w:space="14" w:color="C3D9E6"/>
                      </w:divBdr>
                    </w:div>
                  </w:divsChild>
                </w:div>
              </w:divsChild>
            </w:div>
          </w:divsChild>
        </w:div>
      </w:divsChild>
    </w:div>
    <w:div w:id="906113822">
      <w:bodyDiv w:val="1"/>
      <w:marLeft w:val="0"/>
      <w:marRight w:val="0"/>
      <w:marTop w:val="0"/>
      <w:marBottom w:val="0"/>
      <w:divBdr>
        <w:top w:val="none" w:sz="0" w:space="0" w:color="auto"/>
        <w:left w:val="none" w:sz="0" w:space="0" w:color="auto"/>
        <w:bottom w:val="none" w:sz="0" w:space="0" w:color="auto"/>
        <w:right w:val="none" w:sz="0" w:space="0" w:color="auto"/>
      </w:divBdr>
      <w:divsChild>
        <w:div w:id="1654873366">
          <w:marLeft w:val="0"/>
          <w:marRight w:val="0"/>
          <w:marTop w:val="0"/>
          <w:marBottom w:val="0"/>
          <w:divBdr>
            <w:top w:val="none" w:sz="0" w:space="0" w:color="auto"/>
            <w:left w:val="none" w:sz="0" w:space="0" w:color="auto"/>
            <w:bottom w:val="none" w:sz="0" w:space="0" w:color="auto"/>
            <w:right w:val="none" w:sz="0" w:space="0" w:color="auto"/>
          </w:divBdr>
          <w:divsChild>
            <w:div w:id="1294409873">
              <w:marLeft w:val="0"/>
              <w:marRight w:val="0"/>
              <w:marTop w:val="0"/>
              <w:marBottom w:val="0"/>
              <w:divBdr>
                <w:top w:val="none" w:sz="0" w:space="0" w:color="auto"/>
                <w:left w:val="none" w:sz="0" w:space="0" w:color="auto"/>
                <w:bottom w:val="none" w:sz="0" w:space="0" w:color="auto"/>
                <w:right w:val="none" w:sz="0" w:space="0" w:color="auto"/>
              </w:divBdr>
              <w:divsChild>
                <w:div w:id="1883319992">
                  <w:marLeft w:val="0"/>
                  <w:marRight w:val="0"/>
                  <w:marTop w:val="0"/>
                  <w:marBottom w:val="0"/>
                  <w:divBdr>
                    <w:top w:val="none" w:sz="0" w:space="0" w:color="auto"/>
                    <w:left w:val="none" w:sz="0" w:space="0" w:color="auto"/>
                    <w:bottom w:val="none" w:sz="0" w:space="0" w:color="auto"/>
                    <w:right w:val="none" w:sz="0" w:space="0" w:color="auto"/>
                  </w:divBdr>
                  <w:divsChild>
                    <w:div w:id="2121096732">
                      <w:marLeft w:val="0"/>
                      <w:marRight w:val="0"/>
                      <w:marTop w:val="0"/>
                      <w:marBottom w:val="0"/>
                      <w:divBdr>
                        <w:top w:val="none" w:sz="0" w:space="0" w:color="auto"/>
                        <w:left w:val="none" w:sz="0" w:space="0" w:color="auto"/>
                        <w:bottom w:val="none" w:sz="0" w:space="0" w:color="auto"/>
                        <w:right w:val="none" w:sz="0" w:space="0" w:color="auto"/>
                      </w:divBdr>
                      <w:divsChild>
                        <w:div w:id="1324235750">
                          <w:marLeft w:val="0"/>
                          <w:marRight w:val="0"/>
                          <w:marTop w:val="0"/>
                          <w:marBottom w:val="0"/>
                          <w:divBdr>
                            <w:top w:val="single" w:sz="6" w:space="0" w:color="828282"/>
                            <w:left w:val="single" w:sz="6" w:space="0" w:color="828282"/>
                            <w:bottom w:val="single" w:sz="6" w:space="0" w:color="828282"/>
                            <w:right w:val="single" w:sz="6" w:space="0" w:color="828282"/>
                          </w:divBdr>
                          <w:divsChild>
                            <w:div w:id="1018234642">
                              <w:marLeft w:val="0"/>
                              <w:marRight w:val="0"/>
                              <w:marTop w:val="0"/>
                              <w:marBottom w:val="0"/>
                              <w:divBdr>
                                <w:top w:val="none" w:sz="0" w:space="0" w:color="auto"/>
                                <w:left w:val="none" w:sz="0" w:space="0" w:color="auto"/>
                                <w:bottom w:val="none" w:sz="0" w:space="0" w:color="auto"/>
                                <w:right w:val="none" w:sz="0" w:space="0" w:color="auto"/>
                              </w:divBdr>
                              <w:divsChild>
                                <w:div w:id="1071466232">
                                  <w:marLeft w:val="0"/>
                                  <w:marRight w:val="0"/>
                                  <w:marTop w:val="0"/>
                                  <w:marBottom w:val="0"/>
                                  <w:divBdr>
                                    <w:top w:val="none" w:sz="0" w:space="0" w:color="auto"/>
                                    <w:left w:val="none" w:sz="0" w:space="0" w:color="auto"/>
                                    <w:bottom w:val="none" w:sz="0" w:space="0" w:color="auto"/>
                                    <w:right w:val="none" w:sz="0" w:space="0" w:color="auto"/>
                                  </w:divBdr>
                                  <w:divsChild>
                                    <w:div w:id="613293597">
                                      <w:marLeft w:val="0"/>
                                      <w:marRight w:val="0"/>
                                      <w:marTop w:val="0"/>
                                      <w:marBottom w:val="0"/>
                                      <w:divBdr>
                                        <w:top w:val="none" w:sz="0" w:space="0" w:color="auto"/>
                                        <w:left w:val="none" w:sz="0" w:space="0" w:color="auto"/>
                                        <w:bottom w:val="none" w:sz="0" w:space="0" w:color="auto"/>
                                        <w:right w:val="none" w:sz="0" w:space="0" w:color="auto"/>
                                      </w:divBdr>
                                      <w:divsChild>
                                        <w:div w:id="380399188">
                                          <w:marLeft w:val="0"/>
                                          <w:marRight w:val="0"/>
                                          <w:marTop w:val="0"/>
                                          <w:marBottom w:val="0"/>
                                          <w:divBdr>
                                            <w:top w:val="none" w:sz="0" w:space="0" w:color="auto"/>
                                            <w:left w:val="none" w:sz="0" w:space="0" w:color="auto"/>
                                            <w:bottom w:val="none" w:sz="0" w:space="0" w:color="auto"/>
                                            <w:right w:val="none" w:sz="0" w:space="0" w:color="auto"/>
                                          </w:divBdr>
                                          <w:divsChild>
                                            <w:div w:id="1861433592">
                                              <w:marLeft w:val="0"/>
                                              <w:marRight w:val="0"/>
                                              <w:marTop w:val="0"/>
                                              <w:marBottom w:val="0"/>
                                              <w:divBdr>
                                                <w:top w:val="none" w:sz="0" w:space="0" w:color="auto"/>
                                                <w:left w:val="none" w:sz="0" w:space="0" w:color="auto"/>
                                                <w:bottom w:val="none" w:sz="0" w:space="0" w:color="auto"/>
                                                <w:right w:val="none" w:sz="0" w:space="0" w:color="auto"/>
                                              </w:divBdr>
                                              <w:divsChild>
                                                <w:div w:id="209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16897">
      <w:bodyDiv w:val="1"/>
      <w:marLeft w:val="0"/>
      <w:marRight w:val="0"/>
      <w:marTop w:val="0"/>
      <w:marBottom w:val="0"/>
      <w:divBdr>
        <w:top w:val="none" w:sz="0" w:space="0" w:color="auto"/>
        <w:left w:val="none" w:sz="0" w:space="0" w:color="auto"/>
        <w:bottom w:val="none" w:sz="0" w:space="0" w:color="auto"/>
        <w:right w:val="none" w:sz="0" w:space="0" w:color="auto"/>
      </w:divBdr>
      <w:divsChild>
        <w:div w:id="1837765555">
          <w:marLeft w:val="0"/>
          <w:marRight w:val="0"/>
          <w:marTop w:val="0"/>
          <w:marBottom w:val="360"/>
          <w:divBdr>
            <w:top w:val="none" w:sz="0" w:space="0" w:color="auto"/>
            <w:left w:val="none" w:sz="0" w:space="0" w:color="auto"/>
            <w:bottom w:val="none" w:sz="0" w:space="0" w:color="auto"/>
            <w:right w:val="none" w:sz="0" w:space="0" w:color="auto"/>
          </w:divBdr>
          <w:divsChild>
            <w:div w:id="357976042">
              <w:marLeft w:val="0"/>
              <w:marRight w:val="0"/>
              <w:marTop w:val="0"/>
              <w:marBottom w:val="0"/>
              <w:divBdr>
                <w:top w:val="none" w:sz="0" w:space="0" w:color="auto"/>
                <w:left w:val="none" w:sz="0" w:space="0" w:color="auto"/>
                <w:bottom w:val="none" w:sz="0" w:space="0" w:color="auto"/>
                <w:right w:val="none" w:sz="0" w:space="0" w:color="auto"/>
              </w:divBdr>
              <w:divsChild>
                <w:div w:id="404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356277">
      <w:bodyDiv w:val="1"/>
      <w:marLeft w:val="0"/>
      <w:marRight w:val="0"/>
      <w:marTop w:val="0"/>
      <w:marBottom w:val="0"/>
      <w:divBdr>
        <w:top w:val="none" w:sz="0" w:space="0" w:color="auto"/>
        <w:left w:val="none" w:sz="0" w:space="0" w:color="auto"/>
        <w:bottom w:val="none" w:sz="0" w:space="0" w:color="auto"/>
        <w:right w:val="none" w:sz="0" w:space="0" w:color="auto"/>
      </w:divBdr>
      <w:divsChild>
        <w:div w:id="497503553">
          <w:marLeft w:val="0"/>
          <w:marRight w:val="0"/>
          <w:marTop w:val="0"/>
          <w:marBottom w:val="360"/>
          <w:divBdr>
            <w:top w:val="none" w:sz="0" w:space="0" w:color="auto"/>
            <w:left w:val="none" w:sz="0" w:space="0" w:color="auto"/>
            <w:bottom w:val="none" w:sz="0" w:space="0" w:color="auto"/>
            <w:right w:val="none" w:sz="0" w:space="0" w:color="auto"/>
          </w:divBdr>
          <w:divsChild>
            <w:div w:id="803425359">
              <w:marLeft w:val="0"/>
              <w:marRight w:val="0"/>
              <w:marTop w:val="0"/>
              <w:marBottom w:val="0"/>
              <w:divBdr>
                <w:top w:val="none" w:sz="0" w:space="0" w:color="auto"/>
                <w:left w:val="none" w:sz="0" w:space="0" w:color="auto"/>
                <w:bottom w:val="none" w:sz="0" w:space="0" w:color="auto"/>
                <w:right w:val="none" w:sz="0" w:space="0" w:color="auto"/>
              </w:divBdr>
              <w:divsChild>
                <w:div w:id="4687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4700">
      <w:bodyDiv w:val="1"/>
      <w:marLeft w:val="0"/>
      <w:marRight w:val="0"/>
      <w:marTop w:val="0"/>
      <w:marBottom w:val="0"/>
      <w:divBdr>
        <w:top w:val="none" w:sz="0" w:space="0" w:color="auto"/>
        <w:left w:val="none" w:sz="0" w:space="0" w:color="auto"/>
        <w:bottom w:val="none" w:sz="0" w:space="0" w:color="auto"/>
        <w:right w:val="none" w:sz="0" w:space="0" w:color="auto"/>
      </w:divBdr>
      <w:divsChild>
        <w:div w:id="320623744">
          <w:marLeft w:val="0"/>
          <w:marRight w:val="0"/>
          <w:marTop w:val="0"/>
          <w:marBottom w:val="0"/>
          <w:divBdr>
            <w:top w:val="none" w:sz="0" w:space="0" w:color="auto"/>
            <w:left w:val="none" w:sz="0" w:space="0" w:color="auto"/>
            <w:bottom w:val="none" w:sz="0" w:space="0" w:color="auto"/>
            <w:right w:val="none" w:sz="0" w:space="0" w:color="auto"/>
          </w:divBdr>
          <w:divsChild>
            <w:div w:id="391998966">
              <w:marLeft w:val="0"/>
              <w:marRight w:val="0"/>
              <w:marTop w:val="0"/>
              <w:marBottom w:val="0"/>
              <w:divBdr>
                <w:top w:val="none" w:sz="0" w:space="0" w:color="auto"/>
                <w:left w:val="none" w:sz="0" w:space="0" w:color="auto"/>
                <w:bottom w:val="none" w:sz="0" w:space="0" w:color="auto"/>
                <w:right w:val="none" w:sz="0" w:space="0" w:color="auto"/>
              </w:divBdr>
              <w:divsChild>
                <w:div w:id="35860614">
                  <w:marLeft w:val="0"/>
                  <w:marRight w:val="0"/>
                  <w:marTop w:val="0"/>
                  <w:marBottom w:val="0"/>
                  <w:divBdr>
                    <w:top w:val="none" w:sz="0" w:space="0" w:color="auto"/>
                    <w:left w:val="none" w:sz="0" w:space="0" w:color="auto"/>
                    <w:bottom w:val="none" w:sz="0" w:space="0" w:color="auto"/>
                    <w:right w:val="none" w:sz="0" w:space="0" w:color="auto"/>
                  </w:divBdr>
                  <w:divsChild>
                    <w:div w:id="1215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48392">
      <w:bodyDiv w:val="1"/>
      <w:marLeft w:val="0"/>
      <w:marRight w:val="0"/>
      <w:marTop w:val="0"/>
      <w:marBottom w:val="0"/>
      <w:divBdr>
        <w:top w:val="none" w:sz="0" w:space="0" w:color="auto"/>
        <w:left w:val="none" w:sz="0" w:space="0" w:color="auto"/>
        <w:bottom w:val="none" w:sz="0" w:space="0" w:color="auto"/>
        <w:right w:val="none" w:sz="0" w:space="0" w:color="auto"/>
      </w:divBdr>
    </w:div>
    <w:div w:id="1572698010">
      <w:bodyDiv w:val="1"/>
      <w:marLeft w:val="0"/>
      <w:marRight w:val="0"/>
      <w:marTop w:val="0"/>
      <w:marBottom w:val="0"/>
      <w:divBdr>
        <w:top w:val="none" w:sz="0" w:space="0" w:color="auto"/>
        <w:left w:val="none" w:sz="0" w:space="0" w:color="auto"/>
        <w:bottom w:val="none" w:sz="0" w:space="0" w:color="auto"/>
        <w:right w:val="none" w:sz="0" w:space="0" w:color="auto"/>
      </w:divBdr>
      <w:divsChild>
        <w:div w:id="9380011">
          <w:marLeft w:val="0"/>
          <w:marRight w:val="0"/>
          <w:marTop w:val="0"/>
          <w:marBottom w:val="360"/>
          <w:divBdr>
            <w:top w:val="none" w:sz="0" w:space="0" w:color="auto"/>
            <w:left w:val="none" w:sz="0" w:space="0" w:color="auto"/>
            <w:bottom w:val="none" w:sz="0" w:space="0" w:color="auto"/>
            <w:right w:val="none" w:sz="0" w:space="0" w:color="auto"/>
          </w:divBdr>
          <w:divsChild>
            <w:div w:id="2025090222">
              <w:marLeft w:val="0"/>
              <w:marRight w:val="0"/>
              <w:marTop w:val="0"/>
              <w:marBottom w:val="0"/>
              <w:divBdr>
                <w:top w:val="none" w:sz="0" w:space="0" w:color="auto"/>
                <w:left w:val="none" w:sz="0" w:space="0" w:color="auto"/>
                <w:bottom w:val="none" w:sz="0" w:space="0" w:color="auto"/>
                <w:right w:val="none" w:sz="0" w:space="0" w:color="auto"/>
              </w:divBdr>
              <w:divsChild>
                <w:div w:id="12419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84764">
      <w:bodyDiv w:val="1"/>
      <w:marLeft w:val="0"/>
      <w:marRight w:val="0"/>
      <w:marTop w:val="0"/>
      <w:marBottom w:val="0"/>
      <w:divBdr>
        <w:top w:val="none" w:sz="0" w:space="0" w:color="auto"/>
        <w:left w:val="none" w:sz="0" w:space="0" w:color="auto"/>
        <w:bottom w:val="none" w:sz="0" w:space="0" w:color="auto"/>
        <w:right w:val="none" w:sz="0" w:space="0" w:color="auto"/>
      </w:divBdr>
      <w:divsChild>
        <w:div w:id="2133284956">
          <w:marLeft w:val="0"/>
          <w:marRight w:val="0"/>
          <w:marTop w:val="0"/>
          <w:marBottom w:val="0"/>
          <w:divBdr>
            <w:top w:val="none" w:sz="0" w:space="0" w:color="auto"/>
            <w:left w:val="none" w:sz="0" w:space="0" w:color="auto"/>
            <w:bottom w:val="none" w:sz="0" w:space="0" w:color="auto"/>
            <w:right w:val="none" w:sz="0" w:space="0" w:color="auto"/>
          </w:divBdr>
          <w:divsChild>
            <w:div w:id="1047338703">
              <w:marLeft w:val="0"/>
              <w:marRight w:val="0"/>
              <w:marTop w:val="0"/>
              <w:marBottom w:val="0"/>
              <w:divBdr>
                <w:top w:val="single" w:sz="6" w:space="0" w:color="auto"/>
                <w:left w:val="none" w:sz="0" w:space="0" w:color="auto"/>
                <w:bottom w:val="none" w:sz="0" w:space="0" w:color="auto"/>
                <w:right w:val="none" w:sz="0" w:space="0" w:color="auto"/>
              </w:divBdr>
              <w:divsChild>
                <w:div w:id="1648897803">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1663041704">
      <w:bodyDiv w:val="1"/>
      <w:marLeft w:val="0"/>
      <w:marRight w:val="0"/>
      <w:marTop w:val="0"/>
      <w:marBottom w:val="0"/>
      <w:divBdr>
        <w:top w:val="none" w:sz="0" w:space="0" w:color="auto"/>
        <w:left w:val="none" w:sz="0" w:space="0" w:color="auto"/>
        <w:bottom w:val="none" w:sz="0" w:space="0" w:color="auto"/>
        <w:right w:val="none" w:sz="0" w:space="0" w:color="auto"/>
      </w:divBdr>
      <w:divsChild>
        <w:div w:id="1348942681">
          <w:marLeft w:val="0"/>
          <w:marRight w:val="0"/>
          <w:marTop w:val="0"/>
          <w:marBottom w:val="360"/>
          <w:divBdr>
            <w:top w:val="none" w:sz="0" w:space="0" w:color="auto"/>
            <w:left w:val="none" w:sz="0" w:space="0" w:color="auto"/>
            <w:bottom w:val="none" w:sz="0" w:space="0" w:color="auto"/>
            <w:right w:val="none" w:sz="0" w:space="0" w:color="auto"/>
          </w:divBdr>
          <w:divsChild>
            <w:div w:id="2047679702">
              <w:marLeft w:val="0"/>
              <w:marRight w:val="0"/>
              <w:marTop w:val="0"/>
              <w:marBottom w:val="0"/>
              <w:divBdr>
                <w:top w:val="none" w:sz="0" w:space="0" w:color="auto"/>
                <w:left w:val="none" w:sz="0" w:space="0" w:color="auto"/>
                <w:bottom w:val="none" w:sz="0" w:space="0" w:color="auto"/>
                <w:right w:val="none" w:sz="0" w:space="0" w:color="auto"/>
              </w:divBdr>
              <w:divsChild>
                <w:div w:id="5940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6149">
      <w:bodyDiv w:val="1"/>
      <w:marLeft w:val="0"/>
      <w:marRight w:val="0"/>
      <w:marTop w:val="0"/>
      <w:marBottom w:val="0"/>
      <w:divBdr>
        <w:top w:val="none" w:sz="0" w:space="0" w:color="auto"/>
        <w:left w:val="none" w:sz="0" w:space="0" w:color="auto"/>
        <w:bottom w:val="none" w:sz="0" w:space="0" w:color="auto"/>
        <w:right w:val="none" w:sz="0" w:space="0" w:color="auto"/>
      </w:divBdr>
      <w:divsChild>
        <w:div w:id="2100329206">
          <w:marLeft w:val="0"/>
          <w:marRight w:val="0"/>
          <w:marTop w:val="0"/>
          <w:marBottom w:val="360"/>
          <w:divBdr>
            <w:top w:val="none" w:sz="0" w:space="0" w:color="auto"/>
            <w:left w:val="none" w:sz="0" w:space="0" w:color="auto"/>
            <w:bottom w:val="none" w:sz="0" w:space="0" w:color="auto"/>
            <w:right w:val="none" w:sz="0" w:space="0" w:color="auto"/>
          </w:divBdr>
          <w:divsChild>
            <w:div w:id="154030145">
              <w:marLeft w:val="0"/>
              <w:marRight w:val="0"/>
              <w:marTop w:val="0"/>
              <w:marBottom w:val="0"/>
              <w:divBdr>
                <w:top w:val="none" w:sz="0" w:space="0" w:color="auto"/>
                <w:left w:val="none" w:sz="0" w:space="0" w:color="auto"/>
                <w:bottom w:val="none" w:sz="0" w:space="0" w:color="auto"/>
                <w:right w:val="none" w:sz="0" w:space="0" w:color="auto"/>
              </w:divBdr>
              <w:divsChild>
                <w:div w:id="14066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3703">
      <w:bodyDiv w:val="1"/>
      <w:marLeft w:val="0"/>
      <w:marRight w:val="0"/>
      <w:marTop w:val="0"/>
      <w:marBottom w:val="0"/>
      <w:divBdr>
        <w:top w:val="none" w:sz="0" w:space="0" w:color="auto"/>
        <w:left w:val="none" w:sz="0" w:space="0" w:color="auto"/>
        <w:bottom w:val="none" w:sz="0" w:space="0" w:color="auto"/>
        <w:right w:val="none" w:sz="0" w:space="0" w:color="auto"/>
      </w:divBdr>
      <w:divsChild>
        <w:div w:id="1613172019">
          <w:marLeft w:val="0"/>
          <w:marRight w:val="0"/>
          <w:marTop w:val="0"/>
          <w:marBottom w:val="360"/>
          <w:divBdr>
            <w:top w:val="none" w:sz="0" w:space="0" w:color="auto"/>
            <w:left w:val="none" w:sz="0" w:space="0" w:color="auto"/>
            <w:bottom w:val="none" w:sz="0" w:space="0" w:color="auto"/>
            <w:right w:val="none" w:sz="0" w:space="0" w:color="auto"/>
          </w:divBdr>
          <w:divsChild>
            <w:div w:id="596140565">
              <w:marLeft w:val="0"/>
              <w:marRight w:val="0"/>
              <w:marTop w:val="0"/>
              <w:marBottom w:val="0"/>
              <w:divBdr>
                <w:top w:val="none" w:sz="0" w:space="0" w:color="auto"/>
                <w:left w:val="none" w:sz="0" w:space="0" w:color="auto"/>
                <w:bottom w:val="none" w:sz="0" w:space="0" w:color="auto"/>
                <w:right w:val="none" w:sz="0" w:space="0" w:color="auto"/>
              </w:divBdr>
              <w:divsChild>
                <w:div w:id="196429416">
                  <w:marLeft w:val="0"/>
                  <w:marRight w:val="0"/>
                  <w:marTop w:val="0"/>
                  <w:marBottom w:val="0"/>
                  <w:divBdr>
                    <w:top w:val="none" w:sz="0" w:space="0" w:color="auto"/>
                    <w:left w:val="none" w:sz="0" w:space="0" w:color="auto"/>
                    <w:bottom w:val="none" w:sz="0" w:space="0" w:color="auto"/>
                    <w:right w:val="none" w:sz="0" w:space="0" w:color="auto"/>
                  </w:divBdr>
                  <w:divsChild>
                    <w:div w:id="583802382">
                      <w:marLeft w:val="0"/>
                      <w:marRight w:val="0"/>
                      <w:marTop w:val="0"/>
                      <w:marBottom w:val="360"/>
                      <w:divBdr>
                        <w:top w:val="single" w:sz="6" w:space="14" w:color="C3D9E6"/>
                        <w:left w:val="single" w:sz="6" w:space="14" w:color="C3D9E6"/>
                        <w:bottom w:val="single" w:sz="6" w:space="14" w:color="C3D9E6"/>
                        <w:right w:val="single" w:sz="6" w:space="14" w:color="C3D9E6"/>
                      </w:divBdr>
                    </w:div>
                  </w:divsChild>
                </w:div>
              </w:divsChild>
            </w:div>
          </w:divsChild>
        </w:div>
      </w:divsChild>
    </w:div>
    <w:div w:id="1886329958">
      <w:bodyDiv w:val="1"/>
      <w:marLeft w:val="0"/>
      <w:marRight w:val="0"/>
      <w:marTop w:val="0"/>
      <w:marBottom w:val="0"/>
      <w:divBdr>
        <w:top w:val="none" w:sz="0" w:space="0" w:color="auto"/>
        <w:left w:val="none" w:sz="0" w:space="0" w:color="auto"/>
        <w:bottom w:val="none" w:sz="0" w:space="0" w:color="auto"/>
        <w:right w:val="none" w:sz="0" w:space="0" w:color="auto"/>
      </w:divBdr>
      <w:divsChild>
        <w:div w:id="1358702227">
          <w:marLeft w:val="0"/>
          <w:marRight w:val="0"/>
          <w:marTop w:val="0"/>
          <w:marBottom w:val="360"/>
          <w:divBdr>
            <w:top w:val="none" w:sz="0" w:space="0" w:color="auto"/>
            <w:left w:val="none" w:sz="0" w:space="0" w:color="auto"/>
            <w:bottom w:val="none" w:sz="0" w:space="0" w:color="auto"/>
            <w:right w:val="none" w:sz="0" w:space="0" w:color="auto"/>
          </w:divBdr>
          <w:divsChild>
            <w:div w:id="1900941579">
              <w:marLeft w:val="0"/>
              <w:marRight w:val="0"/>
              <w:marTop w:val="0"/>
              <w:marBottom w:val="0"/>
              <w:divBdr>
                <w:top w:val="none" w:sz="0" w:space="0" w:color="auto"/>
                <w:left w:val="none" w:sz="0" w:space="0" w:color="auto"/>
                <w:bottom w:val="none" w:sz="0" w:space="0" w:color="auto"/>
                <w:right w:val="none" w:sz="0" w:space="0" w:color="auto"/>
              </w:divBdr>
              <w:divsChild>
                <w:div w:id="10957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05688">
      <w:bodyDiv w:val="1"/>
      <w:marLeft w:val="0"/>
      <w:marRight w:val="0"/>
      <w:marTop w:val="0"/>
      <w:marBottom w:val="0"/>
      <w:divBdr>
        <w:top w:val="none" w:sz="0" w:space="0" w:color="auto"/>
        <w:left w:val="none" w:sz="0" w:space="0" w:color="auto"/>
        <w:bottom w:val="none" w:sz="0" w:space="0" w:color="auto"/>
        <w:right w:val="none" w:sz="0" w:space="0" w:color="auto"/>
      </w:divBdr>
      <w:divsChild>
        <w:div w:id="1002003662">
          <w:marLeft w:val="0"/>
          <w:marRight w:val="0"/>
          <w:marTop w:val="0"/>
          <w:marBottom w:val="360"/>
          <w:divBdr>
            <w:top w:val="none" w:sz="0" w:space="0" w:color="auto"/>
            <w:left w:val="none" w:sz="0" w:space="0" w:color="auto"/>
            <w:bottom w:val="none" w:sz="0" w:space="0" w:color="auto"/>
            <w:right w:val="none" w:sz="0" w:space="0" w:color="auto"/>
          </w:divBdr>
          <w:divsChild>
            <w:div w:id="8991902">
              <w:marLeft w:val="0"/>
              <w:marRight w:val="0"/>
              <w:marTop w:val="0"/>
              <w:marBottom w:val="0"/>
              <w:divBdr>
                <w:top w:val="none" w:sz="0" w:space="0" w:color="auto"/>
                <w:left w:val="none" w:sz="0" w:space="0" w:color="auto"/>
                <w:bottom w:val="none" w:sz="0" w:space="0" w:color="auto"/>
                <w:right w:val="none" w:sz="0" w:space="0" w:color="auto"/>
              </w:divBdr>
              <w:divsChild>
                <w:div w:id="1685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ora.nla.gov.au/pan/38445/20070210-0000/www.greenhouse.gov.au/ges/publications/iv-guidelines.html" TargetMode="External"/><Relationship Id="rId18" Type="http://schemas.openxmlformats.org/officeDocument/2006/relationships/hyperlink" Target="http://www.iso.org/iso/home.htm" TargetMode="External"/><Relationship Id="rId3" Type="http://schemas.openxmlformats.org/officeDocument/2006/relationships/styles" Target="styles.xml"/><Relationship Id="rId21" Type="http://schemas.openxmlformats.org/officeDocument/2006/relationships/hyperlink" Target="http://www.iso.org/iso/home.htm" TargetMode="External"/><Relationship Id="rId7" Type="http://schemas.openxmlformats.org/officeDocument/2006/relationships/footnotes" Target="footnotes.xml"/><Relationship Id="rId12" Type="http://schemas.openxmlformats.org/officeDocument/2006/relationships/hyperlink" Target="http://www.auasb.gov.au/admin/file/content102/c3/ASRS_4400_08-06-11.pdf" TargetMode="External"/><Relationship Id="rId17" Type="http://schemas.openxmlformats.org/officeDocument/2006/relationships/hyperlink" Target="http://bit.ly/RQYytV" TargetMode="External"/><Relationship Id="rId2" Type="http://schemas.openxmlformats.org/officeDocument/2006/relationships/numbering" Target="numbering.xml"/><Relationship Id="rId16" Type="http://schemas.openxmlformats.org/officeDocument/2006/relationships/hyperlink" Target="http://www.ifac.org/sites/default/files/publications/files/B010%202012%20IAASB%20Handbook%20ISAE%203410%20Final%20(revised%20IFAC%20logo%20placement).pdf" TargetMode="External"/><Relationship Id="rId20" Type="http://schemas.openxmlformats.org/officeDocument/2006/relationships/hyperlink" Target="http://www.iso.org/iso/hom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asb.gov.au/admin/file/content102/c3/Jun12_Standard_on_Assurance_Engagements_ASAE_3410.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fac.org/sites/default/files/downloads/2008_Auditing_Handbook_A270_ISAE_3000.pdf" TargetMode="External"/><Relationship Id="rId23" Type="http://schemas.openxmlformats.org/officeDocument/2006/relationships/fontTable" Target="fontTable.xml"/><Relationship Id="rId10" Type="http://schemas.openxmlformats.org/officeDocument/2006/relationships/hyperlink" Target="http://www.auasb.gov.au/admin/file/content102/c3/ASAE_3100_9-09-08.pdf" TargetMode="External"/><Relationship Id="rId19" Type="http://schemas.openxmlformats.org/officeDocument/2006/relationships/hyperlink" Target="http://www.iso.org/iso/home.htm" TargetMode="External"/><Relationship Id="rId4" Type="http://schemas.microsoft.com/office/2007/relationships/stylesWithEffects" Target="stylesWithEffects.xml"/><Relationship Id="rId9" Type="http://schemas.openxmlformats.org/officeDocument/2006/relationships/hyperlink" Target="http://www.auasb.gov.au/Standards-and-Guidance/Standards-on-Assurance-Engagements.aspx" TargetMode="External"/><Relationship Id="rId14" Type="http://schemas.openxmlformats.org/officeDocument/2006/relationships/hyperlink" Target="http://www.palgrave.com/home/index.as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B3768-CE99-4FFD-8BF7-CA6FDF4B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4584</Words>
  <Characters>26134</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EXPLANATORY STATEMENT</vt:lpstr>
    </vt:vector>
  </TitlesOfParts>
  <LinksUpToDate>false</LinksUpToDate>
  <CharactersWithSpaces>30657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
  <cp:lastModifiedBy/>
  <cp:revision>1</cp:revision>
  <dcterms:created xsi:type="dcterms:W3CDTF">2012-11-27T00:26:00Z</dcterms:created>
  <dcterms:modified xsi:type="dcterms:W3CDTF">2012-11-27T00:26:00Z</dcterms:modified>
</cp:coreProperties>
</file>