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558" w:rsidRPr="00AD700D" w:rsidRDefault="00651558" w:rsidP="00651558">
      <w:pPr>
        <w:jc w:val="center"/>
        <w:rPr>
          <w:b/>
          <w:bCs/>
          <w:u w:val="single"/>
        </w:rPr>
      </w:pPr>
      <w:bookmarkStart w:id="0" w:name="_GoBack"/>
      <w:bookmarkEnd w:id="0"/>
      <w:r w:rsidRPr="00AD700D">
        <w:rPr>
          <w:b/>
          <w:bCs/>
          <w:u w:val="single"/>
        </w:rPr>
        <w:t>EXPLANATORY STATEMENT</w:t>
      </w:r>
    </w:p>
    <w:p w:rsidR="00651558" w:rsidRPr="00AD700D" w:rsidRDefault="00651558" w:rsidP="00651558">
      <w:pPr>
        <w:jc w:val="center"/>
        <w:rPr>
          <w:b/>
          <w:bCs/>
          <w:u w:val="single"/>
        </w:rPr>
      </w:pPr>
      <w:r w:rsidRPr="00AD700D">
        <w:rPr>
          <w:b/>
          <w:bCs/>
          <w:u w:val="single"/>
        </w:rPr>
        <w:t>Select Legislative Instrument 2012 No.</w:t>
      </w:r>
      <w:r w:rsidR="00007219">
        <w:rPr>
          <w:b/>
          <w:bCs/>
          <w:u w:val="single"/>
        </w:rPr>
        <w:t xml:space="preserve"> 263</w:t>
      </w:r>
    </w:p>
    <w:p w:rsidR="00651558" w:rsidRPr="00AD700D" w:rsidRDefault="00651558" w:rsidP="00651558">
      <w:pPr>
        <w:jc w:val="center"/>
        <w:rPr>
          <w:u w:val="single"/>
        </w:rPr>
      </w:pPr>
      <w:r w:rsidRPr="00AD700D">
        <w:rPr>
          <w:u w:val="single"/>
        </w:rPr>
        <w:t>Issued by Authority of the Minister for Infrastructure and Transport</w:t>
      </w:r>
    </w:p>
    <w:p w:rsidR="00651558" w:rsidRPr="00AD700D" w:rsidRDefault="00651558" w:rsidP="00651558">
      <w:pPr>
        <w:jc w:val="center"/>
        <w:rPr>
          <w:i/>
          <w:u w:val="single"/>
          <w:lang w:val="en-US"/>
        </w:rPr>
      </w:pPr>
      <w:r w:rsidRPr="00AD700D">
        <w:rPr>
          <w:i/>
          <w:u w:val="single"/>
          <w:lang w:val="en-US"/>
        </w:rPr>
        <w:t>Transport Safety Investigation Act 2003</w:t>
      </w:r>
    </w:p>
    <w:p w:rsidR="00651558" w:rsidRPr="00AD700D" w:rsidRDefault="00651558" w:rsidP="00552185">
      <w:pPr>
        <w:pStyle w:val="NormalWeb"/>
        <w:jc w:val="center"/>
        <w:rPr>
          <w:u w:val="single"/>
        </w:rPr>
      </w:pPr>
      <w:r w:rsidRPr="00AD700D">
        <w:rPr>
          <w:i/>
          <w:iCs/>
          <w:u w:val="single"/>
        </w:rPr>
        <w:t xml:space="preserve">Transport Safety Investigation </w:t>
      </w:r>
      <w:r w:rsidR="002E7B09">
        <w:rPr>
          <w:i/>
          <w:iCs/>
          <w:u w:val="single"/>
        </w:rPr>
        <w:t xml:space="preserve">Amendment </w:t>
      </w:r>
      <w:r w:rsidRPr="00AD700D">
        <w:rPr>
          <w:i/>
          <w:iCs/>
          <w:u w:val="single"/>
        </w:rPr>
        <w:t xml:space="preserve">Regulation </w:t>
      </w:r>
      <w:r w:rsidR="002E7B09">
        <w:rPr>
          <w:i/>
          <w:iCs/>
          <w:u w:val="single"/>
        </w:rPr>
        <w:t xml:space="preserve">2012 (No. </w:t>
      </w:r>
      <w:r w:rsidR="00007219">
        <w:rPr>
          <w:i/>
          <w:iCs/>
          <w:u w:val="single"/>
        </w:rPr>
        <w:t>1</w:t>
      </w:r>
      <w:r w:rsidR="002E7B09">
        <w:rPr>
          <w:i/>
          <w:iCs/>
          <w:u w:val="single"/>
        </w:rPr>
        <w:t>)</w:t>
      </w:r>
    </w:p>
    <w:p w:rsidR="00373DDA" w:rsidRPr="00AD700D" w:rsidRDefault="00373DDA" w:rsidP="00373DDA">
      <w:pPr>
        <w:rPr>
          <w:lang w:val="en-US"/>
        </w:rPr>
      </w:pPr>
      <w:r w:rsidRPr="00AD700D">
        <w:rPr>
          <w:lang w:val="en-US"/>
        </w:rPr>
        <w:t xml:space="preserve">Section 71 of the </w:t>
      </w:r>
      <w:r w:rsidRPr="00AD700D">
        <w:rPr>
          <w:i/>
          <w:lang w:val="en-US"/>
        </w:rPr>
        <w:t>Transport Safety Investigation Act 2003</w:t>
      </w:r>
      <w:r w:rsidRPr="00AD700D">
        <w:rPr>
          <w:lang w:val="en-US"/>
        </w:rPr>
        <w:t xml:space="preserve"> (TSI Act) provides that the Governor-General may make regulations prescribing matters required or permitted by the TSI Act to be prescribed, or necessary or convenient to be prescribed, for carrying out or giving effect to the TSI Act.  </w:t>
      </w:r>
    </w:p>
    <w:p w:rsidR="0057490A" w:rsidRDefault="0057490A" w:rsidP="0057490A">
      <w:pPr>
        <w:rPr>
          <w:lang w:val="en-US"/>
        </w:rPr>
      </w:pPr>
      <w:r>
        <w:rPr>
          <w:lang w:val="en-US"/>
        </w:rPr>
        <w:t xml:space="preserve">Section 18 of the TSI Act requires reporting of serious incidents (‘immediately reportable matters’) to the </w:t>
      </w:r>
      <w:r w:rsidRPr="00C10F5F">
        <w:rPr>
          <w:lang w:val="en-US"/>
        </w:rPr>
        <w:t>Australian Transport Safety Bureau (ATSB)</w:t>
      </w:r>
      <w:r>
        <w:rPr>
          <w:lang w:val="en-US"/>
        </w:rPr>
        <w:t xml:space="preserve">.  The TSI Act also provides that the </w:t>
      </w:r>
      <w:r w:rsidRPr="00FB7D41">
        <w:rPr>
          <w:i/>
          <w:lang w:val="en-US"/>
        </w:rPr>
        <w:t>Transport Safety Investigation Regulations 2003</w:t>
      </w:r>
      <w:r>
        <w:rPr>
          <w:lang w:val="en-US"/>
        </w:rPr>
        <w:t xml:space="preserve"> (TSI Regulations) prescribe which matters must be reported, by whom and the means by which the report is to be made.  Currently, </w:t>
      </w:r>
      <w:r w:rsidRPr="00C10F5F">
        <w:rPr>
          <w:lang w:val="en-US"/>
        </w:rPr>
        <w:t xml:space="preserve">Part 4 of the </w:t>
      </w:r>
      <w:r>
        <w:rPr>
          <w:lang w:val="en-US"/>
        </w:rPr>
        <w:t>TSI Regulations</w:t>
      </w:r>
      <w:r w:rsidRPr="00C10F5F">
        <w:rPr>
          <w:lang w:val="en-US"/>
        </w:rPr>
        <w:t xml:space="preserve"> </w:t>
      </w:r>
      <w:r>
        <w:rPr>
          <w:lang w:val="en-US"/>
        </w:rPr>
        <w:t>prescribes that only the most serious matters are to be reported. R</w:t>
      </w:r>
      <w:r w:rsidRPr="00C10F5F">
        <w:rPr>
          <w:lang w:val="en-US"/>
        </w:rPr>
        <w:t xml:space="preserve">ail owners, operators, track access providers </w:t>
      </w:r>
      <w:r>
        <w:rPr>
          <w:lang w:val="en-US"/>
        </w:rPr>
        <w:t>and train crews all may be required to report.  The report may be made to a State or Territory Regulator who must then pass details of the report to the ATSB.</w:t>
      </w:r>
      <w:r w:rsidRPr="00C10F5F">
        <w:rPr>
          <w:lang w:val="en-US"/>
        </w:rPr>
        <w:t xml:space="preserve"> Subject to minor limitations, the current requirements apply only to rail operations on the Defined Interstate Rail Network (DIRN)</w:t>
      </w:r>
      <w:r w:rsidRPr="00C10F5F">
        <w:t xml:space="preserve"> running from Brisbane to</w:t>
      </w:r>
      <w:r>
        <w:t xml:space="preserve"> Perth and Adelaide to Darwin.</w:t>
      </w:r>
      <w:r w:rsidRPr="00C10F5F">
        <w:rPr>
          <w:lang w:val="en-US"/>
        </w:rPr>
        <w:t xml:space="preserve"> </w:t>
      </w:r>
      <w:r>
        <w:rPr>
          <w:lang w:val="en-US"/>
        </w:rPr>
        <w:t xml:space="preserve">While section 19 of the TSI Act provides for reporting of less serious matters to the ATSB (‘routinely reportable matters) the TSI Regulations currently do not prescribe what these matters are for rail and consequently these are currently not reported to the ATSB.  </w:t>
      </w:r>
      <w:r w:rsidRPr="00C10F5F">
        <w:t>The confined jurisdiction acknowledges that</w:t>
      </w:r>
      <w:r>
        <w:t>, largely,</w:t>
      </w:r>
      <w:r w:rsidRPr="00C10F5F">
        <w:t xml:space="preserve"> rail has </w:t>
      </w:r>
      <w:r>
        <w:t>hitherto been the responsibility of the s</w:t>
      </w:r>
      <w:r w:rsidRPr="00C10F5F">
        <w:t>tates and territories.</w:t>
      </w:r>
    </w:p>
    <w:p w:rsidR="0057490A" w:rsidRPr="00C10F5F" w:rsidRDefault="0057490A" w:rsidP="0057490A">
      <w:pPr>
        <w:tabs>
          <w:tab w:val="left" w:pos="0"/>
        </w:tabs>
      </w:pPr>
      <w:r w:rsidRPr="00C10F5F">
        <w:t>The Intergovernmental Agreement on Rail Safety Regulation and Investigation Reform (the IGA) w</w:t>
      </w:r>
      <w:r>
        <w:t xml:space="preserve">as </w:t>
      </w:r>
      <w:r w:rsidRPr="00C10F5F">
        <w:t>signed at the Council of Australian Governments (COAG) meeting on 19 August 2011.  The IGA committed to the establishment of a Nati</w:t>
      </w:r>
      <w:r>
        <w:t>onal Rail Safety Regulator (Regulator</w:t>
      </w:r>
      <w:r w:rsidRPr="00C10F5F">
        <w:t>)</w:t>
      </w:r>
      <w:r>
        <w:t xml:space="preserve"> through the </w:t>
      </w:r>
      <w:r w:rsidRPr="00C10F5F">
        <w:rPr>
          <w:i/>
        </w:rPr>
        <w:t>Rail Safety National Law (South Australia) Act 2012</w:t>
      </w:r>
      <w:r>
        <w:rPr>
          <w:i/>
        </w:rPr>
        <w:t xml:space="preserve"> </w:t>
      </w:r>
      <w:r w:rsidRPr="00051830">
        <w:t>(RSNL</w:t>
      </w:r>
      <w:r>
        <w:t>). It was also agreed that individual States and Territories will apply the RSNL in their own legislation.  The IGA</w:t>
      </w:r>
      <w:r w:rsidRPr="00C10F5F">
        <w:t xml:space="preserve"> committed the ATSB to becoming the national rail safety investigator. As part of those reforms, </w:t>
      </w:r>
      <w:r w:rsidRPr="00C10F5F">
        <w:rPr>
          <w:lang w:val="en-US"/>
        </w:rPr>
        <w:t>all</w:t>
      </w:r>
      <w:r w:rsidRPr="00C10F5F">
        <w:t xml:space="preserve"> reports of rail incidents and occurrences across Australia</w:t>
      </w:r>
      <w:r>
        <w:t xml:space="preserve"> </w:t>
      </w:r>
      <w:r w:rsidR="00E16D3E">
        <w:t xml:space="preserve">must be made </w:t>
      </w:r>
      <w:r w:rsidRPr="00C10F5F">
        <w:t>to</w:t>
      </w:r>
      <w:r>
        <w:t xml:space="preserve"> both</w:t>
      </w:r>
      <w:r w:rsidRPr="00C10F5F">
        <w:t xml:space="preserve"> the ATSB and the </w:t>
      </w:r>
      <w:r>
        <w:t>Regulator</w:t>
      </w:r>
      <w:r w:rsidRPr="00C10F5F">
        <w:t>.</w:t>
      </w:r>
    </w:p>
    <w:p w:rsidR="0057490A" w:rsidRDefault="0057490A" w:rsidP="0057490A">
      <w:r w:rsidRPr="00C10F5F">
        <w:t xml:space="preserve">The </w:t>
      </w:r>
      <w:r>
        <w:t>Regulation</w:t>
      </w:r>
      <w:r w:rsidRPr="00C10F5F">
        <w:t xml:space="preserve"> substitute</w:t>
      </w:r>
      <w:r>
        <w:t>s</w:t>
      </w:r>
      <w:r w:rsidRPr="00C10F5F">
        <w:t xml:space="preserve"> a new Part 4</w:t>
      </w:r>
      <w:r>
        <w:t xml:space="preserve"> in the TSI Regulations</w:t>
      </w:r>
      <w:r w:rsidRPr="00C10F5F">
        <w:t xml:space="preserve"> to </w:t>
      </w:r>
      <w:r>
        <w:t>align</w:t>
      </w:r>
      <w:r w:rsidRPr="00C10F5F">
        <w:t xml:space="preserve"> </w:t>
      </w:r>
      <w:r>
        <w:t xml:space="preserve">them </w:t>
      </w:r>
      <w:r w:rsidRPr="00C10F5F">
        <w:t xml:space="preserve">with the notification requirements of the </w:t>
      </w:r>
      <w:r>
        <w:t>RSNL.</w:t>
      </w:r>
      <w:r w:rsidRPr="00C10F5F">
        <w:t xml:space="preserve"> The outcome </w:t>
      </w:r>
      <w:r>
        <w:t xml:space="preserve">is </w:t>
      </w:r>
      <w:r w:rsidRPr="00C10F5F">
        <w:t xml:space="preserve">a harmonisation of the reporting requirements for the rail industry under </w:t>
      </w:r>
      <w:r w:rsidRPr="00C10F5F">
        <w:rPr>
          <w:u w:val="single"/>
        </w:rPr>
        <w:t>both</w:t>
      </w:r>
      <w:r w:rsidRPr="00C10F5F">
        <w:t xml:space="preserve"> the TSI Act and under the </w:t>
      </w:r>
      <w:r>
        <w:t>RSNL.  This would provide for the reporting of both immediately reportable and routinely reportable matters to the ATSB and also the Regulator.</w:t>
      </w:r>
    </w:p>
    <w:p w:rsidR="0057490A" w:rsidRDefault="0057490A" w:rsidP="0057490A"/>
    <w:p w:rsidR="0057490A" w:rsidRPr="004361B6" w:rsidRDefault="0057490A" w:rsidP="0057490A"/>
    <w:p w:rsidR="0057490A" w:rsidRPr="00C10F5F" w:rsidRDefault="0057490A" w:rsidP="0057490A">
      <w:pPr>
        <w:tabs>
          <w:tab w:val="left" w:pos="0"/>
        </w:tabs>
      </w:pPr>
      <w:r w:rsidRPr="00C10F5F">
        <w:lastRenderedPageBreak/>
        <w:t xml:space="preserve">The </w:t>
      </w:r>
      <w:r>
        <w:t xml:space="preserve">reporting framework for the purposes of the TSI Act is: </w:t>
      </w:r>
    </w:p>
    <w:p w:rsidR="0057490A" w:rsidRPr="00C10F5F" w:rsidRDefault="0057490A" w:rsidP="0057490A">
      <w:pPr>
        <w:pStyle w:val="ListParagraph"/>
        <w:widowControl/>
        <w:numPr>
          <w:ilvl w:val="0"/>
          <w:numId w:val="25"/>
        </w:numPr>
        <w:tabs>
          <w:tab w:val="left" w:pos="426"/>
        </w:tabs>
        <w:spacing w:after="200" w:line="276" w:lineRule="auto"/>
        <w:jc w:val="left"/>
      </w:pPr>
      <w:r>
        <w:t>Immediately reportable matters (IRMs) notified</w:t>
      </w:r>
      <w:r w:rsidRPr="00C10F5F">
        <w:t xml:space="preserve"> by telephone to the ATSB and, within 72 hours of the telephone notification to the ATSB, in writing to the Regulator</w:t>
      </w:r>
      <w:r>
        <w:t xml:space="preserve"> who would then pass details of the written report to the ATSB. The types of incidents in this category would be prescribed by Regulation under the RSNL and the Regulation adopts these by reference</w:t>
      </w:r>
      <w:r w:rsidRPr="00C10F5F">
        <w:t xml:space="preserve">; </w:t>
      </w:r>
      <w:r>
        <w:t>and</w:t>
      </w:r>
    </w:p>
    <w:p w:rsidR="0057490A" w:rsidRPr="00C10F5F" w:rsidRDefault="0057490A" w:rsidP="0057490A">
      <w:pPr>
        <w:pStyle w:val="ListParagraph"/>
        <w:widowControl/>
        <w:numPr>
          <w:ilvl w:val="0"/>
          <w:numId w:val="25"/>
        </w:numPr>
        <w:tabs>
          <w:tab w:val="left" w:pos="426"/>
        </w:tabs>
        <w:spacing w:after="200" w:line="276" w:lineRule="auto"/>
        <w:jc w:val="left"/>
      </w:pPr>
      <w:r>
        <w:t xml:space="preserve">Routinely reportable </w:t>
      </w:r>
      <w:r w:rsidRPr="00C10F5F">
        <w:t>matters</w:t>
      </w:r>
      <w:r>
        <w:t xml:space="preserve"> (RRMs)</w:t>
      </w:r>
      <w:r w:rsidRPr="00C10F5F">
        <w:t xml:space="preserve"> </w:t>
      </w:r>
      <w:r>
        <w:t>notified</w:t>
      </w:r>
      <w:r w:rsidRPr="00C10F5F">
        <w:t xml:space="preserve"> in writing to the Regulator within 72 hours</w:t>
      </w:r>
      <w:r>
        <w:t>.  The Regulator would then pass details of the written report to the ATSB. The types of matters would also be prescribed by the RSNL and are also adopted by the Regulation.</w:t>
      </w:r>
    </w:p>
    <w:p w:rsidR="0057490A" w:rsidRDefault="0057490A" w:rsidP="0057490A">
      <w:r>
        <w:t xml:space="preserve">The types of matters that are likely to be prescribed by the RSNL were set out in a draft of the </w:t>
      </w:r>
      <w:r w:rsidRPr="00AE31FE">
        <w:rPr>
          <w:i/>
        </w:rPr>
        <w:t>Rail Safety N</w:t>
      </w:r>
      <w:r>
        <w:rPr>
          <w:i/>
        </w:rPr>
        <w:t>ational Law National Regulation</w:t>
      </w:r>
      <w:r w:rsidRPr="00AE31FE">
        <w:rPr>
          <w:i/>
        </w:rPr>
        <w:t xml:space="preserve"> 2012</w:t>
      </w:r>
      <w:r>
        <w:t xml:space="preserve"> released for public consultation by the National Transport Commission (NTC) in September 2012.</w:t>
      </w:r>
      <w:r>
        <w:rPr>
          <w:rStyle w:val="FootnoteReference"/>
        </w:rPr>
        <w:footnoteReference w:id="1"/>
      </w:r>
      <w:r>
        <w:t xml:space="preserve">  Matters that are immediately reportable would be classified as Category A matters under the RSNL, while all other matters would be classified as Category B matters under the RSNL.  </w:t>
      </w:r>
    </w:p>
    <w:p w:rsidR="0057490A" w:rsidRPr="00C10F5F" w:rsidRDefault="0057490A" w:rsidP="0057490A">
      <w:r w:rsidRPr="00C10F5F">
        <w:rPr>
          <w:b/>
        </w:rPr>
        <w:t>Examples</w:t>
      </w:r>
      <w:r w:rsidRPr="00C10F5F">
        <w:t xml:space="preserve"> of </w:t>
      </w:r>
      <w:r>
        <w:t>IRMs/Category A notifiable occurrences would be:</w:t>
      </w:r>
    </w:p>
    <w:p w:rsidR="0057490A" w:rsidRPr="00C10F5F" w:rsidRDefault="0057490A" w:rsidP="0057490A">
      <w:pPr>
        <w:pStyle w:val="ListParagraph"/>
        <w:numPr>
          <w:ilvl w:val="0"/>
          <w:numId w:val="32"/>
        </w:numPr>
      </w:pPr>
      <w:r w:rsidRPr="00C10F5F">
        <w:t>An accident or incident that has caused death, serious injury or damage;</w:t>
      </w:r>
    </w:p>
    <w:p w:rsidR="0057490A" w:rsidRPr="00C10F5F" w:rsidRDefault="0057490A" w:rsidP="0057490A">
      <w:pPr>
        <w:pStyle w:val="ListParagraph"/>
        <w:numPr>
          <w:ilvl w:val="0"/>
          <w:numId w:val="32"/>
        </w:numPr>
      </w:pPr>
      <w:r w:rsidRPr="00C10F5F">
        <w:t>A running line derailment</w:t>
      </w:r>
      <w:r>
        <w:t xml:space="preserve"> (a derailment on a track other than in a siding or rail yard)</w:t>
      </w:r>
      <w:r w:rsidRPr="00C10F5F">
        <w:t>;</w:t>
      </w:r>
    </w:p>
    <w:p w:rsidR="0057490A" w:rsidRPr="00C10F5F" w:rsidRDefault="0057490A" w:rsidP="0057490A">
      <w:pPr>
        <w:pStyle w:val="ListParagraph"/>
        <w:numPr>
          <w:ilvl w:val="0"/>
          <w:numId w:val="32"/>
        </w:numPr>
      </w:pPr>
      <w:r w:rsidRPr="00C10F5F">
        <w:t>A running line collision between rolling stock</w:t>
      </w:r>
      <w:r>
        <w:t xml:space="preserve"> (a vehicle that runs on railway track)</w:t>
      </w:r>
      <w:r w:rsidRPr="00C10F5F">
        <w:t>;</w:t>
      </w:r>
    </w:p>
    <w:p w:rsidR="0057490A" w:rsidRPr="00C10F5F" w:rsidRDefault="0057490A" w:rsidP="0057490A">
      <w:pPr>
        <w:pStyle w:val="ListParagraph"/>
        <w:numPr>
          <w:ilvl w:val="0"/>
          <w:numId w:val="32"/>
        </w:numPr>
      </w:pPr>
      <w:r w:rsidRPr="00C10F5F">
        <w:t>A collision at a road or pedestrian level crossing between rolling stock and either a road vehicle or a person</w:t>
      </w:r>
      <w:r>
        <w:t>.</w:t>
      </w:r>
    </w:p>
    <w:p w:rsidR="0057490A" w:rsidRPr="003165CC" w:rsidRDefault="0057490A" w:rsidP="0057490A">
      <w:r w:rsidRPr="003165CC">
        <w:rPr>
          <w:b/>
        </w:rPr>
        <w:t>Examples</w:t>
      </w:r>
      <w:r w:rsidRPr="003165CC">
        <w:t xml:space="preserve"> of RRMs</w:t>
      </w:r>
      <w:r>
        <w:t>/Category B notifiable occurrences</w:t>
      </w:r>
      <w:r w:rsidRPr="003165CC">
        <w:t xml:space="preserve"> would be</w:t>
      </w:r>
      <w:r>
        <w:t>:</w:t>
      </w:r>
    </w:p>
    <w:p w:rsidR="0057490A" w:rsidRDefault="0057490A" w:rsidP="0057490A">
      <w:pPr>
        <w:pStyle w:val="ListParagraph"/>
        <w:numPr>
          <w:ilvl w:val="0"/>
          <w:numId w:val="33"/>
        </w:numPr>
      </w:pPr>
      <w:r w:rsidRPr="00C10F5F">
        <w:t>A derailment other than a running line derailment</w:t>
      </w:r>
      <w:r>
        <w:t>;</w:t>
      </w:r>
    </w:p>
    <w:p w:rsidR="0057490A" w:rsidRDefault="0057490A" w:rsidP="0057490A">
      <w:pPr>
        <w:pStyle w:val="ListParagraph"/>
        <w:numPr>
          <w:ilvl w:val="0"/>
          <w:numId w:val="33"/>
        </w:numPr>
      </w:pPr>
      <w:r w:rsidRPr="00C10F5F">
        <w:t>A collision involving rolling stock other than a collision in (c) above;</w:t>
      </w:r>
    </w:p>
    <w:p w:rsidR="0057490A" w:rsidRDefault="0057490A" w:rsidP="0057490A">
      <w:pPr>
        <w:pStyle w:val="ListParagraph"/>
        <w:numPr>
          <w:ilvl w:val="0"/>
          <w:numId w:val="33"/>
        </w:numPr>
      </w:pPr>
      <w:r w:rsidRPr="00C10F5F">
        <w:t>A collision at a road or pedestrian level crossing other than a collision in (d) above;</w:t>
      </w:r>
    </w:p>
    <w:p w:rsidR="0057490A" w:rsidRDefault="0057490A" w:rsidP="0057490A">
      <w:pPr>
        <w:pStyle w:val="ListParagraph"/>
        <w:numPr>
          <w:ilvl w:val="0"/>
          <w:numId w:val="33"/>
        </w:numPr>
      </w:pPr>
      <w:r w:rsidRPr="00C10F5F">
        <w:t>The passing of a stop signal, or a signal with no indication, by rolling stock without authority</w:t>
      </w:r>
      <w:r>
        <w:t>.</w:t>
      </w:r>
    </w:p>
    <w:p w:rsidR="0057490A" w:rsidRDefault="0057490A" w:rsidP="0057490A">
      <w:pPr>
        <w:pStyle w:val="NormalWeb"/>
      </w:pPr>
      <w:r w:rsidRPr="00C10F5F">
        <w:t xml:space="preserve">The </w:t>
      </w:r>
      <w:r>
        <w:t>Regulation</w:t>
      </w:r>
      <w:r w:rsidRPr="00C10F5F">
        <w:t xml:space="preserve"> </w:t>
      </w:r>
      <w:r>
        <w:t>commences</w:t>
      </w:r>
      <w:r w:rsidRPr="00C10F5F">
        <w:t xml:space="preserve"> on 20 January 2013</w:t>
      </w:r>
      <w:r>
        <w:t xml:space="preserve"> to </w:t>
      </w:r>
      <w:r w:rsidRPr="00C10F5F">
        <w:t>coincide with the establishment of the Regulator from January 2013.</w:t>
      </w:r>
      <w:r w:rsidRPr="00C10F5F" w:rsidDel="006D45DC">
        <w:t xml:space="preserve"> </w:t>
      </w:r>
    </w:p>
    <w:p w:rsidR="00924872" w:rsidRPr="00924872" w:rsidRDefault="00924872" w:rsidP="00924872">
      <w:pPr>
        <w:rPr>
          <w:highlight w:val="yellow"/>
        </w:rPr>
      </w:pPr>
      <w:r>
        <w:t>A Regulatory Impact Statement was not required. A RIS (Exemption), reference number 2012/13856 has been obtained from the Office of Best Practice Regulation.</w:t>
      </w:r>
    </w:p>
    <w:p w:rsidR="0057490A" w:rsidRPr="00C10F5F" w:rsidRDefault="0057490A" w:rsidP="0057490A">
      <w:pPr>
        <w:tabs>
          <w:tab w:val="left" w:pos="0"/>
        </w:tabs>
      </w:pPr>
      <w:r w:rsidRPr="00C10F5F">
        <w:t xml:space="preserve">The </w:t>
      </w:r>
      <w:r>
        <w:t xml:space="preserve">TSI </w:t>
      </w:r>
      <w:r w:rsidRPr="00C10F5F">
        <w:t>Act specifies no conditions that need to be met before t</w:t>
      </w:r>
      <w:r>
        <w:t>he power to make the Regulation</w:t>
      </w:r>
      <w:r w:rsidRPr="00C10F5F">
        <w:t xml:space="preserve"> may be exercised.</w:t>
      </w:r>
    </w:p>
    <w:p w:rsidR="00BA7FCE" w:rsidRPr="00AD700D" w:rsidRDefault="00BA7FCE" w:rsidP="00BA7FCE">
      <w:pPr>
        <w:rPr>
          <w:lang w:val="en-US"/>
        </w:rPr>
      </w:pPr>
      <w:r w:rsidRPr="00AD700D">
        <w:rPr>
          <w:lang w:val="en-US"/>
        </w:rPr>
        <w:lastRenderedPageBreak/>
        <w:t xml:space="preserve">Details of the </w:t>
      </w:r>
      <w:r w:rsidR="008B0592">
        <w:rPr>
          <w:lang w:val="en-US"/>
        </w:rPr>
        <w:t>Regulation</w:t>
      </w:r>
      <w:r w:rsidRPr="00AD700D">
        <w:rPr>
          <w:lang w:val="en-US"/>
        </w:rPr>
        <w:t xml:space="preserve"> </w:t>
      </w:r>
      <w:r w:rsidR="008B0592">
        <w:rPr>
          <w:lang w:val="en-US"/>
        </w:rPr>
        <w:t>is</w:t>
      </w:r>
      <w:r w:rsidRPr="00AD700D">
        <w:rPr>
          <w:lang w:val="en-US"/>
        </w:rPr>
        <w:t xml:space="preserve"> at </w:t>
      </w:r>
      <w:r w:rsidRPr="00AD700D">
        <w:rPr>
          <w:b/>
          <w:u w:val="single"/>
          <w:lang w:val="en-US"/>
        </w:rPr>
        <w:t>Attachment A.</w:t>
      </w:r>
      <w:r w:rsidRPr="00AD700D">
        <w:rPr>
          <w:u w:val="single"/>
          <w:lang w:val="en-US"/>
        </w:rPr>
        <w:t xml:space="preserve"> </w:t>
      </w:r>
      <w:r w:rsidR="000C5ED5" w:rsidRPr="00AD700D">
        <w:rPr>
          <w:lang w:val="en-US"/>
        </w:rPr>
        <w:t xml:space="preserve">A Statement of Compatibility with Human Rights for the purpose of the </w:t>
      </w:r>
      <w:r w:rsidR="000C5ED5" w:rsidRPr="00AD700D">
        <w:rPr>
          <w:i/>
          <w:lang w:val="en-US"/>
        </w:rPr>
        <w:t xml:space="preserve">Human Rights (Parliamentary Scrutiny) Act 2011  </w:t>
      </w:r>
      <w:r w:rsidR="000C5ED5" w:rsidRPr="00AD700D">
        <w:rPr>
          <w:lang w:val="en-US"/>
        </w:rPr>
        <w:t xml:space="preserve">is at </w:t>
      </w:r>
      <w:r w:rsidR="000C5ED5" w:rsidRPr="00AD700D">
        <w:rPr>
          <w:b/>
          <w:u w:val="single"/>
          <w:lang w:val="en-US"/>
        </w:rPr>
        <w:t>Attachment B</w:t>
      </w:r>
    </w:p>
    <w:p w:rsidR="00BA7FCE" w:rsidRPr="00AD700D" w:rsidRDefault="00BA7FCE" w:rsidP="00BA7FCE">
      <w:pPr>
        <w:rPr>
          <w:lang w:val="en-US"/>
        </w:rPr>
      </w:pPr>
      <w:r w:rsidRPr="00AD700D">
        <w:rPr>
          <w:lang w:val="en-US"/>
        </w:rPr>
        <w:t>The Regulation</w:t>
      </w:r>
      <w:r w:rsidR="007F3DA0">
        <w:rPr>
          <w:lang w:val="en-US"/>
        </w:rPr>
        <w:t xml:space="preserve"> is</w:t>
      </w:r>
      <w:r w:rsidRPr="00AD700D">
        <w:rPr>
          <w:lang w:val="en-US"/>
        </w:rPr>
        <w:t xml:space="preserve"> a legislative instrument for the purposes of the </w:t>
      </w:r>
      <w:r w:rsidRPr="00AD700D">
        <w:rPr>
          <w:i/>
          <w:lang w:val="en-US"/>
        </w:rPr>
        <w:t>Legislative Instruments Act 2003</w:t>
      </w:r>
      <w:r w:rsidRPr="00AD700D">
        <w:rPr>
          <w:lang w:val="en-US"/>
        </w:rPr>
        <w:t>.</w:t>
      </w:r>
    </w:p>
    <w:p w:rsidR="00BA7FCE" w:rsidRPr="00AD700D" w:rsidRDefault="00BA7FCE" w:rsidP="00BA7FCE">
      <w:pPr>
        <w:pStyle w:val="NormalWeb"/>
        <w:jc w:val="right"/>
      </w:pPr>
      <w:r w:rsidRPr="00AD700D">
        <w:rPr>
          <w:u w:val="single"/>
        </w:rPr>
        <w:t>Authority</w:t>
      </w:r>
      <w:r w:rsidRPr="00AD700D">
        <w:t xml:space="preserve">:       Section 71 of the </w:t>
      </w:r>
      <w:r w:rsidRPr="00AD700D">
        <w:rPr>
          <w:i/>
        </w:rPr>
        <w:t>Transport Safety Investigation Act 2003</w:t>
      </w:r>
    </w:p>
    <w:p w:rsidR="00D62279" w:rsidRPr="00AD700D" w:rsidRDefault="00D62279">
      <w:pPr>
        <w:widowControl/>
        <w:spacing w:after="0"/>
        <w:jc w:val="left"/>
      </w:pPr>
      <w:r w:rsidRPr="00AD700D">
        <w:br w:type="page"/>
      </w:r>
    </w:p>
    <w:p w:rsidR="00D62279" w:rsidRPr="00AD700D" w:rsidRDefault="00D62279" w:rsidP="00D62279">
      <w:pPr>
        <w:widowControl/>
        <w:tabs>
          <w:tab w:val="left" w:pos="426"/>
        </w:tabs>
        <w:spacing w:after="200" w:line="276" w:lineRule="auto"/>
        <w:ind w:left="426"/>
        <w:jc w:val="left"/>
      </w:pPr>
    </w:p>
    <w:p w:rsidR="003D22C7" w:rsidRPr="00AD700D" w:rsidRDefault="003D22C7" w:rsidP="00EE6B49">
      <w:pPr>
        <w:rPr>
          <w:lang w:val="en-US"/>
        </w:rPr>
      </w:pPr>
    </w:p>
    <w:p w:rsidR="00BB45AA" w:rsidRPr="002E7B09" w:rsidRDefault="002E7B09" w:rsidP="00BB45AA">
      <w:pPr>
        <w:jc w:val="right"/>
        <w:rPr>
          <w:u w:val="single"/>
        </w:rPr>
      </w:pPr>
      <w:bookmarkStart w:id="1" w:name="_Toc193775298"/>
      <w:r w:rsidRPr="002E7B09">
        <w:rPr>
          <w:u w:val="single"/>
        </w:rPr>
        <w:t xml:space="preserve">ATTACHMENT </w:t>
      </w:r>
      <w:r w:rsidR="00BB45AA" w:rsidRPr="002E7B09">
        <w:rPr>
          <w:u w:val="single"/>
        </w:rPr>
        <w:t>A</w:t>
      </w:r>
    </w:p>
    <w:p w:rsidR="00BB45AA" w:rsidRDefault="00BB45AA" w:rsidP="007F3DA0">
      <w:pPr>
        <w:rPr>
          <w:b/>
        </w:rPr>
      </w:pPr>
      <w:r>
        <w:rPr>
          <w:b/>
        </w:rPr>
        <w:t xml:space="preserve">Details of </w:t>
      </w:r>
      <w:r w:rsidRPr="00BB45AA">
        <w:rPr>
          <w:b/>
          <w:i/>
        </w:rPr>
        <w:t xml:space="preserve">Transport Safety Investigation Amendment Regulation 2012 (No. </w:t>
      </w:r>
      <w:r w:rsidR="00007219">
        <w:rPr>
          <w:b/>
          <w:i/>
        </w:rPr>
        <w:t>1</w:t>
      </w:r>
      <w:r w:rsidRPr="00BB45AA">
        <w:rPr>
          <w:b/>
          <w:i/>
        </w:rPr>
        <w:t>)</w:t>
      </w:r>
    </w:p>
    <w:p w:rsidR="00415BE6" w:rsidRPr="007154C9" w:rsidRDefault="007F3DA0" w:rsidP="007F3DA0">
      <w:pPr>
        <w:rPr>
          <w:u w:val="single"/>
        </w:rPr>
      </w:pPr>
      <w:r w:rsidRPr="007154C9">
        <w:rPr>
          <w:u w:val="single"/>
        </w:rPr>
        <w:t>Section</w:t>
      </w:r>
      <w:r w:rsidR="007154C9">
        <w:rPr>
          <w:u w:val="single"/>
        </w:rPr>
        <w:t xml:space="preserve">  1 – </w:t>
      </w:r>
      <w:r w:rsidR="00415BE6" w:rsidRPr="007154C9">
        <w:rPr>
          <w:u w:val="single"/>
        </w:rPr>
        <w:t xml:space="preserve">Name of </w:t>
      </w:r>
      <w:bookmarkEnd w:id="1"/>
      <w:r w:rsidRPr="007154C9">
        <w:rPr>
          <w:u w:val="single"/>
        </w:rPr>
        <w:t>regulation</w:t>
      </w:r>
    </w:p>
    <w:p w:rsidR="00C179A5" w:rsidRPr="00AD700D" w:rsidRDefault="0057490A" w:rsidP="00C179A5">
      <w:bookmarkStart w:id="2" w:name="_Toc193775299"/>
      <w:r>
        <w:t xml:space="preserve">This section </w:t>
      </w:r>
      <w:r w:rsidR="00C179A5" w:rsidRPr="00AD700D">
        <w:t>provides t</w:t>
      </w:r>
      <w:r>
        <w:t>hat the title of the Regulation</w:t>
      </w:r>
      <w:r w:rsidR="00C179A5" w:rsidRPr="00AD700D">
        <w:t xml:space="preserve"> is the</w:t>
      </w:r>
      <w:r w:rsidR="00C179A5" w:rsidRPr="00AD700D">
        <w:rPr>
          <w:i/>
        </w:rPr>
        <w:t xml:space="preserve"> Transport</w:t>
      </w:r>
      <w:r w:rsidR="00C179A5" w:rsidRPr="00AD700D">
        <w:t xml:space="preserve"> </w:t>
      </w:r>
      <w:r w:rsidR="00C179A5" w:rsidRPr="00AD700D">
        <w:rPr>
          <w:i/>
        </w:rPr>
        <w:t xml:space="preserve">Safety Investigation </w:t>
      </w:r>
      <w:r w:rsidR="00D62279" w:rsidRPr="00AD700D">
        <w:rPr>
          <w:i/>
        </w:rPr>
        <w:t xml:space="preserve">Amendment Regulation 2012 (No. </w:t>
      </w:r>
      <w:r w:rsidR="00007219">
        <w:rPr>
          <w:i/>
        </w:rPr>
        <w:t>1</w:t>
      </w:r>
      <w:r w:rsidR="00D62279" w:rsidRPr="00AD700D">
        <w:rPr>
          <w:i/>
        </w:rPr>
        <w:t>)</w:t>
      </w:r>
      <w:r w:rsidR="00007219">
        <w:rPr>
          <w:i/>
        </w:rPr>
        <w:t>.</w:t>
      </w:r>
    </w:p>
    <w:p w:rsidR="00415BE6" w:rsidRPr="007154C9" w:rsidRDefault="00BB45AA" w:rsidP="00BB45AA">
      <w:pPr>
        <w:rPr>
          <w:u w:val="single"/>
        </w:rPr>
      </w:pPr>
      <w:r w:rsidRPr="007154C9">
        <w:rPr>
          <w:u w:val="single"/>
        </w:rPr>
        <w:t>Section</w:t>
      </w:r>
      <w:r w:rsidR="007154C9">
        <w:rPr>
          <w:u w:val="single"/>
        </w:rPr>
        <w:t xml:space="preserve">  2 – </w:t>
      </w:r>
      <w:r w:rsidR="00415BE6" w:rsidRPr="007154C9">
        <w:rPr>
          <w:u w:val="single"/>
        </w:rPr>
        <w:t>Commencement</w:t>
      </w:r>
      <w:bookmarkEnd w:id="2"/>
      <w:r w:rsidR="00415BE6" w:rsidRPr="007154C9">
        <w:rPr>
          <w:u w:val="single"/>
        </w:rPr>
        <w:t xml:space="preserve"> </w:t>
      </w:r>
    </w:p>
    <w:p w:rsidR="00C179A5" w:rsidRPr="00AD700D" w:rsidRDefault="007A767E" w:rsidP="00C179A5">
      <w:bookmarkStart w:id="3" w:name="_Toc193775300"/>
      <w:r w:rsidRPr="00AD700D">
        <w:t>Th</w:t>
      </w:r>
      <w:r w:rsidR="00BB45AA">
        <w:t>is section</w:t>
      </w:r>
      <w:r w:rsidR="00C179A5" w:rsidRPr="00AD700D">
        <w:t xml:space="preserve"> provides </w:t>
      </w:r>
      <w:r w:rsidR="002E7B09">
        <w:t>that the Regulation commences on</w:t>
      </w:r>
      <w:r w:rsidR="0082283D" w:rsidRPr="00AD700D">
        <w:t xml:space="preserve"> 20 January 2013</w:t>
      </w:r>
      <w:r w:rsidR="002E7B09">
        <w:t>.  The timing is</w:t>
      </w:r>
      <w:r w:rsidR="0082283D" w:rsidRPr="00AD700D">
        <w:t xml:space="preserve"> to suit the operational requirements of the A</w:t>
      </w:r>
      <w:r w:rsidR="00BB45AA">
        <w:t xml:space="preserve">ustralian </w:t>
      </w:r>
      <w:r w:rsidR="0082283D" w:rsidRPr="00AD700D">
        <w:t>T</w:t>
      </w:r>
      <w:r w:rsidR="00BB45AA">
        <w:t xml:space="preserve">ransport </w:t>
      </w:r>
      <w:r w:rsidR="0082283D" w:rsidRPr="00AD700D">
        <w:t>S</w:t>
      </w:r>
      <w:r w:rsidR="00BB45AA">
        <w:t xml:space="preserve">afety </w:t>
      </w:r>
      <w:r w:rsidR="0082283D" w:rsidRPr="00AD700D">
        <w:t>B</w:t>
      </w:r>
      <w:r w:rsidR="00BB45AA">
        <w:t>ureau</w:t>
      </w:r>
      <w:r w:rsidR="002E7B09">
        <w:t xml:space="preserve"> (ATSB)</w:t>
      </w:r>
      <w:r w:rsidR="006D45DC" w:rsidRPr="00AD700D">
        <w:t xml:space="preserve"> and to coincide with the commencement of the National Rail Safety Regulator</w:t>
      </w:r>
      <w:r w:rsidR="007154C9">
        <w:t xml:space="preserve"> (the Regulator)</w:t>
      </w:r>
      <w:r w:rsidR="006D45DC" w:rsidRPr="00AD700D">
        <w:t xml:space="preserve"> from January 2013.</w:t>
      </w:r>
    </w:p>
    <w:p w:rsidR="004F130D" w:rsidRPr="007154C9" w:rsidRDefault="00BB45AA" w:rsidP="00BB45AA">
      <w:pPr>
        <w:rPr>
          <w:u w:val="single"/>
        </w:rPr>
      </w:pPr>
      <w:r w:rsidRPr="007154C9">
        <w:rPr>
          <w:u w:val="single"/>
        </w:rPr>
        <w:t>Section</w:t>
      </w:r>
      <w:r w:rsidR="007154C9">
        <w:rPr>
          <w:u w:val="single"/>
        </w:rPr>
        <w:t xml:space="preserve">  </w:t>
      </w:r>
      <w:r w:rsidR="00C179A5" w:rsidRPr="007154C9">
        <w:rPr>
          <w:u w:val="single"/>
        </w:rPr>
        <w:t>3</w:t>
      </w:r>
      <w:r w:rsidR="007154C9">
        <w:rPr>
          <w:u w:val="single"/>
        </w:rPr>
        <w:t xml:space="preserve"> – </w:t>
      </w:r>
      <w:r w:rsidR="00D62279" w:rsidRPr="007154C9">
        <w:rPr>
          <w:u w:val="single"/>
        </w:rPr>
        <w:t>Amendment</w:t>
      </w:r>
      <w:r w:rsidR="00D62279" w:rsidRPr="007154C9">
        <w:rPr>
          <w:i/>
          <w:u w:val="single"/>
        </w:rPr>
        <w:t xml:space="preserve"> Transport Safety Investigation Regulation</w:t>
      </w:r>
      <w:r w:rsidR="00B93B70">
        <w:rPr>
          <w:i/>
          <w:u w:val="single"/>
        </w:rPr>
        <w:t>s</w:t>
      </w:r>
      <w:r w:rsidR="00D62279" w:rsidRPr="007154C9">
        <w:rPr>
          <w:i/>
          <w:u w:val="single"/>
        </w:rPr>
        <w:t xml:space="preserve"> 2003</w:t>
      </w:r>
      <w:r w:rsidR="00125F87" w:rsidRPr="007154C9">
        <w:rPr>
          <w:i/>
          <w:u w:val="single"/>
        </w:rPr>
        <w:t xml:space="preserve"> </w:t>
      </w:r>
      <w:bookmarkEnd w:id="3"/>
    </w:p>
    <w:p w:rsidR="00FA0E9F" w:rsidRPr="00AD700D" w:rsidRDefault="007A767E" w:rsidP="00DF2F1A">
      <w:pPr>
        <w:autoSpaceDE w:val="0"/>
        <w:autoSpaceDN w:val="0"/>
        <w:adjustRightInd w:val="0"/>
        <w:rPr>
          <w:lang w:val="en-US"/>
        </w:rPr>
      </w:pPr>
      <w:r w:rsidRPr="00AD700D">
        <w:t>Th</w:t>
      </w:r>
      <w:r w:rsidR="00BB45AA">
        <w:t xml:space="preserve">is section </w:t>
      </w:r>
      <w:r w:rsidR="007154C9">
        <w:t xml:space="preserve">provides that the </w:t>
      </w:r>
      <w:r w:rsidR="001B022D" w:rsidRPr="00AD700D">
        <w:rPr>
          <w:i/>
        </w:rPr>
        <w:t xml:space="preserve">Transport Safety </w:t>
      </w:r>
      <w:r w:rsidR="001B022D" w:rsidRPr="00AD700D">
        <w:rPr>
          <w:i/>
          <w:lang w:val="en-US"/>
        </w:rPr>
        <w:t>Investigation Regulation</w:t>
      </w:r>
      <w:r w:rsidR="00B93B70">
        <w:rPr>
          <w:i/>
          <w:lang w:val="en-US"/>
        </w:rPr>
        <w:t>s</w:t>
      </w:r>
      <w:r w:rsidR="001B022D" w:rsidRPr="00AD700D">
        <w:rPr>
          <w:i/>
          <w:lang w:val="en-US"/>
        </w:rPr>
        <w:t xml:space="preserve"> 2003</w:t>
      </w:r>
      <w:r w:rsidR="001B022D" w:rsidRPr="00AD700D">
        <w:rPr>
          <w:lang w:val="en-US"/>
        </w:rPr>
        <w:t xml:space="preserve"> (</w:t>
      </w:r>
      <w:r w:rsidR="0086555F" w:rsidRPr="00AD700D">
        <w:rPr>
          <w:lang w:val="en-US"/>
        </w:rPr>
        <w:t>Principal</w:t>
      </w:r>
      <w:r w:rsidR="001B022D" w:rsidRPr="00AD700D">
        <w:rPr>
          <w:lang w:val="en-US"/>
        </w:rPr>
        <w:t xml:space="preserve"> </w:t>
      </w:r>
      <w:r w:rsidR="0086555F" w:rsidRPr="00AD700D">
        <w:rPr>
          <w:lang w:val="en-US"/>
        </w:rPr>
        <w:t>Regulations</w:t>
      </w:r>
      <w:r w:rsidR="001B022D" w:rsidRPr="00AD700D">
        <w:rPr>
          <w:lang w:val="en-US"/>
        </w:rPr>
        <w:t>)</w:t>
      </w:r>
      <w:r w:rsidR="007154C9">
        <w:rPr>
          <w:lang w:val="en-US"/>
        </w:rPr>
        <w:t xml:space="preserve"> are amended as set out in the Schedule.</w:t>
      </w:r>
    </w:p>
    <w:p w:rsidR="001B022D" w:rsidRPr="007154C9" w:rsidRDefault="007154C9" w:rsidP="00BB45AA">
      <w:pPr>
        <w:rPr>
          <w:u w:val="single"/>
        </w:rPr>
      </w:pPr>
      <w:r>
        <w:rPr>
          <w:u w:val="single"/>
        </w:rPr>
        <w:t xml:space="preserve">Schedule 1 – </w:t>
      </w:r>
      <w:r w:rsidR="00BB45AA" w:rsidRPr="007154C9">
        <w:rPr>
          <w:u w:val="single"/>
        </w:rPr>
        <w:t>Amendments</w:t>
      </w:r>
    </w:p>
    <w:p w:rsidR="001B022D" w:rsidRPr="00BB45AA" w:rsidRDefault="007A767E" w:rsidP="00BB45AA">
      <w:pPr>
        <w:rPr>
          <w:b/>
        </w:rPr>
      </w:pPr>
      <w:r w:rsidRPr="00BB45AA">
        <w:rPr>
          <w:b/>
        </w:rPr>
        <w:t>I</w:t>
      </w:r>
      <w:r w:rsidR="00F37A0F" w:rsidRPr="00BB45AA">
        <w:rPr>
          <w:b/>
        </w:rPr>
        <w:t>tem [1]</w:t>
      </w:r>
      <w:r w:rsidR="001B022D" w:rsidRPr="00BB45AA">
        <w:rPr>
          <w:b/>
        </w:rPr>
        <w:t xml:space="preserve"> </w:t>
      </w:r>
      <w:r w:rsidR="00F37A0F" w:rsidRPr="00BB45AA">
        <w:rPr>
          <w:b/>
        </w:rPr>
        <w:t xml:space="preserve"> </w:t>
      </w:r>
      <w:r w:rsidR="00260C55" w:rsidRPr="00BB45AA">
        <w:rPr>
          <w:b/>
        </w:rPr>
        <w:tab/>
      </w:r>
      <w:r w:rsidR="00F37A0F" w:rsidRPr="00BB45AA">
        <w:rPr>
          <w:b/>
        </w:rPr>
        <w:t>Part 4</w:t>
      </w:r>
    </w:p>
    <w:p w:rsidR="00F37A0F" w:rsidRPr="00AD700D" w:rsidRDefault="007154C9" w:rsidP="00F37A0F">
      <w:r>
        <w:t>This item substitutes Part 4 of the Principal Regulations.</w:t>
      </w:r>
    </w:p>
    <w:p w:rsidR="00DF2F1A" w:rsidRPr="007154C9" w:rsidRDefault="00CA00B2" w:rsidP="00D55E4B">
      <w:pPr>
        <w:rPr>
          <w:u w:val="single"/>
        </w:rPr>
      </w:pPr>
      <w:r w:rsidRPr="007154C9">
        <w:rPr>
          <w:u w:val="single"/>
        </w:rPr>
        <w:t>S</w:t>
      </w:r>
      <w:r w:rsidR="00F37A0F" w:rsidRPr="007154C9">
        <w:rPr>
          <w:u w:val="single"/>
        </w:rPr>
        <w:t>ub</w:t>
      </w:r>
      <w:r w:rsidR="00D55E4B" w:rsidRPr="007154C9">
        <w:rPr>
          <w:u w:val="single"/>
        </w:rPr>
        <w:t>section</w:t>
      </w:r>
      <w:r w:rsidR="007154C9">
        <w:rPr>
          <w:u w:val="single"/>
        </w:rPr>
        <w:t xml:space="preserve">  </w:t>
      </w:r>
      <w:r w:rsidR="00FA0E9F" w:rsidRPr="007154C9">
        <w:rPr>
          <w:u w:val="single"/>
        </w:rPr>
        <w:t>4</w:t>
      </w:r>
      <w:r w:rsidR="00DF2F1A" w:rsidRPr="007154C9">
        <w:rPr>
          <w:u w:val="single"/>
        </w:rPr>
        <w:t>.</w:t>
      </w:r>
      <w:r w:rsidR="001B022D" w:rsidRPr="007154C9">
        <w:rPr>
          <w:u w:val="single"/>
        </w:rPr>
        <w:t>1</w:t>
      </w:r>
      <w:r w:rsidR="007154C9">
        <w:rPr>
          <w:u w:val="single"/>
        </w:rPr>
        <w:t xml:space="preserve"> – </w:t>
      </w:r>
      <w:r w:rsidR="001B022D" w:rsidRPr="007154C9">
        <w:rPr>
          <w:u w:val="single"/>
        </w:rPr>
        <w:t>What this Part applies to</w:t>
      </w:r>
      <w:r w:rsidR="00DF2F1A" w:rsidRPr="007154C9">
        <w:rPr>
          <w:u w:val="single"/>
        </w:rPr>
        <w:t xml:space="preserve"> </w:t>
      </w:r>
    </w:p>
    <w:p w:rsidR="00DF2F1A" w:rsidRPr="00AD700D" w:rsidRDefault="007154C9" w:rsidP="00DF2F1A">
      <w:pPr>
        <w:autoSpaceDE w:val="0"/>
        <w:autoSpaceDN w:val="0"/>
        <w:adjustRightInd w:val="0"/>
      </w:pPr>
      <w:r>
        <w:t>This subsection sets</w:t>
      </w:r>
      <w:r w:rsidR="00D55E4B">
        <w:t xml:space="preserve"> </w:t>
      </w:r>
      <w:r w:rsidR="001B022D" w:rsidRPr="00AD700D">
        <w:t xml:space="preserve">out the circumstances in which Part 4 apply to </w:t>
      </w:r>
      <w:r w:rsidR="00F37A0F" w:rsidRPr="00AD700D">
        <w:t xml:space="preserve">reportable </w:t>
      </w:r>
      <w:r w:rsidR="001B022D" w:rsidRPr="00AD700D">
        <w:t>matters f</w:t>
      </w:r>
      <w:r w:rsidR="003D52B4" w:rsidRPr="00AD700D">
        <w:t xml:space="preserve">or rail transport.  </w:t>
      </w:r>
      <w:r w:rsidR="00F37A0F" w:rsidRPr="00AD700D">
        <w:t>Th</w:t>
      </w:r>
      <w:r w:rsidR="00D55E4B">
        <w:t xml:space="preserve">is subsection provides that </w:t>
      </w:r>
      <w:r w:rsidR="00F37A0F" w:rsidRPr="00AD700D">
        <w:t xml:space="preserve">Part </w:t>
      </w:r>
      <w:r w:rsidR="00D55E4B">
        <w:t xml:space="preserve">4 </w:t>
      </w:r>
      <w:r w:rsidR="00F37A0F" w:rsidRPr="00AD700D">
        <w:t xml:space="preserve">applies to investigable matters </w:t>
      </w:r>
      <w:r w:rsidR="003D52B4" w:rsidRPr="00AD700D">
        <w:t xml:space="preserve">where </w:t>
      </w:r>
      <w:r w:rsidR="00F37A0F" w:rsidRPr="00AD700D">
        <w:t>the ATSB has jurisdiction under subsection 11(3) of the TSI Act</w:t>
      </w:r>
      <w:r w:rsidR="003D52B4" w:rsidRPr="00AD700D">
        <w:t xml:space="preserve"> </w:t>
      </w:r>
      <w:r w:rsidR="003D52B4" w:rsidRPr="00AD700D">
        <w:rPr>
          <w:u w:val="single"/>
        </w:rPr>
        <w:t>and</w:t>
      </w:r>
      <w:r w:rsidR="003D52B4" w:rsidRPr="00AD700D">
        <w:t xml:space="preserve"> where the </w:t>
      </w:r>
      <w:r w:rsidR="003D52B4" w:rsidRPr="00AD700D">
        <w:rPr>
          <w:i/>
        </w:rPr>
        <w:t>Rail Safety National Law 2012</w:t>
      </w:r>
      <w:r w:rsidR="003D52B4" w:rsidRPr="00AD700D">
        <w:t xml:space="preserve"> of South Australia (as enabled by the States and Territories “</w:t>
      </w:r>
      <w:r w:rsidR="00D55E4B">
        <w:t>RSNL</w:t>
      </w:r>
      <w:r w:rsidR="00573A55" w:rsidRPr="00AD700D">
        <w:t xml:space="preserve">”) applies. </w:t>
      </w:r>
    </w:p>
    <w:p w:rsidR="00415BE6" w:rsidRPr="007154C9" w:rsidRDefault="00CA00B2" w:rsidP="00D55E4B">
      <w:pPr>
        <w:rPr>
          <w:u w:val="single"/>
        </w:rPr>
      </w:pPr>
      <w:bookmarkStart w:id="4" w:name="_Toc193775302"/>
      <w:r w:rsidRPr="007154C9">
        <w:rPr>
          <w:u w:val="single"/>
        </w:rPr>
        <w:t>S</w:t>
      </w:r>
      <w:r w:rsidR="001145CA" w:rsidRPr="007154C9">
        <w:rPr>
          <w:u w:val="single"/>
        </w:rPr>
        <w:t>ub</w:t>
      </w:r>
      <w:r w:rsidR="00D55E4B" w:rsidRPr="007154C9">
        <w:rPr>
          <w:u w:val="single"/>
        </w:rPr>
        <w:t>section</w:t>
      </w:r>
      <w:r w:rsidR="007154C9">
        <w:rPr>
          <w:u w:val="single"/>
        </w:rPr>
        <w:t xml:space="preserve">  </w:t>
      </w:r>
      <w:r w:rsidR="00E51386" w:rsidRPr="007154C9">
        <w:rPr>
          <w:u w:val="single"/>
        </w:rPr>
        <w:t>4.2</w:t>
      </w:r>
      <w:bookmarkEnd w:id="4"/>
      <w:r w:rsidR="007154C9">
        <w:rPr>
          <w:u w:val="single"/>
        </w:rPr>
        <w:t xml:space="preserve"> – </w:t>
      </w:r>
      <w:r w:rsidR="00FA0E9F" w:rsidRPr="007154C9">
        <w:rPr>
          <w:u w:val="single"/>
        </w:rPr>
        <w:t>Definitions</w:t>
      </w:r>
      <w:r w:rsidR="00F85FDD" w:rsidRPr="007154C9">
        <w:rPr>
          <w:u w:val="single"/>
        </w:rPr>
        <w:t xml:space="preserve"> </w:t>
      </w:r>
      <w:r w:rsidR="00415BE6" w:rsidRPr="007154C9">
        <w:rPr>
          <w:u w:val="single"/>
        </w:rPr>
        <w:t xml:space="preserve"> </w:t>
      </w:r>
    </w:p>
    <w:p w:rsidR="007142B1" w:rsidRPr="00AD700D" w:rsidRDefault="00D55E4B" w:rsidP="007154C9">
      <w:r>
        <w:t>Subsection 4.2</w:t>
      </w:r>
      <w:r w:rsidR="00E51386" w:rsidRPr="00AD700D">
        <w:t xml:space="preserve"> provides definitio</w:t>
      </w:r>
      <w:r>
        <w:t>ns that are applicable to terms</w:t>
      </w:r>
      <w:r w:rsidR="00E51386" w:rsidRPr="00AD700D">
        <w:t xml:space="preserve"> used in Part 4</w:t>
      </w:r>
      <w:r>
        <w:t xml:space="preserve">. </w:t>
      </w:r>
      <w:r w:rsidR="007154C9">
        <w:t>The</w:t>
      </w:r>
      <w:r w:rsidR="007154C9" w:rsidRPr="00C10F5F">
        <w:t xml:space="preserve">se definitions </w:t>
      </w:r>
      <w:r w:rsidR="007154C9">
        <w:t>adopt those</w:t>
      </w:r>
      <w:r w:rsidR="007154C9" w:rsidRPr="00C10F5F">
        <w:t xml:space="preserve"> in the </w:t>
      </w:r>
      <w:r w:rsidR="007154C9">
        <w:t>RSNL</w:t>
      </w:r>
      <w:r w:rsidR="007154C9" w:rsidRPr="00C10F5F">
        <w:t xml:space="preserve"> </w:t>
      </w:r>
      <w:r w:rsidR="007154C9">
        <w:t xml:space="preserve">where these would be used in Part 4.  </w:t>
      </w:r>
    </w:p>
    <w:p w:rsidR="0070189D" w:rsidRPr="007154C9" w:rsidRDefault="00CA00B2" w:rsidP="00D55E4B">
      <w:pPr>
        <w:rPr>
          <w:u w:val="single"/>
        </w:rPr>
      </w:pPr>
      <w:r w:rsidRPr="007154C9">
        <w:rPr>
          <w:u w:val="single"/>
        </w:rPr>
        <w:t>S</w:t>
      </w:r>
      <w:r w:rsidR="007154C9">
        <w:rPr>
          <w:u w:val="single"/>
        </w:rPr>
        <w:t xml:space="preserve">ubsection  </w:t>
      </w:r>
      <w:r w:rsidR="003228F0" w:rsidRPr="007154C9">
        <w:rPr>
          <w:u w:val="single"/>
        </w:rPr>
        <w:t>4.3</w:t>
      </w:r>
      <w:r w:rsidR="007154C9">
        <w:rPr>
          <w:u w:val="single"/>
        </w:rPr>
        <w:t xml:space="preserve"> – </w:t>
      </w:r>
      <w:r w:rsidR="003228F0" w:rsidRPr="007154C9">
        <w:rPr>
          <w:u w:val="single"/>
        </w:rPr>
        <w:t>Reportable matters defined</w:t>
      </w:r>
      <w:r w:rsidR="0070189D" w:rsidRPr="007154C9">
        <w:rPr>
          <w:u w:val="single"/>
        </w:rPr>
        <w:t xml:space="preserve"> </w:t>
      </w:r>
    </w:p>
    <w:p w:rsidR="007154C9" w:rsidRPr="00C10F5F" w:rsidRDefault="007154C9" w:rsidP="007154C9">
      <w:r w:rsidRPr="00C10F5F">
        <w:t xml:space="preserve">Subsection 18(1) of the </w:t>
      </w:r>
      <w:r w:rsidRPr="00A36555">
        <w:rPr>
          <w:i/>
        </w:rPr>
        <w:t>Transport Safety Investigation Act 2003</w:t>
      </w:r>
      <w:r>
        <w:t xml:space="preserve"> (TSI Act)</w:t>
      </w:r>
      <w:r w:rsidRPr="00C10F5F">
        <w:t xml:space="preserve"> provides that an immediately reportable matter (IRM) must be reported as soon as practicable to the ATSB.  Subsection 19(1) of the TSI Act provides that a written report of a IRM must be made within 72 hours.  Subsection 19(1) also provides that a written report of a routinely reportable matter (RRM) must be made within 72 hours.  For the purposes of section 18 of the TSI Act, an IRM must be reported as soon as practicable to the </w:t>
      </w:r>
      <w:r w:rsidRPr="00C10F5F">
        <w:lastRenderedPageBreak/>
        <w:t>ATSB by telephone</w:t>
      </w:r>
      <w:r w:rsidRPr="00C10F5F">
        <w:rPr>
          <w:rStyle w:val="FootnoteReference"/>
        </w:rPr>
        <w:footnoteReference w:id="2"/>
      </w:r>
      <w:r w:rsidRPr="00C10F5F">
        <w:t>.  A written report of an IRM or and RRM must be made within 72 hours of the matter happening.</w:t>
      </w:r>
    </w:p>
    <w:p w:rsidR="002113E9" w:rsidRPr="00AD700D" w:rsidRDefault="007154C9" w:rsidP="007154C9">
      <w:pPr>
        <w:autoSpaceDE w:val="0"/>
        <w:autoSpaceDN w:val="0"/>
        <w:adjustRightInd w:val="0"/>
      </w:pPr>
      <w:r w:rsidRPr="00C10F5F">
        <w:t xml:space="preserve">Section 3 of the TSI Act provides that the list of immediately and routinely reportable matters that must be reported under sections 18 and 19 are as prescribed by the TSI Regulations.  </w:t>
      </w:r>
      <w:r w:rsidR="00180DC8" w:rsidRPr="00AD700D">
        <w:t xml:space="preserve">  </w:t>
      </w:r>
    </w:p>
    <w:p w:rsidR="006D45DC" w:rsidRPr="00AD700D" w:rsidRDefault="007154C9" w:rsidP="007154C9">
      <w:pPr>
        <w:autoSpaceDE w:val="0"/>
        <w:autoSpaceDN w:val="0"/>
        <w:adjustRightInd w:val="0"/>
      </w:pPr>
      <w:r>
        <w:t xml:space="preserve">This subsection provides that an IRM is any notifiable occurrence that is immediately reportable under the RSNL, while an RRM is any other notifiable occurrence.  While the list of matters that are immediately reportable, and otherwise, under the RSNL </w:t>
      </w:r>
      <w:r w:rsidR="00E16D3E">
        <w:t>were not prescribed at the time of the finalising of this Regulation,</w:t>
      </w:r>
      <w:r>
        <w:t xml:space="preserve"> the National Transport Commission released an Exposure Draft of the </w:t>
      </w:r>
      <w:r w:rsidRPr="00AE31FE">
        <w:rPr>
          <w:i/>
        </w:rPr>
        <w:t>Rail Safety N</w:t>
      </w:r>
      <w:r>
        <w:rPr>
          <w:i/>
        </w:rPr>
        <w:t>ational Law National Regulation</w:t>
      </w:r>
      <w:r w:rsidRPr="00AE31FE">
        <w:rPr>
          <w:i/>
        </w:rPr>
        <w:t xml:space="preserve"> 2012</w:t>
      </w:r>
      <w:r>
        <w:rPr>
          <w:i/>
        </w:rPr>
        <w:t xml:space="preserve"> </w:t>
      </w:r>
      <w:r>
        <w:t>in</w:t>
      </w:r>
      <w:r>
        <w:rPr>
          <w:i/>
        </w:rPr>
        <w:t xml:space="preserve"> </w:t>
      </w:r>
      <w:r>
        <w:t xml:space="preserve">September 2012. In the Exposure Draft of that Regulation, matters likely to be immediately reportable under the RSNL were proposed to be Category A notifiable occurrences while all other notifiable occurrences were proposed to be Category B.  </w:t>
      </w:r>
      <w:r w:rsidRPr="00581EF0">
        <w:t xml:space="preserve">The matters for each Category are derived from the Guideline for the Top Event Classification of Notifiable Occurrences – Occurrence Classification – Guideline One (OC-G1), and also the Guideline for the Reporting of Notifiable Occurrences – Occurrence Notification – Standard 1 (ON-S1).  OC-G1 and ON-S1 support uniform classification and uniform reporting of rail safety occurrences across Australia. </w:t>
      </w:r>
    </w:p>
    <w:p w:rsidR="007154C9" w:rsidRPr="003165CC" w:rsidRDefault="007154C9" w:rsidP="007154C9">
      <w:pPr>
        <w:rPr>
          <w:u w:val="single"/>
        </w:rPr>
      </w:pPr>
      <w:bookmarkStart w:id="5" w:name="_Toc193775305"/>
      <w:r w:rsidRPr="003165CC">
        <w:rPr>
          <w:u w:val="single"/>
        </w:rPr>
        <w:t>Subsection 4.4</w:t>
      </w:r>
      <w:bookmarkEnd w:id="5"/>
      <w:r>
        <w:rPr>
          <w:u w:val="single"/>
        </w:rPr>
        <w:t xml:space="preserve"> </w:t>
      </w:r>
      <w:r>
        <w:rPr>
          <w:u w:val="single"/>
        </w:rPr>
        <w:softHyphen/>
      </w:r>
      <w:r w:rsidRPr="00EF4455">
        <w:rPr>
          <w:u w:val="single"/>
        </w:rPr>
        <w:t xml:space="preserve">– </w:t>
      </w:r>
      <w:r w:rsidRPr="003165CC">
        <w:rPr>
          <w:u w:val="single"/>
        </w:rPr>
        <w:t>Responsible persons defined</w:t>
      </w:r>
    </w:p>
    <w:p w:rsidR="00E251F6" w:rsidRDefault="002F252E" w:rsidP="00EB14B1">
      <w:r w:rsidRPr="00AD700D">
        <w:t xml:space="preserve">Under sections 18 and 19 of the TSI Act, persons with reporting obligations are termed ‘responsible persons’.  </w:t>
      </w:r>
      <w:r w:rsidR="0023175D" w:rsidRPr="00AD700D">
        <w:t>S</w:t>
      </w:r>
      <w:r w:rsidR="00C6351F" w:rsidRPr="00AD700D">
        <w:t>ection 3 of the TSI Act</w:t>
      </w:r>
      <w:r w:rsidR="00A333C2" w:rsidRPr="00AD700D">
        <w:t xml:space="preserve"> provides that</w:t>
      </w:r>
      <w:r w:rsidR="00C6351F" w:rsidRPr="00AD700D">
        <w:t xml:space="preserve"> 'responsible persons' who are required to report to be prescribed </w:t>
      </w:r>
      <w:r w:rsidR="00AE2520" w:rsidRPr="00AD700D">
        <w:t>by the r</w:t>
      </w:r>
      <w:r w:rsidR="00C6351F" w:rsidRPr="00AD700D">
        <w:t>egulations</w:t>
      </w:r>
      <w:r w:rsidR="00E656A5" w:rsidRPr="00AD700D">
        <w:t xml:space="preserve">.  </w:t>
      </w:r>
      <w:r w:rsidR="00440BB6" w:rsidRPr="00AD700D">
        <w:t xml:space="preserve">For the purpose of the </w:t>
      </w:r>
      <w:r w:rsidR="002D77F5">
        <w:t>R</w:t>
      </w:r>
      <w:r w:rsidR="00440BB6" w:rsidRPr="00AD700D">
        <w:t xml:space="preserve">egulation, </w:t>
      </w:r>
      <w:r w:rsidR="00A333C2" w:rsidRPr="00AD700D">
        <w:t>“</w:t>
      </w:r>
      <w:r w:rsidR="00440BB6" w:rsidRPr="00AD700D">
        <w:t>responsible perso</w:t>
      </w:r>
      <w:r w:rsidR="00AE2520" w:rsidRPr="00AD700D">
        <w:t>ns</w:t>
      </w:r>
      <w:r w:rsidR="00A333C2" w:rsidRPr="00AD700D">
        <w:t>”</w:t>
      </w:r>
      <w:r w:rsidR="00AE2520" w:rsidRPr="00AD700D">
        <w:t xml:space="preserve"> are rail t</w:t>
      </w:r>
      <w:r w:rsidR="005D3DB5" w:rsidRPr="00AD700D">
        <w:t>ransport operator</w:t>
      </w:r>
      <w:r w:rsidR="00B1583A" w:rsidRPr="00AD700D">
        <w:t>s</w:t>
      </w:r>
      <w:r w:rsidR="006A7403">
        <w:t xml:space="preserve"> (RTOs)</w:t>
      </w:r>
      <w:r w:rsidR="009550DE">
        <w:t>.</w:t>
      </w:r>
    </w:p>
    <w:p w:rsidR="00AE2520" w:rsidRPr="00AD700D" w:rsidRDefault="00E251F6" w:rsidP="00EB14B1">
      <w:r>
        <w:t>Subsection 4.4 applies</w:t>
      </w:r>
      <w:r w:rsidR="00AE2520" w:rsidRPr="00AD700D">
        <w:t xml:space="preserve"> the definition of RTO from the </w:t>
      </w:r>
      <w:r>
        <w:t>RSNL.  An RTO is defined under the RSNL as:</w:t>
      </w:r>
    </w:p>
    <w:p w:rsidR="00AE2520" w:rsidRPr="00AD700D" w:rsidRDefault="00440BB6" w:rsidP="00AE2520">
      <w:pPr>
        <w:pStyle w:val="ListParagraph"/>
        <w:numPr>
          <w:ilvl w:val="0"/>
          <w:numId w:val="27"/>
        </w:numPr>
      </w:pPr>
      <w:r w:rsidRPr="00AD700D">
        <w:t xml:space="preserve">rail infrastructure managers, </w:t>
      </w:r>
    </w:p>
    <w:p w:rsidR="00AE2520" w:rsidRPr="00AD700D" w:rsidRDefault="00440BB6" w:rsidP="00AE2520">
      <w:pPr>
        <w:pStyle w:val="ListParagraph"/>
        <w:numPr>
          <w:ilvl w:val="0"/>
          <w:numId w:val="27"/>
        </w:numPr>
      </w:pPr>
      <w:r w:rsidRPr="00AD700D">
        <w:t xml:space="preserve">rolling stock operators </w:t>
      </w:r>
    </w:p>
    <w:p w:rsidR="00116277" w:rsidRDefault="00440BB6" w:rsidP="00116277">
      <w:pPr>
        <w:pStyle w:val="ListParagraph"/>
        <w:numPr>
          <w:ilvl w:val="0"/>
          <w:numId w:val="27"/>
        </w:numPr>
      </w:pPr>
      <w:r w:rsidRPr="00AD700D">
        <w:t xml:space="preserve">and a person who is both a rail infrastructure manager and rolling stock operator.  </w:t>
      </w:r>
    </w:p>
    <w:p w:rsidR="00116277" w:rsidRPr="00C10F5F" w:rsidRDefault="00116277" w:rsidP="00116277">
      <w:r>
        <w:t>This subsection</w:t>
      </w:r>
      <w:r w:rsidRPr="00C10F5F">
        <w:t xml:space="preserve"> also provide</w:t>
      </w:r>
      <w:r>
        <w:t>s</w:t>
      </w:r>
      <w:r w:rsidRPr="00C10F5F">
        <w:t xml:space="preserve"> that</w:t>
      </w:r>
      <w:r>
        <w:t>,</w:t>
      </w:r>
      <w:r w:rsidRPr="00C10F5F">
        <w:t xml:space="preserve"> in order to enhance the ATSB’s ability to obtain </w:t>
      </w:r>
      <w:r>
        <w:t xml:space="preserve">further </w:t>
      </w:r>
      <w:r w:rsidRPr="00C10F5F">
        <w:t>information about an occurrence</w:t>
      </w:r>
      <w:r>
        <w:t>,</w:t>
      </w:r>
      <w:r w:rsidRPr="00C10F5F">
        <w:t xml:space="preserve"> employees of operators and crew members may also be required</w:t>
      </w:r>
      <w:r>
        <w:t xml:space="preserve"> </w:t>
      </w:r>
      <w:r w:rsidRPr="00C10F5F">
        <w:t>to provide information.</w:t>
      </w:r>
      <w:r>
        <w:t xml:space="preserve">  That would only be in limited circumstances, such as where the ATSB considered that it required extra information for the purposes of conducting an investigation or deciding whether to conduct an investigation.</w:t>
      </w:r>
    </w:p>
    <w:p w:rsidR="00116277" w:rsidRPr="00D26D95" w:rsidRDefault="00116277" w:rsidP="00116277">
      <w:pPr>
        <w:rPr>
          <w:u w:val="single"/>
        </w:rPr>
      </w:pPr>
      <w:r w:rsidRPr="00D26D95">
        <w:rPr>
          <w:u w:val="single"/>
        </w:rPr>
        <w:t>Subsection 4.5</w:t>
      </w:r>
      <w:r>
        <w:rPr>
          <w:u w:val="single"/>
        </w:rPr>
        <w:t xml:space="preserve"> </w:t>
      </w:r>
      <w:r w:rsidRPr="00EF4455">
        <w:rPr>
          <w:u w:val="single"/>
        </w:rPr>
        <w:t xml:space="preserve">– </w:t>
      </w:r>
      <w:r w:rsidRPr="00D26D95">
        <w:rPr>
          <w:u w:val="single"/>
        </w:rPr>
        <w:t>Particulars for reports of reportable matters</w:t>
      </w:r>
    </w:p>
    <w:p w:rsidR="00D87696" w:rsidRPr="00AD700D" w:rsidRDefault="006A7403" w:rsidP="00D87696">
      <w:r>
        <w:t>S</w:t>
      </w:r>
      <w:r w:rsidR="00B04227" w:rsidRPr="00AD700D">
        <w:t xml:space="preserve">ections 18 and 19 of the TSI Act require responsible persons who have knowledge of </w:t>
      </w:r>
      <w:r w:rsidR="00AE2520" w:rsidRPr="00AD700D">
        <w:t xml:space="preserve">IRMs and RRMs </w:t>
      </w:r>
      <w:r w:rsidR="00B04227" w:rsidRPr="00AD700D">
        <w:t xml:space="preserve">to report </w:t>
      </w:r>
      <w:r w:rsidR="00D87696" w:rsidRPr="00AD700D">
        <w:t>particulars of these</w:t>
      </w:r>
      <w:r w:rsidR="00B04227" w:rsidRPr="00AD700D">
        <w:t xml:space="preserve">.  </w:t>
      </w:r>
      <w:r w:rsidR="00D87696" w:rsidRPr="00AD700D">
        <w:t>The</w:t>
      </w:r>
      <w:r w:rsidR="007D36AA" w:rsidRPr="00AD700D">
        <w:t xml:space="preserve"> TSI regulations prescribe </w:t>
      </w:r>
      <w:r w:rsidR="00D87696" w:rsidRPr="00AD700D">
        <w:t>the</w:t>
      </w:r>
      <w:r w:rsidR="007D36AA" w:rsidRPr="00AD700D">
        <w:t xml:space="preserve"> </w:t>
      </w:r>
      <w:r w:rsidR="007D36AA" w:rsidRPr="00AD700D">
        <w:lastRenderedPageBreak/>
        <w:t xml:space="preserve">particulars </w:t>
      </w:r>
      <w:r w:rsidR="00D87696" w:rsidRPr="00AD700D">
        <w:t xml:space="preserve">that </w:t>
      </w:r>
      <w:r w:rsidR="007D36AA" w:rsidRPr="00AD700D">
        <w:t>must be reported</w:t>
      </w:r>
      <w:r w:rsidR="00D87696" w:rsidRPr="00AD700D">
        <w:t xml:space="preserve">  for IRMs and RRMs.  The purpose of prescribing the relevant particulars that must be reported, when a report of an IRM is made, is to ensure that the ATSB receives adequate information in relation to an IRM, rather than just a report of the occurrence of an IRM.  Reports of IRMs in accordance with subsection 18(1) </w:t>
      </w:r>
      <w:r w:rsidR="0051115A" w:rsidRPr="00AD700D">
        <w:t>will be</w:t>
      </w:r>
      <w:r w:rsidR="00D87696" w:rsidRPr="00AD700D">
        <w:t xml:space="preserve"> used by the ATSB to determine whether the IRM is one that is to be investigated under the Act.  The ATSB needs to have sufficient information in order to make a decision about whether or not to investigate.</w:t>
      </w:r>
      <w:r w:rsidR="0051115A" w:rsidRPr="00AD700D">
        <w:t xml:space="preserve"> </w:t>
      </w:r>
    </w:p>
    <w:p w:rsidR="00B01B9F" w:rsidRPr="00AD700D" w:rsidRDefault="00866A74" w:rsidP="00B01B9F">
      <w:r>
        <w:t xml:space="preserve">This subsection </w:t>
      </w:r>
      <w:r w:rsidR="00B01B9F" w:rsidRPr="00AD700D">
        <w:t xml:space="preserve">provides that the particulars prescribed for reports under subsections 18 (1), 19 (1) and (4) of the TSI Act are the same particulars as the  Regulator would require for a report about a notifiable occurrence under the </w:t>
      </w:r>
      <w:r>
        <w:t xml:space="preserve">RSNL. </w:t>
      </w:r>
      <w:r w:rsidR="00B01B9F" w:rsidRPr="00AD700D">
        <w:t xml:space="preserve">This reflects the </w:t>
      </w:r>
      <w:r>
        <w:t>harmonisation</w:t>
      </w:r>
      <w:r w:rsidR="00B01B9F" w:rsidRPr="00AD700D">
        <w:t xml:space="preserve"> of the TSI Act and Regulations with the </w:t>
      </w:r>
      <w:r>
        <w:t xml:space="preserve">RSNL. </w:t>
      </w:r>
      <w:r w:rsidR="00B01B9F" w:rsidRPr="00AD700D">
        <w:t xml:space="preserve">It also recognises the reporting responsibilities of rail transport operators and </w:t>
      </w:r>
      <w:r>
        <w:t xml:space="preserve">avoids </w:t>
      </w:r>
      <w:r w:rsidR="00B01B9F" w:rsidRPr="00AD700D">
        <w:t xml:space="preserve">duplication with the Regulator’s requirements.  </w:t>
      </w:r>
    </w:p>
    <w:p w:rsidR="00866A74" w:rsidRDefault="00866A74" w:rsidP="00866A74">
      <w:r>
        <w:t xml:space="preserve">The particulars that the Regulator requires have not yet been prescribed, however it is expected that these will </w:t>
      </w:r>
      <w:r w:rsidRPr="00C10F5F">
        <w:t xml:space="preserve">include details of the reporter, location of the incident, details of the operation, injuries/fatalities/property damage and a brief summary of the incident.  </w:t>
      </w:r>
    </w:p>
    <w:p w:rsidR="00866A74" w:rsidRPr="00C10F5F" w:rsidRDefault="00866A74" w:rsidP="00866A74">
      <w:r>
        <w:t xml:space="preserve">This subsection also provides that if the Regulator does not prescribe the particulars that must be provided, then the particulars set out in subparagraphs 4.5(2)(a)-(k) must be provided in the alternative.  Those particulars include </w:t>
      </w:r>
      <w:r w:rsidRPr="00C10F5F">
        <w:t>details of the reporter, location of the incident, details of the operation, injuries/fatalities/property damage and a brief summary of the incident.</w:t>
      </w:r>
    </w:p>
    <w:p w:rsidR="00915C02" w:rsidRPr="00FF0DC8" w:rsidRDefault="00915C02" w:rsidP="00915C02">
      <w:pPr>
        <w:rPr>
          <w:u w:val="single"/>
        </w:rPr>
      </w:pPr>
      <w:r w:rsidRPr="00FF0DC8">
        <w:rPr>
          <w:u w:val="single"/>
        </w:rPr>
        <w:t>Subsection 4.6</w:t>
      </w:r>
      <w:r>
        <w:rPr>
          <w:u w:val="single"/>
        </w:rPr>
        <w:t xml:space="preserve"> </w:t>
      </w:r>
      <w:r w:rsidRPr="00EF4455">
        <w:rPr>
          <w:u w:val="single"/>
        </w:rPr>
        <w:t xml:space="preserve">– </w:t>
      </w:r>
      <w:r w:rsidRPr="00FF0DC8">
        <w:rPr>
          <w:u w:val="single"/>
        </w:rPr>
        <w:t>Nominated officials for receiving reports</w:t>
      </w:r>
    </w:p>
    <w:p w:rsidR="008B0592" w:rsidRPr="00915C02" w:rsidRDefault="00915C02" w:rsidP="009550DE">
      <w:r w:rsidRPr="00C10F5F">
        <w:t xml:space="preserve">Section 20 of the TSI Act requires that the regulations prescribe a list of persons who are 'nominated officials' </w:t>
      </w:r>
      <w:r>
        <w:t>for receiving reports of</w:t>
      </w:r>
      <w:r w:rsidRPr="00C10F5F">
        <w:t xml:space="preserve"> reportable matters. These are persons to whom reports must be given. </w:t>
      </w:r>
      <w:r>
        <w:t>S</w:t>
      </w:r>
      <w:r w:rsidRPr="00C10F5F">
        <w:t xml:space="preserve">ubparagraph 4.6(2)(a) </w:t>
      </w:r>
      <w:r>
        <w:t>lists</w:t>
      </w:r>
      <w:r w:rsidRPr="00C10F5F">
        <w:t xml:space="preserve"> a staff member of the ATSB, for the purpose of an IRM being reported by telep</w:t>
      </w:r>
      <w:r>
        <w:t>hone.   For all written reports or IRMs or RRMs</w:t>
      </w:r>
      <w:r w:rsidRPr="00C10F5F">
        <w:t xml:space="preserve"> subparagraph 4.6(2)(b) </w:t>
      </w:r>
      <w:r>
        <w:t>specifies</w:t>
      </w:r>
      <w:r w:rsidRPr="00C10F5F">
        <w:t xml:space="preserve"> the Regulator as the nominated official.  </w:t>
      </w:r>
      <w:r>
        <w:t>This subsection supports the reporting framework of the Regulation, reflects the harmonisation of the reporting requirements under the TSI Act and the RSNL and avoids duplication in reporting.</w:t>
      </w:r>
    </w:p>
    <w:p w:rsidR="00915C02" w:rsidRPr="00FF0DC8" w:rsidRDefault="00915C02" w:rsidP="00915C02">
      <w:pPr>
        <w:rPr>
          <w:u w:val="single"/>
        </w:rPr>
      </w:pPr>
      <w:r w:rsidRPr="00FF0DC8">
        <w:rPr>
          <w:u w:val="single"/>
        </w:rPr>
        <w:t>Subsection 4.7</w:t>
      </w:r>
      <w:r>
        <w:rPr>
          <w:u w:val="single"/>
        </w:rPr>
        <w:t xml:space="preserve"> </w:t>
      </w:r>
      <w:r w:rsidRPr="00EF4455">
        <w:rPr>
          <w:u w:val="single"/>
        </w:rPr>
        <w:t xml:space="preserve">– </w:t>
      </w:r>
      <w:r w:rsidRPr="00FF0DC8">
        <w:rPr>
          <w:u w:val="single"/>
        </w:rPr>
        <w:t>Staff member to pass report on to Regulator</w:t>
      </w:r>
    </w:p>
    <w:p w:rsidR="00AB26F2" w:rsidRPr="00AD700D" w:rsidRDefault="00915C02" w:rsidP="000A1A51">
      <w:r>
        <w:t>This subsection</w:t>
      </w:r>
      <w:r w:rsidR="000E343D" w:rsidRPr="00AD700D">
        <w:t xml:space="preserve"> </w:t>
      </w:r>
      <w:r w:rsidR="005D3DB5" w:rsidRPr="00AD700D">
        <w:t>require</w:t>
      </w:r>
      <w:r w:rsidR="002113E9" w:rsidRPr="00AD700D">
        <w:t>s</w:t>
      </w:r>
      <w:r w:rsidR="00163038" w:rsidRPr="00AD700D">
        <w:t xml:space="preserve"> the ATSB to provide details of reports it receives to the </w:t>
      </w:r>
      <w:r w:rsidR="00260C55" w:rsidRPr="00AD700D">
        <w:t>Regulator</w:t>
      </w:r>
      <w:r w:rsidR="00163038" w:rsidRPr="00AD700D">
        <w:t xml:space="preserve"> as soon as practicable after receiving the report.  This ensures that the </w:t>
      </w:r>
      <w:r w:rsidR="00260C55" w:rsidRPr="00AD700D">
        <w:t>Regulator</w:t>
      </w:r>
      <w:r w:rsidR="00163038" w:rsidRPr="00AD700D">
        <w:t xml:space="preserve"> </w:t>
      </w:r>
      <w:r w:rsidR="002113E9" w:rsidRPr="00AD700D">
        <w:t>is</w:t>
      </w:r>
      <w:r w:rsidR="00163038" w:rsidRPr="00AD700D">
        <w:t xml:space="preserve"> not deprived of safety related information and can make an early assessment of whether it will conduct its own investigation</w:t>
      </w:r>
      <w:r w:rsidR="002113E9" w:rsidRPr="00AD700D">
        <w:t xml:space="preserve"> under its own legislation.  </w:t>
      </w:r>
    </w:p>
    <w:p w:rsidR="000A1A51" w:rsidRDefault="002113E9" w:rsidP="000A1A51">
      <w:r w:rsidRPr="00AD700D">
        <w:t>The details that the ATSB will pass on to the Regulator will be the particulars that it receive</w:t>
      </w:r>
      <w:r w:rsidR="000E343D" w:rsidRPr="00AD700D">
        <w:t>s</w:t>
      </w:r>
      <w:r w:rsidRPr="00AD700D">
        <w:t xml:space="preserve"> when it takes the initial telephone call</w:t>
      </w:r>
      <w:r w:rsidR="000E343D" w:rsidRPr="00AD700D">
        <w:t xml:space="preserve"> of the </w:t>
      </w:r>
      <w:r w:rsidR="009550DE">
        <w:t>IRM</w:t>
      </w:r>
      <w:r w:rsidRPr="00AD700D">
        <w:t xml:space="preserve">.  </w:t>
      </w:r>
      <w:r w:rsidR="000E343D" w:rsidRPr="00AD700D">
        <w:t xml:space="preserve">However the Regulator will receive the written report of the </w:t>
      </w:r>
      <w:r w:rsidR="009550DE">
        <w:t>IRM</w:t>
      </w:r>
      <w:r w:rsidR="000E343D" w:rsidRPr="00AD700D">
        <w:t xml:space="preserve"> and this information will </w:t>
      </w:r>
      <w:r w:rsidR="009550DE">
        <w:t xml:space="preserve">essentially </w:t>
      </w:r>
      <w:r w:rsidR="000E343D" w:rsidRPr="00AD700D">
        <w:t>confirm the information that has already been provided.</w:t>
      </w:r>
    </w:p>
    <w:p w:rsidR="00915C02" w:rsidRPr="00AD700D" w:rsidRDefault="00915C02" w:rsidP="000A1A51"/>
    <w:p w:rsidR="00915C02" w:rsidRPr="00AC63A9" w:rsidRDefault="00915C02" w:rsidP="00915C02">
      <w:pPr>
        <w:rPr>
          <w:u w:val="single"/>
        </w:rPr>
      </w:pPr>
      <w:r w:rsidRPr="00AC63A9">
        <w:rPr>
          <w:u w:val="single"/>
        </w:rPr>
        <w:lastRenderedPageBreak/>
        <w:t>Subsection</w:t>
      </w:r>
      <w:r w:rsidRPr="00AC63A9">
        <w:rPr>
          <w:u w:val="single"/>
        </w:rPr>
        <w:tab/>
        <w:t>4.8</w:t>
      </w:r>
      <w:r>
        <w:rPr>
          <w:u w:val="single"/>
        </w:rPr>
        <w:t xml:space="preserve"> </w:t>
      </w:r>
      <w:r w:rsidRPr="00EF4455">
        <w:rPr>
          <w:u w:val="single"/>
        </w:rPr>
        <w:t xml:space="preserve">– </w:t>
      </w:r>
      <w:r w:rsidRPr="00AC63A9">
        <w:rPr>
          <w:u w:val="single"/>
        </w:rPr>
        <w:t>Regulator to pass report on to staff member</w:t>
      </w:r>
    </w:p>
    <w:p w:rsidR="00414690" w:rsidRPr="0043218C" w:rsidRDefault="00915C02" w:rsidP="0043218C">
      <w:pPr>
        <w:spacing w:before="100" w:beforeAutospacing="1" w:after="100" w:afterAutospacing="1"/>
        <w:rPr>
          <w:rFonts w:ascii="Arial" w:hAnsi="Arial" w:cs="Arial"/>
        </w:rPr>
      </w:pPr>
      <w:r>
        <w:t>This subsection</w:t>
      </w:r>
      <w:r w:rsidR="000E343D" w:rsidRPr="00AD700D">
        <w:t xml:space="preserve"> </w:t>
      </w:r>
      <w:r w:rsidR="00414690" w:rsidRPr="00AD700D">
        <w:t xml:space="preserve">requires the Regulator to provide a copy of the written report or details of reports it receives to the ATSB as soon as practicable after receiving the report.  This ensures that the ATSB </w:t>
      </w:r>
      <w:r w:rsidR="000E343D" w:rsidRPr="00AD700D">
        <w:t xml:space="preserve">also </w:t>
      </w:r>
      <w:r w:rsidR="00414690" w:rsidRPr="00AD700D">
        <w:t xml:space="preserve">has full access to all safety related </w:t>
      </w:r>
      <w:r w:rsidR="000E343D" w:rsidRPr="00AD700D">
        <w:t xml:space="preserve">information in a timely fashion and is able to confirm information that it </w:t>
      </w:r>
      <w:r w:rsidR="00BE1C50" w:rsidRPr="00AD700D">
        <w:t>has</w:t>
      </w:r>
      <w:r w:rsidR="000E343D" w:rsidRPr="00AD700D">
        <w:t xml:space="preserve"> received as an oral report.</w:t>
      </w:r>
      <w:r w:rsidR="00AB0810" w:rsidRPr="00AD700D" w:rsidDel="00AB0810">
        <w:t xml:space="preserve"> </w:t>
      </w:r>
      <w:r w:rsidR="000E343D" w:rsidRPr="00AD700D">
        <w:t xml:space="preserve">As a written report is not required until 72 hours after the reportable occurrence, with </w:t>
      </w:r>
      <w:r w:rsidR="009550DE">
        <w:t>IRMs</w:t>
      </w:r>
      <w:r w:rsidR="000E343D" w:rsidRPr="00AD700D">
        <w:t xml:space="preserve"> it is expected that much of the required information will have already been obtained. However, the written report is still nec</w:t>
      </w:r>
      <w:r w:rsidR="009550DE">
        <w:t xml:space="preserve">essary for confirmation and may </w:t>
      </w:r>
      <w:r w:rsidR="000E343D" w:rsidRPr="00AD700D">
        <w:t xml:space="preserve">be used to pick up inconsistencies with other reported information. It may also be used for statistical purposes and research and analysis. </w:t>
      </w:r>
    </w:p>
    <w:p w:rsidR="00915C02" w:rsidRPr="00AC63A9" w:rsidRDefault="00915C02" w:rsidP="00915C02">
      <w:pPr>
        <w:rPr>
          <w:u w:val="single"/>
        </w:rPr>
      </w:pPr>
      <w:r w:rsidRPr="00AC63A9">
        <w:rPr>
          <w:u w:val="single"/>
        </w:rPr>
        <w:t>Subsection 4.9</w:t>
      </w:r>
      <w:r>
        <w:rPr>
          <w:u w:val="single"/>
        </w:rPr>
        <w:t xml:space="preserve"> </w:t>
      </w:r>
      <w:r w:rsidRPr="00EF4455">
        <w:rPr>
          <w:u w:val="single"/>
        </w:rPr>
        <w:t xml:space="preserve">– </w:t>
      </w:r>
      <w:r w:rsidRPr="00AC63A9">
        <w:rPr>
          <w:u w:val="single"/>
        </w:rPr>
        <w:t>On-board recordings</w:t>
      </w:r>
    </w:p>
    <w:p w:rsidR="00915C02" w:rsidRDefault="00915C02" w:rsidP="00915C02">
      <w:r w:rsidRPr="00C10F5F">
        <w:t xml:space="preserve">The definition of On Board Recording (OBR) information under section 48 of the Act is broad and could possibly capture recordings that were not intended to receive the protection of OBR information. Section 48 of the Act, therefore, allows for regulations to prescribe that a recording is not to be an OBR even though it may be claimed that it falls within the definition under section 48. </w:t>
      </w:r>
    </w:p>
    <w:p w:rsidR="00915C02" w:rsidRPr="00C10F5F" w:rsidRDefault="00915C02" w:rsidP="00915C02">
      <w:r>
        <w:t xml:space="preserve">This subsection provides that the </w:t>
      </w:r>
      <w:r w:rsidRPr="00C10F5F">
        <w:t xml:space="preserve">recordings </w:t>
      </w:r>
      <w:r>
        <w:t>specified</w:t>
      </w:r>
      <w:r w:rsidRPr="00C10F5F">
        <w:t xml:space="preserve"> </w:t>
      </w:r>
      <w:r>
        <w:t xml:space="preserve">in subsection 4.9 </w:t>
      </w:r>
      <w:r w:rsidRPr="00C10F5F">
        <w:t>are not in the category of recordings that need to be protected in the same man</w:t>
      </w:r>
      <w:r>
        <w:t>ner as an OBR under the Act. This is because the</w:t>
      </w:r>
      <w:r w:rsidRPr="00C10F5F">
        <w:t xml:space="preserve"> sensitivity of the information is not the same as a Cockpit Voice Recorder (CVR) information in an aircraft which may be classified as an OBR under the </w:t>
      </w:r>
      <w:r>
        <w:t xml:space="preserve">TSI </w:t>
      </w:r>
      <w:r w:rsidRPr="00C10F5F">
        <w:t xml:space="preserve">Act. </w:t>
      </w:r>
    </w:p>
    <w:p w:rsidR="00915C02" w:rsidRPr="00C10F5F" w:rsidRDefault="00915C02" w:rsidP="00915C02">
      <w:r w:rsidRPr="00C10F5F">
        <w:t>The recordings listed in th</w:t>
      </w:r>
      <w:r w:rsidR="009A1718">
        <w:t>is subsectio</w:t>
      </w:r>
      <w:r w:rsidR="004D514F">
        <w:t>n</w:t>
      </w:r>
      <w:r w:rsidRPr="00C10F5F">
        <w:t xml:space="preserve"> will receive protection under the </w:t>
      </w:r>
      <w:r w:rsidR="009A1718">
        <w:t xml:space="preserve">TSI </w:t>
      </w:r>
      <w:r w:rsidRPr="00C10F5F">
        <w:t>Act as restricted information, including a broad range of confidentiality provisions, where they are associated with a transport vehicle that is or was the subject of an investigation.</w:t>
      </w:r>
    </w:p>
    <w:p w:rsidR="00915C02" w:rsidRPr="00C10F5F" w:rsidRDefault="00915C02" w:rsidP="00915C02">
      <w:r w:rsidRPr="00C10F5F">
        <w:t xml:space="preserve">Under the TSI Act both OBR information and Restricted Information are protected from copying and disclosure.  The restrictions on copying and disclosure of OBR information apply to everyone whereas limitations on the copying and disclosure of restricted information apply principally to ATSB personnel.  These protections </w:t>
      </w:r>
      <w:r w:rsidR="009A1718">
        <w:t>are unchanged from the previous Part 4.</w:t>
      </w:r>
    </w:p>
    <w:p w:rsidR="009D38AF" w:rsidRPr="00AD700D" w:rsidRDefault="009D38AF" w:rsidP="00414690"/>
    <w:p w:rsidR="000C5ED5" w:rsidRPr="00AD700D" w:rsidRDefault="000C5ED5">
      <w:pPr>
        <w:widowControl/>
        <w:spacing w:after="0"/>
        <w:jc w:val="left"/>
      </w:pPr>
      <w:r w:rsidRPr="00AD700D">
        <w:br w:type="page"/>
      </w:r>
    </w:p>
    <w:p w:rsidR="00663834" w:rsidRPr="002E7B09" w:rsidRDefault="004A0BC8" w:rsidP="00663834">
      <w:pPr>
        <w:jc w:val="right"/>
        <w:rPr>
          <w:u w:val="single"/>
        </w:rPr>
      </w:pPr>
      <w:r w:rsidRPr="002E7B09">
        <w:rPr>
          <w:u w:val="single"/>
        </w:rPr>
        <w:lastRenderedPageBreak/>
        <w:t>A</w:t>
      </w:r>
      <w:r w:rsidR="002E7B09" w:rsidRPr="002E7B09">
        <w:rPr>
          <w:u w:val="single"/>
        </w:rPr>
        <w:t>TTACHMENT B</w:t>
      </w:r>
    </w:p>
    <w:p w:rsidR="00B961DD" w:rsidRPr="00DF334D" w:rsidRDefault="00B961DD" w:rsidP="00B961DD">
      <w:pPr>
        <w:jc w:val="center"/>
        <w:rPr>
          <w:b/>
        </w:rPr>
      </w:pPr>
      <w:r w:rsidRPr="00DF334D">
        <w:rPr>
          <w:b/>
        </w:rPr>
        <w:t>Statement of Compatibility with Human Rights</w:t>
      </w:r>
    </w:p>
    <w:p w:rsidR="00B961DD" w:rsidRPr="00DF334D" w:rsidRDefault="00B961DD" w:rsidP="00B961DD">
      <w:pPr>
        <w:jc w:val="center"/>
      </w:pPr>
      <w:r w:rsidRPr="00DF334D">
        <w:t xml:space="preserve">Prepared in accordance with Part 3 of the </w:t>
      </w:r>
      <w:r w:rsidRPr="00DF334D">
        <w:rPr>
          <w:i/>
        </w:rPr>
        <w:t>Human Rights (Parliamentary Scrutiny) Act 2011</w:t>
      </w:r>
    </w:p>
    <w:p w:rsidR="00B961DD" w:rsidRPr="00DF334D" w:rsidRDefault="00B961DD" w:rsidP="00B961DD">
      <w:pPr>
        <w:jc w:val="center"/>
        <w:rPr>
          <w:i/>
        </w:rPr>
      </w:pPr>
      <w:r w:rsidRPr="00DF334D">
        <w:rPr>
          <w:i/>
        </w:rPr>
        <w:t>Transport Safety Investigation Amendment Regulation 2012</w:t>
      </w:r>
      <w:r w:rsidR="00007219">
        <w:rPr>
          <w:i/>
        </w:rPr>
        <w:t xml:space="preserve"> (No. 1)</w:t>
      </w:r>
    </w:p>
    <w:p w:rsidR="00B961DD" w:rsidRPr="00DF334D" w:rsidRDefault="00B961DD" w:rsidP="00B961DD">
      <w:pPr>
        <w:jc w:val="center"/>
      </w:pPr>
      <w:r w:rsidRPr="00DF334D">
        <w:t xml:space="preserve">This Legislative Instrument is compatible with the human rights and freedoms recognised or declared in the international instruments listed in section 3 of the </w:t>
      </w:r>
      <w:r w:rsidRPr="00DF334D">
        <w:rPr>
          <w:i/>
        </w:rPr>
        <w:t>Human Rights (Parliamentary Scrutiny) Act 2011</w:t>
      </w:r>
    </w:p>
    <w:p w:rsidR="00B961DD" w:rsidRPr="00DF334D" w:rsidRDefault="00B961DD" w:rsidP="00B961DD">
      <w:pPr>
        <w:rPr>
          <w:b/>
        </w:rPr>
      </w:pPr>
      <w:r w:rsidRPr="00DF334D">
        <w:rPr>
          <w:b/>
        </w:rPr>
        <w:t>Overview of the Legislative Instrument</w:t>
      </w:r>
    </w:p>
    <w:p w:rsidR="00B961DD" w:rsidRPr="00DF334D" w:rsidRDefault="00B961DD" w:rsidP="00B961DD">
      <w:pPr>
        <w:tabs>
          <w:tab w:val="left" w:pos="0"/>
        </w:tabs>
      </w:pPr>
      <w:r w:rsidRPr="00DF334D">
        <w:t>The purpose of the Legislative Instrument is make amendments to the Principal Regulations made necessary by reforms concerning the establishment of a National Rail Safety Regulator (Regulator) and committing the Australian Transport Safety Bureau (ATSB) to becoming the national rail safety investigator in relation to rail incidents and accidents across Australia. As part of those reforms all mandatory reports of rail incidents and occurrences across Australia are to be made to the ATSB and the Regulator.</w:t>
      </w:r>
    </w:p>
    <w:p w:rsidR="00B961DD" w:rsidRPr="00DF334D" w:rsidRDefault="00B961DD" w:rsidP="00B961DD">
      <w:pPr>
        <w:tabs>
          <w:tab w:val="left" w:pos="0"/>
        </w:tabs>
      </w:pPr>
      <w:r w:rsidRPr="00DF334D">
        <w:t xml:space="preserve">This Legislative Instrument will provide that immediate reports of the most serious incidents and accidents on Australia’s rail networks (except for those specifically excluded) are to be made to the ATSB by telephone.  The ATSB will pass on details of those reports to the Regulator.  The Legislative Instrument will also provide that written reports of the most serious matters and routine matters are to be made to the ATSB via the Regulator.  </w:t>
      </w:r>
    </w:p>
    <w:p w:rsidR="00B961DD" w:rsidRPr="00DF334D" w:rsidRDefault="00B961DD" w:rsidP="00B961DD">
      <w:pPr>
        <w:tabs>
          <w:tab w:val="left" w:pos="0"/>
        </w:tabs>
      </w:pPr>
      <w:r w:rsidRPr="00DF334D">
        <w:t xml:space="preserve">The purpose of the Legislative Instrument is to align Part 4 of TSI Regulations to the legislation establishing the Regulator, the </w:t>
      </w:r>
      <w:r w:rsidRPr="00DF334D">
        <w:rPr>
          <w:i/>
        </w:rPr>
        <w:t>Rail Safety National Law (South Australia) Act 2012</w:t>
      </w:r>
      <w:r w:rsidRPr="00DF334D">
        <w:t xml:space="preserve"> (RSNL) and the Regulation to be made under that law. The outcome will be a harmonisation of the reporting requirements for the rail industry under both the TSI Act and TSI Regulations and under the</w:t>
      </w:r>
      <w:r w:rsidR="002D77F5" w:rsidRPr="00DF334D">
        <w:t xml:space="preserve"> </w:t>
      </w:r>
      <w:r w:rsidR="00E16D3E" w:rsidRPr="00DF334D">
        <w:t>RSNL</w:t>
      </w:r>
      <w:r w:rsidRPr="00DF334D">
        <w:t xml:space="preserve"> and Regulation.  </w:t>
      </w:r>
    </w:p>
    <w:p w:rsidR="00B961DD" w:rsidRPr="00DF334D" w:rsidRDefault="00B961DD" w:rsidP="00B961DD">
      <w:pPr>
        <w:rPr>
          <w:b/>
        </w:rPr>
      </w:pPr>
      <w:r w:rsidRPr="00DF334D">
        <w:rPr>
          <w:b/>
        </w:rPr>
        <w:t>Human rights implications</w:t>
      </w:r>
    </w:p>
    <w:p w:rsidR="00B961DD" w:rsidRPr="00DF334D" w:rsidRDefault="00B961DD" w:rsidP="00B961DD">
      <w:pPr>
        <w:rPr>
          <w:i/>
        </w:rPr>
      </w:pPr>
      <w:r w:rsidRPr="00DF334D">
        <w:rPr>
          <w:i/>
        </w:rPr>
        <w:t>Right to protection against arbitrary and unlawful interferences with privacy</w:t>
      </w:r>
    </w:p>
    <w:p w:rsidR="00B961DD" w:rsidRPr="00DF334D" w:rsidRDefault="00B961DD" w:rsidP="00B961DD">
      <w:r w:rsidRPr="00DF334D">
        <w:t xml:space="preserve">This Legislative Instrument engages the right to protection from arbitrary and unlawful interferences with privacy in Article 17 of the International Covenant on Civil and Political Rights (ICCPR), to which Australia is a party. </w:t>
      </w:r>
    </w:p>
    <w:p w:rsidR="00B961DD" w:rsidRPr="00DF334D" w:rsidRDefault="00B961DD" w:rsidP="00B961DD">
      <w:r w:rsidRPr="00DF334D">
        <w:t>Article 17 provides that no one shall be subjected to arbitrary or unlawful interference with his or her privacy, family, home or correspondence, nor to unlawful attacks on his or her honour and reputation, and that everyone has the right to the protection of the law against such interference or attacks.  The right to protection against arbitrary and unlawful interferences with privacy will be engaged in situations where agencies collect, use, store and share personal information.</w:t>
      </w:r>
    </w:p>
    <w:p w:rsidR="00B961DD" w:rsidRPr="00DF334D" w:rsidRDefault="00B961DD" w:rsidP="00B961DD">
      <w:r w:rsidRPr="00DF334D">
        <w:t xml:space="preserve">The right to privacy may be subject to permissible limitations.  In order for an </w:t>
      </w:r>
      <w:r w:rsidRPr="00DF334D">
        <w:lastRenderedPageBreak/>
        <w:t xml:space="preserve">interference with the right to privacy to be permissible, the interference must be authorised by law, be for a reason consistent with the ICCPR and be reasonable in the particular circumstances.  Reasonableness, in this context, incorporates notions of proportionality, appropriateness and necessity.  </w:t>
      </w:r>
    </w:p>
    <w:p w:rsidR="00B961DD" w:rsidRPr="00DF334D" w:rsidRDefault="00B961DD" w:rsidP="00B961DD">
      <w:r w:rsidRPr="00DF334D">
        <w:t>Under the Legislative Instrument initial reports of the most serious matters have to be provided to the ATSB.  Where the ATSB receives an initial report it must pass on details of the report, as soon as practicable, to the Regulator. Those details will include personal information such as the details of the reporter, location of the accident, details of the type of rail operation involved and any injuries or fatalities (subregulation 4.5).  The Legislative Instrument provides that details from those reports must be provided to the Regulator within 72 hours as a written report.  The Instrument also provides that details of less serious matters must also be provided to the Regulator within 72 hours.  Where the Regulator receives a written report it will be obliged to provide the report or details from the report to the ATSB.</w:t>
      </w:r>
    </w:p>
    <w:p w:rsidR="00B961DD" w:rsidRPr="00DF334D" w:rsidRDefault="00B961DD" w:rsidP="00B961DD">
      <w:r w:rsidRPr="00DF334D">
        <w:t xml:space="preserve">Consistent with the Information Privacy Principles under the </w:t>
      </w:r>
      <w:r w:rsidRPr="00DF334D">
        <w:rPr>
          <w:i/>
        </w:rPr>
        <w:t>Privacy Act 1988</w:t>
      </w:r>
      <w:r w:rsidRPr="00DF334D">
        <w:t>, where the ATSB receives a report the reporter will be advised that all information that is provided will be provided to the Regulator.  The name of the reporter and other personal details will be stored by the ATSB in accordance with its obligations under the Privacy Act.  Other than to</w:t>
      </w:r>
      <w:r w:rsidR="00E16D3E" w:rsidRPr="00DF334D">
        <w:t xml:space="preserve"> the Regulator</w:t>
      </w:r>
      <w:r w:rsidRPr="00DF334D">
        <w:t xml:space="preserve"> the ATSB would not, unless authorised or required by law, disclose that information to any other person or organisation.  Privacy is legislatively protected by the Regulator to the extent required by confidentiality protections in section 244 of the RSNL.  Section 244 of the RSNL prohibits the disclosure of information or a document or using information or a document for any purpose.  The prohibition is subject to limitations that are consistent with the Information Privacy Principles.  These include disclosure being permitted if a person named consents to such disclosure, the disclosure is required by law, the disclosure is necessary for the exercise of a function or power under the RSNL or is necessary to lessen or prevent a serious risk to public health or safety.</w:t>
      </w:r>
    </w:p>
    <w:p w:rsidR="00B961DD" w:rsidRPr="00DF334D" w:rsidRDefault="00B961DD" w:rsidP="00B961DD">
      <w:r w:rsidRPr="00DF334D">
        <w:t>The reporting requirements in the Legislative Instrument mirror reporting requirements under the National Rail Law.  Taken as a whole the reporting requirements create a system of concurrent compliance for reporting rail matters. The purpose of this approach is to avoid duplication of function.</w:t>
      </w:r>
    </w:p>
    <w:p w:rsidR="00B961DD" w:rsidRPr="00DF334D" w:rsidRDefault="00B961DD" w:rsidP="00B961DD">
      <w:r w:rsidRPr="00DF334D">
        <w:t xml:space="preserve">The retention and disclosure of personal information permitted by this Legislative Instrument may limit protections from arbitrary and unlawful interferences with privacy.  However, these limitations are permissible because they are required by law, will achieve legitimate objectives and are reasonable, necessary and proportionate to achieving these objectives, discussed below.  </w:t>
      </w:r>
    </w:p>
    <w:p w:rsidR="00B961DD" w:rsidRPr="00DF334D" w:rsidRDefault="00B961DD" w:rsidP="00B961DD">
      <w:r w:rsidRPr="00DF334D">
        <w:t>The legitimate objective of the Regulation is to promote transport safety by ensuring that both the ATSB and the Regulator have timely access to such information as may be necessary to establish whether either body needs to conduct an investigation into a matter.  A further legitimate objective is to ensure that the ATSB has access to complete and accurate safety information for the purposes of safety reporting more generally as well as for research and analysis and research investigations</w:t>
      </w:r>
    </w:p>
    <w:p w:rsidR="00B961DD" w:rsidRPr="00DF334D" w:rsidRDefault="00B961DD" w:rsidP="00B961DD">
      <w:r w:rsidRPr="00DF334D">
        <w:t xml:space="preserve">There is a rational connection between the limitation relating to disclosure and the objective in that it is important that the ATSB receive the immediate oral report so </w:t>
      </w:r>
      <w:r w:rsidRPr="00DF334D">
        <w:lastRenderedPageBreak/>
        <w:t>that the ATSB can quickly gain the first hand knowledge required to make an informed decision on whether or not to investigate.  In order to ensure that the Regulator also has access to important rail safety information and can ascertain whether it needs to conduct its own investigation it is important that it receive the same information as the ATSB.  The most effective and efficient way to achieve this and ensure no duplication for industry is to have the ATSB provide details of the initial report to the Regulator. This is also consistent with the ATSB’s function of cooperating with other bodies or organisations that have functions or powers relating to transport safety; or who have functions affected by the ATSB’s function of improving transport safety (see paragraph 12AA(2)(a) of the TSI Act).</w:t>
      </w:r>
    </w:p>
    <w:p w:rsidR="00B961DD" w:rsidRPr="00DF334D" w:rsidRDefault="00E16D3E" w:rsidP="00B961DD">
      <w:r w:rsidRPr="00DF334D">
        <w:t>Further,</w:t>
      </w:r>
      <w:r w:rsidR="00B961DD" w:rsidRPr="00DF334D">
        <w:t xml:space="preserve"> </w:t>
      </w:r>
      <w:r w:rsidRPr="00DF334D">
        <w:t>p</w:t>
      </w:r>
      <w:r w:rsidR="00B961DD" w:rsidRPr="00DF334D">
        <w:t>aragraphs 12AA(1)(a)-(g) of the TSI Act set out the means by which the ATSB may discharge that function, which include receiving and assessing reports of transport safety matters and reportable matter, independently investigating transport safety matters and identifying matters that affect or might affect transport safety.  The ATSB maintaining a database of information received under the reporting requirements of the Legislative Instrument serves that purpose.</w:t>
      </w:r>
    </w:p>
    <w:p w:rsidR="00B961DD" w:rsidRPr="00DF334D" w:rsidRDefault="00B961DD" w:rsidP="00B961DD">
      <w:r w:rsidRPr="00DF334D">
        <w:t xml:space="preserve">The information that the ATSB receives will only be detailed enough to ensure that a decision can be made quickly as to whether to commence a safety investigation.  This is only the information that the ATSB would disclose to the Regulator.  It is information that rail transport operators are used to providing under current reporting requirements to state and territory regulators.  Due to the requirements under the Legislative Instrument to provide written reports to the Regulator the information that the ATSB will initially provide to the Regulator will be information that the Regulator will ultimately receive in any event. </w:t>
      </w:r>
    </w:p>
    <w:p w:rsidR="00B961DD" w:rsidRPr="00DF334D" w:rsidRDefault="00B961DD" w:rsidP="00B961DD">
      <w:pPr>
        <w:rPr>
          <w:b/>
        </w:rPr>
      </w:pPr>
      <w:r w:rsidRPr="00DF334D">
        <w:rPr>
          <w:b/>
        </w:rPr>
        <w:t>Conclusion</w:t>
      </w:r>
    </w:p>
    <w:p w:rsidR="00B961DD" w:rsidRPr="00DF334D" w:rsidRDefault="00B961DD" w:rsidP="00B961DD">
      <w:r w:rsidRPr="00DF334D">
        <w:t>This Legislative Instrument is compatible with human rights and to the extent that it limits the right to privacy these limitations are reasonable, necessary and proportionate to achieving the legitimate objective of ensuring transport safety.</w:t>
      </w:r>
    </w:p>
    <w:p w:rsidR="00DE309B" w:rsidRDefault="00DE309B" w:rsidP="003B495D"/>
    <w:p w:rsidR="00DE309B" w:rsidRPr="00DE309B" w:rsidRDefault="00DE309B" w:rsidP="00DE309B"/>
    <w:p w:rsidR="00DE309B" w:rsidRPr="00DE309B" w:rsidRDefault="00DE309B" w:rsidP="00DE309B"/>
    <w:p w:rsidR="00DE309B" w:rsidRPr="00DE309B" w:rsidRDefault="00DE309B" w:rsidP="00DE309B"/>
    <w:p w:rsidR="00DE309B" w:rsidRPr="00DE309B" w:rsidRDefault="00DE309B" w:rsidP="00DE309B"/>
    <w:p w:rsidR="00DE309B" w:rsidRPr="00DE309B" w:rsidRDefault="00DE309B" w:rsidP="00DE309B"/>
    <w:p w:rsidR="00DE309B" w:rsidRPr="00DE309B" w:rsidRDefault="00DE309B" w:rsidP="00DE309B"/>
    <w:p w:rsidR="00DE309B" w:rsidRPr="00DE309B" w:rsidRDefault="00DE309B" w:rsidP="00DE309B"/>
    <w:p w:rsidR="00DE309B" w:rsidRPr="00DE309B" w:rsidRDefault="00DE309B" w:rsidP="00DE309B"/>
    <w:p w:rsidR="00DE309B" w:rsidRPr="00DE309B" w:rsidRDefault="00DE309B" w:rsidP="00DE309B"/>
    <w:sectPr w:rsidR="00DE309B" w:rsidRPr="00DE309B" w:rsidSect="00D702F2">
      <w:headerReference w:type="default" r:id="rId9"/>
      <w:footerReference w:type="even" r:id="rId10"/>
      <w:footerReference w:type="default" r:id="rId11"/>
      <w:pgSz w:w="11906" w:h="16838"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D8F" w:rsidRDefault="00BD0D8F">
      <w:r>
        <w:separator/>
      </w:r>
    </w:p>
  </w:endnote>
  <w:endnote w:type="continuationSeparator" w:id="0">
    <w:p w:rsidR="00BD0D8F" w:rsidRDefault="00BD0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39F" w:rsidRDefault="00FF5057" w:rsidP="008D0A03">
    <w:pPr>
      <w:pStyle w:val="Footer"/>
      <w:framePr w:wrap="around" w:vAnchor="text" w:hAnchor="margin" w:xAlign="right" w:y="1"/>
      <w:rPr>
        <w:rStyle w:val="PageNumber"/>
      </w:rPr>
    </w:pPr>
    <w:r>
      <w:rPr>
        <w:rStyle w:val="PageNumber"/>
      </w:rPr>
      <w:fldChar w:fldCharType="begin"/>
    </w:r>
    <w:r w:rsidR="00FA439F">
      <w:rPr>
        <w:rStyle w:val="PageNumber"/>
      </w:rPr>
      <w:instrText xml:space="preserve">PAGE  </w:instrText>
    </w:r>
    <w:r>
      <w:rPr>
        <w:rStyle w:val="PageNumber"/>
      </w:rPr>
      <w:fldChar w:fldCharType="separate"/>
    </w:r>
    <w:r w:rsidR="00B33F1C">
      <w:rPr>
        <w:rStyle w:val="PageNumber"/>
        <w:noProof/>
      </w:rPr>
      <w:t>6</w:t>
    </w:r>
    <w:r>
      <w:rPr>
        <w:rStyle w:val="PageNumber"/>
      </w:rPr>
      <w:fldChar w:fldCharType="end"/>
    </w:r>
  </w:p>
  <w:p w:rsidR="00FA439F" w:rsidRDefault="00FA439F" w:rsidP="00673C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39F" w:rsidRDefault="00FA439F" w:rsidP="00673C7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D8F" w:rsidRDefault="00BD0D8F">
      <w:r>
        <w:separator/>
      </w:r>
    </w:p>
  </w:footnote>
  <w:footnote w:type="continuationSeparator" w:id="0">
    <w:p w:rsidR="00BD0D8F" w:rsidRDefault="00BD0D8F">
      <w:r>
        <w:continuationSeparator/>
      </w:r>
    </w:p>
  </w:footnote>
  <w:footnote w:id="1">
    <w:p w:rsidR="0057490A" w:rsidRPr="00FF0DC8" w:rsidRDefault="0057490A" w:rsidP="0057490A">
      <w:pPr>
        <w:pStyle w:val="FootnoteText"/>
        <w:rPr>
          <w:sz w:val="16"/>
          <w:szCs w:val="16"/>
        </w:rPr>
      </w:pPr>
      <w:r w:rsidRPr="00FF0DC8">
        <w:rPr>
          <w:rStyle w:val="FootnoteReference"/>
          <w:sz w:val="16"/>
          <w:szCs w:val="16"/>
        </w:rPr>
        <w:footnoteRef/>
      </w:r>
      <w:r w:rsidRPr="00FF0DC8">
        <w:rPr>
          <w:sz w:val="16"/>
          <w:szCs w:val="16"/>
        </w:rPr>
        <w:t xml:space="preserve"> These may be accessed at </w:t>
      </w:r>
      <w:hyperlink r:id="rId1" w:history="1">
        <w:r w:rsidRPr="00FF0DC8">
          <w:rPr>
            <w:rStyle w:val="Hyperlink"/>
            <w:sz w:val="16"/>
            <w:szCs w:val="16"/>
          </w:rPr>
          <w:t>www.ntc.gov.au</w:t>
        </w:r>
      </w:hyperlink>
      <w:r w:rsidRPr="00FF0DC8">
        <w:rPr>
          <w:sz w:val="16"/>
          <w:szCs w:val="16"/>
        </w:rPr>
        <w:t xml:space="preserve"> </w:t>
      </w:r>
    </w:p>
  </w:footnote>
  <w:footnote w:id="2">
    <w:p w:rsidR="007154C9" w:rsidRPr="00FF0DC8" w:rsidRDefault="007154C9" w:rsidP="007154C9">
      <w:pPr>
        <w:pStyle w:val="FootnoteText"/>
        <w:rPr>
          <w:sz w:val="16"/>
          <w:szCs w:val="16"/>
        </w:rPr>
      </w:pPr>
      <w:r w:rsidRPr="00FF0DC8">
        <w:rPr>
          <w:rStyle w:val="FootnoteReference"/>
          <w:sz w:val="16"/>
          <w:szCs w:val="16"/>
        </w:rPr>
        <w:footnoteRef/>
      </w:r>
      <w:r w:rsidRPr="00FF0DC8">
        <w:rPr>
          <w:sz w:val="16"/>
          <w:szCs w:val="16"/>
        </w:rPr>
        <w:t xml:space="preserve"> If telephone communication is not reasonably available, by another form or telecommunication or radio communication – see subregulation 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06473"/>
      <w:docPartObj>
        <w:docPartGallery w:val="Page Numbers (Top of Page)"/>
        <w:docPartUnique/>
      </w:docPartObj>
    </w:sdtPr>
    <w:sdtEndPr/>
    <w:sdtContent>
      <w:p w:rsidR="00B93B70" w:rsidRDefault="00FF5057">
        <w:pPr>
          <w:pStyle w:val="Header"/>
          <w:jc w:val="center"/>
        </w:pPr>
        <w:r>
          <w:fldChar w:fldCharType="begin"/>
        </w:r>
        <w:r w:rsidR="00B93B70">
          <w:instrText xml:space="preserve"> PAGE   \* MERGEFORMAT </w:instrText>
        </w:r>
        <w:r>
          <w:fldChar w:fldCharType="separate"/>
        </w:r>
        <w:r w:rsidR="00BA0FC7">
          <w:rPr>
            <w:noProof/>
          </w:rPr>
          <w:t>10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53FBE"/>
    <w:multiLevelType w:val="hybridMultilevel"/>
    <w:tmpl w:val="3180630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Arial"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Arial"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Arial" w:hint="default"/>
      </w:rPr>
    </w:lvl>
    <w:lvl w:ilvl="8" w:tplc="0C090005" w:tentative="1">
      <w:start w:val="1"/>
      <w:numFmt w:val="bullet"/>
      <w:lvlText w:val=""/>
      <w:lvlJc w:val="left"/>
      <w:pPr>
        <w:ind w:left="6540" w:hanging="360"/>
      </w:pPr>
      <w:rPr>
        <w:rFonts w:ascii="Wingdings" w:hAnsi="Wingdings" w:hint="default"/>
      </w:rPr>
    </w:lvl>
  </w:abstractNum>
  <w:abstractNum w:abstractNumId="1">
    <w:nsid w:val="0DE375ED"/>
    <w:multiLevelType w:val="hybridMultilevel"/>
    <w:tmpl w:val="C3588A80"/>
    <w:lvl w:ilvl="0" w:tplc="432441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FC0A8B"/>
    <w:multiLevelType w:val="hybridMultilevel"/>
    <w:tmpl w:val="1B002B76"/>
    <w:lvl w:ilvl="0" w:tplc="812CFEE4">
      <w:start w:val="1"/>
      <w:numFmt w:val="lowerLetter"/>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nsid w:val="16F84CE0"/>
    <w:multiLevelType w:val="hybridMultilevel"/>
    <w:tmpl w:val="EE105C5E"/>
    <w:lvl w:ilvl="0" w:tplc="1BA03080">
      <w:start w:val="1"/>
      <w:numFmt w:val="lowerLetter"/>
      <w:lvlText w:val="(%1)"/>
      <w:lvlJc w:val="left"/>
      <w:pPr>
        <w:ind w:left="720" w:hanging="360"/>
      </w:pPr>
      <w:rPr>
        <w:rFonts w:ascii="Times New Roman" w:eastAsia="Times New Roman"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76346F7"/>
    <w:multiLevelType w:val="hybridMultilevel"/>
    <w:tmpl w:val="4798E7AE"/>
    <w:lvl w:ilvl="0" w:tplc="07E0624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F700C5E"/>
    <w:multiLevelType w:val="hybridMultilevel"/>
    <w:tmpl w:val="161221CC"/>
    <w:lvl w:ilvl="0" w:tplc="0020096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32E66563"/>
    <w:multiLevelType w:val="hybridMultilevel"/>
    <w:tmpl w:val="5E6A94CA"/>
    <w:lvl w:ilvl="0" w:tplc="A8507412">
      <w:start w:val="1"/>
      <w:numFmt w:val="decimal"/>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6DC45CE"/>
    <w:multiLevelType w:val="hybridMultilevel"/>
    <w:tmpl w:val="A3C09D76"/>
    <w:lvl w:ilvl="0" w:tplc="ABD0D3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DA2266D"/>
    <w:multiLevelType w:val="hybridMultilevel"/>
    <w:tmpl w:val="D4C876AE"/>
    <w:lvl w:ilvl="0" w:tplc="59765B10">
      <w:start w:val="1"/>
      <w:numFmt w:val="lowerLetter"/>
      <w:lvlText w:val="(%1)"/>
      <w:lvlJc w:val="left"/>
      <w:pPr>
        <w:tabs>
          <w:tab w:val="num" w:pos="720"/>
        </w:tabs>
        <w:ind w:left="720" w:hanging="360"/>
      </w:pPr>
      <w:rPr>
        <w:rFonts w:ascii="Times New Roman" w:eastAsia="Times New Roman" w:hAnsi="Times New Roman" w:cs="Times New Roman"/>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3376151"/>
    <w:multiLevelType w:val="hybridMultilevel"/>
    <w:tmpl w:val="A3DCBC4C"/>
    <w:lvl w:ilvl="0" w:tplc="47248982">
      <w:start w:val="1"/>
      <w:numFmt w:val="lowerLetter"/>
      <w:lvlText w:val="(%1)"/>
      <w:lvlJc w:val="left"/>
      <w:pPr>
        <w:tabs>
          <w:tab w:val="num" w:pos="735"/>
        </w:tabs>
        <w:ind w:left="735" w:hanging="37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444379D4"/>
    <w:multiLevelType w:val="multilevel"/>
    <w:tmpl w:val="FDD0C2CA"/>
    <w:styleLink w:val="StyleNumbered"/>
    <w:lvl w:ilvl="0">
      <w:start w:val="1"/>
      <w:numFmt w:val="lowerLetter"/>
      <w:lvlText w:val="(%1)"/>
      <w:lvlJc w:val="left"/>
      <w:pPr>
        <w:tabs>
          <w:tab w:val="num" w:pos="567"/>
        </w:tabs>
        <w:ind w:left="567" w:hanging="283"/>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464E6A7E"/>
    <w:multiLevelType w:val="hybridMultilevel"/>
    <w:tmpl w:val="BEE04E9A"/>
    <w:lvl w:ilvl="0" w:tplc="0409000F">
      <w:start w:val="1"/>
      <w:numFmt w:val="decimal"/>
      <w:lvlText w:val="%1."/>
      <w:lvlJc w:val="left"/>
      <w:pPr>
        <w:ind w:left="720" w:hanging="360"/>
      </w:pPr>
      <w:rPr>
        <w:rFonts w:hint="default"/>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514233E"/>
    <w:multiLevelType w:val="hybridMultilevel"/>
    <w:tmpl w:val="5E6A94CA"/>
    <w:lvl w:ilvl="0" w:tplc="A8507412">
      <w:start w:val="1"/>
      <w:numFmt w:val="decimal"/>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9E85400"/>
    <w:multiLevelType w:val="hybridMultilevel"/>
    <w:tmpl w:val="A2562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EEA7A19"/>
    <w:multiLevelType w:val="hybridMultilevel"/>
    <w:tmpl w:val="5F163800"/>
    <w:lvl w:ilvl="0" w:tplc="2842F156">
      <w:start w:val="1"/>
      <w:numFmt w:val="decimal"/>
      <w:pStyle w:val="Heading1"/>
      <w:lvlText w:val="Part %1."/>
      <w:lvlJc w:val="left"/>
      <w:pPr>
        <w:tabs>
          <w:tab w:val="num" w:pos="1134"/>
        </w:tabs>
        <w:ind w:left="1134" w:hanging="1134"/>
      </w:pPr>
      <w:rPr>
        <w:rFonts w:ascii="Times New Roman" w:hAnsi="Times New Roman" w:hint="default"/>
        <w:b/>
        <w:i w:val="0"/>
        <w:caps/>
        <w:vanish w:val="0"/>
        <w:lang w:val="en-AU"/>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5F051265"/>
    <w:multiLevelType w:val="hybridMultilevel"/>
    <w:tmpl w:val="A94C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185FD5"/>
    <w:multiLevelType w:val="hybridMultilevel"/>
    <w:tmpl w:val="EC2282DC"/>
    <w:lvl w:ilvl="0" w:tplc="17D8182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04A3278"/>
    <w:multiLevelType w:val="multilevel"/>
    <w:tmpl w:val="FFBEB6EC"/>
    <w:styleLink w:val="StyleBulletedBold"/>
    <w:lvl w:ilvl="0">
      <w:start w:val="1"/>
      <w:numFmt w:val="bullet"/>
      <w:lvlText w:val="•"/>
      <w:lvlJc w:val="left"/>
      <w:pPr>
        <w:tabs>
          <w:tab w:val="num" w:pos="567"/>
        </w:tabs>
        <w:ind w:left="567" w:hanging="567"/>
      </w:pPr>
      <w:rPr>
        <w:rFonts w:ascii="Times" w:hAnsi="Times" w:hint="default"/>
        <w:b/>
        <w:i w:val="0"/>
        <w:caps w:val="0"/>
        <w:vanish w:val="0"/>
        <w:sz w:val="24"/>
      </w:rPr>
    </w:lvl>
    <w:lvl w:ilvl="1">
      <w:start w:val="1"/>
      <w:numFmt w:val="bullet"/>
      <w:lvlText w:val="•"/>
      <w:lvlJc w:val="left"/>
      <w:pPr>
        <w:tabs>
          <w:tab w:val="num" w:pos="1440"/>
        </w:tabs>
        <w:ind w:left="1440" w:hanging="360"/>
      </w:pPr>
      <w:rPr>
        <w:rFonts w:ascii="Times" w:hAnsi="Times" w:hint="default"/>
        <w:b/>
        <w:bCs/>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6B685474"/>
    <w:multiLevelType w:val="hybridMultilevel"/>
    <w:tmpl w:val="5E6A94CA"/>
    <w:lvl w:ilvl="0" w:tplc="A8507412">
      <w:start w:val="1"/>
      <w:numFmt w:val="decimal"/>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1F45BE0"/>
    <w:multiLevelType w:val="hybridMultilevel"/>
    <w:tmpl w:val="29F89D90"/>
    <w:lvl w:ilvl="0" w:tplc="9AA2B410">
      <w:start w:val="1"/>
      <w:numFmt w:val="none"/>
      <w:pStyle w:val="Heading2"/>
      <w:lvlText w:val="Regulation"/>
      <w:lvlJc w:val="left"/>
      <w:pPr>
        <w:tabs>
          <w:tab w:val="num" w:pos="0"/>
        </w:tabs>
        <w:ind w:left="2835" w:hanging="2835"/>
      </w:pPr>
      <w:rPr>
        <w:rFonts w:ascii="Times New Roman" w:hAnsi="Times New Roman" w:hint="default"/>
        <w:b/>
        <w:i w:val="0"/>
        <w:caps w:val="0"/>
        <w:vanish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77153E09"/>
    <w:multiLevelType w:val="hybridMultilevel"/>
    <w:tmpl w:val="BEE04E9A"/>
    <w:lvl w:ilvl="0" w:tplc="0409000F">
      <w:start w:val="1"/>
      <w:numFmt w:val="decimal"/>
      <w:lvlText w:val="%1."/>
      <w:lvlJc w:val="left"/>
      <w:pPr>
        <w:ind w:left="720" w:hanging="360"/>
      </w:pPr>
      <w:rPr>
        <w:rFonts w:hint="default"/>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77E6960"/>
    <w:multiLevelType w:val="hybridMultilevel"/>
    <w:tmpl w:val="A1A0EB30"/>
    <w:lvl w:ilvl="0" w:tplc="C512F5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4"/>
  </w:num>
  <w:num w:numId="3">
    <w:abstractNumId w:val="17"/>
  </w:num>
  <w:num w:numId="4">
    <w:abstractNumId w:val="19"/>
  </w:num>
  <w:num w:numId="5">
    <w:abstractNumId w:val="9"/>
  </w:num>
  <w:num w:numId="6">
    <w:abstractNumId w:val="5"/>
  </w:num>
  <w:num w:numId="7">
    <w:abstractNumId w:val="14"/>
  </w:num>
  <w:num w:numId="8">
    <w:abstractNumId w:val="19"/>
  </w:num>
  <w:num w:numId="9">
    <w:abstractNumId w:val="19"/>
  </w:num>
  <w:num w:numId="10">
    <w:abstractNumId w:val="19"/>
  </w:num>
  <w:num w:numId="11">
    <w:abstractNumId w:val="19"/>
  </w:num>
  <w:num w:numId="12">
    <w:abstractNumId w:val="19"/>
  </w:num>
  <w:num w:numId="13">
    <w:abstractNumId w:val="19"/>
  </w:num>
  <w:num w:numId="14">
    <w:abstractNumId w:val="19"/>
  </w:num>
  <w:num w:numId="15">
    <w:abstractNumId w:val="19"/>
  </w:num>
  <w:num w:numId="16">
    <w:abstractNumId w:val="13"/>
  </w:num>
  <w:num w:numId="17">
    <w:abstractNumId w:val="19"/>
  </w:num>
  <w:num w:numId="18">
    <w:abstractNumId w:val="6"/>
  </w:num>
  <w:num w:numId="19">
    <w:abstractNumId w:val="12"/>
  </w:num>
  <w:num w:numId="20">
    <w:abstractNumId w:val="18"/>
  </w:num>
  <w:num w:numId="21">
    <w:abstractNumId w:val="2"/>
  </w:num>
  <w:num w:numId="22">
    <w:abstractNumId w:val="0"/>
  </w:num>
  <w:num w:numId="23">
    <w:abstractNumId w:val="19"/>
  </w:num>
  <w:num w:numId="24">
    <w:abstractNumId w:val="11"/>
  </w:num>
  <w:num w:numId="25">
    <w:abstractNumId w:val="8"/>
  </w:num>
  <w:num w:numId="26">
    <w:abstractNumId w:val="20"/>
  </w:num>
  <w:num w:numId="27">
    <w:abstractNumId w:val="15"/>
  </w:num>
  <w:num w:numId="28">
    <w:abstractNumId w:val="4"/>
  </w:num>
  <w:num w:numId="29">
    <w:abstractNumId w:val="1"/>
  </w:num>
  <w:num w:numId="30">
    <w:abstractNumId w:val="16"/>
  </w:num>
  <w:num w:numId="31">
    <w:abstractNumId w:val="7"/>
  </w:num>
  <w:num w:numId="32">
    <w:abstractNumId w:val="3"/>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AU" w:vendorID="64" w:dllVersion="131078" w:nlCheck="1" w:checkStyle="0"/>
  <w:activeWritingStyle w:appName="MSWord" w:lang="en-US" w:vendorID="64" w:dllVersion="131078" w:nlCheck="1" w:checkStyle="1"/>
  <w:activeWritingStyle w:appName="MSWord" w:lang="en-GB" w:vendorID="64" w:dllVersion="131078" w:nlCheck="1" w:checkStyle="1"/>
  <w:proofState w:spelling="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567"/>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BE6"/>
    <w:rsid w:val="00000111"/>
    <w:rsid w:val="00000B09"/>
    <w:rsid w:val="00000C46"/>
    <w:rsid w:val="00003224"/>
    <w:rsid w:val="00004DC0"/>
    <w:rsid w:val="0000506D"/>
    <w:rsid w:val="000057AA"/>
    <w:rsid w:val="00005F68"/>
    <w:rsid w:val="000063D2"/>
    <w:rsid w:val="00006AFC"/>
    <w:rsid w:val="00007219"/>
    <w:rsid w:val="00011FEF"/>
    <w:rsid w:val="00013A30"/>
    <w:rsid w:val="000140D1"/>
    <w:rsid w:val="00014ADD"/>
    <w:rsid w:val="00014E6B"/>
    <w:rsid w:val="0001533B"/>
    <w:rsid w:val="00017C84"/>
    <w:rsid w:val="00020892"/>
    <w:rsid w:val="00020A85"/>
    <w:rsid w:val="0002184C"/>
    <w:rsid w:val="0002199B"/>
    <w:rsid w:val="00021D63"/>
    <w:rsid w:val="0002257D"/>
    <w:rsid w:val="000225FF"/>
    <w:rsid w:val="00024FDC"/>
    <w:rsid w:val="00025797"/>
    <w:rsid w:val="00030FA6"/>
    <w:rsid w:val="000322A6"/>
    <w:rsid w:val="000330AB"/>
    <w:rsid w:val="000331EB"/>
    <w:rsid w:val="00034EDE"/>
    <w:rsid w:val="00043E4C"/>
    <w:rsid w:val="00044B97"/>
    <w:rsid w:val="00045D62"/>
    <w:rsid w:val="00046509"/>
    <w:rsid w:val="00050003"/>
    <w:rsid w:val="00050DC7"/>
    <w:rsid w:val="00050E33"/>
    <w:rsid w:val="0005269F"/>
    <w:rsid w:val="00052F12"/>
    <w:rsid w:val="00055B29"/>
    <w:rsid w:val="00060317"/>
    <w:rsid w:val="0006094E"/>
    <w:rsid w:val="0006267A"/>
    <w:rsid w:val="0006274E"/>
    <w:rsid w:val="0006341A"/>
    <w:rsid w:val="000648ED"/>
    <w:rsid w:val="00064A5A"/>
    <w:rsid w:val="00066B04"/>
    <w:rsid w:val="00066D1B"/>
    <w:rsid w:val="000707DD"/>
    <w:rsid w:val="00070979"/>
    <w:rsid w:val="00070A34"/>
    <w:rsid w:val="0007116B"/>
    <w:rsid w:val="00071978"/>
    <w:rsid w:val="0007305D"/>
    <w:rsid w:val="00073399"/>
    <w:rsid w:val="00073481"/>
    <w:rsid w:val="00074593"/>
    <w:rsid w:val="00074CB9"/>
    <w:rsid w:val="00075003"/>
    <w:rsid w:val="00075523"/>
    <w:rsid w:val="000756B7"/>
    <w:rsid w:val="00077C88"/>
    <w:rsid w:val="00080501"/>
    <w:rsid w:val="00081ABF"/>
    <w:rsid w:val="00083E61"/>
    <w:rsid w:val="000861DD"/>
    <w:rsid w:val="000864AB"/>
    <w:rsid w:val="00087118"/>
    <w:rsid w:val="00087F29"/>
    <w:rsid w:val="000914C0"/>
    <w:rsid w:val="0009292C"/>
    <w:rsid w:val="000930F6"/>
    <w:rsid w:val="00094123"/>
    <w:rsid w:val="00097EE9"/>
    <w:rsid w:val="000A0838"/>
    <w:rsid w:val="000A1A51"/>
    <w:rsid w:val="000A28CC"/>
    <w:rsid w:val="000A442F"/>
    <w:rsid w:val="000A5B0B"/>
    <w:rsid w:val="000A6374"/>
    <w:rsid w:val="000A6A60"/>
    <w:rsid w:val="000B0B0B"/>
    <w:rsid w:val="000B1762"/>
    <w:rsid w:val="000B63B4"/>
    <w:rsid w:val="000B7EA7"/>
    <w:rsid w:val="000C11D3"/>
    <w:rsid w:val="000C180D"/>
    <w:rsid w:val="000C3CF9"/>
    <w:rsid w:val="000C5C1B"/>
    <w:rsid w:val="000C5ED5"/>
    <w:rsid w:val="000C7A4D"/>
    <w:rsid w:val="000D00F4"/>
    <w:rsid w:val="000D035D"/>
    <w:rsid w:val="000D06D1"/>
    <w:rsid w:val="000D0D3A"/>
    <w:rsid w:val="000D20F5"/>
    <w:rsid w:val="000D32FE"/>
    <w:rsid w:val="000D33E9"/>
    <w:rsid w:val="000D350A"/>
    <w:rsid w:val="000D351A"/>
    <w:rsid w:val="000D3E1B"/>
    <w:rsid w:val="000D4CE7"/>
    <w:rsid w:val="000D6E28"/>
    <w:rsid w:val="000D72FD"/>
    <w:rsid w:val="000D76B3"/>
    <w:rsid w:val="000E0F41"/>
    <w:rsid w:val="000E1055"/>
    <w:rsid w:val="000E149C"/>
    <w:rsid w:val="000E343D"/>
    <w:rsid w:val="000E3626"/>
    <w:rsid w:val="000E3EB7"/>
    <w:rsid w:val="000E4D58"/>
    <w:rsid w:val="000E5CD6"/>
    <w:rsid w:val="000E7FAA"/>
    <w:rsid w:val="000F04E3"/>
    <w:rsid w:val="000F0B24"/>
    <w:rsid w:val="000F1701"/>
    <w:rsid w:val="000F1CB5"/>
    <w:rsid w:val="000F2642"/>
    <w:rsid w:val="000F2FAC"/>
    <w:rsid w:val="000F2FC2"/>
    <w:rsid w:val="000F3178"/>
    <w:rsid w:val="000F3B94"/>
    <w:rsid w:val="000F5BF5"/>
    <w:rsid w:val="000F5F26"/>
    <w:rsid w:val="00100609"/>
    <w:rsid w:val="001030D4"/>
    <w:rsid w:val="0010351F"/>
    <w:rsid w:val="00103E5A"/>
    <w:rsid w:val="00104DFA"/>
    <w:rsid w:val="00104F51"/>
    <w:rsid w:val="00106355"/>
    <w:rsid w:val="0010747C"/>
    <w:rsid w:val="00111207"/>
    <w:rsid w:val="00112E0F"/>
    <w:rsid w:val="00113A9C"/>
    <w:rsid w:val="00113D83"/>
    <w:rsid w:val="001145CA"/>
    <w:rsid w:val="00116277"/>
    <w:rsid w:val="00116289"/>
    <w:rsid w:val="00117925"/>
    <w:rsid w:val="001207C2"/>
    <w:rsid w:val="00122478"/>
    <w:rsid w:val="00123754"/>
    <w:rsid w:val="001239ED"/>
    <w:rsid w:val="001244D3"/>
    <w:rsid w:val="00125F87"/>
    <w:rsid w:val="001264CB"/>
    <w:rsid w:val="00126656"/>
    <w:rsid w:val="00127612"/>
    <w:rsid w:val="001277ED"/>
    <w:rsid w:val="00127F54"/>
    <w:rsid w:val="00130408"/>
    <w:rsid w:val="00131527"/>
    <w:rsid w:val="0013205F"/>
    <w:rsid w:val="001355D8"/>
    <w:rsid w:val="00135D54"/>
    <w:rsid w:val="0014083B"/>
    <w:rsid w:val="00140852"/>
    <w:rsid w:val="00140C1C"/>
    <w:rsid w:val="00141317"/>
    <w:rsid w:val="00143AC8"/>
    <w:rsid w:val="00151076"/>
    <w:rsid w:val="00151AAE"/>
    <w:rsid w:val="0015478D"/>
    <w:rsid w:val="00154FA4"/>
    <w:rsid w:val="001551DD"/>
    <w:rsid w:val="001569F6"/>
    <w:rsid w:val="001579F4"/>
    <w:rsid w:val="001606C4"/>
    <w:rsid w:val="001607E6"/>
    <w:rsid w:val="00160A01"/>
    <w:rsid w:val="00161B4D"/>
    <w:rsid w:val="00163038"/>
    <w:rsid w:val="00163E7C"/>
    <w:rsid w:val="00164DDD"/>
    <w:rsid w:val="001656BC"/>
    <w:rsid w:val="00167106"/>
    <w:rsid w:val="00167144"/>
    <w:rsid w:val="001702A4"/>
    <w:rsid w:val="00170C77"/>
    <w:rsid w:val="0017253D"/>
    <w:rsid w:val="00173D0F"/>
    <w:rsid w:val="001748E3"/>
    <w:rsid w:val="001763FE"/>
    <w:rsid w:val="00176DD8"/>
    <w:rsid w:val="001773F4"/>
    <w:rsid w:val="001776D2"/>
    <w:rsid w:val="0018024C"/>
    <w:rsid w:val="00180DC8"/>
    <w:rsid w:val="0018127C"/>
    <w:rsid w:val="0018148D"/>
    <w:rsid w:val="0018437D"/>
    <w:rsid w:val="001845A2"/>
    <w:rsid w:val="00184EE9"/>
    <w:rsid w:val="00185088"/>
    <w:rsid w:val="0019288F"/>
    <w:rsid w:val="00192E95"/>
    <w:rsid w:val="0019393E"/>
    <w:rsid w:val="0019444A"/>
    <w:rsid w:val="00196893"/>
    <w:rsid w:val="00196C94"/>
    <w:rsid w:val="001A52E1"/>
    <w:rsid w:val="001A5DE8"/>
    <w:rsid w:val="001A638B"/>
    <w:rsid w:val="001A667C"/>
    <w:rsid w:val="001A7CA2"/>
    <w:rsid w:val="001B022D"/>
    <w:rsid w:val="001B1698"/>
    <w:rsid w:val="001B1863"/>
    <w:rsid w:val="001B2B4A"/>
    <w:rsid w:val="001B3D42"/>
    <w:rsid w:val="001B4C86"/>
    <w:rsid w:val="001C09E8"/>
    <w:rsid w:val="001C0AE6"/>
    <w:rsid w:val="001C1ACB"/>
    <w:rsid w:val="001C70AA"/>
    <w:rsid w:val="001D05C4"/>
    <w:rsid w:val="001D1444"/>
    <w:rsid w:val="001D22B7"/>
    <w:rsid w:val="001D29A2"/>
    <w:rsid w:val="001D2EA8"/>
    <w:rsid w:val="001D2F66"/>
    <w:rsid w:val="001D3063"/>
    <w:rsid w:val="001D326B"/>
    <w:rsid w:val="001D32EF"/>
    <w:rsid w:val="001D3AA1"/>
    <w:rsid w:val="001D3D13"/>
    <w:rsid w:val="001D5ED9"/>
    <w:rsid w:val="001D66FD"/>
    <w:rsid w:val="001D716A"/>
    <w:rsid w:val="001E0D16"/>
    <w:rsid w:val="001E1ACD"/>
    <w:rsid w:val="001E2084"/>
    <w:rsid w:val="001E2BA2"/>
    <w:rsid w:val="001E387A"/>
    <w:rsid w:val="001E5443"/>
    <w:rsid w:val="001E5C7E"/>
    <w:rsid w:val="001E6643"/>
    <w:rsid w:val="001F0A04"/>
    <w:rsid w:val="001F0A67"/>
    <w:rsid w:val="001F19F7"/>
    <w:rsid w:val="001F1D94"/>
    <w:rsid w:val="001F40D6"/>
    <w:rsid w:val="001F42F2"/>
    <w:rsid w:val="001F4E46"/>
    <w:rsid w:val="001F4E99"/>
    <w:rsid w:val="001F565F"/>
    <w:rsid w:val="001F57D1"/>
    <w:rsid w:val="001F5A0D"/>
    <w:rsid w:val="001F6FBA"/>
    <w:rsid w:val="001F7241"/>
    <w:rsid w:val="0020100E"/>
    <w:rsid w:val="0020350C"/>
    <w:rsid w:val="00203CC2"/>
    <w:rsid w:val="002060DF"/>
    <w:rsid w:val="002060FE"/>
    <w:rsid w:val="0020612C"/>
    <w:rsid w:val="002113E9"/>
    <w:rsid w:val="00211807"/>
    <w:rsid w:val="0021589B"/>
    <w:rsid w:val="00220E53"/>
    <w:rsid w:val="002213A0"/>
    <w:rsid w:val="002216AB"/>
    <w:rsid w:val="0022296E"/>
    <w:rsid w:val="00223EC4"/>
    <w:rsid w:val="00224162"/>
    <w:rsid w:val="00225A33"/>
    <w:rsid w:val="00225B91"/>
    <w:rsid w:val="00225DBA"/>
    <w:rsid w:val="00226080"/>
    <w:rsid w:val="002261BE"/>
    <w:rsid w:val="00226393"/>
    <w:rsid w:val="00227BEF"/>
    <w:rsid w:val="00227F8C"/>
    <w:rsid w:val="00230CC3"/>
    <w:rsid w:val="0023175D"/>
    <w:rsid w:val="00232F23"/>
    <w:rsid w:val="00233A42"/>
    <w:rsid w:val="002348A7"/>
    <w:rsid w:val="00234D6C"/>
    <w:rsid w:val="002367E2"/>
    <w:rsid w:val="00241580"/>
    <w:rsid w:val="002422CD"/>
    <w:rsid w:val="00242578"/>
    <w:rsid w:val="00245F1A"/>
    <w:rsid w:val="002463B3"/>
    <w:rsid w:val="00246ED6"/>
    <w:rsid w:val="0025130A"/>
    <w:rsid w:val="00251505"/>
    <w:rsid w:val="0025191A"/>
    <w:rsid w:val="00251D39"/>
    <w:rsid w:val="00253276"/>
    <w:rsid w:val="00255DFC"/>
    <w:rsid w:val="00256249"/>
    <w:rsid w:val="00260391"/>
    <w:rsid w:val="00260C55"/>
    <w:rsid w:val="00261171"/>
    <w:rsid w:val="00262109"/>
    <w:rsid w:val="002628B3"/>
    <w:rsid w:val="00263AD6"/>
    <w:rsid w:val="0026736D"/>
    <w:rsid w:val="00270539"/>
    <w:rsid w:val="00272346"/>
    <w:rsid w:val="00273150"/>
    <w:rsid w:val="0027323A"/>
    <w:rsid w:val="002734F2"/>
    <w:rsid w:val="002757D4"/>
    <w:rsid w:val="00276ED6"/>
    <w:rsid w:val="002774B7"/>
    <w:rsid w:val="00277D35"/>
    <w:rsid w:val="002814A8"/>
    <w:rsid w:val="00281BA5"/>
    <w:rsid w:val="00282131"/>
    <w:rsid w:val="002833C4"/>
    <w:rsid w:val="0028407D"/>
    <w:rsid w:val="00286FE5"/>
    <w:rsid w:val="00290A97"/>
    <w:rsid w:val="002912C1"/>
    <w:rsid w:val="00291359"/>
    <w:rsid w:val="002916F0"/>
    <w:rsid w:val="00292CBA"/>
    <w:rsid w:val="0029466D"/>
    <w:rsid w:val="00295C07"/>
    <w:rsid w:val="00295F64"/>
    <w:rsid w:val="00296460"/>
    <w:rsid w:val="00296B3D"/>
    <w:rsid w:val="00297CA0"/>
    <w:rsid w:val="002A0522"/>
    <w:rsid w:val="002A1C6C"/>
    <w:rsid w:val="002A2D99"/>
    <w:rsid w:val="002A33FE"/>
    <w:rsid w:val="002A439A"/>
    <w:rsid w:val="002A4F5F"/>
    <w:rsid w:val="002A6181"/>
    <w:rsid w:val="002A7645"/>
    <w:rsid w:val="002A78DF"/>
    <w:rsid w:val="002B03E9"/>
    <w:rsid w:val="002B0DBC"/>
    <w:rsid w:val="002B0F0B"/>
    <w:rsid w:val="002B19EA"/>
    <w:rsid w:val="002B1C0E"/>
    <w:rsid w:val="002B1DB3"/>
    <w:rsid w:val="002B4085"/>
    <w:rsid w:val="002B5D96"/>
    <w:rsid w:val="002C1382"/>
    <w:rsid w:val="002C3490"/>
    <w:rsid w:val="002C4001"/>
    <w:rsid w:val="002C7B56"/>
    <w:rsid w:val="002D31D7"/>
    <w:rsid w:val="002D448C"/>
    <w:rsid w:val="002D44FE"/>
    <w:rsid w:val="002D7042"/>
    <w:rsid w:val="002D74BB"/>
    <w:rsid w:val="002D77F5"/>
    <w:rsid w:val="002E2F9E"/>
    <w:rsid w:val="002E4762"/>
    <w:rsid w:val="002E4981"/>
    <w:rsid w:val="002E5F08"/>
    <w:rsid w:val="002E7749"/>
    <w:rsid w:val="002E7B09"/>
    <w:rsid w:val="002F0352"/>
    <w:rsid w:val="002F091A"/>
    <w:rsid w:val="002F0AEB"/>
    <w:rsid w:val="002F0B1D"/>
    <w:rsid w:val="002F1C95"/>
    <w:rsid w:val="002F252E"/>
    <w:rsid w:val="002F265F"/>
    <w:rsid w:val="002F2679"/>
    <w:rsid w:val="002F2849"/>
    <w:rsid w:val="002F517C"/>
    <w:rsid w:val="002F542C"/>
    <w:rsid w:val="00301229"/>
    <w:rsid w:val="00302FC2"/>
    <w:rsid w:val="00303F6E"/>
    <w:rsid w:val="00303FBF"/>
    <w:rsid w:val="00304536"/>
    <w:rsid w:val="003048C9"/>
    <w:rsid w:val="00305A25"/>
    <w:rsid w:val="003079F3"/>
    <w:rsid w:val="00311114"/>
    <w:rsid w:val="00311764"/>
    <w:rsid w:val="00312EE4"/>
    <w:rsid w:val="00314926"/>
    <w:rsid w:val="003153E3"/>
    <w:rsid w:val="003156E5"/>
    <w:rsid w:val="00315ADA"/>
    <w:rsid w:val="00315BF4"/>
    <w:rsid w:val="00317EC2"/>
    <w:rsid w:val="003213AF"/>
    <w:rsid w:val="00322288"/>
    <w:rsid w:val="00322305"/>
    <w:rsid w:val="003228F0"/>
    <w:rsid w:val="00322B48"/>
    <w:rsid w:val="00323D0F"/>
    <w:rsid w:val="003252A8"/>
    <w:rsid w:val="003307BF"/>
    <w:rsid w:val="00333507"/>
    <w:rsid w:val="00334DFC"/>
    <w:rsid w:val="00336A19"/>
    <w:rsid w:val="00336A53"/>
    <w:rsid w:val="00336B00"/>
    <w:rsid w:val="00336FE3"/>
    <w:rsid w:val="00340AD3"/>
    <w:rsid w:val="00340B41"/>
    <w:rsid w:val="003420DB"/>
    <w:rsid w:val="00343F2E"/>
    <w:rsid w:val="0034432F"/>
    <w:rsid w:val="00344608"/>
    <w:rsid w:val="00344A0C"/>
    <w:rsid w:val="0034565E"/>
    <w:rsid w:val="00346232"/>
    <w:rsid w:val="00346C19"/>
    <w:rsid w:val="003527D1"/>
    <w:rsid w:val="00355F90"/>
    <w:rsid w:val="00356056"/>
    <w:rsid w:val="003606D7"/>
    <w:rsid w:val="00360A31"/>
    <w:rsid w:val="00360BAD"/>
    <w:rsid w:val="003630A6"/>
    <w:rsid w:val="003638E3"/>
    <w:rsid w:val="00364495"/>
    <w:rsid w:val="00364B38"/>
    <w:rsid w:val="00365BEE"/>
    <w:rsid w:val="00366BD8"/>
    <w:rsid w:val="00367BC9"/>
    <w:rsid w:val="0037326F"/>
    <w:rsid w:val="00373DDA"/>
    <w:rsid w:val="003740DD"/>
    <w:rsid w:val="00374483"/>
    <w:rsid w:val="003756AA"/>
    <w:rsid w:val="00376914"/>
    <w:rsid w:val="00376C6C"/>
    <w:rsid w:val="0038269F"/>
    <w:rsid w:val="00385539"/>
    <w:rsid w:val="003859D0"/>
    <w:rsid w:val="00386F91"/>
    <w:rsid w:val="0038704E"/>
    <w:rsid w:val="00390A7D"/>
    <w:rsid w:val="00390D82"/>
    <w:rsid w:val="0039167D"/>
    <w:rsid w:val="00391A13"/>
    <w:rsid w:val="003922E1"/>
    <w:rsid w:val="0039589C"/>
    <w:rsid w:val="00396504"/>
    <w:rsid w:val="0039669B"/>
    <w:rsid w:val="00396CCE"/>
    <w:rsid w:val="00396E83"/>
    <w:rsid w:val="003A0D6B"/>
    <w:rsid w:val="003A0E19"/>
    <w:rsid w:val="003A7283"/>
    <w:rsid w:val="003A7D09"/>
    <w:rsid w:val="003B17D6"/>
    <w:rsid w:val="003B2DD2"/>
    <w:rsid w:val="003B495D"/>
    <w:rsid w:val="003B7A0A"/>
    <w:rsid w:val="003B7D6B"/>
    <w:rsid w:val="003C019C"/>
    <w:rsid w:val="003C0CE8"/>
    <w:rsid w:val="003C300D"/>
    <w:rsid w:val="003C38E9"/>
    <w:rsid w:val="003C3AD7"/>
    <w:rsid w:val="003C3FC1"/>
    <w:rsid w:val="003C3FD0"/>
    <w:rsid w:val="003C4213"/>
    <w:rsid w:val="003C5B4C"/>
    <w:rsid w:val="003D0310"/>
    <w:rsid w:val="003D10B1"/>
    <w:rsid w:val="003D1D14"/>
    <w:rsid w:val="003D22C7"/>
    <w:rsid w:val="003D4F99"/>
    <w:rsid w:val="003D52B4"/>
    <w:rsid w:val="003D6298"/>
    <w:rsid w:val="003D648C"/>
    <w:rsid w:val="003D7782"/>
    <w:rsid w:val="003E0C21"/>
    <w:rsid w:val="003E1307"/>
    <w:rsid w:val="003E1D91"/>
    <w:rsid w:val="003E2372"/>
    <w:rsid w:val="003E2532"/>
    <w:rsid w:val="003E31D9"/>
    <w:rsid w:val="003E47EF"/>
    <w:rsid w:val="003E6E22"/>
    <w:rsid w:val="003F04C9"/>
    <w:rsid w:val="003F0A41"/>
    <w:rsid w:val="003F15A1"/>
    <w:rsid w:val="003F25BC"/>
    <w:rsid w:val="003F3E26"/>
    <w:rsid w:val="003F4C91"/>
    <w:rsid w:val="003F544E"/>
    <w:rsid w:val="003F6BA2"/>
    <w:rsid w:val="003F73D5"/>
    <w:rsid w:val="00401290"/>
    <w:rsid w:val="00402AD6"/>
    <w:rsid w:val="00403171"/>
    <w:rsid w:val="004031CB"/>
    <w:rsid w:val="00405E02"/>
    <w:rsid w:val="00407C48"/>
    <w:rsid w:val="0041068C"/>
    <w:rsid w:val="00411E04"/>
    <w:rsid w:val="00413673"/>
    <w:rsid w:val="00414690"/>
    <w:rsid w:val="0041511A"/>
    <w:rsid w:val="00415BE6"/>
    <w:rsid w:val="004171A3"/>
    <w:rsid w:val="004171CA"/>
    <w:rsid w:val="0042170A"/>
    <w:rsid w:val="00421835"/>
    <w:rsid w:val="00421E24"/>
    <w:rsid w:val="00423BC9"/>
    <w:rsid w:val="004241AA"/>
    <w:rsid w:val="00424C35"/>
    <w:rsid w:val="004251AB"/>
    <w:rsid w:val="00425313"/>
    <w:rsid w:val="00425315"/>
    <w:rsid w:val="00425E15"/>
    <w:rsid w:val="00427584"/>
    <w:rsid w:val="00427BB6"/>
    <w:rsid w:val="004300AF"/>
    <w:rsid w:val="00431AA0"/>
    <w:rsid w:val="00431C8E"/>
    <w:rsid w:val="0043218C"/>
    <w:rsid w:val="0043379E"/>
    <w:rsid w:val="004363B2"/>
    <w:rsid w:val="004373A1"/>
    <w:rsid w:val="004407E3"/>
    <w:rsid w:val="00440968"/>
    <w:rsid w:val="00440B9C"/>
    <w:rsid w:val="00440BB6"/>
    <w:rsid w:val="00440C3D"/>
    <w:rsid w:val="00441AE7"/>
    <w:rsid w:val="00441F5B"/>
    <w:rsid w:val="004466FF"/>
    <w:rsid w:val="004470B1"/>
    <w:rsid w:val="00451074"/>
    <w:rsid w:val="004510D1"/>
    <w:rsid w:val="00453B39"/>
    <w:rsid w:val="00453D86"/>
    <w:rsid w:val="004547BD"/>
    <w:rsid w:val="004549D3"/>
    <w:rsid w:val="00455676"/>
    <w:rsid w:val="00455E1F"/>
    <w:rsid w:val="0045651D"/>
    <w:rsid w:val="00457B18"/>
    <w:rsid w:val="00463CF3"/>
    <w:rsid w:val="00465649"/>
    <w:rsid w:val="00465971"/>
    <w:rsid w:val="00467DF8"/>
    <w:rsid w:val="00467E01"/>
    <w:rsid w:val="004713F7"/>
    <w:rsid w:val="004728AE"/>
    <w:rsid w:val="004746A5"/>
    <w:rsid w:val="0047525E"/>
    <w:rsid w:val="00477138"/>
    <w:rsid w:val="004779DC"/>
    <w:rsid w:val="00477BC2"/>
    <w:rsid w:val="0048002D"/>
    <w:rsid w:val="00480E00"/>
    <w:rsid w:val="00487251"/>
    <w:rsid w:val="00487A25"/>
    <w:rsid w:val="00492D81"/>
    <w:rsid w:val="00492DCF"/>
    <w:rsid w:val="00493150"/>
    <w:rsid w:val="00495952"/>
    <w:rsid w:val="004962C3"/>
    <w:rsid w:val="00497C3A"/>
    <w:rsid w:val="004A0158"/>
    <w:rsid w:val="004A0365"/>
    <w:rsid w:val="004A0BC8"/>
    <w:rsid w:val="004A2545"/>
    <w:rsid w:val="004A259B"/>
    <w:rsid w:val="004A268D"/>
    <w:rsid w:val="004A28E6"/>
    <w:rsid w:val="004A31BF"/>
    <w:rsid w:val="004A326A"/>
    <w:rsid w:val="004A4C5B"/>
    <w:rsid w:val="004A4F7E"/>
    <w:rsid w:val="004A5803"/>
    <w:rsid w:val="004A5CD2"/>
    <w:rsid w:val="004A6BC4"/>
    <w:rsid w:val="004A73A8"/>
    <w:rsid w:val="004B073E"/>
    <w:rsid w:val="004B0C54"/>
    <w:rsid w:val="004B0CEF"/>
    <w:rsid w:val="004B0D93"/>
    <w:rsid w:val="004B2950"/>
    <w:rsid w:val="004B4AA7"/>
    <w:rsid w:val="004B5401"/>
    <w:rsid w:val="004B62E2"/>
    <w:rsid w:val="004B75AF"/>
    <w:rsid w:val="004C17A6"/>
    <w:rsid w:val="004C1A2A"/>
    <w:rsid w:val="004C3052"/>
    <w:rsid w:val="004C326F"/>
    <w:rsid w:val="004C6883"/>
    <w:rsid w:val="004C6C2B"/>
    <w:rsid w:val="004C7CD0"/>
    <w:rsid w:val="004D17D6"/>
    <w:rsid w:val="004D1858"/>
    <w:rsid w:val="004D455A"/>
    <w:rsid w:val="004D4716"/>
    <w:rsid w:val="004D514F"/>
    <w:rsid w:val="004D5839"/>
    <w:rsid w:val="004D5FE6"/>
    <w:rsid w:val="004D6390"/>
    <w:rsid w:val="004D71FE"/>
    <w:rsid w:val="004E0558"/>
    <w:rsid w:val="004E36AA"/>
    <w:rsid w:val="004E5330"/>
    <w:rsid w:val="004E5656"/>
    <w:rsid w:val="004E5B19"/>
    <w:rsid w:val="004E69FF"/>
    <w:rsid w:val="004F11BF"/>
    <w:rsid w:val="004F1223"/>
    <w:rsid w:val="004F130D"/>
    <w:rsid w:val="004F1822"/>
    <w:rsid w:val="004F1A95"/>
    <w:rsid w:val="004F1B39"/>
    <w:rsid w:val="004F505C"/>
    <w:rsid w:val="004F71D3"/>
    <w:rsid w:val="005008EF"/>
    <w:rsid w:val="00500926"/>
    <w:rsid w:val="00500BF8"/>
    <w:rsid w:val="005011B3"/>
    <w:rsid w:val="00501BC9"/>
    <w:rsid w:val="00506B11"/>
    <w:rsid w:val="0051115A"/>
    <w:rsid w:val="005111BA"/>
    <w:rsid w:val="005112D8"/>
    <w:rsid w:val="00511B29"/>
    <w:rsid w:val="00511D0C"/>
    <w:rsid w:val="00515F51"/>
    <w:rsid w:val="00517949"/>
    <w:rsid w:val="00517B8D"/>
    <w:rsid w:val="005209A1"/>
    <w:rsid w:val="0052557D"/>
    <w:rsid w:val="00526731"/>
    <w:rsid w:val="00527FBD"/>
    <w:rsid w:val="005304AE"/>
    <w:rsid w:val="00531F96"/>
    <w:rsid w:val="00532D58"/>
    <w:rsid w:val="00534086"/>
    <w:rsid w:val="005357AD"/>
    <w:rsid w:val="00537380"/>
    <w:rsid w:val="00537C1B"/>
    <w:rsid w:val="005412BD"/>
    <w:rsid w:val="005440E8"/>
    <w:rsid w:val="00544D54"/>
    <w:rsid w:val="005452AA"/>
    <w:rsid w:val="00547093"/>
    <w:rsid w:val="00550112"/>
    <w:rsid w:val="00550AA4"/>
    <w:rsid w:val="00551C44"/>
    <w:rsid w:val="00552185"/>
    <w:rsid w:val="00552339"/>
    <w:rsid w:val="0055299D"/>
    <w:rsid w:val="00553261"/>
    <w:rsid w:val="00553810"/>
    <w:rsid w:val="00553BBB"/>
    <w:rsid w:val="00554381"/>
    <w:rsid w:val="0055463C"/>
    <w:rsid w:val="00554777"/>
    <w:rsid w:val="00554A26"/>
    <w:rsid w:val="005550AB"/>
    <w:rsid w:val="00556C14"/>
    <w:rsid w:val="0055747A"/>
    <w:rsid w:val="005575DC"/>
    <w:rsid w:val="00557A8E"/>
    <w:rsid w:val="0056146C"/>
    <w:rsid w:val="0056210B"/>
    <w:rsid w:val="00562A55"/>
    <w:rsid w:val="00563687"/>
    <w:rsid w:val="005638D7"/>
    <w:rsid w:val="0056482E"/>
    <w:rsid w:val="005651F7"/>
    <w:rsid w:val="00566043"/>
    <w:rsid w:val="005678A1"/>
    <w:rsid w:val="005679C0"/>
    <w:rsid w:val="0057354F"/>
    <w:rsid w:val="00573A55"/>
    <w:rsid w:val="00573EFA"/>
    <w:rsid w:val="005744AF"/>
    <w:rsid w:val="0057490A"/>
    <w:rsid w:val="0057555A"/>
    <w:rsid w:val="00575B0C"/>
    <w:rsid w:val="00577B7D"/>
    <w:rsid w:val="00577E67"/>
    <w:rsid w:val="00580D53"/>
    <w:rsid w:val="00580E71"/>
    <w:rsid w:val="00582335"/>
    <w:rsid w:val="00582D11"/>
    <w:rsid w:val="00584059"/>
    <w:rsid w:val="005876AC"/>
    <w:rsid w:val="005876D4"/>
    <w:rsid w:val="00587706"/>
    <w:rsid w:val="00587F31"/>
    <w:rsid w:val="00590E86"/>
    <w:rsid w:val="00591187"/>
    <w:rsid w:val="00591D9A"/>
    <w:rsid w:val="00591E9D"/>
    <w:rsid w:val="0059301D"/>
    <w:rsid w:val="00594582"/>
    <w:rsid w:val="00594FC8"/>
    <w:rsid w:val="005957A5"/>
    <w:rsid w:val="005A0CA2"/>
    <w:rsid w:val="005A368E"/>
    <w:rsid w:val="005A392F"/>
    <w:rsid w:val="005A4667"/>
    <w:rsid w:val="005A4AA7"/>
    <w:rsid w:val="005A705A"/>
    <w:rsid w:val="005A7110"/>
    <w:rsid w:val="005A7DC2"/>
    <w:rsid w:val="005B0387"/>
    <w:rsid w:val="005B1AA4"/>
    <w:rsid w:val="005B2476"/>
    <w:rsid w:val="005B2FFA"/>
    <w:rsid w:val="005B4760"/>
    <w:rsid w:val="005B5B9C"/>
    <w:rsid w:val="005C00CE"/>
    <w:rsid w:val="005C03CE"/>
    <w:rsid w:val="005C1C87"/>
    <w:rsid w:val="005C1F9C"/>
    <w:rsid w:val="005C2A02"/>
    <w:rsid w:val="005C43B8"/>
    <w:rsid w:val="005D0FF4"/>
    <w:rsid w:val="005D28FE"/>
    <w:rsid w:val="005D34E9"/>
    <w:rsid w:val="005D3DB5"/>
    <w:rsid w:val="005D508C"/>
    <w:rsid w:val="005D6F2C"/>
    <w:rsid w:val="005E036B"/>
    <w:rsid w:val="005E0F83"/>
    <w:rsid w:val="005E45FF"/>
    <w:rsid w:val="005E4622"/>
    <w:rsid w:val="005E52F3"/>
    <w:rsid w:val="005E66E5"/>
    <w:rsid w:val="005E719A"/>
    <w:rsid w:val="005E7E4B"/>
    <w:rsid w:val="005E7E5F"/>
    <w:rsid w:val="005F14FC"/>
    <w:rsid w:val="005F372F"/>
    <w:rsid w:val="005F3925"/>
    <w:rsid w:val="005F3EAD"/>
    <w:rsid w:val="005F4D08"/>
    <w:rsid w:val="005F50BA"/>
    <w:rsid w:val="005F5767"/>
    <w:rsid w:val="005F693C"/>
    <w:rsid w:val="006014FD"/>
    <w:rsid w:val="00601C25"/>
    <w:rsid w:val="00602906"/>
    <w:rsid w:val="0060374F"/>
    <w:rsid w:val="0060406F"/>
    <w:rsid w:val="00606A30"/>
    <w:rsid w:val="0060763E"/>
    <w:rsid w:val="006108A2"/>
    <w:rsid w:val="00610DBD"/>
    <w:rsid w:val="006112D9"/>
    <w:rsid w:val="00612843"/>
    <w:rsid w:val="00617780"/>
    <w:rsid w:val="006209A8"/>
    <w:rsid w:val="0062167E"/>
    <w:rsid w:val="00622DD6"/>
    <w:rsid w:val="00625018"/>
    <w:rsid w:val="0062733F"/>
    <w:rsid w:val="00627C50"/>
    <w:rsid w:val="006307F6"/>
    <w:rsid w:val="00630F92"/>
    <w:rsid w:val="006349D1"/>
    <w:rsid w:val="00634B18"/>
    <w:rsid w:val="00636217"/>
    <w:rsid w:val="00637659"/>
    <w:rsid w:val="00640A5C"/>
    <w:rsid w:val="00640BF9"/>
    <w:rsid w:val="00640E06"/>
    <w:rsid w:val="0064154B"/>
    <w:rsid w:val="00644A55"/>
    <w:rsid w:val="006452E3"/>
    <w:rsid w:val="006453CA"/>
    <w:rsid w:val="0064576E"/>
    <w:rsid w:val="00645B94"/>
    <w:rsid w:val="00645C73"/>
    <w:rsid w:val="00647362"/>
    <w:rsid w:val="00647EDC"/>
    <w:rsid w:val="00647F9D"/>
    <w:rsid w:val="00651558"/>
    <w:rsid w:val="006530A2"/>
    <w:rsid w:val="00653B2A"/>
    <w:rsid w:val="00654698"/>
    <w:rsid w:val="00656B25"/>
    <w:rsid w:val="006576AD"/>
    <w:rsid w:val="00661086"/>
    <w:rsid w:val="00663834"/>
    <w:rsid w:val="00663EFE"/>
    <w:rsid w:val="00664D83"/>
    <w:rsid w:val="006655AB"/>
    <w:rsid w:val="00665D04"/>
    <w:rsid w:val="006668E5"/>
    <w:rsid w:val="00666A40"/>
    <w:rsid w:val="00666CA3"/>
    <w:rsid w:val="00667A0C"/>
    <w:rsid w:val="00670389"/>
    <w:rsid w:val="006709AB"/>
    <w:rsid w:val="0067105A"/>
    <w:rsid w:val="006739FF"/>
    <w:rsid w:val="00673C7A"/>
    <w:rsid w:val="00673CD7"/>
    <w:rsid w:val="006764C5"/>
    <w:rsid w:val="0067679D"/>
    <w:rsid w:val="00676EA4"/>
    <w:rsid w:val="00680F30"/>
    <w:rsid w:val="006821F6"/>
    <w:rsid w:val="00682B93"/>
    <w:rsid w:val="0068378E"/>
    <w:rsid w:val="00684854"/>
    <w:rsid w:val="00685E14"/>
    <w:rsid w:val="0069147D"/>
    <w:rsid w:val="006930F5"/>
    <w:rsid w:val="006934E9"/>
    <w:rsid w:val="0069462C"/>
    <w:rsid w:val="00696ACD"/>
    <w:rsid w:val="006976C7"/>
    <w:rsid w:val="00697B3D"/>
    <w:rsid w:val="00697D59"/>
    <w:rsid w:val="006A0112"/>
    <w:rsid w:val="006A0121"/>
    <w:rsid w:val="006A0220"/>
    <w:rsid w:val="006A2465"/>
    <w:rsid w:val="006A2E48"/>
    <w:rsid w:val="006A3168"/>
    <w:rsid w:val="006A472B"/>
    <w:rsid w:val="006A58E7"/>
    <w:rsid w:val="006A5C67"/>
    <w:rsid w:val="006A5D4F"/>
    <w:rsid w:val="006A5EF0"/>
    <w:rsid w:val="006A73CB"/>
    <w:rsid w:val="006A7403"/>
    <w:rsid w:val="006B0F8A"/>
    <w:rsid w:val="006B1EF7"/>
    <w:rsid w:val="006B1FE6"/>
    <w:rsid w:val="006B21DF"/>
    <w:rsid w:val="006B2DD3"/>
    <w:rsid w:val="006B3745"/>
    <w:rsid w:val="006B5277"/>
    <w:rsid w:val="006B5712"/>
    <w:rsid w:val="006B57D2"/>
    <w:rsid w:val="006B6131"/>
    <w:rsid w:val="006C15E9"/>
    <w:rsid w:val="006C23E9"/>
    <w:rsid w:val="006C25BB"/>
    <w:rsid w:val="006C4280"/>
    <w:rsid w:val="006C50C9"/>
    <w:rsid w:val="006C54AB"/>
    <w:rsid w:val="006C651F"/>
    <w:rsid w:val="006C76F9"/>
    <w:rsid w:val="006D0A15"/>
    <w:rsid w:val="006D32D8"/>
    <w:rsid w:val="006D33B0"/>
    <w:rsid w:val="006D3AEB"/>
    <w:rsid w:val="006D43B8"/>
    <w:rsid w:val="006D45DC"/>
    <w:rsid w:val="006D46F3"/>
    <w:rsid w:val="006D4BB6"/>
    <w:rsid w:val="006D4CAA"/>
    <w:rsid w:val="006D4E1C"/>
    <w:rsid w:val="006D526F"/>
    <w:rsid w:val="006D65AD"/>
    <w:rsid w:val="006E24C3"/>
    <w:rsid w:val="006E42D6"/>
    <w:rsid w:val="006E47DB"/>
    <w:rsid w:val="006E52DA"/>
    <w:rsid w:val="006E53DB"/>
    <w:rsid w:val="006E7D44"/>
    <w:rsid w:val="006F0999"/>
    <w:rsid w:val="006F1309"/>
    <w:rsid w:val="006F13EF"/>
    <w:rsid w:val="006F39BF"/>
    <w:rsid w:val="006F6416"/>
    <w:rsid w:val="006F6B4A"/>
    <w:rsid w:val="006F7689"/>
    <w:rsid w:val="00700C0F"/>
    <w:rsid w:val="0070105A"/>
    <w:rsid w:val="0070189D"/>
    <w:rsid w:val="00702E4E"/>
    <w:rsid w:val="007031BA"/>
    <w:rsid w:val="00703E10"/>
    <w:rsid w:val="0070416C"/>
    <w:rsid w:val="00704345"/>
    <w:rsid w:val="007048B5"/>
    <w:rsid w:val="00704EFE"/>
    <w:rsid w:val="00707AB0"/>
    <w:rsid w:val="00710322"/>
    <w:rsid w:val="007105F7"/>
    <w:rsid w:val="00712ACF"/>
    <w:rsid w:val="007134B5"/>
    <w:rsid w:val="00713753"/>
    <w:rsid w:val="007142B1"/>
    <w:rsid w:val="007154C9"/>
    <w:rsid w:val="007155A7"/>
    <w:rsid w:val="00715762"/>
    <w:rsid w:val="00716BCB"/>
    <w:rsid w:val="007202E2"/>
    <w:rsid w:val="00721D10"/>
    <w:rsid w:val="0072201C"/>
    <w:rsid w:val="00725492"/>
    <w:rsid w:val="00725DEE"/>
    <w:rsid w:val="00727959"/>
    <w:rsid w:val="00732FB8"/>
    <w:rsid w:val="007340CB"/>
    <w:rsid w:val="00734166"/>
    <w:rsid w:val="0073500D"/>
    <w:rsid w:val="00736B36"/>
    <w:rsid w:val="0073701A"/>
    <w:rsid w:val="0073714E"/>
    <w:rsid w:val="00737422"/>
    <w:rsid w:val="00737DC2"/>
    <w:rsid w:val="00740460"/>
    <w:rsid w:val="00741B6A"/>
    <w:rsid w:val="00741C39"/>
    <w:rsid w:val="00742787"/>
    <w:rsid w:val="00742B60"/>
    <w:rsid w:val="00744BD8"/>
    <w:rsid w:val="00744CA6"/>
    <w:rsid w:val="00745A25"/>
    <w:rsid w:val="00750804"/>
    <w:rsid w:val="00750ED6"/>
    <w:rsid w:val="00751A1B"/>
    <w:rsid w:val="007525FC"/>
    <w:rsid w:val="00754388"/>
    <w:rsid w:val="00754BA7"/>
    <w:rsid w:val="00754FC1"/>
    <w:rsid w:val="0075571E"/>
    <w:rsid w:val="0075596B"/>
    <w:rsid w:val="0075706C"/>
    <w:rsid w:val="007604B2"/>
    <w:rsid w:val="00760A5C"/>
    <w:rsid w:val="0076124F"/>
    <w:rsid w:val="007621E8"/>
    <w:rsid w:val="007637D8"/>
    <w:rsid w:val="00763953"/>
    <w:rsid w:val="00764589"/>
    <w:rsid w:val="007659DF"/>
    <w:rsid w:val="00767105"/>
    <w:rsid w:val="00767D1C"/>
    <w:rsid w:val="00771234"/>
    <w:rsid w:val="00772864"/>
    <w:rsid w:val="00773B60"/>
    <w:rsid w:val="007749A1"/>
    <w:rsid w:val="00775302"/>
    <w:rsid w:val="00776004"/>
    <w:rsid w:val="0077630F"/>
    <w:rsid w:val="00776A7E"/>
    <w:rsid w:val="00776B2E"/>
    <w:rsid w:val="007776C7"/>
    <w:rsid w:val="00777987"/>
    <w:rsid w:val="00777FAE"/>
    <w:rsid w:val="00780316"/>
    <w:rsid w:val="00781224"/>
    <w:rsid w:val="00781601"/>
    <w:rsid w:val="00783FD9"/>
    <w:rsid w:val="007867C2"/>
    <w:rsid w:val="00786D77"/>
    <w:rsid w:val="00793540"/>
    <w:rsid w:val="00794D10"/>
    <w:rsid w:val="00794E8D"/>
    <w:rsid w:val="00794F35"/>
    <w:rsid w:val="00794F84"/>
    <w:rsid w:val="00795BBC"/>
    <w:rsid w:val="00796E80"/>
    <w:rsid w:val="007A199C"/>
    <w:rsid w:val="007A1FF2"/>
    <w:rsid w:val="007A2529"/>
    <w:rsid w:val="007A767E"/>
    <w:rsid w:val="007B0B4D"/>
    <w:rsid w:val="007B32BC"/>
    <w:rsid w:val="007B4E2E"/>
    <w:rsid w:val="007B6920"/>
    <w:rsid w:val="007B6AE3"/>
    <w:rsid w:val="007C0903"/>
    <w:rsid w:val="007C117F"/>
    <w:rsid w:val="007C3D70"/>
    <w:rsid w:val="007C43B7"/>
    <w:rsid w:val="007C518D"/>
    <w:rsid w:val="007C52E2"/>
    <w:rsid w:val="007C66C3"/>
    <w:rsid w:val="007C7C77"/>
    <w:rsid w:val="007D10F2"/>
    <w:rsid w:val="007D1C85"/>
    <w:rsid w:val="007D2A24"/>
    <w:rsid w:val="007D2DF1"/>
    <w:rsid w:val="007D34A5"/>
    <w:rsid w:val="007D36AA"/>
    <w:rsid w:val="007D5DC4"/>
    <w:rsid w:val="007D64A8"/>
    <w:rsid w:val="007D68E5"/>
    <w:rsid w:val="007E0AFD"/>
    <w:rsid w:val="007E0D70"/>
    <w:rsid w:val="007E13F8"/>
    <w:rsid w:val="007E1DFF"/>
    <w:rsid w:val="007E25A2"/>
    <w:rsid w:val="007E27F7"/>
    <w:rsid w:val="007E2DB2"/>
    <w:rsid w:val="007E3C44"/>
    <w:rsid w:val="007E43A1"/>
    <w:rsid w:val="007E4E50"/>
    <w:rsid w:val="007E4F66"/>
    <w:rsid w:val="007E57B6"/>
    <w:rsid w:val="007F09F8"/>
    <w:rsid w:val="007F3DA0"/>
    <w:rsid w:val="007F5DF7"/>
    <w:rsid w:val="007F7036"/>
    <w:rsid w:val="007F7B1B"/>
    <w:rsid w:val="0080029D"/>
    <w:rsid w:val="0080078B"/>
    <w:rsid w:val="00804BEB"/>
    <w:rsid w:val="00807344"/>
    <w:rsid w:val="008074B4"/>
    <w:rsid w:val="0080751F"/>
    <w:rsid w:val="00807E63"/>
    <w:rsid w:val="00810F2E"/>
    <w:rsid w:val="0081358B"/>
    <w:rsid w:val="008145D4"/>
    <w:rsid w:val="00815889"/>
    <w:rsid w:val="0081669D"/>
    <w:rsid w:val="00817252"/>
    <w:rsid w:val="0081729B"/>
    <w:rsid w:val="00817BC2"/>
    <w:rsid w:val="00820B00"/>
    <w:rsid w:val="00821E85"/>
    <w:rsid w:val="0082228C"/>
    <w:rsid w:val="0082283D"/>
    <w:rsid w:val="008229A3"/>
    <w:rsid w:val="008235AD"/>
    <w:rsid w:val="008237E8"/>
    <w:rsid w:val="00824DF1"/>
    <w:rsid w:val="00825B66"/>
    <w:rsid w:val="00825C3A"/>
    <w:rsid w:val="00830F83"/>
    <w:rsid w:val="00831AE6"/>
    <w:rsid w:val="008328F1"/>
    <w:rsid w:val="008339CB"/>
    <w:rsid w:val="008363F2"/>
    <w:rsid w:val="00836DCB"/>
    <w:rsid w:val="00836F7F"/>
    <w:rsid w:val="00837D93"/>
    <w:rsid w:val="00841D29"/>
    <w:rsid w:val="00842595"/>
    <w:rsid w:val="00843733"/>
    <w:rsid w:val="008458E6"/>
    <w:rsid w:val="00846E51"/>
    <w:rsid w:val="008477D2"/>
    <w:rsid w:val="00851741"/>
    <w:rsid w:val="00851C96"/>
    <w:rsid w:val="0085384D"/>
    <w:rsid w:val="00855674"/>
    <w:rsid w:val="00855D2E"/>
    <w:rsid w:val="00860502"/>
    <w:rsid w:val="0086500C"/>
    <w:rsid w:val="0086555F"/>
    <w:rsid w:val="00865918"/>
    <w:rsid w:val="0086621F"/>
    <w:rsid w:val="00866A74"/>
    <w:rsid w:val="00867BA1"/>
    <w:rsid w:val="00870818"/>
    <w:rsid w:val="00871015"/>
    <w:rsid w:val="00874235"/>
    <w:rsid w:val="00875A1D"/>
    <w:rsid w:val="008773C2"/>
    <w:rsid w:val="0088176B"/>
    <w:rsid w:val="00882C92"/>
    <w:rsid w:val="00886122"/>
    <w:rsid w:val="00887589"/>
    <w:rsid w:val="00887B9F"/>
    <w:rsid w:val="00891256"/>
    <w:rsid w:val="00891396"/>
    <w:rsid w:val="008933E6"/>
    <w:rsid w:val="008940C0"/>
    <w:rsid w:val="00897235"/>
    <w:rsid w:val="008972B4"/>
    <w:rsid w:val="00897BCF"/>
    <w:rsid w:val="008A1121"/>
    <w:rsid w:val="008A2D2A"/>
    <w:rsid w:val="008A343A"/>
    <w:rsid w:val="008A3A51"/>
    <w:rsid w:val="008A48C5"/>
    <w:rsid w:val="008A4C79"/>
    <w:rsid w:val="008A5681"/>
    <w:rsid w:val="008A5A77"/>
    <w:rsid w:val="008A746D"/>
    <w:rsid w:val="008B0592"/>
    <w:rsid w:val="008B1406"/>
    <w:rsid w:val="008B337D"/>
    <w:rsid w:val="008B396C"/>
    <w:rsid w:val="008B44C3"/>
    <w:rsid w:val="008B59E8"/>
    <w:rsid w:val="008B61E8"/>
    <w:rsid w:val="008B7223"/>
    <w:rsid w:val="008B7417"/>
    <w:rsid w:val="008C067B"/>
    <w:rsid w:val="008C0D08"/>
    <w:rsid w:val="008C1E4F"/>
    <w:rsid w:val="008C20DD"/>
    <w:rsid w:val="008C2507"/>
    <w:rsid w:val="008C310D"/>
    <w:rsid w:val="008C5CC4"/>
    <w:rsid w:val="008C69EC"/>
    <w:rsid w:val="008C70EA"/>
    <w:rsid w:val="008C7F4D"/>
    <w:rsid w:val="008D026C"/>
    <w:rsid w:val="008D0540"/>
    <w:rsid w:val="008D0A03"/>
    <w:rsid w:val="008D119A"/>
    <w:rsid w:val="008D11FE"/>
    <w:rsid w:val="008D1908"/>
    <w:rsid w:val="008D2641"/>
    <w:rsid w:val="008D2895"/>
    <w:rsid w:val="008D3A1C"/>
    <w:rsid w:val="008D53C9"/>
    <w:rsid w:val="008D56C2"/>
    <w:rsid w:val="008D6C79"/>
    <w:rsid w:val="008E0C41"/>
    <w:rsid w:val="008E21F2"/>
    <w:rsid w:val="008E2222"/>
    <w:rsid w:val="008E323B"/>
    <w:rsid w:val="008E516C"/>
    <w:rsid w:val="008E5697"/>
    <w:rsid w:val="008E69F8"/>
    <w:rsid w:val="008E6EB4"/>
    <w:rsid w:val="008F023A"/>
    <w:rsid w:val="008F0ADD"/>
    <w:rsid w:val="008F12FA"/>
    <w:rsid w:val="008F29FE"/>
    <w:rsid w:val="008F3976"/>
    <w:rsid w:val="008F3B15"/>
    <w:rsid w:val="008F4428"/>
    <w:rsid w:val="00900711"/>
    <w:rsid w:val="00901249"/>
    <w:rsid w:val="00902CFB"/>
    <w:rsid w:val="00903C84"/>
    <w:rsid w:val="00904E13"/>
    <w:rsid w:val="00911EA3"/>
    <w:rsid w:val="009123B3"/>
    <w:rsid w:val="0091297A"/>
    <w:rsid w:val="00915C02"/>
    <w:rsid w:val="00916B94"/>
    <w:rsid w:val="00921742"/>
    <w:rsid w:val="009223BC"/>
    <w:rsid w:val="0092337E"/>
    <w:rsid w:val="00924872"/>
    <w:rsid w:val="00925801"/>
    <w:rsid w:val="00926541"/>
    <w:rsid w:val="00930696"/>
    <w:rsid w:val="00931451"/>
    <w:rsid w:val="00931FAD"/>
    <w:rsid w:val="00932068"/>
    <w:rsid w:val="00933250"/>
    <w:rsid w:val="00933B94"/>
    <w:rsid w:val="00934639"/>
    <w:rsid w:val="00934ADD"/>
    <w:rsid w:val="00935866"/>
    <w:rsid w:val="00937B10"/>
    <w:rsid w:val="00937BEA"/>
    <w:rsid w:val="00937F8D"/>
    <w:rsid w:val="00942BA2"/>
    <w:rsid w:val="0094571D"/>
    <w:rsid w:val="009465FB"/>
    <w:rsid w:val="00950558"/>
    <w:rsid w:val="00950D56"/>
    <w:rsid w:val="0095193F"/>
    <w:rsid w:val="00951AD6"/>
    <w:rsid w:val="00951C60"/>
    <w:rsid w:val="00953B52"/>
    <w:rsid w:val="00954B5D"/>
    <w:rsid w:val="009550DE"/>
    <w:rsid w:val="0095568E"/>
    <w:rsid w:val="00956657"/>
    <w:rsid w:val="00956947"/>
    <w:rsid w:val="00956EE1"/>
    <w:rsid w:val="00957E85"/>
    <w:rsid w:val="00960750"/>
    <w:rsid w:val="00961EEE"/>
    <w:rsid w:val="00962541"/>
    <w:rsid w:val="00962BF7"/>
    <w:rsid w:val="00962E2B"/>
    <w:rsid w:val="00965388"/>
    <w:rsid w:val="00965EF4"/>
    <w:rsid w:val="00966488"/>
    <w:rsid w:val="00971B83"/>
    <w:rsid w:val="0097399E"/>
    <w:rsid w:val="00973E9B"/>
    <w:rsid w:val="00974806"/>
    <w:rsid w:val="009750FB"/>
    <w:rsid w:val="00976620"/>
    <w:rsid w:val="00976C2B"/>
    <w:rsid w:val="00980044"/>
    <w:rsid w:val="009813A3"/>
    <w:rsid w:val="0098466F"/>
    <w:rsid w:val="00984E44"/>
    <w:rsid w:val="00986EF6"/>
    <w:rsid w:val="00987155"/>
    <w:rsid w:val="00990A30"/>
    <w:rsid w:val="00992754"/>
    <w:rsid w:val="00992E8A"/>
    <w:rsid w:val="00993951"/>
    <w:rsid w:val="009945FF"/>
    <w:rsid w:val="00994907"/>
    <w:rsid w:val="00994DFC"/>
    <w:rsid w:val="00995349"/>
    <w:rsid w:val="009974A8"/>
    <w:rsid w:val="00997A7E"/>
    <w:rsid w:val="00997B4E"/>
    <w:rsid w:val="009A0A0A"/>
    <w:rsid w:val="009A0E7F"/>
    <w:rsid w:val="009A1718"/>
    <w:rsid w:val="009A1FD3"/>
    <w:rsid w:val="009A3188"/>
    <w:rsid w:val="009A4A4C"/>
    <w:rsid w:val="009A5223"/>
    <w:rsid w:val="009A74E2"/>
    <w:rsid w:val="009A78DC"/>
    <w:rsid w:val="009A7C4C"/>
    <w:rsid w:val="009B01CD"/>
    <w:rsid w:val="009B0469"/>
    <w:rsid w:val="009B0A33"/>
    <w:rsid w:val="009B1D84"/>
    <w:rsid w:val="009B2FA8"/>
    <w:rsid w:val="009B4CFD"/>
    <w:rsid w:val="009B6019"/>
    <w:rsid w:val="009B6AD8"/>
    <w:rsid w:val="009B6EBC"/>
    <w:rsid w:val="009B7CB1"/>
    <w:rsid w:val="009B7F72"/>
    <w:rsid w:val="009C04BF"/>
    <w:rsid w:val="009C052F"/>
    <w:rsid w:val="009C0967"/>
    <w:rsid w:val="009C17EE"/>
    <w:rsid w:val="009C1A63"/>
    <w:rsid w:val="009C1D8F"/>
    <w:rsid w:val="009C2037"/>
    <w:rsid w:val="009C2116"/>
    <w:rsid w:val="009C2BCD"/>
    <w:rsid w:val="009C3770"/>
    <w:rsid w:val="009C49BF"/>
    <w:rsid w:val="009C4FFF"/>
    <w:rsid w:val="009C5370"/>
    <w:rsid w:val="009C55E9"/>
    <w:rsid w:val="009C569C"/>
    <w:rsid w:val="009C604A"/>
    <w:rsid w:val="009C645A"/>
    <w:rsid w:val="009C6BCA"/>
    <w:rsid w:val="009C6E12"/>
    <w:rsid w:val="009D38AF"/>
    <w:rsid w:val="009D5B8E"/>
    <w:rsid w:val="009D7DCE"/>
    <w:rsid w:val="009E03ED"/>
    <w:rsid w:val="009E04CD"/>
    <w:rsid w:val="009E1BA9"/>
    <w:rsid w:val="009E38D7"/>
    <w:rsid w:val="009E3EB2"/>
    <w:rsid w:val="009E6A5A"/>
    <w:rsid w:val="009E7515"/>
    <w:rsid w:val="009F00EA"/>
    <w:rsid w:val="009F0202"/>
    <w:rsid w:val="009F1882"/>
    <w:rsid w:val="009F20C6"/>
    <w:rsid w:val="009F210C"/>
    <w:rsid w:val="009F3439"/>
    <w:rsid w:val="009F7D09"/>
    <w:rsid w:val="00A00744"/>
    <w:rsid w:val="00A020A4"/>
    <w:rsid w:val="00A02D33"/>
    <w:rsid w:val="00A0511A"/>
    <w:rsid w:val="00A057FD"/>
    <w:rsid w:val="00A072D9"/>
    <w:rsid w:val="00A07CDE"/>
    <w:rsid w:val="00A10297"/>
    <w:rsid w:val="00A105F1"/>
    <w:rsid w:val="00A1105C"/>
    <w:rsid w:val="00A13336"/>
    <w:rsid w:val="00A13969"/>
    <w:rsid w:val="00A13CC8"/>
    <w:rsid w:val="00A155C8"/>
    <w:rsid w:val="00A15A13"/>
    <w:rsid w:val="00A16002"/>
    <w:rsid w:val="00A16D92"/>
    <w:rsid w:val="00A16EE5"/>
    <w:rsid w:val="00A21276"/>
    <w:rsid w:val="00A22659"/>
    <w:rsid w:val="00A232C9"/>
    <w:rsid w:val="00A23DB9"/>
    <w:rsid w:val="00A24391"/>
    <w:rsid w:val="00A243C7"/>
    <w:rsid w:val="00A255CD"/>
    <w:rsid w:val="00A26985"/>
    <w:rsid w:val="00A2777C"/>
    <w:rsid w:val="00A31220"/>
    <w:rsid w:val="00A32C54"/>
    <w:rsid w:val="00A333C2"/>
    <w:rsid w:val="00A33422"/>
    <w:rsid w:val="00A34C71"/>
    <w:rsid w:val="00A36454"/>
    <w:rsid w:val="00A40613"/>
    <w:rsid w:val="00A4237B"/>
    <w:rsid w:val="00A42678"/>
    <w:rsid w:val="00A43576"/>
    <w:rsid w:val="00A437A2"/>
    <w:rsid w:val="00A43B4D"/>
    <w:rsid w:val="00A43D11"/>
    <w:rsid w:val="00A4510D"/>
    <w:rsid w:val="00A45443"/>
    <w:rsid w:val="00A46A65"/>
    <w:rsid w:val="00A47015"/>
    <w:rsid w:val="00A5275C"/>
    <w:rsid w:val="00A52E33"/>
    <w:rsid w:val="00A53F30"/>
    <w:rsid w:val="00A5447C"/>
    <w:rsid w:val="00A562EC"/>
    <w:rsid w:val="00A5773F"/>
    <w:rsid w:val="00A609C7"/>
    <w:rsid w:val="00A61751"/>
    <w:rsid w:val="00A61B07"/>
    <w:rsid w:val="00A635D4"/>
    <w:rsid w:val="00A64FBB"/>
    <w:rsid w:val="00A711D2"/>
    <w:rsid w:val="00A71D8D"/>
    <w:rsid w:val="00A7579C"/>
    <w:rsid w:val="00A7649D"/>
    <w:rsid w:val="00A8021B"/>
    <w:rsid w:val="00A806D7"/>
    <w:rsid w:val="00A81CAD"/>
    <w:rsid w:val="00A83CBB"/>
    <w:rsid w:val="00A85147"/>
    <w:rsid w:val="00A85ED4"/>
    <w:rsid w:val="00A876D1"/>
    <w:rsid w:val="00A879A0"/>
    <w:rsid w:val="00A87C36"/>
    <w:rsid w:val="00A9198B"/>
    <w:rsid w:val="00A91A95"/>
    <w:rsid w:val="00A92318"/>
    <w:rsid w:val="00A92395"/>
    <w:rsid w:val="00A923D6"/>
    <w:rsid w:val="00A9336D"/>
    <w:rsid w:val="00A93E9A"/>
    <w:rsid w:val="00A954D2"/>
    <w:rsid w:val="00A95816"/>
    <w:rsid w:val="00A9638E"/>
    <w:rsid w:val="00A9639F"/>
    <w:rsid w:val="00A96F82"/>
    <w:rsid w:val="00A975E4"/>
    <w:rsid w:val="00AA0C7E"/>
    <w:rsid w:val="00AA270A"/>
    <w:rsid w:val="00AA335E"/>
    <w:rsid w:val="00AA4952"/>
    <w:rsid w:val="00AA49D1"/>
    <w:rsid w:val="00AA5F64"/>
    <w:rsid w:val="00AA7208"/>
    <w:rsid w:val="00AA78DC"/>
    <w:rsid w:val="00AB0810"/>
    <w:rsid w:val="00AB0EF8"/>
    <w:rsid w:val="00AB26F2"/>
    <w:rsid w:val="00AB4878"/>
    <w:rsid w:val="00AB584E"/>
    <w:rsid w:val="00AB6E79"/>
    <w:rsid w:val="00AC07C6"/>
    <w:rsid w:val="00AC64CB"/>
    <w:rsid w:val="00AC6D63"/>
    <w:rsid w:val="00AD0945"/>
    <w:rsid w:val="00AD17DB"/>
    <w:rsid w:val="00AD35FA"/>
    <w:rsid w:val="00AD401F"/>
    <w:rsid w:val="00AD64C0"/>
    <w:rsid w:val="00AD6522"/>
    <w:rsid w:val="00AD700D"/>
    <w:rsid w:val="00AD7D2B"/>
    <w:rsid w:val="00AE0E1D"/>
    <w:rsid w:val="00AE2520"/>
    <w:rsid w:val="00AE2892"/>
    <w:rsid w:val="00AE2AEF"/>
    <w:rsid w:val="00AE31DA"/>
    <w:rsid w:val="00AE6155"/>
    <w:rsid w:val="00AF05FA"/>
    <w:rsid w:val="00AF06F7"/>
    <w:rsid w:val="00AF0DAA"/>
    <w:rsid w:val="00AF159D"/>
    <w:rsid w:val="00AF1899"/>
    <w:rsid w:val="00AF18B6"/>
    <w:rsid w:val="00AF37B4"/>
    <w:rsid w:val="00AF4150"/>
    <w:rsid w:val="00AF4F43"/>
    <w:rsid w:val="00AF51E6"/>
    <w:rsid w:val="00AF5318"/>
    <w:rsid w:val="00AF5AE7"/>
    <w:rsid w:val="00B01B9F"/>
    <w:rsid w:val="00B02267"/>
    <w:rsid w:val="00B02FA5"/>
    <w:rsid w:val="00B04227"/>
    <w:rsid w:val="00B0766A"/>
    <w:rsid w:val="00B07871"/>
    <w:rsid w:val="00B130AF"/>
    <w:rsid w:val="00B138C1"/>
    <w:rsid w:val="00B1403B"/>
    <w:rsid w:val="00B1583A"/>
    <w:rsid w:val="00B16BF4"/>
    <w:rsid w:val="00B171B1"/>
    <w:rsid w:val="00B17A9B"/>
    <w:rsid w:val="00B202DD"/>
    <w:rsid w:val="00B20399"/>
    <w:rsid w:val="00B22718"/>
    <w:rsid w:val="00B2298D"/>
    <w:rsid w:val="00B22FFE"/>
    <w:rsid w:val="00B234AD"/>
    <w:rsid w:val="00B245AF"/>
    <w:rsid w:val="00B24A79"/>
    <w:rsid w:val="00B250F7"/>
    <w:rsid w:val="00B30E69"/>
    <w:rsid w:val="00B32981"/>
    <w:rsid w:val="00B33F1C"/>
    <w:rsid w:val="00B34F90"/>
    <w:rsid w:val="00B35B0C"/>
    <w:rsid w:val="00B37933"/>
    <w:rsid w:val="00B41A92"/>
    <w:rsid w:val="00B430DB"/>
    <w:rsid w:val="00B445A7"/>
    <w:rsid w:val="00B45041"/>
    <w:rsid w:val="00B47CC3"/>
    <w:rsid w:val="00B47DD5"/>
    <w:rsid w:val="00B51874"/>
    <w:rsid w:val="00B51BF7"/>
    <w:rsid w:val="00B51CB8"/>
    <w:rsid w:val="00B5204D"/>
    <w:rsid w:val="00B534CF"/>
    <w:rsid w:val="00B53ABB"/>
    <w:rsid w:val="00B547D6"/>
    <w:rsid w:val="00B55190"/>
    <w:rsid w:val="00B55B7F"/>
    <w:rsid w:val="00B57189"/>
    <w:rsid w:val="00B57C9C"/>
    <w:rsid w:val="00B60E70"/>
    <w:rsid w:val="00B62333"/>
    <w:rsid w:val="00B63301"/>
    <w:rsid w:val="00B63681"/>
    <w:rsid w:val="00B63C97"/>
    <w:rsid w:val="00B652DF"/>
    <w:rsid w:val="00B677B6"/>
    <w:rsid w:val="00B677EB"/>
    <w:rsid w:val="00B70545"/>
    <w:rsid w:val="00B70A61"/>
    <w:rsid w:val="00B70DF4"/>
    <w:rsid w:val="00B7140C"/>
    <w:rsid w:val="00B71B92"/>
    <w:rsid w:val="00B7339F"/>
    <w:rsid w:val="00B75DB2"/>
    <w:rsid w:val="00B77455"/>
    <w:rsid w:val="00B801EB"/>
    <w:rsid w:val="00B8285F"/>
    <w:rsid w:val="00B82D26"/>
    <w:rsid w:val="00B83046"/>
    <w:rsid w:val="00B835E4"/>
    <w:rsid w:val="00B83A87"/>
    <w:rsid w:val="00B85E50"/>
    <w:rsid w:val="00B86DA3"/>
    <w:rsid w:val="00B8768D"/>
    <w:rsid w:val="00B87F9C"/>
    <w:rsid w:val="00B90C3F"/>
    <w:rsid w:val="00B91114"/>
    <w:rsid w:val="00B917A4"/>
    <w:rsid w:val="00B91DB3"/>
    <w:rsid w:val="00B92805"/>
    <w:rsid w:val="00B92DD2"/>
    <w:rsid w:val="00B93ABA"/>
    <w:rsid w:val="00B93B70"/>
    <w:rsid w:val="00B94F2C"/>
    <w:rsid w:val="00B959DC"/>
    <w:rsid w:val="00B95F28"/>
    <w:rsid w:val="00B961DD"/>
    <w:rsid w:val="00B9702C"/>
    <w:rsid w:val="00B9721F"/>
    <w:rsid w:val="00BA09F2"/>
    <w:rsid w:val="00BA0CBE"/>
    <w:rsid w:val="00BA0FC7"/>
    <w:rsid w:val="00BA34D1"/>
    <w:rsid w:val="00BA3E1B"/>
    <w:rsid w:val="00BA488B"/>
    <w:rsid w:val="00BA4CCB"/>
    <w:rsid w:val="00BA51DB"/>
    <w:rsid w:val="00BA5CC8"/>
    <w:rsid w:val="00BA62A7"/>
    <w:rsid w:val="00BA6694"/>
    <w:rsid w:val="00BA7DCF"/>
    <w:rsid w:val="00BA7FCE"/>
    <w:rsid w:val="00BB12FE"/>
    <w:rsid w:val="00BB2613"/>
    <w:rsid w:val="00BB3C1A"/>
    <w:rsid w:val="00BB45AA"/>
    <w:rsid w:val="00BB556D"/>
    <w:rsid w:val="00BB6E71"/>
    <w:rsid w:val="00BC3FBF"/>
    <w:rsid w:val="00BC69A4"/>
    <w:rsid w:val="00BC7304"/>
    <w:rsid w:val="00BD0D8F"/>
    <w:rsid w:val="00BD0F8A"/>
    <w:rsid w:val="00BD28E8"/>
    <w:rsid w:val="00BD2E34"/>
    <w:rsid w:val="00BD36D1"/>
    <w:rsid w:val="00BD63C7"/>
    <w:rsid w:val="00BD760B"/>
    <w:rsid w:val="00BE034D"/>
    <w:rsid w:val="00BE1C50"/>
    <w:rsid w:val="00BE34CE"/>
    <w:rsid w:val="00BE72AC"/>
    <w:rsid w:val="00BE7C01"/>
    <w:rsid w:val="00BE7C88"/>
    <w:rsid w:val="00BF137B"/>
    <w:rsid w:val="00BF1754"/>
    <w:rsid w:val="00BF2CAA"/>
    <w:rsid w:val="00BF2CBB"/>
    <w:rsid w:val="00BF4E2B"/>
    <w:rsid w:val="00BF5F6E"/>
    <w:rsid w:val="00BF6477"/>
    <w:rsid w:val="00BF7AF1"/>
    <w:rsid w:val="00C0006D"/>
    <w:rsid w:val="00C001FA"/>
    <w:rsid w:val="00C00964"/>
    <w:rsid w:val="00C00CFA"/>
    <w:rsid w:val="00C01586"/>
    <w:rsid w:val="00C02D3B"/>
    <w:rsid w:val="00C04D19"/>
    <w:rsid w:val="00C04FC2"/>
    <w:rsid w:val="00C050EE"/>
    <w:rsid w:val="00C055A3"/>
    <w:rsid w:val="00C057F6"/>
    <w:rsid w:val="00C06DE8"/>
    <w:rsid w:val="00C10CEB"/>
    <w:rsid w:val="00C122B1"/>
    <w:rsid w:val="00C12309"/>
    <w:rsid w:val="00C13590"/>
    <w:rsid w:val="00C13960"/>
    <w:rsid w:val="00C15B3C"/>
    <w:rsid w:val="00C161B8"/>
    <w:rsid w:val="00C168AE"/>
    <w:rsid w:val="00C179A5"/>
    <w:rsid w:val="00C17C29"/>
    <w:rsid w:val="00C17FA0"/>
    <w:rsid w:val="00C2197C"/>
    <w:rsid w:val="00C2376F"/>
    <w:rsid w:val="00C23E7E"/>
    <w:rsid w:val="00C241D4"/>
    <w:rsid w:val="00C24737"/>
    <w:rsid w:val="00C26B7E"/>
    <w:rsid w:val="00C304F3"/>
    <w:rsid w:val="00C30747"/>
    <w:rsid w:val="00C329DF"/>
    <w:rsid w:val="00C32A09"/>
    <w:rsid w:val="00C33A5A"/>
    <w:rsid w:val="00C33B63"/>
    <w:rsid w:val="00C35950"/>
    <w:rsid w:val="00C42E69"/>
    <w:rsid w:val="00C445D3"/>
    <w:rsid w:val="00C44659"/>
    <w:rsid w:val="00C45565"/>
    <w:rsid w:val="00C51530"/>
    <w:rsid w:val="00C52464"/>
    <w:rsid w:val="00C525F7"/>
    <w:rsid w:val="00C53061"/>
    <w:rsid w:val="00C53693"/>
    <w:rsid w:val="00C53FD1"/>
    <w:rsid w:val="00C55AD3"/>
    <w:rsid w:val="00C578BB"/>
    <w:rsid w:val="00C606D7"/>
    <w:rsid w:val="00C6075B"/>
    <w:rsid w:val="00C61BF4"/>
    <w:rsid w:val="00C6351F"/>
    <w:rsid w:val="00C64AE4"/>
    <w:rsid w:val="00C6522F"/>
    <w:rsid w:val="00C65644"/>
    <w:rsid w:val="00C66E1D"/>
    <w:rsid w:val="00C7155E"/>
    <w:rsid w:val="00C7187E"/>
    <w:rsid w:val="00C71D2C"/>
    <w:rsid w:val="00C74253"/>
    <w:rsid w:val="00C7545C"/>
    <w:rsid w:val="00C759AB"/>
    <w:rsid w:val="00C75A2A"/>
    <w:rsid w:val="00C75D46"/>
    <w:rsid w:val="00C813F1"/>
    <w:rsid w:val="00C81D1D"/>
    <w:rsid w:val="00C8309F"/>
    <w:rsid w:val="00C84750"/>
    <w:rsid w:val="00C85969"/>
    <w:rsid w:val="00C872B0"/>
    <w:rsid w:val="00C916D2"/>
    <w:rsid w:val="00C93CEE"/>
    <w:rsid w:val="00C94C8D"/>
    <w:rsid w:val="00C972B7"/>
    <w:rsid w:val="00C974D9"/>
    <w:rsid w:val="00CA00B2"/>
    <w:rsid w:val="00CA1278"/>
    <w:rsid w:val="00CA1DBE"/>
    <w:rsid w:val="00CA293C"/>
    <w:rsid w:val="00CA310F"/>
    <w:rsid w:val="00CA3321"/>
    <w:rsid w:val="00CA35F9"/>
    <w:rsid w:val="00CA50F1"/>
    <w:rsid w:val="00CA61ED"/>
    <w:rsid w:val="00CA7562"/>
    <w:rsid w:val="00CB0CAB"/>
    <w:rsid w:val="00CB2E87"/>
    <w:rsid w:val="00CB5846"/>
    <w:rsid w:val="00CB5C43"/>
    <w:rsid w:val="00CB6902"/>
    <w:rsid w:val="00CB7110"/>
    <w:rsid w:val="00CB791E"/>
    <w:rsid w:val="00CC1DC0"/>
    <w:rsid w:val="00CC1F44"/>
    <w:rsid w:val="00CC23BB"/>
    <w:rsid w:val="00CC2714"/>
    <w:rsid w:val="00CC28E1"/>
    <w:rsid w:val="00CC2C6C"/>
    <w:rsid w:val="00CC36D6"/>
    <w:rsid w:val="00CC3713"/>
    <w:rsid w:val="00CC4242"/>
    <w:rsid w:val="00CC6B6A"/>
    <w:rsid w:val="00CD0E40"/>
    <w:rsid w:val="00CD106B"/>
    <w:rsid w:val="00CD227A"/>
    <w:rsid w:val="00CD28AC"/>
    <w:rsid w:val="00CD2D35"/>
    <w:rsid w:val="00CD4912"/>
    <w:rsid w:val="00CD5BB3"/>
    <w:rsid w:val="00CE4EBC"/>
    <w:rsid w:val="00CE62F3"/>
    <w:rsid w:val="00CE7296"/>
    <w:rsid w:val="00CE7639"/>
    <w:rsid w:val="00CE798D"/>
    <w:rsid w:val="00CF14E0"/>
    <w:rsid w:val="00CF25BE"/>
    <w:rsid w:val="00CF4EA5"/>
    <w:rsid w:val="00CF547B"/>
    <w:rsid w:val="00CF54A7"/>
    <w:rsid w:val="00D010F9"/>
    <w:rsid w:val="00D01E19"/>
    <w:rsid w:val="00D03B32"/>
    <w:rsid w:val="00D100E5"/>
    <w:rsid w:val="00D1496A"/>
    <w:rsid w:val="00D2016D"/>
    <w:rsid w:val="00D20AED"/>
    <w:rsid w:val="00D20DAB"/>
    <w:rsid w:val="00D21058"/>
    <w:rsid w:val="00D213E1"/>
    <w:rsid w:val="00D2243B"/>
    <w:rsid w:val="00D235E7"/>
    <w:rsid w:val="00D23826"/>
    <w:rsid w:val="00D243B7"/>
    <w:rsid w:val="00D243F3"/>
    <w:rsid w:val="00D248FE"/>
    <w:rsid w:val="00D267E7"/>
    <w:rsid w:val="00D26B66"/>
    <w:rsid w:val="00D270DB"/>
    <w:rsid w:val="00D30393"/>
    <w:rsid w:val="00D30E5E"/>
    <w:rsid w:val="00D3170E"/>
    <w:rsid w:val="00D347B0"/>
    <w:rsid w:val="00D3564B"/>
    <w:rsid w:val="00D36C44"/>
    <w:rsid w:val="00D37211"/>
    <w:rsid w:val="00D37343"/>
    <w:rsid w:val="00D37F88"/>
    <w:rsid w:val="00D426D9"/>
    <w:rsid w:val="00D43E35"/>
    <w:rsid w:val="00D44A6B"/>
    <w:rsid w:val="00D45747"/>
    <w:rsid w:val="00D501D4"/>
    <w:rsid w:val="00D51818"/>
    <w:rsid w:val="00D54AF0"/>
    <w:rsid w:val="00D551D0"/>
    <w:rsid w:val="00D55DD5"/>
    <w:rsid w:val="00D55E4B"/>
    <w:rsid w:val="00D56117"/>
    <w:rsid w:val="00D56827"/>
    <w:rsid w:val="00D578F8"/>
    <w:rsid w:val="00D60424"/>
    <w:rsid w:val="00D62279"/>
    <w:rsid w:val="00D651A8"/>
    <w:rsid w:val="00D65FE5"/>
    <w:rsid w:val="00D6666F"/>
    <w:rsid w:val="00D66CB3"/>
    <w:rsid w:val="00D67BBF"/>
    <w:rsid w:val="00D702F2"/>
    <w:rsid w:val="00D70A98"/>
    <w:rsid w:val="00D70C66"/>
    <w:rsid w:val="00D71DDD"/>
    <w:rsid w:val="00D72739"/>
    <w:rsid w:val="00D72F5F"/>
    <w:rsid w:val="00D737E0"/>
    <w:rsid w:val="00D743A6"/>
    <w:rsid w:val="00D7468C"/>
    <w:rsid w:val="00D74FDA"/>
    <w:rsid w:val="00D772BD"/>
    <w:rsid w:val="00D77DBA"/>
    <w:rsid w:val="00D80BF2"/>
    <w:rsid w:val="00D81E87"/>
    <w:rsid w:val="00D836D8"/>
    <w:rsid w:val="00D83750"/>
    <w:rsid w:val="00D844E0"/>
    <w:rsid w:val="00D86DBE"/>
    <w:rsid w:val="00D87696"/>
    <w:rsid w:val="00D90122"/>
    <w:rsid w:val="00D9043D"/>
    <w:rsid w:val="00D91812"/>
    <w:rsid w:val="00D91A4F"/>
    <w:rsid w:val="00D94F72"/>
    <w:rsid w:val="00D96D60"/>
    <w:rsid w:val="00DA1B35"/>
    <w:rsid w:val="00DA3580"/>
    <w:rsid w:val="00DA3BF1"/>
    <w:rsid w:val="00DA3CB1"/>
    <w:rsid w:val="00DA4AE2"/>
    <w:rsid w:val="00DA5196"/>
    <w:rsid w:val="00DA6627"/>
    <w:rsid w:val="00DB0574"/>
    <w:rsid w:val="00DB06B2"/>
    <w:rsid w:val="00DB167F"/>
    <w:rsid w:val="00DB244E"/>
    <w:rsid w:val="00DB4ABD"/>
    <w:rsid w:val="00DB6E4E"/>
    <w:rsid w:val="00DB7C7D"/>
    <w:rsid w:val="00DC0348"/>
    <w:rsid w:val="00DC0C83"/>
    <w:rsid w:val="00DC0F1D"/>
    <w:rsid w:val="00DC113C"/>
    <w:rsid w:val="00DC2033"/>
    <w:rsid w:val="00DC7EAD"/>
    <w:rsid w:val="00DD0366"/>
    <w:rsid w:val="00DD2923"/>
    <w:rsid w:val="00DD352A"/>
    <w:rsid w:val="00DD388B"/>
    <w:rsid w:val="00DD3D6B"/>
    <w:rsid w:val="00DD5970"/>
    <w:rsid w:val="00DD6044"/>
    <w:rsid w:val="00DD6486"/>
    <w:rsid w:val="00DD6BC1"/>
    <w:rsid w:val="00DD6F93"/>
    <w:rsid w:val="00DD7030"/>
    <w:rsid w:val="00DD755B"/>
    <w:rsid w:val="00DE010A"/>
    <w:rsid w:val="00DE0E8A"/>
    <w:rsid w:val="00DE2503"/>
    <w:rsid w:val="00DE25D3"/>
    <w:rsid w:val="00DE2A4C"/>
    <w:rsid w:val="00DE309B"/>
    <w:rsid w:val="00DE41A2"/>
    <w:rsid w:val="00DE6DDA"/>
    <w:rsid w:val="00DE7354"/>
    <w:rsid w:val="00DE7E2A"/>
    <w:rsid w:val="00DF0883"/>
    <w:rsid w:val="00DF181E"/>
    <w:rsid w:val="00DF1B2D"/>
    <w:rsid w:val="00DF29BC"/>
    <w:rsid w:val="00DF2A71"/>
    <w:rsid w:val="00DF2F1A"/>
    <w:rsid w:val="00DF3005"/>
    <w:rsid w:val="00DF334D"/>
    <w:rsid w:val="00DF4094"/>
    <w:rsid w:val="00DF4C64"/>
    <w:rsid w:val="00DF510F"/>
    <w:rsid w:val="00DF55D8"/>
    <w:rsid w:val="00DF58F6"/>
    <w:rsid w:val="00DF6A45"/>
    <w:rsid w:val="00DF7F2F"/>
    <w:rsid w:val="00E01278"/>
    <w:rsid w:val="00E01951"/>
    <w:rsid w:val="00E024C9"/>
    <w:rsid w:val="00E02521"/>
    <w:rsid w:val="00E042E5"/>
    <w:rsid w:val="00E07251"/>
    <w:rsid w:val="00E10BBD"/>
    <w:rsid w:val="00E1483C"/>
    <w:rsid w:val="00E15297"/>
    <w:rsid w:val="00E168E0"/>
    <w:rsid w:val="00E16D3E"/>
    <w:rsid w:val="00E20DE3"/>
    <w:rsid w:val="00E226A8"/>
    <w:rsid w:val="00E22A12"/>
    <w:rsid w:val="00E22C42"/>
    <w:rsid w:val="00E2379D"/>
    <w:rsid w:val="00E242CF"/>
    <w:rsid w:val="00E251F6"/>
    <w:rsid w:val="00E2717E"/>
    <w:rsid w:val="00E274D5"/>
    <w:rsid w:val="00E30BE7"/>
    <w:rsid w:val="00E31519"/>
    <w:rsid w:val="00E347F2"/>
    <w:rsid w:val="00E357B3"/>
    <w:rsid w:val="00E37CD7"/>
    <w:rsid w:val="00E41479"/>
    <w:rsid w:val="00E41A27"/>
    <w:rsid w:val="00E43627"/>
    <w:rsid w:val="00E4533B"/>
    <w:rsid w:val="00E45A14"/>
    <w:rsid w:val="00E45CCF"/>
    <w:rsid w:val="00E462AE"/>
    <w:rsid w:val="00E466E8"/>
    <w:rsid w:val="00E46C44"/>
    <w:rsid w:val="00E50EA0"/>
    <w:rsid w:val="00E51386"/>
    <w:rsid w:val="00E51519"/>
    <w:rsid w:val="00E528B8"/>
    <w:rsid w:val="00E53BF9"/>
    <w:rsid w:val="00E53C92"/>
    <w:rsid w:val="00E53CBA"/>
    <w:rsid w:val="00E540B1"/>
    <w:rsid w:val="00E5643C"/>
    <w:rsid w:val="00E56F6B"/>
    <w:rsid w:val="00E57F87"/>
    <w:rsid w:val="00E60284"/>
    <w:rsid w:val="00E605AA"/>
    <w:rsid w:val="00E61221"/>
    <w:rsid w:val="00E628E9"/>
    <w:rsid w:val="00E62968"/>
    <w:rsid w:val="00E64BA8"/>
    <w:rsid w:val="00E64C91"/>
    <w:rsid w:val="00E656A5"/>
    <w:rsid w:val="00E6604C"/>
    <w:rsid w:val="00E6693A"/>
    <w:rsid w:val="00E6696E"/>
    <w:rsid w:val="00E67728"/>
    <w:rsid w:val="00E67AB4"/>
    <w:rsid w:val="00E7180B"/>
    <w:rsid w:val="00E71A88"/>
    <w:rsid w:val="00E72A69"/>
    <w:rsid w:val="00E743D9"/>
    <w:rsid w:val="00E75E0D"/>
    <w:rsid w:val="00E76136"/>
    <w:rsid w:val="00E769C7"/>
    <w:rsid w:val="00E76E44"/>
    <w:rsid w:val="00E80D0F"/>
    <w:rsid w:val="00E81382"/>
    <w:rsid w:val="00E81D8A"/>
    <w:rsid w:val="00E829BD"/>
    <w:rsid w:val="00E85F78"/>
    <w:rsid w:val="00E86236"/>
    <w:rsid w:val="00E864A6"/>
    <w:rsid w:val="00E865F4"/>
    <w:rsid w:val="00E87986"/>
    <w:rsid w:val="00E90837"/>
    <w:rsid w:val="00E929A5"/>
    <w:rsid w:val="00E94014"/>
    <w:rsid w:val="00E954C7"/>
    <w:rsid w:val="00E959C6"/>
    <w:rsid w:val="00E96209"/>
    <w:rsid w:val="00E97320"/>
    <w:rsid w:val="00E973B1"/>
    <w:rsid w:val="00EA3136"/>
    <w:rsid w:val="00EA3BA6"/>
    <w:rsid w:val="00EA49F4"/>
    <w:rsid w:val="00EA5C42"/>
    <w:rsid w:val="00EA5DD6"/>
    <w:rsid w:val="00EA75B3"/>
    <w:rsid w:val="00EB0F55"/>
    <w:rsid w:val="00EB14B1"/>
    <w:rsid w:val="00EB2757"/>
    <w:rsid w:val="00EB4E8F"/>
    <w:rsid w:val="00EB4F1C"/>
    <w:rsid w:val="00EB56D7"/>
    <w:rsid w:val="00EB5BC2"/>
    <w:rsid w:val="00EB76F3"/>
    <w:rsid w:val="00EC02EE"/>
    <w:rsid w:val="00EC0EC3"/>
    <w:rsid w:val="00EC1266"/>
    <w:rsid w:val="00EC355B"/>
    <w:rsid w:val="00EC4E13"/>
    <w:rsid w:val="00EC59BB"/>
    <w:rsid w:val="00EC5CB7"/>
    <w:rsid w:val="00EC6AF2"/>
    <w:rsid w:val="00EC6C63"/>
    <w:rsid w:val="00EC7986"/>
    <w:rsid w:val="00ED049D"/>
    <w:rsid w:val="00ED09EB"/>
    <w:rsid w:val="00ED1295"/>
    <w:rsid w:val="00ED2ACF"/>
    <w:rsid w:val="00ED3E1E"/>
    <w:rsid w:val="00ED3F2D"/>
    <w:rsid w:val="00ED49A5"/>
    <w:rsid w:val="00ED511C"/>
    <w:rsid w:val="00ED568F"/>
    <w:rsid w:val="00ED5B6D"/>
    <w:rsid w:val="00ED5CFA"/>
    <w:rsid w:val="00ED5E81"/>
    <w:rsid w:val="00ED713A"/>
    <w:rsid w:val="00ED7AD3"/>
    <w:rsid w:val="00EE00CC"/>
    <w:rsid w:val="00EE0282"/>
    <w:rsid w:val="00EE1E70"/>
    <w:rsid w:val="00EE24AC"/>
    <w:rsid w:val="00EE533D"/>
    <w:rsid w:val="00EE5B11"/>
    <w:rsid w:val="00EE62A4"/>
    <w:rsid w:val="00EE6B49"/>
    <w:rsid w:val="00EE72C4"/>
    <w:rsid w:val="00EE7745"/>
    <w:rsid w:val="00EF3060"/>
    <w:rsid w:val="00EF41F5"/>
    <w:rsid w:val="00EF563D"/>
    <w:rsid w:val="00EF5BA2"/>
    <w:rsid w:val="00EF6BE3"/>
    <w:rsid w:val="00F005E0"/>
    <w:rsid w:val="00F01036"/>
    <w:rsid w:val="00F01BA8"/>
    <w:rsid w:val="00F02140"/>
    <w:rsid w:val="00F027AA"/>
    <w:rsid w:val="00F0283A"/>
    <w:rsid w:val="00F028D7"/>
    <w:rsid w:val="00F051A2"/>
    <w:rsid w:val="00F0643D"/>
    <w:rsid w:val="00F066D6"/>
    <w:rsid w:val="00F067B9"/>
    <w:rsid w:val="00F07602"/>
    <w:rsid w:val="00F07AFF"/>
    <w:rsid w:val="00F10630"/>
    <w:rsid w:val="00F107CD"/>
    <w:rsid w:val="00F10938"/>
    <w:rsid w:val="00F111D8"/>
    <w:rsid w:val="00F1279F"/>
    <w:rsid w:val="00F128F7"/>
    <w:rsid w:val="00F13190"/>
    <w:rsid w:val="00F13A29"/>
    <w:rsid w:val="00F13F8E"/>
    <w:rsid w:val="00F2048B"/>
    <w:rsid w:val="00F21671"/>
    <w:rsid w:val="00F229A4"/>
    <w:rsid w:val="00F24232"/>
    <w:rsid w:val="00F24C0B"/>
    <w:rsid w:val="00F255F4"/>
    <w:rsid w:val="00F260CE"/>
    <w:rsid w:val="00F26610"/>
    <w:rsid w:val="00F300C1"/>
    <w:rsid w:val="00F30B3D"/>
    <w:rsid w:val="00F30E6E"/>
    <w:rsid w:val="00F310E5"/>
    <w:rsid w:val="00F319E4"/>
    <w:rsid w:val="00F37A0F"/>
    <w:rsid w:val="00F40986"/>
    <w:rsid w:val="00F41490"/>
    <w:rsid w:val="00F419D9"/>
    <w:rsid w:val="00F424A0"/>
    <w:rsid w:val="00F44E1A"/>
    <w:rsid w:val="00F47F96"/>
    <w:rsid w:val="00F50517"/>
    <w:rsid w:val="00F51939"/>
    <w:rsid w:val="00F52615"/>
    <w:rsid w:val="00F534D4"/>
    <w:rsid w:val="00F54538"/>
    <w:rsid w:val="00F5627C"/>
    <w:rsid w:val="00F56F56"/>
    <w:rsid w:val="00F56FAD"/>
    <w:rsid w:val="00F57941"/>
    <w:rsid w:val="00F6112C"/>
    <w:rsid w:val="00F6295E"/>
    <w:rsid w:val="00F6539F"/>
    <w:rsid w:val="00F65547"/>
    <w:rsid w:val="00F666AA"/>
    <w:rsid w:val="00F66EBB"/>
    <w:rsid w:val="00F67600"/>
    <w:rsid w:val="00F677BA"/>
    <w:rsid w:val="00F70448"/>
    <w:rsid w:val="00F71003"/>
    <w:rsid w:val="00F71BEB"/>
    <w:rsid w:val="00F71C9D"/>
    <w:rsid w:val="00F7339F"/>
    <w:rsid w:val="00F737A8"/>
    <w:rsid w:val="00F7673D"/>
    <w:rsid w:val="00F76B08"/>
    <w:rsid w:val="00F77B65"/>
    <w:rsid w:val="00F80498"/>
    <w:rsid w:val="00F81143"/>
    <w:rsid w:val="00F817D6"/>
    <w:rsid w:val="00F823C4"/>
    <w:rsid w:val="00F83422"/>
    <w:rsid w:val="00F837E4"/>
    <w:rsid w:val="00F84629"/>
    <w:rsid w:val="00F84A07"/>
    <w:rsid w:val="00F855C2"/>
    <w:rsid w:val="00F85FDD"/>
    <w:rsid w:val="00F86914"/>
    <w:rsid w:val="00F90458"/>
    <w:rsid w:val="00F90C7F"/>
    <w:rsid w:val="00F913E9"/>
    <w:rsid w:val="00F93690"/>
    <w:rsid w:val="00F93B22"/>
    <w:rsid w:val="00F93E7B"/>
    <w:rsid w:val="00F9475B"/>
    <w:rsid w:val="00F94AF0"/>
    <w:rsid w:val="00F94FB7"/>
    <w:rsid w:val="00F9628B"/>
    <w:rsid w:val="00F9740E"/>
    <w:rsid w:val="00FA0A12"/>
    <w:rsid w:val="00FA0E9F"/>
    <w:rsid w:val="00FA2C09"/>
    <w:rsid w:val="00FA3E38"/>
    <w:rsid w:val="00FA439F"/>
    <w:rsid w:val="00FA5210"/>
    <w:rsid w:val="00FA5AE4"/>
    <w:rsid w:val="00FB0F07"/>
    <w:rsid w:val="00FB393A"/>
    <w:rsid w:val="00FB5301"/>
    <w:rsid w:val="00FB7081"/>
    <w:rsid w:val="00FB7D41"/>
    <w:rsid w:val="00FC0C43"/>
    <w:rsid w:val="00FC11BE"/>
    <w:rsid w:val="00FC172F"/>
    <w:rsid w:val="00FC1732"/>
    <w:rsid w:val="00FC29FC"/>
    <w:rsid w:val="00FC4076"/>
    <w:rsid w:val="00FC473B"/>
    <w:rsid w:val="00FC5052"/>
    <w:rsid w:val="00FC53B8"/>
    <w:rsid w:val="00FC5B52"/>
    <w:rsid w:val="00FC5ED1"/>
    <w:rsid w:val="00FC6599"/>
    <w:rsid w:val="00FC67FA"/>
    <w:rsid w:val="00FC73DF"/>
    <w:rsid w:val="00FC7655"/>
    <w:rsid w:val="00FD0B8A"/>
    <w:rsid w:val="00FD2203"/>
    <w:rsid w:val="00FD5187"/>
    <w:rsid w:val="00FD5E5E"/>
    <w:rsid w:val="00FD64AE"/>
    <w:rsid w:val="00FD7964"/>
    <w:rsid w:val="00FD7BF5"/>
    <w:rsid w:val="00FE2587"/>
    <w:rsid w:val="00FE4B7E"/>
    <w:rsid w:val="00FE4B89"/>
    <w:rsid w:val="00FE4F5C"/>
    <w:rsid w:val="00FE4FC0"/>
    <w:rsid w:val="00FE5EF7"/>
    <w:rsid w:val="00FE733F"/>
    <w:rsid w:val="00FE76B0"/>
    <w:rsid w:val="00FE7AAA"/>
    <w:rsid w:val="00FF043D"/>
    <w:rsid w:val="00FF23AD"/>
    <w:rsid w:val="00FF41FE"/>
    <w:rsid w:val="00FF5057"/>
    <w:rsid w:val="00FF63CE"/>
    <w:rsid w:val="00FF660F"/>
    <w:rsid w:val="00FF707B"/>
    <w:rsid w:val="00FF71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heading 3" w:qFormat="1"/>
    <w:lsdException w:name="toc 1" w:uiPriority="39"/>
    <w:lsdException w:name="toc 2" w:uiPriority="39"/>
    <w:lsdException w:name="header" w:uiPriority="99"/>
    <w:lsdException w:name="Hyperlink" w:uiPriority="99"/>
    <w:lsdException w:name="Normal (Web)" w:uiPriority="99"/>
    <w:lsdException w:name="List Paragraph" w:uiPriority="34" w:qFormat="1"/>
  </w:latentStyles>
  <w:style w:type="paragraph" w:default="1" w:styleId="Normal">
    <w:name w:val="Normal"/>
    <w:qFormat/>
    <w:rsid w:val="003C38E9"/>
    <w:pPr>
      <w:widowControl w:val="0"/>
      <w:spacing w:after="240"/>
      <w:jc w:val="both"/>
    </w:pPr>
  </w:style>
  <w:style w:type="paragraph" w:styleId="Heading1">
    <w:name w:val="heading 1"/>
    <w:basedOn w:val="Normal"/>
    <w:next w:val="Normal"/>
    <w:qFormat/>
    <w:rsid w:val="00F70448"/>
    <w:pPr>
      <w:keepNext/>
      <w:numPr>
        <w:numId w:val="2"/>
      </w:numPr>
      <w:spacing w:before="240"/>
      <w:jc w:val="center"/>
      <w:outlineLvl w:val="0"/>
    </w:pPr>
    <w:rPr>
      <w:b/>
      <w:caps/>
      <w:szCs w:val="20"/>
      <w:lang w:val="en-US"/>
    </w:rPr>
  </w:style>
  <w:style w:type="paragraph" w:styleId="Heading2">
    <w:name w:val="heading 2"/>
    <w:basedOn w:val="Normal"/>
    <w:next w:val="Normal"/>
    <w:qFormat/>
    <w:rsid w:val="00F70448"/>
    <w:pPr>
      <w:keepNext/>
      <w:numPr>
        <w:numId w:val="4"/>
      </w:numPr>
      <w:spacing w:before="240"/>
      <w:outlineLvl w:val="1"/>
    </w:pPr>
    <w:rPr>
      <w:rFonts w:cs="Arial"/>
      <w:b/>
      <w:bCs/>
      <w:iCs/>
      <w:szCs w:val="28"/>
    </w:rPr>
  </w:style>
  <w:style w:type="paragraph" w:styleId="Heading3">
    <w:name w:val="heading 3"/>
    <w:basedOn w:val="Normal"/>
    <w:next w:val="Normal"/>
    <w:qFormat/>
    <w:rsid w:val="00C001F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B393A"/>
    <w:pPr>
      <w:tabs>
        <w:tab w:val="center" w:pos="4153"/>
        <w:tab w:val="right" w:pos="8306"/>
      </w:tabs>
    </w:pPr>
  </w:style>
  <w:style w:type="character" w:styleId="PageNumber">
    <w:name w:val="page number"/>
    <w:basedOn w:val="DefaultParagraphFont"/>
    <w:rsid w:val="00FB393A"/>
  </w:style>
  <w:style w:type="character" w:styleId="CommentReference">
    <w:name w:val="annotation reference"/>
    <w:basedOn w:val="DefaultParagraphFont"/>
    <w:semiHidden/>
    <w:rsid w:val="00E67728"/>
    <w:rPr>
      <w:sz w:val="16"/>
      <w:szCs w:val="16"/>
    </w:rPr>
  </w:style>
  <w:style w:type="paragraph" w:styleId="CommentText">
    <w:name w:val="annotation text"/>
    <w:basedOn w:val="Normal"/>
    <w:semiHidden/>
    <w:rsid w:val="00E67728"/>
    <w:rPr>
      <w:sz w:val="20"/>
      <w:szCs w:val="20"/>
    </w:rPr>
  </w:style>
  <w:style w:type="paragraph" w:styleId="CommentSubject">
    <w:name w:val="annotation subject"/>
    <w:basedOn w:val="CommentText"/>
    <w:next w:val="CommentText"/>
    <w:semiHidden/>
    <w:rsid w:val="00E67728"/>
    <w:rPr>
      <w:b/>
      <w:bCs/>
    </w:rPr>
  </w:style>
  <w:style w:type="paragraph" w:styleId="BalloonText">
    <w:name w:val="Balloon Text"/>
    <w:basedOn w:val="Normal"/>
    <w:semiHidden/>
    <w:rsid w:val="00E67728"/>
    <w:rPr>
      <w:rFonts w:ascii="Tahoma" w:hAnsi="Tahoma" w:cs="Tahoma"/>
      <w:sz w:val="16"/>
      <w:szCs w:val="16"/>
    </w:rPr>
  </w:style>
  <w:style w:type="character" w:styleId="Hyperlink">
    <w:name w:val="Hyperlink"/>
    <w:basedOn w:val="DefaultParagraphFont"/>
    <w:uiPriority w:val="99"/>
    <w:rsid w:val="00DF510F"/>
    <w:rPr>
      <w:color w:val="0000FF"/>
      <w:u w:val="single"/>
    </w:rPr>
  </w:style>
  <w:style w:type="paragraph" w:styleId="Header">
    <w:name w:val="header"/>
    <w:basedOn w:val="Normal"/>
    <w:uiPriority w:val="99"/>
    <w:rsid w:val="001D05C4"/>
    <w:pPr>
      <w:tabs>
        <w:tab w:val="center" w:pos="4153"/>
        <w:tab w:val="right" w:pos="8306"/>
      </w:tabs>
    </w:pPr>
  </w:style>
  <w:style w:type="paragraph" w:customStyle="1" w:styleId="subsection">
    <w:name w:val="subsection"/>
    <w:aliases w:val="ss,Subsection"/>
    <w:basedOn w:val="Normal"/>
    <w:rsid w:val="00075523"/>
    <w:pPr>
      <w:tabs>
        <w:tab w:val="right" w:pos="1021"/>
      </w:tabs>
      <w:spacing w:before="180" w:line="260" w:lineRule="atLeast"/>
      <w:ind w:left="1134" w:hanging="1134"/>
    </w:pPr>
    <w:rPr>
      <w:rFonts w:ascii="Times" w:hAnsi="Times"/>
      <w:sz w:val="22"/>
      <w:szCs w:val="20"/>
      <w:lang w:eastAsia="en-US"/>
    </w:rPr>
  </w:style>
  <w:style w:type="paragraph" w:customStyle="1" w:styleId="indenta">
    <w:name w:val="indent(a)"/>
    <w:aliases w:val="a"/>
    <w:basedOn w:val="Normal"/>
    <w:rsid w:val="00075523"/>
    <w:pPr>
      <w:tabs>
        <w:tab w:val="right" w:pos="1531"/>
      </w:tabs>
      <w:spacing w:before="40" w:line="260" w:lineRule="atLeast"/>
      <w:ind w:left="1644" w:hanging="1644"/>
    </w:pPr>
    <w:rPr>
      <w:rFonts w:ascii="Times" w:hAnsi="Times"/>
      <w:sz w:val="22"/>
      <w:szCs w:val="20"/>
      <w:lang w:eastAsia="en-US"/>
    </w:rPr>
  </w:style>
  <w:style w:type="numbering" w:customStyle="1" w:styleId="StyleNumbered">
    <w:name w:val="Style Numbered"/>
    <w:basedOn w:val="NoList"/>
    <w:rsid w:val="003B495D"/>
    <w:pPr>
      <w:numPr>
        <w:numId w:val="1"/>
      </w:numPr>
    </w:pPr>
  </w:style>
  <w:style w:type="paragraph" w:customStyle="1" w:styleId="StyleLeft127cm">
    <w:name w:val="Style Left:  1.27 cm"/>
    <w:basedOn w:val="Normal"/>
    <w:rsid w:val="003B495D"/>
    <w:pPr>
      <w:ind w:left="567"/>
    </w:pPr>
    <w:rPr>
      <w:szCs w:val="20"/>
    </w:rPr>
  </w:style>
  <w:style w:type="paragraph" w:styleId="Title">
    <w:name w:val="Title"/>
    <w:basedOn w:val="Normal"/>
    <w:qFormat/>
    <w:rsid w:val="00A96F82"/>
    <w:pPr>
      <w:spacing w:before="240"/>
      <w:jc w:val="center"/>
      <w:outlineLvl w:val="0"/>
    </w:pPr>
    <w:rPr>
      <w:rFonts w:cs="Arial"/>
      <w:b/>
      <w:bCs/>
      <w:caps/>
      <w:kern w:val="28"/>
      <w:szCs w:val="32"/>
      <w:u w:val="single"/>
    </w:rPr>
  </w:style>
  <w:style w:type="paragraph" w:customStyle="1" w:styleId="afmanormal">
    <w:name w:val="afmanormal"/>
    <w:basedOn w:val="Normal"/>
    <w:rsid w:val="00874235"/>
    <w:pPr>
      <w:spacing w:before="240" w:after="0"/>
    </w:pPr>
  </w:style>
  <w:style w:type="paragraph" w:customStyle="1" w:styleId="paragraph">
    <w:name w:val="paragraph"/>
    <w:basedOn w:val="Normal"/>
    <w:rsid w:val="00E628E9"/>
    <w:pPr>
      <w:spacing w:before="40" w:after="0"/>
      <w:ind w:left="1644" w:hanging="1644"/>
    </w:pPr>
    <w:rPr>
      <w:sz w:val="22"/>
      <w:szCs w:val="22"/>
    </w:rPr>
  </w:style>
  <w:style w:type="paragraph" w:customStyle="1" w:styleId="subsection2">
    <w:name w:val="subsection2"/>
    <w:basedOn w:val="Normal"/>
    <w:rsid w:val="00E628E9"/>
    <w:pPr>
      <w:spacing w:before="40" w:after="0"/>
      <w:ind w:left="1134"/>
    </w:pPr>
    <w:rPr>
      <w:sz w:val="22"/>
      <w:szCs w:val="22"/>
    </w:rPr>
  </w:style>
  <w:style w:type="paragraph" w:customStyle="1" w:styleId="StyleLeft0cmHanging1cmAfter6pt">
    <w:name w:val="Style Left:  0 cm Hanging:  1 cm After:  6 pt"/>
    <w:basedOn w:val="Normal"/>
    <w:next w:val="Normal"/>
    <w:rsid w:val="00AF51E6"/>
    <w:pPr>
      <w:spacing w:after="120"/>
      <w:ind w:left="567" w:hanging="567"/>
    </w:pPr>
    <w:rPr>
      <w:szCs w:val="20"/>
    </w:rPr>
  </w:style>
  <w:style w:type="paragraph" w:customStyle="1" w:styleId="Definition">
    <w:name w:val="Definition"/>
    <w:aliases w:val="dd"/>
    <w:basedOn w:val="subsection"/>
    <w:rsid w:val="00897BCF"/>
    <w:pPr>
      <w:widowControl/>
      <w:tabs>
        <w:tab w:val="clear" w:pos="1021"/>
      </w:tabs>
      <w:autoSpaceDE w:val="0"/>
      <w:autoSpaceDN w:val="0"/>
      <w:spacing w:after="0"/>
      <w:ind w:firstLine="0"/>
      <w:jc w:val="left"/>
    </w:pPr>
    <w:rPr>
      <w:rFonts w:cs="Times"/>
      <w:szCs w:val="22"/>
      <w:lang w:eastAsia="en-AU"/>
    </w:rPr>
  </w:style>
  <w:style w:type="paragraph" w:styleId="TOC1">
    <w:name w:val="toc 1"/>
    <w:next w:val="Normal"/>
    <w:autoRedefine/>
    <w:uiPriority w:val="39"/>
    <w:rsid w:val="004E5656"/>
    <w:pPr>
      <w:spacing w:before="120"/>
      <w:ind w:left="2835" w:hanging="2835"/>
    </w:pPr>
    <w:rPr>
      <w:b/>
    </w:rPr>
  </w:style>
  <w:style w:type="paragraph" w:styleId="TOC2">
    <w:name w:val="toc 2"/>
    <w:next w:val="Normal"/>
    <w:autoRedefine/>
    <w:uiPriority w:val="39"/>
    <w:rsid w:val="004E5656"/>
    <w:pPr>
      <w:ind w:left="2836" w:hanging="2552"/>
    </w:pPr>
  </w:style>
  <w:style w:type="paragraph" w:customStyle="1" w:styleId="StyleLeft1cmHanging1cm">
    <w:name w:val="Style Left:  1 cm Hanging:  1 cm"/>
    <w:basedOn w:val="Normal"/>
    <w:next w:val="Normal"/>
    <w:rsid w:val="007E25A2"/>
    <w:pPr>
      <w:ind w:left="1134" w:hanging="567"/>
    </w:pPr>
    <w:rPr>
      <w:szCs w:val="20"/>
    </w:rPr>
  </w:style>
  <w:style w:type="paragraph" w:customStyle="1" w:styleId="StyleLeft1cm">
    <w:name w:val="Style Left:  1 cm"/>
    <w:basedOn w:val="Normal"/>
    <w:next w:val="Normal"/>
    <w:rsid w:val="007E25A2"/>
    <w:pPr>
      <w:ind w:left="567"/>
    </w:pPr>
    <w:rPr>
      <w:szCs w:val="20"/>
    </w:rPr>
  </w:style>
  <w:style w:type="numbering" w:customStyle="1" w:styleId="StyleBulletedBold">
    <w:name w:val="Style Bulleted Bold"/>
    <w:basedOn w:val="NoList"/>
    <w:rsid w:val="00CC4242"/>
    <w:pPr>
      <w:numPr>
        <w:numId w:val="3"/>
      </w:numPr>
    </w:pPr>
  </w:style>
  <w:style w:type="paragraph" w:styleId="FootnoteText">
    <w:name w:val="footnote text"/>
    <w:basedOn w:val="Normal"/>
    <w:link w:val="FootnoteTextChar"/>
    <w:rsid w:val="00B250F7"/>
    <w:pPr>
      <w:spacing w:after="0"/>
    </w:pPr>
    <w:rPr>
      <w:sz w:val="20"/>
      <w:szCs w:val="20"/>
    </w:rPr>
  </w:style>
  <w:style w:type="character" w:customStyle="1" w:styleId="FootnoteTextChar">
    <w:name w:val="Footnote Text Char"/>
    <w:basedOn w:val="DefaultParagraphFont"/>
    <w:link w:val="FootnoteText"/>
    <w:rsid w:val="00B250F7"/>
  </w:style>
  <w:style w:type="character" w:styleId="FootnoteReference">
    <w:name w:val="footnote reference"/>
    <w:basedOn w:val="DefaultParagraphFont"/>
    <w:rsid w:val="00B250F7"/>
    <w:rPr>
      <w:vertAlign w:val="superscript"/>
    </w:rPr>
  </w:style>
  <w:style w:type="paragraph" w:styleId="ListParagraph">
    <w:name w:val="List Paragraph"/>
    <w:basedOn w:val="Normal"/>
    <w:uiPriority w:val="34"/>
    <w:qFormat/>
    <w:rsid w:val="0023175D"/>
    <w:pPr>
      <w:ind w:left="720"/>
      <w:contextualSpacing/>
    </w:pPr>
  </w:style>
  <w:style w:type="paragraph" w:customStyle="1" w:styleId="P1">
    <w:name w:val="P1"/>
    <w:aliases w:val="(a)"/>
    <w:basedOn w:val="Normal"/>
    <w:link w:val="P1Char"/>
    <w:rsid w:val="00696ACD"/>
    <w:pPr>
      <w:widowControl/>
      <w:tabs>
        <w:tab w:val="right" w:pos="1191"/>
      </w:tabs>
      <w:spacing w:before="60" w:after="0" w:line="260" w:lineRule="exact"/>
      <w:ind w:left="1418" w:hanging="1418"/>
    </w:pPr>
    <w:rPr>
      <w:lang w:eastAsia="en-US"/>
    </w:rPr>
  </w:style>
  <w:style w:type="paragraph" w:customStyle="1" w:styleId="P2">
    <w:name w:val="P2"/>
    <w:aliases w:val="(i)"/>
    <w:basedOn w:val="Normal"/>
    <w:rsid w:val="00696ACD"/>
    <w:pPr>
      <w:widowControl/>
      <w:tabs>
        <w:tab w:val="right" w:pos="1758"/>
        <w:tab w:val="left" w:pos="2155"/>
      </w:tabs>
      <w:spacing w:before="60" w:after="0" w:line="260" w:lineRule="exact"/>
      <w:ind w:left="1985" w:hanging="1985"/>
    </w:pPr>
    <w:rPr>
      <w:lang w:eastAsia="en-US"/>
    </w:rPr>
  </w:style>
  <w:style w:type="character" w:customStyle="1" w:styleId="P1Char">
    <w:name w:val="P1 Char"/>
    <w:aliases w:val="(a) Char"/>
    <w:basedOn w:val="DefaultParagraphFont"/>
    <w:link w:val="P1"/>
    <w:rsid w:val="00696ACD"/>
    <w:rPr>
      <w:sz w:val="24"/>
      <w:szCs w:val="24"/>
      <w:lang w:eastAsia="en-US"/>
    </w:rPr>
  </w:style>
  <w:style w:type="paragraph" w:customStyle="1" w:styleId="ZP1">
    <w:name w:val="ZP1"/>
    <w:basedOn w:val="P1"/>
    <w:rsid w:val="00713753"/>
    <w:pPr>
      <w:keepNext/>
    </w:pPr>
  </w:style>
  <w:style w:type="paragraph" w:customStyle="1" w:styleId="zp10">
    <w:name w:val="zp1"/>
    <w:basedOn w:val="Normal"/>
    <w:rsid w:val="00C51530"/>
    <w:pPr>
      <w:widowControl/>
      <w:spacing w:before="100" w:beforeAutospacing="1" w:after="100" w:afterAutospacing="1"/>
      <w:jc w:val="left"/>
    </w:pPr>
  </w:style>
  <w:style w:type="paragraph" w:customStyle="1" w:styleId="p20">
    <w:name w:val="p2"/>
    <w:basedOn w:val="Normal"/>
    <w:rsid w:val="00C51530"/>
    <w:pPr>
      <w:widowControl/>
      <w:spacing w:before="100" w:beforeAutospacing="1" w:after="100" w:afterAutospacing="1"/>
      <w:jc w:val="left"/>
    </w:pPr>
  </w:style>
  <w:style w:type="paragraph" w:styleId="NormalWeb">
    <w:name w:val="Normal (Web)"/>
    <w:basedOn w:val="Normal"/>
    <w:uiPriority w:val="99"/>
    <w:unhideWhenUsed/>
    <w:rsid w:val="00BA7FCE"/>
    <w:pPr>
      <w:widowControl/>
      <w:spacing w:before="100" w:beforeAutospacing="1" w:after="100" w:afterAutospacing="1"/>
      <w:jc w:val="left"/>
    </w:pPr>
  </w:style>
  <w:style w:type="paragraph" w:customStyle="1" w:styleId="paragraphsub">
    <w:name w:val="paragraphsub"/>
    <w:basedOn w:val="Normal"/>
    <w:rsid w:val="00767105"/>
    <w:pPr>
      <w:widowControl/>
      <w:spacing w:before="100" w:beforeAutospacing="1" w:after="100" w:afterAutospacing="1"/>
      <w:jc w:val="left"/>
    </w:pPr>
  </w:style>
  <w:style w:type="paragraph" w:customStyle="1" w:styleId="Paragraph0">
    <w:name w:val="Paragraph"/>
    <w:basedOn w:val="Normal"/>
    <w:link w:val="ParagraphChar"/>
    <w:rsid w:val="006D46F3"/>
    <w:pPr>
      <w:widowControl/>
      <w:numPr>
        <w:ilvl w:val="12"/>
      </w:numPr>
      <w:spacing w:before="240" w:after="0"/>
      <w:jc w:val="left"/>
    </w:pPr>
    <w:rPr>
      <w:szCs w:val="20"/>
    </w:rPr>
  </w:style>
  <w:style w:type="character" w:customStyle="1" w:styleId="ParagraphChar">
    <w:name w:val="Paragraph Char"/>
    <w:basedOn w:val="DefaultParagraphFont"/>
    <w:link w:val="Paragraph0"/>
    <w:rsid w:val="006D46F3"/>
    <w:rPr>
      <w:szCs w:val="20"/>
    </w:rPr>
  </w:style>
  <w:style w:type="character" w:customStyle="1" w:styleId="HeaderChar">
    <w:name w:val="Header Char"/>
    <w:basedOn w:val="DefaultParagraphFont"/>
    <w:link w:val="Header"/>
    <w:uiPriority w:val="99"/>
    <w:rsid w:val="00B93B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heading 3" w:qFormat="1"/>
    <w:lsdException w:name="toc 1" w:uiPriority="39"/>
    <w:lsdException w:name="toc 2" w:uiPriority="39"/>
    <w:lsdException w:name="header" w:uiPriority="99"/>
    <w:lsdException w:name="Hyperlink" w:uiPriority="99"/>
    <w:lsdException w:name="Normal (Web)" w:uiPriority="99"/>
    <w:lsdException w:name="List Paragraph" w:uiPriority="34" w:qFormat="1"/>
  </w:latentStyles>
  <w:style w:type="paragraph" w:default="1" w:styleId="Normal">
    <w:name w:val="Normal"/>
    <w:qFormat/>
    <w:rsid w:val="003C38E9"/>
    <w:pPr>
      <w:widowControl w:val="0"/>
      <w:spacing w:after="240"/>
      <w:jc w:val="both"/>
    </w:pPr>
  </w:style>
  <w:style w:type="paragraph" w:styleId="Heading1">
    <w:name w:val="heading 1"/>
    <w:basedOn w:val="Normal"/>
    <w:next w:val="Normal"/>
    <w:qFormat/>
    <w:rsid w:val="00F70448"/>
    <w:pPr>
      <w:keepNext/>
      <w:numPr>
        <w:numId w:val="2"/>
      </w:numPr>
      <w:spacing w:before="240"/>
      <w:jc w:val="center"/>
      <w:outlineLvl w:val="0"/>
    </w:pPr>
    <w:rPr>
      <w:b/>
      <w:caps/>
      <w:szCs w:val="20"/>
      <w:lang w:val="en-US"/>
    </w:rPr>
  </w:style>
  <w:style w:type="paragraph" w:styleId="Heading2">
    <w:name w:val="heading 2"/>
    <w:basedOn w:val="Normal"/>
    <w:next w:val="Normal"/>
    <w:qFormat/>
    <w:rsid w:val="00F70448"/>
    <w:pPr>
      <w:keepNext/>
      <w:numPr>
        <w:numId w:val="4"/>
      </w:numPr>
      <w:spacing w:before="240"/>
      <w:outlineLvl w:val="1"/>
    </w:pPr>
    <w:rPr>
      <w:rFonts w:cs="Arial"/>
      <w:b/>
      <w:bCs/>
      <w:iCs/>
      <w:szCs w:val="28"/>
    </w:rPr>
  </w:style>
  <w:style w:type="paragraph" w:styleId="Heading3">
    <w:name w:val="heading 3"/>
    <w:basedOn w:val="Normal"/>
    <w:next w:val="Normal"/>
    <w:qFormat/>
    <w:rsid w:val="00C001F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B393A"/>
    <w:pPr>
      <w:tabs>
        <w:tab w:val="center" w:pos="4153"/>
        <w:tab w:val="right" w:pos="8306"/>
      </w:tabs>
    </w:pPr>
  </w:style>
  <w:style w:type="character" w:styleId="PageNumber">
    <w:name w:val="page number"/>
    <w:basedOn w:val="DefaultParagraphFont"/>
    <w:rsid w:val="00FB393A"/>
  </w:style>
  <w:style w:type="character" w:styleId="CommentReference">
    <w:name w:val="annotation reference"/>
    <w:basedOn w:val="DefaultParagraphFont"/>
    <w:semiHidden/>
    <w:rsid w:val="00E67728"/>
    <w:rPr>
      <w:sz w:val="16"/>
      <w:szCs w:val="16"/>
    </w:rPr>
  </w:style>
  <w:style w:type="paragraph" w:styleId="CommentText">
    <w:name w:val="annotation text"/>
    <w:basedOn w:val="Normal"/>
    <w:semiHidden/>
    <w:rsid w:val="00E67728"/>
    <w:rPr>
      <w:sz w:val="20"/>
      <w:szCs w:val="20"/>
    </w:rPr>
  </w:style>
  <w:style w:type="paragraph" w:styleId="CommentSubject">
    <w:name w:val="annotation subject"/>
    <w:basedOn w:val="CommentText"/>
    <w:next w:val="CommentText"/>
    <w:semiHidden/>
    <w:rsid w:val="00E67728"/>
    <w:rPr>
      <w:b/>
      <w:bCs/>
    </w:rPr>
  </w:style>
  <w:style w:type="paragraph" w:styleId="BalloonText">
    <w:name w:val="Balloon Text"/>
    <w:basedOn w:val="Normal"/>
    <w:semiHidden/>
    <w:rsid w:val="00E67728"/>
    <w:rPr>
      <w:rFonts w:ascii="Tahoma" w:hAnsi="Tahoma" w:cs="Tahoma"/>
      <w:sz w:val="16"/>
      <w:szCs w:val="16"/>
    </w:rPr>
  </w:style>
  <w:style w:type="character" w:styleId="Hyperlink">
    <w:name w:val="Hyperlink"/>
    <w:basedOn w:val="DefaultParagraphFont"/>
    <w:uiPriority w:val="99"/>
    <w:rsid w:val="00DF510F"/>
    <w:rPr>
      <w:color w:val="0000FF"/>
      <w:u w:val="single"/>
    </w:rPr>
  </w:style>
  <w:style w:type="paragraph" w:styleId="Header">
    <w:name w:val="header"/>
    <w:basedOn w:val="Normal"/>
    <w:uiPriority w:val="99"/>
    <w:rsid w:val="001D05C4"/>
    <w:pPr>
      <w:tabs>
        <w:tab w:val="center" w:pos="4153"/>
        <w:tab w:val="right" w:pos="8306"/>
      </w:tabs>
    </w:pPr>
  </w:style>
  <w:style w:type="paragraph" w:customStyle="1" w:styleId="subsection">
    <w:name w:val="subsection"/>
    <w:aliases w:val="ss,Subsection"/>
    <w:basedOn w:val="Normal"/>
    <w:rsid w:val="00075523"/>
    <w:pPr>
      <w:tabs>
        <w:tab w:val="right" w:pos="1021"/>
      </w:tabs>
      <w:spacing w:before="180" w:line="260" w:lineRule="atLeast"/>
      <w:ind w:left="1134" w:hanging="1134"/>
    </w:pPr>
    <w:rPr>
      <w:rFonts w:ascii="Times" w:hAnsi="Times"/>
      <w:sz w:val="22"/>
      <w:szCs w:val="20"/>
      <w:lang w:eastAsia="en-US"/>
    </w:rPr>
  </w:style>
  <w:style w:type="paragraph" w:customStyle="1" w:styleId="indenta">
    <w:name w:val="indent(a)"/>
    <w:aliases w:val="a"/>
    <w:basedOn w:val="Normal"/>
    <w:rsid w:val="00075523"/>
    <w:pPr>
      <w:tabs>
        <w:tab w:val="right" w:pos="1531"/>
      </w:tabs>
      <w:spacing w:before="40" w:line="260" w:lineRule="atLeast"/>
      <w:ind w:left="1644" w:hanging="1644"/>
    </w:pPr>
    <w:rPr>
      <w:rFonts w:ascii="Times" w:hAnsi="Times"/>
      <w:sz w:val="22"/>
      <w:szCs w:val="20"/>
      <w:lang w:eastAsia="en-US"/>
    </w:rPr>
  </w:style>
  <w:style w:type="numbering" w:customStyle="1" w:styleId="StyleNumbered">
    <w:name w:val="Style Numbered"/>
    <w:basedOn w:val="NoList"/>
    <w:rsid w:val="003B495D"/>
    <w:pPr>
      <w:numPr>
        <w:numId w:val="1"/>
      </w:numPr>
    </w:pPr>
  </w:style>
  <w:style w:type="paragraph" w:customStyle="1" w:styleId="StyleLeft127cm">
    <w:name w:val="Style Left:  1.27 cm"/>
    <w:basedOn w:val="Normal"/>
    <w:rsid w:val="003B495D"/>
    <w:pPr>
      <w:ind w:left="567"/>
    </w:pPr>
    <w:rPr>
      <w:szCs w:val="20"/>
    </w:rPr>
  </w:style>
  <w:style w:type="paragraph" w:styleId="Title">
    <w:name w:val="Title"/>
    <w:basedOn w:val="Normal"/>
    <w:qFormat/>
    <w:rsid w:val="00A96F82"/>
    <w:pPr>
      <w:spacing w:before="240"/>
      <w:jc w:val="center"/>
      <w:outlineLvl w:val="0"/>
    </w:pPr>
    <w:rPr>
      <w:rFonts w:cs="Arial"/>
      <w:b/>
      <w:bCs/>
      <w:caps/>
      <w:kern w:val="28"/>
      <w:szCs w:val="32"/>
      <w:u w:val="single"/>
    </w:rPr>
  </w:style>
  <w:style w:type="paragraph" w:customStyle="1" w:styleId="afmanormal">
    <w:name w:val="afmanormal"/>
    <w:basedOn w:val="Normal"/>
    <w:rsid w:val="00874235"/>
    <w:pPr>
      <w:spacing w:before="240" w:after="0"/>
    </w:pPr>
  </w:style>
  <w:style w:type="paragraph" w:customStyle="1" w:styleId="paragraph">
    <w:name w:val="paragraph"/>
    <w:basedOn w:val="Normal"/>
    <w:rsid w:val="00E628E9"/>
    <w:pPr>
      <w:spacing w:before="40" w:after="0"/>
      <w:ind w:left="1644" w:hanging="1644"/>
    </w:pPr>
    <w:rPr>
      <w:sz w:val="22"/>
      <w:szCs w:val="22"/>
    </w:rPr>
  </w:style>
  <w:style w:type="paragraph" w:customStyle="1" w:styleId="subsection2">
    <w:name w:val="subsection2"/>
    <w:basedOn w:val="Normal"/>
    <w:rsid w:val="00E628E9"/>
    <w:pPr>
      <w:spacing w:before="40" w:after="0"/>
      <w:ind w:left="1134"/>
    </w:pPr>
    <w:rPr>
      <w:sz w:val="22"/>
      <w:szCs w:val="22"/>
    </w:rPr>
  </w:style>
  <w:style w:type="paragraph" w:customStyle="1" w:styleId="StyleLeft0cmHanging1cmAfter6pt">
    <w:name w:val="Style Left:  0 cm Hanging:  1 cm After:  6 pt"/>
    <w:basedOn w:val="Normal"/>
    <w:next w:val="Normal"/>
    <w:rsid w:val="00AF51E6"/>
    <w:pPr>
      <w:spacing w:after="120"/>
      <w:ind w:left="567" w:hanging="567"/>
    </w:pPr>
    <w:rPr>
      <w:szCs w:val="20"/>
    </w:rPr>
  </w:style>
  <w:style w:type="paragraph" w:customStyle="1" w:styleId="Definition">
    <w:name w:val="Definition"/>
    <w:aliases w:val="dd"/>
    <w:basedOn w:val="subsection"/>
    <w:rsid w:val="00897BCF"/>
    <w:pPr>
      <w:widowControl/>
      <w:tabs>
        <w:tab w:val="clear" w:pos="1021"/>
      </w:tabs>
      <w:autoSpaceDE w:val="0"/>
      <w:autoSpaceDN w:val="0"/>
      <w:spacing w:after="0"/>
      <w:ind w:firstLine="0"/>
      <w:jc w:val="left"/>
    </w:pPr>
    <w:rPr>
      <w:rFonts w:cs="Times"/>
      <w:szCs w:val="22"/>
      <w:lang w:eastAsia="en-AU"/>
    </w:rPr>
  </w:style>
  <w:style w:type="paragraph" w:styleId="TOC1">
    <w:name w:val="toc 1"/>
    <w:next w:val="Normal"/>
    <w:autoRedefine/>
    <w:uiPriority w:val="39"/>
    <w:rsid w:val="004E5656"/>
    <w:pPr>
      <w:spacing w:before="120"/>
      <w:ind w:left="2835" w:hanging="2835"/>
    </w:pPr>
    <w:rPr>
      <w:b/>
    </w:rPr>
  </w:style>
  <w:style w:type="paragraph" w:styleId="TOC2">
    <w:name w:val="toc 2"/>
    <w:next w:val="Normal"/>
    <w:autoRedefine/>
    <w:uiPriority w:val="39"/>
    <w:rsid w:val="004E5656"/>
    <w:pPr>
      <w:ind w:left="2836" w:hanging="2552"/>
    </w:pPr>
  </w:style>
  <w:style w:type="paragraph" w:customStyle="1" w:styleId="StyleLeft1cmHanging1cm">
    <w:name w:val="Style Left:  1 cm Hanging:  1 cm"/>
    <w:basedOn w:val="Normal"/>
    <w:next w:val="Normal"/>
    <w:rsid w:val="007E25A2"/>
    <w:pPr>
      <w:ind w:left="1134" w:hanging="567"/>
    </w:pPr>
    <w:rPr>
      <w:szCs w:val="20"/>
    </w:rPr>
  </w:style>
  <w:style w:type="paragraph" w:customStyle="1" w:styleId="StyleLeft1cm">
    <w:name w:val="Style Left:  1 cm"/>
    <w:basedOn w:val="Normal"/>
    <w:next w:val="Normal"/>
    <w:rsid w:val="007E25A2"/>
    <w:pPr>
      <w:ind w:left="567"/>
    </w:pPr>
    <w:rPr>
      <w:szCs w:val="20"/>
    </w:rPr>
  </w:style>
  <w:style w:type="numbering" w:customStyle="1" w:styleId="StyleBulletedBold">
    <w:name w:val="Style Bulleted Bold"/>
    <w:basedOn w:val="NoList"/>
    <w:rsid w:val="00CC4242"/>
    <w:pPr>
      <w:numPr>
        <w:numId w:val="3"/>
      </w:numPr>
    </w:pPr>
  </w:style>
  <w:style w:type="paragraph" w:styleId="FootnoteText">
    <w:name w:val="footnote text"/>
    <w:basedOn w:val="Normal"/>
    <w:link w:val="FootnoteTextChar"/>
    <w:rsid w:val="00B250F7"/>
    <w:pPr>
      <w:spacing w:after="0"/>
    </w:pPr>
    <w:rPr>
      <w:sz w:val="20"/>
      <w:szCs w:val="20"/>
    </w:rPr>
  </w:style>
  <w:style w:type="character" w:customStyle="1" w:styleId="FootnoteTextChar">
    <w:name w:val="Footnote Text Char"/>
    <w:basedOn w:val="DefaultParagraphFont"/>
    <w:link w:val="FootnoteText"/>
    <w:rsid w:val="00B250F7"/>
  </w:style>
  <w:style w:type="character" w:styleId="FootnoteReference">
    <w:name w:val="footnote reference"/>
    <w:basedOn w:val="DefaultParagraphFont"/>
    <w:rsid w:val="00B250F7"/>
    <w:rPr>
      <w:vertAlign w:val="superscript"/>
    </w:rPr>
  </w:style>
  <w:style w:type="paragraph" w:styleId="ListParagraph">
    <w:name w:val="List Paragraph"/>
    <w:basedOn w:val="Normal"/>
    <w:uiPriority w:val="34"/>
    <w:qFormat/>
    <w:rsid w:val="0023175D"/>
    <w:pPr>
      <w:ind w:left="720"/>
      <w:contextualSpacing/>
    </w:pPr>
  </w:style>
  <w:style w:type="paragraph" w:customStyle="1" w:styleId="P1">
    <w:name w:val="P1"/>
    <w:aliases w:val="(a)"/>
    <w:basedOn w:val="Normal"/>
    <w:link w:val="P1Char"/>
    <w:rsid w:val="00696ACD"/>
    <w:pPr>
      <w:widowControl/>
      <w:tabs>
        <w:tab w:val="right" w:pos="1191"/>
      </w:tabs>
      <w:spacing w:before="60" w:after="0" w:line="260" w:lineRule="exact"/>
      <w:ind w:left="1418" w:hanging="1418"/>
    </w:pPr>
    <w:rPr>
      <w:lang w:eastAsia="en-US"/>
    </w:rPr>
  </w:style>
  <w:style w:type="paragraph" w:customStyle="1" w:styleId="P2">
    <w:name w:val="P2"/>
    <w:aliases w:val="(i)"/>
    <w:basedOn w:val="Normal"/>
    <w:rsid w:val="00696ACD"/>
    <w:pPr>
      <w:widowControl/>
      <w:tabs>
        <w:tab w:val="right" w:pos="1758"/>
        <w:tab w:val="left" w:pos="2155"/>
      </w:tabs>
      <w:spacing w:before="60" w:after="0" w:line="260" w:lineRule="exact"/>
      <w:ind w:left="1985" w:hanging="1985"/>
    </w:pPr>
    <w:rPr>
      <w:lang w:eastAsia="en-US"/>
    </w:rPr>
  </w:style>
  <w:style w:type="character" w:customStyle="1" w:styleId="P1Char">
    <w:name w:val="P1 Char"/>
    <w:aliases w:val="(a) Char"/>
    <w:basedOn w:val="DefaultParagraphFont"/>
    <w:link w:val="P1"/>
    <w:rsid w:val="00696ACD"/>
    <w:rPr>
      <w:sz w:val="24"/>
      <w:szCs w:val="24"/>
      <w:lang w:eastAsia="en-US"/>
    </w:rPr>
  </w:style>
  <w:style w:type="paragraph" w:customStyle="1" w:styleId="ZP1">
    <w:name w:val="ZP1"/>
    <w:basedOn w:val="P1"/>
    <w:rsid w:val="00713753"/>
    <w:pPr>
      <w:keepNext/>
    </w:pPr>
  </w:style>
  <w:style w:type="paragraph" w:customStyle="1" w:styleId="zp10">
    <w:name w:val="zp1"/>
    <w:basedOn w:val="Normal"/>
    <w:rsid w:val="00C51530"/>
    <w:pPr>
      <w:widowControl/>
      <w:spacing w:before="100" w:beforeAutospacing="1" w:after="100" w:afterAutospacing="1"/>
      <w:jc w:val="left"/>
    </w:pPr>
  </w:style>
  <w:style w:type="paragraph" w:customStyle="1" w:styleId="p20">
    <w:name w:val="p2"/>
    <w:basedOn w:val="Normal"/>
    <w:rsid w:val="00C51530"/>
    <w:pPr>
      <w:widowControl/>
      <w:spacing w:before="100" w:beforeAutospacing="1" w:after="100" w:afterAutospacing="1"/>
      <w:jc w:val="left"/>
    </w:pPr>
  </w:style>
  <w:style w:type="paragraph" w:styleId="NormalWeb">
    <w:name w:val="Normal (Web)"/>
    <w:basedOn w:val="Normal"/>
    <w:uiPriority w:val="99"/>
    <w:unhideWhenUsed/>
    <w:rsid w:val="00BA7FCE"/>
    <w:pPr>
      <w:widowControl/>
      <w:spacing w:before="100" w:beforeAutospacing="1" w:after="100" w:afterAutospacing="1"/>
      <w:jc w:val="left"/>
    </w:pPr>
  </w:style>
  <w:style w:type="paragraph" w:customStyle="1" w:styleId="paragraphsub">
    <w:name w:val="paragraphsub"/>
    <w:basedOn w:val="Normal"/>
    <w:rsid w:val="00767105"/>
    <w:pPr>
      <w:widowControl/>
      <w:spacing w:before="100" w:beforeAutospacing="1" w:after="100" w:afterAutospacing="1"/>
      <w:jc w:val="left"/>
    </w:pPr>
  </w:style>
  <w:style w:type="paragraph" w:customStyle="1" w:styleId="Paragraph0">
    <w:name w:val="Paragraph"/>
    <w:basedOn w:val="Normal"/>
    <w:link w:val="ParagraphChar"/>
    <w:rsid w:val="006D46F3"/>
    <w:pPr>
      <w:widowControl/>
      <w:numPr>
        <w:ilvl w:val="12"/>
      </w:numPr>
      <w:spacing w:before="240" w:after="0"/>
      <w:jc w:val="left"/>
    </w:pPr>
    <w:rPr>
      <w:szCs w:val="20"/>
    </w:rPr>
  </w:style>
  <w:style w:type="character" w:customStyle="1" w:styleId="ParagraphChar">
    <w:name w:val="Paragraph Char"/>
    <w:basedOn w:val="DefaultParagraphFont"/>
    <w:link w:val="Paragraph0"/>
    <w:rsid w:val="006D46F3"/>
    <w:rPr>
      <w:szCs w:val="20"/>
    </w:rPr>
  </w:style>
  <w:style w:type="character" w:customStyle="1" w:styleId="HeaderChar">
    <w:name w:val="Header Char"/>
    <w:basedOn w:val="DefaultParagraphFont"/>
    <w:link w:val="Header"/>
    <w:uiPriority w:val="99"/>
    <w:rsid w:val="00B93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00749">
      <w:bodyDiv w:val="1"/>
      <w:marLeft w:val="0"/>
      <w:marRight w:val="0"/>
      <w:marTop w:val="0"/>
      <w:marBottom w:val="0"/>
      <w:divBdr>
        <w:top w:val="none" w:sz="0" w:space="0" w:color="auto"/>
        <w:left w:val="none" w:sz="0" w:space="0" w:color="auto"/>
        <w:bottom w:val="none" w:sz="0" w:space="0" w:color="auto"/>
        <w:right w:val="none" w:sz="0" w:space="0" w:color="auto"/>
      </w:divBdr>
    </w:div>
    <w:div w:id="293483018">
      <w:bodyDiv w:val="1"/>
      <w:marLeft w:val="0"/>
      <w:marRight w:val="0"/>
      <w:marTop w:val="0"/>
      <w:marBottom w:val="0"/>
      <w:divBdr>
        <w:top w:val="none" w:sz="0" w:space="0" w:color="auto"/>
        <w:left w:val="none" w:sz="0" w:space="0" w:color="auto"/>
        <w:bottom w:val="none" w:sz="0" w:space="0" w:color="auto"/>
        <w:right w:val="none" w:sz="0" w:space="0" w:color="auto"/>
      </w:divBdr>
    </w:div>
    <w:div w:id="846285832">
      <w:bodyDiv w:val="1"/>
      <w:marLeft w:val="0"/>
      <w:marRight w:val="0"/>
      <w:marTop w:val="0"/>
      <w:marBottom w:val="0"/>
      <w:divBdr>
        <w:top w:val="none" w:sz="0" w:space="0" w:color="auto"/>
        <w:left w:val="none" w:sz="0" w:space="0" w:color="auto"/>
        <w:bottom w:val="none" w:sz="0" w:space="0" w:color="auto"/>
        <w:right w:val="none" w:sz="0" w:space="0" w:color="auto"/>
      </w:divBdr>
    </w:div>
    <w:div w:id="1243881136">
      <w:bodyDiv w:val="1"/>
      <w:marLeft w:val="0"/>
      <w:marRight w:val="0"/>
      <w:marTop w:val="0"/>
      <w:marBottom w:val="0"/>
      <w:divBdr>
        <w:top w:val="none" w:sz="0" w:space="0" w:color="auto"/>
        <w:left w:val="none" w:sz="0" w:space="0" w:color="auto"/>
        <w:bottom w:val="none" w:sz="0" w:space="0" w:color="auto"/>
        <w:right w:val="none" w:sz="0" w:space="0" w:color="auto"/>
      </w:divBdr>
      <w:divsChild>
        <w:div w:id="471483275">
          <w:marLeft w:val="0"/>
          <w:marRight w:val="0"/>
          <w:marTop w:val="0"/>
          <w:marBottom w:val="0"/>
          <w:divBdr>
            <w:top w:val="none" w:sz="0" w:space="0" w:color="auto"/>
            <w:left w:val="none" w:sz="0" w:space="0" w:color="auto"/>
            <w:bottom w:val="none" w:sz="0" w:space="0" w:color="auto"/>
            <w:right w:val="none" w:sz="0" w:space="0" w:color="auto"/>
          </w:divBdr>
          <w:divsChild>
            <w:div w:id="722095494">
              <w:marLeft w:val="0"/>
              <w:marRight w:val="0"/>
              <w:marTop w:val="0"/>
              <w:marBottom w:val="0"/>
              <w:divBdr>
                <w:top w:val="none" w:sz="0" w:space="0" w:color="auto"/>
                <w:left w:val="none" w:sz="0" w:space="0" w:color="auto"/>
                <w:bottom w:val="none" w:sz="0" w:space="0" w:color="auto"/>
                <w:right w:val="none" w:sz="0" w:space="0" w:color="auto"/>
              </w:divBdr>
              <w:divsChild>
                <w:div w:id="1142388762">
                  <w:marLeft w:val="0"/>
                  <w:marRight w:val="0"/>
                  <w:marTop w:val="0"/>
                  <w:marBottom w:val="0"/>
                  <w:divBdr>
                    <w:top w:val="none" w:sz="0" w:space="0" w:color="auto"/>
                    <w:left w:val="none" w:sz="0" w:space="0" w:color="auto"/>
                    <w:bottom w:val="none" w:sz="0" w:space="0" w:color="auto"/>
                    <w:right w:val="none" w:sz="0" w:space="0" w:color="auto"/>
                  </w:divBdr>
                  <w:divsChild>
                    <w:div w:id="1853766018">
                      <w:marLeft w:val="0"/>
                      <w:marRight w:val="0"/>
                      <w:marTop w:val="0"/>
                      <w:marBottom w:val="0"/>
                      <w:divBdr>
                        <w:top w:val="none" w:sz="0" w:space="0" w:color="auto"/>
                        <w:left w:val="none" w:sz="0" w:space="0" w:color="auto"/>
                        <w:bottom w:val="none" w:sz="0" w:space="0" w:color="auto"/>
                        <w:right w:val="none" w:sz="0" w:space="0" w:color="auto"/>
                      </w:divBdr>
                      <w:divsChild>
                        <w:div w:id="1721781920">
                          <w:marLeft w:val="0"/>
                          <w:marRight w:val="0"/>
                          <w:marTop w:val="0"/>
                          <w:marBottom w:val="0"/>
                          <w:divBdr>
                            <w:top w:val="single" w:sz="6" w:space="0" w:color="828282"/>
                            <w:left w:val="single" w:sz="6" w:space="0" w:color="828282"/>
                            <w:bottom w:val="single" w:sz="6" w:space="0" w:color="828282"/>
                            <w:right w:val="single" w:sz="6" w:space="0" w:color="828282"/>
                          </w:divBdr>
                          <w:divsChild>
                            <w:div w:id="2102792129">
                              <w:marLeft w:val="0"/>
                              <w:marRight w:val="0"/>
                              <w:marTop w:val="0"/>
                              <w:marBottom w:val="0"/>
                              <w:divBdr>
                                <w:top w:val="none" w:sz="0" w:space="0" w:color="auto"/>
                                <w:left w:val="none" w:sz="0" w:space="0" w:color="auto"/>
                                <w:bottom w:val="none" w:sz="0" w:space="0" w:color="auto"/>
                                <w:right w:val="none" w:sz="0" w:space="0" w:color="auto"/>
                              </w:divBdr>
                              <w:divsChild>
                                <w:div w:id="211314241">
                                  <w:marLeft w:val="0"/>
                                  <w:marRight w:val="0"/>
                                  <w:marTop w:val="0"/>
                                  <w:marBottom w:val="0"/>
                                  <w:divBdr>
                                    <w:top w:val="none" w:sz="0" w:space="0" w:color="auto"/>
                                    <w:left w:val="none" w:sz="0" w:space="0" w:color="auto"/>
                                    <w:bottom w:val="none" w:sz="0" w:space="0" w:color="auto"/>
                                    <w:right w:val="none" w:sz="0" w:space="0" w:color="auto"/>
                                  </w:divBdr>
                                  <w:divsChild>
                                    <w:div w:id="852378302">
                                      <w:marLeft w:val="0"/>
                                      <w:marRight w:val="0"/>
                                      <w:marTop w:val="0"/>
                                      <w:marBottom w:val="0"/>
                                      <w:divBdr>
                                        <w:top w:val="none" w:sz="0" w:space="0" w:color="auto"/>
                                        <w:left w:val="none" w:sz="0" w:space="0" w:color="auto"/>
                                        <w:bottom w:val="none" w:sz="0" w:space="0" w:color="auto"/>
                                        <w:right w:val="none" w:sz="0" w:space="0" w:color="auto"/>
                                      </w:divBdr>
                                      <w:divsChild>
                                        <w:div w:id="561018035">
                                          <w:marLeft w:val="0"/>
                                          <w:marRight w:val="0"/>
                                          <w:marTop w:val="0"/>
                                          <w:marBottom w:val="0"/>
                                          <w:divBdr>
                                            <w:top w:val="none" w:sz="0" w:space="0" w:color="auto"/>
                                            <w:left w:val="none" w:sz="0" w:space="0" w:color="auto"/>
                                            <w:bottom w:val="none" w:sz="0" w:space="0" w:color="auto"/>
                                            <w:right w:val="none" w:sz="0" w:space="0" w:color="auto"/>
                                          </w:divBdr>
                                          <w:divsChild>
                                            <w:div w:id="290331888">
                                              <w:marLeft w:val="0"/>
                                              <w:marRight w:val="0"/>
                                              <w:marTop w:val="0"/>
                                              <w:marBottom w:val="0"/>
                                              <w:divBdr>
                                                <w:top w:val="none" w:sz="0" w:space="0" w:color="auto"/>
                                                <w:left w:val="none" w:sz="0" w:space="0" w:color="auto"/>
                                                <w:bottom w:val="none" w:sz="0" w:space="0" w:color="auto"/>
                                                <w:right w:val="none" w:sz="0" w:space="0" w:color="auto"/>
                                              </w:divBdr>
                                              <w:divsChild>
                                                <w:div w:id="6152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8913988">
      <w:bodyDiv w:val="1"/>
      <w:marLeft w:val="0"/>
      <w:marRight w:val="0"/>
      <w:marTop w:val="0"/>
      <w:marBottom w:val="0"/>
      <w:divBdr>
        <w:top w:val="none" w:sz="0" w:space="0" w:color="auto"/>
        <w:left w:val="none" w:sz="0" w:space="0" w:color="auto"/>
        <w:bottom w:val="none" w:sz="0" w:space="0" w:color="auto"/>
        <w:right w:val="none" w:sz="0" w:space="0" w:color="auto"/>
      </w:divBdr>
    </w:div>
    <w:div w:id="18791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nt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A0647-8C68-4870-B918-23FED3F1D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3587</Words>
  <Characters>20451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DOTARS</Company>
  <LinksUpToDate>false</LinksUpToDate>
  <CharactersWithSpaces>23991</CharactersWithSpaces>
  <SharedDoc>false</SharedDoc>
  <HLinks>
    <vt:vector size="162" baseType="variant">
      <vt:variant>
        <vt:i4>2031674</vt:i4>
      </vt:variant>
      <vt:variant>
        <vt:i4>158</vt:i4>
      </vt:variant>
      <vt:variant>
        <vt:i4>0</vt:i4>
      </vt:variant>
      <vt:variant>
        <vt:i4>5</vt:i4>
      </vt:variant>
      <vt:variant>
        <vt:lpwstr/>
      </vt:variant>
      <vt:variant>
        <vt:lpwstr>_Toc215986569</vt:lpwstr>
      </vt:variant>
      <vt:variant>
        <vt:i4>2031674</vt:i4>
      </vt:variant>
      <vt:variant>
        <vt:i4>152</vt:i4>
      </vt:variant>
      <vt:variant>
        <vt:i4>0</vt:i4>
      </vt:variant>
      <vt:variant>
        <vt:i4>5</vt:i4>
      </vt:variant>
      <vt:variant>
        <vt:lpwstr/>
      </vt:variant>
      <vt:variant>
        <vt:lpwstr>_Toc215986568</vt:lpwstr>
      </vt:variant>
      <vt:variant>
        <vt:i4>2031674</vt:i4>
      </vt:variant>
      <vt:variant>
        <vt:i4>146</vt:i4>
      </vt:variant>
      <vt:variant>
        <vt:i4>0</vt:i4>
      </vt:variant>
      <vt:variant>
        <vt:i4>5</vt:i4>
      </vt:variant>
      <vt:variant>
        <vt:lpwstr/>
      </vt:variant>
      <vt:variant>
        <vt:lpwstr>_Toc215986567</vt:lpwstr>
      </vt:variant>
      <vt:variant>
        <vt:i4>2031674</vt:i4>
      </vt:variant>
      <vt:variant>
        <vt:i4>140</vt:i4>
      </vt:variant>
      <vt:variant>
        <vt:i4>0</vt:i4>
      </vt:variant>
      <vt:variant>
        <vt:i4>5</vt:i4>
      </vt:variant>
      <vt:variant>
        <vt:lpwstr/>
      </vt:variant>
      <vt:variant>
        <vt:lpwstr>_Toc215986566</vt:lpwstr>
      </vt:variant>
      <vt:variant>
        <vt:i4>2031674</vt:i4>
      </vt:variant>
      <vt:variant>
        <vt:i4>134</vt:i4>
      </vt:variant>
      <vt:variant>
        <vt:i4>0</vt:i4>
      </vt:variant>
      <vt:variant>
        <vt:i4>5</vt:i4>
      </vt:variant>
      <vt:variant>
        <vt:lpwstr/>
      </vt:variant>
      <vt:variant>
        <vt:lpwstr>_Toc215986565</vt:lpwstr>
      </vt:variant>
      <vt:variant>
        <vt:i4>2031674</vt:i4>
      </vt:variant>
      <vt:variant>
        <vt:i4>128</vt:i4>
      </vt:variant>
      <vt:variant>
        <vt:i4>0</vt:i4>
      </vt:variant>
      <vt:variant>
        <vt:i4>5</vt:i4>
      </vt:variant>
      <vt:variant>
        <vt:lpwstr/>
      </vt:variant>
      <vt:variant>
        <vt:lpwstr>_Toc215986564</vt:lpwstr>
      </vt:variant>
      <vt:variant>
        <vt:i4>2031674</vt:i4>
      </vt:variant>
      <vt:variant>
        <vt:i4>122</vt:i4>
      </vt:variant>
      <vt:variant>
        <vt:i4>0</vt:i4>
      </vt:variant>
      <vt:variant>
        <vt:i4>5</vt:i4>
      </vt:variant>
      <vt:variant>
        <vt:lpwstr/>
      </vt:variant>
      <vt:variant>
        <vt:lpwstr>_Toc215986563</vt:lpwstr>
      </vt:variant>
      <vt:variant>
        <vt:i4>2031674</vt:i4>
      </vt:variant>
      <vt:variant>
        <vt:i4>116</vt:i4>
      </vt:variant>
      <vt:variant>
        <vt:i4>0</vt:i4>
      </vt:variant>
      <vt:variant>
        <vt:i4>5</vt:i4>
      </vt:variant>
      <vt:variant>
        <vt:lpwstr/>
      </vt:variant>
      <vt:variant>
        <vt:lpwstr>_Toc215986562</vt:lpwstr>
      </vt:variant>
      <vt:variant>
        <vt:i4>2031674</vt:i4>
      </vt:variant>
      <vt:variant>
        <vt:i4>110</vt:i4>
      </vt:variant>
      <vt:variant>
        <vt:i4>0</vt:i4>
      </vt:variant>
      <vt:variant>
        <vt:i4>5</vt:i4>
      </vt:variant>
      <vt:variant>
        <vt:lpwstr/>
      </vt:variant>
      <vt:variant>
        <vt:lpwstr>_Toc215986561</vt:lpwstr>
      </vt:variant>
      <vt:variant>
        <vt:i4>2031674</vt:i4>
      </vt:variant>
      <vt:variant>
        <vt:i4>104</vt:i4>
      </vt:variant>
      <vt:variant>
        <vt:i4>0</vt:i4>
      </vt:variant>
      <vt:variant>
        <vt:i4>5</vt:i4>
      </vt:variant>
      <vt:variant>
        <vt:lpwstr/>
      </vt:variant>
      <vt:variant>
        <vt:lpwstr>_Toc215986560</vt:lpwstr>
      </vt:variant>
      <vt:variant>
        <vt:i4>1835066</vt:i4>
      </vt:variant>
      <vt:variant>
        <vt:i4>98</vt:i4>
      </vt:variant>
      <vt:variant>
        <vt:i4>0</vt:i4>
      </vt:variant>
      <vt:variant>
        <vt:i4>5</vt:i4>
      </vt:variant>
      <vt:variant>
        <vt:lpwstr/>
      </vt:variant>
      <vt:variant>
        <vt:lpwstr>_Toc215986559</vt:lpwstr>
      </vt:variant>
      <vt:variant>
        <vt:i4>1835066</vt:i4>
      </vt:variant>
      <vt:variant>
        <vt:i4>92</vt:i4>
      </vt:variant>
      <vt:variant>
        <vt:i4>0</vt:i4>
      </vt:variant>
      <vt:variant>
        <vt:i4>5</vt:i4>
      </vt:variant>
      <vt:variant>
        <vt:lpwstr/>
      </vt:variant>
      <vt:variant>
        <vt:lpwstr>_Toc215986558</vt:lpwstr>
      </vt:variant>
      <vt:variant>
        <vt:i4>1835066</vt:i4>
      </vt:variant>
      <vt:variant>
        <vt:i4>86</vt:i4>
      </vt:variant>
      <vt:variant>
        <vt:i4>0</vt:i4>
      </vt:variant>
      <vt:variant>
        <vt:i4>5</vt:i4>
      </vt:variant>
      <vt:variant>
        <vt:lpwstr/>
      </vt:variant>
      <vt:variant>
        <vt:lpwstr>_Toc215986557</vt:lpwstr>
      </vt:variant>
      <vt:variant>
        <vt:i4>1835066</vt:i4>
      </vt:variant>
      <vt:variant>
        <vt:i4>80</vt:i4>
      </vt:variant>
      <vt:variant>
        <vt:i4>0</vt:i4>
      </vt:variant>
      <vt:variant>
        <vt:i4>5</vt:i4>
      </vt:variant>
      <vt:variant>
        <vt:lpwstr/>
      </vt:variant>
      <vt:variant>
        <vt:lpwstr>_Toc215986556</vt:lpwstr>
      </vt:variant>
      <vt:variant>
        <vt:i4>1835066</vt:i4>
      </vt:variant>
      <vt:variant>
        <vt:i4>74</vt:i4>
      </vt:variant>
      <vt:variant>
        <vt:i4>0</vt:i4>
      </vt:variant>
      <vt:variant>
        <vt:i4>5</vt:i4>
      </vt:variant>
      <vt:variant>
        <vt:lpwstr/>
      </vt:variant>
      <vt:variant>
        <vt:lpwstr>_Toc215986555</vt:lpwstr>
      </vt:variant>
      <vt:variant>
        <vt:i4>1835066</vt:i4>
      </vt:variant>
      <vt:variant>
        <vt:i4>68</vt:i4>
      </vt:variant>
      <vt:variant>
        <vt:i4>0</vt:i4>
      </vt:variant>
      <vt:variant>
        <vt:i4>5</vt:i4>
      </vt:variant>
      <vt:variant>
        <vt:lpwstr/>
      </vt:variant>
      <vt:variant>
        <vt:lpwstr>_Toc215986554</vt:lpwstr>
      </vt:variant>
      <vt:variant>
        <vt:i4>1835066</vt:i4>
      </vt:variant>
      <vt:variant>
        <vt:i4>62</vt:i4>
      </vt:variant>
      <vt:variant>
        <vt:i4>0</vt:i4>
      </vt:variant>
      <vt:variant>
        <vt:i4>5</vt:i4>
      </vt:variant>
      <vt:variant>
        <vt:lpwstr/>
      </vt:variant>
      <vt:variant>
        <vt:lpwstr>_Toc215986553</vt:lpwstr>
      </vt:variant>
      <vt:variant>
        <vt:i4>1835066</vt:i4>
      </vt:variant>
      <vt:variant>
        <vt:i4>56</vt:i4>
      </vt:variant>
      <vt:variant>
        <vt:i4>0</vt:i4>
      </vt:variant>
      <vt:variant>
        <vt:i4>5</vt:i4>
      </vt:variant>
      <vt:variant>
        <vt:lpwstr/>
      </vt:variant>
      <vt:variant>
        <vt:lpwstr>_Toc215986552</vt:lpwstr>
      </vt:variant>
      <vt:variant>
        <vt:i4>1835066</vt:i4>
      </vt:variant>
      <vt:variant>
        <vt:i4>50</vt:i4>
      </vt:variant>
      <vt:variant>
        <vt:i4>0</vt:i4>
      </vt:variant>
      <vt:variant>
        <vt:i4>5</vt:i4>
      </vt:variant>
      <vt:variant>
        <vt:lpwstr/>
      </vt:variant>
      <vt:variant>
        <vt:lpwstr>_Toc215986551</vt:lpwstr>
      </vt:variant>
      <vt:variant>
        <vt:i4>1835066</vt:i4>
      </vt:variant>
      <vt:variant>
        <vt:i4>44</vt:i4>
      </vt:variant>
      <vt:variant>
        <vt:i4>0</vt:i4>
      </vt:variant>
      <vt:variant>
        <vt:i4>5</vt:i4>
      </vt:variant>
      <vt:variant>
        <vt:lpwstr/>
      </vt:variant>
      <vt:variant>
        <vt:lpwstr>_Toc215986550</vt:lpwstr>
      </vt:variant>
      <vt:variant>
        <vt:i4>1900602</vt:i4>
      </vt:variant>
      <vt:variant>
        <vt:i4>38</vt:i4>
      </vt:variant>
      <vt:variant>
        <vt:i4>0</vt:i4>
      </vt:variant>
      <vt:variant>
        <vt:i4>5</vt:i4>
      </vt:variant>
      <vt:variant>
        <vt:lpwstr/>
      </vt:variant>
      <vt:variant>
        <vt:lpwstr>_Toc215986549</vt:lpwstr>
      </vt:variant>
      <vt:variant>
        <vt:i4>1900602</vt:i4>
      </vt:variant>
      <vt:variant>
        <vt:i4>32</vt:i4>
      </vt:variant>
      <vt:variant>
        <vt:i4>0</vt:i4>
      </vt:variant>
      <vt:variant>
        <vt:i4>5</vt:i4>
      </vt:variant>
      <vt:variant>
        <vt:lpwstr/>
      </vt:variant>
      <vt:variant>
        <vt:lpwstr>_Toc215986548</vt:lpwstr>
      </vt:variant>
      <vt:variant>
        <vt:i4>1900602</vt:i4>
      </vt:variant>
      <vt:variant>
        <vt:i4>26</vt:i4>
      </vt:variant>
      <vt:variant>
        <vt:i4>0</vt:i4>
      </vt:variant>
      <vt:variant>
        <vt:i4>5</vt:i4>
      </vt:variant>
      <vt:variant>
        <vt:lpwstr/>
      </vt:variant>
      <vt:variant>
        <vt:lpwstr>_Toc215986547</vt:lpwstr>
      </vt:variant>
      <vt:variant>
        <vt:i4>1900602</vt:i4>
      </vt:variant>
      <vt:variant>
        <vt:i4>20</vt:i4>
      </vt:variant>
      <vt:variant>
        <vt:i4>0</vt:i4>
      </vt:variant>
      <vt:variant>
        <vt:i4>5</vt:i4>
      </vt:variant>
      <vt:variant>
        <vt:lpwstr/>
      </vt:variant>
      <vt:variant>
        <vt:lpwstr>_Toc215986546</vt:lpwstr>
      </vt:variant>
      <vt:variant>
        <vt:i4>1900602</vt:i4>
      </vt:variant>
      <vt:variant>
        <vt:i4>14</vt:i4>
      </vt:variant>
      <vt:variant>
        <vt:i4>0</vt:i4>
      </vt:variant>
      <vt:variant>
        <vt:i4>5</vt:i4>
      </vt:variant>
      <vt:variant>
        <vt:lpwstr/>
      </vt:variant>
      <vt:variant>
        <vt:lpwstr>_Toc215986545</vt:lpwstr>
      </vt:variant>
      <vt:variant>
        <vt:i4>1900602</vt:i4>
      </vt:variant>
      <vt:variant>
        <vt:i4>8</vt:i4>
      </vt:variant>
      <vt:variant>
        <vt:i4>0</vt:i4>
      </vt:variant>
      <vt:variant>
        <vt:i4>5</vt:i4>
      </vt:variant>
      <vt:variant>
        <vt:lpwstr/>
      </vt:variant>
      <vt:variant>
        <vt:lpwstr>_Toc215986544</vt:lpwstr>
      </vt:variant>
      <vt:variant>
        <vt:i4>1900602</vt:i4>
      </vt:variant>
      <vt:variant>
        <vt:i4>2</vt:i4>
      </vt:variant>
      <vt:variant>
        <vt:i4>0</vt:i4>
      </vt:variant>
      <vt:variant>
        <vt:i4>5</vt:i4>
      </vt:variant>
      <vt:variant>
        <vt:lpwstr/>
      </vt:variant>
      <vt:variant>
        <vt:lpwstr>_Toc215986543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eboughton</dc:creator>
  <cp:lastModifiedBy>Hilhorst, Matt</cp:lastModifiedBy>
  <cp:revision>2</cp:revision>
  <cp:lastPrinted>2012-11-07T06:52:00Z</cp:lastPrinted>
  <dcterms:created xsi:type="dcterms:W3CDTF">2013-05-15T22:16:00Z</dcterms:created>
  <dcterms:modified xsi:type="dcterms:W3CDTF">2013-05-15T22:16:00Z</dcterms:modified>
</cp:coreProperties>
</file>