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C3" w:rsidRPr="000474C2" w:rsidRDefault="00FA3C06" w:rsidP="000474C2">
      <w:pPr>
        <w:pStyle w:val="Heading2"/>
        <w:spacing w:after="0"/>
        <w:jc w:val="center"/>
        <w:rPr>
          <w:i/>
          <w:noProof/>
          <w:sz w:val="24"/>
          <w:szCs w:val="24"/>
        </w:rPr>
      </w:pPr>
      <w:r w:rsidRPr="000474C2">
        <w:rPr>
          <w: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7.25pt;height:78pt">
            <v:imagedata r:id="rId7" o:title="rba-logo-horizontal-black"/>
          </v:shape>
        </w:pict>
      </w:r>
    </w:p>
    <w:p w:rsidR="00B02194" w:rsidRPr="005470C3" w:rsidRDefault="009F5562" w:rsidP="007654D2">
      <w:pPr>
        <w:autoSpaceDE w:val="0"/>
        <w:autoSpaceDN w:val="0"/>
        <w:adjustRightInd w:val="0"/>
        <w:spacing w:after="240"/>
        <w:jc w:val="center"/>
        <w:rPr>
          <w:b/>
          <w:i/>
        </w:rPr>
      </w:pPr>
      <w:r w:rsidRPr="005470C3">
        <w:rPr>
          <w:b/>
          <w:i/>
        </w:rPr>
        <w:t>Payment</w:t>
      </w:r>
      <w:r w:rsidR="00B02194" w:rsidRPr="005470C3">
        <w:rPr>
          <w:b/>
          <w:i/>
        </w:rPr>
        <w:t xml:space="preserve"> Systems (Regulation) Act 1998</w:t>
      </w:r>
    </w:p>
    <w:p w:rsidR="005470C3" w:rsidRPr="005470C3" w:rsidRDefault="005470C3" w:rsidP="005470C3">
      <w:pPr>
        <w:pStyle w:val="Indent0"/>
        <w:jc w:val="center"/>
        <w:rPr>
          <w:b/>
          <w:sz w:val="24"/>
          <w:szCs w:val="24"/>
        </w:rPr>
      </w:pPr>
      <w:r w:rsidRPr="005470C3">
        <w:rPr>
          <w:b/>
          <w:sz w:val="24"/>
          <w:szCs w:val="24"/>
        </w:rPr>
        <w:t>Variation to Standards Relating to Merchant Surcharging</w:t>
      </w:r>
    </w:p>
    <w:p w:rsidR="005470C3" w:rsidRPr="005470C3" w:rsidRDefault="005470C3" w:rsidP="005470C3">
      <w:pPr>
        <w:pStyle w:val="Indent0"/>
        <w:jc w:val="both"/>
        <w:rPr>
          <w:sz w:val="24"/>
          <w:szCs w:val="24"/>
        </w:rPr>
      </w:pPr>
      <w:r w:rsidRPr="005470C3">
        <w:rPr>
          <w:sz w:val="24"/>
          <w:szCs w:val="24"/>
        </w:rPr>
        <w:t>This notice is published in accordance with the requirements set out in Section 29(2</w:t>
      </w:r>
      <w:proofErr w:type="gramStart"/>
      <w:r w:rsidRPr="005470C3">
        <w:rPr>
          <w:sz w:val="24"/>
          <w:szCs w:val="24"/>
        </w:rPr>
        <w:t>)(</w:t>
      </w:r>
      <w:proofErr w:type="gramEnd"/>
      <w:r w:rsidRPr="005470C3">
        <w:rPr>
          <w:sz w:val="24"/>
          <w:szCs w:val="24"/>
        </w:rPr>
        <w:t xml:space="preserve">a) of the </w:t>
      </w:r>
      <w:r w:rsidRPr="005470C3">
        <w:rPr>
          <w:i/>
          <w:sz w:val="24"/>
          <w:szCs w:val="24"/>
        </w:rPr>
        <w:t>Payment Systems (Regulation) Act 1998</w:t>
      </w:r>
      <w:r w:rsidRPr="005470C3">
        <w:rPr>
          <w:sz w:val="24"/>
          <w:szCs w:val="24"/>
        </w:rPr>
        <w:t>.</w:t>
      </w:r>
    </w:p>
    <w:p w:rsidR="005470C3" w:rsidRPr="005470C3" w:rsidRDefault="005470C3" w:rsidP="005470C3">
      <w:pPr>
        <w:pStyle w:val="Indent0"/>
        <w:jc w:val="both"/>
        <w:rPr>
          <w:sz w:val="24"/>
          <w:szCs w:val="24"/>
        </w:rPr>
      </w:pPr>
      <w:r w:rsidRPr="005470C3">
        <w:rPr>
          <w:sz w:val="24"/>
          <w:szCs w:val="24"/>
        </w:rPr>
        <w:t>The Reserve Bank of Australia hereby varies the following standards</w:t>
      </w:r>
      <w:r w:rsidR="00BF1FA7">
        <w:rPr>
          <w:sz w:val="24"/>
          <w:szCs w:val="24"/>
        </w:rPr>
        <w:t>, as described below</w:t>
      </w:r>
      <w:r w:rsidRPr="005470C3">
        <w:rPr>
          <w:sz w:val="24"/>
          <w:szCs w:val="24"/>
        </w:rPr>
        <w:t xml:space="preserve">: </w:t>
      </w:r>
    </w:p>
    <w:p w:rsidR="005470C3" w:rsidRDefault="005470C3" w:rsidP="005470C3">
      <w:pPr>
        <w:pStyle w:val="Indent0"/>
        <w:numPr>
          <w:ilvl w:val="0"/>
          <w:numId w:val="13"/>
        </w:numPr>
        <w:jc w:val="both"/>
        <w:rPr>
          <w:sz w:val="24"/>
          <w:szCs w:val="24"/>
        </w:rPr>
      </w:pPr>
      <w:r w:rsidRPr="005470C3">
        <w:rPr>
          <w:sz w:val="24"/>
          <w:szCs w:val="24"/>
        </w:rPr>
        <w:t xml:space="preserve">The Standard entitled </w:t>
      </w:r>
      <w:r w:rsidRPr="005470C3">
        <w:rPr>
          <w:i/>
          <w:sz w:val="24"/>
          <w:szCs w:val="24"/>
        </w:rPr>
        <w:t>Standard No. 2</w:t>
      </w:r>
      <w:r w:rsidR="000C2F44">
        <w:rPr>
          <w:i/>
          <w:sz w:val="24"/>
          <w:szCs w:val="24"/>
        </w:rPr>
        <w:t>,</w:t>
      </w:r>
      <w:r w:rsidRPr="005470C3">
        <w:rPr>
          <w:i/>
          <w:sz w:val="24"/>
          <w:szCs w:val="24"/>
        </w:rPr>
        <w:t xml:space="preserve"> Merchant Pricing for Credit Card Purchases</w:t>
      </w:r>
      <w:r w:rsidRPr="005470C3">
        <w:rPr>
          <w:sz w:val="24"/>
          <w:szCs w:val="24"/>
        </w:rPr>
        <w:t>,</w:t>
      </w:r>
      <w:r w:rsidRPr="005470C3">
        <w:rPr>
          <w:i/>
          <w:sz w:val="24"/>
          <w:szCs w:val="24"/>
        </w:rPr>
        <w:t xml:space="preserve"> </w:t>
      </w:r>
      <w:r w:rsidRPr="005470C3">
        <w:rPr>
          <w:sz w:val="24"/>
          <w:szCs w:val="24"/>
        </w:rPr>
        <w:t>gazetted on 27 August 2002, as it applies to th</w:t>
      </w:r>
      <w:r w:rsidR="002D6C66">
        <w:rPr>
          <w:sz w:val="24"/>
          <w:szCs w:val="24"/>
        </w:rPr>
        <w:t>e designated credit</w:t>
      </w:r>
      <w:bookmarkStart w:id="0" w:name="_GoBack"/>
      <w:bookmarkEnd w:id="0"/>
      <w:r w:rsidR="002D6C66">
        <w:rPr>
          <w:sz w:val="24"/>
          <w:szCs w:val="24"/>
        </w:rPr>
        <w:t xml:space="preserve"> card system</w:t>
      </w:r>
      <w:r w:rsidRPr="005470C3">
        <w:rPr>
          <w:sz w:val="24"/>
          <w:szCs w:val="24"/>
        </w:rPr>
        <w:t xml:space="preserve"> operated in Australia known as the MasterCard</w:t>
      </w:r>
      <w:r w:rsidR="0006388A">
        <w:rPr>
          <w:sz w:val="24"/>
          <w:szCs w:val="24"/>
        </w:rPr>
        <w:t xml:space="preserve"> system</w:t>
      </w:r>
      <w:r w:rsidR="002D6C66">
        <w:rPr>
          <w:sz w:val="24"/>
          <w:szCs w:val="24"/>
        </w:rPr>
        <w:t xml:space="preserve"> or the MasterCard network card system</w:t>
      </w:r>
      <w:r w:rsidR="0006388A">
        <w:rPr>
          <w:sz w:val="24"/>
          <w:szCs w:val="24"/>
        </w:rPr>
        <w:t xml:space="preserve">; </w:t>
      </w:r>
    </w:p>
    <w:p w:rsidR="0006388A" w:rsidRPr="0006388A" w:rsidRDefault="0006388A" w:rsidP="0006388A">
      <w:pPr>
        <w:pStyle w:val="Indent0"/>
        <w:numPr>
          <w:ilvl w:val="0"/>
          <w:numId w:val="13"/>
        </w:numPr>
        <w:jc w:val="both"/>
        <w:rPr>
          <w:sz w:val="24"/>
          <w:szCs w:val="24"/>
        </w:rPr>
      </w:pPr>
      <w:r w:rsidRPr="005470C3">
        <w:rPr>
          <w:sz w:val="24"/>
          <w:szCs w:val="24"/>
        </w:rPr>
        <w:t xml:space="preserve">The Standard entitled </w:t>
      </w:r>
      <w:r w:rsidRPr="005470C3">
        <w:rPr>
          <w:i/>
          <w:sz w:val="24"/>
          <w:szCs w:val="24"/>
        </w:rPr>
        <w:t>Standard No. 2</w:t>
      </w:r>
      <w:r w:rsidR="000C2F44">
        <w:rPr>
          <w:i/>
          <w:sz w:val="24"/>
          <w:szCs w:val="24"/>
        </w:rPr>
        <w:t>,</w:t>
      </w:r>
      <w:r w:rsidRPr="005470C3">
        <w:rPr>
          <w:i/>
          <w:sz w:val="24"/>
          <w:szCs w:val="24"/>
        </w:rPr>
        <w:t xml:space="preserve"> Merchant Pricing for Credit Card Purchases</w:t>
      </w:r>
      <w:r w:rsidRPr="005470C3">
        <w:rPr>
          <w:sz w:val="24"/>
          <w:szCs w:val="24"/>
        </w:rPr>
        <w:t>,</w:t>
      </w:r>
      <w:r w:rsidRPr="005470C3">
        <w:rPr>
          <w:i/>
          <w:sz w:val="24"/>
          <w:szCs w:val="24"/>
        </w:rPr>
        <w:t xml:space="preserve"> </w:t>
      </w:r>
      <w:r w:rsidRPr="005470C3">
        <w:rPr>
          <w:sz w:val="24"/>
          <w:szCs w:val="24"/>
        </w:rPr>
        <w:t>gazetted on 27 August 2002, as it applies to th</w:t>
      </w:r>
      <w:r w:rsidR="00700904">
        <w:rPr>
          <w:sz w:val="24"/>
          <w:szCs w:val="24"/>
        </w:rPr>
        <w:t>e designated credit card system</w:t>
      </w:r>
      <w:r w:rsidRPr="005470C3">
        <w:rPr>
          <w:sz w:val="24"/>
          <w:szCs w:val="24"/>
        </w:rPr>
        <w:t xml:space="preserve"> operated in Australia known as the </w:t>
      </w:r>
      <w:r>
        <w:rPr>
          <w:sz w:val="24"/>
          <w:szCs w:val="24"/>
        </w:rPr>
        <w:t>VISA system</w:t>
      </w:r>
      <w:r w:rsidR="002D6C66">
        <w:rPr>
          <w:sz w:val="24"/>
          <w:szCs w:val="24"/>
        </w:rPr>
        <w:t xml:space="preserve"> or the VISA network card system</w:t>
      </w:r>
      <w:r>
        <w:rPr>
          <w:sz w:val="24"/>
          <w:szCs w:val="24"/>
        </w:rPr>
        <w:t>;</w:t>
      </w:r>
      <w:r w:rsidRPr="005470C3">
        <w:rPr>
          <w:sz w:val="24"/>
          <w:szCs w:val="24"/>
        </w:rPr>
        <w:t xml:space="preserve"> </w:t>
      </w:r>
      <w:r>
        <w:rPr>
          <w:sz w:val="24"/>
          <w:szCs w:val="24"/>
        </w:rPr>
        <w:t>and</w:t>
      </w:r>
    </w:p>
    <w:p w:rsidR="005470C3" w:rsidRPr="005470C3" w:rsidRDefault="005470C3" w:rsidP="005470C3">
      <w:pPr>
        <w:pStyle w:val="Indent0"/>
        <w:numPr>
          <w:ilvl w:val="0"/>
          <w:numId w:val="13"/>
        </w:numPr>
        <w:jc w:val="both"/>
        <w:rPr>
          <w:sz w:val="24"/>
          <w:szCs w:val="24"/>
        </w:rPr>
      </w:pPr>
      <w:r w:rsidRPr="005470C3">
        <w:rPr>
          <w:sz w:val="24"/>
          <w:szCs w:val="24"/>
        </w:rPr>
        <w:t xml:space="preserve">The Standard entitled </w:t>
      </w:r>
      <w:proofErr w:type="gramStart"/>
      <w:r w:rsidRPr="005470C3">
        <w:rPr>
          <w:i/>
          <w:sz w:val="24"/>
          <w:szCs w:val="24"/>
        </w:rPr>
        <w:t>The</w:t>
      </w:r>
      <w:proofErr w:type="gramEnd"/>
      <w:r w:rsidRPr="005470C3">
        <w:rPr>
          <w:i/>
          <w:sz w:val="24"/>
          <w:szCs w:val="24"/>
        </w:rPr>
        <w:t xml:space="preserve"> ‘Honour All Cards’ Rule in the Visa Debit and Visa Credit Card Systems and the ‘No Surcharge’ Rule in the Visa Debit System, </w:t>
      </w:r>
      <w:r w:rsidRPr="005470C3">
        <w:rPr>
          <w:sz w:val="24"/>
          <w:szCs w:val="24"/>
        </w:rPr>
        <w:t>gazetted on 7 July 2006</w:t>
      </w:r>
      <w:r w:rsidRPr="005470C3">
        <w:rPr>
          <w:i/>
          <w:sz w:val="24"/>
          <w:szCs w:val="24"/>
        </w:rPr>
        <w:t>.</w:t>
      </w:r>
    </w:p>
    <w:p w:rsidR="005470C3" w:rsidRPr="005470C3" w:rsidRDefault="005470C3" w:rsidP="005470C3">
      <w:pPr>
        <w:autoSpaceDE w:val="0"/>
        <w:autoSpaceDN w:val="0"/>
        <w:adjustRightInd w:val="0"/>
        <w:spacing w:after="240"/>
        <w:jc w:val="both"/>
        <w:rPr>
          <w:b/>
        </w:rPr>
      </w:pPr>
      <w:r w:rsidRPr="005470C3">
        <w:rPr>
          <w:b/>
        </w:rPr>
        <w:t xml:space="preserve">I. </w:t>
      </w:r>
      <w:proofErr w:type="gramStart"/>
      <w:r w:rsidR="00C8174C" w:rsidRPr="00C8174C">
        <w:rPr>
          <w:b/>
        </w:rPr>
        <w:t>The</w:t>
      </w:r>
      <w:proofErr w:type="gramEnd"/>
      <w:r w:rsidR="00C8174C" w:rsidRPr="00C8174C">
        <w:rPr>
          <w:b/>
        </w:rPr>
        <w:t xml:space="preserve"> Standard entitled </w:t>
      </w:r>
      <w:r w:rsidR="00C8174C" w:rsidRPr="00C8174C">
        <w:rPr>
          <w:b/>
          <w:i/>
        </w:rPr>
        <w:t>Standard No. 2</w:t>
      </w:r>
      <w:r w:rsidR="000C2F44">
        <w:rPr>
          <w:b/>
          <w:i/>
        </w:rPr>
        <w:t>,</w:t>
      </w:r>
      <w:r w:rsidR="00C8174C" w:rsidRPr="00C8174C">
        <w:rPr>
          <w:b/>
          <w:i/>
        </w:rPr>
        <w:t xml:space="preserve"> Merchant Pricing for Credit Card Purchases</w:t>
      </w:r>
      <w:r w:rsidR="00C8174C" w:rsidRPr="00C8174C">
        <w:rPr>
          <w:b/>
        </w:rPr>
        <w:t>,</w:t>
      </w:r>
      <w:r w:rsidR="00C8174C" w:rsidRPr="00C8174C">
        <w:rPr>
          <w:b/>
          <w:i/>
        </w:rPr>
        <w:t xml:space="preserve"> </w:t>
      </w:r>
      <w:r w:rsidR="00C8174C" w:rsidRPr="00C8174C">
        <w:rPr>
          <w:b/>
        </w:rPr>
        <w:t>gazetted on 27 August 2002, as it applies to the designated credit card system operated in Australia known as the MasterCard system or the MasterCard network card system</w:t>
      </w:r>
    </w:p>
    <w:p w:rsidR="005470C3" w:rsidRPr="005470C3" w:rsidRDefault="005470C3" w:rsidP="00BF1FA7">
      <w:pPr>
        <w:autoSpaceDE w:val="0"/>
        <w:autoSpaceDN w:val="0"/>
        <w:adjustRightInd w:val="0"/>
        <w:spacing w:after="240"/>
        <w:ind w:left="180" w:hanging="180"/>
        <w:jc w:val="both"/>
      </w:pPr>
      <w:r w:rsidRPr="005470C3">
        <w:t xml:space="preserve">1. </w:t>
      </w:r>
      <w:proofErr w:type="gramStart"/>
      <w:r w:rsidRPr="005470C3">
        <w:t>under</w:t>
      </w:r>
      <w:proofErr w:type="gramEnd"/>
      <w:r w:rsidRPr="005470C3">
        <w:t xml:space="preserve"> the heading entitled ‘Objective’</w:t>
      </w:r>
    </w:p>
    <w:p w:rsidR="005470C3" w:rsidRPr="005470C3" w:rsidRDefault="005470C3" w:rsidP="005470C3">
      <w:pPr>
        <w:autoSpaceDE w:val="0"/>
        <w:autoSpaceDN w:val="0"/>
        <w:adjustRightInd w:val="0"/>
        <w:spacing w:after="120"/>
        <w:ind w:left="180"/>
        <w:jc w:val="both"/>
        <w:rPr>
          <w:i/>
        </w:rPr>
      </w:pPr>
      <w:proofErr w:type="gramStart"/>
      <w:r w:rsidRPr="005470C3">
        <w:rPr>
          <w:i/>
        </w:rPr>
        <w:t>after</w:t>
      </w:r>
      <w:proofErr w:type="gramEnd"/>
    </w:p>
    <w:p w:rsidR="005470C3" w:rsidRPr="00BF1FA7" w:rsidRDefault="005470C3" w:rsidP="00BF1FA7">
      <w:pPr>
        <w:pStyle w:val="BodyText"/>
        <w:spacing w:after="120"/>
        <w:ind w:left="540"/>
      </w:pPr>
      <w:proofErr w:type="gramStart"/>
      <w:r w:rsidRPr="005470C3">
        <w:t>by</w:t>
      </w:r>
      <w:proofErr w:type="gramEnd"/>
      <w:r w:rsidRPr="005470C3">
        <w:t xml:space="preserve"> providing merchants the freedom to</w:t>
      </w:r>
    </w:p>
    <w:p w:rsidR="005470C3" w:rsidRPr="005470C3" w:rsidRDefault="005470C3" w:rsidP="005470C3">
      <w:pPr>
        <w:autoSpaceDE w:val="0"/>
        <w:autoSpaceDN w:val="0"/>
        <w:adjustRightInd w:val="0"/>
        <w:spacing w:after="120"/>
        <w:ind w:left="180"/>
        <w:jc w:val="both"/>
        <w:rPr>
          <w:i/>
        </w:rPr>
      </w:pPr>
      <w:proofErr w:type="gramStart"/>
      <w:r w:rsidRPr="005470C3">
        <w:rPr>
          <w:i/>
        </w:rPr>
        <w:t>insert</w:t>
      </w:r>
      <w:proofErr w:type="gramEnd"/>
    </w:p>
    <w:p w:rsidR="005470C3" w:rsidRPr="00BF1FA7" w:rsidRDefault="005470C3" w:rsidP="00BF1FA7">
      <w:pPr>
        <w:pStyle w:val="BodyText"/>
        <w:ind w:left="540"/>
      </w:pPr>
      <w:proofErr w:type="gramStart"/>
      <w:r w:rsidRPr="00BF1FA7">
        <w:t>make</w:t>
      </w:r>
      <w:proofErr w:type="gramEnd"/>
      <w:r w:rsidRPr="00BF1FA7">
        <w:t xml:space="preserve"> a reasonable </w:t>
      </w:r>
    </w:p>
    <w:p w:rsidR="005470C3" w:rsidRPr="005470C3" w:rsidRDefault="005470C3" w:rsidP="00BF1FA7">
      <w:pPr>
        <w:autoSpaceDE w:val="0"/>
        <w:autoSpaceDN w:val="0"/>
        <w:adjustRightInd w:val="0"/>
        <w:spacing w:after="240"/>
        <w:ind w:left="180" w:hanging="180"/>
        <w:jc w:val="both"/>
      </w:pPr>
      <w:r>
        <w:t xml:space="preserve">2. </w:t>
      </w:r>
      <w:proofErr w:type="gramStart"/>
      <w:r w:rsidRPr="005470C3">
        <w:t>before</w:t>
      </w:r>
      <w:proofErr w:type="gramEnd"/>
      <w:r w:rsidRPr="005470C3">
        <w:t xml:space="preserve"> the heading entitled ‘Application’ </w:t>
      </w:r>
    </w:p>
    <w:p w:rsidR="005470C3" w:rsidRPr="005470C3" w:rsidRDefault="005470C3" w:rsidP="005470C3">
      <w:pPr>
        <w:autoSpaceDE w:val="0"/>
        <w:autoSpaceDN w:val="0"/>
        <w:adjustRightInd w:val="0"/>
        <w:spacing w:after="120"/>
        <w:ind w:left="180"/>
        <w:jc w:val="both"/>
        <w:rPr>
          <w:i/>
        </w:rPr>
      </w:pPr>
      <w:proofErr w:type="gramStart"/>
      <w:r w:rsidRPr="005470C3">
        <w:rPr>
          <w:i/>
        </w:rPr>
        <w:t>insert</w:t>
      </w:r>
      <w:proofErr w:type="gramEnd"/>
      <w:r w:rsidRPr="005470C3">
        <w:rPr>
          <w:i/>
        </w:rPr>
        <w:t xml:space="preserve"> a heading entitled</w:t>
      </w:r>
      <w:r w:rsidRPr="005470C3">
        <w:rPr>
          <w:i/>
        </w:rPr>
        <w:tab/>
      </w:r>
    </w:p>
    <w:p w:rsidR="005470C3" w:rsidRPr="005470C3" w:rsidRDefault="005470C3" w:rsidP="00BF1FA7">
      <w:pPr>
        <w:pStyle w:val="BodyText"/>
        <w:ind w:left="540"/>
        <w:rPr>
          <w:szCs w:val="24"/>
        </w:rPr>
      </w:pPr>
      <w:r w:rsidRPr="00BF1FA7">
        <w:t>Amended and restated Standard</w:t>
      </w:r>
    </w:p>
    <w:p w:rsidR="005470C3" w:rsidRPr="005470C3" w:rsidRDefault="005470C3" w:rsidP="00BF1FA7">
      <w:pPr>
        <w:autoSpaceDE w:val="0"/>
        <w:autoSpaceDN w:val="0"/>
        <w:adjustRightInd w:val="0"/>
        <w:spacing w:after="240"/>
        <w:ind w:left="180" w:hanging="180"/>
        <w:jc w:val="both"/>
      </w:pPr>
      <w:r>
        <w:t xml:space="preserve">3. </w:t>
      </w:r>
      <w:proofErr w:type="gramStart"/>
      <w:r w:rsidRPr="005470C3">
        <w:t>under</w:t>
      </w:r>
      <w:proofErr w:type="gramEnd"/>
      <w:r w:rsidRPr="005470C3">
        <w:t xml:space="preserve"> the heading entitled ‘Amended and restated Standard’</w:t>
      </w:r>
    </w:p>
    <w:p w:rsidR="005470C3" w:rsidRPr="005470C3" w:rsidRDefault="005470C3" w:rsidP="005470C3">
      <w:pPr>
        <w:autoSpaceDE w:val="0"/>
        <w:autoSpaceDN w:val="0"/>
        <w:adjustRightInd w:val="0"/>
        <w:spacing w:after="120"/>
        <w:ind w:left="180"/>
        <w:jc w:val="both"/>
        <w:rPr>
          <w:i/>
        </w:rPr>
      </w:pPr>
      <w:proofErr w:type="gramStart"/>
      <w:r w:rsidRPr="005470C3">
        <w:rPr>
          <w:i/>
        </w:rPr>
        <w:t>insert</w:t>
      </w:r>
      <w:proofErr w:type="gramEnd"/>
    </w:p>
    <w:p w:rsidR="005470C3" w:rsidRPr="00BF1FA7" w:rsidRDefault="00BF1FA7" w:rsidP="00BF1FA7">
      <w:pPr>
        <w:pStyle w:val="BodyText"/>
        <w:ind w:left="1080" w:hanging="540"/>
        <w:rPr>
          <w:lang w:eastAsia="en-AU"/>
        </w:rPr>
      </w:pPr>
      <w:r w:rsidRPr="00BF1FA7">
        <w:rPr>
          <w:lang w:eastAsia="en-AU"/>
        </w:rPr>
        <w:t>1.</w:t>
      </w:r>
      <w:r w:rsidRPr="00BF1FA7">
        <w:rPr>
          <w:lang w:eastAsia="en-AU"/>
        </w:rPr>
        <w:tab/>
      </w:r>
      <w:r w:rsidR="005470C3" w:rsidRPr="00BF1FA7">
        <w:rPr>
          <w:lang w:eastAsia="en-AU"/>
        </w:rPr>
        <w:t xml:space="preserve">This Standard </w:t>
      </w:r>
      <w:r w:rsidR="0006388A">
        <w:rPr>
          <w:lang w:eastAsia="en-AU"/>
        </w:rPr>
        <w:t>is an amended and restated Standard of that gazetted on 27 August 2002</w:t>
      </w:r>
      <w:r w:rsidR="005470C3" w:rsidRPr="00BF1FA7">
        <w:rPr>
          <w:lang w:eastAsia="en-AU"/>
        </w:rPr>
        <w:t>.</w:t>
      </w:r>
    </w:p>
    <w:p w:rsidR="005470C3" w:rsidRPr="005470C3" w:rsidRDefault="005470C3" w:rsidP="00BF1FA7">
      <w:pPr>
        <w:autoSpaceDE w:val="0"/>
        <w:autoSpaceDN w:val="0"/>
        <w:adjustRightInd w:val="0"/>
        <w:spacing w:after="240"/>
        <w:ind w:left="180" w:hanging="180"/>
        <w:jc w:val="both"/>
      </w:pPr>
      <w:r w:rsidRPr="005470C3">
        <w:t>4</w:t>
      </w:r>
      <w:r>
        <w:t xml:space="preserve">. </w:t>
      </w:r>
      <w:r w:rsidRPr="005470C3">
        <w:t>Paragraphs 1 through to 10</w:t>
      </w:r>
    </w:p>
    <w:p w:rsidR="005470C3" w:rsidRPr="005470C3" w:rsidRDefault="005470C3" w:rsidP="00BF1FA7">
      <w:pPr>
        <w:autoSpaceDE w:val="0"/>
        <w:autoSpaceDN w:val="0"/>
        <w:adjustRightInd w:val="0"/>
        <w:spacing w:after="240"/>
        <w:ind w:left="180"/>
        <w:jc w:val="both"/>
        <w:rPr>
          <w:i/>
        </w:rPr>
      </w:pPr>
      <w:r w:rsidRPr="005470C3">
        <w:rPr>
          <w:i/>
        </w:rPr>
        <w:lastRenderedPageBreak/>
        <w:t xml:space="preserve">Renumber as paragraphs 2 through to 11   </w:t>
      </w:r>
    </w:p>
    <w:p w:rsidR="005470C3" w:rsidRPr="005470C3" w:rsidRDefault="005470C3" w:rsidP="00BF1FA7">
      <w:pPr>
        <w:autoSpaceDE w:val="0"/>
        <w:autoSpaceDN w:val="0"/>
        <w:adjustRightInd w:val="0"/>
        <w:spacing w:after="240"/>
        <w:ind w:left="180" w:hanging="180"/>
        <w:jc w:val="both"/>
      </w:pPr>
      <w:r w:rsidRPr="005470C3">
        <w:t>5.</w:t>
      </w:r>
      <w:r>
        <w:t xml:space="preserve"> </w:t>
      </w:r>
      <w:r w:rsidRPr="005470C3">
        <w:t>Paragraph 3</w:t>
      </w:r>
    </w:p>
    <w:p w:rsidR="005470C3" w:rsidRPr="005470C3" w:rsidRDefault="005470C3" w:rsidP="005470C3">
      <w:pPr>
        <w:autoSpaceDE w:val="0"/>
        <w:autoSpaceDN w:val="0"/>
        <w:adjustRightInd w:val="0"/>
        <w:spacing w:after="120"/>
        <w:ind w:left="180"/>
        <w:jc w:val="both"/>
        <w:rPr>
          <w:i/>
        </w:rPr>
      </w:pPr>
      <w:proofErr w:type="gramStart"/>
      <w:r w:rsidRPr="005470C3">
        <w:rPr>
          <w:i/>
        </w:rPr>
        <w:t>after</w:t>
      </w:r>
      <w:proofErr w:type="gramEnd"/>
      <w:r w:rsidRPr="005470C3">
        <w:rPr>
          <w:i/>
        </w:rPr>
        <w:t xml:space="preserve"> </w:t>
      </w:r>
    </w:p>
    <w:p w:rsidR="005470C3" w:rsidRPr="00BF1FA7" w:rsidRDefault="005470C3" w:rsidP="00BF1FA7">
      <w:pPr>
        <w:pStyle w:val="BodyText"/>
        <w:spacing w:after="120"/>
        <w:ind w:left="540"/>
      </w:pPr>
      <w:proofErr w:type="gramStart"/>
      <w:r w:rsidRPr="00BF1FA7">
        <w:t>referred</w:t>
      </w:r>
      <w:proofErr w:type="gramEnd"/>
      <w:r w:rsidRPr="00BF1FA7">
        <w:t xml:space="preserve"> to </w:t>
      </w:r>
    </w:p>
    <w:p w:rsidR="005470C3" w:rsidRPr="005470C3" w:rsidRDefault="005470C3" w:rsidP="005470C3">
      <w:pPr>
        <w:autoSpaceDE w:val="0"/>
        <w:autoSpaceDN w:val="0"/>
        <w:adjustRightInd w:val="0"/>
        <w:spacing w:after="120"/>
        <w:ind w:left="180"/>
        <w:jc w:val="both"/>
        <w:rPr>
          <w:i/>
        </w:rPr>
      </w:pPr>
      <w:proofErr w:type="gramStart"/>
      <w:r w:rsidRPr="005470C3">
        <w:rPr>
          <w:i/>
        </w:rPr>
        <w:t>delete</w:t>
      </w:r>
      <w:proofErr w:type="gramEnd"/>
    </w:p>
    <w:p w:rsidR="005470C3" w:rsidRPr="00BF1FA7" w:rsidRDefault="005470C3" w:rsidP="00BF1FA7">
      <w:pPr>
        <w:pStyle w:val="BodyText"/>
        <w:spacing w:after="120"/>
        <w:ind w:left="540"/>
      </w:pPr>
      <w:proofErr w:type="gramStart"/>
      <w:r w:rsidRPr="00BF1FA7">
        <w:t>as</w:t>
      </w:r>
      <w:proofErr w:type="gramEnd"/>
      <w:r w:rsidRPr="00BF1FA7">
        <w:t xml:space="preserve"> follows</w:t>
      </w:r>
    </w:p>
    <w:p w:rsidR="005470C3" w:rsidRPr="005470C3" w:rsidRDefault="005470C3" w:rsidP="005470C3">
      <w:pPr>
        <w:autoSpaceDE w:val="0"/>
        <w:autoSpaceDN w:val="0"/>
        <w:adjustRightInd w:val="0"/>
        <w:spacing w:after="120"/>
        <w:ind w:left="180"/>
        <w:jc w:val="both"/>
        <w:rPr>
          <w:i/>
        </w:rPr>
      </w:pPr>
      <w:proofErr w:type="gramStart"/>
      <w:r w:rsidRPr="005470C3">
        <w:rPr>
          <w:i/>
        </w:rPr>
        <w:t>insert</w:t>
      </w:r>
      <w:proofErr w:type="gramEnd"/>
      <w:r w:rsidRPr="005470C3">
        <w:rPr>
          <w:i/>
        </w:rPr>
        <w:t xml:space="preserve"> </w:t>
      </w:r>
    </w:p>
    <w:p w:rsidR="005470C3" w:rsidRDefault="005470C3" w:rsidP="00BF1FA7">
      <w:pPr>
        <w:pStyle w:val="BodyText"/>
        <w:ind w:left="540"/>
      </w:pPr>
      <w:proofErr w:type="gramStart"/>
      <w:r w:rsidRPr="00BF1FA7">
        <w:t>in</w:t>
      </w:r>
      <w:proofErr w:type="gramEnd"/>
      <w:r w:rsidRPr="00BF1FA7">
        <w:t xml:space="preserve"> this Standard</w:t>
      </w:r>
    </w:p>
    <w:p w:rsidR="00DB46EC" w:rsidRDefault="00DB46EC" w:rsidP="00DB46EC">
      <w:pPr>
        <w:autoSpaceDE w:val="0"/>
        <w:autoSpaceDN w:val="0"/>
        <w:adjustRightInd w:val="0"/>
        <w:spacing w:after="240"/>
        <w:ind w:left="180" w:hanging="180"/>
        <w:jc w:val="both"/>
      </w:pPr>
      <w:r>
        <w:t xml:space="preserve">6. Paragraph 4, for </w:t>
      </w:r>
      <w:r w:rsidR="00314969">
        <w:t>each</w:t>
      </w:r>
      <w:r>
        <w:t xml:space="preserve"> term</w:t>
      </w:r>
    </w:p>
    <w:p w:rsidR="00DB46EC" w:rsidRDefault="00DB46EC" w:rsidP="00DB46EC">
      <w:pPr>
        <w:autoSpaceDE w:val="0"/>
        <w:autoSpaceDN w:val="0"/>
        <w:adjustRightInd w:val="0"/>
        <w:spacing w:after="120"/>
        <w:ind w:left="180"/>
        <w:jc w:val="both"/>
        <w:rPr>
          <w:i/>
        </w:rPr>
      </w:pPr>
      <w:proofErr w:type="gramStart"/>
      <w:r>
        <w:rPr>
          <w:i/>
        </w:rPr>
        <w:t>delete</w:t>
      </w:r>
      <w:proofErr w:type="gramEnd"/>
      <w:r>
        <w:rPr>
          <w:i/>
        </w:rPr>
        <w:t xml:space="preserve"> </w:t>
      </w:r>
    </w:p>
    <w:p w:rsidR="00DB46EC" w:rsidRDefault="00DB46EC" w:rsidP="00DB46EC">
      <w:pPr>
        <w:pStyle w:val="BodyText"/>
        <w:spacing w:after="120"/>
        <w:ind w:left="540"/>
      </w:pPr>
      <w:proofErr w:type="gramStart"/>
      <w:r>
        <w:t>double</w:t>
      </w:r>
      <w:proofErr w:type="gramEnd"/>
      <w:r>
        <w:t xml:space="preserve"> quotation marks “</w:t>
      </w:r>
      <w:r>
        <w:tab/>
        <w:t>”</w:t>
      </w:r>
    </w:p>
    <w:p w:rsidR="00DB46EC" w:rsidRDefault="00DB46EC" w:rsidP="00DB46EC">
      <w:pPr>
        <w:autoSpaceDE w:val="0"/>
        <w:autoSpaceDN w:val="0"/>
        <w:adjustRightInd w:val="0"/>
        <w:spacing w:after="120"/>
        <w:ind w:left="180"/>
        <w:jc w:val="both"/>
        <w:rPr>
          <w:i/>
        </w:rPr>
      </w:pPr>
      <w:proofErr w:type="gramStart"/>
      <w:r>
        <w:rPr>
          <w:i/>
        </w:rPr>
        <w:t>substitute</w:t>
      </w:r>
      <w:proofErr w:type="gramEnd"/>
    </w:p>
    <w:p w:rsidR="00DB46EC" w:rsidRPr="00DB46EC" w:rsidRDefault="00DB46EC" w:rsidP="00700904">
      <w:pPr>
        <w:pStyle w:val="BodyText"/>
        <w:ind w:left="540"/>
      </w:pPr>
      <w:proofErr w:type="gramStart"/>
      <w:r>
        <w:t>single</w:t>
      </w:r>
      <w:proofErr w:type="gramEnd"/>
      <w:r>
        <w:t xml:space="preserve"> quotation marks ‘</w:t>
      </w:r>
      <w:r>
        <w:tab/>
      </w:r>
      <w:r>
        <w:tab/>
        <w:t>’</w:t>
      </w:r>
    </w:p>
    <w:p w:rsidR="005470C3" w:rsidRDefault="00DB46EC" w:rsidP="00DB46EC">
      <w:pPr>
        <w:autoSpaceDE w:val="0"/>
        <w:autoSpaceDN w:val="0"/>
        <w:adjustRightInd w:val="0"/>
        <w:spacing w:after="240"/>
        <w:ind w:left="180" w:hanging="180"/>
        <w:jc w:val="both"/>
      </w:pPr>
      <w:r>
        <w:t>7</w:t>
      </w:r>
      <w:r w:rsidR="005470C3" w:rsidRPr="005470C3">
        <w:t>. Paragraph 4</w:t>
      </w:r>
      <w:r w:rsidR="002D6C66">
        <w:t xml:space="preserve">, in the </w:t>
      </w:r>
      <w:r w:rsidR="00700904">
        <w:t>term</w:t>
      </w:r>
      <w:r w:rsidR="002D6C66">
        <w:t xml:space="preserve"> ‘credit card transaction’ or ‘transaction’</w:t>
      </w:r>
    </w:p>
    <w:p w:rsidR="00557D78" w:rsidRPr="00557D78" w:rsidRDefault="00557D78" w:rsidP="00557D78">
      <w:pPr>
        <w:autoSpaceDE w:val="0"/>
        <w:autoSpaceDN w:val="0"/>
        <w:adjustRightInd w:val="0"/>
        <w:spacing w:after="120"/>
        <w:ind w:left="180"/>
        <w:jc w:val="both"/>
        <w:rPr>
          <w:i/>
        </w:rPr>
      </w:pPr>
      <w:proofErr w:type="gramStart"/>
      <w:r>
        <w:rPr>
          <w:i/>
        </w:rPr>
        <w:t>delete</w:t>
      </w:r>
      <w:proofErr w:type="gramEnd"/>
    </w:p>
    <w:p w:rsidR="0006388A" w:rsidRDefault="0006388A" w:rsidP="0006388A">
      <w:pPr>
        <w:pStyle w:val="BodyText"/>
        <w:spacing w:after="120"/>
        <w:ind w:left="540"/>
      </w:pPr>
      <w:proofErr w:type="gramStart"/>
      <w:r>
        <w:t>cardholder</w:t>
      </w:r>
      <w:proofErr w:type="gramEnd"/>
    </w:p>
    <w:p w:rsidR="0006388A" w:rsidRDefault="0006388A" w:rsidP="0006388A">
      <w:pPr>
        <w:autoSpaceDE w:val="0"/>
        <w:autoSpaceDN w:val="0"/>
        <w:adjustRightInd w:val="0"/>
        <w:spacing w:after="120"/>
        <w:ind w:left="180"/>
        <w:jc w:val="both"/>
        <w:rPr>
          <w:i/>
        </w:rPr>
      </w:pPr>
      <w:proofErr w:type="gramStart"/>
      <w:r>
        <w:rPr>
          <w:i/>
        </w:rPr>
        <w:t>substitute</w:t>
      </w:r>
      <w:proofErr w:type="gramEnd"/>
    </w:p>
    <w:p w:rsidR="0006388A" w:rsidRPr="0006388A" w:rsidRDefault="0006388A" w:rsidP="00557D78">
      <w:pPr>
        <w:pStyle w:val="BodyText"/>
        <w:ind w:left="540"/>
      </w:pPr>
      <w:proofErr w:type="gramStart"/>
      <w:r>
        <w:t>card</w:t>
      </w:r>
      <w:proofErr w:type="gramEnd"/>
      <w:r>
        <w:t xml:space="preserve"> holder</w:t>
      </w:r>
    </w:p>
    <w:p w:rsidR="00557D78" w:rsidRPr="00557D78" w:rsidRDefault="00DB46EC" w:rsidP="00557D78">
      <w:pPr>
        <w:autoSpaceDE w:val="0"/>
        <w:autoSpaceDN w:val="0"/>
        <w:adjustRightInd w:val="0"/>
        <w:spacing w:after="240"/>
        <w:ind w:left="180" w:hanging="180"/>
        <w:jc w:val="both"/>
      </w:pPr>
      <w:r>
        <w:t>8</w:t>
      </w:r>
      <w:r w:rsidR="00557D78">
        <w:t>. Paragraph 4</w:t>
      </w:r>
    </w:p>
    <w:p w:rsidR="005470C3" w:rsidRPr="005470C3" w:rsidRDefault="005470C3" w:rsidP="005470C3">
      <w:pPr>
        <w:autoSpaceDE w:val="0"/>
        <w:autoSpaceDN w:val="0"/>
        <w:adjustRightInd w:val="0"/>
        <w:spacing w:after="120"/>
        <w:ind w:left="180"/>
        <w:jc w:val="both"/>
        <w:rPr>
          <w:i/>
        </w:rPr>
      </w:pPr>
      <w:proofErr w:type="gramStart"/>
      <w:r w:rsidRPr="005470C3">
        <w:rPr>
          <w:i/>
        </w:rPr>
        <w:t>after</w:t>
      </w:r>
      <w:proofErr w:type="gramEnd"/>
    </w:p>
    <w:p w:rsidR="005470C3" w:rsidRPr="005470C3" w:rsidRDefault="005470C3" w:rsidP="00BF1FA7">
      <w:pPr>
        <w:pStyle w:val="BodyText"/>
        <w:spacing w:after="120"/>
        <w:ind w:left="540"/>
        <w:rPr>
          <w:szCs w:val="24"/>
        </w:rPr>
      </w:pPr>
      <w:proofErr w:type="gramStart"/>
      <w:r w:rsidRPr="00BF1FA7">
        <w:t>the</w:t>
      </w:r>
      <w:proofErr w:type="gramEnd"/>
      <w:r w:rsidRPr="00BF1FA7">
        <w:t xml:space="preserve"> </w:t>
      </w:r>
      <w:r w:rsidR="00700904">
        <w:t>term</w:t>
      </w:r>
      <w:r w:rsidRPr="00BF1FA7">
        <w:t xml:space="preserve"> ‘merchant’</w:t>
      </w:r>
    </w:p>
    <w:p w:rsidR="005470C3" w:rsidRPr="005470C3" w:rsidRDefault="005470C3" w:rsidP="005470C3">
      <w:pPr>
        <w:autoSpaceDE w:val="0"/>
        <w:autoSpaceDN w:val="0"/>
        <w:adjustRightInd w:val="0"/>
        <w:spacing w:after="120"/>
        <w:ind w:left="180"/>
        <w:jc w:val="both"/>
        <w:rPr>
          <w:i/>
        </w:rPr>
      </w:pPr>
      <w:proofErr w:type="gramStart"/>
      <w:r w:rsidRPr="005470C3">
        <w:rPr>
          <w:i/>
        </w:rPr>
        <w:t>insert</w:t>
      </w:r>
      <w:proofErr w:type="gramEnd"/>
    </w:p>
    <w:p w:rsidR="005470C3" w:rsidRPr="00BF1FA7" w:rsidRDefault="005470C3" w:rsidP="00BF1FA7">
      <w:pPr>
        <w:pStyle w:val="BodyText"/>
        <w:ind w:left="540"/>
      </w:pPr>
      <w:r w:rsidRPr="00BF1FA7">
        <w:t xml:space="preserve">‘merchant service fee’ means a transaction-based fee charged to a merchant for acquiring credit card transactions from that merchant whether collected on an </w:t>
      </w:r>
      <w:r w:rsidRPr="0006388A">
        <w:rPr>
          <w:i/>
        </w:rPr>
        <w:t>ad valorem</w:t>
      </w:r>
      <w:r w:rsidRPr="00BF1FA7">
        <w:t xml:space="preserve"> or flat-fee basis, or charged as a blended rate across all credit card types or on an interchange plus acquirer margin basis or any other basis;</w:t>
      </w:r>
    </w:p>
    <w:p w:rsidR="005470C3" w:rsidRPr="005470C3" w:rsidRDefault="00DB46EC" w:rsidP="00BF1FA7">
      <w:pPr>
        <w:autoSpaceDE w:val="0"/>
        <w:autoSpaceDN w:val="0"/>
        <w:adjustRightInd w:val="0"/>
        <w:spacing w:after="240"/>
        <w:ind w:left="180" w:hanging="180"/>
        <w:jc w:val="both"/>
      </w:pPr>
      <w:r>
        <w:t>9</w:t>
      </w:r>
      <w:r w:rsidR="005470C3" w:rsidRPr="005470C3">
        <w:t>. Paragraph 8</w:t>
      </w:r>
    </w:p>
    <w:p w:rsidR="005470C3" w:rsidRPr="005470C3" w:rsidRDefault="005470C3" w:rsidP="005470C3">
      <w:pPr>
        <w:autoSpaceDE w:val="0"/>
        <w:autoSpaceDN w:val="0"/>
        <w:adjustRightInd w:val="0"/>
        <w:spacing w:after="120"/>
        <w:ind w:left="180"/>
        <w:jc w:val="both"/>
        <w:rPr>
          <w:i/>
        </w:rPr>
      </w:pPr>
      <w:proofErr w:type="gramStart"/>
      <w:r w:rsidRPr="005470C3">
        <w:rPr>
          <w:i/>
        </w:rPr>
        <w:t>after</w:t>
      </w:r>
      <w:proofErr w:type="gramEnd"/>
    </w:p>
    <w:p w:rsidR="005470C3" w:rsidRPr="005470C3" w:rsidRDefault="005470C3" w:rsidP="00BF1FA7">
      <w:pPr>
        <w:pStyle w:val="BodyText"/>
        <w:spacing w:after="120"/>
        <w:ind w:left="540"/>
        <w:rPr>
          <w:szCs w:val="24"/>
        </w:rPr>
      </w:pPr>
      <w:r w:rsidRPr="00BF1FA7">
        <w:t>Standard</w:t>
      </w:r>
    </w:p>
    <w:p w:rsidR="005470C3" w:rsidRPr="005470C3" w:rsidRDefault="005470C3" w:rsidP="005470C3">
      <w:pPr>
        <w:autoSpaceDE w:val="0"/>
        <w:autoSpaceDN w:val="0"/>
        <w:adjustRightInd w:val="0"/>
        <w:spacing w:after="120"/>
        <w:ind w:left="180"/>
        <w:jc w:val="both"/>
        <w:rPr>
          <w:i/>
        </w:rPr>
      </w:pPr>
      <w:proofErr w:type="gramStart"/>
      <w:r w:rsidRPr="005470C3">
        <w:rPr>
          <w:i/>
        </w:rPr>
        <w:t>delete</w:t>
      </w:r>
      <w:proofErr w:type="gramEnd"/>
    </w:p>
    <w:p w:rsidR="005470C3" w:rsidRPr="005470C3" w:rsidRDefault="005470C3" w:rsidP="00BF1FA7">
      <w:pPr>
        <w:pStyle w:val="BodyText"/>
        <w:spacing w:after="120"/>
        <w:ind w:left="540"/>
        <w:rPr>
          <w:szCs w:val="24"/>
        </w:rPr>
      </w:pPr>
      <w:proofErr w:type="gramStart"/>
      <w:r w:rsidRPr="00BF1FA7">
        <w:t>comes</w:t>
      </w:r>
      <w:proofErr w:type="gramEnd"/>
    </w:p>
    <w:p w:rsidR="005470C3" w:rsidRPr="005470C3" w:rsidRDefault="005470C3" w:rsidP="00BF1FA7">
      <w:pPr>
        <w:autoSpaceDE w:val="0"/>
        <w:autoSpaceDN w:val="0"/>
        <w:adjustRightInd w:val="0"/>
        <w:spacing w:after="120"/>
        <w:ind w:left="180"/>
        <w:jc w:val="both"/>
        <w:rPr>
          <w:i/>
        </w:rPr>
      </w:pPr>
      <w:proofErr w:type="gramStart"/>
      <w:r w:rsidRPr="005470C3">
        <w:rPr>
          <w:i/>
        </w:rPr>
        <w:t>insert</w:t>
      </w:r>
      <w:proofErr w:type="gramEnd"/>
    </w:p>
    <w:p w:rsidR="005470C3" w:rsidRPr="00BF1FA7" w:rsidRDefault="005470C3" w:rsidP="00BF1FA7">
      <w:pPr>
        <w:pStyle w:val="BodyText"/>
        <w:spacing w:after="120"/>
        <w:ind w:left="540"/>
      </w:pPr>
      <w:proofErr w:type="gramStart"/>
      <w:r w:rsidRPr="00BF1FA7">
        <w:t>originally</w:t>
      </w:r>
      <w:proofErr w:type="gramEnd"/>
      <w:r w:rsidRPr="00BF1FA7">
        <w:t xml:space="preserve"> came</w:t>
      </w:r>
    </w:p>
    <w:p w:rsidR="005470C3" w:rsidRPr="005470C3" w:rsidRDefault="005470C3" w:rsidP="00BF1FA7">
      <w:pPr>
        <w:autoSpaceDE w:val="0"/>
        <w:autoSpaceDN w:val="0"/>
        <w:adjustRightInd w:val="0"/>
        <w:spacing w:after="120"/>
        <w:ind w:left="180"/>
        <w:jc w:val="both"/>
        <w:rPr>
          <w:i/>
        </w:rPr>
      </w:pPr>
      <w:proofErr w:type="gramStart"/>
      <w:r w:rsidRPr="005470C3">
        <w:rPr>
          <w:i/>
        </w:rPr>
        <w:lastRenderedPageBreak/>
        <w:t>after</w:t>
      </w:r>
      <w:proofErr w:type="gramEnd"/>
      <w:r w:rsidRPr="005470C3">
        <w:rPr>
          <w:i/>
        </w:rPr>
        <w:t xml:space="preserve"> </w:t>
      </w:r>
    </w:p>
    <w:p w:rsidR="005470C3" w:rsidRPr="00BF1FA7" w:rsidRDefault="005470C3" w:rsidP="00BF1FA7">
      <w:pPr>
        <w:pStyle w:val="BodyText"/>
        <w:spacing w:after="120"/>
        <w:ind w:left="540"/>
      </w:pPr>
      <w:r w:rsidRPr="00BF1FA7">
        <w:t>1 January 200</w:t>
      </w:r>
      <w:r w:rsidR="0006388A">
        <w:t>3</w:t>
      </w:r>
      <w:r w:rsidRPr="00BF1FA7">
        <w:t>.</w:t>
      </w:r>
    </w:p>
    <w:p w:rsidR="005470C3" w:rsidRPr="005470C3" w:rsidRDefault="005470C3" w:rsidP="00BF1FA7">
      <w:pPr>
        <w:autoSpaceDE w:val="0"/>
        <w:autoSpaceDN w:val="0"/>
        <w:adjustRightInd w:val="0"/>
        <w:spacing w:after="120"/>
        <w:ind w:left="180"/>
        <w:jc w:val="both"/>
        <w:rPr>
          <w:i/>
        </w:rPr>
      </w:pPr>
      <w:proofErr w:type="gramStart"/>
      <w:r w:rsidRPr="005470C3">
        <w:rPr>
          <w:i/>
        </w:rPr>
        <w:t>insert</w:t>
      </w:r>
      <w:proofErr w:type="gramEnd"/>
    </w:p>
    <w:p w:rsidR="005470C3" w:rsidRPr="00BF1FA7" w:rsidRDefault="005470C3" w:rsidP="00BF1FA7">
      <w:pPr>
        <w:pStyle w:val="BodyText"/>
        <w:ind w:left="540"/>
      </w:pPr>
      <w:r w:rsidRPr="00BF1FA7">
        <w:t>This Standard as amended and restated comes into force on 1 January 2013.</w:t>
      </w:r>
    </w:p>
    <w:p w:rsidR="005470C3" w:rsidRPr="005470C3" w:rsidRDefault="00DB46EC" w:rsidP="00BF1FA7">
      <w:pPr>
        <w:autoSpaceDE w:val="0"/>
        <w:autoSpaceDN w:val="0"/>
        <w:adjustRightInd w:val="0"/>
        <w:spacing w:after="240"/>
        <w:ind w:left="180" w:hanging="180"/>
        <w:jc w:val="both"/>
      </w:pPr>
      <w:r>
        <w:t>10</w:t>
      </w:r>
      <w:r w:rsidR="005470C3" w:rsidRPr="005470C3">
        <w:t>. Paragraph 9</w:t>
      </w:r>
    </w:p>
    <w:p w:rsidR="005470C3" w:rsidRPr="005470C3" w:rsidRDefault="005470C3" w:rsidP="00BF1FA7">
      <w:pPr>
        <w:autoSpaceDE w:val="0"/>
        <w:autoSpaceDN w:val="0"/>
        <w:adjustRightInd w:val="0"/>
        <w:spacing w:after="120"/>
        <w:ind w:left="180"/>
        <w:jc w:val="both"/>
        <w:rPr>
          <w:i/>
        </w:rPr>
      </w:pPr>
      <w:proofErr w:type="gramStart"/>
      <w:r w:rsidRPr="005470C3">
        <w:rPr>
          <w:i/>
        </w:rPr>
        <w:t>after</w:t>
      </w:r>
      <w:proofErr w:type="gramEnd"/>
      <w:r w:rsidRPr="005470C3">
        <w:rPr>
          <w:i/>
        </w:rPr>
        <w:t xml:space="preserve"> </w:t>
      </w:r>
    </w:p>
    <w:p w:rsidR="005470C3" w:rsidRPr="00BF1FA7" w:rsidRDefault="005470C3" w:rsidP="00BF1FA7">
      <w:pPr>
        <w:pStyle w:val="BodyText"/>
        <w:spacing w:after="120"/>
        <w:ind w:left="540"/>
      </w:pPr>
      <w:proofErr w:type="gramStart"/>
      <w:r w:rsidRPr="00BF1FA7">
        <w:t>shall</w:t>
      </w:r>
      <w:proofErr w:type="gramEnd"/>
      <w:r w:rsidRPr="00BF1FA7">
        <w:t xml:space="preserve"> prohibit</w:t>
      </w:r>
    </w:p>
    <w:p w:rsidR="005470C3" w:rsidRPr="005470C3" w:rsidRDefault="005470C3" w:rsidP="00BF1FA7">
      <w:pPr>
        <w:autoSpaceDE w:val="0"/>
        <w:autoSpaceDN w:val="0"/>
        <w:adjustRightInd w:val="0"/>
        <w:spacing w:after="120"/>
        <w:ind w:left="180"/>
        <w:jc w:val="both"/>
        <w:rPr>
          <w:i/>
        </w:rPr>
      </w:pPr>
      <w:proofErr w:type="gramStart"/>
      <w:r w:rsidRPr="005470C3">
        <w:rPr>
          <w:i/>
        </w:rPr>
        <w:t>delete</w:t>
      </w:r>
      <w:proofErr w:type="gramEnd"/>
    </w:p>
    <w:p w:rsidR="005470C3" w:rsidRPr="00BF1FA7" w:rsidRDefault="005470C3" w:rsidP="00BF1FA7">
      <w:pPr>
        <w:pStyle w:val="BodyText"/>
        <w:spacing w:after="120"/>
        <w:ind w:left="540"/>
      </w:pPr>
      <w:proofErr w:type="gramStart"/>
      <w:r w:rsidRPr="00BF1FA7">
        <w:t>a</w:t>
      </w:r>
      <w:proofErr w:type="gramEnd"/>
      <w:r w:rsidRPr="00BF1FA7">
        <w:t xml:space="preserve"> merchant from charging a credit cardholder any fee or surcharge for a credit card transaction</w:t>
      </w:r>
      <w:r w:rsidR="0006388A">
        <w:t>.</w:t>
      </w:r>
    </w:p>
    <w:p w:rsidR="005470C3" w:rsidRPr="005470C3" w:rsidRDefault="005470C3" w:rsidP="00BF1FA7">
      <w:pPr>
        <w:autoSpaceDE w:val="0"/>
        <w:autoSpaceDN w:val="0"/>
        <w:adjustRightInd w:val="0"/>
        <w:spacing w:after="120"/>
        <w:ind w:left="180"/>
        <w:jc w:val="both"/>
        <w:rPr>
          <w:i/>
        </w:rPr>
      </w:pPr>
      <w:proofErr w:type="gramStart"/>
      <w:r w:rsidRPr="005470C3">
        <w:rPr>
          <w:i/>
        </w:rPr>
        <w:t>insert</w:t>
      </w:r>
      <w:proofErr w:type="gramEnd"/>
    </w:p>
    <w:p w:rsidR="005470C3" w:rsidRPr="00BF1FA7" w:rsidRDefault="005470C3" w:rsidP="00BF1FA7">
      <w:pPr>
        <w:pStyle w:val="BodyText"/>
        <w:spacing w:after="120"/>
        <w:ind w:left="540"/>
      </w:pPr>
      <w:r w:rsidRPr="00BF1FA7">
        <w:t>:</w:t>
      </w:r>
    </w:p>
    <w:p w:rsidR="005470C3" w:rsidRPr="00BF1FA7" w:rsidRDefault="005470C3" w:rsidP="00BF1FA7">
      <w:pPr>
        <w:pStyle w:val="BodyText"/>
        <w:numPr>
          <w:ilvl w:val="0"/>
          <w:numId w:val="23"/>
        </w:numPr>
      </w:pPr>
      <w:r w:rsidRPr="00BF1FA7">
        <w:t>a merchant from recovering part or all of the reasonable cost of acceptance of credit cards issued under the Scheme by the merchant charging fees or surcharges to credit card holders; or</w:t>
      </w:r>
    </w:p>
    <w:p w:rsidR="005470C3" w:rsidRPr="00BF1FA7" w:rsidRDefault="005470C3" w:rsidP="00BF1FA7">
      <w:pPr>
        <w:pStyle w:val="BodyText"/>
        <w:numPr>
          <w:ilvl w:val="0"/>
          <w:numId w:val="23"/>
        </w:numPr>
      </w:pPr>
      <w:proofErr w:type="gramStart"/>
      <w:r w:rsidRPr="00BF1FA7">
        <w:t>a</w:t>
      </w:r>
      <w:proofErr w:type="gramEnd"/>
      <w:r w:rsidRPr="00BF1FA7">
        <w:t xml:space="preserve"> merchant, in recovering part or all of th</w:t>
      </w:r>
      <w:r w:rsidR="00BF1FA7">
        <w:t xml:space="preserve">e reasonable cost of acceptance </w:t>
      </w:r>
      <w:r w:rsidRPr="00BF1FA7">
        <w:t>of credit cards issued under the Scheme, from applying different fees or surcharges to credit card holders for different card types either within the Scheme or across card schemes</w:t>
      </w:r>
      <w:r w:rsidR="0006388A">
        <w:t>.</w:t>
      </w:r>
    </w:p>
    <w:p w:rsidR="005470C3" w:rsidRPr="005470C3" w:rsidRDefault="005470C3" w:rsidP="00BF1FA7">
      <w:pPr>
        <w:autoSpaceDE w:val="0"/>
        <w:autoSpaceDN w:val="0"/>
        <w:adjustRightInd w:val="0"/>
        <w:spacing w:after="240"/>
        <w:ind w:left="180" w:hanging="180"/>
        <w:jc w:val="both"/>
      </w:pPr>
      <w:r>
        <w:t>1</w:t>
      </w:r>
      <w:r w:rsidR="00DB46EC">
        <w:t>1</w:t>
      </w:r>
      <w:r w:rsidRPr="005470C3">
        <w:t>. Paragraph 10</w:t>
      </w:r>
    </w:p>
    <w:p w:rsidR="005470C3" w:rsidRPr="005470C3" w:rsidRDefault="005470C3" w:rsidP="00BF1FA7">
      <w:pPr>
        <w:autoSpaceDE w:val="0"/>
        <w:autoSpaceDN w:val="0"/>
        <w:adjustRightInd w:val="0"/>
        <w:spacing w:after="120"/>
        <w:ind w:left="180"/>
        <w:jc w:val="both"/>
        <w:rPr>
          <w:i/>
        </w:rPr>
      </w:pPr>
      <w:proofErr w:type="gramStart"/>
      <w:r w:rsidRPr="005470C3">
        <w:rPr>
          <w:i/>
        </w:rPr>
        <w:t>delete</w:t>
      </w:r>
      <w:proofErr w:type="gramEnd"/>
    </w:p>
    <w:p w:rsidR="005470C3" w:rsidRPr="00BF1FA7" w:rsidRDefault="005470C3" w:rsidP="00BF1FA7">
      <w:pPr>
        <w:pStyle w:val="BodyText"/>
        <w:ind w:left="1080" w:hanging="540"/>
        <w:rPr>
          <w:lang w:eastAsia="en-AU"/>
        </w:rPr>
      </w:pPr>
      <w:r w:rsidRPr="00BF1FA7">
        <w:rPr>
          <w:lang w:eastAsia="en-AU"/>
        </w:rPr>
        <w:t>10.</w:t>
      </w:r>
      <w:r w:rsidR="00BF1FA7">
        <w:rPr>
          <w:lang w:eastAsia="en-AU"/>
        </w:rPr>
        <w:tab/>
      </w:r>
      <w:r w:rsidRPr="00BF1FA7">
        <w:rPr>
          <w:lang w:eastAsia="en-AU"/>
        </w:rPr>
        <w:t>Notwithstanding paragraph 8, an acquirer and a merchant may agree that the amount of any such fee or surcharge charged to a credit cardholder will be limited to the fees incurred by the merchant in respect of a credit card transaction.</w:t>
      </w:r>
    </w:p>
    <w:p w:rsidR="005470C3" w:rsidRPr="005470C3" w:rsidRDefault="005470C3" w:rsidP="00BF1FA7">
      <w:pPr>
        <w:autoSpaceDE w:val="0"/>
        <w:autoSpaceDN w:val="0"/>
        <w:adjustRightInd w:val="0"/>
        <w:spacing w:after="120"/>
        <w:ind w:left="180"/>
        <w:jc w:val="both"/>
        <w:rPr>
          <w:i/>
        </w:rPr>
      </w:pPr>
      <w:proofErr w:type="gramStart"/>
      <w:r w:rsidRPr="005470C3">
        <w:rPr>
          <w:i/>
        </w:rPr>
        <w:t>insert</w:t>
      </w:r>
      <w:proofErr w:type="gramEnd"/>
      <w:r w:rsidRPr="005470C3">
        <w:tab/>
      </w:r>
    </w:p>
    <w:p w:rsidR="005470C3" w:rsidRPr="00BF1FA7" w:rsidRDefault="005470C3" w:rsidP="00BF1FA7">
      <w:pPr>
        <w:pStyle w:val="BodyText"/>
        <w:ind w:left="1080" w:hanging="540"/>
        <w:rPr>
          <w:lang w:eastAsia="en-AU"/>
        </w:rPr>
      </w:pPr>
      <w:r w:rsidRPr="00BF1FA7">
        <w:rPr>
          <w:lang w:eastAsia="en-AU"/>
        </w:rPr>
        <w:t>10.</w:t>
      </w:r>
      <w:r w:rsidRPr="00BF1FA7">
        <w:rPr>
          <w:lang w:eastAsia="en-AU"/>
        </w:rPr>
        <w:tab/>
        <w:t>For the purposes of paragraph 9, the merchant’s cost of acceptance of credit cards issued under the Scheme may</w:t>
      </w:r>
      <w:r w:rsidR="0006388A">
        <w:rPr>
          <w:lang w:eastAsia="en-AU"/>
        </w:rPr>
        <w:t>,</w:t>
      </w:r>
      <w:r w:rsidRPr="00BF1FA7">
        <w:rPr>
          <w:lang w:eastAsia="en-AU"/>
        </w:rPr>
        <w:t xml:space="preserve"> for the purpose of determination of a fee or surcharge, be determined by reference to:</w:t>
      </w:r>
    </w:p>
    <w:p w:rsidR="005470C3" w:rsidRPr="00BF1FA7" w:rsidRDefault="005470C3" w:rsidP="00BF1FA7">
      <w:pPr>
        <w:pStyle w:val="BodyText"/>
        <w:numPr>
          <w:ilvl w:val="0"/>
          <w:numId w:val="22"/>
        </w:numPr>
      </w:pPr>
      <w:r w:rsidRPr="00BF1FA7">
        <w:t>the cost to the merchant of the credit card transaction in relation to which the fee or surcharge is to be levied;</w:t>
      </w:r>
    </w:p>
    <w:p w:rsidR="005470C3" w:rsidRPr="00BF1FA7" w:rsidRDefault="005470C3" w:rsidP="00BF1FA7">
      <w:pPr>
        <w:pStyle w:val="BodyText"/>
        <w:numPr>
          <w:ilvl w:val="0"/>
          <w:numId w:val="22"/>
        </w:numPr>
        <w:tabs>
          <w:tab w:val="num" w:pos="540"/>
        </w:tabs>
      </w:pPr>
      <w:r w:rsidRPr="00BF1FA7">
        <w:t>the average cost to the merchant of acceptance of all credit cards of all types issued under the Scheme; or</w:t>
      </w:r>
    </w:p>
    <w:p w:rsidR="005470C3" w:rsidRPr="00BF1FA7" w:rsidRDefault="005470C3" w:rsidP="00BF1FA7">
      <w:pPr>
        <w:pStyle w:val="BodyText"/>
        <w:numPr>
          <w:ilvl w:val="0"/>
          <w:numId w:val="22"/>
        </w:numPr>
        <w:tabs>
          <w:tab w:val="num" w:pos="540"/>
        </w:tabs>
      </w:pPr>
      <w:r w:rsidRPr="00BF1FA7">
        <w:t xml:space="preserve">the average cost to the merchant of acceptance of a subset of credit cards issued under the Scheme that includes the type of credit card in relation to which the fee or surcharge is to be levied, </w:t>
      </w:r>
    </w:p>
    <w:p w:rsidR="005470C3" w:rsidRPr="00BF1FA7" w:rsidRDefault="005470C3" w:rsidP="00BF1FA7">
      <w:pPr>
        <w:pStyle w:val="BodyText"/>
        <w:ind w:left="1080"/>
      </w:pPr>
      <w:proofErr w:type="gramStart"/>
      <w:r w:rsidRPr="00BF1FA7">
        <w:rPr>
          <w:lang w:eastAsia="en-AU"/>
        </w:rPr>
        <w:t>and</w:t>
      </w:r>
      <w:proofErr w:type="gramEnd"/>
      <w:r w:rsidRPr="00BF1FA7">
        <w:t xml:space="preserve"> includes, but is not necessarily limited to, in the case of (</w:t>
      </w:r>
      <w:proofErr w:type="spellStart"/>
      <w:r w:rsidRPr="00BF1FA7">
        <w:t>i</w:t>
      </w:r>
      <w:proofErr w:type="spellEnd"/>
      <w:r w:rsidRPr="00BF1FA7">
        <w:t>), the applicable merchant service fee and, in the case of (ii) and (iii), all applicable merchant service fees.</w:t>
      </w:r>
    </w:p>
    <w:p w:rsidR="005470C3" w:rsidRPr="005470C3" w:rsidRDefault="005470C3" w:rsidP="00BF1FA7">
      <w:pPr>
        <w:autoSpaceDE w:val="0"/>
        <w:autoSpaceDN w:val="0"/>
        <w:adjustRightInd w:val="0"/>
        <w:spacing w:after="240"/>
        <w:ind w:left="180" w:hanging="180"/>
        <w:jc w:val="both"/>
      </w:pPr>
      <w:r w:rsidRPr="005470C3">
        <w:t>1</w:t>
      </w:r>
      <w:r w:rsidR="00DB46EC">
        <w:t>2</w:t>
      </w:r>
      <w:r w:rsidRPr="005470C3">
        <w:t>. Paragraph 11</w:t>
      </w:r>
    </w:p>
    <w:p w:rsidR="005470C3" w:rsidRPr="005470C3" w:rsidRDefault="005470C3" w:rsidP="00BF1FA7">
      <w:pPr>
        <w:autoSpaceDE w:val="0"/>
        <w:autoSpaceDN w:val="0"/>
        <w:adjustRightInd w:val="0"/>
        <w:spacing w:after="120"/>
        <w:ind w:left="180"/>
        <w:jc w:val="both"/>
        <w:rPr>
          <w:i/>
        </w:rPr>
      </w:pPr>
      <w:proofErr w:type="gramStart"/>
      <w:r w:rsidRPr="005470C3">
        <w:rPr>
          <w:i/>
        </w:rPr>
        <w:t>after</w:t>
      </w:r>
      <w:proofErr w:type="gramEnd"/>
    </w:p>
    <w:p w:rsidR="005470C3" w:rsidRPr="00BF1FA7" w:rsidRDefault="005470C3" w:rsidP="00BF1FA7">
      <w:pPr>
        <w:pStyle w:val="BodyText"/>
        <w:spacing w:after="120"/>
        <w:ind w:left="540"/>
      </w:pPr>
      <w:proofErr w:type="gramStart"/>
      <w:r w:rsidRPr="00BF1FA7">
        <w:t>provisions</w:t>
      </w:r>
      <w:proofErr w:type="gramEnd"/>
      <w:r w:rsidRPr="00BF1FA7">
        <w:t xml:space="preserve"> of this Standard</w:t>
      </w:r>
    </w:p>
    <w:p w:rsidR="005470C3" w:rsidRPr="005470C3" w:rsidRDefault="005470C3" w:rsidP="00BF1FA7">
      <w:pPr>
        <w:autoSpaceDE w:val="0"/>
        <w:autoSpaceDN w:val="0"/>
        <w:adjustRightInd w:val="0"/>
        <w:spacing w:after="120"/>
        <w:ind w:left="180"/>
        <w:jc w:val="both"/>
        <w:rPr>
          <w:i/>
        </w:rPr>
      </w:pPr>
      <w:r w:rsidRPr="00BF1FA7">
        <w:rPr>
          <w:i/>
        </w:rPr>
        <w:t xml:space="preserve"> </w:t>
      </w:r>
      <w:proofErr w:type="gramStart"/>
      <w:r w:rsidRPr="00BF1FA7">
        <w:rPr>
          <w:i/>
        </w:rPr>
        <w:t>insert</w:t>
      </w:r>
      <w:proofErr w:type="gramEnd"/>
    </w:p>
    <w:p w:rsidR="005470C3" w:rsidRPr="00BF1FA7" w:rsidRDefault="005470C3" w:rsidP="00BF1FA7">
      <w:pPr>
        <w:pStyle w:val="BodyText"/>
        <w:spacing w:after="120"/>
        <w:ind w:left="540"/>
      </w:pPr>
      <w:r w:rsidRPr="00BF1FA7">
        <w:t>(</w:t>
      </w:r>
      <w:proofErr w:type="gramStart"/>
      <w:r w:rsidRPr="00BF1FA7">
        <w:t>as</w:t>
      </w:r>
      <w:proofErr w:type="gramEnd"/>
      <w:r w:rsidRPr="00BF1FA7">
        <w:t xml:space="preserve"> amended) either before, or </w:t>
      </w:r>
    </w:p>
    <w:p w:rsidR="005470C3" w:rsidRPr="005470C3" w:rsidRDefault="005470C3" w:rsidP="00BF1FA7">
      <w:pPr>
        <w:autoSpaceDE w:val="0"/>
        <w:autoSpaceDN w:val="0"/>
        <w:adjustRightInd w:val="0"/>
        <w:spacing w:after="120"/>
        <w:ind w:left="180"/>
        <w:jc w:val="both"/>
        <w:rPr>
          <w:i/>
        </w:rPr>
      </w:pPr>
      <w:proofErr w:type="gramStart"/>
      <w:r w:rsidRPr="005470C3">
        <w:rPr>
          <w:i/>
        </w:rPr>
        <w:t>after</w:t>
      </w:r>
      <w:proofErr w:type="gramEnd"/>
    </w:p>
    <w:p w:rsidR="005470C3" w:rsidRPr="00BF1FA7" w:rsidRDefault="005470C3" w:rsidP="00BF1FA7">
      <w:pPr>
        <w:pStyle w:val="BodyText"/>
        <w:spacing w:after="120"/>
        <w:ind w:left="540"/>
      </w:pPr>
      <w:proofErr w:type="gramStart"/>
      <w:r w:rsidRPr="00BF1FA7">
        <w:t>as</w:t>
      </w:r>
      <w:proofErr w:type="gramEnd"/>
      <w:r w:rsidRPr="00BF1FA7">
        <w:t xml:space="preserve"> soon as practicable after</w:t>
      </w:r>
    </w:p>
    <w:p w:rsidR="005470C3" w:rsidRPr="005470C3" w:rsidRDefault="005470C3" w:rsidP="00BF1FA7">
      <w:pPr>
        <w:autoSpaceDE w:val="0"/>
        <w:autoSpaceDN w:val="0"/>
        <w:adjustRightInd w:val="0"/>
        <w:spacing w:after="120"/>
        <w:ind w:left="180"/>
        <w:jc w:val="both"/>
        <w:rPr>
          <w:i/>
        </w:rPr>
      </w:pPr>
      <w:proofErr w:type="gramStart"/>
      <w:r w:rsidRPr="005470C3">
        <w:rPr>
          <w:i/>
        </w:rPr>
        <w:t>insert</w:t>
      </w:r>
      <w:proofErr w:type="gramEnd"/>
      <w:r w:rsidRPr="005470C3">
        <w:rPr>
          <w:i/>
        </w:rPr>
        <w:t xml:space="preserve"> </w:t>
      </w:r>
    </w:p>
    <w:p w:rsidR="005470C3" w:rsidRPr="00BF1FA7" w:rsidRDefault="005470C3" w:rsidP="00BF1FA7">
      <w:pPr>
        <w:pStyle w:val="BodyText"/>
        <w:spacing w:after="120"/>
        <w:ind w:left="540"/>
      </w:pPr>
      <w:r w:rsidRPr="00BF1FA7">
        <w:t>,</w:t>
      </w:r>
    </w:p>
    <w:p w:rsidR="005470C3" w:rsidRPr="005470C3" w:rsidRDefault="005470C3" w:rsidP="00BF1FA7">
      <w:pPr>
        <w:autoSpaceDE w:val="0"/>
        <w:autoSpaceDN w:val="0"/>
        <w:adjustRightInd w:val="0"/>
        <w:spacing w:after="120"/>
        <w:ind w:left="180"/>
        <w:jc w:val="both"/>
        <w:rPr>
          <w:i/>
        </w:rPr>
      </w:pPr>
      <w:proofErr w:type="gramStart"/>
      <w:r w:rsidRPr="005470C3">
        <w:rPr>
          <w:i/>
        </w:rPr>
        <w:t>after</w:t>
      </w:r>
      <w:proofErr w:type="gramEnd"/>
    </w:p>
    <w:p w:rsidR="005470C3" w:rsidRPr="00BF1FA7" w:rsidRDefault="005470C3" w:rsidP="00BF1FA7">
      <w:pPr>
        <w:pStyle w:val="BodyText"/>
        <w:spacing w:after="120"/>
        <w:ind w:left="540"/>
      </w:pPr>
      <w:proofErr w:type="gramStart"/>
      <w:r w:rsidRPr="00BF1FA7">
        <w:t>this</w:t>
      </w:r>
      <w:proofErr w:type="gramEnd"/>
      <w:r w:rsidRPr="00BF1FA7">
        <w:t xml:space="preserve"> Standard</w:t>
      </w:r>
    </w:p>
    <w:p w:rsidR="005470C3" w:rsidRPr="005470C3" w:rsidRDefault="005470C3" w:rsidP="00BF1FA7">
      <w:pPr>
        <w:autoSpaceDE w:val="0"/>
        <w:autoSpaceDN w:val="0"/>
        <w:adjustRightInd w:val="0"/>
        <w:spacing w:after="120"/>
        <w:ind w:left="180"/>
        <w:jc w:val="both"/>
        <w:rPr>
          <w:i/>
        </w:rPr>
      </w:pPr>
      <w:proofErr w:type="gramStart"/>
      <w:r w:rsidRPr="005470C3">
        <w:rPr>
          <w:i/>
        </w:rPr>
        <w:t>insert</w:t>
      </w:r>
      <w:proofErr w:type="gramEnd"/>
    </w:p>
    <w:p w:rsidR="005470C3" w:rsidRDefault="005470C3" w:rsidP="00BF1FA7">
      <w:pPr>
        <w:pStyle w:val="BodyText"/>
        <w:spacing w:after="120"/>
        <w:ind w:left="540"/>
      </w:pPr>
      <w:r w:rsidRPr="00BF1FA7">
        <w:t>(</w:t>
      </w:r>
      <w:proofErr w:type="gramStart"/>
      <w:r w:rsidRPr="00BF1FA7">
        <w:t>as</w:t>
      </w:r>
      <w:proofErr w:type="gramEnd"/>
      <w:r w:rsidRPr="00BF1FA7">
        <w:t xml:space="preserve"> amended)</w:t>
      </w:r>
    </w:p>
    <w:p w:rsidR="0006388A" w:rsidRDefault="0006388A" w:rsidP="0006388A">
      <w:pPr>
        <w:pStyle w:val="BodyText"/>
        <w:ind w:left="540"/>
      </w:pPr>
    </w:p>
    <w:p w:rsidR="0006388A" w:rsidRPr="00C8174C" w:rsidRDefault="0006388A" w:rsidP="0006388A">
      <w:pPr>
        <w:autoSpaceDE w:val="0"/>
        <w:autoSpaceDN w:val="0"/>
        <w:adjustRightInd w:val="0"/>
        <w:spacing w:after="240"/>
        <w:jc w:val="both"/>
        <w:rPr>
          <w:b/>
        </w:rPr>
      </w:pPr>
      <w:r w:rsidRPr="005470C3">
        <w:rPr>
          <w:b/>
        </w:rPr>
        <w:t>I</w:t>
      </w:r>
      <w:r>
        <w:rPr>
          <w:b/>
        </w:rPr>
        <w:t>I</w:t>
      </w:r>
      <w:r w:rsidRPr="005470C3">
        <w:rPr>
          <w:b/>
        </w:rPr>
        <w:t xml:space="preserve">. </w:t>
      </w:r>
      <w:proofErr w:type="gramStart"/>
      <w:r w:rsidR="00C8174C" w:rsidRPr="00C8174C">
        <w:rPr>
          <w:b/>
        </w:rPr>
        <w:t>The</w:t>
      </w:r>
      <w:proofErr w:type="gramEnd"/>
      <w:r w:rsidR="00C8174C" w:rsidRPr="00C8174C">
        <w:rPr>
          <w:b/>
        </w:rPr>
        <w:t xml:space="preserve"> Standard entitled </w:t>
      </w:r>
      <w:r w:rsidR="00C8174C" w:rsidRPr="00C8174C">
        <w:rPr>
          <w:b/>
          <w:i/>
        </w:rPr>
        <w:t>Standard No. 2</w:t>
      </w:r>
      <w:r w:rsidR="000C2F44">
        <w:rPr>
          <w:b/>
          <w:i/>
        </w:rPr>
        <w:t>,</w:t>
      </w:r>
      <w:r w:rsidR="00C8174C" w:rsidRPr="00C8174C">
        <w:rPr>
          <w:b/>
          <w:i/>
        </w:rPr>
        <w:t xml:space="preserve"> Merchant Pricing for Credit Card Purchases</w:t>
      </w:r>
      <w:r w:rsidR="00C8174C" w:rsidRPr="00C8174C">
        <w:rPr>
          <w:b/>
        </w:rPr>
        <w:t>,</w:t>
      </w:r>
      <w:r w:rsidR="00C8174C" w:rsidRPr="00C8174C">
        <w:rPr>
          <w:b/>
          <w:i/>
        </w:rPr>
        <w:t xml:space="preserve"> </w:t>
      </w:r>
      <w:r w:rsidR="00C8174C" w:rsidRPr="00C8174C">
        <w:rPr>
          <w:b/>
        </w:rPr>
        <w:t>gazetted on 27 August 2002, as it applies to the designated credit card system operated in Australia known as the VISA system or the VISA network card system</w:t>
      </w:r>
    </w:p>
    <w:p w:rsidR="00700904" w:rsidRPr="005470C3" w:rsidRDefault="00700904" w:rsidP="00700904">
      <w:pPr>
        <w:autoSpaceDE w:val="0"/>
        <w:autoSpaceDN w:val="0"/>
        <w:adjustRightInd w:val="0"/>
        <w:spacing w:after="240"/>
        <w:ind w:left="180" w:hanging="180"/>
        <w:jc w:val="both"/>
      </w:pPr>
      <w:r w:rsidRPr="005470C3">
        <w:t xml:space="preserve">1. </w:t>
      </w:r>
      <w:proofErr w:type="gramStart"/>
      <w:r w:rsidRPr="005470C3">
        <w:t>under</w:t>
      </w:r>
      <w:proofErr w:type="gramEnd"/>
      <w:r w:rsidRPr="005470C3">
        <w:t xml:space="preserve"> the heading entitled ‘Objective’</w:t>
      </w:r>
    </w:p>
    <w:p w:rsidR="00700904" w:rsidRPr="005470C3" w:rsidRDefault="00700904" w:rsidP="00700904">
      <w:pPr>
        <w:autoSpaceDE w:val="0"/>
        <w:autoSpaceDN w:val="0"/>
        <w:adjustRightInd w:val="0"/>
        <w:spacing w:after="120"/>
        <w:ind w:left="180"/>
        <w:jc w:val="both"/>
        <w:rPr>
          <w:i/>
        </w:rPr>
      </w:pPr>
      <w:proofErr w:type="gramStart"/>
      <w:r w:rsidRPr="005470C3">
        <w:rPr>
          <w:i/>
        </w:rPr>
        <w:t>after</w:t>
      </w:r>
      <w:proofErr w:type="gramEnd"/>
    </w:p>
    <w:p w:rsidR="00700904" w:rsidRPr="00BF1FA7" w:rsidRDefault="00700904" w:rsidP="00700904">
      <w:pPr>
        <w:pStyle w:val="BodyText"/>
        <w:spacing w:after="120"/>
        <w:ind w:left="540"/>
      </w:pPr>
      <w:proofErr w:type="gramStart"/>
      <w:r w:rsidRPr="005470C3">
        <w:t>by</w:t>
      </w:r>
      <w:proofErr w:type="gramEnd"/>
      <w:r w:rsidRPr="005470C3">
        <w:t xml:space="preserve"> providing merchants the freedom to</w:t>
      </w:r>
    </w:p>
    <w:p w:rsidR="00700904" w:rsidRPr="005470C3" w:rsidRDefault="00700904" w:rsidP="00700904">
      <w:pPr>
        <w:autoSpaceDE w:val="0"/>
        <w:autoSpaceDN w:val="0"/>
        <w:adjustRightInd w:val="0"/>
        <w:spacing w:after="120"/>
        <w:ind w:left="180"/>
        <w:jc w:val="both"/>
        <w:rPr>
          <w:i/>
        </w:rPr>
      </w:pPr>
      <w:proofErr w:type="gramStart"/>
      <w:r w:rsidRPr="005470C3">
        <w:rPr>
          <w:i/>
        </w:rPr>
        <w:t>insert</w:t>
      </w:r>
      <w:proofErr w:type="gramEnd"/>
    </w:p>
    <w:p w:rsidR="00700904" w:rsidRPr="00BF1FA7" w:rsidRDefault="00700904" w:rsidP="00700904">
      <w:pPr>
        <w:pStyle w:val="BodyText"/>
        <w:ind w:left="540"/>
      </w:pPr>
      <w:proofErr w:type="gramStart"/>
      <w:r w:rsidRPr="00BF1FA7">
        <w:t>make</w:t>
      </w:r>
      <w:proofErr w:type="gramEnd"/>
      <w:r w:rsidRPr="00BF1FA7">
        <w:t xml:space="preserve"> a reasonable </w:t>
      </w:r>
    </w:p>
    <w:p w:rsidR="00700904" w:rsidRPr="005470C3" w:rsidRDefault="00700904" w:rsidP="00700904">
      <w:pPr>
        <w:autoSpaceDE w:val="0"/>
        <w:autoSpaceDN w:val="0"/>
        <w:adjustRightInd w:val="0"/>
        <w:spacing w:after="240"/>
        <w:ind w:left="180" w:hanging="180"/>
        <w:jc w:val="both"/>
      </w:pPr>
      <w:r>
        <w:t xml:space="preserve">2. </w:t>
      </w:r>
      <w:proofErr w:type="gramStart"/>
      <w:r w:rsidRPr="005470C3">
        <w:t>before</w:t>
      </w:r>
      <w:proofErr w:type="gramEnd"/>
      <w:r w:rsidRPr="005470C3">
        <w:t xml:space="preserve"> the heading entitled ‘Application’ </w:t>
      </w:r>
    </w:p>
    <w:p w:rsidR="00700904" w:rsidRPr="005470C3" w:rsidRDefault="00700904" w:rsidP="00700904">
      <w:pPr>
        <w:autoSpaceDE w:val="0"/>
        <w:autoSpaceDN w:val="0"/>
        <w:adjustRightInd w:val="0"/>
        <w:spacing w:after="120"/>
        <w:ind w:left="180"/>
        <w:jc w:val="both"/>
        <w:rPr>
          <w:i/>
        </w:rPr>
      </w:pPr>
      <w:proofErr w:type="gramStart"/>
      <w:r w:rsidRPr="005470C3">
        <w:rPr>
          <w:i/>
        </w:rPr>
        <w:t>insert</w:t>
      </w:r>
      <w:proofErr w:type="gramEnd"/>
      <w:r w:rsidRPr="005470C3">
        <w:rPr>
          <w:i/>
        </w:rPr>
        <w:t xml:space="preserve"> a heading entitled</w:t>
      </w:r>
      <w:r w:rsidRPr="005470C3">
        <w:rPr>
          <w:i/>
        </w:rPr>
        <w:tab/>
      </w:r>
    </w:p>
    <w:p w:rsidR="00700904" w:rsidRPr="005470C3" w:rsidRDefault="00700904" w:rsidP="00700904">
      <w:pPr>
        <w:pStyle w:val="BodyText"/>
        <w:ind w:left="540"/>
        <w:rPr>
          <w:szCs w:val="24"/>
        </w:rPr>
      </w:pPr>
      <w:r w:rsidRPr="00BF1FA7">
        <w:t>Amended and restated Standard</w:t>
      </w:r>
    </w:p>
    <w:p w:rsidR="00700904" w:rsidRPr="005470C3" w:rsidRDefault="00700904" w:rsidP="00700904">
      <w:pPr>
        <w:autoSpaceDE w:val="0"/>
        <w:autoSpaceDN w:val="0"/>
        <w:adjustRightInd w:val="0"/>
        <w:spacing w:after="240"/>
        <w:ind w:left="180" w:hanging="180"/>
        <w:jc w:val="both"/>
      </w:pPr>
      <w:r>
        <w:t xml:space="preserve">3. </w:t>
      </w:r>
      <w:proofErr w:type="gramStart"/>
      <w:r w:rsidRPr="005470C3">
        <w:t>under</w:t>
      </w:r>
      <w:proofErr w:type="gramEnd"/>
      <w:r w:rsidRPr="005470C3">
        <w:t xml:space="preserve"> the heading entitled ‘Amended and restated Standard’</w:t>
      </w:r>
    </w:p>
    <w:p w:rsidR="00700904" w:rsidRPr="005470C3" w:rsidRDefault="00700904" w:rsidP="00700904">
      <w:pPr>
        <w:autoSpaceDE w:val="0"/>
        <w:autoSpaceDN w:val="0"/>
        <w:adjustRightInd w:val="0"/>
        <w:spacing w:after="120"/>
        <w:ind w:left="180"/>
        <w:jc w:val="both"/>
        <w:rPr>
          <w:i/>
        </w:rPr>
      </w:pPr>
      <w:proofErr w:type="gramStart"/>
      <w:r w:rsidRPr="005470C3">
        <w:rPr>
          <w:i/>
        </w:rPr>
        <w:t>insert</w:t>
      </w:r>
      <w:proofErr w:type="gramEnd"/>
    </w:p>
    <w:p w:rsidR="00700904" w:rsidRPr="00BF1FA7" w:rsidRDefault="00700904" w:rsidP="00700904">
      <w:pPr>
        <w:pStyle w:val="BodyText"/>
        <w:ind w:left="1080" w:hanging="540"/>
        <w:rPr>
          <w:lang w:eastAsia="en-AU"/>
        </w:rPr>
      </w:pPr>
      <w:r w:rsidRPr="00BF1FA7">
        <w:rPr>
          <w:lang w:eastAsia="en-AU"/>
        </w:rPr>
        <w:t>1.</w:t>
      </w:r>
      <w:r w:rsidRPr="00BF1FA7">
        <w:rPr>
          <w:lang w:eastAsia="en-AU"/>
        </w:rPr>
        <w:tab/>
        <w:t xml:space="preserve">This Standard </w:t>
      </w:r>
      <w:r>
        <w:rPr>
          <w:lang w:eastAsia="en-AU"/>
        </w:rPr>
        <w:t>is an amended and restated Standard of that gazetted on 27 August 2002</w:t>
      </w:r>
      <w:r w:rsidRPr="00BF1FA7">
        <w:rPr>
          <w:lang w:eastAsia="en-AU"/>
        </w:rPr>
        <w:t>.</w:t>
      </w:r>
    </w:p>
    <w:p w:rsidR="00700904" w:rsidRPr="005470C3" w:rsidRDefault="00700904" w:rsidP="00700904">
      <w:pPr>
        <w:autoSpaceDE w:val="0"/>
        <w:autoSpaceDN w:val="0"/>
        <w:adjustRightInd w:val="0"/>
        <w:spacing w:after="240"/>
        <w:ind w:left="180" w:hanging="180"/>
        <w:jc w:val="both"/>
      </w:pPr>
      <w:r w:rsidRPr="005470C3">
        <w:t>4</w:t>
      </w:r>
      <w:r>
        <w:t xml:space="preserve">. </w:t>
      </w:r>
      <w:r w:rsidRPr="005470C3">
        <w:t>Paragraphs 1 through to 10</w:t>
      </w:r>
    </w:p>
    <w:p w:rsidR="00700904" w:rsidRPr="005470C3" w:rsidRDefault="00700904" w:rsidP="00700904">
      <w:pPr>
        <w:autoSpaceDE w:val="0"/>
        <w:autoSpaceDN w:val="0"/>
        <w:adjustRightInd w:val="0"/>
        <w:spacing w:after="240"/>
        <w:ind w:left="180"/>
        <w:jc w:val="both"/>
        <w:rPr>
          <w:i/>
        </w:rPr>
      </w:pPr>
      <w:r w:rsidRPr="005470C3">
        <w:rPr>
          <w:i/>
        </w:rPr>
        <w:t xml:space="preserve">Renumber as paragraphs 2 through to 11   </w:t>
      </w:r>
    </w:p>
    <w:p w:rsidR="00700904" w:rsidRPr="005470C3" w:rsidRDefault="00700904" w:rsidP="00700904">
      <w:pPr>
        <w:autoSpaceDE w:val="0"/>
        <w:autoSpaceDN w:val="0"/>
        <w:adjustRightInd w:val="0"/>
        <w:spacing w:after="240"/>
        <w:ind w:left="180" w:hanging="180"/>
        <w:jc w:val="both"/>
      </w:pPr>
      <w:r w:rsidRPr="005470C3">
        <w:t>5.</w:t>
      </w:r>
      <w:r>
        <w:t xml:space="preserve"> </w:t>
      </w:r>
      <w:r w:rsidRPr="005470C3">
        <w:t>Paragraph 3</w:t>
      </w:r>
    </w:p>
    <w:p w:rsidR="00700904" w:rsidRPr="005470C3" w:rsidRDefault="00700904" w:rsidP="00700904">
      <w:pPr>
        <w:autoSpaceDE w:val="0"/>
        <w:autoSpaceDN w:val="0"/>
        <w:adjustRightInd w:val="0"/>
        <w:spacing w:after="120"/>
        <w:ind w:left="180"/>
        <w:jc w:val="both"/>
        <w:rPr>
          <w:i/>
        </w:rPr>
      </w:pPr>
      <w:proofErr w:type="gramStart"/>
      <w:r w:rsidRPr="005470C3">
        <w:rPr>
          <w:i/>
        </w:rPr>
        <w:t>after</w:t>
      </w:r>
      <w:proofErr w:type="gramEnd"/>
      <w:r w:rsidRPr="005470C3">
        <w:rPr>
          <w:i/>
        </w:rPr>
        <w:t xml:space="preserve"> </w:t>
      </w:r>
    </w:p>
    <w:p w:rsidR="00700904" w:rsidRPr="00BF1FA7" w:rsidRDefault="00700904" w:rsidP="00700904">
      <w:pPr>
        <w:pStyle w:val="BodyText"/>
        <w:spacing w:after="120"/>
        <w:ind w:left="540"/>
      </w:pPr>
      <w:proofErr w:type="gramStart"/>
      <w:r w:rsidRPr="00BF1FA7">
        <w:t>referred</w:t>
      </w:r>
      <w:proofErr w:type="gramEnd"/>
      <w:r w:rsidRPr="00BF1FA7">
        <w:t xml:space="preserve"> to </w:t>
      </w:r>
    </w:p>
    <w:p w:rsidR="00700904" w:rsidRPr="005470C3" w:rsidRDefault="00700904" w:rsidP="00700904">
      <w:pPr>
        <w:autoSpaceDE w:val="0"/>
        <w:autoSpaceDN w:val="0"/>
        <w:adjustRightInd w:val="0"/>
        <w:spacing w:after="120"/>
        <w:ind w:left="180"/>
        <w:jc w:val="both"/>
        <w:rPr>
          <w:i/>
        </w:rPr>
      </w:pPr>
      <w:proofErr w:type="gramStart"/>
      <w:r w:rsidRPr="005470C3">
        <w:rPr>
          <w:i/>
        </w:rPr>
        <w:t>delete</w:t>
      </w:r>
      <w:proofErr w:type="gramEnd"/>
    </w:p>
    <w:p w:rsidR="00700904" w:rsidRPr="00BF1FA7" w:rsidRDefault="00700904" w:rsidP="00700904">
      <w:pPr>
        <w:pStyle w:val="BodyText"/>
        <w:spacing w:after="120"/>
        <w:ind w:left="540"/>
      </w:pPr>
      <w:proofErr w:type="gramStart"/>
      <w:r w:rsidRPr="00BF1FA7">
        <w:t>as</w:t>
      </w:r>
      <w:proofErr w:type="gramEnd"/>
      <w:r w:rsidRPr="00BF1FA7">
        <w:t xml:space="preserve"> follows</w:t>
      </w:r>
    </w:p>
    <w:p w:rsidR="00700904" w:rsidRPr="005470C3" w:rsidRDefault="00700904" w:rsidP="00700904">
      <w:pPr>
        <w:autoSpaceDE w:val="0"/>
        <w:autoSpaceDN w:val="0"/>
        <w:adjustRightInd w:val="0"/>
        <w:spacing w:after="120"/>
        <w:ind w:left="180"/>
        <w:jc w:val="both"/>
        <w:rPr>
          <w:i/>
        </w:rPr>
      </w:pPr>
      <w:proofErr w:type="gramStart"/>
      <w:r w:rsidRPr="005470C3">
        <w:rPr>
          <w:i/>
        </w:rPr>
        <w:t>insert</w:t>
      </w:r>
      <w:proofErr w:type="gramEnd"/>
      <w:r w:rsidRPr="005470C3">
        <w:rPr>
          <w:i/>
        </w:rPr>
        <w:t xml:space="preserve"> </w:t>
      </w:r>
    </w:p>
    <w:p w:rsidR="00700904" w:rsidRDefault="00700904" w:rsidP="00700904">
      <w:pPr>
        <w:pStyle w:val="BodyText"/>
        <w:ind w:left="540"/>
      </w:pPr>
      <w:proofErr w:type="gramStart"/>
      <w:r w:rsidRPr="00BF1FA7">
        <w:t>in</w:t>
      </w:r>
      <w:proofErr w:type="gramEnd"/>
      <w:r w:rsidRPr="00BF1FA7">
        <w:t xml:space="preserve"> this Standard</w:t>
      </w:r>
    </w:p>
    <w:p w:rsidR="00700904" w:rsidRDefault="00700904" w:rsidP="00700904">
      <w:pPr>
        <w:autoSpaceDE w:val="0"/>
        <w:autoSpaceDN w:val="0"/>
        <w:adjustRightInd w:val="0"/>
        <w:spacing w:after="240"/>
        <w:ind w:left="180" w:hanging="180"/>
        <w:jc w:val="both"/>
      </w:pPr>
      <w:r>
        <w:t xml:space="preserve">6. Paragraph 4, for </w:t>
      </w:r>
      <w:r w:rsidR="00314969">
        <w:t>each</w:t>
      </w:r>
      <w:r>
        <w:t xml:space="preserve"> term</w:t>
      </w:r>
    </w:p>
    <w:p w:rsidR="00700904" w:rsidRDefault="00700904" w:rsidP="00700904">
      <w:pPr>
        <w:autoSpaceDE w:val="0"/>
        <w:autoSpaceDN w:val="0"/>
        <w:adjustRightInd w:val="0"/>
        <w:spacing w:after="120"/>
        <w:ind w:left="180"/>
        <w:jc w:val="both"/>
        <w:rPr>
          <w:i/>
        </w:rPr>
      </w:pPr>
      <w:proofErr w:type="gramStart"/>
      <w:r>
        <w:rPr>
          <w:i/>
        </w:rPr>
        <w:t>delete</w:t>
      </w:r>
      <w:proofErr w:type="gramEnd"/>
      <w:r>
        <w:rPr>
          <w:i/>
        </w:rPr>
        <w:t xml:space="preserve"> </w:t>
      </w:r>
    </w:p>
    <w:p w:rsidR="00700904" w:rsidRDefault="00700904" w:rsidP="00700904">
      <w:pPr>
        <w:pStyle w:val="BodyText"/>
        <w:spacing w:after="120"/>
        <w:ind w:left="540"/>
      </w:pPr>
      <w:proofErr w:type="gramStart"/>
      <w:r>
        <w:t>double</w:t>
      </w:r>
      <w:proofErr w:type="gramEnd"/>
      <w:r>
        <w:t xml:space="preserve"> quotation marks “</w:t>
      </w:r>
      <w:r>
        <w:tab/>
        <w:t>”</w:t>
      </w:r>
    </w:p>
    <w:p w:rsidR="00700904" w:rsidRDefault="00700904" w:rsidP="00700904">
      <w:pPr>
        <w:autoSpaceDE w:val="0"/>
        <w:autoSpaceDN w:val="0"/>
        <w:adjustRightInd w:val="0"/>
        <w:spacing w:after="120"/>
        <w:ind w:left="180"/>
        <w:jc w:val="both"/>
        <w:rPr>
          <w:i/>
        </w:rPr>
      </w:pPr>
      <w:proofErr w:type="gramStart"/>
      <w:r>
        <w:rPr>
          <w:i/>
        </w:rPr>
        <w:t>substitute</w:t>
      </w:r>
      <w:proofErr w:type="gramEnd"/>
    </w:p>
    <w:p w:rsidR="00700904" w:rsidRPr="00DB46EC" w:rsidRDefault="00700904" w:rsidP="00700904">
      <w:pPr>
        <w:pStyle w:val="BodyText"/>
        <w:ind w:left="540"/>
      </w:pPr>
      <w:proofErr w:type="gramStart"/>
      <w:r>
        <w:t>single</w:t>
      </w:r>
      <w:proofErr w:type="gramEnd"/>
      <w:r>
        <w:t xml:space="preserve"> quotation marks ‘</w:t>
      </w:r>
      <w:r>
        <w:tab/>
      </w:r>
      <w:r>
        <w:tab/>
        <w:t>’</w:t>
      </w:r>
    </w:p>
    <w:p w:rsidR="00700904" w:rsidRDefault="00700904" w:rsidP="00700904">
      <w:pPr>
        <w:autoSpaceDE w:val="0"/>
        <w:autoSpaceDN w:val="0"/>
        <w:adjustRightInd w:val="0"/>
        <w:spacing w:after="240"/>
        <w:ind w:left="180" w:hanging="180"/>
        <w:jc w:val="both"/>
      </w:pPr>
      <w:r>
        <w:t>7</w:t>
      </w:r>
      <w:r w:rsidRPr="005470C3">
        <w:t>. Paragraph 4</w:t>
      </w:r>
      <w:r>
        <w:t>, in the term ‘credit card transaction’ or ‘transaction’</w:t>
      </w:r>
    </w:p>
    <w:p w:rsidR="00700904" w:rsidRPr="00557D78" w:rsidRDefault="00700904" w:rsidP="00700904">
      <w:pPr>
        <w:autoSpaceDE w:val="0"/>
        <w:autoSpaceDN w:val="0"/>
        <w:adjustRightInd w:val="0"/>
        <w:spacing w:after="120"/>
        <w:ind w:left="180"/>
        <w:jc w:val="both"/>
        <w:rPr>
          <w:i/>
        </w:rPr>
      </w:pPr>
      <w:proofErr w:type="gramStart"/>
      <w:r>
        <w:rPr>
          <w:i/>
        </w:rPr>
        <w:t>delete</w:t>
      </w:r>
      <w:proofErr w:type="gramEnd"/>
    </w:p>
    <w:p w:rsidR="00700904" w:rsidRDefault="00700904" w:rsidP="00700904">
      <w:pPr>
        <w:pStyle w:val="BodyText"/>
        <w:spacing w:after="120"/>
        <w:ind w:left="540"/>
      </w:pPr>
      <w:proofErr w:type="gramStart"/>
      <w:r>
        <w:t>cardholder</w:t>
      </w:r>
      <w:proofErr w:type="gramEnd"/>
    </w:p>
    <w:p w:rsidR="00700904" w:rsidRDefault="00700904" w:rsidP="00700904">
      <w:pPr>
        <w:autoSpaceDE w:val="0"/>
        <w:autoSpaceDN w:val="0"/>
        <w:adjustRightInd w:val="0"/>
        <w:spacing w:after="120"/>
        <w:ind w:left="180"/>
        <w:jc w:val="both"/>
        <w:rPr>
          <w:i/>
        </w:rPr>
      </w:pPr>
      <w:proofErr w:type="gramStart"/>
      <w:r>
        <w:rPr>
          <w:i/>
        </w:rPr>
        <w:t>substitute</w:t>
      </w:r>
      <w:proofErr w:type="gramEnd"/>
    </w:p>
    <w:p w:rsidR="00700904" w:rsidRPr="0006388A" w:rsidRDefault="00700904" w:rsidP="00700904">
      <w:pPr>
        <w:pStyle w:val="BodyText"/>
        <w:ind w:left="540"/>
      </w:pPr>
      <w:proofErr w:type="gramStart"/>
      <w:r>
        <w:t>card</w:t>
      </w:r>
      <w:proofErr w:type="gramEnd"/>
      <w:r>
        <w:t xml:space="preserve"> holder</w:t>
      </w:r>
    </w:p>
    <w:p w:rsidR="00700904" w:rsidRPr="00557D78" w:rsidRDefault="00700904" w:rsidP="00700904">
      <w:pPr>
        <w:autoSpaceDE w:val="0"/>
        <w:autoSpaceDN w:val="0"/>
        <w:adjustRightInd w:val="0"/>
        <w:spacing w:after="240"/>
        <w:ind w:left="180" w:hanging="180"/>
        <w:jc w:val="both"/>
      </w:pPr>
      <w:r>
        <w:t>8. Paragraph 4</w:t>
      </w:r>
    </w:p>
    <w:p w:rsidR="00700904" w:rsidRPr="005470C3" w:rsidRDefault="00700904" w:rsidP="00700904">
      <w:pPr>
        <w:autoSpaceDE w:val="0"/>
        <w:autoSpaceDN w:val="0"/>
        <w:adjustRightInd w:val="0"/>
        <w:spacing w:after="120"/>
        <w:ind w:left="180"/>
        <w:jc w:val="both"/>
        <w:rPr>
          <w:i/>
        </w:rPr>
      </w:pPr>
      <w:proofErr w:type="gramStart"/>
      <w:r w:rsidRPr="005470C3">
        <w:rPr>
          <w:i/>
        </w:rPr>
        <w:t>after</w:t>
      </w:r>
      <w:proofErr w:type="gramEnd"/>
    </w:p>
    <w:p w:rsidR="00700904" w:rsidRPr="005470C3" w:rsidRDefault="00700904" w:rsidP="00700904">
      <w:pPr>
        <w:pStyle w:val="BodyText"/>
        <w:spacing w:after="120"/>
        <w:ind w:left="540"/>
        <w:rPr>
          <w:szCs w:val="24"/>
        </w:rPr>
      </w:pPr>
      <w:proofErr w:type="gramStart"/>
      <w:r w:rsidRPr="00BF1FA7">
        <w:t>the</w:t>
      </w:r>
      <w:proofErr w:type="gramEnd"/>
      <w:r w:rsidRPr="00BF1FA7">
        <w:t xml:space="preserve"> </w:t>
      </w:r>
      <w:r>
        <w:t>term</w:t>
      </w:r>
      <w:r w:rsidRPr="00BF1FA7">
        <w:t xml:space="preserve"> ‘merchant’</w:t>
      </w:r>
    </w:p>
    <w:p w:rsidR="00700904" w:rsidRPr="005470C3" w:rsidRDefault="00700904" w:rsidP="00700904">
      <w:pPr>
        <w:autoSpaceDE w:val="0"/>
        <w:autoSpaceDN w:val="0"/>
        <w:adjustRightInd w:val="0"/>
        <w:spacing w:after="120"/>
        <w:ind w:left="180"/>
        <w:jc w:val="both"/>
        <w:rPr>
          <w:i/>
        </w:rPr>
      </w:pPr>
      <w:proofErr w:type="gramStart"/>
      <w:r w:rsidRPr="005470C3">
        <w:rPr>
          <w:i/>
        </w:rPr>
        <w:t>insert</w:t>
      </w:r>
      <w:proofErr w:type="gramEnd"/>
    </w:p>
    <w:p w:rsidR="00700904" w:rsidRPr="00BF1FA7" w:rsidRDefault="00700904" w:rsidP="00700904">
      <w:pPr>
        <w:pStyle w:val="BodyText"/>
        <w:ind w:left="540"/>
      </w:pPr>
      <w:r w:rsidRPr="00BF1FA7">
        <w:t xml:space="preserve">‘merchant service fee’ means a transaction-based fee charged to a merchant for acquiring credit card transactions from that merchant whether collected on an </w:t>
      </w:r>
      <w:r w:rsidRPr="0006388A">
        <w:rPr>
          <w:i/>
        </w:rPr>
        <w:t>ad valorem</w:t>
      </w:r>
      <w:r w:rsidRPr="00BF1FA7">
        <w:t xml:space="preserve"> or flat-fee basis, or charged as a blended rate across all credit card types or on an interchange plus acquirer margin basis or any other basis;</w:t>
      </w:r>
    </w:p>
    <w:p w:rsidR="00700904" w:rsidRPr="005470C3" w:rsidRDefault="00700904" w:rsidP="00700904">
      <w:pPr>
        <w:autoSpaceDE w:val="0"/>
        <w:autoSpaceDN w:val="0"/>
        <w:adjustRightInd w:val="0"/>
        <w:spacing w:after="240"/>
        <w:ind w:left="180" w:hanging="180"/>
        <w:jc w:val="both"/>
      </w:pPr>
      <w:r>
        <w:t>9</w:t>
      </w:r>
      <w:r w:rsidRPr="005470C3">
        <w:t>. Paragraph 8</w:t>
      </w:r>
    </w:p>
    <w:p w:rsidR="00700904" w:rsidRPr="005470C3" w:rsidRDefault="00700904" w:rsidP="00700904">
      <w:pPr>
        <w:autoSpaceDE w:val="0"/>
        <w:autoSpaceDN w:val="0"/>
        <w:adjustRightInd w:val="0"/>
        <w:spacing w:after="120"/>
        <w:ind w:left="180"/>
        <w:jc w:val="both"/>
        <w:rPr>
          <w:i/>
        </w:rPr>
      </w:pPr>
      <w:proofErr w:type="gramStart"/>
      <w:r w:rsidRPr="005470C3">
        <w:rPr>
          <w:i/>
        </w:rPr>
        <w:t>after</w:t>
      </w:r>
      <w:proofErr w:type="gramEnd"/>
    </w:p>
    <w:p w:rsidR="00700904" w:rsidRPr="005470C3" w:rsidRDefault="00700904" w:rsidP="00700904">
      <w:pPr>
        <w:pStyle w:val="BodyText"/>
        <w:spacing w:after="120"/>
        <w:ind w:left="540"/>
        <w:rPr>
          <w:szCs w:val="24"/>
        </w:rPr>
      </w:pPr>
      <w:r w:rsidRPr="00BF1FA7">
        <w:t>Standard</w:t>
      </w:r>
    </w:p>
    <w:p w:rsidR="00700904" w:rsidRPr="005470C3" w:rsidRDefault="00700904" w:rsidP="00700904">
      <w:pPr>
        <w:autoSpaceDE w:val="0"/>
        <w:autoSpaceDN w:val="0"/>
        <w:adjustRightInd w:val="0"/>
        <w:spacing w:after="120"/>
        <w:ind w:left="180"/>
        <w:jc w:val="both"/>
        <w:rPr>
          <w:i/>
        </w:rPr>
      </w:pPr>
      <w:proofErr w:type="gramStart"/>
      <w:r w:rsidRPr="005470C3">
        <w:rPr>
          <w:i/>
        </w:rPr>
        <w:t>delete</w:t>
      </w:r>
      <w:proofErr w:type="gramEnd"/>
    </w:p>
    <w:p w:rsidR="00700904" w:rsidRPr="005470C3" w:rsidRDefault="00700904" w:rsidP="00700904">
      <w:pPr>
        <w:pStyle w:val="BodyText"/>
        <w:spacing w:after="120"/>
        <w:ind w:left="540"/>
        <w:rPr>
          <w:szCs w:val="24"/>
        </w:rPr>
      </w:pPr>
      <w:proofErr w:type="gramStart"/>
      <w:r w:rsidRPr="00BF1FA7">
        <w:t>comes</w:t>
      </w:r>
      <w:proofErr w:type="gramEnd"/>
    </w:p>
    <w:p w:rsidR="00700904" w:rsidRPr="005470C3" w:rsidRDefault="00700904" w:rsidP="00700904">
      <w:pPr>
        <w:autoSpaceDE w:val="0"/>
        <w:autoSpaceDN w:val="0"/>
        <w:adjustRightInd w:val="0"/>
        <w:spacing w:after="120"/>
        <w:ind w:left="180"/>
        <w:jc w:val="both"/>
        <w:rPr>
          <w:i/>
        </w:rPr>
      </w:pPr>
      <w:proofErr w:type="gramStart"/>
      <w:r w:rsidRPr="005470C3">
        <w:rPr>
          <w:i/>
        </w:rPr>
        <w:t>insert</w:t>
      </w:r>
      <w:proofErr w:type="gramEnd"/>
    </w:p>
    <w:p w:rsidR="00700904" w:rsidRPr="00BF1FA7" w:rsidRDefault="00700904" w:rsidP="00700904">
      <w:pPr>
        <w:pStyle w:val="BodyText"/>
        <w:spacing w:after="120"/>
        <w:ind w:left="540"/>
      </w:pPr>
      <w:proofErr w:type="gramStart"/>
      <w:r w:rsidRPr="00BF1FA7">
        <w:t>originally</w:t>
      </w:r>
      <w:proofErr w:type="gramEnd"/>
      <w:r w:rsidRPr="00BF1FA7">
        <w:t xml:space="preserve"> came</w:t>
      </w:r>
    </w:p>
    <w:p w:rsidR="00700904" w:rsidRPr="005470C3" w:rsidRDefault="00700904" w:rsidP="00700904">
      <w:pPr>
        <w:autoSpaceDE w:val="0"/>
        <w:autoSpaceDN w:val="0"/>
        <w:adjustRightInd w:val="0"/>
        <w:spacing w:after="120"/>
        <w:ind w:left="180"/>
        <w:jc w:val="both"/>
        <w:rPr>
          <w:i/>
        </w:rPr>
      </w:pPr>
      <w:proofErr w:type="gramStart"/>
      <w:r w:rsidRPr="005470C3">
        <w:rPr>
          <w:i/>
        </w:rPr>
        <w:t>after</w:t>
      </w:r>
      <w:proofErr w:type="gramEnd"/>
      <w:r w:rsidRPr="005470C3">
        <w:rPr>
          <w:i/>
        </w:rPr>
        <w:t xml:space="preserve"> </w:t>
      </w:r>
    </w:p>
    <w:p w:rsidR="00700904" w:rsidRPr="00BF1FA7" w:rsidRDefault="00700904" w:rsidP="00700904">
      <w:pPr>
        <w:pStyle w:val="BodyText"/>
        <w:spacing w:after="120"/>
        <w:ind w:left="540"/>
      </w:pPr>
      <w:r w:rsidRPr="00BF1FA7">
        <w:t>1 January 200</w:t>
      </w:r>
      <w:r>
        <w:t>3</w:t>
      </w:r>
      <w:r w:rsidRPr="00BF1FA7">
        <w:t>.</w:t>
      </w:r>
    </w:p>
    <w:p w:rsidR="00700904" w:rsidRPr="005470C3" w:rsidRDefault="00700904" w:rsidP="00700904">
      <w:pPr>
        <w:autoSpaceDE w:val="0"/>
        <w:autoSpaceDN w:val="0"/>
        <w:adjustRightInd w:val="0"/>
        <w:spacing w:after="120"/>
        <w:ind w:left="180"/>
        <w:jc w:val="both"/>
        <w:rPr>
          <w:i/>
        </w:rPr>
      </w:pPr>
      <w:proofErr w:type="gramStart"/>
      <w:r w:rsidRPr="005470C3">
        <w:rPr>
          <w:i/>
        </w:rPr>
        <w:t>insert</w:t>
      </w:r>
      <w:proofErr w:type="gramEnd"/>
    </w:p>
    <w:p w:rsidR="00700904" w:rsidRPr="00BF1FA7" w:rsidRDefault="00700904" w:rsidP="00700904">
      <w:pPr>
        <w:pStyle w:val="BodyText"/>
        <w:ind w:left="540"/>
      </w:pPr>
      <w:r w:rsidRPr="00BF1FA7">
        <w:t>This Standard as amended and restated comes into force on 1 January 2013.</w:t>
      </w:r>
    </w:p>
    <w:p w:rsidR="00700904" w:rsidRPr="005470C3" w:rsidRDefault="00700904" w:rsidP="00700904">
      <w:pPr>
        <w:autoSpaceDE w:val="0"/>
        <w:autoSpaceDN w:val="0"/>
        <w:adjustRightInd w:val="0"/>
        <w:spacing w:after="240"/>
        <w:ind w:left="180" w:hanging="180"/>
        <w:jc w:val="both"/>
      </w:pPr>
      <w:r>
        <w:t>10</w:t>
      </w:r>
      <w:r w:rsidRPr="005470C3">
        <w:t>. Paragraph 9</w:t>
      </w:r>
    </w:p>
    <w:p w:rsidR="00700904" w:rsidRPr="005470C3" w:rsidRDefault="00700904" w:rsidP="00700904">
      <w:pPr>
        <w:autoSpaceDE w:val="0"/>
        <w:autoSpaceDN w:val="0"/>
        <w:adjustRightInd w:val="0"/>
        <w:spacing w:after="120"/>
        <w:ind w:left="180"/>
        <w:jc w:val="both"/>
        <w:rPr>
          <w:i/>
        </w:rPr>
      </w:pPr>
      <w:proofErr w:type="gramStart"/>
      <w:r w:rsidRPr="005470C3">
        <w:rPr>
          <w:i/>
        </w:rPr>
        <w:t>after</w:t>
      </w:r>
      <w:proofErr w:type="gramEnd"/>
      <w:r w:rsidRPr="005470C3">
        <w:rPr>
          <w:i/>
        </w:rPr>
        <w:t xml:space="preserve"> </w:t>
      </w:r>
    </w:p>
    <w:p w:rsidR="00700904" w:rsidRPr="00BF1FA7" w:rsidRDefault="00700904" w:rsidP="00700904">
      <w:pPr>
        <w:pStyle w:val="BodyText"/>
        <w:spacing w:after="120"/>
        <w:ind w:left="540"/>
      </w:pPr>
      <w:proofErr w:type="gramStart"/>
      <w:r w:rsidRPr="00BF1FA7">
        <w:t>shall</w:t>
      </w:r>
      <w:proofErr w:type="gramEnd"/>
      <w:r w:rsidRPr="00BF1FA7">
        <w:t xml:space="preserve"> prohibit</w:t>
      </w:r>
    </w:p>
    <w:p w:rsidR="00700904" w:rsidRPr="005470C3" w:rsidRDefault="00700904" w:rsidP="00700904">
      <w:pPr>
        <w:autoSpaceDE w:val="0"/>
        <w:autoSpaceDN w:val="0"/>
        <w:adjustRightInd w:val="0"/>
        <w:spacing w:after="120"/>
        <w:ind w:left="180"/>
        <w:jc w:val="both"/>
        <w:rPr>
          <w:i/>
        </w:rPr>
      </w:pPr>
      <w:proofErr w:type="gramStart"/>
      <w:r w:rsidRPr="005470C3">
        <w:rPr>
          <w:i/>
        </w:rPr>
        <w:t>delete</w:t>
      </w:r>
      <w:proofErr w:type="gramEnd"/>
    </w:p>
    <w:p w:rsidR="00700904" w:rsidRPr="00BF1FA7" w:rsidRDefault="00700904" w:rsidP="00700904">
      <w:pPr>
        <w:pStyle w:val="BodyText"/>
        <w:spacing w:after="120"/>
        <w:ind w:left="540"/>
      </w:pPr>
      <w:proofErr w:type="gramStart"/>
      <w:r w:rsidRPr="00BF1FA7">
        <w:t>a</w:t>
      </w:r>
      <w:proofErr w:type="gramEnd"/>
      <w:r w:rsidRPr="00BF1FA7">
        <w:t xml:space="preserve"> merchant from charging a credit cardholder any fee or surcharge for a credit card transaction</w:t>
      </w:r>
      <w:r>
        <w:t>.</w:t>
      </w:r>
    </w:p>
    <w:p w:rsidR="00700904" w:rsidRPr="005470C3" w:rsidRDefault="00700904" w:rsidP="00700904">
      <w:pPr>
        <w:autoSpaceDE w:val="0"/>
        <w:autoSpaceDN w:val="0"/>
        <w:adjustRightInd w:val="0"/>
        <w:spacing w:after="120"/>
        <w:ind w:left="180"/>
        <w:jc w:val="both"/>
        <w:rPr>
          <w:i/>
        </w:rPr>
      </w:pPr>
      <w:proofErr w:type="gramStart"/>
      <w:r w:rsidRPr="005470C3">
        <w:rPr>
          <w:i/>
        </w:rPr>
        <w:t>insert</w:t>
      </w:r>
      <w:proofErr w:type="gramEnd"/>
    </w:p>
    <w:p w:rsidR="00700904" w:rsidRPr="00BF1FA7" w:rsidRDefault="00700904" w:rsidP="00700904">
      <w:pPr>
        <w:pStyle w:val="BodyText"/>
        <w:spacing w:after="120"/>
        <w:ind w:left="540"/>
      </w:pPr>
      <w:r w:rsidRPr="00BF1FA7">
        <w:t>:</w:t>
      </w:r>
    </w:p>
    <w:p w:rsidR="00700904" w:rsidRPr="00BF1FA7" w:rsidRDefault="00700904" w:rsidP="00700904">
      <w:pPr>
        <w:pStyle w:val="BodyText"/>
        <w:numPr>
          <w:ilvl w:val="0"/>
          <w:numId w:val="27"/>
        </w:numPr>
      </w:pPr>
      <w:r w:rsidRPr="00BF1FA7">
        <w:t>a merchant from recovering part or all of the reasonable cost of acceptance of credit cards issued under the Scheme by the merchant charging fees or surcharges to credit card holders; or</w:t>
      </w:r>
    </w:p>
    <w:p w:rsidR="00700904" w:rsidRPr="00BF1FA7" w:rsidRDefault="00700904" w:rsidP="00700904">
      <w:pPr>
        <w:pStyle w:val="BodyText"/>
        <w:numPr>
          <w:ilvl w:val="0"/>
          <w:numId w:val="27"/>
        </w:numPr>
      </w:pPr>
      <w:proofErr w:type="gramStart"/>
      <w:r w:rsidRPr="00BF1FA7">
        <w:t>a</w:t>
      </w:r>
      <w:proofErr w:type="gramEnd"/>
      <w:r w:rsidRPr="00BF1FA7">
        <w:t xml:space="preserve"> merchant, in recovering part or all of th</w:t>
      </w:r>
      <w:r>
        <w:t xml:space="preserve">e reasonable cost of acceptance </w:t>
      </w:r>
      <w:r w:rsidRPr="00BF1FA7">
        <w:t>of credit cards issued under the Scheme, from applying different fees or surcharges to credit card holders for different card types either within the Scheme or across card schemes</w:t>
      </w:r>
      <w:r>
        <w:t>.</w:t>
      </w:r>
    </w:p>
    <w:p w:rsidR="00700904" w:rsidRPr="005470C3" w:rsidRDefault="00700904" w:rsidP="00700904">
      <w:pPr>
        <w:autoSpaceDE w:val="0"/>
        <w:autoSpaceDN w:val="0"/>
        <w:adjustRightInd w:val="0"/>
        <w:spacing w:after="240"/>
        <w:ind w:left="180" w:hanging="180"/>
        <w:jc w:val="both"/>
      </w:pPr>
      <w:r>
        <w:t>11</w:t>
      </w:r>
      <w:r w:rsidRPr="005470C3">
        <w:t>. Paragraph 10</w:t>
      </w:r>
    </w:p>
    <w:p w:rsidR="00700904" w:rsidRPr="005470C3" w:rsidRDefault="00700904" w:rsidP="00700904">
      <w:pPr>
        <w:autoSpaceDE w:val="0"/>
        <w:autoSpaceDN w:val="0"/>
        <w:adjustRightInd w:val="0"/>
        <w:spacing w:after="120"/>
        <w:ind w:left="180"/>
        <w:jc w:val="both"/>
        <w:rPr>
          <w:i/>
        </w:rPr>
      </w:pPr>
      <w:proofErr w:type="gramStart"/>
      <w:r w:rsidRPr="005470C3">
        <w:rPr>
          <w:i/>
        </w:rPr>
        <w:t>delete</w:t>
      </w:r>
      <w:proofErr w:type="gramEnd"/>
    </w:p>
    <w:p w:rsidR="00700904" w:rsidRPr="00BF1FA7" w:rsidRDefault="00700904" w:rsidP="00700904">
      <w:pPr>
        <w:pStyle w:val="BodyText"/>
        <w:ind w:left="1080" w:hanging="540"/>
        <w:rPr>
          <w:lang w:eastAsia="en-AU"/>
        </w:rPr>
      </w:pPr>
      <w:r w:rsidRPr="00BF1FA7">
        <w:rPr>
          <w:lang w:eastAsia="en-AU"/>
        </w:rPr>
        <w:t>10.</w:t>
      </w:r>
      <w:r>
        <w:rPr>
          <w:lang w:eastAsia="en-AU"/>
        </w:rPr>
        <w:tab/>
      </w:r>
      <w:r w:rsidRPr="00BF1FA7">
        <w:rPr>
          <w:lang w:eastAsia="en-AU"/>
        </w:rPr>
        <w:t>Notwithstanding paragraph 8, an acquirer and a merchant may agree that the amount of any such fee or surcharge charged to a credit cardholder will be limited to the fees incurred by the merchant in respect of a credit card transaction.</w:t>
      </w:r>
    </w:p>
    <w:p w:rsidR="00700904" w:rsidRPr="005470C3" w:rsidRDefault="00700904" w:rsidP="00700904">
      <w:pPr>
        <w:autoSpaceDE w:val="0"/>
        <w:autoSpaceDN w:val="0"/>
        <w:adjustRightInd w:val="0"/>
        <w:spacing w:after="120"/>
        <w:ind w:left="180"/>
        <w:jc w:val="both"/>
        <w:rPr>
          <w:i/>
        </w:rPr>
      </w:pPr>
      <w:proofErr w:type="gramStart"/>
      <w:r w:rsidRPr="005470C3">
        <w:rPr>
          <w:i/>
        </w:rPr>
        <w:t>insert</w:t>
      </w:r>
      <w:proofErr w:type="gramEnd"/>
      <w:r w:rsidRPr="005470C3">
        <w:tab/>
      </w:r>
    </w:p>
    <w:p w:rsidR="00700904" w:rsidRPr="00BF1FA7" w:rsidRDefault="00700904" w:rsidP="00700904">
      <w:pPr>
        <w:pStyle w:val="BodyText"/>
        <w:ind w:left="1080" w:hanging="540"/>
        <w:rPr>
          <w:lang w:eastAsia="en-AU"/>
        </w:rPr>
      </w:pPr>
      <w:r w:rsidRPr="00BF1FA7">
        <w:rPr>
          <w:lang w:eastAsia="en-AU"/>
        </w:rPr>
        <w:t>10.</w:t>
      </w:r>
      <w:r w:rsidRPr="00BF1FA7">
        <w:rPr>
          <w:lang w:eastAsia="en-AU"/>
        </w:rPr>
        <w:tab/>
        <w:t>For the purposes of paragraph 9, the merchant’s cost of acceptance of credit cards issued under the Scheme may</w:t>
      </w:r>
      <w:r>
        <w:rPr>
          <w:lang w:eastAsia="en-AU"/>
        </w:rPr>
        <w:t>,</w:t>
      </w:r>
      <w:r w:rsidRPr="00BF1FA7">
        <w:rPr>
          <w:lang w:eastAsia="en-AU"/>
        </w:rPr>
        <w:t xml:space="preserve"> for the purpose of determination of a fee or surcharge, be determined by reference to:</w:t>
      </w:r>
    </w:p>
    <w:p w:rsidR="00700904" w:rsidRPr="00BF1FA7" w:rsidRDefault="00700904" w:rsidP="00700904">
      <w:pPr>
        <w:pStyle w:val="BodyText"/>
        <w:numPr>
          <w:ilvl w:val="0"/>
          <w:numId w:val="28"/>
        </w:numPr>
      </w:pPr>
      <w:r w:rsidRPr="00BF1FA7">
        <w:t>the cost to the merchant of the credit card transaction in relation to which the fee or surcharge is to be levied;</w:t>
      </w:r>
    </w:p>
    <w:p w:rsidR="00700904" w:rsidRPr="00BF1FA7" w:rsidRDefault="00700904" w:rsidP="00700904">
      <w:pPr>
        <w:pStyle w:val="BodyText"/>
        <w:numPr>
          <w:ilvl w:val="0"/>
          <w:numId w:val="28"/>
        </w:numPr>
      </w:pPr>
      <w:r w:rsidRPr="00BF1FA7">
        <w:t>the average cost to the merchant of acceptance of all credit cards of all types issued under the Scheme; or</w:t>
      </w:r>
    </w:p>
    <w:p w:rsidR="00700904" w:rsidRPr="00BF1FA7" w:rsidRDefault="00700904" w:rsidP="00700904">
      <w:pPr>
        <w:pStyle w:val="BodyText"/>
        <w:numPr>
          <w:ilvl w:val="0"/>
          <w:numId w:val="28"/>
        </w:numPr>
      </w:pPr>
      <w:r w:rsidRPr="00BF1FA7">
        <w:t xml:space="preserve">the average cost to the merchant of acceptance of a subset of credit cards issued under the Scheme that includes the type of credit card in relation to which the fee or surcharge is to be levied, </w:t>
      </w:r>
    </w:p>
    <w:p w:rsidR="00700904" w:rsidRPr="00BF1FA7" w:rsidRDefault="00700904" w:rsidP="00700904">
      <w:pPr>
        <w:pStyle w:val="BodyText"/>
        <w:ind w:left="1080"/>
      </w:pPr>
      <w:proofErr w:type="gramStart"/>
      <w:r w:rsidRPr="00BF1FA7">
        <w:rPr>
          <w:lang w:eastAsia="en-AU"/>
        </w:rPr>
        <w:t>and</w:t>
      </w:r>
      <w:proofErr w:type="gramEnd"/>
      <w:r w:rsidRPr="00BF1FA7">
        <w:t xml:space="preserve"> includes, but is not necessarily limited to, in the case of (</w:t>
      </w:r>
      <w:proofErr w:type="spellStart"/>
      <w:r w:rsidRPr="00BF1FA7">
        <w:t>i</w:t>
      </w:r>
      <w:proofErr w:type="spellEnd"/>
      <w:r w:rsidRPr="00BF1FA7">
        <w:t>), the applicable merchant service fee and, in the case of (ii) and (iii), all applicable merchant service fees.</w:t>
      </w:r>
    </w:p>
    <w:p w:rsidR="00700904" w:rsidRPr="005470C3" w:rsidRDefault="00700904" w:rsidP="00700904">
      <w:pPr>
        <w:autoSpaceDE w:val="0"/>
        <w:autoSpaceDN w:val="0"/>
        <w:adjustRightInd w:val="0"/>
        <w:spacing w:after="240"/>
        <w:ind w:left="180" w:hanging="180"/>
        <w:jc w:val="both"/>
      </w:pPr>
      <w:r w:rsidRPr="005470C3">
        <w:t>1</w:t>
      </w:r>
      <w:r>
        <w:t>2</w:t>
      </w:r>
      <w:r w:rsidRPr="005470C3">
        <w:t>. Paragraph 11</w:t>
      </w:r>
    </w:p>
    <w:p w:rsidR="00700904" w:rsidRPr="005470C3" w:rsidRDefault="00700904" w:rsidP="00700904">
      <w:pPr>
        <w:autoSpaceDE w:val="0"/>
        <w:autoSpaceDN w:val="0"/>
        <w:adjustRightInd w:val="0"/>
        <w:spacing w:after="120"/>
        <w:ind w:left="180"/>
        <w:jc w:val="both"/>
        <w:rPr>
          <w:i/>
        </w:rPr>
      </w:pPr>
      <w:proofErr w:type="gramStart"/>
      <w:r w:rsidRPr="005470C3">
        <w:rPr>
          <w:i/>
        </w:rPr>
        <w:t>after</w:t>
      </w:r>
      <w:proofErr w:type="gramEnd"/>
    </w:p>
    <w:p w:rsidR="00700904" w:rsidRPr="00BF1FA7" w:rsidRDefault="00700904" w:rsidP="00700904">
      <w:pPr>
        <w:pStyle w:val="BodyText"/>
        <w:spacing w:after="120"/>
        <w:ind w:left="540"/>
      </w:pPr>
      <w:proofErr w:type="gramStart"/>
      <w:r w:rsidRPr="00BF1FA7">
        <w:t>provisions</w:t>
      </w:r>
      <w:proofErr w:type="gramEnd"/>
      <w:r w:rsidRPr="00BF1FA7">
        <w:t xml:space="preserve"> of this Standard</w:t>
      </w:r>
    </w:p>
    <w:p w:rsidR="00700904" w:rsidRPr="005470C3" w:rsidRDefault="00700904" w:rsidP="00700904">
      <w:pPr>
        <w:autoSpaceDE w:val="0"/>
        <w:autoSpaceDN w:val="0"/>
        <w:adjustRightInd w:val="0"/>
        <w:spacing w:after="120"/>
        <w:ind w:left="180"/>
        <w:jc w:val="both"/>
        <w:rPr>
          <w:i/>
        </w:rPr>
      </w:pPr>
      <w:r w:rsidRPr="00BF1FA7">
        <w:rPr>
          <w:i/>
        </w:rPr>
        <w:t xml:space="preserve"> </w:t>
      </w:r>
      <w:proofErr w:type="gramStart"/>
      <w:r w:rsidRPr="00BF1FA7">
        <w:rPr>
          <w:i/>
        </w:rPr>
        <w:t>insert</w:t>
      </w:r>
      <w:proofErr w:type="gramEnd"/>
    </w:p>
    <w:p w:rsidR="00700904" w:rsidRPr="00BF1FA7" w:rsidRDefault="00700904" w:rsidP="00700904">
      <w:pPr>
        <w:pStyle w:val="BodyText"/>
        <w:spacing w:after="120"/>
        <w:ind w:left="540"/>
      </w:pPr>
      <w:r w:rsidRPr="00BF1FA7">
        <w:t>(</w:t>
      </w:r>
      <w:proofErr w:type="gramStart"/>
      <w:r w:rsidRPr="00BF1FA7">
        <w:t>as</w:t>
      </w:r>
      <w:proofErr w:type="gramEnd"/>
      <w:r w:rsidRPr="00BF1FA7">
        <w:t xml:space="preserve"> amended) either before, or </w:t>
      </w:r>
    </w:p>
    <w:p w:rsidR="00700904" w:rsidRPr="005470C3" w:rsidRDefault="00700904" w:rsidP="00700904">
      <w:pPr>
        <w:autoSpaceDE w:val="0"/>
        <w:autoSpaceDN w:val="0"/>
        <w:adjustRightInd w:val="0"/>
        <w:spacing w:after="120"/>
        <w:ind w:left="180"/>
        <w:jc w:val="both"/>
        <w:rPr>
          <w:i/>
        </w:rPr>
      </w:pPr>
      <w:proofErr w:type="gramStart"/>
      <w:r w:rsidRPr="005470C3">
        <w:rPr>
          <w:i/>
        </w:rPr>
        <w:t>after</w:t>
      </w:r>
      <w:proofErr w:type="gramEnd"/>
    </w:p>
    <w:p w:rsidR="00700904" w:rsidRPr="00BF1FA7" w:rsidRDefault="00700904" w:rsidP="00700904">
      <w:pPr>
        <w:pStyle w:val="BodyText"/>
        <w:spacing w:after="120"/>
        <w:ind w:left="540"/>
      </w:pPr>
      <w:proofErr w:type="gramStart"/>
      <w:r w:rsidRPr="00BF1FA7">
        <w:t>as</w:t>
      </w:r>
      <w:proofErr w:type="gramEnd"/>
      <w:r w:rsidRPr="00BF1FA7">
        <w:t xml:space="preserve"> soon as practicable after</w:t>
      </w:r>
    </w:p>
    <w:p w:rsidR="00700904" w:rsidRPr="005470C3" w:rsidRDefault="00700904" w:rsidP="00700904">
      <w:pPr>
        <w:autoSpaceDE w:val="0"/>
        <w:autoSpaceDN w:val="0"/>
        <w:adjustRightInd w:val="0"/>
        <w:spacing w:after="120"/>
        <w:ind w:left="180"/>
        <w:jc w:val="both"/>
        <w:rPr>
          <w:i/>
        </w:rPr>
      </w:pPr>
      <w:proofErr w:type="gramStart"/>
      <w:r w:rsidRPr="005470C3">
        <w:rPr>
          <w:i/>
        </w:rPr>
        <w:t>insert</w:t>
      </w:r>
      <w:proofErr w:type="gramEnd"/>
      <w:r w:rsidRPr="005470C3">
        <w:rPr>
          <w:i/>
        </w:rPr>
        <w:t xml:space="preserve"> </w:t>
      </w:r>
    </w:p>
    <w:p w:rsidR="00700904" w:rsidRPr="00BF1FA7" w:rsidRDefault="00700904" w:rsidP="00700904">
      <w:pPr>
        <w:pStyle w:val="BodyText"/>
        <w:spacing w:after="120"/>
        <w:ind w:left="540"/>
      </w:pPr>
      <w:r w:rsidRPr="00BF1FA7">
        <w:t>,</w:t>
      </w:r>
    </w:p>
    <w:p w:rsidR="00700904" w:rsidRPr="005470C3" w:rsidRDefault="00700904" w:rsidP="00700904">
      <w:pPr>
        <w:autoSpaceDE w:val="0"/>
        <w:autoSpaceDN w:val="0"/>
        <w:adjustRightInd w:val="0"/>
        <w:spacing w:after="120"/>
        <w:ind w:left="180"/>
        <w:jc w:val="both"/>
        <w:rPr>
          <w:i/>
        </w:rPr>
      </w:pPr>
      <w:proofErr w:type="gramStart"/>
      <w:r w:rsidRPr="005470C3">
        <w:rPr>
          <w:i/>
        </w:rPr>
        <w:t>after</w:t>
      </w:r>
      <w:proofErr w:type="gramEnd"/>
    </w:p>
    <w:p w:rsidR="00700904" w:rsidRPr="00BF1FA7" w:rsidRDefault="00700904" w:rsidP="00700904">
      <w:pPr>
        <w:pStyle w:val="BodyText"/>
        <w:spacing w:after="120"/>
        <w:ind w:left="540"/>
      </w:pPr>
      <w:proofErr w:type="gramStart"/>
      <w:r w:rsidRPr="00BF1FA7">
        <w:t>this</w:t>
      </w:r>
      <w:proofErr w:type="gramEnd"/>
      <w:r w:rsidRPr="00BF1FA7">
        <w:t xml:space="preserve"> Standard</w:t>
      </w:r>
    </w:p>
    <w:p w:rsidR="00700904" w:rsidRPr="005470C3" w:rsidRDefault="00700904" w:rsidP="00700904">
      <w:pPr>
        <w:autoSpaceDE w:val="0"/>
        <w:autoSpaceDN w:val="0"/>
        <w:adjustRightInd w:val="0"/>
        <w:spacing w:after="120"/>
        <w:ind w:left="180"/>
        <w:jc w:val="both"/>
        <w:rPr>
          <w:i/>
        </w:rPr>
      </w:pPr>
      <w:proofErr w:type="gramStart"/>
      <w:r w:rsidRPr="005470C3">
        <w:rPr>
          <w:i/>
        </w:rPr>
        <w:t>insert</w:t>
      </w:r>
      <w:proofErr w:type="gramEnd"/>
    </w:p>
    <w:p w:rsidR="00DB46EC" w:rsidRDefault="00700904" w:rsidP="00700904">
      <w:pPr>
        <w:pStyle w:val="BodyText"/>
        <w:spacing w:after="120"/>
        <w:ind w:left="540"/>
      </w:pPr>
      <w:r w:rsidRPr="00BF1FA7">
        <w:t>(</w:t>
      </w:r>
      <w:proofErr w:type="gramStart"/>
      <w:r w:rsidRPr="00BF1FA7">
        <w:t>as</w:t>
      </w:r>
      <w:proofErr w:type="gramEnd"/>
      <w:r w:rsidRPr="00BF1FA7">
        <w:t xml:space="preserve"> amended)</w:t>
      </w:r>
    </w:p>
    <w:p w:rsidR="00BF1FA7" w:rsidRPr="00BF1FA7" w:rsidRDefault="00BF1FA7" w:rsidP="00BF1FA7">
      <w:pPr>
        <w:pStyle w:val="BodyText"/>
        <w:ind w:left="540"/>
      </w:pPr>
    </w:p>
    <w:p w:rsidR="005470C3" w:rsidRPr="005470C3" w:rsidRDefault="00BF1FA7" w:rsidP="00BF1FA7">
      <w:pPr>
        <w:autoSpaceDE w:val="0"/>
        <w:autoSpaceDN w:val="0"/>
        <w:adjustRightInd w:val="0"/>
        <w:spacing w:after="240"/>
        <w:jc w:val="both"/>
        <w:rPr>
          <w:b/>
        </w:rPr>
      </w:pPr>
      <w:r>
        <w:rPr>
          <w:b/>
        </w:rPr>
        <w:t>II</w:t>
      </w:r>
      <w:r w:rsidR="0006388A">
        <w:rPr>
          <w:b/>
        </w:rPr>
        <w:t>I</w:t>
      </w:r>
      <w:r>
        <w:rPr>
          <w:b/>
        </w:rPr>
        <w:t xml:space="preserve">. </w:t>
      </w:r>
      <w:proofErr w:type="gramStart"/>
      <w:r w:rsidR="00C8174C" w:rsidRPr="00C8174C">
        <w:rPr>
          <w:b/>
        </w:rPr>
        <w:t>The</w:t>
      </w:r>
      <w:proofErr w:type="gramEnd"/>
      <w:r w:rsidR="00C8174C" w:rsidRPr="00C8174C">
        <w:rPr>
          <w:b/>
        </w:rPr>
        <w:t xml:space="preserve"> Standard entitled </w:t>
      </w:r>
      <w:r w:rsidR="00C8174C" w:rsidRPr="00C8174C">
        <w:rPr>
          <w:b/>
          <w:i/>
        </w:rPr>
        <w:t xml:space="preserve">The ‘Honour All Cards’ Rule in the Visa Debit and Visa Credit Card Systems and the ‘No Surcharge’ Rule in the Visa Debit System, </w:t>
      </w:r>
      <w:r w:rsidR="00C8174C" w:rsidRPr="00C8174C">
        <w:rPr>
          <w:b/>
        </w:rPr>
        <w:t>gazetted on 7 July 2006</w:t>
      </w:r>
    </w:p>
    <w:p w:rsidR="005470C3" w:rsidRPr="005470C3" w:rsidRDefault="005470C3" w:rsidP="00BF1FA7">
      <w:pPr>
        <w:autoSpaceDE w:val="0"/>
        <w:autoSpaceDN w:val="0"/>
        <w:adjustRightInd w:val="0"/>
        <w:spacing w:after="240"/>
        <w:ind w:left="180" w:hanging="180"/>
        <w:jc w:val="both"/>
      </w:pPr>
      <w:r w:rsidRPr="005470C3">
        <w:t>1</w:t>
      </w:r>
      <w:r w:rsidR="00BF1FA7">
        <w:t xml:space="preserve">. </w:t>
      </w:r>
      <w:proofErr w:type="gramStart"/>
      <w:r w:rsidRPr="005470C3">
        <w:t>before</w:t>
      </w:r>
      <w:proofErr w:type="gramEnd"/>
      <w:r w:rsidRPr="005470C3">
        <w:t xml:space="preserve"> the heading entitled ‘Application’ </w:t>
      </w:r>
    </w:p>
    <w:p w:rsidR="005470C3" w:rsidRPr="005470C3" w:rsidRDefault="005470C3" w:rsidP="00BF1FA7">
      <w:pPr>
        <w:autoSpaceDE w:val="0"/>
        <w:autoSpaceDN w:val="0"/>
        <w:adjustRightInd w:val="0"/>
        <w:spacing w:after="120"/>
        <w:ind w:left="180"/>
        <w:jc w:val="both"/>
        <w:rPr>
          <w:i/>
        </w:rPr>
      </w:pPr>
      <w:proofErr w:type="gramStart"/>
      <w:r w:rsidRPr="005470C3">
        <w:rPr>
          <w:i/>
        </w:rPr>
        <w:t>insert</w:t>
      </w:r>
      <w:proofErr w:type="gramEnd"/>
      <w:r w:rsidRPr="005470C3">
        <w:rPr>
          <w:i/>
        </w:rPr>
        <w:t xml:space="preserve"> the heading entitled</w:t>
      </w:r>
      <w:r w:rsidRPr="005470C3">
        <w:rPr>
          <w:i/>
        </w:rPr>
        <w:tab/>
      </w:r>
    </w:p>
    <w:p w:rsidR="005470C3" w:rsidRPr="00BF1FA7" w:rsidRDefault="005470C3" w:rsidP="00BF1FA7">
      <w:pPr>
        <w:pStyle w:val="BodyText"/>
        <w:ind w:left="540"/>
      </w:pPr>
      <w:r w:rsidRPr="00BF1FA7">
        <w:t>Amended and restated Standard</w:t>
      </w:r>
    </w:p>
    <w:p w:rsidR="005470C3" w:rsidRPr="005470C3" w:rsidRDefault="005470C3" w:rsidP="00BF1FA7">
      <w:pPr>
        <w:autoSpaceDE w:val="0"/>
        <w:autoSpaceDN w:val="0"/>
        <w:adjustRightInd w:val="0"/>
        <w:spacing w:after="240"/>
        <w:ind w:left="180" w:hanging="180"/>
        <w:jc w:val="both"/>
      </w:pPr>
      <w:r w:rsidRPr="005470C3">
        <w:t>2</w:t>
      </w:r>
      <w:r w:rsidR="00BF1FA7">
        <w:t xml:space="preserve">. </w:t>
      </w:r>
      <w:proofErr w:type="gramStart"/>
      <w:r w:rsidR="00557D78">
        <w:t>under</w:t>
      </w:r>
      <w:proofErr w:type="gramEnd"/>
      <w:r w:rsidR="00557D78">
        <w:t xml:space="preserve"> the heading </w:t>
      </w:r>
      <w:r w:rsidRPr="005470C3">
        <w:t>entitled ‘Amended and restated Standard’</w:t>
      </w:r>
    </w:p>
    <w:p w:rsidR="005470C3" w:rsidRPr="005470C3" w:rsidRDefault="005470C3" w:rsidP="00BF1FA7">
      <w:pPr>
        <w:autoSpaceDE w:val="0"/>
        <w:autoSpaceDN w:val="0"/>
        <w:adjustRightInd w:val="0"/>
        <w:spacing w:after="120"/>
        <w:ind w:left="180"/>
        <w:jc w:val="both"/>
        <w:rPr>
          <w:i/>
        </w:rPr>
      </w:pPr>
      <w:proofErr w:type="gramStart"/>
      <w:r w:rsidRPr="005470C3">
        <w:rPr>
          <w:i/>
        </w:rPr>
        <w:t>insert</w:t>
      </w:r>
      <w:proofErr w:type="gramEnd"/>
    </w:p>
    <w:p w:rsidR="005470C3" w:rsidRPr="00BF1FA7" w:rsidRDefault="00BF1FA7" w:rsidP="00BF1FA7">
      <w:pPr>
        <w:pStyle w:val="BodyText"/>
        <w:ind w:left="1080" w:hanging="540"/>
        <w:rPr>
          <w:lang w:eastAsia="en-AU"/>
        </w:rPr>
      </w:pPr>
      <w:r>
        <w:rPr>
          <w:lang w:eastAsia="en-AU"/>
        </w:rPr>
        <w:t xml:space="preserve">1. </w:t>
      </w:r>
      <w:r>
        <w:rPr>
          <w:lang w:eastAsia="en-AU"/>
        </w:rPr>
        <w:tab/>
      </w:r>
      <w:r w:rsidR="005470C3" w:rsidRPr="00BF1FA7">
        <w:rPr>
          <w:lang w:eastAsia="en-AU"/>
        </w:rPr>
        <w:t xml:space="preserve">This Standard </w:t>
      </w:r>
      <w:r w:rsidR="0006388A">
        <w:rPr>
          <w:lang w:eastAsia="en-AU"/>
        </w:rPr>
        <w:t>is an amended and restated Standard of that gazetted on 7 July 2006</w:t>
      </w:r>
      <w:r w:rsidR="005470C3" w:rsidRPr="00BF1FA7">
        <w:rPr>
          <w:lang w:eastAsia="en-AU"/>
        </w:rPr>
        <w:t>.</w:t>
      </w:r>
    </w:p>
    <w:p w:rsidR="005470C3" w:rsidRPr="005470C3" w:rsidRDefault="00BF1FA7" w:rsidP="00BF1FA7">
      <w:pPr>
        <w:autoSpaceDE w:val="0"/>
        <w:autoSpaceDN w:val="0"/>
        <w:adjustRightInd w:val="0"/>
        <w:spacing w:after="240"/>
        <w:ind w:left="180" w:hanging="180"/>
        <w:jc w:val="both"/>
      </w:pPr>
      <w:r>
        <w:t xml:space="preserve">3. </w:t>
      </w:r>
      <w:r w:rsidR="005470C3" w:rsidRPr="005470C3">
        <w:t>Paragraphs 1 through to 11</w:t>
      </w:r>
    </w:p>
    <w:p w:rsidR="005470C3" w:rsidRPr="00BF1FA7" w:rsidRDefault="005470C3" w:rsidP="00BF1FA7">
      <w:pPr>
        <w:autoSpaceDE w:val="0"/>
        <w:autoSpaceDN w:val="0"/>
        <w:adjustRightInd w:val="0"/>
        <w:spacing w:after="240"/>
        <w:ind w:left="180"/>
        <w:jc w:val="both"/>
        <w:rPr>
          <w:i/>
        </w:rPr>
      </w:pPr>
      <w:r w:rsidRPr="005470C3">
        <w:rPr>
          <w:i/>
        </w:rPr>
        <w:t xml:space="preserve">Renumber as 2 through to 12  </w:t>
      </w:r>
      <w:r w:rsidRPr="00BF1FA7">
        <w:rPr>
          <w:i/>
        </w:rPr>
        <w:t xml:space="preserve"> </w:t>
      </w:r>
    </w:p>
    <w:p w:rsidR="005470C3" w:rsidRPr="005470C3" w:rsidRDefault="00BF1FA7" w:rsidP="00BF1FA7">
      <w:pPr>
        <w:autoSpaceDE w:val="0"/>
        <w:autoSpaceDN w:val="0"/>
        <w:adjustRightInd w:val="0"/>
        <w:spacing w:after="240"/>
        <w:ind w:left="180" w:hanging="180"/>
        <w:jc w:val="both"/>
      </w:pPr>
      <w:r>
        <w:t xml:space="preserve">4. </w:t>
      </w:r>
      <w:r w:rsidR="005470C3" w:rsidRPr="005470C3">
        <w:t>Paragraph 3</w:t>
      </w:r>
    </w:p>
    <w:p w:rsidR="005470C3" w:rsidRPr="005470C3" w:rsidRDefault="005470C3" w:rsidP="00BF1FA7">
      <w:pPr>
        <w:autoSpaceDE w:val="0"/>
        <w:autoSpaceDN w:val="0"/>
        <w:adjustRightInd w:val="0"/>
        <w:spacing w:after="120"/>
        <w:ind w:left="180"/>
        <w:jc w:val="both"/>
        <w:rPr>
          <w:i/>
        </w:rPr>
      </w:pPr>
      <w:proofErr w:type="gramStart"/>
      <w:r w:rsidRPr="005470C3">
        <w:rPr>
          <w:i/>
        </w:rPr>
        <w:t>after</w:t>
      </w:r>
      <w:proofErr w:type="gramEnd"/>
    </w:p>
    <w:p w:rsidR="005470C3" w:rsidRPr="00BF1FA7" w:rsidRDefault="00BF1FA7" w:rsidP="00BF1FA7">
      <w:pPr>
        <w:pStyle w:val="BodyText"/>
        <w:spacing w:after="120"/>
        <w:ind w:left="540"/>
      </w:pPr>
      <w:r>
        <w:t>1</w:t>
      </w:r>
      <w:r w:rsidR="005470C3" w:rsidRPr="00BF1FA7">
        <w:t>2 April 2001</w:t>
      </w:r>
    </w:p>
    <w:p w:rsidR="005470C3" w:rsidRPr="005470C3" w:rsidRDefault="005470C3" w:rsidP="00BF1FA7">
      <w:pPr>
        <w:autoSpaceDE w:val="0"/>
        <w:autoSpaceDN w:val="0"/>
        <w:adjustRightInd w:val="0"/>
        <w:spacing w:after="120"/>
        <w:ind w:left="180"/>
        <w:jc w:val="both"/>
        <w:rPr>
          <w:i/>
        </w:rPr>
      </w:pPr>
      <w:proofErr w:type="gramStart"/>
      <w:r w:rsidRPr="005470C3">
        <w:rPr>
          <w:i/>
        </w:rPr>
        <w:t>insert</w:t>
      </w:r>
      <w:proofErr w:type="gramEnd"/>
    </w:p>
    <w:p w:rsidR="005470C3" w:rsidRPr="00BF1FA7" w:rsidRDefault="005470C3" w:rsidP="00700904">
      <w:pPr>
        <w:pStyle w:val="BodyText"/>
        <w:ind w:left="540"/>
      </w:pPr>
      <w:r w:rsidRPr="00BF1FA7">
        <w:t>(</w:t>
      </w:r>
      <w:proofErr w:type="gramStart"/>
      <w:r w:rsidRPr="00BF1FA7">
        <w:t>together</w:t>
      </w:r>
      <w:proofErr w:type="gramEnd"/>
      <w:r w:rsidRPr="00BF1FA7">
        <w:t xml:space="preserve"> referred to as the </w:t>
      </w:r>
      <w:r w:rsidR="0006388A">
        <w:t>‘</w:t>
      </w:r>
      <w:r w:rsidRPr="00BF1FA7">
        <w:t>Scheme</w:t>
      </w:r>
      <w:r w:rsidR="0006388A">
        <w:t>’</w:t>
      </w:r>
      <w:r w:rsidRPr="00BF1FA7">
        <w:t>)</w:t>
      </w:r>
      <w:r w:rsidRPr="00BF1FA7">
        <w:tab/>
      </w:r>
    </w:p>
    <w:p w:rsidR="005470C3" w:rsidRPr="005470C3" w:rsidRDefault="00BF1FA7" w:rsidP="00BF1FA7">
      <w:pPr>
        <w:autoSpaceDE w:val="0"/>
        <w:autoSpaceDN w:val="0"/>
        <w:adjustRightInd w:val="0"/>
        <w:spacing w:after="240"/>
        <w:ind w:left="180" w:hanging="180"/>
        <w:jc w:val="both"/>
      </w:pPr>
      <w:r>
        <w:t xml:space="preserve">5. </w:t>
      </w:r>
      <w:r w:rsidR="005470C3" w:rsidRPr="005470C3">
        <w:t>Paragraph 4</w:t>
      </w:r>
    </w:p>
    <w:p w:rsidR="005470C3" w:rsidRPr="005470C3" w:rsidRDefault="005470C3" w:rsidP="00BF1FA7">
      <w:pPr>
        <w:autoSpaceDE w:val="0"/>
        <w:autoSpaceDN w:val="0"/>
        <w:adjustRightInd w:val="0"/>
        <w:spacing w:after="120"/>
        <w:ind w:left="180"/>
        <w:jc w:val="both"/>
        <w:rPr>
          <w:i/>
        </w:rPr>
      </w:pPr>
      <w:proofErr w:type="gramStart"/>
      <w:r w:rsidRPr="005470C3">
        <w:rPr>
          <w:i/>
        </w:rPr>
        <w:t>after</w:t>
      </w:r>
      <w:proofErr w:type="gramEnd"/>
    </w:p>
    <w:p w:rsidR="005470C3" w:rsidRPr="00BF1FA7" w:rsidRDefault="005470C3" w:rsidP="00BF1FA7">
      <w:pPr>
        <w:pStyle w:val="BodyText"/>
        <w:spacing w:after="120"/>
        <w:ind w:left="540"/>
      </w:pPr>
      <w:proofErr w:type="gramStart"/>
      <w:r w:rsidRPr="00BF1FA7">
        <w:t>the</w:t>
      </w:r>
      <w:proofErr w:type="gramEnd"/>
      <w:r w:rsidRPr="00BF1FA7">
        <w:t xml:space="preserve"> definition of  ‘merchant’</w:t>
      </w:r>
    </w:p>
    <w:p w:rsidR="005470C3" w:rsidRPr="005470C3" w:rsidRDefault="005470C3" w:rsidP="00BF1FA7">
      <w:pPr>
        <w:autoSpaceDE w:val="0"/>
        <w:autoSpaceDN w:val="0"/>
        <w:adjustRightInd w:val="0"/>
        <w:spacing w:after="120"/>
        <w:ind w:left="180"/>
        <w:jc w:val="both"/>
        <w:rPr>
          <w:i/>
        </w:rPr>
      </w:pPr>
      <w:proofErr w:type="gramStart"/>
      <w:r w:rsidRPr="005470C3">
        <w:rPr>
          <w:i/>
        </w:rPr>
        <w:t>insert</w:t>
      </w:r>
      <w:proofErr w:type="gramEnd"/>
    </w:p>
    <w:p w:rsidR="005470C3" w:rsidRDefault="005470C3" w:rsidP="00BF1FA7">
      <w:pPr>
        <w:pStyle w:val="BodyText"/>
        <w:ind w:left="540"/>
      </w:pPr>
      <w:r w:rsidRPr="00BF1FA7">
        <w:t xml:space="preserve">‘merchant service fee’ means a transaction-based fee charged to a merchant for acquiring Visa Debit card transactions from that merchant whether collected on an </w:t>
      </w:r>
      <w:r w:rsidRPr="0006388A">
        <w:rPr>
          <w:i/>
        </w:rPr>
        <w:t>ad valorem</w:t>
      </w:r>
      <w:r w:rsidRPr="00BF1FA7">
        <w:t xml:space="preserve"> or flat-fee basis, or charged as a blended rate with Visa credit cards or on an interchange plus acquirer margin basis or any other basis;</w:t>
      </w:r>
    </w:p>
    <w:p w:rsidR="00557D78" w:rsidRDefault="00557D78" w:rsidP="00557D78">
      <w:pPr>
        <w:autoSpaceDE w:val="0"/>
        <w:autoSpaceDN w:val="0"/>
        <w:adjustRightInd w:val="0"/>
        <w:spacing w:after="240"/>
        <w:ind w:left="180" w:hanging="180"/>
        <w:jc w:val="both"/>
      </w:pPr>
      <w:r>
        <w:t>6. Paragraph 4, in the definition of ‘Visa credit card transaction’</w:t>
      </w:r>
    </w:p>
    <w:p w:rsidR="00557D78" w:rsidRPr="00557D78" w:rsidRDefault="00557D78" w:rsidP="00557D78">
      <w:pPr>
        <w:autoSpaceDE w:val="0"/>
        <w:autoSpaceDN w:val="0"/>
        <w:adjustRightInd w:val="0"/>
        <w:spacing w:after="120"/>
        <w:ind w:left="180"/>
        <w:jc w:val="both"/>
        <w:rPr>
          <w:i/>
        </w:rPr>
      </w:pPr>
      <w:proofErr w:type="gramStart"/>
      <w:r>
        <w:rPr>
          <w:i/>
        </w:rPr>
        <w:t>delete</w:t>
      </w:r>
      <w:proofErr w:type="gramEnd"/>
    </w:p>
    <w:p w:rsidR="00557D78" w:rsidRDefault="00557D78" w:rsidP="00557D78">
      <w:pPr>
        <w:pStyle w:val="BodyText"/>
        <w:spacing w:after="120"/>
        <w:ind w:left="540"/>
      </w:pPr>
      <w:proofErr w:type="gramStart"/>
      <w:r>
        <w:t>cardholder</w:t>
      </w:r>
      <w:proofErr w:type="gramEnd"/>
    </w:p>
    <w:p w:rsidR="00557D78" w:rsidRDefault="00557D78" w:rsidP="00557D78">
      <w:pPr>
        <w:autoSpaceDE w:val="0"/>
        <w:autoSpaceDN w:val="0"/>
        <w:adjustRightInd w:val="0"/>
        <w:spacing w:after="120"/>
        <w:ind w:left="180"/>
        <w:jc w:val="both"/>
        <w:rPr>
          <w:i/>
        </w:rPr>
      </w:pPr>
      <w:proofErr w:type="gramStart"/>
      <w:r>
        <w:rPr>
          <w:i/>
        </w:rPr>
        <w:t>substitute</w:t>
      </w:r>
      <w:proofErr w:type="gramEnd"/>
    </w:p>
    <w:p w:rsidR="00557D78" w:rsidRPr="0006388A" w:rsidRDefault="00557D78" w:rsidP="00557D78">
      <w:pPr>
        <w:pStyle w:val="BodyText"/>
        <w:ind w:left="540"/>
      </w:pPr>
      <w:proofErr w:type="gramStart"/>
      <w:r>
        <w:t>card</w:t>
      </w:r>
      <w:proofErr w:type="gramEnd"/>
      <w:r>
        <w:t xml:space="preserve"> holder</w:t>
      </w:r>
    </w:p>
    <w:p w:rsidR="00557D78" w:rsidRDefault="00557D78" w:rsidP="00557D78">
      <w:pPr>
        <w:autoSpaceDE w:val="0"/>
        <w:autoSpaceDN w:val="0"/>
        <w:adjustRightInd w:val="0"/>
        <w:spacing w:after="240"/>
        <w:ind w:left="180" w:hanging="180"/>
        <w:jc w:val="both"/>
      </w:pPr>
      <w:r>
        <w:t>7. Paragraph 4, in the definition of ‘Visa Debit card transaction’</w:t>
      </w:r>
    </w:p>
    <w:p w:rsidR="00557D78" w:rsidRPr="00557D78" w:rsidRDefault="00557D78" w:rsidP="00557D78">
      <w:pPr>
        <w:autoSpaceDE w:val="0"/>
        <w:autoSpaceDN w:val="0"/>
        <w:adjustRightInd w:val="0"/>
        <w:spacing w:after="120"/>
        <w:ind w:left="180"/>
        <w:jc w:val="both"/>
        <w:rPr>
          <w:i/>
        </w:rPr>
      </w:pPr>
      <w:proofErr w:type="gramStart"/>
      <w:r>
        <w:rPr>
          <w:i/>
        </w:rPr>
        <w:t>delete</w:t>
      </w:r>
      <w:proofErr w:type="gramEnd"/>
    </w:p>
    <w:p w:rsidR="00557D78" w:rsidRDefault="00557D78" w:rsidP="00557D78">
      <w:pPr>
        <w:pStyle w:val="BodyText"/>
        <w:spacing w:after="120"/>
        <w:ind w:left="540"/>
      </w:pPr>
      <w:proofErr w:type="gramStart"/>
      <w:r>
        <w:t>cardholder</w:t>
      </w:r>
      <w:proofErr w:type="gramEnd"/>
    </w:p>
    <w:p w:rsidR="00557D78" w:rsidRDefault="00557D78" w:rsidP="00557D78">
      <w:pPr>
        <w:autoSpaceDE w:val="0"/>
        <w:autoSpaceDN w:val="0"/>
        <w:adjustRightInd w:val="0"/>
        <w:spacing w:after="120"/>
        <w:ind w:left="180"/>
        <w:jc w:val="both"/>
        <w:rPr>
          <w:i/>
        </w:rPr>
      </w:pPr>
      <w:proofErr w:type="gramStart"/>
      <w:r>
        <w:rPr>
          <w:i/>
        </w:rPr>
        <w:t>substitute</w:t>
      </w:r>
      <w:proofErr w:type="gramEnd"/>
    </w:p>
    <w:p w:rsidR="00557D78" w:rsidRPr="00BF1FA7" w:rsidRDefault="00557D78" w:rsidP="00557D78">
      <w:pPr>
        <w:pStyle w:val="BodyText"/>
        <w:ind w:left="540"/>
      </w:pPr>
      <w:proofErr w:type="gramStart"/>
      <w:r>
        <w:t>card</w:t>
      </w:r>
      <w:proofErr w:type="gramEnd"/>
      <w:r>
        <w:t xml:space="preserve"> holder</w:t>
      </w:r>
    </w:p>
    <w:p w:rsidR="005470C3" w:rsidRPr="005470C3" w:rsidRDefault="005470C3" w:rsidP="00BF1FA7">
      <w:pPr>
        <w:autoSpaceDE w:val="0"/>
        <w:autoSpaceDN w:val="0"/>
        <w:adjustRightInd w:val="0"/>
        <w:spacing w:after="240"/>
        <w:ind w:left="180" w:hanging="180"/>
        <w:jc w:val="both"/>
      </w:pPr>
      <w:r w:rsidRPr="005470C3">
        <w:t>6. Paragraph 8</w:t>
      </w:r>
    </w:p>
    <w:p w:rsidR="005470C3" w:rsidRPr="005470C3" w:rsidRDefault="005470C3" w:rsidP="00BF1FA7">
      <w:pPr>
        <w:autoSpaceDE w:val="0"/>
        <w:autoSpaceDN w:val="0"/>
        <w:adjustRightInd w:val="0"/>
        <w:spacing w:after="120"/>
        <w:ind w:left="180"/>
        <w:jc w:val="both"/>
        <w:rPr>
          <w:i/>
        </w:rPr>
      </w:pPr>
      <w:proofErr w:type="gramStart"/>
      <w:r w:rsidRPr="005470C3">
        <w:rPr>
          <w:i/>
        </w:rPr>
        <w:t>after</w:t>
      </w:r>
      <w:proofErr w:type="gramEnd"/>
    </w:p>
    <w:p w:rsidR="005470C3" w:rsidRPr="00BF1FA7" w:rsidRDefault="005470C3" w:rsidP="00BF1FA7">
      <w:pPr>
        <w:pStyle w:val="BodyText"/>
        <w:spacing w:after="120"/>
        <w:ind w:left="540"/>
      </w:pPr>
      <w:r w:rsidRPr="00BF1FA7">
        <w:t>Standard</w:t>
      </w:r>
    </w:p>
    <w:p w:rsidR="005470C3" w:rsidRPr="005470C3" w:rsidRDefault="005470C3" w:rsidP="00BF1FA7">
      <w:pPr>
        <w:autoSpaceDE w:val="0"/>
        <w:autoSpaceDN w:val="0"/>
        <w:adjustRightInd w:val="0"/>
        <w:spacing w:after="120"/>
        <w:ind w:left="180"/>
        <w:jc w:val="both"/>
        <w:rPr>
          <w:i/>
        </w:rPr>
      </w:pPr>
      <w:proofErr w:type="gramStart"/>
      <w:r w:rsidRPr="005470C3">
        <w:rPr>
          <w:i/>
        </w:rPr>
        <w:t>delete</w:t>
      </w:r>
      <w:proofErr w:type="gramEnd"/>
    </w:p>
    <w:p w:rsidR="005470C3" w:rsidRPr="00BF1FA7" w:rsidRDefault="005470C3" w:rsidP="00BF1FA7">
      <w:pPr>
        <w:pStyle w:val="BodyText"/>
        <w:spacing w:after="120"/>
        <w:ind w:left="540"/>
      </w:pPr>
      <w:proofErr w:type="gramStart"/>
      <w:r w:rsidRPr="00BF1FA7">
        <w:t>comes</w:t>
      </w:r>
      <w:proofErr w:type="gramEnd"/>
    </w:p>
    <w:p w:rsidR="005470C3" w:rsidRPr="005470C3" w:rsidRDefault="005470C3" w:rsidP="00BF1FA7">
      <w:pPr>
        <w:autoSpaceDE w:val="0"/>
        <w:autoSpaceDN w:val="0"/>
        <w:adjustRightInd w:val="0"/>
        <w:spacing w:after="120"/>
        <w:ind w:left="180"/>
        <w:jc w:val="both"/>
        <w:rPr>
          <w:i/>
        </w:rPr>
      </w:pPr>
      <w:proofErr w:type="gramStart"/>
      <w:r w:rsidRPr="005470C3">
        <w:rPr>
          <w:i/>
        </w:rPr>
        <w:t>insert</w:t>
      </w:r>
      <w:proofErr w:type="gramEnd"/>
    </w:p>
    <w:p w:rsidR="005470C3" w:rsidRPr="00BF1FA7" w:rsidRDefault="005470C3" w:rsidP="00BF1FA7">
      <w:pPr>
        <w:pStyle w:val="BodyText"/>
        <w:spacing w:after="120"/>
        <w:ind w:left="540"/>
      </w:pPr>
      <w:proofErr w:type="gramStart"/>
      <w:r w:rsidRPr="00BF1FA7">
        <w:t>originally</w:t>
      </w:r>
      <w:proofErr w:type="gramEnd"/>
      <w:r w:rsidRPr="00BF1FA7">
        <w:t xml:space="preserve"> came</w:t>
      </w:r>
    </w:p>
    <w:p w:rsidR="005470C3" w:rsidRPr="005470C3" w:rsidRDefault="005470C3" w:rsidP="00BF1FA7">
      <w:pPr>
        <w:autoSpaceDE w:val="0"/>
        <w:autoSpaceDN w:val="0"/>
        <w:adjustRightInd w:val="0"/>
        <w:spacing w:after="120"/>
        <w:ind w:left="180"/>
        <w:jc w:val="both"/>
        <w:rPr>
          <w:i/>
        </w:rPr>
      </w:pPr>
      <w:proofErr w:type="gramStart"/>
      <w:r w:rsidRPr="005470C3">
        <w:rPr>
          <w:i/>
        </w:rPr>
        <w:t>after</w:t>
      </w:r>
      <w:proofErr w:type="gramEnd"/>
      <w:r w:rsidRPr="005470C3">
        <w:rPr>
          <w:i/>
        </w:rPr>
        <w:t xml:space="preserve"> </w:t>
      </w:r>
    </w:p>
    <w:p w:rsidR="005470C3" w:rsidRPr="00BF1FA7" w:rsidRDefault="005470C3" w:rsidP="00BF1FA7">
      <w:pPr>
        <w:pStyle w:val="BodyText"/>
        <w:spacing w:after="120"/>
        <w:ind w:left="540"/>
      </w:pPr>
      <w:r w:rsidRPr="00BF1FA7">
        <w:t>1 January 2007.</w:t>
      </w:r>
    </w:p>
    <w:p w:rsidR="005470C3" w:rsidRPr="005470C3" w:rsidRDefault="005470C3" w:rsidP="00BF1FA7">
      <w:pPr>
        <w:autoSpaceDE w:val="0"/>
        <w:autoSpaceDN w:val="0"/>
        <w:adjustRightInd w:val="0"/>
        <w:spacing w:after="120"/>
        <w:ind w:left="180"/>
        <w:jc w:val="both"/>
        <w:rPr>
          <w:i/>
        </w:rPr>
      </w:pPr>
      <w:proofErr w:type="gramStart"/>
      <w:r w:rsidRPr="005470C3">
        <w:rPr>
          <w:i/>
        </w:rPr>
        <w:t>insert</w:t>
      </w:r>
      <w:proofErr w:type="gramEnd"/>
    </w:p>
    <w:p w:rsidR="005470C3" w:rsidRPr="00BF1FA7" w:rsidRDefault="005470C3" w:rsidP="00BF1FA7">
      <w:pPr>
        <w:pStyle w:val="BodyText"/>
        <w:ind w:left="540"/>
      </w:pPr>
      <w:r w:rsidRPr="00BF1FA7">
        <w:t>This Standard as amended and restated comes into force on 1 January 2013.</w:t>
      </w:r>
    </w:p>
    <w:p w:rsidR="005470C3" w:rsidRPr="005470C3" w:rsidRDefault="005470C3" w:rsidP="00BF1FA7">
      <w:pPr>
        <w:autoSpaceDE w:val="0"/>
        <w:autoSpaceDN w:val="0"/>
        <w:adjustRightInd w:val="0"/>
        <w:spacing w:after="240"/>
        <w:ind w:left="180" w:hanging="180"/>
        <w:jc w:val="both"/>
      </w:pPr>
      <w:r w:rsidRPr="005470C3">
        <w:t>7. Paragraph 9</w:t>
      </w:r>
      <w:r w:rsidRPr="005470C3">
        <w:tab/>
      </w:r>
    </w:p>
    <w:p w:rsidR="005470C3" w:rsidRPr="005470C3" w:rsidRDefault="005470C3" w:rsidP="00BF1FA7">
      <w:pPr>
        <w:autoSpaceDE w:val="0"/>
        <w:autoSpaceDN w:val="0"/>
        <w:adjustRightInd w:val="0"/>
        <w:spacing w:after="120"/>
        <w:ind w:left="180"/>
        <w:jc w:val="both"/>
        <w:rPr>
          <w:i/>
        </w:rPr>
      </w:pPr>
      <w:proofErr w:type="gramStart"/>
      <w:r w:rsidRPr="005470C3">
        <w:rPr>
          <w:i/>
        </w:rPr>
        <w:t>after</w:t>
      </w:r>
      <w:proofErr w:type="gramEnd"/>
    </w:p>
    <w:p w:rsidR="005470C3" w:rsidRPr="005470C3" w:rsidRDefault="00557D78" w:rsidP="00BF1FA7">
      <w:pPr>
        <w:pStyle w:val="BodyText"/>
        <w:spacing w:after="120"/>
        <w:ind w:left="540"/>
        <w:rPr>
          <w:szCs w:val="24"/>
        </w:rPr>
      </w:pPr>
      <w:proofErr w:type="gramStart"/>
      <w:r>
        <w:t>shall</w:t>
      </w:r>
      <w:proofErr w:type="gramEnd"/>
      <w:r>
        <w:t xml:space="preserve"> </w:t>
      </w:r>
      <w:r w:rsidR="005470C3" w:rsidRPr="00BF1FA7">
        <w:t>prohibit</w:t>
      </w:r>
    </w:p>
    <w:p w:rsidR="005470C3" w:rsidRPr="005470C3" w:rsidRDefault="005470C3" w:rsidP="00BF1FA7">
      <w:pPr>
        <w:autoSpaceDE w:val="0"/>
        <w:autoSpaceDN w:val="0"/>
        <w:adjustRightInd w:val="0"/>
        <w:spacing w:after="120"/>
        <w:ind w:left="180"/>
        <w:jc w:val="both"/>
        <w:rPr>
          <w:i/>
        </w:rPr>
      </w:pPr>
      <w:proofErr w:type="gramStart"/>
      <w:r w:rsidRPr="005470C3">
        <w:rPr>
          <w:i/>
        </w:rPr>
        <w:t>delete</w:t>
      </w:r>
      <w:proofErr w:type="gramEnd"/>
      <w:r w:rsidRPr="005470C3">
        <w:rPr>
          <w:i/>
        </w:rPr>
        <w:t xml:space="preserve"> </w:t>
      </w:r>
    </w:p>
    <w:p w:rsidR="005470C3" w:rsidRPr="005470C3" w:rsidRDefault="005470C3" w:rsidP="00BF1FA7">
      <w:pPr>
        <w:pStyle w:val="BodyText"/>
        <w:spacing w:after="120"/>
        <w:ind w:left="540"/>
        <w:rPr>
          <w:szCs w:val="24"/>
        </w:rPr>
      </w:pPr>
      <w:proofErr w:type="gramStart"/>
      <w:r w:rsidRPr="005470C3">
        <w:rPr>
          <w:szCs w:val="24"/>
        </w:rPr>
        <w:t>a</w:t>
      </w:r>
      <w:proofErr w:type="gramEnd"/>
      <w:r w:rsidRPr="005470C3">
        <w:rPr>
          <w:szCs w:val="24"/>
        </w:rPr>
        <w:t xml:space="preserve"> </w:t>
      </w:r>
      <w:r w:rsidRPr="00BF1FA7">
        <w:t>merchant</w:t>
      </w:r>
      <w:r w:rsidRPr="005470C3">
        <w:rPr>
          <w:szCs w:val="24"/>
        </w:rPr>
        <w:t xml:space="preserve"> from charging a Visa Debit cardholder any fee or surcharge for </w:t>
      </w:r>
      <w:r w:rsidR="0006388A">
        <w:rPr>
          <w:szCs w:val="24"/>
        </w:rPr>
        <w:t xml:space="preserve">a </w:t>
      </w:r>
      <w:r w:rsidRPr="005470C3">
        <w:rPr>
          <w:szCs w:val="24"/>
        </w:rPr>
        <w:t>Visa Debit card transaction</w:t>
      </w:r>
      <w:r w:rsidR="0006388A">
        <w:rPr>
          <w:szCs w:val="24"/>
        </w:rPr>
        <w:t>.</w:t>
      </w:r>
    </w:p>
    <w:p w:rsidR="005470C3" w:rsidRPr="005470C3" w:rsidRDefault="005470C3" w:rsidP="00BF1FA7">
      <w:pPr>
        <w:autoSpaceDE w:val="0"/>
        <w:autoSpaceDN w:val="0"/>
        <w:adjustRightInd w:val="0"/>
        <w:spacing w:after="120"/>
        <w:ind w:left="180"/>
        <w:jc w:val="both"/>
        <w:rPr>
          <w:i/>
        </w:rPr>
      </w:pPr>
      <w:proofErr w:type="gramStart"/>
      <w:r w:rsidRPr="005470C3">
        <w:rPr>
          <w:i/>
        </w:rPr>
        <w:t>insert</w:t>
      </w:r>
      <w:proofErr w:type="gramEnd"/>
    </w:p>
    <w:p w:rsidR="005470C3" w:rsidRPr="00BF1FA7" w:rsidRDefault="005470C3" w:rsidP="00BF1FA7">
      <w:pPr>
        <w:pStyle w:val="BodyText"/>
        <w:spacing w:after="120"/>
        <w:ind w:left="540"/>
      </w:pPr>
      <w:r w:rsidRPr="00BF1FA7">
        <w:t>:</w:t>
      </w:r>
    </w:p>
    <w:p w:rsidR="005470C3" w:rsidRPr="00BF1FA7" w:rsidRDefault="005470C3" w:rsidP="00BF1FA7">
      <w:pPr>
        <w:pStyle w:val="BodyText"/>
        <w:numPr>
          <w:ilvl w:val="0"/>
          <w:numId w:val="25"/>
        </w:numPr>
      </w:pPr>
      <w:r w:rsidRPr="00BF1FA7">
        <w:t>a merchant from recovering part or all of the reasonable cost of acceptance of Visa Debit cards issued under the Scheme by the merchant charging fees or surcharges to Visa Debit card holders; or</w:t>
      </w:r>
    </w:p>
    <w:p w:rsidR="005470C3" w:rsidRPr="00BF1FA7" w:rsidRDefault="005470C3" w:rsidP="00BF1FA7">
      <w:pPr>
        <w:pStyle w:val="BodyText"/>
        <w:numPr>
          <w:ilvl w:val="0"/>
          <w:numId w:val="25"/>
        </w:numPr>
      </w:pPr>
      <w:proofErr w:type="gramStart"/>
      <w:r w:rsidRPr="00BF1FA7">
        <w:t>a</w:t>
      </w:r>
      <w:proofErr w:type="gramEnd"/>
      <w:r w:rsidRPr="00BF1FA7">
        <w:t xml:space="preserve"> merchant, in recovering part or all of the reasonable cost of acceptance of Visa Debit cards issued under the Scheme, from applying different fees or surcharges to Visa Debit card holders for different card types either within the Scheme or across card schemes</w:t>
      </w:r>
      <w:r w:rsidR="0006388A">
        <w:t>.</w:t>
      </w:r>
    </w:p>
    <w:p w:rsidR="005470C3" w:rsidRPr="005470C3" w:rsidRDefault="008C3639" w:rsidP="00BF1FA7">
      <w:pPr>
        <w:autoSpaceDE w:val="0"/>
        <w:autoSpaceDN w:val="0"/>
        <w:adjustRightInd w:val="0"/>
        <w:spacing w:after="240"/>
        <w:ind w:left="180" w:hanging="180"/>
        <w:jc w:val="both"/>
      </w:pPr>
      <w:r>
        <w:t>8</w:t>
      </w:r>
      <w:r w:rsidR="005470C3" w:rsidRPr="005470C3">
        <w:t>. Paragraph 10</w:t>
      </w:r>
    </w:p>
    <w:p w:rsidR="005470C3" w:rsidRPr="005470C3" w:rsidRDefault="005470C3" w:rsidP="00BF1FA7">
      <w:pPr>
        <w:autoSpaceDE w:val="0"/>
        <w:autoSpaceDN w:val="0"/>
        <w:adjustRightInd w:val="0"/>
        <w:spacing w:after="120"/>
        <w:ind w:left="180"/>
        <w:jc w:val="both"/>
        <w:rPr>
          <w:i/>
        </w:rPr>
      </w:pPr>
      <w:proofErr w:type="gramStart"/>
      <w:r w:rsidRPr="005470C3">
        <w:rPr>
          <w:i/>
        </w:rPr>
        <w:t>delete</w:t>
      </w:r>
      <w:proofErr w:type="gramEnd"/>
    </w:p>
    <w:p w:rsidR="005470C3" w:rsidRPr="005470C3" w:rsidRDefault="005470C3" w:rsidP="00BF1FA7">
      <w:pPr>
        <w:pStyle w:val="BodyText"/>
        <w:spacing w:after="120"/>
        <w:ind w:left="1080" w:hanging="540"/>
        <w:rPr>
          <w:szCs w:val="24"/>
        </w:rPr>
      </w:pPr>
      <w:r w:rsidRPr="005470C3">
        <w:rPr>
          <w:szCs w:val="24"/>
        </w:rPr>
        <w:t>10.</w:t>
      </w:r>
      <w:r w:rsidR="00BF1FA7">
        <w:rPr>
          <w:szCs w:val="24"/>
        </w:rPr>
        <w:tab/>
      </w:r>
      <w:r w:rsidRPr="00BF1FA7">
        <w:rPr>
          <w:lang w:eastAsia="en-AU"/>
        </w:rPr>
        <w:t>Notwithstanding</w:t>
      </w:r>
      <w:r w:rsidRPr="005470C3">
        <w:rPr>
          <w:szCs w:val="24"/>
        </w:rPr>
        <w:t xml:space="preserve"> paragraph 8, an acquirer and a merchant may agree that the amount of any such fee or surcharge charged to a </w:t>
      </w:r>
      <w:r w:rsidR="0006388A">
        <w:rPr>
          <w:szCs w:val="24"/>
        </w:rPr>
        <w:t>Visa Debit</w:t>
      </w:r>
      <w:r w:rsidRPr="005470C3">
        <w:rPr>
          <w:szCs w:val="24"/>
        </w:rPr>
        <w:t xml:space="preserve"> cardholder will be limited to the fees incurred by the merchant in respect of a </w:t>
      </w:r>
      <w:r w:rsidR="0006388A">
        <w:rPr>
          <w:szCs w:val="24"/>
        </w:rPr>
        <w:t>Visa Debit</w:t>
      </w:r>
      <w:r w:rsidRPr="005470C3">
        <w:rPr>
          <w:szCs w:val="24"/>
        </w:rPr>
        <w:t xml:space="preserve"> card transaction.</w:t>
      </w:r>
    </w:p>
    <w:p w:rsidR="005470C3" w:rsidRPr="005470C3" w:rsidRDefault="005470C3" w:rsidP="00BF1FA7">
      <w:pPr>
        <w:autoSpaceDE w:val="0"/>
        <w:autoSpaceDN w:val="0"/>
        <w:adjustRightInd w:val="0"/>
        <w:spacing w:after="120"/>
        <w:ind w:left="180"/>
        <w:jc w:val="both"/>
        <w:rPr>
          <w:i/>
        </w:rPr>
      </w:pPr>
      <w:proofErr w:type="gramStart"/>
      <w:r w:rsidRPr="005470C3">
        <w:rPr>
          <w:i/>
        </w:rPr>
        <w:t>insert</w:t>
      </w:r>
      <w:proofErr w:type="gramEnd"/>
    </w:p>
    <w:p w:rsidR="005470C3" w:rsidRPr="00BF1FA7" w:rsidRDefault="005470C3" w:rsidP="00BF1FA7">
      <w:pPr>
        <w:pStyle w:val="BodyText"/>
        <w:ind w:left="1080" w:hanging="540"/>
        <w:rPr>
          <w:lang w:eastAsia="en-AU"/>
        </w:rPr>
      </w:pPr>
      <w:r w:rsidRPr="00BF1FA7">
        <w:rPr>
          <w:lang w:eastAsia="en-AU"/>
        </w:rPr>
        <w:t>10.</w:t>
      </w:r>
      <w:r w:rsidRPr="00BF1FA7">
        <w:rPr>
          <w:lang w:eastAsia="en-AU"/>
        </w:rPr>
        <w:tab/>
        <w:t>For the purposes of paragraph 9, the merchant’s cost of acceptance of Visa Debi</w:t>
      </w:r>
      <w:r w:rsidR="0006388A">
        <w:rPr>
          <w:lang w:eastAsia="en-AU"/>
        </w:rPr>
        <w:t>t cards issued under the Scheme</w:t>
      </w:r>
      <w:r w:rsidRPr="00BF1FA7">
        <w:rPr>
          <w:lang w:eastAsia="en-AU"/>
        </w:rPr>
        <w:t xml:space="preserve"> may</w:t>
      </w:r>
      <w:r w:rsidR="0006388A">
        <w:rPr>
          <w:lang w:eastAsia="en-AU"/>
        </w:rPr>
        <w:t>,</w:t>
      </w:r>
      <w:r w:rsidRPr="00BF1FA7">
        <w:rPr>
          <w:lang w:eastAsia="en-AU"/>
        </w:rPr>
        <w:t xml:space="preserve"> for the purpose of determination of a fee or surcharge, be determined by reference to:</w:t>
      </w:r>
    </w:p>
    <w:p w:rsidR="005470C3" w:rsidRPr="00BF1FA7" w:rsidRDefault="005470C3" w:rsidP="00BF1FA7">
      <w:pPr>
        <w:pStyle w:val="BodyText"/>
        <w:numPr>
          <w:ilvl w:val="0"/>
          <w:numId w:val="26"/>
        </w:numPr>
      </w:pPr>
      <w:r w:rsidRPr="00BF1FA7">
        <w:t>the cost to the merchant of the Visa Debit card transaction in relation to which the fee or surcharge is to be levied;</w:t>
      </w:r>
    </w:p>
    <w:p w:rsidR="005470C3" w:rsidRPr="00BF1FA7" w:rsidRDefault="005470C3" w:rsidP="00BF1FA7">
      <w:pPr>
        <w:pStyle w:val="BodyText"/>
        <w:numPr>
          <w:ilvl w:val="0"/>
          <w:numId w:val="26"/>
        </w:numPr>
      </w:pPr>
      <w:r w:rsidRPr="00BF1FA7">
        <w:t>the average cost to the merchant of acceptance of all Visa Debit cards of all types issued under the Scheme; or</w:t>
      </w:r>
    </w:p>
    <w:p w:rsidR="005470C3" w:rsidRPr="00BF1FA7" w:rsidRDefault="005470C3" w:rsidP="00BF1FA7">
      <w:pPr>
        <w:pStyle w:val="BodyText"/>
        <w:numPr>
          <w:ilvl w:val="0"/>
          <w:numId w:val="26"/>
        </w:numPr>
      </w:pPr>
      <w:r w:rsidRPr="00BF1FA7">
        <w:t xml:space="preserve">the average cost to the merchant of acceptance of a subset of Visa Debit cards issued under the Scheme that includes the type of </w:t>
      </w:r>
      <w:r w:rsidR="0006388A">
        <w:t>debit</w:t>
      </w:r>
      <w:r w:rsidRPr="00BF1FA7">
        <w:t xml:space="preserve"> card in relation to which the fee or surcharge is to be levied, </w:t>
      </w:r>
    </w:p>
    <w:p w:rsidR="005470C3" w:rsidRPr="00BF1FA7" w:rsidRDefault="005470C3" w:rsidP="00BF1FA7">
      <w:pPr>
        <w:pStyle w:val="BodyText"/>
        <w:ind w:left="1080"/>
        <w:rPr>
          <w:lang w:eastAsia="en-AU"/>
        </w:rPr>
      </w:pPr>
      <w:proofErr w:type="gramStart"/>
      <w:r w:rsidRPr="00BF1FA7">
        <w:rPr>
          <w:lang w:eastAsia="en-AU"/>
        </w:rPr>
        <w:t>and</w:t>
      </w:r>
      <w:proofErr w:type="gramEnd"/>
      <w:r w:rsidRPr="00BF1FA7">
        <w:rPr>
          <w:lang w:eastAsia="en-AU"/>
        </w:rPr>
        <w:t xml:space="preserve"> includes, but is not necessarily limited to, in the case of (</w:t>
      </w:r>
      <w:proofErr w:type="spellStart"/>
      <w:r w:rsidRPr="00BF1FA7">
        <w:rPr>
          <w:lang w:eastAsia="en-AU"/>
        </w:rPr>
        <w:t>i</w:t>
      </w:r>
      <w:proofErr w:type="spellEnd"/>
      <w:r w:rsidRPr="00BF1FA7">
        <w:rPr>
          <w:lang w:eastAsia="en-AU"/>
        </w:rPr>
        <w:t>), the applicable merchant service fee and, in the case of (ii) and (iii), all applicable merchant service fees.</w:t>
      </w:r>
    </w:p>
    <w:p w:rsidR="005470C3" w:rsidRPr="005470C3" w:rsidRDefault="008C3639" w:rsidP="00BF1FA7">
      <w:pPr>
        <w:autoSpaceDE w:val="0"/>
        <w:autoSpaceDN w:val="0"/>
        <w:adjustRightInd w:val="0"/>
        <w:spacing w:after="240"/>
        <w:ind w:left="180" w:hanging="180"/>
        <w:jc w:val="both"/>
      </w:pPr>
      <w:r>
        <w:t>9</w:t>
      </w:r>
      <w:r w:rsidR="005470C3" w:rsidRPr="005470C3">
        <w:t xml:space="preserve">. Paragraphs 12a. </w:t>
      </w:r>
      <w:proofErr w:type="gramStart"/>
      <w:r w:rsidR="005470C3" w:rsidRPr="005470C3">
        <w:t>through</w:t>
      </w:r>
      <w:proofErr w:type="gramEnd"/>
      <w:r w:rsidR="005470C3" w:rsidRPr="005470C3">
        <w:t xml:space="preserve"> to 12d.</w:t>
      </w:r>
    </w:p>
    <w:p w:rsidR="005470C3" w:rsidRPr="00BF1FA7" w:rsidRDefault="005470C3" w:rsidP="00BF1FA7">
      <w:pPr>
        <w:autoSpaceDE w:val="0"/>
        <w:autoSpaceDN w:val="0"/>
        <w:adjustRightInd w:val="0"/>
        <w:spacing w:after="240"/>
        <w:ind w:left="180"/>
        <w:jc w:val="both"/>
        <w:rPr>
          <w:i/>
        </w:rPr>
      </w:pPr>
      <w:r w:rsidRPr="005470C3">
        <w:rPr>
          <w:i/>
        </w:rPr>
        <w:t>Renumber as paragraphs 12(</w:t>
      </w:r>
      <w:proofErr w:type="spellStart"/>
      <w:r w:rsidRPr="005470C3">
        <w:rPr>
          <w:i/>
        </w:rPr>
        <w:t>i</w:t>
      </w:r>
      <w:proofErr w:type="spellEnd"/>
      <w:r w:rsidRPr="005470C3">
        <w:rPr>
          <w:i/>
        </w:rPr>
        <w:t>) through to 12(iv)</w:t>
      </w:r>
    </w:p>
    <w:p w:rsidR="005470C3" w:rsidRPr="005470C3" w:rsidRDefault="008C3639" w:rsidP="00BF1FA7">
      <w:pPr>
        <w:autoSpaceDE w:val="0"/>
        <w:autoSpaceDN w:val="0"/>
        <w:adjustRightInd w:val="0"/>
        <w:spacing w:after="240"/>
        <w:ind w:left="180" w:hanging="180"/>
        <w:jc w:val="both"/>
      </w:pPr>
      <w:r>
        <w:t>10</w:t>
      </w:r>
      <w:r w:rsidR="00BF1FA7">
        <w:t xml:space="preserve">. </w:t>
      </w:r>
      <w:r w:rsidR="005470C3" w:rsidRPr="005470C3">
        <w:t>Paragraph 12(iv)</w:t>
      </w:r>
    </w:p>
    <w:p w:rsidR="005470C3" w:rsidRPr="005470C3" w:rsidRDefault="005470C3" w:rsidP="00BF1FA7">
      <w:pPr>
        <w:autoSpaceDE w:val="0"/>
        <w:autoSpaceDN w:val="0"/>
        <w:adjustRightInd w:val="0"/>
        <w:spacing w:after="120"/>
        <w:ind w:left="180"/>
        <w:jc w:val="both"/>
        <w:rPr>
          <w:i/>
        </w:rPr>
      </w:pPr>
      <w:proofErr w:type="gramStart"/>
      <w:r w:rsidRPr="005470C3">
        <w:rPr>
          <w:i/>
        </w:rPr>
        <w:t>after</w:t>
      </w:r>
      <w:proofErr w:type="gramEnd"/>
    </w:p>
    <w:p w:rsidR="005470C3" w:rsidRPr="00BF1FA7" w:rsidRDefault="005470C3" w:rsidP="00BF1FA7">
      <w:pPr>
        <w:pStyle w:val="BodyText"/>
        <w:spacing w:after="120"/>
        <w:ind w:left="540"/>
      </w:pPr>
      <w:proofErr w:type="gramStart"/>
      <w:r w:rsidRPr="00BF1FA7">
        <w:t>this</w:t>
      </w:r>
      <w:proofErr w:type="gramEnd"/>
      <w:r w:rsidRPr="00BF1FA7">
        <w:t xml:space="preserve"> Standard</w:t>
      </w:r>
    </w:p>
    <w:p w:rsidR="005470C3" w:rsidRPr="005470C3" w:rsidRDefault="005470C3" w:rsidP="00BF1FA7">
      <w:pPr>
        <w:autoSpaceDE w:val="0"/>
        <w:autoSpaceDN w:val="0"/>
        <w:adjustRightInd w:val="0"/>
        <w:spacing w:after="120"/>
        <w:ind w:left="180"/>
        <w:jc w:val="both"/>
        <w:rPr>
          <w:i/>
        </w:rPr>
      </w:pPr>
      <w:r w:rsidRPr="00BF1FA7">
        <w:rPr>
          <w:i/>
        </w:rPr>
        <w:t xml:space="preserve"> </w:t>
      </w:r>
      <w:proofErr w:type="gramStart"/>
      <w:r w:rsidRPr="005470C3">
        <w:rPr>
          <w:i/>
        </w:rPr>
        <w:t>insert</w:t>
      </w:r>
      <w:proofErr w:type="gramEnd"/>
    </w:p>
    <w:p w:rsidR="005470C3" w:rsidRPr="00BF1FA7" w:rsidRDefault="005470C3" w:rsidP="00BF1FA7">
      <w:pPr>
        <w:pStyle w:val="BodyText"/>
        <w:spacing w:after="120"/>
        <w:ind w:left="540"/>
      </w:pPr>
      <w:r w:rsidRPr="00BF1FA7">
        <w:t>(</w:t>
      </w:r>
      <w:proofErr w:type="gramStart"/>
      <w:r w:rsidRPr="00BF1FA7">
        <w:t>as</w:t>
      </w:r>
      <w:proofErr w:type="gramEnd"/>
      <w:r w:rsidRPr="00BF1FA7">
        <w:t xml:space="preserve"> amended) either before, or as soon as practicable after, this Standard (as amended) comes into force</w:t>
      </w:r>
    </w:p>
    <w:p w:rsidR="005470C3" w:rsidRPr="005470C3" w:rsidRDefault="005470C3" w:rsidP="00BF1FA7">
      <w:pPr>
        <w:autoSpaceDE w:val="0"/>
        <w:autoSpaceDN w:val="0"/>
        <w:adjustRightInd w:val="0"/>
        <w:spacing w:after="120"/>
        <w:ind w:left="180"/>
        <w:jc w:val="both"/>
        <w:rPr>
          <w:i/>
        </w:rPr>
      </w:pPr>
      <w:proofErr w:type="gramStart"/>
      <w:r w:rsidRPr="005470C3">
        <w:rPr>
          <w:i/>
        </w:rPr>
        <w:t>delete</w:t>
      </w:r>
      <w:proofErr w:type="gramEnd"/>
    </w:p>
    <w:p w:rsidR="005470C3" w:rsidRPr="00BF1FA7" w:rsidRDefault="005470C3" w:rsidP="00BF1FA7">
      <w:pPr>
        <w:pStyle w:val="BodyText"/>
        <w:spacing w:after="120"/>
        <w:ind w:left="540"/>
      </w:pPr>
      <w:r w:rsidRPr="005470C3">
        <w:rPr>
          <w:b/>
          <w:i/>
          <w:szCs w:val="24"/>
        </w:rPr>
        <w:tab/>
      </w:r>
      <w:r w:rsidRPr="00BF1FA7">
        <w:t>This requirement must be met by 31 December 2007.</w:t>
      </w:r>
    </w:p>
    <w:p w:rsidR="00BF1FA7" w:rsidRPr="00BF1FA7" w:rsidRDefault="00700904" w:rsidP="00BF1FA7">
      <w:pPr>
        <w:pStyle w:val="Indent0"/>
        <w:jc w:val="both"/>
        <w:rPr>
          <w:b/>
          <w:sz w:val="24"/>
          <w:szCs w:val="24"/>
        </w:rPr>
      </w:pPr>
      <w:r>
        <w:rPr>
          <w:b/>
          <w:sz w:val="24"/>
          <w:szCs w:val="24"/>
        </w:rPr>
        <w:br w:type="page"/>
      </w:r>
      <w:r w:rsidR="00BF1FA7">
        <w:rPr>
          <w:b/>
          <w:sz w:val="24"/>
          <w:szCs w:val="24"/>
        </w:rPr>
        <w:t>P</w:t>
      </w:r>
      <w:r w:rsidR="00BF1FA7" w:rsidRPr="00BF1FA7">
        <w:rPr>
          <w:b/>
          <w:sz w:val="24"/>
          <w:szCs w:val="24"/>
        </w:rPr>
        <w:t>urpose and effect of the variation of the Standards</w:t>
      </w:r>
    </w:p>
    <w:p w:rsidR="00BF1FA7" w:rsidRPr="00BF1FA7" w:rsidRDefault="00BF1FA7" w:rsidP="00BF1FA7">
      <w:pPr>
        <w:pStyle w:val="Indent0"/>
        <w:jc w:val="both"/>
        <w:rPr>
          <w:sz w:val="24"/>
          <w:szCs w:val="24"/>
        </w:rPr>
      </w:pPr>
      <w:r w:rsidRPr="00BF1FA7">
        <w:rPr>
          <w:sz w:val="24"/>
          <w:szCs w:val="24"/>
        </w:rPr>
        <w:t xml:space="preserve">The purpose of this variation to the Standards is to improve efficiency in the Australian payments system by providing better price signals to cardholders about the relative costs of different payment methods. It is intended to help address surcharging practices that potentially compromise price signals – such as surcharging in excess of card acceptance costs – which appear to have become more widespread in recent years. </w:t>
      </w:r>
    </w:p>
    <w:p w:rsidR="00BF1FA7" w:rsidRPr="00BF1FA7" w:rsidRDefault="00BF1FA7" w:rsidP="00BF1FA7">
      <w:pPr>
        <w:pStyle w:val="Indent0"/>
        <w:jc w:val="both"/>
        <w:rPr>
          <w:sz w:val="24"/>
          <w:szCs w:val="24"/>
        </w:rPr>
      </w:pPr>
      <w:r w:rsidRPr="00BF1FA7">
        <w:rPr>
          <w:sz w:val="24"/>
          <w:szCs w:val="24"/>
        </w:rPr>
        <w:t>The variation allows for the rules of the designated credit card systems and the Visa Debit system, as well as the participants in the respective systems, to limit fees or surcharges imposed by a merchant to an amount that is the reasonable cost of acceptance, while at the same time ensuring that neither the rules of the systems nor the participants of the systems are able to prohibit merchants from fully recovering their costs. The merchant’s cost of acceptance is defined in the Standards to include, but is not necessarily limited to, the applicable merchant service fee or fees. The variation also provides that neither the rules of the systems nor the participants of the systems are able to prohibit a merchant from applying different surcharges for different card types either within a system or across card systems.</w:t>
      </w:r>
    </w:p>
    <w:p w:rsidR="00BF1FA7" w:rsidRPr="00BF1FA7" w:rsidRDefault="00BF1FA7" w:rsidP="00BF1FA7">
      <w:pPr>
        <w:pStyle w:val="Indent0"/>
        <w:jc w:val="both"/>
        <w:rPr>
          <w:sz w:val="24"/>
          <w:szCs w:val="24"/>
        </w:rPr>
      </w:pPr>
      <w:r w:rsidRPr="00BF1FA7">
        <w:rPr>
          <w:sz w:val="24"/>
          <w:szCs w:val="24"/>
        </w:rPr>
        <w:t xml:space="preserve">By allowing the designated credit card systems and the Visa Debit system to limit surcharges to the reasonable cost of card acceptance, the effect of the variation is to enable these systems to address cases where merchants are surcharging in excess of their reasonable card acceptance costs. At the same time, by continuing to allow merchants to fully pass on legitimate costs of accepting cards, the variation has the effect of helping to ensure that appropriate price signals can be given to consumers, and that proper market disciplines are enabled in negotiations over card acceptance costs between acquirers and merchants. Both these effects are likely to lead to more efficient use of payment instruments by cardholders. </w:t>
      </w:r>
    </w:p>
    <w:p w:rsidR="00BF1FA7" w:rsidRPr="00BF1FA7" w:rsidRDefault="00BF1FA7" w:rsidP="00BF1FA7">
      <w:pPr>
        <w:pStyle w:val="Indent0"/>
        <w:jc w:val="both"/>
        <w:rPr>
          <w:sz w:val="24"/>
          <w:szCs w:val="24"/>
        </w:rPr>
      </w:pPr>
    </w:p>
    <w:p w:rsidR="00BF1FA7" w:rsidRPr="00BF1FA7" w:rsidRDefault="00BF1FA7" w:rsidP="00BF1FA7">
      <w:pPr>
        <w:pStyle w:val="Indent0"/>
        <w:jc w:val="both"/>
        <w:rPr>
          <w:sz w:val="24"/>
          <w:szCs w:val="24"/>
        </w:rPr>
      </w:pPr>
      <w:r w:rsidRPr="00BF1FA7">
        <w:rPr>
          <w:sz w:val="24"/>
          <w:szCs w:val="24"/>
        </w:rPr>
        <w:t xml:space="preserve">Signed </w:t>
      </w:r>
    </w:p>
    <w:p w:rsidR="00BF1FA7" w:rsidRDefault="00BF1FA7" w:rsidP="00BF1FA7">
      <w:pPr>
        <w:pStyle w:val="Indent0"/>
        <w:jc w:val="both"/>
        <w:rPr>
          <w:sz w:val="24"/>
          <w:szCs w:val="24"/>
        </w:rPr>
      </w:pPr>
    </w:p>
    <w:p w:rsidR="00322897" w:rsidRPr="00BF1FA7" w:rsidRDefault="00322897" w:rsidP="00BF1FA7">
      <w:pPr>
        <w:pStyle w:val="Indent0"/>
        <w:jc w:val="both"/>
        <w:rPr>
          <w:sz w:val="24"/>
          <w:szCs w:val="24"/>
        </w:rPr>
      </w:pPr>
    </w:p>
    <w:p w:rsidR="00BF1FA7" w:rsidRPr="00BF1FA7" w:rsidRDefault="00BF1FA7" w:rsidP="00BF1FA7">
      <w:pPr>
        <w:pStyle w:val="Indent0"/>
        <w:spacing w:after="0"/>
        <w:jc w:val="both"/>
        <w:rPr>
          <w:sz w:val="24"/>
          <w:szCs w:val="24"/>
        </w:rPr>
      </w:pPr>
      <w:r w:rsidRPr="00BF1FA7">
        <w:rPr>
          <w:sz w:val="24"/>
          <w:szCs w:val="24"/>
        </w:rPr>
        <w:t>Glenn Stevens</w:t>
      </w:r>
    </w:p>
    <w:p w:rsidR="00BF1FA7" w:rsidRPr="00BF1FA7" w:rsidRDefault="00BF1FA7" w:rsidP="00BF1FA7">
      <w:pPr>
        <w:pStyle w:val="BodyText0"/>
        <w:jc w:val="left"/>
      </w:pPr>
      <w:r w:rsidRPr="00BF1FA7">
        <w:t>Governor</w:t>
      </w:r>
      <w:r w:rsidRPr="00BF1FA7">
        <w:br/>
        <w:t>Reserve Bank of Australia</w:t>
      </w:r>
    </w:p>
    <w:p w:rsidR="00BF1FA7" w:rsidRPr="00BF1FA7" w:rsidRDefault="00C86FA9" w:rsidP="00BF1FA7">
      <w:pPr>
        <w:pStyle w:val="BodyText0"/>
      </w:pPr>
      <w:r>
        <w:t>12</w:t>
      </w:r>
      <w:r w:rsidR="00BF1FA7">
        <w:t xml:space="preserve"> </w:t>
      </w:r>
      <w:r w:rsidR="00BF1FA7" w:rsidRPr="00BF1FA7">
        <w:t>June 2012</w:t>
      </w:r>
    </w:p>
    <w:p w:rsidR="00BF1FA7" w:rsidRPr="00BF1FA7" w:rsidRDefault="00BF1FA7" w:rsidP="00BF1FA7">
      <w:pPr>
        <w:pStyle w:val="Indent0"/>
        <w:jc w:val="both"/>
        <w:rPr>
          <w:sz w:val="24"/>
          <w:szCs w:val="24"/>
        </w:rPr>
      </w:pPr>
    </w:p>
    <w:p w:rsidR="00CB0AD5" w:rsidRPr="00BF1FA7" w:rsidRDefault="00CB0AD5" w:rsidP="00BF1FA7">
      <w:pPr>
        <w:autoSpaceDE w:val="0"/>
        <w:autoSpaceDN w:val="0"/>
        <w:adjustRightInd w:val="0"/>
        <w:spacing w:after="240"/>
        <w:jc w:val="both"/>
      </w:pPr>
    </w:p>
    <w:sectPr w:rsidR="00CB0AD5" w:rsidRPr="00BF1FA7" w:rsidSect="005034F9">
      <w:pgSz w:w="12240" w:h="15840"/>
      <w:pgMar w:top="1134"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59D"/>
    <w:multiLevelType w:val="hybridMultilevel"/>
    <w:tmpl w:val="4798201E"/>
    <w:lvl w:ilvl="0" w:tplc="85C2F96C">
      <w:start w:val="18"/>
      <w:numFmt w:val="bullet"/>
      <w:lvlText w:val="-"/>
      <w:lvlJc w:val="left"/>
      <w:pPr>
        <w:tabs>
          <w:tab w:val="num" w:pos="1080"/>
        </w:tabs>
        <w:ind w:left="1080" w:hanging="360"/>
      </w:pPr>
      <w:rPr>
        <w:rFonts w:ascii="Times New Roman" w:eastAsia="Times New Roman" w:hAnsi="Times New Roman" w:cs="Times New Roman"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EA90F4E"/>
    <w:multiLevelType w:val="hybridMultilevel"/>
    <w:tmpl w:val="41FE0400"/>
    <w:lvl w:ilvl="0" w:tplc="4B9C12F2">
      <w:start w:val="1"/>
      <w:numFmt w:val="lowerRoman"/>
      <w:lvlText w:val="(%1)"/>
      <w:lvlJc w:val="left"/>
      <w:pPr>
        <w:tabs>
          <w:tab w:val="num" w:pos="900"/>
        </w:tabs>
        <w:ind w:left="900" w:hanging="72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
    <w:nsid w:val="0FD8737C"/>
    <w:multiLevelType w:val="hybridMultilevel"/>
    <w:tmpl w:val="56EE82D6"/>
    <w:lvl w:ilvl="0" w:tplc="85C2F96C">
      <w:start w:val="18"/>
      <w:numFmt w:val="bullet"/>
      <w:lvlText w:val="-"/>
      <w:lvlJc w:val="left"/>
      <w:pPr>
        <w:tabs>
          <w:tab w:val="num" w:pos="360"/>
        </w:tabs>
        <w:ind w:left="360" w:hanging="360"/>
      </w:pPr>
      <w:rPr>
        <w:rFonts w:ascii="Times New Roman" w:eastAsia="Times New Roman" w:hAnsi="Times New Roman" w:cs="Times New Roman"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nsid w:val="147F7A74"/>
    <w:multiLevelType w:val="hybridMultilevel"/>
    <w:tmpl w:val="3FD65EDC"/>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19A50961"/>
    <w:multiLevelType w:val="hybridMultilevel"/>
    <w:tmpl w:val="14E27FFE"/>
    <w:lvl w:ilvl="0" w:tplc="A344D2D6">
      <w:start w:val="1"/>
      <w:numFmt w:val="decimal"/>
      <w:lvlText w:val="%1."/>
      <w:lvlJc w:val="left"/>
      <w:pPr>
        <w:ind w:left="180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1EAC6719"/>
    <w:multiLevelType w:val="hybridMultilevel"/>
    <w:tmpl w:val="5E045B6C"/>
    <w:lvl w:ilvl="0" w:tplc="F070A5C8">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22221E4A"/>
    <w:multiLevelType w:val="hybridMultilevel"/>
    <w:tmpl w:val="7ACEC2F0"/>
    <w:lvl w:ilvl="0" w:tplc="56D0F9A8">
      <w:start w:val="1"/>
      <w:numFmt w:val="lowerRoman"/>
      <w:lvlText w:val="(%1)"/>
      <w:lvlJc w:val="righ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4747C0"/>
    <w:multiLevelType w:val="hybridMultilevel"/>
    <w:tmpl w:val="BF221D66"/>
    <w:lvl w:ilvl="0" w:tplc="1262B35C">
      <w:start w:val="1"/>
      <w:numFmt w:val="lowerRoman"/>
      <w:lvlText w:val="(%1)"/>
      <w:lvlJc w:val="righ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43EF1"/>
    <w:multiLevelType w:val="hybridMultilevel"/>
    <w:tmpl w:val="2464740E"/>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7032AF"/>
    <w:multiLevelType w:val="hybridMultilevel"/>
    <w:tmpl w:val="C58AB5E2"/>
    <w:lvl w:ilvl="0" w:tplc="E95AA28E">
      <w:start w:val="1"/>
      <w:numFmt w:val="lowerRoman"/>
      <w:lvlText w:val="(%1)"/>
      <w:lvlJc w:val="right"/>
      <w:pPr>
        <w:ind w:left="4680" w:hanging="360"/>
      </w:pPr>
      <w:rPr>
        <w:rFonts w:hint="default"/>
      </w:rPr>
    </w:lvl>
    <w:lvl w:ilvl="1" w:tplc="0C090019" w:tentative="1">
      <w:start w:val="1"/>
      <w:numFmt w:val="lowerLetter"/>
      <w:lvlText w:val="%2."/>
      <w:lvlJc w:val="left"/>
      <w:pPr>
        <w:ind w:left="5400" w:hanging="360"/>
      </w:pPr>
    </w:lvl>
    <w:lvl w:ilvl="2" w:tplc="0C09001B" w:tentative="1">
      <w:start w:val="1"/>
      <w:numFmt w:val="lowerRoman"/>
      <w:lvlText w:val="%3."/>
      <w:lvlJc w:val="right"/>
      <w:pPr>
        <w:ind w:left="6120" w:hanging="180"/>
      </w:pPr>
    </w:lvl>
    <w:lvl w:ilvl="3" w:tplc="0C09000F" w:tentative="1">
      <w:start w:val="1"/>
      <w:numFmt w:val="decimal"/>
      <w:lvlText w:val="%4."/>
      <w:lvlJc w:val="left"/>
      <w:pPr>
        <w:ind w:left="6840" w:hanging="360"/>
      </w:pPr>
    </w:lvl>
    <w:lvl w:ilvl="4" w:tplc="0C090019" w:tentative="1">
      <w:start w:val="1"/>
      <w:numFmt w:val="lowerLetter"/>
      <w:lvlText w:val="%5."/>
      <w:lvlJc w:val="left"/>
      <w:pPr>
        <w:ind w:left="7560" w:hanging="360"/>
      </w:pPr>
    </w:lvl>
    <w:lvl w:ilvl="5" w:tplc="0C09001B" w:tentative="1">
      <w:start w:val="1"/>
      <w:numFmt w:val="lowerRoman"/>
      <w:lvlText w:val="%6."/>
      <w:lvlJc w:val="right"/>
      <w:pPr>
        <w:ind w:left="8280" w:hanging="180"/>
      </w:pPr>
    </w:lvl>
    <w:lvl w:ilvl="6" w:tplc="0C09000F" w:tentative="1">
      <w:start w:val="1"/>
      <w:numFmt w:val="decimal"/>
      <w:lvlText w:val="%7."/>
      <w:lvlJc w:val="left"/>
      <w:pPr>
        <w:ind w:left="9000" w:hanging="360"/>
      </w:pPr>
    </w:lvl>
    <w:lvl w:ilvl="7" w:tplc="0C090019" w:tentative="1">
      <w:start w:val="1"/>
      <w:numFmt w:val="lowerLetter"/>
      <w:lvlText w:val="%8."/>
      <w:lvlJc w:val="left"/>
      <w:pPr>
        <w:ind w:left="9720" w:hanging="360"/>
      </w:pPr>
    </w:lvl>
    <w:lvl w:ilvl="8" w:tplc="0C09001B" w:tentative="1">
      <w:start w:val="1"/>
      <w:numFmt w:val="lowerRoman"/>
      <w:lvlText w:val="%9."/>
      <w:lvlJc w:val="right"/>
      <w:pPr>
        <w:ind w:left="10440" w:hanging="180"/>
      </w:pPr>
    </w:lvl>
  </w:abstractNum>
  <w:abstractNum w:abstractNumId="10">
    <w:nsid w:val="32F63E3B"/>
    <w:multiLevelType w:val="hybridMultilevel"/>
    <w:tmpl w:val="2518515C"/>
    <w:lvl w:ilvl="0" w:tplc="85C2F96C">
      <w:start w:val="18"/>
      <w:numFmt w:val="bullet"/>
      <w:lvlText w:val="-"/>
      <w:lvlJc w:val="left"/>
      <w:pPr>
        <w:tabs>
          <w:tab w:val="num" w:pos="360"/>
        </w:tabs>
        <w:ind w:left="360" w:hanging="360"/>
      </w:pPr>
      <w:rPr>
        <w:rFonts w:ascii="Times New Roman" w:eastAsia="Times New Roman" w:hAnsi="Times New Roman" w:cs="Times New Roman"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1">
    <w:nsid w:val="342C3E44"/>
    <w:multiLevelType w:val="hybridMultilevel"/>
    <w:tmpl w:val="CA721C0E"/>
    <w:lvl w:ilvl="0" w:tplc="6AE89CFA">
      <w:start w:val="1"/>
      <w:numFmt w:val="lowerRoman"/>
      <w:lvlText w:val="(%1)"/>
      <w:lvlJc w:val="right"/>
      <w:pPr>
        <w:ind w:left="1260" w:hanging="360"/>
      </w:pPr>
      <w:rPr>
        <w:rFonts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2">
    <w:nsid w:val="38531053"/>
    <w:multiLevelType w:val="hybridMultilevel"/>
    <w:tmpl w:val="52EC951C"/>
    <w:lvl w:ilvl="0" w:tplc="AD2E5AA8">
      <w:start w:val="1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E423AAD"/>
    <w:multiLevelType w:val="hybridMultilevel"/>
    <w:tmpl w:val="69D0B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C30F58"/>
    <w:multiLevelType w:val="hybridMultilevel"/>
    <w:tmpl w:val="5BDEE5C6"/>
    <w:lvl w:ilvl="0" w:tplc="9EEADFE2">
      <w:start w:val="19"/>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ECE2377"/>
    <w:multiLevelType w:val="hybridMultilevel"/>
    <w:tmpl w:val="EB1E5E56"/>
    <w:lvl w:ilvl="0" w:tplc="682CE202">
      <w:start w:val="1"/>
      <w:numFmt w:val="decimal"/>
      <w:lvlText w:val="%1."/>
      <w:lvlJc w:val="left"/>
      <w:pPr>
        <w:ind w:left="180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4BCF76C9"/>
    <w:multiLevelType w:val="hybridMultilevel"/>
    <w:tmpl w:val="430A65B6"/>
    <w:lvl w:ilvl="0" w:tplc="85C2F96C">
      <w:start w:val="18"/>
      <w:numFmt w:val="bullet"/>
      <w:lvlText w:val="-"/>
      <w:lvlJc w:val="left"/>
      <w:pPr>
        <w:tabs>
          <w:tab w:val="num" w:pos="360"/>
        </w:tabs>
        <w:ind w:left="360" w:hanging="360"/>
      </w:pPr>
      <w:rPr>
        <w:rFonts w:ascii="Times New Roman" w:eastAsia="Times New Roman" w:hAnsi="Times New Roman" w:cs="Times New Roman"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7">
    <w:nsid w:val="5BBF7393"/>
    <w:multiLevelType w:val="hybridMultilevel"/>
    <w:tmpl w:val="587280AE"/>
    <w:lvl w:ilvl="0" w:tplc="4E42AC04">
      <w:start w:val="1"/>
      <w:numFmt w:val="lowerRoman"/>
      <w:lvlText w:val="(%1)"/>
      <w:lvlJc w:val="righ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6E3798"/>
    <w:multiLevelType w:val="hybridMultilevel"/>
    <w:tmpl w:val="F7D2E4FE"/>
    <w:lvl w:ilvl="0" w:tplc="6AE89CFA">
      <w:start w:val="1"/>
      <w:numFmt w:val="lowerRoman"/>
      <w:lvlText w:val="(%1)"/>
      <w:lvlJc w:val="right"/>
      <w:pPr>
        <w:ind w:left="1620" w:hanging="360"/>
      </w:pPr>
      <w:rPr>
        <w:rFonts w:hint="default"/>
      </w:rPr>
    </w:lvl>
    <w:lvl w:ilvl="1" w:tplc="0C090019">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9">
    <w:nsid w:val="5CB54CE8"/>
    <w:multiLevelType w:val="hybridMultilevel"/>
    <w:tmpl w:val="68F4FA16"/>
    <w:lvl w:ilvl="0" w:tplc="6414CEC2">
      <w:start w:val="1"/>
      <w:numFmt w:val="lowerRoman"/>
      <w:lvlText w:val="(%1)"/>
      <w:lvlJc w:val="left"/>
      <w:pPr>
        <w:ind w:left="1260" w:hanging="72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0">
    <w:nsid w:val="6018491B"/>
    <w:multiLevelType w:val="hybridMultilevel"/>
    <w:tmpl w:val="AD147DC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62907C32"/>
    <w:multiLevelType w:val="hybridMultilevel"/>
    <w:tmpl w:val="D6284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3F088D"/>
    <w:multiLevelType w:val="hybridMultilevel"/>
    <w:tmpl w:val="7118210C"/>
    <w:lvl w:ilvl="0" w:tplc="FA7E7CCA">
      <w:start w:val="1"/>
      <w:numFmt w:val="lowerRoman"/>
      <w:lvlText w:val="(%1)"/>
      <w:lvlJc w:val="right"/>
      <w:pPr>
        <w:ind w:left="12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1D30675"/>
    <w:multiLevelType w:val="hybridMultilevel"/>
    <w:tmpl w:val="EDF08FF4"/>
    <w:lvl w:ilvl="0" w:tplc="B4440C8E">
      <w:start w:val="1"/>
      <w:numFmt w:val="lowerRoman"/>
      <w:lvlText w:val="(%1)"/>
      <w:lvlJc w:val="right"/>
      <w:pPr>
        <w:ind w:left="12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3D159D1"/>
    <w:multiLevelType w:val="hybridMultilevel"/>
    <w:tmpl w:val="16D8B046"/>
    <w:lvl w:ilvl="0" w:tplc="333E2EE2">
      <w:start w:val="2"/>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4A419F5"/>
    <w:multiLevelType w:val="hybridMultilevel"/>
    <w:tmpl w:val="0A2460B0"/>
    <w:lvl w:ilvl="0" w:tplc="B0761132">
      <w:start w:val="1"/>
      <w:numFmt w:val="lowerRoman"/>
      <w:lvlText w:val="(%1)"/>
      <w:lvlJc w:val="righ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6002C37"/>
    <w:multiLevelType w:val="hybridMultilevel"/>
    <w:tmpl w:val="059A3548"/>
    <w:lvl w:ilvl="0" w:tplc="85C2F96C">
      <w:start w:val="18"/>
      <w:numFmt w:val="bullet"/>
      <w:lvlText w:val="-"/>
      <w:lvlJc w:val="left"/>
      <w:pPr>
        <w:tabs>
          <w:tab w:val="num" w:pos="360"/>
        </w:tabs>
        <w:ind w:left="360" w:hanging="360"/>
      </w:pPr>
      <w:rPr>
        <w:rFonts w:ascii="Times New Roman" w:eastAsia="Times New Roman" w:hAnsi="Times New Roman" w:cs="Times New Roman"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7">
    <w:nsid w:val="7CEB1CA8"/>
    <w:multiLevelType w:val="hybridMultilevel"/>
    <w:tmpl w:val="6598DA3A"/>
    <w:lvl w:ilvl="0" w:tplc="417698E0">
      <w:start w:val="19"/>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10"/>
  </w:num>
  <w:num w:numId="3">
    <w:abstractNumId w:val="26"/>
  </w:num>
  <w:num w:numId="4">
    <w:abstractNumId w:val="1"/>
  </w:num>
  <w:num w:numId="5">
    <w:abstractNumId w:val="16"/>
  </w:num>
  <w:num w:numId="6">
    <w:abstractNumId w:val="2"/>
  </w:num>
  <w:num w:numId="7">
    <w:abstractNumId w:val="5"/>
  </w:num>
  <w:num w:numId="8">
    <w:abstractNumId w:val="13"/>
  </w:num>
  <w:num w:numId="9">
    <w:abstractNumId w:val="20"/>
  </w:num>
  <w:num w:numId="10">
    <w:abstractNumId w:val="14"/>
  </w:num>
  <w:num w:numId="11">
    <w:abstractNumId w:val="27"/>
  </w:num>
  <w:num w:numId="12">
    <w:abstractNumId w:val="12"/>
  </w:num>
  <w:num w:numId="13">
    <w:abstractNumId w:val="8"/>
  </w:num>
  <w:num w:numId="14">
    <w:abstractNumId w:val="21"/>
  </w:num>
  <w:num w:numId="15">
    <w:abstractNumId w:val="3"/>
  </w:num>
  <w:num w:numId="16">
    <w:abstractNumId w:val="24"/>
  </w:num>
  <w:num w:numId="17">
    <w:abstractNumId w:val="4"/>
  </w:num>
  <w:num w:numId="18">
    <w:abstractNumId w:val="18"/>
  </w:num>
  <w:num w:numId="19">
    <w:abstractNumId w:val="19"/>
  </w:num>
  <w:num w:numId="20">
    <w:abstractNumId w:val="9"/>
  </w:num>
  <w:num w:numId="21">
    <w:abstractNumId w:val="6"/>
  </w:num>
  <w:num w:numId="22">
    <w:abstractNumId w:val="17"/>
  </w:num>
  <w:num w:numId="23">
    <w:abstractNumId w:val="11"/>
  </w:num>
  <w:num w:numId="24">
    <w:abstractNumId w:val="15"/>
  </w:num>
  <w:num w:numId="25">
    <w:abstractNumId w:val="23"/>
  </w:num>
  <w:num w:numId="26">
    <w:abstractNumId w:val="7"/>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2B0"/>
    <w:rsid w:val="00033877"/>
    <w:rsid w:val="000474C2"/>
    <w:rsid w:val="0006388A"/>
    <w:rsid w:val="000A225A"/>
    <w:rsid w:val="000C2363"/>
    <w:rsid w:val="000C2F44"/>
    <w:rsid w:val="000F700E"/>
    <w:rsid w:val="001A1951"/>
    <w:rsid w:val="0023604C"/>
    <w:rsid w:val="002810B8"/>
    <w:rsid w:val="00291943"/>
    <w:rsid w:val="002C0432"/>
    <w:rsid w:val="002D6C66"/>
    <w:rsid w:val="003000FB"/>
    <w:rsid w:val="00314969"/>
    <w:rsid w:val="00322897"/>
    <w:rsid w:val="0034013D"/>
    <w:rsid w:val="00341328"/>
    <w:rsid w:val="00363B0D"/>
    <w:rsid w:val="003C4E37"/>
    <w:rsid w:val="0045262B"/>
    <w:rsid w:val="004846FB"/>
    <w:rsid w:val="00491436"/>
    <w:rsid w:val="004A6F4B"/>
    <w:rsid w:val="004D2A8A"/>
    <w:rsid w:val="004D691F"/>
    <w:rsid w:val="004E0CDC"/>
    <w:rsid w:val="005034F9"/>
    <w:rsid w:val="005470C3"/>
    <w:rsid w:val="00557D78"/>
    <w:rsid w:val="0057369E"/>
    <w:rsid w:val="00661D4C"/>
    <w:rsid w:val="00663D73"/>
    <w:rsid w:val="00690382"/>
    <w:rsid w:val="006C0ECE"/>
    <w:rsid w:val="006D3619"/>
    <w:rsid w:val="006E5E5E"/>
    <w:rsid w:val="006F4407"/>
    <w:rsid w:val="00700904"/>
    <w:rsid w:val="00731116"/>
    <w:rsid w:val="007654D2"/>
    <w:rsid w:val="00805C50"/>
    <w:rsid w:val="00856D58"/>
    <w:rsid w:val="0086165D"/>
    <w:rsid w:val="00871B68"/>
    <w:rsid w:val="00873934"/>
    <w:rsid w:val="008B1F43"/>
    <w:rsid w:val="008C3639"/>
    <w:rsid w:val="008C534E"/>
    <w:rsid w:val="008D018D"/>
    <w:rsid w:val="008E2257"/>
    <w:rsid w:val="00921393"/>
    <w:rsid w:val="0094470A"/>
    <w:rsid w:val="009542AA"/>
    <w:rsid w:val="009F5562"/>
    <w:rsid w:val="00A13550"/>
    <w:rsid w:val="00A138E1"/>
    <w:rsid w:val="00A3343A"/>
    <w:rsid w:val="00A45585"/>
    <w:rsid w:val="00A4615A"/>
    <w:rsid w:val="00A64693"/>
    <w:rsid w:val="00A8070E"/>
    <w:rsid w:val="00AB1566"/>
    <w:rsid w:val="00AD1EB4"/>
    <w:rsid w:val="00AD72AE"/>
    <w:rsid w:val="00AD72B0"/>
    <w:rsid w:val="00B02194"/>
    <w:rsid w:val="00B157F8"/>
    <w:rsid w:val="00B802A3"/>
    <w:rsid w:val="00B97845"/>
    <w:rsid w:val="00BA4D74"/>
    <w:rsid w:val="00BA66FC"/>
    <w:rsid w:val="00BB105F"/>
    <w:rsid w:val="00BE63F4"/>
    <w:rsid w:val="00BF1FA7"/>
    <w:rsid w:val="00C563F8"/>
    <w:rsid w:val="00C8174C"/>
    <w:rsid w:val="00C86FA9"/>
    <w:rsid w:val="00C96BD2"/>
    <w:rsid w:val="00CB0AD5"/>
    <w:rsid w:val="00CE2C4C"/>
    <w:rsid w:val="00D04491"/>
    <w:rsid w:val="00D4785E"/>
    <w:rsid w:val="00DB46EC"/>
    <w:rsid w:val="00E27C1F"/>
    <w:rsid w:val="00E97990"/>
    <w:rsid w:val="00EB58BA"/>
    <w:rsid w:val="00F44BC1"/>
    <w:rsid w:val="00F97947"/>
    <w:rsid w:val="00FA3C06"/>
    <w:rsid w:val="00FD7119"/>
    <w:rsid w:val="00FF1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0474C2"/>
    <w:pPr>
      <w:keepNext/>
      <w:spacing w:after="240"/>
      <w:jc w:val="both"/>
      <w:outlineLvl w:val="1"/>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1F43"/>
    <w:rPr>
      <w:rFonts w:ascii="Tahoma" w:hAnsi="Tahoma" w:cs="Tahoma"/>
      <w:sz w:val="16"/>
      <w:szCs w:val="16"/>
    </w:rPr>
  </w:style>
  <w:style w:type="paragraph" w:customStyle="1" w:styleId="BodyText">
    <w:name w:val="BodyText"/>
    <w:link w:val="BodyTextChar"/>
    <w:rsid w:val="000F700E"/>
    <w:pPr>
      <w:spacing w:after="240"/>
      <w:jc w:val="both"/>
    </w:pPr>
    <w:rPr>
      <w:sz w:val="24"/>
      <w:lang w:eastAsia="en-US"/>
    </w:rPr>
  </w:style>
  <w:style w:type="character" w:styleId="Emphasis">
    <w:name w:val="Emphasis"/>
    <w:basedOn w:val="DefaultParagraphFont"/>
    <w:qFormat/>
    <w:rsid w:val="000F700E"/>
    <w:rPr>
      <w:i/>
      <w:iCs/>
    </w:rPr>
  </w:style>
  <w:style w:type="paragraph" w:customStyle="1" w:styleId="Bold">
    <w:name w:val="Bold"/>
    <w:basedOn w:val="BodyText"/>
    <w:link w:val="BoldChar"/>
    <w:rsid w:val="000F700E"/>
    <w:rPr>
      <w:b/>
    </w:rPr>
  </w:style>
  <w:style w:type="character" w:customStyle="1" w:styleId="BodyTextChar">
    <w:name w:val="BodyText Char"/>
    <w:basedOn w:val="DefaultParagraphFont"/>
    <w:link w:val="BodyText"/>
    <w:rsid w:val="000F700E"/>
    <w:rPr>
      <w:sz w:val="24"/>
      <w:lang w:val="en-AU" w:eastAsia="en-US" w:bidi="ar-SA"/>
    </w:rPr>
  </w:style>
  <w:style w:type="character" w:customStyle="1" w:styleId="BoldChar">
    <w:name w:val="Bold Char"/>
    <w:basedOn w:val="BodyTextChar"/>
    <w:link w:val="Bold"/>
    <w:rsid w:val="000F700E"/>
    <w:rPr>
      <w:b/>
      <w:sz w:val="24"/>
      <w:lang w:val="en-AU" w:eastAsia="en-US" w:bidi="ar-SA"/>
    </w:rPr>
  </w:style>
  <w:style w:type="table" w:styleId="TableGrid">
    <w:name w:val="Table Grid"/>
    <w:basedOn w:val="TableNormal"/>
    <w:rsid w:val="0034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0">
    <w:name w:val="Indent_0"/>
    <w:basedOn w:val="Normal"/>
    <w:rsid w:val="005470C3"/>
    <w:pPr>
      <w:spacing w:after="240"/>
    </w:pPr>
    <w:rPr>
      <w:sz w:val="26"/>
      <w:szCs w:val="20"/>
      <w:lang w:eastAsia="en-US"/>
    </w:rPr>
  </w:style>
  <w:style w:type="paragraph" w:styleId="BodyText0">
    <w:name w:val="Body Text"/>
    <w:basedOn w:val="Normal"/>
    <w:link w:val="BodyTextChar0"/>
    <w:rsid w:val="00BF1FA7"/>
    <w:pPr>
      <w:spacing w:after="240"/>
      <w:jc w:val="both"/>
    </w:pPr>
    <w:rPr>
      <w:rFonts w:eastAsia="MS Mincho"/>
      <w:lang w:eastAsia="ja-JP"/>
    </w:rPr>
  </w:style>
  <w:style w:type="character" w:customStyle="1" w:styleId="BodyTextChar0">
    <w:name w:val="Body Text Char"/>
    <w:basedOn w:val="DefaultParagraphFont"/>
    <w:link w:val="BodyText0"/>
    <w:rsid w:val="00BF1FA7"/>
    <w:rPr>
      <w:rFonts w:eastAsia="MS Mincho"/>
      <w:sz w:val="24"/>
      <w:szCs w:val="24"/>
      <w:lang w:eastAsia="ja-JP"/>
    </w:rPr>
  </w:style>
  <w:style w:type="character" w:customStyle="1" w:styleId="Heading2Char">
    <w:name w:val="Heading 2 Char"/>
    <w:basedOn w:val="DefaultParagraphFont"/>
    <w:link w:val="Heading2"/>
    <w:rsid w:val="000474C2"/>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4FE8A-C4E0-4095-94FA-4F85ABDC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61F2F16B.dotm</Template>
  <TotalTime>1</TotalTime>
  <Pages>10</Pages>
  <Words>2212</Words>
  <Characters>10972</Characters>
  <Application>Microsoft Office Word</Application>
  <DocSecurity>0</DocSecurity>
  <Lines>332</Lines>
  <Paragraphs>280</Paragraphs>
  <ScaleCrop>false</ScaleCrop>
  <HeadingPairs>
    <vt:vector size="2" baseType="variant">
      <vt:variant>
        <vt:lpstr>Title</vt:lpstr>
      </vt:variant>
      <vt:variant>
        <vt:i4>1</vt:i4>
      </vt:variant>
    </vt:vector>
  </HeadingPairs>
  <TitlesOfParts>
    <vt:vector size="1" baseType="lpstr">
      <vt:lpstr>Technical changes to Interchange Standards: Legislative Process</vt:lpstr>
    </vt:vector>
  </TitlesOfParts>
  <Company>RBA</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changes to Interchange Standards: Legislative Process</dc:title>
  <dc:subject/>
  <dc:creator>rfsdff</dc:creator>
  <cp:keywords/>
  <dc:description/>
  <cp:lastModifiedBy>CHAN, Iris</cp:lastModifiedBy>
  <cp:revision>3</cp:revision>
  <cp:lastPrinted>2012-06-08T03:32:00Z</cp:lastPrinted>
  <dcterms:created xsi:type="dcterms:W3CDTF">2012-11-23T02:53:00Z</dcterms:created>
  <dcterms:modified xsi:type="dcterms:W3CDTF">2012-11-23T02:55:00Z</dcterms:modified>
</cp:coreProperties>
</file>