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A2" w:rsidRDefault="007A08A2" w:rsidP="007A08A2">
      <w:pPr>
        <w:pStyle w:val="Header"/>
        <w:rPr>
          <w:b w:val="0"/>
          <w:i/>
          <w:sz w:val="18"/>
          <w:szCs w:val="18"/>
        </w:rPr>
      </w:pPr>
    </w:p>
    <w:p w:rsidR="007A08A2" w:rsidRPr="002518E0" w:rsidRDefault="007A08A2" w:rsidP="007A08A2">
      <w:pPr>
        <w:pStyle w:val="Header"/>
        <w:rPr>
          <w:b w:val="0"/>
          <w:i/>
          <w:sz w:val="18"/>
          <w:szCs w:val="18"/>
        </w:rPr>
      </w:pPr>
      <w:r w:rsidRPr="002518E0">
        <w:rPr>
          <w:b w:val="0"/>
          <w:i/>
          <w:sz w:val="18"/>
          <w:szCs w:val="18"/>
        </w:rPr>
        <w:t xml:space="preserve">IMMI </w:t>
      </w:r>
      <w:r>
        <w:rPr>
          <w:b w:val="0"/>
          <w:i/>
          <w:sz w:val="18"/>
          <w:szCs w:val="18"/>
        </w:rPr>
        <w:t>12/114</w:t>
      </w:r>
    </w:p>
    <w:p w:rsidR="007A08A2" w:rsidRDefault="007A08A2" w:rsidP="007A08A2">
      <w:pPr>
        <w:pStyle w:val="Header"/>
        <w:keepLines w:val="0"/>
        <w:tabs>
          <w:tab w:val="clear" w:pos="4320"/>
          <w:tab w:val="clear" w:pos="8640"/>
        </w:tabs>
        <w:rPr>
          <w:b w:val="0"/>
          <w:u w:val="single"/>
        </w:rPr>
      </w:pPr>
    </w:p>
    <w:p w:rsidR="007A08A2" w:rsidRDefault="007A08A2" w:rsidP="007A08A2">
      <w:pPr>
        <w:pStyle w:val="Heading1"/>
        <w:spacing w:line="360" w:lineRule="auto"/>
        <w:jc w:val="center"/>
      </w:pPr>
      <w:r>
        <w:t>EXPLANATORY STATEMENT</w:t>
      </w:r>
    </w:p>
    <w:p w:rsidR="007A08A2" w:rsidRPr="003E63E3" w:rsidRDefault="007A08A2" w:rsidP="007A08A2">
      <w:pPr>
        <w:pStyle w:val="Heading2"/>
        <w:spacing w:line="360" w:lineRule="auto"/>
        <w:jc w:val="center"/>
        <w:rPr>
          <w:rFonts w:ascii="Times New Roman" w:hAnsi="Times New Roman" w:cs="Times New Roman"/>
          <w:b w:val="0"/>
        </w:rPr>
      </w:pPr>
      <w:r w:rsidRPr="003E63E3">
        <w:rPr>
          <w:rFonts w:ascii="Times New Roman" w:hAnsi="Times New Roman" w:cs="Times New Roman"/>
          <w:b w:val="0"/>
        </w:rPr>
        <w:t>Migration Regulations 1994</w:t>
      </w:r>
    </w:p>
    <w:p w:rsidR="00634286" w:rsidRDefault="00634286" w:rsidP="007A08A2">
      <w:pPr>
        <w:pStyle w:val="psgn-titleheading"/>
        <w:rPr>
          <w:b w:val="0"/>
          <w:bCs w:val="0"/>
          <w:color w:val="auto"/>
          <w:sz w:val="24"/>
          <w:szCs w:val="20"/>
        </w:rPr>
      </w:pPr>
    </w:p>
    <w:p w:rsidR="007A08A2" w:rsidRDefault="007A08A2" w:rsidP="007A08A2">
      <w:pPr>
        <w:pStyle w:val="psgn-titleheading"/>
      </w:pPr>
      <w:r w:rsidRPr="00476D77">
        <w:t>CLASS OF PERSONS</w:t>
      </w:r>
      <w:bookmarkStart w:id="0" w:name="LPHit2"/>
      <w:bookmarkEnd w:id="0"/>
    </w:p>
    <w:p w:rsidR="007A08A2" w:rsidRPr="00476D77" w:rsidRDefault="007A08A2" w:rsidP="007A08A2">
      <w:pPr>
        <w:pStyle w:val="psgn-titleheading"/>
        <w:rPr>
          <w:b w:val="0"/>
        </w:rPr>
      </w:pPr>
      <w:r w:rsidRPr="00476D77">
        <w:rPr>
          <w:b w:val="0"/>
        </w:rPr>
        <w:t>(</w:t>
      </w:r>
      <w:r>
        <w:rPr>
          <w:b w:val="0"/>
        </w:rPr>
        <w:t>PARAGRAPHS 050.613A and 051.611A</w:t>
      </w:r>
      <w:r w:rsidRPr="00476D77">
        <w:rPr>
          <w:b w:val="0"/>
        </w:rPr>
        <w:t>)</w:t>
      </w:r>
    </w:p>
    <w:p w:rsidR="007A08A2" w:rsidRDefault="007A08A2" w:rsidP="007A08A2">
      <w:pPr>
        <w:spacing w:line="360" w:lineRule="auto"/>
        <w:ind w:hanging="22"/>
        <w:jc w:val="both"/>
      </w:pPr>
    </w:p>
    <w:p w:rsidR="007A08A2" w:rsidRDefault="007A08A2" w:rsidP="007A08A2">
      <w:pPr>
        <w:numPr>
          <w:ilvl w:val="0"/>
          <w:numId w:val="1"/>
        </w:numPr>
        <w:tabs>
          <w:tab w:val="clear" w:pos="720"/>
        </w:tabs>
        <w:spacing w:line="360" w:lineRule="auto"/>
        <w:ind w:left="709" w:hanging="709"/>
        <w:jc w:val="both"/>
      </w:pPr>
      <w:r>
        <w:t>This Instrument is made und</w:t>
      </w:r>
      <w:r w:rsidRPr="0093009B">
        <w:t xml:space="preserve">er paragraph </w:t>
      </w:r>
      <w:r>
        <w:t>050.613A and 051.611A</w:t>
      </w:r>
      <w:r w:rsidRPr="0093009B">
        <w:t xml:space="preserve"> o</w:t>
      </w:r>
      <w:r>
        <w:t xml:space="preserve">f the </w:t>
      </w:r>
      <w:r w:rsidRPr="00231FFD">
        <w:rPr>
          <w:i/>
        </w:rPr>
        <w:t>Migration Regulations 1994</w:t>
      </w:r>
      <w:r>
        <w:t xml:space="preserve"> (“the Regulations”).</w:t>
      </w:r>
    </w:p>
    <w:p w:rsidR="007A08A2" w:rsidRDefault="007A08A2" w:rsidP="007A08A2">
      <w:pPr>
        <w:spacing w:line="360" w:lineRule="auto"/>
        <w:ind w:left="709" w:hanging="709"/>
        <w:jc w:val="both"/>
        <w:rPr>
          <w:b/>
        </w:rPr>
      </w:pPr>
    </w:p>
    <w:p w:rsidR="007A08A2" w:rsidRPr="00B063F6" w:rsidRDefault="007A08A2" w:rsidP="007A08A2">
      <w:pPr>
        <w:pStyle w:val="BodyTextIndent"/>
        <w:numPr>
          <w:ilvl w:val="0"/>
          <w:numId w:val="1"/>
        </w:numPr>
        <w:tabs>
          <w:tab w:val="clear" w:pos="720"/>
        </w:tabs>
        <w:spacing w:line="360" w:lineRule="auto"/>
        <w:ind w:left="709" w:hanging="709"/>
      </w:pPr>
      <w:r w:rsidRPr="00B063F6">
        <w:t xml:space="preserve">Paragraphs 050.613A and 051.611A of the Regulations </w:t>
      </w:r>
      <w:bookmarkStart w:id="1" w:name="LPHit18"/>
      <w:bookmarkStart w:id="2" w:name="LPHit19"/>
      <w:bookmarkStart w:id="3" w:name="LPHit20"/>
      <w:bookmarkEnd w:id="1"/>
      <w:bookmarkEnd w:id="2"/>
      <w:bookmarkEnd w:id="3"/>
      <w:r w:rsidRPr="008F0F72">
        <w:t>provide</w:t>
      </w:r>
      <w:r w:rsidRPr="00B063F6">
        <w:t xml:space="preserve"> that condition 8101 (‘no work’) does not apply to a class of persons specified by the Minister in an instrument in writing.</w:t>
      </w:r>
    </w:p>
    <w:p w:rsidR="007A08A2" w:rsidRPr="005D579B" w:rsidRDefault="007A08A2" w:rsidP="007A08A2">
      <w:pPr>
        <w:spacing w:line="360" w:lineRule="auto"/>
        <w:ind w:left="709" w:hanging="709"/>
        <w:jc w:val="both"/>
        <w:rPr>
          <w:i/>
          <w:highlight w:val="yellow"/>
        </w:rPr>
      </w:pPr>
    </w:p>
    <w:p w:rsidR="007A08A2" w:rsidRPr="000556E4" w:rsidRDefault="007A08A2" w:rsidP="007A08A2">
      <w:pPr>
        <w:numPr>
          <w:ilvl w:val="0"/>
          <w:numId w:val="1"/>
        </w:numPr>
        <w:tabs>
          <w:tab w:val="clear" w:pos="720"/>
        </w:tabs>
        <w:spacing w:line="360" w:lineRule="auto"/>
        <w:ind w:left="709" w:hanging="709"/>
        <w:rPr>
          <w:szCs w:val="24"/>
        </w:rPr>
      </w:pPr>
      <w:r w:rsidRPr="000556E4">
        <w:t>The purpose of the Instrument is to allow the Minister to</w:t>
      </w:r>
      <w:r>
        <w:t xml:space="preserve"> specify which </w:t>
      </w:r>
      <w:r w:rsidRPr="008F0F72">
        <w:t>classes of persons</w:t>
      </w:r>
      <w:r w:rsidRPr="000556E4">
        <w:t xml:space="preserve"> who have been granted a visa Class WE are not subject to condition 8101.</w:t>
      </w:r>
    </w:p>
    <w:p w:rsidR="007A08A2" w:rsidRPr="006F0631" w:rsidRDefault="007A08A2" w:rsidP="007A08A2">
      <w:pPr>
        <w:spacing w:line="360" w:lineRule="auto"/>
        <w:rPr>
          <w:szCs w:val="24"/>
          <w:highlight w:val="yellow"/>
        </w:rPr>
      </w:pPr>
    </w:p>
    <w:p w:rsidR="007A08A2" w:rsidRPr="000556E4" w:rsidRDefault="007A08A2" w:rsidP="007A08A2">
      <w:pPr>
        <w:numPr>
          <w:ilvl w:val="0"/>
          <w:numId w:val="1"/>
        </w:numPr>
        <w:tabs>
          <w:tab w:val="clear" w:pos="720"/>
        </w:tabs>
        <w:spacing w:line="360" w:lineRule="auto"/>
        <w:ind w:left="709" w:hanging="709"/>
        <w:jc w:val="both"/>
        <w:rPr>
          <w:szCs w:val="24"/>
        </w:rPr>
      </w:pPr>
      <w:r w:rsidRPr="000556E4">
        <w:rPr>
          <w:szCs w:val="24"/>
        </w:rPr>
        <w:t>The instrument operates to make work rights discretionary for persons granted</w:t>
      </w:r>
      <w:r w:rsidRPr="00A343BE">
        <w:rPr>
          <w:szCs w:val="24"/>
        </w:rPr>
        <w:t xml:space="preserve"> a BVE subclass 050 or a BVE subclass 051 </w:t>
      </w:r>
      <w:r w:rsidRPr="000556E4">
        <w:rPr>
          <w:szCs w:val="24"/>
        </w:rPr>
        <w:t xml:space="preserve">visa under s195A of the Act. </w:t>
      </w:r>
      <w:r w:rsidR="001E6A52">
        <w:rPr>
          <w:szCs w:val="24"/>
        </w:rPr>
        <w:t>The Instrument does not apply to offshore entry persons granted a Bridging E (Class WE) visa (subclasses 050 or 051) under section 195A of the Act who enter Australia on or after 13 August 2012.</w:t>
      </w:r>
      <w:r w:rsidRPr="000556E4">
        <w:rPr>
          <w:szCs w:val="24"/>
        </w:rPr>
        <w:t xml:space="preserve"> Currently condition 8101 (‘no work’) is mandatory when conditions are imposed under paragraphs 050.613A(1)(a) and 051.611A(1)(c).  However, paragraphs 050.613A(1)(b) and 051.611A(1)(c</w:t>
      </w:r>
      <w:r w:rsidRPr="00A343BE">
        <w:rPr>
          <w:szCs w:val="24"/>
        </w:rPr>
        <w:t>) provide</w:t>
      </w:r>
      <w:r w:rsidRPr="000556E4">
        <w:rPr>
          <w:szCs w:val="24"/>
        </w:rPr>
        <w:t xml:space="preserve"> that the Minister may specify a class of persons are not subject to having condition 8101 imposed on their visa.  Therefore it is necessary to specify a class of persons in an instrument for the purposes of paragraphs 050.613A(1)(b) and 051.611A(1)(c).  This means that clauses 050.617 and 051.612 operate to specify the discretionary conditions that may be imposed on the applicant’s visa.</w:t>
      </w:r>
    </w:p>
    <w:p w:rsidR="007A08A2" w:rsidRDefault="007A08A2" w:rsidP="007A08A2">
      <w:pPr>
        <w:spacing w:line="360" w:lineRule="auto"/>
        <w:jc w:val="both"/>
      </w:pPr>
    </w:p>
    <w:p w:rsidR="007A08A2" w:rsidRPr="0020477B" w:rsidRDefault="007A08A2" w:rsidP="007A08A2">
      <w:pPr>
        <w:spacing w:line="360" w:lineRule="auto"/>
        <w:ind w:left="709" w:hanging="709"/>
        <w:jc w:val="both"/>
        <w:rPr>
          <w:szCs w:val="24"/>
        </w:rPr>
      </w:pPr>
      <w:r>
        <w:rPr>
          <w:szCs w:val="24"/>
        </w:rPr>
        <w:t>5.</w:t>
      </w:r>
      <w:r>
        <w:rPr>
          <w:szCs w:val="24"/>
        </w:rPr>
        <w:tab/>
      </w:r>
      <w:r w:rsidRPr="00A9347E">
        <w:rPr>
          <w:szCs w:val="24"/>
        </w:rPr>
        <w:t xml:space="preserve">Under subsection 44 of the </w:t>
      </w:r>
      <w:r w:rsidRPr="00A9347E">
        <w:rPr>
          <w:i/>
          <w:szCs w:val="24"/>
        </w:rPr>
        <w:t>Legislative Instruments Act 2003</w:t>
      </w:r>
      <w:r w:rsidRPr="00A9347E">
        <w:rPr>
          <w:szCs w:val="24"/>
        </w:rPr>
        <w:t xml:space="preserve"> the Instrument is exempt from disallowance and therefore a Human Rights Statement of Compatibility is not required.</w:t>
      </w:r>
    </w:p>
    <w:p w:rsidR="007A08A2" w:rsidRDefault="007A08A2" w:rsidP="007A08A2">
      <w:pPr>
        <w:spacing w:line="360" w:lineRule="auto"/>
        <w:jc w:val="both"/>
        <w:rPr>
          <w:szCs w:val="24"/>
        </w:rPr>
      </w:pPr>
    </w:p>
    <w:p w:rsidR="007A08A2" w:rsidRPr="000556E4" w:rsidRDefault="007A08A2" w:rsidP="007A08A2">
      <w:pPr>
        <w:numPr>
          <w:ilvl w:val="0"/>
          <w:numId w:val="2"/>
        </w:numPr>
        <w:spacing w:line="360" w:lineRule="auto"/>
        <w:ind w:hanging="720"/>
        <w:jc w:val="both"/>
      </w:pPr>
      <w:r w:rsidRPr="000556E4">
        <w:rPr>
          <w:szCs w:val="24"/>
        </w:rPr>
        <w:t xml:space="preserve">Consultation is unnecessary as, under section 18(1) of the </w:t>
      </w:r>
      <w:r w:rsidRPr="000556E4">
        <w:rPr>
          <w:i/>
          <w:szCs w:val="24"/>
        </w:rPr>
        <w:t>Legislative Instruments Act 2003</w:t>
      </w:r>
      <w:r w:rsidRPr="000556E4">
        <w:rPr>
          <w:szCs w:val="24"/>
        </w:rPr>
        <w:t>, the Instrument is of a minor or machinery nature and does not substantially alter existing arrangements.</w:t>
      </w:r>
    </w:p>
    <w:p w:rsidR="007A08A2" w:rsidRPr="005D579B" w:rsidRDefault="007A08A2" w:rsidP="007A08A2">
      <w:pPr>
        <w:spacing w:line="360" w:lineRule="auto"/>
        <w:jc w:val="both"/>
        <w:rPr>
          <w:szCs w:val="24"/>
          <w:highlight w:val="yellow"/>
        </w:rPr>
      </w:pPr>
    </w:p>
    <w:p w:rsidR="007A08A2" w:rsidRPr="00B063F6" w:rsidRDefault="007A08A2" w:rsidP="007A08A2">
      <w:pPr>
        <w:numPr>
          <w:ilvl w:val="0"/>
          <w:numId w:val="2"/>
        </w:numPr>
        <w:spacing w:line="360" w:lineRule="auto"/>
        <w:ind w:left="709" w:hanging="709"/>
        <w:jc w:val="both"/>
        <w:rPr>
          <w:szCs w:val="24"/>
        </w:rPr>
      </w:pPr>
      <w:r w:rsidRPr="00B063F6">
        <w:rPr>
          <w:szCs w:val="24"/>
        </w:rPr>
        <w:t xml:space="preserve">The Office of Best Practice Regulation has advised that a Regulatory Impact Statement is not required. </w:t>
      </w:r>
      <w:r>
        <w:rPr>
          <w:szCs w:val="24"/>
        </w:rPr>
        <w:t xml:space="preserve">(OBPR Ref: </w:t>
      </w:r>
      <w:r w:rsidRPr="00A343BE">
        <w:rPr>
          <w:szCs w:val="24"/>
        </w:rPr>
        <w:t>14294</w:t>
      </w:r>
      <w:r w:rsidRPr="00A868A0">
        <w:rPr>
          <w:szCs w:val="24"/>
        </w:rPr>
        <w:t>)</w:t>
      </w:r>
    </w:p>
    <w:p w:rsidR="007A08A2" w:rsidRPr="00B063F6" w:rsidRDefault="007A08A2" w:rsidP="007A08A2">
      <w:pPr>
        <w:spacing w:line="360" w:lineRule="auto"/>
        <w:jc w:val="both"/>
        <w:rPr>
          <w:szCs w:val="24"/>
        </w:rPr>
      </w:pPr>
    </w:p>
    <w:p w:rsidR="007A08A2" w:rsidRPr="000556E4" w:rsidRDefault="007A08A2" w:rsidP="007A08A2">
      <w:pPr>
        <w:numPr>
          <w:ilvl w:val="0"/>
          <w:numId w:val="2"/>
        </w:numPr>
        <w:spacing w:line="360" w:lineRule="auto"/>
        <w:ind w:left="709" w:hanging="709"/>
        <w:jc w:val="both"/>
        <w:rPr>
          <w:szCs w:val="24"/>
        </w:rPr>
      </w:pPr>
      <w:r w:rsidRPr="00B063F6">
        <w:t>The Instrument, IMMI 1</w:t>
      </w:r>
      <w:r>
        <w:t>2/114</w:t>
      </w:r>
      <w:r w:rsidRPr="00B063F6">
        <w:t xml:space="preserve">, </w:t>
      </w:r>
      <w:r w:rsidRPr="00900140">
        <w:rPr>
          <w:color w:val="000000"/>
        </w:rPr>
        <w:t>commences on</w:t>
      </w:r>
      <w:r>
        <w:rPr>
          <w:color w:val="000000"/>
        </w:rPr>
        <w:t xml:space="preserve"> the day after registration on the Federal Register of Legislative Instruments</w:t>
      </w:r>
      <w:r w:rsidRPr="000556E4">
        <w:rPr>
          <w:color w:val="000000"/>
        </w:rPr>
        <w:t>.</w:t>
      </w:r>
    </w:p>
    <w:p w:rsidR="00EB3324" w:rsidRDefault="00EB3324"/>
    <w:sectPr w:rsidR="00EB3324" w:rsidSect="007A08A2">
      <w:headerReference w:type="default" r:id="rId7"/>
      <w:headerReference w:type="first" r:id="rId8"/>
      <w:footerReference w:type="first" r:id="rId9"/>
      <w:pgSz w:w="11907" w:h="16840" w:code="9"/>
      <w:pgMar w:top="851" w:right="708" w:bottom="851" w:left="851" w:header="425"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851BC" w:rsidP="00BE0321">
      <w:r>
        <w:separator/>
      </w:r>
    </w:p>
  </w:endnote>
  <w:endnote w:type="continuationSeparator" w:id="0">
    <w:p w:rsidR="00000000" w:rsidRDefault="004851BC" w:rsidP="00BE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86" w:rsidRPr="00A235C1" w:rsidRDefault="00634286" w:rsidP="007A08A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851BC" w:rsidP="00BE0321">
      <w:r>
        <w:separator/>
      </w:r>
    </w:p>
  </w:footnote>
  <w:footnote w:type="continuationSeparator" w:id="0">
    <w:p w:rsidR="00000000" w:rsidRDefault="004851BC" w:rsidP="00BE0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86" w:rsidRPr="00B5674B" w:rsidRDefault="00634286" w:rsidP="007A08A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86" w:rsidRPr="00F36A1B" w:rsidRDefault="0063428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FFC"/>
    <w:multiLevelType w:val="hybridMultilevel"/>
    <w:tmpl w:val="64881C98"/>
    <w:lvl w:ilvl="0" w:tplc="6DBC2CE6">
      <w:start w:val="1"/>
      <w:numFmt w:val="decimal"/>
      <w:lvlText w:val="%1."/>
      <w:lvlJc w:val="left"/>
      <w:pPr>
        <w:tabs>
          <w:tab w:val="num" w:pos="720"/>
        </w:tabs>
        <w:ind w:left="720" w:hanging="360"/>
      </w:pPr>
      <w:rPr>
        <w:i w:val="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5AB50A61"/>
    <w:multiLevelType w:val="hybridMultilevel"/>
    <w:tmpl w:val="2836EF68"/>
    <w:lvl w:ilvl="0" w:tplc="AA5050DC">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331B"/>
    <w:rsid w:val="00002D8E"/>
    <w:rsid w:val="00057A33"/>
    <w:rsid w:val="0006025C"/>
    <w:rsid w:val="000657AE"/>
    <w:rsid w:val="000A24FB"/>
    <w:rsid w:val="000C7E8D"/>
    <w:rsid w:val="000E68D5"/>
    <w:rsid w:val="00114C0D"/>
    <w:rsid w:val="00132CD6"/>
    <w:rsid w:val="001333AA"/>
    <w:rsid w:val="0014210A"/>
    <w:rsid w:val="001544A8"/>
    <w:rsid w:val="00160567"/>
    <w:rsid w:val="00165E3F"/>
    <w:rsid w:val="00182979"/>
    <w:rsid w:val="00182CA3"/>
    <w:rsid w:val="001A4F4C"/>
    <w:rsid w:val="001B3978"/>
    <w:rsid w:val="001B4B2B"/>
    <w:rsid w:val="001B7A11"/>
    <w:rsid w:val="001C1B42"/>
    <w:rsid w:val="001D009D"/>
    <w:rsid w:val="001E6A52"/>
    <w:rsid w:val="00203246"/>
    <w:rsid w:val="00270239"/>
    <w:rsid w:val="00272813"/>
    <w:rsid w:val="00276C45"/>
    <w:rsid w:val="002820F5"/>
    <w:rsid w:val="002C4630"/>
    <w:rsid w:val="002D473C"/>
    <w:rsid w:val="00310DFD"/>
    <w:rsid w:val="00321D4C"/>
    <w:rsid w:val="003645E1"/>
    <w:rsid w:val="0038713E"/>
    <w:rsid w:val="003913C6"/>
    <w:rsid w:val="003D0C62"/>
    <w:rsid w:val="00412066"/>
    <w:rsid w:val="00457F25"/>
    <w:rsid w:val="004838AF"/>
    <w:rsid w:val="004851BC"/>
    <w:rsid w:val="00492C43"/>
    <w:rsid w:val="004938A0"/>
    <w:rsid w:val="00552C59"/>
    <w:rsid w:val="005743B4"/>
    <w:rsid w:val="00587674"/>
    <w:rsid w:val="005A6469"/>
    <w:rsid w:val="005D1158"/>
    <w:rsid w:val="005F432A"/>
    <w:rsid w:val="00627777"/>
    <w:rsid w:val="00634286"/>
    <w:rsid w:val="0063488F"/>
    <w:rsid w:val="0068331B"/>
    <w:rsid w:val="00693BA3"/>
    <w:rsid w:val="006B566E"/>
    <w:rsid w:val="006C4E17"/>
    <w:rsid w:val="00743D93"/>
    <w:rsid w:val="007569DF"/>
    <w:rsid w:val="007922B6"/>
    <w:rsid w:val="007A08A2"/>
    <w:rsid w:val="007B2CDD"/>
    <w:rsid w:val="007D00F4"/>
    <w:rsid w:val="007D42AF"/>
    <w:rsid w:val="007E2023"/>
    <w:rsid w:val="007E7635"/>
    <w:rsid w:val="00811234"/>
    <w:rsid w:val="00811CD0"/>
    <w:rsid w:val="00820942"/>
    <w:rsid w:val="00825342"/>
    <w:rsid w:val="00844B28"/>
    <w:rsid w:val="00846FDC"/>
    <w:rsid w:val="00887F2E"/>
    <w:rsid w:val="00892ED0"/>
    <w:rsid w:val="008E1D0F"/>
    <w:rsid w:val="009159E3"/>
    <w:rsid w:val="00917004"/>
    <w:rsid w:val="00944C80"/>
    <w:rsid w:val="00976CD6"/>
    <w:rsid w:val="0097732B"/>
    <w:rsid w:val="00994CB4"/>
    <w:rsid w:val="009D1F4A"/>
    <w:rsid w:val="009D67C3"/>
    <w:rsid w:val="009F39F4"/>
    <w:rsid w:val="00A078AC"/>
    <w:rsid w:val="00A20E05"/>
    <w:rsid w:val="00A33A5D"/>
    <w:rsid w:val="00A40592"/>
    <w:rsid w:val="00A54671"/>
    <w:rsid w:val="00A76CB8"/>
    <w:rsid w:val="00AC0C2B"/>
    <w:rsid w:val="00AE63D3"/>
    <w:rsid w:val="00AF3E28"/>
    <w:rsid w:val="00B11666"/>
    <w:rsid w:val="00B11A57"/>
    <w:rsid w:val="00B209AC"/>
    <w:rsid w:val="00B52945"/>
    <w:rsid w:val="00B73DE7"/>
    <w:rsid w:val="00B90E7B"/>
    <w:rsid w:val="00BB4C17"/>
    <w:rsid w:val="00BB5406"/>
    <w:rsid w:val="00BD63DF"/>
    <w:rsid w:val="00BE1BE4"/>
    <w:rsid w:val="00C5581F"/>
    <w:rsid w:val="00C61E58"/>
    <w:rsid w:val="00CB154A"/>
    <w:rsid w:val="00CB1858"/>
    <w:rsid w:val="00CF6F99"/>
    <w:rsid w:val="00D11BF6"/>
    <w:rsid w:val="00D30576"/>
    <w:rsid w:val="00D47C16"/>
    <w:rsid w:val="00D86147"/>
    <w:rsid w:val="00DA2638"/>
    <w:rsid w:val="00DD7C2F"/>
    <w:rsid w:val="00E034D7"/>
    <w:rsid w:val="00E0481A"/>
    <w:rsid w:val="00E31670"/>
    <w:rsid w:val="00E6480F"/>
    <w:rsid w:val="00E76350"/>
    <w:rsid w:val="00EB3324"/>
    <w:rsid w:val="00EC352A"/>
    <w:rsid w:val="00ED3D15"/>
    <w:rsid w:val="00EE0810"/>
    <w:rsid w:val="00EE5EA4"/>
    <w:rsid w:val="00EF2D04"/>
    <w:rsid w:val="00F20267"/>
    <w:rsid w:val="00F2713A"/>
    <w:rsid w:val="00F45506"/>
    <w:rsid w:val="00F61846"/>
    <w:rsid w:val="00F76C23"/>
    <w:rsid w:val="00F93BF1"/>
    <w:rsid w:val="00FC21D2"/>
    <w:rsid w:val="00FD79A7"/>
    <w:rsid w:val="00FE0DC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A2"/>
    <w:rPr>
      <w:sz w:val="24"/>
    </w:rPr>
  </w:style>
  <w:style w:type="paragraph" w:styleId="Heading1">
    <w:name w:val="heading 1"/>
    <w:basedOn w:val="Normal"/>
    <w:next w:val="Normal"/>
    <w:qFormat/>
    <w:rsid w:val="007A08A2"/>
    <w:pPr>
      <w:keepNext/>
      <w:keepLines/>
      <w:spacing w:before="240" w:after="60"/>
      <w:outlineLvl w:val="0"/>
    </w:pPr>
    <w:rPr>
      <w:b/>
      <w:kern w:val="28"/>
    </w:rPr>
  </w:style>
  <w:style w:type="paragraph" w:styleId="Heading2">
    <w:name w:val="heading 2"/>
    <w:basedOn w:val="Normal"/>
    <w:next w:val="Normal"/>
    <w:qFormat/>
    <w:rsid w:val="007A08A2"/>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08A2"/>
    <w:pPr>
      <w:keepLines/>
      <w:tabs>
        <w:tab w:val="center" w:pos="4320"/>
        <w:tab w:val="right" w:pos="8640"/>
      </w:tabs>
    </w:pPr>
    <w:rPr>
      <w:b/>
    </w:rPr>
  </w:style>
  <w:style w:type="paragraph" w:styleId="Footer">
    <w:name w:val="footer"/>
    <w:basedOn w:val="Normal"/>
    <w:rsid w:val="007A08A2"/>
    <w:pPr>
      <w:tabs>
        <w:tab w:val="center" w:pos="4153"/>
        <w:tab w:val="right" w:pos="8306"/>
      </w:tabs>
    </w:pPr>
  </w:style>
  <w:style w:type="paragraph" w:styleId="BodyTextIndent">
    <w:name w:val="Body Text Indent"/>
    <w:basedOn w:val="Normal"/>
    <w:rsid w:val="007A08A2"/>
    <w:pPr>
      <w:ind w:hanging="22"/>
      <w:jc w:val="both"/>
    </w:pPr>
  </w:style>
  <w:style w:type="paragraph" w:customStyle="1" w:styleId="psgn-titleheading">
    <w:name w:val="ps_gn-titleheading"/>
    <w:basedOn w:val="Normal"/>
    <w:rsid w:val="007A08A2"/>
    <w:pPr>
      <w:jc w:val="center"/>
    </w:pPr>
    <w:rPr>
      <w:b/>
      <w:b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1808</Characters>
  <Application>Microsoft Office Word</Application>
  <DocSecurity>4</DocSecurity>
  <Lines>40</Lines>
  <Paragraphs>13</Paragraphs>
  <ScaleCrop>false</ScaleCrop>
  <HeadingPairs>
    <vt:vector size="2" baseType="variant">
      <vt:variant>
        <vt:lpstr>Title</vt:lpstr>
      </vt:variant>
      <vt:variant>
        <vt:i4>1</vt:i4>
      </vt:variant>
    </vt:vector>
  </HeadingPairs>
  <TitlesOfParts>
    <vt:vector size="1" baseType="lpstr">
      <vt:lpstr>IMMI 12/114</vt:lpstr>
    </vt:vector>
  </TitlesOfParts>
  <Company>DIAC</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 12/114</dc:title>
  <dc:subject/>
  <dc:creator>PRWOCA</dc:creator>
  <cp:keywords/>
  <dc:description/>
  <cp:lastModifiedBy>davyga</cp:lastModifiedBy>
  <cp:revision>2</cp:revision>
  <cp:lastPrinted>2012-11-15T04:04:00Z</cp:lastPrinted>
  <dcterms:created xsi:type="dcterms:W3CDTF">2012-11-20T06:24:00Z</dcterms:created>
  <dcterms:modified xsi:type="dcterms:W3CDTF">2012-11-20T06:24:00Z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1274</vt:lpwstr>
  </property>
  <property fmtid="{D5CDD505-2E9C-101B-9397-08002B2CF9AE}" pid="3" name="IndexMatter">
    <vt:lpwstr>IMMI 12114 </vt:lpwstr>
  </property>
</Properties>
</file>