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D7" w:rsidRPr="00D921EB" w:rsidRDefault="00E262D7" w:rsidP="00F11F1B">
      <w:pPr>
        <w:spacing w:after="0"/>
        <w:rPr>
          <w:rFonts w:ascii="Arial" w:hAnsi="Arial" w:cs="Arial"/>
          <w:b/>
          <w:sz w:val="24"/>
          <w:szCs w:val="24"/>
        </w:rPr>
      </w:pPr>
      <w:r w:rsidRPr="00D921EB">
        <w:rPr>
          <w:rFonts w:ascii="Arial" w:hAnsi="Arial" w:cs="Arial"/>
          <w:b/>
          <w:sz w:val="24"/>
          <w:szCs w:val="24"/>
        </w:rPr>
        <w:t>COMMONWEALTH OF AUSTRALIA</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i/>
          <w:sz w:val="24"/>
          <w:szCs w:val="24"/>
        </w:rPr>
      </w:pPr>
      <w:r w:rsidRPr="00D921EB">
        <w:rPr>
          <w:rFonts w:ascii="Arial" w:hAnsi="Arial" w:cs="Arial"/>
          <w:i/>
          <w:sz w:val="24"/>
          <w:szCs w:val="24"/>
        </w:rPr>
        <w:t>COMPETITION AND CONSUMER ACT 2010</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sz w:val="24"/>
          <w:szCs w:val="24"/>
        </w:rPr>
      </w:pPr>
      <w:r w:rsidRPr="00D921EB">
        <w:rPr>
          <w:rFonts w:ascii="Arial" w:hAnsi="Arial" w:cs="Arial"/>
          <w:sz w:val="24"/>
          <w:szCs w:val="24"/>
        </w:rPr>
        <w:t>Consumer Protection Notice No.  5 of 2012</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b/>
          <w:sz w:val="24"/>
          <w:szCs w:val="24"/>
        </w:rPr>
      </w:pPr>
      <w:r w:rsidRPr="00D921EB">
        <w:rPr>
          <w:rFonts w:ascii="Arial" w:hAnsi="Arial" w:cs="Arial"/>
          <w:b/>
          <w:sz w:val="24"/>
          <w:szCs w:val="24"/>
        </w:rPr>
        <w:t xml:space="preserve">IMPOSITION OF PERMANENT BAN ON SMALL, HIGH POWERED MAGNETS </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sz w:val="24"/>
          <w:szCs w:val="24"/>
        </w:rPr>
      </w:pPr>
      <w:r w:rsidRPr="00D921EB">
        <w:rPr>
          <w:rFonts w:ascii="Arial" w:hAnsi="Arial" w:cs="Arial"/>
          <w:sz w:val="24"/>
          <w:szCs w:val="24"/>
        </w:rPr>
        <w:t>I, DAVID BRADBURY, Assistant Treasurer:</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sz w:val="24"/>
          <w:szCs w:val="24"/>
        </w:rPr>
      </w:pPr>
      <w:r w:rsidRPr="00D921EB">
        <w:rPr>
          <w:rFonts w:ascii="Arial" w:hAnsi="Arial" w:cs="Arial"/>
          <w:sz w:val="24"/>
          <w:szCs w:val="24"/>
        </w:rPr>
        <w:t xml:space="preserve">pursuant to section 114(1) of the Australian Consumer Law, </w:t>
      </w:r>
      <w:r w:rsidRPr="00D921EB">
        <w:rPr>
          <w:rFonts w:ascii="Arial" w:hAnsi="Arial" w:cs="Arial"/>
          <w:b/>
          <w:sz w:val="24"/>
          <w:szCs w:val="24"/>
        </w:rPr>
        <w:t>IMPOSE</w:t>
      </w:r>
      <w:r w:rsidRPr="00D921EB">
        <w:rPr>
          <w:rFonts w:ascii="Arial" w:hAnsi="Arial" w:cs="Arial"/>
          <w:sz w:val="24"/>
          <w:szCs w:val="24"/>
        </w:rPr>
        <w:t xml:space="preserve"> a permanent ban on consumer goods of a kind specified below. This permanent ban comes into force on the day after this Notice is registered on the Federal Register of Legislative Instruments.</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b/>
          <w:sz w:val="24"/>
          <w:szCs w:val="24"/>
        </w:rPr>
      </w:pPr>
      <w:r w:rsidRPr="00D921EB">
        <w:rPr>
          <w:rFonts w:ascii="Arial" w:hAnsi="Arial" w:cs="Arial"/>
          <w:b/>
          <w:sz w:val="24"/>
          <w:szCs w:val="24"/>
        </w:rPr>
        <w:t>Particulars of Consumer Goods</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sz w:val="24"/>
          <w:szCs w:val="24"/>
        </w:rPr>
      </w:pPr>
      <w:r w:rsidRPr="00D921EB">
        <w:rPr>
          <w:rFonts w:ascii="Arial" w:hAnsi="Arial" w:cs="Arial"/>
          <w:sz w:val="24"/>
          <w:szCs w:val="24"/>
        </w:rPr>
        <w:t>Separable or loose magnetic objects that are supplied in multiples of two or more where:</w:t>
      </w:r>
    </w:p>
    <w:p w:rsidR="00E262D7" w:rsidRPr="00D921EB" w:rsidRDefault="00E262D7" w:rsidP="00F11F1B">
      <w:pPr>
        <w:spacing w:after="0"/>
        <w:rPr>
          <w:rFonts w:ascii="Arial" w:hAnsi="Arial" w:cs="Arial"/>
          <w:sz w:val="24"/>
          <w:szCs w:val="24"/>
        </w:rPr>
      </w:pPr>
      <w:r w:rsidRPr="00D921EB">
        <w:rPr>
          <w:rFonts w:ascii="Arial" w:hAnsi="Arial" w:cs="Arial"/>
          <w:sz w:val="24"/>
          <w:szCs w:val="24"/>
        </w:rPr>
        <w:t>a.</w:t>
      </w:r>
      <w:r w:rsidRPr="00D921EB">
        <w:rPr>
          <w:rFonts w:ascii="Arial" w:hAnsi="Arial" w:cs="Arial"/>
          <w:sz w:val="24"/>
          <w:szCs w:val="24"/>
        </w:rPr>
        <w:tab/>
        <w:t xml:space="preserve">at least two of those magnetic objects are each separately able to fit entirely, in any orientation, into the small parts cylinder as provided by clause 5.2 and figure 15 of the Australian / New Zealand Standard, </w:t>
      </w:r>
      <w:r w:rsidRPr="00D921EB">
        <w:rPr>
          <w:rFonts w:ascii="Arial" w:hAnsi="Arial" w:cs="Arial"/>
          <w:i/>
          <w:sz w:val="24"/>
          <w:szCs w:val="24"/>
        </w:rPr>
        <w:t>Safety of toys – Part 1: Safety aspects related to mechanical and physical properties</w:t>
      </w:r>
      <w:r w:rsidRPr="00D921EB">
        <w:rPr>
          <w:rFonts w:ascii="Arial" w:hAnsi="Arial" w:cs="Arial"/>
          <w:sz w:val="24"/>
          <w:szCs w:val="24"/>
        </w:rPr>
        <w:t xml:space="preserve"> (AS/NZS ISO 8124.1:2010) and</w:t>
      </w:r>
    </w:p>
    <w:p w:rsidR="00E262D7" w:rsidRPr="00D921EB" w:rsidRDefault="00E262D7" w:rsidP="00F11F1B">
      <w:pPr>
        <w:spacing w:after="0"/>
        <w:rPr>
          <w:rFonts w:ascii="Arial" w:hAnsi="Arial" w:cs="Arial"/>
          <w:sz w:val="24"/>
          <w:szCs w:val="24"/>
        </w:rPr>
      </w:pPr>
      <w:r w:rsidRPr="00D921EB">
        <w:rPr>
          <w:rFonts w:ascii="Arial" w:hAnsi="Arial" w:cs="Arial"/>
          <w:sz w:val="24"/>
          <w:szCs w:val="24"/>
        </w:rPr>
        <w:t>b.</w:t>
      </w:r>
      <w:r w:rsidRPr="00D921EB">
        <w:rPr>
          <w:rFonts w:ascii="Arial" w:hAnsi="Arial" w:cs="Arial"/>
          <w:sz w:val="24"/>
          <w:szCs w:val="24"/>
        </w:rPr>
        <w:tab/>
        <w:t>at least two of those magnetic objects each separately have a magnetic flux index greater than 50 (</w:t>
      </w:r>
      <w:proofErr w:type="spellStart"/>
      <w:r w:rsidRPr="00D921EB">
        <w:rPr>
          <w:rFonts w:ascii="Arial" w:hAnsi="Arial" w:cs="Arial"/>
          <w:sz w:val="24"/>
          <w:szCs w:val="24"/>
        </w:rPr>
        <w:t>kG</w:t>
      </w:r>
      <w:proofErr w:type="spellEnd"/>
      <w:r w:rsidRPr="00D921EB">
        <w:rPr>
          <w:rFonts w:ascii="Arial" w:hAnsi="Arial" w:cs="Arial"/>
          <w:sz w:val="24"/>
          <w:szCs w:val="24"/>
        </w:rPr>
        <w:t>)</w:t>
      </w:r>
      <w:r w:rsidRPr="00D921EB">
        <w:rPr>
          <w:rFonts w:ascii="Arial" w:hAnsi="Arial" w:cs="Arial"/>
          <w:sz w:val="24"/>
          <w:szCs w:val="24"/>
          <w:vertAlign w:val="superscript"/>
        </w:rPr>
        <w:t>2</w:t>
      </w:r>
      <w:r w:rsidRPr="00D921EB">
        <w:rPr>
          <w:rFonts w:ascii="Arial" w:hAnsi="Arial" w:cs="Arial"/>
          <w:sz w:val="24"/>
          <w:szCs w:val="24"/>
        </w:rPr>
        <w:t xml:space="preserve"> mm</w:t>
      </w:r>
      <w:r w:rsidRPr="00D921EB">
        <w:rPr>
          <w:rFonts w:ascii="Arial" w:hAnsi="Arial" w:cs="Arial"/>
          <w:sz w:val="24"/>
          <w:szCs w:val="24"/>
          <w:vertAlign w:val="superscript"/>
        </w:rPr>
        <w:t>2</w:t>
      </w:r>
      <w:r w:rsidRPr="00D921EB">
        <w:rPr>
          <w:rFonts w:ascii="Arial" w:hAnsi="Arial" w:cs="Arial"/>
          <w:sz w:val="24"/>
          <w:szCs w:val="24"/>
        </w:rPr>
        <w:t>, determined as per clause 5.31 of AS/NZS 8124.1:2010 and</w:t>
      </w:r>
    </w:p>
    <w:p w:rsidR="00E262D7" w:rsidRPr="00D921EB" w:rsidRDefault="00E262D7" w:rsidP="00F11F1B">
      <w:pPr>
        <w:spacing w:after="0"/>
        <w:rPr>
          <w:rFonts w:ascii="Arial" w:hAnsi="Arial" w:cs="Arial"/>
          <w:sz w:val="24"/>
          <w:szCs w:val="24"/>
        </w:rPr>
      </w:pPr>
      <w:r w:rsidRPr="00D921EB">
        <w:rPr>
          <w:rFonts w:ascii="Arial" w:hAnsi="Arial" w:cs="Arial"/>
          <w:sz w:val="24"/>
          <w:szCs w:val="24"/>
        </w:rPr>
        <w:t>c.</w:t>
      </w:r>
      <w:r w:rsidRPr="00D921EB">
        <w:rPr>
          <w:rFonts w:ascii="Arial" w:hAnsi="Arial" w:cs="Arial"/>
          <w:sz w:val="24"/>
          <w:szCs w:val="24"/>
        </w:rPr>
        <w:tab/>
        <w:t>the magnetic objects are marketed by the supplier as, or supplied for use as,</w:t>
      </w:r>
    </w:p>
    <w:p w:rsidR="00E262D7" w:rsidRPr="00D921EB" w:rsidRDefault="00E262D7" w:rsidP="00F11F1B">
      <w:pPr>
        <w:spacing w:after="0"/>
        <w:ind w:left="720"/>
        <w:rPr>
          <w:rFonts w:ascii="Arial" w:hAnsi="Arial" w:cs="Arial"/>
          <w:sz w:val="24"/>
          <w:szCs w:val="24"/>
        </w:rPr>
      </w:pPr>
      <w:proofErr w:type="spellStart"/>
      <w:r w:rsidRPr="00D921EB">
        <w:rPr>
          <w:rFonts w:ascii="Arial" w:hAnsi="Arial" w:cs="Arial"/>
          <w:sz w:val="24"/>
          <w:szCs w:val="24"/>
        </w:rPr>
        <w:t>i</w:t>
      </w:r>
      <w:proofErr w:type="spellEnd"/>
      <w:r w:rsidRPr="00D921EB">
        <w:rPr>
          <w:rFonts w:ascii="Arial" w:hAnsi="Arial" w:cs="Arial"/>
          <w:sz w:val="24"/>
          <w:szCs w:val="24"/>
        </w:rPr>
        <w:t>.</w:t>
      </w:r>
      <w:r w:rsidRPr="00D921EB">
        <w:rPr>
          <w:rFonts w:ascii="Arial" w:hAnsi="Arial" w:cs="Arial"/>
          <w:sz w:val="24"/>
          <w:szCs w:val="24"/>
        </w:rPr>
        <w:tab/>
        <w:t xml:space="preserve">a toy, game or puzzle (including but not limited to an adult desk </w:t>
      </w:r>
      <w:proofErr w:type="spellStart"/>
      <w:r w:rsidRPr="00D921EB">
        <w:rPr>
          <w:rFonts w:ascii="Arial" w:hAnsi="Arial" w:cs="Arial"/>
          <w:sz w:val="24"/>
          <w:szCs w:val="24"/>
        </w:rPr>
        <w:t>toy</w:t>
      </w:r>
      <w:proofErr w:type="spellEnd"/>
      <w:r w:rsidRPr="00D921EB">
        <w:rPr>
          <w:rFonts w:ascii="Arial" w:hAnsi="Arial" w:cs="Arial"/>
          <w:sz w:val="24"/>
          <w:szCs w:val="24"/>
        </w:rPr>
        <w:t>, an educational toy or game, a toy, game or puzzle for mental stimulation or stress relief); or</w:t>
      </w:r>
    </w:p>
    <w:p w:rsidR="00E262D7" w:rsidRPr="00D921EB" w:rsidRDefault="00E262D7" w:rsidP="00F11F1B">
      <w:pPr>
        <w:spacing w:after="0"/>
        <w:ind w:left="720"/>
        <w:rPr>
          <w:rFonts w:ascii="Arial" w:hAnsi="Arial" w:cs="Arial"/>
          <w:sz w:val="24"/>
          <w:szCs w:val="24"/>
        </w:rPr>
      </w:pPr>
      <w:r w:rsidRPr="00D921EB">
        <w:rPr>
          <w:rFonts w:ascii="Arial" w:hAnsi="Arial" w:cs="Arial"/>
          <w:sz w:val="24"/>
          <w:szCs w:val="24"/>
        </w:rPr>
        <w:t>ii.</w:t>
      </w:r>
      <w:r w:rsidRPr="00D921EB">
        <w:rPr>
          <w:rFonts w:ascii="Arial" w:hAnsi="Arial" w:cs="Arial"/>
          <w:sz w:val="24"/>
          <w:szCs w:val="24"/>
        </w:rPr>
        <w:tab/>
        <w:t>a construction or modelling kit; or</w:t>
      </w:r>
    </w:p>
    <w:p w:rsidR="00E262D7" w:rsidRPr="00D921EB" w:rsidRDefault="00E262D7" w:rsidP="00F11F1B">
      <w:pPr>
        <w:spacing w:after="0"/>
        <w:ind w:left="720"/>
        <w:rPr>
          <w:rFonts w:ascii="Arial" w:hAnsi="Arial" w:cs="Arial"/>
          <w:sz w:val="24"/>
          <w:szCs w:val="24"/>
        </w:rPr>
      </w:pPr>
      <w:r w:rsidRPr="00D921EB">
        <w:rPr>
          <w:rFonts w:ascii="Arial" w:hAnsi="Arial" w:cs="Arial"/>
          <w:sz w:val="24"/>
          <w:szCs w:val="24"/>
        </w:rPr>
        <w:t>iii.</w:t>
      </w:r>
      <w:r w:rsidRPr="00D921EB">
        <w:rPr>
          <w:rFonts w:ascii="Arial" w:hAnsi="Arial" w:cs="Arial"/>
          <w:sz w:val="24"/>
          <w:szCs w:val="24"/>
        </w:rPr>
        <w:tab/>
        <w:t xml:space="preserve">jewellery to be worn in or around the mouth or nose.  </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b/>
          <w:sz w:val="24"/>
          <w:szCs w:val="24"/>
        </w:rPr>
      </w:pPr>
      <w:r w:rsidRPr="00D921EB">
        <w:rPr>
          <w:rFonts w:ascii="Arial" w:hAnsi="Arial" w:cs="Arial"/>
          <w:b/>
          <w:sz w:val="24"/>
          <w:szCs w:val="24"/>
        </w:rPr>
        <w:t>Interpretation</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i/>
          <w:sz w:val="24"/>
          <w:szCs w:val="24"/>
        </w:rPr>
      </w:pPr>
      <w:r w:rsidRPr="00D921EB">
        <w:rPr>
          <w:rFonts w:ascii="Arial" w:hAnsi="Arial" w:cs="Arial"/>
          <w:i/>
          <w:sz w:val="24"/>
          <w:szCs w:val="24"/>
        </w:rPr>
        <w:t>Construction or modelling kit</w:t>
      </w:r>
    </w:p>
    <w:p w:rsidR="00E262D7" w:rsidRPr="00D921EB" w:rsidRDefault="00E262D7" w:rsidP="00F11F1B">
      <w:pPr>
        <w:spacing w:after="0"/>
        <w:rPr>
          <w:rFonts w:ascii="Arial" w:hAnsi="Arial" w:cs="Arial"/>
          <w:sz w:val="24"/>
          <w:szCs w:val="24"/>
        </w:rPr>
      </w:pPr>
      <w:r w:rsidRPr="00D921EB">
        <w:rPr>
          <w:rFonts w:ascii="Arial" w:hAnsi="Arial" w:cs="Arial"/>
          <w:sz w:val="24"/>
          <w:szCs w:val="24"/>
        </w:rPr>
        <w:t>This ban is subject to the definition of consumer goods provided in section 2 of the Australian Consumer Law. This means that a construction or modelling kit containing small high powered magnets which is not used, or likely to be used, for personal, domestic or household use will not be subject to this permanent ban.</w:t>
      </w:r>
    </w:p>
    <w:p w:rsidR="0082007F" w:rsidRPr="00D921EB" w:rsidRDefault="0082007F">
      <w:pPr>
        <w:rPr>
          <w:rFonts w:ascii="Arial" w:hAnsi="Arial" w:cs="Arial"/>
          <w:i/>
          <w:sz w:val="24"/>
          <w:szCs w:val="24"/>
        </w:rPr>
      </w:pPr>
      <w:r w:rsidRPr="00D921EB">
        <w:rPr>
          <w:rFonts w:ascii="Arial" w:hAnsi="Arial" w:cs="Arial"/>
          <w:i/>
          <w:sz w:val="24"/>
          <w:szCs w:val="24"/>
        </w:rPr>
        <w:br w:type="page"/>
      </w:r>
    </w:p>
    <w:p w:rsidR="00E262D7" w:rsidRPr="00D921EB" w:rsidRDefault="00E262D7" w:rsidP="0082007F">
      <w:pPr>
        <w:rPr>
          <w:rFonts w:ascii="Arial" w:hAnsi="Arial" w:cs="Arial"/>
          <w:i/>
          <w:sz w:val="24"/>
          <w:szCs w:val="24"/>
        </w:rPr>
      </w:pPr>
      <w:r w:rsidRPr="00D921EB">
        <w:rPr>
          <w:rFonts w:ascii="Arial" w:hAnsi="Arial" w:cs="Arial"/>
          <w:i/>
          <w:sz w:val="24"/>
          <w:szCs w:val="24"/>
        </w:rPr>
        <w:lastRenderedPageBreak/>
        <w:t>Magnetic flux index</w:t>
      </w:r>
    </w:p>
    <w:p w:rsidR="00E262D7" w:rsidRPr="00D921EB" w:rsidRDefault="00E262D7" w:rsidP="00F11F1B">
      <w:pPr>
        <w:spacing w:after="0"/>
        <w:rPr>
          <w:rFonts w:ascii="Arial" w:hAnsi="Arial" w:cs="Arial"/>
          <w:sz w:val="24"/>
          <w:szCs w:val="24"/>
        </w:rPr>
      </w:pPr>
      <w:r w:rsidRPr="00D921EB">
        <w:rPr>
          <w:rFonts w:ascii="Arial" w:hAnsi="Arial" w:cs="Arial"/>
          <w:sz w:val="24"/>
          <w:szCs w:val="24"/>
        </w:rPr>
        <w:t>50 (</w:t>
      </w:r>
      <w:proofErr w:type="spellStart"/>
      <w:r w:rsidRPr="00D921EB">
        <w:rPr>
          <w:rFonts w:ascii="Arial" w:hAnsi="Arial" w:cs="Arial"/>
          <w:sz w:val="24"/>
          <w:szCs w:val="24"/>
        </w:rPr>
        <w:t>kG</w:t>
      </w:r>
      <w:proofErr w:type="spellEnd"/>
      <w:r w:rsidRPr="00D921EB">
        <w:rPr>
          <w:rFonts w:ascii="Arial" w:hAnsi="Arial" w:cs="Arial"/>
          <w:sz w:val="24"/>
          <w:szCs w:val="24"/>
        </w:rPr>
        <w:t>)</w:t>
      </w:r>
      <w:r w:rsidRPr="00D921EB">
        <w:rPr>
          <w:rFonts w:ascii="Arial" w:hAnsi="Arial" w:cs="Arial"/>
          <w:sz w:val="24"/>
          <w:szCs w:val="24"/>
          <w:vertAlign w:val="superscript"/>
        </w:rPr>
        <w:t>2</w:t>
      </w:r>
      <w:r w:rsidRPr="00D921EB">
        <w:rPr>
          <w:rFonts w:ascii="Arial" w:hAnsi="Arial" w:cs="Arial"/>
          <w:sz w:val="24"/>
          <w:szCs w:val="24"/>
        </w:rPr>
        <w:t xml:space="preserve"> mm</w:t>
      </w:r>
      <w:r w:rsidRPr="00D921EB">
        <w:rPr>
          <w:rFonts w:ascii="Arial" w:hAnsi="Arial" w:cs="Arial"/>
          <w:sz w:val="24"/>
          <w:szCs w:val="24"/>
          <w:vertAlign w:val="superscript"/>
        </w:rPr>
        <w:t>2</w:t>
      </w:r>
      <w:r w:rsidRPr="00D921EB">
        <w:rPr>
          <w:rFonts w:ascii="Arial" w:hAnsi="Arial" w:cs="Arial"/>
          <w:sz w:val="24"/>
          <w:szCs w:val="24"/>
        </w:rPr>
        <w:t xml:space="preserve"> is equivalent to 0.5 T</w:t>
      </w:r>
      <w:r w:rsidRPr="00D921EB">
        <w:rPr>
          <w:rFonts w:ascii="Arial" w:hAnsi="Arial" w:cs="Arial"/>
          <w:sz w:val="24"/>
          <w:szCs w:val="24"/>
          <w:vertAlign w:val="superscript"/>
        </w:rPr>
        <w:t>2</w:t>
      </w:r>
      <w:r w:rsidRPr="00D921EB">
        <w:rPr>
          <w:rFonts w:ascii="Arial" w:hAnsi="Arial" w:cs="Arial"/>
          <w:sz w:val="24"/>
          <w:szCs w:val="24"/>
        </w:rPr>
        <w:t>m</w:t>
      </w:r>
      <w:r w:rsidRPr="00D921EB">
        <w:rPr>
          <w:rFonts w:ascii="Arial" w:hAnsi="Arial" w:cs="Arial"/>
          <w:sz w:val="24"/>
          <w:szCs w:val="24"/>
          <w:vertAlign w:val="superscript"/>
        </w:rPr>
        <w:t>2</w:t>
      </w:r>
      <w:r w:rsidRPr="00D921EB">
        <w:rPr>
          <w:rFonts w:ascii="Arial" w:hAnsi="Arial" w:cs="Arial"/>
          <w:sz w:val="24"/>
          <w:szCs w:val="24"/>
        </w:rPr>
        <w:t>. This measure is determined as per clause 5.31 of AS/NZS 8124.1:2010. In clause 5.31.3, omit “kG</w:t>
      </w:r>
      <w:r w:rsidRPr="00D921EB">
        <w:rPr>
          <w:rFonts w:ascii="Arial" w:hAnsi="Arial" w:cs="Arial"/>
          <w:sz w:val="24"/>
          <w:szCs w:val="24"/>
          <w:vertAlign w:val="superscript"/>
        </w:rPr>
        <w:t>2</w:t>
      </w:r>
      <w:r w:rsidRPr="00D921EB">
        <w:rPr>
          <w:rFonts w:ascii="Arial" w:hAnsi="Arial" w:cs="Arial"/>
          <w:sz w:val="24"/>
          <w:szCs w:val="24"/>
        </w:rPr>
        <w:t>mm</w:t>
      </w:r>
      <w:r w:rsidRPr="00D921EB">
        <w:rPr>
          <w:rFonts w:ascii="Arial" w:hAnsi="Arial" w:cs="Arial"/>
          <w:sz w:val="24"/>
          <w:szCs w:val="24"/>
          <w:vertAlign w:val="superscript"/>
        </w:rPr>
        <w:t>2</w:t>
      </w:r>
      <w:r w:rsidRPr="00D921EB">
        <w:rPr>
          <w:rFonts w:ascii="Arial" w:hAnsi="Arial" w:cs="Arial"/>
          <w:sz w:val="24"/>
          <w:szCs w:val="24"/>
        </w:rPr>
        <w:t>” and replace with (</w:t>
      </w:r>
      <w:proofErr w:type="spellStart"/>
      <w:r w:rsidRPr="00D921EB">
        <w:rPr>
          <w:rFonts w:ascii="Arial" w:hAnsi="Arial" w:cs="Arial"/>
          <w:sz w:val="24"/>
          <w:szCs w:val="24"/>
        </w:rPr>
        <w:t>kG</w:t>
      </w:r>
      <w:proofErr w:type="spellEnd"/>
      <w:r w:rsidRPr="00D921EB">
        <w:rPr>
          <w:rFonts w:ascii="Arial" w:hAnsi="Arial" w:cs="Arial"/>
          <w:sz w:val="24"/>
          <w:szCs w:val="24"/>
        </w:rPr>
        <w:t>)</w:t>
      </w:r>
      <w:r w:rsidRPr="00D921EB">
        <w:rPr>
          <w:rFonts w:ascii="Arial" w:hAnsi="Arial" w:cs="Arial"/>
          <w:sz w:val="24"/>
          <w:szCs w:val="24"/>
          <w:vertAlign w:val="superscript"/>
        </w:rPr>
        <w:t>2</w:t>
      </w:r>
      <w:r w:rsidRPr="00D921EB">
        <w:rPr>
          <w:rFonts w:ascii="Arial" w:hAnsi="Arial" w:cs="Arial"/>
          <w:sz w:val="24"/>
          <w:szCs w:val="24"/>
        </w:rPr>
        <w:t xml:space="preserve"> mm</w:t>
      </w:r>
      <w:r w:rsidRPr="00D921EB">
        <w:rPr>
          <w:rFonts w:ascii="Arial" w:hAnsi="Arial" w:cs="Arial"/>
          <w:sz w:val="24"/>
          <w:szCs w:val="24"/>
          <w:vertAlign w:val="superscript"/>
        </w:rPr>
        <w:t>2</w:t>
      </w:r>
      <w:r w:rsidRPr="00D921EB">
        <w:rPr>
          <w:rFonts w:ascii="Arial" w:hAnsi="Arial" w:cs="Arial"/>
          <w:sz w:val="24"/>
          <w:szCs w:val="24"/>
        </w:rPr>
        <w:t>.</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i/>
          <w:sz w:val="24"/>
          <w:szCs w:val="24"/>
        </w:rPr>
      </w:pPr>
      <w:r w:rsidRPr="00D921EB">
        <w:rPr>
          <w:rFonts w:ascii="Arial" w:hAnsi="Arial" w:cs="Arial"/>
          <w:i/>
          <w:sz w:val="24"/>
          <w:szCs w:val="24"/>
        </w:rPr>
        <w:t>Small parts cylinder</w:t>
      </w:r>
    </w:p>
    <w:p w:rsidR="00E262D7" w:rsidRPr="00D921EB" w:rsidRDefault="00E262D7" w:rsidP="00F11F1B">
      <w:pPr>
        <w:spacing w:after="0"/>
        <w:rPr>
          <w:rFonts w:ascii="Arial" w:hAnsi="Arial" w:cs="Arial"/>
          <w:sz w:val="24"/>
          <w:szCs w:val="24"/>
        </w:rPr>
      </w:pPr>
      <w:r w:rsidRPr="00D921EB">
        <w:rPr>
          <w:rFonts w:ascii="Arial" w:hAnsi="Arial" w:cs="Arial"/>
          <w:sz w:val="24"/>
          <w:szCs w:val="24"/>
        </w:rPr>
        <w:t xml:space="preserve">The small parts cylinder is a test apparatus taken from the Australian, International and other national toy standards (for example the Australian / New Zealand Standard, </w:t>
      </w:r>
      <w:r w:rsidRPr="00D921EB">
        <w:rPr>
          <w:rFonts w:ascii="Arial" w:hAnsi="Arial" w:cs="Arial"/>
          <w:i/>
          <w:sz w:val="24"/>
          <w:szCs w:val="24"/>
        </w:rPr>
        <w:t>Safety of toys – Part 1: Safety aspects related to mechanical and physical properties</w:t>
      </w:r>
      <w:r w:rsidRPr="00D921EB">
        <w:rPr>
          <w:rFonts w:ascii="Arial" w:hAnsi="Arial" w:cs="Arial"/>
          <w:sz w:val="24"/>
          <w:szCs w:val="24"/>
        </w:rPr>
        <w:t xml:space="preserve"> (AS/NZS ISO 8124.1:2010)) designed to identify parts which are small enough to pose an ingestion or inhalation hazard for children under 3 years of age.</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sz w:val="24"/>
          <w:szCs w:val="24"/>
        </w:rPr>
      </w:pPr>
      <w:r w:rsidRPr="00D921EB">
        <w:rPr>
          <w:rFonts w:ascii="Arial" w:hAnsi="Arial" w:cs="Arial"/>
          <w:sz w:val="24"/>
          <w:szCs w:val="24"/>
        </w:rPr>
        <w:t>Dimensions in the figure below are in mm.</w:t>
      </w:r>
    </w:p>
    <w:p w:rsidR="0082007F" w:rsidRPr="00D921EB" w:rsidRDefault="0082007F" w:rsidP="00F11F1B">
      <w:pPr>
        <w:spacing w:after="0"/>
        <w:rPr>
          <w:rFonts w:ascii="Arial" w:hAnsi="Arial" w:cs="Arial"/>
          <w:sz w:val="24"/>
          <w:szCs w:val="24"/>
        </w:rPr>
      </w:pPr>
    </w:p>
    <w:p w:rsidR="00F11F1B" w:rsidRPr="00D921EB" w:rsidRDefault="00F11F1B" w:rsidP="00F11F1B">
      <w:pPr>
        <w:spacing w:after="0"/>
        <w:rPr>
          <w:rFonts w:ascii="Arial" w:hAnsi="Arial" w:cs="Arial"/>
          <w:sz w:val="24"/>
          <w:szCs w:val="24"/>
        </w:rPr>
      </w:pPr>
      <w:r w:rsidRPr="00D921EB">
        <w:rPr>
          <w:rFonts w:ascii="Arial" w:hAnsi="Arial" w:cs="Arial"/>
          <w:noProof/>
          <w:sz w:val="24"/>
          <w:szCs w:val="24"/>
          <w:lang w:eastAsia="en-AU"/>
        </w:rPr>
        <w:drawing>
          <wp:inline distT="0" distB="0" distL="0" distR="0">
            <wp:extent cx="2743200" cy="3469005"/>
            <wp:effectExtent l="19050" t="0" r="0" b="0"/>
            <wp:docPr id="3" name="Picture 3" descr="smallparts4"/>
            <wp:cNvGraphicFramePr/>
            <a:graphic xmlns:a="http://schemas.openxmlformats.org/drawingml/2006/main">
              <a:graphicData uri="http://schemas.openxmlformats.org/drawingml/2006/picture">
                <pic:pic xmlns:pic="http://schemas.openxmlformats.org/drawingml/2006/picture">
                  <pic:nvPicPr>
                    <pic:cNvPr id="0" name="Picture 1" descr="smallparts4"/>
                    <pic:cNvPicPr>
                      <a:picLocks noChangeAspect="1" noChangeArrowheads="1"/>
                    </pic:cNvPicPr>
                  </pic:nvPicPr>
                  <pic:blipFill>
                    <a:blip r:embed="rId4" cstate="print"/>
                    <a:srcRect/>
                    <a:stretch>
                      <a:fillRect/>
                    </a:stretch>
                  </pic:blipFill>
                  <pic:spPr bwMode="auto">
                    <a:xfrm>
                      <a:off x="0" y="0"/>
                      <a:ext cx="2743200" cy="3469005"/>
                    </a:xfrm>
                    <a:prstGeom prst="rect">
                      <a:avLst/>
                    </a:prstGeom>
                    <a:noFill/>
                    <a:ln w="9525">
                      <a:noFill/>
                      <a:miter lim="800000"/>
                      <a:headEnd/>
                      <a:tailEnd/>
                    </a:ln>
                  </pic:spPr>
                </pic:pic>
              </a:graphicData>
            </a:graphic>
          </wp:inline>
        </w:drawing>
      </w:r>
    </w:p>
    <w:p w:rsidR="00E262D7" w:rsidRPr="00D921EB" w:rsidRDefault="00E262D7" w:rsidP="00F11F1B">
      <w:pPr>
        <w:spacing w:after="0"/>
        <w:rPr>
          <w:rFonts w:ascii="Arial" w:hAnsi="Arial" w:cs="Arial"/>
          <w:sz w:val="24"/>
          <w:szCs w:val="24"/>
        </w:rPr>
      </w:pPr>
      <w:r w:rsidRPr="00D921EB">
        <w:rPr>
          <w:rFonts w:ascii="Arial" w:hAnsi="Arial" w:cs="Arial"/>
          <w:sz w:val="24"/>
          <w:szCs w:val="24"/>
        </w:rPr>
        <w:t xml:space="preserve"> </w:t>
      </w:r>
      <w:r w:rsidRPr="00D921EB">
        <w:rPr>
          <w:rFonts w:ascii="Arial" w:hAnsi="Arial" w:cs="Arial"/>
          <w:i/>
          <w:sz w:val="24"/>
          <w:szCs w:val="24"/>
        </w:rPr>
        <w:t>Small parts test</w:t>
      </w:r>
    </w:p>
    <w:p w:rsidR="00E262D7" w:rsidRPr="00D921EB" w:rsidRDefault="00E262D7" w:rsidP="00F11F1B">
      <w:pPr>
        <w:spacing w:after="0"/>
        <w:rPr>
          <w:rFonts w:ascii="Arial" w:hAnsi="Arial" w:cs="Arial"/>
          <w:sz w:val="24"/>
          <w:szCs w:val="24"/>
        </w:rPr>
      </w:pPr>
      <w:r w:rsidRPr="00D921EB">
        <w:rPr>
          <w:rFonts w:ascii="Arial" w:hAnsi="Arial" w:cs="Arial"/>
          <w:sz w:val="24"/>
          <w:szCs w:val="24"/>
        </w:rPr>
        <w:t>Place the test object, without compressing it and in any orientation, into the cylinder. If the object fits entirely within the cylinder, it fails the test.</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sz w:val="24"/>
          <w:szCs w:val="24"/>
        </w:rPr>
      </w:pPr>
      <w:r w:rsidRPr="00D921EB">
        <w:rPr>
          <w:rFonts w:ascii="Arial" w:hAnsi="Arial" w:cs="Arial"/>
          <w:b/>
          <w:sz w:val="24"/>
          <w:szCs w:val="24"/>
        </w:rPr>
        <w:t>Note</w:t>
      </w:r>
      <w:r w:rsidRPr="00D921EB">
        <w:rPr>
          <w:rFonts w:ascii="Arial" w:hAnsi="Arial" w:cs="Arial"/>
          <w:sz w:val="24"/>
          <w:szCs w:val="24"/>
        </w:rPr>
        <w:t>: Goods subject to this Notice and which fail to comply may be subject to compulsory recall.</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sz w:val="24"/>
          <w:szCs w:val="24"/>
        </w:rPr>
      </w:pPr>
      <w:r w:rsidRPr="00D921EB">
        <w:rPr>
          <w:rFonts w:ascii="Arial" w:hAnsi="Arial" w:cs="Arial"/>
          <w:sz w:val="24"/>
          <w:szCs w:val="24"/>
        </w:rPr>
        <w:t xml:space="preserve">Dated this         </w:t>
      </w:r>
      <w:r w:rsidR="009F13A3" w:rsidRPr="00D921EB">
        <w:rPr>
          <w:rFonts w:ascii="Arial" w:hAnsi="Arial" w:cs="Arial"/>
          <w:sz w:val="24"/>
          <w:szCs w:val="24"/>
        </w:rPr>
        <w:t>9</w:t>
      </w:r>
      <w:r w:rsidRPr="00D921EB">
        <w:rPr>
          <w:rFonts w:ascii="Arial" w:hAnsi="Arial" w:cs="Arial"/>
          <w:sz w:val="24"/>
          <w:szCs w:val="24"/>
        </w:rPr>
        <w:t xml:space="preserve">      day of          </w:t>
      </w:r>
      <w:r w:rsidR="009F13A3" w:rsidRPr="00D921EB">
        <w:rPr>
          <w:rFonts w:ascii="Arial" w:hAnsi="Arial" w:cs="Arial"/>
          <w:sz w:val="24"/>
          <w:szCs w:val="24"/>
        </w:rPr>
        <w:t>November</w:t>
      </w:r>
      <w:r w:rsidRPr="00D921EB">
        <w:rPr>
          <w:rFonts w:ascii="Arial" w:hAnsi="Arial" w:cs="Arial"/>
          <w:sz w:val="24"/>
          <w:szCs w:val="24"/>
        </w:rPr>
        <w:t xml:space="preserve">          2012</w:t>
      </w:r>
    </w:p>
    <w:p w:rsidR="00E262D7" w:rsidRPr="00D921EB" w:rsidRDefault="00E262D7" w:rsidP="00F11F1B">
      <w:pPr>
        <w:spacing w:after="0"/>
        <w:rPr>
          <w:rFonts w:ascii="Arial" w:hAnsi="Arial" w:cs="Arial"/>
          <w:sz w:val="24"/>
          <w:szCs w:val="24"/>
        </w:rPr>
      </w:pPr>
    </w:p>
    <w:p w:rsidR="00E262D7" w:rsidRPr="00D921EB" w:rsidRDefault="00E262D7" w:rsidP="00F11F1B">
      <w:pPr>
        <w:spacing w:after="0"/>
        <w:rPr>
          <w:rFonts w:ascii="Arial" w:hAnsi="Arial" w:cs="Arial"/>
          <w:sz w:val="24"/>
          <w:szCs w:val="24"/>
        </w:rPr>
      </w:pPr>
      <w:r w:rsidRPr="00D921EB">
        <w:rPr>
          <w:rFonts w:ascii="Arial" w:hAnsi="Arial" w:cs="Arial"/>
          <w:sz w:val="24"/>
          <w:szCs w:val="24"/>
        </w:rPr>
        <w:t>DAVID BRADBURY</w:t>
      </w:r>
    </w:p>
    <w:p w:rsidR="004E7889" w:rsidRPr="00D921EB" w:rsidRDefault="00E262D7" w:rsidP="00F11F1B">
      <w:pPr>
        <w:spacing w:after="0"/>
        <w:rPr>
          <w:rFonts w:ascii="Arial" w:hAnsi="Arial" w:cs="Arial"/>
          <w:sz w:val="24"/>
          <w:szCs w:val="24"/>
        </w:rPr>
      </w:pPr>
      <w:r w:rsidRPr="00D921EB">
        <w:rPr>
          <w:rFonts w:ascii="Arial" w:hAnsi="Arial" w:cs="Arial"/>
          <w:sz w:val="24"/>
          <w:szCs w:val="24"/>
        </w:rPr>
        <w:t>Assistant Treasurer</w:t>
      </w:r>
    </w:p>
    <w:sectPr w:rsidR="004E7889" w:rsidRPr="00D921EB" w:rsidSect="001F118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defaultTabStop w:val="720"/>
  <w:characterSpacingControl w:val="doNotCompress"/>
  <w:compat/>
  <w:docVars>
    <w:docVar w:name="currentname" w:val="Document5"/>
  </w:docVars>
  <w:rsids>
    <w:rsidRoot w:val="00E262D7"/>
    <w:rsid w:val="000056D1"/>
    <w:rsid w:val="000067FB"/>
    <w:rsid w:val="00012925"/>
    <w:rsid w:val="00040676"/>
    <w:rsid w:val="00043090"/>
    <w:rsid w:val="000519AA"/>
    <w:rsid w:val="00053CBE"/>
    <w:rsid w:val="0006111E"/>
    <w:rsid w:val="000648BE"/>
    <w:rsid w:val="00065A0E"/>
    <w:rsid w:val="000668D6"/>
    <w:rsid w:val="00067887"/>
    <w:rsid w:val="00075195"/>
    <w:rsid w:val="000979E3"/>
    <w:rsid w:val="000A61F7"/>
    <w:rsid w:val="000B72A9"/>
    <w:rsid w:val="000D3217"/>
    <w:rsid w:val="000D56DA"/>
    <w:rsid w:val="0010091B"/>
    <w:rsid w:val="001073CC"/>
    <w:rsid w:val="001105F4"/>
    <w:rsid w:val="00117404"/>
    <w:rsid w:val="00122555"/>
    <w:rsid w:val="00125800"/>
    <w:rsid w:val="00133EEC"/>
    <w:rsid w:val="00134EA4"/>
    <w:rsid w:val="00137158"/>
    <w:rsid w:val="00137185"/>
    <w:rsid w:val="001404C8"/>
    <w:rsid w:val="00141104"/>
    <w:rsid w:val="001445EB"/>
    <w:rsid w:val="001456B9"/>
    <w:rsid w:val="001508E0"/>
    <w:rsid w:val="0015151B"/>
    <w:rsid w:val="001541BC"/>
    <w:rsid w:val="0015745E"/>
    <w:rsid w:val="00170431"/>
    <w:rsid w:val="0017273B"/>
    <w:rsid w:val="001757F7"/>
    <w:rsid w:val="00177101"/>
    <w:rsid w:val="001813C7"/>
    <w:rsid w:val="00181629"/>
    <w:rsid w:val="00181FF0"/>
    <w:rsid w:val="00193508"/>
    <w:rsid w:val="00193533"/>
    <w:rsid w:val="001A7BD8"/>
    <w:rsid w:val="001B3B14"/>
    <w:rsid w:val="001C1E7A"/>
    <w:rsid w:val="001D0907"/>
    <w:rsid w:val="001E12BF"/>
    <w:rsid w:val="001F118C"/>
    <w:rsid w:val="001F43F8"/>
    <w:rsid w:val="00202471"/>
    <w:rsid w:val="002071AC"/>
    <w:rsid w:val="002076FC"/>
    <w:rsid w:val="00211A08"/>
    <w:rsid w:val="002125C0"/>
    <w:rsid w:val="00213107"/>
    <w:rsid w:val="00215831"/>
    <w:rsid w:val="002238A2"/>
    <w:rsid w:val="00232AEF"/>
    <w:rsid w:val="00235CDA"/>
    <w:rsid w:val="0023774C"/>
    <w:rsid w:val="0024250B"/>
    <w:rsid w:val="00254D99"/>
    <w:rsid w:val="00255F22"/>
    <w:rsid w:val="002601B0"/>
    <w:rsid w:val="002701D5"/>
    <w:rsid w:val="0027179B"/>
    <w:rsid w:val="0028643F"/>
    <w:rsid w:val="00287386"/>
    <w:rsid w:val="0029286A"/>
    <w:rsid w:val="002938CB"/>
    <w:rsid w:val="00294007"/>
    <w:rsid w:val="00295292"/>
    <w:rsid w:val="002A46C7"/>
    <w:rsid w:val="002A61E9"/>
    <w:rsid w:val="002B0926"/>
    <w:rsid w:val="002C17D7"/>
    <w:rsid w:val="002D33B2"/>
    <w:rsid w:val="002E57D3"/>
    <w:rsid w:val="002E5A02"/>
    <w:rsid w:val="002F3DA1"/>
    <w:rsid w:val="002F3DA3"/>
    <w:rsid w:val="003214AF"/>
    <w:rsid w:val="00335E28"/>
    <w:rsid w:val="00344014"/>
    <w:rsid w:val="00345799"/>
    <w:rsid w:val="00357E19"/>
    <w:rsid w:val="00364AF4"/>
    <w:rsid w:val="00367844"/>
    <w:rsid w:val="003756E0"/>
    <w:rsid w:val="00382716"/>
    <w:rsid w:val="00386686"/>
    <w:rsid w:val="003A1C79"/>
    <w:rsid w:val="003A6B78"/>
    <w:rsid w:val="003C0E55"/>
    <w:rsid w:val="003E379B"/>
    <w:rsid w:val="003E6BC7"/>
    <w:rsid w:val="0040442D"/>
    <w:rsid w:val="004279E8"/>
    <w:rsid w:val="00435806"/>
    <w:rsid w:val="00435E6D"/>
    <w:rsid w:val="00436247"/>
    <w:rsid w:val="00436396"/>
    <w:rsid w:val="004405EC"/>
    <w:rsid w:val="00443C94"/>
    <w:rsid w:val="004508F5"/>
    <w:rsid w:val="00455E2D"/>
    <w:rsid w:val="00470005"/>
    <w:rsid w:val="0047266C"/>
    <w:rsid w:val="00472D6A"/>
    <w:rsid w:val="00474EB0"/>
    <w:rsid w:val="00494341"/>
    <w:rsid w:val="004C42D9"/>
    <w:rsid w:val="004C4672"/>
    <w:rsid w:val="004C575D"/>
    <w:rsid w:val="004D61AE"/>
    <w:rsid w:val="004D7889"/>
    <w:rsid w:val="00503DA6"/>
    <w:rsid w:val="00510A77"/>
    <w:rsid w:val="0051245D"/>
    <w:rsid w:val="0051603F"/>
    <w:rsid w:val="00520933"/>
    <w:rsid w:val="00532C6D"/>
    <w:rsid w:val="00536E8E"/>
    <w:rsid w:val="00541AF6"/>
    <w:rsid w:val="005454EE"/>
    <w:rsid w:val="00556B4E"/>
    <w:rsid w:val="00556FC6"/>
    <w:rsid w:val="00581283"/>
    <w:rsid w:val="00582E02"/>
    <w:rsid w:val="005872C5"/>
    <w:rsid w:val="0058764E"/>
    <w:rsid w:val="005A134C"/>
    <w:rsid w:val="005A6BC1"/>
    <w:rsid w:val="005B1297"/>
    <w:rsid w:val="005B393C"/>
    <w:rsid w:val="005B4438"/>
    <w:rsid w:val="005B5AD9"/>
    <w:rsid w:val="005B674E"/>
    <w:rsid w:val="005C47D0"/>
    <w:rsid w:val="005D179C"/>
    <w:rsid w:val="005D3537"/>
    <w:rsid w:val="005F0A4B"/>
    <w:rsid w:val="006000DF"/>
    <w:rsid w:val="00606F17"/>
    <w:rsid w:val="00615EFB"/>
    <w:rsid w:val="00616497"/>
    <w:rsid w:val="00621B2D"/>
    <w:rsid w:val="00633455"/>
    <w:rsid w:val="00633F76"/>
    <w:rsid w:val="00640C20"/>
    <w:rsid w:val="00647DE4"/>
    <w:rsid w:val="00652944"/>
    <w:rsid w:val="00653C0E"/>
    <w:rsid w:val="006549FA"/>
    <w:rsid w:val="00655A3E"/>
    <w:rsid w:val="00656CE1"/>
    <w:rsid w:val="00660BFA"/>
    <w:rsid w:val="0066428D"/>
    <w:rsid w:val="00673C12"/>
    <w:rsid w:val="006746DC"/>
    <w:rsid w:val="00680C7E"/>
    <w:rsid w:val="00682C99"/>
    <w:rsid w:val="006839D8"/>
    <w:rsid w:val="00693FDE"/>
    <w:rsid w:val="00696704"/>
    <w:rsid w:val="006A2D09"/>
    <w:rsid w:val="006A52FC"/>
    <w:rsid w:val="006B10B5"/>
    <w:rsid w:val="006B6E64"/>
    <w:rsid w:val="006C6E60"/>
    <w:rsid w:val="006D2E0A"/>
    <w:rsid w:val="006D5B33"/>
    <w:rsid w:val="006F62B0"/>
    <w:rsid w:val="007005FC"/>
    <w:rsid w:val="00700D51"/>
    <w:rsid w:val="0070442E"/>
    <w:rsid w:val="00714E0F"/>
    <w:rsid w:val="00721D45"/>
    <w:rsid w:val="007358BE"/>
    <w:rsid w:val="007431EE"/>
    <w:rsid w:val="00747C81"/>
    <w:rsid w:val="00750294"/>
    <w:rsid w:val="00755660"/>
    <w:rsid w:val="0075738C"/>
    <w:rsid w:val="007654D6"/>
    <w:rsid w:val="007761BF"/>
    <w:rsid w:val="00793B41"/>
    <w:rsid w:val="00796918"/>
    <w:rsid w:val="007A03AA"/>
    <w:rsid w:val="007B1E0A"/>
    <w:rsid w:val="007C2052"/>
    <w:rsid w:val="007D0FE2"/>
    <w:rsid w:val="007D5697"/>
    <w:rsid w:val="007E285F"/>
    <w:rsid w:val="007E2D98"/>
    <w:rsid w:val="007F3508"/>
    <w:rsid w:val="00801CB2"/>
    <w:rsid w:val="00804B92"/>
    <w:rsid w:val="00811BD3"/>
    <w:rsid w:val="0082007F"/>
    <w:rsid w:val="00832EDE"/>
    <w:rsid w:val="00837124"/>
    <w:rsid w:val="008409F7"/>
    <w:rsid w:val="008435E5"/>
    <w:rsid w:val="008442F2"/>
    <w:rsid w:val="00844A5C"/>
    <w:rsid w:val="00845A16"/>
    <w:rsid w:val="00851E5D"/>
    <w:rsid w:val="0086159D"/>
    <w:rsid w:val="00877929"/>
    <w:rsid w:val="00884BF4"/>
    <w:rsid w:val="008854DB"/>
    <w:rsid w:val="00885AEB"/>
    <w:rsid w:val="00886A00"/>
    <w:rsid w:val="008A72BC"/>
    <w:rsid w:val="008B2F06"/>
    <w:rsid w:val="008B390A"/>
    <w:rsid w:val="008C0907"/>
    <w:rsid w:val="008C2F56"/>
    <w:rsid w:val="008C54BA"/>
    <w:rsid w:val="008C6E8B"/>
    <w:rsid w:val="008D1596"/>
    <w:rsid w:val="008E391D"/>
    <w:rsid w:val="008E567F"/>
    <w:rsid w:val="008E63CF"/>
    <w:rsid w:val="008F7466"/>
    <w:rsid w:val="009067C5"/>
    <w:rsid w:val="00911385"/>
    <w:rsid w:val="009161EE"/>
    <w:rsid w:val="0091657D"/>
    <w:rsid w:val="009232FF"/>
    <w:rsid w:val="009317BD"/>
    <w:rsid w:val="009321A6"/>
    <w:rsid w:val="00934045"/>
    <w:rsid w:val="00934991"/>
    <w:rsid w:val="00975F07"/>
    <w:rsid w:val="0098106E"/>
    <w:rsid w:val="00982C46"/>
    <w:rsid w:val="00992AF2"/>
    <w:rsid w:val="009A1838"/>
    <w:rsid w:val="009A2133"/>
    <w:rsid w:val="009B2882"/>
    <w:rsid w:val="009C502E"/>
    <w:rsid w:val="009D4BF0"/>
    <w:rsid w:val="009E16F3"/>
    <w:rsid w:val="009F13A3"/>
    <w:rsid w:val="009F7C0B"/>
    <w:rsid w:val="00A147F8"/>
    <w:rsid w:val="00A2566A"/>
    <w:rsid w:val="00A45CAD"/>
    <w:rsid w:val="00A47E8F"/>
    <w:rsid w:val="00A5046F"/>
    <w:rsid w:val="00A525B6"/>
    <w:rsid w:val="00A558D1"/>
    <w:rsid w:val="00A7303E"/>
    <w:rsid w:val="00A74D0A"/>
    <w:rsid w:val="00A8039E"/>
    <w:rsid w:val="00A82D6D"/>
    <w:rsid w:val="00A94806"/>
    <w:rsid w:val="00AB19BE"/>
    <w:rsid w:val="00AB39CD"/>
    <w:rsid w:val="00AB3D68"/>
    <w:rsid w:val="00AD173E"/>
    <w:rsid w:val="00AD358F"/>
    <w:rsid w:val="00AD4231"/>
    <w:rsid w:val="00AD4451"/>
    <w:rsid w:val="00AE1B9A"/>
    <w:rsid w:val="00B03196"/>
    <w:rsid w:val="00B03CF6"/>
    <w:rsid w:val="00B07F67"/>
    <w:rsid w:val="00B111A2"/>
    <w:rsid w:val="00B23A0D"/>
    <w:rsid w:val="00B273BF"/>
    <w:rsid w:val="00B31EE7"/>
    <w:rsid w:val="00B41487"/>
    <w:rsid w:val="00B418FD"/>
    <w:rsid w:val="00B45C1D"/>
    <w:rsid w:val="00B53ADB"/>
    <w:rsid w:val="00B61E82"/>
    <w:rsid w:val="00B63810"/>
    <w:rsid w:val="00B65FEA"/>
    <w:rsid w:val="00B73D35"/>
    <w:rsid w:val="00B852BB"/>
    <w:rsid w:val="00B915BC"/>
    <w:rsid w:val="00B93A07"/>
    <w:rsid w:val="00B954B3"/>
    <w:rsid w:val="00BA1056"/>
    <w:rsid w:val="00BA1DB1"/>
    <w:rsid w:val="00BA204C"/>
    <w:rsid w:val="00BA50AF"/>
    <w:rsid w:val="00BA67A7"/>
    <w:rsid w:val="00BA6ED5"/>
    <w:rsid w:val="00BB1DF1"/>
    <w:rsid w:val="00BB54B0"/>
    <w:rsid w:val="00BB6110"/>
    <w:rsid w:val="00BB6F85"/>
    <w:rsid w:val="00BC4C99"/>
    <w:rsid w:val="00BC7662"/>
    <w:rsid w:val="00BD4DAC"/>
    <w:rsid w:val="00BE1302"/>
    <w:rsid w:val="00BE352C"/>
    <w:rsid w:val="00BF1B54"/>
    <w:rsid w:val="00BF31A2"/>
    <w:rsid w:val="00BF34C1"/>
    <w:rsid w:val="00BF3E2C"/>
    <w:rsid w:val="00C00A1A"/>
    <w:rsid w:val="00C04FAF"/>
    <w:rsid w:val="00C1100C"/>
    <w:rsid w:val="00C15048"/>
    <w:rsid w:val="00C360F9"/>
    <w:rsid w:val="00C44614"/>
    <w:rsid w:val="00C50584"/>
    <w:rsid w:val="00C523FC"/>
    <w:rsid w:val="00C52468"/>
    <w:rsid w:val="00C55FAA"/>
    <w:rsid w:val="00C91DF7"/>
    <w:rsid w:val="00C956DF"/>
    <w:rsid w:val="00C96627"/>
    <w:rsid w:val="00CB19B6"/>
    <w:rsid w:val="00CB24C7"/>
    <w:rsid w:val="00CB2C59"/>
    <w:rsid w:val="00CB3F2B"/>
    <w:rsid w:val="00CD7F21"/>
    <w:rsid w:val="00CE1119"/>
    <w:rsid w:val="00CE19C9"/>
    <w:rsid w:val="00D07EDF"/>
    <w:rsid w:val="00D13705"/>
    <w:rsid w:val="00D14B6B"/>
    <w:rsid w:val="00D22D27"/>
    <w:rsid w:val="00D3313D"/>
    <w:rsid w:val="00D42F16"/>
    <w:rsid w:val="00D44DE8"/>
    <w:rsid w:val="00D47918"/>
    <w:rsid w:val="00D56249"/>
    <w:rsid w:val="00D72F6C"/>
    <w:rsid w:val="00D834FE"/>
    <w:rsid w:val="00D90F5E"/>
    <w:rsid w:val="00D921EB"/>
    <w:rsid w:val="00D92C2E"/>
    <w:rsid w:val="00D96539"/>
    <w:rsid w:val="00DA2E19"/>
    <w:rsid w:val="00DB6F81"/>
    <w:rsid w:val="00DD117A"/>
    <w:rsid w:val="00DD4D8B"/>
    <w:rsid w:val="00DE351C"/>
    <w:rsid w:val="00DE7289"/>
    <w:rsid w:val="00E0183E"/>
    <w:rsid w:val="00E02ED7"/>
    <w:rsid w:val="00E06C31"/>
    <w:rsid w:val="00E0762F"/>
    <w:rsid w:val="00E153F5"/>
    <w:rsid w:val="00E17FAF"/>
    <w:rsid w:val="00E257E7"/>
    <w:rsid w:val="00E259A2"/>
    <w:rsid w:val="00E262D7"/>
    <w:rsid w:val="00E351F5"/>
    <w:rsid w:val="00E46607"/>
    <w:rsid w:val="00E7081E"/>
    <w:rsid w:val="00E73124"/>
    <w:rsid w:val="00E75D46"/>
    <w:rsid w:val="00E81459"/>
    <w:rsid w:val="00E928AC"/>
    <w:rsid w:val="00E96FDC"/>
    <w:rsid w:val="00EA025E"/>
    <w:rsid w:val="00EA03C7"/>
    <w:rsid w:val="00EB2E94"/>
    <w:rsid w:val="00EB785C"/>
    <w:rsid w:val="00EB7C81"/>
    <w:rsid w:val="00EC2804"/>
    <w:rsid w:val="00EC5C87"/>
    <w:rsid w:val="00EC6AC5"/>
    <w:rsid w:val="00ED610B"/>
    <w:rsid w:val="00ED6206"/>
    <w:rsid w:val="00EE399F"/>
    <w:rsid w:val="00EF2E0D"/>
    <w:rsid w:val="00F11F1B"/>
    <w:rsid w:val="00F16D7A"/>
    <w:rsid w:val="00F3215D"/>
    <w:rsid w:val="00F3276E"/>
    <w:rsid w:val="00F34FD6"/>
    <w:rsid w:val="00F536A7"/>
    <w:rsid w:val="00F53A78"/>
    <w:rsid w:val="00F6524E"/>
    <w:rsid w:val="00F65711"/>
    <w:rsid w:val="00F67A83"/>
    <w:rsid w:val="00F71731"/>
    <w:rsid w:val="00F7187E"/>
    <w:rsid w:val="00F72028"/>
    <w:rsid w:val="00F81A86"/>
    <w:rsid w:val="00F81F71"/>
    <w:rsid w:val="00F85525"/>
    <w:rsid w:val="00FA2907"/>
    <w:rsid w:val="00FA4A9C"/>
    <w:rsid w:val="00FA6538"/>
    <w:rsid w:val="00FC26D8"/>
    <w:rsid w:val="00FC346A"/>
    <w:rsid w:val="00FC4ED9"/>
    <w:rsid w:val="00FC60B6"/>
    <w:rsid w:val="00FE336D"/>
    <w:rsid w:val="00FF24D0"/>
    <w:rsid w:val="00FF6F37"/>
    <w:rsid w:val="00FF7EB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592</Words>
  <Characters>2256</Characters>
  <Application>Microsoft Office Word</Application>
  <DocSecurity>0</DocSecurity>
  <Lines>451</Lines>
  <Paragraphs>406</Paragraphs>
  <ScaleCrop>false</ScaleCrop>
  <Company>ACCC</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mwilso</dc:creator>
  <cp:keywords/>
  <dc:description/>
  <cp:lastModifiedBy>turekk</cp:lastModifiedBy>
  <cp:revision>5</cp:revision>
  <dcterms:created xsi:type="dcterms:W3CDTF">2012-11-12T04:53:00Z</dcterms:created>
  <dcterms:modified xsi:type="dcterms:W3CDTF">2012-11-13T04:01:00Z</dcterms:modified>
</cp:coreProperties>
</file>