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50" w:rsidRPr="002E7B9B" w:rsidRDefault="00873650" w:rsidP="00873650">
      <w:pPr>
        <w:jc w:val="center"/>
        <w:rPr>
          <w:b/>
          <w:iCs/>
          <w:sz w:val="24"/>
          <w:szCs w:val="24"/>
        </w:rPr>
      </w:pPr>
      <w:bookmarkStart w:id="0" w:name="_Toc64886202"/>
    </w:p>
    <w:p w:rsidR="00C713FC" w:rsidRPr="008B6C52" w:rsidRDefault="00B6311C" w:rsidP="00C713FC">
      <w:pPr>
        <w:pStyle w:val="ActHead3"/>
      </w:pPr>
      <w:bookmarkStart w:id="1" w:name="_Toc32227149"/>
      <w:r>
        <w:rPr>
          <w:noProof/>
        </w:rPr>
        <w:drawing>
          <wp:inline distT="0" distB="0" distL="0" distR="0" wp14:anchorId="49167379" wp14:editId="7D58C604">
            <wp:extent cx="14287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bookmarkEnd w:id="1"/>
    </w:p>
    <w:p w:rsidR="006D5459" w:rsidRPr="00D162B5" w:rsidRDefault="006D5459" w:rsidP="006D5459">
      <w:pPr>
        <w:pStyle w:val="ActHead3"/>
        <w:rPr>
          <w:sz w:val="40"/>
          <w:szCs w:val="40"/>
        </w:rPr>
      </w:pPr>
      <w:bookmarkStart w:id="2" w:name="Citation"/>
      <w:bookmarkStart w:id="3" w:name="_Toc32227150"/>
      <w:r w:rsidRPr="00D162B5">
        <w:rPr>
          <w:sz w:val="40"/>
          <w:szCs w:val="40"/>
        </w:rPr>
        <w:t>Higher Education Provider Guidelines 2012</w:t>
      </w:r>
      <w:bookmarkEnd w:id="3"/>
    </w:p>
    <w:bookmarkEnd w:id="2"/>
    <w:p w:rsidR="006D5459" w:rsidRPr="00D162B5" w:rsidRDefault="006D5459" w:rsidP="006D5459">
      <w:pPr>
        <w:keepLines w:val="0"/>
        <w:spacing w:before="480"/>
        <w:rPr>
          <w:rFonts w:ascii="Times New Roman" w:hAnsi="Times New Roman" w:cs="Times New Roman"/>
          <w:bCs/>
          <w:i/>
          <w:sz w:val="24"/>
          <w:szCs w:val="24"/>
          <w:lang w:eastAsia="en-AU"/>
        </w:rPr>
      </w:pPr>
      <w:r w:rsidRPr="00D162B5">
        <w:rPr>
          <w:rFonts w:ascii="Times New Roman" w:hAnsi="Times New Roman" w:cs="Times New Roman"/>
          <w:bCs/>
          <w:sz w:val="24"/>
          <w:szCs w:val="24"/>
          <w:lang w:eastAsia="en-AU"/>
        </w:rPr>
        <w:t>made under section 238–10 of the</w:t>
      </w:r>
      <w:bookmarkStart w:id="4" w:name="_GoBack"/>
      <w:bookmarkEnd w:id="4"/>
      <w:r w:rsidRPr="00D162B5">
        <w:rPr>
          <w:rFonts w:ascii="Times New Roman" w:hAnsi="Times New Roman" w:cs="Times New Roman"/>
          <w:bCs/>
          <w:sz w:val="24"/>
          <w:szCs w:val="24"/>
          <w:lang w:eastAsia="en-AU"/>
        </w:rPr>
        <w:br/>
      </w:r>
      <w:r w:rsidRPr="00D162B5">
        <w:rPr>
          <w:rFonts w:ascii="Times New Roman" w:hAnsi="Times New Roman" w:cs="Times New Roman"/>
          <w:bCs/>
          <w:sz w:val="24"/>
          <w:szCs w:val="24"/>
          <w:lang w:eastAsia="en-AU"/>
        </w:rPr>
        <w:br/>
      </w:r>
      <w:r w:rsidRPr="00D162B5">
        <w:rPr>
          <w:rFonts w:ascii="Times New Roman" w:hAnsi="Times New Roman" w:cs="Times New Roman"/>
          <w:bCs/>
          <w:i/>
          <w:sz w:val="24"/>
          <w:szCs w:val="24"/>
          <w:lang w:eastAsia="en-AU"/>
        </w:rPr>
        <w:t>Higher Education Support Act 2003</w:t>
      </w:r>
    </w:p>
    <w:p w:rsidR="006D5459" w:rsidRPr="00D162B5" w:rsidRDefault="006D5459" w:rsidP="006D5459">
      <w:pPr>
        <w:keepLines w:val="0"/>
        <w:spacing w:before="480"/>
        <w:rPr>
          <w:rFonts w:ascii="Times New Roman" w:hAnsi="Times New Roman" w:cs="Times New Roman"/>
          <w:b/>
          <w:bCs/>
          <w:sz w:val="28"/>
          <w:szCs w:val="28"/>
          <w:lang w:eastAsia="en-AU"/>
        </w:rPr>
      </w:pPr>
      <w:r w:rsidRPr="00D162B5">
        <w:rPr>
          <w:rFonts w:ascii="Times New Roman" w:hAnsi="Times New Roman" w:cs="Times New Roman"/>
          <w:b/>
          <w:bCs/>
          <w:sz w:val="28"/>
          <w:szCs w:val="28"/>
          <w:lang w:eastAsia="en-AU"/>
        </w:rPr>
        <w:t>Compilation No. 2</w:t>
      </w:r>
    </w:p>
    <w:p w:rsidR="006D5459" w:rsidRDefault="006D5459" w:rsidP="006D5459">
      <w:pPr>
        <w:keepLines w:val="0"/>
        <w:spacing w:before="240"/>
        <w:rPr>
          <w:rFonts w:ascii="Times New Roman" w:hAnsi="Times New Roman" w:cs="Times New Roman"/>
          <w:sz w:val="24"/>
          <w:szCs w:val="24"/>
          <w:lang w:eastAsia="en-AU"/>
        </w:rPr>
      </w:pPr>
      <w:r w:rsidRPr="00A53569">
        <w:rPr>
          <w:rFonts w:ascii="Times New Roman" w:hAnsi="Times New Roman" w:cs="Times New Roman"/>
          <w:b/>
          <w:sz w:val="24"/>
          <w:szCs w:val="24"/>
          <w:lang w:eastAsia="en-AU"/>
        </w:rPr>
        <w:t>Compilation date:</w:t>
      </w:r>
      <w:r w:rsidRPr="00D162B5">
        <w:rPr>
          <w:rFonts w:ascii="Times New Roman" w:hAnsi="Times New Roman" w:cs="Times New Roman"/>
          <w:sz w:val="24"/>
          <w:szCs w:val="24"/>
          <w:lang w:eastAsia="en-AU"/>
        </w:rPr>
        <w:tab/>
      </w:r>
      <w:r w:rsidRPr="00D162B5">
        <w:rPr>
          <w:rFonts w:ascii="Times New Roman" w:hAnsi="Times New Roman" w:cs="Times New Roman"/>
          <w:sz w:val="24"/>
          <w:szCs w:val="24"/>
          <w:lang w:eastAsia="en-AU"/>
        </w:rPr>
        <w:tab/>
      </w:r>
      <w:r>
        <w:rPr>
          <w:rFonts w:ascii="Times New Roman" w:hAnsi="Times New Roman" w:cs="Times New Roman"/>
          <w:sz w:val="24"/>
          <w:szCs w:val="24"/>
          <w:lang w:eastAsia="en-AU"/>
        </w:rPr>
        <w:tab/>
      </w:r>
      <w:r w:rsidRPr="00D162B5">
        <w:rPr>
          <w:rFonts w:ascii="Times New Roman" w:hAnsi="Times New Roman" w:cs="Times New Roman"/>
          <w:sz w:val="24"/>
          <w:szCs w:val="24"/>
          <w:lang w:eastAsia="en-AU"/>
        </w:rPr>
        <w:tab/>
        <w:t>24 December 2019</w:t>
      </w:r>
    </w:p>
    <w:p w:rsidR="006D5459" w:rsidRDefault="006D5459" w:rsidP="006D5459">
      <w:pPr>
        <w:keepLines w:val="0"/>
        <w:spacing w:before="240"/>
        <w:rPr>
          <w:rFonts w:ascii="Times New Roman" w:hAnsi="Times New Roman" w:cs="Times New Roman"/>
          <w:sz w:val="24"/>
          <w:szCs w:val="24"/>
          <w:lang w:eastAsia="en-AU"/>
        </w:rPr>
      </w:pPr>
      <w:r w:rsidRPr="00A53569">
        <w:rPr>
          <w:rFonts w:ascii="Times New Roman" w:hAnsi="Times New Roman" w:cs="Times New Roman"/>
          <w:b/>
          <w:color w:val="000000"/>
          <w:sz w:val="24"/>
          <w:szCs w:val="24"/>
          <w:lang w:eastAsia="en-AU"/>
        </w:rPr>
        <w:t>Includes amendments up to:</w:t>
      </w:r>
      <w:r w:rsidRPr="00D162B5">
        <w:rPr>
          <w:rFonts w:ascii="Times New Roman" w:hAnsi="Times New Roman" w:cs="Times New Roman"/>
          <w:color w:val="000000"/>
          <w:sz w:val="24"/>
          <w:szCs w:val="24"/>
          <w:lang w:eastAsia="en-AU"/>
        </w:rPr>
        <w:tab/>
      </w:r>
      <w:r w:rsidRPr="00D162B5">
        <w:rPr>
          <w:rFonts w:ascii="Times New Roman" w:hAnsi="Times New Roman" w:cs="Times New Roman"/>
          <w:color w:val="000000"/>
          <w:sz w:val="24"/>
          <w:szCs w:val="24"/>
          <w:lang w:eastAsia="en-AU"/>
        </w:rPr>
        <w:tab/>
      </w:r>
      <w:r w:rsidRPr="00D162B5">
        <w:rPr>
          <w:rFonts w:ascii="Times New Roman" w:hAnsi="Times New Roman" w:cs="Times New Roman"/>
          <w:sz w:val="24"/>
          <w:szCs w:val="24"/>
          <w:lang w:eastAsia="en-AU"/>
        </w:rPr>
        <w:t>F2019L01699</w:t>
      </w:r>
    </w:p>
    <w:p w:rsidR="006D5459" w:rsidRPr="00D162B5" w:rsidRDefault="006D5459" w:rsidP="006D5459">
      <w:pPr>
        <w:keepLines w:val="0"/>
        <w:spacing w:before="240"/>
        <w:rPr>
          <w:rFonts w:ascii="Times New Roman" w:hAnsi="Times New Roman" w:cs="Times New Roman"/>
          <w:sz w:val="24"/>
          <w:szCs w:val="24"/>
          <w:lang w:eastAsia="en-AU"/>
        </w:rPr>
      </w:pPr>
      <w:r w:rsidRPr="00A53569">
        <w:rPr>
          <w:rFonts w:ascii="Times New Roman" w:hAnsi="Times New Roman" w:cs="Times New Roman"/>
          <w:b/>
          <w:sz w:val="24"/>
          <w:szCs w:val="24"/>
          <w:lang w:eastAsia="en-AU"/>
        </w:rPr>
        <w:t>Registered:</w:t>
      </w:r>
      <w:r w:rsidR="00AE4D81">
        <w:rPr>
          <w:rFonts w:ascii="Times New Roman" w:hAnsi="Times New Roman" w:cs="Times New Roman"/>
          <w:sz w:val="24"/>
          <w:szCs w:val="24"/>
          <w:lang w:eastAsia="en-AU"/>
        </w:rPr>
        <w:tab/>
      </w:r>
      <w:r w:rsidR="00AE4D81">
        <w:rPr>
          <w:rFonts w:ascii="Times New Roman" w:hAnsi="Times New Roman" w:cs="Times New Roman"/>
          <w:sz w:val="24"/>
          <w:szCs w:val="24"/>
          <w:lang w:eastAsia="en-AU"/>
        </w:rPr>
        <w:tab/>
      </w:r>
      <w:r w:rsidR="00AE4D81">
        <w:rPr>
          <w:rFonts w:ascii="Times New Roman" w:hAnsi="Times New Roman" w:cs="Times New Roman"/>
          <w:sz w:val="24"/>
          <w:szCs w:val="24"/>
          <w:lang w:eastAsia="en-AU"/>
        </w:rPr>
        <w:tab/>
      </w:r>
      <w:r w:rsidR="00AE4D81">
        <w:rPr>
          <w:rFonts w:ascii="Times New Roman" w:hAnsi="Times New Roman" w:cs="Times New Roman"/>
          <w:sz w:val="24"/>
          <w:szCs w:val="24"/>
          <w:lang w:eastAsia="en-AU"/>
        </w:rPr>
        <w:tab/>
      </w:r>
      <w:r w:rsidR="00AE4D81">
        <w:rPr>
          <w:rFonts w:ascii="Times New Roman" w:hAnsi="Times New Roman" w:cs="Times New Roman"/>
          <w:sz w:val="24"/>
          <w:szCs w:val="24"/>
          <w:lang w:eastAsia="en-AU"/>
        </w:rPr>
        <w:tab/>
        <w:t>10 February 2020</w:t>
      </w:r>
    </w:p>
    <w:p w:rsidR="00C713FC" w:rsidRPr="00C827B9" w:rsidRDefault="00C713FC" w:rsidP="00C713FC">
      <w:pPr>
        <w:pStyle w:val="CoverUpdate"/>
      </w:pPr>
    </w:p>
    <w:p w:rsidR="00C713FC" w:rsidRPr="00C827B9" w:rsidRDefault="00C713FC" w:rsidP="00C713FC">
      <w:pPr>
        <w:pStyle w:val="Heading2"/>
        <w:rPr>
          <w:rFonts w:ascii="Times New Roman" w:hAnsi="Times New Roman" w:cs="Times New Roman"/>
          <w:b w:val="0"/>
          <w:sz w:val="24"/>
          <w:szCs w:val="24"/>
        </w:rPr>
      </w:pPr>
    </w:p>
    <w:p w:rsidR="00873650" w:rsidRPr="002E7B9B" w:rsidRDefault="00873650" w:rsidP="00873650">
      <w:pPr>
        <w:jc w:val="center"/>
        <w:rPr>
          <w:b/>
          <w:iCs/>
          <w:sz w:val="24"/>
          <w:szCs w:val="24"/>
        </w:rPr>
      </w:pPr>
    </w:p>
    <w:p w:rsidR="00873650" w:rsidRPr="00FD6D35" w:rsidRDefault="00873650" w:rsidP="00873650">
      <w:pPr>
        <w:rPr>
          <w:bCs/>
          <w:iCs/>
          <w:sz w:val="24"/>
          <w:szCs w:val="24"/>
        </w:rPr>
      </w:pPr>
    </w:p>
    <w:p w:rsidR="00873650" w:rsidRPr="00FD6D35" w:rsidRDefault="00873650" w:rsidP="00873650">
      <w:pPr>
        <w:rPr>
          <w:bCs/>
          <w:iCs/>
          <w:sz w:val="24"/>
          <w:szCs w:val="24"/>
        </w:rPr>
      </w:pPr>
    </w:p>
    <w:p w:rsidR="00873650" w:rsidRPr="00FD6D35" w:rsidRDefault="00873650" w:rsidP="00873650">
      <w:pPr>
        <w:rPr>
          <w:bCs/>
          <w:iCs/>
          <w:sz w:val="24"/>
          <w:szCs w:val="24"/>
        </w:rPr>
      </w:pPr>
    </w:p>
    <w:p w:rsidR="00873650" w:rsidRDefault="0087365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Default="00966E90" w:rsidP="00873650">
      <w:pPr>
        <w:rPr>
          <w:bCs/>
          <w:iCs/>
          <w:sz w:val="24"/>
          <w:szCs w:val="24"/>
        </w:rPr>
      </w:pPr>
    </w:p>
    <w:p w:rsidR="00966E90" w:rsidRPr="00FD6D35" w:rsidRDefault="00966E90" w:rsidP="00873650">
      <w:pPr>
        <w:rPr>
          <w:bCs/>
          <w:iCs/>
          <w:sz w:val="24"/>
          <w:szCs w:val="24"/>
        </w:rPr>
      </w:pPr>
    </w:p>
    <w:p w:rsidR="00873650" w:rsidRPr="00FD6D35" w:rsidRDefault="00873650" w:rsidP="00873650">
      <w:pPr>
        <w:rPr>
          <w:bCs/>
          <w:iCs/>
          <w:sz w:val="24"/>
          <w:szCs w:val="24"/>
        </w:rPr>
      </w:pPr>
    </w:p>
    <w:p w:rsidR="00873650" w:rsidRPr="000D7CD2" w:rsidRDefault="000D7CD2" w:rsidP="00873650">
      <w:pPr>
        <w:rPr>
          <w:rFonts w:ascii="Times New Roman" w:hAnsi="Times New Roman" w:cs="Times New Roman"/>
          <w:bCs/>
          <w:iCs/>
          <w:sz w:val="24"/>
          <w:szCs w:val="24"/>
        </w:rPr>
      </w:pPr>
      <w:r>
        <w:rPr>
          <w:rFonts w:ascii="Times New Roman" w:hAnsi="Times New Roman" w:cs="Times New Roman"/>
          <w:bCs/>
          <w:iCs/>
          <w:sz w:val="24"/>
          <w:szCs w:val="24"/>
        </w:rPr>
        <w:t>Prepared by  the Office of Parliamentary Counsel, Canberra</w:t>
      </w:r>
    </w:p>
    <w:p w:rsidR="00873650" w:rsidRPr="00FD6D35" w:rsidRDefault="00873650" w:rsidP="00873650">
      <w:pPr>
        <w:jc w:val="center"/>
        <w:rPr>
          <w:iCs/>
          <w:sz w:val="24"/>
          <w:szCs w:val="24"/>
        </w:rPr>
      </w:pPr>
      <w:r w:rsidRPr="00FD6D35">
        <w:rPr>
          <w:iCs/>
        </w:rPr>
        <w:br w:type="page"/>
      </w:r>
    </w:p>
    <w:p w:rsidR="00F56BC1" w:rsidRPr="00FD6D35" w:rsidRDefault="00F56BC1" w:rsidP="00F56BC1">
      <w:pPr>
        <w:rPr>
          <w:i/>
          <w:iCs/>
          <w:sz w:val="24"/>
          <w:szCs w:val="24"/>
        </w:rPr>
      </w:pPr>
    </w:p>
    <w:bookmarkEnd w:id="0"/>
    <w:p w:rsidR="00C13345" w:rsidRDefault="00C13345" w:rsidP="00C13345">
      <w:pPr>
        <w:jc w:val="center"/>
        <w:rPr>
          <w:b/>
          <w:iCs/>
          <w:sz w:val="24"/>
          <w:szCs w:val="24"/>
        </w:rPr>
      </w:pPr>
      <w:r>
        <w:rPr>
          <w:b/>
          <w:iCs/>
          <w:sz w:val="24"/>
          <w:szCs w:val="24"/>
        </w:rPr>
        <w:t>Commonwealth of Australia</w:t>
      </w:r>
    </w:p>
    <w:p w:rsidR="00C13345" w:rsidRDefault="00C13345" w:rsidP="00C13345">
      <w:pPr>
        <w:jc w:val="center"/>
        <w:rPr>
          <w:b/>
          <w:iCs/>
          <w:sz w:val="24"/>
          <w:szCs w:val="24"/>
        </w:rPr>
      </w:pPr>
    </w:p>
    <w:p w:rsidR="00C13345" w:rsidRDefault="00C13345" w:rsidP="00C13345">
      <w:pPr>
        <w:jc w:val="center"/>
        <w:rPr>
          <w:b/>
          <w:iCs/>
          <w:sz w:val="24"/>
          <w:szCs w:val="24"/>
        </w:rPr>
      </w:pPr>
      <w:r>
        <w:rPr>
          <w:b/>
          <w:iCs/>
          <w:sz w:val="24"/>
          <w:szCs w:val="24"/>
        </w:rPr>
        <w:t>Higher Education Support Act 2003</w:t>
      </w:r>
    </w:p>
    <w:p w:rsidR="00C13345" w:rsidRDefault="00C13345" w:rsidP="00C13345">
      <w:pPr>
        <w:jc w:val="center"/>
        <w:rPr>
          <w:b/>
          <w:iCs/>
          <w:sz w:val="24"/>
          <w:szCs w:val="24"/>
        </w:rPr>
      </w:pPr>
    </w:p>
    <w:p w:rsidR="00C13345" w:rsidRDefault="00C13345" w:rsidP="00C13345">
      <w:pPr>
        <w:jc w:val="center"/>
        <w:rPr>
          <w:b/>
          <w:iCs/>
          <w:sz w:val="24"/>
          <w:szCs w:val="24"/>
        </w:rPr>
      </w:pPr>
      <w:r>
        <w:rPr>
          <w:b/>
          <w:iCs/>
          <w:sz w:val="24"/>
          <w:szCs w:val="24"/>
        </w:rPr>
        <w:t>HIGHER EDUCATION PROVIDER GUIDELINES 2012</w:t>
      </w:r>
    </w:p>
    <w:p w:rsidR="00C13345" w:rsidRDefault="00C13345" w:rsidP="00C13345">
      <w:pPr>
        <w:rPr>
          <w:b/>
          <w:iCs/>
          <w:sz w:val="24"/>
          <w:szCs w:val="24"/>
        </w:rPr>
      </w:pPr>
    </w:p>
    <w:p w:rsidR="00C13345" w:rsidRDefault="00C13345" w:rsidP="00C13345">
      <w:pPr>
        <w:rPr>
          <w:b/>
          <w:iCs/>
        </w:rPr>
      </w:pPr>
    </w:p>
    <w:p w:rsidR="00C13345" w:rsidRDefault="00C13345" w:rsidP="00C13345">
      <w:pPr>
        <w:rPr>
          <w:b/>
          <w:iCs/>
        </w:rPr>
      </w:pPr>
    </w:p>
    <w:p w:rsidR="00C13345" w:rsidRDefault="00C13345" w:rsidP="00C13345">
      <w:pPr>
        <w:rPr>
          <w:b/>
          <w:iCs/>
        </w:rPr>
      </w:pPr>
    </w:p>
    <w:p w:rsidR="00C13345" w:rsidRDefault="00C13345" w:rsidP="00C13345">
      <w:pPr>
        <w:rPr>
          <w:b/>
          <w:iCs/>
          <w:sz w:val="24"/>
          <w:szCs w:val="24"/>
        </w:rPr>
      </w:pPr>
    </w:p>
    <w:p w:rsidR="00C13345" w:rsidRDefault="00C13345" w:rsidP="00C13345">
      <w:pPr>
        <w:rPr>
          <w:b/>
          <w:bCs/>
          <w:iCs/>
          <w:sz w:val="24"/>
          <w:szCs w:val="24"/>
        </w:rPr>
      </w:pPr>
      <w:r>
        <w:rPr>
          <w:b/>
          <w:bCs/>
          <w:iCs/>
          <w:sz w:val="24"/>
          <w:szCs w:val="24"/>
        </w:rPr>
        <w:t>(i)     CITATION</w:t>
      </w:r>
    </w:p>
    <w:p w:rsidR="00C13345" w:rsidRDefault="00C13345" w:rsidP="00C13345">
      <w:pPr>
        <w:rPr>
          <w:bCs/>
          <w:iCs/>
          <w:sz w:val="24"/>
          <w:szCs w:val="24"/>
        </w:rPr>
      </w:pPr>
    </w:p>
    <w:p w:rsidR="00C13345" w:rsidRDefault="00C13345" w:rsidP="00C13345">
      <w:pPr>
        <w:rPr>
          <w:bCs/>
          <w:iCs/>
          <w:sz w:val="24"/>
          <w:szCs w:val="24"/>
        </w:rPr>
      </w:pPr>
      <w:r>
        <w:rPr>
          <w:bCs/>
          <w:iCs/>
          <w:sz w:val="24"/>
          <w:szCs w:val="24"/>
        </w:rPr>
        <w:t xml:space="preserve">These Guidelines may be cited as the </w:t>
      </w:r>
      <w:r>
        <w:rPr>
          <w:bCs/>
          <w:i/>
          <w:iCs/>
          <w:sz w:val="24"/>
          <w:szCs w:val="24"/>
        </w:rPr>
        <w:t>Higher Education Provider Guidelines 2012</w:t>
      </w:r>
      <w:r>
        <w:rPr>
          <w:bCs/>
          <w:iCs/>
          <w:sz w:val="24"/>
          <w:szCs w:val="24"/>
        </w:rPr>
        <w:t>.</w:t>
      </w:r>
    </w:p>
    <w:p w:rsidR="00C13345" w:rsidRDefault="00C13345" w:rsidP="00C13345">
      <w:pPr>
        <w:rPr>
          <w:bCs/>
          <w:iCs/>
          <w:sz w:val="24"/>
          <w:szCs w:val="24"/>
        </w:rPr>
      </w:pPr>
    </w:p>
    <w:p w:rsidR="00C13345" w:rsidRDefault="00C13345" w:rsidP="00C13345">
      <w:pPr>
        <w:rPr>
          <w:bCs/>
          <w:iCs/>
          <w:sz w:val="24"/>
          <w:szCs w:val="24"/>
        </w:rPr>
      </w:pPr>
    </w:p>
    <w:p w:rsidR="00C13345" w:rsidRDefault="00C13345" w:rsidP="00C13345">
      <w:pPr>
        <w:rPr>
          <w:b/>
          <w:bCs/>
          <w:iCs/>
          <w:sz w:val="24"/>
          <w:szCs w:val="24"/>
        </w:rPr>
      </w:pPr>
      <w:r>
        <w:rPr>
          <w:b/>
          <w:bCs/>
          <w:iCs/>
          <w:sz w:val="24"/>
          <w:szCs w:val="24"/>
        </w:rPr>
        <w:t>(ii)     AUTHORITY</w:t>
      </w:r>
    </w:p>
    <w:p w:rsidR="00C13345" w:rsidRDefault="00C13345" w:rsidP="00C13345">
      <w:pPr>
        <w:rPr>
          <w:bCs/>
          <w:iCs/>
          <w:sz w:val="24"/>
          <w:szCs w:val="24"/>
        </w:rPr>
      </w:pPr>
    </w:p>
    <w:p w:rsidR="00C13345" w:rsidRDefault="00C13345" w:rsidP="00C13345">
      <w:pPr>
        <w:rPr>
          <w:bCs/>
          <w:i/>
          <w:iCs/>
          <w:sz w:val="24"/>
          <w:szCs w:val="24"/>
        </w:rPr>
      </w:pPr>
      <w:r>
        <w:rPr>
          <w:bCs/>
          <w:iCs/>
          <w:sz w:val="24"/>
          <w:szCs w:val="24"/>
        </w:rPr>
        <w:t xml:space="preserve">These Guidelines are made pursuant to item 6 of the table in section 238-10 of the </w:t>
      </w:r>
      <w:r>
        <w:rPr>
          <w:bCs/>
          <w:i/>
          <w:iCs/>
          <w:sz w:val="24"/>
          <w:szCs w:val="24"/>
        </w:rPr>
        <w:t>Higher Education Support Act 2003</w:t>
      </w:r>
      <w:r>
        <w:rPr>
          <w:bCs/>
          <w:iCs/>
          <w:sz w:val="24"/>
          <w:szCs w:val="24"/>
        </w:rPr>
        <w:t xml:space="preserve"> (the Act) for the purposes of Part 2-1 of the Act</w:t>
      </w:r>
      <w:r>
        <w:rPr>
          <w:bCs/>
          <w:i/>
          <w:iCs/>
          <w:sz w:val="24"/>
          <w:szCs w:val="24"/>
        </w:rPr>
        <w:t>.</w:t>
      </w:r>
    </w:p>
    <w:p w:rsidR="00C13345" w:rsidRDefault="00C13345" w:rsidP="00C13345">
      <w:pPr>
        <w:rPr>
          <w:bCs/>
          <w:iCs/>
          <w:sz w:val="24"/>
          <w:szCs w:val="24"/>
        </w:rPr>
      </w:pPr>
    </w:p>
    <w:p w:rsidR="00C13345" w:rsidRDefault="00C13345" w:rsidP="00C13345">
      <w:pPr>
        <w:rPr>
          <w:bCs/>
          <w:iCs/>
          <w:sz w:val="24"/>
          <w:szCs w:val="24"/>
        </w:rPr>
      </w:pPr>
    </w:p>
    <w:p w:rsidR="00C13345" w:rsidRDefault="00C13345" w:rsidP="00C13345">
      <w:pPr>
        <w:rPr>
          <w:b/>
          <w:bCs/>
          <w:iCs/>
          <w:sz w:val="24"/>
          <w:szCs w:val="24"/>
        </w:rPr>
      </w:pPr>
      <w:r>
        <w:rPr>
          <w:b/>
          <w:bCs/>
          <w:iCs/>
          <w:sz w:val="24"/>
          <w:szCs w:val="24"/>
        </w:rPr>
        <w:t>(i</w:t>
      </w:r>
      <w:r w:rsidR="009E1F50">
        <w:rPr>
          <w:b/>
          <w:bCs/>
          <w:iCs/>
          <w:sz w:val="24"/>
          <w:szCs w:val="24"/>
        </w:rPr>
        <w:t>v</w:t>
      </w:r>
      <w:r>
        <w:rPr>
          <w:b/>
          <w:bCs/>
          <w:iCs/>
          <w:sz w:val="24"/>
          <w:szCs w:val="24"/>
        </w:rPr>
        <w:t>)</w:t>
      </w:r>
      <w:r>
        <w:rPr>
          <w:b/>
          <w:bCs/>
          <w:iCs/>
          <w:sz w:val="24"/>
          <w:szCs w:val="24"/>
        </w:rPr>
        <w:tab/>
        <w:t>TRANSITIONAL ARRANGEMENTS</w:t>
      </w:r>
    </w:p>
    <w:p w:rsidR="00C13345" w:rsidRDefault="00C13345" w:rsidP="00C13345">
      <w:pPr>
        <w:rPr>
          <w:bCs/>
          <w:iCs/>
          <w:sz w:val="24"/>
          <w:szCs w:val="24"/>
        </w:rPr>
      </w:pPr>
    </w:p>
    <w:p w:rsidR="00C13345" w:rsidRDefault="00C13345" w:rsidP="00C13345">
      <w:pPr>
        <w:rPr>
          <w:bCs/>
          <w:iCs/>
          <w:sz w:val="24"/>
          <w:szCs w:val="24"/>
        </w:rPr>
      </w:pPr>
      <w:r>
        <w:rPr>
          <w:bCs/>
          <w:iCs/>
          <w:sz w:val="24"/>
          <w:szCs w:val="24"/>
        </w:rPr>
        <w:t xml:space="preserve">The revocation of the Former Guidelines does not affect the validity of a payment or decision made under those guidelines. A decision made under the Former Guidelines is taken to continue to have effect as if it were made under the </w:t>
      </w:r>
      <w:r>
        <w:rPr>
          <w:bCs/>
          <w:i/>
          <w:iCs/>
          <w:sz w:val="24"/>
          <w:szCs w:val="24"/>
        </w:rPr>
        <w:t>Higher Education Provider Guidelines 2012</w:t>
      </w:r>
      <w:r>
        <w:rPr>
          <w:bCs/>
          <w:iCs/>
          <w:sz w:val="24"/>
          <w:szCs w:val="24"/>
        </w:rPr>
        <w:t>.</w:t>
      </w: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A54812" w:rsidRDefault="00A54812"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C13345" w:rsidRDefault="00C13345" w:rsidP="00F56BC1">
      <w:pPr>
        <w:jc w:val="center"/>
        <w:rPr>
          <w:b/>
          <w:bCs/>
          <w:sz w:val="24"/>
          <w:szCs w:val="24"/>
        </w:rPr>
      </w:pPr>
    </w:p>
    <w:p w:rsidR="00F56BC1" w:rsidRPr="00FD6D35" w:rsidRDefault="00F56BC1" w:rsidP="00F56BC1">
      <w:pPr>
        <w:jc w:val="center"/>
        <w:rPr>
          <w:b/>
          <w:bCs/>
          <w:sz w:val="24"/>
          <w:szCs w:val="24"/>
        </w:rPr>
      </w:pPr>
      <w:r w:rsidRPr="00FD6D35">
        <w:rPr>
          <w:b/>
          <w:bCs/>
          <w:sz w:val="24"/>
          <w:szCs w:val="24"/>
        </w:rPr>
        <w:lastRenderedPageBreak/>
        <w:t>COMMONWEALTH OF AUSTRALIA</w:t>
      </w:r>
    </w:p>
    <w:p w:rsidR="00F56BC1" w:rsidRPr="00FD6D35" w:rsidRDefault="00F56BC1" w:rsidP="00F56BC1">
      <w:pPr>
        <w:jc w:val="center"/>
        <w:rPr>
          <w:b/>
          <w:bCs/>
          <w:sz w:val="24"/>
          <w:szCs w:val="24"/>
        </w:rPr>
      </w:pPr>
    </w:p>
    <w:p w:rsidR="00F56BC1" w:rsidRPr="00FD6D35" w:rsidRDefault="00F56BC1" w:rsidP="00F56BC1">
      <w:pPr>
        <w:jc w:val="center"/>
        <w:rPr>
          <w:b/>
          <w:bCs/>
          <w:i/>
          <w:iCs/>
          <w:sz w:val="24"/>
          <w:szCs w:val="24"/>
        </w:rPr>
      </w:pPr>
      <w:r w:rsidRPr="00FD6D35">
        <w:rPr>
          <w:b/>
          <w:bCs/>
          <w:i/>
          <w:iCs/>
          <w:sz w:val="24"/>
          <w:szCs w:val="24"/>
        </w:rPr>
        <w:t>Higher Education Support Act 2003</w:t>
      </w:r>
    </w:p>
    <w:p w:rsidR="00F56BC1" w:rsidRPr="00FD6D35" w:rsidRDefault="00F56BC1" w:rsidP="00C16CB1">
      <w:pPr>
        <w:rPr>
          <w:b/>
          <w:bCs/>
          <w:sz w:val="24"/>
          <w:szCs w:val="24"/>
          <w:lang w:eastAsia="en-AU"/>
        </w:rPr>
      </w:pPr>
    </w:p>
    <w:p w:rsidR="00F56BC1" w:rsidRPr="00FD6D35" w:rsidRDefault="00F56BC1" w:rsidP="00F56BC1">
      <w:pPr>
        <w:jc w:val="center"/>
        <w:rPr>
          <w:b/>
          <w:bCs/>
          <w:sz w:val="24"/>
          <w:szCs w:val="24"/>
          <w:lang w:eastAsia="en-AU"/>
        </w:rPr>
      </w:pPr>
      <w:r w:rsidRPr="00FD6D35">
        <w:rPr>
          <w:b/>
          <w:bCs/>
          <w:sz w:val="24"/>
          <w:szCs w:val="24"/>
          <w:lang w:eastAsia="en-AU"/>
        </w:rPr>
        <w:t>HIGHER EDUCATION PROVIDER GUIDELINES</w:t>
      </w:r>
    </w:p>
    <w:p w:rsidR="00F56BC1" w:rsidRPr="00FD6D35" w:rsidRDefault="00F56BC1" w:rsidP="00F56BC1">
      <w:pPr>
        <w:rPr>
          <w:lang w:eastAsia="en-AU"/>
        </w:rPr>
      </w:pPr>
    </w:p>
    <w:p w:rsidR="00F56BC1" w:rsidRPr="00FD6D35" w:rsidRDefault="00F56BC1" w:rsidP="00F56BC1">
      <w:pPr>
        <w:rPr>
          <w:lang w:eastAsia="en-AU"/>
        </w:rPr>
      </w:pPr>
    </w:p>
    <w:p w:rsidR="00F56BC1" w:rsidRPr="004B1D6D" w:rsidRDefault="00F56BC1" w:rsidP="00F56BC1">
      <w:pPr>
        <w:ind w:right="-360"/>
        <w:rPr>
          <w:b/>
          <w:bCs/>
          <w:sz w:val="18"/>
          <w:szCs w:val="18"/>
          <w:lang w:eastAsia="en-AU"/>
        </w:rPr>
      </w:pPr>
      <w:r w:rsidRPr="004B1D6D">
        <w:rPr>
          <w:b/>
          <w:bCs/>
          <w:sz w:val="24"/>
          <w:szCs w:val="24"/>
          <w:lang w:eastAsia="en-AU"/>
        </w:rPr>
        <w:t>TABLE OF CONTENTS</w:t>
      </w:r>
    </w:p>
    <w:p w:rsidR="00F56BC1" w:rsidRPr="00FD6D35" w:rsidRDefault="00F56BC1" w:rsidP="00F56BC1"/>
    <w:p w:rsidR="00D5292E" w:rsidRDefault="00F56BC1" w:rsidP="00D5292E">
      <w:pPr>
        <w:pStyle w:val="TOC1"/>
        <w:rPr>
          <w:rFonts w:asciiTheme="minorHAnsi" w:eastAsiaTheme="minorEastAsia" w:hAnsiTheme="minorHAnsi" w:cstheme="minorBidi"/>
          <w:b w:val="0"/>
          <w:bCs w:val="0"/>
          <w:caps w:val="0"/>
          <w:noProof/>
          <w:u w:val="none"/>
          <w:lang w:eastAsia="en-AU"/>
        </w:rPr>
      </w:pPr>
      <w:r w:rsidRPr="00D5292E">
        <w:rPr>
          <w:rStyle w:val="Hyperlink"/>
          <w:noProof/>
        </w:rPr>
        <w:fldChar w:fldCharType="begin"/>
      </w:r>
      <w:r w:rsidRPr="00D5292E">
        <w:rPr>
          <w:rStyle w:val="Hyperlink"/>
          <w:noProof/>
        </w:rPr>
        <w:instrText xml:space="preserve"> TOC \o "1-3" \h \z \u </w:instrText>
      </w:r>
      <w:r w:rsidRPr="00D5292E">
        <w:rPr>
          <w:rStyle w:val="Hyperlink"/>
          <w:noProof/>
        </w:rPr>
        <w:fldChar w:fldCharType="separate"/>
      </w:r>
      <w:hyperlink w:anchor="_Toc32227151" w:history="1">
        <w:r w:rsidR="00D5292E" w:rsidRPr="00D5292E">
          <w:rPr>
            <w:rStyle w:val="Hyperlink"/>
            <w:noProof/>
          </w:rPr>
          <w:t>CHAPTER</w:t>
        </w:r>
        <w:r w:rsidR="00D5292E" w:rsidRPr="00E215D9">
          <w:rPr>
            <w:rStyle w:val="Hyperlink"/>
            <w:noProof/>
          </w:rPr>
          <w:t xml:space="preserve"> 1</w:t>
        </w:r>
        <w:r w:rsidR="00D5292E">
          <w:rPr>
            <w:rFonts w:asciiTheme="minorHAnsi" w:eastAsiaTheme="minorEastAsia" w:hAnsiTheme="minorHAnsi" w:cstheme="minorBidi"/>
            <w:b w:val="0"/>
            <w:bCs w:val="0"/>
            <w:caps w:val="0"/>
            <w:noProof/>
            <w:u w:val="none"/>
            <w:lang w:eastAsia="en-AU"/>
          </w:rPr>
          <w:tab/>
        </w:r>
        <w:r w:rsidR="00D5292E" w:rsidRPr="00E215D9">
          <w:rPr>
            <w:rStyle w:val="Hyperlink"/>
            <w:noProof/>
          </w:rPr>
          <w:t>INTRODUCTION</w:t>
        </w:r>
        <w:r w:rsidR="00D5292E">
          <w:rPr>
            <w:noProof/>
            <w:webHidden/>
          </w:rPr>
          <w:tab/>
        </w:r>
        <w:r w:rsidR="00D5292E">
          <w:rPr>
            <w:noProof/>
            <w:webHidden/>
          </w:rPr>
          <w:fldChar w:fldCharType="begin"/>
        </w:r>
        <w:r w:rsidR="00D5292E">
          <w:rPr>
            <w:noProof/>
            <w:webHidden/>
          </w:rPr>
          <w:instrText xml:space="preserve"> PAGEREF _Toc32227151 \h </w:instrText>
        </w:r>
        <w:r w:rsidR="00D5292E">
          <w:rPr>
            <w:noProof/>
            <w:webHidden/>
          </w:rPr>
        </w:r>
        <w:r w:rsidR="00D5292E">
          <w:rPr>
            <w:noProof/>
            <w:webHidden/>
          </w:rPr>
          <w:fldChar w:fldCharType="separate"/>
        </w:r>
        <w:r w:rsidR="00B84E8C">
          <w:rPr>
            <w:noProof/>
            <w:webHidden/>
          </w:rPr>
          <w:t>6</w:t>
        </w:r>
        <w:r w:rsidR="00D5292E">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2" w:history="1">
        <w:r w:rsidRPr="00E215D9">
          <w:rPr>
            <w:rStyle w:val="Hyperlink"/>
            <w:noProof/>
          </w:rPr>
          <w:t>CHAPTER 2</w:t>
        </w:r>
        <w:r>
          <w:rPr>
            <w:rFonts w:asciiTheme="minorHAnsi" w:eastAsiaTheme="minorEastAsia" w:hAnsiTheme="minorHAnsi" w:cstheme="minorBidi"/>
            <w:b w:val="0"/>
            <w:bCs w:val="0"/>
            <w:caps w:val="0"/>
            <w:noProof/>
            <w:u w:val="none"/>
            <w:lang w:eastAsia="en-AU"/>
          </w:rPr>
          <w:tab/>
        </w:r>
        <w:r w:rsidRPr="00E215D9">
          <w:rPr>
            <w:rStyle w:val="Hyperlink"/>
            <w:noProof/>
          </w:rPr>
          <w:t xml:space="preserve">THE </w:t>
        </w:r>
        <w:r w:rsidRPr="00E215D9">
          <w:rPr>
            <w:rStyle w:val="Hyperlink"/>
            <w:i/>
            <w:iCs/>
            <w:noProof/>
          </w:rPr>
          <w:t>TUITION ASSURANCE REQUIREMENTS</w:t>
        </w:r>
        <w:r>
          <w:rPr>
            <w:noProof/>
            <w:webHidden/>
          </w:rPr>
          <w:tab/>
        </w:r>
        <w:r>
          <w:rPr>
            <w:noProof/>
            <w:webHidden/>
          </w:rPr>
          <w:fldChar w:fldCharType="begin"/>
        </w:r>
        <w:r>
          <w:rPr>
            <w:noProof/>
            <w:webHidden/>
          </w:rPr>
          <w:instrText xml:space="preserve"> PAGEREF _Toc32227152 \h </w:instrText>
        </w:r>
        <w:r>
          <w:rPr>
            <w:noProof/>
            <w:webHidden/>
          </w:rPr>
        </w:r>
        <w:r>
          <w:rPr>
            <w:noProof/>
            <w:webHidden/>
          </w:rPr>
          <w:fldChar w:fldCharType="separate"/>
        </w:r>
        <w:r w:rsidR="00B84E8C">
          <w:rPr>
            <w:noProof/>
            <w:webHidden/>
          </w:rPr>
          <w:t>9</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3" w:history="1">
        <w:r w:rsidRPr="00E215D9">
          <w:rPr>
            <w:rStyle w:val="Hyperlink"/>
            <w:noProof/>
          </w:rPr>
          <w:t>CHAPTER 3</w:t>
        </w:r>
        <w:r>
          <w:rPr>
            <w:rFonts w:asciiTheme="minorHAnsi" w:eastAsiaTheme="minorEastAsia" w:hAnsiTheme="minorHAnsi" w:cstheme="minorBidi"/>
            <w:b w:val="0"/>
            <w:bCs w:val="0"/>
            <w:caps w:val="0"/>
            <w:noProof/>
            <w:u w:val="none"/>
            <w:lang w:eastAsia="en-AU"/>
          </w:rPr>
          <w:tab/>
        </w:r>
        <w:r w:rsidRPr="00E215D9">
          <w:rPr>
            <w:rStyle w:val="Hyperlink"/>
            <w:noProof/>
          </w:rPr>
          <w:t>PARTICULAR OBLIGATIONS ON CERTAIN PROVIDERS</w:t>
        </w:r>
        <w:r>
          <w:rPr>
            <w:noProof/>
            <w:webHidden/>
          </w:rPr>
          <w:tab/>
        </w:r>
        <w:r>
          <w:rPr>
            <w:noProof/>
            <w:webHidden/>
          </w:rPr>
          <w:fldChar w:fldCharType="begin"/>
        </w:r>
        <w:r>
          <w:rPr>
            <w:noProof/>
            <w:webHidden/>
          </w:rPr>
          <w:instrText xml:space="preserve"> PAGEREF _Toc32227153 \h </w:instrText>
        </w:r>
        <w:r>
          <w:rPr>
            <w:noProof/>
            <w:webHidden/>
          </w:rPr>
        </w:r>
        <w:r>
          <w:rPr>
            <w:noProof/>
            <w:webHidden/>
          </w:rPr>
          <w:fldChar w:fldCharType="separate"/>
        </w:r>
        <w:r w:rsidR="00B84E8C">
          <w:rPr>
            <w:noProof/>
            <w:webHidden/>
          </w:rPr>
          <w:t>17</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4" w:history="1">
        <w:r w:rsidRPr="00E215D9">
          <w:rPr>
            <w:rStyle w:val="Hyperlink"/>
            <w:noProof/>
          </w:rPr>
          <w:t>CHAPTER 4</w:t>
        </w:r>
        <w:r>
          <w:rPr>
            <w:rFonts w:asciiTheme="minorHAnsi" w:eastAsiaTheme="minorEastAsia" w:hAnsiTheme="minorHAnsi" w:cstheme="minorBidi"/>
            <w:b w:val="0"/>
            <w:bCs w:val="0"/>
            <w:caps w:val="0"/>
            <w:noProof/>
            <w:u w:val="none"/>
            <w:lang w:eastAsia="en-AU"/>
          </w:rPr>
          <w:tab/>
        </w:r>
        <w:r w:rsidRPr="00E215D9">
          <w:rPr>
            <w:rStyle w:val="Hyperlink"/>
            <w:noProof/>
          </w:rPr>
          <w:t>GRIEVANCE AND REVIEW PROCEDURES</w:t>
        </w:r>
        <w:r>
          <w:rPr>
            <w:noProof/>
            <w:webHidden/>
          </w:rPr>
          <w:tab/>
        </w:r>
        <w:r>
          <w:rPr>
            <w:noProof/>
            <w:webHidden/>
          </w:rPr>
          <w:fldChar w:fldCharType="begin"/>
        </w:r>
        <w:r>
          <w:rPr>
            <w:noProof/>
            <w:webHidden/>
          </w:rPr>
          <w:instrText xml:space="preserve"> PAGEREF _Toc32227154 \h </w:instrText>
        </w:r>
        <w:r>
          <w:rPr>
            <w:noProof/>
            <w:webHidden/>
          </w:rPr>
        </w:r>
        <w:r>
          <w:rPr>
            <w:noProof/>
            <w:webHidden/>
          </w:rPr>
          <w:fldChar w:fldCharType="separate"/>
        </w:r>
        <w:r w:rsidR="00B84E8C">
          <w:rPr>
            <w:noProof/>
            <w:webHidden/>
          </w:rPr>
          <w:t>18</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5" w:history="1">
        <w:r w:rsidRPr="00E215D9">
          <w:rPr>
            <w:rStyle w:val="Hyperlink"/>
            <w:noProof/>
          </w:rPr>
          <w:t>CHAPTER 5</w:t>
        </w:r>
        <w:r>
          <w:rPr>
            <w:rFonts w:asciiTheme="minorHAnsi" w:eastAsiaTheme="minorEastAsia" w:hAnsiTheme="minorHAnsi" w:cstheme="minorBidi"/>
            <w:b w:val="0"/>
            <w:bCs w:val="0"/>
            <w:caps w:val="0"/>
            <w:noProof/>
            <w:u w:val="none"/>
            <w:lang w:eastAsia="en-AU"/>
          </w:rPr>
          <w:tab/>
        </w:r>
        <w:r w:rsidRPr="00E215D9">
          <w:rPr>
            <w:rStyle w:val="Hyperlink"/>
            <w:noProof/>
          </w:rPr>
          <w:t>PUBLICATION AND OTHER REQUIREMENTS FOR STUDENT CONTRIBUTION AMOUNTS AND TUITION FEES</w:t>
        </w:r>
        <w:r>
          <w:rPr>
            <w:noProof/>
            <w:webHidden/>
          </w:rPr>
          <w:tab/>
        </w:r>
        <w:r>
          <w:rPr>
            <w:noProof/>
            <w:webHidden/>
          </w:rPr>
          <w:fldChar w:fldCharType="begin"/>
        </w:r>
        <w:r>
          <w:rPr>
            <w:noProof/>
            <w:webHidden/>
          </w:rPr>
          <w:instrText xml:space="preserve"> PAGEREF _Toc32227155 \h </w:instrText>
        </w:r>
        <w:r>
          <w:rPr>
            <w:noProof/>
            <w:webHidden/>
          </w:rPr>
        </w:r>
        <w:r>
          <w:rPr>
            <w:noProof/>
            <w:webHidden/>
          </w:rPr>
          <w:fldChar w:fldCharType="separate"/>
        </w:r>
        <w:r w:rsidR="00B84E8C">
          <w:rPr>
            <w:noProof/>
            <w:webHidden/>
          </w:rPr>
          <w:t>20</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6" w:history="1">
        <w:r w:rsidRPr="00E215D9">
          <w:rPr>
            <w:rStyle w:val="Hyperlink"/>
            <w:noProof/>
          </w:rPr>
          <w:t>CHAPTER 6</w:t>
        </w:r>
        <w:r>
          <w:rPr>
            <w:rFonts w:asciiTheme="minorHAnsi" w:eastAsiaTheme="minorEastAsia" w:hAnsiTheme="minorHAnsi" w:cstheme="minorBidi"/>
            <w:b w:val="0"/>
            <w:bCs w:val="0"/>
            <w:caps w:val="0"/>
            <w:noProof/>
            <w:u w:val="none"/>
            <w:lang w:eastAsia="en-AU"/>
          </w:rPr>
          <w:tab/>
        </w:r>
        <w:r w:rsidRPr="00E215D9">
          <w:rPr>
            <w:rStyle w:val="Hyperlink"/>
            <w:noProof/>
          </w:rPr>
          <w:t>FEES IN RESPECT OF OVERSEAS STUDENTS</w:t>
        </w:r>
        <w:r>
          <w:rPr>
            <w:noProof/>
            <w:webHidden/>
          </w:rPr>
          <w:tab/>
        </w:r>
        <w:r>
          <w:rPr>
            <w:noProof/>
            <w:webHidden/>
          </w:rPr>
          <w:fldChar w:fldCharType="begin"/>
        </w:r>
        <w:r>
          <w:rPr>
            <w:noProof/>
            <w:webHidden/>
          </w:rPr>
          <w:instrText xml:space="preserve"> PAGEREF _Toc32227156 \h </w:instrText>
        </w:r>
        <w:r>
          <w:rPr>
            <w:noProof/>
            <w:webHidden/>
          </w:rPr>
        </w:r>
        <w:r>
          <w:rPr>
            <w:noProof/>
            <w:webHidden/>
          </w:rPr>
          <w:fldChar w:fldCharType="separate"/>
        </w:r>
        <w:r w:rsidR="00B84E8C">
          <w:rPr>
            <w:noProof/>
            <w:webHidden/>
          </w:rPr>
          <w:t>23</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7" w:history="1">
        <w:r w:rsidRPr="00E215D9">
          <w:rPr>
            <w:rStyle w:val="Hyperlink"/>
            <w:noProof/>
          </w:rPr>
          <w:t>CHAPTER 7</w:t>
        </w:r>
        <w:r>
          <w:rPr>
            <w:rFonts w:asciiTheme="minorHAnsi" w:eastAsiaTheme="minorEastAsia" w:hAnsiTheme="minorHAnsi" w:cstheme="minorBidi"/>
            <w:b w:val="0"/>
            <w:bCs w:val="0"/>
            <w:caps w:val="0"/>
            <w:noProof/>
            <w:u w:val="none"/>
            <w:lang w:eastAsia="en-AU"/>
          </w:rPr>
          <w:tab/>
        </w:r>
        <w:r w:rsidRPr="00E215D9">
          <w:rPr>
            <w:rStyle w:val="Hyperlink"/>
            <w:noProof/>
          </w:rPr>
          <w:t>FEES FOR GOODS AND SERVICES INCIDENTAL TO STUDIES</w:t>
        </w:r>
        <w:r>
          <w:rPr>
            <w:noProof/>
            <w:webHidden/>
          </w:rPr>
          <w:tab/>
        </w:r>
        <w:r>
          <w:rPr>
            <w:noProof/>
            <w:webHidden/>
          </w:rPr>
          <w:fldChar w:fldCharType="begin"/>
        </w:r>
        <w:r>
          <w:rPr>
            <w:noProof/>
            <w:webHidden/>
          </w:rPr>
          <w:instrText xml:space="preserve"> PAGEREF _Toc32227157 \h </w:instrText>
        </w:r>
        <w:r>
          <w:rPr>
            <w:noProof/>
            <w:webHidden/>
          </w:rPr>
        </w:r>
        <w:r>
          <w:rPr>
            <w:noProof/>
            <w:webHidden/>
          </w:rPr>
          <w:fldChar w:fldCharType="separate"/>
        </w:r>
        <w:r w:rsidR="00B84E8C">
          <w:rPr>
            <w:noProof/>
            <w:webHidden/>
          </w:rPr>
          <w:t>26</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8" w:history="1">
        <w:r w:rsidRPr="00E215D9">
          <w:rPr>
            <w:rStyle w:val="Hyperlink"/>
            <w:noProof/>
          </w:rPr>
          <w:t>CHAPTER 8</w:t>
        </w:r>
        <w:r>
          <w:rPr>
            <w:rFonts w:asciiTheme="minorHAnsi" w:eastAsiaTheme="minorEastAsia" w:hAnsiTheme="minorHAnsi" w:cstheme="minorBidi"/>
            <w:b w:val="0"/>
            <w:bCs w:val="0"/>
            <w:caps w:val="0"/>
            <w:noProof/>
            <w:u w:val="none"/>
            <w:lang w:eastAsia="en-AU"/>
          </w:rPr>
          <w:tab/>
        </w:r>
        <w:r w:rsidRPr="00E215D9">
          <w:rPr>
            <w:rStyle w:val="Hyperlink"/>
            <w:noProof/>
          </w:rPr>
          <w:t>QUALITY, ACCOUNTABILITY AND OTHER ADMINISTRATIVE REQUI</w:t>
        </w:r>
        <w:r w:rsidRPr="00E215D9">
          <w:rPr>
            <w:rStyle w:val="Hyperlink"/>
            <w:noProof/>
          </w:rPr>
          <w:t>R</w:t>
        </w:r>
        <w:r w:rsidRPr="00E215D9">
          <w:rPr>
            <w:rStyle w:val="Hyperlink"/>
            <w:noProof/>
          </w:rPr>
          <w:t>EMENTS IN RELATION TO CERTAIN HIGHER EDUCATION PROVIDERS</w:t>
        </w:r>
        <w:r>
          <w:rPr>
            <w:noProof/>
            <w:webHidden/>
          </w:rPr>
          <w:tab/>
        </w:r>
        <w:r>
          <w:rPr>
            <w:noProof/>
            <w:webHidden/>
          </w:rPr>
          <w:fldChar w:fldCharType="begin"/>
        </w:r>
        <w:r>
          <w:rPr>
            <w:noProof/>
            <w:webHidden/>
          </w:rPr>
          <w:instrText xml:space="preserve"> PAGEREF _Toc32227158 \h </w:instrText>
        </w:r>
        <w:r>
          <w:rPr>
            <w:noProof/>
            <w:webHidden/>
          </w:rPr>
        </w:r>
        <w:r>
          <w:rPr>
            <w:noProof/>
            <w:webHidden/>
          </w:rPr>
          <w:fldChar w:fldCharType="separate"/>
        </w:r>
        <w:r w:rsidR="00B84E8C">
          <w:rPr>
            <w:noProof/>
            <w:webHidden/>
          </w:rPr>
          <w:t>27</w:t>
        </w:r>
        <w:r>
          <w:rPr>
            <w:noProof/>
            <w:webHidden/>
          </w:rPr>
          <w:fldChar w:fldCharType="end"/>
        </w:r>
      </w:hyperlink>
    </w:p>
    <w:p w:rsidR="00D5292E" w:rsidRDefault="00D5292E">
      <w:pPr>
        <w:pStyle w:val="TOC1"/>
        <w:rPr>
          <w:rFonts w:asciiTheme="minorHAnsi" w:eastAsiaTheme="minorEastAsia" w:hAnsiTheme="minorHAnsi" w:cstheme="minorBidi"/>
          <w:b w:val="0"/>
          <w:bCs w:val="0"/>
          <w:caps w:val="0"/>
          <w:noProof/>
          <w:u w:val="none"/>
          <w:lang w:eastAsia="en-AU"/>
        </w:rPr>
      </w:pPr>
      <w:hyperlink w:anchor="_Toc32227159" w:history="1">
        <w:r w:rsidRPr="00E215D9">
          <w:rPr>
            <w:rStyle w:val="Hyperlink"/>
            <w:noProof/>
          </w:rPr>
          <w:t>CHAPTER 9</w:t>
        </w:r>
        <w:r>
          <w:rPr>
            <w:rFonts w:asciiTheme="minorHAnsi" w:eastAsiaTheme="minorEastAsia" w:hAnsiTheme="minorHAnsi" w:cstheme="minorBidi"/>
            <w:b w:val="0"/>
            <w:bCs w:val="0"/>
            <w:caps w:val="0"/>
            <w:noProof/>
            <w:u w:val="none"/>
            <w:lang w:eastAsia="en-AU"/>
          </w:rPr>
          <w:tab/>
        </w:r>
        <w:r w:rsidRPr="00E215D9">
          <w:rPr>
            <w:rStyle w:val="Hyperlink"/>
            <w:noProof/>
          </w:rPr>
          <w:t>DETERMINING WHETHER STUDENTS ARE GENUINE STUDENTS</w:t>
        </w:r>
        <w:r>
          <w:rPr>
            <w:noProof/>
            <w:webHidden/>
          </w:rPr>
          <w:tab/>
        </w:r>
        <w:r>
          <w:rPr>
            <w:noProof/>
            <w:webHidden/>
          </w:rPr>
          <w:fldChar w:fldCharType="begin"/>
        </w:r>
        <w:r>
          <w:rPr>
            <w:noProof/>
            <w:webHidden/>
          </w:rPr>
          <w:instrText xml:space="preserve"> PAGEREF _Toc32227159 \h </w:instrText>
        </w:r>
        <w:r>
          <w:rPr>
            <w:noProof/>
            <w:webHidden/>
          </w:rPr>
        </w:r>
        <w:r>
          <w:rPr>
            <w:noProof/>
            <w:webHidden/>
          </w:rPr>
          <w:fldChar w:fldCharType="separate"/>
        </w:r>
        <w:r w:rsidR="00B84E8C">
          <w:rPr>
            <w:noProof/>
            <w:webHidden/>
          </w:rPr>
          <w:t>31</w:t>
        </w:r>
        <w:r>
          <w:rPr>
            <w:noProof/>
            <w:webHidden/>
          </w:rPr>
          <w:fldChar w:fldCharType="end"/>
        </w:r>
      </w:hyperlink>
    </w:p>
    <w:p w:rsidR="00F56BC1" w:rsidRPr="00FD6D35" w:rsidRDefault="00F56BC1" w:rsidP="00F56BC1">
      <w:r w:rsidRPr="00FD6D35">
        <w:rPr>
          <w:rStyle w:val="Hyperlink"/>
          <w:sz w:val="22"/>
          <w:szCs w:val="22"/>
        </w:rPr>
        <w:fldChar w:fldCharType="end"/>
      </w:r>
    </w:p>
    <w:p w:rsidR="00F56BC1" w:rsidRPr="00FD6D35" w:rsidRDefault="00F56BC1" w:rsidP="00F56BC1"/>
    <w:p w:rsidR="00F56BC1" w:rsidRPr="00FD6D35" w:rsidRDefault="00F56BC1" w:rsidP="00F56BC1">
      <w:pPr>
        <w:pStyle w:val="Heading1"/>
        <w:rPr>
          <w:u w:val="single"/>
        </w:rPr>
      </w:pPr>
      <w:r w:rsidRPr="00FD6D35">
        <w:br w:type="page"/>
      </w:r>
      <w:bookmarkStart w:id="5" w:name="_Toc122231819"/>
      <w:bookmarkStart w:id="6" w:name="_Toc152752057"/>
      <w:bookmarkStart w:id="7" w:name="_Toc32227151"/>
      <w:r w:rsidRPr="00FD6D35">
        <w:rPr>
          <w:u w:val="single"/>
        </w:rPr>
        <w:lastRenderedPageBreak/>
        <w:t>CHAPTER 1</w:t>
      </w:r>
      <w:r w:rsidRPr="00FD6D35">
        <w:rPr>
          <w:u w:val="single"/>
        </w:rPr>
        <w:tab/>
        <w:t>INTRODUCTION</w:t>
      </w:r>
      <w:bookmarkEnd w:id="5"/>
      <w:bookmarkEnd w:id="6"/>
      <w:bookmarkEnd w:id="7"/>
    </w:p>
    <w:p w:rsidR="00F56BC1" w:rsidRPr="00FD6D35" w:rsidRDefault="00F56BC1" w:rsidP="00F56BC1">
      <w:pPr>
        <w:rPr>
          <w:b/>
          <w:bCs/>
          <w:lang w:eastAsia="en-AU"/>
        </w:rPr>
      </w:pPr>
    </w:p>
    <w:p w:rsidR="00F56BC1" w:rsidRPr="00FD6D35" w:rsidRDefault="00F56BC1" w:rsidP="00F56BC1">
      <w:pPr>
        <w:pStyle w:val="List1"/>
      </w:pPr>
      <w:r w:rsidRPr="00FD6D35">
        <w:t>1.1</w:t>
      </w:r>
      <w:r w:rsidRPr="00FD6D35">
        <w:tab/>
        <w:t>PURPOSE</w:t>
      </w:r>
    </w:p>
    <w:p w:rsidR="00F56BC1" w:rsidRPr="00FD6D35" w:rsidRDefault="00F56BC1" w:rsidP="00F56BC1">
      <w:pPr>
        <w:rPr>
          <w:lang w:eastAsia="en-AU"/>
        </w:rPr>
      </w:pPr>
    </w:p>
    <w:p w:rsidR="00C16CB1" w:rsidRPr="00FD6D35" w:rsidRDefault="006D5459" w:rsidP="006D5459">
      <w:pPr>
        <w:ind w:left="720" w:hanging="720"/>
      </w:pPr>
      <w:r w:rsidRPr="00FD6D35">
        <w:t>1.1.1</w:t>
      </w:r>
      <w:r w:rsidRPr="00FD6D35">
        <w:tab/>
      </w:r>
      <w:r w:rsidR="00C16CB1" w:rsidRPr="00FD6D35">
        <w:t>The purpose of these Guidelines is to:</w:t>
      </w:r>
    </w:p>
    <w:p w:rsidR="00C16CB1" w:rsidRPr="00FD6D35" w:rsidRDefault="006D5459" w:rsidP="006D5459">
      <w:pPr>
        <w:ind w:left="1070" w:hanging="360"/>
      </w:pPr>
      <w:r w:rsidRPr="00FD6D35">
        <w:t>(a)</w:t>
      </w:r>
      <w:r w:rsidRPr="00FD6D35">
        <w:tab/>
      </w:r>
      <w:r w:rsidR="00C16CB1" w:rsidRPr="00FD6D35">
        <w:t xml:space="preserve">set out the </w:t>
      </w:r>
      <w:r w:rsidR="00C16CB1" w:rsidRPr="00FD6D35">
        <w:rPr>
          <w:i/>
          <w:iCs/>
        </w:rPr>
        <w:t>tuition assurance requirements</w:t>
      </w:r>
      <w:r w:rsidR="00C16CB1" w:rsidRPr="00FD6D35">
        <w:t xml:space="preserve"> which a body corporate must fulfil to be approved by the Minister as a higher education provider under the</w:t>
      </w:r>
      <w:r w:rsidR="00C16CB1" w:rsidRPr="00FD6D35">
        <w:rPr>
          <w:i/>
          <w:iCs/>
        </w:rPr>
        <w:t xml:space="preserve"> Act</w:t>
      </w:r>
      <w:r w:rsidR="00C16CB1" w:rsidRPr="00FD6D35">
        <w:t xml:space="preserve"> and with which higher education providers other than Table A providers must comply in order to maintain their approval as higher education providers under the</w:t>
      </w:r>
      <w:r w:rsidR="00C16CB1" w:rsidRPr="00FD6D35">
        <w:rPr>
          <w:i/>
          <w:iCs/>
        </w:rPr>
        <w:t xml:space="preserve"> Act</w:t>
      </w:r>
      <w:r w:rsidR="00C16CB1" w:rsidRPr="00FD6D35">
        <w:t>;</w:t>
      </w:r>
    </w:p>
    <w:p w:rsidR="006A4FAA" w:rsidRPr="00EE207E" w:rsidRDefault="006A4FAA" w:rsidP="00234864">
      <w:pPr>
        <w:ind w:left="1070" w:hanging="503"/>
        <w:rPr>
          <w:lang w:eastAsia="en-AU"/>
        </w:rPr>
      </w:pPr>
      <w:r w:rsidRPr="00EE207E">
        <w:rPr>
          <w:lang w:eastAsia="en-AU"/>
        </w:rPr>
        <w:t>(aa)</w:t>
      </w:r>
      <w:r w:rsidRPr="00EE207E">
        <w:rPr>
          <w:lang w:eastAsia="en-AU"/>
        </w:rPr>
        <w:tab/>
        <w:t>set out the application fee for a body corporate’s application to be approved as a higher education provider;</w:t>
      </w:r>
    </w:p>
    <w:p w:rsidR="00C16CB1" w:rsidRPr="00FD6D35" w:rsidRDefault="006D5459" w:rsidP="006D5459">
      <w:pPr>
        <w:ind w:left="1070" w:hanging="360"/>
      </w:pPr>
      <w:r w:rsidRPr="00FD6D35">
        <w:t>(b)</w:t>
      </w:r>
      <w:r w:rsidRPr="00FD6D35">
        <w:tab/>
      </w:r>
      <w:r w:rsidR="00C16CB1" w:rsidRPr="00FD6D35">
        <w:t>set out the grievance procedures which a body corporate must meet in order to be approved as a higher education provider under the</w:t>
      </w:r>
      <w:r w:rsidR="00C16CB1" w:rsidRPr="00FD6D35">
        <w:rPr>
          <w:i/>
          <w:iCs/>
        </w:rPr>
        <w:t xml:space="preserve"> Act</w:t>
      </w:r>
      <w:r w:rsidR="00C16CB1" w:rsidRPr="00FD6D35">
        <w:t xml:space="preserve"> and with which higher education providers other than Table A providers must comply in order to maintain their approval as higher education providers under the</w:t>
      </w:r>
      <w:r w:rsidR="00C16CB1" w:rsidRPr="00FD6D35">
        <w:rPr>
          <w:i/>
          <w:iCs/>
        </w:rPr>
        <w:t xml:space="preserve"> Act</w:t>
      </w:r>
      <w:r w:rsidR="00C16CB1" w:rsidRPr="00FD6D35">
        <w:t>;</w:t>
      </w:r>
    </w:p>
    <w:p w:rsidR="00C16CB1" w:rsidRPr="00FD6D35" w:rsidRDefault="006D5459" w:rsidP="006D5459">
      <w:pPr>
        <w:ind w:left="1070" w:hanging="360"/>
      </w:pPr>
      <w:r w:rsidRPr="00FD6D35">
        <w:t>(c)</w:t>
      </w:r>
      <w:r w:rsidRPr="00FD6D35">
        <w:tab/>
      </w:r>
      <w:r w:rsidR="00C16CB1" w:rsidRPr="00FD6D35">
        <w:t xml:space="preserve"> set out procedures to be followed by review officers reviewing reviewable decisions under Chapter 3 of the</w:t>
      </w:r>
      <w:r w:rsidR="00C16CB1" w:rsidRPr="00FD6D35">
        <w:rPr>
          <w:i/>
          <w:iCs/>
        </w:rPr>
        <w:t xml:space="preserve"> Act</w:t>
      </w:r>
      <w:r w:rsidR="00C16CB1" w:rsidRPr="00FD6D35">
        <w:t>;</w:t>
      </w:r>
    </w:p>
    <w:p w:rsidR="00C16CB1" w:rsidRPr="00FD6D35" w:rsidRDefault="006D5459" w:rsidP="006D5459">
      <w:pPr>
        <w:ind w:left="1070" w:hanging="360"/>
      </w:pPr>
      <w:r w:rsidRPr="00FD6D35">
        <w:t>(d)</w:t>
      </w:r>
      <w:r w:rsidRPr="00FD6D35">
        <w:tab/>
      </w:r>
      <w:r w:rsidR="00C16CB1" w:rsidRPr="00FD6D35">
        <w:t>specify periods under subsections 19-87(1), 19-90(1) and 19-95(1) of the</w:t>
      </w:r>
      <w:r w:rsidR="00C16CB1" w:rsidRPr="00FD6D35">
        <w:rPr>
          <w:i/>
          <w:iCs/>
        </w:rPr>
        <w:t xml:space="preserve"> Act;</w:t>
      </w:r>
    </w:p>
    <w:p w:rsidR="00C16CB1" w:rsidRPr="00FD6D35" w:rsidRDefault="006D5459" w:rsidP="006D5459">
      <w:pPr>
        <w:ind w:left="1070" w:hanging="360"/>
      </w:pPr>
      <w:r w:rsidRPr="00FD6D35">
        <w:t>(e)</w:t>
      </w:r>
      <w:r w:rsidRPr="00FD6D35">
        <w:tab/>
      </w:r>
      <w:r w:rsidR="00C16CB1" w:rsidRPr="00FD6D35">
        <w:t>specify the date by which a higher education provider must publish the schedule of the student contribution amounts for places and tuition fees for a particular period under paragraph 19-95(2)(b) of the</w:t>
      </w:r>
      <w:r w:rsidR="00C16CB1" w:rsidRPr="00FD6D35">
        <w:rPr>
          <w:i/>
          <w:iCs/>
        </w:rPr>
        <w:t xml:space="preserve"> Act</w:t>
      </w:r>
      <w:r w:rsidR="00C16CB1" w:rsidRPr="00FD6D35">
        <w:t>;</w:t>
      </w:r>
    </w:p>
    <w:p w:rsidR="00C16CB1" w:rsidRPr="00FD6D35" w:rsidRDefault="006D5459" w:rsidP="006D5459">
      <w:pPr>
        <w:ind w:left="1070" w:hanging="360"/>
      </w:pPr>
      <w:r w:rsidRPr="00FD6D35">
        <w:t>(f)</w:t>
      </w:r>
      <w:r w:rsidRPr="00FD6D35">
        <w:tab/>
      </w:r>
      <w:r w:rsidR="00C16CB1" w:rsidRPr="00FD6D35">
        <w:t>specify matters to which a higher education provider must not have regard when setting student contribution amounts or tuition fees under subsections 19</w:t>
      </w:r>
      <w:r w:rsidR="00C16CB1" w:rsidRPr="00FD6D35">
        <w:noBreakHyphen/>
        <w:t xml:space="preserve">87(2A) or 19-90(3) of </w:t>
      </w:r>
      <w:r w:rsidR="00C16CB1" w:rsidRPr="00FD6D35">
        <w:rPr>
          <w:i/>
          <w:iCs/>
        </w:rPr>
        <w:t>the Act</w:t>
      </w:r>
      <w:r w:rsidR="00C16CB1" w:rsidRPr="00FD6D35">
        <w:t>;</w:t>
      </w:r>
    </w:p>
    <w:p w:rsidR="00C16CB1" w:rsidRPr="00FD6D35" w:rsidRDefault="006D5459" w:rsidP="006D5459">
      <w:pPr>
        <w:ind w:left="1070" w:hanging="360"/>
      </w:pPr>
      <w:r w:rsidRPr="00FD6D35">
        <w:t>(g)</w:t>
      </w:r>
      <w:r w:rsidRPr="00FD6D35">
        <w:tab/>
      </w:r>
      <w:r w:rsidR="00C16CB1" w:rsidRPr="00FD6D35">
        <w:t>specify the date before which a variation to a:</w:t>
      </w:r>
    </w:p>
    <w:p w:rsidR="00C16CB1" w:rsidRPr="00FD6D35" w:rsidRDefault="006D5459" w:rsidP="006D5459">
      <w:pPr>
        <w:ind w:left="1440" w:hanging="360"/>
      </w:pPr>
      <w:r w:rsidRPr="00FD6D35">
        <w:t>(i)</w:t>
      </w:r>
      <w:r w:rsidRPr="00FD6D35">
        <w:tab/>
      </w:r>
      <w:r w:rsidR="00C16CB1" w:rsidRPr="00FD6D35">
        <w:t>student contribution amount must be made under subparagraph 19</w:t>
      </w:r>
      <w:r w:rsidR="00C16CB1" w:rsidRPr="00FD6D35">
        <w:noBreakHyphen/>
        <w:t>87(3)(a)(i) of the</w:t>
      </w:r>
      <w:r w:rsidR="00C16CB1" w:rsidRPr="00FD6D35">
        <w:rPr>
          <w:i/>
          <w:iCs/>
        </w:rPr>
        <w:t xml:space="preserve"> Act</w:t>
      </w:r>
      <w:r w:rsidR="00C16CB1" w:rsidRPr="00FD6D35">
        <w:t>; and</w:t>
      </w:r>
    </w:p>
    <w:p w:rsidR="00C16CB1" w:rsidRPr="00FD6D35" w:rsidRDefault="006D5459" w:rsidP="006D5459">
      <w:pPr>
        <w:ind w:left="1440" w:hanging="360"/>
      </w:pPr>
      <w:r w:rsidRPr="00FD6D35">
        <w:t>(ii)</w:t>
      </w:r>
      <w:r w:rsidRPr="00FD6D35">
        <w:tab/>
      </w:r>
      <w:r w:rsidR="00C16CB1" w:rsidRPr="00FD6D35">
        <w:t>tuition fee must be made under subparagraph 19-90(4)(a)(i) of the</w:t>
      </w:r>
      <w:r w:rsidR="00C16CB1" w:rsidRPr="00FD6D35">
        <w:rPr>
          <w:i/>
          <w:iCs/>
        </w:rPr>
        <w:t xml:space="preserve"> Act</w:t>
      </w:r>
      <w:r w:rsidR="00C16CB1" w:rsidRPr="00FD6D35">
        <w:t>.</w:t>
      </w:r>
    </w:p>
    <w:p w:rsidR="00C16CB1" w:rsidRPr="00FD6D35" w:rsidRDefault="006D5459" w:rsidP="006D5459">
      <w:pPr>
        <w:ind w:left="1070" w:hanging="360"/>
      </w:pPr>
      <w:r w:rsidRPr="00FD6D35">
        <w:t>(h)</w:t>
      </w:r>
      <w:r w:rsidRPr="00FD6D35">
        <w:tab/>
      </w:r>
      <w:r w:rsidR="00C16CB1" w:rsidRPr="00FD6D35">
        <w:t>specify the circumstances in which a:</w:t>
      </w:r>
    </w:p>
    <w:p w:rsidR="00C16CB1" w:rsidRPr="00FD6D35" w:rsidRDefault="006D5459" w:rsidP="006D5459">
      <w:pPr>
        <w:ind w:left="1440" w:hanging="360"/>
      </w:pPr>
      <w:r w:rsidRPr="00FD6D35">
        <w:t>(i)</w:t>
      </w:r>
      <w:r w:rsidRPr="00FD6D35">
        <w:tab/>
      </w:r>
      <w:r w:rsidR="00C16CB1" w:rsidRPr="00FD6D35">
        <w:t>student contribution amount may be varied under subparagraph 19</w:t>
      </w:r>
      <w:r w:rsidR="00C16CB1" w:rsidRPr="00FD6D35">
        <w:noBreakHyphen/>
        <w:t>87(3)(a)(ii) of the</w:t>
      </w:r>
      <w:r w:rsidR="00C16CB1" w:rsidRPr="00FD6D35">
        <w:rPr>
          <w:i/>
          <w:iCs/>
        </w:rPr>
        <w:t xml:space="preserve"> Act</w:t>
      </w:r>
      <w:r w:rsidR="00C16CB1" w:rsidRPr="00FD6D35">
        <w:t xml:space="preserve">; and </w:t>
      </w:r>
    </w:p>
    <w:p w:rsidR="00C16CB1" w:rsidRPr="00FD6D35" w:rsidRDefault="006D5459" w:rsidP="006D5459">
      <w:pPr>
        <w:ind w:left="1440" w:hanging="360"/>
      </w:pPr>
      <w:r w:rsidRPr="00FD6D35">
        <w:t>(ii)</w:t>
      </w:r>
      <w:r w:rsidRPr="00FD6D35">
        <w:tab/>
      </w:r>
      <w:r w:rsidR="00C16CB1" w:rsidRPr="00FD6D35">
        <w:t>tuition fee may be varied under subparagraph 19</w:t>
      </w:r>
      <w:r w:rsidR="00C16CB1" w:rsidRPr="00FD6D35">
        <w:noBreakHyphen/>
        <w:t>90(4)(a)(ii) of the</w:t>
      </w:r>
      <w:r w:rsidR="00C16CB1" w:rsidRPr="00FD6D35">
        <w:rPr>
          <w:i/>
          <w:iCs/>
        </w:rPr>
        <w:t xml:space="preserve"> Act</w:t>
      </w:r>
      <w:r w:rsidR="00C16CB1" w:rsidRPr="00FD6D35">
        <w:t>.</w:t>
      </w:r>
    </w:p>
    <w:p w:rsidR="00C16CB1" w:rsidRPr="00FD6D35" w:rsidRDefault="006D5459" w:rsidP="006D5459">
      <w:pPr>
        <w:ind w:left="1070" w:hanging="360"/>
      </w:pPr>
      <w:r w:rsidRPr="00FD6D35">
        <w:t>(i)</w:t>
      </w:r>
      <w:r w:rsidRPr="00FD6D35">
        <w:tab/>
      </w:r>
      <w:r w:rsidR="00C16CB1" w:rsidRPr="00FD6D35">
        <w:t>specify the date by which information on student contribution amounts for places in units, or tuition fees, to apply to students in student cohorts must be published and made publicly available under subsection 19</w:t>
      </w:r>
      <w:r w:rsidR="00C16CB1" w:rsidRPr="00FD6D35">
        <w:noBreakHyphen/>
        <w:t>97(2) of the</w:t>
      </w:r>
      <w:r w:rsidR="00C16CB1" w:rsidRPr="00FD6D35">
        <w:rPr>
          <w:i/>
          <w:iCs/>
        </w:rPr>
        <w:t xml:space="preserve"> Act </w:t>
      </w:r>
      <w:r w:rsidR="00C16CB1" w:rsidRPr="00FD6D35">
        <w:t>before section 19-97 of the</w:t>
      </w:r>
      <w:r w:rsidR="00C16CB1" w:rsidRPr="00FD6D35">
        <w:rPr>
          <w:i/>
          <w:iCs/>
        </w:rPr>
        <w:t xml:space="preserve"> Act </w:t>
      </w:r>
      <w:r w:rsidR="00C16CB1" w:rsidRPr="00FD6D35">
        <w:t xml:space="preserve"> was repealed by item 6 of Schedule 3 of the </w:t>
      </w:r>
      <w:r w:rsidR="00C16CB1" w:rsidRPr="00FD6D35">
        <w:rPr>
          <w:i/>
          <w:iCs/>
        </w:rPr>
        <w:t>Budget and Other Measures Act</w:t>
      </w:r>
      <w:r w:rsidR="00C16CB1" w:rsidRPr="00FD6D35">
        <w:t>;</w:t>
      </w:r>
    </w:p>
    <w:p w:rsidR="00C16CB1" w:rsidRPr="00FD6D35" w:rsidRDefault="006D5459" w:rsidP="006D5459">
      <w:pPr>
        <w:ind w:left="1070" w:hanging="360"/>
      </w:pPr>
      <w:r w:rsidRPr="00FD6D35">
        <w:t>(j)</w:t>
      </w:r>
      <w:r w:rsidRPr="00FD6D35">
        <w:tab/>
      </w:r>
      <w:r w:rsidR="00C16CB1" w:rsidRPr="00FD6D35">
        <w:t xml:space="preserve">specify the date before which, and the circumstances in which, a higher education provider may revoke a </w:t>
      </w:r>
      <w:r w:rsidR="00C16CB1" w:rsidRPr="00FD6D35">
        <w:rPr>
          <w:i/>
          <w:iCs/>
        </w:rPr>
        <w:t xml:space="preserve">saved determination under item 13(4) or item 14(4) of </w:t>
      </w:r>
      <w:r w:rsidR="00C16CB1" w:rsidRPr="00FD6D35">
        <w:t>the</w:t>
      </w:r>
      <w:r w:rsidR="00C16CB1" w:rsidRPr="00FD6D35">
        <w:rPr>
          <w:i/>
          <w:iCs/>
        </w:rPr>
        <w:t xml:space="preserve"> Budget and Other Measures Act</w:t>
      </w:r>
      <w:r w:rsidR="00C16CB1" w:rsidRPr="00FD6D35">
        <w:t>;</w:t>
      </w:r>
    </w:p>
    <w:p w:rsidR="00C16CB1" w:rsidRPr="00FD6D35" w:rsidRDefault="006D5459" w:rsidP="006D5459">
      <w:pPr>
        <w:ind w:left="1070" w:hanging="360"/>
      </w:pPr>
      <w:r w:rsidRPr="00FD6D35">
        <w:t>(k)</w:t>
      </w:r>
      <w:r w:rsidRPr="00FD6D35">
        <w:tab/>
      </w:r>
      <w:r w:rsidR="00C16CB1" w:rsidRPr="00FD6D35">
        <w:t>specify in relation to the repayment of amounts where subsections 36-20(3) and 36</w:t>
      </w:r>
      <w:r w:rsidR="004A7901" w:rsidRPr="00FD6D35">
        <w:noBreakHyphen/>
      </w:r>
      <w:r w:rsidR="00C16CB1" w:rsidRPr="00FD6D35">
        <w:t xml:space="preserve">20(4) of the </w:t>
      </w:r>
      <w:r w:rsidR="00C16CB1" w:rsidRPr="00FD6D35">
        <w:rPr>
          <w:i/>
          <w:iCs/>
        </w:rPr>
        <w:t>Act</w:t>
      </w:r>
      <w:r w:rsidR="00C16CB1" w:rsidRPr="00FD6D35">
        <w:t xml:space="preserve"> apply:</w:t>
      </w:r>
    </w:p>
    <w:p w:rsidR="00C16CB1" w:rsidRPr="00FD6D35" w:rsidRDefault="006D5459" w:rsidP="006D5459">
      <w:pPr>
        <w:ind w:left="1440" w:hanging="360"/>
      </w:pPr>
      <w:r w:rsidRPr="00FD6D35">
        <w:t>(i)</w:t>
      </w:r>
      <w:r w:rsidRPr="00FD6D35">
        <w:tab/>
      </w:r>
      <w:r w:rsidR="00C16CB1" w:rsidRPr="00FD6D35">
        <w:t>the amount (if any) that is to be paid to the person; and</w:t>
      </w:r>
    </w:p>
    <w:p w:rsidR="00C16CB1" w:rsidRPr="00FD6D35" w:rsidRDefault="006D5459" w:rsidP="006D5459">
      <w:pPr>
        <w:ind w:left="1440" w:hanging="360"/>
      </w:pPr>
      <w:r w:rsidRPr="00FD6D35">
        <w:t>(ii)</w:t>
      </w:r>
      <w:r w:rsidRPr="00FD6D35">
        <w:tab/>
      </w:r>
      <w:r w:rsidR="00C16CB1" w:rsidRPr="00FD6D35">
        <w:t xml:space="preserve"> the amount (if any) that is to be paid to the Commonwealth; and</w:t>
      </w:r>
    </w:p>
    <w:p w:rsidR="00C16CB1" w:rsidRPr="00FD6D35" w:rsidRDefault="006D5459" w:rsidP="006D5459">
      <w:pPr>
        <w:ind w:left="1440" w:hanging="360"/>
      </w:pPr>
      <w:r w:rsidRPr="00FD6D35">
        <w:t>(iii)</w:t>
      </w:r>
      <w:r w:rsidRPr="00FD6D35">
        <w:tab/>
      </w:r>
      <w:r w:rsidR="00C16CB1" w:rsidRPr="00FD6D35">
        <w:t>the person (if any) who is to pay the amounts.</w:t>
      </w:r>
    </w:p>
    <w:p w:rsidR="00C16CB1" w:rsidRPr="00FD6D35" w:rsidRDefault="006D5459" w:rsidP="006D5459">
      <w:pPr>
        <w:ind w:left="1070" w:hanging="360"/>
      </w:pPr>
      <w:r w:rsidRPr="00FD6D35">
        <w:t>(l)</w:t>
      </w:r>
      <w:r w:rsidRPr="00FD6D35">
        <w:tab/>
      </w:r>
      <w:r w:rsidR="00C16CB1" w:rsidRPr="00FD6D35">
        <w:t xml:space="preserve">specify in relation to the re-crediting of a person’s FEE-HELP balance in circumstances where subsections 110-5(1A) and 110-5(1B) of the </w:t>
      </w:r>
      <w:r w:rsidR="00C16CB1" w:rsidRPr="00FD6D35">
        <w:rPr>
          <w:i/>
          <w:iCs/>
        </w:rPr>
        <w:t>Act</w:t>
      </w:r>
      <w:r w:rsidR="00C16CB1" w:rsidRPr="00FD6D35">
        <w:t xml:space="preserve"> apply:</w:t>
      </w:r>
    </w:p>
    <w:p w:rsidR="00C16CB1" w:rsidRPr="00FD6D35" w:rsidRDefault="006D5459" w:rsidP="006D5459">
      <w:pPr>
        <w:ind w:left="1440" w:hanging="360"/>
      </w:pPr>
      <w:r w:rsidRPr="00FD6D35">
        <w:t>(i)</w:t>
      </w:r>
      <w:r w:rsidRPr="00FD6D35">
        <w:tab/>
      </w:r>
      <w:r w:rsidR="00C16CB1" w:rsidRPr="00FD6D35">
        <w:t>the amount (if any) that is to be paid to the Commonwealth; and</w:t>
      </w:r>
    </w:p>
    <w:p w:rsidR="00C16CB1" w:rsidRPr="00FD6D35" w:rsidRDefault="006D5459" w:rsidP="006D5459">
      <w:pPr>
        <w:ind w:left="1440" w:hanging="360"/>
      </w:pPr>
      <w:r w:rsidRPr="00FD6D35">
        <w:t>(ii)</w:t>
      </w:r>
      <w:r w:rsidRPr="00FD6D35">
        <w:tab/>
      </w:r>
      <w:r w:rsidR="00C16CB1" w:rsidRPr="00FD6D35">
        <w:t>the person (if any) who is to pay the amounts;</w:t>
      </w:r>
    </w:p>
    <w:p w:rsidR="00C16CB1" w:rsidRPr="00FD6D35" w:rsidRDefault="006D5459" w:rsidP="006D5459">
      <w:pPr>
        <w:ind w:left="1070" w:hanging="360"/>
      </w:pPr>
      <w:r w:rsidRPr="00FD6D35">
        <w:t>(m)</w:t>
      </w:r>
      <w:r w:rsidRPr="00FD6D35">
        <w:tab/>
      </w:r>
      <w:r w:rsidR="00C16CB1" w:rsidRPr="00FD6D35">
        <w:t>specify the obligations on higher education providers in their capacity as providers of course assurance to other higher education providers;</w:t>
      </w:r>
    </w:p>
    <w:p w:rsidR="00C16CB1" w:rsidRPr="00FD6D35" w:rsidRDefault="006D5459" w:rsidP="006D5459">
      <w:pPr>
        <w:ind w:left="1070" w:hanging="360"/>
      </w:pPr>
      <w:r w:rsidRPr="00FD6D35">
        <w:t>(n)</w:t>
      </w:r>
      <w:r w:rsidRPr="00FD6D35">
        <w:tab/>
      </w:r>
      <w:r w:rsidR="00C16CB1" w:rsidRPr="00FD6D35">
        <w:t xml:space="preserve">detail the requirements for fees in respect of overseas students which are the fees referred to in paragraph 19-102(3)(d) of the </w:t>
      </w:r>
      <w:r w:rsidR="00C16CB1" w:rsidRPr="00FD6D35">
        <w:rPr>
          <w:i/>
          <w:iCs/>
        </w:rPr>
        <w:t>Act</w:t>
      </w:r>
      <w:r w:rsidR="00C104FD" w:rsidRPr="00EE207E">
        <w:t>;</w:t>
      </w:r>
      <w:r w:rsidR="00C16CB1" w:rsidRPr="00FD6D35">
        <w:t xml:space="preserve"> </w:t>
      </w:r>
    </w:p>
    <w:p w:rsidR="00C104FD" w:rsidRPr="00EE207E" w:rsidRDefault="00C104FD" w:rsidP="00AE4D81">
      <w:pPr>
        <w:ind w:left="1070" w:hanging="361"/>
      </w:pPr>
      <w:r w:rsidRPr="00EE207E">
        <w:t>(o)</w:t>
      </w:r>
      <w:r w:rsidRPr="00EE207E">
        <w:tab/>
        <w:t>specify certain matters in relation to the quality and accountability requirements and other administrative requirements that apply to higher education providers approved under section 16</w:t>
      </w:r>
      <w:r w:rsidRPr="00EE207E">
        <w:noBreakHyphen/>
        <w:t xml:space="preserve">25 of the </w:t>
      </w:r>
      <w:r w:rsidRPr="00EE207E">
        <w:rPr>
          <w:i/>
        </w:rPr>
        <w:t>Act</w:t>
      </w:r>
      <w:r w:rsidRPr="00EE207E">
        <w:t xml:space="preserve"> (see Chapter 8);</w:t>
      </w:r>
    </w:p>
    <w:p w:rsidR="00C104FD" w:rsidRPr="00EE207E" w:rsidRDefault="00C104FD" w:rsidP="00AE4D81">
      <w:pPr>
        <w:ind w:left="1070" w:hanging="361"/>
      </w:pPr>
      <w:r w:rsidRPr="00EE207E">
        <w:lastRenderedPageBreak/>
        <w:t>(p)</w:t>
      </w:r>
      <w:r w:rsidRPr="00EE207E">
        <w:tab/>
        <w:t>specify matters to be taken into account in determining whether students undertaking units of study provided by higher education providers approved under section 16</w:t>
      </w:r>
      <w:r w:rsidRPr="00EE207E">
        <w:noBreakHyphen/>
        <w:t xml:space="preserve">25 of the </w:t>
      </w:r>
      <w:r w:rsidRPr="00EE207E">
        <w:rPr>
          <w:i/>
        </w:rPr>
        <w:t>Act</w:t>
      </w:r>
      <w:r w:rsidRPr="00EE207E">
        <w:t xml:space="preserve"> are genuine students (see Chapter 9).</w:t>
      </w:r>
    </w:p>
    <w:p w:rsidR="00C16CB1" w:rsidRPr="00FD6D35" w:rsidRDefault="00C16CB1" w:rsidP="00F56BC1">
      <w:pPr>
        <w:ind w:left="800" w:hanging="800"/>
      </w:pPr>
    </w:p>
    <w:p w:rsidR="00F56BC1" w:rsidRPr="00FD6D35" w:rsidRDefault="00F56BC1" w:rsidP="00F56BC1">
      <w:pPr>
        <w:pStyle w:val="List1"/>
        <w:keepNext/>
      </w:pPr>
      <w:r w:rsidRPr="00FD6D35">
        <w:t>1.5</w:t>
      </w:r>
      <w:r w:rsidRPr="00FD6D35">
        <w:tab/>
        <w:t>INTERPRETATION</w:t>
      </w:r>
    </w:p>
    <w:p w:rsidR="00F56BC1" w:rsidRPr="00FD6D35" w:rsidRDefault="00F56BC1" w:rsidP="00F56BC1">
      <w:pPr>
        <w:keepNext/>
        <w:rPr>
          <w:b/>
          <w:bCs/>
        </w:rPr>
      </w:pPr>
    </w:p>
    <w:p w:rsidR="00F56BC1" w:rsidRPr="00FD6D35" w:rsidRDefault="00F56BC1" w:rsidP="00F56BC1">
      <w:pPr>
        <w:keepNext/>
        <w:tabs>
          <w:tab w:val="left" w:pos="800"/>
        </w:tabs>
        <w:ind w:left="800" w:hanging="800"/>
        <w:rPr>
          <w:lang w:eastAsia="en-AU"/>
        </w:rPr>
      </w:pPr>
      <w:r w:rsidRPr="00FD6D35">
        <w:rPr>
          <w:lang w:eastAsia="en-AU"/>
        </w:rPr>
        <w:t>1.5.1</w:t>
      </w:r>
      <w:r w:rsidRPr="00FD6D35">
        <w:rPr>
          <w:lang w:eastAsia="en-AU"/>
        </w:rPr>
        <w:tab/>
        <w:t>Unless the contrary intention appears,</w:t>
      </w:r>
      <w:r w:rsidRPr="00FD6D35">
        <w:t xml:space="preserve"> the terms within these Guidelines have the same meaning as in the </w:t>
      </w:r>
      <w:r w:rsidRPr="00FD6D35">
        <w:rPr>
          <w:i/>
          <w:iCs/>
        </w:rPr>
        <w:t>Act</w:t>
      </w:r>
      <w:r w:rsidRPr="00FD6D35">
        <w:rPr>
          <w:lang w:eastAsia="en-AU"/>
        </w:rPr>
        <w:t>.</w:t>
      </w:r>
    </w:p>
    <w:p w:rsidR="00F56BC1" w:rsidRPr="00FD6D35" w:rsidRDefault="00F56BC1" w:rsidP="00F56BC1">
      <w:pPr>
        <w:keepNext/>
        <w:tabs>
          <w:tab w:val="left" w:pos="800"/>
        </w:tabs>
        <w:ind w:left="800" w:hanging="800"/>
        <w:rPr>
          <w:lang w:eastAsia="en-AU"/>
        </w:rPr>
      </w:pPr>
    </w:p>
    <w:p w:rsidR="00F56BC1" w:rsidRPr="00FD6D35" w:rsidRDefault="00973B90" w:rsidP="00F56BC1">
      <w:pPr>
        <w:tabs>
          <w:tab w:val="left" w:pos="1000"/>
        </w:tabs>
        <w:ind w:left="800" w:hanging="800"/>
        <w:rPr>
          <w:lang w:eastAsia="en-AU"/>
        </w:rPr>
      </w:pPr>
      <w:r w:rsidRPr="00FD6D35">
        <w:rPr>
          <w:lang w:eastAsia="en-AU"/>
        </w:rPr>
        <w:t>1.5.5</w:t>
      </w:r>
      <w:r w:rsidR="00F56BC1" w:rsidRPr="00FD6D35">
        <w:rPr>
          <w:lang w:eastAsia="en-AU"/>
        </w:rPr>
        <w:tab/>
      </w:r>
      <w:r w:rsidR="00F56BC1" w:rsidRPr="00FD6D35">
        <w:t>Terms</w:t>
      </w:r>
      <w:r w:rsidR="00F56BC1" w:rsidRPr="00FD6D35">
        <w:rPr>
          <w:lang w:eastAsia="en-AU"/>
        </w:rPr>
        <w:t xml:space="preserve"> in these Guidelines that are in </w:t>
      </w:r>
      <w:r w:rsidR="00F56BC1" w:rsidRPr="00FD6D35">
        <w:rPr>
          <w:i/>
          <w:iCs/>
          <w:lang w:eastAsia="en-AU"/>
        </w:rPr>
        <w:t xml:space="preserve">italics </w:t>
      </w:r>
      <w:r w:rsidR="00F56BC1" w:rsidRPr="00FD6D35">
        <w:rPr>
          <w:lang w:eastAsia="en-AU"/>
        </w:rPr>
        <w:t xml:space="preserve">have the meanings given in </w:t>
      </w:r>
      <w:r w:rsidR="00C104FD" w:rsidRPr="00EE207E">
        <w:t>paragraph 1.5.10</w:t>
      </w:r>
      <w:r w:rsidR="00F56BC1" w:rsidRPr="00FD6D35">
        <w:rPr>
          <w:lang w:eastAsia="en-AU"/>
        </w:rPr>
        <w:t xml:space="preserve"> of these Guidelines.</w:t>
      </w:r>
    </w:p>
    <w:p w:rsidR="00F56BC1" w:rsidRPr="00FD6D35" w:rsidRDefault="00F56BC1" w:rsidP="00F56BC1">
      <w:pPr>
        <w:tabs>
          <w:tab w:val="left" w:pos="1000"/>
        </w:tabs>
        <w:ind w:left="800" w:hanging="800"/>
        <w:rPr>
          <w:lang w:eastAsia="en-AU"/>
        </w:rPr>
      </w:pPr>
    </w:p>
    <w:p w:rsidR="00F56BC1" w:rsidRPr="00FD6D35" w:rsidRDefault="00973B90" w:rsidP="00F56BC1">
      <w:pPr>
        <w:keepNext/>
        <w:tabs>
          <w:tab w:val="left" w:pos="1000"/>
        </w:tabs>
        <w:ind w:left="800" w:hanging="800"/>
        <w:rPr>
          <w:lang w:eastAsia="en-AU"/>
        </w:rPr>
      </w:pPr>
      <w:r w:rsidRPr="00FD6D35">
        <w:t>1.5.10</w:t>
      </w:r>
      <w:r w:rsidR="00F56BC1" w:rsidRPr="00FD6D35">
        <w:tab/>
        <w:t>In these Guidelines, unless the contrary intention appears:</w:t>
      </w:r>
    </w:p>
    <w:p w:rsidR="00F56BC1" w:rsidRPr="00FD6D35" w:rsidRDefault="00F56BC1" w:rsidP="00F56BC1">
      <w:pPr>
        <w:tabs>
          <w:tab w:val="left" w:pos="1000"/>
        </w:tabs>
        <w:ind w:left="800" w:hanging="800"/>
        <w:rPr>
          <w:lang w:eastAsia="en-AU"/>
        </w:rPr>
      </w:pPr>
    </w:p>
    <w:p w:rsidR="00F56BC1" w:rsidRPr="00FD6D35" w:rsidRDefault="00F56BC1" w:rsidP="00F56BC1">
      <w:pPr>
        <w:tabs>
          <w:tab w:val="left" w:pos="1000"/>
        </w:tabs>
        <w:ind w:left="800" w:hanging="800"/>
        <w:rPr>
          <w:lang w:eastAsia="en-AU"/>
        </w:rPr>
      </w:pPr>
      <w:r w:rsidRPr="00FD6D35">
        <w:rPr>
          <w:b/>
          <w:bCs/>
          <w:i/>
          <w:iCs/>
          <w:lang w:eastAsia="en-AU"/>
        </w:rPr>
        <w:tab/>
        <w:t xml:space="preserve">academic matters </w:t>
      </w:r>
      <w:r w:rsidRPr="00FD6D35">
        <w:rPr>
          <w:lang w:eastAsia="en-AU"/>
        </w:rPr>
        <w:t>includes those matters which relate to student progress, assessment, curriculum and awards in a course of study.</w:t>
      </w:r>
    </w:p>
    <w:p w:rsidR="00F56BC1" w:rsidRPr="00FD6D35" w:rsidRDefault="00F56BC1" w:rsidP="00F56BC1">
      <w:pPr>
        <w:tabs>
          <w:tab w:val="left" w:pos="1000"/>
        </w:tabs>
        <w:ind w:left="800" w:hanging="800"/>
        <w:rPr>
          <w:b/>
          <w:bCs/>
          <w:i/>
          <w:iCs/>
        </w:rPr>
      </w:pPr>
    </w:p>
    <w:p w:rsidR="00C104FD" w:rsidRPr="00EE207E" w:rsidRDefault="00C104FD" w:rsidP="00AE4D81">
      <w:pPr>
        <w:tabs>
          <w:tab w:val="left" w:pos="1000"/>
        </w:tabs>
        <w:ind w:left="800" w:hanging="800"/>
      </w:pPr>
      <w:r>
        <w:rPr>
          <w:b/>
          <w:i/>
        </w:rPr>
        <w:tab/>
      </w:r>
      <w:r w:rsidRPr="00EE207E">
        <w:rPr>
          <w:b/>
          <w:i/>
        </w:rPr>
        <w:t>accounting standards</w:t>
      </w:r>
      <w:r w:rsidRPr="00EE207E">
        <w:t xml:space="preserve"> has the same meaning as in the </w:t>
      </w:r>
      <w:r w:rsidRPr="00EE207E">
        <w:rPr>
          <w:i/>
        </w:rPr>
        <w:t>Corporations Act 2001</w:t>
      </w:r>
      <w:r w:rsidRPr="00EE207E">
        <w:t>.</w:t>
      </w:r>
    </w:p>
    <w:p w:rsidR="00C104FD" w:rsidRPr="00FD6D35" w:rsidRDefault="00C104FD" w:rsidP="00C104FD">
      <w:pPr>
        <w:rPr>
          <w:b/>
          <w:bCs/>
          <w:i/>
          <w:iCs/>
        </w:rPr>
      </w:pPr>
    </w:p>
    <w:p w:rsidR="00F56BC1" w:rsidRPr="00FD6D35" w:rsidRDefault="00F56BC1" w:rsidP="00F56BC1">
      <w:pPr>
        <w:ind w:left="233" w:firstLine="567"/>
        <w:rPr>
          <w:i/>
          <w:iCs/>
        </w:rPr>
      </w:pPr>
      <w:r w:rsidRPr="00FD6D35">
        <w:rPr>
          <w:b/>
          <w:bCs/>
          <w:i/>
          <w:iCs/>
        </w:rPr>
        <w:t xml:space="preserve">Act </w:t>
      </w:r>
      <w:r w:rsidRPr="00FD6D35">
        <w:t>means the</w:t>
      </w:r>
      <w:r w:rsidRPr="00FD6D35">
        <w:rPr>
          <w:i/>
          <w:iCs/>
        </w:rPr>
        <w:t xml:space="preserve"> Higher Education Support Act 2003.</w:t>
      </w:r>
    </w:p>
    <w:p w:rsidR="00F56BC1" w:rsidRPr="00FD6D35" w:rsidRDefault="00F56BC1" w:rsidP="00F56BC1">
      <w:pPr>
        <w:rPr>
          <w:b/>
          <w:bCs/>
          <w:i/>
          <w:iCs/>
        </w:rPr>
      </w:pPr>
    </w:p>
    <w:p w:rsidR="00F56BC1" w:rsidRPr="00FD6D35" w:rsidRDefault="00F56BC1" w:rsidP="00F56BC1">
      <w:pPr>
        <w:ind w:left="800"/>
        <w:rPr>
          <w:iCs/>
        </w:rPr>
      </w:pPr>
      <w:r w:rsidRPr="00FD6D35">
        <w:rPr>
          <w:b/>
          <w:bCs/>
          <w:i/>
          <w:iCs/>
        </w:rPr>
        <w:t>Budget and Other Measures Act</w:t>
      </w:r>
      <w:r w:rsidRPr="00FD6D35">
        <w:rPr>
          <w:i/>
          <w:iCs/>
        </w:rPr>
        <w:t xml:space="preserve"> </w:t>
      </w:r>
      <w:r w:rsidRPr="00FD6D35">
        <w:t>means</w:t>
      </w:r>
      <w:r w:rsidRPr="00FD6D35">
        <w:rPr>
          <w:i/>
          <w:iCs/>
        </w:rPr>
        <w:t xml:space="preserve"> </w:t>
      </w:r>
      <w:r w:rsidRPr="00FD6D35">
        <w:t>the</w:t>
      </w:r>
      <w:r w:rsidRPr="00FD6D35">
        <w:rPr>
          <w:i/>
          <w:iCs/>
        </w:rPr>
        <w:t xml:space="preserve"> Higher Education Legislation</w:t>
      </w:r>
      <w:r w:rsidR="002F4CA5" w:rsidRPr="00FD6D35">
        <w:rPr>
          <w:i/>
          <w:iCs/>
        </w:rPr>
        <w:t xml:space="preserve"> Amendment</w:t>
      </w:r>
      <w:r w:rsidRPr="00FD6D35">
        <w:rPr>
          <w:i/>
          <w:iCs/>
        </w:rPr>
        <w:t xml:space="preserve"> (2006 Budget and Other Measures) Act 2006</w:t>
      </w:r>
      <w:r w:rsidR="002F4CA5" w:rsidRPr="00FD6D35">
        <w:rPr>
          <w:i/>
          <w:iCs/>
        </w:rPr>
        <w:t>.</w:t>
      </w:r>
      <w:r w:rsidR="000E3CAB" w:rsidRPr="00FD6D35">
        <w:rPr>
          <w:iCs/>
        </w:rPr>
        <w:t xml:space="preserve"> </w:t>
      </w:r>
    </w:p>
    <w:p w:rsidR="00F56BC1" w:rsidRPr="00FD6D35" w:rsidRDefault="00F56BC1" w:rsidP="00F56BC1">
      <w:pPr>
        <w:ind w:left="800"/>
        <w:rPr>
          <w:b/>
          <w:bCs/>
          <w:i/>
          <w:iCs/>
        </w:rPr>
      </w:pPr>
    </w:p>
    <w:p w:rsidR="00F56BC1" w:rsidRPr="00FD6D35" w:rsidRDefault="00F56BC1" w:rsidP="00F56BC1">
      <w:pPr>
        <w:tabs>
          <w:tab w:val="left" w:pos="1000"/>
        </w:tabs>
        <w:ind w:left="800"/>
      </w:pPr>
      <w:r w:rsidRPr="00FD6D35">
        <w:rPr>
          <w:b/>
          <w:bCs/>
          <w:i/>
          <w:iCs/>
        </w:rPr>
        <w:t>Business Day</w:t>
      </w:r>
      <w:r w:rsidRPr="00FD6D35">
        <w:t xml:space="preserve"> means, in relation to the doing of an action in a place, any day other than a Saturday, Sunday or public holiday in that place.</w:t>
      </w:r>
    </w:p>
    <w:p w:rsidR="00F56BC1" w:rsidRPr="00FD6D35" w:rsidRDefault="00F56BC1" w:rsidP="00F56BC1">
      <w:pPr>
        <w:tabs>
          <w:tab w:val="left" w:pos="1000"/>
        </w:tabs>
        <w:ind w:left="800"/>
        <w:rPr>
          <w:b/>
          <w:bCs/>
          <w:i/>
          <w:iCs/>
        </w:rPr>
      </w:pPr>
    </w:p>
    <w:p w:rsidR="00F56BC1" w:rsidRPr="00FD6D35" w:rsidRDefault="00F56BC1" w:rsidP="00F56BC1">
      <w:pPr>
        <w:tabs>
          <w:tab w:val="left" w:pos="1000"/>
        </w:tabs>
        <w:ind w:left="800"/>
      </w:pPr>
      <w:r w:rsidRPr="00FD6D35">
        <w:rPr>
          <w:b/>
          <w:bCs/>
          <w:i/>
          <w:iCs/>
        </w:rPr>
        <w:t>course assurance option</w:t>
      </w:r>
      <w:r w:rsidRPr="00FD6D35">
        <w:t xml:space="preserve"> means the tuition assurance option referred to in subparagraph 2</w:t>
      </w:r>
      <w:r w:rsidR="00CF45AE" w:rsidRPr="00FD6D35">
        <w:t>.20</w:t>
      </w:r>
      <w:r w:rsidRPr="00FD6D35">
        <w:t>.15</w:t>
      </w:r>
      <w:r w:rsidR="004A7901" w:rsidRPr="00FD6D35">
        <w:t>(</w:t>
      </w:r>
      <w:r w:rsidRPr="00FD6D35">
        <w:t>c)</w:t>
      </w:r>
      <w:r w:rsidR="004A7901" w:rsidRPr="00FD6D35">
        <w:t>(</w:t>
      </w:r>
      <w:r w:rsidRPr="00FD6D35">
        <w:t>i) and mor</w:t>
      </w:r>
      <w:r w:rsidR="00F366C6" w:rsidRPr="00FD6D35">
        <w:t>e fully described in section 2.10</w:t>
      </w:r>
      <w:r w:rsidRPr="00FD6D35">
        <w:t>.</w:t>
      </w:r>
    </w:p>
    <w:p w:rsidR="00F56BC1" w:rsidRPr="00FD6D35" w:rsidRDefault="00F56BC1" w:rsidP="00F56BC1">
      <w:pPr>
        <w:tabs>
          <w:tab w:val="left" w:pos="1000"/>
        </w:tabs>
        <w:ind w:left="800"/>
      </w:pPr>
    </w:p>
    <w:p w:rsidR="00F56BC1" w:rsidRPr="00FD6D35" w:rsidRDefault="00F56BC1" w:rsidP="00F56BC1">
      <w:pPr>
        <w:tabs>
          <w:tab w:val="left" w:pos="1000"/>
        </w:tabs>
        <w:ind w:left="800"/>
      </w:pPr>
      <w:r w:rsidRPr="00FD6D35">
        <w:rPr>
          <w:b/>
          <w:bCs/>
          <w:i/>
          <w:iCs/>
        </w:rPr>
        <w:t>Course Assurance TAS Operator</w:t>
      </w:r>
      <w:r w:rsidRPr="00FD6D35">
        <w:rPr>
          <w:i/>
          <w:iCs/>
        </w:rPr>
        <w:t xml:space="preserve"> </w:t>
      </w:r>
      <w:r w:rsidRPr="00FD6D35">
        <w:t>has the mea</w:t>
      </w:r>
      <w:r w:rsidR="00F366C6" w:rsidRPr="00FD6D35">
        <w:t>ning given in subparagraph 2.10</w:t>
      </w:r>
      <w:r w:rsidRPr="00FD6D35">
        <w:t>.1</w:t>
      </w:r>
      <w:r w:rsidR="004A7901" w:rsidRPr="00FD6D35">
        <w:t>(</w:t>
      </w:r>
      <w:r w:rsidRPr="00FD6D35">
        <w:t>a)(i).</w:t>
      </w:r>
    </w:p>
    <w:p w:rsidR="00F56BC1" w:rsidRPr="00FD6D35" w:rsidRDefault="00F56BC1" w:rsidP="00F56BC1">
      <w:pPr>
        <w:tabs>
          <w:tab w:val="left" w:pos="1000"/>
        </w:tabs>
        <w:ind w:left="800"/>
      </w:pPr>
    </w:p>
    <w:p w:rsidR="00011A7B" w:rsidRDefault="00EB5015" w:rsidP="00011A7B">
      <w:pPr>
        <w:tabs>
          <w:tab w:val="left" w:pos="1000"/>
        </w:tabs>
        <w:ind w:left="800"/>
        <w:rPr>
          <w:b/>
          <w:bCs/>
          <w:i/>
          <w:iCs/>
        </w:rPr>
      </w:pPr>
      <w:r w:rsidRPr="004B1D6D">
        <w:rPr>
          <w:b/>
          <w:bCs/>
          <w:iCs/>
        </w:rPr>
        <w:t>Department</w:t>
      </w:r>
      <w:r w:rsidRPr="004B1D6D">
        <w:rPr>
          <w:b/>
          <w:bCs/>
          <w:i/>
          <w:iCs/>
        </w:rPr>
        <w:t xml:space="preserve"> </w:t>
      </w:r>
      <w:r w:rsidRPr="004B1D6D">
        <w:rPr>
          <w:bCs/>
          <w:iCs/>
        </w:rPr>
        <w:t>means the department that administers these Guidelines.</w:t>
      </w:r>
    </w:p>
    <w:p w:rsidR="0012189A" w:rsidRPr="00FD6D35" w:rsidRDefault="0012189A" w:rsidP="00011A7B">
      <w:pPr>
        <w:tabs>
          <w:tab w:val="left" w:pos="1000"/>
        </w:tabs>
        <w:ind w:left="800"/>
      </w:pPr>
    </w:p>
    <w:p w:rsidR="00F56BC1" w:rsidRPr="00FD6D35" w:rsidRDefault="00F56BC1" w:rsidP="00F56BC1">
      <w:pPr>
        <w:tabs>
          <w:tab w:val="left" w:pos="1000"/>
        </w:tabs>
        <w:ind w:left="800"/>
      </w:pPr>
      <w:r w:rsidRPr="00FD6D35">
        <w:rPr>
          <w:b/>
          <w:bCs/>
          <w:i/>
          <w:iCs/>
        </w:rPr>
        <w:t>Exempt Provider</w:t>
      </w:r>
      <w:r w:rsidRPr="00FD6D35">
        <w:t xml:space="preserve"> means a higher education provider that is exempted by the Minister under subsections 19-40(2) and 19-40(3) of the </w:t>
      </w:r>
      <w:r w:rsidRPr="00FD6D35">
        <w:rPr>
          <w:i/>
          <w:iCs/>
        </w:rPr>
        <w:t>Act</w:t>
      </w:r>
      <w:r w:rsidRPr="00FD6D35">
        <w:t xml:space="preserve"> from complying with the </w:t>
      </w:r>
      <w:r w:rsidRPr="00FD6D35">
        <w:rPr>
          <w:i/>
          <w:iCs/>
        </w:rPr>
        <w:t>tuition assurance requirements</w:t>
      </w:r>
      <w:r w:rsidRPr="00FD6D35">
        <w:t>.</w:t>
      </w:r>
    </w:p>
    <w:p w:rsidR="00F56BC1" w:rsidRPr="00FD6D35" w:rsidRDefault="00F56BC1" w:rsidP="00F56BC1">
      <w:pPr>
        <w:tabs>
          <w:tab w:val="left" w:pos="1000"/>
        </w:tabs>
        <w:ind w:left="800"/>
        <w:rPr>
          <w:b/>
          <w:bCs/>
          <w:i/>
          <w:iCs/>
        </w:rPr>
      </w:pPr>
    </w:p>
    <w:p w:rsidR="00F56BC1" w:rsidRPr="00FD6D35" w:rsidRDefault="00F56BC1" w:rsidP="00F56BC1">
      <w:pPr>
        <w:tabs>
          <w:tab w:val="left" w:pos="1000"/>
        </w:tabs>
        <w:ind w:left="800"/>
      </w:pPr>
      <w:r w:rsidRPr="00FD6D35">
        <w:rPr>
          <w:b/>
          <w:bCs/>
          <w:i/>
          <w:iCs/>
        </w:rPr>
        <w:t>First Provider</w:t>
      </w:r>
      <w:r w:rsidRPr="00FD6D35">
        <w:t xml:space="preserve"> has the meaning given in paragraph 2.1.10.</w:t>
      </w:r>
    </w:p>
    <w:p w:rsidR="00F56BC1" w:rsidRPr="00FD6D35" w:rsidRDefault="00F56BC1" w:rsidP="00F56BC1">
      <w:pPr>
        <w:tabs>
          <w:tab w:val="left" w:pos="1000"/>
        </w:tabs>
        <w:ind w:left="800"/>
      </w:pPr>
    </w:p>
    <w:p w:rsidR="00F56BC1" w:rsidRPr="00FD6D35" w:rsidRDefault="00F56BC1" w:rsidP="00F56BC1">
      <w:pPr>
        <w:tabs>
          <w:tab w:val="left" w:pos="1000"/>
        </w:tabs>
        <w:ind w:left="800"/>
      </w:pPr>
      <w:r w:rsidRPr="00FD6D35">
        <w:rPr>
          <w:b/>
          <w:bCs/>
          <w:i/>
          <w:iCs/>
        </w:rPr>
        <w:t xml:space="preserve">Guidelines </w:t>
      </w:r>
      <w:r w:rsidRPr="00FD6D35">
        <w:t>means these Higher Education Provider Guidelines</w:t>
      </w:r>
      <w:r w:rsidR="003C6C7D" w:rsidRPr="00FD6D35">
        <w:t xml:space="preserve"> 2012</w:t>
      </w:r>
      <w:r w:rsidRPr="00FD6D35">
        <w:t>.</w:t>
      </w:r>
    </w:p>
    <w:p w:rsidR="00142D9A" w:rsidRPr="00FD6D35" w:rsidRDefault="00F56BC1" w:rsidP="00F56BC1">
      <w:pPr>
        <w:tabs>
          <w:tab w:val="left" w:pos="1000"/>
        </w:tabs>
        <w:ind w:left="800" w:hanging="800"/>
      </w:pPr>
      <w:r w:rsidRPr="00FD6D35">
        <w:tab/>
      </w:r>
    </w:p>
    <w:p w:rsidR="00142D9A" w:rsidRPr="00FD6D35" w:rsidRDefault="004F59AB" w:rsidP="00364B5C">
      <w:pPr>
        <w:tabs>
          <w:tab w:val="left" w:pos="1000"/>
        </w:tabs>
        <w:ind w:left="800"/>
      </w:pPr>
      <w:r w:rsidRPr="00FD6D35">
        <w:rPr>
          <w:b/>
          <w:i/>
        </w:rPr>
        <w:t xml:space="preserve">General Manager </w:t>
      </w:r>
      <w:r w:rsidR="00142D9A" w:rsidRPr="00FD6D35">
        <w:t xml:space="preserve">means the person holding, occupying or performing the duties of </w:t>
      </w:r>
      <w:r w:rsidR="003C5D32" w:rsidRPr="00FD6D35">
        <w:t>the position</w:t>
      </w:r>
      <w:r w:rsidR="00142D9A" w:rsidRPr="00FD6D35">
        <w:t xml:space="preserve"> of </w:t>
      </w:r>
      <w:r w:rsidRPr="00FD6D35">
        <w:t>General Manager</w:t>
      </w:r>
      <w:r w:rsidR="00142D9A" w:rsidRPr="00FD6D35">
        <w:t xml:space="preserve"> or an equivalent position in the </w:t>
      </w:r>
      <w:r w:rsidR="00142D9A" w:rsidRPr="00FD6D35">
        <w:rPr>
          <w:i/>
        </w:rPr>
        <w:t>Department</w:t>
      </w:r>
      <w:r w:rsidR="00142D9A" w:rsidRPr="00FD6D35">
        <w:t xml:space="preserve"> responsible for the administration of </w:t>
      </w:r>
      <w:r w:rsidR="004A7901" w:rsidRPr="00FD6D35">
        <w:t xml:space="preserve">access to Commonwealth supported places, HECS-HELP and </w:t>
      </w:r>
      <w:r w:rsidR="00142D9A" w:rsidRPr="00FD6D35">
        <w:t>FEE</w:t>
      </w:r>
      <w:r w:rsidR="004A7901" w:rsidRPr="00FD6D35">
        <w:noBreakHyphen/>
      </w:r>
      <w:r w:rsidR="00142D9A" w:rsidRPr="00FD6D35">
        <w:t>HELP assistance.</w:t>
      </w:r>
    </w:p>
    <w:p w:rsidR="00142D9A" w:rsidRPr="00FD6D35" w:rsidRDefault="00142D9A" w:rsidP="00F56BC1">
      <w:pPr>
        <w:tabs>
          <w:tab w:val="left" w:pos="1000"/>
        </w:tabs>
        <w:ind w:left="800" w:hanging="800"/>
      </w:pPr>
    </w:p>
    <w:p w:rsidR="00F56BC1" w:rsidRPr="00FD6D35" w:rsidRDefault="00F56BC1" w:rsidP="00F56BC1">
      <w:pPr>
        <w:tabs>
          <w:tab w:val="left" w:pos="1000"/>
        </w:tabs>
        <w:ind w:left="800" w:hanging="800"/>
      </w:pPr>
      <w:r w:rsidRPr="00FD6D35">
        <w:rPr>
          <w:b/>
          <w:bCs/>
          <w:i/>
          <w:iCs/>
          <w:lang w:eastAsia="en-AU"/>
        </w:rPr>
        <w:tab/>
        <w:t xml:space="preserve">non-academic matters </w:t>
      </w:r>
      <w:r w:rsidRPr="00FD6D35">
        <w:rPr>
          <w:lang w:eastAsia="en-AU"/>
        </w:rPr>
        <w:t>includes those matters which do not relate to student progress, assessment, curriculum and awards in a course of study</w:t>
      </w:r>
      <w:r w:rsidRPr="00FD6D35">
        <w:rPr>
          <w:i/>
          <w:iCs/>
          <w:lang w:eastAsia="en-AU"/>
        </w:rPr>
        <w:t xml:space="preserve"> </w:t>
      </w:r>
      <w:r w:rsidRPr="00FD6D35">
        <w:rPr>
          <w:lang w:eastAsia="en-AU"/>
        </w:rPr>
        <w:t xml:space="preserve">and includes complaints in relation to personal information that the provider holds in relation to the student, and about </w:t>
      </w:r>
      <w:r w:rsidRPr="00FD6D35">
        <w:t>the administration of the Commonwealth Scholarships Program.</w:t>
      </w:r>
    </w:p>
    <w:p w:rsidR="00F56BC1" w:rsidRPr="00FD6D35" w:rsidRDefault="00F56BC1" w:rsidP="00F56BC1">
      <w:pPr>
        <w:tabs>
          <w:tab w:val="left" w:pos="1000"/>
        </w:tabs>
        <w:ind w:left="800" w:hanging="800"/>
      </w:pPr>
    </w:p>
    <w:p w:rsidR="00154654" w:rsidRPr="00FD6D35" w:rsidRDefault="00142D9A" w:rsidP="00142D9A">
      <w:pPr>
        <w:tabs>
          <w:tab w:val="left" w:pos="1000"/>
        </w:tabs>
        <w:ind w:left="800"/>
        <w:rPr>
          <w:i/>
        </w:rPr>
      </w:pPr>
      <w:r w:rsidRPr="00FD6D35">
        <w:rPr>
          <w:b/>
          <w:bCs/>
          <w:i/>
          <w:iCs/>
        </w:rPr>
        <w:t>Registered</w:t>
      </w:r>
      <w:r w:rsidRPr="00FD6D35">
        <w:rPr>
          <w:i/>
        </w:rPr>
        <w:t xml:space="preserve"> </w:t>
      </w:r>
      <w:r w:rsidRPr="00FD6D35">
        <w:rPr>
          <w:b/>
          <w:i/>
        </w:rPr>
        <w:t>higher education provider</w:t>
      </w:r>
      <w:r w:rsidRPr="00FD6D35">
        <w:rPr>
          <w:i/>
        </w:rPr>
        <w:t xml:space="preserve"> </w:t>
      </w:r>
      <w:r w:rsidRPr="00FD6D35">
        <w:t xml:space="preserve">has the same meaning </w:t>
      </w:r>
      <w:r w:rsidR="00AD610C" w:rsidRPr="00FD6D35">
        <w:t>given by</w:t>
      </w:r>
      <w:r w:rsidRPr="00FD6D35">
        <w:t xml:space="preserve"> the </w:t>
      </w:r>
      <w:r w:rsidRPr="00FD6D35">
        <w:rPr>
          <w:i/>
        </w:rPr>
        <w:t>TEQSA Act</w:t>
      </w:r>
      <w:r w:rsidRPr="00FD6D35">
        <w:t>.</w:t>
      </w:r>
    </w:p>
    <w:p w:rsidR="00142D9A" w:rsidRPr="00FD6D35" w:rsidRDefault="00142D9A" w:rsidP="00F56BC1">
      <w:pPr>
        <w:tabs>
          <w:tab w:val="left" w:pos="1000"/>
        </w:tabs>
        <w:ind w:left="800" w:hanging="800"/>
      </w:pPr>
    </w:p>
    <w:p w:rsidR="00F56BC1" w:rsidRPr="00FD6D35" w:rsidRDefault="00F56BC1" w:rsidP="00F56BC1">
      <w:pPr>
        <w:tabs>
          <w:tab w:val="left" w:pos="1000"/>
        </w:tabs>
        <w:ind w:left="800"/>
      </w:pPr>
      <w:r w:rsidRPr="00FD6D35">
        <w:rPr>
          <w:b/>
          <w:bCs/>
          <w:i/>
          <w:iCs/>
        </w:rPr>
        <w:t>Repayment Guarantor</w:t>
      </w:r>
      <w:r w:rsidRPr="00FD6D35">
        <w:rPr>
          <w:i/>
          <w:iCs/>
        </w:rPr>
        <w:t xml:space="preserve"> </w:t>
      </w:r>
      <w:r w:rsidRPr="00FD6D35">
        <w:t xml:space="preserve">has the meaning given in </w:t>
      </w:r>
      <w:r w:rsidR="00F366C6" w:rsidRPr="00FD6D35">
        <w:t>subparagraph 2.15</w:t>
      </w:r>
      <w:r w:rsidRPr="00FD6D35">
        <w:t>.1</w:t>
      </w:r>
      <w:r w:rsidR="004A7901" w:rsidRPr="00FD6D35">
        <w:t>(</w:t>
      </w:r>
      <w:r w:rsidRPr="00FD6D35">
        <w:t>c).</w:t>
      </w:r>
    </w:p>
    <w:p w:rsidR="00F56BC1" w:rsidRPr="00FD6D35" w:rsidRDefault="00F56BC1" w:rsidP="00F56BC1">
      <w:pPr>
        <w:tabs>
          <w:tab w:val="left" w:pos="1000"/>
        </w:tabs>
        <w:ind w:left="800"/>
      </w:pPr>
    </w:p>
    <w:p w:rsidR="00F56BC1" w:rsidRPr="00FD6D35" w:rsidRDefault="00F56BC1" w:rsidP="00F56BC1">
      <w:pPr>
        <w:tabs>
          <w:tab w:val="left" w:pos="1000"/>
        </w:tabs>
        <w:ind w:left="800"/>
      </w:pPr>
      <w:r w:rsidRPr="00FD6D35">
        <w:rPr>
          <w:b/>
          <w:bCs/>
          <w:i/>
          <w:iCs/>
        </w:rPr>
        <w:t>Repayment TAS Operator</w:t>
      </w:r>
      <w:r w:rsidRPr="00FD6D35">
        <w:rPr>
          <w:i/>
          <w:iCs/>
        </w:rPr>
        <w:t xml:space="preserve"> </w:t>
      </w:r>
      <w:r w:rsidRPr="00FD6D35">
        <w:t xml:space="preserve">has the meaning given in </w:t>
      </w:r>
      <w:r w:rsidR="00F366C6" w:rsidRPr="00FD6D35">
        <w:t>subparagraph 2.15</w:t>
      </w:r>
      <w:r w:rsidRPr="00FD6D35">
        <w:t>.1</w:t>
      </w:r>
      <w:r w:rsidR="004A7901" w:rsidRPr="00FD6D35">
        <w:t>(</w:t>
      </w:r>
      <w:r w:rsidRPr="00FD6D35">
        <w:t xml:space="preserve">a)(i).  </w:t>
      </w:r>
    </w:p>
    <w:p w:rsidR="00F56BC1" w:rsidRPr="00FD6D35" w:rsidRDefault="00F56BC1" w:rsidP="00F56BC1">
      <w:pPr>
        <w:tabs>
          <w:tab w:val="left" w:pos="1000"/>
        </w:tabs>
        <w:ind w:left="800"/>
      </w:pPr>
    </w:p>
    <w:p w:rsidR="00F56BC1" w:rsidRPr="00FD6D35" w:rsidRDefault="00F56BC1" w:rsidP="00F56BC1">
      <w:pPr>
        <w:tabs>
          <w:tab w:val="left" w:pos="1000"/>
        </w:tabs>
        <w:ind w:left="800"/>
        <w:rPr>
          <w:i/>
          <w:iCs/>
        </w:rPr>
      </w:pPr>
      <w:r w:rsidRPr="00FD6D35">
        <w:rPr>
          <w:b/>
          <w:bCs/>
          <w:i/>
          <w:iCs/>
        </w:rPr>
        <w:t xml:space="preserve">replaced unit </w:t>
      </w:r>
      <w:r w:rsidRPr="00FD6D35">
        <w:t>means</w:t>
      </w:r>
      <w:r w:rsidRPr="00FD6D35">
        <w:rPr>
          <w:b/>
          <w:bCs/>
          <w:i/>
          <w:iCs/>
        </w:rPr>
        <w:t xml:space="preserve"> </w:t>
      </w:r>
      <w:r w:rsidRPr="00FD6D35">
        <w:t xml:space="preserve">a unit of study in which the student was enrolled with a </w:t>
      </w:r>
      <w:r w:rsidRPr="00FD6D35">
        <w:rPr>
          <w:i/>
          <w:iCs/>
        </w:rPr>
        <w:t>First Provider</w:t>
      </w:r>
      <w:r w:rsidRPr="00FD6D35">
        <w:t xml:space="preserve"> that is replaced by a </w:t>
      </w:r>
      <w:r w:rsidRPr="00FD6D35">
        <w:rPr>
          <w:i/>
          <w:iCs/>
        </w:rPr>
        <w:t>replacement unit</w:t>
      </w:r>
      <w:r w:rsidRPr="00FD6D35">
        <w:t>.</w:t>
      </w:r>
    </w:p>
    <w:p w:rsidR="00F56BC1" w:rsidRPr="00FD6D35" w:rsidRDefault="00F56BC1" w:rsidP="00F56BC1">
      <w:pPr>
        <w:tabs>
          <w:tab w:val="left" w:pos="1000"/>
        </w:tabs>
        <w:ind w:left="800" w:hanging="800"/>
        <w:rPr>
          <w:b/>
          <w:bCs/>
          <w:i/>
          <w:iCs/>
        </w:rPr>
      </w:pPr>
    </w:p>
    <w:p w:rsidR="00F56BC1" w:rsidRPr="00FD6D35" w:rsidRDefault="00F56BC1" w:rsidP="00F56BC1">
      <w:pPr>
        <w:tabs>
          <w:tab w:val="left" w:pos="1000"/>
        </w:tabs>
        <w:ind w:left="800"/>
      </w:pPr>
      <w:bookmarkStart w:id="8" w:name="OLE_LINK7"/>
      <w:r w:rsidRPr="00FD6D35">
        <w:rPr>
          <w:b/>
          <w:bCs/>
          <w:i/>
          <w:iCs/>
        </w:rPr>
        <w:t>replacement unit</w:t>
      </w:r>
      <w:r w:rsidRPr="00FD6D35">
        <w:t xml:space="preserve"> means a unit of study that a </w:t>
      </w:r>
      <w:r w:rsidRPr="00FD6D35">
        <w:rPr>
          <w:i/>
          <w:iCs/>
        </w:rPr>
        <w:t>student</w:t>
      </w:r>
      <w:r w:rsidRPr="00FD6D35">
        <w:t xml:space="preserve"> undertakes with a </w:t>
      </w:r>
      <w:r w:rsidRPr="00FD6D35">
        <w:rPr>
          <w:i/>
          <w:iCs/>
        </w:rPr>
        <w:t>Second Provider</w:t>
      </w:r>
      <w:r w:rsidRPr="00FD6D35">
        <w:t xml:space="preserve"> to replace a unit in which the student was enrolled with a </w:t>
      </w:r>
      <w:r w:rsidRPr="00FD6D35">
        <w:rPr>
          <w:i/>
          <w:iCs/>
        </w:rPr>
        <w:t>First Provider</w:t>
      </w:r>
      <w:r w:rsidRPr="00FD6D35">
        <w:t xml:space="preserve"> where, whilst the student was enrolled, the </w:t>
      </w:r>
      <w:bookmarkEnd w:id="8"/>
      <w:r w:rsidRPr="00FD6D35">
        <w:rPr>
          <w:i/>
          <w:iCs/>
        </w:rPr>
        <w:t>First Provider</w:t>
      </w:r>
      <w:r w:rsidRPr="00FD6D35">
        <w:t xml:space="preserve"> ceased to provide the unit and the course of study of which the unit formed part.</w:t>
      </w:r>
    </w:p>
    <w:p w:rsidR="00F56BC1" w:rsidRPr="00FD6D35" w:rsidRDefault="00F56BC1" w:rsidP="00F56BC1">
      <w:pPr>
        <w:tabs>
          <w:tab w:val="left" w:pos="1000"/>
        </w:tabs>
        <w:ind w:left="800"/>
      </w:pPr>
    </w:p>
    <w:p w:rsidR="00F56BC1" w:rsidRPr="00FD6D35" w:rsidRDefault="00F56BC1" w:rsidP="00F56BC1">
      <w:pPr>
        <w:tabs>
          <w:tab w:val="left" w:pos="1000"/>
        </w:tabs>
        <w:ind w:left="800"/>
        <w:rPr>
          <w:i/>
          <w:iCs/>
        </w:rPr>
      </w:pPr>
      <w:r w:rsidRPr="00FD6D35">
        <w:rPr>
          <w:b/>
          <w:bCs/>
          <w:i/>
          <w:iCs/>
        </w:rPr>
        <w:t>saved determination</w:t>
      </w:r>
      <w:r w:rsidRPr="00FD6D35">
        <w:rPr>
          <w:i/>
          <w:iCs/>
        </w:rPr>
        <w:t xml:space="preserve"> </w:t>
      </w:r>
      <w:r w:rsidRPr="00FD6D35">
        <w:t>has the meaning given to it under item 13(1) or item 14(1), as the context requires, of Schedule 3 of the</w:t>
      </w:r>
      <w:r w:rsidRPr="00FD6D35">
        <w:rPr>
          <w:i/>
          <w:iCs/>
        </w:rPr>
        <w:t xml:space="preserve"> Budget and Other Measures Act.</w:t>
      </w:r>
    </w:p>
    <w:p w:rsidR="00F56BC1" w:rsidRPr="00FD6D35" w:rsidRDefault="00F56BC1" w:rsidP="00F56BC1">
      <w:pPr>
        <w:tabs>
          <w:tab w:val="left" w:pos="1000"/>
        </w:tabs>
        <w:ind w:left="800"/>
        <w:rPr>
          <w:b/>
          <w:bCs/>
          <w:i/>
          <w:iCs/>
        </w:rPr>
      </w:pPr>
    </w:p>
    <w:p w:rsidR="00F56BC1" w:rsidRPr="00FD6D35" w:rsidRDefault="00F56BC1" w:rsidP="00F56BC1">
      <w:pPr>
        <w:tabs>
          <w:tab w:val="left" w:pos="1000"/>
        </w:tabs>
        <w:ind w:left="800"/>
      </w:pPr>
      <w:r w:rsidRPr="00FD6D35">
        <w:rPr>
          <w:b/>
          <w:bCs/>
          <w:i/>
          <w:iCs/>
        </w:rPr>
        <w:t>Second Provider</w:t>
      </w:r>
      <w:r w:rsidRPr="00FD6D35">
        <w:t xml:space="preserve"> has the meaning given in </w:t>
      </w:r>
      <w:r w:rsidR="00F366C6" w:rsidRPr="00FD6D35">
        <w:t>subparagraph 2.10</w:t>
      </w:r>
      <w:r w:rsidRPr="00FD6D35">
        <w:t>.5</w:t>
      </w:r>
      <w:r w:rsidR="004A7901" w:rsidRPr="00FD6D35">
        <w:t>(</w:t>
      </w:r>
      <w:r w:rsidRPr="00FD6D35">
        <w:t>a).</w:t>
      </w:r>
    </w:p>
    <w:p w:rsidR="00F56BC1" w:rsidRPr="00FD6D35" w:rsidRDefault="00F56BC1" w:rsidP="00F56BC1">
      <w:pPr>
        <w:tabs>
          <w:tab w:val="left" w:pos="1000"/>
        </w:tabs>
        <w:ind w:left="800"/>
      </w:pPr>
    </w:p>
    <w:p w:rsidR="00F56BC1" w:rsidRPr="00FD6D35" w:rsidRDefault="00F56BC1" w:rsidP="00F56BC1">
      <w:pPr>
        <w:keepNext/>
        <w:tabs>
          <w:tab w:val="left" w:pos="800"/>
        </w:tabs>
        <w:ind w:left="800"/>
        <w:rPr>
          <w:i/>
          <w:iCs/>
        </w:rPr>
      </w:pPr>
      <w:r w:rsidRPr="00FD6D35">
        <w:rPr>
          <w:b/>
          <w:bCs/>
          <w:i/>
          <w:iCs/>
          <w:lang w:eastAsia="en-AU"/>
        </w:rPr>
        <w:t>student cohort</w:t>
      </w:r>
      <w:r w:rsidRPr="00FD6D35">
        <w:rPr>
          <w:i/>
          <w:iCs/>
          <w:lang w:eastAsia="en-AU"/>
        </w:rPr>
        <w:t xml:space="preserve"> </w:t>
      </w:r>
      <w:r w:rsidRPr="00FD6D35">
        <w:rPr>
          <w:lang w:eastAsia="en-AU"/>
        </w:rPr>
        <w:t>has the meaning given to it under the</w:t>
      </w:r>
      <w:r w:rsidRPr="00FD6D35">
        <w:rPr>
          <w:i/>
          <w:iCs/>
          <w:lang w:eastAsia="en-AU"/>
        </w:rPr>
        <w:t xml:space="preserve"> </w:t>
      </w:r>
      <w:r w:rsidRPr="00FD6D35">
        <w:rPr>
          <w:i/>
          <w:iCs/>
        </w:rPr>
        <w:t xml:space="preserve">Act </w:t>
      </w:r>
      <w:r w:rsidRPr="00FD6D35">
        <w:t>before the definition was repealed under item 10 of the</w:t>
      </w:r>
      <w:r w:rsidRPr="00FD6D35">
        <w:rPr>
          <w:i/>
          <w:iCs/>
        </w:rPr>
        <w:t xml:space="preserve"> Budget and Other Measures Act.</w:t>
      </w:r>
    </w:p>
    <w:p w:rsidR="00F56BC1" w:rsidRPr="00FD6D35" w:rsidRDefault="00F56BC1" w:rsidP="00F56BC1">
      <w:pPr>
        <w:tabs>
          <w:tab w:val="left" w:pos="1000"/>
        </w:tabs>
        <w:ind w:left="800"/>
      </w:pPr>
    </w:p>
    <w:p w:rsidR="00F56BC1" w:rsidRPr="00FD6D35" w:rsidRDefault="00F56BC1" w:rsidP="00F56BC1">
      <w:pPr>
        <w:tabs>
          <w:tab w:val="left" w:pos="1000"/>
        </w:tabs>
        <w:ind w:left="800"/>
      </w:pPr>
      <w:r w:rsidRPr="00FD6D35">
        <w:rPr>
          <w:b/>
          <w:bCs/>
          <w:i/>
          <w:iCs/>
        </w:rPr>
        <w:t>student contribution / tuition fee repayment option</w:t>
      </w:r>
      <w:r w:rsidRPr="00FD6D35">
        <w:t xml:space="preserve"> means the tuition assurance option referred to in subparagraph </w:t>
      </w:r>
      <w:r w:rsidR="00CF45AE" w:rsidRPr="00FD6D35">
        <w:t>2.20</w:t>
      </w:r>
      <w:r w:rsidRPr="00FD6D35">
        <w:t>.15</w:t>
      </w:r>
      <w:r w:rsidR="004A7901" w:rsidRPr="00FD6D35">
        <w:t>(</w:t>
      </w:r>
      <w:r w:rsidRPr="00FD6D35">
        <w:t>c)</w:t>
      </w:r>
      <w:r w:rsidR="004A7901" w:rsidRPr="00FD6D35">
        <w:t>(</w:t>
      </w:r>
      <w:r w:rsidRPr="00FD6D35">
        <w:t>ii), and mor</w:t>
      </w:r>
      <w:r w:rsidR="00F366C6" w:rsidRPr="00FD6D35">
        <w:t>e fully described in section 2.15</w:t>
      </w:r>
      <w:r w:rsidRPr="00FD6D35">
        <w:t xml:space="preserve"> (and is the option referred to by this name in paragraphs 36-</w:t>
      </w:r>
      <w:r w:rsidR="00E52CD0" w:rsidRPr="00FD6D35">
        <w:t>24A</w:t>
      </w:r>
      <w:r w:rsidRPr="00FD6D35">
        <w:t>(1)(</w:t>
      </w:r>
      <w:r w:rsidR="000D4AA1" w:rsidRPr="00FD6D35">
        <w:t>e</w:t>
      </w:r>
      <w:r w:rsidRPr="00FD6D35">
        <w:t>) and 104</w:t>
      </w:r>
      <w:r w:rsidR="00E52CD0" w:rsidRPr="00FD6D35">
        <w:t>-</w:t>
      </w:r>
      <w:r w:rsidR="00E52CD0" w:rsidRPr="00FD6D35">
        <w:noBreakHyphen/>
      </w:r>
      <w:r w:rsidRPr="00FD6D35">
        <w:t xml:space="preserve">42(1)(d) of the </w:t>
      </w:r>
      <w:r w:rsidRPr="00FD6D35">
        <w:rPr>
          <w:i/>
          <w:iCs/>
        </w:rPr>
        <w:t>Act</w:t>
      </w:r>
      <w:r w:rsidRPr="00FD6D35">
        <w:t>).</w:t>
      </w:r>
    </w:p>
    <w:p w:rsidR="00F56BC1" w:rsidRPr="00FD6D35" w:rsidRDefault="00F56BC1" w:rsidP="00F56BC1">
      <w:pPr>
        <w:tabs>
          <w:tab w:val="left" w:pos="1000"/>
        </w:tabs>
        <w:ind w:left="800"/>
        <w:rPr>
          <w:lang w:eastAsia="en-AU"/>
        </w:rPr>
      </w:pPr>
    </w:p>
    <w:p w:rsidR="00C52216" w:rsidRPr="00FD6D35" w:rsidRDefault="00C52216" w:rsidP="00C52216">
      <w:pPr>
        <w:tabs>
          <w:tab w:val="left" w:pos="1000"/>
        </w:tabs>
        <w:ind w:left="800"/>
      </w:pPr>
      <w:r w:rsidRPr="00FD6D35">
        <w:rPr>
          <w:b/>
          <w:i/>
        </w:rPr>
        <w:t>TEQSA Act</w:t>
      </w:r>
      <w:r w:rsidRPr="00FD6D35">
        <w:t xml:space="preserve"> means the </w:t>
      </w:r>
      <w:r w:rsidRPr="00FD6D35">
        <w:rPr>
          <w:i/>
        </w:rPr>
        <w:t>Tertiary Education Quality and Standards Agency Act 2011</w:t>
      </w:r>
      <w:r w:rsidRPr="00FD6D35">
        <w:t>.</w:t>
      </w:r>
    </w:p>
    <w:p w:rsidR="00C52216" w:rsidRPr="00FD6D35" w:rsidRDefault="00C52216" w:rsidP="00F56BC1">
      <w:pPr>
        <w:tabs>
          <w:tab w:val="left" w:pos="1000"/>
        </w:tabs>
        <w:ind w:left="800"/>
        <w:rPr>
          <w:lang w:eastAsia="en-AU"/>
        </w:rPr>
      </w:pPr>
    </w:p>
    <w:p w:rsidR="00F56BC1" w:rsidRPr="00FD6D35" w:rsidRDefault="00F56BC1" w:rsidP="00F56BC1">
      <w:pPr>
        <w:tabs>
          <w:tab w:val="left" w:pos="1000"/>
        </w:tabs>
        <w:ind w:left="800"/>
      </w:pPr>
      <w:r w:rsidRPr="00FD6D35">
        <w:rPr>
          <w:rStyle w:val="Emphasis"/>
          <w:b/>
          <w:bCs/>
        </w:rPr>
        <w:t>tuition assurance administrator</w:t>
      </w:r>
      <w:r w:rsidRPr="00FD6D35">
        <w:t xml:space="preserve"> means any </w:t>
      </w:r>
      <w:bookmarkStart w:id="9" w:name="OLE_LINK8"/>
      <w:r w:rsidRPr="00FD6D35">
        <w:rPr>
          <w:i/>
          <w:iCs/>
        </w:rPr>
        <w:t>Course Assurance TAS Operator</w:t>
      </w:r>
      <w:r w:rsidRPr="00FD6D35">
        <w:t xml:space="preserve">, </w:t>
      </w:r>
      <w:r w:rsidRPr="00FD6D35">
        <w:rPr>
          <w:i/>
          <w:iCs/>
        </w:rPr>
        <w:t xml:space="preserve">Second Provider </w:t>
      </w:r>
      <w:r w:rsidR="00F366C6" w:rsidRPr="00FD6D35">
        <w:t>referred to in paragraph 2.10</w:t>
      </w:r>
      <w:r w:rsidRPr="00FD6D35">
        <w:t>.1</w:t>
      </w:r>
      <w:r w:rsidR="004A7901" w:rsidRPr="00FD6D35">
        <w:t>(</w:t>
      </w:r>
      <w:r w:rsidRPr="00FD6D35">
        <w:t>b), Course Assurance Guarantor</w:t>
      </w:r>
      <w:r w:rsidR="00F366C6" w:rsidRPr="00FD6D35">
        <w:t xml:space="preserve"> (as defined in subparagraph 2.10</w:t>
      </w:r>
      <w:r w:rsidRPr="00FD6D35">
        <w:t>.1</w:t>
      </w:r>
      <w:r w:rsidR="004A7901" w:rsidRPr="00FD6D35">
        <w:t>(</w:t>
      </w:r>
      <w:r w:rsidRPr="00FD6D35">
        <w:t xml:space="preserve">c)), </w:t>
      </w:r>
      <w:r w:rsidRPr="00FD6D35">
        <w:rPr>
          <w:i/>
          <w:iCs/>
        </w:rPr>
        <w:t>Repayment TAS Operator</w:t>
      </w:r>
      <w:r w:rsidRPr="00FD6D35">
        <w:t xml:space="preserve"> </w:t>
      </w:r>
      <w:bookmarkEnd w:id="9"/>
      <w:r w:rsidRPr="00FD6D35">
        <w:t xml:space="preserve">or </w:t>
      </w:r>
      <w:r w:rsidRPr="00FD6D35">
        <w:rPr>
          <w:i/>
          <w:iCs/>
        </w:rPr>
        <w:t>Repayment Guarantor</w:t>
      </w:r>
      <w:r w:rsidRPr="00FD6D35">
        <w:t xml:space="preserve">.  </w:t>
      </w:r>
    </w:p>
    <w:p w:rsidR="00F56BC1" w:rsidRPr="00FD6D35" w:rsidRDefault="00F56BC1" w:rsidP="00F56BC1">
      <w:pPr>
        <w:tabs>
          <w:tab w:val="left" w:pos="1000"/>
        </w:tabs>
        <w:ind w:left="800"/>
        <w:rPr>
          <w:lang w:eastAsia="en-AU"/>
        </w:rPr>
      </w:pPr>
    </w:p>
    <w:p w:rsidR="00F56BC1" w:rsidRPr="00FD6D35" w:rsidRDefault="00F56BC1" w:rsidP="00F56BC1">
      <w:pPr>
        <w:tabs>
          <w:tab w:val="left" w:pos="1000"/>
        </w:tabs>
        <w:ind w:left="800"/>
      </w:pPr>
      <w:r w:rsidRPr="00FD6D35">
        <w:rPr>
          <w:b/>
          <w:bCs/>
          <w:i/>
          <w:iCs/>
        </w:rPr>
        <w:t xml:space="preserve">tuition assurance scheme </w:t>
      </w:r>
      <w:r w:rsidRPr="00FD6D35">
        <w:t>means a scheme that complies with t</w:t>
      </w:r>
      <w:r w:rsidR="00F366C6" w:rsidRPr="00FD6D35">
        <w:t>he requirements of paragraph 2.10</w:t>
      </w:r>
      <w:r w:rsidRPr="00FD6D35">
        <w:t>.1</w:t>
      </w:r>
      <w:r w:rsidR="004A7901" w:rsidRPr="00FD6D35">
        <w:t>(</w:t>
      </w:r>
      <w:r w:rsidRPr="00FD6D35">
        <w:t xml:space="preserve">a) and the main object of which is to provide tuition assurance to meet the </w:t>
      </w:r>
      <w:r w:rsidRPr="00FD6D35">
        <w:rPr>
          <w:i/>
          <w:iCs/>
        </w:rPr>
        <w:t>tuition assurance requirements</w:t>
      </w:r>
      <w:r w:rsidRPr="00FD6D35">
        <w:t xml:space="preserve"> as set out in these Guidelines for the benefit of students of the scheme members.</w:t>
      </w:r>
    </w:p>
    <w:p w:rsidR="00F56BC1" w:rsidRPr="00FD6D35" w:rsidRDefault="00F56BC1" w:rsidP="00F56BC1">
      <w:pPr>
        <w:tabs>
          <w:tab w:val="left" w:pos="1000"/>
        </w:tabs>
        <w:ind w:left="800"/>
        <w:rPr>
          <w:b/>
          <w:bCs/>
          <w:i/>
          <w:iCs/>
        </w:rPr>
      </w:pPr>
    </w:p>
    <w:p w:rsidR="00F56BC1" w:rsidRPr="00FD6D35" w:rsidRDefault="00F56BC1" w:rsidP="00F56BC1">
      <w:pPr>
        <w:tabs>
          <w:tab w:val="left" w:pos="1000"/>
        </w:tabs>
        <w:ind w:left="800"/>
      </w:pPr>
      <w:r w:rsidRPr="00FD6D35">
        <w:rPr>
          <w:b/>
          <w:bCs/>
          <w:i/>
          <w:iCs/>
        </w:rPr>
        <w:t xml:space="preserve">victimise </w:t>
      </w:r>
      <w:r w:rsidRPr="00FD6D35">
        <w:t>means to act or omit to act towards a person in a way which is intended to cause disadvantage to that person because they have made a complaint, or may make a complaint, or may be or are the subject of a complaint.</w:t>
      </w:r>
    </w:p>
    <w:p w:rsidR="00F56BC1" w:rsidRPr="00FD6D35" w:rsidRDefault="00F56BC1" w:rsidP="00F56BC1">
      <w:pPr>
        <w:rPr>
          <w:lang w:eastAsia="en-AU"/>
        </w:rPr>
      </w:pPr>
    </w:p>
    <w:p w:rsidR="00F56BC1" w:rsidRPr="00FD6D35" w:rsidRDefault="00F56BC1" w:rsidP="00F56BC1">
      <w:pPr>
        <w:pStyle w:val="Heading1"/>
        <w:rPr>
          <w:u w:val="single"/>
        </w:rPr>
      </w:pPr>
      <w:r w:rsidRPr="00FD6D35">
        <w:rPr>
          <w:b w:val="0"/>
          <w:bCs w:val="0"/>
          <w:u w:val="single"/>
        </w:rPr>
        <w:br w:type="page"/>
      </w:r>
      <w:bookmarkStart w:id="10" w:name="_Toc122231820"/>
      <w:bookmarkStart w:id="11" w:name="_Toc152752058"/>
      <w:bookmarkStart w:id="12" w:name="_Toc32227152"/>
      <w:r w:rsidRPr="00FD6D35">
        <w:rPr>
          <w:u w:val="single"/>
        </w:rPr>
        <w:lastRenderedPageBreak/>
        <w:t>CHAPTER 2</w:t>
      </w:r>
      <w:r w:rsidRPr="00FD6D35">
        <w:rPr>
          <w:u w:val="single"/>
        </w:rPr>
        <w:tab/>
        <w:t xml:space="preserve">THE </w:t>
      </w:r>
      <w:r w:rsidRPr="00FD6D35">
        <w:rPr>
          <w:i/>
          <w:iCs/>
          <w:u w:val="single"/>
        </w:rPr>
        <w:t>TUITION ASSURANCE REQUIREMENTS</w:t>
      </w:r>
      <w:bookmarkEnd w:id="10"/>
      <w:bookmarkEnd w:id="11"/>
      <w:bookmarkEnd w:id="12"/>
      <w:r w:rsidRPr="00FD6D35">
        <w:rPr>
          <w:u w:val="single"/>
        </w:rPr>
        <w:t xml:space="preserve"> </w:t>
      </w:r>
    </w:p>
    <w:p w:rsidR="00F56BC1" w:rsidRPr="00FD6D35" w:rsidRDefault="00F56BC1" w:rsidP="00F56BC1">
      <w:pPr>
        <w:ind w:left="800" w:hanging="800"/>
      </w:pPr>
    </w:p>
    <w:p w:rsidR="00F56BC1" w:rsidRPr="00FD6D35" w:rsidRDefault="00F56BC1" w:rsidP="00F56BC1">
      <w:pPr>
        <w:tabs>
          <w:tab w:val="left" w:pos="1000"/>
        </w:tabs>
        <w:ind w:left="800" w:hanging="800"/>
      </w:pPr>
      <w:r w:rsidRPr="00FD6D35">
        <w:rPr>
          <w:b/>
          <w:bCs/>
        </w:rPr>
        <w:t>2.1</w:t>
      </w:r>
      <w:r w:rsidRPr="00FD6D35">
        <w:rPr>
          <w:b/>
          <w:bCs/>
        </w:rPr>
        <w:tab/>
        <w:t>INTRODUCTION</w:t>
      </w:r>
    </w:p>
    <w:p w:rsidR="00F56BC1" w:rsidRPr="00FD6D35" w:rsidRDefault="00F56BC1" w:rsidP="00F56BC1">
      <w:pPr>
        <w:ind w:left="800" w:hanging="800"/>
      </w:pPr>
    </w:p>
    <w:p w:rsidR="00F56BC1" w:rsidRPr="00FD6D35" w:rsidRDefault="00F56BC1" w:rsidP="00F56BC1">
      <w:pPr>
        <w:ind w:left="800" w:hanging="800"/>
      </w:pPr>
      <w:r w:rsidRPr="00FD6D35">
        <w:t>2.1.1</w:t>
      </w:r>
      <w:r w:rsidRPr="00FD6D35">
        <w:tab/>
        <w:t xml:space="preserve">This Chapter 2 of the Guidelines sets out the requirements for tuition assurance for the purposes of section 16-30 of the </w:t>
      </w:r>
      <w:r w:rsidRPr="00FD6D35">
        <w:rPr>
          <w:i/>
          <w:iCs/>
        </w:rPr>
        <w:t xml:space="preserve">Act </w:t>
      </w:r>
      <w:r w:rsidRPr="00FD6D35">
        <w:t>(the "</w:t>
      </w:r>
      <w:r w:rsidRPr="00FD6D35">
        <w:rPr>
          <w:b/>
          <w:bCs/>
        </w:rPr>
        <w:t>tuition assurance requirements"</w:t>
      </w:r>
      <w:r w:rsidRPr="00FD6D35">
        <w:t>).</w:t>
      </w:r>
    </w:p>
    <w:p w:rsidR="00F56BC1" w:rsidRPr="00FD6D35" w:rsidRDefault="00F56BC1" w:rsidP="00F56BC1">
      <w:pPr>
        <w:tabs>
          <w:tab w:val="left" w:pos="1000"/>
        </w:tabs>
        <w:ind w:left="800" w:hanging="800"/>
      </w:pPr>
    </w:p>
    <w:p w:rsidR="00F56BC1" w:rsidRPr="00FD6D35" w:rsidRDefault="00F56BC1" w:rsidP="00FC1770">
      <w:pPr>
        <w:tabs>
          <w:tab w:val="left" w:pos="1000"/>
        </w:tabs>
        <w:spacing w:after="120"/>
        <w:ind w:left="800" w:hanging="800"/>
      </w:pPr>
      <w:r w:rsidRPr="00FD6D35">
        <w:t>2.1.5</w:t>
      </w:r>
      <w:r w:rsidRPr="00FD6D35">
        <w:tab/>
        <w:t xml:space="preserve">The </w:t>
      </w:r>
      <w:r w:rsidRPr="00FD6D35">
        <w:rPr>
          <w:i/>
          <w:iCs/>
        </w:rPr>
        <w:t>tuition assurance requirements</w:t>
      </w:r>
      <w:r w:rsidRPr="00FD6D35">
        <w:t xml:space="preserve"> have four parts:</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Part 1: General Requirements</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Part 2: Course Assurance Requirements;</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 xml:space="preserve">Part 3: Student Contribution or Tuition Fee Repayment Requirements (which is the </w:t>
      </w:r>
      <w:r w:rsidR="00F56BC1" w:rsidRPr="00FD6D35">
        <w:rPr>
          <w:i/>
          <w:iCs/>
        </w:rPr>
        <w:t>student contribution / tuition fee repayment option</w:t>
      </w:r>
      <w:r w:rsidR="00F56BC1" w:rsidRPr="00FD6D35">
        <w:t xml:space="preserve"> referred to in paragraphs </w:t>
      </w:r>
      <w:r w:rsidR="00C16CB1" w:rsidRPr="00FD6D35">
        <w:t>36</w:t>
      </w:r>
      <w:r w:rsidR="00C16CB1" w:rsidRPr="00FD6D35">
        <w:noBreakHyphen/>
        <w:t>24A</w:t>
      </w:r>
      <w:r w:rsidR="000D4AA1" w:rsidRPr="00FD6D35">
        <w:t>(1)</w:t>
      </w:r>
      <w:r w:rsidR="00C16CB1" w:rsidRPr="00FD6D35">
        <w:t>(e</w:t>
      </w:r>
      <w:r w:rsidR="00F56BC1" w:rsidRPr="00FD6D35">
        <w:t xml:space="preserve">) and 104-42(1)(d) of the </w:t>
      </w:r>
      <w:r w:rsidR="00F56BC1" w:rsidRPr="00FD6D35">
        <w:rPr>
          <w:i/>
          <w:iCs/>
        </w:rPr>
        <w:t>Act</w:t>
      </w:r>
      <w:r w:rsidR="00F56BC1" w:rsidRPr="00FD6D35">
        <w:t xml:space="preserve">); and  </w:t>
      </w:r>
    </w:p>
    <w:p w:rsidR="00F56BC1" w:rsidRPr="00FD6D35" w:rsidRDefault="006D5459" w:rsidP="006D5459">
      <w:pPr>
        <w:keepLines w:val="0"/>
        <w:ind w:left="1300" w:hanging="360"/>
      </w:pPr>
      <w:r w:rsidRPr="00FD6D35">
        <w:rPr>
          <w:rFonts w:ascii="Symbol" w:hAnsi="Symbol" w:cs="Symbol"/>
        </w:rPr>
        <w:t></w:t>
      </w:r>
      <w:r w:rsidRPr="00FD6D35">
        <w:rPr>
          <w:rFonts w:ascii="Symbol" w:hAnsi="Symbol" w:cs="Symbol"/>
        </w:rPr>
        <w:tab/>
      </w:r>
      <w:r w:rsidR="00F56BC1" w:rsidRPr="00FD6D35">
        <w:t>Part 4: Administrative and Other Requirements.</w:t>
      </w:r>
    </w:p>
    <w:p w:rsidR="00F56BC1" w:rsidRPr="00FD6D35" w:rsidRDefault="00F56BC1" w:rsidP="00F56BC1">
      <w:pPr>
        <w:tabs>
          <w:tab w:val="left" w:pos="1000"/>
        </w:tabs>
        <w:ind w:left="360"/>
      </w:pPr>
    </w:p>
    <w:p w:rsidR="00F56BC1" w:rsidRPr="00FD6D35" w:rsidRDefault="00F56BC1" w:rsidP="00F56BC1">
      <w:pPr>
        <w:tabs>
          <w:tab w:val="left" w:pos="1000"/>
        </w:tabs>
        <w:ind w:left="800" w:hanging="800"/>
      </w:pPr>
      <w:r w:rsidRPr="00FD6D35">
        <w:t>2.1.10</w:t>
      </w:r>
      <w:r w:rsidRPr="00FD6D35">
        <w:tab/>
        <w:t xml:space="preserve">A higher education provider, other than a Table A provider or an </w:t>
      </w:r>
      <w:r w:rsidRPr="00FD6D35">
        <w:rPr>
          <w:i/>
          <w:iCs/>
        </w:rPr>
        <w:t>Exempt Provider</w:t>
      </w:r>
      <w:r w:rsidRPr="00FD6D35">
        <w:t>, (the “</w:t>
      </w:r>
      <w:r w:rsidRPr="00FD6D35">
        <w:rPr>
          <w:b/>
          <w:bCs/>
        </w:rPr>
        <w:t>First Provider</w:t>
      </w:r>
      <w:r w:rsidRPr="00FD6D35">
        <w:t xml:space="preserve">”) must satisfy the </w:t>
      </w:r>
      <w:r w:rsidR="00BE1312" w:rsidRPr="00FD6D35">
        <w:t xml:space="preserve">Secretary </w:t>
      </w:r>
      <w:r w:rsidRPr="00FD6D35">
        <w:t xml:space="preserve">that it complies with all four parts of the </w:t>
      </w:r>
      <w:r w:rsidRPr="00FD6D35">
        <w:rPr>
          <w:i/>
          <w:iCs/>
        </w:rPr>
        <w:t>tuition assurance requirements</w:t>
      </w:r>
      <w:r w:rsidRPr="00FD6D35">
        <w:t>.</w:t>
      </w:r>
    </w:p>
    <w:p w:rsidR="00F56BC1" w:rsidRPr="00FD6D35" w:rsidRDefault="00F56BC1" w:rsidP="00F56BC1">
      <w:pPr>
        <w:tabs>
          <w:tab w:val="left" w:pos="1000"/>
        </w:tabs>
        <w:ind w:left="800" w:hanging="800"/>
      </w:pPr>
    </w:p>
    <w:p w:rsidR="00FD64B9" w:rsidRPr="00FD6D35" w:rsidRDefault="00F56BC1" w:rsidP="00FC1770">
      <w:pPr>
        <w:tabs>
          <w:tab w:val="left" w:pos="1000"/>
        </w:tabs>
        <w:spacing w:after="120"/>
        <w:ind w:left="800" w:hanging="800"/>
      </w:pPr>
      <w:r w:rsidRPr="00FD6D35">
        <w:t>2.1.15</w:t>
      </w:r>
      <w:r w:rsidRPr="00FD6D35">
        <w:tab/>
        <w:t xml:space="preserve">A </w:t>
      </w:r>
      <w:r w:rsidRPr="00FD6D35">
        <w:rPr>
          <w:i/>
          <w:iCs/>
        </w:rPr>
        <w:t>First Provider</w:t>
      </w:r>
      <w:r w:rsidRPr="00FD6D35">
        <w:t xml:space="preserve"> that is a registered provider is not required to comply with the </w:t>
      </w:r>
      <w:r w:rsidRPr="00FD6D35">
        <w:rPr>
          <w:i/>
          <w:iCs/>
        </w:rPr>
        <w:t>tuition assurance requirements</w:t>
      </w:r>
      <w:r w:rsidRPr="00FD6D35">
        <w:t xml:space="preserve"> in respect of overseas students enrolled in a course with the </w:t>
      </w:r>
      <w:r w:rsidRPr="00FD6D35">
        <w:rPr>
          <w:i/>
          <w:iCs/>
        </w:rPr>
        <w:t>First Provider</w:t>
      </w:r>
      <w:r w:rsidR="0008581A" w:rsidRPr="00FD6D35">
        <w:t>.  F</w:t>
      </w:r>
      <w:r w:rsidR="00FD2B06" w:rsidRPr="00FD6D35">
        <w:t xml:space="preserve">or the purposes </w:t>
      </w:r>
      <w:r w:rsidRPr="00FD6D35">
        <w:t>of this paragraph, the terms:</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course;</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overseas student; and</w:t>
      </w:r>
    </w:p>
    <w:p w:rsidR="00F56BC1" w:rsidRPr="00FD6D35" w:rsidRDefault="006D5459" w:rsidP="006D5459">
      <w:pPr>
        <w:keepLines w:val="0"/>
        <w:spacing w:after="120"/>
        <w:ind w:left="1300" w:hanging="360"/>
      </w:pPr>
      <w:r w:rsidRPr="00FD6D35">
        <w:rPr>
          <w:rFonts w:ascii="Symbol" w:hAnsi="Symbol" w:cs="Symbol"/>
        </w:rPr>
        <w:t></w:t>
      </w:r>
      <w:r w:rsidRPr="00FD6D35">
        <w:rPr>
          <w:rFonts w:ascii="Symbol" w:hAnsi="Symbol" w:cs="Symbol"/>
        </w:rPr>
        <w:tab/>
      </w:r>
      <w:r w:rsidR="00F56BC1" w:rsidRPr="00FD6D35">
        <w:t>registered provider;</w:t>
      </w:r>
    </w:p>
    <w:p w:rsidR="00F56BC1" w:rsidRPr="00FD6D35" w:rsidRDefault="00F56BC1" w:rsidP="00FC1770">
      <w:pPr>
        <w:spacing w:after="120"/>
        <w:ind w:left="800"/>
      </w:pPr>
      <w:r w:rsidRPr="00FD6D35">
        <w:t xml:space="preserve">have the meanings given to them in the </w:t>
      </w:r>
      <w:r w:rsidRPr="00FD6D35">
        <w:rPr>
          <w:i/>
          <w:iCs/>
        </w:rPr>
        <w:t>Education Services for Overseas Student Act 2000</w:t>
      </w:r>
      <w:r w:rsidRPr="00FD6D35">
        <w:t>.</w:t>
      </w:r>
    </w:p>
    <w:p w:rsidR="00F56BC1" w:rsidRPr="00FD6D35" w:rsidRDefault="00F56BC1" w:rsidP="00F56BC1">
      <w:pPr>
        <w:tabs>
          <w:tab w:val="left" w:pos="1000"/>
        </w:tabs>
        <w:ind w:left="800" w:hanging="800"/>
      </w:pPr>
    </w:p>
    <w:p w:rsidR="00F56BC1" w:rsidRPr="00FD6D35" w:rsidRDefault="00F56BC1" w:rsidP="00F56BC1">
      <w:pPr>
        <w:tabs>
          <w:tab w:val="left" w:pos="1000"/>
        </w:tabs>
        <w:ind w:left="800" w:hanging="800"/>
      </w:pPr>
      <w:r w:rsidRPr="00FD6D35">
        <w:t>2.1.20</w:t>
      </w:r>
      <w:r w:rsidRPr="00FD6D35">
        <w:tab/>
        <w:t xml:space="preserve">If a </w:t>
      </w:r>
      <w:r w:rsidRPr="00FD6D35">
        <w:rPr>
          <w:i/>
          <w:iCs/>
        </w:rPr>
        <w:t>First Provider</w:t>
      </w:r>
      <w:r w:rsidRPr="00FD6D35">
        <w:t xml:space="preserve"> ceases to provide a course of study, a person who is currently enrolled in that course of study may choose to access either the arrangements described in Part 2 (Course Assurance) or those described in Part 3 (Student Contribution or Tuition Fee Repayments).  If a person chooses to access Part 2 (Course Assurance), the person may access Part 3 (Student Contribution or Tuition Fee Repayments) in respect of </w:t>
      </w:r>
      <w:r w:rsidRPr="00FD6D35">
        <w:rPr>
          <w:i/>
          <w:iCs/>
        </w:rPr>
        <w:t>replaced unit</w:t>
      </w:r>
      <w:r w:rsidRPr="00FD6D35">
        <w:t>s, but only under the circum</w:t>
      </w:r>
      <w:r w:rsidR="00F366C6" w:rsidRPr="00FD6D35">
        <w:t>stances described in section 2.15</w:t>
      </w:r>
      <w:r w:rsidRPr="00FD6D35">
        <w:t>, Part 3.2, below.</w:t>
      </w:r>
    </w:p>
    <w:p w:rsidR="00F56BC1" w:rsidRPr="00FD6D35" w:rsidRDefault="00F56BC1" w:rsidP="00F56BC1">
      <w:pPr>
        <w:tabs>
          <w:tab w:val="left" w:pos="1000"/>
        </w:tabs>
        <w:ind w:left="800" w:hanging="800"/>
      </w:pPr>
    </w:p>
    <w:p w:rsidR="00F56BC1" w:rsidRPr="00FD6D35" w:rsidRDefault="00F56BC1" w:rsidP="00F56BC1">
      <w:pPr>
        <w:tabs>
          <w:tab w:val="left" w:pos="1000"/>
        </w:tabs>
        <w:ind w:left="800" w:hanging="800"/>
        <w:rPr>
          <w:i/>
          <w:iCs/>
        </w:rPr>
      </w:pPr>
      <w:r w:rsidRPr="00FD6D35">
        <w:rPr>
          <w:i/>
          <w:iCs/>
        </w:rPr>
        <w:t>Meaning of “ceases to provide a course of study”</w:t>
      </w:r>
    </w:p>
    <w:p w:rsidR="00F56BC1" w:rsidRPr="00FD6D35" w:rsidRDefault="00F56BC1" w:rsidP="00F56BC1">
      <w:pPr>
        <w:tabs>
          <w:tab w:val="left" w:pos="1000"/>
        </w:tabs>
        <w:ind w:left="800" w:hanging="800"/>
      </w:pPr>
    </w:p>
    <w:p w:rsidR="00F56BC1" w:rsidRPr="00FD6D35" w:rsidRDefault="00F56BC1" w:rsidP="00FC1770">
      <w:pPr>
        <w:tabs>
          <w:tab w:val="left" w:pos="1000"/>
        </w:tabs>
        <w:spacing w:after="120"/>
        <w:ind w:left="799" w:hanging="799"/>
        <w:rPr>
          <w:i/>
          <w:iCs/>
        </w:rPr>
      </w:pPr>
      <w:r w:rsidRPr="00FD6D35">
        <w:t>2.1.25</w:t>
      </w:r>
      <w:r w:rsidRPr="00FD6D35">
        <w:tab/>
        <w:t xml:space="preserve">For the purposes of this Chapter 2 of the Guidelines, a </w:t>
      </w:r>
      <w:r w:rsidRPr="00FD6D35">
        <w:rPr>
          <w:i/>
          <w:iCs/>
        </w:rPr>
        <w:t>First Provider</w:t>
      </w:r>
      <w:r w:rsidRPr="00FD6D35">
        <w:t xml:space="preserve"> "</w:t>
      </w:r>
      <w:r w:rsidRPr="00FD6D35">
        <w:rPr>
          <w:b/>
          <w:bCs/>
        </w:rPr>
        <w:t>ceases to provide a course of study</w:t>
      </w:r>
      <w:r w:rsidRPr="00FD6D35">
        <w:t>” if:</w:t>
      </w:r>
    </w:p>
    <w:p w:rsidR="00F56BC1" w:rsidRPr="00FD6D35" w:rsidRDefault="006D5459" w:rsidP="006D5459">
      <w:pPr>
        <w:keepLines w:val="0"/>
        <w:tabs>
          <w:tab w:val="left" w:pos="1160"/>
        </w:tabs>
        <w:spacing w:after="120"/>
        <w:ind w:left="1160" w:hanging="360"/>
      </w:pPr>
      <w:r w:rsidRPr="00FD6D35">
        <w:t>(a)</w:t>
      </w:r>
      <w:r w:rsidRPr="00FD6D35">
        <w:tab/>
      </w:r>
      <w:r w:rsidR="00F56BC1" w:rsidRPr="00FD6D35">
        <w:t xml:space="preserve">the course does not start on: </w:t>
      </w:r>
    </w:p>
    <w:p w:rsidR="00F56BC1" w:rsidRPr="00FD6D35" w:rsidRDefault="00F56BC1" w:rsidP="00F56BC1">
      <w:pPr>
        <w:spacing w:after="120"/>
        <w:ind w:left="1500" w:hanging="340"/>
      </w:pPr>
      <w:r w:rsidRPr="00FD6D35">
        <w:t>(i)</w:t>
      </w:r>
      <w:r w:rsidRPr="00FD6D35">
        <w:tab/>
        <w:t>the date the course was scheduled to start; or</w:t>
      </w:r>
    </w:p>
    <w:p w:rsidR="00F56BC1" w:rsidRPr="00FD6D35" w:rsidRDefault="00F56BC1" w:rsidP="00F56BC1">
      <w:pPr>
        <w:spacing w:after="120"/>
        <w:ind w:left="1500" w:hanging="340"/>
      </w:pPr>
      <w:r w:rsidRPr="00FD6D35">
        <w:t>(ii)</w:t>
      </w:r>
      <w:r w:rsidRPr="00FD6D35">
        <w:tab/>
        <w:t xml:space="preserve">a later date that has been agreed between the </w:t>
      </w:r>
      <w:r w:rsidRPr="00FD6D35">
        <w:rPr>
          <w:i/>
          <w:iCs/>
        </w:rPr>
        <w:t>First Provider</w:t>
      </w:r>
      <w:r w:rsidRPr="00FD6D35">
        <w:t xml:space="preserve"> and the person enrolled in the course; or</w:t>
      </w:r>
    </w:p>
    <w:p w:rsidR="00F56BC1" w:rsidRPr="00FD6D35" w:rsidRDefault="006D5459" w:rsidP="006D5459">
      <w:pPr>
        <w:keepLines w:val="0"/>
        <w:tabs>
          <w:tab w:val="left" w:pos="1160"/>
        </w:tabs>
        <w:spacing w:after="120"/>
        <w:ind w:left="1160" w:hanging="360"/>
      </w:pPr>
      <w:r w:rsidRPr="00FD6D35">
        <w:t>(b)</w:t>
      </w:r>
      <w:r w:rsidRPr="00FD6D35">
        <w:tab/>
      </w:r>
      <w:r w:rsidR="00F56BC1" w:rsidRPr="00FD6D35">
        <w:t xml:space="preserve">the </w:t>
      </w:r>
      <w:r w:rsidR="00F56BC1" w:rsidRPr="00FD6D35">
        <w:rPr>
          <w:i/>
          <w:iCs/>
        </w:rPr>
        <w:t>First Provider</w:t>
      </w:r>
      <w:r w:rsidR="00F56BC1" w:rsidRPr="00FD6D35">
        <w:t xml:space="preserve"> commences providing the course to a person and then, before the person has completed the course, ceases to provide that course (for any reason); or</w:t>
      </w:r>
    </w:p>
    <w:p w:rsidR="00F56BC1" w:rsidRPr="00FD6D35" w:rsidRDefault="006D5459" w:rsidP="006D5459">
      <w:pPr>
        <w:keepLines w:val="0"/>
        <w:tabs>
          <w:tab w:val="left" w:pos="1160"/>
        </w:tabs>
        <w:spacing w:after="120"/>
        <w:ind w:left="1160" w:hanging="360"/>
      </w:pPr>
      <w:r w:rsidRPr="00FD6D35">
        <w:t>(c)</w:t>
      </w:r>
      <w:r w:rsidRPr="00FD6D35">
        <w:tab/>
      </w:r>
      <w:r w:rsidR="00F56BC1" w:rsidRPr="00FD6D35">
        <w:t xml:space="preserve">the Minister has suspended or revoked approval of the </w:t>
      </w:r>
      <w:r w:rsidR="00F56BC1" w:rsidRPr="00FD6D35">
        <w:rPr>
          <w:i/>
          <w:iCs/>
        </w:rPr>
        <w:t>First Provider</w:t>
      </w:r>
      <w:r w:rsidR="00F56BC1" w:rsidRPr="00FD6D35">
        <w:t xml:space="preserve"> as a higher education provider under the </w:t>
      </w:r>
      <w:r w:rsidR="00F56BC1" w:rsidRPr="00FD6D35">
        <w:rPr>
          <w:i/>
          <w:iCs/>
        </w:rPr>
        <w:t>Act</w:t>
      </w:r>
      <w:r w:rsidR="00F56BC1" w:rsidRPr="00FD6D35">
        <w:t xml:space="preserve"> and has not made a determination pursuant to paragraph 22-25(1)(b) of the </w:t>
      </w:r>
      <w:r w:rsidR="00F56BC1" w:rsidRPr="00FD6D35">
        <w:rPr>
          <w:i/>
          <w:iCs/>
        </w:rPr>
        <w:t>Act</w:t>
      </w:r>
      <w:r w:rsidR="00F56BC1" w:rsidRPr="00FD6D35">
        <w:t xml:space="preserve"> in respect of that course; or</w:t>
      </w:r>
    </w:p>
    <w:p w:rsidR="00F56BC1" w:rsidRPr="00FD6D35" w:rsidRDefault="006D5459" w:rsidP="006D5459">
      <w:pPr>
        <w:keepLines w:val="0"/>
        <w:tabs>
          <w:tab w:val="left" w:pos="1160"/>
        </w:tabs>
        <w:spacing w:after="120"/>
        <w:ind w:left="1160" w:hanging="360"/>
      </w:pPr>
      <w:r w:rsidRPr="00FD6D35">
        <w:lastRenderedPageBreak/>
        <w:t>(d)</w:t>
      </w:r>
      <w:r w:rsidRPr="00FD6D35">
        <w:tab/>
      </w:r>
      <w:r w:rsidR="00F56BC1" w:rsidRPr="00FD6D35">
        <w:t xml:space="preserve">notice is served on the </w:t>
      </w:r>
      <w:r w:rsidR="00F56BC1" w:rsidRPr="00FD6D35">
        <w:rPr>
          <w:i/>
          <w:iCs/>
        </w:rPr>
        <w:t>First Provider</w:t>
      </w:r>
      <w:r w:rsidR="00F56BC1" w:rsidRPr="00FD6D35">
        <w:t xml:space="preserve"> or proceedings are taken to cancel the </w:t>
      </w:r>
      <w:r w:rsidR="00F56BC1" w:rsidRPr="00FD6D35">
        <w:rPr>
          <w:i/>
          <w:iCs/>
        </w:rPr>
        <w:t>First Provider’s</w:t>
      </w:r>
      <w:r w:rsidR="00F56BC1" w:rsidRPr="00FD6D35">
        <w:t xml:space="preserve"> incorporation or registration or to dissolve the </w:t>
      </w:r>
      <w:r w:rsidR="00F56BC1" w:rsidRPr="00FD6D35">
        <w:rPr>
          <w:i/>
          <w:iCs/>
        </w:rPr>
        <w:t>First Provider</w:t>
      </w:r>
      <w:r w:rsidR="00F56BC1" w:rsidRPr="00FD6D35">
        <w:t xml:space="preserve"> as a legal entity; or</w:t>
      </w:r>
    </w:p>
    <w:p w:rsidR="00F56BC1" w:rsidRPr="00FD6D35" w:rsidRDefault="006D5459" w:rsidP="006D5459">
      <w:pPr>
        <w:keepLines w:val="0"/>
        <w:tabs>
          <w:tab w:val="left" w:pos="1160"/>
        </w:tabs>
        <w:spacing w:after="120"/>
        <w:ind w:left="1160" w:hanging="360"/>
      </w:pPr>
      <w:r w:rsidRPr="00FD6D35">
        <w:t>(e)</w:t>
      </w:r>
      <w:r w:rsidRPr="00FD6D35">
        <w:tab/>
      </w:r>
      <w:r w:rsidR="00F56BC1" w:rsidRPr="00FD6D35">
        <w:t xml:space="preserve">the </w:t>
      </w:r>
      <w:r w:rsidR="00F56BC1" w:rsidRPr="00FD6D35">
        <w:rPr>
          <w:i/>
          <w:iCs/>
        </w:rPr>
        <w:t>First Provider</w:t>
      </w:r>
      <w:r w:rsidR="00F56BC1" w:rsidRPr="00FD6D35">
        <w:t xml:space="preserve"> comes under one of the forms of external administration referred to in Chapter 5 of the </w:t>
      </w:r>
      <w:r w:rsidR="00F56BC1" w:rsidRPr="00FD6D35">
        <w:rPr>
          <w:i/>
          <w:iCs/>
        </w:rPr>
        <w:t>Corporations Act 2001</w:t>
      </w:r>
      <w:r w:rsidR="00F56BC1" w:rsidRPr="00FD6D35">
        <w:t xml:space="preserve"> or equivalent provisions in other legislation, or an order has been made to place the </w:t>
      </w:r>
      <w:r w:rsidR="00F56BC1" w:rsidRPr="00FD6D35">
        <w:rPr>
          <w:i/>
          <w:iCs/>
        </w:rPr>
        <w:t>First Provider</w:t>
      </w:r>
      <w:r w:rsidR="00F56BC1" w:rsidRPr="00FD6D35">
        <w:t xml:space="preserve"> under external administration; or</w:t>
      </w:r>
    </w:p>
    <w:p w:rsidR="00F56BC1" w:rsidRPr="00FD6D35" w:rsidRDefault="006D5459" w:rsidP="006D5459">
      <w:pPr>
        <w:keepLines w:val="0"/>
        <w:tabs>
          <w:tab w:val="left" w:pos="1160"/>
        </w:tabs>
        <w:spacing w:after="120"/>
        <w:ind w:left="1160" w:hanging="360"/>
      </w:pPr>
      <w:r w:rsidRPr="00FD6D35">
        <w:t>(f)</w:t>
      </w:r>
      <w:r w:rsidRPr="00FD6D35">
        <w:tab/>
      </w:r>
      <w:r w:rsidR="00F56BC1" w:rsidRPr="00FD6D35">
        <w:t xml:space="preserve">in the case of a non self-accrediting institution, the </w:t>
      </w:r>
      <w:r w:rsidR="00F56BC1" w:rsidRPr="00FD6D35">
        <w:rPr>
          <w:i/>
          <w:iCs/>
        </w:rPr>
        <w:t>First Provider</w:t>
      </w:r>
      <w:r w:rsidR="00F56BC1" w:rsidRPr="00FD6D35">
        <w:t xml:space="preserve"> ceases to </w:t>
      </w:r>
      <w:r w:rsidR="00142D9A" w:rsidRPr="00FD6D35">
        <w:t xml:space="preserve">be a </w:t>
      </w:r>
      <w:r w:rsidR="00142D9A" w:rsidRPr="00FD6D35">
        <w:rPr>
          <w:i/>
        </w:rPr>
        <w:t>registered higher education provider</w:t>
      </w:r>
      <w:r w:rsidR="00F56BC1" w:rsidRPr="00FD6D35">
        <w:t xml:space="preserve"> </w:t>
      </w:r>
      <w:r w:rsidR="00364B5C" w:rsidRPr="00FD6D35">
        <w:t xml:space="preserve">authorised </w:t>
      </w:r>
      <w:r w:rsidR="00142D9A" w:rsidRPr="00FD6D35">
        <w:t xml:space="preserve">by or under the </w:t>
      </w:r>
      <w:r w:rsidR="00142D9A" w:rsidRPr="00FD6D35">
        <w:rPr>
          <w:i/>
        </w:rPr>
        <w:t>TEQSA Act</w:t>
      </w:r>
      <w:r w:rsidR="00142D9A" w:rsidRPr="00FD6D35">
        <w:t xml:space="preserve"> </w:t>
      </w:r>
      <w:r w:rsidR="00F56BC1" w:rsidRPr="00FD6D35">
        <w:t>to issue one or more higher education awards; or</w:t>
      </w:r>
    </w:p>
    <w:p w:rsidR="00F56BC1" w:rsidRPr="00FD6D35" w:rsidRDefault="006D5459" w:rsidP="006D5459">
      <w:pPr>
        <w:keepLines w:val="0"/>
        <w:tabs>
          <w:tab w:val="left" w:pos="1160"/>
        </w:tabs>
        <w:spacing w:after="120"/>
        <w:ind w:left="1160" w:hanging="360"/>
      </w:pPr>
      <w:r w:rsidRPr="00FD6D35">
        <w:t>(g)</w:t>
      </w:r>
      <w:r w:rsidRPr="00FD6D35">
        <w:tab/>
      </w:r>
      <w:r w:rsidR="00F56BC1" w:rsidRPr="00FD6D35">
        <w:t xml:space="preserve">in the case of a self-accrediting institution, the </w:t>
      </w:r>
      <w:r w:rsidR="00F56BC1" w:rsidRPr="00FD6D35">
        <w:rPr>
          <w:i/>
          <w:iCs/>
        </w:rPr>
        <w:t>First Provider</w:t>
      </w:r>
      <w:r w:rsidR="00F56BC1" w:rsidRPr="00FD6D35">
        <w:t xml:space="preserve"> ceases to </w:t>
      </w:r>
      <w:r w:rsidR="00142D9A" w:rsidRPr="00FD6D35">
        <w:t xml:space="preserve">be a </w:t>
      </w:r>
      <w:r w:rsidR="00142D9A" w:rsidRPr="00FD6D35">
        <w:rPr>
          <w:i/>
        </w:rPr>
        <w:t>registered higher education provider</w:t>
      </w:r>
      <w:r w:rsidR="00142D9A" w:rsidRPr="00FD6D35">
        <w:t xml:space="preserve">  authorised by or under the </w:t>
      </w:r>
      <w:r w:rsidR="00142D9A" w:rsidRPr="00FD6D35">
        <w:rPr>
          <w:i/>
        </w:rPr>
        <w:t>TEQSA Act</w:t>
      </w:r>
      <w:r w:rsidR="00142D9A" w:rsidRPr="00FD6D35">
        <w:t xml:space="preserve"> to self-accredit one or more courses of study that lead to a higher education award;</w:t>
      </w:r>
      <w:r w:rsidR="003751E9" w:rsidRPr="00FD6D35">
        <w:t xml:space="preserve"> </w:t>
      </w:r>
      <w:r w:rsidR="00F56BC1" w:rsidRPr="00FD6D35">
        <w:t>or</w:t>
      </w:r>
    </w:p>
    <w:p w:rsidR="00F56BC1" w:rsidRPr="00FD6D35" w:rsidRDefault="006D5459" w:rsidP="006D5459">
      <w:pPr>
        <w:keepLines w:val="0"/>
        <w:tabs>
          <w:tab w:val="left" w:pos="1160"/>
        </w:tabs>
        <w:ind w:left="1156" w:hanging="357"/>
      </w:pPr>
      <w:r w:rsidRPr="00FD6D35">
        <w:t>(h)</w:t>
      </w:r>
      <w:r w:rsidRPr="00FD6D35">
        <w:tab/>
      </w:r>
      <w:r w:rsidR="00F56BC1" w:rsidRPr="00FD6D35">
        <w:t>the Secretary makes a de</w:t>
      </w:r>
      <w:r w:rsidR="00885B45" w:rsidRPr="00FD6D35">
        <w:t>claration under paragraph 2.1.35</w:t>
      </w:r>
      <w:r w:rsidR="003751E9" w:rsidRPr="00FD6D35">
        <w:t>(</w:t>
      </w:r>
      <w:r w:rsidR="00F56BC1" w:rsidRPr="00FD6D35">
        <w:t xml:space="preserve">b) that the </w:t>
      </w:r>
      <w:r w:rsidR="00F56BC1" w:rsidRPr="00FD6D35">
        <w:rPr>
          <w:i/>
          <w:iCs/>
        </w:rPr>
        <w:t>First Provider</w:t>
      </w:r>
      <w:r w:rsidR="00F56BC1" w:rsidRPr="00FD6D35">
        <w:t xml:space="preserve"> has ceased to provide the course.</w:t>
      </w:r>
    </w:p>
    <w:p w:rsidR="00FC1770" w:rsidRPr="00FD6D35" w:rsidRDefault="00FC1770" w:rsidP="00FC1770">
      <w:pPr>
        <w:keepLines w:val="0"/>
        <w:ind w:left="1156"/>
      </w:pPr>
    </w:p>
    <w:p w:rsidR="00F56BC1" w:rsidRPr="00FD6D35" w:rsidRDefault="00F56BC1" w:rsidP="00F56BC1">
      <w:pPr>
        <w:tabs>
          <w:tab w:val="left" w:pos="1000"/>
        </w:tabs>
        <w:ind w:left="800" w:hanging="800"/>
        <w:rPr>
          <w:i/>
          <w:iCs/>
        </w:rPr>
      </w:pPr>
      <w:r w:rsidRPr="00FD6D35">
        <w:rPr>
          <w:i/>
          <w:iCs/>
        </w:rPr>
        <w:t>Other circumstances that may amount to ceasing to provide a course of study</w:t>
      </w:r>
    </w:p>
    <w:p w:rsidR="00F56BC1" w:rsidRPr="00FD6D35" w:rsidRDefault="00F56BC1" w:rsidP="00F56BC1">
      <w:pPr>
        <w:tabs>
          <w:tab w:val="left" w:pos="1000"/>
        </w:tabs>
        <w:ind w:left="800" w:hanging="800"/>
      </w:pPr>
    </w:p>
    <w:p w:rsidR="00F56BC1" w:rsidRPr="00FD6D35" w:rsidRDefault="00F56BC1" w:rsidP="00FC1770">
      <w:pPr>
        <w:tabs>
          <w:tab w:val="left" w:pos="1000"/>
        </w:tabs>
        <w:spacing w:after="120"/>
        <w:ind w:left="799" w:hanging="799"/>
        <w:rPr>
          <w:i/>
          <w:iCs/>
        </w:rPr>
      </w:pPr>
      <w:r w:rsidRPr="00FD6D35">
        <w:t>2.1.30</w:t>
      </w:r>
      <w:r w:rsidRPr="00FD6D35">
        <w:tab/>
        <w:t>If:</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 xml:space="preserve">a </w:t>
      </w:r>
      <w:r w:rsidR="00F56BC1" w:rsidRPr="00FD6D35">
        <w:rPr>
          <w:i/>
          <w:iCs/>
        </w:rPr>
        <w:t>First Provider</w:t>
      </w:r>
      <w:r w:rsidR="00F56BC1" w:rsidRPr="00FD6D35">
        <w:t xml:space="preserve"> fails to comply with a statutory demand within the meaning of section 459F of the </w:t>
      </w:r>
      <w:r w:rsidR="00F56BC1" w:rsidRPr="00FD6D35">
        <w:rPr>
          <w:i/>
          <w:iCs/>
        </w:rPr>
        <w:t>Corporations Act 2001</w:t>
      </w:r>
      <w:r w:rsidR="00F56BC1" w:rsidRPr="00FD6D35">
        <w:t>; or</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 xml:space="preserve">a </w:t>
      </w:r>
      <w:r w:rsidR="00F56BC1" w:rsidRPr="00FD6D35">
        <w:rPr>
          <w:i/>
          <w:iCs/>
        </w:rPr>
        <w:t>First Provider</w:t>
      </w:r>
      <w:r w:rsidR="00F56BC1" w:rsidRPr="00FD6D35">
        <w:t xml:space="preserve"> is unable to pay all of its debts when they become due; or</w:t>
      </w:r>
    </w:p>
    <w:p w:rsidR="00F56BC1" w:rsidRPr="00FD6D35" w:rsidRDefault="006D5459" w:rsidP="006D5459">
      <w:pPr>
        <w:keepLines w:val="0"/>
        <w:tabs>
          <w:tab w:val="left" w:pos="1159"/>
        </w:tabs>
        <w:spacing w:after="120"/>
        <w:ind w:left="1159" w:hanging="360"/>
      </w:pPr>
      <w:r w:rsidRPr="00FD6D35">
        <w:t>(c)</w:t>
      </w:r>
      <w:r w:rsidRPr="00FD6D35">
        <w:tab/>
      </w:r>
      <w:r w:rsidR="00F56BC1" w:rsidRPr="00FD6D35">
        <w:t xml:space="preserve">proceedings are initiated to obtain an order for a </w:t>
      </w:r>
      <w:r w:rsidR="00F56BC1" w:rsidRPr="00FD6D35">
        <w:rPr>
          <w:i/>
          <w:iCs/>
        </w:rPr>
        <w:t>First Provider’s</w:t>
      </w:r>
      <w:r w:rsidR="00F56BC1" w:rsidRPr="00FD6D35">
        <w:t xml:space="preserve"> winding up or any shareholder, member or director convenes a meeting to consider a resolution for the winding up of the </w:t>
      </w:r>
      <w:r w:rsidR="00F56BC1" w:rsidRPr="00FD6D35">
        <w:rPr>
          <w:i/>
          <w:iCs/>
        </w:rPr>
        <w:t>First Provider</w:t>
      </w:r>
    </w:p>
    <w:p w:rsidR="00F56BC1" w:rsidRPr="00FD6D35" w:rsidRDefault="00F56BC1" w:rsidP="00FC1770">
      <w:pPr>
        <w:ind w:left="799"/>
      </w:pPr>
      <w:r w:rsidRPr="00FD6D35">
        <w:t xml:space="preserve">then the </w:t>
      </w:r>
      <w:r w:rsidRPr="00FD6D35">
        <w:rPr>
          <w:i/>
          <w:iCs/>
        </w:rPr>
        <w:t>First Provider</w:t>
      </w:r>
      <w:r w:rsidRPr="00FD6D35">
        <w:t xml:space="preserve"> must immediately notify the </w:t>
      </w:r>
      <w:r w:rsidRPr="00FD6D35">
        <w:rPr>
          <w:i/>
          <w:iCs/>
        </w:rPr>
        <w:t>First Provider’s</w:t>
      </w:r>
      <w:r w:rsidRPr="00FD6D35">
        <w:t xml:space="preserve"> </w:t>
      </w:r>
      <w:r w:rsidRPr="00FD6D35">
        <w:rPr>
          <w:i/>
          <w:iCs/>
        </w:rPr>
        <w:t xml:space="preserve">tuition assurance administrators </w:t>
      </w:r>
      <w:r w:rsidRPr="00FD6D35">
        <w:t xml:space="preserve">and the </w:t>
      </w:r>
      <w:r w:rsidR="00BE1312" w:rsidRPr="00FD6D35">
        <w:rPr>
          <w:iCs/>
        </w:rPr>
        <w:t>Secretary</w:t>
      </w:r>
      <w:r w:rsidR="00BE1312" w:rsidRPr="00FD6D35">
        <w:rPr>
          <w:i/>
          <w:iCs/>
        </w:rPr>
        <w:t xml:space="preserve"> </w:t>
      </w:r>
      <w:r w:rsidRPr="00FD6D35">
        <w:t>to that effect.</w:t>
      </w:r>
    </w:p>
    <w:p w:rsidR="00FC1770" w:rsidRPr="00FD6D35" w:rsidRDefault="00FC1770" w:rsidP="00F56BC1">
      <w:pPr>
        <w:spacing w:after="120"/>
        <w:ind w:left="799"/>
      </w:pPr>
    </w:p>
    <w:p w:rsidR="00F56BC1" w:rsidRPr="00FD6D35" w:rsidRDefault="00FD2B06" w:rsidP="00FC1770">
      <w:pPr>
        <w:tabs>
          <w:tab w:val="left" w:pos="1000"/>
        </w:tabs>
        <w:spacing w:after="120"/>
        <w:ind w:left="799" w:hanging="799"/>
      </w:pPr>
      <w:r w:rsidRPr="00FD6D35">
        <w:t>2.1.35</w:t>
      </w:r>
      <w:r w:rsidR="00F56BC1" w:rsidRPr="00FD6D35">
        <w:tab/>
        <w:t xml:space="preserve">If the </w:t>
      </w:r>
      <w:r w:rsidR="00BE1312" w:rsidRPr="00FD6D35">
        <w:rPr>
          <w:iCs/>
        </w:rPr>
        <w:t>Secretary</w:t>
      </w:r>
      <w:r w:rsidR="00BA3D32" w:rsidRPr="00FD6D35">
        <w:rPr>
          <w:i/>
          <w:iCs/>
        </w:rPr>
        <w:t xml:space="preserve"> </w:t>
      </w:r>
      <w:r w:rsidR="00F56BC1" w:rsidRPr="00FD6D35">
        <w:t>becomes aware (whether by notice under paragraph 2.1.30 or otherwise) that any of the events described in paragraphs 2.1.30</w:t>
      </w:r>
      <w:r w:rsidR="00A014D0" w:rsidRPr="00FD6D35">
        <w:t>(</w:t>
      </w:r>
      <w:r w:rsidR="00F56BC1" w:rsidRPr="00FD6D35">
        <w:t>a), 2.1.30</w:t>
      </w:r>
      <w:r w:rsidR="00A014D0" w:rsidRPr="00FD6D35">
        <w:t>(</w:t>
      </w:r>
      <w:r w:rsidR="00F56BC1" w:rsidRPr="00FD6D35">
        <w:t>b) or 2.1.30</w:t>
      </w:r>
      <w:r w:rsidR="00A014D0" w:rsidRPr="00FD6D35">
        <w:t>(</w:t>
      </w:r>
      <w:r w:rsidR="00F56BC1" w:rsidRPr="00FD6D35">
        <w:t xml:space="preserve">c) apply, or may apply, to a </w:t>
      </w:r>
      <w:r w:rsidR="00F56BC1" w:rsidRPr="00FD6D35">
        <w:rPr>
          <w:i/>
          <w:iCs/>
        </w:rPr>
        <w:t>First Provider</w:t>
      </w:r>
      <w:r w:rsidR="00F56BC1" w:rsidRPr="00FD6D35">
        <w:t>, then:</w:t>
      </w:r>
    </w:p>
    <w:p w:rsidR="00A014D0" w:rsidRPr="00FD6D35" w:rsidRDefault="006D5459" w:rsidP="006D5459">
      <w:pPr>
        <w:keepLines w:val="0"/>
        <w:spacing w:after="120"/>
        <w:ind w:left="1080" w:hanging="360"/>
      </w:pPr>
      <w:r w:rsidRPr="00FD6D35">
        <w:t>(a)</w:t>
      </w:r>
      <w:r w:rsidRPr="00FD6D35">
        <w:tab/>
      </w:r>
      <w:r w:rsidR="00F56BC1" w:rsidRPr="00FD6D35">
        <w:t xml:space="preserve">the First Provider must, within a period specified by the </w:t>
      </w:r>
      <w:r w:rsidR="002D7BC9" w:rsidRPr="00FD6D35">
        <w:t>Secretary</w:t>
      </w:r>
      <w:r w:rsidR="00F56BC1" w:rsidRPr="00FD6D35">
        <w:t xml:space="preserve">, provide the Secretary with such information that the </w:t>
      </w:r>
      <w:r w:rsidR="00BE1312" w:rsidRPr="00FD6D35">
        <w:t>Secretary</w:t>
      </w:r>
      <w:r w:rsidR="00BA3D32" w:rsidRPr="00FD6D35">
        <w:t xml:space="preserve"> </w:t>
      </w:r>
      <w:r w:rsidR="00F56BC1" w:rsidRPr="00FD6D35">
        <w:t>may reasonably request in relation to that event;</w:t>
      </w:r>
    </w:p>
    <w:p w:rsidR="00A014D0" w:rsidRPr="00FD6D35" w:rsidRDefault="006D5459" w:rsidP="006D5459">
      <w:pPr>
        <w:keepLines w:val="0"/>
        <w:spacing w:after="120"/>
        <w:ind w:left="1080" w:hanging="360"/>
      </w:pPr>
      <w:r w:rsidRPr="00FD6D35">
        <w:t>(b)</w:t>
      </w:r>
      <w:r w:rsidRPr="00FD6D35">
        <w:tab/>
      </w:r>
      <w:r w:rsidR="00F56BC1" w:rsidRPr="00FD6D35">
        <w:t xml:space="preserve">the Secretary may, after considering any information provided by the </w:t>
      </w:r>
      <w:r w:rsidR="00F56BC1" w:rsidRPr="00FD6D35">
        <w:rPr>
          <w:i/>
          <w:iCs/>
        </w:rPr>
        <w:t>First Provider</w:t>
      </w:r>
      <w:r w:rsidR="00FD2B06" w:rsidRPr="00FD6D35">
        <w:t xml:space="preserve"> under paragraph 2.1.35</w:t>
      </w:r>
      <w:r w:rsidR="00A014D0" w:rsidRPr="00FD6D35">
        <w:t>(</w:t>
      </w:r>
      <w:r w:rsidR="00F56BC1" w:rsidRPr="00FD6D35">
        <w:t xml:space="preserve">a), declare in writing that, for the purposes of this Chapter 2 of the Guidelines, the </w:t>
      </w:r>
      <w:r w:rsidR="00F56BC1" w:rsidRPr="00FD6D35">
        <w:rPr>
          <w:i/>
          <w:iCs/>
        </w:rPr>
        <w:t>First Provider</w:t>
      </w:r>
      <w:r w:rsidR="00F56BC1" w:rsidRPr="00FD6D35">
        <w:t xml:space="preserve"> has ceased to provide one or more courses of study specified in the declaration; and</w:t>
      </w:r>
    </w:p>
    <w:p w:rsidR="00F56BC1" w:rsidRPr="00FD6D35" w:rsidRDefault="006D5459" w:rsidP="006D5459">
      <w:pPr>
        <w:keepLines w:val="0"/>
        <w:spacing w:after="120"/>
        <w:ind w:left="1080" w:hanging="360"/>
      </w:pPr>
      <w:r w:rsidRPr="00FD6D35">
        <w:t>(c)</w:t>
      </w:r>
      <w:r w:rsidRPr="00FD6D35">
        <w:tab/>
      </w:r>
      <w:r w:rsidR="00F56BC1" w:rsidRPr="00FD6D35">
        <w:t xml:space="preserve">the Secretary must give a copy of the declaration to the </w:t>
      </w:r>
      <w:r w:rsidR="00F56BC1" w:rsidRPr="00FD6D35">
        <w:rPr>
          <w:i/>
          <w:iCs/>
        </w:rPr>
        <w:t>First Provider</w:t>
      </w:r>
      <w:r w:rsidR="00F56BC1" w:rsidRPr="00FD6D35">
        <w:t xml:space="preserve"> and the </w:t>
      </w:r>
      <w:r w:rsidR="00F56BC1" w:rsidRPr="00FD6D35">
        <w:rPr>
          <w:i/>
          <w:iCs/>
        </w:rPr>
        <w:t>First Provider’s</w:t>
      </w:r>
      <w:r w:rsidR="00F56BC1" w:rsidRPr="00FD6D35">
        <w:t xml:space="preserve"> </w:t>
      </w:r>
      <w:r w:rsidR="00F56BC1" w:rsidRPr="00FD6D35">
        <w:rPr>
          <w:i/>
          <w:iCs/>
        </w:rPr>
        <w:t>tuition assurance administrators</w:t>
      </w:r>
      <w:r w:rsidR="00F56BC1" w:rsidRPr="00FD6D35">
        <w:t>.</w:t>
      </w:r>
    </w:p>
    <w:p w:rsidR="00F56BC1" w:rsidRPr="00FD6D35" w:rsidRDefault="00F56BC1" w:rsidP="00F56BC1">
      <w:pPr>
        <w:tabs>
          <w:tab w:val="left" w:pos="1000"/>
        </w:tabs>
        <w:ind w:left="800" w:hanging="800"/>
        <w:rPr>
          <w:b/>
          <w:bCs/>
        </w:rPr>
      </w:pPr>
    </w:p>
    <w:p w:rsidR="00F56BC1" w:rsidRPr="00FD6D35" w:rsidRDefault="00F96A1C" w:rsidP="00F56BC1">
      <w:pPr>
        <w:tabs>
          <w:tab w:val="left" w:pos="1000"/>
        </w:tabs>
        <w:ind w:left="800" w:hanging="800"/>
      </w:pPr>
      <w:r w:rsidRPr="00FD6D35">
        <w:rPr>
          <w:b/>
          <w:bCs/>
        </w:rPr>
        <w:t>2.5</w:t>
      </w:r>
      <w:r w:rsidR="00F56BC1" w:rsidRPr="00FD6D35">
        <w:rPr>
          <w:b/>
          <w:bCs/>
        </w:rPr>
        <w:tab/>
        <w:t>PART 1: GENERAL REQUIREMENTS</w:t>
      </w:r>
    </w:p>
    <w:p w:rsidR="00F56BC1" w:rsidRPr="00FD6D35" w:rsidRDefault="00F56BC1" w:rsidP="00F56BC1">
      <w:pPr>
        <w:tabs>
          <w:tab w:val="left" w:pos="1000"/>
        </w:tabs>
        <w:ind w:left="800" w:hanging="800"/>
      </w:pPr>
    </w:p>
    <w:p w:rsidR="00F56BC1" w:rsidRPr="00FD6D35" w:rsidRDefault="00F56BC1" w:rsidP="00F56BC1">
      <w:pPr>
        <w:spacing w:after="120"/>
        <w:rPr>
          <w:i/>
          <w:iCs/>
        </w:rPr>
      </w:pPr>
      <w:r w:rsidRPr="00FD6D35">
        <w:rPr>
          <w:i/>
          <w:iCs/>
        </w:rPr>
        <w:t>Corporate separation</w:t>
      </w:r>
    </w:p>
    <w:p w:rsidR="00F56BC1" w:rsidRPr="00FD6D35" w:rsidRDefault="00F96A1C" w:rsidP="00FC1770">
      <w:pPr>
        <w:tabs>
          <w:tab w:val="left" w:pos="1000"/>
        </w:tabs>
        <w:spacing w:after="120"/>
        <w:ind w:left="799" w:hanging="799"/>
      </w:pPr>
      <w:r w:rsidRPr="00FD6D35">
        <w:t>2.5.1</w:t>
      </w:r>
      <w:r w:rsidRPr="00FD6D35">
        <w:tab/>
        <w:t>Subject to paragraph 2.5</w:t>
      </w:r>
      <w:r w:rsidR="00973B90" w:rsidRPr="00FD6D35">
        <w:t>.5</w:t>
      </w:r>
      <w:r w:rsidR="00F56BC1" w:rsidRPr="00FD6D35">
        <w:t xml:space="preserve">, the relationship between a </w:t>
      </w:r>
      <w:r w:rsidR="00F56BC1" w:rsidRPr="00FD6D35">
        <w:rPr>
          <w:i/>
          <w:iCs/>
        </w:rPr>
        <w:t>First Provider</w:t>
      </w:r>
      <w:r w:rsidR="00F56BC1" w:rsidRPr="00FD6D35">
        <w:t xml:space="preserve"> and each of its </w:t>
      </w:r>
      <w:r w:rsidR="00F56BC1" w:rsidRPr="00FD6D35">
        <w:rPr>
          <w:i/>
          <w:iCs/>
        </w:rPr>
        <w:t>tuition assurance administrators</w:t>
      </w:r>
      <w:r w:rsidR="00F56BC1" w:rsidRPr="00FD6D35">
        <w:t xml:space="preserve"> must be such that at all times:  </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they are legally separate entities;</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 xml:space="preserve">they are not related to each other within the meaning of section 50 of the </w:t>
      </w:r>
      <w:r w:rsidR="00F56BC1" w:rsidRPr="00FD6D35">
        <w:rPr>
          <w:i/>
          <w:iCs/>
        </w:rPr>
        <w:t>Corporations Act 2001</w:t>
      </w:r>
      <w:r w:rsidR="00F56BC1" w:rsidRPr="00FD6D35">
        <w:t>;</w:t>
      </w:r>
    </w:p>
    <w:p w:rsidR="00F56BC1" w:rsidRPr="00FD6D35" w:rsidRDefault="006D5459" w:rsidP="006D5459">
      <w:pPr>
        <w:keepLines w:val="0"/>
        <w:tabs>
          <w:tab w:val="left" w:pos="1159"/>
        </w:tabs>
        <w:spacing w:after="120"/>
        <w:ind w:left="1159" w:hanging="360"/>
      </w:pPr>
      <w:r w:rsidRPr="00FD6D35">
        <w:lastRenderedPageBreak/>
        <w:t>(c)</w:t>
      </w:r>
      <w:r w:rsidRPr="00FD6D35">
        <w:tab/>
      </w:r>
      <w:r w:rsidR="00F56BC1" w:rsidRPr="00FD6D35">
        <w:t xml:space="preserve">they are not associated entities within the meaning of section 50AAA of the </w:t>
      </w:r>
      <w:r w:rsidR="00F56BC1" w:rsidRPr="00FD6D35">
        <w:rPr>
          <w:i/>
          <w:iCs/>
        </w:rPr>
        <w:t>Corporations Act 2001</w:t>
      </w:r>
      <w:r w:rsidR="00F56BC1" w:rsidRPr="00FD6D35">
        <w:t>;</w:t>
      </w:r>
    </w:p>
    <w:p w:rsidR="00F56BC1" w:rsidRPr="00FD6D35" w:rsidRDefault="006D5459" w:rsidP="006D5459">
      <w:pPr>
        <w:keepLines w:val="0"/>
        <w:tabs>
          <w:tab w:val="left" w:pos="1159"/>
        </w:tabs>
        <w:spacing w:after="120"/>
        <w:ind w:left="1159" w:hanging="360"/>
      </w:pPr>
      <w:r w:rsidRPr="00FD6D35">
        <w:t>(d)</w:t>
      </w:r>
      <w:r w:rsidRPr="00FD6D35">
        <w:tab/>
      </w:r>
      <w:r w:rsidR="00F56BC1" w:rsidRPr="00FD6D35">
        <w:t xml:space="preserve">they are not in a position where one is able to control the other within the meaning of section 50AA of the </w:t>
      </w:r>
      <w:r w:rsidR="00F56BC1" w:rsidRPr="00FD6D35">
        <w:rPr>
          <w:i/>
          <w:iCs/>
        </w:rPr>
        <w:t>Corporations Act 2001</w:t>
      </w:r>
      <w:r w:rsidR="00F56BC1" w:rsidRPr="00FD6D35">
        <w:t>; and</w:t>
      </w:r>
    </w:p>
    <w:p w:rsidR="00F56BC1" w:rsidRPr="00FD6D35" w:rsidRDefault="006D5459" w:rsidP="006D5459">
      <w:pPr>
        <w:keepLines w:val="0"/>
        <w:tabs>
          <w:tab w:val="left" w:pos="1159"/>
        </w:tabs>
        <w:ind w:left="1156" w:hanging="357"/>
      </w:pPr>
      <w:r w:rsidRPr="00FD6D35">
        <w:t>(e)</w:t>
      </w:r>
      <w:r w:rsidRPr="00FD6D35">
        <w:tab/>
      </w:r>
      <w:r w:rsidR="00F56BC1" w:rsidRPr="00FD6D35">
        <w:t>they do not have in common one half or more of the persons who are directors or officers of either entity, where the terms “</w:t>
      </w:r>
      <w:r w:rsidR="00F56BC1" w:rsidRPr="00FD6D35">
        <w:rPr>
          <w:b/>
          <w:bCs/>
        </w:rPr>
        <w:t>director</w:t>
      </w:r>
      <w:r w:rsidR="00F56BC1" w:rsidRPr="00FD6D35">
        <w:t>” and “</w:t>
      </w:r>
      <w:r w:rsidR="00F56BC1" w:rsidRPr="00FD6D35">
        <w:rPr>
          <w:b/>
          <w:bCs/>
        </w:rPr>
        <w:t>officer</w:t>
      </w:r>
      <w:r w:rsidR="00F56BC1" w:rsidRPr="00FD6D35">
        <w:t xml:space="preserve">” have the meanings given to them in section 9 of the </w:t>
      </w:r>
      <w:r w:rsidR="00F56BC1" w:rsidRPr="00FD6D35">
        <w:rPr>
          <w:i/>
          <w:iCs/>
        </w:rPr>
        <w:t>Corporations Act 2001</w:t>
      </w:r>
      <w:r w:rsidR="00F56BC1" w:rsidRPr="00FD6D35">
        <w:t>.</w:t>
      </w:r>
      <w:r w:rsidR="00F56BC1" w:rsidRPr="00FD6D35">
        <w:rPr>
          <w:i/>
          <w:iCs/>
        </w:rPr>
        <w:t xml:space="preserve"> </w:t>
      </w:r>
    </w:p>
    <w:p w:rsidR="00F05E3D" w:rsidRPr="00FD6D35" w:rsidRDefault="00F05E3D" w:rsidP="00F05E3D">
      <w:pPr>
        <w:keepLines w:val="0"/>
        <w:ind w:left="1156"/>
      </w:pPr>
    </w:p>
    <w:p w:rsidR="00F56BC1" w:rsidRPr="00FD6D35" w:rsidRDefault="00F96A1C" w:rsidP="00F05E3D">
      <w:pPr>
        <w:spacing w:after="120"/>
        <w:ind w:left="799" w:hanging="833"/>
        <w:rPr>
          <w:i/>
          <w:iCs/>
        </w:rPr>
      </w:pPr>
      <w:r w:rsidRPr="00FD6D35">
        <w:t>2.5</w:t>
      </w:r>
      <w:r w:rsidR="00973B90" w:rsidRPr="00FD6D35">
        <w:t>.5</w:t>
      </w:r>
      <w:r w:rsidR="00F56BC1" w:rsidRPr="00FD6D35">
        <w:tab/>
        <w:t xml:space="preserve">If at any time the relationship between a </w:t>
      </w:r>
      <w:r w:rsidR="00F56BC1" w:rsidRPr="00FD6D35">
        <w:rPr>
          <w:i/>
          <w:iCs/>
        </w:rPr>
        <w:t>First Provider</w:t>
      </w:r>
      <w:r w:rsidR="00F56BC1" w:rsidRPr="00FD6D35">
        <w:t xml:space="preserve"> and any of its </w:t>
      </w:r>
      <w:r w:rsidR="00F56BC1" w:rsidRPr="00FD6D35">
        <w:rPr>
          <w:i/>
          <w:iCs/>
        </w:rPr>
        <w:t>tuition assurance administrators</w:t>
      </w:r>
      <w:r w:rsidR="00F56BC1" w:rsidRPr="00FD6D35">
        <w:t xml:space="preserve"> ceases to meet t</w:t>
      </w:r>
      <w:r w:rsidRPr="00FD6D35">
        <w:t>he requirements of paragraph 2.5</w:t>
      </w:r>
      <w:r w:rsidR="00F56BC1" w:rsidRPr="00FD6D35">
        <w:t xml:space="preserve">.1, then the </w:t>
      </w:r>
      <w:r w:rsidR="00F56BC1" w:rsidRPr="00FD6D35">
        <w:rPr>
          <w:i/>
          <w:iCs/>
        </w:rPr>
        <w:t>First Provider</w:t>
      </w:r>
      <w:r w:rsidR="00F56BC1" w:rsidRPr="00FD6D35">
        <w:t xml:space="preserve"> must immediately notify the </w:t>
      </w:r>
      <w:r w:rsidR="00BE1312" w:rsidRPr="00FD6D35">
        <w:rPr>
          <w:iCs/>
        </w:rPr>
        <w:t>Secretary</w:t>
      </w:r>
      <w:r w:rsidR="00F56BC1" w:rsidRPr="00FD6D35">
        <w:t xml:space="preserve"> to that effect in writing, and include with that notification an alternative proposal for the </w:t>
      </w:r>
      <w:r w:rsidR="00BE1312" w:rsidRPr="00FD6D35">
        <w:t>Secretary</w:t>
      </w:r>
      <w:r w:rsidR="00F56BC1" w:rsidRPr="00FD6D35">
        <w:t xml:space="preserve">’s approval (which may be subject to such conditions as the </w:t>
      </w:r>
      <w:r w:rsidR="00BE1312" w:rsidRPr="00FD6D35">
        <w:t>Secretary</w:t>
      </w:r>
      <w:r w:rsidR="00F56BC1" w:rsidRPr="00FD6D35">
        <w:t xml:space="preserve"> in his or her sole discretion, may impose) that includes:</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detailed reasons for the n</w:t>
      </w:r>
      <w:r w:rsidR="00F96A1C" w:rsidRPr="00FD6D35">
        <w:t>on-compliance with paragraph 2.5</w:t>
      </w:r>
      <w:r w:rsidR="00F56BC1" w:rsidRPr="00FD6D35">
        <w:t>.1;</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 xml:space="preserve">detailed reasons explaining why the </w:t>
      </w:r>
      <w:r w:rsidR="00F56BC1" w:rsidRPr="00FD6D35">
        <w:rPr>
          <w:i/>
          <w:iCs/>
        </w:rPr>
        <w:t>First Provider</w:t>
      </w:r>
      <w:r w:rsidR="00F56BC1" w:rsidRPr="00FD6D35">
        <w:t xml:space="preserve"> and the </w:t>
      </w:r>
      <w:r w:rsidR="00F56BC1" w:rsidRPr="00FD6D35">
        <w:rPr>
          <w:i/>
          <w:iCs/>
        </w:rPr>
        <w:t>tuition assurance administrator</w:t>
      </w:r>
      <w:r w:rsidR="00F56BC1" w:rsidRPr="00FD6D35">
        <w:t xml:space="preserve"> are prevented from changing the relationship between them so</w:t>
      </w:r>
      <w:r w:rsidR="00F96A1C" w:rsidRPr="00FD6D35">
        <w:t xml:space="preserve"> as to comply with paragraph 2.5</w:t>
      </w:r>
      <w:r w:rsidR="00F56BC1" w:rsidRPr="00FD6D35">
        <w:t>.1; and</w:t>
      </w:r>
    </w:p>
    <w:p w:rsidR="00F56BC1" w:rsidRPr="00FD6D35" w:rsidRDefault="006D5459" w:rsidP="006D5459">
      <w:pPr>
        <w:keepLines w:val="0"/>
        <w:tabs>
          <w:tab w:val="left" w:pos="1159"/>
        </w:tabs>
        <w:spacing w:after="120"/>
        <w:ind w:left="1159" w:hanging="360"/>
      </w:pPr>
      <w:r w:rsidRPr="00FD6D35">
        <w:t>(c)</w:t>
      </w:r>
      <w:r w:rsidRPr="00FD6D35">
        <w:tab/>
      </w:r>
      <w:r w:rsidR="00F56BC1" w:rsidRPr="00FD6D35">
        <w:t xml:space="preserve">details of any alternative arrangements proposed to apply as between the </w:t>
      </w:r>
      <w:r w:rsidR="00F56BC1" w:rsidRPr="00FD6D35">
        <w:rPr>
          <w:i/>
          <w:iCs/>
        </w:rPr>
        <w:t>First Provider</w:t>
      </w:r>
      <w:r w:rsidR="00F56BC1" w:rsidRPr="00FD6D35">
        <w:t xml:space="preserve"> and the </w:t>
      </w:r>
      <w:r w:rsidR="00F56BC1" w:rsidRPr="00FD6D35">
        <w:rPr>
          <w:i/>
          <w:iCs/>
        </w:rPr>
        <w:t>tuition assurance administrator</w:t>
      </w:r>
      <w:r w:rsidR="00F56BC1" w:rsidRPr="00FD6D35">
        <w:t xml:space="preserve"> which, while they will not result in a relationship that  meets t</w:t>
      </w:r>
      <w:r w:rsidR="00F96A1C" w:rsidRPr="00FD6D35">
        <w:t>he requirements of paragraph 2.5</w:t>
      </w:r>
      <w:r w:rsidR="00F56BC1" w:rsidRPr="00FD6D35">
        <w:t xml:space="preserve">.1, the </w:t>
      </w:r>
      <w:r w:rsidR="00F56BC1" w:rsidRPr="00FD6D35">
        <w:rPr>
          <w:i/>
          <w:iCs/>
        </w:rPr>
        <w:t>First Provider</w:t>
      </w:r>
      <w:r w:rsidR="00F56BC1" w:rsidRPr="00FD6D35">
        <w:t xml:space="preserve"> reasonably believes meet the remainder of the </w:t>
      </w:r>
      <w:r w:rsidR="00F56BC1" w:rsidRPr="00FD6D35">
        <w:rPr>
          <w:i/>
          <w:iCs/>
        </w:rPr>
        <w:t>tuition assurance requirements</w:t>
      </w:r>
      <w:r w:rsidR="00F56BC1" w:rsidRPr="00FD6D35">
        <w:t>.</w:t>
      </w:r>
    </w:p>
    <w:p w:rsidR="00F56BC1" w:rsidRPr="00FD6D35" w:rsidRDefault="00F56BC1" w:rsidP="00F56BC1">
      <w:pPr>
        <w:spacing w:after="120"/>
        <w:ind w:left="1200"/>
      </w:pPr>
      <w:r w:rsidRPr="00FD6D35">
        <w:t xml:space="preserve">By way of example only, and without prejudice to the </w:t>
      </w:r>
      <w:r w:rsidRPr="00FD6D35">
        <w:rPr>
          <w:i/>
        </w:rPr>
        <w:t>Department’s</w:t>
      </w:r>
      <w:r w:rsidRPr="00FD6D35">
        <w:t xml:space="preserve"> and the </w:t>
      </w:r>
      <w:r w:rsidR="00BE1312" w:rsidRPr="00FD6D35">
        <w:t>Secretary</w:t>
      </w:r>
      <w:r w:rsidRPr="00FD6D35">
        <w:t>’s</w:t>
      </w:r>
      <w:r w:rsidR="00BE1312" w:rsidRPr="00FD6D35">
        <w:t xml:space="preserve"> </w:t>
      </w:r>
      <w:r w:rsidRPr="00FD6D35">
        <w:t>consideration of the proposal, the alternative arrangements may include any one or more of the following:</w:t>
      </w:r>
    </w:p>
    <w:p w:rsidR="00F56BC1" w:rsidRPr="00FD6D35" w:rsidRDefault="00F56BC1" w:rsidP="00F56BC1">
      <w:pPr>
        <w:spacing w:after="120"/>
        <w:ind w:left="1700" w:hanging="500"/>
      </w:pPr>
      <w:r w:rsidRPr="00FD6D35">
        <w:t>(i)</w:t>
      </w:r>
      <w:r w:rsidRPr="00FD6D35">
        <w:tab/>
        <w:t>a separate unconditional financial guarantee from a third person (who may be a natural person or a body corporate);</w:t>
      </w:r>
    </w:p>
    <w:p w:rsidR="00F56BC1" w:rsidRPr="00FD6D35" w:rsidRDefault="00F56BC1" w:rsidP="00F56BC1">
      <w:pPr>
        <w:spacing w:after="120"/>
        <w:ind w:left="1700" w:hanging="500"/>
      </w:pPr>
      <w:r w:rsidRPr="00FD6D35">
        <w:t>(ii)</w:t>
      </w:r>
      <w:r w:rsidRPr="00FD6D35">
        <w:tab/>
        <w:t>a trust arrangement with an independent, third party trustee;</w:t>
      </w:r>
    </w:p>
    <w:p w:rsidR="00F56BC1" w:rsidRPr="00FD6D35" w:rsidRDefault="00F56BC1" w:rsidP="00FC1770">
      <w:pPr>
        <w:ind w:left="1701" w:hanging="499"/>
      </w:pPr>
      <w:r w:rsidRPr="00FD6D35">
        <w:t>(iii)</w:t>
      </w:r>
      <w:r w:rsidRPr="00FD6D35">
        <w:tab/>
        <w:t>a specifically established trust account with a bank or other financial institution.</w:t>
      </w:r>
    </w:p>
    <w:p w:rsidR="00F56BC1" w:rsidRPr="00FD6D35" w:rsidRDefault="00F56BC1" w:rsidP="00F05E3D">
      <w:pPr>
        <w:tabs>
          <w:tab w:val="left" w:pos="1000"/>
        </w:tabs>
        <w:ind w:left="799" w:hanging="799"/>
        <w:rPr>
          <w:b/>
          <w:bCs/>
        </w:rPr>
      </w:pPr>
    </w:p>
    <w:p w:rsidR="00F56BC1" w:rsidRPr="00FD6D35" w:rsidRDefault="00F96A1C" w:rsidP="00F56BC1">
      <w:pPr>
        <w:tabs>
          <w:tab w:val="left" w:pos="1000"/>
        </w:tabs>
        <w:ind w:left="800" w:hanging="800"/>
        <w:rPr>
          <w:b/>
          <w:bCs/>
        </w:rPr>
      </w:pPr>
      <w:r w:rsidRPr="00FD6D35">
        <w:rPr>
          <w:b/>
          <w:bCs/>
        </w:rPr>
        <w:t>2.10</w:t>
      </w:r>
      <w:r w:rsidR="00F56BC1" w:rsidRPr="00FD6D35">
        <w:rPr>
          <w:b/>
          <w:bCs/>
        </w:rPr>
        <w:tab/>
        <w:t>PART 2: COURSE ASSURANCE REQUIREMENTS</w:t>
      </w:r>
    </w:p>
    <w:p w:rsidR="00F56BC1" w:rsidRPr="00FD6D35" w:rsidRDefault="00F56BC1" w:rsidP="00F56BC1"/>
    <w:p w:rsidR="00F56BC1" w:rsidRPr="00FD6D35" w:rsidRDefault="00F96A1C" w:rsidP="00E96448">
      <w:pPr>
        <w:tabs>
          <w:tab w:val="left" w:pos="800"/>
        </w:tabs>
        <w:spacing w:after="120"/>
        <w:ind w:left="799" w:hanging="799"/>
      </w:pPr>
      <w:r w:rsidRPr="00FD6D35">
        <w:t>2.10</w:t>
      </w:r>
      <w:r w:rsidR="00F56BC1" w:rsidRPr="00FD6D35">
        <w:t>.1</w:t>
      </w:r>
      <w:r w:rsidR="00F56BC1" w:rsidRPr="00FD6D35">
        <w:tab/>
        <w:t xml:space="preserve">The </w:t>
      </w:r>
      <w:r w:rsidR="00F56BC1" w:rsidRPr="00FD6D35">
        <w:rPr>
          <w:i/>
          <w:iCs/>
        </w:rPr>
        <w:t>First Provider</w:t>
      </w:r>
      <w:r w:rsidR="00F56BC1" w:rsidRPr="00FD6D35">
        <w:t xml:space="preserve"> must demonstrate to the satisfaction of the </w:t>
      </w:r>
      <w:r w:rsidR="00BE1312" w:rsidRPr="00FD6D35">
        <w:t>Secretary</w:t>
      </w:r>
      <w:r w:rsidR="00F56BC1" w:rsidRPr="00FD6D35">
        <w:t xml:space="preserve"> that </w:t>
      </w:r>
      <w:bookmarkStart w:id="13" w:name="OLE_LINK2"/>
      <w:r w:rsidR="00F56BC1" w:rsidRPr="00FD6D35">
        <w:t>it complies with t</w:t>
      </w:r>
      <w:r w:rsidRPr="00FD6D35">
        <w:t>he requirements in paragraph 2.10</w:t>
      </w:r>
      <w:r w:rsidR="00F56BC1" w:rsidRPr="00FD6D35">
        <w:t xml:space="preserve">.5, by having in place, </w:t>
      </w:r>
      <w:bookmarkEnd w:id="13"/>
      <w:r w:rsidR="00F56BC1" w:rsidRPr="00FD6D35">
        <w:t>for each higher education course of study it provides, one or more of these arrangements:</w:t>
      </w:r>
    </w:p>
    <w:p w:rsidR="00F56BC1" w:rsidRPr="00FD6D35" w:rsidRDefault="006D5459" w:rsidP="006D5459">
      <w:pPr>
        <w:keepLines w:val="0"/>
        <w:tabs>
          <w:tab w:val="left" w:pos="1160"/>
        </w:tabs>
        <w:spacing w:after="120"/>
        <w:ind w:left="1160" w:hanging="360"/>
      </w:pPr>
      <w:r w:rsidRPr="00FD6D35">
        <w:t>(a)</w:t>
      </w:r>
      <w:r w:rsidRPr="00FD6D35">
        <w:tab/>
      </w:r>
      <w:r w:rsidR="00F56BC1" w:rsidRPr="00FD6D35">
        <w:t xml:space="preserve">membership of a </w:t>
      </w:r>
      <w:r w:rsidR="00F56BC1" w:rsidRPr="00FD6D35">
        <w:rPr>
          <w:i/>
          <w:iCs/>
        </w:rPr>
        <w:t xml:space="preserve">tuition assurance scheme </w:t>
      </w:r>
      <w:r w:rsidR="00F56BC1" w:rsidRPr="00FD6D35">
        <w:t>that is:</w:t>
      </w:r>
    </w:p>
    <w:p w:rsidR="00F56BC1" w:rsidRPr="00FD6D35" w:rsidRDefault="00F56BC1" w:rsidP="00F56BC1">
      <w:pPr>
        <w:spacing w:after="120"/>
        <w:ind w:left="1700" w:hanging="540"/>
      </w:pPr>
      <w:r w:rsidRPr="00FD6D35">
        <w:t>(i)</w:t>
      </w:r>
      <w:r w:rsidRPr="00FD6D35">
        <w:tab/>
        <w:t>operated by a legal entity (“</w:t>
      </w:r>
      <w:r w:rsidRPr="00FD6D35">
        <w:rPr>
          <w:b/>
          <w:bCs/>
        </w:rPr>
        <w:t>Course Assurance</w:t>
      </w:r>
      <w:r w:rsidRPr="00FD6D35">
        <w:t xml:space="preserve"> </w:t>
      </w:r>
      <w:r w:rsidRPr="00FD6D35">
        <w:rPr>
          <w:b/>
          <w:bCs/>
        </w:rPr>
        <w:t>TAS Operator</w:t>
      </w:r>
      <w:r w:rsidRPr="00FD6D35">
        <w:t>”); and</w:t>
      </w:r>
    </w:p>
    <w:p w:rsidR="00F56BC1" w:rsidRPr="00FD6D35" w:rsidRDefault="00F56BC1" w:rsidP="00F56BC1">
      <w:pPr>
        <w:spacing w:after="120"/>
        <w:ind w:left="1700" w:hanging="540"/>
      </w:pPr>
      <w:r w:rsidRPr="00FD6D35">
        <w:t>(ii)</w:t>
      </w:r>
      <w:r w:rsidRPr="00FD6D35">
        <w:tab/>
        <w:t xml:space="preserve">approved by the </w:t>
      </w:r>
      <w:r w:rsidR="00E172C1" w:rsidRPr="00FD6D35">
        <w:t>Minister</w:t>
      </w:r>
      <w:r w:rsidR="00C302D3" w:rsidRPr="00FD6D35">
        <w:t xml:space="preserve"> </w:t>
      </w:r>
      <w:r w:rsidRPr="00FD6D35">
        <w:t xml:space="preserve">for this purpose; </w:t>
      </w:r>
    </w:p>
    <w:p w:rsidR="00F56BC1" w:rsidRPr="00FD6D35" w:rsidRDefault="006D5459" w:rsidP="006D5459">
      <w:pPr>
        <w:keepLines w:val="0"/>
        <w:tabs>
          <w:tab w:val="left" w:pos="1160"/>
        </w:tabs>
        <w:spacing w:after="120"/>
        <w:ind w:left="1156" w:hanging="357"/>
      </w:pPr>
      <w:r w:rsidRPr="00FD6D35">
        <w:t>(b)</w:t>
      </w:r>
      <w:r w:rsidRPr="00FD6D35">
        <w:tab/>
      </w:r>
      <w:r w:rsidR="00F56BC1" w:rsidRPr="00FD6D35">
        <w:t xml:space="preserve">a legally-binding agreement with one or more </w:t>
      </w:r>
      <w:r w:rsidR="00F56BC1" w:rsidRPr="00FD6D35">
        <w:rPr>
          <w:i/>
          <w:iCs/>
        </w:rPr>
        <w:t>Second Providers</w:t>
      </w:r>
      <w:r w:rsidR="00F56BC1" w:rsidRPr="00FD6D35">
        <w:t xml:space="preserve"> (subject to paragraph 2.</w:t>
      </w:r>
      <w:r w:rsidR="00F96A1C" w:rsidRPr="00FD6D35">
        <w:t>10</w:t>
      </w:r>
      <w:r w:rsidR="00F56BC1" w:rsidRPr="00FD6D35">
        <w:t>.10);</w:t>
      </w:r>
    </w:p>
    <w:p w:rsidR="00F56BC1" w:rsidRPr="00FD6D35" w:rsidRDefault="006D5459" w:rsidP="006D5459">
      <w:pPr>
        <w:keepLines w:val="0"/>
        <w:tabs>
          <w:tab w:val="left" w:pos="1160"/>
        </w:tabs>
        <w:ind w:left="1156" w:hanging="357"/>
      </w:pPr>
      <w:bookmarkStart w:id="14" w:name="OLE_LINK1"/>
      <w:r w:rsidRPr="00FD6D35">
        <w:t>(c)</w:t>
      </w:r>
      <w:r w:rsidRPr="00FD6D35">
        <w:tab/>
      </w:r>
      <w:r w:rsidR="00F56BC1" w:rsidRPr="00FD6D35">
        <w:t>a legally-binding guarantee provided by a legal entity (“</w:t>
      </w:r>
      <w:r w:rsidR="00F56BC1" w:rsidRPr="00FD6D35">
        <w:rPr>
          <w:b/>
          <w:bCs/>
        </w:rPr>
        <w:t>Course Assurance Guarantor</w:t>
      </w:r>
      <w:r w:rsidR="00F56BC1" w:rsidRPr="00FD6D35">
        <w:t xml:space="preserve">”) that is a body corporate incorporated under or in accordance with a law of the Commonwealth or of any Australian State or Territory (not necessarily a higher education provider) and which has the necessary financial and administrative resources to fulfil such a guarantee, including resources that, should the </w:t>
      </w:r>
      <w:r w:rsidR="00F56BC1" w:rsidRPr="00FD6D35">
        <w:rPr>
          <w:i/>
          <w:iCs/>
        </w:rPr>
        <w:t>First Provider</w:t>
      </w:r>
      <w:r w:rsidR="00F56BC1" w:rsidRPr="00FD6D35">
        <w:t xml:space="preserve"> cease to provide a course of study, will be available for use by the Course Assurance Guarantor, if requested by persons enrolled in that course of study, to make all the arrangements necessary to ensure that those persons are enrolled in a similar course of study with another higher education provider.</w:t>
      </w:r>
      <w:bookmarkEnd w:id="14"/>
    </w:p>
    <w:p w:rsidR="00F56BC1" w:rsidRPr="00FD6D35" w:rsidRDefault="00F56BC1" w:rsidP="00F56BC1">
      <w:pPr>
        <w:ind w:left="799"/>
      </w:pPr>
    </w:p>
    <w:p w:rsidR="00F56BC1" w:rsidRPr="00FD6D35" w:rsidRDefault="00F96A1C" w:rsidP="00F56BC1">
      <w:pPr>
        <w:spacing w:after="120"/>
        <w:ind w:left="800" w:hanging="800"/>
        <w:rPr>
          <w:i/>
          <w:iCs/>
        </w:rPr>
      </w:pPr>
      <w:bookmarkStart w:id="15" w:name="OLE_LINK3"/>
      <w:r w:rsidRPr="00FD6D35">
        <w:lastRenderedPageBreak/>
        <w:t>2.10</w:t>
      </w:r>
      <w:r w:rsidR="00F56BC1" w:rsidRPr="00FD6D35">
        <w:t>.5</w:t>
      </w:r>
      <w:r w:rsidR="00F56BC1" w:rsidRPr="00FD6D35">
        <w:tab/>
        <w:t xml:space="preserve">If the </w:t>
      </w:r>
      <w:r w:rsidR="00F56BC1" w:rsidRPr="00FD6D35">
        <w:rPr>
          <w:i/>
          <w:iCs/>
        </w:rPr>
        <w:t>First Provider</w:t>
      </w:r>
      <w:r w:rsidR="00F56BC1" w:rsidRPr="00FD6D35">
        <w:t xml:space="preserve"> ceases to provide a unit as a result of ceasing to provide the course of study of which the unit formed part, and if a student who is enrolled in the unit at that time chooses this </w:t>
      </w:r>
      <w:r w:rsidR="00F56BC1" w:rsidRPr="00FD6D35">
        <w:rPr>
          <w:i/>
          <w:iCs/>
        </w:rPr>
        <w:t>course assurance option</w:t>
      </w:r>
      <w:r w:rsidR="00F56BC1" w:rsidRPr="00FD6D35">
        <w:t xml:space="preserve"> and not the </w:t>
      </w:r>
      <w:r w:rsidR="00F56BC1" w:rsidRPr="00FD6D35">
        <w:rPr>
          <w:i/>
          <w:iCs/>
        </w:rPr>
        <w:t>student contribution / tuition fee repayment option</w:t>
      </w:r>
      <w:r w:rsidR="00F56BC1" w:rsidRPr="00FD6D35">
        <w:t xml:space="preserve"> in respect of the unit, that student:</w:t>
      </w:r>
    </w:p>
    <w:bookmarkEnd w:id="15"/>
    <w:p w:rsidR="00F56BC1" w:rsidRPr="00FD6D35" w:rsidRDefault="006D5459" w:rsidP="006D5459">
      <w:pPr>
        <w:keepLines w:val="0"/>
        <w:tabs>
          <w:tab w:val="left" w:pos="1160"/>
        </w:tabs>
        <w:spacing w:after="120"/>
        <w:ind w:left="1160" w:hanging="360"/>
      </w:pPr>
      <w:r w:rsidRPr="00FD6D35">
        <w:t>(a)</w:t>
      </w:r>
      <w:r w:rsidRPr="00FD6D35">
        <w:tab/>
      </w:r>
      <w:r w:rsidR="00F56BC1" w:rsidRPr="00FD6D35">
        <w:t>must be able to enrol in a similar course of study leading to the same or a comparable qualification with another higher education provider (the “</w:t>
      </w:r>
      <w:r w:rsidR="00F56BC1" w:rsidRPr="00FD6D35">
        <w:rPr>
          <w:b/>
          <w:bCs/>
        </w:rPr>
        <w:t>Second Provider</w:t>
      </w:r>
      <w:r w:rsidR="00F56BC1" w:rsidRPr="00FD6D35">
        <w:t xml:space="preserve">”); </w:t>
      </w:r>
    </w:p>
    <w:p w:rsidR="00F56BC1" w:rsidRPr="00FD6D35" w:rsidRDefault="006D5459" w:rsidP="006D5459">
      <w:pPr>
        <w:keepLines w:val="0"/>
        <w:tabs>
          <w:tab w:val="left" w:pos="1160"/>
        </w:tabs>
        <w:spacing w:after="120"/>
        <w:ind w:left="1160" w:hanging="360"/>
      </w:pPr>
      <w:r w:rsidRPr="00FD6D35">
        <w:t>(b)</w:t>
      </w:r>
      <w:r w:rsidRPr="00FD6D35">
        <w:tab/>
      </w:r>
      <w:r w:rsidR="00F56BC1" w:rsidRPr="00FD6D35">
        <w:t xml:space="preserve">must receive from the </w:t>
      </w:r>
      <w:r w:rsidR="00F56BC1" w:rsidRPr="00FD6D35">
        <w:rPr>
          <w:i/>
          <w:iCs/>
        </w:rPr>
        <w:t>Second Provider</w:t>
      </w:r>
      <w:r w:rsidR="00F56BC1" w:rsidRPr="00FD6D35">
        <w:t xml:space="preserve"> for any successfully completed units of study undertaken as part of that course of study:</w:t>
      </w:r>
    </w:p>
    <w:p w:rsidR="00F56BC1" w:rsidRPr="00FD6D35" w:rsidRDefault="00F56BC1" w:rsidP="00F56BC1">
      <w:pPr>
        <w:spacing w:after="120"/>
        <w:ind w:left="1700" w:hanging="540"/>
      </w:pPr>
      <w:r w:rsidRPr="00FD6D35">
        <w:t>(i)</w:t>
      </w:r>
      <w:r w:rsidRPr="00FD6D35">
        <w:tab/>
        <w:t xml:space="preserve">full recognition (that is, full credit towards the same or a comparable qualification); or </w:t>
      </w:r>
    </w:p>
    <w:p w:rsidR="00F56BC1" w:rsidRPr="00FD6D35" w:rsidRDefault="00F56BC1" w:rsidP="00F56BC1">
      <w:pPr>
        <w:spacing w:after="120"/>
        <w:ind w:left="1700" w:hanging="540"/>
      </w:pPr>
      <w:r w:rsidRPr="00FD6D35">
        <w:t>(ii)</w:t>
      </w:r>
      <w:r w:rsidRPr="00FD6D35">
        <w:tab/>
        <w:t xml:space="preserve">if the </w:t>
      </w:r>
      <w:r w:rsidR="00BE1312" w:rsidRPr="00FD6D35">
        <w:t>Secretary</w:t>
      </w:r>
      <w:r w:rsidRPr="00FD6D35">
        <w:t xml:space="preserve"> agrees that a course of study that the </w:t>
      </w:r>
      <w:r w:rsidRPr="00FD6D35">
        <w:rPr>
          <w:i/>
          <w:iCs/>
        </w:rPr>
        <w:t>First Provider</w:t>
      </w:r>
      <w:r w:rsidRPr="00FD6D35">
        <w:t xml:space="preserve"> provides is of such a specialised nature, or contains components of such a specialised nature, that full credit transfer cannot be arranged - as much credit as possible towards a similar course of study;</w:t>
      </w:r>
    </w:p>
    <w:p w:rsidR="00F56BC1" w:rsidRPr="00FD6D35" w:rsidRDefault="006D5459" w:rsidP="006D5459">
      <w:pPr>
        <w:keepLines w:val="0"/>
        <w:tabs>
          <w:tab w:val="left" w:pos="1160"/>
        </w:tabs>
        <w:spacing w:after="120"/>
        <w:ind w:left="1156" w:hanging="357"/>
      </w:pPr>
      <w:r w:rsidRPr="00FD6D35">
        <w:t>(c)</w:t>
      </w:r>
      <w:r w:rsidRPr="00FD6D35">
        <w:tab/>
      </w:r>
      <w:r w:rsidR="00F56BC1" w:rsidRPr="00FD6D35">
        <w:t>must not be required to:</w:t>
      </w:r>
    </w:p>
    <w:p w:rsidR="00F56BC1" w:rsidRPr="00FD6D35" w:rsidRDefault="00FD64B9" w:rsidP="00F56BC1">
      <w:pPr>
        <w:spacing w:after="120"/>
        <w:ind w:left="1700" w:hanging="540"/>
      </w:pPr>
      <w:r w:rsidRPr="00FD6D35">
        <w:t xml:space="preserve"> </w:t>
      </w:r>
      <w:r w:rsidR="00F56BC1" w:rsidRPr="00FD6D35">
        <w:t>(i)</w:t>
      </w:r>
      <w:r w:rsidR="00F56BC1" w:rsidRPr="00FD6D35">
        <w:tab/>
        <w:t xml:space="preserve">pay the </w:t>
      </w:r>
      <w:r w:rsidR="00F56BC1" w:rsidRPr="00FD6D35">
        <w:rPr>
          <w:i/>
          <w:iCs/>
        </w:rPr>
        <w:t>Second Provider</w:t>
      </w:r>
      <w:r w:rsidR="00F56BC1" w:rsidRPr="00FD6D35">
        <w:t xml:space="preserve"> a student contribution amount or tuition fee for any </w:t>
      </w:r>
      <w:r w:rsidR="00F56BC1" w:rsidRPr="00FD6D35">
        <w:rPr>
          <w:i/>
          <w:iCs/>
        </w:rPr>
        <w:t>replacement unit</w:t>
      </w:r>
      <w:r w:rsidR="00F56BC1" w:rsidRPr="00FD6D35">
        <w:t>; nor</w:t>
      </w:r>
    </w:p>
    <w:p w:rsidR="00F56BC1" w:rsidRPr="00FD6D35" w:rsidRDefault="00FD64B9" w:rsidP="00E96448">
      <w:pPr>
        <w:ind w:left="1701" w:hanging="539"/>
      </w:pPr>
      <w:r w:rsidRPr="00FD6D35">
        <w:t xml:space="preserve"> </w:t>
      </w:r>
      <w:r w:rsidR="00F56BC1" w:rsidRPr="00FD6D35">
        <w:t>(ii)</w:t>
      </w:r>
      <w:r w:rsidR="00F56BC1" w:rsidRPr="00FD6D35">
        <w:tab/>
        <w:t xml:space="preserve">give an appropriate officer of the </w:t>
      </w:r>
      <w:r w:rsidR="00F56BC1" w:rsidRPr="00FD6D35">
        <w:rPr>
          <w:i/>
          <w:iCs/>
        </w:rPr>
        <w:t>Second Provider</w:t>
      </w:r>
      <w:r w:rsidR="00F56BC1" w:rsidRPr="00FD6D35">
        <w:t xml:space="preserve"> (or any other person) a request for Commonwealth assistance in relation to any </w:t>
      </w:r>
      <w:r w:rsidR="00F56BC1" w:rsidRPr="00FD6D35">
        <w:rPr>
          <w:i/>
          <w:iCs/>
        </w:rPr>
        <w:t>replacement unit</w:t>
      </w:r>
      <w:r w:rsidR="00F56BC1" w:rsidRPr="00FD6D35">
        <w:t xml:space="preserve">.  </w:t>
      </w:r>
    </w:p>
    <w:p w:rsidR="00E96448" w:rsidRPr="00FD6D35" w:rsidRDefault="00E96448" w:rsidP="00E96448">
      <w:pPr>
        <w:ind w:left="1701" w:hanging="539"/>
      </w:pPr>
    </w:p>
    <w:p w:rsidR="00F56BC1" w:rsidRPr="00FD6D35" w:rsidRDefault="00F96A1C" w:rsidP="00F56BC1">
      <w:pPr>
        <w:ind w:left="800" w:hanging="834"/>
      </w:pPr>
      <w:r w:rsidRPr="00FD6D35">
        <w:t>2.10</w:t>
      </w:r>
      <w:r w:rsidR="00F56BC1" w:rsidRPr="00FD6D35">
        <w:t>.10</w:t>
      </w:r>
      <w:r w:rsidR="00F56BC1" w:rsidRPr="00FD6D35">
        <w:tab/>
      </w:r>
      <w:bookmarkStart w:id="16" w:name="OLE_LINK6"/>
      <w:r w:rsidR="00F56BC1" w:rsidRPr="00FD6D35">
        <w:t xml:space="preserve">If a </w:t>
      </w:r>
      <w:r w:rsidR="00F56BC1" w:rsidRPr="00FD6D35">
        <w:rPr>
          <w:i/>
          <w:iCs/>
        </w:rPr>
        <w:t>Second Provider</w:t>
      </w:r>
      <w:r w:rsidR="00F56BC1" w:rsidRPr="00FD6D35">
        <w:t xml:space="preserve"> is not approved as a higher education provider at the time of entering a legally-binding agreement</w:t>
      </w:r>
      <w:r w:rsidRPr="00FD6D35">
        <w:t xml:space="preserve"> referred to in paragraph 2.10</w:t>
      </w:r>
      <w:r w:rsidR="00F56BC1" w:rsidRPr="00FD6D35">
        <w:t xml:space="preserve">.1(b), it must obtain approval as a higher education provider within six calendar months after the </w:t>
      </w:r>
      <w:r w:rsidR="00F56BC1" w:rsidRPr="00FD6D35">
        <w:rPr>
          <w:i/>
          <w:iCs/>
        </w:rPr>
        <w:t>First Provider</w:t>
      </w:r>
      <w:r w:rsidR="00F56BC1" w:rsidRPr="00FD6D35">
        <w:t xml:space="preserve"> is approved as a higher education provider, or, where the </w:t>
      </w:r>
      <w:r w:rsidR="00F56BC1" w:rsidRPr="00FD6D35">
        <w:rPr>
          <w:i/>
          <w:iCs/>
        </w:rPr>
        <w:t>First Provider</w:t>
      </w:r>
      <w:r w:rsidR="00F56BC1" w:rsidRPr="00FD6D35">
        <w:t xml:space="preserve"> is a listed provider, within six months after the date of the agreement.</w:t>
      </w:r>
      <w:bookmarkEnd w:id="16"/>
    </w:p>
    <w:p w:rsidR="00F56BC1" w:rsidRPr="00FD6D35" w:rsidRDefault="00F56BC1" w:rsidP="00F56BC1">
      <w:pPr>
        <w:tabs>
          <w:tab w:val="left" w:pos="1000"/>
        </w:tabs>
        <w:ind w:left="800" w:hanging="800"/>
        <w:rPr>
          <w:b/>
          <w:bCs/>
        </w:rPr>
      </w:pPr>
    </w:p>
    <w:p w:rsidR="00F56BC1" w:rsidRPr="00FD6D35" w:rsidRDefault="00F96A1C" w:rsidP="00F56BC1">
      <w:pPr>
        <w:tabs>
          <w:tab w:val="left" w:pos="1000"/>
        </w:tabs>
        <w:ind w:left="800" w:hanging="800"/>
        <w:rPr>
          <w:b/>
          <w:bCs/>
        </w:rPr>
      </w:pPr>
      <w:r w:rsidRPr="00FD6D35">
        <w:rPr>
          <w:b/>
          <w:bCs/>
        </w:rPr>
        <w:t>2.15</w:t>
      </w:r>
      <w:r w:rsidR="00F56BC1" w:rsidRPr="00FD6D35">
        <w:rPr>
          <w:b/>
          <w:bCs/>
        </w:rPr>
        <w:tab/>
        <w:t>PART 3: STUDENT CONTRIBUTION OR TUITION FEE REPAYMENT REQUIREMENTS</w:t>
      </w:r>
    </w:p>
    <w:p w:rsidR="007F481A" w:rsidRPr="00FD6D35" w:rsidRDefault="007F481A" w:rsidP="000C5AEC">
      <w:pPr>
        <w:tabs>
          <w:tab w:val="left" w:pos="800"/>
        </w:tabs>
        <w:rPr>
          <w:b/>
          <w:bCs/>
          <w:i/>
          <w:iCs/>
        </w:rPr>
      </w:pPr>
    </w:p>
    <w:p w:rsidR="00F56BC1" w:rsidRPr="00FD6D35" w:rsidRDefault="00F56BC1" w:rsidP="00250E6D">
      <w:pPr>
        <w:tabs>
          <w:tab w:val="left" w:pos="800"/>
        </w:tabs>
        <w:rPr>
          <w:b/>
          <w:bCs/>
          <w:i/>
          <w:iCs/>
        </w:rPr>
      </w:pPr>
      <w:r w:rsidRPr="00FD6D35">
        <w:rPr>
          <w:b/>
          <w:bCs/>
          <w:i/>
          <w:iCs/>
        </w:rPr>
        <w:t>Part 3.1: Students choosing student contribution / tuition fee repayment option for units that First Provider has ceased to provide</w:t>
      </w:r>
    </w:p>
    <w:p w:rsidR="00250E6D" w:rsidRPr="00FD6D35" w:rsidRDefault="00250E6D" w:rsidP="00250E6D">
      <w:pPr>
        <w:tabs>
          <w:tab w:val="left" w:pos="800"/>
        </w:tabs>
        <w:rPr>
          <w:b/>
          <w:bCs/>
          <w:i/>
          <w:iCs/>
        </w:rPr>
      </w:pPr>
    </w:p>
    <w:p w:rsidR="00F56BC1" w:rsidRPr="00FD6D35" w:rsidRDefault="00F96A1C" w:rsidP="00F56BC1">
      <w:pPr>
        <w:tabs>
          <w:tab w:val="left" w:pos="800"/>
        </w:tabs>
        <w:spacing w:after="120"/>
        <w:ind w:left="799" w:hanging="799"/>
        <w:rPr>
          <w:i/>
          <w:iCs/>
        </w:rPr>
      </w:pPr>
      <w:r w:rsidRPr="00FD6D35">
        <w:t>2.15</w:t>
      </w:r>
      <w:r w:rsidR="00F56BC1" w:rsidRPr="00FD6D35">
        <w:t>.1</w:t>
      </w:r>
      <w:r w:rsidR="00F56BC1" w:rsidRPr="00FD6D35">
        <w:tab/>
        <w:t xml:space="preserve">The </w:t>
      </w:r>
      <w:r w:rsidR="00F56BC1" w:rsidRPr="00FD6D35">
        <w:rPr>
          <w:i/>
          <w:iCs/>
        </w:rPr>
        <w:t>First Provider</w:t>
      </w:r>
      <w:r w:rsidR="00F56BC1" w:rsidRPr="00FD6D35">
        <w:t xml:space="preserve"> must demonstrate to the satisfaction of the </w:t>
      </w:r>
      <w:r w:rsidR="00BE1312" w:rsidRPr="00FD6D35">
        <w:t>Secretary</w:t>
      </w:r>
      <w:r w:rsidR="00F56BC1" w:rsidRPr="00FD6D35">
        <w:t xml:space="preserve"> that it complies with the </w:t>
      </w:r>
      <w:r w:rsidRPr="00FD6D35">
        <w:t>requirements in paragraphs 2.15.5 to 2.15</w:t>
      </w:r>
      <w:r w:rsidR="00973B90" w:rsidRPr="00FD6D35">
        <w:t>.30</w:t>
      </w:r>
      <w:r w:rsidR="00F56BC1" w:rsidRPr="00FD6D35">
        <w:t xml:space="preserve">, by having in place, for each higher education course of study it provides, one or more of these arrangements:  </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 xml:space="preserve">membership of a </w:t>
      </w:r>
      <w:r w:rsidR="00F56BC1" w:rsidRPr="00FD6D35">
        <w:rPr>
          <w:i/>
          <w:iCs/>
        </w:rPr>
        <w:t>tuition assurance scheme</w:t>
      </w:r>
      <w:r w:rsidR="00F56BC1" w:rsidRPr="00FD6D35">
        <w:t xml:space="preserve"> that is:</w:t>
      </w:r>
    </w:p>
    <w:p w:rsidR="00F56BC1" w:rsidRPr="00FD6D35" w:rsidRDefault="00F56BC1" w:rsidP="00F56BC1">
      <w:pPr>
        <w:spacing w:after="120"/>
        <w:ind w:left="1700" w:hanging="540"/>
      </w:pPr>
      <w:r w:rsidRPr="00FD6D35">
        <w:t>(i)</w:t>
      </w:r>
      <w:r w:rsidRPr="00FD6D35">
        <w:tab/>
        <w:t>operated by a legal entity (“</w:t>
      </w:r>
      <w:r w:rsidRPr="00FD6D35">
        <w:rPr>
          <w:b/>
          <w:bCs/>
        </w:rPr>
        <w:t>Repayment TAS Operator</w:t>
      </w:r>
      <w:r w:rsidRPr="00FD6D35">
        <w:t>”); and</w:t>
      </w:r>
    </w:p>
    <w:p w:rsidR="00F56BC1" w:rsidRPr="00FD6D35" w:rsidRDefault="00F56BC1" w:rsidP="00F56BC1">
      <w:pPr>
        <w:spacing w:after="120"/>
        <w:ind w:left="1700" w:hanging="540"/>
      </w:pPr>
      <w:r w:rsidRPr="00FD6D35">
        <w:t>(ii)</w:t>
      </w:r>
      <w:r w:rsidRPr="00FD6D35">
        <w:tab/>
        <w:t xml:space="preserve">approved by the Minister for this purpose; </w:t>
      </w:r>
    </w:p>
    <w:p w:rsidR="00F56BC1" w:rsidRPr="00FD6D35" w:rsidRDefault="006D5459" w:rsidP="006D5459">
      <w:pPr>
        <w:keepLines w:val="0"/>
        <w:tabs>
          <w:tab w:val="left" w:pos="1159"/>
        </w:tabs>
        <w:spacing w:after="120"/>
        <w:ind w:left="1159" w:hanging="360"/>
      </w:pPr>
      <w:bookmarkStart w:id="17" w:name="OLE_LINK4"/>
      <w:r w:rsidRPr="00FD6D35">
        <w:t>(b)</w:t>
      </w:r>
      <w:r w:rsidRPr="00FD6D35">
        <w:tab/>
      </w:r>
      <w:r w:rsidR="00F56BC1" w:rsidRPr="00FD6D35">
        <w:t xml:space="preserve">a ‘tuition fees in arrears’ agreement is offered by the </w:t>
      </w:r>
      <w:r w:rsidR="00F56BC1" w:rsidRPr="00FD6D35">
        <w:rPr>
          <w:i/>
          <w:iCs/>
        </w:rPr>
        <w:t>First Provider</w:t>
      </w:r>
      <w:r w:rsidR="00F56BC1" w:rsidRPr="00FD6D35">
        <w:t xml:space="preserve"> to students under which students enrol on the basis that student contributions or tuition fees for each unit of their course of study are paid in arrears; </w:t>
      </w:r>
      <w:bookmarkEnd w:id="17"/>
    </w:p>
    <w:p w:rsidR="00F56BC1" w:rsidRPr="00FD6D35" w:rsidRDefault="006D5459" w:rsidP="006D5459">
      <w:pPr>
        <w:keepLines w:val="0"/>
        <w:tabs>
          <w:tab w:val="left" w:pos="1159"/>
        </w:tabs>
        <w:ind w:left="1156" w:hanging="357"/>
      </w:pPr>
      <w:r w:rsidRPr="00FD6D35">
        <w:t>(c)</w:t>
      </w:r>
      <w:r w:rsidRPr="00FD6D35">
        <w:tab/>
      </w:r>
      <w:r w:rsidR="00F56BC1" w:rsidRPr="00FD6D35">
        <w:t>a legally binding guarantee provided by a legal entity (“</w:t>
      </w:r>
      <w:r w:rsidR="00F56BC1" w:rsidRPr="00FD6D35">
        <w:rPr>
          <w:b/>
          <w:bCs/>
        </w:rPr>
        <w:t>Repayment Guarantor</w:t>
      </w:r>
      <w:r w:rsidR="00F56BC1" w:rsidRPr="00FD6D35">
        <w:t xml:space="preserve">”) that is a body corporate incorporated under or in accordance with a law of the Commonwealth or of any Australian State or Territory (not necessarily a higher education provider) which has the necessary financial and administrative resources to fulfil such a guarantee. </w:t>
      </w:r>
    </w:p>
    <w:p w:rsidR="00F56BC1" w:rsidRPr="00FD6D35" w:rsidRDefault="00F56BC1" w:rsidP="00F56BC1">
      <w:pPr>
        <w:ind w:left="800" w:hanging="800"/>
      </w:pPr>
    </w:p>
    <w:p w:rsidR="00B80F72" w:rsidRPr="00FD6D35" w:rsidRDefault="00F96A1C" w:rsidP="00B80F72">
      <w:pPr>
        <w:tabs>
          <w:tab w:val="left" w:pos="1000"/>
        </w:tabs>
        <w:spacing w:after="120"/>
        <w:ind w:left="799" w:hanging="799"/>
      </w:pPr>
      <w:r w:rsidRPr="00FD6D35">
        <w:t>2.15</w:t>
      </w:r>
      <w:r w:rsidR="00973B90" w:rsidRPr="00FD6D35">
        <w:t>.5</w:t>
      </w:r>
      <w:r w:rsidR="00F56BC1" w:rsidRPr="00FD6D35">
        <w:tab/>
      </w:r>
      <w:r w:rsidR="00B80F72" w:rsidRPr="00FD6D35">
        <w:t xml:space="preserve">If a </w:t>
      </w:r>
      <w:r w:rsidR="00B80F72" w:rsidRPr="00FD6D35">
        <w:rPr>
          <w:i/>
          <w:iCs/>
        </w:rPr>
        <w:t>First Provider</w:t>
      </w:r>
      <w:r w:rsidR="00B80F72" w:rsidRPr="00FD6D35">
        <w:t xml:space="preserve"> ceases to provide a unit as a result of ceasing to provide the course of study of which the unit formed part, and if a student who is enrolled in the unit at that time chooses this </w:t>
      </w:r>
      <w:r w:rsidR="00B80F72" w:rsidRPr="00FD6D35">
        <w:rPr>
          <w:i/>
          <w:iCs/>
        </w:rPr>
        <w:t>student contribution / tuition fee repayment option</w:t>
      </w:r>
      <w:r w:rsidR="00B80F72" w:rsidRPr="00FD6D35">
        <w:t xml:space="preserve"> and not the </w:t>
      </w:r>
      <w:r w:rsidR="00B80F72" w:rsidRPr="00FD6D35">
        <w:rPr>
          <w:i/>
          <w:iCs/>
        </w:rPr>
        <w:t xml:space="preserve">course assurance option </w:t>
      </w:r>
      <w:r w:rsidR="00B80F72" w:rsidRPr="00FD6D35">
        <w:t xml:space="preserve">in respect of the unit, then, within one month (or longer period agreed in writing by the </w:t>
      </w:r>
      <w:r w:rsidR="00BE1312" w:rsidRPr="00FD6D35">
        <w:t>Secretary</w:t>
      </w:r>
      <w:r w:rsidR="00B80F72" w:rsidRPr="00FD6D35">
        <w:t xml:space="preserve"> after receiving notification of that choice, the </w:t>
      </w:r>
      <w:r w:rsidR="00B80F72" w:rsidRPr="00FD6D35">
        <w:rPr>
          <w:i/>
          <w:iCs/>
        </w:rPr>
        <w:t>First Provider</w:t>
      </w:r>
      <w:r w:rsidR="00B80F72" w:rsidRPr="00FD6D35">
        <w:t xml:space="preserve"> must:</w:t>
      </w:r>
    </w:p>
    <w:p w:rsidR="00B80F72" w:rsidRPr="00FD6D35" w:rsidRDefault="006D5459" w:rsidP="006D5459">
      <w:pPr>
        <w:tabs>
          <w:tab w:val="left" w:pos="1134"/>
        </w:tabs>
        <w:spacing w:after="120"/>
        <w:ind w:left="1134" w:hanging="414"/>
      </w:pPr>
      <w:r w:rsidRPr="00FD6D35">
        <w:lastRenderedPageBreak/>
        <w:t>(a)</w:t>
      </w:r>
      <w:r w:rsidRPr="00FD6D35">
        <w:tab/>
      </w:r>
      <w:r w:rsidR="00B80F72" w:rsidRPr="00FD6D35">
        <w:t>determine that section 36-24A of the Act applies to the student in respect of the unit (if the requirements of subsection 36-24A(e) of the Act are met); or</w:t>
      </w:r>
    </w:p>
    <w:p w:rsidR="00B80F72" w:rsidRPr="00FD6D35" w:rsidRDefault="006D5459" w:rsidP="006D5459">
      <w:pPr>
        <w:tabs>
          <w:tab w:val="left" w:pos="1134"/>
        </w:tabs>
        <w:spacing w:after="120"/>
        <w:ind w:left="1134" w:hanging="414"/>
      </w:pPr>
      <w:r w:rsidRPr="00FD6D35">
        <w:t>(b)</w:t>
      </w:r>
      <w:r w:rsidRPr="00FD6D35">
        <w:tab/>
      </w:r>
      <w:r w:rsidR="00B80F72" w:rsidRPr="00FD6D35">
        <w:t>re-credit the student’s FEE-HELP balance in respect of the unit (if the requirements of subsection 104-42(1) of the Act are met); and</w:t>
      </w:r>
    </w:p>
    <w:p w:rsidR="00B80F72" w:rsidRPr="00FD6D35" w:rsidRDefault="006D5459" w:rsidP="006D5459">
      <w:pPr>
        <w:tabs>
          <w:tab w:val="left" w:pos="1134"/>
        </w:tabs>
        <w:spacing w:after="120"/>
        <w:ind w:left="1134" w:hanging="414"/>
      </w:pPr>
      <w:r w:rsidRPr="00FD6D35">
        <w:t>(c)</w:t>
      </w:r>
      <w:r w:rsidRPr="00FD6D35">
        <w:tab/>
      </w:r>
      <w:r w:rsidR="00B80F72" w:rsidRPr="00FD6D35">
        <w:t>immediately after making the determination or effecting the re</w:t>
      </w:r>
      <w:r w:rsidR="00F96A1C" w:rsidRPr="00FD6D35">
        <w:t>-crediting under paragraph 2.15</w:t>
      </w:r>
      <w:r w:rsidR="00973B90" w:rsidRPr="00FD6D35">
        <w:t>.5</w:t>
      </w:r>
      <w:r w:rsidR="00B80F72" w:rsidRPr="00FD6D35">
        <w:t>(a)</w:t>
      </w:r>
      <w:r w:rsidR="00C1470A" w:rsidRPr="00FD6D35">
        <w:t xml:space="preserve"> or </w:t>
      </w:r>
      <w:r w:rsidR="00F96A1C" w:rsidRPr="00FD6D35">
        <w:t>2.15</w:t>
      </w:r>
      <w:r w:rsidR="00973B90" w:rsidRPr="00FD6D35">
        <w:t>.5</w:t>
      </w:r>
      <w:r w:rsidR="00B80F72" w:rsidRPr="00FD6D35">
        <w:t>(b) as the case may be, notify its Repayment TAS Operator or Repay</w:t>
      </w:r>
      <w:r w:rsidR="00B80F72" w:rsidRPr="00FD6D35">
        <w:rPr>
          <w:i/>
          <w:iCs/>
        </w:rPr>
        <w:t>ment Guarantor</w:t>
      </w:r>
      <w:r w:rsidR="00B80F72" w:rsidRPr="00FD6D35">
        <w:t xml:space="preserve"> (whichever is applicable) to that effect.</w:t>
      </w:r>
    </w:p>
    <w:p w:rsidR="00B80F72" w:rsidRPr="00FD6D35" w:rsidRDefault="00B80F72" w:rsidP="000C5AEC">
      <w:pPr>
        <w:tabs>
          <w:tab w:val="left" w:pos="1000"/>
        </w:tabs>
        <w:ind w:left="799" w:hanging="799"/>
      </w:pPr>
      <w:r w:rsidRPr="00FD6D35">
        <w:tab/>
        <w:t xml:space="preserve">(Under subsections 36-24C and 104-42(2) of the </w:t>
      </w:r>
      <w:r w:rsidRPr="00FD6D35">
        <w:rPr>
          <w:i/>
          <w:iCs/>
        </w:rPr>
        <w:t>Act</w:t>
      </w:r>
      <w:r w:rsidRPr="00FD6D35">
        <w:t xml:space="preserve">, the Secretary may make the determination or effect the re-crediting if the </w:t>
      </w:r>
      <w:r w:rsidRPr="00FD6D35">
        <w:rPr>
          <w:i/>
          <w:iCs/>
        </w:rPr>
        <w:t>First Provider</w:t>
      </w:r>
      <w:r w:rsidRPr="00FD6D35">
        <w:t xml:space="preserve"> is unable to do so, in which case the Secretary may give the notic</w:t>
      </w:r>
      <w:r w:rsidR="00F96A1C" w:rsidRPr="00FD6D35">
        <w:t>e referred to in paragraph 2.15</w:t>
      </w:r>
      <w:r w:rsidR="00973B90" w:rsidRPr="00FD6D35">
        <w:t>.5</w:t>
      </w:r>
      <w:r w:rsidRPr="00FD6D35">
        <w:t>(</w:t>
      </w:r>
      <w:r w:rsidR="00C1470A" w:rsidRPr="00FD6D35">
        <w:t>c</w:t>
      </w:r>
      <w:r w:rsidRPr="00FD6D35">
        <w:t>)</w:t>
      </w:r>
      <w:r w:rsidR="00E33F9A" w:rsidRPr="00FD6D35">
        <w:t>)</w:t>
      </w:r>
      <w:r w:rsidRPr="00FD6D35">
        <w:t>.</w:t>
      </w:r>
    </w:p>
    <w:p w:rsidR="000C5AEC" w:rsidRPr="00FD6D35" w:rsidRDefault="000C5AEC" w:rsidP="000C5AEC">
      <w:pPr>
        <w:tabs>
          <w:tab w:val="left" w:pos="1000"/>
        </w:tabs>
        <w:ind w:left="799" w:hanging="799"/>
      </w:pPr>
    </w:p>
    <w:p w:rsidR="00F56BC1" w:rsidRPr="00FD6D35" w:rsidRDefault="00F96A1C" w:rsidP="00F56BC1">
      <w:pPr>
        <w:tabs>
          <w:tab w:val="left" w:pos="1000"/>
        </w:tabs>
        <w:spacing w:after="120"/>
        <w:ind w:left="799" w:hanging="799"/>
      </w:pPr>
      <w:r w:rsidRPr="00FD6D35">
        <w:t>2.15</w:t>
      </w:r>
      <w:r w:rsidR="00973B90" w:rsidRPr="00FD6D35">
        <w:t>.10</w:t>
      </w:r>
      <w:r w:rsidR="00F56BC1" w:rsidRPr="00FD6D35">
        <w:tab/>
        <w:t xml:space="preserve">Within ten </w:t>
      </w:r>
      <w:r w:rsidR="00F56BC1" w:rsidRPr="00FD6D35">
        <w:rPr>
          <w:i/>
          <w:iCs/>
        </w:rPr>
        <w:t>Business Days</w:t>
      </w:r>
      <w:r w:rsidR="00F56BC1" w:rsidRPr="00FD6D35">
        <w:t xml:space="preserve"> after receiving notification from the </w:t>
      </w:r>
      <w:r w:rsidR="00F56BC1" w:rsidRPr="00FD6D35">
        <w:rPr>
          <w:i/>
          <w:iCs/>
        </w:rPr>
        <w:t>First Provider</w:t>
      </w:r>
      <w:r w:rsidR="00F56BC1" w:rsidRPr="00FD6D35">
        <w:t xml:space="preserve"> or the</w:t>
      </w:r>
      <w:r w:rsidRPr="00FD6D35">
        <w:t xml:space="preserve"> Secretary under paragraph 2.15</w:t>
      </w:r>
      <w:r w:rsidR="00973B90" w:rsidRPr="00FD6D35">
        <w:t>.5</w:t>
      </w:r>
      <w:r w:rsidR="00F56BC1" w:rsidRPr="00FD6D35">
        <w:t xml:space="preserve">, the </w:t>
      </w:r>
      <w:r w:rsidR="00F56BC1" w:rsidRPr="00FD6D35">
        <w:rPr>
          <w:i/>
          <w:iCs/>
        </w:rPr>
        <w:t>Repayment TAS Operator</w:t>
      </w:r>
      <w:r w:rsidR="00F56BC1" w:rsidRPr="00FD6D35">
        <w:t xml:space="preserve"> or </w:t>
      </w:r>
      <w:r w:rsidR="00F56BC1" w:rsidRPr="00FD6D35">
        <w:rPr>
          <w:i/>
          <w:iCs/>
        </w:rPr>
        <w:t>Repayment Guarantor</w:t>
      </w:r>
      <w:r w:rsidR="00F56BC1" w:rsidRPr="00FD6D35">
        <w:t xml:space="preserve"> (whichever is applicable) must:</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 xml:space="preserve">pay the student the total of any up-front payments paid for that unit of study to the </w:t>
      </w:r>
      <w:r w:rsidR="00F56BC1" w:rsidRPr="00FD6D35">
        <w:rPr>
          <w:i/>
          <w:iCs/>
        </w:rPr>
        <w:t>First Provider</w:t>
      </w:r>
      <w:r w:rsidR="00F56BC1" w:rsidRPr="00FD6D35">
        <w:t xml:space="preserve"> </w:t>
      </w:r>
      <w:bookmarkStart w:id="18" w:name="OLE_LINK9"/>
      <w:r w:rsidR="00F56BC1" w:rsidRPr="00FD6D35">
        <w:t>by the student (or on behalf of the student by any party other than the Commonwealth)</w:t>
      </w:r>
      <w:bookmarkEnd w:id="18"/>
      <w:r w:rsidR="00F56BC1" w:rsidRPr="00FD6D35">
        <w:t>; and</w:t>
      </w:r>
    </w:p>
    <w:p w:rsidR="00F56BC1" w:rsidRPr="00FD6D35" w:rsidRDefault="006D5459" w:rsidP="006D5459">
      <w:pPr>
        <w:keepLines w:val="0"/>
        <w:tabs>
          <w:tab w:val="left" w:pos="1159"/>
        </w:tabs>
        <w:ind w:left="1156" w:hanging="357"/>
      </w:pPr>
      <w:r w:rsidRPr="00FD6D35">
        <w:t>(b)</w:t>
      </w:r>
      <w:r w:rsidRPr="00FD6D35">
        <w:tab/>
      </w:r>
      <w:r w:rsidR="00F56BC1" w:rsidRPr="00FD6D35">
        <w:t xml:space="preserve">pay the Commonwealth any amounts paid for that unit of study by the Commonwealth to the </w:t>
      </w:r>
      <w:r w:rsidR="00F56BC1" w:rsidRPr="00FD6D35">
        <w:rPr>
          <w:i/>
          <w:iCs/>
        </w:rPr>
        <w:t>First Provider</w:t>
      </w:r>
      <w:r w:rsidR="00F56BC1" w:rsidRPr="00FD6D35">
        <w:t xml:space="preserve"> in discharge of the student’s liability to pay his or her student contribution amount or tuition fee for the unit.</w:t>
      </w:r>
    </w:p>
    <w:p w:rsidR="000C5AEC" w:rsidRPr="00FD6D35" w:rsidRDefault="000C5AEC" w:rsidP="000C5AEC">
      <w:pPr>
        <w:keepLines w:val="0"/>
        <w:ind w:left="1156"/>
      </w:pPr>
    </w:p>
    <w:p w:rsidR="00F56BC1" w:rsidRPr="00FD6D35" w:rsidRDefault="00F56BC1" w:rsidP="007F481A">
      <w:pPr>
        <w:tabs>
          <w:tab w:val="left" w:pos="1000"/>
        </w:tabs>
        <w:rPr>
          <w:b/>
          <w:bCs/>
          <w:i/>
          <w:iCs/>
        </w:rPr>
      </w:pPr>
      <w:r w:rsidRPr="00FD6D35">
        <w:rPr>
          <w:b/>
          <w:bCs/>
          <w:i/>
          <w:iCs/>
        </w:rPr>
        <w:t xml:space="preserve">Part 3.2: Students withdrawing from replacement units under special circumstances </w:t>
      </w:r>
    </w:p>
    <w:p w:rsidR="00F56BC1" w:rsidRPr="00FD6D35" w:rsidRDefault="00F56BC1" w:rsidP="00F56BC1">
      <w:pPr>
        <w:tabs>
          <w:tab w:val="left" w:pos="1000"/>
        </w:tabs>
        <w:ind w:left="800" w:hanging="800"/>
      </w:pPr>
    </w:p>
    <w:p w:rsidR="00B80F72" w:rsidRPr="00FD6D35" w:rsidRDefault="00F96A1C" w:rsidP="00FD64B9">
      <w:pPr>
        <w:tabs>
          <w:tab w:val="left" w:pos="1000"/>
        </w:tabs>
        <w:spacing w:after="120"/>
        <w:ind w:left="800" w:hanging="800"/>
      </w:pPr>
      <w:r w:rsidRPr="00FD6D35">
        <w:t>2.15</w:t>
      </w:r>
      <w:r w:rsidR="00973B90" w:rsidRPr="00FD6D35">
        <w:t>.15</w:t>
      </w:r>
      <w:r w:rsidR="00F56BC1" w:rsidRPr="00FD6D35">
        <w:tab/>
      </w:r>
      <w:r w:rsidR="00B80F72" w:rsidRPr="00FD6D35">
        <w:t xml:space="preserve">If the </w:t>
      </w:r>
      <w:r w:rsidR="00B80F72" w:rsidRPr="00FD6D35">
        <w:rPr>
          <w:i/>
          <w:iCs/>
        </w:rPr>
        <w:t>Second Provider</w:t>
      </w:r>
      <w:r w:rsidR="00B80F72" w:rsidRPr="00FD6D35">
        <w:t xml:space="preserve"> receives an application fro</w:t>
      </w:r>
      <w:r w:rsidR="00A014D0" w:rsidRPr="00FD6D35">
        <w:t>m any person under paragraph 36</w:t>
      </w:r>
      <w:r w:rsidR="00A014D0" w:rsidRPr="00FD6D35">
        <w:noBreakHyphen/>
      </w:r>
      <w:r w:rsidR="00B80F72" w:rsidRPr="00FD6D35">
        <w:t xml:space="preserve">20(1)(e) or 104-25(1)(d) of the </w:t>
      </w:r>
      <w:r w:rsidR="00B80F72" w:rsidRPr="00FD6D35">
        <w:rPr>
          <w:i/>
          <w:iCs/>
        </w:rPr>
        <w:t>Act</w:t>
      </w:r>
      <w:r w:rsidR="00B80F72" w:rsidRPr="00FD6D35">
        <w:t xml:space="preserve"> in relation to a </w:t>
      </w:r>
      <w:r w:rsidR="00B80F72" w:rsidRPr="00FD6D35">
        <w:rPr>
          <w:i/>
          <w:iCs/>
        </w:rPr>
        <w:t>replacement unit</w:t>
      </w:r>
      <w:r w:rsidR="00B80F72" w:rsidRPr="00FD6D35">
        <w:t xml:space="preserve"> in which the person is enrolled with a </w:t>
      </w:r>
      <w:r w:rsidR="00B80F72" w:rsidRPr="00FD6D35">
        <w:rPr>
          <w:i/>
          <w:iCs/>
        </w:rPr>
        <w:t>Second Provider</w:t>
      </w:r>
      <w:r w:rsidR="00B80F72" w:rsidRPr="00FD6D35">
        <w:t xml:space="preserve">, the </w:t>
      </w:r>
      <w:r w:rsidR="00B80F72" w:rsidRPr="00FD6D35">
        <w:rPr>
          <w:i/>
          <w:iCs/>
        </w:rPr>
        <w:t>Second Provider</w:t>
      </w:r>
      <w:r w:rsidR="00B80F72" w:rsidRPr="00FD6D35">
        <w:t xml:space="preserve"> must:</w:t>
      </w:r>
    </w:p>
    <w:p w:rsidR="00B80F72" w:rsidRPr="00FD6D35" w:rsidRDefault="006D5459" w:rsidP="006D5459">
      <w:pPr>
        <w:keepLines w:val="0"/>
        <w:tabs>
          <w:tab w:val="left" w:pos="1159"/>
        </w:tabs>
        <w:spacing w:after="120"/>
        <w:ind w:left="1159" w:hanging="360"/>
      </w:pPr>
      <w:r w:rsidRPr="00FD6D35">
        <w:t>(a)</w:t>
      </w:r>
      <w:r w:rsidRPr="00FD6D35">
        <w:tab/>
      </w:r>
      <w:r w:rsidR="00B80F72" w:rsidRPr="00FD6D35">
        <w:t xml:space="preserve">immediately notify the </w:t>
      </w:r>
      <w:r w:rsidR="00B80F72" w:rsidRPr="00FD6D35">
        <w:rPr>
          <w:i/>
        </w:rPr>
        <w:t>First Provider</w:t>
      </w:r>
      <w:r w:rsidR="00B80F72" w:rsidRPr="00FD6D35">
        <w:t xml:space="preserve"> and the </w:t>
      </w:r>
      <w:r w:rsidR="00BE1312" w:rsidRPr="00FD6D35">
        <w:rPr>
          <w:i/>
        </w:rPr>
        <w:t>General Manager</w:t>
      </w:r>
      <w:r w:rsidR="00BE1312" w:rsidRPr="00FD6D35">
        <w:t xml:space="preserve"> </w:t>
      </w:r>
      <w:r w:rsidR="00B80F72" w:rsidRPr="00FD6D35">
        <w:t>of the application;</w:t>
      </w:r>
    </w:p>
    <w:p w:rsidR="00B80F72" w:rsidRPr="00FD6D35" w:rsidRDefault="006D5459" w:rsidP="006D5459">
      <w:pPr>
        <w:keepLines w:val="0"/>
        <w:tabs>
          <w:tab w:val="left" w:pos="1159"/>
        </w:tabs>
        <w:spacing w:after="120"/>
        <w:ind w:left="1159" w:hanging="360"/>
      </w:pPr>
      <w:r w:rsidRPr="00FD6D35">
        <w:t>(b)</w:t>
      </w:r>
      <w:r w:rsidRPr="00FD6D35">
        <w:tab/>
      </w:r>
      <w:r w:rsidR="00B80F72" w:rsidRPr="00FD6D35">
        <w:t xml:space="preserve">ensure that the up-to-date information kept by it under paragraph </w:t>
      </w:r>
      <w:r w:rsidR="00F96A1C" w:rsidRPr="00FD6D35">
        <w:t>2.20</w:t>
      </w:r>
      <w:r w:rsidR="00B80F72" w:rsidRPr="00FD6D35">
        <w:t xml:space="preserve">.1 can be accessed by the Commonwealth and, in order to effectively meet their obligations under the arrangements, the </w:t>
      </w:r>
      <w:r w:rsidR="00B80F72" w:rsidRPr="00FD6D35">
        <w:rPr>
          <w:i/>
        </w:rPr>
        <w:t>First Provider’s</w:t>
      </w:r>
      <w:r w:rsidR="00B80F72" w:rsidRPr="00FD6D35">
        <w:t xml:space="preserve"> tuition assurance administrators;</w:t>
      </w:r>
    </w:p>
    <w:p w:rsidR="00B80F72" w:rsidRPr="00FD6D35" w:rsidRDefault="006D5459" w:rsidP="006D5459">
      <w:pPr>
        <w:keepLines w:val="0"/>
        <w:tabs>
          <w:tab w:val="left" w:pos="1159"/>
        </w:tabs>
        <w:spacing w:after="120"/>
        <w:ind w:left="1159" w:hanging="360"/>
      </w:pPr>
      <w:r w:rsidRPr="00FD6D35">
        <w:t>(c)</w:t>
      </w:r>
      <w:r w:rsidRPr="00FD6D35">
        <w:tab/>
      </w:r>
      <w:r w:rsidR="00B80F72" w:rsidRPr="00FD6D35">
        <w:t>deal with the application in accordance with subsec</w:t>
      </w:r>
      <w:r w:rsidR="007D4C13" w:rsidRPr="00FD6D35">
        <w:t>tion 36-23(1) or subsection 104</w:t>
      </w:r>
      <w:r w:rsidR="007D4C13" w:rsidRPr="00FD6D35">
        <w:noBreakHyphen/>
      </w:r>
      <w:r w:rsidR="00B80F72" w:rsidRPr="00FD6D35">
        <w:t>40(1) of the Act (as the case may be); and</w:t>
      </w:r>
    </w:p>
    <w:p w:rsidR="00B80F72" w:rsidRPr="00FD6D35" w:rsidRDefault="006D5459" w:rsidP="006D5459">
      <w:pPr>
        <w:keepLines w:val="0"/>
        <w:tabs>
          <w:tab w:val="left" w:pos="1159"/>
        </w:tabs>
        <w:spacing w:after="120"/>
        <w:ind w:left="1159" w:hanging="360"/>
      </w:pPr>
      <w:r w:rsidRPr="00FD6D35">
        <w:t>(d)</w:t>
      </w:r>
      <w:r w:rsidRPr="00FD6D35">
        <w:tab/>
      </w:r>
      <w:r w:rsidR="00B80F72" w:rsidRPr="00FD6D35">
        <w:t>immediately after having dealt with the application, notify the persons r</w:t>
      </w:r>
      <w:r w:rsidR="00F96A1C" w:rsidRPr="00FD6D35">
        <w:t>eferred to in subparagraph 2.15</w:t>
      </w:r>
      <w:r w:rsidR="006E7283" w:rsidRPr="00FD6D35">
        <w:t>.15</w:t>
      </w:r>
      <w:r w:rsidR="00B80F72" w:rsidRPr="00FD6D35">
        <w:t xml:space="preserve">(a) as to whether, in respect of the </w:t>
      </w:r>
      <w:r w:rsidR="00B80F72" w:rsidRPr="00FD6D35">
        <w:rPr>
          <w:i/>
          <w:iCs/>
        </w:rPr>
        <w:t>replacement unit</w:t>
      </w:r>
      <w:r w:rsidR="00B80F72" w:rsidRPr="00FD6D35">
        <w:t>:</w:t>
      </w:r>
    </w:p>
    <w:p w:rsidR="00B80F72" w:rsidRPr="00FD6D35" w:rsidRDefault="006D5459" w:rsidP="006D5459">
      <w:pPr>
        <w:tabs>
          <w:tab w:val="left" w:pos="1000"/>
        </w:tabs>
        <w:spacing w:after="120"/>
        <w:ind w:left="1577" w:hanging="418"/>
      </w:pPr>
      <w:r w:rsidRPr="00FD6D35">
        <w:t>(i)</w:t>
      </w:r>
      <w:r w:rsidRPr="00FD6D35">
        <w:tab/>
      </w:r>
      <w:r w:rsidR="00B80F72" w:rsidRPr="00FD6D35">
        <w:t xml:space="preserve">it has determined that section 36-20 of the </w:t>
      </w:r>
      <w:r w:rsidR="00B80F72" w:rsidRPr="00FD6D35">
        <w:rPr>
          <w:i/>
          <w:iCs/>
        </w:rPr>
        <w:t>Act</w:t>
      </w:r>
      <w:r w:rsidR="00B80F72" w:rsidRPr="00FD6D35">
        <w:t xml:space="preserve"> applies to the student; or</w:t>
      </w:r>
    </w:p>
    <w:p w:rsidR="00B80F72" w:rsidRPr="00FD6D35" w:rsidRDefault="006D5459" w:rsidP="006D5459">
      <w:pPr>
        <w:tabs>
          <w:tab w:val="left" w:pos="1000"/>
        </w:tabs>
        <w:spacing w:after="120"/>
        <w:ind w:left="1577" w:hanging="418"/>
      </w:pPr>
      <w:r w:rsidRPr="00FD6D35">
        <w:t>(ii)</w:t>
      </w:r>
      <w:r w:rsidRPr="00FD6D35">
        <w:tab/>
      </w:r>
      <w:r w:rsidR="00B80F72" w:rsidRPr="00FD6D35">
        <w:t xml:space="preserve">it is satisfied that the requirements of subsection 104-25(1) of the </w:t>
      </w:r>
      <w:r w:rsidR="00B80F72" w:rsidRPr="00FD6D35">
        <w:rPr>
          <w:i/>
          <w:iCs/>
        </w:rPr>
        <w:t>Act</w:t>
      </w:r>
      <w:r w:rsidR="00B80F72" w:rsidRPr="00FD6D35">
        <w:t xml:space="preserve"> are met.</w:t>
      </w:r>
    </w:p>
    <w:p w:rsidR="00B80F72" w:rsidRPr="00FD6D35" w:rsidRDefault="00B80F72" w:rsidP="00250E6D">
      <w:pPr>
        <w:tabs>
          <w:tab w:val="left" w:pos="1000"/>
        </w:tabs>
        <w:ind w:left="799" w:hanging="799"/>
      </w:pPr>
      <w:r w:rsidRPr="00FD6D35">
        <w:tab/>
        <w:t xml:space="preserve">(Under subsections 36-24C and 104-25(3) of the </w:t>
      </w:r>
      <w:r w:rsidRPr="00FD6D35">
        <w:rPr>
          <w:i/>
          <w:iCs/>
        </w:rPr>
        <w:t>Act</w:t>
      </w:r>
      <w:r w:rsidRPr="00FD6D35">
        <w:t>, the Secretary may act for certain purposes where the relevant provider is unable to do so, in which case the Secretary may give the notice referr</w:t>
      </w:r>
      <w:r w:rsidR="00F96A1C" w:rsidRPr="00FD6D35">
        <w:t>ed to in this subparagraph 2.15</w:t>
      </w:r>
      <w:r w:rsidR="00157BD6" w:rsidRPr="00FD6D35">
        <w:t>.15</w:t>
      </w:r>
      <w:r w:rsidRPr="00FD6D35">
        <w:t>(d)</w:t>
      </w:r>
      <w:r w:rsidR="008702AE" w:rsidRPr="00FD6D35">
        <w:t>)</w:t>
      </w:r>
      <w:r w:rsidRPr="00FD6D35">
        <w:t xml:space="preserve">. </w:t>
      </w:r>
    </w:p>
    <w:p w:rsidR="00B80F72" w:rsidRPr="00FD6D35" w:rsidRDefault="00B80F72" w:rsidP="00B80F72">
      <w:pPr>
        <w:tabs>
          <w:tab w:val="left" w:pos="1000"/>
        </w:tabs>
        <w:ind w:left="800" w:hanging="800"/>
      </w:pPr>
    </w:p>
    <w:p w:rsidR="00535305" w:rsidRPr="00FD6D35" w:rsidRDefault="00F96A1C" w:rsidP="00250E6D">
      <w:pPr>
        <w:tabs>
          <w:tab w:val="left" w:pos="1000"/>
        </w:tabs>
        <w:spacing w:after="120"/>
        <w:ind w:left="799" w:hanging="799"/>
      </w:pPr>
      <w:r w:rsidRPr="00FD6D35">
        <w:t>2.15</w:t>
      </w:r>
      <w:r w:rsidR="00973B90" w:rsidRPr="00FD6D35">
        <w:t>.20</w:t>
      </w:r>
      <w:r w:rsidR="00F56BC1" w:rsidRPr="00FD6D35">
        <w:tab/>
      </w:r>
      <w:r w:rsidR="00535305" w:rsidRPr="00FD6D35">
        <w:t>If the</w:t>
      </w:r>
      <w:r w:rsidRPr="00FD6D35">
        <w:t xml:space="preserve"> notice under subparagraph 2.15</w:t>
      </w:r>
      <w:r w:rsidR="00973B90" w:rsidRPr="00FD6D35">
        <w:t>.15</w:t>
      </w:r>
      <w:r w:rsidR="00535305" w:rsidRPr="00FD6D35">
        <w:t xml:space="preserve">(d)(i) states that the </w:t>
      </w:r>
      <w:r w:rsidR="00535305" w:rsidRPr="00FD6D35">
        <w:rPr>
          <w:i/>
          <w:iCs/>
        </w:rPr>
        <w:t>Second Provider</w:t>
      </w:r>
      <w:r w:rsidR="00535305" w:rsidRPr="00FD6D35">
        <w:t xml:space="preserve"> has determined that section 36-20 of the </w:t>
      </w:r>
      <w:r w:rsidR="00535305" w:rsidRPr="00FD6D35">
        <w:rPr>
          <w:i/>
          <w:iCs/>
        </w:rPr>
        <w:t>Act</w:t>
      </w:r>
      <w:r w:rsidR="00535305" w:rsidRPr="00FD6D35">
        <w:t xml:space="preserve"> applies to the student, the </w:t>
      </w:r>
      <w:r w:rsidR="00535305" w:rsidRPr="00FD6D35">
        <w:rPr>
          <w:i/>
          <w:iCs/>
        </w:rPr>
        <w:t>First Provider</w:t>
      </w:r>
      <w:r w:rsidR="00535305" w:rsidRPr="00FD6D35">
        <w:t xml:space="preserve"> must immediately notify its </w:t>
      </w:r>
      <w:r w:rsidR="00535305" w:rsidRPr="00FD6D35">
        <w:rPr>
          <w:i/>
          <w:iCs/>
        </w:rPr>
        <w:t xml:space="preserve">Repayment TAS Operator </w:t>
      </w:r>
      <w:r w:rsidR="00535305" w:rsidRPr="00FD6D35">
        <w:t xml:space="preserve">or </w:t>
      </w:r>
      <w:r w:rsidR="00535305" w:rsidRPr="00FD6D35">
        <w:rPr>
          <w:i/>
          <w:iCs/>
        </w:rPr>
        <w:t>Repayment Guarantor</w:t>
      </w:r>
      <w:r w:rsidR="00535305" w:rsidRPr="00FD6D35">
        <w:t xml:space="preserve"> (whichever is applicable) to that effect.</w:t>
      </w:r>
    </w:p>
    <w:p w:rsidR="00F56BC1" w:rsidRPr="00FD6D35" w:rsidRDefault="00535305" w:rsidP="00250E6D">
      <w:pPr>
        <w:tabs>
          <w:tab w:val="left" w:pos="1000"/>
        </w:tabs>
        <w:ind w:left="800" w:hanging="800"/>
      </w:pPr>
      <w:r w:rsidRPr="00FD6D35">
        <w:tab/>
        <w:t xml:space="preserve">(The Secretary may give this notice if the </w:t>
      </w:r>
      <w:r w:rsidRPr="00FD6D35">
        <w:rPr>
          <w:i/>
          <w:iCs/>
        </w:rPr>
        <w:t>First Provider</w:t>
      </w:r>
      <w:r w:rsidRPr="00FD6D35">
        <w:t xml:space="preserve"> is unable to do so.)</w:t>
      </w:r>
    </w:p>
    <w:p w:rsidR="00250E6D" w:rsidRPr="00FD6D35" w:rsidRDefault="00250E6D" w:rsidP="00250E6D">
      <w:pPr>
        <w:tabs>
          <w:tab w:val="left" w:pos="1000"/>
        </w:tabs>
        <w:ind w:left="800" w:hanging="800"/>
      </w:pPr>
    </w:p>
    <w:p w:rsidR="008B0B36" w:rsidRPr="00FD6D35" w:rsidRDefault="00F96A1C" w:rsidP="00594577">
      <w:pPr>
        <w:tabs>
          <w:tab w:val="left" w:pos="1000"/>
        </w:tabs>
        <w:spacing w:after="120"/>
        <w:ind w:left="799" w:hanging="799"/>
      </w:pPr>
      <w:r w:rsidRPr="00FD6D35">
        <w:t>2.15</w:t>
      </w:r>
      <w:r w:rsidR="00973B90" w:rsidRPr="00FD6D35">
        <w:t>.25</w:t>
      </w:r>
      <w:r w:rsidR="00F56BC1" w:rsidRPr="00FD6D35">
        <w:tab/>
      </w:r>
      <w:r w:rsidR="008B0B36" w:rsidRPr="00FD6D35">
        <w:t>If a</w:t>
      </w:r>
      <w:r w:rsidRPr="00FD6D35">
        <w:t xml:space="preserve"> notice under subparagraph 2.15</w:t>
      </w:r>
      <w:r w:rsidR="00973B90" w:rsidRPr="00FD6D35">
        <w:t>.15</w:t>
      </w:r>
      <w:r w:rsidR="008B0B36" w:rsidRPr="00FD6D35">
        <w:t xml:space="preserve">(d)(ii) states that the </w:t>
      </w:r>
      <w:r w:rsidR="008B0B36" w:rsidRPr="00FD6D35">
        <w:rPr>
          <w:i/>
          <w:iCs/>
        </w:rPr>
        <w:t>Second Provider</w:t>
      </w:r>
      <w:r w:rsidR="008B0B36" w:rsidRPr="00FD6D35">
        <w:t xml:space="preserve"> is satisfied that the requirements of subsection 104-25(1) of the </w:t>
      </w:r>
      <w:r w:rsidR="008B0B36" w:rsidRPr="00FD6D35">
        <w:rPr>
          <w:i/>
          <w:iCs/>
        </w:rPr>
        <w:t>Act</w:t>
      </w:r>
      <w:r w:rsidR="008B0B36" w:rsidRPr="00FD6D35">
        <w:t xml:space="preserve"> are met:</w:t>
      </w:r>
    </w:p>
    <w:p w:rsidR="008B0B36" w:rsidRPr="00FD6D35" w:rsidRDefault="006D5459" w:rsidP="006D5459">
      <w:pPr>
        <w:tabs>
          <w:tab w:val="left" w:pos="1000"/>
        </w:tabs>
        <w:spacing w:after="120"/>
        <w:ind w:left="1156" w:hanging="357"/>
      </w:pPr>
      <w:r w:rsidRPr="00FD6D35">
        <w:lastRenderedPageBreak/>
        <w:t>(a)</w:t>
      </w:r>
      <w:r w:rsidRPr="00FD6D35">
        <w:tab/>
      </w:r>
      <w:r w:rsidR="008B0B36" w:rsidRPr="00FD6D35">
        <w:t>the Second Provider and the persons re</w:t>
      </w:r>
      <w:r w:rsidR="00F96A1C" w:rsidRPr="00FD6D35">
        <w:t>ferred to in sub-paragraph 2.15</w:t>
      </w:r>
      <w:r w:rsidR="00973B90" w:rsidRPr="00FD6D35">
        <w:t>.15</w:t>
      </w:r>
      <w:r w:rsidR="008B0B36" w:rsidRPr="00FD6D35">
        <w:t>(a) will liaise and do all things reasonably necessary to effect re</w:t>
      </w:r>
      <w:r w:rsidR="00A014D0" w:rsidRPr="00FD6D35">
        <w:t>-crediting of the student’s FEE</w:t>
      </w:r>
      <w:r w:rsidR="00A014D0" w:rsidRPr="00FD6D35">
        <w:noBreakHyphen/>
      </w:r>
      <w:r w:rsidR="008B0B36" w:rsidRPr="00FD6D35">
        <w:t>HELP balance in relation to the replaced unit within one month after the First Provider receives the notice; and</w:t>
      </w:r>
    </w:p>
    <w:p w:rsidR="008B0B36" w:rsidRPr="00FD6D35" w:rsidRDefault="006D5459" w:rsidP="006D5459">
      <w:pPr>
        <w:tabs>
          <w:tab w:val="left" w:pos="1000"/>
        </w:tabs>
        <w:spacing w:after="120"/>
        <w:ind w:left="1156" w:hanging="357"/>
      </w:pPr>
      <w:r w:rsidRPr="00FD6D35">
        <w:t>(b)</w:t>
      </w:r>
      <w:r w:rsidRPr="00FD6D35">
        <w:tab/>
      </w:r>
      <w:r w:rsidR="008B0B36" w:rsidRPr="00FD6D35">
        <w:t xml:space="preserve">the </w:t>
      </w:r>
      <w:r w:rsidR="008B0B36" w:rsidRPr="00FD6D35">
        <w:rPr>
          <w:i/>
        </w:rPr>
        <w:t>First Provider</w:t>
      </w:r>
      <w:r w:rsidR="008B0B36" w:rsidRPr="00FD6D35">
        <w:t xml:space="preserve"> must immediately after the re-crediting has been effected, notify its Repayment TAS Operator or Repayment Guarantor (whichever is applicable) to that effect.</w:t>
      </w:r>
    </w:p>
    <w:p w:rsidR="008B0B36" w:rsidRPr="00FD6D35" w:rsidRDefault="008B0B36" w:rsidP="008B0B36">
      <w:pPr>
        <w:tabs>
          <w:tab w:val="left" w:pos="1000"/>
        </w:tabs>
        <w:ind w:left="800" w:hanging="800"/>
      </w:pPr>
      <w:r w:rsidRPr="00FD6D35">
        <w:tab/>
        <w:t>(Under subsection 104-25(3), the Secretary may effect the re-crediting or if the relevant provider is unable to do so, in which case the Secretary may give the notice r</w:t>
      </w:r>
      <w:r w:rsidR="00F96A1C" w:rsidRPr="00FD6D35">
        <w:t>eferred to in subparagraph 2.15</w:t>
      </w:r>
      <w:r w:rsidR="00973B90" w:rsidRPr="00FD6D35">
        <w:t>.25</w:t>
      </w:r>
      <w:r w:rsidRPr="00FD6D35">
        <w:t>(b)</w:t>
      </w:r>
      <w:r w:rsidR="008702AE" w:rsidRPr="00FD6D35">
        <w:t>)</w:t>
      </w:r>
      <w:r w:rsidRPr="00FD6D35">
        <w:t>.</w:t>
      </w:r>
    </w:p>
    <w:p w:rsidR="008B0B36" w:rsidRPr="00FD6D35" w:rsidRDefault="008B0B36" w:rsidP="008B0B36">
      <w:pPr>
        <w:tabs>
          <w:tab w:val="left" w:pos="1000"/>
        </w:tabs>
        <w:ind w:left="800" w:hanging="800"/>
      </w:pPr>
    </w:p>
    <w:p w:rsidR="008B0B36" w:rsidRPr="00FD6D35" w:rsidRDefault="00F96A1C" w:rsidP="008B0B36">
      <w:pPr>
        <w:spacing w:after="120"/>
        <w:ind w:left="800" w:hanging="800"/>
      </w:pPr>
      <w:r w:rsidRPr="00FD6D35">
        <w:t>2.15</w:t>
      </w:r>
      <w:r w:rsidR="00973B90" w:rsidRPr="00FD6D35">
        <w:t>.30</w:t>
      </w:r>
      <w:r w:rsidR="00F56BC1" w:rsidRPr="00FD6D35">
        <w:tab/>
      </w:r>
      <w:r w:rsidR="008B0B36" w:rsidRPr="00FD6D35">
        <w:t xml:space="preserve">Within five </w:t>
      </w:r>
      <w:r w:rsidR="008B0B36" w:rsidRPr="00FD6D35">
        <w:rPr>
          <w:i/>
          <w:iCs/>
        </w:rPr>
        <w:t>Business Days</w:t>
      </w:r>
      <w:r w:rsidR="008B0B36" w:rsidRPr="00FD6D35">
        <w:t xml:space="preserve"> after receiving notification from the </w:t>
      </w:r>
      <w:r w:rsidR="008B0B36" w:rsidRPr="00FD6D35">
        <w:rPr>
          <w:i/>
          <w:iCs/>
        </w:rPr>
        <w:t>First Provider</w:t>
      </w:r>
      <w:r w:rsidR="008B0B36" w:rsidRPr="00FD6D35">
        <w:t xml:space="preserve"> or the</w:t>
      </w:r>
      <w:r w:rsidRPr="00FD6D35">
        <w:t xml:space="preserve"> Secretary under paragraph 2.15</w:t>
      </w:r>
      <w:r w:rsidR="00973B90" w:rsidRPr="00FD6D35">
        <w:t>.20</w:t>
      </w:r>
      <w:r w:rsidR="008B0B36" w:rsidRPr="00FD6D35">
        <w:t xml:space="preserve">, the </w:t>
      </w:r>
      <w:r w:rsidR="008B0B36" w:rsidRPr="00FD6D35">
        <w:rPr>
          <w:i/>
          <w:iCs/>
        </w:rPr>
        <w:t>Repayment TAS Operator</w:t>
      </w:r>
      <w:r w:rsidR="008B0B36" w:rsidRPr="00FD6D35">
        <w:t xml:space="preserve"> or </w:t>
      </w:r>
      <w:r w:rsidR="008B0B36" w:rsidRPr="00FD6D35">
        <w:rPr>
          <w:i/>
          <w:iCs/>
        </w:rPr>
        <w:t>Repayment Guarantor</w:t>
      </w:r>
      <w:r w:rsidR="008B0B36" w:rsidRPr="00FD6D35">
        <w:t xml:space="preserve"> (whichever is applicable) must, for the purposes of subsections 36-20(4) and 110-5(1B) of the </w:t>
      </w:r>
      <w:r w:rsidR="008B0B36" w:rsidRPr="00FD6D35">
        <w:rPr>
          <w:i/>
          <w:iCs/>
        </w:rPr>
        <w:t>Act</w:t>
      </w:r>
      <w:r w:rsidR="008B0B36" w:rsidRPr="00FD6D35">
        <w:t xml:space="preserve">, and in consequence of the remission of any HECS-HELP debt or FEE-HELP debt under subsections 137-5(4) or 137-10(4) of the </w:t>
      </w:r>
      <w:r w:rsidR="008B0B36" w:rsidRPr="00FD6D35">
        <w:rPr>
          <w:i/>
          <w:iCs/>
        </w:rPr>
        <w:t>Act</w:t>
      </w:r>
      <w:r w:rsidR="008B0B36" w:rsidRPr="00FD6D35">
        <w:t>:</w:t>
      </w:r>
    </w:p>
    <w:p w:rsidR="008B0B36" w:rsidRPr="00FD6D35" w:rsidRDefault="006D5459" w:rsidP="006D5459">
      <w:pPr>
        <w:tabs>
          <w:tab w:val="left" w:pos="1164"/>
        </w:tabs>
        <w:spacing w:after="120"/>
        <w:ind w:left="1164" w:hanging="360"/>
      </w:pPr>
      <w:r w:rsidRPr="00FD6D35">
        <w:t>(a)</w:t>
      </w:r>
      <w:r w:rsidRPr="00FD6D35">
        <w:tab/>
      </w:r>
      <w:r w:rsidR="008B0B36" w:rsidRPr="00FD6D35">
        <w:t xml:space="preserve">pay the student the total amount of any up-front-payments paid for the </w:t>
      </w:r>
      <w:r w:rsidR="008B0B36" w:rsidRPr="00FD6D35">
        <w:rPr>
          <w:i/>
          <w:iCs/>
        </w:rPr>
        <w:t>replaced unit</w:t>
      </w:r>
      <w:r w:rsidR="008B0B36" w:rsidRPr="00FD6D35">
        <w:t xml:space="preserve"> to the </w:t>
      </w:r>
      <w:r w:rsidR="008B0B36" w:rsidRPr="00FD6D35">
        <w:rPr>
          <w:i/>
          <w:iCs/>
        </w:rPr>
        <w:t>First Provider</w:t>
      </w:r>
      <w:r w:rsidR="008B0B36" w:rsidRPr="00FD6D35">
        <w:t xml:space="preserve"> by the student (or on behalf of the student by any party other than the Commonwealth); and </w:t>
      </w:r>
    </w:p>
    <w:p w:rsidR="008B0B36" w:rsidRPr="00FD6D35" w:rsidRDefault="006D5459" w:rsidP="006D5459">
      <w:pPr>
        <w:tabs>
          <w:tab w:val="left" w:pos="1164"/>
        </w:tabs>
        <w:ind w:left="1162" w:hanging="357"/>
      </w:pPr>
      <w:r w:rsidRPr="00FD6D35">
        <w:t>(b)</w:t>
      </w:r>
      <w:r w:rsidRPr="00FD6D35">
        <w:tab/>
      </w:r>
      <w:r w:rsidR="008B0B36" w:rsidRPr="00FD6D35">
        <w:t xml:space="preserve">pay the Commonwealth any amounts paid for the </w:t>
      </w:r>
      <w:r w:rsidR="008B0B36" w:rsidRPr="00FD6D35">
        <w:rPr>
          <w:i/>
          <w:iCs/>
        </w:rPr>
        <w:t>replaced unit</w:t>
      </w:r>
      <w:r w:rsidR="008B0B36" w:rsidRPr="00FD6D35">
        <w:t xml:space="preserve"> by the Commonwealth to the </w:t>
      </w:r>
      <w:r w:rsidR="008B0B36" w:rsidRPr="00FD6D35">
        <w:rPr>
          <w:i/>
          <w:iCs/>
        </w:rPr>
        <w:t>First Provider</w:t>
      </w:r>
      <w:r w:rsidR="008B0B36" w:rsidRPr="00FD6D35">
        <w:t xml:space="preserve"> in discharge of the student’s liability to pay his or her student contribution amount or tuition fee for the </w:t>
      </w:r>
      <w:r w:rsidR="008B0B36" w:rsidRPr="00FD6D35">
        <w:rPr>
          <w:i/>
          <w:iCs/>
        </w:rPr>
        <w:t>replaced unit.</w:t>
      </w:r>
    </w:p>
    <w:p w:rsidR="00F56BC1" w:rsidRPr="00FD6D35" w:rsidRDefault="00F56BC1" w:rsidP="00F56BC1">
      <w:pPr>
        <w:ind w:left="800"/>
      </w:pPr>
    </w:p>
    <w:p w:rsidR="00F56BC1" w:rsidRPr="00FD6D35" w:rsidRDefault="00F96A1C" w:rsidP="00250E6D">
      <w:pPr>
        <w:rPr>
          <w:b/>
          <w:bCs/>
        </w:rPr>
      </w:pPr>
      <w:r w:rsidRPr="00FD6D35">
        <w:rPr>
          <w:b/>
          <w:bCs/>
        </w:rPr>
        <w:t>2.20</w:t>
      </w:r>
      <w:r w:rsidR="00F56BC1" w:rsidRPr="00FD6D35">
        <w:rPr>
          <w:b/>
          <w:bCs/>
        </w:rPr>
        <w:tab/>
        <w:t>PART 4: ADMINISTRATIVE AND OTHER REQUIREMENTS</w:t>
      </w:r>
    </w:p>
    <w:p w:rsidR="00F56BC1" w:rsidRPr="00FD6D35" w:rsidRDefault="00F56BC1" w:rsidP="00F56BC1"/>
    <w:p w:rsidR="00F56BC1" w:rsidRPr="00FD6D35" w:rsidRDefault="00F56BC1" w:rsidP="00F56BC1">
      <w:pPr>
        <w:rPr>
          <w:b/>
        </w:rPr>
      </w:pPr>
      <w:r w:rsidRPr="00FD6D35">
        <w:rPr>
          <w:b/>
        </w:rPr>
        <w:t xml:space="preserve">Statement of Tuition Assurance </w:t>
      </w:r>
    </w:p>
    <w:p w:rsidR="00F56BC1" w:rsidRPr="00FD6D35" w:rsidRDefault="00F56BC1" w:rsidP="00F56BC1"/>
    <w:p w:rsidR="00F56BC1" w:rsidRPr="00FD6D35" w:rsidRDefault="00F96A1C" w:rsidP="00250E6D">
      <w:pPr>
        <w:tabs>
          <w:tab w:val="left" w:pos="800"/>
        </w:tabs>
        <w:ind w:left="800" w:hanging="800"/>
      </w:pPr>
      <w:r w:rsidRPr="00FD6D35">
        <w:t>2.20.</w:t>
      </w:r>
      <w:r w:rsidR="00F56BC1" w:rsidRPr="00FD6D35">
        <w:t>1</w:t>
      </w:r>
      <w:r w:rsidR="00F56BC1" w:rsidRPr="00FD6D35">
        <w:tab/>
        <w:t xml:space="preserve">A </w:t>
      </w:r>
      <w:r w:rsidR="00F56BC1" w:rsidRPr="00FD6D35">
        <w:rPr>
          <w:i/>
          <w:iCs/>
        </w:rPr>
        <w:t>First Provider</w:t>
      </w:r>
      <w:r w:rsidR="00F56BC1" w:rsidRPr="00FD6D35">
        <w:t xml:space="preserve"> must publish to all enrolling students a complete and unambiguous “</w:t>
      </w:r>
      <w:r w:rsidR="00F56BC1" w:rsidRPr="00FD6D35">
        <w:rPr>
          <w:bCs/>
        </w:rPr>
        <w:t>Statement of Tuition Assurance</w:t>
      </w:r>
      <w:r w:rsidR="00F56BC1" w:rsidRPr="00FD6D35">
        <w:t xml:space="preserve">” explaining the </w:t>
      </w:r>
      <w:r w:rsidR="00F56BC1" w:rsidRPr="00FD6D35">
        <w:rPr>
          <w:i/>
          <w:iCs/>
        </w:rPr>
        <w:t>tuition assurance requirements</w:t>
      </w:r>
      <w:r w:rsidR="00F56BC1" w:rsidRPr="00FD6D35">
        <w:t xml:space="preserve"> and the </w:t>
      </w:r>
      <w:r w:rsidR="00F56BC1" w:rsidRPr="00FD6D35">
        <w:rPr>
          <w:i/>
          <w:iCs/>
        </w:rPr>
        <w:t>tuition assurance scheme</w:t>
      </w:r>
      <w:r w:rsidR="00F56BC1" w:rsidRPr="00FD6D35">
        <w:t xml:space="preserve"> that is in place to meet the </w:t>
      </w:r>
      <w:r w:rsidR="00F56BC1" w:rsidRPr="00FD6D35">
        <w:rPr>
          <w:i/>
          <w:iCs/>
        </w:rPr>
        <w:t xml:space="preserve">tuition assurance requirements </w:t>
      </w:r>
      <w:r w:rsidR="00F56BC1" w:rsidRPr="00FD6D35">
        <w:t>for each of its higher education courses of study.</w:t>
      </w:r>
    </w:p>
    <w:p w:rsidR="00250E6D" w:rsidRPr="00FD6D35" w:rsidRDefault="00250E6D" w:rsidP="00250E6D">
      <w:pPr>
        <w:tabs>
          <w:tab w:val="left" w:pos="800"/>
        </w:tabs>
        <w:ind w:left="800" w:hanging="800"/>
      </w:pPr>
    </w:p>
    <w:p w:rsidR="00F56BC1" w:rsidRPr="00FD6D35" w:rsidRDefault="00F96A1C" w:rsidP="00250E6D">
      <w:pPr>
        <w:tabs>
          <w:tab w:val="left" w:pos="800"/>
        </w:tabs>
        <w:ind w:left="800" w:hanging="800"/>
      </w:pPr>
      <w:r w:rsidRPr="00FD6D35">
        <w:t>2.20</w:t>
      </w:r>
      <w:r w:rsidR="00F56BC1" w:rsidRPr="00FD6D35">
        <w:t>.5</w:t>
      </w:r>
      <w:r w:rsidR="00F56BC1" w:rsidRPr="00FD6D35">
        <w:tab/>
        <w:t>Exempt providers must publish to all enrolling students a “</w:t>
      </w:r>
      <w:r w:rsidR="00F56BC1" w:rsidRPr="00FD6D35">
        <w:rPr>
          <w:bCs/>
        </w:rPr>
        <w:t>Statement of Tuition Assurance</w:t>
      </w:r>
      <w:r w:rsidR="00F56BC1" w:rsidRPr="00FD6D35">
        <w:t xml:space="preserve"> </w:t>
      </w:r>
      <w:r w:rsidR="00F56BC1" w:rsidRPr="00FD6D35">
        <w:rPr>
          <w:bCs/>
        </w:rPr>
        <w:t>Exemption</w:t>
      </w:r>
      <w:r w:rsidR="00F56BC1" w:rsidRPr="00FD6D35">
        <w:t xml:space="preserve">” explaining the exemption/s they have been granted from complying with the </w:t>
      </w:r>
      <w:r w:rsidR="00F56BC1" w:rsidRPr="00FD6D35">
        <w:rPr>
          <w:i/>
          <w:iCs/>
        </w:rPr>
        <w:t>tuition assurance requirements</w:t>
      </w:r>
      <w:r w:rsidR="00F56BC1" w:rsidRPr="00FD6D35">
        <w:t xml:space="preserve"> and what this means in the event the </w:t>
      </w:r>
      <w:r w:rsidR="00F56BC1" w:rsidRPr="00FD6D35">
        <w:rPr>
          <w:i/>
          <w:iCs/>
        </w:rPr>
        <w:t>Exempt Provider</w:t>
      </w:r>
      <w:r w:rsidR="00F56BC1" w:rsidRPr="00FD6D35">
        <w:t xml:space="preserve"> ceases to provide the course(s) concerned.</w:t>
      </w:r>
    </w:p>
    <w:p w:rsidR="00250E6D" w:rsidRPr="00FD6D35" w:rsidRDefault="00250E6D" w:rsidP="00250E6D">
      <w:pPr>
        <w:tabs>
          <w:tab w:val="left" w:pos="800"/>
        </w:tabs>
        <w:ind w:left="800" w:hanging="800"/>
      </w:pPr>
    </w:p>
    <w:p w:rsidR="00F56BC1" w:rsidRPr="00FD6D35" w:rsidRDefault="00F50BC0" w:rsidP="00F56BC1">
      <w:pPr>
        <w:tabs>
          <w:tab w:val="left" w:pos="800"/>
        </w:tabs>
        <w:ind w:left="800" w:hanging="800"/>
      </w:pPr>
      <w:r w:rsidRPr="00FD6D35">
        <w:t>2.20</w:t>
      </w:r>
      <w:r w:rsidR="00F56BC1" w:rsidRPr="00FD6D35">
        <w:t>.10</w:t>
      </w:r>
      <w:r w:rsidR="00F56BC1" w:rsidRPr="00FD6D35">
        <w:tab/>
        <w:t xml:space="preserve">The method of publication to be used for both the </w:t>
      </w:r>
      <w:r w:rsidR="00F56BC1" w:rsidRPr="00FD6D35">
        <w:rPr>
          <w:i/>
          <w:iCs/>
        </w:rPr>
        <w:t>Statement of Tuition Assurance</w:t>
      </w:r>
      <w:r w:rsidR="00F56BC1" w:rsidRPr="00FD6D35">
        <w:t xml:space="preserve"> and the </w:t>
      </w:r>
      <w:r w:rsidR="00F56BC1" w:rsidRPr="00FD6D35">
        <w:rPr>
          <w:i/>
          <w:iCs/>
        </w:rPr>
        <w:t>Statement of Tuition Assurance Exemption</w:t>
      </w:r>
      <w:r w:rsidR="00F56BC1" w:rsidRPr="00FD6D35">
        <w:t xml:space="preserve"> is to be determined by the </w:t>
      </w:r>
      <w:r w:rsidR="00F56BC1" w:rsidRPr="00FD6D35">
        <w:rPr>
          <w:i/>
          <w:iCs/>
        </w:rPr>
        <w:t xml:space="preserve">First Provider </w:t>
      </w:r>
      <w:r w:rsidR="00F56BC1" w:rsidRPr="00FD6D35">
        <w:t xml:space="preserve">and may include printed handbooks, publication on the </w:t>
      </w:r>
      <w:r w:rsidR="00F56BC1" w:rsidRPr="00FD6D35">
        <w:rPr>
          <w:i/>
          <w:iCs/>
        </w:rPr>
        <w:t xml:space="preserve">First Provider's </w:t>
      </w:r>
      <w:r w:rsidR="00F56BC1" w:rsidRPr="00FD6D35">
        <w:t xml:space="preserve">web site, or any other method determined by the </w:t>
      </w:r>
      <w:r w:rsidR="00F56BC1" w:rsidRPr="00FD6D35">
        <w:rPr>
          <w:i/>
          <w:iCs/>
        </w:rPr>
        <w:t xml:space="preserve">First Provider </w:t>
      </w:r>
      <w:r w:rsidR="00F56BC1" w:rsidRPr="00FD6D35">
        <w:t xml:space="preserve">which would bring the information to the attention of students and prospective students.  The </w:t>
      </w:r>
      <w:r w:rsidR="00F56BC1" w:rsidRPr="00FD6D35">
        <w:rPr>
          <w:i/>
          <w:iCs/>
        </w:rPr>
        <w:t xml:space="preserve">First Provider </w:t>
      </w:r>
      <w:r w:rsidR="00F56BC1" w:rsidRPr="00FD6D35">
        <w:t xml:space="preserve">must also ensure that at enrolment each enrolling student is provided with clear information about where either the </w:t>
      </w:r>
      <w:r w:rsidR="00F56BC1" w:rsidRPr="00FD6D35">
        <w:rPr>
          <w:i/>
          <w:iCs/>
        </w:rPr>
        <w:t>Statement of Tuition Assurance</w:t>
      </w:r>
      <w:r w:rsidR="00F56BC1" w:rsidRPr="00FD6D35">
        <w:t xml:space="preserve"> or the </w:t>
      </w:r>
      <w:r w:rsidR="00F56BC1" w:rsidRPr="00FD6D35">
        <w:rPr>
          <w:i/>
          <w:iCs/>
        </w:rPr>
        <w:t>Statement of Tuition Assurance Exemption</w:t>
      </w:r>
      <w:r w:rsidR="00F56BC1" w:rsidRPr="00FD6D35">
        <w:t xml:space="preserve"> (whichever is applicable) may be obtained.</w:t>
      </w:r>
    </w:p>
    <w:p w:rsidR="00F56BC1" w:rsidRPr="00FD6D35" w:rsidRDefault="00F56BC1" w:rsidP="00F56BC1"/>
    <w:p w:rsidR="008B0B36" w:rsidRPr="00FD6D35" w:rsidRDefault="00F50BC0" w:rsidP="00250E6D">
      <w:pPr>
        <w:tabs>
          <w:tab w:val="left" w:pos="800"/>
        </w:tabs>
        <w:spacing w:after="120"/>
        <w:ind w:left="799" w:hanging="799"/>
        <w:rPr>
          <w:bCs/>
        </w:rPr>
      </w:pPr>
      <w:r w:rsidRPr="00FD6D35">
        <w:t>2.20</w:t>
      </w:r>
      <w:r w:rsidR="00F56BC1" w:rsidRPr="00FD6D35">
        <w:t>.15</w:t>
      </w:r>
      <w:r w:rsidR="00F56BC1" w:rsidRPr="00FD6D35">
        <w:tab/>
      </w:r>
      <w:r w:rsidR="008B0B36" w:rsidRPr="00FD6D35">
        <w:rPr>
          <w:bCs/>
        </w:rPr>
        <w:t xml:space="preserve">The </w:t>
      </w:r>
      <w:r w:rsidR="008B0B36" w:rsidRPr="00FD6D35">
        <w:rPr>
          <w:bCs/>
          <w:i/>
          <w:iCs/>
        </w:rPr>
        <w:t>Statement of Tuition Assurance</w:t>
      </w:r>
      <w:r w:rsidR="008B0B36" w:rsidRPr="00FD6D35">
        <w:rPr>
          <w:bCs/>
        </w:rPr>
        <w:t xml:space="preserve"> must explain to students, that if the </w:t>
      </w:r>
      <w:r w:rsidR="008B0B36" w:rsidRPr="00FD6D35">
        <w:rPr>
          <w:bCs/>
          <w:i/>
          <w:iCs/>
        </w:rPr>
        <w:t xml:space="preserve">First Provider </w:t>
      </w:r>
      <w:r w:rsidR="008B0B36" w:rsidRPr="00FD6D35">
        <w:rPr>
          <w:bCs/>
        </w:rPr>
        <w:t>ceases to provide the course of study in which they are enrolled:</w:t>
      </w:r>
    </w:p>
    <w:p w:rsidR="008B0B36" w:rsidRPr="00FD6D35" w:rsidRDefault="006D5459" w:rsidP="006D5459">
      <w:pPr>
        <w:tabs>
          <w:tab w:val="left" w:pos="800"/>
        </w:tabs>
        <w:spacing w:after="120"/>
        <w:ind w:left="1211" w:hanging="360"/>
        <w:rPr>
          <w:bCs/>
        </w:rPr>
      </w:pPr>
      <w:r w:rsidRPr="00FD6D35">
        <w:rPr>
          <w:bCs/>
        </w:rPr>
        <w:t>(a)</w:t>
      </w:r>
      <w:r w:rsidRPr="00FD6D35">
        <w:rPr>
          <w:bCs/>
        </w:rPr>
        <w:tab/>
      </w:r>
      <w:r w:rsidR="008B0B36" w:rsidRPr="00FD6D35">
        <w:rPr>
          <w:bCs/>
        </w:rPr>
        <w:t xml:space="preserve">the </w:t>
      </w:r>
      <w:r w:rsidR="008B0B36" w:rsidRPr="00FD6D35">
        <w:rPr>
          <w:bCs/>
          <w:i/>
          <w:iCs/>
        </w:rPr>
        <w:t>First Provider</w:t>
      </w:r>
      <w:r w:rsidR="008B0B36" w:rsidRPr="00FD6D35">
        <w:rPr>
          <w:bCs/>
        </w:rPr>
        <w:t xml:space="preserve"> must meet the </w:t>
      </w:r>
      <w:r w:rsidR="008B0B36" w:rsidRPr="00FD6D35">
        <w:rPr>
          <w:bCs/>
          <w:i/>
          <w:iCs/>
        </w:rPr>
        <w:t>tuition assurance requirements</w:t>
      </w:r>
      <w:r w:rsidR="008B0B36" w:rsidRPr="00FD6D35">
        <w:rPr>
          <w:bCs/>
        </w:rPr>
        <w:t>;</w:t>
      </w:r>
    </w:p>
    <w:p w:rsidR="008B0B36" w:rsidRPr="00FD6D35" w:rsidRDefault="006D5459" w:rsidP="006D5459">
      <w:pPr>
        <w:tabs>
          <w:tab w:val="left" w:pos="800"/>
        </w:tabs>
        <w:spacing w:after="120"/>
        <w:ind w:left="1211" w:hanging="360"/>
        <w:rPr>
          <w:bCs/>
        </w:rPr>
      </w:pPr>
      <w:r w:rsidRPr="00FD6D35">
        <w:rPr>
          <w:bCs/>
        </w:rPr>
        <w:t>(b)</w:t>
      </w:r>
      <w:r w:rsidRPr="00FD6D35">
        <w:rPr>
          <w:bCs/>
        </w:rPr>
        <w:tab/>
      </w:r>
      <w:r w:rsidR="008B0B36" w:rsidRPr="00FD6D35">
        <w:rPr>
          <w:bCs/>
        </w:rPr>
        <w:t xml:space="preserve">the </w:t>
      </w:r>
      <w:r w:rsidR="008B0B36" w:rsidRPr="00FD6D35">
        <w:rPr>
          <w:bCs/>
          <w:i/>
          <w:iCs/>
        </w:rPr>
        <w:t>First Provider</w:t>
      </w:r>
      <w:r w:rsidR="008B0B36" w:rsidRPr="00FD6D35">
        <w:rPr>
          <w:bCs/>
        </w:rPr>
        <w:t xml:space="preserve"> has a tuition assurance arrangement in place to meet the </w:t>
      </w:r>
      <w:r w:rsidR="008B0B36" w:rsidRPr="00FD6D35">
        <w:rPr>
          <w:bCs/>
          <w:i/>
          <w:iCs/>
        </w:rPr>
        <w:t>tuition assurance requirements</w:t>
      </w:r>
      <w:r w:rsidR="008B0B36" w:rsidRPr="00FD6D35">
        <w:rPr>
          <w:bCs/>
        </w:rPr>
        <w:t xml:space="preserve"> and the nature of that tuition assurance arrangement;</w:t>
      </w:r>
    </w:p>
    <w:p w:rsidR="006955DD" w:rsidRPr="00FD6D35" w:rsidRDefault="006955DD" w:rsidP="006955DD">
      <w:pPr>
        <w:tabs>
          <w:tab w:val="left" w:pos="800"/>
        </w:tabs>
        <w:spacing w:after="120"/>
        <w:rPr>
          <w:bCs/>
        </w:rPr>
      </w:pPr>
    </w:p>
    <w:p w:rsidR="008B0B36" w:rsidRPr="00FD6D35" w:rsidRDefault="006D5459" w:rsidP="006D5459">
      <w:pPr>
        <w:tabs>
          <w:tab w:val="left" w:pos="800"/>
        </w:tabs>
        <w:spacing w:after="120"/>
        <w:ind w:left="1211" w:hanging="360"/>
        <w:rPr>
          <w:bCs/>
        </w:rPr>
      </w:pPr>
      <w:r w:rsidRPr="00FD6D35">
        <w:rPr>
          <w:bCs/>
        </w:rPr>
        <w:t>(c)</w:t>
      </w:r>
      <w:r w:rsidRPr="00FD6D35">
        <w:rPr>
          <w:bCs/>
        </w:rPr>
        <w:tab/>
      </w:r>
      <w:r w:rsidR="008B0B36" w:rsidRPr="00FD6D35">
        <w:rPr>
          <w:bCs/>
        </w:rPr>
        <w:t>students will have the choice of:</w:t>
      </w:r>
    </w:p>
    <w:p w:rsidR="008B0B36" w:rsidRPr="00FD6D35" w:rsidRDefault="006D5459" w:rsidP="006D5459">
      <w:pPr>
        <w:tabs>
          <w:tab w:val="left" w:pos="800"/>
        </w:tabs>
        <w:spacing w:after="120"/>
        <w:ind w:left="1694" w:hanging="418"/>
      </w:pPr>
      <w:r w:rsidRPr="00FD6D35">
        <w:lastRenderedPageBreak/>
        <w:t>(i)</w:t>
      </w:r>
      <w:r w:rsidRPr="00FD6D35">
        <w:tab/>
      </w:r>
      <w:r w:rsidR="008B0B36" w:rsidRPr="00FD6D35">
        <w:t>an offer of a place in a similar course of study with a Second Provider without any requirement to pay the Second Provider any student contribution or tuition fee for any replacement units (the “course assurance option”</w:t>
      </w:r>
      <w:r w:rsidR="00F60AE3" w:rsidRPr="00FD6D35">
        <w:t>)</w:t>
      </w:r>
      <w:r w:rsidR="008B0B36" w:rsidRPr="00FD6D35">
        <w:t>; or</w:t>
      </w:r>
    </w:p>
    <w:p w:rsidR="008B0B36" w:rsidRPr="00FD6D35" w:rsidRDefault="006D5459" w:rsidP="006D5459">
      <w:pPr>
        <w:tabs>
          <w:tab w:val="left" w:pos="800"/>
        </w:tabs>
        <w:spacing w:after="120"/>
        <w:ind w:left="1694" w:hanging="418"/>
        <w:rPr>
          <w:bCs/>
        </w:rPr>
      </w:pPr>
      <w:r w:rsidRPr="00FD6D35">
        <w:rPr>
          <w:bCs/>
        </w:rPr>
        <w:t>(ii)</w:t>
      </w:r>
      <w:r w:rsidRPr="00FD6D35">
        <w:rPr>
          <w:bCs/>
        </w:rPr>
        <w:tab/>
      </w:r>
      <w:r w:rsidR="008B0B36" w:rsidRPr="00FD6D35">
        <w:t>a refund of their up-front payments for any unit of study that the student commences but does not complete because the First Provider ceases to provide the course of study of which the unit forms part (an “Affected Unit”) (and, if the student chooses this option, a corresponding remission of the student’s HECS</w:t>
      </w:r>
      <w:r w:rsidR="008B0B36" w:rsidRPr="00FD6D35">
        <w:noBreakHyphen/>
        <w:t>HELP debt or re</w:t>
      </w:r>
      <w:r w:rsidR="005D77CC" w:rsidRPr="00FD6D35">
        <w:noBreakHyphen/>
      </w:r>
      <w:r w:rsidR="008B0B36" w:rsidRPr="00FD6D35">
        <w:t>crediting of any FEE-HELP balance relating to that unit) (the “student contribution</w:t>
      </w:r>
      <w:r w:rsidR="008B0B36" w:rsidRPr="00FD6D35">
        <w:rPr>
          <w:bCs/>
        </w:rPr>
        <w:t xml:space="preserve"> / tuition fee repayment option”); and</w:t>
      </w:r>
    </w:p>
    <w:p w:rsidR="008B0B36" w:rsidRPr="00FD6D35" w:rsidRDefault="006D5459" w:rsidP="006D5459">
      <w:pPr>
        <w:tabs>
          <w:tab w:val="left" w:pos="800"/>
        </w:tabs>
        <w:spacing w:after="120"/>
        <w:ind w:left="1211" w:hanging="360"/>
        <w:rPr>
          <w:bCs/>
        </w:rPr>
      </w:pPr>
      <w:r w:rsidRPr="00FD6D35">
        <w:rPr>
          <w:bCs/>
        </w:rPr>
        <w:t>(d)</w:t>
      </w:r>
      <w:r w:rsidRPr="00FD6D35">
        <w:rPr>
          <w:bCs/>
        </w:rPr>
        <w:tab/>
      </w:r>
      <w:r w:rsidR="008B0B36" w:rsidRPr="00FD6D35">
        <w:rPr>
          <w:bCs/>
        </w:rPr>
        <w:t xml:space="preserve">if students choose the </w:t>
      </w:r>
      <w:r w:rsidR="008B0B36" w:rsidRPr="00FD6D35">
        <w:rPr>
          <w:bCs/>
          <w:i/>
          <w:iCs/>
        </w:rPr>
        <w:t>course assurance option</w:t>
      </w:r>
      <w:r w:rsidR="008B0B36" w:rsidRPr="00FD6D35">
        <w:rPr>
          <w:bCs/>
        </w:rPr>
        <w:t>:</w:t>
      </w:r>
    </w:p>
    <w:p w:rsidR="008B0B36" w:rsidRPr="00FD6D35" w:rsidRDefault="006D5459" w:rsidP="006D5459">
      <w:pPr>
        <w:tabs>
          <w:tab w:val="left" w:pos="800"/>
        </w:tabs>
        <w:spacing w:after="120"/>
        <w:ind w:left="1694" w:hanging="418"/>
      </w:pPr>
      <w:r w:rsidRPr="00FD6D35">
        <w:t>(i)</w:t>
      </w:r>
      <w:r w:rsidRPr="00FD6D35">
        <w:tab/>
      </w:r>
      <w:r w:rsidR="008B0B36" w:rsidRPr="00FD6D35">
        <w:t>the nature of the similar course of study that would be offered to students;</w:t>
      </w:r>
    </w:p>
    <w:p w:rsidR="008B0B36" w:rsidRPr="00FD6D35" w:rsidRDefault="006D5459" w:rsidP="006D5459">
      <w:pPr>
        <w:tabs>
          <w:tab w:val="left" w:pos="800"/>
        </w:tabs>
        <w:spacing w:after="120"/>
        <w:ind w:left="1694" w:hanging="418"/>
        <w:rPr>
          <w:bCs/>
        </w:rPr>
      </w:pPr>
      <w:r w:rsidRPr="00FD6D35">
        <w:rPr>
          <w:bCs/>
        </w:rPr>
        <w:t>(ii)</w:t>
      </w:r>
      <w:r w:rsidRPr="00FD6D35">
        <w:rPr>
          <w:bCs/>
        </w:rPr>
        <w:tab/>
      </w:r>
      <w:r w:rsidR="008B0B36" w:rsidRPr="00FD6D35">
        <w:t xml:space="preserve">the name of the </w:t>
      </w:r>
      <w:r w:rsidR="008B0B36" w:rsidRPr="00FD6D35">
        <w:rPr>
          <w:i/>
        </w:rPr>
        <w:t>Second Provider</w:t>
      </w:r>
      <w:r w:rsidR="008B0B36" w:rsidRPr="00FD6D35">
        <w:rPr>
          <w:bCs/>
        </w:rPr>
        <w:t xml:space="preserve"> that would be providing this similar course of study;</w:t>
      </w:r>
    </w:p>
    <w:p w:rsidR="008B0B36" w:rsidRPr="00FD6D35" w:rsidRDefault="006D5459" w:rsidP="006D5459">
      <w:pPr>
        <w:tabs>
          <w:tab w:val="left" w:pos="800"/>
        </w:tabs>
        <w:spacing w:after="120"/>
        <w:ind w:left="1694" w:hanging="418"/>
        <w:rPr>
          <w:bCs/>
        </w:rPr>
      </w:pPr>
      <w:r w:rsidRPr="00FD6D35">
        <w:rPr>
          <w:bCs/>
        </w:rPr>
        <w:t>(iii)</w:t>
      </w:r>
      <w:r w:rsidRPr="00FD6D35">
        <w:rPr>
          <w:bCs/>
        </w:rPr>
        <w:tab/>
      </w:r>
      <w:r w:rsidR="008B0B36" w:rsidRPr="00FD6D35">
        <w:rPr>
          <w:bCs/>
        </w:rPr>
        <w:t xml:space="preserve">the qualification to which this similar course of study would lead; how much credit a student would receive for the units of study they have completed with the </w:t>
      </w:r>
      <w:r w:rsidR="008B0B36" w:rsidRPr="00FD6D35">
        <w:rPr>
          <w:bCs/>
          <w:i/>
          <w:iCs/>
        </w:rPr>
        <w:t>First Provider</w:t>
      </w:r>
      <w:r w:rsidR="008B0B36" w:rsidRPr="00FD6D35">
        <w:rPr>
          <w:bCs/>
        </w:rPr>
        <w:t xml:space="preserve"> towards the similar course of study [Note: This will be full credit unless otherwise approved by the </w:t>
      </w:r>
      <w:r w:rsidR="00BE1312" w:rsidRPr="00FD6D35">
        <w:rPr>
          <w:bCs/>
        </w:rPr>
        <w:t>Secretary</w:t>
      </w:r>
      <w:r w:rsidR="00F50BC0" w:rsidRPr="00FD6D35">
        <w:rPr>
          <w:bCs/>
        </w:rPr>
        <w:t xml:space="preserve"> under subparagraph 2.10</w:t>
      </w:r>
      <w:r w:rsidR="008B0B36" w:rsidRPr="00FD6D35">
        <w:rPr>
          <w:bCs/>
        </w:rPr>
        <w:t xml:space="preserve">.5(b)(ii)]; </w:t>
      </w:r>
    </w:p>
    <w:p w:rsidR="008B0B36" w:rsidRPr="00FD6D35" w:rsidRDefault="006D5459" w:rsidP="006D5459">
      <w:pPr>
        <w:tabs>
          <w:tab w:val="left" w:pos="800"/>
        </w:tabs>
        <w:spacing w:after="120"/>
        <w:ind w:left="1694" w:hanging="418"/>
        <w:rPr>
          <w:bCs/>
        </w:rPr>
      </w:pPr>
      <w:r w:rsidRPr="00FD6D35">
        <w:rPr>
          <w:bCs/>
        </w:rPr>
        <w:t>(iv)</w:t>
      </w:r>
      <w:r w:rsidRPr="00FD6D35">
        <w:rPr>
          <w:bCs/>
        </w:rPr>
        <w:tab/>
      </w:r>
      <w:r w:rsidR="008B0B36" w:rsidRPr="00FD6D35">
        <w:rPr>
          <w:bCs/>
        </w:rPr>
        <w:t xml:space="preserve">that the </w:t>
      </w:r>
      <w:r w:rsidR="008B0B36" w:rsidRPr="00FD6D35">
        <w:rPr>
          <w:bCs/>
          <w:i/>
          <w:iCs/>
        </w:rPr>
        <w:t>Second Provider</w:t>
      </w:r>
      <w:r w:rsidR="008B0B36" w:rsidRPr="00FD6D35">
        <w:rPr>
          <w:bCs/>
        </w:rPr>
        <w:t xml:space="preserve"> might have different student contribution amounts or tuition fees for units of study in the remainder of the similar course of study, to the amounts or fees students would have paid for units of study which were part of the course of study the First Provider ceased to provide; and</w:t>
      </w:r>
    </w:p>
    <w:p w:rsidR="008B0B36" w:rsidRPr="00FD6D35" w:rsidRDefault="006D5459" w:rsidP="006D5459">
      <w:pPr>
        <w:tabs>
          <w:tab w:val="left" w:pos="800"/>
        </w:tabs>
        <w:ind w:left="1696" w:hanging="420"/>
        <w:rPr>
          <w:bCs/>
        </w:rPr>
      </w:pPr>
      <w:r w:rsidRPr="00FD6D35">
        <w:rPr>
          <w:bCs/>
        </w:rPr>
        <w:t>(v)</w:t>
      </w:r>
      <w:r w:rsidRPr="00FD6D35">
        <w:rPr>
          <w:bCs/>
        </w:rPr>
        <w:tab/>
      </w:r>
      <w:r w:rsidR="008B0B36" w:rsidRPr="00FD6D35">
        <w:rPr>
          <w:bCs/>
        </w:rPr>
        <w:t xml:space="preserve">that students are not obliged to enrol in the course offered with the </w:t>
      </w:r>
      <w:r w:rsidR="008B0B36" w:rsidRPr="00FD6D35">
        <w:rPr>
          <w:bCs/>
          <w:i/>
          <w:iCs/>
        </w:rPr>
        <w:t>Second Provider</w:t>
      </w:r>
      <w:r w:rsidR="008B0B36" w:rsidRPr="00FD6D35">
        <w:rPr>
          <w:bCs/>
        </w:rPr>
        <w:t xml:space="preserve"> under the course assurance option, but that if they enrol with any other provider there is no obligation on that provider to offer full credit transfer for the units of study completed with the </w:t>
      </w:r>
      <w:r w:rsidR="008B0B36" w:rsidRPr="00FD6D35">
        <w:rPr>
          <w:bCs/>
          <w:i/>
          <w:iCs/>
        </w:rPr>
        <w:t>First Provider</w:t>
      </w:r>
      <w:r w:rsidR="008B0B36" w:rsidRPr="00FD6D35">
        <w:rPr>
          <w:bCs/>
        </w:rPr>
        <w:t xml:space="preserve"> or to offer a replacement unit free of charge.</w:t>
      </w:r>
    </w:p>
    <w:p w:rsidR="00F56BC1" w:rsidRPr="00FD6D35" w:rsidRDefault="00F56BC1" w:rsidP="008B0B36">
      <w:pPr>
        <w:tabs>
          <w:tab w:val="left" w:pos="1000"/>
        </w:tabs>
        <w:rPr>
          <w:b/>
          <w:caps/>
        </w:rPr>
      </w:pPr>
    </w:p>
    <w:p w:rsidR="00F56BC1" w:rsidRPr="00FD6D35" w:rsidRDefault="00F50BC0" w:rsidP="00F56BC1">
      <w:pPr>
        <w:tabs>
          <w:tab w:val="left" w:pos="1000"/>
        </w:tabs>
        <w:ind w:left="800" w:hanging="800"/>
        <w:rPr>
          <w:b/>
          <w:caps/>
        </w:rPr>
      </w:pPr>
      <w:bookmarkStart w:id="19" w:name="OLE_LINK5"/>
      <w:r w:rsidRPr="00FD6D35">
        <w:rPr>
          <w:b/>
          <w:caps/>
        </w:rPr>
        <w:t>2.25</w:t>
      </w:r>
      <w:r w:rsidR="00F56BC1" w:rsidRPr="00FD6D35">
        <w:rPr>
          <w:b/>
          <w:caps/>
        </w:rPr>
        <w:tab/>
        <w:t xml:space="preserve">Information for </w:t>
      </w:r>
      <w:r w:rsidR="00F56BC1" w:rsidRPr="00FD6D35">
        <w:rPr>
          <w:b/>
          <w:i/>
          <w:iCs/>
          <w:caps/>
        </w:rPr>
        <w:t>tuition assurance administrators</w:t>
      </w:r>
      <w:r w:rsidR="00F56BC1" w:rsidRPr="00FD6D35">
        <w:rPr>
          <w:b/>
          <w:caps/>
        </w:rPr>
        <w:t xml:space="preserve"> and the Commonwealth</w:t>
      </w:r>
    </w:p>
    <w:p w:rsidR="00F56BC1" w:rsidRPr="00FD6D35" w:rsidRDefault="00F56BC1" w:rsidP="00F56BC1">
      <w:pPr>
        <w:tabs>
          <w:tab w:val="left" w:pos="1000"/>
        </w:tabs>
        <w:ind w:left="800" w:hanging="800"/>
      </w:pPr>
    </w:p>
    <w:p w:rsidR="00F56BC1" w:rsidRPr="00FD6D35" w:rsidRDefault="00F50BC0" w:rsidP="00250E6D">
      <w:pPr>
        <w:tabs>
          <w:tab w:val="left" w:pos="1000"/>
        </w:tabs>
        <w:spacing w:after="120"/>
        <w:ind w:left="799" w:hanging="799"/>
      </w:pPr>
      <w:r w:rsidRPr="00FD6D35">
        <w:t>2.25</w:t>
      </w:r>
      <w:r w:rsidR="00F56BC1" w:rsidRPr="00FD6D35">
        <w:t>.1</w:t>
      </w:r>
      <w:r w:rsidR="00F56BC1" w:rsidRPr="00FD6D35">
        <w:tab/>
        <w:t xml:space="preserve">The </w:t>
      </w:r>
      <w:r w:rsidR="00F56BC1" w:rsidRPr="00FD6D35">
        <w:rPr>
          <w:i/>
          <w:iCs/>
        </w:rPr>
        <w:t>First Provider</w:t>
      </w:r>
      <w:r w:rsidR="00F56BC1" w:rsidRPr="00FD6D35">
        <w:t xml:space="preserve"> must keep up-to-date enrolment information on the persons enrolled with the </w:t>
      </w:r>
      <w:r w:rsidR="00F56BC1" w:rsidRPr="00FD6D35">
        <w:rPr>
          <w:i/>
          <w:iCs/>
        </w:rPr>
        <w:t>First Provider</w:t>
      </w:r>
      <w:r w:rsidR="00F56BC1" w:rsidRPr="00FD6D35">
        <w:t xml:space="preserve">, and the </w:t>
      </w:r>
      <w:r w:rsidR="00F56BC1" w:rsidRPr="00FD6D35">
        <w:rPr>
          <w:i/>
          <w:iCs/>
        </w:rPr>
        <w:t>Second Provider</w:t>
      </w:r>
      <w:r w:rsidR="00F56BC1" w:rsidRPr="00FD6D35">
        <w:t xml:space="preserve"> must keep up-to-date enrolment information on the persons enrolled in </w:t>
      </w:r>
      <w:r w:rsidR="00F56BC1" w:rsidRPr="00FD6D35">
        <w:rPr>
          <w:i/>
          <w:iCs/>
        </w:rPr>
        <w:t>replacement units</w:t>
      </w:r>
      <w:r w:rsidR="00F56BC1" w:rsidRPr="00FD6D35">
        <w:t xml:space="preserve"> with the </w:t>
      </w:r>
      <w:r w:rsidR="00F56BC1" w:rsidRPr="00FD6D35">
        <w:rPr>
          <w:i/>
          <w:iCs/>
        </w:rPr>
        <w:t>Second Provider</w:t>
      </w:r>
      <w:r w:rsidR="00F56BC1" w:rsidRPr="00FD6D35">
        <w:t>.  This information must include:</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each person’s name and contact details;</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the name of the course and the unit(s) the person is currently enrolled in;</w:t>
      </w:r>
    </w:p>
    <w:p w:rsidR="00F56BC1" w:rsidRPr="00FD6D35" w:rsidRDefault="006D5459" w:rsidP="006D5459">
      <w:pPr>
        <w:keepLines w:val="0"/>
        <w:tabs>
          <w:tab w:val="left" w:pos="1159"/>
        </w:tabs>
        <w:spacing w:after="120"/>
        <w:ind w:left="1159" w:hanging="360"/>
      </w:pPr>
      <w:r w:rsidRPr="00FD6D35">
        <w:t>(c)</w:t>
      </w:r>
      <w:r w:rsidRPr="00FD6D35">
        <w:tab/>
      </w:r>
      <w:r w:rsidR="00F56BC1" w:rsidRPr="00FD6D35">
        <w:t>the amount paid for each unit that the person is currently enrolled in and the nature of that payment (ie student contribution or tuition fee, amounts paid up-front versus through a HELP loan);</w:t>
      </w:r>
    </w:p>
    <w:p w:rsidR="00F56BC1" w:rsidRPr="00FD6D35" w:rsidRDefault="006D5459" w:rsidP="006D5459">
      <w:pPr>
        <w:keepLines w:val="0"/>
        <w:tabs>
          <w:tab w:val="left" w:pos="1159"/>
        </w:tabs>
        <w:spacing w:after="120"/>
        <w:ind w:left="1159" w:hanging="360"/>
      </w:pPr>
      <w:r w:rsidRPr="00FD6D35">
        <w:t>(d)</w:t>
      </w:r>
      <w:r w:rsidRPr="00FD6D35">
        <w:tab/>
      </w:r>
      <w:r w:rsidR="00F56BC1" w:rsidRPr="00FD6D35">
        <w:t>details of the units successfully completed with provider to date; and</w:t>
      </w:r>
    </w:p>
    <w:p w:rsidR="00F56BC1" w:rsidRPr="00FD6D35" w:rsidRDefault="006D5459" w:rsidP="006D5459">
      <w:pPr>
        <w:keepLines w:val="0"/>
        <w:tabs>
          <w:tab w:val="left" w:pos="1159"/>
        </w:tabs>
        <w:ind w:left="1159" w:hanging="360"/>
      </w:pPr>
      <w:r w:rsidRPr="00FD6D35">
        <w:t>(e)</w:t>
      </w:r>
      <w:r w:rsidRPr="00FD6D35">
        <w:tab/>
      </w:r>
      <w:r w:rsidR="00F56BC1" w:rsidRPr="00FD6D35">
        <w:t xml:space="preserve">for </w:t>
      </w:r>
      <w:r w:rsidR="00F56BC1" w:rsidRPr="00FD6D35">
        <w:rPr>
          <w:i/>
          <w:iCs/>
        </w:rPr>
        <w:t>Second Provider</w:t>
      </w:r>
      <w:r w:rsidR="00F56BC1" w:rsidRPr="00FD6D35">
        <w:t>s, details of credits granted under p</w:t>
      </w:r>
      <w:r w:rsidR="00F50BC0" w:rsidRPr="00FD6D35">
        <w:t>aragraph 2.10</w:t>
      </w:r>
      <w:r w:rsidR="00F56BC1" w:rsidRPr="00FD6D35">
        <w:t>.5</w:t>
      </w:r>
      <w:r w:rsidR="008702AE" w:rsidRPr="00FD6D35">
        <w:t>(</w:t>
      </w:r>
      <w:r w:rsidR="00F56BC1" w:rsidRPr="00FD6D35">
        <w:t>b).</w:t>
      </w:r>
    </w:p>
    <w:p w:rsidR="006955DD" w:rsidRPr="00FD6D35" w:rsidRDefault="006955DD" w:rsidP="006955DD">
      <w:pPr>
        <w:keepLines w:val="0"/>
        <w:ind w:left="1159"/>
      </w:pPr>
    </w:p>
    <w:p w:rsidR="00D15BD6" w:rsidRPr="00FD6D35" w:rsidRDefault="00F50BC0" w:rsidP="006955DD">
      <w:pPr>
        <w:tabs>
          <w:tab w:val="left" w:pos="1000"/>
        </w:tabs>
        <w:ind w:left="800" w:hanging="800"/>
      </w:pPr>
      <w:r w:rsidRPr="00FD6D35">
        <w:t>2.25</w:t>
      </w:r>
      <w:r w:rsidR="00F56BC1" w:rsidRPr="00FD6D35">
        <w:t>.5</w:t>
      </w:r>
      <w:r w:rsidR="00F56BC1" w:rsidRPr="00FD6D35">
        <w:tab/>
        <w:t xml:space="preserve">The </w:t>
      </w:r>
      <w:r w:rsidR="00F56BC1" w:rsidRPr="00FD6D35">
        <w:rPr>
          <w:i/>
          <w:iCs/>
        </w:rPr>
        <w:t>First Provider</w:t>
      </w:r>
      <w:r w:rsidR="00F56BC1" w:rsidRPr="00FD6D35">
        <w:t xml:space="preserve"> must ensure that, if its </w:t>
      </w:r>
      <w:r w:rsidR="00F56BC1" w:rsidRPr="00FD6D35">
        <w:rPr>
          <w:i/>
          <w:iCs/>
        </w:rPr>
        <w:t>tuition assurance scheme</w:t>
      </w:r>
      <w:r w:rsidR="00F56BC1" w:rsidRPr="00FD6D35">
        <w:t xml:space="preserve"> is activated, the informat</w:t>
      </w:r>
      <w:r w:rsidRPr="00FD6D35">
        <w:t>ion described in paragraph 2</w:t>
      </w:r>
      <w:r w:rsidR="00F56BC1" w:rsidRPr="00FD6D35">
        <w:t>.</w:t>
      </w:r>
      <w:r w:rsidRPr="00FD6D35">
        <w:t>25.</w:t>
      </w:r>
      <w:r w:rsidR="00F56BC1" w:rsidRPr="00FD6D35">
        <w:t xml:space="preserve">1 can be accessed by the Commonwealth and, in order to effectively meet their obligations under those arrangements, the </w:t>
      </w:r>
      <w:r w:rsidR="00F56BC1" w:rsidRPr="00FD6D35">
        <w:rPr>
          <w:i/>
          <w:iCs/>
        </w:rPr>
        <w:t>First Provider’s</w:t>
      </w:r>
      <w:r w:rsidR="00F56BC1" w:rsidRPr="00FD6D35">
        <w:t xml:space="preserve"> </w:t>
      </w:r>
      <w:r w:rsidR="00F56BC1" w:rsidRPr="00FD6D35">
        <w:rPr>
          <w:i/>
          <w:iCs/>
        </w:rPr>
        <w:t>tuition assurance administrator</w:t>
      </w:r>
      <w:r w:rsidR="006955DD" w:rsidRPr="00FD6D35">
        <w:t>s.</w:t>
      </w:r>
    </w:p>
    <w:p w:rsidR="00D15BD6" w:rsidRPr="00FD6D35" w:rsidRDefault="00D15BD6" w:rsidP="006955DD">
      <w:pPr>
        <w:tabs>
          <w:tab w:val="left" w:pos="1000"/>
        </w:tabs>
        <w:ind w:left="800" w:hanging="800"/>
      </w:pPr>
    </w:p>
    <w:p w:rsidR="00F56BC1" w:rsidRPr="00FD6D35" w:rsidRDefault="00F50BC0" w:rsidP="00057BEC">
      <w:pPr>
        <w:tabs>
          <w:tab w:val="left" w:pos="1000"/>
        </w:tabs>
        <w:spacing w:after="120"/>
        <w:ind w:left="799" w:hanging="799"/>
      </w:pPr>
      <w:r w:rsidRPr="00FD6D35">
        <w:t>2.25</w:t>
      </w:r>
      <w:r w:rsidR="00F56BC1" w:rsidRPr="00FD6D35">
        <w:t>.10</w:t>
      </w:r>
      <w:r w:rsidR="00F56BC1" w:rsidRPr="00FD6D35">
        <w:rPr>
          <w:sz w:val="20"/>
          <w:szCs w:val="20"/>
        </w:rPr>
        <w:tab/>
      </w:r>
      <w:r w:rsidR="00F56BC1" w:rsidRPr="00FD6D35">
        <w:t xml:space="preserve">The </w:t>
      </w:r>
      <w:r w:rsidR="00F56BC1" w:rsidRPr="00FD6D35">
        <w:rPr>
          <w:i/>
          <w:iCs/>
        </w:rPr>
        <w:t>tuition assurance scheme</w:t>
      </w:r>
      <w:r w:rsidR="00F56BC1" w:rsidRPr="00FD6D35">
        <w:t xml:space="preserve"> must provide that, if it is activated, each </w:t>
      </w:r>
      <w:r w:rsidR="00F56BC1" w:rsidRPr="00FD6D35">
        <w:rPr>
          <w:i/>
          <w:iCs/>
        </w:rPr>
        <w:t>tuition assurance administrator</w:t>
      </w:r>
      <w:r w:rsidR="00F56BC1" w:rsidRPr="00FD6D35">
        <w:t xml:space="preserve"> must:</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immediately seek to obtain the information described in paragrap</w:t>
      </w:r>
      <w:r w:rsidR="00F50BC0" w:rsidRPr="00FD6D35">
        <w:t>h 2.20</w:t>
      </w:r>
      <w:r w:rsidR="00F56BC1" w:rsidRPr="00FD6D35">
        <w:t xml:space="preserve">.1 from the </w:t>
      </w:r>
      <w:r w:rsidR="00F56BC1" w:rsidRPr="00FD6D35">
        <w:rPr>
          <w:i/>
          <w:iCs/>
        </w:rPr>
        <w:t>First Provider</w:t>
      </w:r>
      <w:r w:rsidR="00F56BC1" w:rsidRPr="00FD6D35">
        <w:t>; and</w:t>
      </w:r>
    </w:p>
    <w:p w:rsidR="00F56BC1" w:rsidRPr="00FD6D35" w:rsidRDefault="006D5459" w:rsidP="006D5459">
      <w:pPr>
        <w:keepLines w:val="0"/>
        <w:tabs>
          <w:tab w:val="left" w:pos="1159"/>
        </w:tabs>
        <w:ind w:left="1156" w:hanging="357"/>
      </w:pPr>
      <w:r w:rsidRPr="00FD6D35">
        <w:lastRenderedPageBreak/>
        <w:t>(b)</w:t>
      </w:r>
      <w:r w:rsidRPr="00FD6D35">
        <w:tab/>
      </w:r>
      <w:r w:rsidR="00F56BC1" w:rsidRPr="00FD6D35">
        <w:t xml:space="preserve">if such information is not readily available, make all reasonable efforts to fulfil the obligations it has assumed under the </w:t>
      </w:r>
      <w:r w:rsidR="00F56BC1" w:rsidRPr="00FD6D35">
        <w:rPr>
          <w:i/>
          <w:iCs/>
        </w:rPr>
        <w:t>tuition assurance scheme</w:t>
      </w:r>
      <w:r w:rsidR="00F56BC1" w:rsidRPr="00FD6D35">
        <w:t>.</w:t>
      </w:r>
    </w:p>
    <w:p w:rsidR="00BE1312" w:rsidRPr="00FD6D35" w:rsidRDefault="00BE1312" w:rsidP="006955DD">
      <w:pPr>
        <w:spacing w:after="120"/>
        <w:rPr>
          <w:u w:val="single"/>
        </w:rPr>
      </w:pPr>
    </w:p>
    <w:p w:rsidR="00F56BC1" w:rsidRPr="00FD6D35" w:rsidRDefault="00F50BC0" w:rsidP="00135B78">
      <w:pPr>
        <w:rPr>
          <w:b/>
        </w:rPr>
      </w:pPr>
      <w:r w:rsidRPr="00FD6D35">
        <w:rPr>
          <w:b/>
        </w:rPr>
        <w:t>2</w:t>
      </w:r>
      <w:r w:rsidRPr="00FD6D35">
        <w:rPr>
          <w:rFonts w:ascii="Arial Bold" w:hAnsi="Arial Bold"/>
          <w:b/>
          <w:caps/>
        </w:rPr>
        <w:t>.30</w:t>
      </w:r>
      <w:r w:rsidR="00F56BC1" w:rsidRPr="00FD6D35">
        <w:rPr>
          <w:rFonts w:ascii="Arial Bold" w:hAnsi="Arial Bold"/>
          <w:b/>
          <w:caps/>
        </w:rPr>
        <w:tab/>
        <w:t>Written Tuition Assurance Offer to Students</w:t>
      </w:r>
    </w:p>
    <w:p w:rsidR="00135B78" w:rsidRPr="00FD6D35" w:rsidRDefault="00135B78" w:rsidP="00135B78">
      <w:pPr>
        <w:rPr>
          <w:b/>
        </w:rPr>
      </w:pPr>
    </w:p>
    <w:p w:rsidR="00F56BC1" w:rsidRPr="00FD6D35" w:rsidRDefault="00F50BC0" w:rsidP="006955DD">
      <w:pPr>
        <w:tabs>
          <w:tab w:val="left" w:pos="1000"/>
        </w:tabs>
        <w:spacing w:after="120"/>
        <w:ind w:left="799" w:hanging="799"/>
      </w:pPr>
      <w:r w:rsidRPr="00FD6D35">
        <w:t>2.30.1</w:t>
      </w:r>
      <w:r w:rsidR="00F56BC1" w:rsidRPr="00FD6D35">
        <w:tab/>
        <w:t>The</w:t>
      </w:r>
      <w:r w:rsidR="00F56BC1" w:rsidRPr="00FD6D35">
        <w:rPr>
          <w:i/>
          <w:iCs/>
        </w:rPr>
        <w:t xml:space="preserve"> tuition assurance scheme </w:t>
      </w:r>
      <w:r w:rsidR="00F56BC1" w:rsidRPr="00FD6D35">
        <w:t>must provide that:</w:t>
      </w:r>
    </w:p>
    <w:bookmarkEnd w:id="19"/>
    <w:p w:rsidR="00F56BC1" w:rsidRPr="00FD6D35" w:rsidRDefault="006D5459" w:rsidP="006D5459">
      <w:pPr>
        <w:keepLines w:val="0"/>
        <w:tabs>
          <w:tab w:val="left" w:pos="1159"/>
        </w:tabs>
        <w:spacing w:after="120"/>
        <w:ind w:left="1159" w:hanging="360"/>
      </w:pPr>
      <w:r w:rsidRPr="00FD6D35">
        <w:t>(a)</w:t>
      </w:r>
      <w:r w:rsidRPr="00FD6D35">
        <w:tab/>
      </w:r>
      <w:r w:rsidR="00F56BC1" w:rsidRPr="00FD6D35">
        <w:t xml:space="preserve">if the </w:t>
      </w:r>
      <w:r w:rsidR="00F56BC1" w:rsidRPr="00FD6D35">
        <w:rPr>
          <w:i/>
          <w:iCs/>
        </w:rPr>
        <w:t>First Provider</w:t>
      </w:r>
      <w:r w:rsidR="00F56BC1" w:rsidRPr="00FD6D35">
        <w:t xml:space="preserve"> ceases to provide a course of study, the </w:t>
      </w:r>
      <w:r w:rsidR="00F56BC1" w:rsidRPr="00FD6D35">
        <w:rPr>
          <w:i/>
          <w:iCs/>
        </w:rPr>
        <w:t xml:space="preserve">tuition assurance administrator(s) </w:t>
      </w:r>
      <w:r w:rsidR="00F56BC1" w:rsidRPr="00FD6D35">
        <w:t>for that course of study</w:t>
      </w:r>
      <w:r w:rsidR="00F56BC1" w:rsidRPr="00FD6D35">
        <w:rPr>
          <w:i/>
          <w:iCs/>
        </w:rPr>
        <w:t xml:space="preserve"> </w:t>
      </w:r>
      <w:r w:rsidR="00F56BC1" w:rsidRPr="00FD6D35">
        <w:t>must provide a person enrolled in that course with written advice (the “</w:t>
      </w:r>
      <w:r w:rsidR="00F56BC1" w:rsidRPr="00FD6D35">
        <w:rPr>
          <w:bCs/>
        </w:rPr>
        <w:t>Written Tuition Assurance Offer</w:t>
      </w:r>
      <w:r w:rsidR="00F56BC1" w:rsidRPr="00FD6D35">
        <w:t xml:space="preserve">”), that he/she may choose either the </w:t>
      </w:r>
      <w:r w:rsidR="00F56BC1" w:rsidRPr="00FD6D35">
        <w:rPr>
          <w:i/>
          <w:iCs/>
        </w:rPr>
        <w:t>course assurance option</w:t>
      </w:r>
      <w:r w:rsidR="00F56BC1" w:rsidRPr="00FD6D35">
        <w:t xml:space="preserve"> or the </w:t>
      </w:r>
      <w:r w:rsidR="00F56BC1" w:rsidRPr="00FD6D35">
        <w:rPr>
          <w:i/>
          <w:iCs/>
        </w:rPr>
        <w:t>student contribution / tuition fee repayment option</w:t>
      </w:r>
      <w:r w:rsidR="00F56BC1" w:rsidRPr="00FD6D35">
        <w:t>;</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where the</w:t>
      </w:r>
      <w:r w:rsidR="00F56BC1" w:rsidRPr="00FD6D35">
        <w:rPr>
          <w:i/>
          <w:iCs/>
        </w:rPr>
        <w:t xml:space="preserve"> tuition assurance administrator</w:t>
      </w:r>
      <w:r w:rsidR="00F56BC1" w:rsidRPr="00FD6D35">
        <w:t xml:space="preserve"> is a </w:t>
      </w:r>
      <w:r w:rsidR="00F56BC1" w:rsidRPr="00FD6D35">
        <w:rPr>
          <w:i/>
          <w:iCs/>
        </w:rPr>
        <w:t>Second Provider</w:t>
      </w:r>
      <w:r w:rsidR="00F56BC1" w:rsidRPr="00FD6D35">
        <w:t xml:space="preserve">, the </w:t>
      </w:r>
      <w:r w:rsidR="00F56BC1" w:rsidRPr="00FD6D35">
        <w:rPr>
          <w:i/>
          <w:iCs/>
        </w:rPr>
        <w:t>Written Tuition Assurance Offer</w:t>
      </w:r>
      <w:r w:rsidR="00F56BC1" w:rsidRPr="00FD6D35">
        <w:t xml:space="preserve"> must make a direct offer of enrolment as</w:t>
      </w:r>
      <w:r w:rsidR="00F50BC0" w:rsidRPr="00FD6D35">
        <w:t xml:space="preserve"> specified in subparagraph 2.20</w:t>
      </w:r>
      <w:r w:rsidR="00F56BC1" w:rsidRPr="00FD6D35">
        <w:t>.15</w:t>
      </w:r>
      <w:r w:rsidR="00A014D0" w:rsidRPr="00FD6D35">
        <w:t>(</w:t>
      </w:r>
      <w:r w:rsidR="00F56BC1" w:rsidRPr="00FD6D35">
        <w:t>d);</w:t>
      </w:r>
    </w:p>
    <w:p w:rsidR="00F56BC1" w:rsidRPr="00FD6D35" w:rsidRDefault="006D5459" w:rsidP="006D5459">
      <w:pPr>
        <w:keepLines w:val="0"/>
        <w:tabs>
          <w:tab w:val="left" w:pos="1159"/>
        </w:tabs>
        <w:spacing w:after="120"/>
        <w:ind w:left="1159" w:hanging="360"/>
      </w:pPr>
      <w:r w:rsidRPr="00FD6D35">
        <w:t>(c)</w:t>
      </w:r>
      <w:r w:rsidRPr="00FD6D35">
        <w:tab/>
      </w:r>
      <w:r w:rsidR="00F56BC1" w:rsidRPr="00FD6D35">
        <w:t xml:space="preserve">where the </w:t>
      </w:r>
      <w:r w:rsidR="00F56BC1" w:rsidRPr="00FD6D35">
        <w:rPr>
          <w:i/>
          <w:iCs/>
        </w:rPr>
        <w:t>tuition assurance administrator</w:t>
      </w:r>
      <w:r w:rsidR="00F56BC1" w:rsidRPr="00FD6D35">
        <w:t xml:space="preserve"> is a </w:t>
      </w:r>
      <w:r w:rsidR="00F56BC1" w:rsidRPr="00FD6D35">
        <w:rPr>
          <w:i/>
          <w:iCs/>
        </w:rPr>
        <w:t>Course Assurance TAS Operator</w:t>
      </w:r>
      <w:r w:rsidR="00F56BC1" w:rsidRPr="00FD6D35">
        <w:t xml:space="preserve"> or a </w:t>
      </w:r>
      <w:r w:rsidR="00F56BC1" w:rsidRPr="00FD6D35">
        <w:rPr>
          <w:i/>
          <w:iCs/>
        </w:rPr>
        <w:t>Course Assurance Guarantor</w:t>
      </w:r>
      <w:r w:rsidR="00F56BC1" w:rsidRPr="00FD6D35">
        <w:t xml:space="preserve">, the </w:t>
      </w:r>
      <w:r w:rsidR="00F56BC1" w:rsidRPr="00FD6D35">
        <w:rPr>
          <w:i/>
          <w:iCs/>
        </w:rPr>
        <w:t>Written Tuition Assurance Offer</w:t>
      </w:r>
      <w:r w:rsidR="00F56BC1" w:rsidRPr="00FD6D35">
        <w:t xml:space="preserve"> must name the course(s) and </w:t>
      </w:r>
      <w:r w:rsidR="00F56BC1" w:rsidRPr="00FD6D35">
        <w:rPr>
          <w:i/>
          <w:iCs/>
        </w:rPr>
        <w:t>Second Provider</w:t>
      </w:r>
      <w:r w:rsidR="00F56BC1" w:rsidRPr="00FD6D35">
        <w:t>(s) that the student may choose for the purposes of enrolling as</w:t>
      </w:r>
      <w:r w:rsidR="00F50BC0" w:rsidRPr="00FD6D35">
        <w:t xml:space="preserve"> specified in subparagraph 2.20</w:t>
      </w:r>
      <w:r w:rsidR="00F56BC1" w:rsidRPr="00FD6D35">
        <w:t>.15</w:t>
      </w:r>
      <w:r w:rsidR="00A014D0" w:rsidRPr="00FD6D35">
        <w:t>(</w:t>
      </w:r>
      <w:r w:rsidR="00F56BC1" w:rsidRPr="00FD6D35">
        <w:t>d);</w:t>
      </w:r>
    </w:p>
    <w:p w:rsidR="00F56BC1" w:rsidRPr="00FD6D35" w:rsidRDefault="006D5459" w:rsidP="006D5459">
      <w:pPr>
        <w:keepLines w:val="0"/>
        <w:tabs>
          <w:tab w:val="left" w:pos="1159"/>
        </w:tabs>
        <w:spacing w:after="120"/>
        <w:ind w:left="1159" w:hanging="360"/>
      </w:pPr>
      <w:r w:rsidRPr="00FD6D35">
        <w:t>(d)</w:t>
      </w:r>
      <w:r w:rsidRPr="00FD6D35">
        <w:tab/>
      </w:r>
      <w:r w:rsidR="00F56BC1" w:rsidRPr="00FD6D35">
        <w:t xml:space="preserve">where the </w:t>
      </w:r>
      <w:r w:rsidR="00F56BC1" w:rsidRPr="00FD6D35">
        <w:rPr>
          <w:i/>
          <w:iCs/>
        </w:rPr>
        <w:t>tuition assurance administrator</w:t>
      </w:r>
      <w:r w:rsidR="00F56BC1" w:rsidRPr="00FD6D35">
        <w:t xml:space="preserve"> is a </w:t>
      </w:r>
      <w:r w:rsidR="00F56BC1" w:rsidRPr="00FD6D35">
        <w:rPr>
          <w:i/>
          <w:iCs/>
        </w:rPr>
        <w:t>Repayment TAS Operator</w:t>
      </w:r>
      <w:r w:rsidR="00F56BC1" w:rsidRPr="00FD6D35">
        <w:t xml:space="preserve"> or </w:t>
      </w:r>
      <w:r w:rsidR="00F56BC1" w:rsidRPr="00FD6D35">
        <w:rPr>
          <w:i/>
          <w:iCs/>
        </w:rPr>
        <w:t>Repayment Guarantor</w:t>
      </w:r>
      <w:r w:rsidR="00F56BC1" w:rsidRPr="00FD6D35">
        <w:t xml:space="preserve">, the </w:t>
      </w:r>
      <w:r w:rsidR="00F56BC1" w:rsidRPr="00FD6D35">
        <w:rPr>
          <w:i/>
          <w:iCs/>
        </w:rPr>
        <w:t>Written Tuition Assurance Offer</w:t>
      </w:r>
      <w:r w:rsidR="00F56BC1" w:rsidRPr="00FD6D35">
        <w:t xml:space="preserve"> must make a direct offer of repayment as specified in subparagraph </w:t>
      </w:r>
      <w:r w:rsidR="00F50BC0" w:rsidRPr="00FD6D35">
        <w:t>2.20</w:t>
      </w:r>
      <w:r w:rsidR="00F56BC1" w:rsidRPr="00FD6D35">
        <w:t>.15</w:t>
      </w:r>
      <w:r w:rsidR="00A014D0" w:rsidRPr="00FD6D35">
        <w:t>(</w:t>
      </w:r>
      <w:r w:rsidR="00F56BC1" w:rsidRPr="00FD6D35">
        <w:t>c)</w:t>
      </w:r>
      <w:r w:rsidR="00A014D0" w:rsidRPr="00FD6D35">
        <w:t>(</w:t>
      </w:r>
      <w:r w:rsidR="00F56BC1" w:rsidRPr="00FD6D35">
        <w:t xml:space="preserve">ii);  </w:t>
      </w:r>
    </w:p>
    <w:p w:rsidR="00F56BC1" w:rsidRPr="00FD6D35" w:rsidRDefault="006D5459" w:rsidP="006D5459">
      <w:pPr>
        <w:keepLines w:val="0"/>
        <w:tabs>
          <w:tab w:val="left" w:pos="1159"/>
        </w:tabs>
        <w:spacing w:after="120"/>
        <w:ind w:left="1159" w:hanging="360"/>
      </w:pPr>
      <w:r w:rsidRPr="00FD6D35">
        <w:t>(e)</w:t>
      </w:r>
      <w:r w:rsidRPr="00FD6D35">
        <w:tab/>
      </w:r>
      <w:r w:rsidR="00F56BC1" w:rsidRPr="00FD6D35">
        <w:t xml:space="preserve">the Written Tuition Assurance Offer must refer to and enclose a copy of the </w:t>
      </w:r>
      <w:r w:rsidR="00F56BC1" w:rsidRPr="00FD6D35">
        <w:rPr>
          <w:i/>
          <w:iCs/>
        </w:rPr>
        <w:t>First Provider’s</w:t>
      </w:r>
      <w:r w:rsidR="00F56BC1" w:rsidRPr="00FD6D35">
        <w:t xml:space="preserve"> </w:t>
      </w:r>
      <w:r w:rsidR="00F56BC1" w:rsidRPr="00FD6D35">
        <w:rPr>
          <w:i/>
          <w:iCs/>
        </w:rPr>
        <w:t>Statement of Tuition Assurance</w:t>
      </w:r>
      <w:r w:rsidR="00F50BC0" w:rsidRPr="00FD6D35">
        <w:t xml:space="preserve"> referred to in paragraph 2.20</w:t>
      </w:r>
      <w:r w:rsidR="00F56BC1" w:rsidRPr="00FD6D35">
        <w:t>.1, and, in relation to the Guidelines:</w:t>
      </w:r>
    </w:p>
    <w:p w:rsidR="00F56BC1" w:rsidRPr="00FD6D35" w:rsidRDefault="006D5459" w:rsidP="006D5459">
      <w:pPr>
        <w:keepLines w:val="0"/>
        <w:tabs>
          <w:tab w:val="left" w:pos="1519"/>
        </w:tabs>
        <w:spacing w:after="120"/>
        <w:ind w:left="1519" w:hanging="360"/>
      </w:pPr>
      <w:r w:rsidRPr="00FD6D35">
        <w:t>(i)</w:t>
      </w:r>
      <w:r w:rsidRPr="00FD6D35">
        <w:tab/>
      </w:r>
      <w:r w:rsidR="00F56BC1" w:rsidRPr="00FD6D35">
        <w:t xml:space="preserve">refer to </w:t>
      </w:r>
      <w:hyperlink r:id="rId10" w:history="1">
        <w:r w:rsidR="00F56BC1" w:rsidRPr="00FD6D35">
          <w:rPr>
            <w:rStyle w:val="Hyperlink"/>
          </w:rPr>
          <w:t>www.comlaw.gov.au</w:t>
        </w:r>
      </w:hyperlink>
      <w:r w:rsidR="00F56BC1" w:rsidRPr="00FD6D35">
        <w:t>, from which an electronic copy of the Guidelines can be obtained; and</w:t>
      </w:r>
    </w:p>
    <w:p w:rsidR="00F56BC1" w:rsidRPr="00FD6D35" w:rsidRDefault="006D5459" w:rsidP="006D5459">
      <w:pPr>
        <w:keepLines w:val="0"/>
        <w:tabs>
          <w:tab w:val="left" w:pos="1519"/>
        </w:tabs>
        <w:spacing w:after="120"/>
        <w:ind w:left="1519" w:hanging="360"/>
      </w:pPr>
      <w:r w:rsidRPr="00FD6D35">
        <w:t>(ii)</w:t>
      </w:r>
      <w:r w:rsidRPr="00FD6D35">
        <w:tab/>
      </w:r>
      <w:r w:rsidR="00F56BC1" w:rsidRPr="00FD6D35">
        <w:t xml:space="preserve">include contact details of the </w:t>
      </w:r>
      <w:r w:rsidR="00F56BC1" w:rsidRPr="00FD6D35">
        <w:rPr>
          <w:i/>
          <w:iCs/>
        </w:rPr>
        <w:t>First Provider’s</w:t>
      </w:r>
      <w:r w:rsidR="00F56BC1" w:rsidRPr="00FD6D35">
        <w:t xml:space="preserve"> personnel from whom a copy of the Guidelines can be obtained;</w:t>
      </w:r>
    </w:p>
    <w:p w:rsidR="00F56BC1" w:rsidRPr="00FD6D35" w:rsidRDefault="006D5459" w:rsidP="006D5459">
      <w:pPr>
        <w:keepLines w:val="0"/>
        <w:tabs>
          <w:tab w:val="left" w:pos="1159"/>
        </w:tabs>
        <w:spacing w:after="120"/>
        <w:ind w:left="1159" w:hanging="360"/>
      </w:pPr>
      <w:r w:rsidRPr="00FD6D35">
        <w:t>(f)</w:t>
      </w:r>
      <w:r w:rsidRPr="00FD6D35">
        <w:tab/>
      </w:r>
      <w:r w:rsidR="00F56BC1" w:rsidRPr="00FD6D35">
        <w:t xml:space="preserve">the </w:t>
      </w:r>
      <w:r w:rsidR="00F56BC1" w:rsidRPr="00FD6D35">
        <w:rPr>
          <w:i/>
          <w:iCs/>
        </w:rPr>
        <w:t>Written Tuition Assurance Offer</w:t>
      </w:r>
      <w:r w:rsidR="00F56BC1" w:rsidRPr="00FD6D35">
        <w:t xml:space="preserve"> must include directions that the student must follow in order to notify the </w:t>
      </w:r>
      <w:r w:rsidR="00F56BC1" w:rsidRPr="00FD6D35">
        <w:rPr>
          <w:i/>
          <w:iCs/>
        </w:rPr>
        <w:t>First Provider</w:t>
      </w:r>
      <w:r w:rsidR="00F56BC1" w:rsidRPr="00FD6D35">
        <w:t xml:space="preserve">, the </w:t>
      </w:r>
      <w:r w:rsidR="00F56BC1" w:rsidRPr="00FD6D35">
        <w:rPr>
          <w:i/>
          <w:iCs/>
        </w:rPr>
        <w:t>First Provider’s</w:t>
      </w:r>
      <w:r w:rsidR="00F56BC1" w:rsidRPr="00FD6D35">
        <w:t xml:space="preserve"> </w:t>
      </w:r>
      <w:r w:rsidR="00F56BC1" w:rsidRPr="00FD6D35">
        <w:rPr>
          <w:i/>
          <w:iCs/>
        </w:rPr>
        <w:t>tuition assurance administrator</w:t>
      </w:r>
      <w:r w:rsidR="00F56BC1" w:rsidRPr="00FD6D35">
        <w:t xml:space="preserve">(s) and the </w:t>
      </w:r>
      <w:r w:rsidR="001B3BC0" w:rsidRPr="00FD6D35">
        <w:rPr>
          <w:i/>
          <w:iCs/>
        </w:rPr>
        <w:t>General Manager</w:t>
      </w:r>
      <w:r w:rsidR="00BA3D32" w:rsidRPr="00FD6D35">
        <w:rPr>
          <w:i/>
          <w:iCs/>
        </w:rPr>
        <w:t xml:space="preserve"> </w:t>
      </w:r>
      <w:r w:rsidR="00F56BC1" w:rsidRPr="00FD6D35">
        <w:t>of the choice that the studen</w:t>
      </w:r>
      <w:r w:rsidR="00F50BC0" w:rsidRPr="00FD6D35">
        <w:t>t has made under paragraph 2.20</w:t>
      </w:r>
      <w:r w:rsidR="00F56BC1" w:rsidRPr="00FD6D35">
        <w:t>.1</w:t>
      </w:r>
      <w:r w:rsidR="00A014D0" w:rsidRPr="00FD6D35">
        <w:t>(</w:t>
      </w:r>
      <w:r w:rsidR="00F56BC1" w:rsidRPr="00FD6D35">
        <w:t>a) for each Affected Unit</w:t>
      </w:r>
      <w:r w:rsidR="00F50BC0" w:rsidRPr="00FD6D35">
        <w:t xml:space="preserve"> (as defined in paragraph 2.20</w:t>
      </w:r>
      <w:r w:rsidR="00F56BC1" w:rsidRPr="00FD6D35">
        <w:t>.15</w:t>
      </w:r>
      <w:r w:rsidR="00A014D0" w:rsidRPr="00FD6D35">
        <w:t>(</w:t>
      </w:r>
      <w:r w:rsidR="00F56BC1" w:rsidRPr="00FD6D35">
        <w:t>c)</w:t>
      </w:r>
      <w:r w:rsidR="00A014D0" w:rsidRPr="00FD6D35">
        <w:t>(</w:t>
      </w:r>
      <w:r w:rsidR="00F56BC1" w:rsidRPr="00FD6D35">
        <w:t>ii));</w:t>
      </w:r>
    </w:p>
    <w:p w:rsidR="00F56BC1" w:rsidRPr="00FD6D35" w:rsidRDefault="006D5459" w:rsidP="006D5459">
      <w:pPr>
        <w:keepLines w:val="0"/>
        <w:tabs>
          <w:tab w:val="left" w:pos="1159"/>
        </w:tabs>
        <w:spacing w:after="120"/>
        <w:ind w:left="1159" w:hanging="360"/>
      </w:pPr>
      <w:r w:rsidRPr="00FD6D35">
        <w:t>(g)</w:t>
      </w:r>
      <w:r w:rsidRPr="00FD6D35">
        <w:tab/>
      </w:r>
      <w:r w:rsidR="00F56BC1" w:rsidRPr="00FD6D35">
        <w:t>the Written Tuition Assurance Offer must completely and unambiguously comply with all of the requirements</w:t>
      </w:r>
      <w:r w:rsidR="00F50BC0" w:rsidRPr="00FD6D35">
        <w:t xml:space="preserve"> specified in this section 2.30</w:t>
      </w:r>
      <w:r w:rsidR="00F56BC1" w:rsidRPr="00FD6D35">
        <w:t>;</w:t>
      </w:r>
    </w:p>
    <w:p w:rsidR="00D15BD6" w:rsidRPr="00FD6D35" w:rsidRDefault="006D5459" w:rsidP="006D5459">
      <w:pPr>
        <w:keepLines w:val="0"/>
        <w:tabs>
          <w:tab w:val="left" w:pos="1159"/>
        </w:tabs>
        <w:ind w:left="1156" w:hanging="357"/>
      </w:pPr>
      <w:r w:rsidRPr="00FD6D35">
        <w:t>(h)</w:t>
      </w:r>
      <w:r w:rsidRPr="00FD6D35">
        <w:tab/>
      </w:r>
      <w:r w:rsidR="00F56BC1" w:rsidRPr="00FD6D35">
        <w:t xml:space="preserve">the </w:t>
      </w:r>
      <w:r w:rsidR="00F56BC1" w:rsidRPr="00FD6D35">
        <w:rPr>
          <w:i/>
          <w:iCs/>
        </w:rPr>
        <w:t>tuition assurance administrator</w:t>
      </w:r>
      <w:r w:rsidR="00F56BC1" w:rsidRPr="00FD6D35">
        <w:t xml:space="preserve"> responsible for providing any Written Tuition Assurance Offer must do so within twenty </w:t>
      </w:r>
      <w:r w:rsidR="00F56BC1" w:rsidRPr="00FD6D35">
        <w:rPr>
          <w:i/>
          <w:iCs/>
        </w:rPr>
        <w:t>Business Days</w:t>
      </w:r>
      <w:r w:rsidR="00F56BC1" w:rsidRPr="00FD6D35">
        <w:t xml:space="preserve"> after it knows, or should know by reasonable enquiries (including enquiries of the </w:t>
      </w:r>
      <w:r w:rsidR="00F56BC1" w:rsidRPr="00FD6D35">
        <w:rPr>
          <w:i/>
          <w:iCs/>
        </w:rPr>
        <w:t>First Provider</w:t>
      </w:r>
      <w:r w:rsidR="00F56BC1" w:rsidRPr="00FD6D35">
        <w:t xml:space="preserve"> and of the </w:t>
      </w:r>
      <w:r w:rsidR="00F56BC1" w:rsidRPr="00FD6D35">
        <w:rPr>
          <w:i/>
        </w:rPr>
        <w:t>Department</w:t>
      </w:r>
      <w:r w:rsidR="00F56BC1" w:rsidRPr="00FD6D35">
        <w:t xml:space="preserve">) that the </w:t>
      </w:r>
      <w:r w:rsidR="00F56BC1" w:rsidRPr="00FD6D35">
        <w:rPr>
          <w:i/>
          <w:iCs/>
        </w:rPr>
        <w:t>First Provider</w:t>
      </w:r>
      <w:r w:rsidR="00F56BC1" w:rsidRPr="00FD6D35">
        <w:t xml:space="preserve"> has ceased to provide the course of study. </w:t>
      </w:r>
    </w:p>
    <w:p w:rsidR="00D15BD6" w:rsidRPr="00FD6D35" w:rsidRDefault="00D15BD6" w:rsidP="00D15BD6">
      <w:pPr>
        <w:keepLines w:val="0"/>
        <w:spacing w:after="120"/>
        <w:ind w:left="1159"/>
      </w:pPr>
    </w:p>
    <w:p w:rsidR="00F56BC1" w:rsidRPr="00FD6D35" w:rsidRDefault="00F56BC1" w:rsidP="00F56BC1">
      <w:pPr>
        <w:pStyle w:val="List1"/>
      </w:pPr>
      <w:r w:rsidRPr="00FD6D35">
        <w:t>2.</w:t>
      </w:r>
      <w:r w:rsidR="00F50BC0" w:rsidRPr="00FD6D35">
        <w:t>35</w:t>
      </w:r>
      <w:r w:rsidRPr="00FD6D35">
        <w:tab/>
        <w:t>EXEMPTION</w:t>
      </w:r>
    </w:p>
    <w:p w:rsidR="00F56BC1" w:rsidRPr="00FD6D35" w:rsidRDefault="00F56BC1" w:rsidP="00F56BC1"/>
    <w:p w:rsidR="00F56BC1" w:rsidRPr="00FD6D35" w:rsidRDefault="00F50BC0" w:rsidP="00F56BC1">
      <w:pPr>
        <w:tabs>
          <w:tab w:val="left" w:pos="1000"/>
        </w:tabs>
        <w:ind w:left="800" w:hanging="800"/>
      </w:pPr>
      <w:r w:rsidRPr="00FD6D35">
        <w:t>2.35.1</w:t>
      </w:r>
      <w:r w:rsidR="00F56BC1" w:rsidRPr="00FD6D35">
        <w:tab/>
        <w:t xml:space="preserve">Any body corporate seeking to be approved by the Minister as a higher education provider or any higher education provider other than a Table A provider which considers that adequate grounds exist for it to be exempted from complying with the </w:t>
      </w:r>
      <w:r w:rsidR="00F56BC1" w:rsidRPr="00FD6D35">
        <w:rPr>
          <w:i/>
          <w:iCs/>
        </w:rPr>
        <w:t>tuition assurance requirements</w:t>
      </w:r>
      <w:r w:rsidR="00F56BC1" w:rsidRPr="00FD6D35">
        <w:t xml:space="preserve"> under section 19-40 of the </w:t>
      </w:r>
      <w:r w:rsidR="00F56BC1" w:rsidRPr="00FD6D35">
        <w:rPr>
          <w:i/>
          <w:iCs/>
        </w:rPr>
        <w:t>Act</w:t>
      </w:r>
      <w:r w:rsidR="00F56BC1" w:rsidRPr="00FD6D35">
        <w:t xml:space="preserve">, should apply to the Minister in writing setting out those grounds.  </w:t>
      </w:r>
    </w:p>
    <w:p w:rsidR="00F56BC1" w:rsidRPr="00FD6D35" w:rsidRDefault="00F56BC1" w:rsidP="00F56BC1">
      <w:pPr>
        <w:pStyle w:val="Heading1"/>
        <w:ind w:left="1700" w:hanging="1700"/>
        <w:rPr>
          <w:u w:val="single"/>
        </w:rPr>
      </w:pPr>
      <w:bookmarkStart w:id="20" w:name="_Toc122231821"/>
      <w:r w:rsidRPr="00FD6D35">
        <w:rPr>
          <w:u w:val="single"/>
        </w:rPr>
        <w:br w:type="page"/>
      </w:r>
      <w:bookmarkStart w:id="21" w:name="_Toc152752059"/>
      <w:bookmarkStart w:id="22" w:name="_Toc32227153"/>
      <w:r w:rsidRPr="00FD6D35">
        <w:rPr>
          <w:u w:val="single"/>
        </w:rPr>
        <w:lastRenderedPageBreak/>
        <w:t>CHAPTER 3</w:t>
      </w:r>
      <w:r w:rsidRPr="00FD6D35">
        <w:rPr>
          <w:u w:val="single"/>
        </w:rPr>
        <w:tab/>
        <w:t>PARTICULAR OBLIGATIONS ON CERTAIN PROVIDERS</w:t>
      </w:r>
      <w:bookmarkEnd w:id="20"/>
      <w:bookmarkEnd w:id="21"/>
      <w:bookmarkEnd w:id="22"/>
    </w:p>
    <w:p w:rsidR="00F56BC1" w:rsidRPr="00FD6D35" w:rsidRDefault="00F56BC1" w:rsidP="00F56BC1">
      <w:pPr>
        <w:rPr>
          <w:b/>
          <w:bCs/>
        </w:rPr>
      </w:pPr>
    </w:p>
    <w:p w:rsidR="00935DD8" w:rsidRPr="00FD6D35" w:rsidRDefault="00F56BC1" w:rsidP="00935DD8">
      <w:pPr>
        <w:tabs>
          <w:tab w:val="left" w:pos="1000"/>
        </w:tabs>
        <w:ind w:left="799" w:hanging="799"/>
        <w:rPr>
          <w:b/>
        </w:rPr>
      </w:pPr>
      <w:r w:rsidRPr="00FD6D35">
        <w:rPr>
          <w:b/>
        </w:rPr>
        <w:t>3.1</w:t>
      </w:r>
      <w:r w:rsidRPr="00FD6D35">
        <w:rPr>
          <w:b/>
        </w:rPr>
        <w:tab/>
      </w:r>
      <w:r w:rsidR="00935DD8" w:rsidRPr="00FD6D35">
        <w:rPr>
          <w:b/>
        </w:rPr>
        <w:t>PURPOSE</w:t>
      </w:r>
    </w:p>
    <w:p w:rsidR="00935DD8" w:rsidRPr="00FD6D35" w:rsidRDefault="00935DD8" w:rsidP="00935DD8">
      <w:pPr>
        <w:tabs>
          <w:tab w:val="left" w:pos="1000"/>
        </w:tabs>
        <w:ind w:left="799" w:hanging="799"/>
        <w:rPr>
          <w:b/>
        </w:rPr>
      </w:pPr>
    </w:p>
    <w:p w:rsidR="00F56BC1" w:rsidRPr="00FD6D35" w:rsidRDefault="00935DD8" w:rsidP="00D67823">
      <w:pPr>
        <w:tabs>
          <w:tab w:val="left" w:pos="1000"/>
        </w:tabs>
        <w:spacing w:after="120"/>
        <w:ind w:left="800" w:hanging="800"/>
        <w:rPr>
          <w:lang w:eastAsia="en-AU"/>
        </w:rPr>
      </w:pPr>
      <w:r w:rsidRPr="00FD6D35">
        <w:t>3.1.1</w:t>
      </w:r>
      <w:r w:rsidRPr="00FD6D35">
        <w:tab/>
      </w:r>
      <w:r w:rsidR="00F56BC1" w:rsidRPr="00FD6D35">
        <w:rPr>
          <w:lang w:eastAsia="en-AU"/>
        </w:rPr>
        <w:t>The purpose of this chapter is to specify:</w:t>
      </w:r>
    </w:p>
    <w:p w:rsidR="00A014D0" w:rsidRPr="00FD6D35" w:rsidRDefault="006D5459" w:rsidP="006D5459">
      <w:pPr>
        <w:tabs>
          <w:tab w:val="left" w:pos="1200"/>
        </w:tabs>
        <w:spacing w:after="120"/>
        <w:ind w:left="1160" w:hanging="360"/>
      </w:pPr>
      <w:r w:rsidRPr="00FD6D35">
        <w:t>(a)</w:t>
      </w:r>
      <w:r w:rsidRPr="00FD6D35">
        <w:tab/>
      </w:r>
      <w:r w:rsidR="00F56BC1" w:rsidRPr="00FD6D35">
        <w:t>obligations</w:t>
      </w:r>
      <w:r w:rsidR="00F56BC1" w:rsidRPr="00FD6D35">
        <w:rPr>
          <w:lang w:eastAsia="en-AU"/>
        </w:rPr>
        <w:t xml:space="preserve"> on </w:t>
      </w:r>
      <w:r w:rsidR="00F56BC1" w:rsidRPr="00FD6D35">
        <w:t xml:space="preserve">higher education providers in their capacity as </w:t>
      </w:r>
      <w:r w:rsidR="00F56BC1" w:rsidRPr="00FD6D35">
        <w:rPr>
          <w:i/>
          <w:iCs/>
        </w:rPr>
        <w:t>Second Provider</w:t>
      </w:r>
      <w:r w:rsidR="00F56BC1" w:rsidRPr="00FD6D35">
        <w:t>s; and</w:t>
      </w:r>
    </w:p>
    <w:p w:rsidR="00F56BC1" w:rsidRPr="00FD6D35" w:rsidRDefault="006D5459" w:rsidP="006D5459">
      <w:pPr>
        <w:tabs>
          <w:tab w:val="left" w:pos="1200"/>
        </w:tabs>
        <w:spacing w:after="120"/>
        <w:ind w:left="1160" w:hanging="360"/>
      </w:pPr>
      <w:r w:rsidRPr="00FD6D35">
        <w:t>(b)</w:t>
      </w:r>
      <w:r w:rsidRPr="00FD6D35">
        <w:tab/>
      </w:r>
      <w:r w:rsidR="00F56BC1" w:rsidRPr="00FD6D35">
        <w:t xml:space="preserve">a condition which applies to </w:t>
      </w:r>
      <w:r w:rsidR="00F56BC1" w:rsidRPr="00FD6D35">
        <w:rPr>
          <w:i/>
          <w:iCs/>
        </w:rPr>
        <w:t>Exempt Providers</w:t>
      </w:r>
      <w:r w:rsidR="00F56BC1" w:rsidRPr="00FD6D35">
        <w:t>, concerning information about persons enrolled with them.</w:t>
      </w:r>
    </w:p>
    <w:p w:rsidR="00F56BC1" w:rsidRPr="00FD6D35" w:rsidRDefault="00F56BC1" w:rsidP="00F56BC1">
      <w:pPr>
        <w:tabs>
          <w:tab w:val="left" w:pos="1000"/>
        </w:tabs>
        <w:ind w:left="800" w:hanging="800"/>
        <w:rPr>
          <w:b/>
          <w:bCs/>
          <w:i/>
          <w:iCs/>
        </w:rPr>
      </w:pPr>
    </w:p>
    <w:p w:rsidR="00F56BC1" w:rsidRPr="00FD6D35" w:rsidRDefault="00F56BC1" w:rsidP="00F56BC1">
      <w:pPr>
        <w:pStyle w:val="List1"/>
        <w:ind w:left="800" w:hanging="800"/>
      </w:pPr>
      <w:r w:rsidRPr="00FD6D35">
        <w:t>3.5</w:t>
      </w:r>
      <w:r w:rsidRPr="00FD6D35">
        <w:tab/>
        <w:t xml:space="preserve">REQUIREMENT FOR </w:t>
      </w:r>
      <w:r w:rsidRPr="00FD6D35">
        <w:rPr>
          <w:i/>
          <w:iCs/>
        </w:rPr>
        <w:t>SECOND PROVIDER</w:t>
      </w:r>
      <w:r w:rsidRPr="00FD6D35">
        <w:t>S UNDER LEGALLY BINDING COURSE ASSURANCE AGREEMENTS</w:t>
      </w:r>
    </w:p>
    <w:p w:rsidR="00F56BC1" w:rsidRPr="00FD6D35" w:rsidRDefault="00F56BC1" w:rsidP="00F56BC1">
      <w:pPr>
        <w:rPr>
          <w:lang w:eastAsia="en-AU"/>
        </w:rPr>
      </w:pPr>
    </w:p>
    <w:p w:rsidR="00F56BC1" w:rsidRPr="00FD6D35" w:rsidRDefault="00F56BC1" w:rsidP="00F56BC1">
      <w:pPr>
        <w:tabs>
          <w:tab w:val="left" w:pos="1000"/>
        </w:tabs>
        <w:ind w:left="800" w:hanging="800"/>
      </w:pPr>
      <w:r w:rsidRPr="00FD6D35">
        <w:t>3.5.1</w:t>
      </w:r>
      <w:r w:rsidRPr="00FD6D35">
        <w:tab/>
        <w:t xml:space="preserve">A </w:t>
      </w:r>
      <w:r w:rsidRPr="00FD6D35">
        <w:rPr>
          <w:i/>
          <w:iCs/>
        </w:rPr>
        <w:t>Second Provider</w:t>
      </w:r>
      <w:r w:rsidRPr="00FD6D35">
        <w:t xml:space="preserve"> must meet its obligations under the legally binding agre</w:t>
      </w:r>
      <w:r w:rsidR="00F2194D" w:rsidRPr="00FD6D35">
        <w:t>ement referred to in paragraph 2</w:t>
      </w:r>
      <w:r w:rsidRPr="00FD6D35">
        <w:t>.</w:t>
      </w:r>
      <w:r w:rsidR="00506838" w:rsidRPr="00FD6D35">
        <w:t>10</w:t>
      </w:r>
      <w:r w:rsidRPr="00FD6D35">
        <w:t>.1</w:t>
      </w:r>
      <w:r w:rsidR="00A014D0" w:rsidRPr="00FD6D35">
        <w:t>(</w:t>
      </w:r>
      <w:r w:rsidRPr="00FD6D35">
        <w:t xml:space="preserve">b) of these Guidelines and the requirements placed on a </w:t>
      </w:r>
      <w:r w:rsidRPr="00FD6D35">
        <w:rPr>
          <w:i/>
          <w:iCs/>
        </w:rPr>
        <w:t>Second Provider</w:t>
      </w:r>
      <w:r w:rsidRPr="00FD6D35">
        <w:t xml:space="preserve"> under Chapter 2 of these Guidelines</w:t>
      </w:r>
      <w:r w:rsidRPr="00FD6D35">
        <w:rPr>
          <w:i/>
          <w:iCs/>
        </w:rPr>
        <w:t>.</w:t>
      </w:r>
    </w:p>
    <w:p w:rsidR="00F56BC1" w:rsidRPr="00FD6D35" w:rsidRDefault="00F56BC1" w:rsidP="00F56BC1">
      <w:pPr>
        <w:tabs>
          <w:tab w:val="left" w:pos="1000"/>
        </w:tabs>
        <w:ind w:left="800" w:hanging="800"/>
      </w:pPr>
    </w:p>
    <w:p w:rsidR="00F56BC1" w:rsidRPr="00FD6D35" w:rsidRDefault="00F56BC1" w:rsidP="00F56BC1">
      <w:pPr>
        <w:pStyle w:val="List1"/>
        <w:ind w:left="800" w:hanging="800"/>
      </w:pPr>
      <w:r w:rsidRPr="00FD6D35">
        <w:t>3.10</w:t>
      </w:r>
      <w:r w:rsidRPr="00FD6D35">
        <w:tab/>
        <w:t xml:space="preserve">CONDITION OF EXEMPTION FROM COMPLYING WITH THE </w:t>
      </w:r>
      <w:r w:rsidRPr="00FD6D35">
        <w:rPr>
          <w:i/>
          <w:iCs/>
        </w:rPr>
        <w:t>TUITION ASSURANCE REQUIREMENTS</w:t>
      </w:r>
      <w:r w:rsidRPr="00FD6D35">
        <w:t xml:space="preserve"> </w:t>
      </w:r>
    </w:p>
    <w:p w:rsidR="00F56BC1" w:rsidRPr="00FD6D35" w:rsidRDefault="00F56BC1" w:rsidP="00F56BC1">
      <w:pPr>
        <w:tabs>
          <w:tab w:val="left" w:pos="1000"/>
        </w:tabs>
        <w:ind w:left="800" w:hanging="800"/>
      </w:pPr>
    </w:p>
    <w:p w:rsidR="00F56BC1" w:rsidRPr="00FD6D35" w:rsidRDefault="00F56BC1" w:rsidP="00F56BC1">
      <w:pPr>
        <w:tabs>
          <w:tab w:val="left" w:pos="1000"/>
        </w:tabs>
        <w:ind w:left="800" w:hanging="800"/>
      </w:pPr>
      <w:r w:rsidRPr="00FD6D35">
        <w:t>3.10.1</w:t>
      </w:r>
      <w:r w:rsidRPr="00FD6D35">
        <w:tab/>
        <w:t xml:space="preserve">Without limiting the conditions that may apply to an </w:t>
      </w:r>
      <w:r w:rsidRPr="00FD6D35">
        <w:rPr>
          <w:i/>
          <w:iCs/>
        </w:rPr>
        <w:t xml:space="preserve">Exempt Provider </w:t>
      </w:r>
      <w:r w:rsidRPr="00FD6D35">
        <w:t xml:space="preserve">or an exemption from complying with the </w:t>
      </w:r>
      <w:r w:rsidRPr="00FD6D35">
        <w:rPr>
          <w:i/>
          <w:iCs/>
        </w:rPr>
        <w:t>tuition assurance requirements</w:t>
      </w:r>
      <w:r w:rsidRPr="00FD6D35">
        <w:t xml:space="preserve"> under subsection 19-40(2) of the </w:t>
      </w:r>
      <w:r w:rsidRPr="00FD6D35">
        <w:rPr>
          <w:i/>
          <w:iCs/>
        </w:rPr>
        <w:t>Act</w:t>
      </w:r>
      <w:r w:rsidRPr="00FD6D35">
        <w:t xml:space="preserve">, an </w:t>
      </w:r>
      <w:r w:rsidRPr="00FD6D35">
        <w:rPr>
          <w:i/>
          <w:iCs/>
        </w:rPr>
        <w:t>exempt provider</w:t>
      </w:r>
      <w:r w:rsidRPr="00FD6D35">
        <w:t xml:space="preserve"> must keep</w:t>
      </w:r>
      <w:r w:rsidR="00765D25" w:rsidRPr="00FD6D35">
        <w:t>,</w:t>
      </w:r>
      <w:r w:rsidRPr="00FD6D35">
        <w:t xml:space="preserve"> </w:t>
      </w:r>
      <w:r w:rsidR="00765D25" w:rsidRPr="00FD6D35">
        <w:t xml:space="preserve">as though it were a </w:t>
      </w:r>
      <w:r w:rsidR="00765D25" w:rsidRPr="00FD6D35">
        <w:rPr>
          <w:i/>
          <w:iCs/>
        </w:rPr>
        <w:t>First Provider</w:t>
      </w:r>
      <w:r w:rsidR="00765D25" w:rsidRPr="00FD6D35">
        <w:t>,</w:t>
      </w:r>
      <w:r w:rsidR="00141B89" w:rsidRPr="00FD6D35">
        <w:t xml:space="preserve"> </w:t>
      </w:r>
      <w:r w:rsidRPr="00FD6D35">
        <w:t xml:space="preserve">up-to-date enrolment information on the persons enrolled with the </w:t>
      </w:r>
      <w:r w:rsidRPr="00FD6D35">
        <w:rPr>
          <w:i/>
          <w:iCs/>
        </w:rPr>
        <w:t>Exempt Provider</w:t>
      </w:r>
      <w:r w:rsidRPr="00FD6D35">
        <w:t>,</w:t>
      </w:r>
      <w:r w:rsidR="00506838" w:rsidRPr="00FD6D35">
        <w:t xml:space="preserve"> as specified in paragraph 2.20</w:t>
      </w:r>
      <w:r w:rsidRPr="00FD6D35">
        <w:t>.1 of these Guidelines.</w:t>
      </w:r>
    </w:p>
    <w:p w:rsidR="00F56BC1" w:rsidRPr="00FD6D35" w:rsidRDefault="00F56BC1" w:rsidP="00F56BC1">
      <w:pPr>
        <w:tabs>
          <w:tab w:val="left" w:pos="1000"/>
        </w:tabs>
        <w:ind w:left="800" w:hanging="800"/>
        <w:rPr>
          <w:b/>
          <w:bCs/>
        </w:rPr>
      </w:pPr>
    </w:p>
    <w:p w:rsidR="00F56BC1" w:rsidRPr="00FD6D35" w:rsidRDefault="00F56BC1" w:rsidP="00F56BC1">
      <w:pPr>
        <w:rPr>
          <w:lang w:eastAsia="en-AU"/>
        </w:rPr>
      </w:pPr>
      <w:r w:rsidRPr="00FD6D35">
        <w:br w:type="page"/>
      </w:r>
    </w:p>
    <w:p w:rsidR="00F56BC1" w:rsidRPr="00FD6D35" w:rsidRDefault="00F56BC1" w:rsidP="00F56BC1">
      <w:pPr>
        <w:pStyle w:val="Heading1"/>
        <w:rPr>
          <w:u w:val="single"/>
        </w:rPr>
      </w:pPr>
      <w:bookmarkStart w:id="23" w:name="_Toc122231822"/>
      <w:bookmarkStart w:id="24" w:name="_Toc152752060"/>
      <w:bookmarkStart w:id="25" w:name="_Toc32227154"/>
      <w:r w:rsidRPr="00FD6D35">
        <w:rPr>
          <w:u w:val="single"/>
        </w:rPr>
        <w:lastRenderedPageBreak/>
        <w:t>CHAPTER 4</w:t>
      </w:r>
      <w:r w:rsidRPr="00FD6D35">
        <w:rPr>
          <w:u w:val="single"/>
        </w:rPr>
        <w:tab/>
        <w:t>GRIEVANCE AND REVIEW PROCEDURES</w:t>
      </w:r>
      <w:bookmarkEnd w:id="23"/>
      <w:bookmarkEnd w:id="24"/>
      <w:bookmarkEnd w:id="25"/>
      <w:r w:rsidRPr="00FD6D35">
        <w:rPr>
          <w:u w:val="single"/>
        </w:rPr>
        <w:t xml:space="preserve"> </w:t>
      </w:r>
    </w:p>
    <w:p w:rsidR="00F56BC1" w:rsidRPr="00FD6D35" w:rsidRDefault="00F56BC1" w:rsidP="00F56BC1">
      <w:pPr>
        <w:rPr>
          <w:b/>
          <w:bCs/>
        </w:rPr>
      </w:pPr>
    </w:p>
    <w:p w:rsidR="00935DD8" w:rsidRPr="00FD6D35" w:rsidRDefault="00F56BC1" w:rsidP="00F56BC1">
      <w:pPr>
        <w:tabs>
          <w:tab w:val="left" w:pos="800"/>
        </w:tabs>
        <w:rPr>
          <w:b/>
        </w:rPr>
      </w:pPr>
      <w:r w:rsidRPr="00FD6D35">
        <w:rPr>
          <w:b/>
        </w:rPr>
        <w:t>4.1</w:t>
      </w:r>
      <w:r w:rsidRPr="00FD6D35">
        <w:rPr>
          <w:b/>
        </w:rPr>
        <w:tab/>
      </w:r>
      <w:r w:rsidR="00935DD8" w:rsidRPr="00FD6D35">
        <w:rPr>
          <w:b/>
        </w:rPr>
        <w:t>PURPOSE</w:t>
      </w:r>
    </w:p>
    <w:p w:rsidR="00935DD8" w:rsidRPr="00FD6D35" w:rsidRDefault="00935DD8" w:rsidP="00F56BC1">
      <w:pPr>
        <w:tabs>
          <w:tab w:val="left" w:pos="800"/>
        </w:tabs>
      </w:pPr>
    </w:p>
    <w:p w:rsidR="00F56BC1" w:rsidRPr="00FD6D35" w:rsidRDefault="00935DD8" w:rsidP="00935DD8">
      <w:pPr>
        <w:tabs>
          <w:tab w:val="left" w:pos="800"/>
        </w:tabs>
        <w:spacing w:after="120"/>
        <w:rPr>
          <w:lang w:eastAsia="en-AU"/>
        </w:rPr>
      </w:pPr>
      <w:r w:rsidRPr="00FD6D35">
        <w:t>4.1.1</w:t>
      </w:r>
      <w:r w:rsidRPr="00FD6D35">
        <w:tab/>
      </w:r>
      <w:r w:rsidR="00F56BC1" w:rsidRPr="00FD6D35">
        <w:rPr>
          <w:lang w:eastAsia="en-AU"/>
        </w:rPr>
        <w:t xml:space="preserve">The purpose of this chapter is: </w:t>
      </w:r>
    </w:p>
    <w:p w:rsidR="00F56BC1" w:rsidRPr="00FD6D35" w:rsidRDefault="006D5459" w:rsidP="006D5459">
      <w:pPr>
        <w:keepLines w:val="0"/>
        <w:tabs>
          <w:tab w:val="left" w:pos="1160"/>
        </w:tabs>
        <w:spacing w:after="120"/>
        <w:ind w:left="1160" w:hanging="360"/>
      </w:pPr>
      <w:r w:rsidRPr="00FD6D35">
        <w:t>(a)</w:t>
      </w:r>
      <w:r w:rsidRPr="00FD6D35">
        <w:tab/>
      </w:r>
      <w:r w:rsidR="00F56BC1" w:rsidRPr="00FD6D35">
        <w:t xml:space="preserve">to ensure that all higher education providers other than those listed on Table A of the </w:t>
      </w:r>
      <w:r w:rsidR="00F56BC1" w:rsidRPr="00FD6D35">
        <w:rPr>
          <w:i/>
          <w:iCs/>
        </w:rPr>
        <w:t>Act</w:t>
      </w:r>
      <w:r w:rsidR="00F56BC1" w:rsidRPr="00FD6D35">
        <w:t xml:space="preserve"> have a grievance procedure in place to ensure effective and fair handling of complaints about both </w:t>
      </w:r>
      <w:r w:rsidR="00F56BC1" w:rsidRPr="00FD6D35">
        <w:rPr>
          <w:i/>
          <w:iCs/>
        </w:rPr>
        <w:t>academic</w:t>
      </w:r>
      <w:r w:rsidR="00F56BC1" w:rsidRPr="00FD6D35">
        <w:t xml:space="preserve"> and </w:t>
      </w:r>
      <w:r w:rsidR="00F56BC1" w:rsidRPr="00FD6D35">
        <w:rPr>
          <w:i/>
          <w:iCs/>
        </w:rPr>
        <w:t>non-academic matters</w:t>
      </w:r>
      <w:r w:rsidR="00F56BC1" w:rsidRPr="00FD6D35">
        <w:t>. (See paragraphs 19</w:t>
      </w:r>
      <w:r w:rsidR="00F56BC1" w:rsidRPr="00FD6D35">
        <w:noBreakHyphen/>
        <w:t xml:space="preserve">45(1)(a) and (b) and subsection19-45(2) of the </w:t>
      </w:r>
      <w:r w:rsidR="00F56BC1" w:rsidRPr="00FD6D35">
        <w:rPr>
          <w:i/>
          <w:iCs/>
        </w:rPr>
        <w:t>Act</w:t>
      </w:r>
      <w:r w:rsidR="00F56BC1" w:rsidRPr="00FD6D35">
        <w:t xml:space="preserve">.); and </w:t>
      </w:r>
    </w:p>
    <w:p w:rsidR="00F56BC1" w:rsidRPr="00FD6D35" w:rsidRDefault="006D5459" w:rsidP="006D5459">
      <w:pPr>
        <w:keepLines w:val="0"/>
        <w:tabs>
          <w:tab w:val="left" w:pos="1160"/>
        </w:tabs>
        <w:spacing w:after="120"/>
        <w:ind w:left="1160" w:hanging="360"/>
      </w:pPr>
      <w:r w:rsidRPr="00FD6D35">
        <w:t>(b)</w:t>
      </w:r>
      <w:r w:rsidRPr="00FD6D35">
        <w:tab/>
      </w:r>
      <w:r w:rsidR="00F56BC1" w:rsidRPr="00FD6D35">
        <w:t xml:space="preserve">to set out procedures that review officers must follow when reviewing reviewable decisions of </w:t>
      </w:r>
      <w:r w:rsidR="00F2194D" w:rsidRPr="00FD6D35">
        <w:t>higher education provider</w:t>
      </w:r>
      <w:r w:rsidR="00F56BC1" w:rsidRPr="00FD6D35">
        <w:t xml:space="preserve">s under Chapter 3 of the </w:t>
      </w:r>
      <w:r w:rsidR="00F56BC1" w:rsidRPr="00FD6D35">
        <w:rPr>
          <w:i/>
          <w:iCs/>
        </w:rPr>
        <w:t>Act</w:t>
      </w:r>
      <w:r w:rsidR="00F2194D" w:rsidRPr="00FD6D35">
        <w:t>. (See subsection19</w:t>
      </w:r>
      <w:r w:rsidR="00F2194D" w:rsidRPr="00FD6D35">
        <w:noBreakHyphen/>
      </w:r>
      <w:r w:rsidR="00F56BC1" w:rsidRPr="00FD6D35">
        <w:t xml:space="preserve">45(4) of the </w:t>
      </w:r>
      <w:r w:rsidR="00F56BC1" w:rsidRPr="00FD6D35">
        <w:rPr>
          <w:i/>
          <w:iCs/>
        </w:rPr>
        <w:t>Act</w:t>
      </w:r>
      <w:r w:rsidR="00F56BC1" w:rsidRPr="00FD6D35">
        <w:t>.)</w:t>
      </w:r>
    </w:p>
    <w:p w:rsidR="00F56BC1" w:rsidRPr="00FD6D35" w:rsidRDefault="00F56BC1" w:rsidP="00F56BC1">
      <w:pPr>
        <w:rPr>
          <w:lang w:eastAsia="en-AU"/>
        </w:rPr>
      </w:pPr>
    </w:p>
    <w:p w:rsidR="00F56BC1" w:rsidRPr="00FD6D35" w:rsidRDefault="00F56BC1" w:rsidP="00F56BC1">
      <w:pPr>
        <w:pStyle w:val="List1"/>
      </w:pPr>
      <w:r w:rsidRPr="00FD6D35">
        <w:t>4.5</w:t>
      </w:r>
      <w:r w:rsidRPr="00FD6D35">
        <w:tab/>
        <w:t>REQUIREMENTS FOR GRIEVANCE PROCEDURES</w:t>
      </w:r>
    </w:p>
    <w:p w:rsidR="00F56BC1" w:rsidRPr="00FD6D35" w:rsidRDefault="00F56BC1" w:rsidP="00F56BC1">
      <w:pPr>
        <w:rPr>
          <w:lang w:eastAsia="en-AU"/>
        </w:rPr>
      </w:pPr>
    </w:p>
    <w:p w:rsidR="00F56BC1" w:rsidRPr="00FD6D35" w:rsidRDefault="00F56BC1" w:rsidP="00D2292A">
      <w:pPr>
        <w:tabs>
          <w:tab w:val="left" w:pos="1000"/>
        </w:tabs>
        <w:spacing w:after="120"/>
        <w:ind w:left="800" w:hanging="800"/>
      </w:pPr>
      <w:r w:rsidRPr="00FD6D35">
        <w:t>4.5.1</w:t>
      </w:r>
      <w:r w:rsidRPr="00FD6D35">
        <w:tab/>
        <w:t>A higher education provider other than a Table A provider must have a grievance procedure to deal with complaints:</w:t>
      </w:r>
    </w:p>
    <w:p w:rsidR="00F56BC1" w:rsidRPr="00FD6D35" w:rsidRDefault="006D5459" w:rsidP="006D5459">
      <w:pPr>
        <w:keepLines w:val="0"/>
        <w:tabs>
          <w:tab w:val="left" w:pos="1160"/>
        </w:tabs>
        <w:spacing w:after="120"/>
        <w:ind w:left="1160" w:hanging="360"/>
      </w:pPr>
      <w:r w:rsidRPr="00FD6D35">
        <w:t>(a)</w:t>
      </w:r>
      <w:r w:rsidRPr="00FD6D35">
        <w:tab/>
      </w:r>
      <w:r w:rsidR="00F56BC1" w:rsidRPr="00FD6D35">
        <w:t xml:space="preserve">from the provider’s students, and from persons seeking to enrol in courses of study with the provider, relating to </w:t>
      </w:r>
      <w:r w:rsidR="00F56BC1" w:rsidRPr="00FD6D35">
        <w:rPr>
          <w:i/>
          <w:iCs/>
        </w:rPr>
        <w:t>non-academic matters</w:t>
      </w:r>
      <w:r w:rsidR="00F56BC1" w:rsidRPr="00FD6D35">
        <w:t>; and</w:t>
      </w:r>
    </w:p>
    <w:p w:rsidR="00F56BC1" w:rsidRPr="00FD6D35" w:rsidRDefault="006D5459" w:rsidP="006D5459">
      <w:pPr>
        <w:keepLines w:val="0"/>
        <w:tabs>
          <w:tab w:val="left" w:pos="1160"/>
        </w:tabs>
        <w:ind w:left="1156" w:hanging="357"/>
      </w:pPr>
      <w:r w:rsidRPr="00FD6D35">
        <w:t>(b)</w:t>
      </w:r>
      <w:r w:rsidRPr="00FD6D35">
        <w:tab/>
      </w:r>
      <w:r w:rsidR="00F56BC1" w:rsidRPr="00FD6D35">
        <w:t xml:space="preserve">from the provider’s students, relating to </w:t>
      </w:r>
      <w:r w:rsidR="00F56BC1" w:rsidRPr="00FD6D35">
        <w:rPr>
          <w:i/>
          <w:iCs/>
        </w:rPr>
        <w:t>academic matters</w:t>
      </w:r>
      <w:r w:rsidR="00F56BC1" w:rsidRPr="00FD6D35">
        <w:t>.</w:t>
      </w:r>
    </w:p>
    <w:p w:rsidR="00F56BC1" w:rsidRPr="00FD6D35" w:rsidRDefault="00F56BC1" w:rsidP="00F56BC1">
      <w:pPr>
        <w:tabs>
          <w:tab w:val="left" w:pos="1000"/>
        </w:tabs>
        <w:ind w:left="800" w:hanging="800"/>
      </w:pPr>
    </w:p>
    <w:p w:rsidR="00F56BC1" w:rsidRPr="00FD6D35" w:rsidRDefault="007C4103" w:rsidP="00D2292A">
      <w:pPr>
        <w:tabs>
          <w:tab w:val="left" w:pos="1000"/>
        </w:tabs>
        <w:spacing w:after="120"/>
        <w:ind w:left="800" w:hanging="800"/>
      </w:pPr>
      <w:r w:rsidRPr="00FD6D35">
        <w:t>4.5.5</w:t>
      </w:r>
      <w:r w:rsidR="00F56BC1" w:rsidRPr="00FD6D35">
        <w:tab/>
        <w:t>These grievance procedures must contain the following elements:</w:t>
      </w:r>
    </w:p>
    <w:p w:rsidR="00F56BC1" w:rsidRPr="00FD6D35" w:rsidRDefault="006D5459" w:rsidP="006D5459">
      <w:pPr>
        <w:keepLines w:val="0"/>
        <w:tabs>
          <w:tab w:val="left" w:pos="1159"/>
        </w:tabs>
        <w:spacing w:after="120"/>
        <w:ind w:left="1159" w:hanging="360"/>
      </w:pPr>
      <w:r w:rsidRPr="00FD6D35">
        <w:t>(a)</w:t>
      </w:r>
      <w:r w:rsidRPr="00FD6D35">
        <w:tab/>
      </w:r>
      <w:r w:rsidR="00F56BC1" w:rsidRPr="00FD6D35">
        <w:t>an arrangement for handling complaints which is easily accessible to students; is without charge, or at reasonable cost to students; and encourages timely resolution; and</w:t>
      </w:r>
    </w:p>
    <w:p w:rsidR="00F56BC1" w:rsidRPr="00FD6D35" w:rsidRDefault="006D5459" w:rsidP="006D5459">
      <w:pPr>
        <w:keepLines w:val="0"/>
        <w:tabs>
          <w:tab w:val="left" w:pos="1159"/>
        </w:tabs>
        <w:spacing w:after="120"/>
        <w:ind w:left="1159" w:hanging="360"/>
      </w:pPr>
      <w:r w:rsidRPr="00FD6D35">
        <w:t>(b)</w:t>
      </w:r>
      <w:r w:rsidRPr="00FD6D35">
        <w:tab/>
      </w:r>
      <w:r w:rsidR="00F56BC1" w:rsidRPr="00FD6D35">
        <w:t xml:space="preserve">an arrangement for the internal investigation of complaints which remain unresolved by the process outlined at </w:t>
      </w:r>
      <w:r w:rsidR="00BE3C79" w:rsidRPr="00FD6D35">
        <w:t>(</w:t>
      </w:r>
      <w:r w:rsidR="00F56BC1" w:rsidRPr="00FD6D35">
        <w:t>a) by an independent and impartial senior officer of the provider nominated by the provider, or dedicated complaints committee or unit established by the provider; and</w:t>
      </w:r>
    </w:p>
    <w:p w:rsidR="00F56BC1" w:rsidRPr="00FD6D35" w:rsidRDefault="006D5459" w:rsidP="006D5459">
      <w:pPr>
        <w:keepLines w:val="0"/>
        <w:tabs>
          <w:tab w:val="left" w:pos="1159"/>
        </w:tabs>
        <w:ind w:left="1156" w:hanging="357"/>
      </w:pPr>
      <w:r w:rsidRPr="00FD6D35">
        <w:t>(c)</w:t>
      </w:r>
      <w:r w:rsidRPr="00FD6D35">
        <w:tab/>
      </w:r>
      <w:r w:rsidR="00F56BC1" w:rsidRPr="00FD6D35">
        <w:t xml:space="preserve">a provision for external review of decisions made under paragraph </w:t>
      </w:r>
      <w:r w:rsidR="00BE3C79" w:rsidRPr="00FD6D35">
        <w:t>(</w:t>
      </w:r>
      <w:r w:rsidR="00F56BC1" w:rsidRPr="00FD6D35">
        <w:t>b) by an independent person or body established or nominated by the higher education provider.</w:t>
      </w:r>
    </w:p>
    <w:p w:rsidR="00F56BC1" w:rsidRPr="00FD6D35" w:rsidRDefault="00F56BC1" w:rsidP="00F56BC1"/>
    <w:p w:rsidR="00F56BC1" w:rsidRPr="00FD6D35" w:rsidRDefault="007C4103" w:rsidP="00D2292A">
      <w:pPr>
        <w:tabs>
          <w:tab w:val="left" w:pos="1000"/>
        </w:tabs>
        <w:spacing w:after="120"/>
        <w:ind w:left="800" w:hanging="800"/>
      </w:pPr>
      <w:r w:rsidRPr="00FD6D35">
        <w:t>4.5.10</w:t>
      </w:r>
      <w:r w:rsidR="00D2292A" w:rsidRPr="00FD6D35">
        <w:tab/>
      </w:r>
      <w:r w:rsidR="00F56BC1" w:rsidRPr="00FD6D35">
        <w:t>The higher education provider must:</w:t>
      </w:r>
    </w:p>
    <w:p w:rsidR="00F56BC1" w:rsidRPr="00FD6D35" w:rsidRDefault="006D5459" w:rsidP="006D5459">
      <w:pPr>
        <w:keepLines w:val="0"/>
        <w:tabs>
          <w:tab w:val="left" w:pos="1287"/>
        </w:tabs>
        <w:spacing w:after="120"/>
        <w:ind w:left="1287" w:hanging="360"/>
      </w:pPr>
      <w:r w:rsidRPr="00FD6D35">
        <w:t>(a)</w:t>
      </w:r>
      <w:r w:rsidRPr="00FD6D35">
        <w:tab/>
      </w:r>
      <w:r w:rsidR="00F56BC1" w:rsidRPr="00FD6D35">
        <w:t>have a mechanism in place to implement the grievance procedures, including implementation of recommendations arising from any external review under paragraph 4.5</w:t>
      </w:r>
      <w:r w:rsidR="007C4103" w:rsidRPr="00FD6D35">
        <w:t>.5</w:t>
      </w:r>
      <w:r w:rsidR="00BE3C79" w:rsidRPr="00FD6D35">
        <w:t>(</w:t>
      </w:r>
      <w:r w:rsidR="00F56BC1" w:rsidRPr="00FD6D35">
        <w:t>c);</w:t>
      </w:r>
    </w:p>
    <w:p w:rsidR="00F56BC1" w:rsidRPr="00FD6D35" w:rsidRDefault="006D5459" w:rsidP="006D5459">
      <w:pPr>
        <w:keepLines w:val="0"/>
        <w:tabs>
          <w:tab w:val="left" w:pos="1287"/>
        </w:tabs>
        <w:spacing w:after="120"/>
        <w:ind w:left="1287" w:hanging="360"/>
      </w:pPr>
      <w:r w:rsidRPr="00FD6D35">
        <w:t>(b)</w:t>
      </w:r>
      <w:r w:rsidRPr="00FD6D35">
        <w:tab/>
      </w:r>
      <w:r w:rsidR="00F56BC1" w:rsidRPr="00FD6D35">
        <w:t>ensure that the grievance procedures are complete, unambiguous and agreed to and ratified by the provider’s governing body;</w:t>
      </w:r>
    </w:p>
    <w:p w:rsidR="00F56BC1" w:rsidRPr="00FD6D35" w:rsidRDefault="006D5459" w:rsidP="006D5459">
      <w:pPr>
        <w:keepLines w:val="0"/>
        <w:tabs>
          <w:tab w:val="left" w:pos="1287"/>
        </w:tabs>
        <w:spacing w:after="120"/>
        <w:ind w:left="1287" w:hanging="360"/>
      </w:pPr>
      <w:r w:rsidRPr="00FD6D35">
        <w:t>(c)</w:t>
      </w:r>
      <w:r w:rsidRPr="00FD6D35">
        <w:tab/>
      </w:r>
      <w:r w:rsidR="00F56BC1" w:rsidRPr="00FD6D35">
        <w:t xml:space="preserve">not </w:t>
      </w:r>
      <w:r w:rsidR="00F56BC1" w:rsidRPr="00FD6D35">
        <w:rPr>
          <w:i/>
          <w:iCs/>
        </w:rPr>
        <w:t>victimise</w:t>
      </w:r>
      <w:r w:rsidR="00F56BC1" w:rsidRPr="00FD6D35">
        <w:t xml:space="preserve"> or discriminate against any complainant or respondent;</w:t>
      </w:r>
    </w:p>
    <w:p w:rsidR="00F56BC1" w:rsidRPr="00FD6D35" w:rsidRDefault="006D5459" w:rsidP="006D5459">
      <w:pPr>
        <w:keepLines w:val="0"/>
        <w:tabs>
          <w:tab w:val="left" w:pos="1287"/>
        </w:tabs>
        <w:spacing w:after="120"/>
        <w:ind w:left="1287" w:hanging="360"/>
      </w:pPr>
      <w:r w:rsidRPr="00FD6D35">
        <w:t>(d)</w:t>
      </w:r>
      <w:r w:rsidRPr="00FD6D35">
        <w:tab/>
      </w:r>
      <w:r w:rsidR="00F56BC1" w:rsidRPr="00FD6D35">
        <w:t>make details of the grievance procedures publicly available;</w:t>
      </w:r>
    </w:p>
    <w:p w:rsidR="00F56BC1" w:rsidRPr="00FD6D35" w:rsidRDefault="006D5459" w:rsidP="006D5459">
      <w:pPr>
        <w:keepLines w:val="0"/>
        <w:tabs>
          <w:tab w:val="left" w:pos="1287"/>
        </w:tabs>
        <w:spacing w:after="120"/>
        <w:ind w:left="1287" w:hanging="360"/>
      </w:pPr>
      <w:r w:rsidRPr="00FD6D35">
        <w:t>(e)</w:t>
      </w:r>
      <w:r w:rsidRPr="00FD6D35">
        <w:tab/>
      </w:r>
      <w:r w:rsidR="00F56BC1" w:rsidRPr="00FD6D35">
        <w:t xml:space="preserve">communicate the grievance procedures in writing to its staff and train its staff in their application; </w:t>
      </w:r>
    </w:p>
    <w:p w:rsidR="00F56BC1" w:rsidRPr="00FD6D35" w:rsidRDefault="006D5459" w:rsidP="006D5459">
      <w:pPr>
        <w:keepLines w:val="0"/>
        <w:tabs>
          <w:tab w:val="left" w:pos="1287"/>
        </w:tabs>
        <w:spacing w:after="120"/>
        <w:ind w:left="1287" w:hanging="360"/>
      </w:pPr>
      <w:r w:rsidRPr="00FD6D35">
        <w:t>(f)</w:t>
      </w:r>
      <w:r w:rsidRPr="00FD6D35">
        <w:tab/>
      </w:r>
      <w:r w:rsidR="00F56BC1" w:rsidRPr="00FD6D35">
        <w:t xml:space="preserve">specify reasonable timelines for responses to each stage of the process; </w:t>
      </w:r>
    </w:p>
    <w:p w:rsidR="00F56BC1" w:rsidRPr="00FD6D35" w:rsidRDefault="006D5459" w:rsidP="006D5459">
      <w:pPr>
        <w:keepLines w:val="0"/>
        <w:tabs>
          <w:tab w:val="left" w:pos="1287"/>
        </w:tabs>
        <w:spacing w:after="120"/>
        <w:ind w:left="1287" w:hanging="360"/>
      </w:pPr>
      <w:r w:rsidRPr="00FD6D35">
        <w:t>(g)</w:t>
      </w:r>
      <w:r w:rsidRPr="00FD6D35">
        <w:tab/>
      </w:r>
      <w:r w:rsidR="00F56BC1" w:rsidRPr="00FD6D35">
        <w:t>allow the complainant and/or respondent to be accompanied and assisted by a third party if desired;</w:t>
      </w:r>
    </w:p>
    <w:p w:rsidR="00F56BC1" w:rsidRPr="00FD6D35" w:rsidRDefault="006D5459" w:rsidP="006D5459">
      <w:pPr>
        <w:keepLines w:val="0"/>
        <w:tabs>
          <w:tab w:val="left" w:pos="1287"/>
        </w:tabs>
        <w:spacing w:after="120"/>
        <w:ind w:left="1287" w:hanging="360"/>
      </w:pPr>
      <w:r w:rsidRPr="00FD6D35">
        <w:t>(h)</w:t>
      </w:r>
      <w:r w:rsidRPr="00FD6D35">
        <w:tab/>
      </w:r>
      <w:r w:rsidR="00F56BC1" w:rsidRPr="00FD6D35">
        <w:t>give reasons and full explanation in writing for decisions and actions taken as part of the procedures, if requested by the complainant and/or respondent;</w:t>
      </w:r>
    </w:p>
    <w:p w:rsidR="00F56BC1" w:rsidRPr="00FD6D35" w:rsidRDefault="006D5459" w:rsidP="006D5459">
      <w:pPr>
        <w:keepLines w:val="0"/>
        <w:tabs>
          <w:tab w:val="left" w:pos="1287"/>
        </w:tabs>
        <w:spacing w:after="120"/>
        <w:ind w:left="1287" w:hanging="360"/>
      </w:pPr>
      <w:r w:rsidRPr="00FD6D35">
        <w:lastRenderedPageBreak/>
        <w:t>(i)</w:t>
      </w:r>
      <w:r w:rsidRPr="00FD6D35">
        <w:tab/>
      </w:r>
      <w:r w:rsidR="00F56BC1" w:rsidRPr="00FD6D35">
        <w:t>keep appropriate records of all grievances for at least five years, and allow parties to the complaint appropriate access to these records;</w:t>
      </w:r>
    </w:p>
    <w:p w:rsidR="00F56BC1" w:rsidRPr="00FD6D35" w:rsidRDefault="006D5459" w:rsidP="006D5459">
      <w:pPr>
        <w:keepLines w:val="0"/>
        <w:tabs>
          <w:tab w:val="left" w:pos="1287"/>
        </w:tabs>
        <w:ind w:left="1281" w:hanging="357"/>
      </w:pPr>
      <w:r w:rsidRPr="00FD6D35">
        <w:t>(j)</w:t>
      </w:r>
      <w:r w:rsidRPr="00FD6D35">
        <w:tab/>
      </w:r>
      <w:r w:rsidR="00F56BC1" w:rsidRPr="00FD6D35">
        <w:t>ensure that such records are treated as confidential.</w:t>
      </w:r>
    </w:p>
    <w:p w:rsidR="00F56BC1" w:rsidRPr="00FD6D35" w:rsidRDefault="00F56BC1" w:rsidP="00F56BC1">
      <w:pPr>
        <w:ind w:left="360"/>
      </w:pPr>
    </w:p>
    <w:p w:rsidR="00F56BC1" w:rsidRPr="00FD6D35" w:rsidRDefault="007C4103" w:rsidP="00F56BC1">
      <w:pPr>
        <w:tabs>
          <w:tab w:val="left" w:pos="1000"/>
        </w:tabs>
        <w:ind w:left="800" w:hanging="800"/>
      </w:pPr>
      <w:r w:rsidRPr="00FD6D35">
        <w:t>4.5.15</w:t>
      </w:r>
      <w:r w:rsidR="00F56BC1" w:rsidRPr="00FD6D35">
        <w:tab/>
        <w:t>Students or persons seeking to enrol in course of study with a provider are entitled to access the grievance procedures as set out by that provider, regardless of the location of the campus at which the grievance has arisen, the student’s place of residence or the mode in which they study.</w:t>
      </w:r>
    </w:p>
    <w:p w:rsidR="00F56BC1" w:rsidRPr="00FD6D35" w:rsidRDefault="00F56BC1" w:rsidP="00F56BC1"/>
    <w:p w:rsidR="00F56BC1" w:rsidRPr="00FD6D35" w:rsidRDefault="007C4103" w:rsidP="00085880">
      <w:pPr>
        <w:tabs>
          <w:tab w:val="left" w:pos="1000"/>
        </w:tabs>
        <w:ind w:left="799" w:hanging="799"/>
      </w:pPr>
      <w:r w:rsidRPr="00FD6D35">
        <w:t>4.5.20</w:t>
      </w:r>
      <w:r w:rsidR="00F56BC1" w:rsidRPr="00FD6D35">
        <w:tab/>
        <w:t xml:space="preserve">The procedures set out in </w:t>
      </w:r>
      <w:r w:rsidR="00B667DD" w:rsidRPr="00FD6D35">
        <w:t>the grievance procedures document</w:t>
      </w:r>
      <w:r w:rsidR="00F56BC1" w:rsidRPr="00FD6D35">
        <w:t xml:space="preserve"> do not replace or modify procedures or any other responsibilities which may arise under other higher education provider policies or under statute or any other law.</w:t>
      </w:r>
    </w:p>
    <w:p w:rsidR="00F56BC1" w:rsidRPr="00FD6D35" w:rsidRDefault="00F56BC1" w:rsidP="00F56BC1"/>
    <w:p w:rsidR="00F56BC1" w:rsidRPr="00FD6D35" w:rsidRDefault="00F56BC1" w:rsidP="00F56BC1">
      <w:pPr>
        <w:pStyle w:val="List1"/>
        <w:ind w:left="795" w:hanging="795"/>
      </w:pPr>
      <w:r w:rsidRPr="00FD6D35">
        <w:t>4.10</w:t>
      </w:r>
      <w:r w:rsidRPr="00FD6D35">
        <w:tab/>
        <w:t>REQUIREMENTS FOR REVIEWING DECISIONS OF A HIGHER EDUCATION PROVIDER IN RELATION TO ASSISTANCE UNDER CHAPTER 3 OF THE</w:t>
      </w:r>
      <w:r w:rsidRPr="00FD6D35">
        <w:rPr>
          <w:i/>
          <w:iCs/>
        </w:rPr>
        <w:t xml:space="preserve"> ACT</w:t>
      </w:r>
    </w:p>
    <w:p w:rsidR="00F56BC1" w:rsidRPr="00FD6D35" w:rsidRDefault="00F56BC1" w:rsidP="00F56BC1">
      <w:pPr>
        <w:rPr>
          <w:i/>
          <w:iCs/>
        </w:rPr>
      </w:pPr>
      <w:r w:rsidRPr="00FD6D35">
        <w:rPr>
          <w:i/>
          <w:iCs/>
          <w:sz w:val="20"/>
          <w:szCs w:val="20"/>
          <w:lang w:eastAsia="en-AU"/>
        </w:rPr>
        <w:t xml:space="preserve"> </w:t>
      </w:r>
    </w:p>
    <w:p w:rsidR="00F56BC1" w:rsidRPr="00FD6D35" w:rsidRDefault="00F56BC1" w:rsidP="00F56BC1">
      <w:pPr>
        <w:ind w:left="1000" w:hanging="1000"/>
        <w:rPr>
          <w:lang w:eastAsia="en-AU"/>
        </w:rPr>
      </w:pPr>
      <w:r w:rsidRPr="00FD6D35">
        <w:rPr>
          <w:lang w:eastAsia="en-AU"/>
        </w:rPr>
        <w:t>4.10.1</w:t>
      </w:r>
      <w:r w:rsidRPr="00FD6D35">
        <w:rPr>
          <w:lang w:eastAsia="en-AU"/>
        </w:rPr>
        <w:tab/>
        <w:t xml:space="preserve">In reviewing </w:t>
      </w:r>
      <w:r w:rsidRPr="00FD6D35">
        <w:rPr>
          <w:i/>
          <w:iCs/>
          <w:lang w:eastAsia="en-AU"/>
        </w:rPr>
        <w:t>reviewable decisions</w:t>
      </w:r>
      <w:r w:rsidRPr="00FD6D35">
        <w:rPr>
          <w:lang w:eastAsia="en-AU"/>
        </w:rPr>
        <w:t xml:space="preserve"> made under Chapter 3 of the</w:t>
      </w:r>
      <w:r w:rsidRPr="00FD6D35">
        <w:rPr>
          <w:i/>
          <w:iCs/>
          <w:lang w:eastAsia="en-AU"/>
        </w:rPr>
        <w:t xml:space="preserve"> Act</w:t>
      </w:r>
      <w:r w:rsidRPr="00FD6D35">
        <w:rPr>
          <w:lang w:eastAsia="en-AU"/>
        </w:rPr>
        <w:t xml:space="preserve">, providers must comply with the requirements of this section </w:t>
      </w:r>
      <w:r w:rsidR="0087325A" w:rsidRPr="00FD6D35">
        <w:rPr>
          <w:lang w:eastAsia="en-AU"/>
        </w:rPr>
        <w:t xml:space="preserve">4.10 </w:t>
      </w:r>
      <w:r w:rsidRPr="00FD6D35">
        <w:rPr>
          <w:lang w:eastAsia="en-AU"/>
        </w:rPr>
        <w:t xml:space="preserve">and of Division 209 of the </w:t>
      </w:r>
      <w:r w:rsidRPr="00FD6D35">
        <w:rPr>
          <w:i/>
          <w:iCs/>
          <w:lang w:eastAsia="en-AU"/>
        </w:rPr>
        <w:t>Act</w:t>
      </w:r>
      <w:r w:rsidRPr="00FD6D35">
        <w:rPr>
          <w:lang w:eastAsia="en-AU"/>
        </w:rPr>
        <w:t xml:space="preserve">. </w:t>
      </w:r>
    </w:p>
    <w:p w:rsidR="00F56BC1" w:rsidRPr="00FD6D35" w:rsidRDefault="00F56BC1" w:rsidP="00F56BC1">
      <w:pPr>
        <w:ind w:left="1000" w:hanging="1000"/>
        <w:rPr>
          <w:lang w:eastAsia="en-AU"/>
        </w:rPr>
      </w:pPr>
    </w:p>
    <w:p w:rsidR="00F56BC1" w:rsidRPr="00FD6D35" w:rsidRDefault="00F56BC1" w:rsidP="00F56BC1">
      <w:pPr>
        <w:ind w:left="1000" w:hanging="1000"/>
        <w:rPr>
          <w:lang w:eastAsia="en-AU"/>
        </w:rPr>
      </w:pPr>
      <w:r w:rsidRPr="00FD6D35">
        <w:rPr>
          <w:lang w:eastAsia="en-AU"/>
        </w:rPr>
        <w:t>4.10.5</w:t>
      </w:r>
      <w:r w:rsidRPr="00FD6D35">
        <w:rPr>
          <w:lang w:eastAsia="en-AU"/>
        </w:rPr>
        <w:tab/>
        <w:t>The higher education provider must acknowledge receipt of an application for review of a reviewable decision in writing and inform the applicant that, if the reviewer has not advised the applicant of a decision within 45 days of receiving the application for review, the reviewer is taken to have confirmed the original decision.</w:t>
      </w:r>
    </w:p>
    <w:p w:rsidR="00F56BC1" w:rsidRPr="00FD6D35" w:rsidRDefault="00F56BC1" w:rsidP="00F56BC1">
      <w:pPr>
        <w:ind w:left="1000" w:hanging="1000"/>
        <w:rPr>
          <w:lang w:eastAsia="en-AU"/>
        </w:rPr>
      </w:pPr>
    </w:p>
    <w:p w:rsidR="00F56BC1" w:rsidRPr="00FD6D35" w:rsidRDefault="00F56BC1" w:rsidP="00F56BC1">
      <w:pPr>
        <w:tabs>
          <w:tab w:val="left" w:pos="440"/>
        </w:tabs>
        <w:ind w:left="990" w:hanging="990"/>
        <w:rPr>
          <w:lang w:eastAsia="en-AU"/>
        </w:rPr>
      </w:pPr>
      <w:r w:rsidRPr="00FD6D35">
        <w:rPr>
          <w:lang w:eastAsia="en-AU"/>
        </w:rPr>
        <w:t xml:space="preserve">4.10.10    The reviewer of a reviewable decision must inform applicants of their right to apply to        the Administrative Appeals Tribunal for a review of the reviewable decision that has been confirmed, varied or set aside under section 209-5 or 209-10 of the </w:t>
      </w:r>
      <w:r w:rsidRPr="00FD6D35">
        <w:rPr>
          <w:i/>
          <w:iCs/>
          <w:lang w:eastAsia="en-AU"/>
        </w:rPr>
        <w:t>Act</w:t>
      </w:r>
      <w:r w:rsidRPr="00FD6D35">
        <w:rPr>
          <w:lang w:eastAsia="en-AU"/>
        </w:rPr>
        <w:t xml:space="preserve">, and provide the contact details of the closest Administrative Appeals Registry and the approximate costs of lodging an appeal with the Administrative Appeals Tribunal.  </w:t>
      </w:r>
    </w:p>
    <w:p w:rsidR="00F56BC1" w:rsidRPr="00FD6D35" w:rsidRDefault="00F56BC1" w:rsidP="00F56BC1">
      <w:pPr>
        <w:tabs>
          <w:tab w:val="left" w:pos="1000"/>
        </w:tabs>
        <w:rPr>
          <w:sz w:val="20"/>
          <w:szCs w:val="20"/>
          <w:lang w:eastAsia="en-AU"/>
        </w:rPr>
      </w:pPr>
    </w:p>
    <w:p w:rsidR="00F56BC1" w:rsidRPr="00FD6D35" w:rsidRDefault="00F56BC1" w:rsidP="00F56BC1">
      <w:pPr>
        <w:tabs>
          <w:tab w:val="left" w:pos="1000"/>
        </w:tabs>
        <w:rPr>
          <w:sz w:val="20"/>
          <w:szCs w:val="20"/>
          <w:lang w:eastAsia="en-AU"/>
        </w:rPr>
      </w:pPr>
    </w:p>
    <w:p w:rsidR="00F56BC1" w:rsidRPr="00FD6D35" w:rsidRDefault="00F56BC1" w:rsidP="00F56BC1">
      <w:pPr>
        <w:tabs>
          <w:tab w:val="left" w:pos="1000"/>
        </w:tabs>
        <w:rPr>
          <w:sz w:val="20"/>
          <w:szCs w:val="20"/>
          <w:lang w:eastAsia="en-AU"/>
        </w:rPr>
      </w:pPr>
    </w:p>
    <w:p w:rsidR="00F56BC1" w:rsidRPr="00FD6D35" w:rsidRDefault="00F56BC1" w:rsidP="00F56BC1">
      <w:pPr>
        <w:tabs>
          <w:tab w:val="left" w:pos="1000"/>
        </w:tabs>
        <w:rPr>
          <w:sz w:val="20"/>
          <w:szCs w:val="20"/>
          <w:lang w:eastAsia="en-AU"/>
        </w:rPr>
      </w:pPr>
    </w:p>
    <w:p w:rsidR="00F56BC1" w:rsidRPr="00FD6D35" w:rsidRDefault="00F56BC1" w:rsidP="00F56BC1">
      <w:pPr>
        <w:tabs>
          <w:tab w:val="left" w:pos="1000"/>
        </w:tabs>
        <w:ind w:left="800" w:hanging="800"/>
      </w:pPr>
    </w:p>
    <w:p w:rsidR="00F56BC1" w:rsidRPr="00FD6D35" w:rsidRDefault="00C1470A" w:rsidP="00C1470A">
      <w:pPr>
        <w:pStyle w:val="Heading1"/>
        <w:ind w:left="1700" w:hanging="1700"/>
        <w:rPr>
          <w:u w:val="single"/>
        </w:rPr>
      </w:pPr>
      <w:r w:rsidRPr="00FD6D35">
        <w:br w:type="page"/>
      </w:r>
      <w:bookmarkStart w:id="26" w:name="_Toc150239571"/>
      <w:bookmarkStart w:id="27" w:name="_Toc32227155"/>
      <w:r w:rsidR="00F56BC1" w:rsidRPr="00FD6D35">
        <w:rPr>
          <w:u w:val="single"/>
        </w:rPr>
        <w:lastRenderedPageBreak/>
        <w:t xml:space="preserve">CHAPTER </w:t>
      </w:r>
      <w:r w:rsidRPr="00FD6D35">
        <w:rPr>
          <w:u w:val="single"/>
        </w:rPr>
        <w:t>5</w:t>
      </w:r>
      <w:r w:rsidRPr="00FD6D35">
        <w:rPr>
          <w:u w:val="single"/>
        </w:rPr>
        <w:tab/>
      </w:r>
      <w:r w:rsidR="00F56BC1" w:rsidRPr="00FD6D35">
        <w:rPr>
          <w:u w:val="single"/>
        </w:rPr>
        <w:t>PUBLICATION AND OTHER REQUIREMENTS FOR STUDENT CONTRIBUTION AMOUNTS AND TUITION FEES</w:t>
      </w:r>
      <w:bookmarkEnd w:id="26"/>
      <w:bookmarkEnd w:id="27"/>
    </w:p>
    <w:p w:rsidR="00F56BC1" w:rsidRPr="00FD6D35" w:rsidRDefault="00F56BC1" w:rsidP="00F56BC1">
      <w:pPr>
        <w:rPr>
          <w:u w:val="single"/>
        </w:rPr>
      </w:pPr>
    </w:p>
    <w:p w:rsidR="00F56BC1" w:rsidRPr="00FD6D35" w:rsidRDefault="00C1470A" w:rsidP="00F56BC1">
      <w:pPr>
        <w:pStyle w:val="List1"/>
      </w:pPr>
      <w:r w:rsidRPr="00FD6D35">
        <w:t>5</w:t>
      </w:r>
      <w:r w:rsidR="00F56BC1" w:rsidRPr="00FD6D35">
        <w:t>.1</w:t>
      </w:r>
      <w:r w:rsidR="00F56BC1" w:rsidRPr="00FD6D35">
        <w:tab/>
        <w:t>PURPOSE</w:t>
      </w:r>
    </w:p>
    <w:p w:rsidR="00F56BC1" w:rsidRPr="00FD6D35" w:rsidRDefault="00F56BC1" w:rsidP="00F56BC1"/>
    <w:p w:rsidR="00F56BC1" w:rsidRPr="00FD6D35" w:rsidRDefault="00C1470A" w:rsidP="004D795F">
      <w:pPr>
        <w:tabs>
          <w:tab w:val="left" w:pos="800"/>
        </w:tabs>
        <w:spacing w:after="120"/>
      </w:pPr>
      <w:r w:rsidRPr="00FD6D35">
        <w:t>5</w:t>
      </w:r>
      <w:r w:rsidR="00F56BC1" w:rsidRPr="00FD6D35">
        <w:t>.1.1</w:t>
      </w:r>
      <w:r w:rsidR="00F56BC1" w:rsidRPr="00FD6D35">
        <w:tab/>
        <w:t>The purpose of this chapter is to specify the:</w:t>
      </w:r>
    </w:p>
    <w:p w:rsidR="00BE3C79" w:rsidRPr="00FD6D35" w:rsidRDefault="006D5459" w:rsidP="006D5459">
      <w:pPr>
        <w:spacing w:after="120"/>
        <w:ind w:left="1080" w:hanging="357"/>
      </w:pPr>
      <w:r w:rsidRPr="00FD6D35">
        <w:t>(a)</w:t>
      </w:r>
      <w:r w:rsidRPr="00FD6D35">
        <w:tab/>
      </w:r>
      <w:r w:rsidR="00F56BC1" w:rsidRPr="00FD6D35">
        <w:t xml:space="preserve">periods under subsections 19-87(1), 19-90(1) and 19-95(1) of the </w:t>
      </w:r>
      <w:r w:rsidR="00F56BC1" w:rsidRPr="00FD6D35">
        <w:rPr>
          <w:i/>
          <w:iCs/>
        </w:rPr>
        <w:t>Act;</w:t>
      </w:r>
    </w:p>
    <w:p w:rsidR="00BE3C79" w:rsidRPr="00FD6D35" w:rsidRDefault="006D5459" w:rsidP="006D5459">
      <w:pPr>
        <w:spacing w:after="120"/>
        <w:ind w:left="1080" w:hanging="357"/>
      </w:pPr>
      <w:r w:rsidRPr="00FD6D35">
        <w:t>(b)</w:t>
      </w:r>
      <w:r w:rsidRPr="00FD6D35">
        <w:tab/>
      </w:r>
      <w:r w:rsidR="00F56BC1" w:rsidRPr="00FD6D35">
        <w:t>date by which a higher education provider must publish the schedule of student contribution amounts for places and tuition fees for a particular period under paragraph 19</w:t>
      </w:r>
      <w:r w:rsidR="00F56BC1" w:rsidRPr="00FD6D35">
        <w:noBreakHyphen/>
        <w:t xml:space="preserve">95(2)(b) of the </w:t>
      </w:r>
      <w:r w:rsidR="00F56BC1" w:rsidRPr="00FD6D35">
        <w:rPr>
          <w:i/>
          <w:iCs/>
        </w:rPr>
        <w:t>Act</w:t>
      </w:r>
      <w:r w:rsidR="00F56BC1" w:rsidRPr="00FD6D35">
        <w:t>;</w:t>
      </w:r>
    </w:p>
    <w:p w:rsidR="00F56BC1" w:rsidRPr="00FD6D35" w:rsidRDefault="006D5459" w:rsidP="006D5459">
      <w:pPr>
        <w:spacing w:after="120"/>
        <w:ind w:left="1080" w:hanging="357"/>
      </w:pPr>
      <w:r w:rsidRPr="00FD6D35">
        <w:t>(c)</w:t>
      </w:r>
      <w:r w:rsidRPr="00FD6D35">
        <w:tab/>
      </w:r>
      <w:r w:rsidR="00F56BC1" w:rsidRPr="00FD6D35">
        <w:t xml:space="preserve">matters to which a provider must not have regard when setting student contribution amounts or tuition fees under subsections 19-87(2A) and 19-90(3) of the </w:t>
      </w:r>
      <w:r w:rsidR="00F56BC1" w:rsidRPr="00FD6D35">
        <w:rPr>
          <w:i/>
          <w:iCs/>
        </w:rPr>
        <w:t>Act;</w:t>
      </w:r>
    </w:p>
    <w:p w:rsidR="00F56BC1" w:rsidRPr="00FD6D35" w:rsidRDefault="006D5459" w:rsidP="006D5459">
      <w:pPr>
        <w:spacing w:after="120"/>
        <w:ind w:left="1080" w:hanging="357"/>
      </w:pPr>
      <w:r w:rsidRPr="00FD6D35">
        <w:t>(d)</w:t>
      </w:r>
      <w:r w:rsidRPr="00FD6D35">
        <w:tab/>
      </w:r>
      <w:r w:rsidR="00F56BC1" w:rsidRPr="00FD6D35">
        <w:t>date before which a variation to a:</w:t>
      </w:r>
    </w:p>
    <w:p w:rsidR="00BE3C79" w:rsidRPr="00FD6D35" w:rsidRDefault="006D5459" w:rsidP="006D5459">
      <w:pPr>
        <w:spacing w:after="120"/>
        <w:ind w:left="1495" w:hanging="357"/>
      </w:pPr>
      <w:r w:rsidRPr="00FD6D35">
        <w:t>(i)</w:t>
      </w:r>
      <w:r w:rsidRPr="00FD6D35">
        <w:tab/>
      </w:r>
      <w:r w:rsidR="00F56BC1" w:rsidRPr="00FD6D35">
        <w:t>student contribution amount must be made under subparagraph 19</w:t>
      </w:r>
      <w:r w:rsidR="00F56BC1" w:rsidRPr="00FD6D35">
        <w:noBreakHyphen/>
        <w:t xml:space="preserve">87(3)(a)(i) of the </w:t>
      </w:r>
      <w:r w:rsidR="00F56BC1" w:rsidRPr="00FD6D35">
        <w:rPr>
          <w:i/>
          <w:iCs/>
        </w:rPr>
        <w:t>Act</w:t>
      </w:r>
      <w:r w:rsidR="00F56BC1" w:rsidRPr="00FD6D35">
        <w:t>; and</w:t>
      </w:r>
    </w:p>
    <w:p w:rsidR="00F56BC1" w:rsidRPr="00FD6D35" w:rsidRDefault="006D5459" w:rsidP="006D5459">
      <w:pPr>
        <w:spacing w:after="120"/>
        <w:ind w:left="1495" w:hanging="357"/>
      </w:pPr>
      <w:r w:rsidRPr="00FD6D35">
        <w:t>(ii)</w:t>
      </w:r>
      <w:r w:rsidRPr="00FD6D35">
        <w:tab/>
      </w:r>
      <w:r w:rsidR="00F56BC1" w:rsidRPr="00FD6D35">
        <w:t xml:space="preserve">tuition fee must be made under subparagraph 19-90(4)(a)(i) of the </w:t>
      </w:r>
      <w:r w:rsidR="00F56BC1" w:rsidRPr="00FD6D35">
        <w:rPr>
          <w:i/>
          <w:iCs/>
        </w:rPr>
        <w:t>Act</w:t>
      </w:r>
      <w:r w:rsidR="00F56BC1" w:rsidRPr="00FD6D35">
        <w:t>;</w:t>
      </w:r>
    </w:p>
    <w:p w:rsidR="00F56BC1" w:rsidRPr="00FD6D35" w:rsidRDefault="006D5459" w:rsidP="006D5459">
      <w:pPr>
        <w:spacing w:after="120"/>
        <w:ind w:left="1080" w:hanging="357"/>
      </w:pPr>
      <w:r w:rsidRPr="00FD6D35">
        <w:t>(e)</w:t>
      </w:r>
      <w:r w:rsidRPr="00FD6D35">
        <w:tab/>
      </w:r>
      <w:r w:rsidR="00F56BC1" w:rsidRPr="00FD6D35">
        <w:t>circumstances in which a:</w:t>
      </w:r>
    </w:p>
    <w:p w:rsidR="00F56BC1" w:rsidRPr="00FD6D35" w:rsidRDefault="006D5459" w:rsidP="006D5459">
      <w:pPr>
        <w:spacing w:after="120"/>
        <w:ind w:left="1495" w:hanging="357"/>
      </w:pPr>
      <w:r w:rsidRPr="00FD6D35">
        <w:t>(i)</w:t>
      </w:r>
      <w:r w:rsidRPr="00FD6D35">
        <w:tab/>
      </w:r>
      <w:r w:rsidR="00F56BC1" w:rsidRPr="00FD6D35">
        <w:t>student contribution amount may be varied under subparagraph 19</w:t>
      </w:r>
      <w:r w:rsidR="00F56BC1" w:rsidRPr="00FD6D35">
        <w:noBreakHyphen/>
        <w:t>87(3)(a)(ii) of the Act; and</w:t>
      </w:r>
    </w:p>
    <w:p w:rsidR="00F56BC1" w:rsidRPr="00FD6D35" w:rsidRDefault="006D5459" w:rsidP="006D5459">
      <w:pPr>
        <w:spacing w:after="120"/>
        <w:ind w:left="1495" w:hanging="357"/>
      </w:pPr>
      <w:r w:rsidRPr="00FD6D35">
        <w:t>(ii)</w:t>
      </w:r>
      <w:r w:rsidRPr="00FD6D35">
        <w:tab/>
      </w:r>
      <w:r w:rsidR="00F56BC1" w:rsidRPr="00FD6D35">
        <w:t>tuition fee may be varied under subparagraph 19</w:t>
      </w:r>
      <w:r w:rsidR="00F56BC1" w:rsidRPr="00FD6D35">
        <w:noBreakHyphen/>
        <w:t xml:space="preserve">90(4)(a)(ii) of the </w:t>
      </w:r>
      <w:r w:rsidR="00F56BC1" w:rsidRPr="00FD6D35">
        <w:rPr>
          <w:i/>
          <w:iCs/>
        </w:rPr>
        <w:t>Act</w:t>
      </w:r>
      <w:r w:rsidR="00F56BC1" w:rsidRPr="00FD6D35">
        <w:t>;</w:t>
      </w:r>
    </w:p>
    <w:p w:rsidR="00BE3C79" w:rsidRPr="00FD6D35" w:rsidRDefault="006D5459" w:rsidP="006D5459">
      <w:pPr>
        <w:spacing w:after="120"/>
        <w:ind w:left="1080" w:hanging="357"/>
      </w:pPr>
      <w:r w:rsidRPr="00FD6D35">
        <w:t>(f)</w:t>
      </w:r>
      <w:r w:rsidRPr="00FD6D35">
        <w:tab/>
      </w:r>
      <w:r w:rsidR="00F56BC1" w:rsidRPr="00FD6D35">
        <w:t xml:space="preserve">date by which information on student contribution amounts for places in units, or tuition fees, to apply to students in student cohorts must be published and made publicly available under subsection 19-97(2) of the </w:t>
      </w:r>
      <w:r w:rsidR="00F56BC1" w:rsidRPr="00FD6D35">
        <w:rPr>
          <w:i/>
          <w:iCs/>
        </w:rPr>
        <w:t>Act</w:t>
      </w:r>
      <w:r w:rsidR="00F56BC1" w:rsidRPr="00FD6D35">
        <w:t xml:space="preserve"> before section 19-97 of the </w:t>
      </w:r>
      <w:r w:rsidR="00F56BC1" w:rsidRPr="00FD6D35">
        <w:rPr>
          <w:i/>
          <w:iCs/>
        </w:rPr>
        <w:t>Act</w:t>
      </w:r>
      <w:r w:rsidR="00F56BC1" w:rsidRPr="00FD6D35">
        <w:t xml:space="preserve"> was repealed by item 6 of Schedule 3 of the </w:t>
      </w:r>
      <w:r w:rsidR="00F56BC1" w:rsidRPr="00FD6D35">
        <w:rPr>
          <w:i/>
          <w:iCs/>
        </w:rPr>
        <w:t>Budget and Other Measures Act</w:t>
      </w:r>
      <w:r w:rsidR="00F56BC1" w:rsidRPr="00FD6D35">
        <w:t xml:space="preserve">; </w:t>
      </w:r>
    </w:p>
    <w:p w:rsidR="00BE3C79" w:rsidRPr="00FD6D35" w:rsidRDefault="006D5459" w:rsidP="006D5459">
      <w:pPr>
        <w:spacing w:after="120"/>
        <w:ind w:left="1080" w:hanging="357"/>
      </w:pPr>
      <w:r w:rsidRPr="00FD6D35">
        <w:t>(g)</w:t>
      </w:r>
      <w:r w:rsidRPr="00FD6D35">
        <w:tab/>
      </w:r>
      <w:r w:rsidR="00F56BC1" w:rsidRPr="00FD6D35">
        <w:t xml:space="preserve">date before which a higher education provider may revoke a </w:t>
      </w:r>
      <w:r w:rsidR="00F56BC1" w:rsidRPr="00FD6D35">
        <w:rPr>
          <w:i/>
          <w:iCs/>
        </w:rPr>
        <w:t>saved determination</w:t>
      </w:r>
      <w:r w:rsidR="00F56BC1" w:rsidRPr="00FD6D35">
        <w:t xml:space="preserve"> under item 13(4) or item 14(4), as the context requires, of Schedule 3 of  the </w:t>
      </w:r>
      <w:r w:rsidR="00F56BC1" w:rsidRPr="00FD6D35">
        <w:rPr>
          <w:i/>
          <w:iCs/>
        </w:rPr>
        <w:t>Budget and Other Measures Act</w:t>
      </w:r>
      <w:r w:rsidR="00F56BC1" w:rsidRPr="00FD6D35">
        <w:t xml:space="preserve">; and </w:t>
      </w:r>
    </w:p>
    <w:p w:rsidR="00F56BC1" w:rsidRPr="0012189A" w:rsidRDefault="006D5459" w:rsidP="006D5459">
      <w:pPr>
        <w:spacing w:after="120"/>
        <w:ind w:left="1080" w:hanging="357"/>
      </w:pPr>
      <w:r w:rsidRPr="0012189A">
        <w:t>(h)</w:t>
      </w:r>
      <w:r w:rsidRPr="0012189A">
        <w:tab/>
      </w:r>
      <w:r w:rsidR="00F56BC1" w:rsidRPr="00FD6D35">
        <w:t xml:space="preserve">circumstances in which a higher education provider may revoke a </w:t>
      </w:r>
      <w:r w:rsidR="00F56BC1" w:rsidRPr="00FD6D35">
        <w:rPr>
          <w:i/>
          <w:iCs/>
        </w:rPr>
        <w:t>saved determination</w:t>
      </w:r>
      <w:r w:rsidR="00F56BC1" w:rsidRPr="00FD6D35">
        <w:t xml:space="preserve"> under item 13(4) or item 14(4), as the context requires, of Schedule 3 of the </w:t>
      </w:r>
      <w:r w:rsidR="00F56BC1" w:rsidRPr="00FD6D35">
        <w:rPr>
          <w:i/>
          <w:iCs/>
        </w:rPr>
        <w:t>Budget and Other Measures Act.</w:t>
      </w:r>
    </w:p>
    <w:p w:rsidR="00EB5015" w:rsidRPr="004B1D6D" w:rsidRDefault="006D5459" w:rsidP="006D5459">
      <w:pPr>
        <w:spacing w:after="120"/>
        <w:ind w:left="1080" w:hanging="360"/>
      </w:pPr>
      <w:r w:rsidRPr="004B1D6D">
        <w:t>(i)</w:t>
      </w:r>
      <w:r w:rsidRPr="004B1D6D">
        <w:tab/>
      </w:r>
      <w:r w:rsidR="00EB5015" w:rsidRPr="004B1D6D">
        <w:t>the form in which a higher education provider must give the Minister a schedule of student contribution amounts for places and tuition fees under paragraph 19-95(1)(a) to the Act</w:t>
      </w:r>
    </w:p>
    <w:p w:rsidR="00F56BC1" w:rsidRPr="00FD6D35" w:rsidRDefault="00F56BC1" w:rsidP="00F56BC1"/>
    <w:p w:rsidR="00F56BC1" w:rsidRPr="004B1D6D" w:rsidRDefault="005A12F5" w:rsidP="00F56BC1">
      <w:pPr>
        <w:pStyle w:val="list10"/>
        <w:keepNext/>
        <w:tabs>
          <w:tab w:val="left" w:pos="851"/>
        </w:tabs>
      </w:pPr>
      <w:r w:rsidRPr="004B1D6D">
        <w:t>5</w:t>
      </w:r>
      <w:r w:rsidR="00F56BC1" w:rsidRPr="004B1D6D">
        <w:t>.5</w:t>
      </w:r>
      <w:r w:rsidR="00F56BC1" w:rsidRPr="004B1D6D">
        <w:tab/>
        <w:t>PERIOD</w:t>
      </w:r>
    </w:p>
    <w:p w:rsidR="00F56BC1" w:rsidRPr="004B1D6D" w:rsidRDefault="00F56BC1" w:rsidP="00F56BC1">
      <w:pPr>
        <w:rPr>
          <w:b/>
          <w:bCs/>
        </w:rPr>
      </w:pPr>
    </w:p>
    <w:p w:rsidR="00F56BC1" w:rsidRDefault="005A12F5" w:rsidP="00CA7F4C">
      <w:pPr>
        <w:pStyle w:val="BodyTextIndent3"/>
        <w:ind w:left="851" w:hanging="851"/>
      </w:pPr>
      <w:r w:rsidRPr="004B1D6D">
        <w:t>5</w:t>
      </w:r>
      <w:r w:rsidR="00F56BC1" w:rsidRPr="004B1D6D">
        <w:t>.5.1</w:t>
      </w:r>
      <w:r w:rsidR="00F56BC1" w:rsidRPr="004B1D6D">
        <w:tab/>
      </w:r>
      <w:r w:rsidR="00EB5015" w:rsidRPr="004B1D6D">
        <w:t>For the purposes of subsections 19-87(1), 19-90(1) and 19-95(1) of the Act, the period commences on the earliest enrolment date for the unit of study as determined by the higher education provider and ends on the completion date for the unit of study as determined by the higher education provider.</w:t>
      </w:r>
    </w:p>
    <w:p w:rsidR="0012189A" w:rsidRPr="00FD6D35" w:rsidRDefault="0012189A" w:rsidP="00F56BC1">
      <w:pPr>
        <w:rPr>
          <w:b/>
          <w:bCs/>
        </w:rPr>
      </w:pPr>
    </w:p>
    <w:p w:rsidR="00F56BC1" w:rsidRPr="00FD6D35" w:rsidRDefault="005A12F5" w:rsidP="00F56BC1">
      <w:pPr>
        <w:pStyle w:val="BodyTextIndent3"/>
        <w:ind w:left="851" w:hanging="851"/>
      </w:pPr>
      <w:r w:rsidRPr="00FD6D35">
        <w:t>5</w:t>
      </w:r>
      <w:r w:rsidR="00F56BC1" w:rsidRPr="00FD6D35">
        <w:t>.5.5</w:t>
      </w:r>
      <w:r w:rsidR="00F56BC1" w:rsidRPr="00FD6D35">
        <w:tab/>
        <w:t xml:space="preserve">The periods specified in paragraph </w:t>
      </w:r>
      <w:r w:rsidRPr="00FD6D35">
        <w:t>5</w:t>
      </w:r>
      <w:r w:rsidR="00F56BC1" w:rsidRPr="00FD6D35">
        <w:t xml:space="preserve">.5.1 of these guidelines are relevant only for the purposes of subsections 19-87(1), 19-90(1) and 19-95(1) of the </w:t>
      </w:r>
      <w:r w:rsidR="00F56BC1" w:rsidRPr="00FD6D35">
        <w:rPr>
          <w:i/>
          <w:iCs/>
        </w:rPr>
        <w:t>Act</w:t>
      </w:r>
      <w:r w:rsidR="00F56BC1" w:rsidRPr="00FD6D35">
        <w:t xml:space="preserve"> and paragraph </w:t>
      </w:r>
      <w:r w:rsidRPr="00FD6D35">
        <w:t>5</w:t>
      </w:r>
      <w:r w:rsidR="00F56BC1" w:rsidRPr="00FD6D35">
        <w:t>.10.1 of these guidelines.</w:t>
      </w:r>
    </w:p>
    <w:p w:rsidR="00F56BC1" w:rsidRPr="00FD6D35" w:rsidRDefault="00F56BC1" w:rsidP="00F56BC1">
      <w:pPr>
        <w:pStyle w:val="BodyTextIndent3"/>
        <w:ind w:left="851" w:hanging="851"/>
      </w:pPr>
    </w:p>
    <w:p w:rsidR="0012189A" w:rsidRPr="004B1D6D" w:rsidRDefault="00EB5015" w:rsidP="00C54A19">
      <w:pPr>
        <w:pStyle w:val="list10"/>
        <w:keepNext/>
        <w:tabs>
          <w:tab w:val="left" w:pos="851"/>
        </w:tabs>
        <w:ind w:left="851" w:hanging="851"/>
      </w:pPr>
      <w:r w:rsidRPr="004B1D6D">
        <w:lastRenderedPageBreak/>
        <w:t xml:space="preserve">5.10 </w:t>
      </w:r>
      <w:r w:rsidR="0012189A" w:rsidRPr="004B1D6D">
        <w:tab/>
      </w:r>
      <w:r w:rsidRPr="004B1D6D">
        <w:t>DATE BY WHICH, AND MANNER IN WHICH, A HIGHER EDUCATION PROVIDER MUST PUBLISH THE SCHEDULE OF STUDENT CONTRIBUTION AMOUNTS FOR PLACES AND TUITION FEES FOR A PARTICULAR PERIOD</w:t>
      </w:r>
    </w:p>
    <w:p w:rsidR="00C54A19" w:rsidRPr="004B1D6D" w:rsidRDefault="00C54A19" w:rsidP="00C54A19">
      <w:pPr>
        <w:pStyle w:val="list10"/>
        <w:keepNext/>
        <w:tabs>
          <w:tab w:val="left" w:pos="851"/>
        </w:tabs>
        <w:ind w:left="851" w:hanging="851"/>
      </w:pPr>
    </w:p>
    <w:p w:rsidR="00F56BC1" w:rsidRDefault="00EB5015" w:rsidP="00CA7F4C">
      <w:pPr>
        <w:pStyle w:val="BodyTextIndent3"/>
        <w:ind w:left="851" w:hanging="851"/>
      </w:pPr>
      <w:r w:rsidRPr="004B1D6D">
        <w:t xml:space="preserve">5.10.1 </w:t>
      </w:r>
      <w:r w:rsidR="0012189A" w:rsidRPr="004B1D6D">
        <w:tab/>
      </w:r>
      <w:r w:rsidRPr="004B1D6D">
        <w:t>In accordance with paragraph 19-95(2)(b), a higher education provider must publish a schedule of student contribution amounts for places and tuition fees on the higher education provider’s website on or before the earliest enrolment date for the unit of study as determined by the higher education provider.</w:t>
      </w:r>
    </w:p>
    <w:p w:rsidR="0012189A" w:rsidRPr="00FD6D35" w:rsidRDefault="0012189A" w:rsidP="00F56BC1"/>
    <w:p w:rsidR="00F56BC1" w:rsidRPr="00FD6D35" w:rsidRDefault="005A12F5" w:rsidP="00F56BC1">
      <w:pPr>
        <w:pStyle w:val="List1"/>
        <w:ind w:left="795" w:hanging="795"/>
        <w:rPr>
          <w:b w:val="0"/>
          <w:bCs w:val="0"/>
        </w:rPr>
      </w:pPr>
      <w:r w:rsidRPr="00FD6D35">
        <w:t>5</w:t>
      </w:r>
      <w:r w:rsidR="003804E2" w:rsidRPr="00FD6D35">
        <w:t>.15</w:t>
      </w:r>
      <w:r w:rsidR="00F56BC1" w:rsidRPr="00FD6D35">
        <w:rPr>
          <w:b w:val="0"/>
          <w:bCs w:val="0"/>
        </w:rPr>
        <w:tab/>
      </w:r>
      <w:r w:rsidR="00F56BC1" w:rsidRPr="00FD6D35">
        <w:t>MATTERS TO WHICH A PROVIDER MUST NOT HAVE REGARD WHEN DETERMINING MORE THAN ONE STUDENT CONTRIBUTION AMOUNT OR TUITION FEE</w:t>
      </w:r>
    </w:p>
    <w:p w:rsidR="00F56BC1" w:rsidRPr="00FD6D35" w:rsidRDefault="00F56BC1" w:rsidP="00F56BC1">
      <w:pPr>
        <w:pStyle w:val="List1"/>
        <w:ind w:left="795" w:hanging="795"/>
        <w:rPr>
          <w:b w:val="0"/>
          <w:bCs w:val="0"/>
        </w:rPr>
      </w:pPr>
    </w:p>
    <w:p w:rsidR="00F56BC1" w:rsidRPr="00FD6D35" w:rsidRDefault="005A12F5" w:rsidP="004D795F">
      <w:pPr>
        <w:spacing w:after="120"/>
        <w:ind w:left="800" w:hanging="800"/>
      </w:pPr>
      <w:r w:rsidRPr="00FD6D35">
        <w:t>5</w:t>
      </w:r>
      <w:r w:rsidR="003804E2" w:rsidRPr="00FD6D35">
        <w:t>.15</w:t>
      </w:r>
      <w:r w:rsidR="00F56BC1" w:rsidRPr="00FD6D35">
        <w:t>.1</w:t>
      </w:r>
      <w:r w:rsidR="00F56BC1" w:rsidRPr="00FD6D35">
        <w:rPr>
          <w:b/>
          <w:bCs/>
        </w:rPr>
        <w:tab/>
      </w:r>
      <w:r w:rsidR="00F56BC1" w:rsidRPr="00FD6D35">
        <w:t xml:space="preserve">When determining a student contribution amount under subsection 19-87(2) or a tuition fee under subsection 19-90(2) of the </w:t>
      </w:r>
      <w:r w:rsidR="00F56BC1" w:rsidRPr="00FD6D35">
        <w:rPr>
          <w:i/>
          <w:iCs/>
        </w:rPr>
        <w:t>Act</w:t>
      </w:r>
      <w:r w:rsidR="00F56BC1" w:rsidRPr="00FD6D35">
        <w:t xml:space="preserve"> for a unit, a higher education provider must not have regard to any matter related to the manner or timing of:</w:t>
      </w:r>
    </w:p>
    <w:p w:rsidR="00F56BC1" w:rsidRPr="00FD6D35" w:rsidRDefault="006D5459" w:rsidP="006D5459">
      <w:pPr>
        <w:keepLines w:val="0"/>
        <w:tabs>
          <w:tab w:val="left" w:pos="1160"/>
        </w:tabs>
        <w:spacing w:after="120"/>
        <w:ind w:left="1160" w:hanging="360"/>
      </w:pPr>
      <w:r w:rsidRPr="00FD6D35">
        <w:t>(a)</w:t>
      </w:r>
      <w:r w:rsidRPr="00FD6D35">
        <w:tab/>
      </w:r>
      <w:r w:rsidR="00F56BC1" w:rsidRPr="00FD6D35">
        <w:t>any student’s payment of the student contribution amount or tuition fee to the provider; or</w:t>
      </w:r>
    </w:p>
    <w:p w:rsidR="00F56BC1" w:rsidRPr="00FD6D35" w:rsidRDefault="006D5459" w:rsidP="006D5459">
      <w:pPr>
        <w:keepLines w:val="0"/>
        <w:tabs>
          <w:tab w:val="left" w:pos="1160"/>
        </w:tabs>
        <w:spacing w:after="120"/>
        <w:ind w:left="1160" w:hanging="360"/>
      </w:pPr>
      <w:r w:rsidRPr="00FD6D35">
        <w:t>(b)</w:t>
      </w:r>
      <w:r w:rsidRPr="00FD6D35">
        <w:tab/>
      </w:r>
      <w:r w:rsidR="00F56BC1" w:rsidRPr="00FD6D35">
        <w:t>the Commonwealth’s payment to the provider:</w:t>
      </w:r>
    </w:p>
    <w:p w:rsidR="00F56BC1" w:rsidRPr="00FD6D35" w:rsidRDefault="006D5459" w:rsidP="006D5459">
      <w:pPr>
        <w:spacing w:after="120"/>
        <w:ind w:left="1495" w:hanging="360"/>
      </w:pPr>
      <w:r w:rsidRPr="00FD6D35">
        <w:t>(i)</w:t>
      </w:r>
      <w:r w:rsidRPr="00FD6D35">
        <w:tab/>
      </w:r>
      <w:r w:rsidR="00F56BC1" w:rsidRPr="00FD6D35">
        <w:t>of any amount lent to any student in discharge of the student’s liability to pay the student contribution amount or tuition fee; or</w:t>
      </w:r>
    </w:p>
    <w:p w:rsidR="00F56BC1" w:rsidRPr="00FD6D35" w:rsidRDefault="006D5459" w:rsidP="006D5459">
      <w:pPr>
        <w:ind w:left="1491" w:hanging="357"/>
      </w:pPr>
      <w:r w:rsidRPr="00FD6D35">
        <w:t>(ii)</w:t>
      </w:r>
      <w:r w:rsidRPr="00FD6D35">
        <w:tab/>
      </w:r>
      <w:r w:rsidR="00F56BC1" w:rsidRPr="00FD6D35">
        <w:t>of any HECS-HELP discount for the unit.</w:t>
      </w:r>
    </w:p>
    <w:p w:rsidR="00F56BC1" w:rsidRPr="00FD6D35" w:rsidRDefault="00F56BC1" w:rsidP="00BE3C79">
      <w:pPr>
        <w:pStyle w:val="List1"/>
        <w:rPr>
          <w:b w:val="0"/>
          <w:bCs w:val="0"/>
        </w:rPr>
      </w:pPr>
    </w:p>
    <w:p w:rsidR="00EB5015" w:rsidRPr="004B1D6D" w:rsidRDefault="00EB5015" w:rsidP="00CA7F4C">
      <w:pPr>
        <w:pStyle w:val="List1"/>
        <w:ind w:left="795" w:hanging="795"/>
      </w:pPr>
      <w:r w:rsidRPr="004B1D6D">
        <w:t xml:space="preserve">5.25 </w:t>
      </w:r>
      <w:r w:rsidR="00CA7F4C" w:rsidRPr="004B1D6D">
        <w:tab/>
      </w:r>
      <w:r w:rsidRPr="004B1D6D">
        <w:t>VARYING A STUDENT CONTRIBUTION AMOUNT OR TUITION FEE</w:t>
      </w:r>
    </w:p>
    <w:p w:rsidR="00CA7F4C" w:rsidRPr="004B1D6D" w:rsidRDefault="00CA7F4C" w:rsidP="00CA7F4C">
      <w:pPr>
        <w:pStyle w:val="List1"/>
        <w:ind w:left="795" w:hanging="795"/>
      </w:pPr>
    </w:p>
    <w:p w:rsidR="00EB5015" w:rsidRPr="004B1D6D" w:rsidRDefault="00EB5015" w:rsidP="00CA7F4C">
      <w:pPr>
        <w:spacing w:after="120"/>
        <w:ind w:left="800" w:hanging="800"/>
      </w:pPr>
      <w:r w:rsidRPr="004B1D6D">
        <w:t xml:space="preserve">5.25.1 </w:t>
      </w:r>
      <w:r w:rsidR="00CA7F4C" w:rsidRPr="004B1D6D">
        <w:tab/>
      </w:r>
      <w:r w:rsidRPr="004B1D6D">
        <w:t>For the purposes of paragraph 19-87(3)(a) and paragraph 19-90(4)(a) of the Act, a higher education provider may only vary a published student contribution amount or tuition fee if the variation occurs prior to the published census date for the unit of study, and:</w:t>
      </w:r>
    </w:p>
    <w:p w:rsidR="00EB5015" w:rsidRPr="004B1D6D" w:rsidRDefault="006D5459" w:rsidP="006D5459">
      <w:pPr>
        <w:keepLines w:val="0"/>
        <w:tabs>
          <w:tab w:val="left" w:pos="1160"/>
        </w:tabs>
        <w:spacing w:after="120"/>
        <w:ind w:left="1160" w:hanging="360"/>
      </w:pPr>
      <w:r w:rsidRPr="004B1D6D">
        <w:t>(a)</w:t>
      </w:r>
      <w:r w:rsidRPr="004B1D6D">
        <w:tab/>
      </w:r>
      <w:r w:rsidR="00EB5015" w:rsidRPr="004B1D6D">
        <w:t>the variation does not disadvantage a student enrolled, or a person seeking to enrol; and</w:t>
      </w:r>
    </w:p>
    <w:p w:rsidR="00EB5015" w:rsidRPr="004B1D6D" w:rsidRDefault="006D5459" w:rsidP="006D5459">
      <w:pPr>
        <w:keepLines w:val="0"/>
        <w:tabs>
          <w:tab w:val="left" w:pos="1160"/>
        </w:tabs>
        <w:spacing w:after="120"/>
        <w:ind w:left="1160" w:hanging="360"/>
      </w:pPr>
      <w:r w:rsidRPr="004B1D6D">
        <w:t>(b)</w:t>
      </w:r>
      <w:r w:rsidRPr="004B1D6D">
        <w:tab/>
      </w:r>
      <w:r w:rsidR="00EB5015" w:rsidRPr="004B1D6D">
        <w:t>the variation is necessary to correct the published student contribution amount or tuition fee due to administrative error or circumstances that did not apply at the time the student contribution amount or tuition fee was determined.</w:t>
      </w:r>
    </w:p>
    <w:p w:rsidR="00EB5015" w:rsidRPr="004B1D6D" w:rsidRDefault="00EB5015" w:rsidP="00CA7F4C">
      <w:pPr>
        <w:pStyle w:val="BodyTextIndent3"/>
        <w:ind w:left="851" w:hanging="851"/>
      </w:pPr>
      <w:r w:rsidRPr="004B1D6D">
        <w:t xml:space="preserve">5.25.5 </w:t>
      </w:r>
      <w:r w:rsidR="00CA7F4C" w:rsidRPr="004B1D6D">
        <w:tab/>
      </w:r>
      <w:r w:rsidRPr="004B1D6D">
        <w:t>Without limiting the generality of paragraph 5.25.1(a) of these Guidelines, a student will be disadvantaged by a variation that increases the student contribution amount or tuition fee.</w:t>
      </w:r>
    </w:p>
    <w:p w:rsidR="00CA7F4C" w:rsidRPr="004B1D6D" w:rsidRDefault="00CA7F4C" w:rsidP="00EB5015">
      <w:pPr>
        <w:pStyle w:val="List1"/>
        <w:keepNext/>
        <w:ind w:left="800" w:hanging="800"/>
      </w:pPr>
    </w:p>
    <w:p w:rsidR="0089233B" w:rsidRPr="00FD6D35" w:rsidRDefault="00EB5015" w:rsidP="00CA7F4C">
      <w:pPr>
        <w:spacing w:after="120"/>
        <w:ind w:left="800" w:hanging="800"/>
      </w:pPr>
      <w:r w:rsidRPr="004B1D6D">
        <w:t>5.25.10 In relation to replacement schedules under subsection 19-95(3) to the Act, the method by which a higher education provider must withdraw the previous schedule, inform the Minister of the variation and give the Minister a replacement schedule incorporating the variation is by publishing the replacement schedule on the higher education provider’s website as soon as practicable after making that decision.</w:t>
      </w:r>
    </w:p>
    <w:p w:rsidR="00F56BC1" w:rsidRPr="00FD6D35" w:rsidRDefault="00F56BC1" w:rsidP="00F56BC1"/>
    <w:p w:rsidR="00F56BC1" w:rsidRPr="00FD6D35" w:rsidRDefault="005A12F5" w:rsidP="00F56BC1">
      <w:pPr>
        <w:pStyle w:val="List1"/>
        <w:keepNext/>
        <w:keepLines/>
        <w:ind w:left="800" w:hanging="800"/>
      </w:pPr>
      <w:r w:rsidRPr="00FD6D35">
        <w:t>5</w:t>
      </w:r>
      <w:r w:rsidR="003804E2" w:rsidRPr="00FD6D35">
        <w:t>.30</w:t>
      </w:r>
      <w:r w:rsidR="00F56BC1" w:rsidRPr="00FD6D35">
        <w:tab/>
        <w:t>DATE BY WHICH STUDENT COHORT INFORMATION MUST BE PUBLISHED</w:t>
      </w:r>
    </w:p>
    <w:p w:rsidR="00F56BC1" w:rsidRPr="00FD6D35" w:rsidRDefault="00F56BC1" w:rsidP="00F56BC1">
      <w:pPr>
        <w:keepNext/>
      </w:pPr>
    </w:p>
    <w:p w:rsidR="00F56BC1" w:rsidRPr="00FD6D35" w:rsidRDefault="005A12F5" w:rsidP="006D0718">
      <w:pPr>
        <w:keepNext/>
        <w:tabs>
          <w:tab w:val="left" w:pos="800"/>
        </w:tabs>
        <w:ind w:left="799" w:hanging="799"/>
      </w:pPr>
      <w:r w:rsidRPr="00FD6D35">
        <w:t>5</w:t>
      </w:r>
      <w:r w:rsidR="003804E2" w:rsidRPr="00FD6D35">
        <w:t>.30</w:t>
      </w:r>
      <w:r w:rsidR="00F56BC1" w:rsidRPr="00FD6D35">
        <w:t>.1</w:t>
      </w:r>
      <w:r w:rsidR="00F56BC1" w:rsidRPr="00FD6D35">
        <w:tab/>
        <w:t xml:space="preserve">For any </w:t>
      </w:r>
      <w:r w:rsidR="00F56BC1" w:rsidRPr="00FD6D35">
        <w:rPr>
          <w:i/>
          <w:iCs/>
        </w:rPr>
        <w:t>saved determination</w:t>
      </w:r>
      <w:r w:rsidR="00F56BC1" w:rsidRPr="00FD6D35">
        <w:t xml:space="preserve"> that has not been revoked under item 13(4) or item 14(4) of Schedule 3 of the </w:t>
      </w:r>
      <w:r w:rsidR="00F56BC1" w:rsidRPr="00FD6D35">
        <w:rPr>
          <w:i/>
          <w:iCs/>
        </w:rPr>
        <w:t>Budget and Other Measures Act</w:t>
      </w:r>
      <w:r w:rsidR="00F56BC1" w:rsidRPr="00FD6D35">
        <w:t>,</w:t>
      </w:r>
      <w:r w:rsidR="00F56BC1" w:rsidRPr="00FD6D35">
        <w:rPr>
          <w:i/>
          <w:iCs/>
        </w:rPr>
        <w:t xml:space="preserve"> </w:t>
      </w:r>
      <w:r w:rsidR="00F56BC1" w:rsidRPr="00FD6D35">
        <w:t xml:space="preserve">sufficient information to enable a person in a </w:t>
      </w:r>
      <w:r w:rsidR="00F56BC1" w:rsidRPr="00FD6D35">
        <w:rPr>
          <w:i/>
          <w:iCs/>
        </w:rPr>
        <w:t>student cohort</w:t>
      </w:r>
      <w:r w:rsidR="00F56BC1" w:rsidRPr="00FD6D35">
        <w:t xml:space="preserve"> to work out his or her student contribution amount and tuition fee for each unit of study that the provider provides or is to provide as part of the cohort’s course of study, and any conditions that are to apply in relation to the student contribution amount or tuition fee for each unit of study for each cohort, must be published and made publicly available by 1 October in the year immediately preceding the year in which the </w:t>
      </w:r>
      <w:r w:rsidR="00F56BC1" w:rsidRPr="00FD6D35">
        <w:rPr>
          <w:i/>
          <w:iCs/>
        </w:rPr>
        <w:t xml:space="preserve">student cohort </w:t>
      </w:r>
      <w:r w:rsidR="00F56BC1" w:rsidRPr="00FD6D35">
        <w:t>commences its course of study.</w:t>
      </w:r>
    </w:p>
    <w:p w:rsidR="00F56BC1" w:rsidRPr="00FD6D35" w:rsidRDefault="00F56BC1" w:rsidP="00F56BC1">
      <w:pPr>
        <w:tabs>
          <w:tab w:val="left" w:pos="1000"/>
        </w:tabs>
      </w:pPr>
    </w:p>
    <w:p w:rsidR="00F56BC1" w:rsidRPr="00FD6D35" w:rsidRDefault="005A12F5" w:rsidP="00F56BC1">
      <w:pPr>
        <w:tabs>
          <w:tab w:val="left" w:pos="1000"/>
        </w:tabs>
        <w:ind w:left="794" w:hanging="794"/>
        <w:rPr>
          <w:b/>
          <w:bCs/>
          <w:lang w:eastAsia="en-AU"/>
        </w:rPr>
      </w:pPr>
      <w:r w:rsidRPr="00FD6D35">
        <w:rPr>
          <w:b/>
          <w:bCs/>
          <w:lang w:eastAsia="en-AU"/>
        </w:rPr>
        <w:lastRenderedPageBreak/>
        <w:t>5</w:t>
      </w:r>
      <w:r w:rsidR="003804E2" w:rsidRPr="00FD6D35">
        <w:rPr>
          <w:b/>
          <w:bCs/>
          <w:lang w:eastAsia="en-AU"/>
        </w:rPr>
        <w:t>.35</w:t>
      </w:r>
      <w:r w:rsidR="00F56BC1" w:rsidRPr="00FD6D35">
        <w:rPr>
          <w:b/>
          <w:bCs/>
          <w:lang w:eastAsia="en-AU"/>
        </w:rPr>
        <w:tab/>
        <w:t>DATE BEFORE WHICH A SAVED DETERMINATION MAY BE REVOKED</w:t>
      </w:r>
      <w:r w:rsidR="00F56BC1" w:rsidRPr="00FD6D35">
        <w:rPr>
          <w:b/>
          <w:bCs/>
          <w:lang w:eastAsia="en-AU"/>
        </w:rPr>
        <w:br/>
      </w:r>
    </w:p>
    <w:p w:rsidR="00F56BC1" w:rsidRPr="00FD6D35" w:rsidRDefault="005A12F5" w:rsidP="004D795F">
      <w:pPr>
        <w:tabs>
          <w:tab w:val="left" w:pos="1000"/>
        </w:tabs>
        <w:spacing w:after="120"/>
        <w:ind w:left="794" w:hanging="794"/>
        <w:rPr>
          <w:b/>
          <w:bCs/>
        </w:rPr>
      </w:pPr>
      <w:r w:rsidRPr="00FD6D35">
        <w:rPr>
          <w:bCs/>
        </w:rPr>
        <w:t>5</w:t>
      </w:r>
      <w:r w:rsidR="003804E2" w:rsidRPr="00FD6D35">
        <w:rPr>
          <w:bCs/>
        </w:rPr>
        <w:t>.35</w:t>
      </w:r>
      <w:r w:rsidR="00F56BC1" w:rsidRPr="00FD6D35">
        <w:rPr>
          <w:bCs/>
        </w:rPr>
        <w:t>.1</w:t>
      </w:r>
      <w:r w:rsidR="00F56BC1" w:rsidRPr="00FD6D35">
        <w:rPr>
          <w:b/>
          <w:bCs/>
        </w:rPr>
        <w:tab/>
      </w:r>
      <w:r w:rsidR="00F148A1" w:rsidRPr="00FD6D35">
        <w:t>A</w:t>
      </w:r>
      <w:r w:rsidR="00F56BC1" w:rsidRPr="00FD6D35">
        <w:t xml:space="preserve"> higher education provider may revoke a </w:t>
      </w:r>
      <w:r w:rsidR="00F56BC1" w:rsidRPr="00FD6D35">
        <w:rPr>
          <w:i/>
          <w:iCs/>
        </w:rPr>
        <w:t>saved determination</w:t>
      </w:r>
      <w:r w:rsidR="00F56BC1" w:rsidRPr="00FD6D35">
        <w:t xml:space="preserve"> </w:t>
      </w:r>
      <w:r w:rsidR="00F148A1" w:rsidRPr="00FD6D35">
        <w:t xml:space="preserve">only </w:t>
      </w:r>
      <w:r w:rsidR="00F56BC1" w:rsidRPr="00FD6D35">
        <w:t xml:space="preserve">if the provider </w:t>
      </w:r>
      <w:r w:rsidR="00F148A1" w:rsidRPr="00FD6D35">
        <w:rPr>
          <w:bCs/>
        </w:rPr>
        <w:t xml:space="preserve">has advised the </w:t>
      </w:r>
      <w:r w:rsidR="00F148A1" w:rsidRPr="00FD6D35">
        <w:rPr>
          <w:bCs/>
          <w:i/>
        </w:rPr>
        <w:t>Department</w:t>
      </w:r>
      <w:r w:rsidR="00F148A1" w:rsidRPr="00FD6D35">
        <w:rPr>
          <w:bCs/>
        </w:rPr>
        <w:t xml:space="preserve">, in writing, of its intention to revoke the </w:t>
      </w:r>
      <w:r w:rsidR="00F148A1" w:rsidRPr="00FD6D35">
        <w:rPr>
          <w:bCs/>
          <w:i/>
          <w:iCs/>
        </w:rPr>
        <w:t>saved determination</w:t>
      </w:r>
      <w:r w:rsidR="00F148A1" w:rsidRPr="00FD6D35">
        <w:rPr>
          <w:bCs/>
        </w:rPr>
        <w:t xml:space="preserve"> and may only do so </w:t>
      </w:r>
      <w:r w:rsidR="004D795F" w:rsidRPr="00FD6D35">
        <w:t>before the earlier of:</w:t>
      </w:r>
    </w:p>
    <w:p w:rsidR="00F56BC1" w:rsidRPr="00FD6D35" w:rsidRDefault="00F56BC1" w:rsidP="004D795F">
      <w:pPr>
        <w:spacing w:after="120"/>
        <w:ind w:left="1100" w:hanging="330"/>
      </w:pPr>
      <w:r w:rsidRPr="00FD6D35">
        <w:t>(a)</w:t>
      </w:r>
      <w:r w:rsidRPr="00FD6D35">
        <w:tab/>
        <w:t xml:space="preserve">two months before the date of commencement of the next unit of study to which the </w:t>
      </w:r>
      <w:r w:rsidRPr="00FD6D35">
        <w:rPr>
          <w:i/>
          <w:iCs/>
        </w:rPr>
        <w:t>saved determination</w:t>
      </w:r>
      <w:r w:rsidRPr="00FD6D35">
        <w:t xml:space="preserve"> would otherwise apply (the “</w:t>
      </w:r>
      <w:r w:rsidRPr="00FD6D35">
        <w:rPr>
          <w:b/>
          <w:bCs/>
        </w:rPr>
        <w:t>next unit</w:t>
      </w:r>
      <w:r w:rsidRPr="00FD6D35">
        <w:t>”); and</w:t>
      </w:r>
      <w:r w:rsidRPr="00FD6D35">
        <w:tab/>
      </w:r>
      <w:r w:rsidRPr="00FD6D35">
        <w:tab/>
      </w:r>
    </w:p>
    <w:p w:rsidR="00F56BC1" w:rsidRPr="00FD6D35" w:rsidRDefault="00F56BC1" w:rsidP="004D795F">
      <w:pPr>
        <w:spacing w:after="120"/>
        <w:ind w:left="1100" w:hanging="330"/>
      </w:pPr>
      <w:r w:rsidRPr="00FD6D35">
        <w:t>(b)</w:t>
      </w:r>
      <w:r w:rsidRPr="00FD6D35">
        <w:tab/>
        <w:t>two months before the latest date on which a student can enrol in the next unit without incurring a late enrolment fee for the unit.</w:t>
      </w:r>
    </w:p>
    <w:p w:rsidR="00F56BC1" w:rsidRPr="00FD6D35" w:rsidRDefault="00F56BC1" w:rsidP="00F56BC1">
      <w:pPr>
        <w:ind w:left="1434" w:hanging="300"/>
      </w:pPr>
    </w:p>
    <w:p w:rsidR="0012189A" w:rsidRPr="004B1D6D" w:rsidRDefault="0012189A" w:rsidP="00CA7F4C">
      <w:pPr>
        <w:tabs>
          <w:tab w:val="left" w:pos="1000"/>
        </w:tabs>
        <w:ind w:left="794" w:hanging="794"/>
        <w:rPr>
          <w:b/>
          <w:bCs/>
          <w:lang w:eastAsia="en-AU"/>
        </w:rPr>
      </w:pPr>
      <w:r w:rsidRPr="004B1D6D">
        <w:rPr>
          <w:b/>
          <w:bCs/>
          <w:lang w:eastAsia="en-AU"/>
        </w:rPr>
        <w:t xml:space="preserve">5.40 </w:t>
      </w:r>
      <w:r w:rsidR="00CA7F4C" w:rsidRPr="004B1D6D">
        <w:rPr>
          <w:b/>
          <w:bCs/>
          <w:lang w:eastAsia="en-AU"/>
        </w:rPr>
        <w:tab/>
      </w:r>
      <w:r w:rsidRPr="004B1D6D">
        <w:rPr>
          <w:b/>
          <w:bCs/>
          <w:lang w:eastAsia="en-AU"/>
        </w:rPr>
        <w:t>THE FORM IN WHICH A HIGHER EDUCATION PROVIDER MUST GIVE THE MINISTER A SCHEDULE OF STUDENT CONTRBUTION AMOUNTS FOR PLACES AND TUITION FEES</w:t>
      </w:r>
    </w:p>
    <w:p w:rsidR="00CA7F4C" w:rsidRPr="004B1D6D" w:rsidRDefault="00CA7F4C" w:rsidP="00CA7F4C">
      <w:pPr>
        <w:tabs>
          <w:tab w:val="left" w:pos="1000"/>
        </w:tabs>
        <w:ind w:left="794" w:hanging="794"/>
        <w:rPr>
          <w:b/>
          <w:bCs/>
          <w:lang w:eastAsia="en-AU"/>
        </w:rPr>
      </w:pPr>
    </w:p>
    <w:p w:rsidR="00F148A1" w:rsidRPr="0012189A" w:rsidRDefault="0012189A" w:rsidP="0012189A">
      <w:pPr>
        <w:keepNext/>
        <w:tabs>
          <w:tab w:val="left" w:pos="800"/>
        </w:tabs>
        <w:ind w:left="800" w:hanging="800"/>
        <w:rPr>
          <w:bCs/>
          <w:iCs/>
        </w:rPr>
      </w:pPr>
      <w:r w:rsidRPr="004B1D6D">
        <w:rPr>
          <w:bCs/>
          <w:iCs/>
        </w:rPr>
        <w:t xml:space="preserve">5.40.1 </w:t>
      </w:r>
      <w:r w:rsidR="00CA7F4C" w:rsidRPr="004B1D6D">
        <w:rPr>
          <w:bCs/>
          <w:iCs/>
        </w:rPr>
        <w:tab/>
      </w:r>
      <w:r w:rsidRPr="004B1D6D">
        <w:rPr>
          <w:bCs/>
          <w:iCs/>
        </w:rPr>
        <w:t>For the purposes of paragraph 19-95(1)(a) and paragraph 19-95(1)(b) to the Act, a higher education provider gives the Minister a schedule of student contribution amounts for places and tuition fees by publishing the schedule on the higher education provider’s website.</w:t>
      </w:r>
    </w:p>
    <w:p w:rsidR="00F56BC1" w:rsidRPr="00FD6D35" w:rsidRDefault="00F56BC1" w:rsidP="0033232C">
      <w:pPr>
        <w:pStyle w:val="Heading1"/>
        <w:tabs>
          <w:tab w:val="left" w:pos="1560"/>
        </w:tabs>
        <w:rPr>
          <w:u w:val="single"/>
        </w:rPr>
      </w:pPr>
      <w:r w:rsidRPr="00FD6D35">
        <w:br w:type="page"/>
      </w:r>
      <w:bookmarkStart w:id="28" w:name="_Toc152752063"/>
      <w:bookmarkStart w:id="29" w:name="_Toc32227156"/>
      <w:r w:rsidRPr="00FD6D35">
        <w:rPr>
          <w:u w:val="single"/>
        </w:rPr>
        <w:lastRenderedPageBreak/>
        <w:t xml:space="preserve">CHAPTER </w:t>
      </w:r>
      <w:r w:rsidR="005A12F5" w:rsidRPr="00FD6D35">
        <w:rPr>
          <w:u w:val="single"/>
        </w:rPr>
        <w:t>6</w:t>
      </w:r>
      <w:r w:rsidRPr="00FD6D35">
        <w:rPr>
          <w:u w:val="single"/>
        </w:rPr>
        <w:tab/>
        <w:t>FEES IN RESPECT OF OVERSEAS STUDENTS</w:t>
      </w:r>
      <w:bookmarkEnd w:id="28"/>
      <w:bookmarkEnd w:id="29"/>
    </w:p>
    <w:p w:rsidR="00F56BC1" w:rsidRPr="00FD6D35" w:rsidRDefault="00F56BC1" w:rsidP="00F56BC1">
      <w:pPr>
        <w:autoSpaceDE w:val="0"/>
        <w:autoSpaceDN w:val="0"/>
        <w:adjustRightInd w:val="0"/>
        <w:rPr>
          <w:b/>
          <w:bCs/>
          <w:sz w:val="26"/>
          <w:szCs w:val="26"/>
          <w:lang w:eastAsia="en-AU"/>
        </w:rPr>
      </w:pPr>
    </w:p>
    <w:p w:rsidR="00F56BC1" w:rsidRPr="00FD6D35" w:rsidRDefault="005A12F5" w:rsidP="00F56BC1">
      <w:pPr>
        <w:autoSpaceDE w:val="0"/>
        <w:autoSpaceDN w:val="0"/>
        <w:adjustRightInd w:val="0"/>
        <w:rPr>
          <w:b/>
          <w:bCs/>
          <w:lang w:eastAsia="en-AU"/>
        </w:rPr>
      </w:pPr>
      <w:r w:rsidRPr="00FD6D35">
        <w:rPr>
          <w:b/>
          <w:bCs/>
          <w:lang w:eastAsia="en-AU"/>
        </w:rPr>
        <w:t>6</w:t>
      </w:r>
      <w:r w:rsidR="00F56BC1" w:rsidRPr="00FD6D35">
        <w:rPr>
          <w:b/>
          <w:bCs/>
          <w:lang w:eastAsia="en-AU"/>
        </w:rPr>
        <w:t xml:space="preserve">.1 </w:t>
      </w:r>
      <w:r w:rsidR="00F56BC1" w:rsidRPr="00FD6D35">
        <w:rPr>
          <w:b/>
          <w:bCs/>
          <w:lang w:eastAsia="en-AU"/>
        </w:rPr>
        <w:tab/>
        <w:t xml:space="preserve">PURPOSE </w:t>
      </w:r>
    </w:p>
    <w:p w:rsidR="00F56BC1" w:rsidRPr="00FD6D35" w:rsidRDefault="00F56BC1" w:rsidP="00F56BC1">
      <w:pPr>
        <w:autoSpaceDE w:val="0"/>
        <w:autoSpaceDN w:val="0"/>
        <w:adjustRightInd w:val="0"/>
        <w:rPr>
          <w:b/>
          <w:bCs/>
          <w:lang w:eastAsia="en-AU"/>
        </w:rPr>
      </w:pPr>
    </w:p>
    <w:p w:rsidR="00F56BC1" w:rsidRPr="00FD6D35" w:rsidRDefault="005A12F5" w:rsidP="00EC0D33">
      <w:pPr>
        <w:autoSpaceDE w:val="0"/>
        <w:autoSpaceDN w:val="0"/>
        <w:adjustRightInd w:val="0"/>
        <w:ind w:left="709" w:hanging="709"/>
        <w:rPr>
          <w:lang w:eastAsia="en-AU"/>
        </w:rPr>
      </w:pPr>
      <w:r w:rsidRPr="00FD6D35">
        <w:rPr>
          <w:lang w:eastAsia="en-AU"/>
        </w:rPr>
        <w:t>6</w:t>
      </w:r>
      <w:r w:rsidR="00F56BC1" w:rsidRPr="00FD6D35">
        <w:rPr>
          <w:lang w:eastAsia="en-AU"/>
        </w:rPr>
        <w:t>.1.1</w:t>
      </w:r>
      <w:r w:rsidR="00F56BC1" w:rsidRPr="00FD6D35">
        <w:rPr>
          <w:lang w:eastAsia="en-AU"/>
        </w:rPr>
        <w:tab/>
        <w:t xml:space="preserve">The purpose of this chapter is to detail the requirements for fees in respect of overseas students which are the fees referred to in paragraph 19-102(3)(d) of the </w:t>
      </w:r>
      <w:r w:rsidR="00F56BC1" w:rsidRPr="00FD6D35">
        <w:rPr>
          <w:i/>
          <w:iCs/>
          <w:lang w:eastAsia="en-AU"/>
        </w:rPr>
        <w:t>Act</w:t>
      </w:r>
      <w:r w:rsidR="00F56BC1" w:rsidRPr="00FD6D35">
        <w:rPr>
          <w:lang w:eastAsia="en-AU"/>
        </w:rPr>
        <w:t xml:space="preserve">.  </w:t>
      </w:r>
    </w:p>
    <w:p w:rsidR="00F56BC1" w:rsidRPr="00FD6D35" w:rsidRDefault="00F56BC1" w:rsidP="00F56BC1">
      <w:pPr>
        <w:autoSpaceDE w:val="0"/>
        <w:autoSpaceDN w:val="0"/>
        <w:adjustRightInd w:val="0"/>
        <w:rPr>
          <w:lang w:eastAsia="en-AU"/>
        </w:rPr>
      </w:pPr>
    </w:p>
    <w:p w:rsidR="00F56BC1" w:rsidRPr="00FD6D35" w:rsidRDefault="005A12F5" w:rsidP="006D0718">
      <w:pPr>
        <w:autoSpaceDE w:val="0"/>
        <w:autoSpaceDN w:val="0"/>
        <w:adjustRightInd w:val="0"/>
        <w:rPr>
          <w:b/>
          <w:bCs/>
          <w:lang w:eastAsia="en-AU"/>
        </w:rPr>
      </w:pPr>
      <w:r w:rsidRPr="00FD6D35">
        <w:rPr>
          <w:b/>
          <w:bCs/>
          <w:lang w:eastAsia="en-AU"/>
        </w:rPr>
        <w:t>6</w:t>
      </w:r>
      <w:r w:rsidR="00F56BC1" w:rsidRPr="00FD6D35">
        <w:rPr>
          <w:b/>
          <w:bCs/>
          <w:lang w:eastAsia="en-AU"/>
        </w:rPr>
        <w:t xml:space="preserve">.5 </w:t>
      </w:r>
      <w:r w:rsidR="00F56BC1" w:rsidRPr="00FD6D35">
        <w:rPr>
          <w:b/>
          <w:bCs/>
          <w:lang w:eastAsia="en-AU"/>
        </w:rPr>
        <w:tab/>
        <w:t>REQUIREMENTS</w:t>
      </w:r>
    </w:p>
    <w:p w:rsidR="00F56BC1" w:rsidRPr="00FD6D35" w:rsidRDefault="00F56BC1" w:rsidP="00F56BC1">
      <w:pPr>
        <w:autoSpaceDE w:val="0"/>
        <w:autoSpaceDN w:val="0"/>
        <w:adjustRightInd w:val="0"/>
        <w:rPr>
          <w:b/>
          <w:bCs/>
          <w:lang w:eastAsia="en-AU"/>
        </w:rPr>
      </w:pPr>
    </w:p>
    <w:p w:rsidR="00F56BC1" w:rsidRPr="00FD6D35" w:rsidRDefault="005A12F5" w:rsidP="006D0718">
      <w:pPr>
        <w:autoSpaceDE w:val="0"/>
        <w:autoSpaceDN w:val="0"/>
        <w:adjustRightInd w:val="0"/>
        <w:spacing w:after="120"/>
        <w:ind w:left="709" w:hanging="709"/>
        <w:rPr>
          <w:lang w:eastAsia="en-AU"/>
        </w:rPr>
      </w:pPr>
      <w:r w:rsidRPr="00FD6D35">
        <w:rPr>
          <w:lang w:eastAsia="en-AU"/>
        </w:rPr>
        <w:t>6</w:t>
      </w:r>
      <w:r w:rsidR="00F56BC1" w:rsidRPr="00FD6D35">
        <w:rPr>
          <w:lang w:eastAsia="en-AU"/>
        </w:rPr>
        <w:t>.5.1</w:t>
      </w:r>
      <w:r w:rsidR="00F56BC1" w:rsidRPr="00FD6D35">
        <w:rPr>
          <w:lang w:eastAsia="en-AU"/>
        </w:rPr>
        <w:tab/>
        <w:t xml:space="preserve">Subject to paragraph </w:t>
      </w:r>
      <w:r w:rsidRPr="00FD6D35">
        <w:rPr>
          <w:lang w:eastAsia="en-AU"/>
        </w:rPr>
        <w:t>6</w:t>
      </w:r>
      <w:r w:rsidR="00F56BC1" w:rsidRPr="00FD6D35">
        <w:rPr>
          <w:lang w:eastAsia="en-AU"/>
        </w:rPr>
        <w:t xml:space="preserve">.10 of these guidelines when determining the fee for an overseas student, a higher education provider must meet the following requirements in respect of all overseas students other than those students excluded under paragraph </w:t>
      </w:r>
      <w:r w:rsidRPr="00FD6D35">
        <w:rPr>
          <w:lang w:eastAsia="en-AU"/>
        </w:rPr>
        <w:t>6</w:t>
      </w:r>
      <w:r w:rsidR="00F56BC1" w:rsidRPr="00FD6D35">
        <w:rPr>
          <w:lang w:eastAsia="en-AU"/>
        </w:rPr>
        <w:t>.10.1:</w:t>
      </w:r>
    </w:p>
    <w:p w:rsidR="00F56BC1" w:rsidRPr="00FD6D35" w:rsidRDefault="006D5459" w:rsidP="006D5459">
      <w:pPr>
        <w:keepNext/>
        <w:spacing w:after="120"/>
        <w:ind w:left="1156" w:hanging="357"/>
        <w:rPr>
          <w:lang w:eastAsia="en-AU"/>
        </w:rPr>
      </w:pPr>
      <w:r w:rsidRPr="00FD6D35">
        <w:rPr>
          <w:lang w:eastAsia="en-AU"/>
        </w:rPr>
        <w:t>(a)</w:t>
      </w:r>
      <w:r w:rsidRPr="00FD6D35">
        <w:rPr>
          <w:lang w:eastAsia="en-AU"/>
        </w:rPr>
        <w:tab/>
      </w:r>
      <w:r w:rsidR="00F56BC1" w:rsidRPr="00FD6D35">
        <w:rPr>
          <w:lang w:eastAsia="en-AU"/>
        </w:rPr>
        <w:t>a higher education provider must charge as a minimum, a fee sufficient to recover the full cost of providing a course to an overseas student. Without limiting the meaning of full cost, it includes:</w:t>
      </w:r>
    </w:p>
    <w:p w:rsidR="00F56BC1" w:rsidRPr="00FD6D35" w:rsidRDefault="006D5459" w:rsidP="006D5459">
      <w:pPr>
        <w:keepNext/>
        <w:spacing w:after="120"/>
        <w:ind w:left="1633" w:hanging="357"/>
      </w:pPr>
      <w:r w:rsidRPr="00FD6D35">
        <w:t>(i)</w:t>
      </w:r>
      <w:r w:rsidRPr="00FD6D35">
        <w:tab/>
      </w:r>
      <w:r w:rsidR="00F56BC1" w:rsidRPr="00FD6D35">
        <w:t xml:space="preserve">full operating costs, including equipment costs. Account should be taken not only of directly associated staff costs, but also all overheads (including but not limited to, utilities, rent and marketing costs) and common services costs (including but not limited to, libraries and the provision of services required under the National Code of Practice for Registration Authorities and Providers of Education and Training to Overseas Students and the Education Services for Overseas Students Act 2000); and  </w:t>
      </w:r>
    </w:p>
    <w:p w:rsidR="00F56BC1" w:rsidRPr="00FD6D35" w:rsidRDefault="006D5459" w:rsidP="006D5459">
      <w:pPr>
        <w:keepNext/>
        <w:spacing w:after="120"/>
        <w:ind w:left="1633" w:hanging="357"/>
        <w:rPr>
          <w:lang w:eastAsia="en-AU"/>
        </w:rPr>
      </w:pPr>
      <w:r w:rsidRPr="00FD6D35">
        <w:rPr>
          <w:lang w:eastAsia="en-AU"/>
        </w:rPr>
        <w:t>(ii)</w:t>
      </w:r>
      <w:r w:rsidRPr="00FD6D35">
        <w:rPr>
          <w:lang w:eastAsia="en-AU"/>
        </w:rPr>
        <w:tab/>
      </w:r>
      <w:r w:rsidR="00F56BC1" w:rsidRPr="00FD6D35">
        <w:t>full capital costs. For fee calculation purposes, the current average cost per place of providing capital facilities for the course in question should be determined by the higher education provider. A capital component of the fee will not need to be taken into account where the necessary capital facilities</w:t>
      </w:r>
      <w:r w:rsidR="00F56BC1" w:rsidRPr="00FD6D35">
        <w:rPr>
          <w:lang w:eastAsia="en-AU"/>
        </w:rPr>
        <w:t xml:space="preserve"> are provided by a third party.</w:t>
      </w:r>
    </w:p>
    <w:p w:rsidR="00210D0F" w:rsidRPr="00FD6D35" w:rsidRDefault="006D5459" w:rsidP="006D5459">
      <w:pPr>
        <w:keepNext/>
        <w:spacing w:after="120"/>
        <w:ind w:left="1160" w:hanging="357"/>
        <w:rPr>
          <w:lang w:eastAsia="en-AU"/>
        </w:rPr>
      </w:pPr>
      <w:r w:rsidRPr="00FD6D35">
        <w:rPr>
          <w:lang w:eastAsia="en-AU"/>
        </w:rPr>
        <w:t>(b)</w:t>
      </w:r>
      <w:r w:rsidRPr="00FD6D35">
        <w:rPr>
          <w:lang w:eastAsia="en-AU"/>
        </w:rPr>
        <w:tab/>
      </w:r>
      <w:r w:rsidR="00210D0F" w:rsidRPr="00FD6D35">
        <w:rPr>
          <w:lang w:eastAsia="en-AU"/>
        </w:rPr>
        <w:t>The fee must be no less than those shown for the relevant category of courses in the schedule of minimum indicative course fees, which forms part of these guidelines, except where:</w:t>
      </w:r>
    </w:p>
    <w:p w:rsidR="00A317B9" w:rsidRPr="00FD6D35" w:rsidRDefault="006D5459" w:rsidP="006D5459">
      <w:pPr>
        <w:keepNext/>
        <w:spacing w:after="120"/>
        <w:ind w:left="1637" w:hanging="357"/>
      </w:pPr>
      <w:r w:rsidRPr="00FD6D35">
        <w:t>(i)</w:t>
      </w:r>
      <w:r w:rsidRPr="00FD6D35">
        <w:tab/>
      </w:r>
      <w:r w:rsidR="00210D0F" w:rsidRPr="00FD6D35">
        <w:t>a course is provided wholly off-shore and students will not at any stage enter Australia for study; or</w:t>
      </w:r>
    </w:p>
    <w:p w:rsidR="00F56BC1" w:rsidRPr="00FD6D35" w:rsidRDefault="006D5459" w:rsidP="006D5459">
      <w:pPr>
        <w:keepNext/>
        <w:spacing w:after="120"/>
        <w:ind w:left="1637" w:hanging="357"/>
      </w:pPr>
      <w:r w:rsidRPr="00FD6D35">
        <w:t>(ii)</w:t>
      </w:r>
      <w:r w:rsidRPr="00FD6D35">
        <w:tab/>
      </w:r>
      <w:r w:rsidR="00210D0F" w:rsidRPr="00FD6D35">
        <w:t xml:space="preserve">approval has been given by the </w:t>
      </w:r>
      <w:r w:rsidR="00A014D0" w:rsidRPr="00FD6D35">
        <w:rPr>
          <w:i/>
        </w:rPr>
        <w:t>Department</w:t>
      </w:r>
      <w:r w:rsidR="00A014D0" w:rsidRPr="00FD6D35">
        <w:t xml:space="preserve"> </w:t>
      </w:r>
      <w:r w:rsidR="00210D0F" w:rsidRPr="00FD6D35">
        <w:t>to charge less than the minimum indicative fee for a course.</w:t>
      </w:r>
    </w:p>
    <w:p w:rsidR="00BE3C79" w:rsidRPr="00FD6D35" w:rsidRDefault="006D5459" w:rsidP="006D5459">
      <w:pPr>
        <w:keepNext/>
        <w:spacing w:after="120"/>
        <w:ind w:left="1160" w:hanging="360"/>
        <w:rPr>
          <w:lang w:eastAsia="en-AU"/>
        </w:rPr>
      </w:pPr>
      <w:r w:rsidRPr="00FD6D35">
        <w:rPr>
          <w:lang w:eastAsia="en-AU"/>
        </w:rPr>
        <w:t>(c)</w:t>
      </w:r>
      <w:r w:rsidRPr="00FD6D35">
        <w:rPr>
          <w:lang w:eastAsia="en-AU"/>
        </w:rPr>
        <w:tab/>
      </w:r>
      <w:r w:rsidR="00F56BC1" w:rsidRPr="00FD6D35">
        <w:rPr>
          <w:lang w:eastAsia="en-AU"/>
        </w:rPr>
        <w:t xml:space="preserve">Where the requirements of subparagraph </w:t>
      </w:r>
      <w:r w:rsidR="005A12F5" w:rsidRPr="00FD6D35">
        <w:rPr>
          <w:lang w:eastAsia="en-AU"/>
        </w:rPr>
        <w:t>6</w:t>
      </w:r>
      <w:r w:rsidR="00F56BC1" w:rsidRPr="00FD6D35">
        <w:rPr>
          <w:lang w:eastAsia="en-AU"/>
        </w:rPr>
        <w:t xml:space="preserve">.5.1(b)(i) or subparagraph </w:t>
      </w:r>
      <w:r w:rsidR="005A12F5" w:rsidRPr="00FD6D35">
        <w:rPr>
          <w:lang w:eastAsia="en-AU"/>
        </w:rPr>
        <w:t>6</w:t>
      </w:r>
      <w:r w:rsidR="00F56BC1" w:rsidRPr="00FD6D35">
        <w:rPr>
          <w:lang w:eastAsia="en-AU"/>
        </w:rPr>
        <w:t>.5(b)(ii) are satisfied in relation to a course no minimum indicative fee will apply. However the higher education provider must be able to demonstrate</w:t>
      </w:r>
      <w:r w:rsidR="000538E2" w:rsidRPr="00FD6D35">
        <w:rPr>
          <w:lang w:eastAsia="en-AU"/>
        </w:rPr>
        <w:t xml:space="preserve"> to the </w:t>
      </w:r>
      <w:r w:rsidR="000538E2" w:rsidRPr="00FD6D35">
        <w:rPr>
          <w:i/>
        </w:rPr>
        <w:t xml:space="preserve">Department </w:t>
      </w:r>
      <w:r w:rsidR="00F56BC1" w:rsidRPr="00FD6D35">
        <w:rPr>
          <w:lang w:eastAsia="en-AU"/>
        </w:rPr>
        <w:t xml:space="preserve">that the fee proposed will recover at least the full cost of providing the course in accordance with paragraph </w:t>
      </w:r>
      <w:r w:rsidR="005A12F5" w:rsidRPr="00FD6D35">
        <w:rPr>
          <w:lang w:eastAsia="en-AU"/>
        </w:rPr>
        <w:t>6</w:t>
      </w:r>
      <w:r w:rsidR="00F56BC1" w:rsidRPr="00FD6D35">
        <w:rPr>
          <w:lang w:eastAsia="en-AU"/>
        </w:rPr>
        <w:t>.5.1(a).</w:t>
      </w:r>
    </w:p>
    <w:p w:rsidR="00F56BC1" w:rsidRPr="00FD6D35" w:rsidRDefault="006D5459" w:rsidP="006D5459">
      <w:pPr>
        <w:keepNext/>
        <w:spacing w:after="120"/>
        <w:ind w:left="1160" w:hanging="360"/>
        <w:rPr>
          <w:lang w:eastAsia="en-AU"/>
        </w:rPr>
      </w:pPr>
      <w:r w:rsidRPr="00FD6D35">
        <w:rPr>
          <w:lang w:eastAsia="en-AU"/>
        </w:rPr>
        <w:t>(d)</w:t>
      </w:r>
      <w:r w:rsidRPr="00FD6D35">
        <w:rPr>
          <w:lang w:eastAsia="en-AU"/>
        </w:rPr>
        <w:tab/>
      </w:r>
      <w:r w:rsidR="00F56BC1" w:rsidRPr="00FD6D35">
        <w:rPr>
          <w:lang w:eastAsia="en-AU"/>
        </w:rPr>
        <w:t xml:space="preserve">For the purposes of paragraph </w:t>
      </w:r>
      <w:r w:rsidR="005A12F5" w:rsidRPr="00FD6D35">
        <w:rPr>
          <w:lang w:eastAsia="en-AU"/>
        </w:rPr>
        <w:t>6</w:t>
      </w:r>
      <w:r w:rsidR="00F56BC1" w:rsidRPr="00FD6D35">
        <w:rPr>
          <w:lang w:eastAsia="en-AU"/>
        </w:rPr>
        <w:t>.5.1(b), the minimum indicative course fee for the relevant category of course is:</w:t>
      </w:r>
    </w:p>
    <w:p w:rsidR="00F56BC1" w:rsidRPr="00FD6D35" w:rsidRDefault="006D5459" w:rsidP="006D5459">
      <w:pPr>
        <w:keepNext/>
        <w:spacing w:after="120"/>
        <w:ind w:left="1637" w:hanging="360"/>
      </w:pPr>
      <w:r w:rsidRPr="00FD6D35">
        <w:t>(i)</w:t>
      </w:r>
      <w:r w:rsidRPr="00FD6D35">
        <w:tab/>
      </w:r>
      <w:r w:rsidR="00F56BC1" w:rsidRPr="00FD6D35">
        <w:t xml:space="preserve">where, in accordance with subparagraph </w:t>
      </w:r>
      <w:r w:rsidR="005A12F5" w:rsidRPr="00FD6D35">
        <w:t>6</w:t>
      </w:r>
      <w:r w:rsidR="00F56BC1" w:rsidRPr="00FD6D35">
        <w:t>.5.1(a)(ii), the capital component of the fee is not taken into account because the necessary capital facilities are provided by a third party, the amount in the column headed Total without capital component; or</w:t>
      </w:r>
    </w:p>
    <w:p w:rsidR="00F56BC1" w:rsidRPr="00FD6D35" w:rsidRDefault="006D5459" w:rsidP="006D5459">
      <w:pPr>
        <w:keepNext/>
        <w:ind w:left="1633" w:hanging="357"/>
        <w:rPr>
          <w:lang w:eastAsia="en-AU"/>
        </w:rPr>
      </w:pPr>
      <w:r w:rsidRPr="00FD6D35">
        <w:rPr>
          <w:lang w:eastAsia="en-AU"/>
        </w:rPr>
        <w:t>(ii)</w:t>
      </w:r>
      <w:r w:rsidRPr="00FD6D35">
        <w:rPr>
          <w:lang w:eastAsia="en-AU"/>
        </w:rPr>
        <w:tab/>
      </w:r>
      <w:r w:rsidR="00F56BC1" w:rsidRPr="00FD6D35">
        <w:t>in all other circumstances, the amount in the column headed Total with</w:t>
      </w:r>
      <w:r w:rsidR="00F56BC1" w:rsidRPr="00FD6D35">
        <w:rPr>
          <w:iCs/>
          <w:lang w:eastAsia="en-AU"/>
        </w:rPr>
        <w:t xml:space="preserve"> capital component</w:t>
      </w:r>
      <w:r w:rsidR="00F56BC1" w:rsidRPr="00FD6D35">
        <w:rPr>
          <w:lang w:eastAsia="en-AU"/>
        </w:rPr>
        <w:t>.</w:t>
      </w:r>
    </w:p>
    <w:p w:rsidR="006D0718" w:rsidRPr="00FD6D35" w:rsidRDefault="006D0718" w:rsidP="00F56BC1">
      <w:pPr>
        <w:autoSpaceDE w:val="0"/>
        <w:autoSpaceDN w:val="0"/>
        <w:adjustRightInd w:val="0"/>
        <w:rPr>
          <w:lang w:eastAsia="en-AU"/>
        </w:rPr>
      </w:pPr>
    </w:p>
    <w:p w:rsidR="00F56BC1" w:rsidRPr="00FD6D35" w:rsidRDefault="005A12F5" w:rsidP="006D0718">
      <w:pPr>
        <w:autoSpaceDE w:val="0"/>
        <w:autoSpaceDN w:val="0"/>
        <w:adjustRightInd w:val="0"/>
        <w:ind w:left="601" w:hanging="601"/>
        <w:rPr>
          <w:b/>
          <w:bCs/>
          <w:lang w:eastAsia="en-AU"/>
        </w:rPr>
      </w:pPr>
      <w:r w:rsidRPr="00FD6D35">
        <w:rPr>
          <w:b/>
          <w:bCs/>
          <w:lang w:eastAsia="en-AU"/>
        </w:rPr>
        <w:t>6</w:t>
      </w:r>
      <w:r w:rsidR="00F56BC1" w:rsidRPr="00FD6D35">
        <w:rPr>
          <w:b/>
          <w:bCs/>
          <w:lang w:eastAsia="en-AU"/>
        </w:rPr>
        <w:t xml:space="preserve">.10 </w:t>
      </w:r>
      <w:r w:rsidR="00F56BC1" w:rsidRPr="00FD6D35">
        <w:rPr>
          <w:b/>
          <w:bCs/>
          <w:lang w:eastAsia="en-AU"/>
        </w:rPr>
        <w:tab/>
        <w:t>CIRCUMSTANCES IN WHICH THE REQUIREMENTS FOR DETERMINING FEES FOR OVERSEAS STUDENTS MAY NOT APPLY</w:t>
      </w:r>
    </w:p>
    <w:p w:rsidR="00F56BC1" w:rsidRPr="00FD6D35" w:rsidRDefault="00F56BC1" w:rsidP="00F56BC1">
      <w:pPr>
        <w:autoSpaceDE w:val="0"/>
        <w:autoSpaceDN w:val="0"/>
        <w:adjustRightInd w:val="0"/>
        <w:rPr>
          <w:b/>
          <w:bCs/>
          <w:lang w:eastAsia="en-AU"/>
        </w:rPr>
      </w:pPr>
    </w:p>
    <w:p w:rsidR="00F56BC1" w:rsidRPr="00FD6D35" w:rsidRDefault="005A12F5" w:rsidP="0039748D">
      <w:pPr>
        <w:autoSpaceDE w:val="0"/>
        <w:autoSpaceDN w:val="0"/>
        <w:adjustRightInd w:val="0"/>
        <w:spacing w:after="120"/>
        <w:ind w:left="709" w:hanging="709"/>
        <w:rPr>
          <w:lang w:eastAsia="en-AU"/>
        </w:rPr>
      </w:pPr>
      <w:r w:rsidRPr="00FD6D35">
        <w:rPr>
          <w:lang w:eastAsia="en-AU"/>
        </w:rPr>
        <w:lastRenderedPageBreak/>
        <w:t>6</w:t>
      </w:r>
      <w:r w:rsidR="00BE3C79" w:rsidRPr="00FD6D35">
        <w:rPr>
          <w:lang w:eastAsia="en-AU"/>
        </w:rPr>
        <w:t>.10.1</w:t>
      </w:r>
      <w:r w:rsidR="00BE3C79" w:rsidRPr="00FD6D35">
        <w:rPr>
          <w:lang w:eastAsia="en-AU"/>
        </w:rPr>
        <w:tab/>
      </w:r>
      <w:r w:rsidR="00F56BC1" w:rsidRPr="00FD6D35">
        <w:rPr>
          <w:lang w:eastAsia="en-AU"/>
        </w:rPr>
        <w:t xml:space="preserve">A higher education provider is not required to comply with the requirements of paragraph </w:t>
      </w:r>
      <w:r w:rsidRPr="00FD6D35">
        <w:rPr>
          <w:lang w:eastAsia="en-AU"/>
        </w:rPr>
        <w:t>6</w:t>
      </w:r>
      <w:r w:rsidR="00F56BC1" w:rsidRPr="00FD6D35">
        <w:rPr>
          <w:lang w:eastAsia="en-AU"/>
        </w:rPr>
        <w:t>.5.1 when determining the fee for the following classes of overseas students:</w:t>
      </w:r>
    </w:p>
    <w:p w:rsidR="00BE3C79" w:rsidRPr="00FD6D35" w:rsidRDefault="006D5459" w:rsidP="006D5459">
      <w:pPr>
        <w:keepNext/>
        <w:spacing w:after="120"/>
        <w:ind w:left="1160" w:hanging="360"/>
        <w:rPr>
          <w:lang w:eastAsia="en-AU"/>
        </w:rPr>
      </w:pPr>
      <w:r w:rsidRPr="00FD6D35">
        <w:rPr>
          <w:lang w:eastAsia="en-AU"/>
        </w:rPr>
        <w:t>(a)</w:t>
      </w:r>
      <w:r w:rsidRPr="00FD6D35">
        <w:rPr>
          <w:lang w:eastAsia="en-AU"/>
        </w:rPr>
        <w:tab/>
      </w:r>
      <w:r w:rsidR="00F56BC1" w:rsidRPr="00FD6D35">
        <w:rPr>
          <w:lang w:eastAsia="en-AU"/>
        </w:rPr>
        <w:t>overseas students undertaking study in Australia as part of a formal exchange program; and</w:t>
      </w:r>
    </w:p>
    <w:p w:rsidR="00F56BC1" w:rsidRPr="00FD6D35" w:rsidRDefault="006D5459" w:rsidP="006D5459">
      <w:pPr>
        <w:keepNext/>
        <w:ind w:left="1156" w:hanging="357"/>
        <w:rPr>
          <w:lang w:eastAsia="en-AU"/>
        </w:rPr>
      </w:pPr>
      <w:r w:rsidRPr="00FD6D35">
        <w:rPr>
          <w:lang w:eastAsia="en-AU"/>
        </w:rPr>
        <w:t>(b)</w:t>
      </w:r>
      <w:r w:rsidRPr="00FD6D35">
        <w:rPr>
          <w:lang w:eastAsia="en-AU"/>
        </w:rPr>
        <w:tab/>
      </w:r>
      <w:r w:rsidR="00F56BC1" w:rsidRPr="00FD6D35">
        <w:rPr>
          <w:lang w:eastAsia="en-AU"/>
        </w:rPr>
        <w:t>overseas students undertaking study in Australia towards a research Masters degree or a research Doctoral degree who have been awarded a scholarship for that study on the basis of merit following a competitive application process.</w:t>
      </w:r>
    </w:p>
    <w:p w:rsidR="00F56BC1" w:rsidRPr="00FD6D35" w:rsidRDefault="00F56BC1" w:rsidP="00F56BC1">
      <w:pPr>
        <w:autoSpaceDE w:val="0"/>
        <w:autoSpaceDN w:val="0"/>
        <w:adjustRightInd w:val="0"/>
        <w:rPr>
          <w:lang w:eastAsia="en-AU"/>
        </w:rPr>
      </w:pPr>
    </w:p>
    <w:p w:rsidR="00BE3C79" w:rsidRPr="00FD6D35" w:rsidRDefault="005A12F5" w:rsidP="0039748D">
      <w:pPr>
        <w:autoSpaceDE w:val="0"/>
        <w:autoSpaceDN w:val="0"/>
        <w:adjustRightInd w:val="0"/>
        <w:spacing w:after="120"/>
        <w:ind w:left="851" w:hanging="851"/>
        <w:rPr>
          <w:lang w:eastAsia="en-AU"/>
        </w:rPr>
      </w:pPr>
      <w:r w:rsidRPr="00FD6D35">
        <w:rPr>
          <w:lang w:eastAsia="en-AU"/>
        </w:rPr>
        <w:t>6</w:t>
      </w:r>
      <w:r w:rsidR="00F56BC1" w:rsidRPr="00FD6D35">
        <w:rPr>
          <w:lang w:eastAsia="en-AU"/>
        </w:rPr>
        <w:t>.10.5</w:t>
      </w:r>
      <w:r w:rsidR="00F56BC1" w:rsidRPr="00FD6D35">
        <w:rPr>
          <w:lang w:eastAsia="en-AU"/>
        </w:rPr>
        <w:tab/>
        <w:t xml:space="preserve">For the purposes of paragraph </w:t>
      </w:r>
      <w:r w:rsidRPr="00FD6D35">
        <w:rPr>
          <w:lang w:eastAsia="en-AU"/>
        </w:rPr>
        <w:t>6</w:t>
      </w:r>
      <w:r w:rsidR="00F56BC1" w:rsidRPr="00FD6D35">
        <w:rPr>
          <w:lang w:eastAsia="en-AU"/>
        </w:rPr>
        <w:t>.10.1(a), a formal exchange program is a program established under a formal agreement between an Australian higher education provider and an overseas higher education institution [“overseas institution”] that provides for:</w:t>
      </w:r>
    </w:p>
    <w:p w:rsidR="00BE3C79" w:rsidRPr="00FD6D35" w:rsidRDefault="006D5459" w:rsidP="006D5459">
      <w:pPr>
        <w:keepNext/>
        <w:spacing w:after="120"/>
        <w:ind w:left="1160" w:hanging="360"/>
        <w:rPr>
          <w:lang w:eastAsia="en-AU"/>
        </w:rPr>
      </w:pPr>
      <w:r w:rsidRPr="00FD6D35">
        <w:rPr>
          <w:lang w:eastAsia="en-AU"/>
        </w:rPr>
        <w:t>(a)</w:t>
      </w:r>
      <w:r w:rsidRPr="00FD6D35">
        <w:rPr>
          <w:lang w:eastAsia="en-AU"/>
        </w:rPr>
        <w:tab/>
      </w:r>
      <w:r w:rsidR="00F56BC1" w:rsidRPr="00FD6D35">
        <w:rPr>
          <w:lang w:eastAsia="en-AU"/>
        </w:rPr>
        <w:t>students of the Australian higher education provider to undertake study at the overseas institution, where the study at the overseas institution contributes to the requirements of a course of study being undertaken by the students with the Australian higher education provider;</w:t>
      </w:r>
    </w:p>
    <w:p w:rsidR="00BE3C79" w:rsidRPr="00FD6D35" w:rsidRDefault="006D5459" w:rsidP="006D5459">
      <w:pPr>
        <w:keepNext/>
        <w:spacing w:after="120"/>
        <w:ind w:left="1160" w:hanging="360"/>
        <w:rPr>
          <w:lang w:eastAsia="en-AU"/>
        </w:rPr>
      </w:pPr>
      <w:r w:rsidRPr="00FD6D35">
        <w:rPr>
          <w:lang w:eastAsia="en-AU"/>
        </w:rPr>
        <w:t>(b)</w:t>
      </w:r>
      <w:r w:rsidRPr="00FD6D35">
        <w:rPr>
          <w:lang w:eastAsia="en-AU"/>
        </w:rPr>
        <w:tab/>
      </w:r>
      <w:r w:rsidR="00F56BC1" w:rsidRPr="00FD6D35">
        <w:rPr>
          <w:lang w:eastAsia="en-AU"/>
        </w:rPr>
        <w:t>students of the overseas institution to undertake study at the Australian higher education provider , where the study at the Australian higher education provider contributes to the requirements of a course of study being undertaken by the students with the overseas institution;</w:t>
      </w:r>
    </w:p>
    <w:p w:rsidR="00BE3C79" w:rsidRPr="00FD6D35" w:rsidRDefault="006D5459" w:rsidP="006D5459">
      <w:pPr>
        <w:keepNext/>
        <w:spacing w:after="120"/>
        <w:ind w:left="1160" w:hanging="360"/>
        <w:rPr>
          <w:lang w:eastAsia="en-AU"/>
        </w:rPr>
      </w:pPr>
      <w:r w:rsidRPr="00FD6D35">
        <w:rPr>
          <w:lang w:eastAsia="en-AU"/>
        </w:rPr>
        <w:t>(c)</w:t>
      </w:r>
      <w:r w:rsidRPr="00FD6D35">
        <w:rPr>
          <w:lang w:eastAsia="en-AU"/>
        </w:rPr>
        <w:tab/>
      </w:r>
      <w:r w:rsidR="00F56BC1" w:rsidRPr="00FD6D35">
        <w:rPr>
          <w:lang w:eastAsia="en-AU"/>
        </w:rPr>
        <w:t>the exchange of students between the Australian higher education provider and the overseas institution to be reciprocal over time;</w:t>
      </w:r>
    </w:p>
    <w:p w:rsidR="00BE3C79" w:rsidRPr="00FD6D35" w:rsidRDefault="006D5459" w:rsidP="006D5459">
      <w:pPr>
        <w:keepNext/>
        <w:spacing w:after="120"/>
        <w:ind w:left="1160" w:hanging="360"/>
        <w:rPr>
          <w:lang w:eastAsia="en-AU"/>
        </w:rPr>
      </w:pPr>
      <w:r w:rsidRPr="00FD6D35">
        <w:rPr>
          <w:lang w:eastAsia="en-AU"/>
        </w:rPr>
        <w:t>(d)</w:t>
      </w:r>
      <w:r w:rsidRPr="00FD6D35">
        <w:rPr>
          <w:lang w:eastAsia="en-AU"/>
        </w:rPr>
        <w:tab/>
      </w:r>
      <w:r w:rsidR="00F56BC1" w:rsidRPr="00FD6D35">
        <w:rPr>
          <w:lang w:eastAsia="en-AU"/>
        </w:rPr>
        <w:t xml:space="preserve">all students of the Australian higher education provider undertaking study in accordance with paragraph </w:t>
      </w:r>
      <w:r w:rsidR="005A12F5" w:rsidRPr="00FD6D35">
        <w:rPr>
          <w:lang w:eastAsia="en-AU"/>
        </w:rPr>
        <w:t>6</w:t>
      </w:r>
      <w:r w:rsidR="00F56BC1" w:rsidRPr="00FD6D35">
        <w:rPr>
          <w:lang w:eastAsia="en-AU"/>
        </w:rPr>
        <w:t xml:space="preserve">.10.5(a) are charged student contribution amounts and tuition fees in accordance with </w:t>
      </w:r>
      <w:r w:rsidR="00923C0F" w:rsidRPr="00FD6D35">
        <w:rPr>
          <w:lang w:eastAsia="en-AU"/>
        </w:rPr>
        <w:t xml:space="preserve">the </w:t>
      </w:r>
      <w:r w:rsidR="00923C0F" w:rsidRPr="00FD6D35">
        <w:rPr>
          <w:i/>
          <w:lang w:eastAsia="en-AU"/>
        </w:rPr>
        <w:t>Act</w:t>
      </w:r>
      <w:r w:rsidR="00923C0F" w:rsidRPr="00FD6D35">
        <w:rPr>
          <w:lang w:eastAsia="en-AU"/>
        </w:rPr>
        <w:t xml:space="preserve"> </w:t>
      </w:r>
      <w:r w:rsidR="00F56BC1" w:rsidRPr="00FD6D35">
        <w:rPr>
          <w:lang w:eastAsia="en-AU"/>
        </w:rPr>
        <w:t>and are not charged fees at the overseas institution; and</w:t>
      </w:r>
    </w:p>
    <w:p w:rsidR="00F56BC1" w:rsidRPr="00FD6D35" w:rsidRDefault="006D5459" w:rsidP="006D5459">
      <w:pPr>
        <w:keepNext/>
        <w:spacing w:after="120"/>
        <w:ind w:left="1160" w:hanging="360"/>
        <w:rPr>
          <w:lang w:eastAsia="en-AU"/>
        </w:rPr>
      </w:pPr>
      <w:r w:rsidRPr="00FD6D35">
        <w:rPr>
          <w:lang w:eastAsia="en-AU"/>
        </w:rPr>
        <w:t>(e)</w:t>
      </w:r>
      <w:r w:rsidRPr="00FD6D35">
        <w:rPr>
          <w:lang w:eastAsia="en-AU"/>
        </w:rPr>
        <w:tab/>
      </w:r>
      <w:r w:rsidR="00F56BC1" w:rsidRPr="00FD6D35">
        <w:rPr>
          <w:lang w:eastAsia="en-AU"/>
        </w:rPr>
        <w:t xml:space="preserve">all students of the overseas institution undertaking study in accordance with paragraph </w:t>
      </w:r>
      <w:r w:rsidR="005A12F5" w:rsidRPr="00FD6D35">
        <w:rPr>
          <w:lang w:eastAsia="en-AU"/>
        </w:rPr>
        <w:t>6</w:t>
      </w:r>
      <w:r w:rsidR="00F56BC1" w:rsidRPr="00FD6D35">
        <w:rPr>
          <w:lang w:eastAsia="en-AU"/>
        </w:rPr>
        <w:t>.10.5(b) are charged fees in accordance with the practices of that overseas institution and are not charged fees at the Australian higher education provider.</w:t>
      </w:r>
    </w:p>
    <w:p w:rsidR="00F56BC1" w:rsidRPr="00FD6D35" w:rsidRDefault="00F56BC1" w:rsidP="00F56BC1">
      <w:pPr>
        <w:autoSpaceDE w:val="0"/>
        <w:autoSpaceDN w:val="0"/>
        <w:adjustRightInd w:val="0"/>
        <w:rPr>
          <w:lang w:eastAsia="en-AU"/>
        </w:rPr>
      </w:pPr>
    </w:p>
    <w:p w:rsidR="00F56BC1" w:rsidRPr="00FD6D35" w:rsidRDefault="005A12F5" w:rsidP="00F56BC1">
      <w:pPr>
        <w:keepNext/>
        <w:autoSpaceDE w:val="0"/>
        <w:autoSpaceDN w:val="0"/>
        <w:adjustRightInd w:val="0"/>
        <w:rPr>
          <w:b/>
          <w:bCs/>
          <w:lang w:eastAsia="en-AU"/>
        </w:rPr>
      </w:pPr>
      <w:r w:rsidRPr="00FD6D35">
        <w:rPr>
          <w:b/>
          <w:bCs/>
          <w:lang w:eastAsia="en-AU"/>
        </w:rPr>
        <w:t>6</w:t>
      </w:r>
      <w:r w:rsidR="00F56BC1" w:rsidRPr="00FD6D35">
        <w:rPr>
          <w:b/>
          <w:bCs/>
          <w:lang w:eastAsia="en-AU"/>
        </w:rPr>
        <w:t xml:space="preserve">.15 </w:t>
      </w:r>
      <w:r w:rsidR="00F56BC1" w:rsidRPr="00FD6D35">
        <w:rPr>
          <w:b/>
          <w:bCs/>
          <w:lang w:eastAsia="en-AU"/>
        </w:rPr>
        <w:tab/>
        <w:t>MINIMUM INDICATIVE COURSE FEES</w:t>
      </w:r>
    </w:p>
    <w:p w:rsidR="00F56BC1" w:rsidRPr="00FD6D35" w:rsidRDefault="00F56BC1" w:rsidP="00F56BC1">
      <w:pPr>
        <w:keepNext/>
        <w:autoSpaceDE w:val="0"/>
        <w:autoSpaceDN w:val="0"/>
        <w:adjustRightInd w:val="0"/>
        <w:rPr>
          <w:lang w:eastAsia="en-AU"/>
        </w:rPr>
      </w:pPr>
    </w:p>
    <w:p w:rsidR="00F56BC1" w:rsidRPr="00FD6D35" w:rsidRDefault="005A12F5" w:rsidP="00F56BC1">
      <w:pPr>
        <w:keepNext/>
        <w:autoSpaceDE w:val="0"/>
        <w:autoSpaceDN w:val="0"/>
        <w:adjustRightInd w:val="0"/>
        <w:rPr>
          <w:lang w:eastAsia="en-AU"/>
        </w:rPr>
      </w:pPr>
      <w:r w:rsidRPr="00FD6D35">
        <w:rPr>
          <w:lang w:eastAsia="en-AU"/>
        </w:rPr>
        <w:t>6</w:t>
      </w:r>
      <w:r w:rsidR="00F56BC1" w:rsidRPr="00FD6D35">
        <w:rPr>
          <w:lang w:eastAsia="en-AU"/>
        </w:rPr>
        <w:t>.15.1 The schedule of minimum indicative course fees for 20</w:t>
      </w:r>
      <w:r w:rsidRPr="00FD6D35">
        <w:rPr>
          <w:lang w:eastAsia="en-AU"/>
        </w:rPr>
        <w:t xml:space="preserve">12 </w:t>
      </w:r>
      <w:r w:rsidR="00F56BC1" w:rsidRPr="00FD6D35">
        <w:rPr>
          <w:lang w:eastAsia="en-AU"/>
        </w:rPr>
        <w:t>is as follows:</w:t>
      </w:r>
    </w:p>
    <w:p w:rsidR="00F56BC1" w:rsidRPr="00FD6D35" w:rsidRDefault="00F56BC1" w:rsidP="00F56BC1">
      <w:pPr>
        <w:keepNext/>
        <w:autoSpaceDE w:val="0"/>
        <w:autoSpaceDN w:val="0"/>
        <w:adjustRightInd w:val="0"/>
        <w:rPr>
          <w:lang w:eastAsia="en-AU"/>
        </w:rPr>
      </w:pPr>
    </w:p>
    <w:tbl>
      <w:tblPr>
        <w:tblW w:w="4777" w:type="pct"/>
        <w:tblCellSpacing w:w="0" w:type="dxa"/>
        <w:tblInd w:w="123"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147"/>
        <w:gridCol w:w="4646"/>
        <w:gridCol w:w="1611"/>
        <w:gridCol w:w="1951"/>
      </w:tblGrid>
      <w:tr w:rsidR="00F56BC1" w:rsidRPr="00FD6D35" w:rsidTr="0040756F">
        <w:trPr>
          <w:tblCellSpacing w:w="0" w:type="dxa"/>
        </w:trPr>
        <w:tc>
          <w:tcPr>
            <w:tcW w:w="3096" w:type="pct"/>
            <w:gridSpan w:val="2"/>
            <w:tcBorders>
              <w:top w:val="outset" w:sz="6" w:space="0" w:color="auto"/>
              <w:left w:val="outset" w:sz="6" w:space="0" w:color="auto"/>
              <w:bottom w:val="outset" w:sz="6" w:space="0" w:color="auto"/>
              <w:right w:val="outset" w:sz="6" w:space="0" w:color="auto"/>
            </w:tcBorders>
          </w:tcPr>
          <w:p w:rsidR="00F56BC1" w:rsidRPr="00FD6D35" w:rsidRDefault="00F56BC1" w:rsidP="00F56BC1">
            <w:pPr>
              <w:keepNext/>
              <w:rPr>
                <w:lang w:eastAsia="en-AU"/>
              </w:rPr>
            </w:pPr>
            <w:r w:rsidRPr="00FD6D35">
              <w:rPr>
                <w:b/>
                <w:bCs/>
                <w:lang w:eastAsia="en-AU"/>
              </w:rPr>
              <w:t>COURSE CATEGORIES</w:t>
            </w:r>
            <w:r w:rsidRPr="00FD6D35">
              <w:rPr>
                <w:lang w:eastAsia="en-AU"/>
              </w:rPr>
              <w:br/>
            </w:r>
            <w:r w:rsidRPr="00FD6D35">
              <w:rPr>
                <w:lang w:eastAsia="en-AU"/>
              </w:rPr>
              <w:br/>
            </w:r>
          </w:p>
          <w:p w:rsidR="00F56BC1" w:rsidRPr="00FD6D35" w:rsidRDefault="00F56BC1" w:rsidP="00F56BC1">
            <w:pPr>
              <w:keepNext/>
              <w:rPr>
                <w:lang w:eastAsia="en-AU"/>
              </w:rPr>
            </w:pP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keepNext/>
              <w:rPr>
                <w:lang w:eastAsia="en-AU"/>
              </w:rPr>
            </w:pPr>
            <w:r w:rsidRPr="00FD6D35">
              <w:rPr>
                <w:b/>
                <w:bCs/>
                <w:lang w:eastAsia="en-AU"/>
              </w:rPr>
              <w:t>Total without capital component</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keepNext/>
              <w:rPr>
                <w:lang w:eastAsia="en-AU"/>
              </w:rPr>
            </w:pPr>
            <w:r w:rsidRPr="00FD6D35">
              <w:rPr>
                <w:b/>
                <w:bCs/>
                <w:lang w:eastAsia="en-AU"/>
              </w:rPr>
              <w:t>Total with capital component</w:t>
            </w:r>
          </w:p>
          <w:p w:rsidR="00F56BC1" w:rsidRPr="00FD6D35" w:rsidRDefault="00F56BC1" w:rsidP="00F56BC1">
            <w:pPr>
              <w:keepNext/>
              <w:rPr>
                <w:lang w:eastAsia="en-AU"/>
              </w:rPr>
            </w:pP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keepNext/>
              <w:rPr>
                <w:b/>
                <w:bCs/>
                <w:lang w:eastAsia="en-AU"/>
              </w:rPr>
            </w:pPr>
          </w:p>
          <w:p w:rsidR="00F56BC1" w:rsidRPr="00FD6D35" w:rsidRDefault="00F56BC1" w:rsidP="00F56BC1">
            <w:pPr>
              <w:keepNext/>
              <w:rPr>
                <w:b/>
                <w:bCs/>
                <w:lang w:eastAsia="en-AU"/>
              </w:rPr>
            </w:pPr>
            <w:r w:rsidRPr="00FD6D35">
              <w:rPr>
                <w:b/>
                <w:bCs/>
                <w:lang w:eastAsia="en-AU"/>
              </w:rPr>
              <w:t>ON CAMPUS</w:t>
            </w: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b/>
                <w:bCs/>
                <w:lang w:eastAsia="en-AU"/>
              </w:rPr>
            </w:pPr>
            <w:r w:rsidRPr="00FD6D35">
              <w:rPr>
                <w:b/>
                <w:bCs/>
                <w:lang w:eastAsia="en-AU"/>
              </w:rPr>
              <w:t xml:space="preserve">                                                                                       Fees weekly</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1.</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 xml:space="preserve">ELICOS </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$2</w:t>
            </w:r>
            <w:r w:rsidR="00425F88" w:rsidRPr="00FD6D35">
              <w:rPr>
                <w:lang w:eastAsia="en-AU"/>
              </w:rPr>
              <w:t>69</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$2</w:t>
            </w:r>
            <w:r w:rsidR="00425F88" w:rsidRPr="00FD6D35">
              <w:rPr>
                <w:lang w:eastAsia="en-AU"/>
              </w:rPr>
              <w:t>93</w:t>
            </w: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b/>
                <w:bCs/>
                <w:lang w:eastAsia="en-AU"/>
              </w:rPr>
            </w:pPr>
            <w:r w:rsidRPr="00FD6D35">
              <w:rPr>
                <w:b/>
                <w:bCs/>
                <w:lang w:eastAsia="en-AU"/>
              </w:rPr>
              <w:t xml:space="preserve">                                                                                      Fees per year</w:t>
            </w:r>
          </w:p>
          <w:p w:rsidR="00F56BC1" w:rsidRPr="00FD6D35" w:rsidRDefault="00F56BC1" w:rsidP="00F56BC1">
            <w:pPr>
              <w:jc w:val="center"/>
              <w:rPr>
                <w:lang w:eastAsia="en-AU"/>
              </w:rPr>
            </w:pPr>
            <w:r w:rsidRPr="00FD6D35">
              <w:rPr>
                <w:b/>
                <w:bCs/>
                <w:lang w:eastAsia="en-AU"/>
              </w:rPr>
              <w:t xml:space="preserve">                                                                                        (Equivalent Full-time)</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2.</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 xml:space="preserve">Law, Economics, Business, Humanities, Maths/Statistics, Social Science, Education, Computing, Architecture, Design, Nursing, Arts, Science (non-lab-based) </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9,242</w:t>
            </w:r>
            <w:r w:rsidRPr="00FD6D35">
              <w:rPr>
                <w:lang w:eastAsia="en-AU"/>
              </w:rPr>
              <w:t xml:space="preserve"> </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11,026</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3.</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 xml:space="preserve">Science (lab-based), Paramedical, Engineering, Pharmacy, Agriculture </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$1</w:t>
            </w:r>
            <w:r w:rsidR="00425F88" w:rsidRPr="00FD6D35">
              <w:rPr>
                <w:lang w:eastAsia="en-AU"/>
              </w:rPr>
              <w:t>3,954</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$1</w:t>
            </w:r>
            <w:r w:rsidR="00425F88" w:rsidRPr="00FD6D35">
              <w:rPr>
                <w:lang w:eastAsia="en-AU"/>
              </w:rPr>
              <w:t>6,490</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4.</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Medicine, Dentistry, Veterinary Science</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$1</w:t>
            </w:r>
            <w:r w:rsidR="00425F88" w:rsidRPr="00FD6D35">
              <w:rPr>
                <w:lang w:eastAsia="en-AU"/>
              </w:rPr>
              <w:t>9,297</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$2</w:t>
            </w:r>
            <w:r w:rsidR="00425F88" w:rsidRPr="00FD6D35">
              <w:rPr>
                <w:lang w:eastAsia="en-AU"/>
              </w:rPr>
              <w:t>2,712</w:t>
            </w: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b/>
                <w:bCs/>
                <w:lang w:eastAsia="en-AU"/>
              </w:rPr>
            </w:pPr>
          </w:p>
          <w:p w:rsidR="00F56BC1" w:rsidRPr="00FD6D35" w:rsidRDefault="00F56BC1" w:rsidP="00F56BC1">
            <w:pPr>
              <w:rPr>
                <w:lang w:eastAsia="en-AU"/>
              </w:rPr>
            </w:pPr>
            <w:r w:rsidRPr="00FD6D35">
              <w:rPr>
                <w:b/>
                <w:bCs/>
                <w:lang w:eastAsia="en-AU"/>
              </w:rPr>
              <w:lastRenderedPageBreak/>
              <w:t>EXTERNAL</w:t>
            </w:r>
            <w:r w:rsidRPr="00FD6D35">
              <w:rPr>
                <w:lang w:eastAsia="en-AU"/>
              </w:rPr>
              <w:t>  </w:t>
            </w: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b/>
                <w:bCs/>
                <w:lang w:eastAsia="en-AU"/>
              </w:rPr>
            </w:pPr>
            <w:r w:rsidRPr="00FD6D35">
              <w:rPr>
                <w:b/>
                <w:bCs/>
                <w:lang w:eastAsia="en-AU"/>
              </w:rPr>
              <w:lastRenderedPageBreak/>
              <w:t xml:space="preserve">                                                                                       Fees weekly</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E1.</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ELICOS (fees/weekly)</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$2</w:t>
            </w:r>
            <w:r w:rsidR="00425F88" w:rsidRPr="00FD6D35">
              <w:rPr>
                <w:lang w:eastAsia="en-AU"/>
              </w:rPr>
              <w:t>69</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$2</w:t>
            </w:r>
            <w:r w:rsidR="00425F88" w:rsidRPr="00FD6D35">
              <w:rPr>
                <w:lang w:eastAsia="en-AU"/>
              </w:rPr>
              <w:t>93</w:t>
            </w:r>
          </w:p>
        </w:tc>
      </w:tr>
      <w:tr w:rsidR="00F56BC1" w:rsidRPr="00FD6D35" w:rsidTr="0040756F">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b/>
                <w:bCs/>
                <w:lang w:eastAsia="en-AU"/>
              </w:rPr>
            </w:pPr>
            <w:r w:rsidRPr="00FD6D35">
              <w:rPr>
                <w:b/>
                <w:bCs/>
                <w:lang w:eastAsia="en-AU"/>
              </w:rPr>
              <w:t xml:space="preserve">                                                                                      Fees per year</w:t>
            </w:r>
          </w:p>
          <w:p w:rsidR="00F56BC1" w:rsidRPr="00FD6D35" w:rsidRDefault="00F56BC1" w:rsidP="00F56BC1">
            <w:pPr>
              <w:jc w:val="center"/>
              <w:rPr>
                <w:lang w:eastAsia="en-AU"/>
              </w:rPr>
            </w:pPr>
            <w:r w:rsidRPr="00FD6D35">
              <w:rPr>
                <w:b/>
                <w:bCs/>
                <w:lang w:eastAsia="en-AU"/>
              </w:rPr>
              <w:t xml:space="preserve">                                                                                        (Equivalent Full-time)</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E2.</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Law, Economics, Business, Humanities, Maths/Statistics, Social Science, Education, Computing, Architecture, Design, Nursing, Arts, Science (non-lab-based)</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9,242</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9,741</w:t>
            </w:r>
          </w:p>
        </w:tc>
      </w:tr>
      <w:tr w:rsidR="00F56BC1" w:rsidRPr="00FD6D35" w:rsidTr="0040756F">
        <w:trPr>
          <w:tblCellSpacing w:w="0" w:type="dxa"/>
        </w:trPr>
        <w:tc>
          <w:tcPr>
            <w:tcW w:w="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center"/>
              <w:rPr>
                <w:lang w:eastAsia="en-AU"/>
              </w:rPr>
            </w:pPr>
            <w:r w:rsidRPr="00FD6D35">
              <w:rPr>
                <w:b/>
                <w:bCs/>
                <w:lang w:eastAsia="en-AU"/>
              </w:rPr>
              <w:t>E3.</w:t>
            </w:r>
          </w:p>
        </w:tc>
        <w:tc>
          <w:tcPr>
            <w:tcW w:w="24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rPr>
                <w:lang w:eastAsia="en-AU"/>
              </w:rPr>
            </w:pPr>
            <w:r w:rsidRPr="00FD6D35">
              <w:rPr>
                <w:lang w:eastAsia="en-AU"/>
              </w:rPr>
              <w:t>Science (lab-based), Paramedical, Engineering, Pharmacy, Agriculture</w:t>
            </w:r>
          </w:p>
        </w:tc>
        <w:tc>
          <w:tcPr>
            <w:tcW w:w="8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13,954</w:t>
            </w:r>
          </w:p>
        </w:tc>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BC1" w:rsidRPr="00FD6D35" w:rsidRDefault="00F56BC1" w:rsidP="00F56BC1">
            <w:pPr>
              <w:jc w:val="right"/>
              <w:rPr>
                <w:lang w:eastAsia="en-AU"/>
              </w:rPr>
            </w:pPr>
            <w:r w:rsidRPr="00FD6D35">
              <w:rPr>
                <w:lang w:eastAsia="en-AU"/>
              </w:rPr>
              <w:t>$</w:t>
            </w:r>
            <w:r w:rsidR="00425F88" w:rsidRPr="00FD6D35">
              <w:rPr>
                <w:lang w:eastAsia="en-AU"/>
              </w:rPr>
              <w:t>14,633</w:t>
            </w:r>
          </w:p>
        </w:tc>
      </w:tr>
    </w:tbl>
    <w:p w:rsidR="00F56BC1" w:rsidRPr="00FD6D35" w:rsidRDefault="00F56BC1" w:rsidP="00F56BC1">
      <w:pPr>
        <w:rPr>
          <w:rFonts w:ascii="Times New Roman" w:hAnsi="Times New Roman" w:cs="Times New Roman"/>
          <w:sz w:val="24"/>
          <w:szCs w:val="24"/>
          <w:lang w:eastAsia="en-AU"/>
        </w:rPr>
      </w:pPr>
    </w:p>
    <w:p w:rsidR="00F56BC1" w:rsidRPr="00FD6D35" w:rsidRDefault="005A12F5" w:rsidP="00F56BC1">
      <w:pPr>
        <w:ind w:left="1200" w:hanging="1200"/>
      </w:pPr>
      <w:r w:rsidRPr="00FD6D35">
        <w:t>6</w:t>
      </w:r>
      <w:r w:rsidR="00F56BC1" w:rsidRPr="00FD6D35">
        <w:t xml:space="preserve">.15.5 </w:t>
      </w:r>
      <w:r w:rsidR="00F56BC1" w:rsidRPr="00FD6D35">
        <w:tab/>
        <w:t xml:space="preserve">Amounts in paragraph </w:t>
      </w:r>
      <w:r w:rsidRPr="00FD6D35">
        <w:t>6</w:t>
      </w:r>
      <w:r w:rsidR="00F56BC1" w:rsidRPr="00FD6D35">
        <w:t>.15.1 will be indexed each year after 20</w:t>
      </w:r>
      <w:r w:rsidRPr="00FD6D35">
        <w:t xml:space="preserve">12 </w:t>
      </w:r>
      <w:r w:rsidR="00F56BC1" w:rsidRPr="00FD6D35">
        <w:t xml:space="preserve">in accordance with the method of indexation set out in Division 198 of Part 5-6 of Chapter 5 of the </w:t>
      </w:r>
      <w:r w:rsidR="00F56BC1" w:rsidRPr="00FD6D35">
        <w:rPr>
          <w:i/>
          <w:iCs/>
        </w:rPr>
        <w:t>Act</w:t>
      </w:r>
      <w:r w:rsidR="00F56BC1" w:rsidRPr="00FD6D35">
        <w:t>.</w:t>
      </w:r>
    </w:p>
    <w:p w:rsidR="00F56BC1" w:rsidRPr="00FD6D35" w:rsidRDefault="00F56BC1" w:rsidP="00F56BC1">
      <w:pPr>
        <w:autoSpaceDE w:val="0"/>
        <w:autoSpaceDN w:val="0"/>
        <w:adjustRightInd w:val="0"/>
        <w:rPr>
          <w:lang w:eastAsia="en-AU"/>
        </w:rPr>
      </w:pPr>
    </w:p>
    <w:p w:rsidR="00F56BC1" w:rsidRPr="00FD6D35" w:rsidRDefault="00F56BC1" w:rsidP="00F56BC1">
      <w:pPr>
        <w:pStyle w:val="Heading1"/>
        <w:rPr>
          <w:u w:val="single"/>
        </w:rPr>
      </w:pPr>
      <w:r w:rsidRPr="00FD6D35">
        <w:rPr>
          <w:lang w:eastAsia="en-AU"/>
        </w:rPr>
        <w:br w:type="page"/>
      </w:r>
      <w:bookmarkStart w:id="30" w:name="_Toc32227157"/>
      <w:r w:rsidRPr="00FD6D35">
        <w:rPr>
          <w:u w:val="single"/>
        </w:rPr>
        <w:lastRenderedPageBreak/>
        <w:t xml:space="preserve">CHAPTER </w:t>
      </w:r>
      <w:r w:rsidR="005A12F5" w:rsidRPr="00FD6D35">
        <w:rPr>
          <w:u w:val="single"/>
        </w:rPr>
        <w:t>7</w:t>
      </w:r>
      <w:r w:rsidRPr="00FD6D35">
        <w:rPr>
          <w:u w:val="single"/>
        </w:rPr>
        <w:tab/>
        <w:t>FEES FOR GOODS AND SERVICES INCIDENTAL TO STUDIES</w:t>
      </w:r>
      <w:bookmarkEnd w:id="30"/>
    </w:p>
    <w:p w:rsidR="00F56BC1" w:rsidRPr="00FD6D35" w:rsidRDefault="00F56BC1" w:rsidP="00F56BC1">
      <w:pPr>
        <w:pStyle w:val="Heading1"/>
        <w:rPr>
          <w:lang w:eastAsia="en-AU"/>
        </w:rPr>
      </w:pPr>
    </w:p>
    <w:p w:rsidR="00F56BC1" w:rsidRPr="00FD6D35" w:rsidRDefault="005A12F5" w:rsidP="00F56BC1">
      <w:pPr>
        <w:autoSpaceDE w:val="0"/>
        <w:autoSpaceDN w:val="0"/>
        <w:adjustRightInd w:val="0"/>
        <w:rPr>
          <w:b/>
          <w:bCs/>
          <w:lang w:eastAsia="en-AU"/>
        </w:rPr>
      </w:pPr>
      <w:r w:rsidRPr="00FD6D35">
        <w:rPr>
          <w:b/>
          <w:bCs/>
          <w:lang w:eastAsia="en-AU"/>
        </w:rPr>
        <w:t>7</w:t>
      </w:r>
      <w:r w:rsidR="00F56BC1" w:rsidRPr="00FD6D35">
        <w:rPr>
          <w:b/>
          <w:bCs/>
          <w:lang w:eastAsia="en-AU"/>
        </w:rPr>
        <w:t xml:space="preserve">.1 </w:t>
      </w:r>
      <w:r w:rsidR="00F56BC1" w:rsidRPr="00FD6D35">
        <w:rPr>
          <w:b/>
          <w:bCs/>
          <w:lang w:eastAsia="en-AU"/>
        </w:rPr>
        <w:tab/>
        <w:t>PURPOSE</w:t>
      </w:r>
    </w:p>
    <w:p w:rsidR="00F56BC1" w:rsidRPr="00FD6D35" w:rsidRDefault="00F56BC1" w:rsidP="00F56BC1">
      <w:pPr>
        <w:autoSpaceDE w:val="0"/>
        <w:autoSpaceDN w:val="0"/>
        <w:adjustRightInd w:val="0"/>
        <w:rPr>
          <w:b/>
          <w:bCs/>
          <w:lang w:eastAsia="en-AU"/>
        </w:rPr>
      </w:pPr>
    </w:p>
    <w:p w:rsidR="00F56BC1" w:rsidRPr="00FD6D35" w:rsidRDefault="005A12F5" w:rsidP="00EC0D33">
      <w:pPr>
        <w:autoSpaceDE w:val="0"/>
        <w:autoSpaceDN w:val="0"/>
        <w:adjustRightInd w:val="0"/>
        <w:ind w:left="709" w:hanging="709"/>
        <w:rPr>
          <w:lang w:eastAsia="en-AU"/>
        </w:rPr>
      </w:pPr>
      <w:r w:rsidRPr="00FD6D35">
        <w:rPr>
          <w:lang w:eastAsia="en-AU"/>
        </w:rPr>
        <w:t>7</w:t>
      </w:r>
      <w:r w:rsidR="00F56BC1" w:rsidRPr="00FD6D35">
        <w:rPr>
          <w:lang w:eastAsia="en-AU"/>
        </w:rPr>
        <w:t>.1.1</w:t>
      </w:r>
      <w:r w:rsidR="00F56BC1" w:rsidRPr="00FD6D35">
        <w:rPr>
          <w:lang w:eastAsia="en-AU"/>
        </w:rPr>
        <w:tab/>
        <w:t xml:space="preserve">The purpose of this chapter is to specify the criteria for determining whether a fee is of a kind referred to in paragraph 19-102(3)(f) of the </w:t>
      </w:r>
      <w:r w:rsidR="00F56BC1" w:rsidRPr="00FD6D35">
        <w:rPr>
          <w:i/>
          <w:iCs/>
          <w:lang w:eastAsia="en-AU"/>
        </w:rPr>
        <w:t>Act</w:t>
      </w:r>
      <w:r w:rsidR="00F56BC1" w:rsidRPr="00FD6D35">
        <w:rPr>
          <w:lang w:eastAsia="en-AU"/>
        </w:rPr>
        <w:t xml:space="preserve">.  </w:t>
      </w:r>
    </w:p>
    <w:p w:rsidR="00F56BC1" w:rsidRPr="00FD6D35" w:rsidRDefault="00F56BC1" w:rsidP="00F56BC1">
      <w:pPr>
        <w:autoSpaceDE w:val="0"/>
        <w:autoSpaceDN w:val="0"/>
        <w:adjustRightInd w:val="0"/>
        <w:rPr>
          <w:b/>
          <w:bCs/>
          <w:lang w:eastAsia="en-AU"/>
        </w:rPr>
      </w:pPr>
    </w:p>
    <w:p w:rsidR="00F56BC1" w:rsidRPr="00FD6D35" w:rsidRDefault="005A12F5" w:rsidP="00F56BC1">
      <w:pPr>
        <w:autoSpaceDE w:val="0"/>
        <w:autoSpaceDN w:val="0"/>
        <w:adjustRightInd w:val="0"/>
        <w:ind w:left="600" w:hanging="600"/>
        <w:rPr>
          <w:b/>
          <w:bCs/>
          <w:lang w:eastAsia="en-AU"/>
        </w:rPr>
      </w:pPr>
      <w:r w:rsidRPr="00FD6D35">
        <w:rPr>
          <w:b/>
          <w:bCs/>
          <w:lang w:eastAsia="en-AU"/>
        </w:rPr>
        <w:t>7</w:t>
      </w:r>
      <w:r w:rsidR="00F56BC1" w:rsidRPr="00FD6D35">
        <w:rPr>
          <w:b/>
          <w:bCs/>
          <w:lang w:eastAsia="en-AU"/>
        </w:rPr>
        <w:t xml:space="preserve">.5 </w:t>
      </w:r>
      <w:r w:rsidR="00F56BC1" w:rsidRPr="00FD6D35">
        <w:rPr>
          <w:b/>
          <w:bCs/>
          <w:lang w:eastAsia="en-AU"/>
        </w:rPr>
        <w:tab/>
        <w:t>FEE OF A KIND THAT IS INCIDENTAL TO STUDIES THAT MAY BE UNDERTAKEN WITH A HIGHER EDUCATION PROVIDER</w:t>
      </w:r>
    </w:p>
    <w:p w:rsidR="00F56BC1" w:rsidRPr="00FD6D35" w:rsidRDefault="00F56BC1" w:rsidP="00F56BC1">
      <w:pPr>
        <w:autoSpaceDE w:val="0"/>
        <w:autoSpaceDN w:val="0"/>
        <w:adjustRightInd w:val="0"/>
        <w:rPr>
          <w:b/>
          <w:bCs/>
          <w:lang w:eastAsia="en-AU"/>
        </w:rPr>
      </w:pPr>
    </w:p>
    <w:p w:rsidR="00F56BC1" w:rsidRPr="00FD6D35" w:rsidRDefault="005A12F5" w:rsidP="00A260ED">
      <w:pPr>
        <w:autoSpaceDE w:val="0"/>
        <w:autoSpaceDN w:val="0"/>
        <w:adjustRightInd w:val="0"/>
        <w:spacing w:after="120"/>
        <w:ind w:left="709" w:hanging="709"/>
        <w:rPr>
          <w:lang w:eastAsia="en-AU"/>
        </w:rPr>
      </w:pPr>
      <w:r w:rsidRPr="00FD6D35">
        <w:rPr>
          <w:lang w:eastAsia="en-AU"/>
        </w:rPr>
        <w:t>7</w:t>
      </w:r>
      <w:r w:rsidR="00F56BC1" w:rsidRPr="00FD6D35">
        <w:rPr>
          <w:lang w:eastAsia="en-AU"/>
        </w:rPr>
        <w:t>.5.1</w:t>
      </w:r>
      <w:r w:rsidR="00F56BC1" w:rsidRPr="00FD6D35">
        <w:rPr>
          <w:lang w:eastAsia="en-AU"/>
        </w:rPr>
        <w:tab/>
        <w:t xml:space="preserve">Provided that its payment is in accordance with the </w:t>
      </w:r>
      <w:r w:rsidR="00F56BC1" w:rsidRPr="00FD6D35">
        <w:rPr>
          <w:i/>
          <w:iCs/>
          <w:lang w:eastAsia="en-AU"/>
        </w:rPr>
        <w:t>Act</w:t>
      </w:r>
      <w:r w:rsidR="00F56BC1" w:rsidRPr="00FD6D35">
        <w:rPr>
          <w:lang w:eastAsia="en-AU"/>
        </w:rPr>
        <w:t>, a fee is of a kind that is incidental to studies that may be undertaken with a higher education provider if it falls into any one or more of the following categories:</w:t>
      </w:r>
    </w:p>
    <w:p w:rsidR="00EC0D33" w:rsidRPr="00FD6D35" w:rsidRDefault="006D5459" w:rsidP="006D5459">
      <w:pPr>
        <w:autoSpaceDE w:val="0"/>
        <w:autoSpaceDN w:val="0"/>
        <w:adjustRightInd w:val="0"/>
        <w:spacing w:after="120"/>
        <w:ind w:left="1069" w:hanging="360"/>
        <w:rPr>
          <w:lang w:eastAsia="en-AU"/>
        </w:rPr>
      </w:pPr>
      <w:r w:rsidRPr="00FD6D35">
        <w:rPr>
          <w:lang w:eastAsia="en-AU"/>
        </w:rPr>
        <w:t>(a)</w:t>
      </w:r>
      <w:r w:rsidRPr="00FD6D35">
        <w:rPr>
          <w:lang w:eastAsia="en-AU"/>
        </w:rPr>
        <w:tab/>
      </w:r>
      <w:r w:rsidR="00F56BC1" w:rsidRPr="00FD6D35">
        <w:rPr>
          <w:lang w:eastAsia="en-AU"/>
        </w:rPr>
        <w:t>It is a charge for a good or service that is not essential to the course of study.</w:t>
      </w:r>
    </w:p>
    <w:p w:rsidR="00EC0D33" w:rsidRPr="00FD6D35" w:rsidRDefault="006D5459" w:rsidP="006D5459">
      <w:pPr>
        <w:autoSpaceDE w:val="0"/>
        <w:autoSpaceDN w:val="0"/>
        <w:adjustRightInd w:val="0"/>
        <w:spacing w:after="120"/>
        <w:ind w:left="1069" w:hanging="360"/>
        <w:rPr>
          <w:lang w:eastAsia="en-AU"/>
        </w:rPr>
      </w:pPr>
      <w:r w:rsidRPr="00FD6D35">
        <w:rPr>
          <w:lang w:eastAsia="en-AU"/>
        </w:rPr>
        <w:t>(b)</w:t>
      </w:r>
      <w:r w:rsidRPr="00FD6D35">
        <w:rPr>
          <w:lang w:eastAsia="en-AU"/>
        </w:rPr>
        <w:tab/>
      </w:r>
      <w:r w:rsidR="00F56BC1" w:rsidRPr="00FD6D35">
        <w:rPr>
          <w:lang w:eastAsia="en-AU"/>
        </w:rPr>
        <w:t>It is a charge for an alternative form, or alternative forms, of access to a good or service that is an essential component of the course of stud</w:t>
      </w:r>
      <w:r w:rsidR="00A260ED" w:rsidRPr="00FD6D35">
        <w:rPr>
          <w:lang w:eastAsia="en-AU"/>
        </w:rPr>
        <w:t xml:space="preserve">y but is otherwise made readily </w:t>
      </w:r>
      <w:r w:rsidR="00F56BC1" w:rsidRPr="00FD6D35">
        <w:rPr>
          <w:lang w:eastAsia="en-AU"/>
        </w:rPr>
        <w:t>available at no additional fee by the higher education provider.</w:t>
      </w:r>
      <w:r w:rsidR="00E45B3B" w:rsidRPr="00FD6D35">
        <w:rPr>
          <w:lang w:eastAsia="en-AU"/>
        </w:rPr>
        <w:t xml:space="preserve"> </w:t>
      </w:r>
    </w:p>
    <w:p w:rsidR="00F56BC1" w:rsidRPr="00FD6D35" w:rsidRDefault="006D5459" w:rsidP="006D5459">
      <w:pPr>
        <w:autoSpaceDE w:val="0"/>
        <w:autoSpaceDN w:val="0"/>
        <w:adjustRightInd w:val="0"/>
        <w:spacing w:after="120"/>
        <w:ind w:left="1069" w:hanging="360"/>
        <w:rPr>
          <w:lang w:eastAsia="en-AU"/>
        </w:rPr>
      </w:pPr>
      <w:r w:rsidRPr="00FD6D35">
        <w:rPr>
          <w:lang w:eastAsia="en-AU"/>
        </w:rPr>
        <w:t>(c)</w:t>
      </w:r>
      <w:r w:rsidRPr="00FD6D35">
        <w:rPr>
          <w:lang w:eastAsia="en-AU"/>
        </w:rPr>
        <w:tab/>
      </w:r>
      <w:r w:rsidR="00F56BC1" w:rsidRPr="00FD6D35">
        <w:rPr>
          <w:lang w:eastAsia="en-AU"/>
        </w:rPr>
        <w:t>It is a charge for an essential good or service that the student has the choice of acquiring from a supplier other than the higher education provider and is for:</w:t>
      </w:r>
    </w:p>
    <w:p w:rsidR="00EC0D33" w:rsidRPr="00FD6D35" w:rsidRDefault="006D5459" w:rsidP="006D5459">
      <w:pPr>
        <w:autoSpaceDE w:val="0"/>
        <w:autoSpaceDN w:val="0"/>
        <w:adjustRightInd w:val="0"/>
        <w:spacing w:after="120"/>
        <w:ind w:left="1495" w:hanging="360"/>
        <w:rPr>
          <w:lang w:eastAsia="en-AU"/>
        </w:rPr>
      </w:pPr>
      <w:r w:rsidRPr="00FD6D35">
        <w:rPr>
          <w:lang w:eastAsia="en-AU"/>
        </w:rPr>
        <w:t>(i)</w:t>
      </w:r>
      <w:r w:rsidRPr="00FD6D35">
        <w:rPr>
          <w:lang w:eastAsia="en-AU"/>
        </w:rPr>
        <w:tab/>
      </w:r>
      <w:r w:rsidR="00F56BC1" w:rsidRPr="00FD6D35">
        <w:rPr>
          <w:lang w:eastAsia="en-AU"/>
        </w:rPr>
        <w:t>equipment or items which become the physical property of the student and are not consumed during the course of study; or</w:t>
      </w:r>
    </w:p>
    <w:p w:rsidR="00F56BC1" w:rsidRPr="00FD6D35" w:rsidRDefault="006D5459" w:rsidP="006D5459">
      <w:pPr>
        <w:autoSpaceDE w:val="0"/>
        <w:autoSpaceDN w:val="0"/>
        <w:adjustRightInd w:val="0"/>
        <w:spacing w:after="120"/>
        <w:ind w:left="1495" w:hanging="360"/>
        <w:rPr>
          <w:lang w:eastAsia="en-AU"/>
        </w:rPr>
      </w:pPr>
      <w:r w:rsidRPr="00FD6D35">
        <w:rPr>
          <w:lang w:eastAsia="en-AU"/>
        </w:rPr>
        <w:t>(ii)</w:t>
      </w:r>
      <w:r w:rsidRPr="00FD6D35">
        <w:rPr>
          <w:lang w:eastAsia="en-AU"/>
        </w:rPr>
        <w:tab/>
      </w:r>
      <w:r w:rsidR="00F56BC1" w:rsidRPr="00FD6D35">
        <w:rPr>
          <w:lang w:eastAsia="en-AU"/>
        </w:rPr>
        <w:t>food, transport and accommodation costs associated with the provision of field trips that form part of the course of study.</w:t>
      </w:r>
    </w:p>
    <w:p w:rsidR="00907AAC" w:rsidRPr="00FD6D35" w:rsidRDefault="006D5459" w:rsidP="006D5459">
      <w:pPr>
        <w:autoSpaceDE w:val="0"/>
        <w:autoSpaceDN w:val="0"/>
        <w:adjustRightInd w:val="0"/>
        <w:spacing w:after="120"/>
        <w:ind w:left="1069" w:hanging="360"/>
      </w:pPr>
      <w:r w:rsidRPr="00FD6D35">
        <w:t>(d)</w:t>
      </w:r>
      <w:r w:rsidRPr="00FD6D35">
        <w:tab/>
      </w:r>
      <w:r w:rsidR="00F56BC1" w:rsidRPr="00FD6D35">
        <w:rPr>
          <w:lang w:eastAsia="en-AU"/>
        </w:rPr>
        <w:t>It is a fine or a penalty</w:t>
      </w:r>
      <w:r w:rsidR="007F7842" w:rsidRPr="00FD6D35">
        <w:rPr>
          <w:lang w:eastAsia="en-AU"/>
        </w:rPr>
        <w:t>,</w:t>
      </w:r>
      <w:r w:rsidR="00F56BC1" w:rsidRPr="00FD6D35">
        <w:rPr>
          <w:lang w:eastAsia="en-AU"/>
        </w:rPr>
        <w:t xml:space="preserve"> provided it is imposed </w:t>
      </w:r>
      <w:r w:rsidR="003C1091" w:rsidRPr="00FD6D35">
        <w:rPr>
          <w:lang w:eastAsia="en-AU"/>
        </w:rPr>
        <w:t xml:space="preserve">by the higher education provider </w:t>
      </w:r>
      <w:r w:rsidR="00F56BC1" w:rsidRPr="00FD6D35">
        <w:rPr>
          <w:lang w:eastAsia="en-AU"/>
        </w:rPr>
        <w:t>principally as a disincentive</w:t>
      </w:r>
      <w:r w:rsidR="000538E2" w:rsidRPr="00FD6D35">
        <w:rPr>
          <w:lang w:eastAsia="en-AU"/>
        </w:rPr>
        <w:t xml:space="preserve"> </w:t>
      </w:r>
      <w:r w:rsidR="00F56BC1" w:rsidRPr="00FD6D35">
        <w:rPr>
          <w:lang w:eastAsia="en-AU"/>
        </w:rPr>
        <w:t>and not in order to raise revenu</w:t>
      </w:r>
      <w:r w:rsidR="007D1FAC" w:rsidRPr="00FD6D35">
        <w:rPr>
          <w:lang w:eastAsia="en-AU"/>
        </w:rPr>
        <w:t>e or cover administrative costs</w:t>
      </w:r>
      <w:r w:rsidR="00BE3C79" w:rsidRPr="00FD6D35">
        <w:rPr>
          <w:lang w:eastAsia="en-AU"/>
        </w:rPr>
        <w:t>.</w:t>
      </w:r>
      <w:r w:rsidR="00E45B3B" w:rsidRPr="00FD6D35">
        <w:rPr>
          <w:lang w:eastAsia="en-AU"/>
        </w:rPr>
        <w:t xml:space="preserve">  </w:t>
      </w:r>
    </w:p>
    <w:p w:rsidR="00C104FD" w:rsidRPr="00D5292E" w:rsidRDefault="00C104FD" w:rsidP="00B84E8C">
      <w:pPr>
        <w:pStyle w:val="Heading1"/>
        <w:pageBreakBefore/>
        <w:ind w:left="1701" w:hanging="1701"/>
        <w:rPr>
          <w:u w:val="single"/>
        </w:rPr>
      </w:pPr>
      <w:bookmarkStart w:id="31" w:name="_Toc3370939"/>
      <w:bookmarkStart w:id="32" w:name="_Toc32227158"/>
      <w:r w:rsidRPr="00DB7417">
        <w:rPr>
          <w:u w:val="single"/>
        </w:rPr>
        <w:lastRenderedPageBreak/>
        <w:t>CHAPTER 8</w:t>
      </w:r>
      <w:r w:rsidRPr="00DB7417">
        <w:rPr>
          <w:u w:val="single"/>
        </w:rPr>
        <w:tab/>
        <w:t>QUALITY, ACCOUNTABILITY AND OTHER ADMINISTRATIVE REQUIREMENTS IN RELATION TO CERTAIN HIGHER EDUCATION PROVIDERS</w:t>
      </w:r>
      <w:bookmarkEnd w:id="32"/>
    </w:p>
    <w:p w:rsidR="00C104FD" w:rsidRPr="00EE207E" w:rsidRDefault="00C104FD" w:rsidP="00C104FD">
      <w:pPr>
        <w:pStyle w:val="ActHead5"/>
        <w:rPr>
          <w:rFonts w:ascii="Arial" w:hAnsi="Arial" w:cs="Arial"/>
          <w:sz w:val="22"/>
          <w:szCs w:val="22"/>
        </w:rPr>
      </w:pPr>
      <w:bookmarkStart w:id="33" w:name="_Toc3370940"/>
      <w:bookmarkEnd w:id="31"/>
      <w:r w:rsidRPr="00EE207E">
        <w:rPr>
          <w:rStyle w:val="CharSectno"/>
          <w:rFonts w:ascii="Arial" w:hAnsi="Arial" w:cs="Arial"/>
          <w:sz w:val="22"/>
          <w:szCs w:val="22"/>
        </w:rPr>
        <w:t>8.1</w:t>
      </w:r>
      <w:r w:rsidRPr="00EE207E">
        <w:rPr>
          <w:rFonts w:ascii="Arial" w:hAnsi="Arial" w:cs="Arial"/>
          <w:sz w:val="22"/>
          <w:szCs w:val="22"/>
        </w:rPr>
        <w:t xml:space="preserve">  Purpose</w:t>
      </w:r>
      <w:bookmarkEnd w:id="33"/>
    </w:p>
    <w:p w:rsidR="00C104FD" w:rsidRPr="00EE207E" w:rsidRDefault="00C104FD" w:rsidP="00C104FD">
      <w:pPr>
        <w:pStyle w:val="subsection"/>
        <w:rPr>
          <w:rFonts w:ascii="Arial" w:hAnsi="Arial" w:cs="Arial"/>
          <w:szCs w:val="22"/>
        </w:rPr>
      </w:pPr>
      <w:r w:rsidRPr="00EE207E">
        <w:rPr>
          <w:rFonts w:ascii="Arial" w:hAnsi="Arial" w:cs="Arial"/>
          <w:szCs w:val="22"/>
        </w:rPr>
        <w:tab/>
        <w:t>8.1.1</w:t>
      </w:r>
      <w:r w:rsidRPr="00EE207E">
        <w:rPr>
          <w:rFonts w:ascii="Arial" w:hAnsi="Arial" w:cs="Arial"/>
          <w:szCs w:val="22"/>
        </w:rPr>
        <w:tab/>
        <w:t>The purpose of this chapter is to set out additional quality, accountability and other administrative requirements that apply to higher education providers approved under section 16</w:t>
      </w:r>
      <w:r w:rsidRPr="00EE207E">
        <w:rPr>
          <w:rFonts w:ascii="Arial" w:hAnsi="Arial" w:cs="Arial"/>
          <w:szCs w:val="22"/>
        </w:rPr>
        <w:noBreakHyphen/>
        <w:t xml:space="preserve">25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ActHead5"/>
        <w:rPr>
          <w:rFonts w:ascii="Arial" w:hAnsi="Arial" w:cs="Arial"/>
          <w:sz w:val="22"/>
          <w:szCs w:val="22"/>
        </w:rPr>
      </w:pPr>
      <w:bookmarkStart w:id="34" w:name="_Toc3370941"/>
      <w:r w:rsidRPr="00EE207E">
        <w:rPr>
          <w:rStyle w:val="CharSectno"/>
          <w:rFonts w:ascii="Arial" w:hAnsi="Arial" w:cs="Arial"/>
          <w:sz w:val="22"/>
          <w:szCs w:val="22"/>
        </w:rPr>
        <w:t>8.2</w:t>
      </w:r>
      <w:r w:rsidRPr="00EE207E">
        <w:rPr>
          <w:rFonts w:ascii="Arial" w:hAnsi="Arial" w:cs="Arial"/>
          <w:sz w:val="22"/>
          <w:szCs w:val="22"/>
        </w:rPr>
        <w:t xml:space="preserve">  Financial statements</w:t>
      </w:r>
      <w:bookmarkEnd w:id="34"/>
    </w:p>
    <w:p w:rsidR="00C104FD" w:rsidRPr="00EE207E" w:rsidRDefault="00C104FD" w:rsidP="00C104FD">
      <w:pPr>
        <w:pStyle w:val="subsection"/>
        <w:rPr>
          <w:rFonts w:ascii="Arial" w:hAnsi="Arial" w:cs="Arial"/>
          <w:szCs w:val="22"/>
        </w:rPr>
      </w:pPr>
      <w:r w:rsidRPr="00EE207E">
        <w:rPr>
          <w:rFonts w:ascii="Arial" w:hAnsi="Arial" w:cs="Arial"/>
          <w:szCs w:val="22"/>
        </w:rPr>
        <w:tab/>
        <w:t>8.2.1</w:t>
      </w:r>
      <w:r w:rsidRPr="00EE207E">
        <w:rPr>
          <w:rFonts w:ascii="Arial" w:hAnsi="Arial" w:cs="Arial"/>
          <w:szCs w:val="22"/>
        </w:rPr>
        <w:tab/>
        <w:t>This section is made for the purposes of paragraph 19</w:t>
      </w:r>
      <w:r w:rsidRPr="00EE207E">
        <w:rPr>
          <w:rFonts w:ascii="Arial" w:hAnsi="Arial" w:cs="Arial"/>
          <w:szCs w:val="22"/>
        </w:rPr>
        <w:noBreakHyphen/>
        <w:t xml:space="preserve">10(2)(ab)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subsection"/>
        <w:rPr>
          <w:rFonts w:ascii="Arial" w:hAnsi="Arial" w:cs="Arial"/>
          <w:szCs w:val="22"/>
        </w:rPr>
      </w:pPr>
      <w:r w:rsidRPr="00EE207E">
        <w:rPr>
          <w:rFonts w:ascii="Arial" w:hAnsi="Arial" w:cs="Arial"/>
          <w:szCs w:val="22"/>
        </w:rPr>
        <w:tab/>
        <w:t>8.2.5</w:t>
      </w:r>
      <w:r w:rsidRPr="00EE207E">
        <w:rPr>
          <w:rFonts w:ascii="Arial" w:hAnsi="Arial" w:cs="Arial"/>
          <w:szCs w:val="22"/>
        </w:rPr>
        <w:tab/>
        <w:t>If the higher education provider had total revenue of $10 million or more for the previous annual financial reporting period, the financial statement for the annual financial reporting period must:</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 xml:space="preserve">be a general purpose financial statement that complies with the applicable </w:t>
      </w:r>
      <w:r w:rsidRPr="00EE207E">
        <w:rPr>
          <w:rFonts w:ascii="Arial" w:hAnsi="Arial" w:cs="Arial"/>
          <w:i/>
          <w:szCs w:val="22"/>
        </w:rPr>
        <w:t>accounting standards</w:t>
      </w:r>
      <w:r w:rsidRPr="00EE207E">
        <w:rPr>
          <w:rFonts w:ascii="Arial" w:hAnsi="Arial" w:cs="Arial"/>
          <w:szCs w:val="22"/>
        </w:rPr>
        <w:t>; and</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 xml:space="preserve">be prepared by a qualified accountant in accordance with the applicable </w:t>
      </w:r>
      <w:r w:rsidRPr="00EE207E">
        <w:rPr>
          <w:rFonts w:ascii="Arial" w:hAnsi="Arial" w:cs="Arial"/>
          <w:i/>
          <w:szCs w:val="22"/>
        </w:rPr>
        <w:t>accounting standards</w:t>
      </w:r>
      <w:r w:rsidRPr="00EE207E">
        <w:rPr>
          <w:rFonts w:ascii="Arial" w:hAnsi="Arial" w:cs="Arial"/>
          <w:szCs w:val="22"/>
        </w:rPr>
        <w:t>; and</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include a declaration by the qualified accountant that the provider has, as at the date of the declaration, complied with all statutory obligations relating to the payment of:</w:t>
      </w:r>
    </w:p>
    <w:p w:rsidR="00C104FD" w:rsidRPr="00EE207E" w:rsidRDefault="00C104FD" w:rsidP="00C104FD">
      <w:pPr>
        <w:pStyle w:val="paragraphsub"/>
        <w:rPr>
          <w:rFonts w:ascii="Arial" w:hAnsi="Arial" w:cs="Arial"/>
          <w:szCs w:val="22"/>
        </w:rPr>
      </w:pPr>
      <w:r w:rsidRPr="00EE207E">
        <w:rPr>
          <w:rFonts w:ascii="Arial" w:hAnsi="Arial" w:cs="Arial"/>
          <w:szCs w:val="22"/>
        </w:rPr>
        <w:tab/>
        <w:t>(i)</w:t>
      </w:r>
      <w:r w:rsidRPr="00EE207E">
        <w:rPr>
          <w:rFonts w:ascii="Arial" w:hAnsi="Arial" w:cs="Arial"/>
          <w:szCs w:val="22"/>
        </w:rPr>
        <w:tab/>
        <w:t>Commonwealth, State and Territory taxes; and</w:t>
      </w:r>
    </w:p>
    <w:p w:rsidR="00C104FD" w:rsidRPr="00EE207E" w:rsidRDefault="00C104FD" w:rsidP="00C104FD">
      <w:pPr>
        <w:pStyle w:val="paragraphsub"/>
        <w:rPr>
          <w:rFonts w:ascii="Arial" w:hAnsi="Arial" w:cs="Arial"/>
          <w:szCs w:val="22"/>
        </w:rPr>
      </w:pPr>
      <w:r w:rsidRPr="00EE207E">
        <w:rPr>
          <w:rFonts w:ascii="Arial" w:hAnsi="Arial" w:cs="Arial"/>
          <w:szCs w:val="22"/>
        </w:rPr>
        <w:tab/>
        <w:t>(ii)</w:t>
      </w:r>
      <w:r w:rsidRPr="00EE207E">
        <w:rPr>
          <w:rFonts w:ascii="Arial" w:hAnsi="Arial" w:cs="Arial"/>
          <w:szCs w:val="22"/>
        </w:rPr>
        <w:tab/>
        <w:t>the superannuation guarantee charge in relation to employees of the provider.</w:t>
      </w:r>
    </w:p>
    <w:p w:rsidR="00C104FD" w:rsidRPr="00EE207E" w:rsidRDefault="00C104FD" w:rsidP="00C104FD">
      <w:pPr>
        <w:pStyle w:val="subsection"/>
        <w:rPr>
          <w:rFonts w:ascii="Arial" w:hAnsi="Arial" w:cs="Arial"/>
          <w:szCs w:val="22"/>
        </w:rPr>
      </w:pPr>
      <w:r w:rsidRPr="00EE207E">
        <w:rPr>
          <w:rFonts w:ascii="Arial" w:hAnsi="Arial" w:cs="Arial"/>
          <w:szCs w:val="22"/>
        </w:rPr>
        <w:tab/>
        <w:t>8.2.10</w:t>
      </w:r>
      <w:r w:rsidRPr="00EE207E">
        <w:rPr>
          <w:rFonts w:ascii="Arial" w:hAnsi="Arial" w:cs="Arial"/>
          <w:szCs w:val="22"/>
        </w:rPr>
        <w:tab/>
        <w:t xml:space="preserve">If the higher education provider had total revenue of less than $10 million for the previous annual financial reporting period, the financial statement for the annual financial reporting period must be a special purpose financial statement that complies with the following </w:t>
      </w:r>
      <w:r w:rsidRPr="00EE207E">
        <w:rPr>
          <w:rFonts w:ascii="Arial" w:hAnsi="Arial" w:cs="Arial"/>
          <w:i/>
          <w:szCs w:val="22"/>
        </w:rPr>
        <w:t>accounting standards</w:t>
      </w:r>
      <w:r w:rsidRPr="00EE207E">
        <w:rPr>
          <w:rFonts w:ascii="Arial" w:hAnsi="Arial" w:cs="Arial"/>
          <w:szCs w:val="22"/>
        </w:rPr>
        <w:t>:</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AASB 101, Presentation of Financial Statements;</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AASB 107, Statement of Cash Flows;</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AASB 108, Accounting Policies, Changes in Accounting Estimates and Errors;</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AASB 1048, Interpretation of Standards;</w:t>
      </w:r>
    </w:p>
    <w:p w:rsidR="00C104FD" w:rsidRPr="00EE207E" w:rsidRDefault="00C104FD" w:rsidP="00C104FD">
      <w:pPr>
        <w:pStyle w:val="paragraph"/>
        <w:rPr>
          <w:rFonts w:ascii="Arial" w:hAnsi="Arial" w:cs="Arial"/>
          <w:i/>
          <w:szCs w:val="22"/>
        </w:rPr>
      </w:pPr>
      <w:r w:rsidRPr="00EE207E">
        <w:rPr>
          <w:rFonts w:ascii="Arial" w:hAnsi="Arial" w:cs="Arial"/>
          <w:szCs w:val="22"/>
        </w:rPr>
        <w:tab/>
        <w:t>(e)</w:t>
      </w:r>
      <w:r w:rsidRPr="00EE207E">
        <w:rPr>
          <w:rFonts w:ascii="Arial" w:hAnsi="Arial" w:cs="Arial"/>
          <w:szCs w:val="22"/>
        </w:rPr>
        <w:tab/>
        <w:t>AASB 1054, Australian Additional Disclosures.</w:t>
      </w:r>
    </w:p>
    <w:p w:rsidR="00C104FD" w:rsidRPr="00EE207E" w:rsidRDefault="00C104FD" w:rsidP="00C104FD">
      <w:pPr>
        <w:pStyle w:val="subsection"/>
        <w:rPr>
          <w:rFonts w:ascii="Arial" w:hAnsi="Arial" w:cs="Arial"/>
          <w:szCs w:val="22"/>
        </w:rPr>
      </w:pPr>
      <w:r w:rsidRPr="00EE207E">
        <w:rPr>
          <w:rFonts w:ascii="Arial" w:hAnsi="Arial" w:cs="Arial"/>
          <w:szCs w:val="22"/>
        </w:rPr>
        <w:tab/>
        <w:t>8.2.15</w:t>
      </w:r>
      <w:r w:rsidRPr="00EE207E">
        <w:rPr>
          <w:rFonts w:ascii="Arial" w:hAnsi="Arial" w:cs="Arial"/>
          <w:szCs w:val="22"/>
        </w:rPr>
        <w:tab/>
        <w:t>If the higher education provider is part of a consolidated entity, the financial statement for the annual financial reporting period must be accompanied by:</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 xml:space="preserve">a copy of the most recent consolidated financial statements for the entity prepared in accordance with applicable </w:t>
      </w:r>
      <w:r w:rsidRPr="00EE207E">
        <w:rPr>
          <w:rFonts w:ascii="Arial" w:hAnsi="Arial" w:cs="Arial"/>
          <w:i/>
          <w:szCs w:val="22"/>
        </w:rPr>
        <w:t>accounting standards</w:t>
      </w:r>
      <w:r w:rsidRPr="00EE207E">
        <w:rPr>
          <w:rFonts w:ascii="Arial" w:hAnsi="Arial" w:cs="Arial"/>
          <w:szCs w:val="22"/>
        </w:rPr>
        <w:t>; and</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such additional information related to the consolidated entity as is determined, in writing, by the Minister.</w:t>
      </w:r>
    </w:p>
    <w:p w:rsidR="00C104FD" w:rsidRPr="00EE207E" w:rsidRDefault="00C104FD" w:rsidP="00C104FD">
      <w:pPr>
        <w:pStyle w:val="subsection"/>
        <w:keepNext/>
        <w:keepLines/>
        <w:rPr>
          <w:rFonts w:ascii="Arial" w:hAnsi="Arial" w:cs="Arial"/>
          <w:szCs w:val="22"/>
        </w:rPr>
      </w:pPr>
      <w:r w:rsidRPr="00EE207E">
        <w:rPr>
          <w:rFonts w:ascii="Arial" w:hAnsi="Arial" w:cs="Arial"/>
          <w:szCs w:val="22"/>
        </w:rPr>
        <w:tab/>
        <w:t>8.2.20</w:t>
      </w:r>
      <w:r w:rsidRPr="00EE207E">
        <w:rPr>
          <w:rFonts w:ascii="Arial" w:hAnsi="Arial" w:cs="Arial"/>
          <w:szCs w:val="22"/>
        </w:rPr>
        <w:tab/>
        <w:t>In this section:</w:t>
      </w:r>
    </w:p>
    <w:p w:rsidR="00C104FD" w:rsidRPr="00EE207E" w:rsidRDefault="00C104FD" w:rsidP="00C104FD">
      <w:pPr>
        <w:pStyle w:val="Definition"/>
        <w:keepNext/>
        <w:keepLines/>
        <w:rPr>
          <w:rFonts w:ascii="Arial" w:hAnsi="Arial" w:cs="Arial"/>
          <w:szCs w:val="22"/>
        </w:rPr>
      </w:pPr>
      <w:r w:rsidRPr="00EE207E">
        <w:rPr>
          <w:rFonts w:ascii="Arial" w:hAnsi="Arial" w:cs="Arial"/>
          <w:b/>
          <w:i/>
          <w:szCs w:val="22"/>
        </w:rPr>
        <w:t>consolidated entity</w:t>
      </w:r>
      <w:r w:rsidRPr="00EE207E">
        <w:rPr>
          <w:rFonts w:ascii="Arial" w:hAnsi="Arial" w:cs="Arial"/>
          <w:szCs w:val="22"/>
        </w:rPr>
        <w:t xml:space="preserve"> has the same meaning as in the </w:t>
      </w:r>
      <w:r w:rsidRPr="00EE207E">
        <w:rPr>
          <w:rFonts w:ascii="Arial" w:hAnsi="Arial" w:cs="Arial"/>
          <w:i/>
          <w:szCs w:val="22"/>
        </w:rPr>
        <w:t>Corporations Act 2001</w:t>
      </w:r>
      <w:r w:rsidRPr="00EE207E">
        <w:rPr>
          <w:rFonts w:ascii="Arial" w:hAnsi="Arial" w:cs="Arial"/>
          <w:szCs w:val="22"/>
        </w:rPr>
        <w:t>.</w:t>
      </w:r>
    </w:p>
    <w:p w:rsidR="00C104FD" w:rsidRPr="00EE207E" w:rsidRDefault="00C104FD" w:rsidP="00C104FD">
      <w:pPr>
        <w:pStyle w:val="Definition"/>
        <w:keepNext/>
        <w:keepLines/>
        <w:rPr>
          <w:rFonts w:ascii="Arial" w:hAnsi="Arial" w:cs="Arial"/>
          <w:szCs w:val="22"/>
        </w:rPr>
      </w:pPr>
      <w:r w:rsidRPr="00EE207E">
        <w:rPr>
          <w:rFonts w:ascii="Arial" w:hAnsi="Arial" w:cs="Arial"/>
          <w:b/>
          <w:bCs/>
          <w:i/>
          <w:iCs/>
          <w:szCs w:val="22"/>
        </w:rPr>
        <w:t>general purpose financial statement</w:t>
      </w:r>
      <w:r w:rsidRPr="00EE207E">
        <w:rPr>
          <w:rFonts w:ascii="Arial" w:hAnsi="Arial" w:cs="Arial"/>
          <w:szCs w:val="22"/>
        </w:rPr>
        <w:t xml:space="preserve"> has the meaning given by the </w:t>
      </w:r>
      <w:r w:rsidRPr="00EE207E">
        <w:rPr>
          <w:rFonts w:ascii="Arial" w:hAnsi="Arial" w:cs="Arial"/>
          <w:i/>
          <w:szCs w:val="22"/>
        </w:rPr>
        <w:t>accounting standards</w:t>
      </w:r>
      <w:r w:rsidRPr="00EE207E">
        <w:rPr>
          <w:rFonts w:ascii="Arial" w:hAnsi="Arial" w:cs="Arial"/>
          <w:szCs w:val="22"/>
        </w:rPr>
        <w:t>.</w:t>
      </w:r>
    </w:p>
    <w:p w:rsidR="00C104FD" w:rsidRPr="00EE207E" w:rsidRDefault="00C104FD" w:rsidP="00C104FD">
      <w:pPr>
        <w:pStyle w:val="Definition"/>
        <w:keepNext/>
        <w:keepLines/>
        <w:rPr>
          <w:rFonts w:ascii="Arial" w:hAnsi="Arial" w:cs="Arial"/>
          <w:szCs w:val="22"/>
        </w:rPr>
      </w:pPr>
      <w:r w:rsidRPr="00EE207E">
        <w:rPr>
          <w:rFonts w:ascii="Arial" w:hAnsi="Arial" w:cs="Arial"/>
          <w:b/>
          <w:i/>
          <w:szCs w:val="22"/>
        </w:rPr>
        <w:t>qualified accountant</w:t>
      </w:r>
      <w:r w:rsidRPr="00EE207E">
        <w:rPr>
          <w:rFonts w:ascii="Arial" w:hAnsi="Arial" w:cs="Arial"/>
          <w:szCs w:val="22"/>
        </w:rPr>
        <w:t xml:space="preserve"> has the same meaning as in the </w:t>
      </w:r>
      <w:r w:rsidRPr="00EE207E">
        <w:rPr>
          <w:rFonts w:ascii="Arial" w:hAnsi="Arial" w:cs="Arial"/>
          <w:i/>
          <w:szCs w:val="22"/>
        </w:rPr>
        <w:t>Corporations Act 2001</w:t>
      </w:r>
      <w:r w:rsidRPr="00EE207E">
        <w:rPr>
          <w:rFonts w:ascii="Arial" w:hAnsi="Arial" w:cs="Arial"/>
          <w:szCs w:val="22"/>
        </w:rPr>
        <w:t>.</w:t>
      </w:r>
    </w:p>
    <w:p w:rsidR="00C104FD" w:rsidRPr="00EE207E" w:rsidRDefault="00C104FD" w:rsidP="00C104FD">
      <w:pPr>
        <w:pStyle w:val="Definition"/>
        <w:rPr>
          <w:rFonts w:ascii="Arial" w:hAnsi="Arial" w:cs="Arial"/>
          <w:szCs w:val="22"/>
        </w:rPr>
      </w:pPr>
      <w:r w:rsidRPr="00EE207E">
        <w:rPr>
          <w:rFonts w:ascii="Arial" w:hAnsi="Arial" w:cs="Arial"/>
          <w:b/>
          <w:bCs/>
          <w:i/>
          <w:iCs/>
          <w:szCs w:val="22"/>
        </w:rPr>
        <w:t>special purpose financial statement</w:t>
      </w:r>
      <w:r w:rsidRPr="00EE207E">
        <w:rPr>
          <w:rFonts w:ascii="Arial" w:hAnsi="Arial" w:cs="Arial"/>
          <w:szCs w:val="22"/>
        </w:rPr>
        <w:t xml:space="preserve"> means a financial statement that is not a general purpose financial statement.</w:t>
      </w:r>
    </w:p>
    <w:p w:rsidR="00C104FD" w:rsidRPr="00EE207E" w:rsidRDefault="00C104FD" w:rsidP="00C104FD">
      <w:pPr>
        <w:pStyle w:val="ActHead5"/>
        <w:rPr>
          <w:rFonts w:ascii="Arial" w:hAnsi="Arial" w:cs="Arial"/>
          <w:sz w:val="22"/>
          <w:szCs w:val="22"/>
        </w:rPr>
      </w:pPr>
      <w:bookmarkStart w:id="35" w:name="_Toc3370942"/>
      <w:r w:rsidRPr="00EE207E">
        <w:rPr>
          <w:rStyle w:val="CharSectno"/>
          <w:rFonts w:ascii="Arial" w:hAnsi="Arial" w:cs="Arial"/>
          <w:sz w:val="22"/>
          <w:szCs w:val="22"/>
        </w:rPr>
        <w:lastRenderedPageBreak/>
        <w:t>8.3</w:t>
      </w:r>
      <w:r w:rsidRPr="00EE207E">
        <w:rPr>
          <w:rFonts w:ascii="Arial" w:hAnsi="Arial" w:cs="Arial"/>
          <w:sz w:val="22"/>
          <w:szCs w:val="22"/>
        </w:rPr>
        <w:t xml:space="preserve">  Financial viability</w:t>
      </w:r>
      <w:bookmarkEnd w:id="35"/>
    </w:p>
    <w:p w:rsidR="00C104FD" w:rsidRPr="00EE207E" w:rsidRDefault="00C104FD" w:rsidP="00C104FD">
      <w:pPr>
        <w:pStyle w:val="subsection"/>
        <w:rPr>
          <w:rFonts w:ascii="Arial" w:hAnsi="Arial" w:cs="Arial"/>
          <w:szCs w:val="22"/>
        </w:rPr>
      </w:pPr>
      <w:r w:rsidRPr="00EE207E">
        <w:rPr>
          <w:rFonts w:ascii="Arial" w:hAnsi="Arial" w:cs="Arial"/>
          <w:szCs w:val="22"/>
        </w:rPr>
        <w:tab/>
        <w:t>8.3.1</w:t>
      </w:r>
      <w:r w:rsidRPr="00EE207E">
        <w:rPr>
          <w:rFonts w:ascii="Arial" w:hAnsi="Arial" w:cs="Arial"/>
          <w:szCs w:val="22"/>
        </w:rPr>
        <w:tab/>
        <w:t>For the purposes of paragraph 19</w:t>
      </w:r>
      <w:r w:rsidRPr="00EE207E">
        <w:rPr>
          <w:rFonts w:ascii="Arial" w:hAnsi="Arial" w:cs="Arial"/>
          <w:szCs w:val="22"/>
        </w:rPr>
        <w:noBreakHyphen/>
        <w:t xml:space="preserve">12(b) of the </w:t>
      </w:r>
      <w:r w:rsidRPr="00EE207E">
        <w:rPr>
          <w:rFonts w:ascii="Arial" w:hAnsi="Arial" w:cs="Arial"/>
          <w:i/>
          <w:szCs w:val="22"/>
        </w:rPr>
        <w:t>Act</w:t>
      </w:r>
      <w:r w:rsidRPr="00EE207E">
        <w:rPr>
          <w:rFonts w:ascii="Arial" w:hAnsi="Arial" w:cs="Arial"/>
          <w:szCs w:val="22"/>
        </w:rPr>
        <w:t>, the Minister must have regard to the following matters when determining whether a higher education provider is financially viable, and likely to remain so:</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the provider generates sufficient income to meet operating payments, debt commitments and, where applicable, to allow growth while delivering quality higher education;</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the provider’s total assets exceed the provider’s total liabilities (the provider has a positive equity position), and there is no evidence to suggest that this might change;</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if the provider is not a charitable or not</w:t>
      </w:r>
      <w:r w:rsidRPr="00EE207E">
        <w:rPr>
          <w:rFonts w:ascii="Arial" w:hAnsi="Arial" w:cs="Arial"/>
          <w:szCs w:val="22"/>
        </w:rPr>
        <w:noBreakHyphen/>
        <w:t>for</w:t>
      </w:r>
      <w:r w:rsidRPr="00EE207E">
        <w:rPr>
          <w:rFonts w:ascii="Arial" w:hAnsi="Arial" w:cs="Arial"/>
          <w:szCs w:val="22"/>
        </w:rPr>
        <w:noBreakHyphen/>
        <w:t>profit organisation registered with the Australian Charities and Not</w:t>
      </w:r>
      <w:r w:rsidRPr="00EE207E">
        <w:rPr>
          <w:rFonts w:ascii="Arial" w:hAnsi="Arial" w:cs="Arial"/>
          <w:szCs w:val="22"/>
        </w:rPr>
        <w:noBreakHyphen/>
        <w:t>for</w:t>
      </w:r>
      <w:r w:rsidRPr="00EE207E">
        <w:rPr>
          <w:rFonts w:ascii="Arial" w:hAnsi="Arial" w:cs="Arial"/>
          <w:szCs w:val="22"/>
        </w:rPr>
        <w:noBreakHyphen/>
        <w:t>profits Commission, and has been operating for 3 years or more—the provider has operated at a profit for at least 2 of the 3 most recent financial years for the provider;</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if the provider has at least 100 enrolments in courses of study that lead to higher education awards—at least 20% of the provider’s revenue for the previous financial year came from sources other than payments that gave rise to FEE</w:t>
      </w:r>
      <w:r w:rsidRPr="00EE207E">
        <w:rPr>
          <w:rFonts w:ascii="Arial" w:hAnsi="Arial" w:cs="Arial"/>
          <w:szCs w:val="22"/>
        </w:rPr>
        <w:noBreakHyphen/>
        <w:t>HELP debts;</w:t>
      </w:r>
    </w:p>
    <w:p w:rsidR="00C104FD" w:rsidRPr="00EE207E" w:rsidRDefault="00C104FD" w:rsidP="00C104FD">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t xml:space="preserve">the provider has a net positive cash position from operating activities (determined in accordance with the </w:t>
      </w:r>
      <w:r w:rsidRPr="00EE207E">
        <w:rPr>
          <w:rFonts w:ascii="Arial" w:hAnsi="Arial" w:cs="Arial"/>
          <w:i/>
          <w:szCs w:val="22"/>
        </w:rPr>
        <w:t>accounting standards</w:t>
      </w:r>
      <w:r w:rsidRPr="00EE207E">
        <w:rPr>
          <w:rFonts w:ascii="Arial" w:hAnsi="Arial" w:cs="Arial"/>
          <w:szCs w:val="22"/>
        </w:rPr>
        <w:t>);</w:t>
      </w:r>
    </w:p>
    <w:p w:rsidR="00C104FD" w:rsidRPr="00EE207E" w:rsidRDefault="00C104FD" w:rsidP="00C104FD">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t>the provider is not providing guarantees or loans that could have a material effect on the provider’s finances;</w:t>
      </w:r>
    </w:p>
    <w:p w:rsidR="00C104FD" w:rsidRPr="00EE207E" w:rsidRDefault="00C104FD" w:rsidP="00C104FD">
      <w:pPr>
        <w:pStyle w:val="paragraph"/>
        <w:rPr>
          <w:rFonts w:ascii="Arial" w:hAnsi="Arial" w:cs="Arial"/>
          <w:szCs w:val="22"/>
        </w:rPr>
      </w:pPr>
      <w:r w:rsidRPr="00EE207E">
        <w:rPr>
          <w:rFonts w:ascii="Arial" w:hAnsi="Arial" w:cs="Arial"/>
          <w:szCs w:val="22"/>
        </w:rPr>
        <w:tab/>
        <w:t>(g)</w:t>
      </w:r>
      <w:r w:rsidRPr="00EE207E">
        <w:rPr>
          <w:rFonts w:ascii="Arial" w:hAnsi="Arial" w:cs="Arial"/>
          <w:szCs w:val="22"/>
        </w:rPr>
        <w:tab/>
        <w:t>the provider is not providing its assets as security other than under a commercial loan arrangement with an authorised deposit</w:t>
      </w:r>
      <w:r w:rsidRPr="00EE207E">
        <w:rPr>
          <w:rFonts w:ascii="Arial" w:hAnsi="Arial" w:cs="Arial"/>
          <w:szCs w:val="22"/>
        </w:rPr>
        <w:noBreakHyphen/>
        <w:t xml:space="preserve">taking institution (within the meaning of the </w:t>
      </w:r>
      <w:r w:rsidRPr="00EE207E">
        <w:rPr>
          <w:rFonts w:ascii="Arial" w:hAnsi="Arial" w:cs="Arial"/>
          <w:i/>
          <w:szCs w:val="22"/>
        </w:rPr>
        <w:t>Banking Act 1959</w:t>
      </w:r>
      <w:r w:rsidRPr="00EE207E">
        <w:rPr>
          <w:rFonts w:ascii="Arial" w:hAnsi="Arial" w:cs="Arial"/>
          <w:szCs w:val="22"/>
        </w:rPr>
        <w:t>).</w:t>
      </w:r>
    </w:p>
    <w:p w:rsidR="00C104FD" w:rsidRPr="00EE207E" w:rsidRDefault="00C104FD" w:rsidP="00C104FD">
      <w:pPr>
        <w:pStyle w:val="ActHead5"/>
        <w:rPr>
          <w:rFonts w:ascii="Arial" w:hAnsi="Arial" w:cs="Arial"/>
          <w:sz w:val="22"/>
          <w:szCs w:val="22"/>
        </w:rPr>
      </w:pPr>
      <w:bookmarkStart w:id="36" w:name="_Toc3370943"/>
      <w:r w:rsidRPr="00EE207E">
        <w:rPr>
          <w:rStyle w:val="CharSectno"/>
          <w:rFonts w:ascii="Arial" w:hAnsi="Arial" w:cs="Arial"/>
          <w:sz w:val="22"/>
          <w:szCs w:val="22"/>
        </w:rPr>
        <w:t>8.4</w:t>
      </w:r>
      <w:r w:rsidRPr="00EE207E">
        <w:rPr>
          <w:rFonts w:ascii="Arial" w:hAnsi="Arial" w:cs="Arial"/>
          <w:sz w:val="22"/>
          <w:szCs w:val="22"/>
        </w:rPr>
        <w:t xml:space="preserve">  Offering certain inducements</w:t>
      </w:r>
      <w:bookmarkEnd w:id="36"/>
    </w:p>
    <w:p w:rsidR="00C104FD" w:rsidRPr="00EE207E" w:rsidRDefault="00C104FD" w:rsidP="00C104FD">
      <w:pPr>
        <w:pStyle w:val="subsection"/>
        <w:rPr>
          <w:rFonts w:ascii="Arial" w:hAnsi="Arial" w:cs="Arial"/>
          <w:szCs w:val="22"/>
        </w:rPr>
      </w:pPr>
      <w:r w:rsidRPr="00EE207E">
        <w:rPr>
          <w:rFonts w:ascii="Arial" w:hAnsi="Arial" w:cs="Arial"/>
          <w:szCs w:val="22"/>
        </w:rPr>
        <w:tab/>
        <w:t>8.4.1</w:t>
      </w:r>
      <w:r w:rsidRPr="00EE207E">
        <w:rPr>
          <w:rFonts w:ascii="Arial" w:hAnsi="Arial" w:cs="Arial"/>
          <w:szCs w:val="22"/>
        </w:rPr>
        <w:tab/>
        <w:t>The following benefits are specified for the purposes of subsection 19</w:t>
      </w:r>
      <w:r w:rsidRPr="00EE207E">
        <w:rPr>
          <w:rFonts w:ascii="Arial" w:hAnsi="Arial" w:cs="Arial"/>
          <w:szCs w:val="22"/>
        </w:rPr>
        <w:noBreakHyphen/>
        <w:t xml:space="preserve">36A(2)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the content and quality of the unit of study;</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the amount of the tuition fees for the unit of study;</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the availability of FEE</w:t>
      </w:r>
      <w:r w:rsidRPr="00EE207E">
        <w:rPr>
          <w:rFonts w:ascii="Arial" w:hAnsi="Arial" w:cs="Arial"/>
          <w:szCs w:val="22"/>
        </w:rPr>
        <w:noBreakHyphen/>
        <w:t>HELP assistance for the unit of study;</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marketing merchandise up to the total value of $30 per person;</w:t>
      </w:r>
    </w:p>
    <w:p w:rsidR="00C104FD" w:rsidRPr="00EE207E" w:rsidRDefault="00C104FD" w:rsidP="00C104FD">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t>the offering of money in the form of scholarships or bursaries.</w:t>
      </w:r>
    </w:p>
    <w:p w:rsidR="00C104FD" w:rsidRPr="00EE207E" w:rsidRDefault="00C104FD" w:rsidP="00C104FD">
      <w:pPr>
        <w:pStyle w:val="ActHead5"/>
        <w:rPr>
          <w:rFonts w:ascii="Arial" w:hAnsi="Arial" w:cs="Arial"/>
          <w:sz w:val="22"/>
          <w:szCs w:val="22"/>
        </w:rPr>
      </w:pPr>
      <w:bookmarkStart w:id="37" w:name="_Toc3370944"/>
      <w:r w:rsidRPr="00EE207E">
        <w:rPr>
          <w:rStyle w:val="CharSectno"/>
          <w:rFonts w:ascii="Arial" w:hAnsi="Arial" w:cs="Arial"/>
          <w:sz w:val="22"/>
          <w:szCs w:val="22"/>
        </w:rPr>
        <w:t>8.5</w:t>
      </w:r>
      <w:r w:rsidRPr="00EE207E">
        <w:rPr>
          <w:rFonts w:ascii="Arial" w:hAnsi="Arial" w:cs="Arial"/>
          <w:sz w:val="22"/>
          <w:szCs w:val="22"/>
        </w:rPr>
        <w:t xml:space="preserve">  Use of third party contact lists</w:t>
      </w:r>
      <w:bookmarkEnd w:id="37"/>
    </w:p>
    <w:p w:rsidR="00C104FD" w:rsidRPr="00EE207E" w:rsidRDefault="00C104FD" w:rsidP="00C104FD">
      <w:pPr>
        <w:pStyle w:val="subsection"/>
        <w:rPr>
          <w:rFonts w:ascii="Arial" w:hAnsi="Arial" w:cs="Arial"/>
          <w:szCs w:val="22"/>
        </w:rPr>
      </w:pPr>
      <w:r w:rsidRPr="00EE207E">
        <w:rPr>
          <w:rFonts w:ascii="Arial" w:hAnsi="Arial" w:cs="Arial"/>
          <w:szCs w:val="22"/>
        </w:rPr>
        <w:tab/>
        <w:t>8.5.1</w:t>
      </w:r>
      <w:r w:rsidRPr="00EE207E">
        <w:rPr>
          <w:rFonts w:ascii="Arial" w:hAnsi="Arial" w:cs="Arial"/>
          <w:szCs w:val="22"/>
        </w:rPr>
        <w:tab/>
        <w:t>This section is made for the purposes of subsection 19</w:t>
      </w:r>
      <w:r w:rsidRPr="00EE207E">
        <w:rPr>
          <w:rFonts w:ascii="Arial" w:hAnsi="Arial" w:cs="Arial"/>
          <w:szCs w:val="22"/>
        </w:rPr>
        <w:noBreakHyphen/>
        <w:t xml:space="preserve">36C(3)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subsection"/>
        <w:rPr>
          <w:rFonts w:ascii="Arial" w:hAnsi="Arial" w:cs="Arial"/>
          <w:szCs w:val="22"/>
        </w:rPr>
      </w:pPr>
      <w:r w:rsidRPr="00EE207E">
        <w:rPr>
          <w:rFonts w:ascii="Arial" w:hAnsi="Arial" w:cs="Arial"/>
          <w:szCs w:val="22"/>
        </w:rPr>
        <w:tab/>
        <w:t>8.5.5</w:t>
      </w:r>
      <w:r w:rsidRPr="00EE207E">
        <w:rPr>
          <w:rFonts w:ascii="Arial" w:hAnsi="Arial" w:cs="Arial"/>
          <w:szCs w:val="22"/>
        </w:rPr>
        <w:tab/>
        <w:t>Subsection 19</w:t>
      </w:r>
      <w:r w:rsidRPr="00EE207E">
        <w:rPr>
          <w:rFonts w:ascii="Arial" w:hAnsi="Arial" w:cs="Arial"/>
          <w:szCs w:val="22"/>
        </w:rPr>
        <w:noBreakHyphen/>
        <w:t xml:space="preserve">36C(2) of the </w:t>
      </w:r>
      <w:r w:rsidRPr="00EE207E">
        <w:rPr>
          <w:rFonts w:ascii="Arial" w:hAnsi="Arial" w:cs="Arial"/>
          <w:i/>
          <w:szCs w:val="22"/>
        </w:rPr>
        <w:t>Act</w:t>
      </w:r>
      <w:r w:rsidRPr="00EE207E">
        <w:rPr>
          <w:rFonts w:ascii="Arial" w:hAnsi="Arial" w:cs="Arial"/>
          <w:szCs w:val="22"/>
        </w:rPr>
        <w:t xml:space="preserve"> does not apply if the student has given express consent to being contacted by the higher education provider.</w:t>
      </w:r>
    </w:p>
    <w:p w:rsidR="00C104FD" w:rsidRPr="00EE207E" w:rsidRDefault="00C104FD" w:rsidP="00C104FD">
      <w:pPr>
        <w:pStyle w:val="subsection"/>
        <w:rPr>
          <w:rFonts w:ascii="Arial" w:hAnsi="Arial" w:cs="Arial"/>
          <w:szCs w:val="22"/>
        </w:rPr>
      </w:pPr>
      <w:r w:rsidRPr="00EE207E">
        <w:rPr>
          <w:rFonts w:ascii="Arial" w:hAnsi="Arial" w:cs="Arial"/>
          <w:szCs w:val="22"/>
        </w:rPr>
        <w:tab/>
        <w:t>8.5.10</w:t>
      </w:r>
      <w:r w:rsidRPr="00EE207E">
        <w:rPr>
          <w:rFonts w:ascii="Arial" w:hAnsi="Arial" w:cs="Arial"/>
          <w:szCs w:val="22"/>
        </w:rPr>
        <w:tab/>
      </w:r>
      <w:r>
        <w:rPr>
          <w:rFonts w:ascii="Arial" w:hAnsi="Arial" w:cs="Arial"/>
          <w:szCs w:val="22"/>
        </w:rPr>
        <w:t>However, subject to section 8.5.15, a</w:t>
      </w:r>
      <w:r w:rsidRPr="00EE207E">
        <w:rPr>
          <w:rFonts w:ascii="Arial" w:hAnsi="Arial" w:cs="Arial"/>
          <w:szCs w:val="22"/>
        </w:rPr>
        <w:t xml:space="preserve"> student </w:t>
      </w:r>
      <w:r>
        <w:rPr>
          <w:rFonts w:ascii="Arial" w:hAnsi="Arial" w:cs="Arial"/>
          <w:szCs w:val="22"/>
        </w:rPr>
        <w:t>cannot be</w:t>
      </w:r>
      <w:r w:rsidRPr="00EE207E">
        <w:rPr>
          <w:rFonts w:ascii="Arial" w:hAnsi="Arial" w:cs="Arial"/>
          <w:szCs w:val="22"/>
        </w:rPr>
        <w:t xml:space="preserve"> taken to </w:t>
      </w:r>
      <w:r>
        <w:rPr>
          <w:rFonts w:ascii="Arial" w:hAnsi="Arial" w:cs="Arial"/>
          <w:szCs w:val="22"/>
        </w:rPr>
        <w:t>have provided express consent unless</w:t>
      </w:r>
      <w:r w:rsidRPr="00EE207E">
        <w:rPr>
          <w:rFonts w:ascii="Arial" w:hAnsi="Arial" w:cs="Arial"/>
          <w:szCs w:val="22"/>
        </w:rPr>
        <w:t>:</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information in the request for consent was presented clearly, and set out the specific purpose for which the student’s personal information would be used if consent were given; and</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the request was prominent; and</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the student was able to give consent in a separate optional tick box from other consents; and</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the request was not a required field to be answered in order for a person to submit other information; and</w:t>
      </w:r>
    </w:p>
    <w:p w:rsidR="00C104FD" w:rsidRPr="00EE207E" w:rsidRDefault="00C104FD" w:rsidP="00C104FD">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t>the request did not include a default tick for consent; and</w:t>
      </w:r>
    </w:p>
    <w:p w:rsidR="00C104FD" w:rsidRPr="00EE207E" w:rsidRDefault="00C104FD" w:rsidP="00C104FD">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t>the request named the provider; and</w:t>
      </w:r>
    </w:p>
    <w:p w:rsidR="00C104FD" w:rsidRPr="00EE207E" w:rsidRDefault="00C104FD" w:rsidP="00C104FD">
      <w:pPr>
        <w:pStyle w:val="paragraph"/>
        <w:rPr>
          <w:rFonts w:ascii="Arial" w:hAnsi="Arial" w:cs="Arial"/>
          <w:szCs w:val="22"/>
        </w:rPr>
      </w:pPr>
      <w:r w:rsidRPr="00EE207E">
        <w:rPr>
          <w:rFonts w:ascii="Arial" w:hAnsi="Arial" w:cs="Arial"/>
          <w:szCs w:val="22"/>
        </w:rPr>
        <w:lastRenderedPageBreak/>
        <w:tab/>
        <w:t>(g)</w:t>
      </w:r>
      <w:r w:rsidRPr="00EE207E">
        <w:rPr>
          <w:rFonts w:ascii="Arial" w:hAnsi="Arial" w:cs="Arial"/>
          <w:szCs w:val="22"/>
        </w:rPr>
        <w:tab/>
        <w:t>the request detailed any referral fee or other fee that would be paid to the person who made the request and any other benefit that would be provided to the person who made the request.</w:t>
      </w:r>
    </w:p>
    <w:p w:rsidR="00C104FD" w:rsidRPr="00EE207E" w:rsidRDefault="00C104FD" w:rsidP="00C104FD">
      <w:pPr>
        <w:pStyle w:val="subsection"/>
        <w:rPr>
          <w:rFonts w:ascii="Arial" w:hAnsi="Arial" w:cs="Arial"/>
          <w:szCs w:val="22"/>
        </w:rPr>
      </w:pPr>
      <w:r w:rsidRPr="00EE207E">
        <w:rPr>
          <w:rFonts w:ascii="Arial" w:hAnsi="Arial" w:cs="Arial"/>
          <w:szCs w:val="22"/>
        </w:rPr>
        <w:tab/>
        <w:t>8.5.15</w:t>
      </w:r>
      <w:r w:rsidRPr="00EE207E">
        <w:rPr>
          <w:rFonts w:ascii="Arial" w:hAnsi="Arial" w:cs="Arial"/>
          <w:szCs w:val="22"/>
        </w:rPr>
        <w:tab/>
        <w:t>The student is taken to have provided express consent if the student initiates contact with a third party for the purpose of:</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giving information relating to education and training to the provider; or</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r>
        <w:rPr>
          <w:rFonts w:ascii="Arial" w:hAnsi="Arial" w:cs="Arial"/>
          <w:szCs w:val="22"/>
        </w:rPr>
        <w:t>obtaining</w:t>
      </w:r>
      <w:r w:rsidRPr="00EE207E">
        <w:rPr>
          <w:rFonts w:ascii="Arial" w:hAnsi="Arial" w:cs="Arial"/>
          <w:szCs w:val="22"/>
        </w:rPr>
        <w:t xml:space="preserve"> information relating to higher education from the provider.</w:t>
      </w:r>
    </w:p>
    <w:p w:rsidR="00C104FD" w:rsidRPr="00EE207E" w:rsidRDefault="00C104FD" w:rsidP="00C104FD">
      <w:pPr>
        <w:pStyle w:val="ActHead5"/>
        <w:rPr>
          <w:rFonts w:ascii="Arial" w:hAnsi="Arial" w:cs="Arial"/>
          <w:sz w:val="22"/>
          <w:szCs w:val="22"/>
        </w:rPr>
      </w:pPr>
      <w:bookmarkStart w:id="38" w:name="_Toc3370945"/>
      <w:r w:rsidRPr="00EE207E">
        <w:rPr>
          <w:rStyle w:val="CharSectno"/>
          <w:rFonts w:ascii="Arial" w:hAnsi="Arial" w:cs="Arial"/>
          <w:sz w:val="22"/>
          <w:szCs w:val="22"/>
        </w:rPr>
        <w:t>8.6</w:t>
      </w:r>
      <w:r w:rsidRPr="00EE207E">
        <w:rPr>
          <w:rFonts w:ascii="Arial" w:hAnsi="Arial" w:cs="Arial"/>
          <w:sz w:val="22"/>
          <w:szCs w:val="22"/>
        </w:rPr>
        <w:t xml:space="preserve">  Keeping records</w:t>
      </w:r>
      <w:bookmarkEnd w:id="38"/>
    </w:p>
    <w:p w:rsidR="00C104FD" w:rsidRPr="00EE207E" w:rsidRDefault="00C104FD" w:rsidP="00C104FD">
      <w:pPr>
        <w:pStyle w:val="subsection"/>
        <w:rPr>
          <w:rFonts w:ascii="Arial" w:hAnsi="Arial" w:cs="Arial"/>
          <w:szCs w:val="22"/>
        </w:rPr>
      </w:pPr>
      <w:r w:rsidRPr="00EE207E">
        <w:rPr>
          <w:rFonts w:ascii="Arial" w:hAnsi="Arial" w:cs="Arial"/>
          <w:szCs w:val="22"/>
        </w:rPr>
        <w:tab/>
        <w:t>8.6.1</w:t>
      </w:r>
      <w:r w:rsidRPr="00EE207E">
        <w:rPr>
          <w:rFonts w:ascii="Arial" w:hAnsi="Arial" w:cs="Arial"/>
          <w:szCs w:val="22"/>
        </w:rPr>
        <w:tab/>
        <w:t>This section is made for the purposes of section 19</w:t>
      </w:r>
      <w:r w:rsidRPr="00EE207E">
        <w:rPr>
          <w:rFonts w:ascii="Arial" w:hAnsi="Arial" w:cs="Arial"/>
          <w:szCs w:val="22"/>
        </w:rPr>
        <w:noBreakHyphen/>
        <w:t xml:space="preserve">72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subsection"/>
        <w:rPr>
          <w:rFonts w:ascii="Arial" w:hAnsi="Arial" w:cs="Arial"/>
          <w:szCs w:val="22"/>
        </w:rPr>
      </w:pPr>
      <w:r w:rsidRPr="00EE207E">
        <w:rPr>
          <w:rFonts w:ascii="Arial" w:hAnsi="Arial" w:cs="Arial"/>
          <w:szCs w:val="22"/>
        </w:rPr>
        <w:tab/>
        <w:t>8.6.5</w:t>
      </w:r>
      <w:r w:rsidRPr="00EE207E">
        <w:rPr>
          <w:rFonts w:ascii="Arial" w:hAnsi="Arial" w:cs="Arial"/>
          <w:szCs w:val="22"/>
        </w:rPr>
        <w:tab/>
        <w:t>A higher education provider must keep records relating to:</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how the provider assessed a student as academically suited to undertake a unit of study before enrolling the student in the unit of study being undertaken as part of a course of study; and</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if the provider is satisfied that special circumstances apply to a student for the purposes of section 104</w:t>
      </w:r>
      <w:r w:rsidRPr="00EE207E">
        <w:rPr>
          <w:rFonts w:ascii="Arial" w:hAnsi="Arial" w:cs="Arial"/>
          <w:szCs w:val="22"/>
        </w:rPr>
        <w:noBreakHyphen/>
        <w:t xml:space="preserve">1A of the </w:t>
      </w:r>
      <w:r w:rsidRPr="00EE207E">
        <w:rPr>
          <w:rFonts w:ascii="Arial" w:hAnsi="Arial" w:cs="Arial"/>
          <w:i/>
          <w:szCs w:val="22"/>
        </w:rPr>
        <w:t>Act</w:t>
      </w:r>
      <w:r w:rsidRPr="00EE207E">
        <w:rPr>
          <w:rFonts w:ascii="Arial" w:hAnsi="Arial" w:cs="Arial"/>
          <w:szCs w:val="22"/>
        </w:rPr>
        <w:t>—the grounds on which the provider is so satisfied.</w:t>
      </w:r>
    </w:p>
    <w:p w:rsidR="00C104FD" w:rsidRPr="00DB7417" w:rsidRDefault="00C104FD" w:rsidP="00C104FD">
      <w:pPr>
        <w:pStyle w:val="notetext"/>
        <w:rPr>
          <w:rFonts w:ascii="Arial" w:hAnsi="Arial" w:cs="Arial"/>
          <w:sz w:val="20"/>
        </w:rPr>
      </w:pPr>
      <w:r w:rsidRPr="00DB7417">
        <w:rPr>
          <w:rFonts w:ascii="Arial" w:hAnsi="Arial" w:cs="Arial"/>
          <w:sz w:val="20"/>
        </w:rPr>
        <w:t>Note 1:</w:t>
      </w:r>
      <w:r w:rsidRPr="00DB7417">
        <w:rPr>
          <w:rFonts w:ascii="Arial" w:hAnsi="Arial" w:cs="Arial"/>
          <w:sz w:val="20"/>
        </w:rPr>
        <w:tab/>
        <w:t>The requirement to undertake the assessment mentioned in paragraph (a) is imposed under section 19</w:t>
      </w:r>
      <w:r w:rsidRPr="00DB7417">
        <w:rPr>
          <w:rFonts w:ascii="Arial" w:hAnsi="Arial" w:cs="Arial"/>
          <w:sz w:val="20"/>
        </w:rPr>
        <w:noBreakHyphen/>
        <w:t xml:space="preserve">42 of the </w:t>
      </w:r>
      <w:r w:rsidRPr="00DB7417">
        <w:rPr>
          <w:rFonts w:ascii="Arial" w:hAnsi="Arial" w:cs="Arial"/>
          <w:i/>
          <w:sz w:val="20"/>
        </w:rPr>
        <w:t>Act</w:t>
      </w:r>
      <w:r w:rsidRPr="00DB7417">
        <w:rPr>
          <w:rFonts w:ascii="Arial" w:hAnsi="Arial" w:cs="Arial"/>
          <w:sz w:val="20"/>
        </w:rPr>
        <w:t>.</w:t>
      </w:r>
    </w:p>
    <w:p w:rsidR="00C104FD" w:rsidRPr="00DB7417" w:rsidRDefault="00C104FD" w:rsidP="00C104FD">
      <w:pPr>
        <w:pStyle w:val="notetext"/>
        <w:rPr>
          <w:rFonts w:ascii="Arial" w:hAnsi="Arial" w:cs="Arial"/>
          <w:sz w:val="20"/>
        </w:rPr>
      </w:pPr>
      <w:r w:rsidRPr="00DB7417">
        <w:rPr>
          <w:rFonts w:ascii="Arial" w:hAnsi="Arial" w:cs="Arial"/>
          <w:sz w:val="20"/>
        </w:rPr>
        <w:t>Note 2:</w:t>
      </w:r>
      <w:r w:rsidRPr="00DB7417">
        <w:rPr>
          <w:rFonts w:ascii="Arial" w:hAnsi="Arial" w:cs="Arial"/>
          <w:sz w:val="20"/>
        </w:rPr>
        <w:tab/>
        <w:t>For when special circumstances apply to a person, see section 104</w:t>
      </w:r>
      <w:r w:rsidRPr="00DB7417">
        <w:rPr>
          <w:rFonts w:ascii="Arial" w:hAnsi="Arial" w:cs="Arial"/>
          <w:sz w:val="20"/>
        </w:rPr>
        <w:noBreakHyphen/>
        <w:t xml:space="preserve">30 of the </w:t>
      </w:r>
      <w:r w:rsidRPr="00DB7417">
        <w:rPr>
          <w:rFonts w:ascii="Arial" w:hAnsi="Arial" w:cs="Arial"/>
          <w:i/>
          <w:sz w:val="20"/>
        </w:rPr>
        <w:t>Act</w:t>
      </w:r>
      <w:r w:rsidRPr="00DB7417">
        <w:rPr>
          <w:rFonts w:ascii="Arial" w:hAnsi="Arial" w:cs="Arial"/>
          <w:sz w:val="20"/>
        </w:rPr>
        <w:t>.</w:t>
      </w:r>
    </w:p>
    <w:p w:rsidR="00C104FD" w:rsidRPr="00EE207E" w:rsidRDefault="00C104FD" w:rsidP="00C104FD">
      <w:pPr>
        <w:pStyle w:val="subsection"/>
        <w:rPr>
          <w:rFonts w:ascii="Arial" w:hAnsi="Arial" w:cs="Arial"/>
          <w:szCs w:val="22"/>
        </w:rPr>
      </w:pPr>
      <w:r w:rsidRPr="00EE207E">
        <w:rPr>
          <w:rFonts w:ascii="Arial" w:hAnsi="Arial" w:cs="Arial"/>
          <w:szCs w:val="22"/>
        </w:rPr>
        <w:tab/>
        <w:t>8.6.10</w:t>
      </w:r>
      <w:r w:rsidRPr="00EE207E">
        <w:rPr>
          <w:rFonts w:ascii="Arial" w:hAnsi="Arial" w:cs="Arial"/>
          <w:szCs w:val="22"/>
        </w:rPr>
        <w:tab/>
        <w:t>The records must be kept in a manner so that they can be readily provided upon request to the student concerned, the Minister or the Secretary.</w:t>
      </w:r>
    </w:p>
    <w:p w:rsidR="00C104FD" w:rsidRPr="00EE207E" w:rsidRDefault="00C104FD" w:rsidP="00C104FD">
      <w:pPr>
        <w:pStyle w:val="subsection"/>
        <w:rPr>
          <w:rFonts w:ascii="Arial" w:hAnsi="Arial" w:cs="Arial"/>
          <w:szCs w:val="22"/>
        </w:rPr>
      </w:pPr>
      <w:r w:rsidRPr="00EE207E">
        <w:rPr>
          <w:rFonts w:ascii="Arial" w:hAnsi="Arial" w:cs="Arial"/>
          <w:szCs w:val="22"/>
        </w:rPr>
        <w:tab/>
        <w:t>8.6.15</w:t>
      </w:r>
      <w:r w:rsidRPr="00EE207E">
        <w:rPr>
          <w:rFonts w:ascii="Arial" w:hAnsi="Arial" w:cs="Arial"/>
          <w:szCs w:val="22"/>
        </w:rPr>
        <w:tab/>
        <w:t>A record required to be kept by a provider under this section must be kept by the provider for the period of 7 years, starting from when the record was made by the provider.</w:t>
      </w:r>
    </w:p>
    <w:p w:rsidR="00C104FD" w:rsidRPr="00EE207E" w:rsidRDefault="00C104FD" w:rsidP="00C104FD">
      <w:pPr>
        <w:pStyle w:val="ActHead5"/>
        <w:rPr>
          <w:rFonts w:ascii="Arial" w:hAnsi="Arial" w:cs="Arial"/>
          <w:sz w:val="22"/>
          <w:szCs w:val="22"/>
        </w:rPr>
      </w:pPr>
      <w:bookmarkStart w:id="39" w:name="_Toc3370946"/>
      <w:r w:rsidRPr="00EE207E">
        <w:rPr>
          <w:rStyle w:val="CharSectno"/>
          <w:rFonts w:ascii="Arial" w:hAnsi="Arial" w:cs="Arial"/>
          <w:sz w:val="22"/>
          <w:szCs w:val="22"/>
        </w:rPr>
        <w:t>8.7</w:t>
      </w:r>
      <w:r w:rsidRPr="00EE207E">
        <w:rPr>
          <w:rFonts w:ascii="Arial" w:hAnsi="Arial" w:cs="Arial"/>
          <w:sz w:val="22"/>
          <w:szCs w:val="22"/>
        </w:rPr>
        <w:t xml:space="preserve">  Publishing information</w:t>
      </w:r>
      <w:bookmarkEnd w:id="39"/>
    </w:p>
    <w:p w:rsidR="00C104FD" w:rsidRPr="00EE207E" w:rsidRDefault="00C104FD" w:rsidP="00C104FD">
      <w:pPr>
        <w:pStyle w:val="subsection"/>
        <w:rPr>
          <w:rFonts w:ascii="Arial" w:hAnsi="Arial" w:cs="Arial"/>
          <w:szCs w:val="22"/>
        </w:rPr>
      </w:pPr>
      <w:r w:rsidRPr="00EE207E">
        <w:rPr>
          <w:rFonts w:ascii="Arial" w:hAnsi="Arial" w:cs="Arial"/>
          <w:szCs w:val="22"/>
        </w:rPr>
        <w:tab/>
        <w:t>8.7.1</w:t>
      </w:r>
      <w:r w:rsidRPr="00EE207E">
        <w:rPr>
          <w:rFonts w:ascii="Arial" w:hAnsi="Arial" w:cs="Arial"/>
          <w:szCs w:val="22"/>
        </w:rPr>
        <w:tab/>
        <w:t>This section is made for the purposes of section 19</w:t>
      </w:r>
      <w:r w:rsidRPr="00EE207E">
        <w:rPr>
          <w:rFonts w:ascii="Arial" w:hAnsi="Arial" w:cs="Arial"/>
          <w:szCs w:val="22"/>
        </w:rPr>
        <w:noBreakHyphen/>
        <w:t xml:space="preserve">73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subsection"/>
        <w:rPr>
          <w:rFonts w:ascii="Arial" w:hAnsi="Arial" w:cs="Arial"/>
          <w:szCs w:val="22"/>
        </w:rPr>
      </w:pPr>
      <w:r w:rsidRPr="00EE207E">
        <w:rPr>
          <w:rFonts w:ascii="Arial" w:hAnsi="Arial" w:cs="Arial"/>
          <w:szCs w:val="22"/>
        </w:rPr>
        <w:tab/>
        <w:t>8.7.5</w:t>
      </w:r>
      <w:r w:rsidRPr="00EE207E">
        <w:rPr>
          <w:rFonts w:ascii="Arial" w:hAnsi="Arial" w:cs="Arial"/>
          <w:szCs w:val="22"/>
        </w:rPr>
        <w:tab/>
        <w:t>A higher education provider must publish the following information in relation to each unit of study offered by the provider:</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the mode of delivery of the unit of study;</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whether the unit of study will be delivered by the provider or by a third party;</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whether FEE</w:t>
      </w:r>
      <w:r w:rsidRPr="00EE207E">
        <w:rPr>
          <w:rFonts w:ascii="Arial" w:hAnsi="Arial" w:cs="Arial"/>
          <w:szCs w:val="22"/>
        </w:rPr>
        <w:noBreakHyphen/>
        <w:t>HELP assistance is available for the unit of study;</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whether there are any limits or conditions on the FEE</w:t>
      </w:r>
      <w:r w:rsidRPr="00EE207E">
        <w:rPr>
          <w:rFonts w:ascii="Arial" w:hAnsi="Arial" w:cs="Arial"/>
          <w:szCs w:val="22"/>
        </w:rPr>
        <w:noBreakHyphen/>
        <w:t>HELP assistance available for the unit of study imposed on the provider’s approval as a higher education provider.</w:t>
      </w:r>
    </w:p>
    <w:p w:rsidR="00C104FD" w:rsidRPr="00EE207E" w:rsidRDefault="00C104FD" w:rsidP="00C104FD">
      <w:pPr>
        <w:pStyle w:val="subsection"/>
        <w:rPr>
          <w:rFonts w:ascii="Arial" w:hAnsi="Arial" w:cs="Arial"/>
          <w:szCs w:val="22"/>
        </w:rPr>
      </w:pPr>
      <w:r w:rsidRPr="00EE207E">
        <w:rPr>
          <w:rFonts w:ascii="Arial" w:hAnsi="Arial" w:cs="Arial"/>
          <w:szCs w:val="22"/>
        </w:rPr>
        <w:tab/>
        <w:t>8.7.10</w:t>
      </w:r>
      <w:r w:rsidRPr="00EE207E">
        <w:rPr>
          <w:rFonts w:ascii="Arial" w:hAnsi="Arial" w:cs="Arial"/>
          <w:szCs w:val="22"/>
        </w:rPr>
        <w:tab/>
        <w:t>The information must be published by the provider prominently on its website, and in a manner that is easily accessible without provision of login or contact information.</w:t>
      </w:r>
    </w:p>
    <w:p w:rsidR="00C104FD" w:rsidRPr="00EE207E" w:rsidRDefault="00C104FD" w:rsidP="00C104FD">
      <w:pPr>
        <w:pStyle w:val="subsection"/>
        <w:rPr>
          <w:rFonts w:ascii="Arial" w:hAnsi="Arial" w:cs="Arial"/>
          <w:szCs w:val="22"/>
        </w:rPr>
      </w:pPr>
      <w:r w:rsidRPr="00EE207E">
        <w:rPr>
          <w:rFonts w:ascii="Arial" w:hAnsi="Arial" w:cs="Arial"/>
          <w:szCs w:val="22"/>
        </w:rPr>
        <w:tab/>
        <w:t>8.7.15</w:t>
      </w:r>
      <w:r w:rsidRPr="00EE207E">
        <w:rPr>
          <w:rFonts w:ascii="Arial" w:hAnsi="Arial" w:cs="Arial"/>
          <w:szCs w:val="22"/>
        </w:rPr>
        <w:tab/>
        <w:t>The information must:</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be published before the earliest day for enrolment in the unit of study; and</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must remain published at least until the end of the period in which the unit can be undertaken.</w:t>
      </w:r>
    </w:p>
    <w:p w:rsidR="00C104FD" w:rsidRPr="00EE207E" w:rsidRDefault="00C104FD" w:rsidP="00C104FD">
      <w:pPr>
        <w:pStyle w:val="ActHead5"/>
        <w:rPr>
          <w:rFonts w:ascii="Arial" w:hAnsi="Arial" w:cs="Arial"/>
          <w:sz w:val="22"/>
          <w:szCs w:val="22"/>
        </w:rPr>
      </w:pPr>
      <w:bookmarkStart w:id="40" w:name="_Toc3370947"/>
      <w:r w:rsidRPr="00EE207E">
        <w:rPr>
          <w:rStyle w:val="CharSectno"/>
          <w:rFonts w:ascii="Arial" w:hAnsi="Arial" w:cs="Arial"/>
          <w:sz w:val="22"/>
          <w:szCs w:val="22"/>
        </w:rPr>
        <w:t>8.8</w:t>
      </w:r>
      <w:r w:rsidRPr="00EE207E">
        <w:rPr>
          <w:rFonts w:ascii="Arial" w:hAnsi="Arial" w:cs="Arial"/>
          <w:sz w:val="22"/>
          <w:szCs w:val="22"/>
        </w:rPr>
        <w:t xml:space="preserve">  Withdrawal from units of study</w:t>
      </w:r>
      <w:bookmarkEnd w:id="40"/>
    </w:p>
    <w:p w:rsidR="00C104FD" w:rsidRPr="00EE207E" w:rsidRDefault="00C104FD" w:rsidP="00C104FD">
      <w:pPr>
        <w:pStyle w:val="subsection"/>
        <w:rPr>
          <w:rFonts w:ascii="Arial" w:hAnsi="Arial" w:cs="Arial"/>
          <w:szCs w:val="22"/>
        </w:rPr>
      </w:pPr>
      <w:r w:rsidRPr="00EE207E">
        <w:rPr>
          <w:rFonts w:ascii="Arial" w:hAnsi="Arial" w:cs="Arial"/>
          <w:szCs w:val="22"/>
        </w:rPr>
        <w:tab/>
        <w:t>8.8.1</w:t>
      </w:r>
      <w:r w:rsidRPr="00EE207E">
        <w:rPr>
          <w:rFonts w:ascii="Arial" w:hAnsi="Arial" w:cs="Arial"/>
          <w:szCs w:val="22"/>
        </w:rPr>
        <w:tab/>
        <w:t>This section is made for the purposes of section 169</w:t>
      </w:r>
      <w:r w:rsidRPr="00EE207E">
        <w:rPr>
          <w:rFonts w:ascii="Arial" w:hAnsi="Arial" w:cs="Arial"/>
          <w:szCs w:val="22"/>
        </w:rPr>
        <w:noBreakHyphen/>
        <w:t xml:space="preserve">17 of the </w:t>
      </w:r>
      <w:r w:rsidRPr="00EE207E">
        <w:rPr>
          <w:rFonts w:ascii="Arial" w:hAnsi="Arial" w:cs="Arial"/>
          <w:i/>
          <w:szCs w:val="22"/>
        </w:rPr>
        <w:t>Act</w:t>
      </w:r>
      <w:r w:rsidRPr="00EE207E">
        <w:rPr>
          <w:rFonts w:ascii="Arial" w:hAnsi="Arial" w:cs="Arial"/>
          <w:szCs w:val="22"/>
        </w:rPr>
        <w:t>.</w:t>
      </w:r>
    </w:p>
    <w:p w:rsidR="00C104FD" w:rsidRPr="00EE207E" w:rsidRDefault="00C104FD" w:rsidP="00C104FD">
      <w:pPr>
        <w:pStyle w:val="subsection"/>
        <w:rPr>
          <w:rFonts w:ascii="Arial" w:hAnsi="Arial" w:cs="Arial"/>
          <w:szCs w:val="22"/>
        </w:rPr>
      </w:pPr>
      <w:r w:rsidRPr="00EE207E">
        <w:rPr>
          <w:rFonts w:ascii="Arial" w:hAnsi="Arial" w:cs="Arial"/>
          <w:szCs w:val="22"/>
        </w:rPr>
        <w:tab/>
        <w:t>8.8.5</w:t>
      </w:r>
      <w:r w:rsidRPr="00EE207E">
        <w:rPr>
          <w:rFonts w:ascii="Arial" w:hAnsi="Arial" w:cs="Arial"/>
          <w:szCs w:val="22"/>
        </w:rPr>
        <w:tab/>
        <w:t>A higher education provider must have processes and procedures that include:</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procedures for a student to withdraw from a unit of study or a course of study; and</w:t>
      </w:r>
    </w:p>
    <w:p w:rsidR="00C104FD" w:rsidRPr="00EE207E" w:rsidRDefault="00C104FD" w:rsidP="00C104FD">
      <w:pPr>
        <w:pStyle w:val="paragraph"/>
        <w:rPr>
          <w:rFonts w:ascii="Arial" w:hAnsi="Arial" w:cs="Arial"/>
          <w:szCs w:val="22"/>
        </w:rPr>
      </w:pPr>
      <w:r w:rsidRPr="00EE207E">
        <w:rPr>
          <w:rFonts w:ascii="Arial" w:hAnsi="Arial" w:cs="Arial"/>
          <w:szCs w:val="22"/>
        </w:rPr>
        <w:lastRenderedPageBreak/>
        <w:tab/>
        <w:t>(b)</w:t>
      </w:r>
      <w:r w:rsidRPr="00EE207E">
        <w:rPr>
          <w:rFonts w:ascii="Arial" w:hAnsi="Arial" w:cs="Arial"/>
          <w:szCs w:val="22"/>
        </w:rPr>
        <w:tab/>
        <w:t>a procedure for a student to enrol in a unit of study that was part of a course of study with the provider in circumstances where the student had earlier withdrawn from a unit of study of that course undertaken with the provider.</w:t>
      </w:r>
    </w:p>
    <w:p w:rsidR="00C104FD" w:rsidRPr="00EE207E" w:rsidRDefault="00C104FD" w:rsidP="00C104FD">
      <w:pPr>
        <w:pStyle w:val="subsection"/>
        <w:rPr>
          <w:rFonts w:ascii="Arial" w:hAnsi="Arial" w:cs="Arial"/>
          <w:szCs w:val="22"/>
        </w:rPr>
      </w:pPr>
      <w:r w:rsidRPr="00EE207E">
        <w:rPr>
          <w:rFonts w:ascii="Arial" w:hAnsi="Arial" w:cs="Arial"/>
          <w:szCs w:val="22"/>
        </w:rPr>
        <w:tab/>
        <w:t>8.8.10</w:t>
      </w:r>
      <w:r w:rsidRPr="00EE207E">
        <w:rPr>
          <w:rFonts w:ascii="Arial" w:hAnsi="Arial" w:cs="Arial"/>
          <w:szCs w:val="22"/>
        </w:rPr>
        <w:tab/>
        <w:t>The procedures for a student to withdraw from a unit of study or a course of study, before a census date for the unit or course, must not involve financial, administrative or other barriers to the withdrawal.</w:t>
      </w:r>
    </w:p>
    <w:p w:rsidR="00C104FD" w:rsidRPr="00EE207E" w:rsidRDefault="00C104FD" w:rsidP="00C104FD">
      <w:pPr>
        <w:pStyle w:val="subsection"/>
        <w:rPr>
          <w:rFonts w:ascii="Arial" w:hAnsi="Arial" w:cs="Arial"/>
          <w:szCs w:val="22"/>
        </w:rPr>
      </w:pPr>
      <w:r w:rsidRPr="00EE207E">
        <w:rPr>
          <w:rFonts w:ascii="Arial" w:hAnsi="Arial" w:cs="Arial"/>
          <w:szCs w:val="22"/>
        </w:rPr>
        <w:tab/>
        <w:t>8.8.15</w:t>
      </w:r>
      <w:r w:rsidRPr="00EE207E">
        <w:rPr>
          <w:rFonts w:ascii="Arial" w:hAnsi="Arial" w:cs="Arial"/>
          <w:szCs w:val="22"/>
        </w:rPr>
        <w:tab/>
        <w:t>If a student withdraws from a unit of study or a course of study, the provider must not, after the withdrawal, enrol the student in a unit of study or course of study without the written permission of the student (which must be given after the withdrawal).</w:t>
      </w:r>
    </w:p>
    <w:p w:rsidR="00C104FD" w:rsidRDefault="00C104FD" w:rsidP="00C104FD">
      <w:bookmarkStart w:id="41" w:name="_Toc3370948"/>
    </w:p>
    <w:p w:rsidR="00C104FD" w:rsidRDefault="00C104FD" w:rsidP="00D5292E">
      <w:pPr>
        <w:pStyle w:val="Heading1"/>
        <w:pageBreakBefore/>
        <w:rPr>
          <w:u w:val="single"/>
        </w:rPr>
      </w:pPr>
      <w:bookmarkStart w:id="42" w:name="_Toc32227159"/>
      <w:r>
        <w:rPr>
          <w:u w:val="single"/>
        </w:rPr>
        <w:lastRenderedPageBreak/>
        <w:t>CHAPTER 9</w:t>
      </w:r>
      <w:r>
        <w:rPr>
          <w:u w:val="single"/>
        </w:rPr>
        <w:tab/>
        <w:t>DETERMINING WHETHER STUDENTS ARE GENUINE STUDENTS</w:t>
      </w:r>
      <w:bookmarkEnd w:id="42"/>
    </w:p>
    <w:p w:rsidR="00C104FD" w:rsidRDefault="00C104FD" w:rsidP="00C104FD">
      <w:pPr>
        <w:rPr>
          <w:rStyle w:val="CharSectno"/>
        </w:rPr>
      </w:pPr>
      <w:bookmarkStart w:id="43" w:name="_Toc3370949"/>
      <w:bookmarkEnd w:id="41"/>
    </w:p>
    <w:p w:rsidR="00C104FD" w:rsidRPr="00EE207E" w:rsidRDefault="00C104FD" w:rsidP="00C104FD">
      <w:pPr>
        <w:pStyle w:val="ActHead5"/>
        <w:rPr>
          <w:rFonts w:ascii="Arial" w:hAnsi="Arial" w:cs="Arial"/>
          <w:sz w:val="22"/>
          <w:szCs w:val="22"/>
        </w:rPr>
      </w:pPr>
      <w:r w:rsidRPr="00EE207E">
        <w:rPr>
          <w:rStyle w:val="CharSectno"/>
          <w:rFonts w:ascii="Arial" w:hAnsi="Arial" w:cs="Arial"/>
          <w:sz w:val="22"/>
          <w:szCs w:val="22"/>
        </w:rPr>
        <w:t>9.1</w:t>
      </w:r>
      <w:r w:rsidRPr="00EE207E">
        <w:rPr>
          <w:rFonts w:ascii="Arial" w:hAnsi="Arial" w:cs="Arial"/>
          <w:sz w:val="22"/>
          <w:szCs w:val="22"/>
        </w:rPr>
        <w:t xml:space="preserve">  Purpose</w:t>
      </w:r>
      <w:bookmarkEnd w:id="43"/>
    </w:p>
    <w:p w:rsidR="00C104FD" w:rsidRPr="00EE207E" w:rsidRDefault="00C104FD" w:rsidP="00C104FD">
      <w:pPr>
        <w:pStyle w:val="subsection"/>
        <w:rPr>
          <w:rFonts w:ascii="Arial" w:hAnsi="Arial" w:cs="Arial"/>
          <w:szCs w:val="22"/>
        </w:rPr>
      </w:pPr>
      <w:r w:rsidRPr="00EE207E">
        <w:rPr>
          <w:rFonts w:ascii="Arial" w:hAnsi="Arial" w:cs="Arial"/>
          <w:szCs w:val="22"/>
        </w:rPr>
        <w:tab/>
        <w:t>9.1.1</w:t>
      </w:r>
      <w:r w:rsidRPr="00EE207E">
        <w:rPr>
          <w:rFonts w:ascii="Arial" w:hAnsi="Arial" w:cs="Arial"/>
          <w:szCs w:val="22"/>
        </w:rPr>
        <w:tab/>
        <w:t>The purpose of this chapter is to specify matters to be taken into account in determining whether students undertaking units of study provided by higher education providers approved under section 16</w:t>
      </w:r>
      <w:r w:rsidRPr="00EE207E">
        <w:rPr>
          <w:rFonts w:ascii="Arial" w:hAnsi="Arial" w:cs="Arial"/>
          <w:szCs w:val="22"/>
        </w:rPr>
        <w:noBreakHyphen/>
        <w:t xml:space="preserve">25 of the </w:t>
      </w:r>
      <w:r w:rsidRPr="00EE207E">
        <w:rPr>
          <w:rFonts w:ascii="Arial" w:hAnsi="Arial" w:cs="Arial"/>
          <w:i/>
          <w:szCs w:val="22"/>
        </w:rPr>
        <w:t>Act</w:t>
      </w:r>
      <w:r w:rsidRPr="00EE207E">
        <w:rPr>
          <w:rFonts w:ascii="Arial" w:hAnsi="Arial" w:cs="Arial"/>
          <w:szCs w:val="22"/>
        </w:rPr>
        <w:t xml:space="preserve"> are genuine students.</w:t>
      </w:r>
    </w:p>
    <w:p w:rsidR="00C104FD" w:rsidRPr="00EE207E" w:rsidRDefault="00C104FD" w:rsidP="00C104FD">
      <w:pPr>
        <w:pStyle w:val="ActHead5"/>
        <w:rPr>
          <w:rFonts w:ascii="Arial" w:hAnsi="Arial" w:cs="Arial"/>
          <w:sz w:val="22"/>
          <w:szCs w:val="22"/>
        </w:rPr>
      </w:pPr>
      <w:bookmarkStart w:id="44" w:name="_Toc3370950"/>
      <w:r w:rsidRPr="00EE207E">
        <w:rPr>
          <w:rStyle w:val="CharSectno"/>
          <w:rFonts w:ascii="Arial" w:hAnsi="Arial" w:cs="Arial"/>
          <w:sz w:val="22"/>
          <w:szCs w:val="22"/>
        </w:rPr>
        <w:t>9.2</w:t>
      </w:r>
      <w:r w:rsidRPr="00EE207E">
        <w:rPr>
          <w:rFonts w:ascii="Arial" w:hAnsi="Arial" w:cs="Arial"/>
          <w:sz w:val="22"/>
          <w:szCs w:val="22"/>
        </w:rPr>
        <w:t xml:space="preserve">  Genuine student</w:t>
      </w:r>
      <w:bookmarkEnd w:id="44"/>
    </w:p>
    <w:p w:rsidR="00C104FD" w:rsidRPr="00EE207E" w:rsidRDefault="00C104FD" w:rsidP="00C104FD">
      <w:pPr>
        <w:pStyle w:val="subsection"/>
        <w:rPr>
          <w:rFonts w:ascii="Arial" w:hAnsi="Arial" w:cs="Arial"/>
          <w:szCs w:val="22"/>
        </w:rPr>
      </w:pPr>
      <w:r w:rsidRPr="00EE207E">
        <w:rPr>
          <w:rFonts w:ascii="Arial" w:hAnsi="Arial" w:cs="Arial"/>
          <w:szCs w:val="22"/>
        </w:rPr>
        <w:tab/>
        <w:t>9.2.1</w:t>
      </w:r>
      <w:r w:rsidRPr="00EE207E">
        <w:rPr>
          <w:rFonts w:ascii="Arial" w:hAnsi="Arial" w:cs="Arial"/>
          <w:szCs w:val="22"/>
        </w:rPr>
        <w:tab/>
        <w:t>For the purposes of subsection 104</w:t>
      </w:r>
      <w:r w:rsidRPr="00EE207E">
        <w:rPr>
          <w:rFonts w:ascii="Arial" w:hAnsi="Arial" w:cs="Arial"/>
          <w:szCs w:val="22"/>
        </w:rPr>
        <w:noBreakHyphen/>
        <w:t xml:space="preserve">1(1A) of the </w:t>
      </w:r>
      <w:r w:rsidRPr="00EE207E">
        <w:rPr>
          <w:rFonts w:ascii="Arial" w:hAnsi="Arial" w:cs="Arial"/>
          <w:i/>
          <w:szCs w:val="22"/>
        </w:rPr>
        <w:t>Act</w:t>
      </w:r>
      <w:r w:rsidRPr="00EE207E">
        <w:rPr>
          <w:rFonts w:ascii="Arial" w:hAnsi="Arial" w:cs="Arial"/>
          <w:szCs w:val="22"/>
        </w:rPr>
        <w:t>, in determining whether a student is a genuine student in relation to a unit of study being undertaken as part of a course of study, regard may be had to the following matters:</w:t>
      </w:r>
    </w:p>
    <w:p w:rsidR="00C104FD" w:rsidRPr="00EE207E" w:rsidRDefault="00C104FD" w:rsidP="00C104FD">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whether the student is reasonably engaged in the course;</w:t>
      </w:r>
    </w:p>
    <w:p w:rsidR="00C104FD" w:rsidRPr="00EE207E" w:rsidRDefault="00C104FD" w:rsidP="00C104FD">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whether the student has been provided with information about the requirements for the course, and the cost and duration of the course;</w:t>
      </w:r>
    </w:p>
    <w:p w:rsidR="00C104FD" w:rsidRPr="00EE207E" w:rsidRDefault="00C104FD" w:rsidP="00C104FD">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t>whether the student has satisfied course requirements for the course or participated in assessment activities for the course;</w:t>
      </w:r>
    </w:p>
    <w:p w:rsidR="00C104FD" w:rsidRPr="00EE207E" w:rsidRDefault="00C104FD" w:rsidP="00C104FD">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if the course is an online course—the number of occasions on which the student has logged in to the course is not insignificant;</w:t>
      </w:r>
    </w:p>
    <w:p w:rsidR="00C104FD" w:rsidRPr="00EE207E" w:rsidRDefault="00C104FD" w:rsidP="00C104FD">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t>whether the student has provided up</w:t>
      </w:r>
      <w:r w:rsidRPr="00EE207E">
        <w:rPr>
          <w:rFonts w:ascii="Arial" w:hAnsi="Arial" w:cs="Arial"/>
          <w:szCs w:val="22"/>
        </w:rPr>
        <w:noBreakHyphen/>
        <w:t>to</w:t>
      </w:r>
      <w:r w:rsidRPr="00EE207E">
        <w:rPr>
          <w:rFonts w:ascii="Arial" w:hAnsi="Arial" w:cs="Arial"/>
          <w:szCs w:val="22"/>
        </w:rPr>
        <w:noBreakHyphen/>
        <w:t xml:space="preserve">date contact details that enable the </w:t>
      </w:r>
      <w:r w:rsidRPr="00EE207E">
        <w:rPr>
          <w:rFonts w:ascii="Arial" w:hAnsi="Arial" w:cs="Arial"/>
          <w:i/>
          <w:szCs w:val="22"/>
        </w:rPr>
        <w:t>Department</w:t>
      </w:r>
      <w:r w:rsidRPr="00EE207E">
        <w:rPr>
          <w:rFonts w:ascii="Arial" w:hAnsi="Arial" w:cs="Arial"/>
          <w:szCs w:val="22"/>
        </w:rPr>
        <w:t xml:space="preserve"> to contact the student to verify the student’s enrolment in the course;</w:t>
      </w:r>
    </w:p>
    <w:p w:rsidR="00C104FD" w:rsidRPr="00EE207E" w:rsidRDefault="00C104FD" w:rsidP="00C104FD">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t>if the student is enrolled in another course—the number of the enrolments and associated course loads would not make successful completion of a course by the student impossible or highly improbable.</w:t>
      </w:r>
    </w:p>
    <w:p w:rsidR="00C713FC" w:rsidRPr="00C827B9" w:rsidRDefault="00C713FC" w:rsidP="00C713FC">
      <w:pPr>
        <w:pStyle w:val="NoteHeading"/>
        <w:rPr>
          <w:i/>
        </w:rPr>
      </w:pPr>
      <w:r>
        <w:br w:type="page"/>
      </w:r>
      <w:r w:rsidRPr="00C827B9">
        <w:lastRenderedPageBreak/>
        <w:t xml:space="preserve">Note to the </w:t>
      </w:r>
      <w:r>
        <w:rPr>
          <w:i/>
        </w:rPr>
        <w:t>Higher Education Provider</w:t>
      </w:r>
      <w:r w:rsidRPr="000528B8">
        <w:rPr>
          <w:i/>
        </w:rPr>
        <w:t xml:space="preserve"> Guidelines 2012</w:t>
      </w:r>
    </w:p>
    <w:p w:rsidR="00C713FC" w:rsidRPr="00C827B9" w:rsidRDefault="00C713FC" w:rsidP="00C713FC">
      <w:pPr>
        <w:pStyle w:val="ENoteNo"/>
      </w:pPr>
      <w:r w:rsidRPr="00C827B9">
        <w:t>Note 1</w:t>
      </w:r>
    </w:p>
    <w:p w:rsidR="00C713FC" w:rsidRPr="00C827B9" w:rsidRDefault="00C713FC" w:rsidP="00C713FC">
      <w:pPr>
        <w:pStyle w:val="EndNotes"/>
      </w:pPr>
      <w:r w:rsidRPr="00C827B9">
        <w:t xml:space="preserve">The </w:t>
      </w:r>
      <w:r>
        <w:rPr>
          <w:i/>
        </w:rPr>
        <w:t>Higher Education Provider</w:t>
      </w:r>
      <w:r w:rsidRPr="000528B8">
        <w:rPr>
          <w:i/>
        </w:rPr>
        <w:t xml:space="preserve"> Guidelines 2012</w:t>
      </w:r>
      <w:r>
        <w:rPr>
          <w:i/>
        </w:rPr>
        <w:t xml:space="preserve"> </w:t>
      </w:r>
      <w:r w:rsidRPr="00C827B9">
        <w:t xml:space="preserve">in force under </w:t>
      </w:r>
      <w:r w:rsidRPr="000528B8">
        <w:t>section 238-10</w:t>
      </w:r>
      <w:r w:rsidRPr="00C827B9">
        <w:t xml:space="preserve"> of the </w:t>
      </w:r>
      <w:r>
        <w:rPr>
          <w:i/>
        </w:rPr>
        <w:t xml:space="preserve">Higher Education Support Act 2003 </w:t>
      </w:r>
      <w:r w:rsidRPr="000528B8">
        <w:t>as</w:t>
      </w:r>
      <w:r w:rsidRPr="00C827B9">
        <w:t xml:space="preserve"> shown in this compilation is amended as indicated in the Tables below. </w:t>
      </w:r>
    </w:p>
    <w:p w:rsidR="00C713FC" w:rsidRPr="00C827B9" w:rsidRDefault="00C713FC" w:rsidP="00C713FC">
      <w:pPr>
        <w:pStyle w:val="TableENotesHeading"/>
      </w:pPr>
      <w:r w:rsidRPr="00C827B9">
        <w:rPr>
          <w:rStyle w:val="CharENotesHeading"/>
        </w:rPr>
        <w:t>Table of Instruments</w:t>
      </w:r>
    </w:p>
    <w:tbl>
      <w:tblPr>
        <w:tblW w:w="5000" w:type="pct"/>
        <w:jc w:val="center"/>
        <w:tblLook w:val="0000" w:firstRow="0" w:lastRow="0" w:firstColumn="0" w:lastColumn="0" w:noHBand="0" w:noVBand="0"/>
      </w:tblPr>
      <w:tblGrid>
        <w:gridCol w:w="2092"/>
        <w:gridCol w:w="1560"/>
        <w:gridCol w:w="1987"/>
        <w:gridCol w:w="1841"/>
        <w:gridCol w:w="2375"/>
      </w:tblGrid>
      <w:tr w:rsidR="00C713FC" w:rsidRPr="00C827B9" w:rsidTr="00C713FC">
        <w:trPr>
          <w:cantSplit/>
          <w:jc w:val="center"/>
        </w:trPr>
        <w:tc>
          <w:tcPr>
            <w:tcW w:w="1061" w:type="pct"/>
            <w:tcBorders>
              <w:bottom w:val="single" w:sz="4" w:space="0" w:color="auto"/>
            </w:tcBorders>
          </w:tcPr>
          <w:p w:rsidR="00C713FC" w:rsidRPr="00C827B9" w:rsidRDefault="00C713FC" w:rsidP="006D5459">
            <w:pPr>
              <w:pStyle w:val="TableColHead"/>
            </w:pPr>
            <w:r w:rsidRPr="00C827B9">
              <w:t>Title</w:t>
            </w:r>
          </w:p>
        </w:tc>
        <w:tc>
          <w:tcPr>
            <w:tcW w:w="791" w:type="pct"/>
            <w:tcBorders>
              <w:bottom w:val="single" w:sz="4" w:space="0" w:color="auto"/>
            </w:tcBorders>
          </w:tcPr>
          <w:p w:rsidR="00C713FC" w:rsidRPr="00C827B9" w:rsidRDefault="00C713FC" w:rsidP="006D5459">
            <w:pPr>
              <w:pStyle w:val="TableColHead"/>
            </w:pPr>
            <w:r w:rsidRPr="00C827B9">
              <w:t>FRLI registration number</w:t>
            </w:r>
          </w:p>
        </w:tc>
        <w:tc>
          <w:tcPr>
            <w:tcW w:w="1008" w:type="pct"/>
            <w:tcBorders>
              <w:bottom w:val="single" w:sz="4" w:space="0" w:color="auto"/>
            </w:tcBorders>
          </w:tcPr>
          <w:p w:rsidR="00C713FC" w:rsidRPr="00C827B9" w:rsidRDefault="00C713FC" w:rsidP="006D5459">
            <w:pPr>
              <w:pStyle w:val="TableColHead"/>
              <w:rPr>
                <w:i/>
                <w:iCs/>
              </w:rPr>
            </w:pPr>
            <w:r w:rsidRPr="00C827B9">
              <w:t>Date of FRLI registration</w:t>
            </w:r>
          </w:p>
        </w:tc>
        <w:tc>
          <w:tcPr>
            <w:tcW w:w="934" w:type="pct"/>
            <w:tcBorders>
              <w:bottom w:val="single" w:sz="4" w:space="0" w:color="auto"/>
            </w:tcBorders>
          </w:tcPr>
          <w:p w:rsidR="00C713FC" w:rsidRPr="00C827B9" w:rsidRDefault="00C713FC" w:rsidP="006D5459">
            <w:pPr>
              <w:pStyle w:val="TableColHead"/>
            </w:pPr>
            <w:r w:rsidRPr="00C827B9">
              <w:t>Date of</w:t>
            </w:r>
            <w:r w:rsidRPr="00C827B9">
              <w:br/>
              <w:t>commencement</w:t>
            </w:r>
          </w:p>
        </w:tc>
        <w:tc>
          <w:tcPr>
            <w:tcW w:w="1205" w:type="pct"/>
            <w:tcBorders>
              <w:bottom w:val="single" w:sz="4" w:space="0" w:color="auto"/>
            </w:tcBorders>
          </w:tcPr>
          <w:p w:rsidR="00C713FC" w:rsidRPr="00C827B9" w:rsidRDefault="00C713FC" w:rsidP="006D5459">
            <w:pPr>
              <w:pStyle w:val="TableColHead"/>
            </w:pPr>
            <w:r w:rsidRPr="00C827B9">
              <w:t>Application, saving or</w:t>
            </w:r>
            <w:r w:rsidRPr="00C827B9">
              <w:br/>
              <w:t>transitional provisions</w:t>
            </w:r>
          </w:p>
        </w:tc>
      </w:tr>
      <w:tr w:rsidR="00C713FC" w:rsidRPr="00C827B9" w:rsidTr="00C713FC">
        <w:trPr>
          <w:cantSplit/>
          <w:jc w:val="center"/>
        </w:trPr>
        <w:tc>
          <w:tcPr>
            <w:tcW w:w="1061" w:type="pct"/>
            <w:tcBorders>
              <w:top w:val="single" w:sz="4" w:space="0" w:color="auto"/>
            </w:tcBorders>
          </w:tcPr>
          <w:p w:rsidR="00C713FC" w:rsidRPr="00C827B9" w:rsidRDefault="00C713FC" w:rsidP="006D5459">
            <w:pPr>
              <w:pStyle w:val="TableText0"/>
              <w:rPr>
                <w:i/>
              </w:rPr>
            </w:pPr>
            <w:r>
              <w:rPr>
                <w:i/>
              </w:rPr>
              <w:t>Higher Education Provider</w:t>
            </w:r>
            <w:r w:rsidRPr="000528B8">
              <w:rPr>
                <w:i/>
              </w:rPr>
              <w:t xml:space="preserve"> Guidelines 2012</w:t>
            </w:r>
          </w:p>
        </w:tc>
        <w:tc>
          <w:tcPr>
            <w:tcW w:w="791" w:type="pct"/>
            <w:tcBorders>
              <w:top w:val="single" w:sz="4" w:space="0" w:color="auto"/>
            </w:tcBorders>
          </w:tcPr>
          <w:p w:rsidR="00C713FC" w:rsidRPr="00C713FC" w:rsidRDefault="00C713FC" w:rsidP="006D5459">
            <w:pPr>
              <w:pStyle w:val="TableText0"/>
              <w:rPr>
                <w:b/>
                <w:szCs w:val="22"/>
              </w:rPr>
            </w:pPr>
            <w:r w:rsidRPr="00C713FC">
              <w:rPr>
                <w:szCs w:val="22"/>
              </w:rPr>
              <w:t>F2012L02136</w:t>
            </w:r>
          </w:p>
        </w:tc>
        <w:tc>
          <w:tcPr>
            <w:tcW w:w="1008" w:type="pct"/>
            <w:tcBorders>
              <w:top w:val="single" w:sz="4" w:space="0" w:color="auto"/>
            </w:tcBorders>
          </w:tcPr>
          <w:p w:rsidR="00C713FC" w:rsidRPr="00C827B9" w:rsidRDefault="00C713FC" w:rsidP="006D5459">
            <w:pPr>
              <w:pStyle w:val="TableText0"/>
            </w:pPr>
            <w:r>
              <w:t>1 November 2012</w:t>
            </w:r>
          </w:p>
        </w:tc>
        <w:tc>
          <w:tcPr>
            <w:tcW w:w="934" w:type="pct"/>
            <w:tcBorders>
              <w:top w:val="single" w:sz="4" w:space="0" w:color="auto"/>
            </w:tcBorders>
          </w:tcPr>
          <w:p w:rsidR="00C713FC" w:rsidRPr="00C827B9" w:rsidRDefault="00AE4D81" w:rsidP="006D5459">
            <w:pPr>
              <w:pStyle w:val="TableText0"/>
            </w:pPr>
            <w:r>
              <w:t>2 November</w:t>
            </w:r>
            <w:r w:rsidR="00C713FC">
              <w:t xml:space="preserve"> 2012</w:t>
            </w:r>
          </w:p>
        </w:tc>
        <w:tc>
          <w:tcPr>
            <w:tcW w:w="1205" w:type="pct"/>
            <w:tcBorders>
              <w:top w:val="single" w:sz="4" w:space="0" w:color="auto"/>
            </w:tcBorders>
          </w:tcPr>
          <w:p w:rsidR="00C713FC" w:rsidRPr="00C713FC" w:rsidRDefault="00C713FC" w:rsidP="00C713FC">
            <w:pPr>
              <w:keepLines w:val="0"/>
              <w:spacing w:before="100" w:beforeAutospacing="1" w:after="100" w:afterAutospacing="1"/>
              <w:rPr>
                <w:rFonts w:ascii="Times New Roman" w:hAnsi="Times New Roman" w:cs="Times New Roman"/>
                <w:sz w:val="20"/>
                <w:szCs w:val="20"/>
                <w:lang w:eastAsia="en-AU"/>
              </w:rPr>
            </w:pPr>
            <w:r w:rsidRPr="00C713FC">
              <w:rPr>
                <w:rFonts w:ascii="Times New Roman" w:hAnsi="Times New Roman" w:cs="Times New Roman"/>
                <w:b/>
                <w:bCs/>
                <w:sz w:val="20"/>
                <w:szCs w:val="20"/>
                <w:lang w:eastAsia="en-AU"/>
              </w:rPr>
              <w:t>TRANSITIONAL ARRANGEMENTS</w:t>
            </w:r>
          </w:p>
          <w:p w:rsidR="00C713FC" w:rsidRPr="00C713FC" w:rsidRDefault="00C713FC" w:rsidP="00C713FC">
            <w:pPr>
              <w:keepLines w:val="0"/>
              <w:spacing w:before="100" w:beforeAutospacing="1" w:after="100" w:afterAutospacing="1"/>
              <w:rPr>
                <w:rFonts w:ascii="Times New Roman" w:hAnsi="Times New Roman" w:cs="Times New Roman"/>
                <w:sz w:val="24"/>
                <w:szCs w:val="24"/>
                <w:lang w:eastAsia="en-AU"/>
              </w:rPr>
            </w:pPr>
            <w:r w:rsidRPr="00C713FC">
              <w:rPr>
                <w:rFonts w:ascii="Times New Roman" w:hAnsi="Times New Roman" w:cs="Times New Roman"/>
                <w:sz w:val="20"/>
                <w:szCs w:val="20"/>
                <w:lang w:eastAsia="en-AU"/>
              </w:rPr>
              <w:t xml:space="preserve">The revocation of the Former Guidelines does not affect the validity of a payment or decision made under those guidelines. A decision made under the Former Guidelines is taken to continue to have effect as if it were made under the </w:t>
            </w:r>
            <w:r w:rsidRPr="00C713FC">
              <w:rPr>
                <w:rFonts w:ascii="Times New Roman" w:hAnsi="Times New Roman" w:cs="Times New Roman"/>
                <w:i/>
                <w:iCs/>
                <w:sz w:val="20"/>
                <w:szCs w:val="20"/>
                <w:lang w:eastAsia="en-AU"/>
              </w:rPr>
              <w:t>Higher Education Provider Guidelines 2012</w:t>
            </w:r>
            <w:r w:rsidRPr="00C713FC">
              <w:rPr>
                <w:rFonts w:ascii="Times New Roman" w:hAnsi="Times New Roman" w:cs="Times New Roman"/>
                <w:sz w:val="20"/>
                <w:szCs w:val="20"/>
                <w:lang w:eastAsia="en-AU"/>
              </w:rPr>
              <w:t>.</w:t>
            </w:r>
          </w:p>
          <w:p w:rsidR="00C713FC" w:rsidRPr="00C827B9" w:rsidRDefault="00C713FC" w:rsidP="006D5459">
            <w:pPr>
              <w:pStyle w:val="TableText0"/>
            </w:pPr>
          </w:p>
        </w:tc>
      </w:tr>
      <w:tr w:rsidR="00C713FC" w:rsidRPr="00C827B9" w:rsidTr="00C713FC">
        <w:trPr>
          <w:cantSplit/>
          <w:jc w:val="center"/>
        </w:trPr>
        <w:tc>
          <w:tcPr>
            <w:tcW w:w="1061" w:type="pct"/>
          </w:tcPr>
          <w:p w:rsidR="00C713FC" w:rsidRPr="00C827B9" w:rsidRDefault="00C713FC" w:rsidP="00C713FC">
            <w:pPr>
              <w:pStyle w:val="TableText0"/>
              <w:rPr>
                <w:i/>
                <w:szCs w:val="22"/>
              </w:rPr>
            </w:pPr>
            <w:r w:rsidRPr="000528B8">
              <w:rPr>
                <w:i/>
                <w:szCs w:val="22"/>
              </w:rPr>
              <w:t xml:space="preserve">Amendment No. 1 to the </w:t>
            </w:r>
            <w:r>
              <w:rPr>
                <w:i/>
                <w:szCs w:val="22"/>
              </w:rPr>
              <w:t>Higher Education Provider Guidelines 2012</w:t>
            </w:r>
          </w:p>
        </w:tc>
        <w:tc>
          <w:tcPr>
            <w:tcW w:w="791" w:type="pct"/>
          </w:tcPr>
          <w:p w:rsidR="00C713FC" w:rsidRPr="00C827B9" w:rsidRDefault="00C713FC" w:rsidP="00C713FC">
            <w:pPr>
              <w:pStyle w:val="TableText0"/>
              <w:rPr>
                <w:szCs w:val="22"/>
              </w:rPr>
            </w:pPr>
            <w:r w:rsidRPr="000528B8">
              <w:rPr>
                <w:szCs w:val="22"/>
              </w:rPr>
              <w:t>F2013L0</w:t>
            </w:r>
            <w:r>
              <w:rPr>
                <w:szCs w:val="22"/>
              </w:rPr>
              <w:t>1508</w:t>
            </w:r>
          </w:p>
        </w:tc>
        <w:tc>
          <w:tcPr>
            <w:tcW w:w="1008" w:type="pct"/>
          </w:tcPr>
          <w:p w:rsidR="00C713FC" w:rsidRPr="00C827B9" w:rsidRDefault="00C713FC" w:rsidP="006D5459">
            <w:pPr>
              <w:pStyle w:val="TableText0"/>
            </w:pPr>
            <w:r>
              <w:t>5 August 2013</w:t>
            </w:r>
          </w:p>
        </w:tc>
        <w:tc>
          <w:tcPr>
            <w:tcW w:w="934" w:type="pct"/>
          </w:tcPr>
          <w:p w:rsidR="00C713FC" w:rsidRPr="00C827B9" w:rsidRDefault="00AE4D81" w:rsidP="006D5459">
            <w:pPr>
              <w:pStyle w:val="TableText0"/>
            </w:pPr>
            <w:r>
              <w:t>6 August</w:t>
            </w:r>
            <w:r w:rsidR="00C713FC">
              <w:t xml:space="preserve"> 2013</w:t>
            </w:r>
          </w:p>
        </w:tc>
        <w:tc>
          <w:tcPr>
            <w:tcW w:w="1205" w:type="pct"/>
          </w:tcPr>
          <w:p w:rsidR="00C713FC" w:rsidRPr="00C827B9" w:rsidRDefault="00C713FC" w:rsidP="006D5459">
            <w:pPr>
              <w:pStyle w:val="TableText0"/>
            </w:pPr>
          </w:p>
        </w:tc>
      </w:tr>
      <w:tr w:rsidR="00EB5ABA" w:rsidRPr="00C827B9" w:rsidTr="00C713FC">
        <w:trPr>
          <w:cantSplit/>
          <w:jc w:val="center"/>
        </w:trPr>
        <w:tc>
          <w:tcPr>
            <w:tcW w:w="1061" w:type="pct"/>
          </w:tcPr>
          <w:p w:rsidR="00EB5ABA" w:rsidRPr="000528B8" w:rsidRDefault="00EB5ABA" w:rsidP="00C713FC">
            <w:pPr>
              <w:pStyle w:val="TableText0"/>
              <w:rPr>
                <w:i/>
                <w:szCs w:val="22"/>
              </w:rPr>
            </w:pPr>
            <w:r>
              <w:rPr>
                <w:i/>
                <w:noProof/>
              </w:rPr>
              <w:t>Higher Education Provider Amendment (Tuition Protection and Other Measures) Guidelines 2019</w:t>
            </w:r>
          </w:p>
        </w:tc>
        <w:tc>
          <w:tcPr>
            <w:tcW w:w="791" w:type="pct"/>
          </w:tcPr>
          <w:p w:rsidR="00EB5ABA" w:rsidRPr="000528B8" w:rsidRDefault="00EB5ABA" w:rsidP="00C713FC">
            <w:pPr>
              <w:pStyle w:val="TableText0"/>
              <w:rPr>
                <w:szCs w:val="22"/>
              </w:rPr>
            </w:pPr>
            <w:r>
              <w:rPr>
                <w:szCs w:val="22"/>
              </w:rPr>
              <w:t>F2019L01699</w:t>
            </w:r>
          </w:p>
        </w:tc>
        <w:tc>
          <w:tcPr>
            <w:tcW w:w="1008" w:type="pct"/>
          </w:tcPr>
          <w:p w:rsidR="00EB5ABA" w:rsidRDefault="00EB5ABA" w:rsidP="006D5459">
            <w:pPr>
              <w:pStyle w:val="TableText0"/>
            </w:pPr>
            <w:r>
              <w:t>23 December 2019</w:t>
            </w:r>
          </w:p>
        </w:tc>
        <w:tc>
          <w:tcPr>
            <w:tcW w:w="934" w:type="pct"/>
          </w:tcPr>
          <w:p w:rsidR="00EB5ABA" w:rsidRDefault="00EB5ABA" w:rsidP="00315200">
            <w:pPr>
              <w:pStyle w:val="TableText0"/>
            </w:pPr>
            <w:r>
              <w:t>Schedule 1 (items 1–3, 5): 24 December 2019</w:t>
            </w:r>
            <w:r w:rsidR="00AE4D81">
              <w:t xml:space="preserve"> (s 2(1) item 2)</w:t>
            </w:r>
            <w:r>
              <w:br/>
              <w:t xml:space="preserve">Schedule 1 (item 4) and Schedule 2: (other than section 2.10 of item 3): </w:t>
            </w:r>
            <w:r w:rsidRPr="00A53569">
              <w:rPr>
                <w:u w:val="single"/>
              </w:rPr>
              <w:t>1</w:t>
            </w:r>
            <w:r>
              <w:rPr>
                <w:u w:val="single"/>
              </w:rPr>
              <w:t> </w:t>
            </w:r>
            <w:r w:rsidRPr="00A53569">
              <w:rPr>
                <w:u w:val="single"/>
              </w:rPr>
              <w:t>January 20</w:t>
            </w:r>
            <w:r>
              <w:rPr>
                <w:u w:val="single"/>
              </w:rPr>
              <w:t>2</w:t>
            </w:r>
            <w:r w:rsidRPr="00A53569">
              <w:rPr>
                <w:u w:val="single"/>
              </w:rPr>
              <w:t>0</w:t>
            </w:r>
            <w:r w:rsidRPr="00E57207">
              <w:rPr>
                <w:u w:val="single"/>
              </w:rPr>
              <w:t xml:space="preserve"> (s</w:t>
            </w:r>
            <w:r>
              <w:rPr>
                <w:u w:val="single"/>
              </w:rPr>
              <w:t> </w:t>
            </w:r>
            <w:r w:rsidRPr="00A53569">
              <w:rPr>
                <w:u w:val="single"/>
              </w:rPr>
              <w:t>2(1) item</w:t>
            </w:r>
            <w:r w:rsidR="00075DD8">
              <w:rPr>
                <w:u w:val="single"/>
              </w:rPr>
              <w:t>s</w:t>
            </w:r>
            <w:r w:rsidRPr="00A53569">
              <w:rPr>
                <w:u w:val="single"/>
              </w:rPr>
              <w:t xml:space="preserve"> </w:t>
            </w:r>
            <w:r>
              <w:rPr>
                <w:u w:val="single"/>
              </w:rPr>
              <w:t xml:space="preserve">3, </w:t>
            </w:r>
            <w:r w:rsidRPr="00A53569">
              <w:rPr>
                <w:u w:val="single"/>
              </w:rPr>
              <w:t>4)</w:t>
            </w:r>
            <w:r>
              <w:br/>
              <w:t xml:space="preserve">Schedule 2 section 2.10 of item 3: </w:t>
            </w:r>
            <w:r w:rsidRPr="00A53569">
              <w:rPr>
                <w:u w:val="single"/>
              </w:rPr>
              <w:t>awaiting commencement</w:t>
            </w:r>
            <w:r>
              <w:rPr>
                <w:u w:val="single"/>
              </w:rPr>
              <w:t xml:space="preserve"> </w:t>
            </w:r>
            <w:r w:rsidRPr="004746D6">
              <w:rPr>
                <w:u w:val="single"/>
              </w:rPr>
              <w:t>(s</w:t>
            </w:r>
            <w:r>
              <w:rPr>
                <w:u w:val="single"/>
              </w:rPr>
              <w:t> </w:t>
            </w:r>
            <w:r w:rsidRPr="004746D6">
              <w:rPr>
                <w:u w:val="single"/>
              </w:rPr>
              <w:t xml:space="preserve">2(1) item </w:t>
            </w:r>
            <w:r>
              <w:rPr>
                <w:u w:val="single"/>
              </w:rPr>
              <w:t>5</w:t>
            </w:r>
            <w:r w:rsidRPr="004746D6">
              <w:rPr>
                <w:u w:val="single"/>
              </w:rPr>
              <w:t>)</w:t>
            </w:r>
          </w:p>
        </w:tc>
        <w:tc>
          <w:tcPr>
            <w:tcW w:w="1205" w:type="pct"/>
          </w:tcPr>
          <w:p w:rsidR="00EB5ABA" w:rsidRPr="00C827B9" w:rsidRDefault="00EB5ABA" w:rsidP="006D5459">
            <w:pPr>
              <w:pStyle w:val="TableText0"/>
            </w:pPr>
            <w:r>
              <w:t>—</w:t>
            </w:r>
          </w:p>
        </w:tc>
      </w:tr>
    </w:tbl>
    <w:p w:rsidR="00C713FC" w:rsidRPr="00C827B9" w:rsidRDefault="00C713FC" w:rsidP="00C713FC">
      <w:pPr>
        <w:pStyle w:val="TableENotesHeadingAmdt"/>
        <w:pageBreakBefore w:val="0"/>
        <w:ind w:left="0" w:firstLine="0"/>
        <w:rPr>
          <w:rStyle w:val="CharENotesHeading"/>
        </w:rPr>
      </w:pPr>
    </w:p>
    <w:p w:rsidR="00C713FC" w:rsidRPr="00C827B9" w:rsidRDefault="00C713FC" w:rsidP="00C713FC">
      <w:pPr>
        <w:pStyle w:val="TableENotesHeadingAmdt"/>
        <w:ind w:left="0" w:firstLine="0"/>
      </w:pPr>
      <w:r w:rsidRPr="00C827B9">
        <w:rPr>
          <w:rStyle w:val="CharENotesHeading"/>
        </w:rPr>
        <w:lastRenderedPageBreak/>
        <w:t>Table of Amendments</w:t>
      </w:r>
    </w:p>
    <w:p w:rsidR="00C713FC" w:rsidRPr="00270F77" w:rsidRDefault="00C713FC" w:rsidP="00C713FC"/>
    <w:tbl>
      <w:tblPr>
        <w:tblW w:w="4233" w:type="pct"/>
        <w:tblInd w:w="738" w:type="dxa"/>
        <w:tblLook w:val="0000" w:firstRow="0" w:lastRow="0" w:firstColumn="0" w:lastColumn="0" w:noHBand="0" w:noVBand="0"/>
      </w:tblPr>
      <w:tblGrid>
        <w:gridCol w:w="2661"/>
        <w:gridCol w:w="5682"/>
      </w:tblGrid>
      <w:tr w:rsidR="00075DD8" w:rsidRPr="00B5491E" w:rsidTr="00584BB1">
        <w:trPr>
          <w:cantSplit/>
        </w:trPr>
        <w:tc>
          <w:tcPr>
            <w:tcW w:w="5000" w:type="pct"/>
            <w:gridSpan w:val="2"/>
            <w:tcBorders>
              <w:bottom w:val="single" w:sz="4" w:space="0" w:color="auto"/>
            </w:tcBorders>
            <w:shd w:val="clear" w:color="auto" w:fill="auto"/>
          </w:tcPr>
          <w:p w:rsidR="00075DD8" w:rsidRPr="00B5491E" w:rsidRDefault="00641151" w:rsidP="000D7CD2">
            <w:pPr>
              <w:pStyle w:val="ENoteTableHeading"/>
              <w:tabs>
                <w:tab w:val="center" w:leader="dot" w:pos="2268"/>
              </w:tabs>
            </w:pPr>
            <w:r>
              <w:rPr>
                <w:b w:val="0"/>
              </w:rPr>
              <w:t>ad = added or inserted      am</w:t>
            </w:r>
            <w:r w:rsidR="00075DD8" w:rsidRPr="00B5491E">
              <w:rPr>
                <w:b w:val="0"/>
              </w:rPr>
              <w:t xml:space="preserve"> = amended      </w:t>
            </w:r>
            <w:r w:rsidRPr="00641151">
              <w:rPr>
                <w:b w:val="0"/>
              </w:rPr>
              <w:t xml:space="preserve">ed = editorial change      </w:t>
            </w:r>
            <w:r>
              <w:rPr>
                <w:b w:val="0"/>
              </w:rPr>
              <w:t>rep = repealed      rs</w:t>
            </w:r>
            <w:r w:rsidR="00075DD8" w:rsidRPr="00B5491E">
              <w:rPr>
                <w:b w:val="0"/>
              </w:rPr>
              <w:t xml:space="preserve"> = repealed and substituted</w:t>
            </w:r>
            <w:r>
              <w:rPr>
                <w:b w:val="0"/>
              </w:rPr>
              <w:t xml:space="preserve">      </w:t>
            </w:r>
            <w:r w:rsidR="00075DD8" w:rsidRPr="00A53569">
              <w:rPr>
                <w:b w:val="0"/>
                <w:u w:val="single"/>
              </w:rPr>
              <w:t>underlining</w:t>
            </w:r>
            <w:r w:rsidR="00075DD8" w:rsidRPr="00641151">
              <w:rPr>
                <w:b w:val="0"/>
              </w:rPr>
              <w:t xml:space="preserve"> = whole or part not commenced or to be commenced</w:t>
            </w:r>
          </w:p>
        </w:tc>
      </w:tr>
      <w:tr w:rsidR="00075DD8" w:rsidRPr="00E117A3" w:rsidTr="00584BB1">
        <w:trPr>
          <w:cantSplit/>
        </w:trPr>
        <w:tc>
          <w:tcPr>
            <w:tcW w:w="1595" w:type="pct"/>
            <w:tcBorders>
              <w:top w:val="single" w:sz="4" w:space="0" w:color="auto"/>
              <w:bottom w:val="single" w:sz="4" w:space="0" w:color="auto"/>
            </w:tcBorders>
            <w:shd w:val="clear" w:color="auto" w:fill="auto"/>
          </w:tcPr>
          <w:p w:rsidR="00075DD8" w:rsidRPr="00E117A3" w:rsidRDefault="00075DD8" w:rsidP="000D7CD2">
            <w:pPr>
              <w:pStyle w:val="ENoteTableHeading"/>
              <w:tabs>
                <w:tab w:val="center" w:leader="dot" w:pos="2268"/>
              </w:tabs>
            </w:pPr>
            <w:r w:rsidRPr="00E117A3">
              <w:t>Provision affected</w:t>
            </w:r>
          </w:p>
        </w:tc>
        <w:tc>
          <w:tcPr>
            <w:tcW w:w="3405" w:type="pct"/>
            <w:tcBorders>
              <w:top w:val="single" w:sz="4" w:space="0" w:color="auto"/>
              <w:bottom w:val="single" w:sz="4" w:space="0" w:color="auto"/>
            </w:tcBorders>
            <w:shd w:val="clear" w:color="auto" w:fill="auto"/>
          </w:tcPr>
          <w:p w:rsidR="00075DD8" w:rsidRPr="00E117A3" w:rsidRDefault="00075DD8" w:rsidP="000D7CD2">
            <w:pPr>
              <w:pStyle w:val="ENoteTableHeading"/>
              <w:tabs>
                <w:tab w:val="center" w:leader="dot" w:pos="2268"/>
              </w:tabs>
            </w:pPr>
            <w:r w:rsidRPr="00E117A3">
              <w:t>How affected</w:t>
            </w:r>
          </w:p>
        </w:tc>
      </w:tr>
      <w:tr w:rsidR="00075DD8" w:rsidRPr="003B0E21" w:rsidTr="00584BB1">
        <w:trPr>
          <w:cantSplit/>
        </w:trPr>
        <w:tc>
          <w:tcPr>
            <w:tcW w:w="1595" w:type="pct"/>
            <w:tcBorders>
              <w:top w:val="single" w:sz="4" w:space="0" w:color="auto"/>
            </w:tcBorders>
            <w:shd w:val="clear" w:color="auto" w:fill="auto"/>
          </w:tcPr>
          <w:p w:rsidR="00075DD8" w:rsidRPr="00AE5BE1" w:rsidRDefault="00075DD8" w:rsidP="000D7CD2">
            <w:pPr>
              <w:pStyle w:val="TableOfAmend"/>
              <w:spacing w:line="260" w:lineRule="exact"/>
            </w:pPr>
            <w:r w:rsidRPr="00AE5BE1">
              <w:t>Paragraph (iii)</w:t>
            </w:r>
            <w:r>
              <w:tab/>
            </w:r>
          </w:p>
        </w:tc>
        <w:tc>
          <w:tcPr>
            <w:tcW w:w="3405" w:type="pct"/>
            <w:tcBorders>
              <w:top w:val="single" w:sz="4" w:space="0" w:color="auto"/>
            </w:tcBorders>
            <w:shd w:val="clear" w:color="auto" w:fill="auto"/>
          </w:tcPr>
          <w:p w:rsidR="00075DD8" w:rsidRPr="003B0E21" w:rsidRDefault="00075DD8" w:rsidP="000D7CD2">
            <w:pPr>
              <w:pStyle w:val="ENoteTableText"/>
              <w:tabs>
                <w:tab w:val="center" w:leader="dot" w:pos="2268"/>
              </w:tabs>
              <w:rPr>
                <w:rFonts w:ascii="Arial" w:hAnsi="Arial" w:cs="Arial"/>
                <w:noProof/>
                <w:sz w:val="18"/>
                <w:szCs w:val="22"/>
              </w:rPr>
            </w:pPr>
            <w:r w:rsidRPr="003B0E21">
              <w:rPr>
                <w:rFonts w:ascii="Arial" w:hAnsi="Arial" w:cs="Arial"/>
                <w:noProof/>
                <w:sz w:val="18"/>
                <w:szCs w:val="22"/>
              </w:rPr>
              <w:t>rep LIA s 48D</w:t>
            </w:r>
          </w:p>
        </w:tc>
      </w:tr>
      <w:tr w:rsidR="00075DD8" w:rsidRPr="003B0E21" w:rsidTr="00584BB1">
        <w:trPr>
          <w:cantSplit/>
        </w:trPr>
        <w:tc>
          <w:tcPr>
            <w:tcW w:w="1595" w:type="pct"/>
            <w:shd w:val="clear" w:color="auto" w:fill="auto"/>
          </w:tcPr>
          <w:p w:rsidR="00075DD8" w:rsidRPr="00AE5BE1" w:rsidRDefault="00075DD8" w:rsidP="000D7CD2">
            <w:pPr>
              <w:pStyle w:val="TableOfAmend"/>
              <w:spacing w:line="260" w:lineRule="exact"/>
            </w:pPr>
            <w:r w:rsidRPr="00AE5BE1">
              <w:t>Paragraph (i</w:t>
            </w:r>
            <w:r>
              <w:t>v</w:t>
            </w:r>
            <w:r w:rsidRPr="00AE5BE1">
              <w:t>)</w:t>
            </w:r>
            <w:r>
              <w:tab/>
            </w:r>
          </w:p>
        </w:tc>
        <w:tc>
          <w:tcPr>
            <w:tcW w:w="3405" w:type="pct"/>
            <w:shd w:val="clear" w:color="auto" w:fill="auto"/>
          </w:tcPr>
          <w:p w:rsidR="00075DD8" w:rsidRPr="003B0E21" w:rsidRDefault="00075DD8" w:rsidP="000D7CD2">
            <w:pPr>
              <w:pStyle w:val="ENoteTableText"/>
              <w:rPr>
                <w:rFonts w:ascii="Arial" w:hAnsi="Arial" w:cs="Arial"/>
                <w:noProof/>
                <w:sz w:val="18"/>
                <w:szCs w:val="22"/>
              </w:rPr>
            </w:pPr>
            <w:r w:rsidRPr="003B0E21">
              <w:rPr>
                <w:rFonts w:ascii="Arial" w:hAnsi="Arial" w:cs="Arial"/>
                <w:noProof/>
                <w:sz w:val="18"/>
                <w:szCs w:val="22"/>
              </w:rPr>
              <w:t>rep LIA s 48C</w:t>
            </w:r>
          </w:p>
        </w:tc>
      </w:tr>
      <w:tr w:rsidR="00075DD8" w:rsidRPr="003B0E21" w:rsidTr="00584BB1">
        <w:trPr>
          <w:cantSplit/>
        </w:trPr>
        <w:tc>
          <w:tcPr>
            <w:tcW w:w="1595" w:type="pct"/>
            <w:shd w:val="clear" w:color="auto" w:fill="auto"/>
          </w:tcPr>
          <w:p w:rsidR="00075DD8" w:rsidRPr="00A53569" w:rsidRDefault="00075DD8" w:rsidP="000D7CD2">
            <w:pPr>
              <w:pStyle w:val="TableOfAmend"/>
              <w:spacing w:line="260" w:lineRule="exact"/>
              <w:rPr>
                <w:b/>
              </w:rPr>
            </w:pPr>
            <w:r w:rsidRPr="00A53569">
              <w:rPr>
                <w:b/>
              </w:rPr>
              <w:t>Chapter 1</w:t>
            </w:r>
          </w:p>
        </w:tc>
        <w:tc>
          <w:tcPr>
            <w:tcW w:w="3405" w:type="pct"/>
            <w:shd w:val="clear" w:color="auto" w:fill="auto"/>
          </w:tcPr>
          <w:p w:rsidR="00075DD8" w:rsidRPr="003B0E21" w:rsidRDefault="00075DD8" w:rsidP="000D7CD2">
            <w:pPr>
              <w:pStyle w:val="ENoteTableText"/>
              <w:rPr>
                <w:rFonts w:ascii="Arial" w:hAnsi="Arial" w:cs="Arial"/>
                <w:noProof/>
                <w:sz w:val="18"/>
                <w:szCs w:val="22"/>
              </w:rPr>
            </w:pPr>
          </w:p>
        </w:tc>
      </w:tr>
      <w:tr w:rsidR="00075DD8" w:rsidRPr="003B0E21" w:rsidTr="00584BB1">
        <w:trPr>
          <w:cantSplit/>
        </w:trPr>
        <w:tc>
          <w:tcPr>
            <w:tcW w:w="1595" w:type="pct"/>
            <w:shd w:val="clear" w:color="auto" w:fill="auto"/>
          </w:tcPr>
          <w:p w:rsidR="00075DD8" w:rsidRPr="00AE5BE1" w:rsidRDefault="00075DD8" w:rsidP="000D7CD2">
            <w:pPr>
              <w:pStyle w:val="TableOfAmend"/>
              <w:spacing w:line="260" w:lineRule="exact"/>
            </w:pPr>
            <w:r>
              <w:t>Paragraph 1.1.1</w:t>
            </w:r>
            <w:r>
              <w:tab/>
            </w:r>
          </w:p>
        </w:tc>
        <w:tc>
          <w:tcPr>
            <w:tcW w:w="3405" w:type="pct"/>
            <w:shd w:val="clear" w:color="auto" w:fill="auto"/>
          </w:tcPr>
          <w:p w:rsidR="00075DD8" w:rsidRPr="003B0E21" w:rsidRDefault="00075DD8" w:rsidP="000D7CD2">
            <w:pPr>
              <w:pStyle w:val="ENoteTableText"/>
              <w:rPr>
                <w:rFonts w:ascii="Arial" w:hAnsi="Arial" w:cs="Arial"/>
                <w:noProof/>
                <w:sz w:val="18"/>
                <w:szCs w:val="22"/>
              </w:rPr>
            </w:pPr>
            <w:r>
              <w:rPr>
                <w:rFonts w:ascii="Arial" w:hAnsi="Arial" w:cs="Arial"/>
                <w:noProof/>
                <w:sz w:val="18"/>
                <w:szCs w:val="22"/>
              </w:rPr>
              <w:t>am F2019L01699 (</w:t>
            </w:r>
            <w:r w:rsidRPr="00A53569">
              <w:rPr>
                <w:rFonts w:ascii="Arial" w:hAnsi="Arial" w:cs="Arial"/>
                <w:noProof/>
                <w:sz w:val="18"/>
                <w:szCs w:val="22"/>
                <w:u w:val="single"/>
              </w:rPr>
              <w:t>Sch 2 item</w:t>
            </w:r>
            <w:r>
              <w:rPr>
                <w:rFonts w:ascii="Arial" w:hAnsi="Arial" w:cs="Arial"/>
                <w:noProof/>
                <w:sz w:val="18"/>
                <w:szCs w:val="22"/>
                <w:u w:val="single"/>
              </w:rPr>
              <w:t>s</w:t>
            </w:r>
            <w:r w:rsidRPr="00A53569">
              <w:rPr>
                <w:rFonts w:ascii="Arial" w:hAnsi="Arial" w:cs="Arial"/>
                <w:noProof/>
                <w:sz w:val="18"/>
                <w:szCs w:val="22"/>
                <w:u w:val="single"/>
              </w:rPr>
              <w:t xml:space="preserve"> 1, 1A</w:t>
            </w:r>
            <w:r>
              <w:rPr>
                <w:rFonts w:ascii="Arial" w:hAnsi="Arial" w:cs="Arial"/>
                <w:noProof/>
                <w:sz w:val="18"/>
                <w:szCs w:val="22"/>
              </w:rPr>
              <w:t>)</w:t>
            </w:r>
          </w:p>
        </w:tc>
      </w:tr>
      <w:tr w:rsidR="00641151" w:rsidRPr="003B0E21" w:rsidTr="00584BB1">
        <w:trPr>
          <w:cantSplit/>
        </w:trPr>
        <w:tc>
          <w:tcPr>
            <w:tcW w:w="1595" w:type="pct"/>
            <w:shd w:val="clear" w:color="auto" w:fill="auto"/>
          </w:tcPr>
          <w:p w:rsidR="00641151" w:rsidRDefault="00641151" w:rsidP="000D7CD2">
            <w:pPr>
              <w:pStyle w:val="TableOfAmend"/>
              <w:spacing w:line="260" w:lineRule="exact"/>
            </w:pPr>
          </w:p>
        </w:tc>
        <w:tc>
          <w:tcPr>
            <w:tcW w:w="3405" w:type="pct"/>
            <w:shd w:val="clear" w:color="auto" w:fill="auto"/>
          </w:tcPr>
          <w:p w:rsidR="00641151" w:rsidRDefault="00641151" w:rsidP="000D7CD2">
            <w:pPr>
              <w:pStyle w:val="ENoteTableText"/>
              <w:rPr>
                <w:rFonts w:ascii="Arial" w:hAnsi="Arial" w:cs="Arial"/>
                <w:noProof/>
                <w:sz w:val="18"/>
                <w:szCs w:val="22"/>
              </w:rPr>
            </w:pPr>
            <w:r>
              <w:rPr>
                <w:rFonts w:ascii="Arial" w:hAnsi="Arial" w:cs="Arial"/>
                <w:noProof/>
                <w:sz w:val="18"/>
                <w:szCs w:val="22"/>
              </w:rPr>
              <w:t>ed C2</w:t>
            </w: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Subchapter 1.5</w:t>
            </w:r>
            <w:r>
              <w:tab/>
            </w:r>
          </w:p>
        </w:tc>
        <w:tc>
          <w:tcPr>
            <w:tcW w:w="3405" w:type="pct"/>
            <w:shd w:val="clear" w:color="auto" w:fill="auto"/>
          </w:tcPr>
          <w:p w:rsidR="00075DD8" w:rsidRPr="00F11C16" w:rsidRDefault="00641151" w:rsidP="000D7CD2">
            <w:pPr>
              <w:pStyle w:val="TableOfAmend"/>
              <w:spacing w:line="260" w:lineRule="exact"/>
              <w:ind w:left="0" w:firstLine="0"/>
            </w:pPr>
            <w:r>
              <w:t>am</w:t>
            </w:r>
            <w:r w:rsidR="00075DD8" w:rsidRPr="00F11C16">
              <w:t xml:space="preserve"> </w:t>
            </w:r>
            <w:r w:rsidR="00075DD8" w:rsidRPr="003B0E21">
              <w:t>F2013L01508</w:t>
            </w: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Paragraph 1.5.5</w:t>
            </w:r>
            <w:r>
              <w:tab/>
            </w:r>
          </w:p>
        </w:tc>
        <w:tc>
          <w:tcPr>
            <w:tcW w:w="3405" w:type="pct"/>
            <w:shd w:val="clear" w:color="auto" w:fill="auto"/>
          </w:tcPr>
          <w:p w:rsidR="00075DD8" w:rsidRPr="00F11C16" w:rsidRDefault="00075DD8" w:rsidP="000D7CD2">
            <w:pPr>
              <w:pStyle w:val="TableOfAmend"/>
              <w:spacing w:line="260" w:lineRule="exact"/>
              <w:ind w:left="0" w:firstLine="0"/>
            </w:pPr>
            <w:r>
              <w:t xml:space="preserve">am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1.5.10</w:t>
            </w:r>
            <w:r>
              <w:tab/>
            </w:r>
          </w:p>
        </w:tc>
        <w:tc>
          <w:tcPr>
            <w:tcW w:w="3405" w:type="pct"/>
            <w:shd w:val="clear" w:color="auto" w:fill="auto"/>
          </w:tcPr>
          <w:p w:rsidR="00075DD8" w:rsidRDefault="00075DD8" w:rsidP="000D7CD2">
            <w:pPr>
              <w:pStyle w:val="TableOfAmend"/>
              <w:spacing w:line="260" w:lineRule="exact"/>
              <w:ind w:left="0" w:firstLine="0"/>
            </w:pPr>
            <w:r>
              <w:t xml:space="preserve">am </w:t>
            </w:r>
            <w:r>
              <w:rPr>
                <w:szCs w:val="22"/>
              </w:rPr>
              <w:t>F2019L01699 (</w:t>
            </w:r>
            <w:r w:rsidRPr="00A53569">
              <w:rPr>
                <w:szCs w:val="22"/>
                <w:u w:val="single"/>
              </w:rPr>
              <w:t>Sch 2 items 2, 2A</w:t>
            </w:r>
            <w:r>
              <w:rPr>
                <w:szCs w:val="22"/>
              </w:rPr>
              <w:t>)</w:t>
            </w:r>
          </w:p>
        </w:tc>
      </w:tr>
      <w:tr w:rsidR="00075DD8" w:rsidTr="00584BB1">
        <w:trPr>
          <w:cantSplit/>
        </w:trPr>
        <w:tc>
          <w:tcPr>
            <w:tcW w:w="1595" w:type="pct"/>
            <w:shd w:val="clear" w:color="auto" w:fill="auto"/>
          </w:tcPr>
          <w:p w:rsidR="00075DD8" w:rsidRPr="00A53569" w:rsidRDefault="00075DD8" w:rsidP="000D7CD2">
            <w:pPr>
              <w:pStyle w:val="TableOfAmend"/>
              <w:spacing w:line="260" w:lineRule="exact"/>
              <w:rPr>
                <w:b/>
              </w:rPr>
            </w:pPr>
            <w:r>
              <w:rPr>
                <w:b/>
              </w:rPr>
              <w:t>Chapter 2</w:t>
            </w:r>
          </w:p>
        </w:tc>
        <w:tc>
          <w:tcPr>
            <w:tcW w:w="3405" w:type="pct"/>
            <w:shd w:val="clear" w:color="auto" w:fill="auto"/>
          </w:tcPr>
          <w:p w:rsidR="00075DD8" w:rsidRDefault="00075DD8" w:rsidP="000D7CD2">
            <w:pPr>
              <w:pStyle w:val="TableOfAmend"/>
              <w:spacing w:line="260" w:lineRule="exact"/>
              <w:ind w:left="0" w:firstLine="0"/>
            </w:pPr>
          </w:p>
        </w:tc>
      </w:tr>
      <w:tr w:rsidR="00075DD8" w:rsidTr="00584BB1">
        <w:trPr>
          <w:cantSplit/>
        </w:trPr>
        <w:tc>
          <w:tcPr>
            <w:tcW w:w="1595" w:type="pct"/>
            <w:shd w:val="clear" w:color="auto" w:fill="auto"/>
          </w:tcPr>
          <w:p w:rsidR="00075DD8" w:rsidRDefault="00075DD8" w:rsidP="000D7CD2">
            <w:pPr>
              <w:pStyle w:val="TableOfAmend"/>
              <w:spacing w:line="260" w:lineRule="exact"/>
            </w:pPr>
            <w:r>
              <w:t>Chapter 2</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2.1.15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2.1.20.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2.1.25.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2.1.30.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2.1.35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2.5.1.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2.5.5.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A53569">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2.10.20.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2.10.25.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2.10.30.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2.10.35.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2.10.40.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2.15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2.15.15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2.15.20.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2.15.25.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2.15.30.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lastRenderedPageBreak/>
              <w:t>Subchapter 2.20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2.20.1.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2.20.5.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2.20.10.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2.20.15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2.25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2.25.1.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2.25.5.</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2.25.10.</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2.25.15.</w:t>
            </w:r>
            <w:r>
              <w:tab/>
            </w:r>
          </w:p>
        </w:tc>
        <w:tc>
          <w:tcPr>
            <w:tcW w:w="3405" w:type="pct"/>
            <w:shd w:val="clear" w:color="auto" w:fill="auto"/>
          </w:tcPr>
          <w:p w:rsidR="00075DD8" w:rsidRDefault="00641151" w:rsidP="000D7CD2">
            <w:pPr>
              <w:pStyle w:val="TableOfAmend"/>
              <w:spacing w:line="260" w:lineRule="exact"/>
              <w:ind w:left="0" w:firstLine="0"/>
            </w:pPr>
            <w:r>
              <w:t>ad</w:t>
            </w:r>
            <w:r w:rsidR="00075DD8">
              <w:t xml:space="preserve"> </w:t>
            </w:r>
            <w:r w:rsidR="00075DD8"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2.30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2.30.1.</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2.35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2.35.1.</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u w:val="single"/>
              </w:rPr>
              <w:t>F2019L01699</w:t>
            </w:r>
          </w:p>
        </w:tc>
      </w:tr>
      <w:tr w:rsidR="00075DD8" w:rsidTr="00584BB1">
        <w:trPr>
          <w:cantSplit/>
        </w:trPr>
        <w:tc>
          <w:tcPr>
            <w:tcW w:w="1595" w:type="pct"/>
            <w:shd w:val="clear" w:color="auto" w:fill="auto"/>
          </w:tcPr>
          <w:p w:rsidR="00075DD8" w:rsidRPr="00A53569" w:rsidRDefault="00075DD8" w:rsidP="000D7CD2">
            <w:pPr>
              <w:pStyle w:val="TableOfAmend"/>
              <w:spacing w:line="260" w:lineRule="exact"/>
              <w:rPr>
                <w:b/>
              </w:rPr>
            </w:pPr>
            <w:r w:rsidRPr="00A53569">
              <w:rPr>
                <w:b/>
              </w:rPr>
              <w:t>Chapter 3</w:t>
            </w:r>
          </w:p>
        </w:tc>
        <w:tc>
          <w:tcPr>
            <w:tcW w:w="3405" w:type="pct"/>
            <w:shd w:val="clear" w:color="auto" w:fill="auto"/>
          </w:tcPr>
          <w:p w:rsidR="00075DD8" w:rsidRDefault="00075DD8" w:rsidP="000D7CD2">
            <w:pPr>
              <w:pStyle w:val="TableOfAmend"/>
              <w:spacing w:line="260" w:lineRule="exact"/>
              <w:ind w:left="0" w:firstLine="0"/>
            </w:pPr>
          </w:p>
        </w:tc>
      </w:tr>
      <w:tr w:rsidR="00075DD8" w:rsidTr="00584BB1">
        <w:trPr>
          <w:cantSplit/>
        </w:trPr>
        <w:tc>
          <w:tcPr>
            <w:tcW w:w="1595" w:type="pct"/>
            <w:shd w:val="clear" w:color="auto" w:fill="auto"/>
          </w:tcPr>
          <w:p w:rsidR="00075DD8" w:rsidRDefault="00075DD8" w:rsidP="000D7CD2">
            <w:pPr>
              <w:pStyle w:val="TableOfAmend"/>
              <w:spacing w:line="260" w:lineRule="exact"/>
            </w:pPr>
            <w:r>
              <w:t>Chapter 3</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A53569">
              <w:rPr>
                <w:szCs w:val="22"/>
                <w:u w:val="single"/>
              </w:rPr>
              <w:t>F2019L01699</w:t>
            </w:r>
            <w:r>
              <w:rPr>
                <w:szCs w:val="22"/>
                <w:u w:val="single"/>
              </w:rPr>
              <w:t xml:space="preserve"> </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3.1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szCs w:val="22"/>
                <w:u w:val="single"/>
              </w:rPr>
              <w:t>F2019L01699</w:t>
            </w:r>
            <w:r>
              <w:rPr>
                <w:szCs w:val="22"/>
                <w:u w:val="single"/>
              </w:rPr>
              <w:t xml:space="preserve"> </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3.1.1.</w:t>
            </w:r>
            <w:r>
              <w:tab/>
            </w:r>
          </w:p>
        </w:tc>
        <w:tc>
          <w:tcPr>
            <w:tcW w:w="3405" w:type="pct"/>
            <w:shd w:val="clear" w:color="auto" w:fill="auto"/>
          </w:tcPr>
          <w:p w:rsidR="00075DD8" w:rsidRDefault="00075DD8" w:rsidP="000D7CD2">
            <w:pPr>
              <w:pStyle w:val="TableOfAmend"/>
              <w:spacing w:line="260" w:lineRule="exact"/>
              <w:ind w:left="0" w:firstLine="0"/>
            </w:pPr>
            <w:r>
              <w:t xml:space="preserve">rs </w:t>
            </w:r>
            <w:r w:rsidRPr="004746D6">
              <w:rPr>
                <w:szCs w:val="22"/>
                <w:u w:val="single"/>
              </w:rPr>
              <w:t>F2019L01699</w:t>
            </w:r>
            <w:r>
              <w:rPr>
                <w:szCs w:val="22"/>
                <w:u w:val="single"/>
              </w:rPr>
              <w:t xml:space="preserve"> </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3.2</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szCs w:val="22"/>
                <w:u w:val="single"/>
              </w:rPr>
              <w:t>F2019L01699</w:t>
            </w:r>
            <w:r>
              <w:rPr>
                <w:szCs w:val="22"/>
                <w:u w:val="single"/>
              </w:rPr>
              <w:t xml:space="preserve"> </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3.2.1.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sidRPr="004746D6">
              <w:rPr>
                <w:szCs w:val="22"/>
                <w:u w:val="single"/>
              </w:rPr>
              <w:t>F2019L01699</w:t>
            </w:r>
            <w:r>
              <w:rPr>
                <w:szCs w:val="22"/>
                <w:u w:val="single"/>
              </w:rPr>
              <w:t xml:space="preserve"> </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3.5</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szCs w:val="22"/>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3.5.1.</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szCs w:val="22"/>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3.10</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szCs w:val="22"/>
                <w:u w:val="single"/>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Paragraph 3.10.1.</w:t>
            </w:r>
            <w:r>
              <w:tab/>
            </w:r>
          </w:p>
        </w:tc>
        <w:tc>
          <w:tcPr>
            <w:tcW w:w="3405" w:type="pct"/>
            <w:shd w:val="clear" w:color="auto" w:fill="auto"/>
          </w:tcPr>
          <w:p w:rsidR="00075DD8" w:rsidRDefault="00075DD8" w:rsidP="000D7CD2">
            <w:pPr>
              <w:pStyle w:val="TableOfAmend"/>
              <w:spacing w:line="260" w:lineRule="exact"/>
              <w:ind w:left="0" w:firstLine="0"/>
            </w:pPr>
            <w:r>
              <w:t xml:space="preserve">rep </w:t>
            </w:r>
            <w:r w:rsidRPr="004746D6">
              <w:rPr>
                <w:szCs w:val="22"/>
                <w:u w:val="single"/>
              </w:rPr>
              <w:t>F2019L01699</w:t>
            </w:r>
          </w:p>
        </w:tc>
      </w:tr>
      <w:tr w:rsidR="00075DD8" w:rsidTr="00584BB1">
        <w:trPr>
          <w:cantSplit/>
        </w:trPr>
        <w:tc>
          <w:tcPr>
            <w:tcW w:w="1595" w:type="pct"/>
            <w:shd w:val="clear" w:color="auto" w:fill="auto"/>
          </w:tcPr>
          <w:p w:rsidR="00075DD8" w:rsidRPr="00A53569" w:rsidRDefault="00075DD8" w:rsidP="000D7CD2">
            <w:pPr>
              <w:pStyle w:val="TableOfAmend"/>
              <w:spacing w:line="260" w:lineRule="exact"/>
              <w:rPr>
                <w:b/>
              </w:rPr>
            </w:pPr>
            <w:r w:rsidRPr="00A53569">
              <w:rPr>
                <w:b/>
              </w:rPr>
              <w:t>Chapter 5</w:t>
            </w:r>
          </w:p>
        </w:tc>
        <w:tc>
          <w:tcPr>
            <w:tcW w:w="3405" w:type="pct"/>
            <w:shd w:val="clear" w:color="auto" w:fill="auto"/>
          </w:tcPr>
          <w:p w:rsidR="00075DD8" w:rsidRDefault="00075DD8" w:rsidP="000D7CD2">
            <w:pPr>
              <w:pStyle w:val="TableOfAmend"/>
              <w:spacing w:line="260" w:lineRule="exact"/>
              <w:ind w:left="0" w:firstLine="0"/>
            </w:pP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Paragraph 5.1.1</w:t>
            </w:r>
            <w:r>
              <w:tab/>
            </w:r>
          </w:p>
        </w:tc>
        <w:tc>
          <w:tcPr>
            <w:tcW w:w="3405" w:type="pct"/>
            <w:shd w:val="clear" w:color="auto" w:fill="auto"/>
          </w:tcPr>
          <w:p w:rsidR="00075DD8" w:rsidRPr="00F11C16" w:rsidRDefault="00641151" w:rsidP="000D7CD2">
            <w:pPr>
              <w:pStyle w:val="TableOfAmend"/>
              <w:spacing w:line="260" w:lineRule="exact"/>
              <w:ind w:left="0" w:firstLine="0"/>
            </w:pPr>
            <w:r>
              <w:t>am</w:t>
            </w:r>
            <w:r w:rsidR="00075DD8" w:rsidRPr="003B0E21">
              <w:t xml:space="preserve"> F2013L01508</w:t>
            </w:r>
          </w:p>
        </w:tc>
      </w:tr>
      <w:tr w:rsidR="00075DD8" w:rsidRPr="00F11C16" w:rsidTr="00584BB1">
        <w:trPr>
          <w:cantSplit/>
        </w:trPr>
        <w:tc>
          <w:tcPr>
            <w:tcW w:w="1595" w:type="pct"/>
            <w:shd w:val="clear" w:color="auto" w:fill="auto"/>
          </w:tcPr>
          <w:p w:rsidR="00075DD8" w:rsidRDefault="00641151" w:rsidP="000D7CD2">
            <w:pPr>
              <w:pStyle w:val="TableOfAmend"/>
              <w:spacing w:line="260" w:lineRule="exact"/>
            </w:pPr>
            <w:r>
              <w:t>Subchapter 5.5</w:t>
            </w:r>
            <w:r w:rsidR="00075DD8">
              <w:tab/>
            </w:r>
          </w:p>
        </w:tc>
        <w:tc>
          <w:tcPr>
            <w:tcW w:w="3405" w:type="pct"/>
            <w:shd w:val="clear" w:color="auto" w:fill="auto"/>
          </w:tcPr>
          <w:p w:rsidR="00075DD8" w:rsidRPr="00F11C16" w:rsidRDefault="00641151" w:rsidP="000D7CD2">
            <w:pPr>
              <w:pStyle w:val="TableOfAmend"/>
              <w:spacing w:line="260" w:lineRule="exact"/>
              <w:ind w:left="0" w:firstLine="0"/>
            </w:pPr>
            <w:r>
              <w:t>am</w:t>
            </w:r>
            <w:r w:rsidR="00075DD8" w:rsidRPr="003B0E21">
              <w:t xml:space="preserve"> F2013L01508</w:t>
            </w: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Paragraph 5.5.1</w:t>
            </w:r>
            <w:r>
              <w:tab/>
            </w:r>
          </w:p>
        </w:tc>
        <w:tc>
          <w:tcPr>
            <w:tcW w:w="3405" w:type="pct"/>
            <w:shd w:val="clear" w:color="auto" w:fill="auto"/>
          </w:tcPr>
          <w:p w:rsidR="00075DD8" w:rsidRPr="00F11C16" w:rsidRDefault="00641151" w:rsidP="000D7CD2">
            <w:pPr>
              <w:pStyle w:val="TableOfAmend"/>
              <w:spacing w:line="260" w:lineRule="exact"/>
              <w:ind w:left="0" w:firstLine="0"/>
            </w:pPr>
            <w:r>
              <w:t>rs</w:t>
            </w:r>
            <w:r w:rsidR="00075DD8" w:rsidRPr="003B0E21">
              <w:t xml:space="preserve"> F2013L01508</w:t>
            </w: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Subchapter 5.10</w:t>
            </w:r>
            <w:r>
              <w:tab/>
            </w:r>
          </w:p>
        </w:tc>
        <w:tc>
          <w:tcPr>
            <w:tcW w:w="3405" w:type="pct"/>
            <w:shd w:val="clear" w:color="auto" w:fill="auto"/>
          </w:tcPr>
          <w:p w:rsidR="00075DD8" w:rsidRPr="00F11C16" w:rsidRDefault="00641151" w:rsidP="000D7CD2">
            <w:pPr>
              <w:pStyle w:val="TableOfAmend"/>
              <w:spacing w:line="260" w:lineRule="exact"/>
              <w:ind w:left="0" w:firstLine="0"/>
            </w:pPr>
            <w:r>
              <w:t>rs</w:t>
            </w:r>
            <w:r w:rsidR="00075DD8" w:rsidRPr="003B0E21">
              <w:t xml:space="preserve"> F2013L01508</w:t>
            </w:r>
          </w:p>
        </w:tc>
      </w:tr>
      <w:tr w:rsidR="00075DD8" w:rsidRPr="00F11C16" w:rsidTr="00584BB1">
        <w:trPr>
          <w:cantSplit/>
        </w:trPr>
        <w:tc>
          <w:tcPr>
            <w:tcW w:w="1595" w:type="pct"/>
            <w:shd w:val="clear" w:color="auto" w:fill="auto"/>
          </w:tcPr>
          <w:p w:rsidR="00075DD8" w:rsidRDefault="00075DD8" w:rsidP="000D7CD2">
            <w:pPr>
              <w:pStyle w:val="TableOfAmend"/>
              <w:spacing w:line="260" w:lineRule="exact"/>
            </w:pPr>
            <w:r>
              <w:t>Subchapter 5.20</w:t>
            </w:r>
            <w:r>
              <w:tab/>
            </w:r>
          </w:p>
        </w:tc>
        <w:tc>
          <w:tcPr>
            <w:tcW w:w="3405" w:type="pct"/>
            <w:shd w:val="clear" w:color="auto" w:fill="auto"/>
          </w:tcPr>
          <w:p w:rsidR="00075DD8" w:rsidRPr="00F11C16" w:rsidRDefault="00641151" w:rsidP="000D7CD2">
            <w:pPr>
              <w:pStyle w:val="TableOfAmend"/>
              <w:spacing w:line="260" w:lineRule="exact"/>
              <w:ind w:left="0" w:firstLine="0"/>
            </w:pPr>
            <w:r>
              <w:t>rep</w:t>
            </w:r>
            <w:r w:rsidR="00075DD8" w:rsidRPr="003B0E21">
              <w:t xml:space="preserve"> F2013L01508</w:t>
            </w:r>
          </w:p>
        </w:tc>
      </w:tr>
      <w:tr w:rsidR="00075DD8" w:rsidRPr="00F11C16" w:rsidTr="00584BB1">
        <w:trPr>
          <w:cantSplit/>
        </w:trPr>
        <w:tc>
          <w:tcPr>
            <w:tcW w:w="1595" w:type="pct"/>
            <w:shd w:val="clear" w:color="auto" w:fill="auto"/>
          </w:tcPr>
          <w:p w:rsidR="00075DD8" w:rsidRPr="00950CC4" w:rsidRDefault="00075DD8" w:rsidP="000D7CD2">
            <w:pPr>
              <w:pStyle w:val="TableOfAmend"/>
              <w:spacing w:line="260" w:lineRule="exact"/>
            </w:pPr>
            <w:r w:rsidRPr="00950CC4">
              <w:t>Subchapter 5.25</w:t>
            </w:r>
            <w:r>
              <w:tab/>
            </w:r>
          </w:p>
        </w:tc>
        <w:tc>
          <w:tcPr>
            <w:tcW w:w="3405" w:type="pct"/>
            <w:shd w:val="clear" w:color="auto" w:fill="auto"/>
          </w:tcPr>
          <w:p w:rsidR="00075DD8" w:rsidRPr="00F11C16" w:rsidRDefault="00641151" w:rsidP="000D7CD2">
            <w:pPr>
              <w:pStyle w:val="TableOfAmend"/>
              <w:spacing w:line="260" w:lineRule="exact"/>
              <w:ind w:left="0" w:firstLine="0"/>
            </w:pPr>
            <w:r>
              <w:t>rs</w:t>
            </w:r>
            <w:r w:rsidR="00075DD8" w:rsidRPr="003B0E21">
              <w:t xml:space="preserve"> F2013L01508</w:t>
            </w:r>
          </w:p>
        </w:tc>
      </w:tr>
      <w:tr w:rsidR="00075DD8" w:rsidRPr="00F11C16" w:rsidTr="00584BB1">
        <w:trPr>
          <w:cantSplit/>
        </w:trPr>
        <w:tc>
          <w:tcPr>
            <w:tcW w:w="1595" w:type="pct"/>
            <w:shd w:val="clear" w:color="auto" w:fill="auto"/>
          </w:tcPr>
          <w:p w:rsidR="00075DD8" w:rsidRPr="00950CC4" w:rsidRDefault="00075DD8" w:rsidP="000D7CD2">
            <w:pPr>
              <w:pStyle w:val="TableOfAmend"/>
              <w:spacing w:line="260" w:lineRule="exact"/>
            </w:pPr>
            <w:r w:rsidRPr="00950CC4">
              <w:t>Subchapter 5.35</w:t>
            </w:r>
            <w:r>
              <w:tab/>
            </w:r>
          </w:p>
        </w:tc>
        <w:tc>
          <w:tcPr>
            <w:tcW w:w="3405" w:type="pct"/>
            <w:shd w:val="clear" w:color="auto" w:fill="auto"/>
          </w:tcPr>
          <w:p w:rsidR="00075DD8" w:rsidRPr="00F11C16" w:rsidRDefault="00641151" w:rsidP="000D7CD2">
            <w:pPr>
              <w:pStyle w:val="TableOfAmend"/>
              <w:spacing w:line="260" w:lineRule="exact"/>
              <w:ind w:left="0" w:firstLine="0"/>
            </w:pPr>
            <w:r>
              <w:t>ad</w:t>
            </w:r>
            <w:r w:rsidR="00075DD8" w:rsidRPr="003B0E21">
              <w:t xml:space="preserve"> F2013L01508</w:t>
            </w:r>
          </w:p>
        </w:tc>
      </w:tr>
      <w:tr w:rsidR="00075DD8" w:rsidRPr="003B0E21" w:rsidTr="00584BB1">
        <w:trPr>
          <w:cantSplit/>
        </w:trPr>
        <w:tc>
          <w:tcPr>
            <w:tcW w:w="1595" w:type="pct"/>
            <w:shd w:val="clear" w:color="auto" w:fill="auto"/>
          </w:tcPr>
          <w:p w:rsidR="00075DD8" w:rsidRPr="00A53569" w:rsidRDefault="00075DD8" w:rsidP="000D7CD2">
            <w:pPr>
              <w:pStyle w:val="TableOfAmend"/>
              <w:spacing w:line="260" w:lineRule="exact"/>
              <w:rPr>
                <w:b/>
              </w:rPr>
            </w:pPr>
            <w:r w:rsidRPr="00A53569">
              <w:rPr>
                <w:b/>
              </w:rPr>
              <w:t>Chapter 8</w:t>
            </w:r>
          </w:p>
        </w:tc>
        <w:tc>
          <w:tcPr>
            <w:tcW w:w="3405" w:type="pct"/>
            <w:shd w:val="clear" w:color="auto" w:fill="auto"/>
          </w:tcPr>
          <w:p w:rsidR="00075DD8" w:rsidRPr="003B0E21" w:rsidRDefault="00075DD8" w:rsidP="000D7CD2">
            <w:pPr>
              <w:pStyle w:val="TableOfAmend"/>
              <w:spacing w:line="260" w:lineRule="exact"/>
              <w:ind w:left="0" w:firstLine="0"/>
            </w:pPr>
          </w:p>
        </w:tc>
      </w:tr>
      <w:tr w:rsidR="00075DD8" w:rsidRPr="003B0E21" w:rsidTr="00584BB1">
        <w:trPr>
          <w:cantSplit/>
        </w:trPr>
        <w:tc>
          <w:tcPr>
            <w:tcW w:w="1595" w:type="pct"/>
            <w:shd w:val="clear" w:color="auto" w:fill="auto"/>
          </w:tcPr>
          <w:p w:rsidR="00075DD8" w:rsidRPr="00950CC4" w:rsidRDefault="00075DD8" w:rsidP="000D7CD2">
            <w:pPr>
              <w:pStyle w:val="TableOfAmend"/>
              <w:spacing w:line="260" w:lineRule="exact"/>
            </w:pPr>
            <w:r>
              <w:t>Chapter 8</w:t>
            </w:r>
            <w:r>
              <w:tab/>
            </w:r>
          </w:p>
        </w:tc>
        <w:tc>
          <w:tcPr>
            <w:tcW w:w="3405" w:type="pct"/>
            <w:shd w:val="clear" w:color="auto" w:fill="auto"/>
          </w:tcPr>
          <w:p w:rsidR="00075DD8" w:rsidRPr="003B0E21"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8.1.1.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8.2</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8.2.1.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8.2.5.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8.2.10.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8.2.15.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8.2.20.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8.3</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8.3.1.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8.4</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lastRenderedPageBreak/>
              <w:t>Pargraph 8.4.1.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8.5.1.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8.5.5.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8.5.10.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8.5.15.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8.6</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8.6.1.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8.6.5.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8.6.10.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8.6.15.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8.7</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8.7.1.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8.7.5.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8.7.10.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8.7.15.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8.8</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8.8.1.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8.8.5.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8.8.10.</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8.8.15.</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Pr="00A53569" w:rsidRDefault="00075DD8" w:rsidP="000D7CD2">
            <w:pPr>
              <w:pStyle w:val="TableOfAmend"/>
              <w:spacing w:line="260" w:lineRule="exact"/>
              <w:rPr>
                <w:b/>
              </w:rPr>
            </w:pPr>
            <w:r w:rsidRPr="00A53569">
              <w:rPr>
                <w:b/>
              </w:rPr>
              <w:t>Chapter 9</w:t>
            </w:r>
          </w:p>
        </w:tc>
        <w:tc>
          <w:tcPr>
            <w:tcW w:w="3405" w:type="pct"/>
            <w:shd w:val="clear" w:color="auto" w:fill="auto"/>
          </w:tcPr>
          <w:p w:rsidR="00075DD8" w:rsidRDefault="00075DD8" w:rsidP="000D7CD2">
            <w:pPr>
              <w:pStyle w:val="TableOfAmend"/>
              <w:spacing w:line="260" w:lineRule="exact"/>
              <w:ind w:left="0" w:firstLine="0"/>
            </w:pPr>
          </w:p>
        </w:tc>
      </w:tr>
      <w:tr w:rsidR="00075DD8" w:rsidTr="00584BB1">
        <w:trPr>
          <w:cantSplit/>
        </w:trPr>
        <w:tc>
          <w:tcPr>
            <w:tcW w:w="1595" w:type="pct"/>
            <w:shd w:val="clear" w:color="auto" w:fill="auto"/>
          </w:tcPr>
          <w:p w:rsidR="00075DD8" w:rsidRDefault="00075DD8" w:rsidP="000D7CD2">
            <w:pPr>
              <w:pStyle w:val="TableOfAmend"/>
              <w:spacing w:line="260" w:lineRule="exact"/>
            </w:pPr>
            <w:r>
              <w:t>Chapter 9</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Subchapter 9.1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584BB1">
        <w:trPr>
          <w:cantSplit/>
        </w:trPr>
        <w:tc>
          <w:tcPr>
            <w:tcW w:w="1595" w:type="pct"/>
            <w:shd w:val="clear" w:color="auto" w:fill="auto"/>
          </w:tcPr>
          <w:p w:rsidR="00075DD8" w:rsidRDefault="00075DD8" w:rsidP="000D7CD2">
            <w:pPr>
              <w:pStyle w:val="TableOfAmend"/>
              <w:spacing w:line="260" w:lineRule="exact"/>
            </w:pPr>
            <w:r>
              <w:t>Pargraph 9.1.1.</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D5292E">
        <w:trPr>
          <w:cantSplit/>
        </w:trPr>
        <w:tc>
          <w:tcPr>
            <w:tcW w:w="1595" w:type="pct"/>
            <w:shd w:val="clear" w:color="auto" w:fill="auto"/>
          </w:tcPr>
          <w:p w:rsidR="00075DD8" w:rsidRDefault="00075DD8" w:rsidP="000D7CD2">
            <w:pPr>
              <w:pStyle w:val="TableOfAmend"/>
              <w:spacing w:line="260" w:lineRule="exact"/>
            </w:pPr>
            <w:r>
              <w:t>Subchapter 9.2</w:t>
            </w:r>
            <w:r>
              <w:tab/>
            </w:r>
          </w:p>
        </w:tc>
        <w:tc>
          <w:tcPr>
            <w:tcW w:w="3405" w:type="pct"/>
            <w:shd w:val="clear" w:color="auto" w:fill="auto"/>
          </w:tcPr>
          <w:p w:rsidR="00075DD8" w:rsidRDefault="00075DD8" w:rsidP="000D7CD2">
            <w:pPr>
              <w:pStyle w:val="TableOfAmend"/>
              <w:spacing w:line="260" w:lineRule="exact"/>
              <w:ind w:left="0" w:firstLine="0"/>
            </w:pPr>
            <w:r>
              <w:t xml:space="preserve">ad </w:t>
            </w:r>
            <w:r>
              <w:rPr>
                <w:szCs w:val="22"/>
              </w:rPr>
              <w:t>F2019L01699</w:t>
            </w:r>
          </w:p>
        </w:tc>
      </w:tr>
      <w:tr w:rsidR="00075DD8" w:rsidTr="00D5292E">
        <w:trPr>
          <w:cantSplit/>
        </w:trPr>
        <w:tc>
          <w:tcPr>
            <w:tcW w:w="1595" w:type="pct"/>
            <w:tcBorders>
              <w:bottom w:val="single" w:sz="4" w:space="0" w:color="auto"/>
            </w:tcBorders>
            <w:shd w:val="clear" w:color="auto" w:fill="auto"/>
          </w:tcPr>
          <w:p w:rsidR="00075DD8" w:rsidRDefault="00075DD8" w:rsidP="000D7CD2">
            <w:pPr>
              <w:pStyle w:val="TableOfAmend"/>
              <w:spacing w:line="260" w:lineRule="exact"/>
            </w:pPr>
            <w:r>
              <w:t>Pargraph 9.2.1.</w:t>
            </w:r>
            <w:r>
              <w:tab/>
            </w:r>
          </w:p>
        </w:tc>
        <w:tc>
          <w:tcPr>
            <w:tcW w:w="3405" w:type="pct"/>
            <w:tcBorders>
              <w:bottom w:val="single" w:sz="4" w:space="0" w:color="auto"/>
            </w:tcBorders>
            <w:shd w:val="clear" w:color="auto" w:fill="auto"/>
          </w:tcPr>
          <w:p w:rsidR="00075DD8" w:rsidRDefault="00075DD8" w:rsidP="000D7CD2">
            <w:pPr>
              <w:pStyle w:val="TableOfAmend"/>
              <w:spacing w:line="260" w:lineRule="exact"/>
              <w:ind w:left="0" w:firstLine="0"/>
            </w:pPr>
            <w:r>
              <w:t xml:space="preserve">ad </w:t>
            </w:r>
            <w:r>
              <w:rPr>
                <w:szCs w:val="22"/>
              </w:rPr>
              <w:t>F2019L01699</w:t>
            </w:r>
          </w:p>
        </w:tc>
      </w:tr>
    </w:tbl>
    <w:p w:rsidR="002B2703" w:rsidRDefault="002B2703" w:rsidP="00AE4D81">
      <w:pPr>
        <w:keepLines w:val="0"/>
        <w:autoSpaceDE w:val="0"/>
        <w:autoSpaceDN w:val="0"/>
        <w:adjustRightInd w:val="0"/>
      </w:pPr>
    </w:p>
    <w:p w:rsidR="00075DD8" w:rsidRPr="00AE4D81" w:rsidRDefault="00075DD8" w:rsidP="00075DD8">
      <w:pPr>
        <w:pStyle w:val="ENotesHeading2"/>
        <w:pageBreakBefore/>
        <w:outlineLvl w:val="9"/>
        <w:rPr>
          <w:rFonts w:ascii="Arial" w:hAnsi="Arial" w:cs="Arial"/>
          <w:sz w:val="28"/>
        </w:rPr>
      </w:pPr>
      <w:bookmarkStart w:id="45" w:name="_Toc31277309"/>
      <w:r w:rsidRPr="00AE4D81">
        <w:rPr>
          <w:rFonts w:ascii="Arial" w:hAnsi="Arial" w:cs="Arial"/>
          <w:sz w:val="28"/>
        </w:rPr>
        <w:lastRenderedPageBreak/>
        <w:t>Editorial changes</w:t>
      </w:r>
      <w:bookmarkEnd w:id="45"/>
    </w:p>
    <w:p w:rsidR="00075DD8" w:rsidRPr="003E607C" w:rsidRDefault="00971DA4" w:rsidP="00AE4D81">
      <w:pPr>
        <w:keepLines w:val="0"/>
      </w:pPr>
      <w:r w:rsidRPr="00F1113C">
        <w:t xml:space="preserve">In preparing this compilation for registration, the following kinds of editorial change(s) were made under the </w:t>
      </w:r>
      <w:r w:rsidRPr="00F1113C">
        <w:rPr>
          <w:i/>
        </w:rPr>
        <w:t>Legislation Act 2003</w:t>
      </w:r>
      <w:r w:rsidRPr="00F1113C">
        <w:t>.</w:t>
      </w:r>
    </w:p>
    <w:p w:rsidR="00075DD8" w:rsidRPr="003E607C" w:rsidRDefault="00075DD8" w:rsidP="00AE4D81">
      <w:pPr>
        <w:keepLines w:val="0"/>
      </w:pPr>
    </w:p>
    <w:p w:rsidR="00075DD8" w:rsidRPr="00AE4D81" w:rsidRDefault="00075DD8" w:rsidP="00AE4D81">
      <w:pPr>
        <w:keepLines w:val="0"/>
        <w:rPr>
          <w:b/>
          <w:sz w:val="24"/>
          <w:szCs w:val="24"/>
        </w:rPr>
      </w:pPr>
      <w:r w:rsidRPr="00AE4D81">
        <w:rPr>
          <w:b/>
          <w:sz w:val="24"/>
          <w:szCs w:val="24"/>
        </w:rPr>
        <w:t>Paragraph 1.1.1(a)</w:t>
      </w:r>
    </w:p>
    <w:p w:rsidR="00075DD8" w:rsidRPr="003E607C" w:rsidRDefault="00075DD8" w:rsidP="00AE4D81">
      <w:pPr>
        <w:keepLines w:val="0"/>
      </w:pPr>
    </w:p>
    <w:p w:rsidR="00075DD8" w:rsidRPr="003E607C" w:rsidRDefault="00075DD8" w:rsidP="00AE4D81">
      <w:pPr>
        <w:keepLines w:val="0"/>
        <w:rPr>
          <w:b/>
        </w:rPr>
      </w:pPr>
      <w:r w:rsidRPr="003E607C">
        <w:rPr>
          <w:b/>
        </w:rPr>
        <w:t>Kind of editorial change</w:t>
      </w:r>
    </w:p>
    <w:p w:rsidR="00075DD8" w:rsidRPr="003E607C" w:rsidRDefault="00075DD8" w:rsidP="00AE4D81">
      <w:pPr>
        <w:keepLines w:val="0"/>
      </w:pPr>
    </w:p>
    <w:p w:rsidR="00075DD8" w:rsidRPr="003E607C" w:rsidRDefault="00075DD8" w:rsidP="00AE4D81">
      <w:pPr>
        <w:keepLines w:val="0"/>
      </w:pPr>
      <w:r w:rsidRPr="003E607C">
        <w:t>Change to punctuation</w:t>
      </w:r>
    </w:p>
    <w:p w:rsidR="00075DD8" w:rsidRPr="003E607C" w:rsidRDefault="00075DD8" w:rsidP="00AE4D81">
      <w:pPr>
        <w:keepLines w:val="0"/>
      </w:pPr>
    </w:p>
    <w:p w:rsidR="00075DD8" w:rsidRPr="003E607C" w:rsidRDefault="00075DD8" w:rsidP="00AE4D81">
      <w:pPr>
        <w:keepLines w:val="0"/>
        <w:rPr>
          <w:b/>
        </w:rPr>
      </w:pPr>
      <w:r w:rsidRPr="003E607C">
        <w:rPr>
          <w:b/>
        </w:rPr>
        <w:t>Details of editorial change</w:t>
      </w:r>
    </w:p>
    <w:p w:rsidR="00075DD8" w:rsidRPr="003E607C" w:rsidRDefault="00075DD8" w:rsidP="00AE4D81">
      <w:pPr>
        <w:keepLines w:val="0"/>
      </w:pPr>
    </w:p>
    <w:p w:rsidR="00075DD8" w:rsidRPr="003E607C" w:rsidRDefault="00075DD8" w:rsidP="00AE4D81">
      <w:pPr>
        <w:keepLines w:val="0"/>
      </w:pPr>
      <w:r w:rsidRPr="003E607C">
        <w:t xml:space="preserve">Schedule 1 item 1 of the </w:t>
      </w:r>
      <w:r w:rsidRPr="003E607C">
        <w:rPr>
          <w:i/>
          <w:noProof/>
        </w:rPr>
        <w:t>Higher Education Provider Amendment (Tuition Protection and Other Measures) Guidelines 2019</w:t>
      </w:r>
      <w:r w:rsidRPr="003E607C">
        <w:t xml:space="preserve"> provides as follows:</w:t>
      </w:r>
    </w:p>
    <w:p w:rsidR="00145965" w:rsidRDefault="00145965" w:rsidP="00145965">
      <w:pPr>
        <w:pStyle w:val="ItemHead"/>
      </w:pPr>
      <w:r w:rsidRPr="002C1BA6">
        <w:t xml:space="preserve">1  </w:t>
      </w:r>
      <w:r>
        <w:t>After p</w:t>
      </w:r>
      <w:r w:rsidRPr="002C1BA6">
        <w:t>aragraph 1.1.1</w:t>
      </w:r>
      <w:r>
        <w:t>(a)</w:t>
      </w:r>
    </w:p>
    <w:p w:rsidR="00145965" w:rsidRPr="00EE207E" w:rsidRDefault="00145965" w:rsidP="00145965">
      <w:pPr>
        <w:pStyle w:val="Item"/>
      </w:pPr>
      <w:r>
        <w:t>Insert:</w:t>
      </w:r>
    </w:p>
    <w:p w:rsidR="00145965" w:rsidRPr="00EE207E" w:rsidRDefault="00145965" w:rsidP="00145965">
      <w:pPr>
        <w:ind w:left="1701" w:hanging="567"/>
        <w:rPr>
          <w:lang w:eastAsia="en-AU"/>
        </w:rPr>
      </w:pPr>
      <w:r w:rsidRPr="00EE207E">
        <w:rPr>
          <w:lang w:eastAsia="en-AU"/>
        </w:rPr>
        <w:t>; (aa)</w:t>
      </w:r>
      <w:r w:rsidRPr="00EE207E">
        <w:rPr>
          <w:lang w:eastAsia="en-AU"/>
        </w:rPr>
        <w:tab/>
        <w:t>set out the application fee for a body corporate’s application to be approved as a higher education provider;</w:t>
      </w:r>
    </w:p>
    <w:p w:rsidR="00075DD8" w:rsidRDefault="00075DD8" w:rsidP="00AE4D81">
      <w:pPr>
        <w:keepLines w:val="0"/>
      </w:pPr>
    </w:p>
    <w:p w:rsidR="00812A5B" w:rsidRDefault="00812A5B" w:rsidP="00AE4D81">
      <w:pPr>
        <w:keepLines w:val="0"/>
      </w:pPr>
      <w:r w:rsidRPr="00812A5B">
        <w:t xml:space="preserve">This action </w:t>
      </w:r>
      <w:r w:rsidR="00204C71">
        <w:t>results in</w:t>
      </w:r>
      <w:r w:rsidRPr="00812A5B">
        <w:t xml:space="preserve"> two </w:t>
      </w:r>
      <w:r>
        <w:t>semicolons</w:t>
      </w:r>
      <w:r w:rsidRPr="00812A5B">
        <w:t xml:space="preserve"> at the end of paragraph </w:t>
      </w:r>
      <w:r>
        <w:t>1</w:t>
      </w:r>
      <w:r w:rsidRPr="00812A5B">
        <w:t>.</w:t>
      </w:r>
      <w:r>
        <w:t>1.1</w:t>
      </w:r>
      <w:r w:rsidRPr="00812A5B">
        <w:t>(</w:t>
      </w:r>
      <w:r>
        <w:t>a</w:t>
      </w:r>
      <w:r w:rsidRPr="00812A5B">
        <w:t>).</w:t>
      </w:r>
    </w:p>
    <w:p w:rsidR="00812A5B" w:rsidRPr="003E607C" w:rsidRDefault="00812A5B" w:rsidP="00AE4D81">
      <w:pPr>
        <w:keepLines w:val="0"/>
      </w:pPr>
    </w:p>
    <w:p w:rsidR="00075DD8" w:rsidRPr="003E607C" w:rsidRDefault="00812A5B" w:rsidP="00AE4D81">
      <w:pPr>
        <w:keepLines w:val="0"/>
      </w:pPr>
      <w:r w:rsidRPr="00812A5B">
        <w:t xml:space="preserve">This compilation was editorially changed to remove the </w:t>
      </w:r>
      <w:r>
        <w:t>extra semicolon</w:t>
      </w:r>
      <w:r w:rsidRPr="00812A5B">
        <w:t xml:space="preserve"> at the end of paragraph</w:t>
      </w:r>
      <w:r>
        <w:t> 1</w:t>
      </w:r>
      <w:r w:rsidRPr="00812A5B">
        <w:t>.</w:t>
      </w:r>
      <w:r>
        <w:t>1.1</w:t>
      </w:r>
      <w:r w:rsidRPr="00812A5B">
        <w:t>(</w:t>
      </w:r>
      <w:r>
        <w:t>a</w:t>
      </w:r>
      <w:r w:rsidRPr="00812A5B">
        <w:t>) to bring it into line with legislative drafting practice.</w:t>
      </w:r>
    </w:p>
    <w:p w:rsidR="001D722D" w:rsidRDefault="001D722D" w:rsidP="00AE4D81">
      <w:pPr>
        <w:keepLines w:val="0"/>
        <w:autoSpaceDE w:val="0"/>
        <w:autoSpaceDN w:val="0"/>
        <w:adjustRightInd w:val="0"/>
        <w:sectPr w:rsidR="001D722D" w:rsidSect="00145145">
          <w:headerReference w:type="even" r:id="rId11"/>
          <w:headerReference w:type="default" r:id="rId12"/>
          <w:footerReference w:type="even" r:id="rId13"/>
          <w:footerReference w:type="default" r:id="rId14"/>
          <w:headerReference w:type="first" r:id="rId15"/>
          <w:footerReference w:type="first" r:id="rId16"/>
          <w:pgSz w:w="11907" w:h="16839" w:code="9"/>
          <w:pgMar w:top="851" w:right="1134" w:bottom="1304" w:left="1134" w:header="454" w:footer="1134" w:gutter="0"/>
          <w:paperSrc w:first="7" w:other="7"/>
          <w:pgNumType w:start="3"/>
          <w:cols w:space="720"/>
          <w:formProt w:val="0"/>
          <w:titlePg/>
          <w:docGrid w:linePitch="326"/>
        </w:sectPr>
      </w:pPr>
    </w:p>
    <w:p w:rsidR="00075DD8" w:rsidRDefault="00075DD8" w:rsidP="00234864">
      <w:pPr>
        <w:keepLines w:val="0"/>
        <w:autoSpaceDE w:val="0"/>
        <w:autoSpaceDN w:val="0"/>
        <w:adjustRightInd w:val="0"/>
      </w:pPr>
    </w:p>
    <w:sectPr w:rsidR="00075DD8" w:rsidSect="00145145">
      <w:type w:val="continuous"/>
      <w:pgSz w:w="11907" w:h="16839" w:code="9"/>
      <w:pgMar w:top="851" w:right="1134" w:bottom="1304" w:left="1134" w:header="454" w:footer="1134" w:gutter="0"/>
      <w:paperSrc w:first="7" w:other="7"/>
      <w:pgNumType w:start="3"/>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81" w:rsidRDefault="00AE4D81">
      <w:r>
        <w:separator/>
      </w:r>
    </w:p>
  </w:endnote>
  <w:endnote w:type="continuationSeparator" w:id="0">
    <w:p w:rsidR="00AE4D81" w:rsidRDefault="00AE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45" w:rsidRDefault="00145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81" w:rsidRDefault="00AE4D81" w:rsidP="00F56BC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5145">
      <w:rPr>
        <w:rStyle w:val="PageNumber"/>
        <w:noProof/>
      </w:rPr>
      <w:t>4</w:t>
    </w:r>
    <w:r>
      <w:rPr>
        <w:rStyle w:val="PageNumber"/>
      </w:rPr>
      <w:fldChar w:fldCharType="end"/>
    </w:r>
  </w:p>
  <w:p w:rsidR="00AE4D81" w:rsidRDefault="00AE4D81" w:rsidP="00F56BC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45" w:rsidRDefault="0014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81" w:rsidRDefault="00AE4D81">
      <w:r>
        <w:separator/>
      </w:r>
    </w:p>
  </w:footnote>
  <w:footnote w:type="continuationSeparator" w:id="0">
    <w:p w:rsidR="00AE4D81" w:rsidRDefault="00AE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45" w:rsidRDefault="00145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45" w:rsidRDefault="00145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45" w:rsidRDefault="00145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E3A"/>
    <w:multiLevelType w:val="multilevel"/>
    <w:tmpl w:val="FB6863C6"/>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
    <w:nsid w:val="02CF734D"/>
    <w:multiLevelType w:val="hybridMultilevel"/>
    <w:tmpl w:val="2C8E97BC"/>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2">
    <w:nsid w:val="052F1DF0"/>
    <w:multiLevelType w:val="hybridMultilevel"/>
    <w:tmpl w:val="E4D8CEF0"/>
    <w:lvl w:ilvl="0" w:tplc="E6328AD0">
      <w:start w:val="1"/>
      <w:numFmt w:val="lowerRoman"/>
      <w:lvlText w:val="(%1)"/>
      <w:lvlJc w:val="left"/>
      <w:pPr>
        <w:ind w:left="1694" w:hanging="418"/>
      </w:pPr>
      <w:rPr>
        <w:rFonts w:hint="default"/>
      </w:rPr>
    </w:lvl>
    <w:lvl w:ilvl="1" w:tplc="0C090019">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
    <w:nsid w:val="05ED0505"/>
    <w:multiLevelType w:val="multilevel"/>
    <w:tmpl w:val="4A10C614"/>
    <w:lvl w:ilvl="0">
      <w:start w:val="1"/>
      <w:numFmt w:val="lowerLetter"/>
      <w:lvlText w:val="(%1)"/>
      <w:lvlJc w:val="left"/>
      <w:pPr>
        <w:tabs>
          <w:tab w:val="num" w:pos="1160"/>
        </w:tabs>
        <w:ind w:left="1160" w:hanging="360"/>
      </w:pPr>
      <w:rPr>
        <w:rFonts w:hint="default"/>
        <w:sz w:val="22"/>
        <w:szCs w:val="22"/>
      </w:rPr>
    </w:lvl>
    <w:lvl w:ilvl="1">
      <w:start w:val="1"/>
      <w:numFmt w:val="bullet"/>
      <w:lvlText w:val=""/>
      <w:lvlJc w:val="left"/>
      <w:pPr>
        <w:tabs>
          <w:tab w:val="num" w:pos="2240"/>
        </w:tabs>
        <w:ind w:left="2240" w:hanging="360"/>
      </w:pPr>
      <w:rPr>
        <w:rFonts w:ascii="Symbol" w:hAnsi="Symbol" w:cs="Symbol" w:hint="default"/>
        <w:color w:val="auto"/>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4">
    <w:nsid w:val="06E813F0"/>
    <w:multiLevelType w:val="hybridMultilevel"/>
    <w:tmpl w:val="12C6AD7A"/>
    <w:lvl w:ilvl="0" w:tplc="0C090017">
      <w:start w:val="1"/>
      <w:numFmt w:val="lowerLetter"/>
      <w:lvlText w:val="%1)"/>
      <w:lvlJc w:val="left"/>
      <w:pPr>
        <w:tabs>
          <w:tab w:val="num" w:pos="1160"/>
        </w:tabs>
        <w:ind w:left="1160" w:hanging="360"/>
      </w:pPr>
    </w:lvl>
    <w:lvl w:ilvl="1" w:tplc="0C090019">
      <w:start w:val="1"/>
      <w:numFmt w:val="lowerLetter"/>
      <w:lvlText w:val="%2."/>
      <w:lvlJc w:val="left"/>
      <w:pPr>
        <w:tabs>
          <w:tab w:val="num" w:pos="1880"/>
        </w:tabs>
        <w:ind w:left="1880" w:hanging="360"/>
      </w:pPr>
    </w:lvl>
    <w:lvl w:ilvl="2" w:tplc="0C09001B">
      <w:start w:val="1"/>
      <w:numFmt w:val="lowerRoman"/>
      <w:lvlText w:val="%3."/>
      <w:lvlJc w:val="right"/>
      <w:pPr>
        <w:tabs>
          <w:tab w:val="num" w:pos="2600"/>
        </w:tabs>
        <w:ind w:left="2600" w:hanging="180"/>
      </w:pPr>
    </w:lvl>
    <w:lvl w:ilvl="3" w:tplc="0C09000F">
      <w:start w:val="1"/>
      <w:numFmt w:val="decimal"/>
      <w:lvlText w:val="%4."/>
      <w:lvlJc w:val="left"/>
      <w:pPr>
        <w:tabs>
          <w:tab w:val="num" w:pos="3320"/>
        </w:tabs>
        <w:ind w:left="3320" w:hanging="360"/>
      </w:pPr>
    </w:lvl>
    <w:lvl w:ilvl="4" w:tplc="0C090019">
      <w:start w:val="1"/>
      <w:numFmt w:val="lowerLetter"/>
      <w:lvlText w:val="%5."/>
      <w:lvlJc w:val="left"/>
      <w:pPr>
        <w:tabs>
          <w:tab w:val="num" w:pos="4040"/>
        </w:tabs>
        <w:ind w:left="4040" w:hanging="360"/>
      </w:pPr>
    </w:lvl>
    <w:lvl w:ilvl="5" w:tplc="0C09001B">
      <w:start w:val="1"/>
      <w:numFmt w:val="lowerRoman"/>
      <w:lvlText w:val="%6."/>
      <w:lvlJc w:val="right"/>
      <w:pPr>
        <w:tabs>
          <w:tab w:val="num" w:pos="4760"/>
        </w:tabs>
        <w:ind w:left="4760" w:hanging="180"/>
      </w:pPr>
    </w:lvl>
    <w:lvl w:ilvl="6" w:tplc="0C09000F">
      <w:start w:val="1"/>
      <w:numFmt w:val="decimal"/>
      <w:lvlText w:val="%7."/>
      <w:lvlJc w:val="left"/>
      <w:pPr>
        <w:tabs>
          <w:tab w:val="num" w:pos="5480"/>
        </w:tabs>
        <w:ind w:left="5480" w:hanging="360"/>
      </w:pPr>
    </w:lvl>
    <w:lvl w:ilvl="7" w:tplc="0C090019">
      <w:start w:val="1"/>
      <w:numFmt w:val="lowerLetter"/>
      <w:lvlText w:val="%8."/>
      <w:lvlJc w:val="left"/>
      <w:pPr>
        <w:tabs>
          <w:tab w:val="num" w:pos="6200"/>
        </w:tabs>
        <w:ind w:left="6200" w:hanging="360"/>
      </w:pPr>
    </w:lvl>
    <w:lvl w:ilvl="8" w:tplc="0C09001B">
      <w:start w:val="1"/>
      <w:numFmt w:val="lowerRoman"/>
      <w:lvlText w:val="%9."/>
      <w:lvlJc w:val="right"/>
      <w:pPr>
        <w:tabs>
          <w:tab w:val="num" w:pos="6920"/>
        </w:tabs>
        <w:ind w:left="6920" w:hanging="180"/>
      </w:pPr>
    </w:lvl>
  </w:abstractNum>
  <w:abstractNum w:abstractNumId="5">
    <w:nsid w:val="0921792D"/>
    <w:multiLevelType w:val="multilevel"/>
    <w:tmpl w:val="89AE4A8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6">
    <w:nsid w:val="0AB5729A"/>
    <w:multiLevelType w:val="hybridMultilevel"/>
    <w:tmpl w:val="C2105E42"/>
    <w:lvl w:ilvl="0" w:tplc="FFFFFFFF">
      <w:start w:val="1"/>
      <w:numFmt w:val="lowerLetter"/>
      <w:pStyle w:val="sub-paraxCharChar"/>
      <w:lvlText w:val="(%1)"/>
      <w:lvlJc w:val="left"/>
      <w:pPr>
        <w:tabs>
          <w:tab w:val="num" w:pos="360"/>
        </w:tabs>
        <w:ind w:left="927" w:hanging="567"/>
      </w:pPr>
      <w:rPr>
        <w:rFonts w:hint="default"/>
        <w:b w:val="0"/>
        <w:bCs w:val="0"/>
        <w:i w:val="0"/>
        <w:iCs w:val="0"/>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CA836A3"/>
    <w:multiLevelType w:val="hybridMultilevel"/>
    <w:tmpl w:val="755CC038"/>
    <w:lvl w:ilvl="0" w:tplc="3782FC10">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8">
    <w:nsid w:val="0F5C6E20"/>
    <w:multiLevelType w:val="hybridMultilevel"/>
    <w:tmpl w:val="2AA68016"/>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9">
    <w:nsid w:val="122542C6"/>
    <w:multiLevelType w:val="multilevel"/>
    <w:tmpl w:val="37B6BF6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0">
    <w:nsid w:val="12EE67FC"/>
    <w:multiLevelType w:val="multilevel"/>
    <w:tmpl w:val="7272DA9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1">
    <w:nsid w:val="17844ED1"/>
    <w:multiLevelType w:val="hybridMultilevel"/>
    <w:tmpl w:val="2EFE53EA"/>
    <w:lvl w:ilvl="0" w:tplc="A5CCFA7C">
      <w:start w:val="1"/>
      <w:numFmt w:val="decimal"/>
      <w:pStyle w:val="ScheduleItem"/>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490689"/>
    <w:multiLevelType w:val="hybridMultilevel"/>
    <w:tmpl w:val="DE26F4E2"/>
    <w:lvl w:ilvl="0" w:tplc="757EDCE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nsid w:val="1FCF7B52"/>
    <w:multiLevelType w:val="multilevel"/>
    <w:tmpl w:val="6604276C"/>
    <w:lvl w:ilvl="0">
      <w:start w:val="1"/>
      <w:numFmt w:val="lowerLetter"/>
      <w:lvlText w:val="(%1)"/>
      <w:lvlJc w:val="left"/>
      <w:pPr>
        <w:tabs>
          <w:tab w:val="num" w:pos="1160"/>
        </w:tabs>
        <w:ind w:left="1160" w:hanging="360"/>
      </w:pPr>
      <w:rPr>
        <w:rFonts w:hint="default"/>
        <w:color w:val="auto"/>
        <w:sz w:val="22"/>
        <w:szCs w:val="22"/>
      </w:rPr>
    </w:lvl>
    <w:lvl w:ilvl="1">
      <w:start w:val="1"/>
      <w:numFmt w:val="bullet"/>
      <w:lvlText w:val=""/>
      <w:lvlJc w:val="left"/>
      <w:pPr>
        <w:tabs>
          <w:tab w:val="num" w:pos="2240"/>
        </w:tabs>
        <w:ind w:left="2240" w:hanging="360"/>
      </w:pPr>
      <w:rPr>
        <w:rFonts w:ascii="Symbol" w:hAnsi="Symbol" w:cs="Symbol" w:hint="default"/>
        <w:color w:val="auto"/>
      </w:rPr>
    </w:lvl>
    <w:lvl w:ilvl="2">
      <w:start w:val="1"/>
      <w:numFmt w:val="bullet"/>
      <w:lvlText w:val=""/>
      <w:lvlJc w:val="left"/>
      <w:pPr>
        <w:tabs>
          <w:tab w:val="num" w:pos="2960"/>
        </w:tabs>
        <w:ind w:left="2960" w:hanging="360"/>
      </w:pPr>
      <w:rPr>
        <w:rFonts w:ascii="Wingdings" w:hAnsi="Wingdings" w:cs="Wingdings" w:hint="default"/>
        <w:color w:val="auto"/>
      </w:rPr>
    </w:lvl>
    <w:lvl w:ilvl="3">
      <w:start w:val="1"/>
      <w:numFmt w:val="bullet"/>
      <w:lvlText w:val=""/>
      <w:lvlJc w:val="left"/>
      <w:pPr>
        <w:tabs>
          <w:tab w:val="num" w:pos="3680"/>
        </w:tabs>
        <w:ind w:left="3680" w:hanging="360"/>
      </w:pPr>
      <w:rPr>
        <w:rFonts w:ascii="Symbol" w:hAnsi="Symbol" w:cs="Symbol" w:hint="default"/>
        <w:color w:val="auto"/>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14">
    <w:nsid w:val="1FEF3BF7"/>
    <w:multiLevelType w:val="hybridMultilevel"/>
    <w:tmpl w:val="46A6C454"/>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15">
    <w:nsid w:val="221417BD"/>
    <w:multiLevelType w:val="multilevel"/>
    <w:tmpl w:val="B62A192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6">
    <w:nsid w:val="27CF6E5E"/>
    <w:multiLevelType w:val="multilevel"/>
    <w:tmpl w:val="9648DE50"/>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7">
    <w:nsid w:val="29BA0AD8"/>
    <w:multiLevelType w:val="hybridMultilevel"/>
    <w:tmpl w:val="E4D8CEF0"/>
    <w:lvl w:ilvl="0" w:tplc="E6328AD0">
      <w:start w:val="1"/>
      <w:numFmt w:val="lowerRoman"/>
      <w:lvlText w:val="(%1)"/>
      <w:lvlJc w:val="left"/>
      <w:pPr>
        <w:ind w:left="1577" w:hanging="418"/>
      </w:pPr>
      <w:rPr>
        <w:rFonts w:hint="default"/>
      </w:rPr>
    </w:lvl>
    <w:lvl w:ilvl="1" w:tplc="0C090019">
      <w:start w:val="1"/>
      <w:numFmt w:val="lowerLetter"/>
      <w:lvlText w:val="%2."/>
      <w:lvlJc w:val="left"/>
      <w:pPr>
        <w:ind w:left="2239" w:hanging="360"/>
      </w:pPr>
    </w:lvl>
    <w:lvl w:ilvl="2" w:tplc="0C09001B" w:tentative="1">
      <w:start w:val="1"/>
      <w:numFmt w:val="lowerRoman"/>
      <w:lvlText w:val="%3."/>
      <w:lvlJc w:val="right"/>
      <w:pPr>
        <w:ind w:left="2959" w:hanging="180"/>
      </w:pPr>
    </w:lvl>
    <w:lvl w:ilvl="3" w:tplc="0C09000F" w:tentative="1">
      <w:start w:val="1"/>
      <w:numFmt w:val="decimal"/>
      <w:lvlText w:val="%4."/>
      <w:lvlJc w:val="left"/>
      <w:pPr>
        <w:ind w:left="3679" w:hanging="360"/>
      </w:pPr>
    </w:lvl>
    <w:lvl w:ilvl="4" w:tplc="0C090019" w:tentative="1">
      <w:start w:val="1"/>
      <w:numFmt w:val="lowerLetter"/>
      <w:lvlText w:val="%5."/>
      <w:lvlJc w:val="left"/>
      <w:pPr>
        <w:ind w:left="4399" w:hanging="360"/>
      </w:pPr>
    </w:lvl>
    <w:lvl w:ilvl="5" w:tplc="0C09001B" w:tentative="1">
      <w:start w:val="1"/>
      <w:numFmt w:val="lowerRoman"/>
      <w:lvlText w:val="%6."/>
      <w:lvlJc w:val="right"/>
      <w:pPr>
        <w:ind w:left="5119" w:hanging="180"/>
      </w:pPr>
    </w:lvl>
    <w:lvl w:ilvl="6" w:tplc="0C09000F" w:tentative="1">
      <w:start w:val="1"/>
      <w:numFmt w:val="decimal"/>
      <w:lvlText w:val="%7."/>
      <w:lvlJc w:val="left"/>
      <w:pPr>
        <w:ind w:left="5839" w:hanging="360"/>
      </w:pPr>
    </w:lvl>
    <w:lvl w:ilvl="7" w:tplc="0C090019" w:tentative="1">
      <w:start w:val="1"/>
      <w:numFmt w:val="lowerLetter"/>
      <w:lvlText w:val="%8."/>
      <w:lvlJc w:val="left"/>
      <w:pPr>
        <w:ind w:left="6559" w:hanging="360"/>
      </w:pPr>
    </w:lvl>
    <w:lvl w:ilvl="8" w:tplc="0C09001B" w:tentative="1">
      <w:start w:val="1"/>
      <w:numFmt w:val="lowerRoman"/>
      <w:lvlText w:val="%9."/>
      <w:lvlJc w:val="right"/>
      <w:pPr>
        <w:ind w:left="7279" w:hanging="180"/>
      </w:pPr>
    </w:lvl>
  </w:abstractNum>
  <w:abstractNum w:abstractNumId="18">
    <w:nsid w:val="2B53554F"/>
    <w:multiLevelType w:val="hybridMultilevel"/>
    <w:tmpl w:val="0F6CFE70"/>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2C2D72C3"/>
    <w:multiLevelType w:val="multilevel"/>
    <w:tmpl w:val="AA1A1C2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0">
    <w:nsid w:val="2D071FEC"/>
    <w:multiLevelType w:val="multilevel"/>
    <w:tmpl w:val="9FA407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CC4FEE"/>
    <w:multiLevelType w:val="multilevel"/>
    <w:tmpl w:val="00AC46D0"/>
    <w:lvl w:ilvl="0">
      <w:start w:val="1"/>
      <w:numFmt w:val="decimal"/>
      <w:pStyle w:val="ClauseLevel3CharCharChar"/>
      <w:lvlText w:val="%1."/>
      <w:lvlJc w:val="left"/>
      <w:pPr>
        <w:tabs>
          <w:tab w:val="num" w:pos="1134"/>
        </w:tabs>
        <w:ind w:left="1134" w:hanging="1134"/>
      </w:pPr>
      <w:rPr>
        <w:rFonts w:hint="default"/>
        <w:sz w:val="20"/>
        <w:szCs w:val="20"/>
      </w:rPr>
    </w:lvl>
    <w:lvl w:ilvl="1">
      <w:start w:val="1"/>
      <w:numFmt w:val="decimal"/>
      <w:lvlText w:val="%1.%2."/>
      <w:lvlJc w:val="left"/>
      <w:pPr>
        <w:tabs>
          <w:tab w:val="num" w:pos="1134"/>
        </w:tabs>
        <w:ind w:left="1134" w:hanging="1134"/>
      </w:pPr>
      <w:rPr>
        <w:rFonts w:hint="default"/>
        <w:sz w:val="20"/>
        <w:szCs w:val="20"/>
      </w:rPr>
    </w:lvl>
    <w:lvl w:ilvl="2">
      <w:start w:val="1"/>
      <w:numFmt w:val="lowerLetter"/>
      <w:pStyle w:val="ClauseLevel4CharChar"/>
      <w:lvlText w:val="%3."/>
      <w:lvlJc w:val="left"/>
      <w:pPr>
        <w:tabs>
          <w:tab w:val="num" w:pos="2225"/>
        </w:tabs>
        <w:ind w:left="2225" w:hanging="425"/>
      </w:pPr>
      <w:rPr>
        <w:rFonts w:hint="default"/>
      </w:rPr>
    </w:lvl>
    <w:lvl w:ilvl="3">
      <w:start w:val="1"/>
      <w:numFmt w:val="lowerRoman"/>
      <w:pStyle w:val="ClauseLevel5"/>
      <w:lvlText w:val="%4."/>
      <w:lvlJc w:val="left"/>
      <w:pPr>
        <w:tabs>
          <w:tab w:val="num" w:pos="850"/>
        </w:tabs>
        <w:ind w:left="850" w:hanging="850"/>
      </w:pPr>
      <w:rPr>
        <w:rFonts w:hint="default"/>
      </w:rPr>
    </w:lvl>
    <w:lvl w:ilvl="4">
      <w:start w:val="1"/>
      <w:numFmt w:val="upperLetter"/>
      <w:pStyle w:val="ClauseLevel6"/>
      <w:lvlText w:val="%5%4."/>
      <w:lvlJc w:val="left"/>
      <w:pPr>
        <w:tabs>
          <w:tab w:val="num" w:pos="-284"/>
        </w:tabs>
        <w:ind w:left="-284" w:hanging="425"/>
      </w:pPr>
      <w:rPr>
        <w:rFonts w:hint="default"/>
      </w:rPr>
    </w:lvl>
    <w:lvl w:ilvl="5">
      <w:start w:val="1"/>
      <w:numFmt w:val="upperLetter"/>
      <w:pStyle w:val="ClauseLevel7"/>
      <w:lvlText w:val="%4."/>
      <w:lvlJc w:val="left"/>
      <w:pPr>
        <w:tabs>
          <w:tab w:val="num" w:pos="-284"/>
        </w:tabs>
        <w:ind w:left="-284" w:hanging="425"/>
      </w:pPr>
      <w:rPr>
        <w:rFonts w:hint="default"/>
      </w:rPr>
    </w:lvl>
    <w:lvl w:ilvl="6">
      <w:start w:val="1"/>
      <w:numFmt w:val="upperLetter"/>
      <w:pStyle w:val="ClauseLevel8"/>
      <w:lvlText w:val="%4."/>
      <w:lvlJc w:val="left"/>
      <w:pPr>
        <w:tabs>
          <w:tab w:val="num" w:pos="-284"/>
        </w:tabs>
        <w:ind w:left="-284" w:hanging="425"/>
      </w:pPr>
      <w:rPr>
        <w:rFonts w:hint="default"/>
      </w:rPr>
    </w:lvl>
    <w:lvl w:ilvl="7">
      <w:start w:val="1"/>
      <w:numFmt w:val="upperLetter"/>
      <w:pStyle w:val="ClauseLevel9"/>
      <w:lvlText w:val="%4."/>
      <w:lvlJc w:val="left"/>
      <w:pPr>
        <w:tabs>
          <w:tab w:val="num" w:pos="-284"/>
        </w:tabs>
        <w:ind w:left="-284" w:hanging="425"/>
      </w:pPr>
      <w:rPr>
        <w:rFonts w:hint="default"/>
      </w:rPr>
    </w:lvl>
    <w:lvl w:ilvl="8">
      <w:start w:val="1"/>
      <w:numFmt w:val="upperLetter"/>
      <w:pStyle w:val="ClauseLevel10"/>
      <w:lvlText w:val="%4."/>
      <w:lvlJc w:val="left"/>
      <w:pPr>
        <w:tabs>
          <w:tab w:val="num" w:pos="-284"/>
        </w:tabs>
        <w:ind w:left="-284" w:hanging="425"/>
      </w:pPr>
      <w:rPr>
        <w:rFonts w:hint="default"/>
      </w:rPr>
    </w:lvl>
  </w:abstractNum>
  <w:abstractNum w:abstractNumId="22">
    <w:nsid w:val="31802A02"/>
    <w:multiLevelType w:val="hybridMultilevel"/>
    <w:tmpl w:val="0AB40BE0"/>
    <w:lvl w:ilvl="0" w:tplc="3782FC10">
      <w:start w:val="1"/>
      <w:numFmt w:val="lowerRoman"/>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3">
    <w:nsid w:val="33B14857"/>
    <w:multiLevelType w:val="hybridMultilevel"/>
    <w:tmpl w:val="CBD2B46C"/>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35DB639B"/>
    <w:multiLevelType w:val="hybridMultilevel"/>
    <w:tmpl w:val="00AC0D2A"/>
    <w:lvl w:ilvl="0" w:tplc="757ED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7186521"/>
    <w:multiLevelType w:val="hybridMultilevel"/>
    <w:tmpl w:val="E22AF0EE"/>
    <w:lvl w:ilvl="0" w:tplc="9976EE4C">
      <w:start w:val="1"/>
      <w:numFmt w:val="lowerLetter"/>
      <w:lvlText w:val="(%1)"/>
      <w:lvlJc w:val="left"/>
      <w:pPr>
        <w:tabs>
          <w:tab w:val="num" w:pos="1160"/>
        </w:tabs>
        <w:ind w:left="1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75624A7"/>
    <w:multiLevelType w:val="hybridMultilevel"/>
    <w:tmpl w:val="BCF6E440"/>
    <w:lvl w:ilvl="0" w:tplc="A838DE46">
      <w:start w:val="1"/>
      <w:numFmt w:val="lowerRoman"/>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nsid w:val="3BAC7281"/>
    <w:multiLevelType w:val="hybridMultilevel"/>
    <w:tmpl w:val="2C8E97BC"/>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28">
    <w:nsid w:val="3C8614EA"/>
    <w:multiLevelType w:val="hybridMultilevel"/>
    <w:tmpl w:val="8CC02046"/>
    <w:lvl w:ilvl="0" w:tplc="757EDCEA">
      <w:start w:val="1"/>
      <w:numFmt w:val="lowerLetter"/>
      <w:lvlText w:val="(%1)"/>
      <w:lvlJc w:val="left"/>
      <w:pPr>
        <w:tabs>
          <w:tab w:val="num" w:pos="1160"/>
        </w:tabs>
        <w:ind w:left="1160" w:hanging="360"/>
      </w:pPr>
      <w:rPr>
        <w:rFonts w:hint="default"/>
      </w:rPr>
    </w:lvl>
    <w:lvl w:ilvl="1" w:tplc="0C090019">
      <w:start w:val="1"/>
      <w:numFmt w:val="lowerLetter"/>
      <w:lvlText w:val="%2."/>
      <w:lvlJc w:val="left"/>
      <w:pPr>
        <w:tabs>
          <w:tab w:val="num" w:pos="1880"/>
        </w:tabs>
        <w:ind w:left="1880" w:hanging="360"/>
      </w:pPr>
    </w:lvl>
    <w:lvl w:ilvl="2" w:tplc="0C09001B">
      <w:start w:val="1"/>
      <w:numFmt w:val="lowerRoman"/>
      <w:lvlText w:val="%3."/>
      <w:lvlJc w:val="right"/>
      <w:pPr>
        <w:tabs>
          <w:tab w:val="num" w:pos="2600"/>
        </w:tabs>
        <w:ind w:left="2600" w:hanging="180"/>
      </w:pPr>
    </w:lvl>
    <w:lvl w:ilvl="3" w:tplc="0C09000F">
      <w:start w:val="1"/>
      <w:numFmt w:val="decimal"/>
      <w:lvlText w:val="%4."/>
      <w:lvlJc w:val="left"/>
      <w:pPr>
        <w:tabs>
          <w:tab w:val="num" w:pos="3320"/>
        </w:tabs>
        <w:ind w:left="3320" w:hanging="360"/>
      </w:pPr>
    </w:lvl>
    <w:lvl w:ilvl="4" w:tplc="0C090019">
      <w:start w:val="1"/>
      <w:numFmt w:val="lowerLetter"/>
      <w:lvlText w:val="%5."/>
      <w:lvlJc w:val="left"/>
      <w:pPr>
        <w:tabs>
          <w:tab w:val="num" w:pos="4040"/>
        </w:tabs>
        <w:ind w:left="4040" w:hanging="360"/>
      </w:pPr>
    </w:lvl>
    <w:lvl w:ilvl="5" w:tplc="0C09001B">
      <w:start w:val="1"/>
      <w:numFmt w:val="lowerRoman"/>
      <w:lvlText w:val="%6."/>
      <w:lvlJc w:val="right"/>
      <w:pPr>
        <w:tabs>
          <w:tab w:val="num" w:pos="4760"/>
        </w:tabs>
        <w:ind w:left="4760" w:hanging="180"/>
      </w:pPr>
    </w:lvl>
    <w:lvl w:ilvl="6" w:tplc="0C09000F">
      <w:start w:val="1"/>
      <w:numFmt w:val="decimal"/>
      <w:lvlText w:val="%7."/>
      <w:lvlJc w:val="left"/>
      <w:pPr>
        <w:tabs>
          <w:tab w:val="num" w:pos="5480"/>
        </w:tabs>
        <w:ind w:left="5480" w:hanging="360"/>
      </w:pPr>
    </w:lvl>
    <w:lvl w:ilvl="7" w:tplc="0C090019">
      <w:start w:val="1"/>
      <w:numFmt w:val="lowerLetter"/>
      <w:lvlText w:val="%8."/>
      <w:lvlJc w:val="left"/>
      <w:pPr>
        <w:tabs>
          <w:tab w:val="num" w:pos="6200"/>
        </w:tabs>
        <w:ind w:left="6200" w:hanging="360"/>
      </w:pPr>
    </w:lvl>
    <w:lvl w:ilvl="8" w:tplc="0C09001B">
      <w:start w:val="1"/>
      <w:numFmt w:val="lowerRoman"/>
      <w:lvlText w:val="%9."/>
      <w:lvlJc w:val="right"/>
      <w:pPr>
        <w:tabs>
          <w:tab w:val="num" w:pos="6920"/>
        </w:tabs>
        <w:ind w:left="6920" w:hanging="180"/>
      </w:pPr>
    </w:lvl>
  </w:abstractNum>
  <w:abstractNum w:abstractNumId="29">
    <w:nsid w:val="3E784073"/>
    <w:multiLevelType w:val="hybridMultilevel"/>
    <w:tmpl w:val="2C8E97BC"/>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30">
    <w:nsid w:val="3FC82E74"/>
    <w:multiLevelType w:val="hybridMultilevel"/>
    <w:tmpl w:val="E4D8CEF0"/>
    <w:lvl w:ilvl="0" w:tplc="E6328AD0">
      <w:start w:val="1"/>
      <w:numFmt w:val="lowerRoman"/>
      <w:lvlText w:val="(%1)"/>
      <w:lvlJc w:val="left"/>
      <w:pPr>
        <w:ind w:left="1694" w:hanging="418"/>
      </w:pPr>
      <w:rPr>
        <w:rFonts w:hint="default"/>
      </w:rPr>
    </w:lvl>
    <w:lvl w:ilvl="1" w:tplc="0C090019">
      <w:start w:val="1"/>
      <w:numFmt w:val="lowerLetter"/>
      <w:lvlText w:val="%2."/>
      <w:lvlJc w:val="left"/>
      <w:pPr>
        <w:ind w:left="2581" w:hanging="360"/>
      </w:pPr>
    </w:lvl>
    <w:lvl w:ilvl="2" w:tplc="0C09001B" w:tentative="1">
      <w:start w:val="1"/>
      <w:numFmt w:val="lowerRoman"/>
      <w:lvlText w:val="%3."/>
      <w:lvlJc w:val="right"/>
      <w:pPr>
        <w:ind w:left="3301" w:hanging="180"/>
      </w:pPr>
    </w:lvl>
    <w:lvl w:ilvl="3" w:tplc="0C09000F" w:tentative="1">
      <w:start w:val="1"/>
      <w:numFmt w:val="decimal"/>
      <w:lvlText w:val="%4."/>
      <w:lvlJc w:val="left"/>
      <w:pPr>
        <w:ind w:left="4021" w:hanging="360"/>
      </w:pPr>
    </w:lvl>
    <w:lvl w:ilvl="4" w:tplc="0C090019" w:tentative="1">
      <w:start w:val="1"/>
      <w:numFmt w:val="lowerLetter"/>
      <w:lvlText w:val="%5."/>
      <w:lvlJc w:val="left"/>
      <w:pPr>
        <w:ind w:left="4741" w:hanging="360"/>
      </w:pPr>
    </w:lvl>
    <w:lvl w:ilvl="5" w:tplc="0C09001B" w:tentative="1">
      <w:start w:val="1"/>
      <w:numFmt w:val="lowerRoman"/>
      <w:lvlText w:val="%6."/>
      <w:lvlJc w:val="right"/>
      <w:pPr>
        <w:ind w:left="5461" w:hanging="180"/>
      </w:pPr>
    </w:lvl>
    <w:lvl w:ilvl="6" w:tplc="0C09000F" w:tentative="1">
      <w:start w:val="1"/>
      <w:numFmt w:val="decimal"/>
      <w:lvlText w:val="%7."/>
      <w:lvlJc w:val="left"/>
      <w:pPr>
        <w:ind w:left="6181" w:hanging="360"/>
      </w:pPr>
    </w:lvl>
    <w:lvl w:ilvl="7" w:tplc="0C090019" w:tentative="1">
      <w:start w:val="1"/>
      <w:numFmt w:val="lowerLetter"/>
      <w:lvlText w:val="%8."/>
      <w:lvlJc w:val="left"/>
      <w:pPr>
        <w:ind w:left="6901" w:hanging="360"/>
      </w:pPr>
    </w:lvl>
    <w:lvl w:ilvl="8" w:tplc="0C09001B" w:tentative="1">
      <w:start w:val="1"/>
      <w:numFmt w:val="lowerRoman"/>
      <w:lvlText w:val="%9."/>
      <w:lvlJc w:val="right"/>
      <w:pPr>
        <w:ind w:left="7621" w:hanging="180"/>
      </w:pPr>
    </w:lvl>
  </w:abstractNum>
  <w:abstractNum w:abstractNumId="31">
    <w:nsid w:val="418D78D1"/>
    <w:multiLevelType w:val="multilevel"/>
    <w:tmpl w:val="8442499E"/>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2">
    <w:nsid w:val="442F0DF1"/>
    <w:multiLevelType w:val="hybridMultilevel"/>
    <w:tmpl w:val="0AB40BE0"/>
    <w:lvl w:ilvl="0" w:tplc="3782FC10">
      <w:start w:val="1"/>
      <w:numFmt w:val="lowerRoman"/>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3">
    <w:nsid w:val="478A42F7"/>
    <w:multiLevelType w:val="hybridMultilevel"/>
    <w:tmpl w:val="794836D0"/>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47BD6CBD"/>
    <w:multiLevelType w:val="multilevel"/>
    <w:tmpl w:val="4072C41E"/>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5">
    <w:nsid w:val="48941077"/>
    <w:multiLevelType w:val="hybridMultilevel"/>
    <w:tmpl w:val="9E6ACF54"/>
    <w:lvl w:ilvl="0" w:tplc="757ED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48AD466F"/>
    <w:multiLevelType w:val="multilevel"/>
    <w:tmpl w:val="1E8A1E4C"/>
    <w:lvl w:ilvl="0">
      <w:start w:val="1"/>
      <w:numFmt w:val="lowerLetter"/>
      <w:lvlText w:val="(%1)"/>
      <w:lvlJc w:val="left"/>
      <w:pPr>
        <w:tabs>
          <w:tab w:val="num" w:pos="1160"/>
        </w:tabs>
        <w:ind w:left="1160" w:hanging="360"/>
      </w:pPr>
      <w:rPr>
        <w:rFonts w:hint="default"/>
        <w:sz w:val="22"/>
        <w:szCs w:val="22"/>
      </w:rPr>
    </w:lvl>
    <w:lvl w:ilvl="1">
      <w:start w:val="1"/>
      <w:numFmt w:val="bullet"/>
      <w:lvlText w:val=""/>
      <w:lvlJc w:val="left"/>
      <w:pPr>
        <w:tabs>
          <w:tab w:val="num" w:pos="2240"/>
        </w:tabs>
        <w:ind w:left="2240" w:hanging="360"/>
      </w:pPr>
      <w:rPr>
        <w:rFonts w:ascii="Symbol" w:hAnsi="Symbol" w:cs="Symbol" w:hint="default"/>
        <w:color w:val="auto"/>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37">
    <w:nsid w:val="48C01F9F"/>
    <w:multiLevelType w:val="hybridMultilevel"/>
    <w:tmpl w:val="839A546A"/>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nsid w:val="48D72184"/>
    <w:multiLevelType w:val="hybridMultilevel"/>
    <w:tmpl w:val="755CC038"/>
    <w:lvl w:ilvl="0" w:tplc="3782FC10">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39">
    <w:nsid w:val="4C4D7BAC"/>
    <w:multiLevelType w:val="hybridMultilevel"/>
    <w:tmpl w:val="73C6EEBC"/>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40">
    <w:nsid w:val="4D383589"/>
    <w:multiLevelType w:val="multilevel"/>
    <w:tmpl w:val="648258CC"/>
    <w:lvl w:ilvl="0">
      <w:start w:val="1"/>
      <w:numFmt w:val="lowerLetter"/>
      <w:lvlText w:val="(%1)"/>
      <w:lvlJc w:val="left"/>
      <w:pPr>
        <w:tabs>
          <w:tab w:val="num" w:pos="1160"/>
        </w:tabs>
        <w:ind w:left="1160" w:hanging="360"/>
      </w:pPr>
      <w:rPr>
        <w:rFonts w:hint="default"/>
        <w:sz w:val="22"/>
        <w:szCs w:val="22"/>
      </w:rPr>
    </w:lvl>
    <w:lvl w:ilvl="1">
      <w:start w:val="1"/>
      <w:numFmt w:val="bullet"/>
      <w:lvlText w:val=""/>
      <w:lvlJc w:val="left"/>
      <w:pPr>
        <w:tabs>
          <w:tab w:val="num" w:pos="2240"/>
        </w:tabs>
        <w:ind w:left="2240" w:hanging="360"/>
      </w:pPr>
      <w:rPr>
        <w:rFonts w:ascii="Symbol" w:hAnsi="Symbol" w:cs="Symbol" w:hint="default"/>
        <w:color w:val="auto"/>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41">
    <w:nsid w:val="4D7955BE"/>
    <w:multiLevelType w:val="hybridMultilevel"/>
    <w:tmpl w:val="350C788C"/>
    <w:lvl w:ilvl="0" w:tplc="757ED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4D8707BD"/>
    <w:multiLevelType w:val="hybridMultilevel"/>
    <w:tmpl w:val="0AB40BE0"/>
    <w:lvl w:ilvl="0" w:tplc="3782FC10">
      <w:start w:val="1"/>
      <w:numFmt w:val="lowerRoman"/>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3">
    <w:nsid w:val="4DB13C13"/>
    <w:multiLevelType w:val="hybridMultilevel"/>
    <w:tmpl w:val="4CCEF360"/>
    <w:lvl w:ilvl="0" w:tplc="757EDC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4">
    <w:nsid w:val="541B61C7"/>
    <w:multiLevelType w:val="hybridMultilevel"/>
    <w:tmpl w:val="755CC038"/>
    <w:lvl w:ilvl="0" w:tplc="3782FC10">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45">
    <w:nsid w:val="5C101841"/>
    <w:multiLevelType w:val="multilevel"/>
    <w:tmpl w:val="1A3E3B2E"/>
    <w:lvl w:ilvl="0">
      <w:start w:val="1"/>
      <w:numFmt w:val="lowerLetter"/>
      <w:lvlText w:val="(%1)"/>
      <w:lvlJc w:val="left"/>
      <w:pPr>
        <w:tabs>
          <w:tab w:val="num" w:pos="1160"/>
        </w:tabs>
        <w:ind w:left="1160" w:hanging="360"/>
      </w:pPr>
      <w:rPr>
        <w:rFonts w:hint="default"/>
        <w:sz w:val="22"/>
        <w:szCs w:val="22"/>
      </w:rPr>
    </w:lvl>
    <w:lvl w:ilvl="1">
      <w:start w:val="1"/>
      <w:numFmt w:val="bullet"/>
      <w:lvlText w:val=""/>
      <w:lvlJc w:val="left"/>
      <w:pPr>
        <w:tabs>
          <w:tab w:val="num" w:pos="2240"/>
        </w:tabs>
        <w:ind w:left="2240" w:hanging="360"/>
      </w:pPr>
      <w:rPr>
        <w:rFonts w:ascii="Symbol" w:hAnsi="Symbol" w:cs="Symbol" w:hint="default"/>
        <w:color w:val="auto"/>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46">
    <w:nsid w:val="5CFE584A"/>
    <w:multiLevelType w:val="multilevel"/>
    <w:tmpl w:val="BC386220"/>
    <w:lvl w:ilvl="0">
      <w:start w:val="1"/>
      <w:numFmt w:val="lowerLetter"/>
      <w:lvlText w:val="(%1)"/>
      <w:lvlJc w:val="left"/>
      <w:pPr>
        <w:tabs>
          <w:tab w:val="num" w:pos="1164"/>
        </w:tabs>
        <w:ind w:left="1164" w:hanging="360"/>
      </w:pPr>
      <w:rPr>
        <w:rFonts w:hint="default"/>
        <w:sz w:val="22"/>
        <w:szCs w:val="22"/>
      </w:rPr>
    </w:lvl>
    <w:lvl w:ilvl="1">
      <w:start w:val="1"/>
      <w:numFmt w:val="bullet"/>
      <w:lvlText w:val=""/>
      <w:lvlJc w:val="left"/>
      <w:pPr>
        <w:tabs>
          <w:tab w:val="num" w:pos="2244"/>
        </w:tabs>
        <w:ind w:left="2244" w:hanging="360"/>
      </w:pPr>
      <w:rPr>
        <w:rFonts w:ascii="Symbol" w:hAnsi="Symbol" w:cs="Symbol" w:hint="default"/>
        <w:color w:val="auto"/>
      </w:rPr>
    </w:lvl>
    <w:lvl w:ilvl="2">
      <w:start w:val="1"/>
      <w:numFmt w:val="bullet"/>
      <w:lvlText w:val=""/>
      <w:lvlJc w:val="left"/>
      <w:pPr>
        <w:tabs>
          <w:tab w:val="num" w:pos="2964"/>
        </w:tabs>
        <w:ind w:left="2964" w:hanging="360"/>
      </w:pPr>
      <w:rPr>
        <w:rFonts w:ascii="Wingdings" w:hAnsi="Wingdings" w:cs="Wingdings" w:hint="default"/>
      </w:rPr>
    </w:lvl>
    <w:lvl w:ilvl="3">
      <w:start w:val="1"/>
      <w:numFmt w:val="bullet"/>
      <w:lvlText w:val=""/>
      <w:lvlJc w:val="left"/>
      <w:pPr>
        <w:tabs>
          <w:tab w:val="num" w:pos="3684"/>
        </w:tabs>
        <w:ind w:left="3684" w:hanging="360"/>
      </w:pPr>
      <w:rPr>
        <w:rFonts w:ascii="Symbol" w:hAnsi="Symbol" w:cs="Symbol" w:hint="default"/>
      </w:rPr>
    </w:lvl>
    <w:lvl w:ilvl="4">
      <w:start w:val="1"/>
      <w:numFmt w:val="bullet"/>
      <w:lvlText w:val="o"/>
      <w:lvlJc w:val="left"/>
      <w:pPr>
        <w:tabs>
          <w:tab w:val="num" w:pos="4404"/>
        </w:tabs>
        <w:ind w:left="4404" w:hanging="360"/>
      </w:pPr>
      <w:rPr>
        <w:rFonts w:ascii="Courier New" w:hAnsi="Courier New" w:cs="Courier New" w:hint="default"/>
      </w:rPr>
    </w:lvl>
    <w:lvl w:ilvl="5">
      <w:start w:val="1"/>
      <w:numFmt w:val="bullet"/>
      <w:lvlText w:val=""/>
      <w:lvlJc w:val="left"/>
      <w:pPr>
        <w:tabs>
          <w:tab w:val="num" w:pos="5124"/>
        </w:tabs>
        <w:ind w:left="5124" w:hanging="360"/>
      </w:pPr>
      <w:rPr>
        <w:rFonts w:ascii="Wingdings" w:hAnsi="Wingdings" w:cs="Wingdings" w:hint="default"/>
      </w:rPr>
    </w:lvl>
    <w:lvl w:ilvl="6">
      <w:start w:val="1"/>
      <w:numFmt w:val="bullet"/>
      <w:lvlText w:val=""/>
      <w:lvlJc w:val="left"/>
      <w:pPr>
        <w:tabs>
          <w:tab w:val="num" w:pos="5844"/>
        </w:tabs>
        <w:ind w:left="5844" w:hanging="360"/>
      </w:pPr>
      <w:rPr>
        <w:rFonts w:ascii="Symbol" w:hAnsi="Symbol" w:cs="Symbol" w:hint="default"/>
      </w:rPr>
    </w:lvl>
    <w:lvl w:ilvl="7">
      <w:start w:val="1"/>
      <w:numFmt w:val="bullet"/>
      <w:lvlText w:val="o"/>
      <w:lvlJc w:val="left"/>
      <w:pPr>
        <w:tabs>
          <w:tab w:val="num" w:pos="6564"/>
        </w:tabs>
        <w:ind w:left="6564" w:hanging="360"/>
      </w:pPr>
      <w:rPr>
        <w:rFonts w:ascii="Courier New" w:hAnsi="Courier New" w:cs="Courier New" w:hint="default"/>
      </w:rPr>
    </w:lvl>
    <w:lvl w:ilvl="8">
      <w:start w:val="1"/>
      <w:numFmt w:val="bullet"/>
      <w:lvlText w:val=""/>
      <w:lvlJc w:val="left"/>
      <w:pPr>
        <w:tabs>
          <w:tab w:val="num" w:pos="7284"/>
        </w:tabs>
        <w:ind w:left="7284" w:hanging="360"/>
      </w:pPr>
      <w:rPr>
        <w:rFonts w:ascii="Wingdings" w:hAnsi="Wingdings" w:cs="Wingdings" w:hint="default"/>
      </w:rPr>
    </w:lvl>
  </w:abstractNum>
  <w:abstractNum w:abstractNumId="47">
    <w:nsid w:val="5E564B06"/>
    <w:multiLevelType w:val="hybridMultilevel"/>
    <w:tmpl w:val="E0640288"/>
    <w:lvl w:ilvl="0" w:tplc="3782FC10">
      <w:start w:val="1"/>
      <w:numFmt w:val="lowerRoman"/>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8">
    <w:nsid w:val="6283064F"/>
    <w:multiLevelType w:val="hybridMultilevel"/>
    <w:tmpl w:val="755CC038"/>
    <w:lvl w:ilvl="0" w:tplc="3782FC1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nsid w:val="669661BE"/>
    <w:multiLevelType w:val="hybridMultilevel"/>
    <w:tmpl w:val="FA50639A"/>
    <w:lvl w:ilvl="0" w:tplc="8A5ED7D6">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50">
    <w:nsid w:val="67351AEB"/>
    <w:multiLevelType w:val="hybridMultilevel"/>
    <w:tmpl w:val="D2F820CC"/>
    <w:lvl w:ilvl="0" w:tplc="3782FC10">
      <w:start w:val="1"/>
      <w:numFmt w:val="lowerRoman"/>
      <w:lvlText w:val="(%1)"/>
      <w:lvlJc w:val="left"/>
      <w:pPr>
        <w:tabs>
          <w:tab w:val="num" w:pos="1519"/>
        </w:tabs>
        <w:ind w:left="1519" w:hanging="360"/>
      </w:pPr>
      <w:rPr>
        <w:rFonts w:hint="default"/>
      </w:rPr>
    </w:lvl>
    <w:lvl w:ilvl="1" w:tplc="0C090019">
      <w:start w:val="1"/>
      <w:numFmt w:val="lowerLetter"/>
      <w:lvlText w:val="%2."/>
      <w:lvlJc w:val="left"/>
      <w:pPr>
        <w:tabs>
          <w:tab w:val="num" w:pos="2239"/>
        </w:tabs>
        <w:ind w:left="2239" w:hanging="360"/>
      </w:pPr>
    </w:lvl>
    <w:lvl w:ilvl="2" w:tplc="0C09001B">
      <w:start w:val="1"/>
      <w:numFmt w:val="lowerRoman"/>
      <w:lvlText w:val="%3."/>
      <w:lvlJc w:val="right"/>
      <w:pPr>
        <w:tabs>
          <w:tab w:val="num" w:pos="2959"/>
        </w:tabs>
        <w:ind w:left="2959" w:hanging="180"/>
      </w:pPr>
    </w:lvl>
    <w:lvl w:ilvl="3" w:tplc="0C09000F">
      <w:start w:val="1"/>
      <w:numFmt w:val="decimal"/>
      <w:lvlText w:val="%4."/>
      <w:lvlJc w:val="left"/>
      <w:pPr>
        <w:tabs>
          <w:tab w:val="num" w:pos="3679"/>
        </w:tabs>
        <w:ind w:left="3679" w:hanging="360"/>
      </w:pPr>
    </w:lvl>
    <w:lvl w:ilvl="4" w:tplc="0C090019">
      <w:start w:val="1"/>
      <w:numFmt w:val="lowerLetter"/>
      <w:lvlText w:val="%5."/>
      <w:lvlJc w:val="left"/>
      <w:pPr>
        <w:tabs>
          <w:tab w:val="num" w:pos="4399"/>
        </w:tabs>
        <w:ind w:left="4399" w:hanging="360"/>
      </w:pPr>
    </w:lvl>
    <w:lvl w:ilvl="5" w:tplc="0C09001B">
      <w:start w:val="1"/>
      <w:numFmt w:val="lowerRoman"/>
      <w:lvlText w:val="%6."/>
      <w:lvlJc w:val="right"/>
      <w:pPr>
        <w:tabs>
          <w:tab w:val="num" w:pos="5119"/>
        </w:tabs>
        <w:ind w:left="5119" w:hanging="180"/>
      </w:pPr>
    </w:lvl>
    <w:lvl w:ilvl="6" w:tplc="0C09000F">
      <w:start w:val="1"/>
      <w:numFmt w:val="decimal"/>
      <w:lvlText w:val="%7."/>
      <w:lvlJc w:val="left"/>
      <w:pPr>
        <w:tabs>
          <w:tab w:val="num" w:pos="5839"/>
        </w:tabs>
        <w:ind w:left="5839" w:hanging="360"/>
      </w:pPr>
    </w:lvl>
    <w:lvl w:ilvl="7" w:tplc="0C090019">
      <w:start w:val="1"/>
      <w:numFmt w:val="lowerLetter"/>
      <w:lvlText w:val="%8."/>
      <w:lvlJc w:val="left"/>
      <w:pPr>
        <w:tabs>
          <w:tab w:val="num" w:pos="6559"/>
        </w:tabs>
        <w:ind w:left="6559" w:hanging="360"/>
      </w:pPr>
    </w:lvl>
    <w:lvl w:ilvl="8" w:tplc="0C09001B">
      <w:start w:val="1"/>
      <w:numFmt w:val="lowerRoman"/>
      <w:lvlText w:val="%9."/>
      <w:lvlJc w:val="right"/>
      <w:pPr>
        <w:tabs>
          <w:tab w:val="num" w:pos="7279"/>
        </w:tabs>
        <w:ind w:left="7279" w:hanging="180"/>
      </w:pPr>
    </w:lvl>
  </w:abstractNum>
  <w:abstractNum w:abstractNumId="51">
    <w:nsid w:val="6CDC15A3"/>
    <w:multiLevelType w:val="multilevel"/>
    <w:tmpl w:val="0C09001F"/>
    <w:styleLink w:val="111111"/>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nsid w:val="70703A79"/>
    <w:multiLevelType w:val="hybridMultilevel"/>
    <w:tmpl w:val="CA0CD4C2"/>
    <w:lvl w:ilvl="0" w:tplc="8A5ED7D6">
      <w:start w:val="1"/>
      <w:numFmt w:val="lowerLetter"/>
      <w:lvlText w:val="(%1)"/>
      <w:lvlJc w:val="left"/>
      <w:pPr>
        <w:ind w:left="1211" w:hanging="360"/>
      </w:pPr>
      <w:rPr>
        <w:rFonts w:hint="default"/>
      </w:rPr>
    </w:lvl>
    <w:lvl w:ilvl="1" w:tplc="CB5E4D32">
      <w:start w:val="1"/>
      <w:numFmt w:val="lowerRoman"/>
      <w:lvlText w:val="(%2)"/>
      <w:lvlJc w:val="left"/>
      <w:pPr>
        <w:ind w:left="1439" w:hanging="284"/>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3">
    <w:nsid w:val="732E69C6"/>
    <w:multiLevelType w:val="multilevel"/>
    <w:tmpl w:val="4D0AEDA6"/>
    <w:lvl w:ilvl="0">
      <w:start w:val="1"/>
      <w:numFmt w:val="lowerLetter"/>
      <w:lvlText w:val="(%1)"/>
      <w:lvlJc w:val="left"/>
      <w:pPr>
        <w:tabs>
          <w:tab w:val="num" w:pos="1287"/>
        </w:tabs>
        <w:ind w:left="1287" w:hanging="360"/>
      </w:pPr>
      <w:rPr>
        <w:rFonts w:hint="default"/>
        <w:sz w:val="22"/>
        <w:szCs w:val="22"/>
      </w:rPr>
    </w:lvl>
    <w:lvl w:ilvl="1">
      <w:start w:val="1"/>
      <w:numFmt w:val="bullet"/>
      <w:lvlText w:val=""/>
      <w:lvlJc w:val="left"/>
      <w:pPr>
        <w:tabs>
          <w:tab w:val="num" w:pos="2367"/>
        </w:tabs>
        <w:ind w:left="2367" w:hanging="360"/>
      </w:pPr>
      <w:rPr>
        <w:rFonts w:ascii="Symbol" w:hAnsi="Symbol" w:cs="Symbol" w:hint="default"/>
        <w:color w:val="auto"/>
      </w:rPr>
    </w:lvl>
    <w:lvl w:ilvl="2">
      <w:start w:val="1"/>
      <w:numFmt w:val="bullet"/>
      <w:lvlText w:val=""/>
      <w:lvlJc w:val="left"/>
      <w:pPr>
        <w:tabs>
          <w:tab w:val="num" w:pos="3087"/>
        </w:tabs>
        <w:ind w:left="3087" w:hanging="360"/>
      </w:pPr>
      <w:rPr>
        <w:rFonts w:ascii="Wingdings" w:hAnsi="Wingdings" w:cs="Wingdings" w:hint="default"/>
      </w:rPr>
    </w:lvl>
    <w:lvl w:ilvl="3">
      <w:start w:val="1"/>
      <w:numFmt w:val="bullet"/>
      <w:lvlText w:val=""/>
      <w:lvlJc w:val="left"/>
      <w:pPr>
        <w:tabs>
          <w:tab w:val="num" w:pos="3807"/>
        </w:tabs>
        <w:ind w:left="3807" w:hanging="360"/>
      </w:pPr>
      <w:rPr>
        <w:rFonts w:ascii="Symbol" w:hAnsi="Symbol" w:cs="Symbol"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cs="Wingdings" w:hint="default"/>
      </w:rPr>
    </w:lvl>
    <w:lvl w:ilvl="6">
      <w:start w:val="1"/>
      <w:numFmt w:val="bullet"/>
      <w:lvlText w:val=""/>
      <w:lvlJc w:val="left"/>
      <w:pPr>
        <w:tabs>
          <w:tab w:val="num" w:pos="5967"/>
        </w:tabs>
        <w:ind w:left="5967" w:hanging="360"/>
      </w:pPr>
      <w:rPr>
        <w:rFonts w:ascii="Symbol" w:hAnsi="Symbol" w:cs="Symbol"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cs="Wingdings" w:hint="default"/>
      </w:rPr>
    </w:lvl>
  </w:abstractNum>
  <w:abstractNum w:abstractNumId="54">
    <w:nsid w:val="766B42D7"/>
    <w:multiLevelType w:val="hybridMultilevel"/>
    <w:tmpl w:val="C996196C"/>
    <w:lvl w:ilvl="0" w:tplc="757EDCEA">
      <w:start w:val="1"/>
      <w:numFmt w:val="lowerLetter"/>
      <w:lvlText w:val="(%1)"/>
      <w:lvlJc w:val="left"/>
      <w:pPr>
        <w:ind w:left="1134" w:hanging="414"/>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nsid w:val="7B68251C"/>
    <w:multiLevelType w:val="hybridMultilevel"/>
    <w:tmpl w:val="A9521ABE"/>
    <w:lvl w:ilvl="0" w:tplc="757EDCEA">
      <w:start w:val="1"/>
      <w:numFmt w:val="lowerLetter"/>
      <w:lvlText w:val="(%1)"/>
      <w:lvlJc w:val="left"/>
      <w:pPr>
        <w:ind w:left="1160" w:hanging="360"/>
      </w:pPr>
      <w:rPr>
        <w:rFonts w:hint="default"/>
      </w:rPr>
    </w:lvl>
    <w:lvl w:ilvl="1" w:tplc="0C090019" w:tentative="1">
      <w:start w:val="1"/>
      <w:numFmt w:val="lowerLetter"/>
      <w:lvlText w:val="%2."/>
      <w:lvlJc w:val="left"/>
      <w:pPr>
        <w:ind w:left="1880" w:hanging="360"/>
      </w:pPr>
    </w:lvl>
    <w:lvl w:ilvl="2" w:tplc="0C09001B" w:tentative="1">
      <w:start w:val="1"/>
      <w:numFmt w:val="lowerRoman"/>
      <w:lvlText w:val="%3."/>
      <w:lvlJc w:val="right"/>
      <w:pPr>
        <w:ind w:left="2600" w:hanging="180"/>
      </w:pPr>
    </w:lvl>
    <w:lvl w:ilvl="3" w:tplc="0C09000F" w:tentative="1">
      <w:start w:val="1"/>
      <w:numFmt w:val="decimal"/>
      <w:lvlText w:val="%4."/>
      <w:lvlJc w:val="left"/>
      <w:pPr>
        <w:ind w:left="3320" w:hanging="360"/>
      </w:pPr>
    </w:lvl>
    <w:lvl w:ilvl="4" w:tplc="0C090019" w:tentative="1">
      <w:start w:val="1"/>
      <w:numFmt w:val="lowerLetter"/>
      <w:lvlText w:val="%5."/>
      <w:lvlJc w:val="left"/>
      <w:pPr>
        <w:ind w:left="4040" w:hanging="360"/>
      </w:pPr>
    </w:lvl>
    <w:lvl w:ilvl="5" w:tplc="0C09001B" w:tentative="1">
      <w:start w:val="1"/>
      <w:numFmt w:val="lowerRoman"/>
      <w:lvlText w:val="%6."/>
      <w:lvlJc w:val="right"/>
      <w:pPr>
        <w:ind w:left="4760" w:hanging="180"/>
      </w:pPr>
    </w:lvl>
    <w:lvl w:ilvl="6" w:tplc="0C09000F" w:tentative="1">
      <w:start w:val="1"/>
      <w:numFmt w:val="decimal"/>
      <w:lvlText w:val="%7."/>
      <w:lvlJc w:val="left"/>
      <w:pPr>
        <w:ind w:left="5480" w:hanging="360"/>
      </w:pPr>
    </w:lvl>
    <w:lvl w:ilvl="7" w:tplc="0C090019" w:tentative="1">
      <w:start w:val="1"/>
      <w:numFmt w:val="lowerLetter"/>
      <w:lvlText w:val="%8."/>
      <w:lvlJc w:val="left"/>
      <w:pPr>
        <w:ind w:left="6200" w:hanging="360"/>
      </w:pPr>
    </w:lvl>
    <w:lvl w:ilvl="8" w:tplc="0C09001B" w:tentative="1">
      <w:start w:val="1"/>
      <w:numFmt w:val="lowerRoman"/>
      <w:lvlText w:val="%9."/>
      <w:lvlJc w:val="right"/>
      <w:pPr>
        <w:ind w:left="6920" w:hanging="180"/>
      </w:pPr>
    </w:lvl>
  </w:abstractNum>
  <w:abstractNum w:abstractNumId="56">
    <w:nsid w:val="7CF93D09"/>
    <w:multiLevelType w:val="multilevel"/>
    <w:tmpl w:val="FDECEB4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57">
    <w:nsid w:val="7D6739E9"/>
    <w:multiLevelType w:val="hybridMultilevel"/>
    <w:tmpl w:val="755CC038"/>
    <w:lvl w:ilvl="0" w:tplc="3782FC10">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num w:numId="1">
    <w:abstractNumId w:val="6"/>
  </w:num>
  <w:num w:numId="2">
    <w:abstractNumId w:val="21"/>
  </w:num>
  <w:num w:numId="3">
    <w:abstractNumId w:val="51"/>
  </w:num>
  <w:num w:numId="4">
    <w:abstractNumId w:val="4"/>
  </w:num>
  <w:num w:numId="5">
    <w:abstractNumId w:val="13"/>
  </w:num>
  <w:num w:numId="6">
    <w:abstractNumId w:val="40"/>
  </w:num>
  <w:num w:numId="7">
    <w:abstractNumId w:val="3"/>
  </w:num>
  <w:num w:numId="8">
    <w:abstractNumId w:val="36"/>
  </w:num>
  <w:num w:numId="9">
    <w:abstractNumId w:val="53"/>
  </w:num>
  <w:num w:numId="10">
    <w:abstractNumId w:val="45"/>
  </w:num>
  <w:num w:numId="11">
    <w:abstractNumId w:val="56"/>
  </w:num>
  <w:num w:numId="12">
    <w:abstractNumId w:val="19"/>
  </w:num>
  <w:num w:numId="13">
    <w:abstractNumId w:val="0"/>
  </w:num>
  <w:num w:numId="14">
    <w:abstractNumId w:val="15"/>
  </w:num>
  <w:num w:numId="15">
    <w:abstractNumId w:val="16"/>
  </w:num>
  <w:num w:numId="16">
    <w:abstractNumId w:val="9"/>
  </w:num>
  <w:num w:numId="17">
    <w:abstractNumId w:val="10"/>
  </w:num>
  <w:num w:numId="18">
    <w:abstractNumId w:val="5"/>
  </w:num>
  <w:num w:numId="19">
    <w:abstractNumId w:val="39"/>
  </w:num>
  <w:num w:numId="20">
    <w:abstractNumId w:val="31"/>
  </w:num>
  <w:num w:numId="21">
    <w:abstractNumId w:val="26"/>
  </w:num>
  <w:num w:numId="22">
    <w:abstractNumId w:val="28"/>
  </w:num>
  <w:num w:numId="23">
    <w:abstractNumId w:val="20"/>
  </w:num>
  <w:num w:numId="24">
    <w:abstractNumId w:val="43"/>
  </w:num>
  <w:num w:numId="25">
    <w:abstractNumId w:val="18"/>
  </w:num>
  <w:num w:numId="26">
    <w:abstractNumId w:val="37"/>
  </w:num>
  <w:num w:numId="27">
    <w:abstractNumId w:val="33"/>
  </w:num>
  <w:num w:numId="28">
    <w:abstractNumId w:val="23"/>
  </w:num>
  <w:num w:numId="29">
    <w:abstractNumId w:val="54"/>
  </w:num>
  <w:num w:numId="30">
    <w:abstractNumId w:val="17"/>
  </w:num>
  <w:num w:numId="31">
    <w:abstractNumId w:val="34"/>
  </w:num>
  <w:num w:numId="32">
    <w:abstractNumId w:val="49"/>
  </w:num>
  <w:num w:numId="33">
    <w:abstractNumId w:val="46"/>
  </w:num>
  <w:num w:numId="34">
    <w:abstractNumId w:val="52"/>
  </w:num>
  <w:num w:numId="35">
    <w:abstractNumId w:val="2"/>
  </w:num>
  <w:num w:numId="36">
    <w:abstractNumId w:val="30"/>
  </w:num>
  <w:num w:numId="37">
    <w:abstractNumId w:val="27"/>
  </w:num>
  <w:num w:numId="38">
    <w:abstractNumId w:val="24"/>
  </w:num>
  <w:num w:numId="39">
    <w:abstractNumId w:val="8"/>
  </w:num>
  <w:num w:numId="40">
    <w:abstractNumId w:val="35"/>
  </w:num>
  <w:num w:numId="41">
    <w:abstractNumId w:val="42"/>
  </w:num>
  <w:num w:numId="42">
    <w:abstractNumId w:val="22"/>
  </w:num>
  <w:num w:numId="43">
    <w:abstractNumId w:val="55"/>
  </w:num>
  <w:num w:numId="44">
    <w:abstractNumId w:val="32"/>
  </w:num>
  <w:num w:numId="45">
    <w:abstractNumId w:val="41"/>
  </w:num>
  <w:num w:numId="46">
    <w:abstractNumId w:val="48"/>
  </w:num>
  <w:num w:numId="47">
    <w:abstractNumId w:val="57"/>
  </w:num>
  <w:num w:numId="48">
    <w:abstractNumId w:val="1"/>
  </w:num>
  <w:num w:numId="49">
    <w:abstractNumId w:val="7"/>
  </w:num>
  <w:num w:numId="50">
    <w:abstractNumId w:val="44"/>
  </w:num>
  <w:num w:numId="51">
    <w:abstractNumId w:val="38"/>
  </w:num>
  <w:num w:numId="52">
    <w:abstractNumId w:val="29"/>
  </w:num>
  <w:num w:numId="53">
    <w:abstractNumId w:val="14"/>
  </w:num>
  <w:num w:numId="54">
    <w:abstractNumId w:val="12"/>
  </w:num>
  <w:num w:numId="55">
    <w:abstractNumId w:val="47"/>
  </w:num>
  <w:num w:numId="56">
    <w:abstractNumId w:val="50"/>
  </w:num>
  <w:num w:numId="57">
    <w:abstractNumId w:val="25"/>
  </w:num>
  <w:num w:numId="58">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ec5ce39e-a7c1-4daf-91d1-1e87d8a02b3d"/>
    <w:docVar w:name="_AMO_XmlVersion" w:val="Empty"/>
  </w:docVars>
  <w:rsids>
    <w:rsidRoot w:val="00F56BC1"/>
    <w:rsid w:val="00005577"/>
    <w:rsid w:val="000119F7"/>
    <w:rsid w:val="00011A7B"/>
    <w:rsid w:val="00013020"/>
    <w:rsid w:val="00014B0C"/>
    <w:rsid w:val="00016E8C"/>
    <w:rsid w:val="00020192"/>
    <w:rsid w:val="00024870"/>
    <w:rsid w:val="000258E6"/>
    <w:rsid w:val="00032D55"/>
    <w:rsid w:val="00033B50"/>
    <w:rsid w:val="00040949"/>
    <w:rsid w:val="00040CFB"/>
    <w:rsid w:val="000425C4"/>
    <w:rsid w:val="000502C7"/>
    <w:rsid w:val="000538E2"/>
    <w:rsid w:val="00054DB4"/>
    <w:rsid w:val="000559D8"/>
    <w:rsid w:val="00057334"/>
    <w:rsid w:val="00057BEC"/>
    <w:rsid w:val="00057F8F"/>
    <w:rsid w:val="00063269"/>
    <w:rsid w:val="00064216"/>
    <w:rsid w:val="000678CF"/>
    <w:rsid w:val="00073491"/>
    <w:rsid w:val="00075CB6"/>
    <w:rsid w:val="00075DD8"/>
    <w:rsid w:val="00076D37"/>
    <w:rsid w:val="00077906"/>
    <w:rsid w:val="000804A2"/>
    <w:rsid w:val="00083333"/>
    <w:rsid w:val="0008581A"/>
    <w:rsid w:val="00085880"/>
    <w:rsid w:val="000918FE"/>
    <w:rsid w:val="0009601F"/>
    <w:rsid w:val="00096FBF"/>
    <w:rsid w:val="000A54A3"/>
    <w:rsid w:val="000B3033"/>
    <w:rsid w:val="000C09EE"/>
    <w:rsid w:val="000C3327"/>
    <w:rsid w:val="000C5AEC"/>
    <w:rsid w:val="000C6DF9"/>
    <w:rsid w:val="000D4AA1"/>
    <w:rsid w:val="000D7CD2"/>
    <w:rsid w:val="000E2090"/>
    <w:rsid w:val="000E3CAB"/>
    <w:rsid w:val="000E57BF"/>
    <w:rsid w:val="000E7281"/>
    <w:rsid w:val="000E7D30"/>
    <w:rsid w:val="000F1838"/>
    <w:rsid w:val="000F2F30"/>
    <w:rsid w:val="000F35DF"/>
    <w:rsid w:val="000F4881"/>
    <w:rsid w:val="000F7F0A"/>
    <w:rsid w:val="00103BA2"/>
    <w:rsid w:val="00104D3C"/>
    <w:rsid w:val="00110614"/>
    <w:rsid w:val="00110B25"/>
    <w:rsid w:val="00114176"/>
    <w:rsid w:val="0012189A"/>
    <w:rsid w:val="001316E5"/>
    <w:rsid w:val="001325B7"/>
    <w:rsid w:val="001327FA"/>
    <w:rsid w:val="00135B78"/>
    <w:rsid w:val="00136B65"/>
    <w:rsid w:val="00141B89"/>
    <w:rsid w:val="00142D9A"/>
    <w:rsid w:val="00145145"/>
    <w:rsid w:val="00145965"/>
    <w:rsid w:val="00153331"/>
    <w:rsid w:val="00154654"/>
    <w:rsid w:val="00157BD6"/>
    <w:rsid w:val="00171AC4"/>
    <w:rsid w:val="001744B8"/>
    <w:rsid w:val="00180568"/>
    <w:rsid w:val="0018176F"/>
    <w:rsid w:val="00182E74"/>
    <w:rsid w:val="00186689"/>
    <w:rsid w:val="001900A7"/>
    <w:rsid w:val="0019061A"/>
    <w:rsid w:val="00193934"/>
    <w:rsid w:val="0019465C"/>
    <w:rsid w:val="001956D4"/>
    <w:rsid w:val="00197F9E"/>
    <w:rsid w:val="001A6D56"/>
    <w:rsid w:val="001B1078"/>
    <w:rsid w:val="001B3BC0"/>
    <w:rsid w:val="001C208F"/>
    <w:rsid w:val="001C4B73"/>
    <w:rsid w:val="001D05A8"/>
    <w:rsid w:val="001D3104"/>
    <w:rsid w:val="001D722D"/>
    <w:rsid w:val="001E3E43"/>
    <w:rsid w:val="001E4886"/>
    <w:rsid w:val="001F394A"/>
    <w:rsid w:val="001F6E6F"/>
    <w:rsid w:val="002021F3"/>
    <w:rsid w:val="002039EA"/>
    <w:rsid w:val="00204C71"/>
    <w:rsid w:val="00205AF3"/>
    <w:rsid w:val="00210D0F"/>
    <w:rsid w:val="002135C2"/>
    <w:rsid w:val="00214E54"/>
    <w:rsid w:val="0021541E"/>
    <w:rsid w:val="0021602C"/>
    <w:rsid w:val="002228A9"/>
    <w:rsid w:val="00231118"/>
    <w:rsid w:val="002341A3"/>
    <w:rsid w:val="00234864"/>
    <w:rsid w:val="002414DF"/>
    <w:rsid w:val="002433CC"/>
    <w:rsid w:val="00243767"/>
    <w:rsid w:val="0024684B"/>
    <w:rsid w:val="00250E6D"/>
    <w:rsid w:val="00253BA9"/>
    <w:rsid w:val="00254C4D"/>
    <w:rsid w:val="0026287F"/>
    <w:rsid w:val="00263EEA"/>
    <w:rsid w:val="00264367"/>
    <w:rsid w:val="00265AF9"/>
    <w:rsid w:val="002732F8"/>
    <w:rsid w:val="002823C9"/>
    <w:rsid w:val="00285CCB"/>
    <w:rsid w:val="00293C93"/>
    <w:rsid w:val="00295683"/>
    <w:rsid w:val="00295B64"/>
    <w:rsid w:val="002A2AD1"/>
    <w:rsid w:val="002A2DF9"/>
    <w:rsid w:val="002A3C11"/>
    <w:rsid w:val="002A7052"/>
    <w:rsid w:val="002A7F88"/>
    <w:rsid w:val="002B1E14"/>
    <w:rsid w:val="002B2703"/>
    <w:rsid w:val="002D3FA4"/>
    <w:rsid w:val="002D7BC9"/>
    <w:rsid w:val="002E31FE"/>
    <w:rsid w:val="002E7B9B"/>
    <w:rsid w:val="002F2BA8"/>
    <w:rsid w:val="002F427A"/>
    <w:rsid w:val="002F4CA5"/>
    <w:rsid w:val="002F6348"/>
    <w:rsid w:val="00315200"/>
    <w:rsid w:val="00315A6F"/>
    <w:rsid w:val="00326CDE"/>
    <w:rsid w:val="00331A72"/>
    <w:rsid w:val="0033232C"/>
    <w:rsid w:val="003335F6"/>
    <w:rsid w:val="00334028"/>
    <w:rsid w:val="00334242"/>
    <w:rsid w:val="00337A4B"/>
    <w:rsid w:val="00340A24"/>
    <w:rsid w:val="00341D90"/>
    <w:rsid w:val="003443BE"/>
    <w:rsid w:val="00345611"/>
    <w:rsid w:val="003506CF"/>
    <w:rsid w:val="00350F2E"/>
    <w:rsid w:val="0035766E"/>
    <w:rsid w:val="00364B5C"/>
    <w:rsid w:val="00367F6A"/>
    <w:rsid w:val="003708EF"/>
    <w:rsid w:val="00370BDD"/>
    <w:rsid w:val="003751E9"/>
    <w:rsid w:val="00375AA1"/>
    <w:rsid w:val="003804E2"/>
    <w:rsid w:val="003824EC"/>
    <w:rsid w:val="00395894"/>
    <w:rsid w:val="0039748D"/>
    <w:rsid w:val="003A2F6C"/>
    <w:rsid w:val="003A5D17"/>
    <w:rsid w:val="003B0882"/>
    <w:rsid w:val="003B30DC"/>
    <w:rsid w:val="003C1091"/>
    <w:rsid w:val="003C13B7"/>
    <w:rsid w:val="003C5D32"/>
    <w:rsid w:val="003C6C4B"/>
    <w:rsid w:val="003C6C7D"/>
    <w:rsid w:val="003D7FB5"/>
    <w:rsid w:val="003E1384"/>
    <w:rsid w:val="003E444F"/>
    <w:rsid w:val="003E5222"/>
    <w:rsid w:val="003E5702"/>
    <w:rsid w:val="003E646A"/>
    <w:rsid w:val="003E759B"/>
    <w:rsid w:val="003F02BD"/>
    <w:rsid w:val="00401ECE"/>
    <w:rsid w:val="0040756F"/>
    <w:rsid w:val="00414B8E"/>
    <w:rsid w:val="004209E6"/>
    <w:rsid w:val="00421563"/>
    <w:rsid w:val="00425F88"/>
    <w:rsid w:val="004305F8"/>
    <w:rsid w:val="004353A4"/>
    <w:rsid w:val="00444671"/>
    <w:rsid w:val="00450287"/>
    <w:rsid w:val="0045237D"/>
    <w:rsid w:val="004639FA"/>
    <w:rsid w:val="00464A99"/>
    <w:rsid w:val="004652C1"/>
    <w:rsid w:val="0049087F"/>
    <w:rsid w:val="004A45C9"/>
    <w:rsid w:val="004A7901"/>
    <w:rsid w:val="004B0CA3"/>
    <w:rsid w:val="004B1D6D"/>
    <w:rsid w:val="004B652F"/>
    <w:rsid w:val="004C0DFE"/>
    <w:rsid w:val="004C193E"/>
    <w:rsid w:val="004D269D"/>
    <w:rsid w:val="004D2ADF"/>
    <w:rsid w:val="004D2BC0"/>
    <w:rsid w:val="004D3F6F"/>
    <w:rsid w:val="004D795F"/>
    <w:rsid w:val="004E0431"/>
    <w:rsid w:val="004E6336"/>
    <w:rsid w:val="004E6AE5"/>
    <w:rsid w:val="004F2734"/>
    <w:rsid w:val="004F3125"/>
    <w:rsid w:val="004F3C68"/>
    <w:rsid w:val="004F5207"/>
    <w:rsid w:val="004F59AB"/>
    <w:rsid w:val="004F7C4C"/>
    <w:rsid w:val="00506838"/>
    <w:rsid w:val="00514CAE"/>
    <w:rsid w:val="005169DE"/>
    <w:rsid w:val="00535305"/>
    <w:rsid w:val="00542475"/>
    <w:rsid w:val="00543A11"/>
    <w:rsid w:val="005462D9"/>
    <w:rsid w:val="00547145"/>
    <w:rsid w:val="00552A5E"/>
    <w:rsid w:val="00555EB2"/>
    <w:rsid w:val="0056135F"/>
    <w:rsid w:val="005636DC"/>
    <w:rsid w:val="00567397"/>
    <w:rsid w:val="005715D1"/>
    <w:rsid w:val="0057639A"/>
    <w:rsid w:val="005800E1"/>
    <w:rsid w:val="005805CF"/>
    <w:rsid w:val="00580742"/>
    <w:rsid w:val="005808FA"/>
    <w:rsid w:val="0058210B"/>
    <w:rsid w:val="00584BB1"/>
    <w:rsid w:val="00590CC0"/>
    <w:rsid w:val="00594577"/>
    <w:rsid w:val="00596391"/>
    <w:rsid w:val="005A12F5"/>
    <w:rsid w:val="005A381F"/>
    <w:rsid w:val="005B0012"/>
    <w:rsid w:val="005B0142"/>
    <w:rsid w:val="005B0EFE"/>
    <w:rsid w:val="005B3C7F"/>
    <w:rsid w:val="005B45F3"/>
    <w:rsid w:val="005B578B"/>
    <w:rsid w:val="005C275A"/>
    <w:rsid w:val="005C44D4"/>
    <w:rsid w:val="005C6CA6"/>
    <w:rsid w:val="005C7B13"/>
    <w:rsid w:val="005D4BB2"/>
    <w:rsid w:val="005D77CC"/>
    <w:rsid w:val="005E2B60"/>
    <w:rsid w:val="005E3CF1"/>
    <w:rsid w:val="005E4E61"/>
    <w:rsid w:val="005E67E9"/>
    <w:rsid w:val="005E7A22"/>
    <w:rsid w:val="005F006E"/>
    <w:rsid w:val="005F395C"/>
    <w:rsid w:val="005F44BF"/>
    <w:rsid w:val="005F4E2A"/>
    <w:rsid w:val="005F76D7"/>
    <w:rsid w:val="00600B11"/>
    <w:rsid w:val="00602980"/>
    <w:rsid w:val="0060758C"/>
    <w:rsid w:val="0061083A"/>
    <w:rsid w:val="00611A41"/>
    <w:rsid w:val="00611FB8"/>
    <w:rsid w:val="00623FF5"/>
    <w:rsid w:val="00624025"/>
    <w:rsid w:val="00627565"/>
    <w:rsid w:val="00630C56"/>
    <w:rsid w:val="00635475"/>
    <w:rsid w:val="00637265"/>
    <w:rsid w:val="00641151"/>
    <w:rsid w:val="00642979"/>
    <w:rsid w:val="0065507B"/>
    <w:rsid w:val="00655ADE"/>
    <w:rsid w:val="00661CCB"/>
    <w:rsid w:val="006654AC"/>
    <w:rsid w:val="006735E6"/>
    <w:rsid w:val="0067392A"/>
    <w:rsid w:val="00673D27"/>
    <w:rsid w:val="006756FB"/>
    <w:rsid w:val="00680E39"/>
    <w:rsid w:val="0068631B"/>
    <w:rsid w:val="00687B30"/>
    <w:rsid w:val="0069140E"/>
    <w:rsid w:val="006919A9"/>
    <w:rsid w:val="00694B5A"/>
    <w:rsid w:val="006955DD"/>
    <w:rsid w:val="0069744E"/>
    <w:rsid w:val="006A062F"/>
    <w:rsid w:val="006A10BB"/>
    <w:rsid w:val="006A19D8"/>
    <w:rsid w:val="006A486D"/>
    <w:rsid w:val="006A4FAA"/>
    <w:rsid w:val="006A55D1"/>
    <w:rsid w:val="006D0718"/>
    <w:rsid w:val="006D5459"/>
    <w:rsid w:val="006D5EF5"/>
    <w:rsid w:val="006D7588"/>
    <w:rsid w:val="006D7CB4"/>
    <w:rsid w:val="006E6938"/>
    <w:rsid w:val="006E7283"/>
    <w:rsid w:val="0070043A"/>
    <w:rsid w:val="0070099C"/>
    <w:rsid w:val="0070157D"/>
    <w:rsid w:val="00705B60"/>
    <w:rsid w:val="007113D8"/>
    <w:rsid w:val="00712E6A"/>
    <w:rsid w:val="00714D9C"/>
    <w:rsid w:val="007151A1"/>
    <w:rsid w:val="00722383"/>
    <w:rsid w:val="0072287E"/>
    <w:rsid w:val="00726577"/>
    <w:rsid w:val="00727D5D"/>
    <w:rsid w:val="0073480B"/>
    <w:rsid w:val="0073498A"/>
    <w:rsid w:val="00736296"/>
    <w:rsid w:val="00744AAE"/>
    <w:rsid w:val="00751E6C"/>
    <w:rsid w:val="0075338C"/>
    <w:rsid w:val="0075598A"/>
    <w:rsid w:val="00765D25"/>
    <w:rsid w:val="00766C47"/>
    <w:rsid w:val="00767A61"/>
    <w:rsid w:val="00772692"/>
    <w:rsid w:val="00777DA9"/>
    <w:rsid w:val="007807FB"/>
    <w:rsid w:val="00783F32"/>
    <w:rsid w:val="00784836"/>
    <w:rsid w:val="0078535E"/>
    <w:rsid w:val="007854A1"/>
    <w:rsid w:val="00787DEB"/>
    <w:rsid w:val="007A18B7"/>
    <w:rsid w:val="007A4208"/>
    <w:rsid w:val="007A6760"/>
    <w:rsid w:val="007C0C52"/>
    <w:rsid w:val="007C4103"/>
    <w:rsid w:val="007C626F"/>
    <w:rsid w:val="007D1FAC"/>
    <w:rsid w:val="007D2637"/>
    <w:rsid w:val="007D2F6C"/>
    <w:rsid w:val="007D31C6"/>
    <w:rsid w:val="007D37AB"/>
    <w:rsid w:val="007D4C13"/>
    <w:rsid w:val="007E02A7"/>
    <w:rsid w:val="007F481A"/>
    <w:rsid w:val="007F65FC"/>
    <w:rsid w:val="007F7842"/>
    <w:rsid w:val="008020E3"/>
    <w:rsid w:val="00802294"/>
    <w:rsid w:val="00811D9E"/>
    <w:rsid w:val="00812A5B"/>
    <w:rsid w:val="00813312"/>
    <w:rsid w:val="0081681D"/>
    <w:rsid w:val="00821AB3"/>
    <w:rsid w:val="00825C63"/>
    <w:rsid w:val="00827E4F"/>
    <w:rsid w:val="00830C73"/>
    <w:rsid w:val="00833509"/>
    <w:rsid w:val="008374AC"/>
    <w:rsid w:val="008377C1"/>
    <w:rsid w:val="008431CB"/>
    <w:rsid w:val="00843BEE"/>
    <w:rsid w:val="00855687"/>
    <w:rsid w:val="00855BC0"/>
    <w:rsid w:val="008615EC"/>
    <w:rsid w:val="008627D1"/>
    <w:rsid w:val="00865681"/>
    <w:rsid w:val="008656B8"/>
    <w:rsid w:val="00865DF5"/>
    <w:rsid w:val="008675E3"/>
    <w:rsid w:val="008702AE"/>
    <w:rsid w:val="0087063B"/>
    <w:rsid w:val="00871ECA"/>
    <w:rsid w:val="008724E3"/>
    <w:rsid w:val="0087325A"/>
    <w:rsid w:val="00873650"/>
    <w:rsid w:val="0087692B"/>
    <w:rsid w:val="00880F82"/>
    <w:rsid w:val="0088127B"/>
    <w:rsid w:val="00885B45"/>
    <w:rsid w:val="00886ED8"/>
    <w:rsid w:val="0089233B"/>
    <w:rsid w:val="008A6225"/>
    <w:rsid w:val="008B03BA"/>
    <w:rsid w:val="008B0B36"/>
    <w:rsid w:val="008B45E1"/>
    <w:rsid w:val="008C3B7C"/>
    <w:rsid w:val="008C3C4B"/>
    <w:rsid w:val="008C5AD2"/>
    <w:rsid w:val="008D5BBE"/>
    <w:rsid w:val="008D5E1B"/>
    <w:rsid w:val="008D679F"/>
    <w:rsid w:val="008D6ED0"/>
    <w:rsid w:val="008E13BD"/>
    <w:rsid w:val="008E67C2"/>
    <w:rsid w:val="008F1331"/>
    <w:rsid w:val="0090306D"/>
    <w:rsid w:val="00903F7E"/>
    <w:rsid w:val="009054F7"/>
    <w:rsid w:val="00907AAC"/>
    <w:rsid w:val="00910425"/>
    <w:rsid w:val="00912CB5"/>
    <w:rsid w:val="00917CF5"/>
    <w:rsid w:val="00923C0F"/>
    <w:rsid w:val="00924955"/>
    <w:rsid w:val="00925E58"/>
    <w:rsid w:val="00926CB1"/>
    <w:rsid w:val="009275BF"/>
    <w:rsid w:val="00931E7A"/>
    <w:rsid w:val="00933964"/>
    <w:rsid w:val="00935A8B"/>
    <w:rsid w:val="00935DD8"/>
    <w:rsid w:val="0093607B"/>
    <w:rsid w:val="00937D4F"/>
    <w:rsid w:val="009420C0"/>
    <w:rsid w:val="0094475F"/>
    <w:rsid w:val="00945F06"/>
    <w:rsid w:val="0095219C"/>
    <w:rsid w:val="00954A9C"/>
    <w:rsid w:val="009611D2"/>
    <w:rsid w:val="00961715"/>
    <w:rsid w:val="00963541"/>
    <w:rsid w:val="009642C7"/>
    <w:rsid w:val="00966E90"/>
    <w:rsid w:val="009670B9"/>
    <w:rsid w:val="009676D2"/>
    <w:rsid w:val="009679FE"/>
    <w:rsid w:val="00971DA4"/>
    <w:rsid w:val="00973B90"/>
    <w:rsid w:val="0097574C"/>
    <w:rsid w:val="009804FE"/>
    <w:rsid w:val="009809E0"/>
    <w:rsid w:val="00987AB6"/>
    <w:rsid w:val="009931BA"/>
    <w:rsid w:val="009933F5"/>
    <w:rsid w:val="009964FC"/>
    <w:rsid w:val="009A3207"/>
    <w:rsid w:val="009A3B88"/>
    <w:rsid w:val="009A4498"/>
    <w:rsid w:val="009A63DA"/>
    <w:rsid w:val="009B2585"/>
    <w:rsid w:val="009B26BE"/>
    <w:rsid w:val="009B763B"/>
    <w:rsid w:val="009C5047"/>
    <w:rsid w:val="009C6840"/>
    <w:rsid w:val="009D6BDA"/>
    <w:rsid w:val="009E1F50"/>
    <w:rsid w:val="009E1F6F"/>
    <w:rsid w:val="009E41ED"/>
    <w:rsid w:val="009F3AF6"/>
    <w:rsid w:val="009F3BAD"/>
    <w:rsid w:val="00A012C9"/>
    <w:rsid w:val="00A0133C"/>
    <w:rsid w:val="00A014D0"/>
    <w:rsid w:val="00A02680"/>
    <w:rsid w:val="00A04B00"/>
    <w:rsid w:val="00A10A0E"/>
    <w:rsid w:val="00A1332A"/>
    <w:rsid w:val="00A147D8"/>
    <w:rsid w:val="00A2462D"/>
    <w:rsid w:val="00A260ED"/>
    <w:rsid w:val="00A317B9"/>
    <w:rsid w:val="00A34D10"/>
    <w:rsid w:val="00A45362"/>
    <w:rsid w:val="00A50E8F"/>
    <w:rsid w:val="00A52B14"/>
    <w:rsid w:val="00A54812"/>
    <w:rsid w:val="00A55113"/>
    <w:rsid w:val="00A608BE"/>
    <w:rsid w:val="00A722C9"/>
    <w:rsid w:val="00A72D3D"/>
    <w:rsid w:val="00A8085C"/>
    <w:rsid w:val="00A83774"/>
    <w:rsid w:val="00A84CB1"/>
    <w:rsid w:val="00A91479"/>
    <w:rsid w:val="00A91900"/>
    <w:rsid w:val="00A93051"/>
    <w:rsid w:val="00A95052"/>
    <w:rsid w:val="00A97ACB"/>
    <w:rsid w:val="00AA1BFE"/>
    <w:rsid w:val="00AB17E5"/>
    <w:rsid w:val="00AB27EC"/>
    <w:rsid w:val="00AB3023"/>
    <w:rsid w:val="00AB4B9B"/>
    <w:rsid w:val="00AB56A7"/>
    <w:rsid w:val="00AB6BBF"/>
    <w:rsid w:val="00AC2B30"/>
    <w:rsid w:val="00AC6690"/>
    <w:rsid w:val="00AC7F0D"/>
    <w:rsid w:val="00AD367E"/>
    <w:rsid w:val="00AD610C"/>
    <w:rsid w:val="00AE30C8"/>
    <w:rsid w:val="00AE4D81"/>
    <w:rsid w:val="00AE7D82"/>
    <w:rsid w:val="00AF6BF7"/>
    <w:rsid w:val="00B01DEF"/>
    <w:rsid w:val="00B04946"/>
    <w:rsid w:val="00B04FA6"/>
    <w:rsid w:val="00B05F12"/>
    <w:rsid w:val="00B102BA"/>
    <w:rsid w:val="00B12C3D"/>
    <w:rsid w:val="00B17766"/>
    <w:rsid w:val="00B27AE0"/>
    <w:rsid w:val="00B365C1"/>
    <w:rsid w:val="00B36ED6"/>
    <w:rsid w:val="00B429D4"/>
    <w:rsid w:val="00B460F3"/>
    <w:rsid w:val="00B469FA"/>
    <w:rsid w:val="00B52473"/>
    <w:rsid w:val="00B54B7A"/>
    <w:rsid w:val="00B559EC"/>
    <w:rsid w:val="00B6311C"/>
    <w:rsid w:val="00B6465B"/>
    <w:rsid w:val="00B665A8"/>
    <w:rsid w:val="00B667DD"/>
    <w:rsid w:val="00B75194"/>
    <w:rsid w:val="00B80F72"/>
    <w:rsid w:val="00B82B47"/>
    <w:rsid w:val="00B83995"/>
    <w:rsid w:val="00B8446F"/>
    <w:rsid w:val="00B849CD"/>
    <w:rsid w:val="00B84E8C"/>
    <w:rsid w:val="00B902F6"/>
    <w:rsid w:val="00B92240"/>
    <w:rsid w:val="00B94042"/>
    <w:rsid w:val="00BA1513"/>
    <w:rsid w:val="00BA2E23"/>
    <w:rsid w:val="00BA3D32"/>
    <w:rsid w:val="00BA3EE3"/>
    <w:rsid w:val="00BA74C0"/>
    <w:rsid w:val="00BB1B46"/>
    <w:rsid w:val="00BB43F9"/>
    <w:rsid w:val="00BC029D"/>
    <w:rsid w:val="00BC4933"/>
    <w:rsid w:val="00BC7386"/>
    <w:rsid w:val="00BE1312"/>
    <w:rsid w:val="00BE3C79"/>
    <w:rsid w:val="00BE69D4"/>
    <w:rsid w:val="00BE6A2B"/>
    <w:rsid w:val="00BF1599"/>
    <w:rsid w:val="00BF2C49"/>
    <w:rsid w:val="00BF442A"/>
    <w:rsid w:val="00BF7C23"/>
    <w:rsid w:val="00C02E43"/>
    <w:rsid w:val="00C06328"/>
    <w:rsid w:val="00C06FF9"/>
    <w:rsid w:val="00C104FD"/>
    <w:rsid w:val="00C13345"/>
    <w:rsid w:val="00C13B58"/>
    <w:rsid w:val="00C142A5"/>
    <w:rsid w:val="00C1470A"/>
    <w:rsid w:val="00C16CB1"/>
    <w:rsid w:val="00C2376F"/>
    <w:rsid w:val="00C302D3"/>
    <w:rsid w:val="00C342CB"/>
    <w:rsid w:val="00C442E5"/>
    <w:rsid w:val="00C469C3"/>
    <w:rsid w:val="00C47535"/>
    <w:rsid w:val="00C50B99"/>
    <w:rsid w:val="00C52216"/>
    <w:rsid w:val="00C52BEB"/>
    <w:rsid w:val="00C54A19"/>
    <w:rsid w:val="00C55F9B"/>
    <w:rsid w:val="00C6799E"/>
    <w:rsid w:val="00C713FC"/>
    <w:rsid w:val="00C73E2F"/>
    <w:rsid w:val="00C8000B"/>
    <w:rsid w:val="00C81647"/>
    <w:rsid w:val="00C81D8A"/>
    <w:rsid w:val="00C837A8"/>
    <w:rsid w:val="00C8418D"/>
    <w:rsid w:val="00C85BF9"/>
    <w:rsid w:val="00CA473B"/>
    <w:rsid w:val="00CA783D"/>
    <w:rsid w:val="00CA7F4C"/>
    <w:rsid w:val="00CA7FA7"/>
    <w:rsid w:val="00CC12BC"/>
    <w:rsid w:val="00CC2CCE"/>
    <w:rsid w:val="00CC5456"/>
    <w:rsid w:val="00CE3C43"/>
    <w:rsid w:val="00CE3F44"/>
    <w:rsid w:val="00CE54BA"/>
    <w:rsid w:val="00CF3B62"/>
    <w:rsid w:val="00CF3CDB"/>
    <w:rsid w:val="00CF45AE"/>
    <w:rsid w:val="00CF63EF"/>
    <w:rsid w:val="00D05F8D"/>
    <w:rsid w:val="00D115D3"/>
    <w:rsid w:val="00D11B7F"/>
    <w:rsid w:val="00D14ACB"/>
    <w:rsid w:val="00D15642"/>
    <w:rsid w:val="00D15BD6"/>
    <w:rsid w:val="00D2292A"/>
    <w:rsid w:val="00D3052E"/>
    <w:rsid w:val="00D30E64"/>
    <w:rsid w:val="00D32A74"/>
    <w:rsid w:val="00D34DC0"/>
    <w:rsid w:val="00D367FE"/>
    <w:rsid w:val="00D37624"/>
    <w:rsid w:val="00D5292E"/>
    <w:rsid w:val="00D6457A"/>
    <w:rsid w:val="00D66B2A"/>
    <w:rsid w:val="00D67823"/>
    <w:rsid w:val="00D8062E"/>
    <w:rsid w:val="00D8338B"/>
    <w:rsid w:val="00D8662E"/>
    <w:rsid w:val="00D86982"/>
    <w:rsid w:val="00D93AB7"/>
    <w:rsid w:val="00D956F6"/>
    <w:rsid w:val="00DA09D4"/>
    <w:rsid w:val="00DA4582"/>
    <w:rsid w:val="00DA47B1"/>
    <w:rsid w:val="00DA5D41"/>
    <w:rsid w:val="00DB0A70"/>
    <w:rsid w:val="00DB346B"/>
    <w:rsid w:val="00DB62F3"/>
    <w:rsid w:val="00DC2CE1"/>
    <w:rsid w:val="00DC2F84"/>
    <w:rsid w:val="00DC3101"/>
    <w:rsid w:val="00DC4BA2"/>
    <w:rsid w:val="00DC5FAD"/>
    <w:rsid w:val="00DD39B6"/>
    <w:rsid w:val="00DE5B26"/>
    <w:rsid w:val="00DF201E"/>
    <w:rsid w:val="00DF5A83"/>
    <w:rsid w:val="00E13955"/>
    <w:rsid w:val="00E1694C"/>
    <w:rsid w:val="00E16DD8"/>
    <w:rsid w:val="00E172C1"/>
    <w:rsid w:val="00E21543"/>
    <w:rsid w:val="00E2518A"/>
    <w:rsid w:val="00E27219"/>
    <w:rsid w:val="00E27508"/>
    <w:rsid w:val="00E33F9A"/>
    <w:rsid w:val="00E3671C"/>
    <w:rsid w:val="00E410AF"/>
    <w:rsid w:val="00E42A31"/>
    <w:rsid w:val="00E45B3B"/>
    <w:rsid w:val="00E521D3"/>
    <w:rsid w:val="00E52CD0"/>
    <w:rsid w:val="00E567DD"/>
    <w:rsid w:val="00E578CE"/>
    <w:rsid w:val="00E60701"/>
    <w:rsid w:val="00E6077C"/>
    <w:rsid w:val="00E616A8"/>
    <w:rsid w:val="00E643DE"/>
    <w:rsid w:val="00E831A4"/>
    <w:rsid w:val="00E85DBA"/>
    <w:rsid w:val="00E9121A"/>
    <w:rsid w:val="00E92590"/>
    <w:rsid w:val="00E95FAD"/>
    <w:rsid w:val="00E96448"/>
    <w:rsid w:val="00EB4DF3"/>
    <w:rsid w:val="00EB5015"/>
    <w:rsid w:val="00EB5ABA"/>
    <w:rsid w:val="00EB7AD3"/>
    <w:rsid w:val="00EC0D33"/>
    <w:rsid w:val="00EC10B9"/>
    <w:rsid w:val="00EC3140"/>
    <w:rsid w:val="00EC5069"/>
    <w:rsid w:val="00EC6F01"/>
    <w:rsid w:val="00ED05F1"/>
    <w:rsid w:val="00ED37D4"/>
    <w:rsid w:val="00ED3B3D"/>
    <w:rsid w:val="00ED5190"/>
    <w:rsid w:val="00ED6047"/>
    <w:rsid w:val="00ED7D1F"/>
    <w:rsid w:val="00EE0377"/>
    <w:rsid w:val="00EE092E"/>
    <w:rsid w:val="00EE1F45"/>
    <w:rsid w:val="00EE35A0"/>
    <w:rsid w:val="00EE3947"/>
    <w:rsid w:val="00EE6E44"/>
    <w:rsid w:val="00EE78AF"/>
    <w:rsid w:val="00F05E3D"/>
    <w:rsid w:val="00F146F7"/>
    <w:rsid w:val="00F148A1"/>
    <w:rsid w:val="00F177A4"/>
    <w:rsid w:val="00F202EC"/>
    <w:rsid w:val="00F2194D"/>
    <w:rsid w:val="00F30FBA"/>
    <w:rsid w:val="00F33F77"/>
    <w:rsid w:val="00F35F4E"/>
    <w:rsid w:val="00F366C6"/>
    <w:rsid w:val="00F41509"/>
    <w:rsid w:val="00F43C1E"/>
    <w:rsid w:val="00F502E6"/>
    <w:rsid w:val="00F50BC0"/>
    <w:rsid w:val="00F550F9"/>
    <w:rsid w:val="00F56BC1"/>
    <w:rsid w:val="00F56CB2"/>
    <w:rsid w:val="00F6097F"/>
    <w:rsid w:val="00F60AE3"/>
    <w:rsid w:val="00F67F55"/>
    <w:rsid w:val="00F70B6C"/>
    <w:rsid w:val="00F72F26"/>
    <w:rsid w:val="00F801F3"/>
    <w:rsid w:val="00F8453D"/>
    <w:rsid w:val="00F862AC"/>
    <w:rsid w:val="00F96A1C"/>
    <w:rsid w:val="00F978AB"/>
    <w:rsid w:val="00FA0B9F"/>
    <w:rsid w:val="00FA25BC"/>
    <w:rsid w:val="00FA45B1"/>
    <w:rsid w:val="00FA4C6F"/>
    <w:rsid w:val="00FA665A"/>
    <w:rsid w:val="00FA7733"/>
    <w:rsid w:val="00FB3550"/>
    <w:rsid w:val="00FB6ACD"/>
    <w:rsid w:val="00FC1770"/>
    <w:rsid w:val="00FC3EB3"/>
    <w:rsid w:val="00FC4DFC"/>
    <w:rsid w:val="00FC62DE"/>
    <w:rsid w:val="00FC6FFA"/>
    <w:rsid w:val="00FD1228"/>
    <w:rsid w:val="00FD17A0"/>
    <w:rsid w:val="00FD2717"/>
    <w:rsid w:val="00FD2B06"/>
    <w:rsid w:val="00FD4AE3"/>
    <w:rsid w:val="00FD64B9"/>
    <w:rsid w:val="00FD6D35"/>
    <w:rsid w:val="00FD7CD6"/>
    <w:rsid w:val="00FE355D"/>
    <w:rsid w:val="00FF2EB3"/>
    <w:rsid w:val="00FF7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C1"/>
    <w:pPr>
      <w:keepLines/>
    </w:pPr>
    <w:rPr>
      <w:rFonts w:ascii="Arial" w:hAnsi="Arial" w:cs="Arial"/>
      <w:sz w:val="22"/>
      <w:szCs w:val="22"/>
      <w:lang w:eastAsia="en-US"/>
    </w:rPr>
  </w:style>
  <w:style w:type="paragraph" w:styleId="Heading1">
    <w:name w:val="heading 1"/>
    <w:basedOn w:val="Normal"/>
    <w:next w:val="Normal"/>
    <w:qFormat/>
    <w:rsid w:val="00F56BC1"/>
    <w:pPr>
      <w:spacing w:before="240"/>
      <w:outlineLvl w:val="0"/>
    </w:pPr>
    <w:rPr>
      <w:b/>
      <w:bCs/>
      <w:sz w:val="24"/>
      <w:szCs w:val="24"/>
    </w:rPr>
  </w:style>
  <w:style w:type="paragraph" w:styleId="Heading2">
    <w:name w:val="heading 2"/>
    <w:basedOn w:val="Normal"/>
    <w:next w:val="Normal"/>
    <w:qFormat/>
    <w:rsid w:val="00F56BC1"/>
    <w:pPr>
      <w:spacing w:before="120"/>
      <w:outlineLvl w:val="1"/>
    </w:pPr>
    <w:rPr>
      <w:b/>
      <w:bCs/>
    </w:rPr>
  </w:style>
  <w:style w:type="paragraph" w:styleId="Heading3">
    <w:name w:val="heading 3"/>
    <w:basedOn w:val="Normal"/>
    <w:next w:val="NormalIndent"/>
    <w:qFormat/>
    <w:rsid w:val="00F56BC1"/>
    <w:pPr>
      <w:ind w:left="283"/>
      <w:outlineLvl w:val="2"/>
    </w:pPr>
    <w:rPr>
      <w:b/>
      <w:bCs/>
      <w:i/>
      <w:iCs/>
    </w:rPr>
  </w:style>
  <w:style w:type="paragraph" w:styleId="Heading4">
    <w:name w:val="heading 4"/>
    <w:aliases w:val="Map Title"/>
    <w:basedOn w:val="Normal"/>
    <w:next w:val="Normal"/>
    <w:qFormat/>
    <w:rsid w:val="00F56BC1"/>
    <w:pPr>
      <w:keepNext/>
      <w:outlineLvl w:val="3"/>
    </w:pPr>
    <w:rPr>
      <w:rFonts w:ascii="Arial Narrow" w:hAnsi="Arial Narrow" w:cs="Arial Narrow"/>
      <w:color w:val="0000FF"/>
      <w:sz w:val="30"/>
      <w:szCs w:val="30"/>
    </w:rPr>
  </w:style>
  <w:style w:type="paragraph" w:styleId="Heading5">
    <w:name w:val="heading 5"/>
    <w:aliases w:val="Block Label"/>
    <w:basedOn w:val="Normal"/>
    <w:next w:val="Normal"/>
    <w:qFormat/>
    <w:rsid w:val="00F56BC1"/>
    <w:pPr>
      <w:keepNext/>
      <w:framePr w:wrap="auto" w:hAnchor="margin" w:xAlign="center" w:y="-283"/>
      <w:suppressOverlap/>
      <w:outlineLvl w:val="4"/>
    </w:pPr>
    <w:rPr>
      <w:rFonts w:ascii="Arial Narrow" w:hAnsi="Arial Narrow" w:cs="Arial Narrow"/>
      <w:b/>
      <w:bCs/>
      <w:color w:val="000080"/>
      <w:sz w:val="28"/>
      <w:szCs w:val="28"/>
    </w:rPr>
  </w:style>
  <w:style w:type="paragraph" w:styleId="Heading6">
    <w:name w:val="heading 6"/>
    <w:basedOn w:val="Normal"/>
    <w:next w:val="Normal"/>
    <w:qFormat/>
    <w:rsid w:val="00F56BC1"/>
    <w:pPr>
      <w:keepNext/>
      <w:outlineLvl w:val="5"/>
    </w:pPr>
    <w:rPr>
      <w:rFonts w:ascii="Arial Narrow" w:hAnsi="Arial Narrow" w:cs="Arial Narrow"/>
      <w:b/>
      <w:bCs/>
      <w:color w:val="000080"/>
      <w:sz w:val="28"/>
      <w:szCs w:val="28"/>
    </w:rPr>
  </w:style>
  <w:style w:type="paragraph" w:styleId="Heading7">
    <w:name w:val="heading 7"/>
    <w:basedOn w:val="Normal"/>
    <w:next w:val="Normal"/>
    <w:qFormat/>
    <w:rsid w:val="00F56BC1"/>
    <w:pPr>
      <w:keepNext/>
      <w:outlineLvl w:val="6"/>
    </w:pPr>
    <w:rPr>
      <w:rFonts w:ascii="Arial Narrow" w:hAnsi="Arial Narrow" w:cs="Arial Narrow"/>
      <w:b/>
      <w:bCs/>
      <w:color w:val="660066"/>
      <w:sz w:val="30"/>
      <w:szCs w:val="30"/>
    </w:rPr>
  </w:style>
  <w:style w:type="paragraph" w:styleId="Heading8">
    <w:name w:val="heading 8"/>
    <w:basedOn w:val="Normal"/>
    <w:next w:val="Normal"/>
    <w:qFormat/>
    <w:rsid w:val="00F56BC1"/>
    <w:pPr>
      <w:keepNext/>
      <w:outlineLvl w:val="7"/>
    </w:pPr>
    <w:rPr>
      <w:rFonts w:ascii="Arial Narrow" w:hAnsi="Arial Narrow" w:cs="Arial Narrow"/>
      <w:b/>
      <w:bCs/>
      <w:color w:val="003366"/>
      <w:sz w:val="30"/>
      <w:szCs w:val="30"/>
    </w:rPr>
  </w:style>
  <w:style w:type="paragraph" w:styleId="Heading9">
    <w:name w:val="heading 9"/>
    <w:basedOn w:val="Normal"/>
    <w:next w:val="Normal"/>
    <w:qFormat/>
    <w:rsid w:val="00F56BC1"/>
    <w:pPr>
      <w:keepNext/>
      <w:outlineLvl w:val="8"/>
    </w:pPr>
    <w:rPr>
      <w:rFonts w:ascii="Arial Narrow" w:hAnsi="Arial Narrow" w:cs="Arial Narrow"/>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56BC1"/>
    <w:pPr>
      <w:ind w:left="567"/>
    </w:pPr>
  </w:style>
  <w:style w:type="paragraph" w:styleId="Footer">
    <w:name w:val="footer"/>
    <w:basedOn w:val="Normal"/>
    <w:rsid w:val="00F56BC1"/>
    <w:pPr>
      <w:tabs>
        <w:tab w:val="center" w:pos="4820"/>
        <w:tab w:val="right" w:pos="9356"/>
      </w:tabs>
      <w:ind w:right="-1"/>
    </w:pPr>
    <w:rPr>
      <w:sz w:val="16"/>
      <w:szCs w:val="16"/>
    </w:rPr>
  </w:style>
  <w:style w:type="paragraph" w:styleId="Header">
    <w:name w:val="header"/>
    <w:basedOn w:val="Normal"/>
    <w:rsid w:val="00F56BC1"/>
    <w:pPr>
      <w:tabs>
        <w:tab w:val="center" w:pos="4820"/>
        <w:tab w:val="right" w:pos="9923"/>
      </w:tabs>
    </w:pPr>
  </w:style>
  <w:style w:type="character" w:styleId="FootnoteReference">
    <w:name w:val="footnote reference"/>
    <w:semiHidden/>
    <w:rsid w:val="00F56BC1"/>
    <w:rPr>
      <w:position w:val="6"/>
      <w:sz w:val="16"/>
      <w:szCs w:val="16"/>
    </w:rPr>
  </w:style>
  <w:style w:type="paragraph" w:styleId="FootnoteText">
    <w:name w:val="footnote text"/>
    <w:basedOn w:val="Normal"/>
    <w:semiHidden/>
    <w:rsid w:val="00F56BC1"/>
    <w:pPr>
      <w:ind w:left="284" w:hanging="284"/>
    </w:pPr>
    <w:rPr>
      <w:sz w:val="16"/>
      <w:szCs w:val="16"/>
    </w:rPr>
  </w:style>
  <w:style w:type="character" w:styleId="CommentReference">
    <w:name w:val="annotation reference"/>
    <w:semiHidden/>
    <w:rsid w:val="00F56BC1"/>
    <w:rPr>
      <w:sz w:val="16"/>
      <w:szCs w:val="16"/>
    </w:rPr>
  </w:style>
  <w:style w:type="paragraph" w:customStyle="1" w:styleId="Arial10">
    <w:name w:val="Arial10"/>
    <w:basedOn w:val="Normal"/>
    <w:rsid w:val="00F56BC1"/>
    <w:pPr>
      <w:jc w:val="right"/>
    </w:pPr>
    <w:rPr>
      <w:b/>
      <w:bCs/>
      <w:sz w:val="20"/>
      <w:szCs w:val="20"/>
    </w:rPr>
  </w:style>
  <w:style w:type="paragraph" w:customStyle="1" w:styleId="Arial9">
    <w:name w:val="Arial9"/>
    <w:basedOn w:val="Normal"/>
    <w:rsid w:val="00F56BC1"/>
    <w:pPr>
      <w:jc w:val="right"/>
    </w:pPr>
    <w:rPr>
      <w:sz w:val="18"/>
      <w:szCs w:val="18"/>
    </w:rPr>
  </w:style>
  <w:style w:type="paragraph" w:customStyle="1" w:styleId="Arial12">
    <w:name w:val="Arial12"/>
    <w:basedOn w:val="Arial10"/>
    <w:rsid w:val="00F56BC1"/>
    <w:rPr>
      <w:sz w:val="24"/>
      <w:szCs w:val="24"/>
    </w:rPr>
  </w:style>
  <w:style w:type="paragraph" w:styleId="BodyText">
    <w:name w:val="Body Text"/>
    <w:basedOn w:val="Normal"/>
    <w:rsid w:val="00F56BC1"/>
    <w:pPr>
      <w:spacing w:after="120"/>
    </w:pPr>
  </w:style>
  <w:style w:type="paragraph" w:styleId="MacroText">
    <w:name w:val="macro"/>
    <w:basedOn w:val="Normal"/>
    <w:semiHidden/>
    <w:rsid w:val="00F56BC1"/>
    <w:pPr>
      <w:keepLines w:val="0"/>
      <w:tabs>
        <w:tab w:val="left" w:pos="284"/>
        <w:tab w:val="left" w:pos="567"/>
        <w:tab w:val="left" w:pos="851"/>
        <w:tab w:val="left" w:pos="1134"/>
        <w:tab w:val="left" w:pos="1418"/>
        <w:tab w:val="left" w:pos="1701"/>
        <w:tab w:val="left" w:pos="1985"/>
        <w:tab w:val="left" w:pos="2268"/>
      </w:tabs>
    </w:pPr>
  </w:style>
  <w:style w:type="character" w:styleId="PageNumber">
    <w:name w:val="page number"/>
    <w:basedOn w:val="DefaultParagraphFont"/>
    <w:rsid w:val="00F56BC1"/>
  </w:style>
  <w:style w:type="character" w:styleId="Hyperlink">
    <w:name w:val="Hyperlink"/>
    <w:uiPriority w:val="99"/>
    <w:rsid w:val="00F56BC1"/>
    <w:rPr>
      <w:rFonts w:ascii="Arial" w:hAnsi="Arial" w:cs="Arial"/>
      <w:color w:val="0000FF"/>
      <w:sz w:val="20"/>
      <w:szCs w:val="20"/>
      <w:u w:val="single"/>
    </w:rPr>
  </w:style>
  <w:style w:type="paragraph" w:styleId="CommentText">
    <w:name w:val="annotation text"/>
    <w:basedOn w:val="Normal"/>
    <w:semiHidden/>
    <w:rsid w:val="00F56BC1"/>
    <w:rPr>
      <w:sz w:val="20"/>
      <w:szCs w:val="20"/>
    </w:rPr>
  </w:style>
  <w:style w:type="character" w:styleId="FollowedHyperlink">
    <w:name w:val="FollowedHyperlink"/>
    <w:rsid w:val="00F56BC1"/>
    <w:rPr>
      <w:color w:val="800080"/>
      <w:u w:val="single"/>
    </w:rPr>
  </w:style>
  <w:style w:type="table" w:styleId="TableGrid">
    <w:name w:val="Table Grid"/>
    <w:basedOn w:val="TableNormal"/>
    <w:rsid w:val="00F56BC1"/>
    <w:pPr>
      <w:keepLines/>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56BC1"/>
    <w:pPr>
      <w:spacing w:line="240" w:lineRule="atLeast"/>
    </w:pPr>
    <w:rPr>
      <w:b/>
      <w:bCs/>
      <w:sz w:val="24"/>
      <w:szCs w:val="24"/>
    </w:rPr>
  </w:style>
  <w:style w:type="paragraph" w:customStyle="1" w:styleId="sub-paraxCharChar">
    <w:name w:val="sub-para (x) Char Char"/>
    <w:basedOn w:val="Normal"/>
    <w:rsid w:val="00F56BC1"/>
    <w:pPr>
      <w:numPr>
        <w:numId w:val="1"/>
      </w:numPr>
    </w:pPr>
  </w:style>
  <w:style w:type="paragraph" w:styleId="BlockText">
    <w:name w:val="Block Text"/>
    <w:basedOn w:val="Normal"/>
    <w:rsid w:val="00F56BC1"/>
    <w:pPr>
      <w:keepLines w:val="0"/>
      <w:overflowPunct w:val="0"/>
      <w:autoSpaceDE w:val="0"/>
      <w:autoSpaceDN w:val="0"/>
      <w:adjustRightInd w:val="0"/>
      <w:textAlignment w:val="baseline"/>
    </w:pPr>
    <w:rPr>
      <w:sz w:val="24"/>
      <w:szCs w:val="24"/>
      <w:lang w:val="en-US"/>
    </w:rPr>
  </w:style>
  <w:style w:type="paragraph" w:customStyle="1" w:styleId="BulletText1">
    <w:name w:val="Bullet Text 1"/>
    <w:basedOn w:val="Normal"/>
    <w:rsid w:val="00F56BC1"/>
    <w:pPr>
      <w:keepLines w:val="0"/>
      <w:overflowPunct w:val="0"/>
      <w:autoSpaceDE w:val="0"/>
      <w:autoSpaceDN w:val="0"/>
      <w:adjustRightInd w:val="0"/>
      <w:ind w:left="187" w:hanging="187"/>
      <w:textAlignment w:val="baseline"/>
    </w:pPr>
    <w:rPr>
      <w:sz w:val="24"/>
      <w:szCs w:val="24"/>
      <w:lang w:val="en-US"/>
    </w:rPr>
  </w:style>
  <w:style w:type="paragraph" w:customStyle="1" w:styleId="BlockLine">
    <w:name w:val="Block Line"/>
    <w:basedOn w:val="Normal"/>
    <w:next w:val="Normal"/>
    <w:rsid w:val="00F56BC1"/>
    <w:pPr>
      <w:keepLines w:val="0"/>
      <w:pBdr>
        <w:top w:val="single" w:sz="6" w:space="1" w:color="auto"/>
        <w:between w:val="single" w:sz="6" w:space="1" w:color="auto"/>
      </w:pBdr>
      <w:overflowPunct w:val="0"/>
      <w:autoSpaceDE w:val="0"/>
      <w:autoSpaceDN w:val="0"/>
      <w:adjustRightInd w:val="0"/>
      <w:spacing w:before="240"/>
      <w:ind w:left="1700"/>
      <w:textAlignment w:val="baseline"/>
    </w:pPr>
    <w:rPr>
      <w:sz w:val="24"/>
      <w:szCs w:val="24"/>
      <w:lang w:val="en-US"/>
    </w:rPr>
  </w:style>
  <w:style w:type="paragraph" w:styleId="TOC2">
    <w:name w:val="toc 2"/>
    <w:basedOn w:val="Normal"/>
    <w:autoRedefine/>
    <w:semiHidden/>
    <w:rsid w:val="00F56BC1"/>
    <w:pPr>
      <w:spacing w:before="240"/>
    </w:pPr>
    <w:rPr>
      <w:b/>
      <w:bCs/>
      <w:sz w:val="20"/>
      <w:szCs w:val="20"/>
    </w:rPr>
  </w:style>
  <w:style w:type="paragraph" w:styleId="EndnoteText">
    <w:name w:val="endnote text"/>
    <w:basedOn w:val="Normal"/>
    <w:semiHidden/>
    <w:rsid w:val="00F56BC1"/>
    <w:pPr>
      <w:keepLines w:val="0"/>
    </w:pPr>
    <w:rPr>
      <w:sz w:val="20"/>
      <w:szCs w:val="20"/>
    </w:rPr>
  </w:style>
  <w:style w:type="paragraph" w:customStyle="1" w:styleId="dectablehead">
    <w:name w:val="dec. table head"/>
    <w:basedOn w:val="Normal"/>
    <w:rsid w:val="00F56BC1"/>
    <w:pPr>
      <w:keepLines w:val="0"/>
      <w:spacing w:before="40" w:after="40"/>
    </w:pPr>
    <w:rPr>
      <w:b/>
      <w:bCs/>
      <w:sz w:val="24"/>
      <w:szCs w:val="24"/>
    </w:rPr>
  </w:style>
  <w:style w:type="paragraph" w:customStyle="1" w:styleId="page">
    <w:name w:val="page"/>
    <w:basedOn w:val="Normal"/>
    <w:rsid w:val="00F56BC1"/>
    <w:pPr>
      <w:keepLines w:val="0"/>
      <w:spacing w:before="40" w:after="40"/>
      <w:jc w:val="center"/>
    </w:pPr>
    <w:rPr>
      <w:spacing w:val="-5"/>
      <w:sz w:val="24"/>
      <w:szCs w:val="24"/>
    </w:rPr>
  </w:style>
  <w:style w:type="paragraph" w:customStyle="1" w:styleId="tablehead">
    <w:name w:val="table head"/>
    <w:basedOn w:val="Normal"/>
    <w:rsid w:val="00F56BC1"/>
    <w:pPr>
      <w:keepLines w:val="0"/>
      <w:spacing w:before="40" w:after="40"/>
      <w:jc w:val="center"/>
    </w:pPr>
    <w:rPr>
      <w:b/>
      <w:bCs/>
      <w:sz w:val="24"/>
      <w:szCs w:val="24"/>
    </w:rPr>
  </w:style>
  <w:style w:type="paragraph" w:customStyle="1" w:styleId="tabletext">
    <w:name w:val="table text"/>
    <w:basedOn w:val="Normal"/>
    <w:rsid w:val="00F56BC1"/>
    <w:pPr>
      <w:keepLines w:val="0"/>
      <w:spacing w:before="40" w:after="40"/>
    </w:pPr>
    <w:rPr>
      <w:sz w:val="24"/>
      <w:szCs w:val="24"/>
    </w:rPr>
  </w:style>
  <w:style w:type="paragraph" w:styleId="TOC1">
    <w:name w:val="toc 1"/>
    <w:basedOn w:val="Normal"/>
    <w:next w:val="Normal"/>
    <w:autoRedefine/>
    <w:uiPriority w:val="39"/>
    <w:rsid w:val="00F56BC1"/>
    <w:pPr>
      <w:tabs>
        <w:tab w:val="left" w:pos="1600"/>
        <w:tab w:val="right" w:pos="9629"/>
      </w:tabs>
      <w:spacing w:before="360"/>
      <w:ind w:left="1650" w:hanging="1650"/>
    </w:pPr>
    <w:rPr>
      <w:b/>
      <w:bCs/>
      <w:caps/>
      <w:u w:val="single"/>
    </w:rPr>
  </w:style>
  <w:style w:type="paragraph" w:styleId="NormalWeb">
    <w:name w:val="Normal (Web)"/>
    <w:basedOn w:val="Normal"/>
    <w:rsid w:val="00F56BC1"/>
    <w:pPr>
      <w:keepLines w:val="0"/>
      <w:spacing w:before="100" w:beforeAutospacing="1" w:after="100" w:afterAutospacing="1"/>
    </w:pPr>
    <w:rPr>
      <w:sz w:val="24"/>
      <w:szCs w:val="24"/>
      <w:lang w:eastAsia="en-AU"/>
    </w:rPr>
  </w:style>
  <w:style w:type="paragraph" w:customStyle="1" w:styleId="Style26">
    <w:name w:val="Style26"/>
    <w:rsid w:val="00F56BC1"/>
    <w:pPr>
      <w:autoSpaceDE w:val="0"/>
      <w:autoSpaceDN w:val="0"/>
      <w:adjustRightInd w:val="0"/>
    </w:pPr>
    <w:rPr>
      <w:rFonts w:ascii="Arial" w:hAnsi="Arial" w:cs="Arial"/>
      <w:sz w:val="24"/>
      <w:szCs w:val="24"/>
    </w:rPr>
  </w:style>
  <w:style w:type="paragraph" w:styleId="BalloonText">
    <w:name w:val="Balloon Text"/>
    <w:basedOn w:val="Normal"/>
    <w:semiHidden/>
    <w:rsid w:val="00F56BC1"/>
    <w:pPr>
      <w:keepLines w:val="0"/>
    </w:pPr>
    <w:rPr>
      <w:rFonts w:ascii="Tahoma" w:hAnsi="Tahoma" w:cs="Tahoma"/>
      <w:sz w:val="16"/>
      <w:szCs w:val="16"/>
    </w:rPr>
  </w:style>
  <w:style w:type="paragraph" w:customStyle="1" w:styleId="bullettext10">
    <w:name w:val="bullettext1"/>
    <w:basedOn w:val="Normal"/>
    <w:rsid w:val="00F56BC1"/>
    <w:pPr>
      <w:keepLines w:val="0"/>
      <w:spacing w:before="100" w:beforeAutospacing="1" w:after="100" w:afterAutospacing="1"/>
    </w:pPr>
    <w:rPr>
      <w:sz w:val="24"/>
      <w:szCs w:val="24"/>
      <w:lang w:eastAsia="en-AU"/>
    </w:rPr>
  </w:style>
  <w:style w:type="paragraph" w:customStyle="1" w:styleId="Maptitle">
    <w:name w:val="Map title"/>
    <w:basedOn w:val="Normal"/>
    <w:rsid w:val="00F56BC1"/>
    <w:pPr>
      <w:keepLines w:val="0"/>
    </w:pPr>
    <w:rPr>
      <w:sz w:val="24"/>
      <w:szCs w:val="24"/>
    </w:rPr>
  </w:style>
  <w:style w:type="paragraph" w:customStyle="1" w:styleId="bodytext0">
    <w:name w:val="bodytext"/>
    <w:basedOn w:val="Normal"/>
    <w:rsid w:val="00F56BC1"/>
    <w:pPr>
      <w:keepLines w:val="0"/>
      <w:spacing w:before="100" w:beforeAutospacing="1" w:after="100" w:afterAutospacing="1"/>
    </w:pPr>
    <w:rPr>
      <w:rFonts w:ascii="Verdana" w:hAnsi="Verdana" w:cs="Verdana"/>
      <w:color w:val="000066"/>
      <w:sz w:val="26"/>
      <w:szCs w:val="26"/>
      <w:lang w:eastAsia="en-AU"/>
    </w:rPr>
  </w:style>
  <w:style w:type="paragraph" w:customStyle="1" w:styleId="ClauseLevel1">
    <w:name w:val="Clause Level 1"/>
    <w:next w:val="Normal"/>
    <w:autoRedefine/>
    <w:rsid w:val="00F56BC1"/>
    <w:pPr>
      <w:keepLines/>
      <w:pBdr>
        <w:bottom w:val="single" w:sz="2" w:space="1" w:color="auto"/>
      </w:pBdr>
      <w:tabs>
        <w:tab w:val="num" w:pos="720"/>
        <w:tab w:val="num" w:pos="1134"/>
      </w:tabs>
      <w:spacing w:before="200" w:line="280" w:lineRule="atLeast"/>
      <w:ind w:left="1134" w:hanging="1134"/>
      <w:outlineLvl w:val="0"/>
    </w:pPr>
    <w:rPr>
      <w:rFonts w:ascii="Arial" w:hAnsi="Arial" w:cs="Arial"/>
      <w:b/>
      <w:bCs/>
      <w:sz w:val="22"/>
      <w:szCs w:val="22"/>
    </w:rPr>
  </w:style>
  <w:style w:type="paragraph" w:customStyle="1" w:styleId="ClauseLevel3CharCharChar">
    <w:name w:val="Clause Level 3 Char Char Char"/>
    <w:link w:val="ClauseLevel3CharCharCharChar"/>
    <w:autoRedefine/>
    <w:rsid w:val="00F56BC1"/>
    <w:pPr>
      <w:keepNext/>
      <w:keepLines/>
      <w:numPr>
        <w:numId w:val="2"/>
      </w:numPr>
      <w:tabs>
        <w:tab w:val="clear" w:pos="1134"/>
      </w:tabs>
      <w:spacing w:before="120" w:after="120"/>
      <w:ind w:left="0" w:right="-108" w:firstLine="0"/>
    </w:pPr>
    <w:rPr>
      <w:rFonts w:ascii="Arial Narrow" w:hAnsi="Arial Narrow" w:cs="Arial Narrow"/>
      <w:sz w:val="22"/>
      <w:szCs w:val="22"/>
      <w:lang w:val="en-GB"/>
    </w:rPr>
  </w:style>
  <w:style w:type="character" w:customStyle="1" w:styleId="ClauseLevel3CharCharCharChar">
    <w:name w:val="Clause Level 3 Char Char Char Char"/>
    <w:link w:val="ClauseLevel3CharCharChar"/>
    <w:rsid w:val="00F56BC1"/>
    <w:rPr>
      <w:rFonts w:ascii="Arial Narrow" w:hAnsi="Arial Narrow" w:cs="Arial Narrow"/>
      <w:sz w:val="22"/>
      <w:szCs w:val="22"/>
      <w:lang w:val="en-GB" w:eastAsia="en-AU" w:bidi="ar-SA"/>
    </w:rPr>
  </w:style>
  <w:style w:type="paragraph" w:customStyle="1" w:styleId="ClauseLevel4CharChar">
    <w:name w:val="Clause Level 4 Char Char"/>
    <w:basedOn w:val="ClauseLevel3CharCharChar"/>
    <w:autoRedefine/>
    <w:rsid w:val="00F56BC1"/>
    <w:pPr>
      <w:numPr>
        <w:ilvl w:val="2"/>
      </w:numPr>
      <w:tabs>
        <w:tab w:val="left" w:pos="0"/>
        <w:tab w:val="left" w:pos="1260"/>
        <w:tab w:val="num" w:pos="1800"/>
        <w:tab w:val="num" w:pos="2160"/>
      </w:tabs>
      <w:spacing w:before="0"/>
      <w:ind w:left="1260" w:hanging="540"/>
    </w:pPr>
  </w:style>
  <w:style w:type="paragraph" w:customStyle="1" w:styleId="ClauseLevel6">
    <w:name w:val="Clause Level 6"/>
    <w:basedOn w:val="ClauseLevel4CharChar"/>
    <w:next w:val="Normal"/>
    <w:rsid w:val="00F56BC1"/>
    <w:pPr>
      <w:numPr>
        <w:ilvl w:val="4"/>
      </w:numPr>
      <w:tabs>
        <w:tab w:val="num" w:pos="3600"/>
      </w:tabs>
      <w:ind w:left="3600" w:hanging="360"/>
    </w:pPr>
  </w:style>
  <w:style w:type="paragraph" w:customStyle="1" w:styleId="ClauseLevel7">
    <w:name w:val="Clause Level 7"/>
    <w:basedOn w:val="ClauseLevel4CharChar"/>
    <w:next w:val="Normal"/>
    <w:rsid w:val="00F56BC1"/>
    <w:pPr>
      <w:numPr>
        <w:ilvl w:val="5"/>
      </w:numPr>
      <w:tabs>
        <w:tab w:val="num" w:pos="4320"/>
      </w:tabs>
      <w:ind w:left="4320" w:hanging="360"/>
    </w:pPr>
  </w:style>
  <w:style w:type="paragraph" w:customStyle="1" w:styleId="ClauseLevel8">
    <w:name w:val="Clause Level 8"/>
    <w:basedOn w:val="ClauseLevel4CharChar"/>
    <w:next w:val="Normal"/>
    <w:rsid w:val="00F56BC1"/>
    <w:pPr>
      <w:numPr>
        <w:ilvl w:val="6"/>
      </w:numPr>
      <w:tabs>
        <w:tab w:val="num" w:pos="5040"/>
      </w:tabs>
      <w:ind w:left="5040" w:hanging="360"/>
    </w:pPr>
  </w:style>
  <w:style w:type="paragraph" w:customStyle="1" w:styleId="ClauseLevel9">
    <w:name w:val="Clause Level 9"/>
    <w:basedOn w:val="ClauseLevel4CharChar"/>
    <w:next w:val="Normal"/>
    <w:rsid w:val="00F56BC1"/>
    <w:pPr>
      <w:numPr>
        <w:ilvl w:val="7"/>
      </w:numPr>
      <w:tabs>
        <w:tab w:val="num" w:pos="5760"/>
      </w:tabs>
      <w:ind w:left="5760" w:hanging="360"/>
    </w:pPr>
  </w:style>
  <w:style w:type="paragraph" w:customStyle="1" w:styleId="ClauseLevel10">
    <w:name w:val="Clause Level 10"/>
    <w:basedOn w:val="ClauseLevel4CharChar"/>
    <w:next w:val="Normal"/>
    <w:rsid w:val="00F56BC1"/>
    <w:pPr>
      <w:numPr>
        <w:ilvl w:val="8"/>
      </w:numPr>
      <w:tabs>
        <w:tab w:val="num" w:pos="6480"/>
      </w:tabs>
      <w:ind w:left="6480" w:hanging="360"/>
    </w:pPr>
  </w:style>
  <w:style w:type="paragraph" w:customStyle="1" w:styleId="ClauseLevel5">
    <w:name w:val="Clause Level 5"/>
    <w:basedOn w:val="ClauseLevel4CharChar"/>
    <w:autoRedefine/>
    <w:rsid w:val="00F56BC1"/>
    <w:pPr>
      <w:keepNext w:val="0"/>
      <w:keepLines w:val="0"/>
      <w:numPr>
        <w:ilvl w:val="3"/>
      </w:numPr>
      <w:tabs>
        <w:tab w:val="clear" w:pos="0"/>
        <w:tab w:val="clear" w:pos="1260"/>
        <w:tab w:val="left" w:pos="1620"/>
        <w:tab w:val="num" w:pos="2880"/>
      </w:tabs>
      <w:ind w:left="1620" w:hanging="360"/>
    </w:pPr>
  </w:style>
  <w:style w:type="character" w:styleId="Strong">
    <w:name w:val="Strong"/>
    <w:qFormat/>
    <w:rsid w:val="00F56BC1"/>
    <w:rPr>
      <w:b/>
      <w:bCs/>
    </w:rPr>
  </w:style>
  <w:style w:type="paragraph" w:customStyle="1" w:styleId="Head1">
    <w:name w:val="Head1"/>
    <w:basedOn w:val="Normal"/>
    <w:rsid w:val="00F56BC1"/>
    <w:pPr>
      <w:tabs>
        <w:tab w:val="left" w:pos="1620"/>
      </w:tabs>
    </w:pPr>
    <w:rPr>
      <w:b/>
      <w:bCs/>
    </w:rPr>
  </w:style>
  <w:style w:type="paragraph" w:customStyle="1" w:styleId="Head2">
    <w:name w:val="Head2"/>
    <w:basedOn w:val="Normal"/>
    <w:rsid w:val="00F56BC1"/>
    <w:pPr>
      <w:tabs>
        <w:tab w:val="left" w:pos="1620"/>
      </w:tabs>
    </w:pPr>
    <w:rPr>
      <w:b/>
      <w:bCs/>
    </w:rPr>
  </w:style>
  <w:style w:type="paragraph" w:customStyle="1" w:styleId="bullet">
    <w:name w:val="bullet"/>
    <w:basedOn w:val="Header"/>
    <w:rsid w:val="00F56BC1"/>
    <w:pPr>
      <w:tabs>
        <w:tab w:val="clear" w:pos="4820"/>
        <w:tab w:val="clear" w:pos="9923"/>
        <w:tab w:val="num" w:pos="360"/>
      </w:tabs>
      <w:snapToGrid w:val="0"/>
      <w:spacing w:after="120"/>
      <w:ind w:left="1134" w:hanging="567"/>
    </w:pPr>
    <w:rPr>
      <w:color w:val="000000"/>
    </w:rPr>
  </w:style>
  <w:style w:type="paragraph" w:customStyle="1" w:styleId="Style1">
    <w:name w:val="Style1"/>
    <w:basedOn w:val="Normal"/>
    <w:rsid w:val="00F56BC1"/>
    <w:pPr>
      <w:keepLines w:val="0"/>
      <w:ind w:left="1400" w:hanging="800"/>
    </w:pPr>
  </w:style>
  <w:style w:type="character" w:customStyle="1" w:styleId="Italics">
    <w:name w:val="Italics"/>
    <w:rsid w:val="00F56BC1"/>
    <w:rPr>
      <w:i/>
      <w:iCs/>
    </w:rPr>
  </w:style>
  <w:style w:type="character" w:customStyle="1" w:styleId="Bold">
    <w:name w:val="Bold"/>
    <w:rsid w:val="00F56BC1"/>
    <w:rPr>
      <w:b/>
      <w:bCs/>
    </w:rPr>
  </w:style>
  <w:style w:type="paragraph" w:customStyle="1" w:styleId="Interpretation">
    <w:name w:val="Interpretation"/>
    <w:basedOn w:val="Normal"/>
    <w:link w:val="InterpretationChar"/>
    <w:rsid w:val="00F56BC1"/>
    <w:pPr>
      <w:keepLines w:val="0"/>
      <w:widowControl w:val="0"/>
      <w:spacing w:after="120"/>
      <w:ind w:left="567"/>
    </w:pPr>
    <w:rPr>
      <w:rFonts w:ascii="Garamond" w:hAnsi="Garamond" w:cs="Garamond"/>
      <w:color w:val="000000"/>
      <w:sz w:val="24"/>
      <w:szCs w:val="24"/>
    </w:rPr>
  </w:style>
  <w:style w:type="character" w:customStyle="1" w:styleId="InterpretationChar">
    <w:name w:val="Interpretation Char"/>
    <w:link w:val="Interpretation"/>
    <w:rsid w:val="00F56BC1"/>
    <w:rPr>
      <w:rFonts w:ascii="Garamond" w:hAnsi="Garamond" w:cs="Garamond"/>
      <w:color w:val="000000"/>
      <w:sz w:val="24"/>
      <w:szCs w:val="24"/>
      <w:lang w:val="en-AU" w:eastAsia="en-US" w:bidi="ar-SA"/>
    </w:rPr>
  </w:style>
  <w:style w:type="paragraph" w:styleId="CommentSubject">
    <w:name w:val="annotation subject"/>
    <w:basedOn w:val="CommentText"/>
    <w:next w:val="CommentText"/>
    <w:semiHidden/>
    <w:rsid w:val="00F56BC1"/>
    <w:pPr>
      <w:keepLines w:val="0"/>
    </w:pPr>
    <w:rPr>
      <w:b/>
      <w:bCs/>
    </w:rPr>
  </w:style>
  <w:style w:type="character" w:customStyle="1" w:styleId="EmailStyle69">
    <w:name w:val="EmailStyle69"/>
    <w:semiHidden/>
    <w:rsid w:val="00F56BC1"/>
    <w:rPr>
      <w:rFonts w:ascii="Arial" w:hAnsi="Arial" w:cs="Arial"/>
      <w:color w:val="auto"/>
      <w:sz w:val="22"/>
      <w:szCs w:val="22"/>
      <w:u w:val="none"/>
    </w:rPr>
  </w:style>
  <w:style w:type="paragraph" w:customStyle="1" w:styleId="List1">
    <w:name w:val="List1"/>
    <w:basedOn w:val="Normal"/>
    <w:rsid w:val="00F56BC1"/>
    <w:pPr>
      <w:keepLines w:val="0"/>
      <w:tabs>
        <w:tab w:val="left" w:pos="800"/>
      </w:tabs>
    </w:pPr>
    <w:rPr>
      <w:b/>
      <w:bCs/>
      <w:lang w:eastAsia="en-AU"/>
    </w:rPr>
  </w:style>
  <w:style w:type="paragraph" w:customStyle="1" w:styleId="list10">
    <w:name w:val="list1"/>
    <w:basedOn w:val="Normal"/>
    <w:rsid w:val="00F56BC1"/>
    <w:rPr>
      <w:b/>
      <w:bCs/>
    </w:rPr>
  </w:style>
  <w:style w:type="paragraph" w:styleId="BodyTextIndent2">
    <w:name w:val="Body Text Indent 2"/>
    <w:basedOn w:val="Normal"/>
    <w:rsid w:val="00F56BC1"/>
    <w:pPr>
      <w:keepLines w:val="0"/>
      <w:tabs>
        <w:tab w:val="left" w:pos="851"/>
      </w:tabs>
      <w:ind w:left="851" w:hanging="851"/>
    </w:pPr>
  </w:style>
  <w:style w:type="paragraph" w:styleId="BodyTextIndent3">
    <w:name w:val="Body Text Indent 3"/>
    <w:basedOn w:val="Normal"/>
    <w:rsid w:val="00F56BC1"/>
    <w:pPr>
      <w:keepLines w:val="0"/>
      <w:ind w:left="709" w:hanging="709"/>
    </w:pPr>
  </w:style>
  <w:style w:type="character" w:styleId="Emphasis">
    <w:name w:val="Emphasis"/>
    <w:qFormat/>
    <w:rsid w:val="00F56BC1"/>
    <w:rPr>
      <w:i/>
      <w:iCs/>
    </w:rPr>
  </w:style>
  <w:style w:type="paragraph" w:styleId="Title">
    <w:name w:val="Title"/>
    <w:basedOn w:val="Normal"/>
    <w:link w:val="TitleChar"/>
    <w:qFormat/>
    <w:rsid w:val="00F56BC1"/>
    <w:pPr>
      <w:keepLines w:val="0"/>
      <w:spacing w:before="240" w:after="60"/>
    </w:pPr>
    <w:rPr>
      <w:b/>
      <w:bCs/>
      <w:sz w:val="40"/>
      <w:szCs w:val="40"/>
      <w:lang w:eastAsia="en-AU"/>
    </w:rPr>
  </w:style>
  <w:style w:type="paragraph" w:customStyle="1" w:styleId="CoverUpdate">
    <w:name w:val="CoverUpdate"/>
    <w:basedOn w:val="Normal"/>
    <w:rsid w:val="00F56BC1"/>
    <w:pPr>
      <w:keepLines w:val="0"/>
      <w:spacing w:before="240"/>
    </w:pPr>
    <w:rPr>
      <w:sz w:val="24"/>
      <w:szCs w:val="24"/>
      <w:lang w:eastAsia="en-AU"/>
    </w:rPr>
  </w:style>
  <w:style w:type="paragraph" w:customStyle="1" w:styleId="CoverAct">
    <w:name w:val="CoverAct"/>
    <w:basedOn w:val="Normal"/>
    <w:next w:val="CoverUpdate"/>
    <w:rsid w:val="00F56BC1"/>
    <w:pPr>
      <w:keepLines w:val="0"/>
      <w:pBdr>
        <w:bottom w:val="single" w:sz="4" w:space="3" w:color="auto"/>
      </w:pBdr>
    </w:pPr>
    <w:rPr>
      <w:i/>
      <w:iCs/>
      <w:sz w:val="28"/>
      <w:szCs w:val="28"/>
      <w:lang w:eastAsia="en-AU"/>
    </w:rPr>
  </w:style>
  <w:style w:type="paragraph" w:customStyle="1" w:styleId="CoverMade">
    <w:name w:val="CoverMade"/>
    <w:basedOn w:val="Normal"/>
    <w:rsid w:val="00F56BC1"/>
    <w:pPr>
      <w:keepLines w:val="0"/>
      <w:spacing w:before="240" w:after="240"/>
    </w:pPr>
    <w:rPr>
      <w:sz w:val="24"/>
      <w:szCs w:val="24"/>
      <w:lang w:eastAsia="en-AU"/>
    </w:rPr>
  </w:style>
  <w:style w:type="paragraph" w:customStyle="1" w:styleId="CoverStatRule">
    <w:name w:val="CoverStatRule"/>
    <w:basedOn w:val="Normal"/>
    <w:next w:val="Normal"/>
    <w:rsid w:val="00F56BC1"/>
    <w:pPr>
      <w:keepLines w:val="0"/>
      <w:spacing w:before="240"/>
    </w:pPr>
    <w:rPr>
      <w:b/>
      <w:bCs/>
      <w:sz w:val="24"/>
      <w:szCs w:val="24"/>
      <w:lang w:eastAsia="en-AU"/>
    </w:rPr>
  </w:style>
  <w:style w:type="paragraph" w:customStyle="1" w:styleId="TableENotesHeading">
    <w:name w:val="TableENotesHeading"/>
    <w:basedOn w:val="Normal"/>
    <w:rsid w:val="00F56BC1"/>
    <w:pPr>
      <w:keepLines w:val="0"/>
      <w:spacing w:before="240" w:after="240" w:line="300" w:lineRule="exact"/>
      <w:ind w:left="2410" w:hanging="2410"/>
    </w:pPr>
    <w:rPr>
      <w:b/>
      <w:bCs/>
      <w:noProof/>
      <w:sz w:val="28"/>
      <w:szCs w:val="28"/>
      <w:lang w:eastAsia="en-AU"/>
    </w:rPr>
  </w:style>
  <w:style w:type="paragraph" w:customStyle="1" w:styleId="EndNotes">
    <w:name w:val="EndNotes"/>
    <w:basedOn w:val="Normal"/>
    <w:rsid w:val="00F56BC1"/>
    <w:pPr>
      <w:keepLines w:val="0"/>
      <w:spacing w:before="120" w:line="260" w:lineRule="exact"/>
      <w:jc w:val="both"/>
    </w:pPr>
    <w:rPr>
      <w:noProof/>
      <w:sz w:val="24"/>
      <w:szCs w:val="24"/>
      <w:lang w:eastAsia="en-AU"/>
    </w:rPr>
  </w:style>
  <w:style w:type="paragraph" w:customStyle="1" w:styleId="ENoteNo">
    <w:name w:val="ENoteNo"/>
    <w:basedOn w:val="EndNotes"/>
    <w:rsid w:val="00F56BC1"/>
    <w:pPr>
      <w:ind w:left="357" w:hanging="357"/>
    </w:pPr>
    <w:rPr>
      <w:b/>
      <w:bCs/>
    </w:rPr>
  </w:style>
  <w:style w:type="paragraph" w:customStyle="1" w:styleId="TableColHead">
    <w:name w:val="TableColHead"/>
    <w:basedOn w:val="Normal"/>
    <w:rsid w:val="00F56BC1"/>
    <w:pPr>
      <w:keepNext/>
      <w:keepLines w:val="0"/>
      <w:spacing w:before="120" w:after="60" w:line="200" w:lineRule="exact"/>
    </w:pPr>
    <w:rPr>
      <w:b/>
      <w:bCs/>
      <w:noProof/>
      <w:sz w:val="18"/>
      <w:szCs w:val="18"/>
    </w:rPr>
  </w:style>
  <w:style w:type="paragraph" w:styleId="NoteHeading">
    <w:name w:val="Note Heading"/>
    <w:aliases w:val="HN"/>
    <w:basedOn w:val="Normal"/>
    <w:next w:val="Normal"/>
    <w:link w:val="NoteHeadingChar"/>
    <w:rsid w:val="00F56BC1"/>
    <w:pPr>
      <w:keepNext/>
      <w:tabs>
        <w:tab w:val="left" w:pos="1559"/>
      </w:tabs>
      <w:spacing w:before="120" w:line="240" w:lineRule="atLeast"/>
    </w:pPr>
    <w:rPr>
      <w:b/>
      <w:bCs/>
      <w:noProof/>
      <w:sz w:val="32"/>
      <w:szCs w:val="32"/>
      <w:lang w:eastAsia="en-AU"/>
    </w:rPr>
  </w:style>
  <w:style w:type="character" w:customStyle="1" w:styleId="CharENotesHeading">
    <w:name w:val="CharENotesHeading"/>
    <w:basedOn w:val="DefaultParagraphFont"/>
    <w:rsid w:val="00F56BC1"/>
  </w:style>
  <w:style w:type="paragraph" w:customStyle="1" w:styleId="TableOfAmend">
    <w:name w:val="TableOfAmend"/>
    <w:basedOn w:val="Normal"/>
    <w:rsid w:val="00F56BC1"/>
    <w:pPr>
      <w:keepLines w:val="0"/>
      <w:tabs>
        <w:tab w:val="right" w:leader="dot" w:pos="2268"/>
      </w:tabs>
      <w:spacing w:before="60" w:line="200" w:lineRule="exact"/>
      <w:ind w:left="170" w:right="-11" w:hanging="170"/>
    </w:pPr>
    <w:rPr>
      <w:noProof/>
      <w:sz w:val="18"/>
      <w:szCs w:val="18"/>
      <w:lang w:eastAsia="en-AU"/>
    </w:rPr>
  </w:style>
  <w:style w:type="paragraph" w:customStyle="1" w:styleId="TableOfAmendHead">
    <w:name w:val="TableOfAmendHead"/>
    <w:basedOn w:val="TableOfAmend"/>
    <w:next w:val="Normal"/>
    <w:rsid w:val="00F56BC1"/>
    <w:pPr>
      <w:spacing w:after="60"/>
    </w:pPr>
    <w:rPr>
      <w:sz w:val="16"/>
      <w:szCs w:val="16"/>
    </w:rPr>
  </w:style>
  <w:style w:type="paragraph" w:customStyle="1" w:styleId="TableENotesHeadingAmdt">
    <w:name w:val="TableENotesHeadingAmdt"/>
    <w:basedOn w:val="Normal"/>
    <w:next w:val="Normal"/>
    <w:rsid w:val="00F56BC1"/>
    <w:pPr>
      <w:keepLines w:val="0"/>
      <w:pageBreakBefore/>
      <w:spacing w:before="240" w:after="240" w:line="300" w:lineRule="exact"/>
      <w:ind w:left="2410" w:hanging="2410"/>
    </w:pPr>
    <w:rPr>
      <w:b/>
      <w:bCs/>
      <w:noProof/>
      <w:sz w:val="28"/>
      <w:szCs w:val="28"/>
      <w:lang w:eastAsia="en-AU"/>
    </w:rPr>
  </w:style>
  <w:style w:type="paragraph" w:styleId="TOC3">
    <w:name w:val="toc 3"/>
    <w:basedOn w:val="Normal"/>
    <w:next w:val="Normal"/>
    <w:autoRedefine/>
    <w:uiPriority w:val="39"/>
    <w:rsid w:val="00F56BC1"/>
    <w:pPr>
      <w:ind w:left="220"/>
    </w:pPr>
    <w:rPr>
      <w:sz w:val="20"/>
      <w:szCs w:val="20"/>
    </w:rPr>
  </w:style>
  <w:style w:type="paragraph" w:styleId="TOC4">
    <w:name w:val="toc 4"/>
    <w:basedOn w:val="Normal"/>
    <w:next w:val="Normal"/>
    <w:autoRedefine/>
    <w:semiHidden/>
    <w:rsid w:val="00F56BC1"/>
    <w:pPr>
      <w:ind w:left="440"/>
    </w:pPr>
    <w:rPr>
      <w:sz w:val="20"/>
      <w:szCs w:val="20"/>
    </w:rPr>
  </w:style>
  <w:style w:type="paragraph" w:styleId="TOC5">
    <w:name w:val="toc 5"/>
    <w:basedOn w:val="Normal"/>
    <w:next w:val="Normal"/>
    <w:autoRedefine/>
    <w:semiHidden/>
    <w:rsid w:val="00F56BC1"/>
    <w:pPr>
      <w:ind w:left="660"/>
    </w:pPr>
    <w:rPr>
      <w:sz w:val="20"/>
      <w:szCs w:val="20"/>
    </w:rPr>
  </w:style>
  <w:style w:type="paragraph" w:styleId="TOC6">
    <w:name w:val="toc 6"/>
    <w:basedOn w:val="Normal"/>
    <w:next w:val="Normal"/>
    <w:autoRedefine/>
    <w:semiHidden/>
    <w:rsid w:val="00F56BC1"/>
    <w:pPr>
      <w:ind w:left="880"/>
    </w:pPr>
    <w:rPr>
      <w:sz w:val="20"/>
      <w:szCs w:val="20"/>
    </w:rPr>
  </w:style>
  <w:style w:type="paragraph" w:styleId="TOC7">
    <w:name w:val="toc 7"/>
    <w:basedOn w:val="Normal"/>
    <w:next w:val="Normal"/>
    <w:autoRedefine/>
    <w:semiHidden/>
    <w:rsid w:val="00F56BC1"/>
    <w:pPr>
      <w:ind w:left="1100"/>
    </w:pPr>
    <w:rPr>
      <w:sz w:val="20"/>
      <w:szCs w:val="20"/>
    </w:rPr>
  </w:style>
  <w:style w:type="paragraph" w:styleId="TOC8">
    <w:name w:val="toc 8"/>
    <w:basedOn w:val="Normal"/>
    <w:next w:val="Normal"/>
    <w:autoRedefine/>
    <w:semiHidden/>
    <w:rsid w:val="00F56BC1"/>
    <w:pPr>
      <w:ind w:left="1320"/>
    </w:pPr>
    <w:rPr>
      <w:sz w:val="20"/>
      <w:szCs w:val="20"/>
    </w:rPr>
  </w:style>
  <w:style w:type="paragraph" w:styleId="TOC9">
    <w:name w:val="toc 9"/>
    <w:basedOn w:val="Normal"/>
    <w:next w:val="Normal"/>
    <w:autoRedefine/>
    <w:semiHidden/>
    <w:rsid w:val="00F56BC1"/>
    <w:pPr>
      <w:ind w:left="1540"/>
    </w:pPr>
    <w:rPr>
      <w:sz w:val="20"/>
      <w:szCs w:val="20"/>
    </w:rPr>
  </w:style>
  <w:style w:type="paragraph" w:customStyle="1" w:styleId="NormalLeft0cm">
    <w:name w:val="Normal + Left:  0 cm"/>
    <w:aliases w:val="Hanging:  1.41 cm"/>
    <w:basedOn w:val="Heading1"/>
    <w:rsid w:val="00F56BC1"/>
    <w:pPr>
      <w:ind w:left="770" w:hanging="770"/>
    </w:pPr>
    <w:rPr>
      <w:b w:val="0"/>
      <w:bCs w:val="0"/>
      <w:sz w:val="22"/>
      <w:szCs w:val="22"/>
    </w:rPr>
  </w:style>
  <w:style w:type="numbering" w:styleId="111111">
    <w:name w:val="Outline List 2"/>
    <w:basedOn w:val="NoList"/>
    <w:rsid w:val="00F56BC1"/>
    <w:pPr>
      <w:numPr>
        <w:numId w:val="3"/>
      </w:numPr>
    </w:pPr>
  </w:style>
  <w:style w:type="paragraph" w:styleId="ListParagraph">
    <w:name w:val="List Paragraph"/>
    <w:basedOn w:val="Normal"/>
    <w:uiPriority w:val="34"/>
    <w:qFormat/>
    <w:rsid w:val="008B0B36"/>
    <w:pPr>
      <w:keepLines w:val="0"/>
      <w:ind w:left="720"/>
      <w:contextualSpacing/>
    </w:pPr>
    <w:rPr>
      <w:rFonts w:cs="Times New Roman"/>
      <w:szCs w:val="20"/>
    </w:rPr>
  </w:style>
  <w:style w:type="paragraph" w:customStyle="1" w:styleId="IndentParaLevel1">
    <w:name w:val="IndentParaLevel1"/>
    <w:basedOn w:val="Normal"/>
    <w:rsid w:val="00154654"/>
    <w:pPr>
      <w:keepLines w:val="0"/>
      <w:widowControl w:val="0"/>
      <w:spacing w:after="220"/>
      <w:ind w:left="964"/>
    </w:pPr>
    <w:rPr>
      <w:rFonts w:ascii="Times New Roman" w:hAnsi="Times New Roman" w:cs="Times New Roman"/>
    </w:rPr>
  </w:style>
  <w:style w:type="paragraph" w:customStyle="1" w:styleId="ShortT">
    <w:name w:val="ShortT"/>
    <w:basedOn w:val="Normal"/>
    <w:next w:val="Normal"/>
    <w:link w:val="ShortTChar"/>
    <w:qFormat/>
    <w:rsid w:val="00C52216"/>
    <w:pPr>
      <w:keepLines w:val="0"/>
    </w:pPr>
    <w:rPr>
      <w:rFonts w:ascii="Times New Roman" w:hAnsi="Times New Roman" w:cs="Times New Roman"/>
      <w:b/>
      <w:sz w:val="40"/>
      <w:szCs w:val="20"/>
      <w:lang w:eastAsia="en-AU"/>
    </w:rPr>
  </w:style>
  <w:style w:type="character" w:customStyle="1" w:styleId="ShortTChar">
    <w:name w:val="ShortT Char"/>
    <w:link w:val="ShortT"/>
    <w:rsid w:val="00C52216"/>
    <w:rPr>
      <w:b/>
      <w:sz w:val="40"/>
    </w:rPr>
  </w:style>
  <w:style w:type="paragraph" w:styleId="Revision">
    <w:name w:val="Revision"/>
    <w:hidden/>
    <w:uiPriority w:val="99"/>
    <w:semiHidden/>
    <w:rsid w:val="00CA7F4C"/>
    <w:rPr>
      <w:rFonts w:ascii="Arial" w:hAnsi="Arial" w:cs="Arial"/>
      <w:sz w:val="22"/>
      <w:szCs w:val="22"/>
      <w:lang w:eastAsia="en-US"/>
    </w:rPr>
  </w:style>
  <w:style w:type="character" w:customStyle="1" w:styleId="TitleChar">
    <w:name w:val="Title Char"/>
    <w:link w:val="Title"/>
    <w:rsid w:val="00C713FC"/>
    <w:rPr>
      <w:rFonts w:ascii="Arial" w:hAnsi="Arial" w:cs="Arial"/>
      <w:b/>
      <w:bCs/>
      <w:sz w:val="40"/>
      <w:szCs w:val="40"/>
    </w:rPr>
  </w:style>
  <w:style w:type="paragraph" w:customStyle="1" w:styleId="ActHead3">
    <w:name w:val="ActHead 3"/>
    <w:aliases w:val="d"/>
    <w:basedOn w:val="Normal"/>
    <w:next w:val="Normal"/>
    <w:qFormat/>
    <w:rsid w:val="00C713FC"/>
    <w:pPr>
      <w:keepNext/>
      <w:spacing w:before="240"/>
      <w:ind w:left="1134" w:hanging="1134"/>
      <w:outlineLvl w:val="2"/>
    </w:pPr>
    <w:rPr>
      <w:rFonts w:ascii="Times New Roman" w:hAnsi="Times New Roman" w:cs="Times New Roman"/>
      <w:b/>
      <w:bCs/>
      <w:kern w:val="28"/>
      <w:sz w:val="28"/>
      <w:szCs w:val="32"/>
      <w:lang w:eastAsia="en-AU"/>
    </w:rPr>
  </w:style>
  <w:style w:type="character" w:customStyle="1" w:styleId="NoteHeadingChar">
    <w:name w:val="Note Heading Char"/>
    <w:aliases w:val="HN Char"/>
    <w:link w:val="NoteHeading"/>
    <w:rsid w:val="00C713FC"/>
    <w:rPr>
      <w:rFonts w:ascii="Arial" w:hAnsi="Arial" w:cs="Arial"/>
      <w:b/>
      <w:bCs/>
      <w:noProof/>
      <w:sz w:val="32"/>
      <w:szCs w:val="32"/>
    </w:rPr>
  </w:style>
  <w:style w:type="paragraph" w:customStyle="1" w:styleId="TableText0">
    <w:name w:val="TableText"/>
    <w:basedOn w:val="Normal"/>
    <w:rsid w:val="00C713FC"/>
    <w:pPr>
      <w:keepLines w:val="0"/>
      <w:spacing w:before="60" w:after="60" w:line="240" w:lineRule="exact"/>
    </w:pPr>
    <w:rPr>
      <w:rFonts w:ascii="Times New Roman" w:hAnsi="Times New Roman" w:cs="Times New Roman"/>
      <w:szCs w:val="24"/>
      <w:lang w:eastAsia="en-AU"/>
    </w:rPr>
  </w:style>
  <w:style w:type="character" w:customStyle="1" w:styleId="legsubtitle1">
    <w:name w:val="legsubtitle1"/>
    <w:rsid w:val="00C713FC"/>
    <w:rPr>
      <w:rFonts w:ascii="Arial" w:hAnsi="Arial" w:cs="Arial" w:hint="default"/>
      <w:b/>
      <w:bCs/>
      <w:sz w:val="28"/>
      <w:szCs w:val="28"/>
    </w:rPr>
  </w:style>
  <w:style w:type="paragraph" w:customStyle="1" w:styleId="paragraph">
    <w:name w:val="paragraph"/>
    <w:aliases w:val="a"/>
    <w:basedOn w:val="Normal"/>
    <w:link w:val="paragraphChar"/>
    <w:rsid w:val="00C104FD"/>
    <w:pPr>
      <w:keepLines w:val="0"/>
      <w:tabs>
        <w:tab w:val="right" w:pos="1531"/>
      </w:tabs>
      <w:spacing w:before="40"/>
      <w:ind w:left="1644" w:hanging="1644"/>
    </w:pPr>
    <w:rPr>
      <w:rFonts w:ascii="Times New Roman" w:hAnsi="Times New Roman" w:cs="Times New Roman"/>
      <w:szCs w:val="20"/>
      <w:lang w:eastAsia="en-AU"/>
    </w:rPr>
  </w:style>
  <w:style w:type="character" w:customStyle="1" w:styleId="paragraphChar">
    <w:name w:val="paragraph Char"/>
    <w:aliases w:val="a Char"/>
    <w:basedOn w:val="DefaultParagraphFont"/>
    <w:link w:val="paragraph"/>
    <w:locked/>
    <w:rsid w:val="00C104FD"/>
    <w:rPr>
      <w:sz w:val="22"/>
    </w:rPr>
  </w:style>
  <w:style w:type="paragraph" w:customStyle="1" w:styleId="Definition">
    <w:name w:val="Definition"/>
    <w:aliases w:val="dd"/>
    <w:basedOn w:val="Normal"/>
    <w:rsid w:val="00C104FD"/>
    <w:pPr>
      <w:keepLines w:val="0"/>
      <w:spacing w:before="180"/>
      <w:ind w:left="1134"/>
    </w:pPr>
    <w:rPr>
      <w:rFonts w:ascii="Times New Roman" w:hAnsi="Times New Roman" w:cs="Times New Roman"/>
      <w:szCs w:val="20"/>
      <w:lang w:eastAsia="en-AU"/>
    </w:rPr>
  </w:style>
  <w:style w:type="paragraph" w:customStyle="1" w:styleId="ActHead5">
    <w:name w:val="ActHead 5"/>
    <w:aliases w:val="s"/>
    <w:basedOn w:val="Normal"/>
    <w:next w:val="subsection"/>
    <w:link w:val="ActHead5Char"/>
    <w:qFormat/>
    <w:rsid w:val="00C104FD"/>
    <w:pPr>
      <w:keepNext/>
      <w:spacing w:before="280"/>
      <w:ind w:left="1134" w:hanging="1134"/>
      <w:outlineLvl w:val="4"/>
    </w:pPr>
    <w:rPr>
      <w:rFonts w:ascii="Times New Roman" w:hAnsi="Times New Roman" w:cs="Times New Roman"/>
      <w:b/>
      <w:kern w:val="28"/>
      <w:sz w:val="24"/>
      <w:szCs w:val="20"/>
      <w:lang w:eastAsia="en-AU"/>
    </w:rPr>
  </w:style>
  <w:style w:type="character" w:customStyle="1" w:styleId="CharSectno">
    <w:name w:val="CharSectno"/>
    <w:basedOn w:val="DefaultParagraphFont"/>
    <w:qFormat/>
    <w:rsid w:val="00C104FD"/>
  </w:style>
  <w:style w:type="paragraph" w:customStyle="1" w:styleId="subsection">
    <w:name w:val="subsection"/>
    <w:aliases w:val="ss,Subsection"/>
    <w:basedOn w:val="Normal"/>
    <w:link w:val="subsectionChar"/>
    <w:rsid w:val="00C104FD"/>
    <w:pPr>
      <w:keepLines w:val="0"/>
      <w:tabs>
        <w:tab w:val="right" w:pos="1021"/>
      </w:tabs>
      <w:spacing w:before="180"/>
      <w:ind w:left="1134" w:hanging="1134"/>
    </w:pPr>
    <w:rPr>
      <w:rFonts w:ascii="Times New Roman" w:hAnsi="Times New Roman" w:cs="Times New Roman"/>
      <w:szCs w:val="20"/>
      <w:lang w:eastAsia="en-AU"/>
    </w:rPr>
  </w:style>
  <w:style w:type="paragraph" w:customStyle="1" w:styleId="paragraphsub">
    <w:name w:val="paragraph(sub)"/>
    <w:aliases w:val="aa"/>
    <w:basedOn w:val="Normal"/>
    <w:rsid w:val="00C104FD"/>
    <w:pPr>
      <w:keepLines w:val="0"/>
      <w:tabs>
        <w:tab w:val="right" w:pos="1985"/>
      </w:tabs>
      <w:spacing w:before="40"/>
      <w:ind w:left="2098" w:hanging="2098"/>
    </w:pPr>
    <w:rPr>
      <w:rFonts w:ascii="Times New Roman" w:hAnsi="Times New Roman" w:cs="Times New Roman"/>
      <w:szCs w:val="20"/>
      <w:lang w:eastAsia="en-AU"/>
    </w:rPr>
  </w:style>
  <w:style w:type="paragraph" w:customStyle="1" w:styleId="notetext">
    <w:name w:val="note(text)"/>
    <w:aliases w:val="n"/>
    <w:basedOn w:val="Normal"/>
    <w:link w:val="notetextChar"/>
    <w:rsid w:val="00C104FD"/>
    <w:pPr>
      <w:keepLines w:val="0"/>
      <w:spacing w:before="122"/>
      <w:ind w:left="1985" w:hanging="851"/>
    </w:pPr>
    <w:rPr>
      <w:rFonts w:ascii="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C104FD"/>
    <w:rPr>
      <w:sz w:val="22"/>
    </w:rPr>
  </w:style>
  <w:style w:type="character" w:customStyle="1" w:styleId="notetextChar">
    <w:name w:val="note(text) Char"/>
    <w:aliases w:val="n Char"/>
    <w:basedOn w:val="DefaultParagraphFont"/>
    <w:link w:val="notetext"/>
    <w:rsid w:val="00C104FD"/>
    <w:rPr>
      <w:sz w:val="18"/>
    </w:rPr>
  </w:style>
  <w:style w:type="character" w:customStyle="1" w:styleId="ActHead5Char">
    <w:name w:val="ActHead 5 Char"/>
    <w:aliases w:val="s Char"/>
    <w:link w:val="ActHead5"/>
    <w:rsid w:val="00C104FD"/>
    <w:rPr>
      <w:b/>
      <w:kern w:val="28"/>
      <w:sz w:val="24"/>
    </w:rPr>
  </w:style>
  <w:style w:type="paragraph" w:customStyle="1" w:styleId="ENoteTableHeading">
    <w:name w:val="ENoteTableHeading"/>
    <w:aliases w:val="enth"/>
    <w:basedOn w:val="Normal"/>
    <w:rsid w:val="00075DD8"/>
    <w:pPr>
      <w:keepNext/>
      <w:keepLines w:val="0"/>
      <w:spacing w:before="60" w:line="240" w:lineRule="atLeast"/>
    </w:pPr>
    <w:rPr>
      <w:rFonts w:cs="Times New Roman"/>
      <w:b/>
      <w:sz w:val="16"/>
      <w:szCs w:val="20"/>
      <w:lang w:eastAsia="en-AU"/>
    </w:rPr>
  </w:style>
  <w:style w:type="paragraph" w:customStyle="1" w:styleId="ENoteTableText">
    <w:name w:val="ENoteTableText"/>
    <w:aliases w:val="entt"/>
    <w:basedOn w:val="Normal"/>
    <w:rsid w:val="00075DD8"/>
    <w:pPr>
      <w:keepLines w:val="0"/>
      <w:spacing w:before="60" w:line="240" w:lineRule="atLeast"/>
    </w:pPr>
    <w:rPr>
      <w:rFonts w:ascii="Times New Roman" w:hAnsi="Times New Roman" w:cs="Times New Roman"/>
      <w:sz w:val="16"/>
      <w:szCs w:val="20"/>
      <w:lang w:eastAsia="en-AU"/>
    </w:rPr>
  </w:style>
  <w:style w:type="paragraph" w:customStyle="1" w:styleId="Item">
    <w:name w:val="Item"/>
    <w:aliases w:val="i"/>
    <w:basedOn w:val="Normal"/>
    <w:next w:val="Normal"/>
    <w:rsid w:val="00075DD8"/>
    <w:pPr>
      <w:spacing w:before="80"/>
      <w:ind w:left="709"/>
    </w:pPr>
    <w:rPr>
      <w:rFonts w:ascii="Times New Roman" w:hAnsi="Times New Roman" w:cs="Times New Roman"/>
      <w:szCs w:val="20"/>
      <w:lang w:eastAsia="en-AU"/>
    </w:rPr>
  </w:style>
  <w:style w:type="paragraph" w:customStyle="1" w:styleId="ENotesHeading2">
    <w:name w:val="ENotesHeading 2"/>
    <w:aliases w:val="Enh2,ENh2"/>
    <w:basedOn w:val="Normal"/>
    <w:next w:val="Normal"/>
    <w:rsid w:val="00075DD8"/>
    <w:pPr>
      <w:keepLines w:val="0"/>
      <w:spacing w:before="120" w:after="120" w:line="260" w:lineRule="atLeast"/>
      <w:outlineLvl w:val="2"/>
    </w:pPr>
    <w:rPr>
      <w:rFonts w:ascii="Times New Roman" w:hAnsi="Times New Roman" w:cs="Times New Roman"/>
      <w:b/>
      <w:sz w:val="24"/>
      <w:szCs w:val="28"/>
      <w:lang w:eastAsia="en-AU"/>
    </w:rPr>
  </w:style>
  <w:style w:type="paragraph" w:customStyle="1" w:styleId="ScheduleItem">
    <w:name w:val="Schedule Item"/>
    <w:basedOn w:val="Normal"/>
    <w:link w:val="ScheduleItemChar"/>
    <w:qFormat/>
    <w:rsid w:val="00075DD8"/>
    <w:pPr>
      <w:keepLines w:val="0"/>
      <w:numPr>
        <w:numId w:val="58"/>
      </w:numPr>
      <w:spacing w:before="360"/>
    </w:pPr>
    <w:rPr>
      <w:rFonts w:cs="Times New Roman"/>
      <w:b/>
      <w:kern w:val="28"/>
      <w:sz w:val="24"/>
      <w:szCs w:val="20"/>
      <w:lang w:eastAsia="en-AU"/>
    </w:rPr>
  </w:style>
  <w:style w:type="character" w:customStyle="1" w:styleId="ScheduleItemChar">
    <w:name w:val="Schedule Item Char"/>
    <w:basedOn w:val="DefaultParagraphFont"/>
    <w:link w:val="ScheduleItem"/>
    <w:rsid w:val="00075DD8"/>
    <w:rPr>
      <w:rFonts w:ascii="Arial" w:hAnsi="Arial"/>
      <w:b/>
      <w:kern w:val="28"/>
      <w:sz w:val="24"/>
    </w:rPr>
  </w:style>
  <w:style w:type="paragraph" w:customStyle="1" w:styleId="ItemHead">
    <w:name w:val="ItemHead"/>
    <w:aliases w:val="ih"/>
    <w:basedOn w:val="Normal"/>
    <w:next w:val="Item"/>
    <w:rsid w:val="00145965"/>
    <w:pPr>
      <w:keepNext/>
      <w:spacing w:before="220"/>
      <w:ind w:left="709" w:hanging="709"/>
    </w:pPr>
    <w:rPr>
      <w:rFonts w:cs="Times New Roman"/>
      <w:b/>
      <w:kern w:val="28"/>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C1"/>
    <w:pPr>
      <w:keepLines/>
    </w:pPr>
    <w:rPr>
      <w:rFonts w:ascii="Arial" w:hAnsi="Arial" w:cs="Arial"/>
      <w:sz w:val="22"/>
      <w:szCs w:val="22"/>
      <w:lang w:eastAsia="en-US"/>
    </w:rPr>
  </w:style>
  <w:style w:type="paragraph" w:styleId="Heading1">
    <w:name w:val="heading 1"/>
    <w:basedOn w:val="Normal"/>
    <w:next w:val="Normal"/>
    <w:qFormat/>
    <w:rsid w:val="00F56BC1"/>
    <w:pPr>
      <w:spacing w:before="240"/>
      <w:outlineLvl w:val="0"/>
    </w:pPr>
    <w:rPr>
      <w:b/>
      <w:bCs/>
      <w:sz w:val="24"/>
      <w:szCs w:val="24"/>
    </w:rPr>
  </w:style>
  <w:style w:type="paragraph" w:styleId="Heading2">
    <w:name w:val="heading 2"/>
    <w:basedOn w:val="Normal"/>
    <w:next w:val="Normal"/>
    <w:qFormat/>
    <w:rsid w:val="00F56BC1"/>
    <w:pPr>
      <w:spacing w:before="120"/>
      <w:outlineLvl w:val="1"/>
    </w:pPr>
    <w:rPr>
      <w:b/>
      <w:bCs/>
    </w:rPr>
  </w:style>
  <w:style w:type="paragraph" w:styleId="Heading3">
    <w:name w:val="heading 3"/>
    <w:basedOn w:val="Normal"/>
    <w:next w:val="NormalIndent"/>
    <w:qFormat/>
    <w:rsid w:val="00F56BC1"/>
    <w:pPr>
      <w:ind w:left="283"/>
      <w:outlineLvl w:val="2"/>
    </w:pPr>
    <w:rPr>
      <w:b/>
      <w:bCs/>
      <w:i/>
      <w:iCs/>
    </w:rPr>
  </w:style>
  <w:style w:type="paragraph" w:styleId="Heading4">
    <w:name w:val="heading 4"/>
    <w:aliases w:val="Map Title"/>
    <w:basedOn w:val="Normal"/>
    <w:next w:val="Normal"/>
    <w:qFormat/>
    <w:rsid w:val="00F56BC1"/>
    <w:pPr>
      <w:keepNext/>
      <w:outlineLvl w:val="3"/>
    </w:pPr>
    <w:rPr>
      <w:rFonts w:ascii="Arial Narrow" w:hAnsi="Arial Narrow" w:cs="Arial Narrow"/>
      <w:color w:val="0000FF"/>
      <w:sz w:val="30"/>
      <w:szCs w:val="30"/>
    </w:rPr>
  </w:style>
  <w:style w:type="paragraph" w:styleId="Heading5">
    <w:name w:val="heading 5"/>
    <w:aliases w:val="Block Label"/>
    <w:basedOn w:val="Normal"/>
    <w:next w:val="Normal"/>
    <w:qFormat/>
    <w:rsid w:val="00F56BC1"/>
    <w:pPr>
      <w:keepNext/>
      <w:framePr w:wrap="auto" w:hAnchor="margin" w:xAlign="center" w:y="-283"/>
      <w:suppressOverlap/>
      <w:outlineLvl w:val="4"/>
    </w:pPr>
    <w:rPr>
      <w:rFonts w:ascii="Arial Narrow" w:hAnsi="Arial Narrow" w:cs="Arial Narrow"/>
      <w:b/>
      <w:bCs/>
      <w:color w:val="000080"/>
      <w:sz w:val="28"/>
      <w:szCs w:val="28"/>
    </w:rPr>
  </w:style>
  <w:style w:type="paragraph" w:styleId="Heading6">
    <w:name w:val="heading 6"/>
    <w:basedOn w:val="Normal"/>
    <w:next w:val="Normal"/>
    <w:qFormat/>
    <w:rsid w:val="00F56BC1"/>
    <w:pPr>
      <w:keepNext/>
      <w:outlineLvl w:val="5"/>
    </w:pPr>
    <w:rPr>
      <w:rFonts w:ascii="Arial Narrow" w:hAnsi="Arial Narrow" w:cs="Arial Narrow"/>
      <w:b/>
      <w:bCs/>
      <w:color w:val="000080"/>
      <w:sz w:val="28"/>
      <w:szCs w:val="28"/>
    </w:rPr>
  </w:style>
  <w:style w:type="paragraph" w:styleId="Heading7">
    <w:name w:val="heading 7"/>
    <w:basedOn w:val="Normal"/>
    <w:next w:val="Normal"/>
    <w:qFormat/>
    <w:rsid w:val="00F56BC1"/>
    <w:pPr>
      <w:keepNext/>
      <w:outlineLvl w:val="6"/>
    </w:pPr>
    <w:rPr>
      <w:rFonts w:ascii="Arial Narrow" w:hAnsi="Arial Narrow" w:cs="Arial Narrow"/>
      <w:b/>
      <w:bCs/>
      <w:color w:val="660066"/>
      <w:sz w:val="30"/>
      <w:szCs w:val="30"/>
    </w:rPr>
  </w:style>
  <w:style w:type="paragraph" w:styleId="Heading8">
    <w:name w:val="heading 8"/>
    <w:basedOn w:val="Normal"/>
    <w:next w:val="Normal"/>
    <w:qFormat/>
    <w:rsid w:val="00F56BC1"/>
    <w:pPr>
      <w:keepNext/>
      <w:outlineLvl w:val="7"/>
    </w:pPr>
    <w:rPr>
      <w:rFonts w:ascii="Arial Narrow" w:hAnsi="Arial Narrow" w:cs="Arial Narrow"/>
      <w:b/>
      <w:bCs/>
      <w:color w:val="003366"/>
      <w:sz w:val="30"/>
      <w:szCs w:val="30"/>
    </w:rPr>
  </w:style>
  <w:style w:type="paragraph" w:styleId="Heading9">
    <w:name w:val="heading 9"/>
    <w:basedOn w:val="Normal"/>
    <w:next w:val="Normal"/>
    <w:qFormat/>
    <w:rsid w:val="00F56BC1"/>
    <w:pPr>
      <w:keepNext/>
      <w:outlineLvl w:val="8"/>
    </w:pPr>
    <w:rPr>
      <w:rFonts w:ascii="Arial Narrow" w:hAnsi="Arial Narrow" w:cs="Arial Narrow"/>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56BC1"/>
    <w:pPr>
      <w:ind w:left="567"/>
    </w:pPr>
  </w:style>
  <w:style w:type="paragraph" w:styleId="Footer">
    <w:name w:val="footer"/>
    <w:basedOn w:val="Normal"/>
    <w:rsid w:val="00F56BC1"/>
    <w:pPr>
      <w:tabs>
        <w:tab w:val="center" w:pos="4820"/>
        <w:tab w:val="right" w:pos="9356"/>
      </w:tabs>
      <w:ind w:right="-1"/>
    </w:pPr>
    <w:rPr>
      <w:sz w:val="16"/>
      <w:szCs w:val="16"/>
    </w:rPr>
  </w:style>
  <w:style w:type="paragraph" w:styleId="Header">
    <w:name w:val="header"/>
    <w:basedOn w:val="Normal"/>
    <w:rsid w:val="00F56BC1"/>
    <w:pPr>
      <w:tabs>
        <w:tab w:val="center" w:pos="4820"/>
        <w:tab w:val="right" w:pos="9923"/>
      </w:tabs>
    </w:pPr>
  </w:style>
  <w:style w:type="character" w:styleId="FootnoteReference">
    <w:name w:val="footnote reference"/>
    <w:semiHidden/>
    <w:rsid w:val="00F56BC1"/>
    <w:rPr>
      <w:position w:val="6"/>
      <w:sz w:val="16"/>
      <w:szCs w:val="16"/>
    </w:rPr>
  </w:style>
  <w:style w:type="paragraph" w:styleId="FootnoteText">
    <w:name w:val="footnote text"/>
    <w:basedOn w:val="Normal"/>
    <w:semiHidden/>
    <w:rsid w:val="00F56BC1"/>
    <w:pPr>
      <w:ind w:left="284" w:hanging="284"/>
    </w:pPr>
    <w:rPr>
      <w:sz w:val="16"/>
      <w:szCs w:val="16"/>
    </w:rPr>
  </w:style>
  <w:style w:type="character" w:styleId="CommentReference">
    <w:name w:val="annotation reference"/>
    <w:semiHidden/>
    <w:rsid w:val="00F56BC1"/>
    <w:rPr>
      <w:sz w:val="16"/>
      <w:szCs w:val="16"/>
    </w:rPr>
  </w:style>
  <w:style w:type="paragraph" w:customStyle="1" w:styleId="Arial10">
    <w:name w:val="Arial10"/>
    <w:basedOn w:val="Normal"/>
    <w:rsid w:val="00F56BC1"/>
    <w:pPr>
      <w:jc w:val="right"/>
    </w:pPr>
    <w:rPr>
      <w:b/>
      <w:bCs/>
      <w:sz w:val="20"/>
      <w:szCs w:val="20"/>
    </w:rPr>
  </w:style>
  <w:style w:type="paragraph" w:customStyle="1" w:styleId="Arial9">
    <w:name w:val="Arial9"/>
    <w:basedOn w:val="Normal"/>
    <w:rsid w:val="00F56BC1"/>
    <w:pPr>
      <w:jc w:val="right"/>
    </w:pPr>
    <w:rPr>
      <w:sz w:val="18"/>
      <w:szCs w:val="18"/>
    </w:rPr>
  </w:style>
  <w:style w:type="paragraph" w:customStyle="1" w:styleId="Arial12">
    <w:name w:val="Arial12"/>
    <w:basedOn w:val="Arial10"/>
    <w:rsid w:val="00F56BC1"/>
    <w:rPr>
      <w:sz w:val="24"/>
      <w:szCs w:val="24"/>
    </w:rPr>
  </w:style>
  <w:style w:type="paragraph" w:styleId="BodyText">
    <w:name w:val="Body Text"/>
    <w:basedOn w:val="Normal"/>
    <w:rsid w:val="00F56BC1"/>
    <w:pPr>
      <w:spacing w:after="120"/>
    </w:pPr>
  </w:style>
  <w:style w:type="paragraph" w:styleId="MacroText">
    <w:name w:val="macro"/>
    <w:basedOn w:val="Normal"/>
    <w:semiHidden/>
    <w:rsid w:val="00F56BC1"/>
    <w:pPr>
      <w:keepLines w:val="0"/>
      <w:tabs>
        <w:tab w:val="left" w:pos="284"/>
        <w:tab w:val="left" w:pos="567"/>
        <w:tab w:val="left" w:pos="851"/>
        <w:tab w:val="left" w:pos="1134"/>
        <w:tab w:val="left" w:pos="1418"/>
        <w:tab w:val="left" w:pos="1701"/>
        <w:tab w:val="left" w:pos="1985"/>
        <w:tab w:val="left" w:pos="2268"/>
      </w:tabs>
    </w:pPr>
  </w:style>
  <w:style w:type="character" w:styleId="PageNumber">
    <w:name w:val="page number"/>
    <w:basedOn w:val="DefaultParagraphFont"/>
    <w:rsid w:val="00F56BC1"/>
  </w:style>
  <w:style w:type="character" w:styleId="Hyperlink">
    <w:name w:val="Hyperlink"/>
    <w:uiPriority w:val="99"/>
    <w:rsid w:val="00F56BC1"/>
    <w:rPr>
      <w:rFonts w:ascii="Arial" w:hAnsi="Arial" w:cs="Arial"/>
      <w:color w:val="0000FF"/>
      <w:sz w:val="20"/>
      <w:szCs w:val="20"/>
      <w:u w:val="single"/>
    </w:rPr>
  </w:style>
  <w:style w:type="paragraph" w:styleId="CommentText">
    <w:name w:val="annotation text"/>
    <w:basedOn w:val="Normal"/>
    <w:semiHidden/>
    <w:rsid w:val="00F56BC1"/>
    <w:rPr>
      <w:sz w:val="20"/>
      <w:szCs w:val="20"/>
    </w:rPr>
  </w:style>
  <w:style w:type="character" w:styleId="FollowedHyperlink">
    <w:name w:val="FollowedHyperlink"/>
    <w:rsid w:val="00F56BC1"/>
    <w:rPr>
      <w:color w:val="800080"/>
      <w:u w:val="single"/>
    </w:rPr>
  </w:style>
  <w:style w:type="table" w:styleId="TableGrid">
    <w:name w:val="Table Grid"/>
    <w:basedOn w:val="TableNormal"/>
    <w:rsid w:val="00F56BC1"/>
    <w:pPr>
      <w:keepLines/>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56BC1"/>
    <w:pPr>
      <w:spacing w:line="240" w:lineRule="atLeast"/>
    </w:pPr>
    <w:rPr>
      <w:b/>
      <w:bCs/>
      <w:sz w:val="24"/>
      <w:szCs w:val="24"/>
    </w:rPr>
  </w:style>
  <w:style w:type="paragraph" w:customStyle="1" w:styleId="sub-paraxCharChar">
    <w:name w:val="sub-para (x) Char Char"/>
    <w:basedOn w:val="Normal"/>
    <w:rsid w:val="00F56BC1"/>
    <w:pPr>
      <w:numPr>
        <w:numId w:val="1"/>
      </w:numPr>
    </w:pPr>
  </w:style>
  <w:style w:type="paragraph" w:styleId="BlockText">
    <w:name w:val="Block Text"/>
    <w:basedOn w:val="Normal"/>
    <w:rsid w:val="00F56BC1"/>
    <w:pPr>
      <w:keepLines w:val="0"/>
      <w:overflowPunct w:val="0"/>
      <w:autoSpaceDE w:val="0"/>
      <w:autoSpaceDN w:val="0"/>
      <w:adjustRightInd w:val="0"/>
      <w:textAlignment w:val="baseline"/>
    </w:pPr>
    <w:rPr>
      <w:sz w:val="24"/>
      <w:szCs w:val="24"/>
      <w:lang w:val="en-US"/>
    </w:rPr>
  </w:style>
  <w:style w:type="paragraph" w:customStyle="1" w:styleId="BulletText1">
    <w:name w:val="Bullet Text 1"/>
    <w:basedOn w:val="Normal"/>
    <w:rsid w:val="00F56BC1"/>
    <w:pPr>
      <w:keepLines w:val="0"/>
      <w:overflowPunct w:val="0"/>
      <w:autoSpaceDE w:val="0"/>
      <w:autoSpaceDN w:val="0"/>
      <w:adjustRightInd w:val="0"/>
      <w:ind w:left="187" w:hanging="187"/>
      <w:textAlignment w:val="baseline"/>
    </w:pPr>
    <w:rPr>
      <w:sz w:val="24"/>
      <w:szCs w:val="24"/>
      <w:lang w:val="en-US"/>
    </w:rPr>
  </w:style>
  <w:style w:type="paragraph" w:customStyle="1" w:styleId="BlockLine">
    <w:name w:val="Block Line"/>
    <w:basedOn w:val="Normal"/>
    <w:next w:val="Normal"/>
    <w:rsid w:val="00F56BC1"/>
    <w:pPr>
      <w:keepLines w:val="0"/>
      <w:pBdr>
        <w:top w:val="single" w:sz="6" w:space="1" w:color="auto"/>
        <w:between w:val="single" w:sz="6" w:space="1" w:color="auto"/>
      </w:pBdr>
      <w:overflowPunct w:val="0"/>
      <w:autoSpaceDE w:val="0"/>
      <w:autoSpaceDN w:val="0"/>
      <w:adjustRightInd w:val="0"/>
      <w:spacing w:before="240"/>
      <w:ind w:left="1700"/>
      <w:textAlignment w:val="baseline"/>
    </w:pPr>
    <w:rPr>
      <w:sz w:val="24"/>
      <w:szCs w:val="24"/>
      <w:lang w:val="en-US"/>
    </w:rPr>
  </w:style>
  <w:style w:type="paragraph" w:styleId="TOC2">
    <w:name w:val="toc 2"/>
    <w:basedOn w:val="Normal"/>
    <w:autoRedefine/>
    <w:semiHidden/>
    <w:rsid w:val="00F56BC1"/>
    <w:pPr>
      <w:spacing w:before="240"/>
    </w:pPr>
    <w:rPr>
      <w:b/>
      <w:bCs/>
      <w:sz w:val="20"/>
      <w:szCs w:val="20"/>
    </w:rPr>
  </w:style>
  <w:style w:type="paragraph" w:styleId="EndnoteText">
    <w:name w:val="endnote text"/>
    <w:basedOn w:val="Normal"/>
    <w:semiHidden/>
    <w:rsid w:val="00F56BC1"/>
    <w:pPr>
      <w:keepLines w:val="0"/>
    </w:pPr>
    <w:rPr>
      <w:sz w:val="20"/>
      <w:szCs w:val="20"/>
    </w:rPr>
  </w:style>
  <w:style w:type="paragraph" w:customStyle="1" w:styleId="dectablehead">
    <w:name w:val="dec. table head"/>
    <w:basedOn w:val="Normal"/>
    <w:rsid w:val="00F56BC1"/>
    <w:pPr>
      <w:keepLines w:val="0"/>
      <w:spacing w:before="40" w:after="40"/>
    </w:pPr>
    <w:rPr>
      <w:b/>
      <w:bCs/>
      <w:sz w:val="24"/>
      <w:szCs w:val="24"/>
    </w:rPr>
  </w:style>
  <w:style w:type="paragraph" w:customStyle="1" w:styleId="page">
    <w:name w:val="page"/>
    <w:basedOn w:val="Normal"/>
    <w:rsid w:val="00F56BC1"/>
    <w:pPr>
      <w:keepLines w:val="0"/>
      <w:spacing w:before="40" w:after="40"/>
      <w:jc w:val="center"/>
    </w:pPr>
    <w:rPr>
      <w:spacing w:val="-5"/>
      <w:sz w:val="24"/>
      <w:szCs w:val="24"/>
    </w:rPr>
  </w:style>
  <w:style w:type="paragraph" w:customStyle="1" w:styleId="tablehead">
    <w:name w:val="table head"/>
    <w:basedOn w:val="Normal"/>
    <w:rsid w:val="00F56BC1"/>
    <w:pPr>
      <w:keepLines w:val="0"/>
      <w:spacing w:before="40" w:after="40"/>
      <w:jc w:val="center"/>
    </w:pPr>
    <w:rPr>
      <w:b/>
      <w:bCs/>
      <w:sz w:val="24"/>
      <w:szCs w:val="24"/>
    </w:rPr>
  </w:style>
  <w:style w:type="paragraph" w:customStyle="1" w:styleId="tabletext">
    <w:name w:val="table text"/>
    <w:basedOn w:val="Normal"/>
    <w:rsid w:val="00F56BC1"/>
    <w:pPr>
      <w:keepLines w:val="0"/>
      <w:spacing w:before="40" w:after="40"/>
    </w:pPr>
    <w:rPr>
      <w:sz w:val="24"/>
      <w:szCs w:val="24"/>
    </w:rPr>
  </w:style>
  <w:style w:type="paragraph" w:styleId="TOC1">
    <w:name w:val="toc 1"/>
    <w:basedOn w:val="Normal"/>
    <w:next w:val="Normal"/>
    <w:autoRedefine/>
    <w:uiPriority w:val="39"/>
    <w:rsid w:val="00F56BC1"/>
    <w:pPr>
      <w:tabs>
        <w:tab w:val="left" w:pos="1600"/>
        <w:tab w:val="right" w:pos="9629"/>
      </w:tabs>
      <w:spacing w:before="360"/>
      <w:ind w:left="1650" w:hanging="1650"/>
    </w:pPr>
    <w:rPr>
      <w:b/>
      <w:bCs/>
      <w:caps/>
      <w:u w:val="single"/>
    </w:rPr>
  </w:style>
  <w:style w:type="paragraph" w:styleId="NormalWeb">
    <w:name w:val="Normal (Web)"/>
    <w:basedOn w:val="Normal"/>
    <w:rsid w:val="00F56BC1"/>
    <w:pPr>
      <w:keepLines w:val="0"/>
      <w:spacing w:before="100" w:beforeAutospacing="1" w:after="100" w:afterAutospacing="1"/>
    </w:pPr>
    <w:rPr>
      <w:sz w:val="24"/>
      <w:szCs w:val="24"/>
      <w:lang w:eastAsia="en-AU"/>
    </w:rPr>
  </w:style>
  <w:style w:type="paragraph" w:customStyle="1" w:styleId="Style26">
    <w:name w:val="Style26"/>
    <w:rsid w:val="00F56BC1"/>
    <w:pPr>
      <w:autoSpaceDE w:val="0"/>
      <w:autoSpaceDN w:val="0"/>
      <w:adjustRightInd w:val="0"/>
    </w:pPr>
    <w:rPr>
      <w:rFonts w:ascii="Arial" w:hAnsi="Arial" w:cs="Arial"/>
      <w:sz w:val="24"/>
      <w:szCs w:val="24"/>
    </w:rPr>
  </w:style>
  <w:style w:type="paragraph" w:styleId="BalloonText">
    <w:name w:val="Balloon Text"/>
    <w:basedOn w:val="Normal"/>
    <w:semiHidden/>
    <w:rsid w:val="00F56BC1"/>
    <w:pPr>
      <w:keepLines w:val="0"/>
    </w:pPr>
    <w:rPr>
      <w:rFonts w:ascii="Tahoma" w:hAnsi="Tahoma" w:cs="Tahoma"/>
      <w:sz w:val="16"/>
      <w:szCs w:val="16"/>
    </w:rPr>
  </w:style>
  <w:style w:type="paragraph" w:customStyle="1" w:styleId="bullettext10">
    <w:name w:val="bullettext1"/>
    <w:basedOn w:val="Normal"/>
    <w:rsid w:val="00F56BC1"/>
    <w:pPr>
      <w:keepLines w:val="0"/>
      <w:spacing w:before="100" w:beforeAutospacing="1" w:after="100" w:afterAutospacing="1"/>
    </w:pPr>
    <w:rPr>
      <w:sz w:val="24"/>
      <w:szCs w:val="24"/>
      <w:lang w:eastAsia="en-AU"/>
    </w:rPr>
  </w:style>
  <w:style w:type="paragraph" w:customStyle="1" w:styleId="Maptitle">
    <w:name w:val="Map title"/>
    <w:basedOn w:val="Normal"/>
    <w:rsid w:val="00F56BC1"/>
    <w:pPr>
      <w:keepLines w:val="0"/>
    </w:pPr>
    <w:rPr>
      <w:sz w:val="24"/>
      <w:szCs w:val="24"/>
    </w:rPr>
  </w:style>
  <w:style w:type="paragraph" w:customStyle="1" w:styleId="bodytext0">
    <w:name w:val="bodytext"/>
    <w:basedOn w:val="Normal"/>
    <w:rsid w:val="00F56BC1"/>
    <w:pPr>
      <w:keepLines w:val="0"/>
      <w:spacing w:before="100" w:beforeAutospacing="1" w:after="100" w:afterAutospacing="1"/>
    </w:pPr>
    <w:rPr>
      <w:rFonts w:ascii="Verdana" w:hAnsi="Verdana" w:cs="Verdana"/>
      <w:color w:val="000066"/>
      <w:sz w:val="26"/>
      <w:szCs w:val="26"/>
      <w:lang w:eastAsia="en-AU"/>
    </w:rPr>
  </w:style>
  <w:style w:type="paragraph" w:customStyle="1" w:styleId="ClauseLevel1">
    <w:name w:val="Clause Level 1"/>
    <w:next w:val="Normal"/>
    <w:autoRedefine/>
    <w:rsid w:val="00F56BC1"/>
    <w:pPr>
      <w:keepLines/>
      <w:pBdr>
        <w:bottom w:val="single" w:sz="2" w:space="1" w:color="auto"/>
      </w:pBdr>
      <w:tabs>
        <w:tab w:val="num" w:pos="720"/>
        <w:tab w:val="num" w:pos="1134"/>
      </w:tabs>
      <w:spacing w:before="200" w:line="280" w:lineRule="atLeast"/>
      <w:ind w:left="1134" w:hanging="1134"/>
      <w:outlineLvl w:val="0"/>
    </w:pPr>
    <w:rPr>
      <w:rFonts w:ascii="Arial" w:hAnsi="Arial" w:cs="Arial"/>
      <w:b/>
      <w:bCs/>
      <w:sz w:val="22"/>
      <w:szCs w:val="22"/>
    </w:rPr>
  </w:style>
  <w:style w:type="paragraph" w:customStyle="1" w:styleId="ClauseLevel3CharCharChar">
    <w:name w:val="Clause Level 3 Char Char Char"/>
    <w:link w:val="ClauseLevel3CharCharCharChar"/>
    <w:autoRedefine/>
    <w:rsid w:val="00F56BC1"/>
    <w:pPr>
      <w:keepNext/>
      <w:keepLines/>
      <w:numPr>
        <w:numId w:val="2"/>
      </w:numPr>
      <w:tabs>
        <w:tab w:val="clear" w:pos="1134"/>
      </w:tabs>
      <w:spacing w:before="120" w:after="120"/>
      <w:ind w:left="0" w:right="-108" w:firstLine="0"/>
    </w:pPr>
    <w:rPr>
      <w:rFonts w:ascii="Arial Narrow" w:hAnsi="Arial Narrow" w:cs="Arial Narrow"/>
      <w:sz w:val="22"/>
      <w:szCs w:val="22"/>
      <w:lang w:val="en-GB"/>
    </w:rPr>
  </w:style>
  <w:style w:type="character" w:customStyle="1" w:styleId="ClauseLevel3CharCharCharChar">
    <w:name w:val="Clause Level 3 Char Char Char Char"/>
    <w:link w:val="ClauseLevel3CharCharChar"/>
    <w:rsid w:val="00F56BC1"/>
    <w:rPr>
      <w:rFonts w:ascii="Arial Narrow" w:hAnsi="Arial Narrow" w:cs="Arial Narrow"/>
      <w:sz w:val="22"/>
      <w:szCs w:val="22"/>
      <w:lang w:val="en-GB" w:eastAsia="en-AU" w:bidi="ar-SA"/>
    </w:rPr>
  </w:style>
  <w:style w:type="paragraph" w:customStyle="1" w:styleId="ClauseLevel4CharChar">
    <w:name w:val="Clause Level 4 Char Char"/>
    <w:basedOn w:val="ClauseLevel3CharCharChar"/>
    <w:autoRedefine/>
    <w:rsid w:val="00F56BC1"/>
    <w:pPr>
      <w:numPr>
        <w:ilvl w:val="2"/>
      </w:numPr>
      <w:tabs>
        <w:tab w:val="left" w:pos="0"/>
        <w:tab w:val="left" w:pos="1260"/>
        <w:tab w:val="num" w:pos="1800"/>
        <w:tab w:val="num" w:pos="2160"/>
      </w:tabs>
      <w:spacing w:before="0"/>
      <w:ind w:left="1260" w:hanging="540"/>
    </w:pPr>
  </w:style>
  <w:style w:type="paragraph" w:customStyle="1" w:styleId="ClauseLevel6">
    <w:name w:val="Clause Level 6"/>
    <w:basedOn w:val="ClauseLevel4CharChar"/>
    <w:next w:val="Normal"/>
    <w:rsid w:val="00F56BC1"/>
    <w:pPr>
      <w:numPr>
        <w:ilvl w:val="4"/>
      </w:numPr>
      <w:tabs>
        <w:tab w:val="num" w:pos="3600"/>
      </w:tabs>
      <w:ind w:left="3600" w:hanging="360"/>
    </w:pPr>
  </w:style>
  <w:style w:type="paragraph" w:customStyle="1" w:styleId="ClauseLevel7">
    <w:name w:val="Clause Level 7"/>
    <w:basedOn w:val="ClauseLevel4CharChar"/>
    <w:next w:val="Normal"/>
    <w:rsid w:val="00F56BC1"/>
    <w:pPr>
      <w:numPr>
        <w:ilvl w:val="5"/>
      </w:numPr>
      <w:tabs>
        <w:tab w:val="num" w:pos="4320"/>
      </w:tabs>
      <w:ind w:left="4320" w:hanging="360"/>
    </w:pPr>
  </w:style>
  <w:style w:type="paragraph" w:customStyle="1" w:styleId="ClauseLevel8">
    <w:name w:val="Clause Level 8"/>
    <w:basedOn w:val="ClauseLevel4CharChar"/>
    <w:next w:val="Normal"/>
    <w:rsid w:val="00F56BC1"/>
    <w:pPr>
      <w:numPr>
        <w:ilvl w:val="6"/>
      </w:numPr>
      <w:tabs>
        <w:tab w:val="num" w:pos="5040"/>
      </w:tabs>
      <w:ind w:left="5040" w:hanging="360"/>
    </w:pPr>
  </w:style>
  <w:style w:type="paragraph" w:customStyle="1" w:styleId="ClauseLevel9">
    <w:name w:val="Clause Level 9"/>
    <w:basedOn w:val="ClauseLevel4CharChar"/>
    <w:next w:val="Normal"/>
    <w:rsid w:val="00F56BC1"/>
    <w:pPr>
      <w:numPr>
        <w:ilvl w:val="7"/>
      </w:numPr>
      <w:tabs>
        <w:tab w:val="num" w:pos="5760"/>
      </w:tabs>
      <w:ind w:left="5760" w:hanging="360"/>
    </w:pPr>
  </w:style>
  <w:style w:type="paragraph" w:customStyle="1" w:styleId="ClauseLevel10">
    <w:name w:val="Clause Level 10"/>
    <w:basedOn w:val="ClauseLevel4CharChar"/>
    <w:next w:val="Normal"/>
    <w:rsid w:val="00F56BC1"/>
    <w:pPr>
      <w:numPr>
        <w:ilvl w:val="8"/>
      </w:numPr>
      <w:tabs>
        <w:tab w:val="num" w:pos="6480"/>
      </w:tabs>
      <w:ind w:left="6480" w:hanging="360"/>
    </w:pPr>
  </w:style>
  <w:style w:type="paragraph" w:customStyle="1" w:styleId="ClauseLevel5">
    <w:name w:val="Clause Level 5"/>
    <w:basedOn w:val="ClauseLevel4CharChar"/>
    <w:autoRedefine/>
    <w:rsid w:val="00F56BC1"/>
    <w:pPr>
      <w:keepNext w:val="0"/>
      <w:keepLines w:val="0"/>
      <w:numPr>
        <w:ilvl w:val="3"/>
      </w:numPr>
      <w:tabs>
        <w:tab w:val="clear" w:pos="0"/>
        <w:tab w:val="clear" w:pos="1260"/>
        <w:tab w:val="left" w:pos="1620"/>
        <w:tab w:val="num" w:pos="2880"/>
      </w:tabs>
      <w:ind w:left="1620" w:hanging="360"/>
    </w:pPr>
  </w:style>
  <w:style w:type="character" w:styleId="Strong">
    <w:name w:val="Strong"/>
    <w:qFormat/>
    <w:rsid w:val="00F56BC1"/>
    <w:rPr>
      <w:b/>
      <w:bCs/>
    </w:rPr>
  </w:style>
  <w:style w:type="paragraph" w:customStyle="1" w:styleId="Head1">
    <w:name w:val="Head1"/>
    <w:basedOn w:val="Normal"/>
    <w:rsid w:val="00F56BC1"/>
    <w:pPr>
      <w:tabs>
        <w:tab w:val="left" w:pos="1620"/>
      </w:tabs>
    </w:pPr>
    <w:rPr>
      <w:b/>
      <w:bCs/>
    </w:rPr>
  </w:style>
  <w:style w:type="paragraph" w:customStyle="1" w:styleId="Head2">
    <w:name w:val="Head2"/>
    <w:basedOn w:val="Normal"/>
    <w:rsid w:val="00F56BC1"/>
    <w:pPr>
      <w:tabs>
        <w:tab w:val="left" w:pos="1620"/>
      </w:tabs>
    </w:pPr>
    <w:rPr>
      <w:b/>
      <w:bCs/>
    </w:rPr>
  </w:style>
  <w:style w:type="paragraph" w:customStyle="1" w:styleId="bullet">
    <w:name w:val="bullet"/>
    <w:basedOn w:val="Header"/>
    <w:rsid w:val="00F56BC1"/>
    <w:pPr>
      <w:tabs>
        <w:tab w:val="clear" w:pos="4820"/>
        <w:tab w:val="clear" w:pos="9923"/>
        <w:tab w:val="num" w:pos="360"/>
      </w:tabs>
      <w:snapToGrid w:val="0"/>
      <w:spacing w:after="120"/>
      <w:ind w:left="1134" w:hanging="567"/>
    </w:pPr>
    <w:rPr>
      <w:color w:val="000000"/>
    </w:rPr>
  </w:style>
  <w:style w:type="paragraph" w:customStyle="1" w:styleId="Style1">
    <w:name w:val="Style1"/>
    <w:basedOn w:val="Normal"/>
    <w:rsid w:val="00F56BC1"/>
    <w:pPr>
      <w:keepLines w:val="0"/>
      <w:ind w:left="1400" w:hanging="800"/>
    </w:pPr>
  </w:style>
  <w:style w:type="character" w:customStyle="1" w:styleId="Italics">
    <w:name w:val="Italics"/>
    <w:rsid w:val="00F56BC1"/>
    <w:rPr>
      <w:i/>
      <w:iCs/>
    </w:rPr>
  </w:style>
  <w:style w:type="character" w:customStyle="1" w:styleId="Bold">
    <w:name w:val="Bold"/>
    <w:rsid w:val="00F56BC1"/>
    <w:rPr>
      <w:b/>
      <w:bCs/>
    </w:rPr>
  </w:style>
  <w:style w:type="paragraph" w:customStyle="1" w:styleId="Interpretation">
    <w:name w:val="Interpretation"/>
    <w:basedOn w:val="Normal"/>
    <w:link w:val="InterpretationChar"/>
    <w:rsid w:val="00F56BC1"/>
    <w:pPr>
      <w:keepLines w:val="0"/>
      <w:widowControl w:val="0"/>
      <w:spacing w:after="120"/>
      <w:ind w:left="567"/>
    </w:pPr>
    <w:rPr>
      <w:rFonts w:ascii="Garamond" w:hAnsi="Garamond" w:cs="Garamond"/>
      <w:color w:val="000000"/>
      <w:sz w:val="24"/>
      <w:szCs w:val="24"/>
    </w:rPr>
  </w:style>
  <w:style w:type="character" w:customStyle="1" w:styleId="InterpretationChar">
    <w:name w:val="Interpretation Char"/>
    <w:link w:val="Interpretation"/>
    <w:rsid w:val="00F56BC1"/>
    <w:rPr>
      <w:rFonts w:ascii="Garamond" w:hAnsi="Garamond" w:cs="Garamond"/>
      <w:color w:val="000000"/>
      <w:sz w:val="24"/>
      <w:szCs w:val="24"/>
      <w:lang w:val="en-AU" w:eastAsia="en-US" w:bidi="ar-SA"/>
    </w:rPr>
  </w:style>
  <w:style w:type="paragraph" w:styleId="CommentSubject">
    <w:name w:val="annotation subject"/>
    <w:basedOn w:val="CommentText"/>
    <w:next w:val="CommentText"/>
    <w:semiHidden/>
    <w:rsid w:val="00F56BC1"/>
    <w:pPr>
      <w:keepLines w:val="0"/>
    </w:pPr>
    <w:rPr>
      <w:b/>
      <w:bCs/>
    </w:rPr>
  </w:style>
  <w:style w:type="character" w:customStyle="1" w:styleId="EmailStyle69">
    <w:name w:val="EmailStyle69"/>
    <w:semiHidden/>
    <w:rsid w:val="00F56BC1"/>
    <w:rPr>
      <w:rFonts w:ascii="Arial" w:hAnsi="Arial" w:cs="Arial"/>
      <w:color w:val="auto"/>
      <w:sz w:val="22"/>
      <w:szCs w:val="22"/>
      <w:u w:val="none"/>
    </w:rPr>
  </w:style>
  <w:style w:type="paragraph" w:customStyle="1" w:styleId="List1">
    <w:name w:val="List1"/>
    <w:basedOn w:val="Normal"/>
    <w:rsid w:val="00F56BC1"/>
    <w:pPr>
      <w:keepLines w:val="0"/>
      <w:tabs>
        <w:tab w:val="left" w:pos="800"/>
      </w:tabs>
    </w:pPr>
    <w:rPr>
      <w:b/>
      <w:bCs/>
      <w:lang w:eastAsia="en-AU"/>
    </w:rPr>
  </w:style>
  <w:style w:type="paragraph" w:customStyle="1" w:styleId="list10">
    <w:name w:val="list1"/>
    <w:basedOn w:val="Normal"/>
    <w:rsid w:val="00F56BC1"/>
    <w:rPr>
      <w:b/>
      <w:bCs/>
    </w:rPr>
  </w:style>
  <w:style w:type="paragraph" w:styleId="BodyTextIndent2">
    <w:name w:val="Body Text Indent 2"/>
    <w:basedOn w:val="Normal"/>
    <w:rsid w:val="00F56BC1"/>
    <w:pPr>
      <w:keepLines w:val="0"/>
      <w:tabs>
        <w:tab w:val="left" w:pos="851"/>
      </w:tabs>
      <w:ind w:left="851" w:hanging="851"/>
    </w:pPr>
  </w:style>
  <w:style w:type="paragraph" w:styleId="BodyTextIndent3">
    <w:name w:val="Body Text Indent 3"/>
    <w:basedOn w:val="Normal"/>
    <w:rsid w:val="00F56BC1"/>
    <w:pPr>
      <w:keepLines w:val="0"/>
      <w:ind w:left="709" w:hanging="709"/>
    </w:pPr>
  </w:style>
  <w:style w:type="character" w:styleId="Emphasis">
    <w:name w:val="Emphasis"/>
    <w:qFormat/>
    <w:rsid w:val="00F56BC1"/>
    <w:rPr>
      <w:i/>
      <w:iCs/>
    </w:rPr>
  </w:style>
  <w:style w:type="paragraph" w:styleId="Title">
    <w:name w:val="Title"/>
    <w:basedOn w:val="Normal"/>
    <w:link w:val="TitleChar"/>
    <w:qFormat/>
    <w:rsid w:val="00F56BC1"/>
    <w:pPr>
      <w:keepLines w:val="0"/>
      <w:spacing w:before="240" w:after="60"/>
    </w:pPr>
    <w:rPr>
      <w:b/>
      <w:bCs/>
      <w:sz w:val="40"/>
      <w:szCs w:val="40"/>
      <w:lang w:eastAsia="en-AU"/>
    </w:rPr>
  </w:style>
  <w:style w:type="paragraph" w:customStyle="1" w:styleId="CoverUpdate">
    <w:name w:val="CoverUpdate"/>
    <w:basedOn w:val="Normal"/>
    <w:rsid w:val="00F56BC1"/>
    <w:pPr>
      <w:keepLines w:val="0"/>
      <w:spacing w:before="240"/>
    </w:pPr>
    <w:rPr>
      <w:sz w:val="24"/>
      <w:szCs w:val="24"/>
      <w:lang w:eastAsia="en-AU"/>
    </w:rPr>
  </w:style>
  <w:style w:type="paragraph" w:customStyle="1" w:styleId="CoverAct">
    <w:name w:val="CoverAct"/>
    <w:basedOn w:val="Normal"/>
    <w:next w:val="CoverUpdate"/>
    <w:rsid w:val="00F56BC1"/>
    <w:pPr>
      <w:keepLines w:val="0"/>
      <w:pBdr>
        <w:bottom w:val="single" w:sz="4" w:space="3" w:color="auto"/>
      </w:pBdr>
    </w:pPr>
    <w:rPr>
      <w:i/>
      <w:iCs/>
      <w:sz w:val="28"/>
      <w:szCs w:val="28"/>
      <w:lang w:eastAsia="en-AU"/>
    </w:rPr>
  </w:style>
  <w:style w:type="paragraph" w:customStyle="1" w:styleId="CoverMade">
    <w:name w:val="CoverMade"/>
    <w:basedOn w:val="Normal"/>
    <w:rsid w:val="00F56BC1"/>
    <w:pPr>
      <w:keepLines w:val="0"/>
      <w:spacing w:before="240" w:after="240"/>
    </w:pPr>
    <w:rPr>
      <w:sz w:val="24"/>
      <w:szCs w:val="24"/>
      <w:lang w:eastAsia="en-AU"/>
    </w:rPr>
  </w:style>
  <w:style w:type="paragraph" w:customStyle="1" w:styleId="CoverStatRule">
    <w:name w:val="CoverStatRule"/>
    <w:basedOn w:val="Normal"/>
    <w:next w:val="Normal"/>
    <w:rsid w:val="00F56BC1"/>
    <w:pPr>
      <w:keepLines w:val="0"/>
      <w:spacing w:before="240"/>
    </w:pPr>
    <w:rPr>
      <w:b/>
      <w:bCs/>
      <w:sz w:val="24"/>
      <w:szCs w:val="24"/>
      <w:lang w:eastAsia="en-AU"/>
    </w:rPr>
  </w:style>
  <w:style w:type="paragraph" w:customStyle="1" w:styleId="TableENotesHeading">
    <w:name w:val="TableENotesHeading"/>
    <w:basedOn w:val="Normal"/>
    <w:rsid w:val="00F56BC1"/>
    <w:pPr>
      <w:keepLines w:val="0"/>
      <w:spacing w:before="240" w:after="240" w:line="300" w:lineRule="exact"/>
      <w:ind w:left="2410" w:hanging="2410"/>
    </w:pPr>
    <w:rPr>
      <w:b/>
      <w:bCs/>
      <w:noProof/>
      <w:sz w:val="28"/>
      <w:szCs w:val="28"/>
      <w:lang w:eastAsia="en-AU"/>
    </w:rPr>
  </w:style>
  <w:style w:type="paragraph" w:customStyle="1" w:styleId="EndNotes">
    <w:name w:val="EndNotes"/>
    <w:basedOn w:val="Normal"/>
    <w:rsid w:val="00F56BC1"/>
    <w:pPr>
      <w:keepLines w:val="0"/>
      <w:spacing w:before="120" w:line="260" w:lineRule="exact"/>
      <w:jc w:val="both"/>
    </w:pPr>
    <w:rPr>
      <w:noProof/>
      <w:sz w:val="24"/>
      <w:szCs w:val="24"/>
      <w:lang w:eastAsia="en-AU"/>
    </w:rPr>
  </w:style>
  <w:style w:type="paragraph" w:customStyle="1" w:styleId="ENoteNo">
    <w:name w:val="ENoteNo"/>
    <w:basedOn w:val="EndNotes"/>
    <w:rsid w:val="00F56BC1"/>
    <w:pPr>
      <w:ind w:left="357" w:hanging="357"/>
    </w:pPr>
    <w:rPr>
      <w:b/>
      <w:bCs/>
    </w:rPr>
  </w:style>
  <w:style w:type="paragraph" w:customStyle="1" w:styleId="TableColHead">
    <w:name w:val="TableColHead"/>
    <w:basedOn w:val="Normal"/>
    <w:rsid w:val="00F56BC1"/>
    <w:pPr>
      <w:keepNext/>
      <w:keepLines w:val="0"/>
      <w:spacing w:before="120" w:after="60" w:line="200" w:lineRule="exact"/>
    </w:pPr>
    <w:rPr>
      <w:b/>
      <w:bCs/>
      <w:noProof/>
      <w:sz w:val="18"/>
      <w:szCs w:val="18"/>
    </w:rPr>
  </w:style>
  <w:style w:type="paragraph" w:styleId="NoteHeading">
    <w:name w:val="Note Heading"/>
    <w:aliases w:val="HN"/>
    <w:basedOn w:val="Normal"/>
    <w:next w:val="Normal"/>
    <w:link w:val="NoteHeadingChar"/>
    <w:rsid w:val="00F56BC1"/>
    <w:pPr>
      <w:keepNext/>
      <w:tabs>
        <w:tab w:val="left" w:pos="1559"/>
      </w:tabs>
      <w:spacing w:before="120" w:line="240" w:lineRule="atLeast"/>
    </w:pPr>
    <w:rPr>
      <w:b/>
      <w:bCs/>
      <w:noProof/>
      <w:sz w:val="32"/>
      <w:szCs w:val="32"/>
      <w:lang w:eastAsia="en-AU"/>
    </w:rPr>
  </w:style>
  <w:style w:type="character" w:customStyle="1" w:styleId="CharENotesHeading">
    <w:name w:val="CharENotesHeading"/>
    <w:basedOn w:val="DefaultParagraphFont"/>
    <w:rsid w:val="00F56BC1"/>
  </w:style>
  <w:style w:type="paragraph" w:customStyle="1" w:styleId="TableOfAmend">
    <w:name w:val="TableOfAmend"/>
    <w:basedOn w:val="Normal"/>
    <w:rsid w:val="00F56BC1"/>
    <w:pPr>
      <w:keepLines w:val="0"/>
      <w:tabs>
        <w:tab w:val="right" w:leader="dot" w:pos="2268"/>
      </w:tabs>
      <w:spacing w:before="60" w:line="200" w:lineRule="exact"/>
      <w:ind w:left="170" w:right="-11" w:hanging="170"/>
    </w:pPr>
    <w:rPr>
      <w:noProof/>
      <w:sz w:val="18"/>
      <w:szCs w:val="18"/>
      <w:lang w:eastAsia="en-AU"/>
    </w:rPr>
  </w:style>
  <w:style w:type="paragraph" w:customStyle="1" w:styleId="TableOfAmendHead">
    <w:name w:val="TableOfAmendHead"/>
    <w:basedOn w:val="TableOfAmend"/>
    <w:next w:val="Normal"/>
    <w:rsid w:val="00F56BC1"/>
    <w:pPr>
      <w:spacing w:after="60"/>
    </w:pPr>
    <w:rPr>
      <w:sz w:val="16"/>
      <w:szCs w:val="16"/>
    </w:rPr>
  </w:style>
  <w:style w:type="paragraph" w:customStyle="1" w:styleId="TableENotesHeadingAmdt">
    <w:name w:val="TableENotesHeadingAmdt"/>
    <w:basedOn w:val="Normal"/>
    <w:next w:val="Normal"/>
    <w:rsid w:val="00F56BC1"/>
    <w:pPr>
      <w:keepLines w:val="0"/>
      <w:pageBreakBefore/>
      <w:spacing w:before="240" w:after="240" w:line="300" w:lineRule="exact"/>
      <w:ind w:left="2410" w:hanging="2410"/>
    </w:pPr>
    <w:rPr>
      <w:b/>
      <w:bCs/>
      <w:noProof/>
      <w:sz w:val="28"/>
      <w:szCs w:val="28"/>
      <w:lang w:eastAsia="en-AU"/>
    </w:rPr>
  </w:style>
  <w:style w:type="paragraph" w:styleId="TOC3">
    <w:name w:val="toc 3"/>
    <w:basedOn w:val="Normal"/>
    <w:next w:val="Normal"/>
    <w:autoRedefine/>
    <w:uiPriority w:val="39"/>
    <w:rsid w:val="00F56BC1"/>
    <w:pPr>
      <w:ind w:left="220"/>
    </w:pPr>
    <w:rPr>
      <w:sz w:val="20"/>
      <w:szCs w:val="20"/>
    </w:rPr>
  </w:style>
  <w:style w:type="paragraph" w:styleId="TOC4">
    <w:name w:val="toc 4"/>
    <w:basedOn w:val="Normal"/>
    <w:next w:val="Normal"/>
    <w:autoRedefine/>
    <w:semiHidden/>
    <w:rsid w:val="00F56BC1"/>
    <w:pPr>
      <w:ind w:left="440"/>
    </w:pPr>
    <w:rPr>
      <w:sz w:val="20"/>
      <w:szCs w:val="20"/>
    </w:rPr>
  </w:style>
  <w:style w:type="paragraph" w:styleId="TOC5">
    <w:name w:val="toc 5"/>
    <w:basedOn w:val="Normal"/>
    <w:next w:val="Normal"/>
    <w:autoRedefine/>
    <w:semiHidden/>
    <w:rsid w:val="00F56BC1"/>
    <w:pPr>
      <w:ind w:left="660"/>
    </w:pPr>
    <w:rPr>
      <w:sz w:val="20"/>
      <w:szCs w:val="20"/>
    </w:rPr>
  </w:style>
  <w:style w:type="paragraph" w:styleId="TOC6">
    <w:name w:val="toc 6"/>
    <w:basedOn w:val="Normal"/>
    <w:next w:val="Normal"/>
    <w:autoRedefine/>
    <w:semiHidden/>
    <w:rsid w:val="00F56BC1"/>
    <w:pPr>
      <w:ind w:left="880"/>
    </w:pPr>
    <w:rPr>
      <w:sz w:val="20"/>
      <w:szCs w:val="20"/>
    </w:rPr>
  </w:style>
  <w:style w:type="paragraph" w:styleId="TOC7">
    <w:name w:val="toc 7"/>
    <w:basedOn w:val="Normal"/>
    <w:next w:val="Normal"/>
    <w:autoRedefine/>
    <w:semiHidden/>
    <w:rsid w:val="00F56BC1"/>
    <w:pPr>
      <w:ind w:left="1100"/>
    </w:pPr>
    <w:rPr>
      <w:sz w:val="20"/>
      <w:szCs w:val="20"/>
    </w:rPr>
  </w:style>
  <w:style w:type="paragraph" w:styleId="TOC8">
    <w:name w:val="toc 8"/>
    <w:basedOn w:val="Normal"/>
    <w:next w:val="Normal"/>
    <w:autoRedefine/>
    <w:semiHidden/>
    <w:rsid w:val="00F56BC1"/>
    <w:pPr>
      <w:ind w:left="1320"/>
    </w:pPr>
    <w:rPr>
      <w:sz w:val="20"/>
      <w:szCs w:val="20"/>
    </w:rPr>
  </w:style>
  <w:style w:type="paragraph" w:styleId="TOC9">
    <w:name w:val="toc 9"/>
    <w:basedOn w:val="Normal"/>
    <w:next w:val="Normal"/>
    <w:autoRedefine/>
    <w:semiHidden/>
    <w:rsid w:val="00F56BC1"/>
    <w:pPr>
      <w:ind w:left="1540"/>
    </w:pPr>
    <w:rPr>
      <w:sz w:val="20"/>
      <w:szCs w:val="20"/>
    </w:rPr>
  </w:style>
  <w:style w:type="paragraph" w:customStyle="1" w:styleId="NormalLeft0cm">
    <w:name w:val="Normal + Left:  0 cm"/>
    <w:aliases w:val="Hanging:  1.41 cm"/>
    <w:basedOn w:val="Heading1"/>
    <w:rsid w:val="00F56BC1"/>
    <w:pPr>
      <w:ind w:left="770" w:hanging="770"/>
    </w:pPr>
    <w:rPr>
      <w:b w:val="0"/>
      <w:bCs w:val="0"/>
      <w:sz w:val="22"/>
      <w:szCs w:val="22"/>
    </w:rPr>
  </w:style>
  <w:style w:type="numbering" w:styleId="111111">
    <w:name w:val="Outline List 2"/>
    <w:basedOn w:val="NoList"/>
    <w:rsid w:val="00F56BC1"/>
    <w:pPr>
      <w:numPr>
        <w:numId w:val="3"/>
      </w:numPr>
    </w:pPr>
  </w:style>
  <w:style w:type="paragraph" w:styleId="ListParagraph">
    <w:name w:val="List Paragraph"/>
    <w:basedOn w:val="Normal"/>
    <w:uiPriority w:val="34"/>
    <w:qFormat/>
    <w:rsid w:val="008B0B36"/>
    <w:pPr>
      <w:keepLines w:val="0"/>
      <w:ind w:left="720"/>
      <w:contextualSpacing/>
    </w:pPr>
    <w:rPr>
      <w:rFonts w:cs="Times New Roman"/>
      <w:szCs w:val="20"/>
    </w:rPr>
  </w:style>
  <w:style w:type="paragraph" w:customStyle="1" w:styleId="IndentParaLevel1">
    <w:name w:val="IndentParaLevel1"/>
    <w:basedOn w:val="Normal"/>
    <w:rsid w:val="00154654"/>
    <w:pPr>
      <w:keepLines w:val="0"/>
      <w:widowControl w:val="0"/>
      <w:spacing w:after="220"/>
      <w:ind w:left="964"/>
    </w:pPr>
    <w:rPr>
      <w:rFonts w:ascii="Times New Roman" w:hAnsi="Times New Roman" w:cs="Times New Roman"/>
    </w:rPr>
  </w:style>
  <w:style w:type="paragraph" w:customStyle="1" w:styleId="ShortT">
    <w:name w:val="ShortT"/>
    <w:basedOn w:val="Normal"/>
    <w:next w:val="Normal"/>
    <w:link w:val="ShortTChar"/>
    <w:qFormat/>
    <w:rsid w:val="00C52216"/>
    <w:pPr>
      <w:keepLines w:val="0"/>
    </w:pPr>
    <w:rPr>
      <w:rFonts w:ascii="Times New Roman" w:hAnsi="Times New Roman" w:cs="Times New Roman"/>
      <w:b/>
      <w:sz w:val="40"/>
      <w:szCs w:val="20"/>
      <w:lang w:eastAsia="en-AU"/>
    </w:rPr>
  </w:style>
  <w:style w:type="character" w:customStyle="1" w:styleId="ShortTChar">
    <w:name w:val="ShortT Char"/>
    <w:link w:val="ShortT"/>
    <w:rsid w:val="00C52216"/>
    <w:rPr>
      <w:b/>
      <w:sz w:val="40"/>
    </w:rPr>
  </w:style>
  <w:style w:type="paragraph" w:styleId="Revision">
    <w:name w:val="Revision"/>
    <w:hidden/>
    <w:uiPriority w:val="99"/>
    <w:semiHidden/>
    <w:rsid w:val="00CA7F4C"/>
    <w:rPr>
      <w:rFonts w:ascii="Arial" w:hAnsi="Arial" w:cs="Arial"/>
      <w:sz w:val="22"/>
      <w:szCs w:val="22"/>
      <w:lang w:eastAsia="en-US"/>
    </w:rPr>
  </w:style>
  <w:style w:type="character" w:customStyle="1" w:styleId="TitleChar">
    <w:name w:val="Title Char"/>
    <w:link w:val="Title"/>
    <w:rsid w:val="00C713FC"/>
    <w:rPr>
      <w:rFonts w:ascii="Arial" w:hAnsi="Arial" w:cs="Arial"/>
      <w:b/>
      <w:bCs/>
      <w:sz w:val="40"/>
      <w:szCs w:val="40"/>
    </w:rPr>
  </w:style>
  <w:style w:type="paragraph" w:customStyle="1" w:styleId="ActHead3">
    <w:name w:val="ActHead 3"/>
    <w:aliases w:val="d"/>
    <w:basedOn w:val="Normal"/>
    <w:next w:val="Normal"/>
    <w:qFormat/>
    <w:rsid w:val="00C713FC"/>
    <w:pPr>
      <w:keepNext/>
      <w:spacing w:before="240"/>
      <w:ind w:left="1134" w:hanging="1134"/>
      <w:outlineLvl w:val="2"/>
    </w:pPr>
    <w:rPr>
      <w:rFonts w:ascii="Times New Roman" w:hAnsi="Times New Roman" w:cs="Times New Roman"/>
      <w:b/>
      <w:bCs/>
      <w:kern w:val="28"/>
      <w:sz w:val="28"/>
      <w:szCs w:val="32"/>
      <w:lang w:eastAsia="en-AU"/>
    </w:rPr>
  </w:style>
  <w:style w:type="character" w:customStyle="1" w:styleId="NoteHeadingChar">
    <w:name w:val="Note Heading Char"/>
    <w:aliases w:val="HN Char"/>
    <w:link w:val="NoteHeading"/>
    <w:rsid w:val="00C713FC"/>
    <w:rPr>
      <w:rFonts w:ascii="Arial" w:hAnsi="Arial" w:cs="Arial"/>
      <w:b/>
      <w:bCs/>
      <w:noProof/>
      <w:sz w:val="32"/>
      <w:szCs w:val="32"/>
    </w:rPr>
  </w:style>
  <w:style w:type="paragraph" w:customStyle="1" w:styleId="TableText0">
    <w:name w:val="TableText"/>
    <w:basedOn w:val="Normal"/>
    <w:rsid w:val="00C713FC"/>
    <w:pPr>
      <w:keepLines w:val="0"/>
      <w:spacing w:before="60" w:after="60" w:line="240" w:lineRule="exact"/>
    </w:pPr>
    <w:rPr>
      <w:rFonts w:ascii="Times New Roman" w:hAnsi="Times New Roman" w:cs="Times New Roman"/>
      <w:szCs w:val="24"/>
      <w:lang w:eastAsia="en-AU"/>
    </w:rPr>
  </w:style>
  <w:style w:type="character" w:customStyle="1" w:styleId="legsubtitle1">
    <w:name w:val="legsubtitle1"/>
    <w:rsid w:val="00C713FC"/>
    <w:rPr>
      <w:rFonts w:ascii="Arial" w:hAnsi="Arial" w:cs="Arial" w:hint="default"/>
      <w:b/>
      <w:bCs/>
      <w:sz w:val="28"/>
      <w:szCs w:val="28"/>
    </w:rPr>
  </w:style>
  <w:style w:type="paragraph" w:customStyle="1" w:styleId="paragraph">
    <w:name w:val="paragraph"/>
    <w:aliases w:val="a"/>
    <w:basedOn w:val="Normal"/>
    <w:link w:val="paragraphChar"/>
    <w:rsid w:val="00C104FD"/>
    <w:pPr>
      <w:keepLines w:val="0"/>
      <w:tabs>
        <w:tab w:val="right" w:pos="1531"/>
      </w:tabs>
      <w:spacing w:before="40"/>
      <w:ind w:left="1644" w:hanging="1644"/>
    </w:pPr>
    <w:rPr>
      <w:rFonts w:ascii="Times New Roman" w:hAnsi="Times New Roman" w:cs="Times New Roman"/>
      <w:szCs w:val="20"/>
      <w:lang w:eastAsia="en-AU"/>
    </w:rPr>
  </w:style>
  <w:style w:type="character" w:customStyle="1" w:styleId="paragraphChar">
    <w:name w:val="paragraph Char"/>
    <w:aliases w:val="a Char"/>
    <w:basedOn w:val="DefaultParagraphFont"/>
    <w:link w:val="paragraph"/>
    <w:locked/>
    <w:rsid w:val="00C104FD"/>
    <w:rPr>
      <w:sz w:val="22"/>
    </w:rPr>
  </w:style>
  <w:style w:type="paragraph" w:customStyle="1" w:styleId="Definition">
    <w:name w:val="Definition"/>
    <w:aliases w:val="dd"/>
    <w:basedOn w:val="Normal"/>
    <w:rsid w:val="00C104FD"/>
    <w:pPr>
      <w:keepLines w:val="0"/>
      <w:spacing w:before="180"/>
      <w:ind w:left="1134"/>
    </w:pPr>
    <w:rPr>
      <w:rFonts w:ascii="Times New Roman" w:hAnsi="Times New Roman" w:cs="Times New Roman"/>
      <w:szCs w:val="20"/>
      <w:lang w:eastAsia="en-AU"/>
    </w:rPr>
  </w:style>
  <w:style w:type="paragraph" w:customStyle="1" w:styleId="ActHead5">
    <w:name w:val="ActHead 5"/>
    <w:aliases w:val="s"/>
    <w:basedOn w:val="Normal"/>
    <w:next w:val="subsection"/>
    <w:link w:val="ActHead5Char"/>
    <w:qFormat/>
    <w:rsid w:val="00C104FD"/>
    <w:pPr>
      <w:keepNext/>
      <w:spacing w:before="280"/>
      <w:ind w:left="1134" w:hanging="1134"/>
      <w:outlineLvl w:val="4"/>
    </w:pPr>
    <w:rPr>
      <w:rFonts w:ascii="Times New Roman" w:hAnsi="Times New Roman" w:cs="Times New Roman"/>
      <w:b/>
      <w:kern w:val="28"/>
      <w:sz w:val="24"/>
      <w:szCs w:val="20"/>
      <w:lang w:eastAsia="en-AU"/>
    </w:rPr>
  </w:style>
  <w:style w:type="character" w:customStyle="1" w:styleId="CharSectno">
    <w:name w:val="CharSectno"/>
    <w:basedOn w:val="DefaultParagraphFont"/>
    <w:qFormat/>
    <w:rsid w:val="00C104FD"/>
  </w:style>
  <w:style w:type="paragraph" w:customStyle="1" w:styleId="subsection">
    <w:name w:val="subsection"/>
    <w:aliases w:val="ss,Subsection"/>
    <w:basedOn w:val="Normal"/>
    <w:link w:val="subsectionChar"/>
    <w:rsid w:val="00C104FD"/>
    <w:pPr>
      <w:keepLines w:val="0"/>
      <w:tabs>
        <w:tab w:val="right" w:pos="1021"/>
      </w:tabs>
      <w:spacing w:before="180"/>
      <w:ind w:left="1134" w:hanging="1134"/>
    </w:pPr>
    <w:rPr>
      <w:rFonts w:ascii="Times New Roman" w:hAnsi="Times New Roman" w:cs="Times New Roman"/>
      <w:szCs w:val="20"/>
      <w:lang w:eastAsia="en-AU"/>
    </w:rPr>
  </w:style>
  <w:style w:type="paragraph" w:customStyle="1" w:styleId="paragraphsub">
    <w:name w:val="paragraph(sub)"/>
    <w:aliases w:val="aa"/>
    <w:basedOn w:val="Normal"/>
    <w:rsid w:val="00C104FD"/>
    <w:pPr>
      <w:keepLines w:val="0"/>
      <w:tabs>
        <w:tab w:val="right" w:pos="1985"/>
      </w:tabs>
      <w:spacing w:before="40"/>
      <w:ind w:left="2098" w:hanging="2098"/>
    </w:pPr>
    <w:rPr>
      <w:rFonts w:ascii="Times New Roman" w:hAnsi="Times New Roman" w:cs="Times New Roman"/>
      <w:szCs w:val="20"/>
      <w:lang w:eastAsia="en-AU"/>
    </w:rPr>
  </w:style>
  <w:style w:type="paragraph" w:customStyle="1" w:styleId="notetext">
    <w:name w:val="note(text)"/>
    <w:aliases w:val="n"/>
    <w:basedOn w:val="Normal"/>
    <w:link w:val="notetextChar"/>
    <w:rsid w:val="00C104FD"/>
    <w:pPr>
      <w:keepLines w:val="0"/>
      <w:spacing w:before="122"/>
      <w:ind w:left="1985" w:hanging="851"/>
    </w:pPr>
    <w:rPr>
      <w:rFonts w:ascii="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C104FD"/>
    <w:rPr>
      <w:sz w:val="22"/>
    </w:rPr>
  </w:style>
  <w:style w:type="character" w:customStyle="1" w:styleId="notetextChar">
    <w:name w:val="note(text) Char"/>
    <w:aliases w:val="n Char"/>
    <w:basedOn w:val="DefaultParagraphFont"/>
    <w:link w:val="notetext"/>
    <w:rsid w:val="00C104FD"/>
    <w:rPr>
      <w:sz w:val="18"/>
    </w:rPr>
  </w:style>
  <w:style w:type="character" w:customStyle="1" w:styleId="ActHead5Char">
    <w:name w:val="ActHead 5 Char"/>
    <w:aliases w:val="s Char"/>
    <w:link w:val="ActHead5"/>
    <w:rsid w:val="00C104FD"/>
    <w:rPr>
      <w:b/>
      <w:kern w:val="28"/>
      <w:sz w:val="24"/>
    </w:rPr>
  </w:style>
  <w:style w:type="paragraph" w:customStyle="1" w:styleId="ENoteTableHeading">
    <w:name w:val="ENoteTableHeading"/>
    <w:aliases w:val="enth"/>
    <w:basedOn w:val="Normal"/>
    <w:rsid w:val="00075DD8"/>
    <w:pPr>
      <w:keepNext/>
      <w:keepLines w:val="0"/>
      <w:spacing w:before="60" w:line="240" w:lineRule="atLeast"/>
    </w:pPr>
    <w:rPr>
      <w:rFonts w:cs="Times New Roman"/>
      <w:b/>
      <w:sz w:val="16"/>
      <w:szCs w:val="20"/>
      <w:lang w:eastAsia="en-AU"/>
    </w:rPr>
  </w:style>
  <w:style w:type="paragraph" w:customStyle="1" w:styleId="ENoteTableText">
    <w:name w:val="ENoteTableText"/>
    <w:aliases w:val="entt"/>
    <w:basedOn w:val="Normal"/>
    <w:rsid w:val="00075DD8"/>
    <w:pPr>
      <w:keepLines w:val="0"/>
      <w:spacing w:before="60" w:line="240" w:lineRule="atLeast"/>
    </w:pPr>
    <w:rPr>
      <w:rFonts w:ascii="Times New Roman" w:hAnsi="Times New Roman" w:cs="Times New Roman"/>
      <w:sz w:val="16"/>
      <w:szCs w:val="20"/>
      <w:lang w:eastAsia="en-AU"/>
    </w:rPr>
  </w:style>
  <w:style w:type="paragraph" w:customStyle="1" w:styleId="Item">
    <w:name w:val="Item"/>
    <w:aliases w:val="i"/>
    <w:basedOn w:val="Normal"/>
    <w:next w:val="Normal"/>
    <w:rsid w:val="00075DD8"/>
    <w:pPr>
      <w:spacing w:before="80"/>
      <w:ind w:left="709"/>
    </w:pPr>
    <w:rPr>
      <w:rFonts w:ascii="Times New Roman" w:hAnsi="Times New Roman" w:cs="Times New Roman"/>
      <w:szCs w:val="20"/>
      <w:lang w:eastAsia="en-AU"/>
    </w:rPr>
  </w:style>
  <w:style w:type="paragraph" w:customStyle="1" w:styleId="ENotesHeading2">
    <w:name w:val="ENotesHeading 2"/>
    <w:aliases w:val="Enh2,ENh2"/>
    <w:basedOn w:val="Normal"/>
    <w:next w:val="Normal"/>
    <w:rsid w:val="00075DD8"/>
    <w:pPr>
      <w:keepLines w:val="0"/>
      <w:spacing w:before="120" w:after="120" w:line="260" w:lineRule="atLeast"/>
      <w:outlineLvl w:val="2"/>
    </w:pPr>
    <w:rPr>
      <w:rFonts w:ascii="Times New Roman" w:hAnsi="Times New Roman" w:cs="Times New Roman"/>
      <w:b/>
      <w:sz w:val="24"/>
      <w:szCs w:val="28"/>
      <w:lang w:eastAsia="en-AU"/>
    </w:rPr>
  </w:style>
  <w:style w:type="paragraph" w:customStyle="1" w:styleId="ScheduleItem">
    <w:name w:val="Schedule Item"/>
    <w:basedOn w:val="Normal"/>
    <w:link w:val="ScheduleItemChar"/>
    <w:qFormat/>
    <w:rsid w:val="00075DD8"/>
    <w:pPr>
      <w:keepLines w:val="0"/>
      <w:numPr>
        <w:numId w:val="58"/>
      </w:numPr>
      <w:spacing w:before="360"/>
    </w:pPr>
    <w:rPr>
      <w:rFonts w:cs="Times New Roman"/>
      <w:b/>
      <w:kern w:val="28"/>
      <w:sz w:val="24"/>
      <w:szCs w:val="20"/>
      <w:lang w:eastAsia="en-AU"/>
    </w:rPr>
  </w:style>
  <w:style w:type="character" w:customStyle="1" w:styleId="ScheduleItemChar">
    <w:name w:val="Schedule Item Char"/>
    <w:basedOn w:val="DefaultParagraphFont"/>
    <w:link w:val="ScheduleItem"/>
    <w:rsid w:val="00075DD8"/>
    <w:rPr>
      <w:rFonts w:ascii="Arial" w:hAnsi="Arial"/>
      <w:b/>
      <w:kern w:val="28"/>
      <w:sz w:val="24"/>
    </w:rPr>
  </w:style>
  <w:style w:type="paragraph" w:customStyle="1" w:styleId="ItemHead">
    <w:name w:val="ItemHead"/>
    <w:aliases w:val="ih"/>
    <w:basedOn w:val="Normal"/>
    <w:next w:val="Item"/>
    <w:rsid w:val="00145965"/>
    <w:pPr>
      <w:keepNext/>
      <w:spacing w:before="220"/>
      <w:ind w:left="709" w:hanging="709"/>
    </w:pPr>
    <w:rPr>
      <w:rFonts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3919">
      <w:bodyDiv w:val="1"/>
      <w:marLeft w:val="0"/>
      <w:marRight w:val="0"/>
      <w:marTop w:val="0"/>
      <w:marBottom w:val="0"/>
      <w:divBdr>
        <w:top w:val="none" w:sz="0" w:space="0" w:color="auto"/>
        <w:left w:val="none" w:sz="0" w:space="0" w:color="auto"/>
        <w:bottom w:val="none" w:sz="0" w:space="0" w:color="auto"/>
        <w:right w:val="none" w:sz="0" w:space="0" w:color="auto"/>
      </w:divBdr>
    </w:div>
    <w:div w:id="1485002150">
      <w:bodyDiv w:val="1"/>
      <w:marLeft w:val="0"/>
      <w:marRight w:val="0"/>
      <w:marTop w:val="0"/>
      <w:marBottom w:val="0"/>
      <w:divBdr>
        <w:top w:val="none" w:sz="0" w:space="0" w:color="auto"/>
        <w:left w:val="none" w:sz="0" w:space="0" w:color="auto"/>
        <w:bottom w:val="none" w:sz="0" w:space="0" w:color="auto"/>
        <w:right w:val="none" w:sz="0" w:space="0" w:color="auto"/>
      </w:divBdr>
      <w:divsChild>
        <w:div w:id="343670930">
          <w:marLeft w:val="0"/>
          <w:marRight w:val="0"/>
          <w:marTop w:val="0"/>
          <w:marBottom w:val="0"/>
          <w:divBdr>
            <w:top w:val="none" w:sz="0" w:space="0" w:color="auto"/>
            <w:left w:val="none" w:sz="0" w:space="0" w:color="auto"/>
            <w:bottom w:val="none" w:sz="0" w:space="0" w:color="auto"/>
            <w:right w:val="none" w:sz="0" w:space="0" w:color="auto"/>
          </w:divBdr>
          <w:divsChild>
            <w:div w:id="483471113">
              <w:marLeft w:val="0"/>
              <w:marRight w:val="0"/>
              <w:marTop w:val="0"/>
              <w:marBottom w:val="0"/>
              <w:divBdr>
                <w:top w:val="none" w:sz="0" w:space="0" w:color="auto"/>
                <w:left w:val="none" w:sz="0" w:space="0" w:color="auto"/>
                <w:bottom w:val="none" w:sz="0" w:space="0" w:color="auto"/>
                <w:right w:val="none" w:sz="0" w:space="0" w:color="auto"/>
              </w:divBdr>
              <w:divsChild>
                <w:div w:id="921795373">
                  <w:marLeft w:val="0"/>
                  <w:marRight w:val="0"/>
                  <w:marTop w:val="0"/>
                  <w:marBottom w:val="0"/>
                  <w:divBdr>
                    <w:top w:val="none" w:sz="0" w:space="0" w:color="auto"/>
                    <w:left w:val="none" w:sz="0" w:space="0" w:color="auto"/>
                    <w:bottom w:val="none" w:sz="0" w:space="0" w:color="auto"/>
                    <w:right w:val="none" w:sz="0" w:space="0" w:color="auto"/>
                  </w:divBdr>
                  <w:divsChild>
                    <w:div w:id="1602765003">
                      <w:marLeft w:val="0"/>
                      <w:marRight w:val="0"/>
                      <w:marTop w:val="0"/>
                      <w:marBottom w:val="0"/>
                      <w:divBdr>
                        <w:top w:val="none" w:sz="0" w:space="0" w:color="auto"/>
                        <w:left w:val="none" w:sz="0" w:space="0" w:color="auto"/>
                        <w:bottom w:val="none" w:sz="0" w:space="0" w:color="auto"/>
                        <w:right w:val="none" w:sz="0" w:space="0" w:color="auto"/>
                      </w:divBdr>
                      <w:divsChild>
                        <w:div w:id="1931546681">
                          <w:marLeft w:val="0"/>
                          <w:marRight w:val="0"/>
                          <w:marTop w:val="0"/>
                          <w:marBottom w:val="0"/>
                          <w:divBdr>
                            <w:top w:val="single" w:sz="6" w:space="0" w:color="828282"/>
                            <w:left w:val="single" w:sz="6" w:space="0" w:color="828282"/>
                            <w:bottom w:val="single" w:sz="6" w:space="0" w:color="828282"/>
                            <w:right w:val="single" w:sz="6" w:space="0" w:color="828282"/>
                          </w:divBdr>
                          <w:divsChild>
                            <w:div w:id="1194229191">
                              <w:marLeft w:val="0"/>
                              <w:marRight w:val="0"/>
                              <w:marTop w:val="0"/>
                              <w:marBottom w:val="0"/>
                              <w:divBdr>
                                <w:top w:val="none" w:sz="0" w:space="0" w:color="auto"/>
                                <w:left w:val="none" w:sz="0" w:space="0" w:color="auto"/>
                                <w:bottom w:val="none" w:sz="0" w:space="0" w:color="auto"/>
                                <w:right w:val="none" w:sz="0" w:space="0" w:color="auto"/>
                              </w:divBdr>
                              <w:divsChild>
                                <w:div w:id="167406341">
                                  <w:marLeft w:val="0"/>
                                  <w:marRight w:val="0"/>
                                  <w:marTop w:val="0"/>
                                  <w:marBottom w:val="0"/>
                                  <w:divBdr>
                                    <w:top w:val="none" w:sz="0" w:space="0" w:color="auto"/>
                                    <w:left w:val="none" w:sz="0" w:space="0" w:color="auto"/>
                                    <w:bottom w:val="none" w:sz="0" w:space="0" w:color="auto"/>
                                    <w:right w:val="none" w:sz="0" w:space="0" w:color="auto"/>
                                  </w:divBdr>
                                  <w:divsChild>
                                    <w:div w:id="94130400">
                                      <w:marLeft w:val="0"/>
                                      <w:marRight w:val="0"/>
                                      <w:marTop w:val="0"/>
                                      <w:marBottom w:val="0"/>
                                      <w:divBdr>
                                        <w:top w:val="none" w:sz="0" w:space="0" w:color="auto"/>
                                        <w:left w:val="none" w:sz="0" w:space="0" w:color="auto"/>
                                        <w:bottom w:val="none" w:sz="0" w:space="0" w:color="auto"/>
                                        <w:right w:val="none" w:sz="0" w:space="0" w:color="auto"/>
                                      </w:divBdr>
                                      <w:divsChild>
                                        <w:div w:id="219244675">
                                          <w:marLeft w:val="0"/>
                                          <w:marRight w:val="0"/>
                                          <w:marTop w:val="0"/>
                                          <w:marBottom w:val="0"/>
                                          <w:divBdr>
                                            <w:top w:val="none" w:sz="0" w:space="0" w:color="auto"/>
                                            <w:left w:val="none" w:sz="0" w:space="0" w:color="auto"/>
                                            <w:bottom w:val="none" w:sz="0" w:space="0" w:color="auto"/>
                                            <w:right w:val="none" w:sz="0" w:space="0" w:color="auto"/>
                                          </w:divBdr>
                                          <w:divsChild>
                                            <w:div w:id="77942853">
                                              <w:marLeft w:val="0"/>
                                              <w:marRight w:val="0"/>
                                              <w:marTop w:val="0"/>
                                              <w:marBottom w:val="0"/>
                                              <w:divBdr>
                                                <w:top w:val="none" w:sz="0" w:space="0" w:color="auto"/>
                                                <w:left w:val="none" w:sz="0" w:space="0" w:color="auto"/>
                                                <w:bottom w:val="none" w:sz="0" w:space="0" w:color="auto"/>
                                                <w:right w:val="none" w:sz="0" w:space="0" w:color="auto"/>
                                              </w:divBdr>
                                              <w:divsChild>
                                                <w:div w:id="513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mlaw.gov.a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ADDE-016F-4B0F-AF48-AA9F9EDF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34</Pages>
  <Words>11092</Words>
  <Characters>58916</Characters>
  <Application>Microsoft Office Word</Application>
  <DocSecurity>0</DocSecurity>
  <PresentationFormat/>
  <Lines>1548</Lines>
  <Paragraphs>740</Paragraphs>
  <ScaleCrop>false</ScaleCrop>
  <HeadingPairs>
    <vt:vector size="2" baseType="variant">
      <vt:variant>
        <vt:lpstr>Title</vt:lpstr>
      </vt:variant>
      <vt:variant>
        <vt:i4>1</vt:i4>
      </vt:variant>
    </vt:vector>
  </HeadingPairs>
  <TitlesOfParts>
    <vt:vector size="1" baseType="lpstr">
      <vt:lpstr>Higher Education Provider Guidelines 2012 (P20PU528)</vt:lpstr>
    </vt:vector>
  </TitlesOfParts>
  <Manager/>
  <Company/>
  <LinksUpToDate>false</LinksUpToDate>
  <CharactersWithSpaces>70139</CharactersWithSpaces>
  <SharedDoc>false</SharedDoc>
  <HyperlinkBase/>
  <HLinks>
    <vt:vector size="48" baseType="variant">
      <vt:variant>
        <vt:i4>6160468</vt:i4>
      </vt:variant>
      <vt:variant>
        <vt:i4>45</vt:i4>
      </vt:variant>
      <vt:variant>
        <vt:i4>0</vt:i4>
      </vt:variant>
      <vt:variant>
        <vt:i4>5</vt:i4>
      </vt:variant>
      <vt:variant>
        <vt:lpwstr>http://www.comlaw.gov.au/</vt:lpwstr>
      </vt:variant>
      <vt:variant>
        <vt:lpwstr/>
      </vt:variant>
      <vt:variant>
        <vt:i4>1572927</vt:i4>
      </vt:variant>
      <vt:variant>
        <vt:i4>38</vt:i4>
      </vt:variant>
      <vt:variant>
        <vt:i4>0</vt:i4>
      </vt:variant>
      <vt:variant>
        <vt:i4>5</vt:i4>
      </vt:variant>
      <vt:variant>
        <vt:lpwstr/>
      </vt:variant>
      <vt:variant>
        <vt:lpwstr>_Toc330982478</vt:lpwstr>
      </vt:variant>
      <vt:variant>
        <vt:i4>1572927</vt:i4>
      </vt:variant>
      <vt:variant>
        <vt:i4>32</vt:i4>
      </vt:variant>
      <vt:variant>
        <vt:i4>0</vt:i4>
      </vt:variant>
      <vt:variant>
        <vt:i4>5</vt:i4>
      </vt:variant>
      <vt:variant>
        <vt:lpwstr/>
      </vt:variant>
      <vt:variant>
        <vt:lpwstr>_Toc330982477</vt:lpwstr>
      </vt:variant>
      <vt:variant>
        <vt:i4>1572927</vt:i4>
      </vt:variant>
      <vt:variant>
        <vt:i4>26</vt:i4>
      </vt:variant>
      <vt:variant>
        <vt:i4>0</vt:i4>
      </vt:variant>
      <vt:variant>
        <vt:i4>5</vt:i4>
      </vt:variant>
      <vt:variant>
        <vt:lpwstr/>
      </vt:variant>
      <vt:variant>
        <vt:lpwstr>_Toc330982476</vt:lpwstr>
      </vt:variant>
      <vt:variant>
        <vt:i4>1572927</vt:i4>
      </vt:variant>
      <vt:variant>
        <vt:i4>20</vt:i4>
      </vt:variant>
      <vt:variant>
        <vt:i4>0</vt:i4>
      </vt:variant>
      <vt:variant>
        <vt:i4>5</vt:i4>
      </vt:variant>
      <vt:variant>
        <vt:lpwstr/>
      </vt:variant>
      <vt:variant>
        <vt:lpwstr>_Toc330982475</vt:lpwstr>
      </vt:variant>
      <vt:variant>
        <vt:i4>1572927</vt:i4>
      </vt:variant>
      <vt:variant>
        <vt:i4>14</vt:i4>
      </vt:variant>
      <vt:variant>
        <vt:i4>0</vt:i4>
      </vt:variant>
      <vt:variant>
        <vt:i4>5</vt:i4>
      </vt:variant>
      <vt:variant>
        <vt:lpwstr/>
      </vt:variant>
      <vt:variant>
        <vt:lpwstr>_Toc330982474</vt:lpwstr>
      </vt:variant>
      <vt:variant>
        <vt:i4>1572927</vt:i4>
      </vt:variant>
      <vt:variant>
        <vt:i4>8</vt:i4>
      </vt:variant>
      <vt:variant>
        <vt:i4>0</vt:i4>
      </vt:variant>
      <vt:variant>
        <vt:i4>5</vt:i4>
      </vt:variant>
      <vt:variant>
        <vt:lpwstr/>
      </vt:variant>
      <vt:variant>
        <vt:lpwstr>_Toc330982473</vt:lpwstr>
      </vt:variant>
      <vt:variant>
        <vt:i4>1572927</vt:i4>
      </vt:variant>
      <vt:variant>
        <vt:i4>2</vt:i4>
      </vt:variant>
      <vt:variant>
        <vt:i4>0</vt:i4>
      </vt:variant>
      <vt:variant>
        <vt:i4>5</vt:i4>
      </vt:variant>
      <vt:variant>
        <vt:lpwstr/>
      </vt:variant>
      <vt:variant>
        <vt:lpwstr>_Toc330982472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Provider Guidelines 2012 (P20PU528)</dc:title>
  <dc:subject/>
  <dc:creator/>
  <cp:keywords/>
  <dc:description/>
  <cp:lastModifiedBy/>
  <cp:revision>1</cp:revision>
  <cp:lastPrinted>2012-09-20T07:02:00Z</cp:lastPrinted>
  <dcterms:created xsi:type="dcterms:W3CDTF">2020-02-10T00:49:00Z</dcterms:created>
  <dcterms:modified xsi:type="dcterms:W3CDTF">2020-02-10T00:49:00Z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verted">
    <vt:bool>false</vt:bool>
  </property>
  <property fmtid="{D5CDD505-2E9C-101B-9397-08002B2CF9AE}" pid="7" name="Classification">
    <vt:lpwstr>UNCLASSIFIED</vt:lpwstr>
  </property>
  <property fmtid="{D5CDD505-2E9C-101B-9397-08002B2CF9AE}" pid="8" name="DLM">
    <vt:lpwstr>No DLM</vt:lpwstr>
  </property>
  <property fmtid="{D5CDD505-2E9C-101B-9397-08002B2CF9AE}" pid="9" name="ShortT">
    <vt:lpwstr/>
  </property>
  <property fmtid="{D5CDD505-2E9C-101B-9397-08002B2CF9AE}" pid="10" name="Actno">
    <vt:lpwstr/>
  </property>
  <property fmtid="{D5CDD505-2E9C-101B-9397-08002B2CF9AE}" pid="11" name="Compilation">
    <vt:lpwstr>Yes</vt:lpwstr>
  </property>
  <property fmtid="{D5CDD505-2E9C-101B-9397-08002B2CF9AE}" pid="12" name="Type">
    <vt:lpwstr>LI</vt:lpwstr>
  </property>
  <property fmtid="{D5CDD505-2E9C-101B-9397-08002B2CF9AE}" pid="13" name="DocType">
    <vt:lpwstr>NEW</vt:lpwstr>
  </property>
  <property fmtid="{D5CDD505-2E9C-101B-9397-08002B2CF9AE}" pid="14" name="ChangedTitle">
    <vt:lpwstr>Higher Education Provider Guidelines 2012 (P20PU528)</vt:lpwstr>
  </property>
  <property fmtid="{D5CDD505-2E9C-101B-9397-08002B2CF9AE}" pid="15" name="DoNotAsk">
    <vt:lpwstr>1</vt:lpwstr>
  </property>
</Properties>
</file>