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EC" w:rsidRPr="0061269A" w:rsidRDefault="00D636EC" w:rsidP="00D636EC">
      <w:pPr>
        <w:spacing w:after="240"/>
        <w:jc w:val="center"/>
        <w:rPr>
          <w:b/>
          <w:lang w:val="en-US"/>
        </w:rPr>
      </w:pPr>
      <w:r w:rsidRPr="0061269A">
        <w:rPr>
          <w:b/>
          <w:lang w:val="en-US"/>
        </w:rPr>
        <w:t>Class Rule Waiver [CW 12</w:t>
      </w:r>
      <w:r w:rsidR="00EF30D2" w:rsidRPr="0061269A">
        <w:rPr>
          <w:b/>
          <w:lang w:val="en-US"/>
        </w:rPr>
        <w:t>-</w:t>
      </w:r>
      <w:r w:rsidR="007A49A6" w:rsidRPr="0061269A">
        <w:rPr>
          <w:b/>
          <w:lang w:val="en-US"/>
        </w:rPr>
        <w:t>1520</w:t>
      </w:r>
      <w:r w:rsidRPr="0061269A">
        <w:rPr>
          <w:b/>
          <w:lang w:val="en-US"/>
        </w:rPr>
        <w:t>]</w:t>
      </w:r>
    </w:p>
    <w:p w:rsidR="00D636EC" w:rsidRPr="0061269A" w:rsidRDefault="00D636EC" w:rsidP="00D636EC">
      <w:pPr>
        <w:spacing w:after="240"/>
        <w:jc w:val="center"/>
        <w:rPr>
          <w:b/>
          <w:lang w:val="en-US"/>
        </w:rPr>
      </w:pPr>
      <w:r w:rsidRPr="0061269A">
        <w:rPr>
          <w:b/>
          <w:lang w:val="en-US"/>
        </w:rPr>
        <w:t>Explanatory Statement</w:t>
      </w:r>
    </w:p>
    <w:p w:rsidR="00D636EC" w:rsidRPr="0061269A" w:rsidRDefault="00D636EC" w:rsidP="00D636EC">
      <w:pPr>
        <w:spacing w:after="240"/>
        <w:jc w:val="center"/>
        <w:rPr>
          <w:b/>
          <w:lang w:val="en-US"/>
        </w:rPr>
      </w:pPr>
      <w:r w:rsidRPr="0061269A">
        <w:rPr>
          <w:b/>
          <w:lang w:val="en-US"/>
        </w:rPr>
        <w:t>Prepared by the Australian Securities and Investments Commission</w:t>
      </w:r>
    </w:p>
    <w:p w:rsidR="00D636EC" w:rsidRPr="0061269A" w:rsidRDefault="00D636EC" w:rsidP="00D636EC">
      <w:pPr>
        <w:spacing w:after="240"/>
        <w:jc w:val="center"/>
        <w:rPr>
          <w:b/>
          <w:lang w:val="en-US"/>
        </w:rPr>
      </w:pPr>
      <w:r w:rsidRPr="0061269A">
        <w:rPr>
          <w:b/>
          <w:lang w:val="en-US"/>
        </w:rPr>
        <w:t>ASIC Market Integrity Rules (</w:t>
      </w:r>
      <w:r w:rsidR="00EF30D2" w:rsidRPr="0061269A">
        <w:rPr>
          <w:b/>
          <w:lang w:val="en-US"/>
        </w:rPr>
        <w:t>Competition in Exchange Markets</w:t>
      </w:r>
      <w:r w:rsidRPr="0061269A">
        <w:rPr>
          <w:b/>
          <w:lang w:val="en-US"/>
        </w:rPr>
        <w:t>) 201</w:t>
      </w:r>
      <w:r w:rsidR="005E1291" w:rsidRPr="0061269A">
        <w:rPr>
          <w:b/>
          <w:lang w:val="en-US"/>
        </w:rPr>
        <w:t>1</w:t>
      </w:r>
    </w:p>
    <w:p w:rsidR="00D636EC" w:rsidRPr="0061269A" w:rsidRDefault="00D636EC" w:rsidP="00D636EC">
      <w:pPr>
        <w:spacing w:after="240"/>
        <w:rPr>
          <w:b/>
        </w:rPr>
      </w:pPr>
    </w:p>
    <w:p w:rsidR="00D636EC" w:rsidRPr="0061269A" w:rsidRDefault="00D636EC" w:rsidP="00D636EC">
      <w:pPr>
        <w:spacing w:after="240"/>
      </w:pPr>
      <w:r w:rsidRPr="0061269A">
        <w:t>The Australian Securities and Investments Commission (</w:t>
      </w:r>
      <w:r w:rsidRPr="0061269A">
        <w:rPr>
          <w:b/>
          <w:bCs/>
          <w:iCs/>
        </w:rPr>
        <w:t>ASIC</w:t>
      </w:r>
      <w:r w:rsidRPr="0061269A">
        <w:t xml:space="preserve">) makes this instrument under </w:t>
      </w:r>
      <w:proofErr w:type="spellStart"/>
      <w:r w:rsidR="001E38AD" w:rsidRPr="0061269A">
        <w:t>subr</w:t>
      </w:r>
      <w:r w:rsidRPr="0061269A">
        <w:t>ule</w:t>
      </w:r>
      <w:proofErr w:type="spellEnd"/>
      <w:r w:rsidRPr="0061269A">
        <w:t xml:space="preserve"> 1.2.1(1) </w:t>
      </w:r>
      <w:r w:rsidR="008425AB" w:rsidRPr="0061269A">
        <w:t xml:space="preserve">and Rule 1.2.3 </w:t>
      </w:r>
      <w:r w:rsidRPr="0061269A">
        <w:t xml:space="preserve">of the </w:t>
      </w:r>
      <w:r w:rsidRPr="0061269A">
        <w:rPr>
          <w:i/>
          <w:iCs/>
        </w:rPr>
        <w:t>ASIC Market Integrity Rules</w:t>
      </w:r>
      <w:r w:rsidRPr="0061269A">
        <w:t xml:space="preserve"> </w:t>
      </w:r>
      <w:r w:rsidR="008A301F" w:rsidRPr="0061269A">
        <w:rPr>
          <w:i/>
          <w:lang w:val="en-US"/>
        </w:rPr>
        <w:t>(Competition in Exchange Markets) 2011</w:t>
      </w:r>
      <w:r w:rsidR="008A301F" w:rsidRPr="0061269A">
        <w:rPr>
          <w:lang w:val="en-US"/>
        </w:rPr>
        <w:t xml:space="preserve"> (</w:t>
      </w:r>
      <w:r w:rsidR="008A301F" w:rsidRPr="0061269A">
        <w:rPr>
          <w:b/>
          <w:i/>
          <w:lang w:val="en-US"/>
        </w:rPr>
        <w:t>Competition Rules</w:t>
      </w:r>
      <w:r w:rsidR="008A301F" w:rsidRPr="0061269A">
        <w:rPr>
          <w:lang w:val="en-US"/>
        </w:rPr>
        <w:t>).</w:t>
      </w:r>
    </w:p>
    <w:p w:rsidR="00D636EC" w:rsidRPr="0061269A" w:rsidRDefault="00D636EC" w:rsidP="00D636EC">
      <w:pPr>
        <w:spacing w:after="240"/>
      </w:pPr>
      <w:r w:rsidRPr="0061269A">
        <w:t xml:space="preserve">Under that rule, ASIC may relieve any person or class of persons from the obligation to comply with a provision of the </w:t>
      </w:r>
      <w:r w:rsidR="00BC1F47" w:rsidRPr="0061269A">
        <w:t>Competition</w:t>
      </w:r>
      <w:r w:rsidRPr="0061269A">
        <w:t xml:space="preserve"> Rules</w:t>
      </w:r>
      <w:r w:rsidR="003C01D9" w:rsidRPr="0061269A">
        <w:t xml:space="preserve"> either generally or in a particular case or category, and either unconditionally or subject to such</w:t>
      </w:r>
      <w:r w:rsidR="00884E0D" w:rsidRPr="0061269A">
        <w:t xml:space="preserve"> conditions as ASIC thinks fit.</w:t>
      </w:r>
    </w:p>
    <w:p w:rsidR="00D6370D" w:rsidRPr="0061269A" w:rsidRDefault="00D6370D" w:rsidP="00AC3F52">
      <w:pPr>
        <w:spacing w:after="240"/>
        <w:rPr>
          <w:b/>
        </w:rPr>
      </w:pPr>
    </w:p>
    <w:p w:rsidR="00AC3F52" w:rsidRPr="0061269A" w:rsidRDefault="00D636EC" w:rsidP="00AC3F52">
      <w:pPr>
        <w:spacing w:after="240"/>
        <w:rPr>
          <w:b/>
        </w:rPr>
      </w:pPr>
      <w:r w:rsidRPr="0061269A">
        <w:rPr>
          <w:b/>
        </w:rPr>
        <w:t>Background</w:t>
      </w:r>
    </w:p>
    <w:p w:rsidR="00AC3F52" w:rsidRPr="0061269A" w:rsidRDefault="00570B90" w:rsidP="00AC3F52">
      <w:pPr>
        <w:spacing w:after="240"/>
      </w:pPr>
      <w:r w:rsidRPr="0061269A">
        <w:t xml:space="preserve">On </w:t>
      </w:r>
      <w:r w:rsidR="0033220C" w:rsidRPr="0061269A">
        <w:t>29 April</w:t>
      </w:r>
      <w:r w:rsidRPr="0061269A">
        <w:t xml:space="preserve"> 2011</w:t>
      </w:r>
      <w:r w:rsidR="00AC3F52" w:rsidRPr="0061269A">
        <w:t xml:space="preserve">, </w:t>
      </w:r>
      <w:r w:rsidR="0033220C" w:rsidRPr="0061269A">
        <w:t xml:space="preserve">ASIC made </w:t>
      </w:r>
      <w:r w:rsidRPr="0061269A">
        <w:t xml:space="preserve">the Competition Rules </w:t>
      </w:r>
      <w:r w:rsidR="00AC3F52" w:rsidRPr="0061269A">
        <w:t>which form</w:t>
      </w:r>
      <w:r w:rsidRPr="0061269A">
        <w:t>ed</w:t>
      </w:r>
      <w:r w:rsidR="00AC3F52" w:rsidRPr="0061269A">
        <w:t xml:space="preserve"> part of the regulatory framework for competition between exchange markets. </w:t>
      </w:r>
      <w:r w:rsidR="00C1292E" w:rsidRPr="0061269A">
        <w:t>Chapter 3 of the Competition Rules, which relates to Best Execution, commenced on 31 October 2011.</w:t>
      </w:r>
    </w:p>
    <w:p w:rsidR="00AB113D" w:rsidRPr="0061269A" w:rsidRDefault="0080285A" w:rsidP="00D636EC">
      <w:pPr>
        <w:spacing w:after="240"/>
        <w:rPr>
          <w:i/>
          <w:u w:val="single"/>
        </w:rPr>
      </w:pPr>
      <w:r w:rsidRPr="0061269A">
        <w:rPr>
          <w:i/>
          <w:u w:val="single"/>
        </w:rPr>
        <w:t>Rule 3.1.1 of the Competition Rules</w:t>
      </w:r>
    </w:p>
    <w:p w:rsidR="00AC3F52" w:rsidRPr="0061269A" w:rsidRDefault="00EE2790" w:rsidP="000C263C">
      <w:pPr>
        <w:spacing w:after="240"/>
      </w:pPr>
      <w:r w:rsidRPr="0061269A">
        <w:t>Rule 3.1.1(1) provides that</w:t>
      </w:r>
      <w:r w:rsidR="00AC3F52" w:rsidRPr="0061269A">
        <w:t xml:space="preserve"> </w:t>
      </w:r>
      <w:r w:rsidR="00E91B79" w:rsidRPr="0061269A">
        <w:rPr>
          <w:i/>
        </w:rPr>
        <w:t xml:space="preserve">Subject to </w:t>
      </w:r>
      <w:proofErr w:type="spellStart"/>
      <w:r w:rsidR="00E91B79" w:rsidRPr="0061269A">
        <w:rPr>
          <w:i/>
        </w:rPr>
        <w:t>subrules</w:t>
      </w:r>
      <w:proofErr w:type="spellEnd"/>
      <w:r w:rsidR="00E91B79" w:rsidRPr="0061269A">
        <w:rPr>
          <w:i/>
        </w:rPr>
        <w:t xml:space="preserve"> (3), (4) and (6), when handling and executing an Order for a client a Participant must take reasonable steps to obtain the best outcome for that client.</w:t>
      </w:r>
    </w:p>
    <w:p w:rsidR="0033220C" w:rsidRPr="0061269A" w:rsidRDefault="00E91B79" w:rsidP="000C263C">
      <w:pPr>
        <w:spacing w:after="240"/>
        <w:contextualSpacing/>
      </w:pPr>
      <w:r w:rsidRPr="0061269A">
        <w:t>Rule 3.1.1(2) provides that:</w:t>
      </w:r>
    </w:p>
    <w:p w:rsidR="0033220C" w:rsidRPr="0061269A" w:rsidRDefault="0033220C" w:rsidP="000C263C">
      <w:pPr>
        <w:spacing w:after="240"/>
        <w:contextualSpacing/>
        <w:rPr>
          <w:i/>
        </w:rPr>
      </w:pPr>
    </w:p>
    <w:p w:rsidR="008018AC" w:rsidRPr="0061269A" w:rsidRDefault="00E91B79">
      <w:pPr>
        <w:spacing w:after="240"/>
        <w:ind w:left="284"/>
        <w:contextualSpacing/>
        <w:rPr>
          <w:i/>
        </w:rPr>
      </w:pPr>
      <w:r w:rsidRPr="0061269A">
        <w:rPr>
          <w:i/>
        </w:rPr>
        <w:t xml:space="preserve">For the purposes of </w:t>
      </w:r>
      <w:proofErr w:type="spellStart"/>
      <w:r w:rsidRPr="0061269A">
        <w:rPr>
          <w:i/>
        </w:rPr>
        <w:t>subrule</w:t>
      </w:r>
      <w:proofErr w:type="spellEnd"/>
      <w:r w:rsidRPr="0061269A">
        <w:rPr>
          <w:i/>
        </w:rPr>
        <w:t xml:space="preserve"> (1), when handling and executing an Order for:</w:t>
      </w:r>
    </w:p>
    <w:p w:rsidR="00E91B79" w:rsidRPr="0061269A" w:rsidRDefault="00E91B79">
      <w:pPr>
        <w:pStyle w:val="ListParagraph"/>
        <w:numPr>
          <w:ilvl w:val="0"/>
          <w:numId w:val="19"/>
        </w:numPr>
        <w:spacing w:after="240" w:line="240" w:lineRule="auto"/>
        <w:rPr>
          <w:i/>
        </w:rPr>
      </w:pPr>
      <w:r w:rsidRPr="0061269A">
        <w:rPr>
          <w:i/>
        </w:rPr>
        <w:t xml:space="preserve">a Retail Client who has not given an instruction under </w:t>
      </w:r>
      <w:proofErr w:type="spellStart"/>
      <w:r w:rsidRPr="0061269A">
        <w:rPr>
          <w:i/>
        </w:rPr>
        <w:t>subrule</w:t>
      </w:r>
      <w:proofErr w:type="spellEnd"/>
      <w:r w:rsidRPr="0061269A">
        <w:rPr>
          <w:i/>
        </w:rPr>
        <w:t xml:space="preserve"> (3), the best outcome means the best Total Consideration; and</w:t>
      </w:r>
    </w:p>
    <w:p w:rsidR="00E91B79" w:rsidRPr="0061269A" w:rsidRDefault="00E91B79">
      <w:pPr>
        <w:pStyle w:val="ListParagraph"/>
        <w:numPr>
          <w:ilvl w:val="0"/>
          <w:numId w:val="19"/>
        </w:numPr>
        <w:spacing w:after="240" w:line="240" w:lineRule="auto"/>
        <w:rPr>
          <w:i/>
        </w:rPr>
      </w:pPr>
      <w:r w:rsidRPr="0061269A">
        <w:rPr>
          <w:i/>
        </w:rPr>
        <w:t xml:space="preserve">a Wholesale Client who has not given an instruction under </w:t>
      </w:r>
      <w:proofErr w:type="spellStart"/>
      <w:r w:rsidRPr="0061269A">
        <w:rPr>
          <w:i/>
        </w:rPr>
        <w:t>subrule</w:t>
      </w:r>
      <w:proofErr w:type="spellEnd"/>
      <w:r w:rsidRPr="0061269A">
        <w:rPr>
          <w:i/>
        </w:rPr>
        <w:t xml:space="preserve"> (4), the best outcome may be price, costs, Total Consideration, speed, likelihood of execution or any other relevant outcome, or any combination of those outcomes.  </w:t>
      </w:r>
    </w:p>
    <w:p w:rsidR="00A85E5D" w:rsidRPr="0061269A" w:rsidRDefault="00A85E5D" w:rsidP="00DF77A1">
      <w:pPr>
        <w:spacing w:after="240"/>
      </w:pPr>
      <w:r w:rsidRPr="0061269A">
        <w:t xml:space="preserve">Rule 3.1.1 (3) </w:t>
      </w:r>
      <w:r w:rsidR="0033220C" w:rsidRPr="0061269A">
        <w:t xml:space="preserve">sets out the circumstances in which the Participant must take reasonable steps to handle and execute an Order in </w:t>
      </w:r>
      <w:r w:rsidR="00DF77A1" w:rsidRPr="0061269A">
        <w:t>a way which satisfies</w:t>
      </w:r>
      <w:r w:rsidR="0033220C" w:rsidRPr="0061269A">
        <w:t xml:space="preserve"> instructions provided by a Retail Client</w:t>
      </w:r>
      <w:r w:rsidR="00343DF8" w:rsidRPr="0061269A">
        <w:t xml:space="preserve"> which are inconsistent with the Participant obtaining the best Total Consideration under </w:t>
      </w:r>
      <w:proofErr w:type="spellStart"/>
      <w:r w:rsidR="00343DF8" w:rsidRPr="0061269A">
        <w:t>subrule</w:t>
      </w:r>
      <w:proofErr w:type="spellEnd"/>
      <w:r w:rsidR="00343DF8" w:rsidRPr="0061269A">
        <w:t xml:space="preserve"> (1) for the Retail Client.</w:t>
      </w:r>
    </w:p>
    <w:p w:rsidR="008018AC" w:rsidRPr="0061269A" w:rsidRDefault="00AB113D">
      <w:pPr>
        <w:spacing w:after="240"/>
      </w:pPr>
      <w:r w:rsidRPr="0061269A">
        <w:t xml:space="preserve">Rule 3.1.1 </w:t>
      </w:r>
      <w:r w:rsidR="00A85E5D" w:rsidRPr="0061269A">
        <w:t xml:space="preserve">(4) </w:t>
      </w:r>
      <w:r w:rsidR="0033220C" w:rsidRPr="0061269A">
        <w:t xml:space="preserve">sets out the circumstances in which the Participant must take reasonable steps to handle and execute an Order in </w:t>
      </w:r>
      <w:r w:rsidR="00DF77A1" w:rsidRPr="0061269A">
        <w:t>a way which satisfies</w:t>
      </w:r>
      <w:r w:rsidR="0033220C" w:rsidRPr="0061269A">
        <w:t xml:space="preserve"> instructions provided by a Wholesale Client </w:t>
      </w:r>
      <w:r w:rsidR="00DF77A1" w:rsidRPr="0061269A">
        <w:t>which may be standing</w:t>
      </w:r>
      <w:r w:rsidR="0033220C" w:rsidRPr="0061269A">
        <w:t xml:space="preserve"> instructions or specific </w:t>
      </w:r>
      <w:r w:rsidR="00DF77A1" w:rsidRPr="0061269A">
        <w:t>Order by Order instructions</w:t>
      </w:r>
      <w:r w:rsidR="00343DF8" w:rsidRPr="0061269A">
        <w:t xml:space="preserve"> and which are inconsistent with the Participant obtaining the best outcome under </w:t>
      </w:r>
      <w:proofErr w:type="spellStart"/>
      <w:r w:rsidR="00343DF8" w:rsidRPr="0061269A">
        <w:t>subrule</w:t>
      </w:r>
      <w:proofErr w:type="spellEnd"/>
      <w:r w:rsidR="001E38AD" w:rsidRPr="0061269A">
        <w:t xml:space="preserve"> </w:t>
      </w:r>
      <w:r w:rsidR="00343DF8" w:rsidRPr="0061269A">
        <w:t>(1) for the Wholesale Client.</w:t>
      </w:r>
    </w:p>
    <w:p w:rsidR="00E91B79" w:rsidRPr="0061269A" w:rsidRDefault="000C263C" w:rsidP="00DF77A1">
      <w:pPr>
        <w:spacing w:after="240"/>
      </w:pPr>
      <w:r w:rsidRPr="0061269A">
        <w:lastRenderedPageBreak/>
        <w:t xml:space="preserve">Rule 3.1.1(5) </w:t>
      </w:r>
      <w:r w:rsidR="0033220C" w:rsidRPr="0061269A">
        <w:t>requires a periodic rev</w:t>
      </w:r>
      <w:r w:rsidR="00343DF8" w:rsidRPr="0061269A">
        <w:t>iew of any standing instruction</w:t>
      </w:r>
      <w:r w:rsidR="0033220C" w:rsidRPr="0061269A">
        <w:t xml:space="preserve"> received from a Wholesale Client and provides that</w:t>
      </w:r>
      <w:r w:rsidR="00DF77A1" w:rsidRPr="0061269A">
        <w:t xml:space="preserve">, </w:t>
      </w:r>
      <w:r w:rsidRPr="0061269A">
        <w:t xml:space="preserve">if the instruction provides that the Participant is not required to comply with </w:t>
      </w:r>
      <w:proofErr w:type="spellStart"/>
      <w:r w:rsidRPr="0061269A">
        <w:t>subrule</w:t>
      </w:r>
      <w:proofErr w:type="spellEnd"/>
      <w:r w:rsidRPr="0061269A">
        <w:t xml:space="preserve"> (1), </w:t>
      </w:r>
      <w:r w:rsidR="00C1292E" w:rsidRPr="0061269A">
        <w:t xml:space="preserve">they must </w:t>
      </w:r>
      <w:r w:rsidRPr="0061269A">
        <w:t xml:space="preserve">only </w:t>
      </w:r>
      <w:r w:rsidR="00C1292E" w:rsidRPr="0061269A">
        <w:t xml:space="preserve">be </w:t>
      </w:r>
      <w:r w:rsidRPr="0061269A">
        <w:t>acted on by the Participant for a period of 12 months.</w:t>
      </w:r>
    </w:p>
    <w:p w:rsidR="00524017" w:rsidRPr="0061269A" w:rsidRDefault="00F76961" w:rsidP="000C263C">
      <w:pPr>
        <w:spacing w:after="240"/>
      </w:pPr>
      <w:r w:rsidRPr="0061269A">
        <w:t xml:space="preserve">Rule 3.1.1(6) provides that </w:t>
      </w:r>
      <w:r w:rsidR="00AC3F52" w:rsidRPr="0061269A">
        <w:rPr>
          <w:i/>
        </w:rPr>
        <w:t>For the period from commencement of this Rule to 31 October 2012, a Participant may decide to transmit Orders only to the Listing Market, notwithstanding that the Participant may have been able to obtain the best outcome required by this Rule by transmitting Orders to another Market.</w:t>
      </w:r>
    </w:p>
    <w:p w:rsidR="0080285A" w:rsidRPr="0061269A" w:rsidRDefault="0080285A" w:rsidP="0080285A">
      <w:pPr>
        <w:pStyle w:val="MIRBodyText"/>
        <w:ind w:left="0"/>
        <w:rPr>
          <w:i/>
          <w:sz w:val="24"/>
          <w:szCs w:val="24"/>
          <w:u w:val="single"/>
        </w:rPr>
      </w:pPr>
      <w:r w:rsidRPr="0061269A">
        <w:rPr>
          <w:i/>
          <w:sz w:val="24"/>
          <w:szCs w:val="24"/>
          <w:u w:val="single"/>
        </w:rPr>
        <w:t>Rule 3.</w:t>
      </w:r>
      <w:r w:rsidR="00D503D5" w:rsidRPr="0061269A">
        <w:rPr>
          <w:i/>
          <w:sz w:val="24"/>
          <w:szCs w:val="24"/>
          <w:u w:val="single"/>
        </w:rPr>
        <w:t>2.3(2)</w:t>
      </w:r>
      <w:r w:rsidRPr="0061269A">
        <w:rPr>
          <w:i/>
          <w:sz w:val="24"/>
          <w:szCs w:val="24"/>
          <w:u w:val="single"/>
        </w:rPr>
        <w:t xml:space="preserve"> of the Competition Rules</w:t>
      </w:r>
    </w:p>
    <w:p w:rsidR="00DF77A1" w:rsidRPr="0061269A" w:rsidRDefault="00C14C70" w:rsidP="00AC3F52">
      <w:pPr>
        <w:pStyle w:val="MIRBodyText"/>
        <w:tabs>
          <w:tab w:val="clear" w:pos="2205"/>
        </w:tabs>
        <w:ind w:left="0"/>
        <w:rPr>
          <w:sz w:val="24"/>
          <w:szCs w:val="24"/>
        </w:rPr>
      </w:pPr>
      <w:r w:rsidRPr="0061269A">
        <w:rPr>
          <w:sz w:val="24"/>
          <w:szCs w:val="24"/>
        </w:rPr>
        <w:t>Rule 3.2.3(2) provides that</w:t>
      </w:r>
      <w:r w:rsidR="00DF77A1" w:rsidRPr="0061269A">
        <w:rPr>
          <w:sz w:val="24"/>
          <w:szCs w:val="24"/>
        </w:rPr>
        <w:t>:</w:t>
      </w:r>
    </w:p>
    <w:p w:rsidR="00C14C70" w:rsidRPr="0061269A" w:rsidRDefault="00C14C70" w:rsidP="00AC3F52">
      <w:pPr>
        <w:pStyle w:val="MIRBodyText"/>
        <w:tabs>
          <w:tab w:val="clear" w:pos="2205"/>
        </w:tabs>
        <w:ind w:left="0"/>
        <w:rPr>
          <w:i/>
          <w:sz w:val="24"/>
          <w:szCs w:val="24"/>
        </w:rPr>
      </w:pPr>
      <w:r w:rsidRPr="0061269A">
        <w:rPr>
          <w:i/>
          <w:sz w:val="24"/>
          <w:szCs w:val="24"/>
        </w:rPr>
        <w:t xml:space="preserve">A Participant who relies on </w:t>
      </w:r>
      <w:proofErr w:type="spellStart"/>
      <w:r w:rsidRPr="0061269A">
        <w:rPr>
          <w:i/>
          <w:sz w:val="24"/>
          <w:szCs w:val="24"/>
        </w:rPr>
        <w:t>subrule</w:t>
      </w:r>
      <w:proofErr w:type="spellEnd"/>
      <w:r w:rsidRPr="0061269A">
        <w:rPr>
          <w:i/>
          <w:sz w:val="24"/>
          <w:szCs w:val="24"/>
        </w:rPr>
        <w:t xml:space="preserve"> 3.1.1(6) to transmit Orders to the Listing Market only for the period until 31 October 2012 must, prior to 31 October 2012:</w:t>
      </w:r>
    </w:p>
    <w:p w:rsidR="00C14C70" w:rsidRPr="0061269A" w:rsidRDefault="00C14C70" w:rsidP="00C14C70">
      <w:pPr>
        <w:pStyle w:val="MIRBodyText"/>
        <w:numPr>
          <w:ilvl w:val="0"/>
          <w:numId w:val="13"/>
        </w:numPr>
        <w:tabs>
          <w:tab w:val="clear" w:pos="2205"/>
        </w:tabs>
        <w:rPr>
          <w:i/>
          <w:sz w:val="24"/>
          <w:szCs w:val="24"/>
        </w:rPr>
      </w:pPr>
      <w:r w:rsidRPr="0061269A">
        <w:rPr>
          <w:i/>
          <w:sz w:val="24"/>
          <w:szCs w:val="24"/>
        </w:rPr>
        <w:t xml:space="preserve">review the policies and procedures and implementation of them required by </w:t>
      </w:r>
      <w:hyperlink r:id="rId8" w:history="1">
        <w:r w:rsidRPr="0061269A">
          <w:rPr>
            <w:rStyle w:val="Hyperlink"/>
            <w:i/>
            <w:color w:val="auto"/>
            <w:sz w:val="24"/>
            <w:szCs w:val="24"/>
            <w:u w:val="none"/>
          </w:rPr>
          <w:t>Rule 3.2.1</w:t>
        </w:r>
      </w:hyperlink>
      <w:r w:rsidRPr="0061269A">
        <w:rPr>
          <w:i/>
          <w:sz w:val="24"/>
          <w:szCs w:val="24"/>
        </w:rPr>
        <w:t xml:space="preserve"> for the purposes of ensuring they will continue to be adequate to ensure compliance with </w:t>
      </w:r>
      <w:proofErr w:type="spellStart"/>
      <w:r w:rsidRPr="0061269A">
        <w:rPr>
          <w:i/>
          <w:sz w:val="24"/>
          <w:szCs w:val="24"/>
        </w:rPr>
        <w:t>subrule</w:t>
      </w:r>
      <w:proofErr w:type="spellEnd"/>
      <w:r w:rsidRPr="0061269A">
        <w:rPr>
          <w:i/>
          <w:sz w:val="24"/>
          <w:szCs w:val="24"/>
        </w:rPr>
        <w:t xml:space="preserve"> 3.1.1(1) in the period after 31 October 2012; and</w:t>
      </w:r>
    </w:p>
    <w:p w:rsidR="00C14C70" w:rsidRPr="0061269A" w:rsidRDefault="00C14C70" w:rsidP="00C14C70">
      <w:pPr>
        <w:pStyle w:val="MIRBodyText"/>
        <w:numPr>
          <w:ilvl w:val="0"/>
          <w:numId w:val="13"/>
        </w:numPr>
        <w:tabs>
          <w:tab w:val="clear" w:pos="2205"/>
        </w:tabs>
        <w:rPr>
          <w:i/>
          <w:sz w:val="24"/>
          <w:szCs w:val="24"/>
        </w:rPr>
      </w:pPr>
      <w:r w:rsidRPr="0061269A">
        <w:rPr>
          <w:i/>
          <w:sz w:val="24"/>
          <w:szCs w:val="24"/>
        </w:rPr>
        <w:t>disclose In Writing to its clients any changes to its policies and procedures arising from the review it undertakes under paragraph (a).</w:t>
      </w:r>
    </w:p>
    <w:p w:rsidR="00C14C70" w:rsidRPr="0061269A" w:rsidRDefault="00C14C70" w:rsidP="00AC3F52">
      <w:pPr>
        <w:pStyle w:val="MIRBodyText"/>
        <w:tabs>
          <w:tab w:val="clear" w:pos="2205"/>
        </w:tabs>
        <w:ind w:left="0"/>
        <w:rPr>
          <w:sz w:val="24"/>
          <w:szCs w:val="24"/>
        </w:rPr>
      </w:pPr>
      <w:r w:rsidRPr="0061269A">
        <w:rPr>
          <w:sz w:val="24"/>
          <w:szCs w:val="24"/>
        </w:rPr>
        <w:t>Rule 3.2.1 provides that:</w:t>
      </w:r>
    </w:p>
    <w:p w:rsidR="00C14C70" w:rsidRPr="0061269A" w:rsidRDefault="00C14C70" w:rsidP="00C14C70">
      <w:pPr>
        <w:pStyle w:val="MIRBodyText"/>
        <w:ind w:left="0"/>
        <w:rPr>
          <w:i/>
          <w:sz w:val="24"/>
          <w:szCs w:val="24"/>
        </w:rPr>
      </w:pPr>
      <w:r w:rsidRPr="0061269A">
        <w:rPr>
          <w:i/>
          <w:sz w:val="24"/>
          <w:szCs w:val="24"/>
        </w:rPr>
        <w:t xml:space="preserve">(1) A Participant must establish, document and implement adequate policies and procedures to ensure that it complies with Rule 3.1.1. </w:t>
      </w:r>
    </w:p>
    <w:p w:rsidR="00C14C70" w:rsidRPr="0061269A" w:rsidRDefault="00C14C70" w:rsidP="00C14C70">
      <w:pPr>
        <w:pStyle w:val="MIRBodyText"/>
        <w:ind w:left="0"/>
        <w:rPr>
          <w:i/>
          <w:sz w:val="24"/>
          <w:szCs w:val="24"/>
        </w:rPr>
      </w:pPr>
      <w:r w:rsidRPr="0061269A">
        <w:rPr>
          <w:i/>
          <w:sz w:val="24"/>
          <w:szCs w:val="24"/>
        </w:rPr>
        <w:t xml:space="preserve">(2) A Participant's policies and procedures under </w:t>
      </w:r>
      <w:proofErr w:type="spellStart"/>
      <w:r w:rsidRPr="0061269A">
        <w:rPr>
          <w:i/>
          <w:sz w:val="24"/>
          <w:szCs w:val="24"/>
        </w:rPr>
        <w:t>subrule</w:t>
      </w:r>
      <w:proofErr w:type="spellEnd"/>
      <w:r w:rsidRPr="0061269A">
        <w:rPr>
          <w:i/>
          <w:sz w:val="24"/>
          <w:szCs w:val="24"/>
        </w:rPr>
        <w:t xml:space="preserve"> (1) must, without limitation, set out a description of: </w:t>
      </w:r>
    </w:p>
    <w:p w:rsidR="00C14C70" w:rsidRPr="0061269A" w:rsidRDefault="00C14C70" w:rsidP="00C14C70">
      <w:pPr>
        <w:pStyle w:val="MIRBodyText"/>
        <w:numPr>
          <w:ilvl w:val="0"/>
          <w:numId w:val="14"/>
        </w:numPr>
        <w:rPr>
          <w:i/>
          <w:sz w:val="24"/>
          <w:szCs w:val="24"/>
        </w:rPr>
      </w:pPr>
      <w:r w:rsidRPr="0061269A">
        <w:rPr>
          <w:i/>
          <w:sz w:val="24"/>
          <w:szCs w:val="24"/>
        </w:rPr>
        <w:t xml:space="preserve">the Order Books, and (in reliance on an exception to </w:t>
      </w:r>
      <w:proofErr w:type="spellStart"/>
      <w:r w:rsidRPr="0061269A">
        <w:rPr>
          <w:i/>
          <w:sz w:val="24"/>
          <w:szCs w:val="24"/>
        </w:rPr>
        <w:t>subrule</w:t>
      </w:r>
      <w:proofErr w:type="spellEnd"/>
      <w:r w:rsidRPr="0061269A">
        <w:rPr>
          <w:i/>
          <w:sz w:val="24"/>
          <w:szCs w:val="24"/>
        </w:rPr>
        <w:t xml:space="preserve"> 4.1.1(1)) any place other than an Order Book, to which the Participant may transmit Client Orders; </w:t>
      </w:r>
    </w:p>
    <w:p w:rsidR="00C14C70" w:rsidRPr="0061269A" w:rsidRDefault="00C14C70" w:rsidP="00C14C70">
      <w:pPr>
        <w:pStyle w:val="MIRBodyText"/>
        <w:numPr>
          <w:ilvl w:val="0"/>
          <w:numId w:val="14"/>
        </w:numPr>
        <w:rPr>
          <w:i/>
          <w:sz w:val="24"/>
          <w:szCs w:val="24"/>
        </w:rPr>
      </w:pPr>
      <w:r w:rsidRPr="0061269A">
        <w:rPr>
          <w:i/>
          <w:sz w:val="24"/>
          <w:szCs w:val="24"/>
        </w:rPr>
        <w:t xml:space="preserve">how Client Orders will be handled and executed, including the circumstances in which Client Orders will be transmitted for matching or execution to an Order Book or elsewhere (in reliance on an exception to </w:t>
      </w:r>
      <w:proofErr w:type="spellStart"/>
      <w:r w:rsidRPr="0061269A">
        <w:rPr>
          <w:i/>
          <w:sz w:val="24"/>
          <w:szCs w:val="24"/>
        </w:rPr>
        <w:t>subrule</w:t>
      </w:r>
      <w:proofErr w:type="spellEnd"/>
      <w:r w:rsidRPr="0061269A">
        <w:rPr>
          <w:i/>
          <w:sz w:val="24"/>
          <w:szCs w:val="24"/>
        </w:rPr>
        <w:t xml:space="preserve"> 4.1.1(1)) and the circumstances in which that transmission will be automatic and the circumstances in which that transmission will be manual; and </w:t>
      </w:r>
    </w:p>
    <w:p w:rsidR="00C14C70" w:rsidRPr="0061269A" w:rsidRDefault="00C14C70" w:rsidP="00C14C70">
      <w:pPr>
        <w:pStyle w:val="MIRBodyText"/>
        <w:numPr>
          <w:ilvl w:val="0"/>
          <w:numId w:val="14"/>
        </w:numPr>
        <w:rPr>
          <w:i/>
          <w:sz w:val="24"/>
          <w:szCs w:val="24"/>
        </w:rPr>
      </w:pPr>
      <w:r w:rsidRPr="0061269A">
        <w:rPr>
          <w:i/>
          <w:sz w:val="24"/>
          <w:szCs w:val="24"/>
        </w:rPr>
        <w:t xml:space="preserve">arrangements to monitor the policies, procedures and implementation required by </w:t>
      </w:r>
      <w:proofErr w:type="spellStart"/>
      <w:r w:rsidRPr="0061269A">
        <w:rPr>
          <w:i/>
          <w:sz w:val="24"/>
          <w:szCs w:val="24"/>
        </w:rPr>
        <w:t>subrule</w:t>
      </w:r>
      <w:proofErr w:type="spellEnd"/>
      <w:r w:rsidRPr="0061269A">
        <w:rPr>
          <w:i/>
          <w:sz w:val="24"/>
          <w:szCs w:val="24"/>
        </w:rPr>
        <w:t xml:space="preserve"> (1) to ensure they continue to be adequate to ensure co</w:t>
      </w:r>
      <w:r w:rsidR="00DF77A1" w:rsidRPr="0061269A">
        <w:rPr>
          <w:i/>
          <w:sz w:val="24"/>
          <w:szCs w:val="24"/>
        </w:rPr>
        <w:t xml:space="preserve">mpliance with </w:t>
      </w:r>
      <w:proofErr w:type="spellStart"/>
      <w:r w:rsidR="00DF77A1" w:rsidRPr="0061269A">
        <w:rPr>
          <w:i/>
          <w:sz w:val="24"/>
          <w:szCs w:val="24"/>
        </w:rPr>
        <w:t>subrule</w:t>
      </w:r>
      <w:proofErr w:type="spellEnd"/>
      <w:r w:rsidR="00DF77A1" w:rsidRPr="0061269A">
        <w:rPr>
          <w:i/>
          <w:sz w:val="24"/>
          <w:szCs w:val="24"/>
        </w:rPr>
        <w:t xml:space="preserve"> 3.1.1(1).</w:t>
      </w:r>
    </w:p>
    <w:p w:rsidR="00D6370D" w:rsidRPr="0061269A" w:rsidRDefault="00D6370D" w:rsidP="00AC3F52">
      <w:pPr>
        <w:pStyle w:val="MIRBodyText"/>
        <w:tabs>
          <w:tab w:val="clear" w:pos="2205"/>
        </w:tabs>
        <w:ind w:left="0"/>
        <w:rPr>
          <w:b/>
          <w:sz w:val="24"/>
          <w:szCs w:val="24"/>
        </w:rPr>
      </w:pPr>
    </w:p>
    <w:p w:rsidR="00C42BBB" w:rsidRPr="0061269A" w:rsidRDefault="00C42BBB" w:rsidP="00AC3F52">
      <w:pPr>
        <w:pStyle w:val="MIRBodyText"/>
        <w:tabs>
          <w:tab w:val="clear" w:pos="2205"/>
        </w:tabs>
        <w:ind w:left="0"/>
        <w:rPr>
          <w:b/>
          <w:sz w:val="24"/>
          <w:szCs w:val="24"/>
        </w:rPr>
      </w:pPr>
      <w:r w:rsidRPr="0061269A">
        <w:rPr>
          <w:b/>
          <w:sz w:val="24"/>
          <w:szCs w:val="24"/>
        </w:rPr>
        <w:t>This class rule waiver</w:t>
      </w:r>
    </w:p>
    <w:p w:rsidR="003C01D9" w:rsidRPr="0061269A" w:rsidRDefault="00CC0DCF" w:rsidP="00AC3F52">
      <w:pPr>
        <w:pStyle w:val="MIRBodyText"/>
        <w:tabs>
          <w:tab w:val="clear" w:pos="2205"/>
        </w:tabs>
        <w:ind w:left="0"/>
        <w:rPr>
          <w:sz w:val="24"/>
          <w:szCs w:val="24"/>
        </w:rPr>
      </w:pPr>
      <w:r w:rsidRPr="0061269A">
        <w:rPr>
          <w:sz w:val="24"/>
          <w:szCs w:val="24"/>
        </w:rPr>
        <w:t>Rule 3.1.1(6</w:t>
      </w:r>
      <w:r w:rsidR="00EC61C9" w:rsidRPr="0061269A">
        <w:rPr>
          <w:sz w:val="24"/>
          <w:szCs w:val="24"/>
        </w:rPr>
        <w:t xml:space="preserve">) </w:t>
      </w:r>
      <w:r w:rsidR="00C1292E" w:rsidRPr="0061269A">
        <w:rPr>
          <w:sz w:val="24"/>
          <w:szCs w:val="24"/>
        </w:rPr>
        <w:t>has the effect of providing a</w:t>
      </w:r>
      <w:r w:rsidRPr="0061269A">
        <w:rPr>
          <w:sz w:val="24"/>
          <w:szCs w:val="24"/>
        </w:rPr>
        <w:t xml:space="preserve"> 12 month transitional period whereby Participants may nominate to transmit orders only to the </w:t>
      </w:r>
      <w:r w:rsidR="00DF77A1" w:rsidRPr="0061269A">
        <w:rPr>
          <w:sz w:val="24"/>
          <w:szCs w:val="24"/>
        </w:rPr>
        <w:t>Listing Market</w:t>
      </w:r>
      <w:r w:rsidRPr="0061269A">
        <w:rPr>
          <w:sz w:val="24"/>
          <w:szCs w:val="24"/>
        </w:rPr>
        <w:t xml:space="preserve"> until 31 October 2012. </w:t>
      </w:r>
      <w:r w:rsidR="00C42BBB" w:rsidRPr="0061269A">
        <w:rPr>
          <w:sz w:val="24"/>
          <w:szCs w:val="24"/>
        </w:rPr>
        <w:t>Thi</w:t>
      </w:r>
      <w:r w:rsidR="00570B90" w:rsidRPr="0061269A">
        <w:rPr>
          <w:sz w:val="24"/>
          <w:szCs w:val="24"/>
        </w:rPr>
        <w:t xml:space="preserve">s </w:t>
      </w:r>
      <w:r w:rsidR="00C1292E" w:rsidRPr="0061269A">
        <w:rPr>
          <w:sz w:val="24"/>
          <w:szCs w:val="24"/>
        </w:rPr>
        <w:t xml:space="preserve">was intended to </w:t>
      </w:r>
      <w:r w:rsidR="00570B90" w:rsidRPr="0061269A">
        <w:rPr>
          <w:sz w:val="24"/>
          <w:szCs w:val="24"/>
        </w:rPr>
        <w:t>allow sufficient time for Participants to</w:t>
      </w:r>
      <w:r w:rsidR="00C42BBB" w:rsidRPr="0061269A">
        <w:rPr>
          <w:sz w:val="24"/>
          <w:szCs w:val="24"/>
        </w:rPr>
        <w:t xml:space="preserve"> change their processes and proce</w:t>
      </w:r>
      <w:r w:rsidRPr="0061269A">
        <w:rPr>
          <w:sz w:val="24"/>
          <w:szCs w:val="24"/>
        </w:rPr>
        <w:t>dures to ensure compliance with Part 3.1</w:t>
      </w:r>
      <w:r w:rsidR="003C01D9" w:rsidRPr="0061269A">
        <w:rPr>
          <w:sz w:val="24"/>
          <w:szCs w:val="24"/>
        </w:rPr>
        <w:t xml:space="preserve"> of the </w:t>
      </w:r>
      <w:r w:rsidRPr="0061269A">
        <w:rPr>
          <w:sz w:val="24"/>
          <w:szCs w:val="24"/>
        </w:rPr>
        <w:t>Competition</w:t>
      </w:r>
      <w:r w:rsidR="002E2477" w:rsidRPr="0061269A">
        <w:rPr>
          <w:sz w:val="24"/>
          <w:szCs w:val="24"/>
        </w:rPr>
        <w:t xml:space="preserve"> </w:t>
      </w:r>
      <w:r w:rsidR="003C01D9" w:rsidRPr="0061269A">
        <w:rPr>
          <w:sz w:val="24"/>
          <w:szCs w:val="24"/>
        </w:rPr>
        <w:t xml:space="preserve">Rules.  </w:t>
      </w:r>
    </w:p>
    <w:p w:rsidR="00D503D5" w:rsidRPr="0061269A" w:rsidRDefault="00D503D5" w:rsidP="00CC0DCF">
      <w:pPr>
        <w:pStyle w:val="MIRBodyText"/>
        <w:tabs>
          <w:tab w:val="clear" w:pos="2205"/>
        </w:tabs>
        <w:ind w:left="0"/>
        <w:rPr>
          <w:sz w:val="24"/>
          <w:szCs w:val="24"/>
        </w:rPr>
      </w:pPr>
      <w:r w:rsidRPr="0061269A">
        <w:rPr>
          <w:sz w:val="24"/>
          <w:szCs w:val="24"/>
        </w:rPr>
        <w:lastRenderedPageBreak/>
        <w:t xml:space="preserve">Rule 3.2.3(2) </w:t>
      </w:r>
      <w:r w:rsidR="000C263C" w:rsidRPr="0061269A">
        <w:rPr>
          <w:sz w:val="24"/>
          <w:szCs w:val="24"/>
        </w:rPr>
        <w:t xml:space="preserve">currently </w:t>
      </w:r>
      <w:r w:rsidRPr="0061269A">
        <w:rPr>
          <w:sz w:val="24"/>
          <w:szCs w:val="24"/>
        </w:rPr>
        <w:t xml:space="preserve">provides </w:t>
      </w:r>
      <w:r w:rsidR="00F425EF" w:rsidRPr="0061269A">
        <w:rPr>
          <w:sz w:val="24"/>
          <w:szCs w:val="24"/>
        </w:rPr>
        <w:t>that</w:t>
      </w:r>
      <w:r w:rsidR="001E38AD" w:rsidRPr="0061269A">
        <w:rPr>
          <w:sz w:val="24"/>
          <w:szCs w:val="24"/>
        </w:rPr>
        <w:t>,</w:t>
      </w:r>
      <w:r w:rsidR="00F425EF" w:rsidRPr="0061269A">
        <w:rPr>
          <w:sz w:val="24"/>
          <w:szCs w:val="24"/>
        </w:rPr>
        <w:t xml:space="preserve"> w</w:t>
      </w:r>
      <w:r w:rsidR="00D6370D" w:rsidRPr="0061269A">
        <w:rPr>
          <w:sz w:val="24"/>
          <w:szCs w:val="24"/>
        </w:rPr>
        <w:t>here a Participant relies on the 12 month transitional period, the Participant</w:t>
      </w:r>
      <w:r w:rsidRPr="0061269A">
        <w:rPr>
          <w:sz w:val="24"/>
          <w:szCs w:val="24"/>
        </w:rPr>
        <w:t xml:space="preserve"> </w:t>
      </w:r>
      <w:r w:rsidR="00D6370D" w:rsidRPr="0061269A">
        <w:rPr>
          <w:sz w:val="24"/>
          <w:szCs w:val="24"/>
        </w:rPr>
        <w:t xml:space="preserve">must ensure </w:t>
      </w:r>
      <w:r w:rsidR="00C1292E" w:rsidRPr="0061269A">
        <w:rPr>
          <w:sz w:val="24"/>
          <w:szCs w:val="24"/>
        </w:rPr>
        <w:t>that</w:t>
      </w:r>
      <w:r w:rsidR="00D6370D" w:rsidRPr="0061269A">
        <w:rPr>
          <w:sz w:val="24"/>
          <w:szCs w:val="24"/>
        </w:rPr>
        <w:t xml:space="preserve"> their</w:t>
      </w:r>
      <w:r w:rsidR="001E38AD" w:rsidRPr="0061269A">
        <w:rPr>
          <w:sz w:val="24"/>
          <w:szCs w:val="24"/>
        </w:rPr>
        <w:t xml:space="preserve"> policies and procedures are</w:t>
      </w:r>
      <w:r w:rsidR="00C1292E" w:rsidRPr="0061269A">
        <w:rPr>
          <w:sz w:val="24"/>
          <w:szCs w:val="24"/>
        </w:rPr>
        <w:t xml:space="preserve"> adequate to comply with Rule 3.1.1 by 31 October 2012.</w:t>
      </w:r>
    </w:p>
    <w:p w:rsidR="008018AC" w:rsidRPr="0061269A" w:rsidRDefault="00C1292E">
      <w:pPr>
        <w:pStyle w:val="MIRBodyText"/>
        <w:ind w:left="0"/>
        <w:rPr>
          <w:sz w:val="24"/>
          <w:szCs w:val="24"/>
        </w:rPr>
      </w:pPr>
      <w:r w:rsidRPr="0061269A">
        <w:rPr>
          <w:sz w:val="24"/>
          <w:szCs w:val="24"/>
        </w:rPr>
        <w:t>ASIC notified Participants in Issue 19 of the ASIC Market Supervision Update dated 7 March 2012, that it would extend the transitional period for compliance with Rule 3.1.1 of the Competition Rules. Information relating to the extension of the transition period was a</w:t>
      </w:r>
      <w:r w:rsidR="00F76961" w:rsidRPr="0061269A">
        <w:rPr>
          <w:sz w:val="24"/>
          <w:szCs w:val="24"/>
        </w:rPr>
        <w:t>lso added to Competition FAQ D2</w:t>
      </w:r>
      <w:r w:rsidRPr="0061269A">
        <w:rPr>
          <w:sz w:val="24"/>
          <w:szCs w:val="24"/>
        </w:rPr>
        <w:t xml:space="preserve"> </w:t>
      </w:r>
      <w:r w:rsidR="00F76961" w:rsidRPr="0061269A">
        <w:rPr>
          <w:sz w:val="24"/>
          <w:szCs w:val="24"/>
          <w:lang w:val="en-US"/>
        </w:rPr>
        <w:t>‘W</w:t>
      </w:r>
      <w:r w:rsidR="00F76961" w:rsidRPr="0061269A">
        <w:rPr>
          <w:sz w:val="24"/>
          <w:szCs w:val="24"/>
        </w:rPr>
        <w:t>hat</w:t>
      </w:r>
      <w:r w:rsidRPr="0061269A">
        <w:rPr>
          <w:sz w:val="24"/>
          <w:szCs w:val="24"/>
        </w:rPr>
        <w:t xml:space="preserve"> transitional arrangements are in place for best execution?</w:t>
      </w:r>
      <w:r w:rsidR="00F76961" w:rsidRPr="0061269A">
        <w:rPr>
          <w:sz w:val="24"/>
          <w:szCs w:val="24"/>
          <w:lang w:val="en-US"/>
        </w:rPr>
        <w:t>’</w:t>
      </w:r>
      <w:r w:rsidRPr="0061269A">
        <w:rPr>
          <w:sz w:val="24"/>
          <w:szCs w:val="24"/>
        </w:rPr>
        <w:t xml:space="preserve"> A further update was provided to Participants in Issue 24 of the ASIC Market Supervision Update dated 6 August 2012.</w:t>
      </w:r>
      <w:r w:rsidR="00452739" w:rsidRPr="0061269A">
        <w:rPr>
          <w:sz w:val="24"/>
          <w:szCs w:val="24"/>
        </w:rPr>
        <w:t xml:space="preserve"> Both the </w:t>
      </w:r>
      <w:r w:rsidR="001E38AD" w:rsidRPr="0061269A">
        <w:rPr>
          <w:sz w:val="24"/>
          <w:szCs w:val="24"/>
        </w:rPr>
        <w:t xml:space="preserve">relevant </w:t>
      </w:r>
      <w:r w:rsidR="00452739" w:rsidRPr="0061269A">
        <w:rPr>
          <w:sz w:val="24"/>
          <w:szCs w:val="24"/>
        </w:rPr>
        <w:t>ASIC Market Supervision Update and the Competition FAQ are available on ASIC's website.</w:t>
      </w:r>
    </w:p>
    <w:p w:rsidR="00D503D5" w:rsidRPr="0061269A" w:rsidRDefault="00C1292E" w:rsidP="00CC0DCF">
      <w:pPr>
        <w:pStyle w:val="MIRBodyText"/>
        <w:tabs>
          <w:tab w:val="clear" w:pos="2205"/>
        </w:tabs>
        <w:ind w:left="0"/>
        <w:rPr>
          <w:sz w:val="24"/>
          <w:szCs w:val="24"/>
        </w:rPr>
      </w:pPr>
      <w:r w:rsidRPr="0061269A">
        <w:rPr>
          <w:sz w:val="24"/>
          <w:szCs w:val="24"/>
        </w:rPr>
        <w:t>Consistent with these public statements,</w:t>
      </w:r>
      <w:r w:rsidR="00D93924" w:rsidRPr="0061269A">
        <w:rPr>
          <w:sz w:val="24"/>
          <w:szCs w:val="24"/>
        </w:rPr>
        <w:t xml:space="preserve"> t</w:t>
      </w:r>
      <w:r w:rsidR="003C01D9" w:rsidRPr="0061269A">
        <w:rPr>
          <w:sz w:val="24"/>
          <w:szCs w:val="24"/>
        </w:rPr>
        <w:t xml:space="preserve">his </w:t>
      </w:r>
      <w:r w:rsidR="002E2477" w:rsidRPr="0061269A">
        <w:rPr>
          <w:sz w:val="24"/>
          <w:szCs w:val="24"/>
        </w:rPr>
        <w:t xml:space="preserve">class rule waiver </w:t>
      </w:r>
      <w:r w:rsidRPr="0061269A">
        <w:rPr>
          <w:sz w:val="24"/>
          <w:szCs w:val="24"/>
        </w:rPr>
        <w:t>extends the</w:t>
      </w:r>
      <w:r w:rsidR="002E2477" w:rsidRPr="0061269A">
        <w:rPr>
          <w:sz w:val="24"/>
          <w:szCs w:val="24"/>
        </w:rPr>
        <w:t xml:space="preserve"> transitional implementation period for </w:t>
      </w:r>
      <w:r w:rsidR="00F82ACD" w:rsidRPr="0061269A">
        <w:rPr>
          <w:sz w:val="24"/>
          <w:szCs w:val="24"/>
        </w:rPr>
        <w:t xml:space="preserve">ASX </w:t>
      </w:r>
      <w:r w:rsidR="002E2477" w:rsidRPr="0061269A">
        <w:rPr>
          <w:sz w:val="24"/>
          <w:szCs w:val="24"/>
        </w:rPr>
        <w:t xml:space="preserve">Participants </w:t>
      </w:r>
      <w:r w:rsidRPr="0061269A">
        <w:rPr>
          <w:sz w:val="24"/>
          <w:szCs w:val="24"/>
        </w:rPr>
        <w:t xml:space="preserve">by </w:t>
      </w:r>
      <w:r w:rsidR="00D503D5" w:rsidRPr="0061269A">
        <w:rPr>
          <w:sz w:val="24"/>
          <w:szCs w:val="24"/>
        </w:rPr>
        <w:t xml:space="preserve">an additional 5 months, </w:t>
      </w:r>
      <w:r w:rsidR="002E2477" w:rsidRPr="0061269A">
        <w:rPr>
          <w:sz w:val="24"/>
          <w:szCs w:val="24"/>
        </w:rPr>
        <w:t xml:space="preserve">by waiving the obligation to comply with </w:t>
      </w:r>
      <w:r w:rsidR="000C263C" w:rsidRPr="0061269A">
        <w:rPr>
          <w:sz w:val="24"/>
          <w:szCs w:val="24"/>
        </w:rPr>
        <w:t>Rule 3.1.1</w:t>
      </w:r>
      <w:r w:rsidR="002E2477" w:rsidRPr="0061269A">
        <w:rPr>
          <w:sz w:val="24"/>
          <w:szCs w:val="24"/>
        </w:rPr>
        <w:t xml:space="preserve"> </w:t>
      </w:r>
      <w:r w:rsidR="007171F8" w:rsidRPr="0061269A">
        <w:rPr>
          <w:sz w:val="24"/>
          <w:szCs w:val="24"/>
        </w:rPr>
        <w:t xml:space="preserve">and </w:t>
      </w:r>
      <w:r w:rsidR="000C263C" w:rsidRPr="0061269A">
        <w:rPr>
          <w:sz w:val="24"/>
          <w:szCs w:val="24"/>
        </w:rPr>
        <w:t>Rule 3.2.3(2)</w:t>
      </w:r>
      <w:r w:rsidR="007171F8" w:rsidRPr="0061269A">
        <w:rPr>
          <w:sz w:val="24"/>
          <w:szCs w:val="24"/>
        </w:rPr>
        <w:t xml:space="preserve"> </w:t>
      </w:r>
      <w:r w:rsidR="002E2477" w:rsidRPr="0061269A">
        <w:rPr>
          <w:sz w:val="24"/>
          <w:szCs w:val="24"/>
        </w:rPr>
        <w:t>of the</w:t>
      </w:r>
      <w:r w:rsidR="00CC0DCF" w:rsidRPr="0061269A">
        <w:rPr>
          <w:sz w:val="24"/>
          <w:szCs w:val="24"/>
        </w:rPr>
        <w:t xml:space="preserve"> Competition Rules</w:t>
      </w:r>
      <w:r w:rsidR="007C0FFF" w:rsidRPr="0061269A">
        <w:rPr>
          <w:sz w:val="24"/>
          <w:szCs w:val="24"/>
        </w:rPr>
        <w:t xml:space="preserve"> until</w:t>
      </w:r>
      <w:r w:rsidR="00CC0DCF" w:rsidRPr="0061269A">
        <w:rPr>
          <w:sz w:val="24"/>
          <w:szCs w:val="24"/>
        </w:rPr>
        <w:t xml:space="preserve"> 1 March 2013</w:t>
      </w:r>
      <w:r w:rsidR="00A42470" w:rsidRPr="0061269A">
        <w:rPr>
          <w:sz w:val="24"/>
          <w:szCs w:val="24"/>
        </w:rPr>
        <w:t>.</w:t>
      </w:r>
      <w:r w:rsidR="00D93924" w:rsidRPr="0061269A">
        <w:rPr>
          <w:sz w:val="24"/>
          <w:szCs w:val="24"/>
        </w:rPr>
        <w:t xml:space="preserve">  </w:t>
      </w:r>
    </w:p>
    <w:p w:rsidR="007171F8" w:rsidRPr="0061269A" w:rsidRDefault="007171F8" w:rsidP="00CC0DCF">
      <w:pPr>
        <w:pStyle w:val="MIRBodyText"/>
        <w:tabs>
          <w:tab w:val="clear" w:pos="2205"/>
        </w:tabs>
        <w:ind w:left="0"/>
        <w:rPr>
          <w:b/>
          <w:sz w:val="24"/>
          <w:szCs w:val="24"/>
        </w:rPr>
      </w:pPr>
    </w:p>
    <w:p w:rsidR="008018AC" w:rsidRPr="0061269A" w:rsidRDefault="00C42BBB">
      <w:pPr>
        <w:pStyle w:val="MIRBodyText"/>
        <w:keepNext/>
        <w:tabs>
          <w:tab w:val="clear" w:pos="2205"/>
        </w:tabs>
        <w:ind w:left="0"/>
        <w:rPr>
          <w:b/>
          <w:sz w:val="24"/>
          <w:szCs w:val="24"/>
        </w:rPr>
      </w:pPr>
      <w:r w:rsidRPr="0061269A">
        <w:rPr>
          <w:b/>
          <w:sz w:val="24"/>
          <w:szCs w:val="24"/>
        </w:rPr>
        <w:t>Consultation</w:t>
      </w:r>
    </w:p>
    <w:p w:rsidR="007171F8" w:rsidRPr="0061269A" w:rsidRDefault="00C42BBB" w:rsidP="007171F8">
      <w:pPr>
        <w:pStyle w:val="MIRBodyText"/>
        <w:tabs>
          <w:tab w:val="clear" w:pos="2205"/>
        </w:tabs>
        <w:ind w:left="0"/>
        <w:rPr>
          <w:sz w:val="24"/>
          <w:szCs w:val="24"/>
        </w:rPr>
      </w:pPr>
      <w:r w:rsidRPr="0061269A">
        <w:rPr>
          <w:sz w:val="24"/>
          <w:szCs w:val="24"/>
        </w:rPr>
        <w:t>ASIC did not consult specifically on the making of this class rule waiver.  However,</w:t>
      </w:r>
      <w:r w:rsidR="007C0FFF" w:rsidRPr="0061269A">
        <w:rPr>
          <w:sz w:val="24"/>
          <w:szCs w:val="24"/>
        </w:rPr>
        <w:t xml:space="preserve"> </w:t>
      </w:r>
      <w:r w:rsidR="007171F8" w:rsidRPr="0061269A">
        <w:rPr>
          <w:sz w:val="24"/>
          <w:szCs w:val="24"/>
        </w:rPr>
        <w:t xml:space="preserve">the decision to extend the transitional implementation </w:t>
      </w:r>
      <w:r w:rsidR="00D6370D" w:rsidRPr="0061269A">
        <w:rPr>
          <w:sz w:val="24"/>
          <w:szCs w:val="24"/>
        </w:rPr>
        <w:t>period was</w:t>
      </w:r>
      <w:r w:rsidR="007171F8" w:rsidRPr="0061269A">
        <w:rPr>
          <w:sz w:val="24"/>
          <w:szCs w:val="24"/>
        </w:rPr>
        <w:t xml:space="preserve"> based on </w:t>
      </w:r>
      <w:r w:rsidR="00D93924" w:rsidRPr="0061269A">
        <w:rPr>
          <w:sz w:val="24"/>
          <w:szCs w:val="24"/>
        </w:rPr>
        <w:t xml:space="preserve">discussions </w:t>
      </w:r>
      <w:r w:rsidR="00EF30D2" w:rsidRPr="0061269A">
        <w:rPr>
          <w:sz w:val="24"/>
          <w:szCs w:val="24"/>
        </w:rPr>
        <w:t>with stakeholders and ASIC’s</w:t>
      </w:r>
      <w:r w:rsidR="007171F8" w:rsidRPr="0061269A">
        <w:rPr>
          <w:sz w:val="24"/>
          <w:szCs w:val="24"/>
        </w:rPr>
        <w:t xml:space="preserve"> ongoing monitoring of trading activity on the order books of licensed markets.</w:t>
      </w:r>
    </w:p>
    <w:p w:rsidR="007171F8" w:rsidRPr="0061269A" w:rsidRDefault="007171F8" w:rsidP="007171F8">
      <w:pPr>
        <w:pStyle w:val="MIRBodyText"/>
        <w:tabs>
          <w:tab w:val="clear" w:pos="2205"/>
        </w:tabs>
        <w:ind w:left="0"/>
        <w:rPr>
          <w:sz w:val="24"/>
          <w:szCs w:val="24"/>
        </w:rPr>
      </w:pPr>
      <w:r w:rsidRPr="0061269A">
        <w:rPr>
          <w:sz w:val="24"/>
          <w:szCs w:val="24"/>
          <w:lang w:val="en-US"/>
        </w:rPr>
        <w:t>Key considerations in extending the transitional period were that:</w:t>
      </w:r>
    </w:p>
    <w:p w:rsidR="007171F8" w:rsidRPr="0061269A" w:rsidRDefault="007171F8" w:rsidP="007171F8">
      <w:pPr>
        <w:pStyle w:val="MIRBodyText"/>
        <w:numPr>
          <w:ilvl w:val="0"/>
          <w:numId w:val="18"/>
        </w:numPr>
        <w:tabs>
          <w:tab w:val="clear" w:pos="2205"/>
        </w:tabs>
        <w:rPr>
          <w:sz w:val="24"/>
          <w:szCs w:val="24"/>
        </w:rPr>
      </w:pPr>
      <w:r w:rsidRPr="0061269A">
        <w:rPr>
          <w:sz w:val="24"/>
          <w:szCs w:val="24"/>
        </w:rPr>
        <w:t>Participants indicated that a lead time of several months was necessary to build multi-market trading capability. If a Participant decided to access a new order book from 31 October 2012 they would have needed to start development of appropriate systems from March 2012; and</w:t>
      </w:r>
    </w:p>
    <w:p w:rsidR="007171F8" w:rsidRPr="0061269A" w:rsidRDefault="007171F8" w:rsidP="007171F8">
      <w:pPr>
        <w:pStyle w:val="MIRBodyText"/>
        <w:numPr>
          <w:ilvl w:val="0"/>
          <w:numId w:val="18"/>
        </w:numPr>
        <w:tabs>
          <w:tab w:val="clear" w:pos="2205"/>
        </w:tabs>
        <w:rPr>
          <w:sz w:val="24"/>
          <w:szCs w:val="24"/>
        </w:rPr>
      </w:pPr>
      <w:r w:rsidRPr="0061269A">
        <w:rPr>
          <w:sz w:val="24"/>
          <w:szCs w:val="24"/>
          <w:lang w:val="en-US"/>
        </w:rPr>
        <w:t>In March 2012 the level of liquidity available on alternative order books was not significant and unlikely to result in better outcomes on a consistent b</w:t>
      </w:r>
      <w:r w:rsidR="00EF30D2" w:rsidRPr="0061269A">
        <w:rPr>
          <w:sz w:val="24"/>
          <w:szCs w:val="24"/>
          <w:lang w:val="en-US"/>
        </w:rPr>
        <w:t>asis for the large majority of P</w:t>
      </w:r>
      <w:r w:rsidRPr="0061269A">
        <w:rPr>
          <w:sz w:val="24"/>
          <w:szCs w:val="24"/>
          <w:lang w:val="en-US"/>
        </w:rPr>
        <w:t xml:space="preserve">articipants. </w:t>
      </w:r>
    </w:p>
    <w:p w:rsidR="007171F8" w:rsidRPr="0061269A" w:rsidRDefault="007171F8" w:rsidP="00CC0DCF">
      <w:pPr>
        <w:pStyle w:val="MIRBodyText"/>
        <w:ind w:left="0"/>
        <w:rPr>
          <w:b/>
          <w:sz w:val="24"/>
          <w:szCs w:val="24"/>
        </w:rPr>
      </w:pPr>
    </w:p>
    <w:p w:rsidR="00825080" w:rsidRPr="0061269A" w:rsidRDefault="00825080" w:rsidP="00CC0DCF">
      <w:pPr>
        <w:pStyle w:val="MIRBodyText"/>
        <w:ind w:left="0"/>
        <w:rPr>
          <w:b/>
          <w:sz w:val="24"/>
          <w:szCs w:val="24"/>
        </w:rPr>
      </w:pPr>
      <w:r w:rsidRPr="0061269A">
        <w:rPr>
          <w:b/>
          <w:sz w:val="24"/>
          <w:szCs w:val="24"/>
        </w:rPr>
        <w:t xml:space="preserve">Statement of Compatibility with Human Rights </w:t>
      </w:r>
    </w:p>
    <w:p w:rsidR="001A2A7C" w:rsidRPr="0061269A" w:rsidRDefault="001A2A7C" w:rsidP="00CC0DCF">
      <w:pPr>
        <w:pStyle w:val="MIRBodyText"/>
        <w:ind w:left="0"/>
        <w:rPr>
          <w:sz w:val="24"/>
          <w:szCs w:val="24"/>
        </w:rPr>
      </w:pPr>
      <w:r w:rsidRPr="0061269A">
        <w:rPr>
          <w:sz w:val="24"/>
          <w:szCs w:val="24"/>
        </w:rPr>
        <w:t xml:space="preserve">This statement is prepared in accordance with Part 3 of the </w:t>
      </w:r>
      <w:r w:rsidRPr="0061269A">
        <w:rPr>
          <w:i/>
          <w:sz w:val="24"/>
          <w:szCs w:val="24"/>
        </w:rPr>
        <w:t>Human Rights (Parliamentary Scrutiny) Act 2011.</w:t>
      </w:r>
      <w:r w:rsidRPr="0061269A">
        <w:rPr>
          <w:sz w:val="24"/>
          <w:szCs w:val="24"/>
        </w:rPr>
        <w:t xml:space="preserve">  </w:t>
      </w:r>
    </w:p>
    <w:p w:rsidR="001A2A7C" w:rsidRPr="0061269A" w:rsidRDefault="001A2A7C" w:rsidP="00396FAC">
      <w:pPr>
        <w:pStyle w:val="MIRBodyText"/>
        <w:ind w:left="0"/>
        <w:rPr>
          <w:sz w:val="24"/>
          <w:szCs w:val="24"/>
        </w:rPr>
      </w:pPr>
      <w:r w:rsidRPr="0061269A">
        <w:rPr>
          <w:sz w:val="24"/>
          <w:szCs w:val="24"/>
        </w:rPr>
        <w:t xml:space="preserve">This </w:t>
      </w:r>
      <w:r w:rsidR="00D93924" w:rsidRPr="0061269A">
        <w:rPr>
          <w:sz w:val="24"/>
          <w:szCs w:val="24"/>
        </w:rPr>
        <w:t>Class Rule Waiver</w:t>
      </w:r>
      <w:r w:rsidRPr="0061269A">
        <w:rPr>
          <w:sz w:val="24"/>
          <w:szCs w:val="24"/>
        </w:rPr>
        <w:t xml:space="preserve"> is compatible with the human rights and freedoms recognised or declared in the international instruments listed in section 3 of the </w:t>
      </w:r>
      <w:r w:rsidRPr="0061269A">
        <w:rPr>
          <w:i/>
          <w:iCs/>
          <w:sz w:val="24"/>
          <w:szCs w:val="24"/>
        </w:rPr>
        <w:t>Human Rights (Parliamentary Scrutiny) Act 2011</w:t>
      </w:r>
      <w:r w:rsidRPr="0061269A">
        <w:rPr>
          <w:sz w:val="24"/>
          <w:szCs w:val="24"/>
        </w:rPr>
        <w:t>.</w:t>
      </w:r>
    </w:p>
    <w:p w:rsidR="00352DCD" w:rsidRPr="0061269A" w:rsidRDefault="00352DCD" w:rsidP="00352DCD">
      <w:pPr>
        <w:pStyle w:val="MIRBodyText"/>
        <w:ind w:left="0"/>
        <w:rPr>
          <w:sz w:val="24"/>
          <w:szCs w:val="24"/>
        </w:rPr>
      </w:pPr>
      <w:r w:rsidRPr="0061269A">
        <w:rPr>
          <w:sz w:val="24"/>
          <w:szCs w:val="24"/>
        </w:rPr>
        <w:t>This Legislative Instrument does not engage any of the applicable rights or freedoms.</w:t>
      </w:r>
    </w:p>
    <w:p w:rsidR="00825080" w:rsidRPr="00352DCD" w:rsidRDefault="00352DCD" w:rsidP="00352DCD">
      <w:pPr>
        <w:pStyle w:val="MIRBodyText"/>
        <w:ind w:left="0"/>
        <w:rPr>
          <w:sz w:val="24"/>
          <w:szCs w:val="24"/>
        </w:rPr>
      </w:pPr>
      <w:r w:rsidRPr="0061269A">
        <w:rPr>
          <w:sz w:val="24"/>
          <w:szCs w:val="24"/>
        </w:rPr>
        <w:t>This Legislative Instrument is compatible with human rights as it does not raise any human rights issues.</w:t>
      </w:r>
    </w:p>
    <w:sectPr w:rsidR="00825080" w:rsidRPr="00352DCD" w:rsidSect="00343DF8">
      <w:headerReference w:type="default" r:id="rId9"/>
      <w:pgSz w:w="11906" w:h="16838"/>
      <w:pgMar w:top="1134" w:right="1077" w:bottom="1134"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8AD" w:rsidRDefault="001E38AD" w:rsidP="00D57507">
      <w:r>
        <w:separator/>
      </w:r>
    </w:p>
  </w:endnote>
  <w:endnote w:type="continuationSeparator" w:id="0">
    <w:p w:rsidR="001E38AD" w:rsidRDefault="001E38AD" w:rsidP="00D57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8AD" w:rsidRDefault="001E38AD" w:rsidP="00D57507">
      <w:r>
        <w:separator/>
      </w:r>
    </w:p>
  </w:footnote>
  <w:footnote w:type="continuationSeparator" w:id="0">
    <w:p w:rsidR="001E38AD" w:rsidRDefault="001E38AD" w:rsidP="00D57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96172"/>
      <w:docPartObj>
        <w:docPartGallery w:val="Page Numbers (Top of Page)"/>
        <w:docPartUnique/>
      </w:docPartObj>
    </w:sdtPr>
    <w:sdtContent>
      <w:p w:rsidR="001E38AD" w:rsidRDefault="009949E1">
        <w:pPr>
          <w:pStyle w:val="Header"/>
          <w:jc w:val="center"/>
        </w:pPr>
        <w:fldSimple w:instr=" PAGE   \* MERGEFORMAT ">
          <w:r w:rsidR="0061269A">
            <w:rPr>
              <w:noProof/>
            </w:rPr>
            <w:t>3</w:t>
          </w:r>
        </w:fldSimple>
      </w:p>
    </w:sdtContent>
  </w:sdt>
  <w:p w:rsidR="001E38AD" w:rsidRDefault="001E38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6FC9"/>
    <w:multiLevelType w:val="hybridMultilevel"/>
    <w:tmpl w:val="7780E4E8"/>
    <w:lvl w:ilvl="0" w:tplc="96EC69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CF6B27"/>
    <w:multiLevelType w:val="hybridMultilevel"/>
    <w:tmpl w:val="52560C58"/>
    <w:lvl w:ilvl="0" w:tplc="E2F21E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A7C05"/>
    <w:multiLevelType w:val="hybridMultilevel"/>
    <w:tmpl w:val="38603B3C"/>
    <w:lvl w:ilvl="0" w:tplc="96EC69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907A12"/>
    <w:multiLevelType w:val="hybridMultilevel"/>
    <w:tmpl w:val="1E40D5FE"/>
    <w:lvl w:ilvl="0" w:tplc="96EC69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2D7B33"/>
    <w:multiLevelType w:val="hybridMultilevel"/>
    <w:tmpl w:val="5952FF44"/>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17E32A1"/>
    <w:multiLevelType w:val="hybridMultilevel"/>
    <w:tmpl w:val="AE80F9AA"/>
    <w:lvl w:ilvl="0" w:tplc="96EC69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56B4DB0"/>
    <w:multiLevelType w:val="hybridMultilevel"/>
    <w:tmpl w:val="FB243E9C"/>
    <w:lvl w:ilvl="0" w:tplc="96EC69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B7C17B4"/>
    <w:multiLevelType w:val="hybridMultilevel"/>
    <w:tmpl w:val="10C81760"/>
    <w:lvl w:ilvl="0" w:tplc="0C090001">
      <w:start w:val="1"/>
      <w:numFmt w:val="bullet"/>
      <w:lvlText w:val=""/>
      <w:lvlJc w:val="left"/>
      <w:pPr>
        <w:ind w:left="720" w:hanging="360"/>
      </w:pPr>
      <w:rPr>
        <w:rFonts w:ascii="Symbol" w:hAnsi="Symbol" w:hint="default"/>
      </w:rPr>
    </w:lvl>
    <w:lvl w:ilvl="1" w:tplc="CFA2019C">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1974C7"/>
    <w:multiLevelType w:val="hybridMultilevel"/>
    <w:tmpl w:val="570CE89A"/>
    <w:lvl w:ilvl="0" w:tplc="A1FA6A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846BD5"/>
    <w:multiLevelType w:val="hybridMultilevel"/>
    <w:tmpl w:val="296A2DDC"/>
    <w:lvl w:ilvl="0" w:tplc="96EC69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7B87A5A"/>
    <w:multiLevelType w:val="hybridMultilevel"/>
    <w:tmpl w:val="3BEE6B74"/>
    <w:lvl w:ilvl="0" w:tplc="96EC69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ED97672"/>
    <w:multiLevelType w:val="hybridMultilevel"/>
    <w:tmpl w:val="1E40D5FE"/>
    <w:lvl w:ilvl="0" w:tplc="96EC69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E901D4"/>
    <w:multiLevelType w:val="hybridMultilevel"/>
    <w:tmpl w:val="89AC2F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8D31BE8"/>
    <w:multiLevelType w:val="hybridMultilevel"/>
    <w:tmpl w:val="70F27C96"/>
    <w:lvl w:ilvl="0" w:tplc="FD1CDF8E">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424257"/>
    <w:multiLevelType w:val="hybridMultilevel"/>
    <w:tmpl w:val="8B42004A"/>
    <w:lvl w:ilvl="0" w:tplc="FD1CDF8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49261F"/>
    <w:multiLevelType w:val="multilevel"/>
    <w:tmpl w:val="051A3656"/>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pStyle w:val="MIRSubpara"/>
      <w:lvlText w:val="(%2)"/>
      <w:lvlJc w:val="left"/>
      <w:pPr>
        <w:tabs>
          <w:tab w:val="num" w:pos="1276"/>
        </w:tabs>
        <w:ind w:left="1276" w:hanging="425"/>
      </w:pPr>
      <w:rPr>
        <w:rFonts w:hint="default"/>
        <w:b w:val="0"/>
        <w:i w:val="0"/>
        <w:color w:val="auto"/>
        <w:sz w:val="18"/>
        <w:szCs w:val="18"/>
      </w:rPr>
    </w:lvl>
    <w:lvl w:ilvl="2">
      <w:start w:val="1"/>
      <w:numFmt w:val="lowerRoman"/>
      <w:pStyle w:val="MIRSub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6">
    <w:nsid w:val="5B5C20E3"/>
    <w:multiLevelType w:val="hybridMultilevel"/>
    <w:tmpl w:val="D6E0D91A"/>
    <w:lvl w:ilvl="0" w:tplc="FD1CDF8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8916035"/>
    <w:multiLevelType w:val="hybridMultilevel"/>
    <w:tmpl w:val="2182DEEE"/>
    <w:lvl w:ilvl="0" w:tplc="96EC69F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D8552DD"/>
    <w:multiLevelType w:val="hybridMultilevel"/>
    <w:tmpl w:val="4E3CB650"/>
    <w:lvl w:ilvl="0" w:tplc="96EC69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46E67C7"/>
    <w:multiLevelType w:val="hybridMultilevel"/>
    <w:tmpl w:val="3D9051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4"/>
  </w:num>
  <w:num w:numId="4">
    <w:abstractNumId w:val="13"/>
  </w:num>
  <w:num w:numId="5">
    <w:abstractNumId w:val="16"/>
  </w:num>
  <w:num w:numId="6">
    <w:abstractNumId w:val="7"/>
  </w:num>
  <w:num w:numId="7">
    <w:abstractNumId w:val="12"/>
  </w:num>
  <w:num w:numId="8">
    <w:abstractNumId w:val="5"/>
  </w:num>
  <w:num w:numId="9">
    <w:abstractNumId w:val="10"/>
  </w:num>
  <w:num w:numId="10">
    <w:abstractNumId w:val="9"/>
  </w:num>
  <w:num w:numId="11">
    <w:abstractNumId w:val="0"/>
  </w:num>
  <w:num w:numId="12">
    <w:abstractNumId w:val="6"/>
  </w:num>
  <w:num w:numId="13">
    <w:abstractNumId w:val="11"/>
  </w:num>
  <w:num w:numId="14">
    <w:abstractNumId w:val="2"/>
  </w:num>
  <w:num w:numId="15">
    <w:abstractNumId w:val="18"/>
  </w:num>
  <w:num w:numId="16">
    <w:abstractNumId w:val="3"/>
  </w:num>
  <w:num w:numId="17">
    <w:abstractNumId w:val="19"/>
  </w:num>
  <w:num w:numId="18">
    <w:abstractNumId w:val="17"/>
  </w:num>
  <w:num w:numId="19">
    <w:abstractNumId w:val="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636EC"/>
    <w:rsid w:val="00092160"/>
    <w:rsid w:val="000C263C"/>
    <w:rsid w:val="000F5528"/>
    <w:rsid w:val="001A2A7C"/>
    <w:rsid w:val="001D73CE"/>
    <w:rsid w:val="001E0A2E"/>
    <w:rsid w:val="001E38AD"/>
    <w:rsid w:val="001F7BA8"/>
    <w:rsid w:val="002E2477"/>
    <w:rsid w:val="003028CA"/>
    <w:rsid w:val="003038CC"/>
    <w:rsid w:val="0033220C"/>
    <w:rsid w:val="00343DF8"/>
    <w:rsid w:val="00352DCD"/>
    <w:rsid w:val="00396FAC"/>
    <w:rsid w:val="003C01D9"/>
    <w:rsid w:val="003D4A7A"/>
    <w:rsid w:val="00452739"/>
    <w:rsid w:val="005044E1"/>
    <w:rsid w:val="00524017"/>
    <w:rsid w:val="00570B90"/>
    <w:rsid w:val="005D0019"/>
    <w:rsid w:val="005E1291"/>
    <w:rsid w:val="005F2BD2"/>
    <w:rsid w:val="0061269A"/>
    <w:rsid w:val="00653A10"/>
    <w:rsid w:val="006559D2"/>
    <w:rsid w:val="006D40A9"/>
    <w:rsid w:val="0070778A"/>
    <w:rsid w:val="007171F8"/>
    <w:rsid w:val="00785E35"/>
    <w:rsid w:val="007A49A6"/>
    <w:rsid w:val="007C0FFF"/>
    <w:rsid w:val="008018AC"/>
    <w:rsid w:val="0080285A"/>
    <w:rsid w:val="00825080"/>
    <w:rsid w:val="008425AB"/>
    <w:rsid w:val="00884E0D"/>
    <w:rsid w:val="008A301F"/>
    <w:rsid w:val="00901AEC"/>
    <w:rsid w:val="009949E1"/>
    <w:rsid w:val="00A42470"/>
    <w:rsid w:val="00A701D7"/>
    <w:rsid w:val="00A82558"/>
    <w:rsid w:val="00A85E5D"/>
    <w:rsid w:val="00AB113D"/>
    <w:rsid w:val="00AC3F52"/>
    <w:rsid w:val="00B04584"/>
    <w:rsid w:val="00BC1F47"/>
    <w:rsid w:val="00BC3C51"/>
    <w:rsid w:val="00C1292E"/>
    <w:rsid w:val="00C14C70"/>
    <w:rsid w:val="00C42BBB"/>
    <w:rsid w:val="00CB3CEF"/>
    <w:rsid w:val="00CC0DCF"/>
    <w:rsid w:val="00D503D5"/>
    <w:rsid w:val="00D57507"/>
    <w:rsid w:val="00D636EC"/>
    <w:rsid w:val="00D6370D"/>
    <w:rsid w:val="00D93924"/>
    <w:rsid w:val="00DC49CC"/>
    <w:rsid w:val="00DC6F9A"/>
    <w:rsid w:val="00DE580D"/>
    <w:rsid w:val="00DE6D7F"/>
    <w:rsid w:val="00DF77A1"/>
    <w:rsid w:val="00E91B79"/>
    <w:rsid w:val="00EC61C9"/>
    <w:rsid w:val="00EE2790"/>
    <w:rsid w:val="00EF30D2"/>
    <w:rsid w:val="00F425EF"/>
    <w:rsid w:val="00F76961"/>
    <w:rsid w:val="00F82ACD"/>
    <w:rsid w:val="00F833B4"/>
    <w:rsid w:val="00FB31FE"/>
    <w:rsid w:val="00FC0B9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636EC"/>
    <w:pPr>
      <w:numPr>
        <w:numId w:val="1"/>
      </w:numPr>
      <w:spacing w:before="200" w:line="300" w:lineRule="atLeast"/>
    </w:pPr>
    <w:rPr>
      <w:sz w:val="22"/>
      <w:szCs w:val="22"/>
      <w:lang w:eastAsia="en-AU"/>
    </w:rPr>
  </w:style>
  <w:style w:type="character" w:customStyle="1" w:styleId="BodyTextChar">
    <w:name w:val="Body Text Char"/>
    <w:basedOn w:val="DefaultParagraphFont"/>
    <w:link w:val="BodyText"/>
    <w:semiHidden/>
    <w:rsid w:val="00D636EC"/>
    <w:rPr>
      <w:sz w:val="22"/>
      <w:szCs w:val="22"/>
    </w:rPr>
  </w:style>
  <w:style w:type="paragraph" w:customStyle="1" w:styleId="MIRSubpara">
    <w:name w:val="MIR Subpara"/>
    <w:basedOn w:val="Normal"/>
    <w:qFormat/>
    <w:rsid w:val="00D636EC"/>
    <w:pPr>
      <w:numPr>
        <w:ilvl w:val="1"/>
        <w:numId w:val="1"/>
      </w:numPr>
      <w:spacing w:before="100" w:line="300" w:lineRule="atLeast"/>
    </w:pPr>
    <w:rPr>
      <w:sz w:val="22"/>
      <w:szCs w:val="22"/>
      <w:lang w:eastAsia="en-AU"/>
    </w:rPr>
  </w:style>
  <w:style w:type="paragraph" w:customStyle="1" w:styleId="MIRBodyText">
    <w:name w:val="MIR Body Text"/>
    <w:basedOn w:val="Normal"/>
    <w:link w:val="MIRBodyTextChar1"/>
    <w:qFormat/>
    <w:rsid w:val="00D636EC"/>
    <w:pPr>
      <w:tabs>
        <w:tab w:val="left" w:pos="2205"/>
      </w:tabs>
      <w:spacing w:before="200" w:line="300" w:lineRule="atLeast"/>
      <w:ind w:left="1701"/>
    </w:pPr>
    <w:rPr>
      <w:sz w:val="22"/>
      <w:szCs w:val="22"/>
      <w:lang w:eastAsia="en-AU"/>
    </w:rPr>
  </w:style>
  <w:style w:type="paragraph" w:customStyle="1" w:styleId="MIRSubsubpara">
    <w:name w:val="MIR Subsubpara"/>
    <w:basedOn w:val="Normal"/>
    <w:link w:val="MIRSubsubparaChar"/>
    <w:qFormat/>
    <w:rsid w:val="00D636EC"/>
    <w:pPr>
      <w:numPr>
        <w:ilvl w:val="2"/>
        <w:numId w:val="1"/>
      </w:numPr>
      <w:tabs>
        <w:tab w:val="clear" w:pos="3119"/>
        <w:tab w:val="left" w:pos="2552"/>
      </w:tabs>
      <w:spacing w:before="100" w:line="300" w:lineRule="atLeast"/>
      <w:ind w:left="2551" w:hanging="425"/>
    </w:pPr>
    <w:rPr>
      <w:sz w:val="22"/>
      <w:szCs w:val="22"/>
      <w:lang w:eastAsia="en-AU"/>
    </w:rPr>
  </w:style>
  <w:style w:type="character" w:customStyle="1" w:styleId="MIRSubsubparaChar">
    <w:name w:val="MIR Subsubpara Char"/>
    <w:basedOn w:val="DefaultParagraphFont"/>
    <w:link w:val="MIRSubsubpara"/>
    <w:rsid w:val="00D636EC"/>
    <w:rPr>
      <w:sz w:val="22"/>
      <w:szCs w:val="22"/>
    </w:rPr>
  </w:style>
  <w:style w:type="character" w:customStyle="1" w:styleId="MIRBodyTextChar1">
    <w:name w:val="MIR Body Text Char1"/>
    <w:basedOn w:val="DefaultParagraphFont"/>
    <w:link w:val="MIRBodyText"/>
    <w:rsid w:val="00D636EC"/>
    <w:rPr>
      <w:sz w:val="22"/>
      <w:szCs w:val="22"/>
    </w:rPr>
  </w:style>
  <w:style w:type="paragraph" w:styleId="BalloonText">
    <w:name w:val="Balloon Text"/>
    <w:basedOn w:val="Normal"/>
    <w:link w:val="BalloonTextChar"/>
    <w:uiPriority w:val="99"/>
    <w:semiHidden/>
    <w:unhideWhenUsed/>
    <w:rsid w:val="001A2A7C"/>
    <w:rPr>
      <w:rFonts w:ascii="Tahoma" w:hAnsi="Tahoma" w:cs="Tahoma"/>
      <w:sz w:val="16"/>
      <w:szCs w:val="16"/>
    </w:rPr>
  </w:style>
  <w:style w:type="character" w:customStyle="1" w:styleId="BalloonTextChar">
    <w:name w:val="Balloon Text Char"/>
    <w:basedOn w:val="DefaultParagraphFont"/>
    <w:link w:val="BalloonText"/>
    <w:uiPriority w:val="99"/>
    <w:semiHidden/>
    <w:rsid w:val="001A2A7C"/>
    <w:rPr>
      <w:rFonts w:ascii="Tahoma" w:hAnsi="Tahoma" w:cs="Tahoma"/>
      <w:sz w:val="16"/>
      <w:szCs w:val="16"/>
      <w:lang w:eastAsia="en-US"/>
    </w:rPr>
  </w:style>
  <w:style w:type="paragraph" w:styleId="ListParagraph">
    <w:name w:val="List Paragraph"/>
    <w:basedOn w:val="Normal"/>
    <w:uiPriority w:val="34"/>
    <w:qFormat/>
    <w:rsid w:val="00D57507"/>
    <w:pPr>
      <w:widowControl w:val="0"/>
      <w:adjustRightInd w:val="0"/>
      <w:spacing w:line="360" w:lineRule="atLeast"/>
      <w:ind w:left="720"/>
      <w:contextualSpacing/>
      <w:jc w:val="both"/>
      <w:textAlignment w:val="baseline"/>
    </w:pPr>
  </w:style>
  <w:style w:type="paragraph" w:styleId="FootnoteText">
    <w:name w:val="footnote text"/>
    <w:basedOn w:val="Normal"/>
    <w:link w:val="FootnoteTextChar"/>
    <w:semiHidden/>
    <w:rsid w:val="00D57507"/>
    <w:pPr>
      <w:widowControl w:val="0"/>
      <w:adjustRightInd w:val="0"/>
      <w:spacing w:line="360" w:lineRule="atLeast"/>
      <w:jc w:val="both"/>
      <w:textAlignment w:val="baseline"/>
    </w:pPr>
    <w:rPr>
      <w:sz w:val="18"/>
      <w:szCs w:val="20"/>
    </w:rPr>
  </w:style>
  <w:style w:type="character" w:customStyle="1" w:styleId="FootnoteTextChar">
    <w:name w:val="Footnote Text Char"/>
    <w:basedOn w:val="DefaultParagraphFont"/>
    <w:link w:val="FootnoteText"/>
    <w:semiHidden/>
    <w:rsid w:val="00D57507"/>
    <w:rPr>
      <w:sz w:val="18"/>
      <w:lang w:eastAsia="en-US"/>
    </w:rPr>
  </w:style>
  <w:style w:type="character" w:styleId="FootnoteReference">
    <w:name w:val="footnote reference"/>
    <w:aliases w:val="(NECG) Footnote Reference"/>
    <w:rsid w:val="00D57507"/>
    <w:rPr>
      <w:vertAlign w:val="superscript"/>
    </w:rPr>
  </w:style>
  <w:style w:type="character" w:styleId="Hyperlink">
    <w:name w:val="Hyperlink"/>
    <w:basedOn w:val="DefaultParagraphFont"/>
    <w:uiPriority w:val="99"/>
    <w:rsid w:val="00AB113D"/>
    <w:rPr>
      <w:color w:val="0000FF"/>
      <w:u w:val="single"/>
    </w:rPr>
  </w:style>
  <w:style w:type="character" w:styleId="CommentReference">
    <w:name w:val="annotation reference"/>
    <w:basedOn w:val="DefaultParagraphFont"/>
    <w:uiPriority w:val="99"/>
    <w:semiHidden/>
    <w:unhideWhenUsed/>
    <w:rsid w:val="00EF30D2"/>
    <w:rPr>
      <w:sz w:val="16"/>
      <w:szCs w:val="16"/>
    </w:rPr>
  </w:style>
  <w:style w:type="paragraph" w:styleId="CommentText">
    <w:name w:val="annotation text"/>
    <w:basedOn w:val="Normal"/>
    <w:link w:val="CommentTextChar"/>
    <w:uiPriority w:val="99"/>
    <w:semiHidden/>
    <w:unhideWhenUsed/>
    <w:rsid w:val="00EF30D2"/>
    <w:rPr>
      <w:sz w:val="20"/>
      <w:szCs w:val="20"/>
    </w:rPr>
  </w:style>
  <w:style w:type="character" w:customStyle="1" w:styleId="CommentTextChar">
    <w:name w:val="Comment Text Char"/>
    <w:basedOn w:val="DefaultParagraphFont"/>
    <w:link w:val="CommentText"/>
    <w:uiPriority w:val="99"/>
    <w:semiHidden/>
    <w:rsid w:val="00EF30D2"/>
    <w:rPr>
      <w:lang w:eastAsia="en-US"/>
    </w:rPr>
  </w:style>
  <w:style w:type="paragraph" w:styleId="CommentSubject">
    <w:name w:val="annotation subject"/>
    <w:basedOn w:val="CommentText"/>
    <w:next w:val="CommentText"/>
    <w:link w:val="CommentSubjectChar"/>
    <w:uiPriority w:val="99"/>
    <w:semiHidden/>
    <w:unhideWhenUsed/>
    <w:rsid w:val="00EF30D2"/>
    <w:rPr>
      <w:b/>
      <w:bCs/>
    </w:rPr>
  </w:style>
  <w:style w:type="character" w:customStyle="1" w:styleId="CommentSubjectChar">
    <w:name w:val="Comment Subject Char"/>
    <w:basedOn w:val="CommentTextChar"/>
    <w:link w:val="CommentSubject"/>
    <w:uiPriority w:val="99"/>
    <w:semiHidden/>
    <w:rsid w:val="00EF30D2"/>
    <w:rPr>
      <w:b/>
      <w:bCs/>
    </w:rPr>
  </w:style>
  <w:style w:type="paragraph" w:styleId="Header">
    <w:name w:val="header"/>
    <w:basedOn w:val="Normal"/>
    <w:link w:val="HeaderChar"/>
    <w:uiPriority w:val="99"/>
    <w:unhideWhenUsed/>
    <w:rsid w:val="00343DF8"/>
    <w:pPr>
      <w:tabs>
        <w:tab w:val="center" w:pos="4513"/>
        <w:tab w:val="right" w:pos="9026"/>
      </w:tabs>
    </w:pPr>
  </w:style>
  <w:style w:type="character" w:customStyle="1" w:styleId="HeaderChar">
    <w:name w:val="Header Char"/>
    <w:basedOn w:val="DefaultParagraphFont"/>
    <w:link w:val="Header"/>
    <w:uiPriority w:val="99"/>
    <w:rsid w:val="00343DF8"/>
    <w:rPr>
      <w:sz w:val="24"/>
      <w:szCs w:val="24"/>
      <w:lang w:eastAsia="en-US"/>
    </w:rPr>
  </w:style>
  <w:style w:type="paragraph" w:styleId="Footer">
    <w:name w:val="footer"/>
    <w:basedOn w:val="Normal"/>
    <w:link w:val="FooterChar"/>
    <w:uiPriority w:val="99"/>
    <w:semiHidden/>
    <w:unhideWhenUsed/>
    <w:rsid w:val="00343DF8"/>
    <w:pPr>
      <w:tabs>
        <w:tab w:val="center" w:pos="4513"/>
        <w:tab w:val="right" w:pos="9026"/>
      </w:tabs>
    </w:pPr>
  </w:style>
  <w:style w:type="character" w:customStyle="1" w:styleId="FooterChar">
    <w:name w:val="Footer Char"/>
    <w:basedOn w:val="DefaultParagraphFont"/>
    <w:link w:val="Footer"/>
    <w:uiPriority w:val="99"/>
    <w:semiHidden/>
    <w:rsid w:val="00343DF8"/>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32848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33891">
          <w:marLeft w:val="0"/>
          <w:marRight w:val="0"/>
          <w:marTop w:val="0"/>
          <w:marBottom w:val="0"/>
          <w:divBdr>
            <w:top w:val="none" w:sz="0" w:space="0" w:color="auto"/>
            <w:left w:val="none" w:sz="0" w:space="0" w:color="auto"/>
            <w:bottom w:val="none" w:sz="0" w:space="0" w:color="auto"/>
            <w:right w:val="none" w:sz="0" w:space="0" w:color="auto"/>
          </w:divBdr>
          <w:divsChild>
            <w:div w:id="371686404">
              <w:marLeft w:val="0"/>
              <w:marRight w:val="0"/>
              <w:marTop w:val="0"/>
              <w:marBottom w:val="0"/>
              <w:divBdr>
                <w:top w:val="none" w:sz="0" w:space="0" w:color="auto"/>
                <w:left w:val="none" w:sz="0" w:space="0" w:color="auto"/>
                <w:bottom w:val="none" w:sz="0" w:space="0" w:color="auto"/>
                <w:right w:val="none" w:sz="0" w:space="0" w:color="auto"/>
              </w:divBdr>
              <w:divsChild>
                <w:div w:id="508637665">
                  <w:marLeft w:val="0"/>
                  <w:marRight w:val="0"/>
                  <w:marTop w:val="0"/>
                  <w:marBottom w:val="0"/>
                  <w:divBdr>
                    <w:top w:val="none" w:sz="0" w:space="0" w:color="auto"/>
                    <w:left w:val="none" w:sz="0" w:space="0" w:color="auto"/>
                    <w:bottom w:val="none" w:sz="0" w:space="0" w:color="auto"/>
                    <w:right w:val="none" w:sz="0" w:space="0" w:color="auto"/>
                  </w:divBdr>
                  <w:divsChild>
                    <w:div w:id="1354770172">
                      <w:marLeft w:val="0"/>
                      <w:marRight w:val="0"/>
                      <w:marTop w:val="0"/>
                      <w:marBottom w:val="0"/>
                      <w:divBdr>
                        <w:top w:val="none" w:sz="0" w:space="0" w:color="auto"/>
                        <w:left w:val="none" w:sz="0" w:space="0" w:color="auto"/>
                        <w:bottom w:val="none" w:sz="0" w:space="0" w:color="auto"/>
                        <w:right w:val="none" w:sz="0" w:space="0" w:color="auto"/>
                      </w:divBdr>
                      <w:divsChild>
                        <w:div w:id="8377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29907">
      <w:bodyDiv w:val="1"/>
      <w:marLeft w:val="0"/>
      <w:marRight w:val="0"/>
      <w:marTop w:val="0"/>
      <w:marBottom w:val="0"/>
      <w:divBdr>
        <w:top w:val="none" w:sz="0" w:space="0" w:color="auto"/>
        <w:left w:val="none" w:sz="0" w:space="0" w:color="auto"/>
        <w:bottom w:val="none" w:sz="0" w:space="0" w:color="auto"/>
        <w:right w:val="none" w:sz="0" w:space="0" w:color="auto"/>
      </w:divBdr>
      <w:divsChild>
        <w:div w:id="1152912989">
          <w:marLeft w:val="0"/>
          <w:marRight w:val="0"/>
          <w:marTop w:val="0"/>
          <w:marBottom w:val="0"/>
          <w:divBdr>
            <w:top w:val="none" w:sz="0" w:space="0" w:color="auto"/>
            <w:left w:val="none" w:sz="0" w:space="0" w:color="auto"/>
            <w:bottom w:val="none" w:sz="0" w:space="0" w:color="auto"/>
            <w:right w:val="none" w:sz="0" w:space="0" w:color="auto"/>
          </w:divBdr>
          <w:divsChild>
            <w:div w:id="1607929105">
              <w:marLeft w:val="0"/>
              <w:marRight w:val="0"/>
              <w:marTop w:val="0"/>
              <w:marBottom w:val="0"/>
              <w:divBdr>
                <w:top w:val="none" w:sz="0" w:space="0" w:color="auto"/>
                <w:left w:val="none" w:sz="0" w:space="0" w:color="auto"/>
                <w:bottom w:val="none" w:sz="0" w:space="0" w:color="auto"/>
                <w:right w:val="none" w:sz="0" w:space="0" w:color="auto"/>
              </w:divBdr>
              <w:divsChild>
                <w:div w:id="613365416">
                  <w:marLeft w:val="0"/>
                  <w:marRight w:val="0"/>
                  <w:marTop w:val="0"/>
                  <w:marBottom w:val="0"/>
                  <w:divBdr>
                    <w:top w:val="none" w:sz="0" w:space="0" w:color="auto"/>
                    <w:left w:val="none" w:sz="0" w:space="0" w:color="auto"/>
                    <w:bottom w:val="none" w:sz="0" w:space="0" w:color="auto"/>
                    <w:right w:val="none" w:sz="0" w:space="0" w:color="auto"/>
                  </w:divBdr>
                  <w:divsChild>
                    <w:div w:id="9067330">
                      <w:marLeft w:val="0"/>
                      <w:marRight w:val="0"/>
                      <w:marTop w:val="0"/>
                      <w:marBottom w:val="0"/>
                      <w:divBdr>
                        <w:top w:val="none" w:sz="0" w:space="0" w:color="auto"/>
                        <w:left w:val="none" w:sz="0" w:space="0" w:color="auto"/>
                        <w:bottom w:val="none" w:sz="0" w:space="0" w:color="auto"/>
                        <w:right w:val="none" w:sz="0" w:space="0" w:color="auto"/>
                      </w:divBdr>
                      <w:divsChild>
                        <w:div w:id="8994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06123">
      <w:bodyDiv w:val="1"/>
      <w:marLeft w:val="0"/>
      <w:marRight w:val="0"/>
      <w:marTop w:val="0"/>
      <w:marBottom w:val="0"/>
      <w:divBdr>
        <w:top w:val="none" w:sz="0" w:space="0" w:color="auto"/>
        <w:left w:val="none" w:sz="0" w:space="0" w:color="auto"/>
        <w:bottom w:val="none" w:sz="0" w:space="0" w:color="auto"/>
        <w:right w:val="none" w:sz="0" w:space="0" w:color="auto"/>
      </w:divBdr>
      <w:divsChild>
        <w:div w:id="509414525">
          <w:marLeft w:val="0"/>
          <w:marRight w:val="0"/>
          <w:marTop w:val="0"/>
          <w:marBottom w:val="0"/>
          <w:divBdr>
            <w:top w:val="none" w:sz="0" w:space="0" w:color="auto"/>
            <w:left w:val="none" w:sz="0" w:space="0" w:color="auto"/>
            <w:bottom w:val="none" w:sz="0" w:space="0" w:color="auto"/>
            <w:right w:val="none" w:sz="0" w:space="0" w:color="auto"/>
          </w:divBdr>
          <w:divsChild>
            <w:div w:id="1566793105">
              <w:marLeft w:val="0"/>
              <w:marRight w:val="0"/>
              <w:marTop w:val="0"/>
              <w:marBottom w:val="0"/>
              <w:divBdr>
                <w:top w:val="none" w:sz="0" w:space="0" w:color="auto"/>
                <w:left w:val="none" w:sz="0" w:space="0" w:color="auto"/>
                <w:bottom w:val="none" w:sz="0" w:space="0" w:color="auto"/>
                <w:right w:val="none" w:sz="0" w:space="0" w:color="auto"/>
              </w:divBdr>
              <w:divsChild>
                <w:div w:id="1283338252">
                  <w:marLeft w:val="0"/>
                  <w:marRight w:val="0"/>
                  <w:marTop w:val="0"/>
                  <w:marBottom w:val="0"/>
                  <w:divBdr>
                    <w:top w:val="none" w:sz="0" w:space="0" w:color="auto"/>
                    <w:left w:val="none" w:sz="0" w:space="0" w:color="auto"/>
                    <w:bottom w:val="none" w:sz="0" w:space="0" w:color="auto"/>
                    <w:right w:val="none" w:sz="0" w:space="0" w:color="auto"/>
                  </w:divBdr>
                  <w:divsChild>
                    <w:div w:id="1098255803">
                      <w:marLeft w:val="0"/>
                      <w:marRight w:val="0"/>
                      <w:marTop w:val="0"/>
                      <w:marBottom w:val="0"/>
                      <w:divBdr>
                        <w:top w:val="none" w:sz="0" w:space="0" w:color="auto"/>
                        <w:left w:val="none" w:sz="0" w:space="0" w:color="auto"/>
                        <w:bottom w:val="none" w:sz="0" w:space="0" w:color="auto"/>
                        <w:right w:val="none" w:sz="0" w:space="0" w:color="auto"/>
                      </w:divBdr>
                      <w:divsChild>
                        <w:div w:id="4650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239776">
      <w:bodyDiv w:val="1"/>
      <w:marLeft w:val="0"/>
      <w:marRight w:val="0"/>
      <w:marTop w:val="0"/>
      <w:marBottom w:val="0"/>
      <w:divBdr>
        <w:top w:val="none" w:sz="0" w:space="0" w:color="auto"/>
        <w:left w:val="none" w:sz="0" w:space="0" w:color="auto"/>
        <w:bottom w:val="none" w:sz="0" w:space="0" w:color="auto"/>
        <w:right w:val="none" w:sz="0" w:space="0" w:color="auto"/>
      </w:divBdr>
      <w:divsChild>
        <w:div w:id="1334914315">
          <w:marLeft w:val="0"/>
          <w:marRight w:val="0"/>
          <w:marTop w:val="0"/>
          <w:marBottom w:val="0"/>
          <w:divBdr>
            <w:top w:val="none" w:sz="0" w:space="0" w:color="auto"/>
            <w:left w:val="none" w:sz="0" w:space="0" w:color="auto"/>
            <w:bottom w:val="none" w:sz="0" w:space="0" w:color="auto"/>
            <w:right w:val="none" w:sz="0" w:space="0" w:color="auto"/>
          </w:divBdr>
          <w:divsChild>
            <w:div w:id="2020042307">
              <w:marLeft w:val="0"/>
              <w:marRight w:val="0"/>
              <w:marTop w:val="0"/>
              <w:marBottom w:val="0"/>
              <w:divBdr>
                <w:top w:val="none" w:sz="0" w:space="0" w:color="auto"/>
                <w:left w:val="none" w:sz="0" w:space="0" w:color="auto"/>
                <w:bottom w:val="none" w:sz="0" w:space="0" w:color="auto"/>
                <w:right w:val="none" w:sz="0" w:space="0" w:color="auto"/>
              </w:divBdr>
              <w:divsChild>
                <w:div w:id="297303042">
                  <w:marLeft w:val="0"/>
                  <w:marRight w:val="0"/>
                  <w:marTop w:val="0"/>
                  <w:marBottom w:val="0"/>
                  <w:divBdr>
                    <w:top w:val="none" w:sz="0" w:space="0" w:color="auto"/>
                    <w:left w:val="none" w:sz="0" w:space="0" w:color="auto"/>
                    <w:bottom w:val="none" w:sz="0" w:space="0" w:color="auto"/>
                    <w:right w:val="none" w:sz="0" w:space="0" w:color="auto"/>
                  </w:divBdr>
                  <w:divsChild>
                    <w:div w:id="1881087208">
                      <w:marLeft w:val="0"/>
                      <w:marRight w:val="0"/>
                      <w:marTop w:val="0"/>
                      <w:marBottom w:val="0"/>
                      <w:divBdr>
                        <w:top w:val="none" w:sz="0" w:space="0" w:color="auto"/>
                        <w:left w:val="none" w:sz="0" w:space="0" w:color="auto"/>
                        <w:bottom w:val="none" w:sz="0" w:space="0" w:color="auto"/>
                        <w:right w:val="none" w:sz="0" w:space="0" w:color="auto"/>
                      </w:divBdr>
                      <w:divsChild>
                        <w:div w:id="5157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607056">
      <w:bodyDiv w:val="1"/>
      <w:marLeft w:val="0"/>
      <w:marRight w:val="0"/>
      <w:marTop w:val="0"/>
      <w:marBottom w:val="0"/>
      <w:divBdr>
        <w:top w:val="none" w:sz="0" w:space="0" w:color="auto"/>
        <w:left w:val="none" w:sz="0" w:space="0" w:color="auto"/>
        <w:bottom w:val="none" w:sz="0" w:space="0" w:color="auto"/>
        <w:right w:val="none" w:sz="0" w:space="0" w:color="auto"/>
      </w:divBdr>
      <w:divsChild>
        <w:div w:id="741412303">
          <w:marLeft w:val="0"/>
          <w:marRight w:val="0"/>
          <w:marTop w:val="0"/>
          <w:marBottom w:val="0"/>
          <w:divBdr>
            <w:top w:val="none" w:sz="0" w:space="0" w:color="auto"/>
            <w:left w:val="none" w:sz="0" w:space="0" w:color="auto"/>
            <w:bottom w:val="none" w:sz="0" w:space="0" w:color="auto"/>
            <w:right w:val="none" w:sz="0" w:space="0" w:color="auto"/>
          </w:divBdr>
          <w:divsChild>
            <w:div w:id="794953659">
              <w:marLeft w:val="0"/>
              <w:marRight w:val="0"/>
              <w:marTop w:val="0"/>
              <w:marBottom w:val="0"/>
              <w:divBdr>
                <w:top w:val="none" w:sz="0" w:space="0" w:color="auto"/>
                <w:left w:val="none" w:sz="0" w:space="0" w:color="auto"/>
                <w:bottom w:val="none" w:sz="0" w:space="0" w:color="auto"/>
                <w:right w:val="none" w:sz="0" w:space="0" w:color="auto"/>
              </w:divBdr>
              <w:divsChild>
                <w:div w:id="2046907789">
                  <w:marLeft w:val="0"/>
                  <w:marRight w:val="0"/>
                  <w:marTop w:val="0"/>
                  <w:marBottom w:val="0"/>
                  <w:divBdr>
                    <w:top w:val="none" w:sz="0" w:space="0" w:color="auto"/>
                    <w:left w:val="none" w:sz="0" w:space="0" w:color="auto"/>
                    <w:bottom w:val="none" w:sz="0" w:space="0" w:color="auto"/>
                    <w:right w:val="none" w:sz="0" w:space="0" w:color="auto"/>
                  </w:divBdr>
                  <w:divsChild>
                    <w:div w:id="279532406">
                      <w:marLeft w:val="0"/>
                      <w:marRight w:val="0"/>
                      <w:marTop w:val="0"/>
                      <w:marBottom w:val="0"/>
                      <w:divBdr>
                        <w:top w:val="none" w:sz="0" w:space="0" w:color="auto"/>
                        <w:left w:val="none" w:sz="0" w:space="0" w:color="auto"/>
                        <w:bottom w:val="none" w:sz="0" w:space="0" w:color="auto"/>
                        <w:right w:val="none" w:sz="0" w:space="0" w:color="auto"/>
                      </w:divBdr>
                      <w:divsChild>
                        <w:div w:id="5529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052589">
      <w:bodyDiv w:val="1"/>
      <w:marLeft w:val="0"/>
      <w:marRight w:val="0"/>
      <w:marTop w:val="0"/>
      <w:marBottom w:val="0"/>
      <w:divBdr>
        <w:top w:val="none" w:sz="0" w:space="0" w:color="auto"/>
        <w:left w:val="none" w:sz="0" w:space="0" w:color="auto"/>
        <w:bottom w:val="none" w:sz="0" w:space="0" w:color="auto"/>
        <w:right w:val="none" w:sz="0" w:space="0" w:color="auto"/>
      </w:divBdr>
      <w:divsChild>
        <w:div w:id="765881830">
          <w:marLeft w:val="0"/>
          <w:marRight w:val="0"/>
          <w:marTop w:val="0"/>
          <w:marBottom w:val="0"/>
          <w:divBdr>
            <w:top w:val="none" w:sz="0" w:space="0" w:color="auto"/>
            <w:left w:val="none" w:sz="0" w:space="0" w:color="auto"/>
            <w:bottom w:val="none" w:sz="0" w:space="0" w:color="auto"/>
            <w:right w:val="none" w:sz="0" w:space="0" w:color="auto"/>
          </w:divBdr>
          <w:divsChild>
            <w:div w:id="667681169">
              <w:marLeft w:val="0"/>
              <w:marRight w:val="0"/>
              <w:marTop w:val="0"/>
              <w:marBottom w:val="0"/>
              <w:divBdr>
                <w:top w:val="none" w:sz="0" w:space="0" w:color="auto"/>
                <w:left w:val="none" w:sz="0" w:space="0" w:color="auto"/>
                <w:bottom w:val="none" w:sz="0" w:space="0" w:color="auto"/>
                <w:right w:val="none" w:sz="0" w:space="0" w:color="auto"/>
              </w:divBdr>
              <w:divsChild>
                <w:div w:id="764958921">
                  <w:marLeft w:val="0"/>
                  <w:marRight w:val="0"/>
                  <w:marTop w:val="0"/>
                  <w:marBottom w:val="0"/>
                  <w:divBdr>
                    <w:top w:val="none" w:sz="0" w:space="0" w:color="auto"/>
                    <w:left w:val="none" w:sz="0" w:space="0" w:color="auto"/>
                    <w:bottom w:val="none" w:sz="0" w:space="0" w:color="auto"/>
                    <w:right w:val="none" w:sz="0" w:space="0" w:color="auto"/>
                  </w:divBdr>
                  <w:divsChild>
                    <w:div w:id="2045327008">
                      <w:marLeft w:val="0"/>
                      <w:marRight w:val="0"/>
                      <w:marTop w:val="0"/>
                      <w:marBottom w:val="0"/>
                      <w:divBdr>
                        <w:top w:val="none" w:sz="0" w:space="0" w:color="auto"/>
                        <w:left w:val="none" w:sz="0" w:space="0" w:color="auto"/>
                        <w:bottom w:val="none" w:sz="0" w:space="0" w:color="auto"/>
                        <w:right w:val="none" w:sz="0" w:space="0" w:color="auto"/>
                      </w:divBdr>
                      <w:divsChild>
                        <w:div w:id="12507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GotoNode('merr/chap03:3.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99DA8-A8D5-44ED-A5BD-F2BBB2A0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Pyner</dc:creator>
  <cp:keywords/>
  <dc:description/>
  <cp:lastModifiedBy>turekk</cp:lastModifiedBy>
  <cp:revision>3</cp:revision>
  <cp:lastPrinted>2012-10-25T04:39:00Z</cp:lastPrinted>
  <dcterms:created xsi:type="dcterms:W3CDTF">2012-10-29T03:41:00Z</dcterms:created>
  <dcterms:modified xsi:type="dcterms:W3CDTF">2012-10-29T03:47:00Z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A3592484</vt:lpwstr>
  </property>
  <property fmtid="{D5CDD505-2E9C-101B-9397-08002B2CF9AE}" pid="3" name="Objective-Title">
    <vt:lpwstr>Explanatory statement - class waiver</vt:lpwstr>
  </property>
  <property fmtid="{D5CDD505-2E9C-101B-9397-08002B2CF9AE}" pid="4" name="Objective-Comment">
    <vt:lpwstr/>
  </property>
  <property fmtid="{D5CDD505-2E9C-101B-9397-08002B2CF9AE}" pid="5" name="Objective-CreationStamp">
    <vt:filetime>2012-07-11T22:42:30Z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2012-08-23T08:03:00Z</vt:filetime>
  </property>
  <property fmtid="{D5CDD505-2E9C-101B-9397-08002B2CF9AE}" pid="10" name="Objective-Owner">
    <vt:lpwstr>Nicole Pyner</vt:lpwstr>
  </property>
  <property fmtid="{D5CDD505-2E9C-101B-9397-08002B2CF9AE}" pid="11" name="Objective-Path">
    <vt:lpwstr>ASIC BCS:REGULATION &amp; COMPLIANCE:Assessments, Surveillance &amp; Supervision:Market &amp; Participant Supervision:Legal &amp; Policy:Proposed New MIR - Suspicious Conduct Reporting:</vt:lpwstr>
  </property>
  <property fmtid="{D5CDD505-2E9C-101B-9397-08002B2CF9AE}" pid="12" name="Objective-Parent">
    <vt:lpwstr>Proposed New MIR - Suspicious Conduct Reporting</vt:lpwstr>
  </property>
  <property fmtid="{D5CDD505-2E9C-101B-9397-08002B2CF9AE}" pid="13" name="Objective-State">
    <vt:lpwstr>Being Drafted</vt:lpwstr>
  </property>
  <property fmtid="{D5CDD505-2E9C-101B-9397-08002B2CF9AE}" pid="14" name="Objective-Version">
    <vt:lpwstr>2.5</vt:lpwstr>
  </property>
  <property fmtid="{D5CDD505-2E9C-101B-9397-08002B2CF9AE}" pid="15" name="Objective-VersionNumber">
    <vt:i4>9</vt:i4>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ies>
</file>