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B8" w:rsidRPr="00A741B8" w:rsidRDefault="00A741B8" w:rsidP="008B71BE">
      <w:pPr>
        <w:keepNext/>
        <w:widowControl w:val="0"/>
        <w:spacing w:after="240"/>
        <w:outlineLvl w:val="1"/>
        <w:rPr>
          <w:rFonts w:eastAsia="Times New Roman" w:cs="Arial"/>
          <w:b/>
          <w:bCs/>
          <w:sz w:val="28"/>
        </w:rPr>
      </w:pPr>
      <w:bookmarkStart w:id="0" w:name="_Toc328127178"/>
      <w:bookmarkStart w:id="1" w:name="_Toc331062770"/>
      <w:r w:rsidRPr="00A741B8">
        <w:rPr>
          <w:rFonts w:eastAsia="Times New Roman" w:cs="Arial"/>
          <w:b/>
          <w:bCs/>
          <w:sz w:val="28"/>
        </w:rPr>
        <w:t>Explanatory Statement</w:t>
      </w:r>
      <w:bookmarkStart w:id="2" w:name="_GoBack"/>
      <w:bookmarkEnd w:id="0"/>
      <w:bookmarkEnd w:id="1"/>
      <w:bookmarkEnd w:id="2"/>
    </w:p>
    <w:p w:rsidR="00A741B8" w:rsidRPr="00A741B8" w:rsidRDefault="00A741B8" w:rsidP="00A741B8">
      <w:pPr>
        <w:widowControl w:val="0"/>
        <w:rPr>
          <w:rFonts w:eastAsia="Times New Roman" w:cs="Times New Roman"/>
          <w:b/>
          <w:szCs w:val="24"/>
          <w:lang w:val="en-AU" w:eastAsia="en-GB"/>
        </w:rPr>
      </w:pPr>
      <w:r w:rsidRPr="00A741B8">
        <w:rPr>
          <w:rFonts w:eastAsia="Times New Roman" w:cs="Times New Roman"/>
          <w:b/>
          <w:szCs w:val="24"/>
          <w:lang w:val="en-AU" w:eastAsia="en-GB"/>
        </w:rPr>
        <w:t>1.</w:t>
      </w:r>
      <w:r w:rsidRPr="00A741B8">
        <w:rPr>
          <w:rFonts w:eastAsia="Times New Roman" w:cs="Times New Roman"/>
          <w:b/>
          <w:szCs w:val="24"/>
          <w:lang w:val="en-AU" w:eastAsia="en-GB"/>
        </w:rPr>
        <w:tab/>
        <w:t>Authority</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autoSpaceDE w:val="0"/>
        <w:autoSpaceDN w:val="0"/>
        <w:adjustRightInd w:val="0"/>
        <w:rPr>
          <w:rFonts w:eastAsia="Calibri" w:cs="Arial"/>
          <w:bCs/>
          <w:lang w:val="en-AU"/>
        </w:rPr>
      </w:pPr>
      <w:r w:rsidRPr="00A741B8">
        <w:rPr>
          <w:rFonts w:eastAsia="Calibri" w:cs="Arial"/>
          <w:bCs/>
          <w:lang w:val="en-AU"/>
        </w:rPr>
        <w:t xml:space="preserve">Section 13 of the </w:t>
      </w:r>
      <w:r w:rsidRPr="00A741B8">
        <w:rPr>
          <w:rFonts w:eastAsia="Calibri" w:cs="Arial"/>
          <w:bCs/>
          <w:i/>
          <w:lang w:val="en-AU"/>
        </w:rPr>
        <w:t>Food Standards Australia New Zealand Act 1991</w:t>
      </w:r>
      <w:r w:rsidRPr="00A741B8">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A741B8">
        <w:rPr>
          <w:rFonts w:eastAsia="Calibri" w:cs="Arial"/>
          <w:bCs/>
          <w:i/>
          <w:lang w:val="en-AU"/>
        </w:rPr>
        <w:t>Australia New Zealand Food Standards Code</w:t>
      </w:r>
      <w:r w:rsidRPr="00A741B8">
        <w:rPr>
          <w:rFonts w:eastAsia="Calibri" w:cs="Arial"/>
          <w:bCs/>
          <w:lang w:val="en-AU"/>
        </w:rPr>
        <w:t xml:space="preserve"> (the Code).</w:t>
      </w:r>
    </w:p>
    <w:p w:rsidR="00A741B8" w:rsidRPr="00A741B8" w:rsidRDefault="00A741B8" w:rsidP="00A741B8">
      <w:pPr>
        <w:autoSpaceDE w:val="0"/>
        <w:autoSpaceDN w:val="0"/>
        <w:adjustRightInd w:val="0"/>
        <w:rPr>
          <w:rFonts w:eastAsia="Calibri" w:cs="Arial"/>
          <w:bCs/>
          <w:lang w:val="en-AU"/>
        </w:rPr>
      </w:pPr>
    </w:p>
    <w:p w:rsidR="00A741B8" w:rsidRPr="00A741B8" w:rsidRDefault="00A741B8" w:rsidP="00A741B8">
      <w:pPr>
        <w:autoSpaceDE w:val="0"/>
        <w:autoSpaceDN w:val="0"/>
        <w:adjustRightInd w:val="0"/>
        <w:rPr>
          <w:rFonts w:eastAsia="Calibri" w:cs="Arial"/>
          <w:bCs/>
          <w:lang w:val="en-AU"/>
        </w:rPr>
      </w:pPr>
      <w:r w:rsidRPr="00A741B8">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A741B8" w:rsidRPr="00A741B8" w:rsidRDefault="00A741B8" w:rsidP="00A741B8">
      <w:pPr>
        <w:autoSpaceDE w:val="0"/>
        <w:autoSpaceDN w:val="0"/>
        <w:adjustRightInd w:val="0"/>
        <w:rPr>
          <w:rFonts w:eastAsia="Calibri" w:cs="Arial"/>
          <w:bCs/>
          <w:lang w:val="en-AU"/>
        </w:rPr>
      </w:pPr>
    </w:p>
    <w:p w:rsidR="00A741B8" w:rsidRPr="00A741B8" w:rsidRDefault="00A741B8" w:rsidP="00A741B8">
      <w:pPr>
        <w:autoSpaceDE w:val="0"/>
        <w:autoSpaceDN w:val="0"/>
        <w:adjustRightInd w:val="0"/>
        <w:rPr>
          <w:rFonts w:eastAsia="Calibri" w:cs="Arial"/>
          <w:bCs/>
          <w:lang w:val="en-AU"/>
        </w:rPr>
      </w:pPr>
      <w:r w:rsidRPr="00A741B8">
        <w:rPr>
          <w:rFonts w:eastAsia="Calibri" w:cs="Arial"/>
          <w:bCs/>
          <w:lang w:val="en-AU"/>
        </w:rPr>
        <w:t xml:space="preserve">FSANZ accepted Application A1045 which seeks to approve the use of the bacteriophage preparation P100 (referred to as </w:t>
      </w:r>
      <w:r w:rsidRPr="00A741B8">
        <w:rPr>
          <w:rFonts w:eastAsia="Calibri" w:cs="Arial"/>
          <w:bCs/>
          <w:i/>
          <w:lang w:val="en-AU"/>
        </w:rPr>
        <w:t>Listeria</w:t>
      </w:r>
      <w:r w:rsidRPr="00A741B8">
        <w:rPr>
          <w:rFonts w:eastAsia="Calibri" w:cs="Arial"/>
          <w:bCs/>
          <w:lang w:val="en-AU"/>
        </w:rPr>
        <w:t xml:space="preserve"> phage P100) as a processing aid to reduce the concentration of </w:t>
      </w:r>
      <w:r w:rsidRPr="00A741B8">
        <w:rPr>
          <w:rFonts w:eastAsia="Calibri" w:cs="Arial"/>
          <w:bCs/>
          <w:i/>
          <w:lang w:val="en-AU"/>
        </w:rPr>
        <w:t>L. monocytogenes</w:t>
      </w:r>
      <w:r w:rsidRPr="00A741B8">
        <w:rPr>
          <w:rFonts w:eastAsia="Calibri" w:cs="Arial"/>
          <w:bCs/>
          <w:lang w:val="en-AU"/>
        </w:rPr>
        <w:t xml:space="preserve"> on solid ready-to-eat (RTE) foods. The Authority considered the Application in accordance with Division 1 of Part 3 and has approved draft variations to Standards 1.3.3 and 1.3.4. </w:t>
      </w:r>
    </w:p>
    <w:p w:rsidR="00A741B8" w:rsidRPr="00A741B8" w:rsidRDefault="00A741B8" w:rsidP="00A741B8">
      <w:pPr>
        <w:autoSpaceDE w:val="0"/>
        <w:autoSpaceDN w:val="0"/>
        <w:adjustRightInd w:val="0"/>
        <w:rPr>
          <w:rFonts w:eastAsia="Calibri" w:cs="Arial"/>
          <w:bCs/>
          <w:lang w:val="en-AU"/>
        </w:rPr>
      </w:pPr>
    </w:p>
    <w:p w:rsidR="00A741B8" w:rsidRPr="00A741B8" w:rsidRDefault="00A741B8" w:rsidP="00A741B8">
      <w:pPr>
        <w:autoSpaceDE w:val="0"/>
        <w:autoSpaceDN w:val="0"/>
        <w:adjustRightInd w:val="0"/>
        <w:rPr>
          <w:rFonts w:eastAsia="Calibri" w:cs="Arial"/>
          <w:bCs/>
          <w:lang w:val="en-AU"/>
        </w:rPr>
      </w:pPr>
      <w:r w:rsidRPr="00A741B8">
        <w:rPr>
          <w:rFonts w:eastAsia="Calibri" w:cs="Arial"/>
          <w:bCs/>
          <w:lang w:val="en-AU"/>
        </w:rPr>
        <w:t xml:space="preserve">Following consideration by </w:t>
      </w:r>
      <w:r w:rsidRPr="00A741B8">
        <w:rPr>
          <w:rFonts w:eastAsia="Times New Roman" w:cs="Arial"/>
          <w:szCs w:val="24"/>
          <w:lang w:bidi="en-US"/>
        </w:rPr>
        <w:t>COAG Legislative and Governance Forum on Food Regulation</w:t>
      </w:r>
      <w:r w:rsidRPr="00A741B8">
        <w:rPr>
          <w:rFonts w:eastAsia="Times New Roman" w:cs="Arial"/>
          <w:szCs w:val="24"/>
          <w:vertAlign w:val="superscript"/>
          <w:lang w:bidi="en-US"/>
        </w:rPr>
        <w:footnoteReference w:id="1"/>
      </w:r>
      <w:r w:rsidRPr="00A741B8">
        <w:rPr>
          <w:rFonts w:eastAsia="Calibri" w:cs="Arial"/>
          <w:bCs/>
          <w:lang w:val="en-AU"/>
        </w:rPr>
        <w:t xml:space="preserve">, section 92 of the FSANZ Act stipulates that the Authority must publish a notice about the standard or draft variation of a standard. </w:t>
      </w:r>
    </w:p>
    <w:p w:rsidR="00A741B8" w:rsidRPr="00A741B8" w:rsidRDefault="00A741B8" w:rsidP="00A741B8">
      <w:pPr>
        <w:autoSpaceDE w:val="0"/>
        <w:autoSpaceDN w:val="0"/>
        <w:adjustRightInd w:val="0"/>
        <w:rPr>
          <w:rFonts w:eastAsia="Calibri" w:cs="Arial"/>
          <w:bCs/>
          <w:lang w:val="en-AU"/>
        </w:rPr>
      </w:pPr>
    </w:p>
    <w:p w:rsidR="00A741B8" w:rsidRPr="00A741B8" w:rsidRDefault="00A741B8" w:rsidP="00A741B8">
      <w:pPr>
        <w:autoSpaceDE w:val="0"/>
        <w:autoSpaceDN w:val="0"/>
        <w:adjustRightInd w:val="0"/>
        <w:ind w:right="-188"/>
        <w:rPr>
          <w:rFonts w:eastAsia="Calibri" w:cs="Arial"/>
          <w:color w:val="000000"/>
          <w:lang w:val="en-AU"/>
        </w:rPr>
      </w:pPr>
      <w:r w:rsidRPr="00A741B8">
        <w:rPr>
          <w:rFonts w:eastAsia="Calibri" w:cs="Arial"/>
          <w:bCs/>
          <w:color w:val="000000"/>
          <w:lang w:val="en-AU"/>
        </w:rPr>
        <w:t>Section 94 of the FSANZ Act specifies that a</w:t>
      </w:r>
      <w:r w:rsidRPr="00A741B8">
        <w:rPr>
          <w:rFonts w:eastAsia="Calibri" w:cs="Arial"/>
          <w:color w:val="000000"/>
          <w:lang w:val="en-AU"/>
        </w:rPr>
        <w:t xml:space="preserve"> standard, or a variation of a standard, in relation to which a notice is published under section 92 is a legislative instrument, but is not subject to parliamentary disallowance or sunsetting under the </w:t>
      </w:r>
      <w:r w:rsidRPr="00A741B8">
        <w:rPr>
          <w:rFonts w:eastAsia="Calibri" w:cs="Arial"/>
          <w:i/>
          <w:color w:val="000000"/>
          <w:lang w:val="en-AU"/>
        </w:rPr>
        <w:t>Legislative Instruments Act 2003</w:t>
      </w:r>
      <w:r w:rsidRPr="00A741B8">
        <w:rPr>
          <w:rFonts w:eastAsia="Calibri" w:cs="Arial"/>
          <w:color w:val="000000"/>
          <w:lang w:val="en-AU"/>
        </w:rPr>
        <w:t>.</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b/>
          <w:szCs w:val="24"/>
          <w:lang w:val="en-AU" w:eastAsia="en-GB"/>
        </w:rPr>
      </w:pPr>
      <w:r w:rsidRPr="00A741B8">
        <w:rPr>
          <w:rFonts w:eastAsia="Times New Roman" w:cs="Times New Roman"/>
          <w:b/>
          <w:szCs w:val="24"/>
          <w:lang w:val="en-AU" w:eastAsia="en-GB"/>
        </w:rPr>
        <w:t>2.</w:t>
      </w:r>
      <w:r w:rsidRPr="00A741B8">
        <w:rPr>
          <w:rFonts w:eastAsia="Times New Roman" w:cs="Times New Roman"/>
          <w:b/>
          <w:szCs w:val="24"/>
          <w:lang w:val="en-AU" w:eastAsia="en-GB"/>
        </w:rPr>
        <w:tab/>
        <w:t>Purpose and operation</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szCs w:val="24"/>
          <w:lang w:val="en-AU" w:eastAsia="en-GB"/>
        </w:rPr>
      </w:pPr>
      <w:r w:rsidRPr="00A741B8">
        <w:rPr>
          <w:rFonts w:eastAsia="Times New Roman" w:cs="Times New Roman"/>
          <w:szCs w:val="24"/>
          <w:lang w:val="en-AU" w:eastAsia="en-GB"/>
        </w:rPr>
        <w:t xml:space="preserve">The Authority has approved permission for the use of P100 as a processing aid to treat the surface of specific solid RTE foods to reduce the concentration of the food pathogen </w:t>
      </w:r>
    </w:p>
    <w:p w:rsidR="00A741B8" w:rsidRPr="00A741B8" w:rsidRDefault="00A741B8" w:rsidP="00A741B8">
      <w:pPr>
        <w:widowControl w:val="0"/>
        <w:rPr>
          <w:rFonts w:eastAsia="Times New Roman" w:cs="Times New Roman"/>
          <w:szCs w:val="24"/>
          <w:lang w:val="en-AU" w:eastAsia="en-GB"/>
        </w:rPr>
      </w:pPr>
      <w:proofErr w:type="gramStart"/>
      <w:r w:rsidRPr="00A741B8">
        <w:rPr>
          <w:rFonts w:eastAsia="Times New Roman" w:cs="Times New Roman"/>
          <w:i/>
          <w:szCs w:val="24"/>
          <w:lang w:val="en-AU" w:eastAsia="en-GB"/>
        </w:rPr>
        <w:t>L. monocytogenes</w:t>
      </w:r>
      <w:r w:rsidRPr="00A741B8">
        <w:rPr>
          <w:rFonts w:eastAsia="Times New Roman" w:cs="Times New Roman"/>
          <w:szCs w:val="24"/>
          <w:lang w:val="en-AU" w:eastAsia="en-GB"/>
        </w:rPr>
        <w:t xml:space="preserve"> under the conditions of GMP.</w:t>
      </w:r>
      <w:proofErr w:type="gramEnd"/>
      <w:r w:rsidRPr="00A741B8">
        <w:rPr>
          <w:rFonts w:eastAsia="Times New Roman" w:cs="Times New Roman"/>
          <w:szCs w:val="24"/>
          <w:lang w:val="en-AU" w:eastAsia="en-GB"/>
        </w:rPr>
        <w:t xml:space="preserve"> The specific RTE foods types that P100 may treat are meat and meat products, fish and fish products, fruit and fruit products, vegetable and vegetable products and cheese. </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szCs w:val="24"/>
          <w:lang w:val="en-AU" w:eastAsia="en-GB"/>
        </w:rPr>
      </w:pPr>
      <w:r w:rsidRPr="00A741B8">
        <w:rPr>
          <w:rFonts w:eastAsia="Times New Roman" w:cs="Times New Roman"/>
          <w:szCs w:val="24"/>
          <w:lang w:val="en-AU" w:eastAsia="en-GB"/>
        </w:rPr>
        <w:t>There are no specifications for P100 in the primary or secondary references in Standard 1.3.4 so a specification for P100 has been inserted into this Standard. Permissions for new processing aids need to be linked to appropriate specifications for the product to ensure only appropriate material is used to treat food.</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b/>
          <w:szCs w:val="24"/>
          <w:lang w:val="en-AU" w:eastAsia="en-GB"/>
        </w:rPr>
      </w:pPr>
      <w:r w:rsidRPr="00A741B8">
        <w:rPr>
          <w:rFonts w:eastAsia="Times New Roman" w:cs="Times New Roman"/>
          <w:b/>
          <w:szCs w:val="24"/>
          <w:lang w:val="en-AU" w:eastAsia="en-GB"/>
        </w:rPr>
        <w:t>3.</w:t>
      </w:r>
      <w:r w:rsidRPr="00A741B8">
        <w:rPr>
          <w:rFonts w:eastAsia="Times New Roman" w:cs="Times New Roman"/>
          <w:b/>
          <w:szCs w:val="24"/>
          <w:lang w:val="en-AU" w:eastAsia="en-GB"/>
        </w:rPr>
        <w:tab/>
        <w:t>Documents incorporated by reference</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autoSpaceDE w:val="0"/>
        <w:autoSpaceDN w:val="0"/>
        <w:adjustRightInd w:val="0"/>
        <w:rPr>
          <w:rFonts w:eastAsia="Calibri" w:cs="Arial"/>
          <w:bCs/>
          <w:lang w:val="en-AU"/>
        </w:rPr>
      </w:pPr>
      <w:r w:rsidRPr="00A741B8">
        <w:rPr>
          <w:rFonts w:eastAsia="Calibri" w:cs="Arial"/>
          <w:bCs/>
          <w:lang w:val="en-AU"/>
        </w:rPr>
        <w:t>The variations to food regulatory measures do not incorporate any documents by reference.</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b/>
          <w:szCs w:val="24"/>
          <w:lang w:val="en-AU" w:eastAsia="en-GB"/>
        </w:rPr>
      </w:pPr>
      <w:r w:rsidRPr="00A741B8">
        <w:rPr>
          <w:rFonts w:eastAsia="Times New Roman" w:cs="Times New Roman"/>
          <w:b/>
          <w:szCs w:val="24"/>
          <w:lang w:val="en-AU" w:eastAsia="en-GB"/>
        </w:rPr>
        <w:t>4.</w:t>
      </w:r>
      <w:r w:rsidRPr="00A741B8">
        <w:rPr>
          <w:rFonts w:eastAsia="Times New Roman" w:cs="Times New Roman"/>
          <w:b/>
          <w:szCs w:val="24"/>
          <w:lang w:val="en-AU" w:eastAsia="en-GB"/>
        </w:rPr>
        <w:tab/>
        <w:t>Consultation</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lang w:bidi="en-US"/>
        </w:rPr>
      </w:pPr>
      <w:r w:rsidRPr="00A741B8">
        <w:rPr>
          <w:rFonts w:eastAsia="Times New Roman" w:cs="Times New Roman"/>
          <w:lang w:bidi="en-US"/>
        </w:rPr>
        <w:t xml:space="preserve">In accordance with the procedure in Division 1 of Part 3 of the FSANZ Act, </w:t>
      </w:r>
      <w:r w:rsidRPr="00A741B8">
        <w:rPr>
          <w:rFonts w:eastAsia="Calibri" w:cs="Arial"/>
          <w:bCs/>
          <w:lang w:val="en-AU"/>
        </w:rPr>
        <w:t>the Authority</w:t>
      </w:r>
      <w:r w:rsidRPr="00A741B8">
        <w:rPr>
          <w:rFonts w:eastAsia="Times New Roman" w:cs="Times New Roman"/>
          <w:lang w:bidi="en-US"/>
        </w:rPr>
        <w:t>’s consideration of A1045 included two rounds of public comment following an assessment and the preparation of draft variations and associated reports.</w:t>
      </w:r>
    </w:p>
    <w:p w:rsidR="00A741B8" w:rsidRPr="00A741B8" w:rsidRDefault="00A741B8" w:rsidP="00A741B8">
      <w:pPr>
        <w:widowControl w:val="0"/>
        <w:rPr>
          <w:rFonts w:eastAsia="Times New Roman" w:cs="Times New Roman"/>
          <w:lang w:bidi="en-US"/>
        </w:rPr>
      </w:pPr>
    </w:p>
    <w:p w:rsidR="00A741B8" w:rsidRPr="00A741B8" w:rsidRDefault="00A741B8" w:rsidP="00A741B8">
      <w:pPr>
        <w:widowControl w:val="0"/>
        <w:rPr>
          <w:rFonts w:eastAsia="Times New Roman" w:cs="Times New Roman"/>
          <w:lang w:bidi="en-US"/>
        </w:rPr>
      </w:pPr>
      <w:r w:rsidRPr="00A741B8">
        <w:rPr>
          <w:rFonts w:eastAsia="Times New Roman" w:cs="Times New Roman"/>
          <w:lang w:bidi="en-US"/>
        </w:rPr>
        <w:t>A summary of the assessment was released in September 2011 for public comment.</w:t>
      </w:r>
      <w:r w:rsidRPr="00A741B8">
        <w:rPr>
          <w:rFonts w:eastAsia="Times New Roman" w:cs="Times New Roman"/>
          <w:lang w:bidi="en-US"/>
        </w:rPr>
        <w:br w:type="page"/>
      </w:r>
    </w:p>
    <w:p w:rsidR="00A741B8" w:rsidRPr="00A741B8" w:rsidRDefault="00A741B8" w:rsidP="00A741B8">
      <w:pPr>
        <w:widowControl w:val="0"/>
        <w:rPr>
          <w:rFonts w:eastAsia="Times New Roman" w:cs="Times New Roman"/>
          <w:lang w:bidi="en-US"/>
        </w:rPr>
      </w:pPr>
      <w:r w:rsidRPr="00A741B8">
        <w:rPr>
          <w:rFonts w:eastAsia="Times New Roman" w:cs="Times New Roman"/>
          <w:lang w:bidi="en-US"/>
        </w:rPr>
        <w:lastRenderedPageBreak/>
        <w:t xml:space="preserve">The draft variations were subsequently released for consultation on 16 March 2012 for a six-week consultation period. </w:t>
      </w:r>
    </w:p>
    <w:p w:rsidR="00A741B8" w:rsidRPr="00A741B8" w:rsidRDefault="00A741B8" w:rsidP="00A741B8">
      <w:pPr>
        <w:widowControl w:val="0"/>
        <w:rPr>
          <w:rFonts w:eastAsia="Times New Roman" w:cs="Times New Roman"/>
          <w:szCs w:val="24"/>
          <w:lang w:val="en-AU" w:bidi="en-US"/>
        </w:rPr>
      </w:pPr>
    </w:p>
    <w:p w:rsidR="00A741B8" w:rsidRPr="00A741B8" w:rsidRDefault="00A741B8" w:rsidP="00A741B8">
      <w:pPr>
        <w:autoSpaceDE w:val="0"/>
        <w:autoSpaceDN w:val="0"/>
        <w:adjustRightInd w:val="0"/>
        <w:rPr>
          <w:rFonts w:eastAsia="Times New Roman" w:cs="Arial"/>
          <w:lang w:bidi="en-US"/>
        </w:rPr>
      </w:pPr>
      <w:r w:rsidRPr="00A741B8">
        <w:rPr>
          <w:rFonts w:eastAsia="Calibri" w:cs="Arial"/>
          <w:bCs/>
          <w:lang w:val="en-AU"/>
        </w:rPr>
        <w:t xml:space="preserve">A Regulation Impact Statement was not required because the proposed variations to Standards 1.3.3 and 1.3.4 </w:t>
      </w:r>
      <w:r w:rsidRPr="00A741B8">
        <w:rPr>
          <w:rFonts w:eastAsia="Times New Roman" w:cs="Times New Roman"/>
          <w:szCs w:val="24"/>
          <w:lang w:bidi="en-US"/>
        </w:rPr>
        <w:t xml:space="preserve">are likely to have a minor impact on business and individuals. </w:t>
      </w:r>
    </w:p>
    <w:p w:rsidR="00A741B8" w:rsidRPr="00A741B8" w:rsidRDefault="00A741B8" w:rsidP="00A741B8">
      <w:pPr>
        <w:rPr>
          <w:rFonts w:eastAsia="Calibri" w:cs="Arial"/>
          <w:b/>
          <w:bCs/>
          <w:lang w:val="en-AU"/>
        </w:rPr>
      </w:pPr>
    </w:p>
    <w:p w:rsidR="00A741B8" w:rsidRPr="00A741B8" w:rsidRDefault="00A741B8" w:rsidP="00A741B8">
      <w:pPr>
        <w:rPr>
          <w:rFonts w:eastAsia="Calibri" w:cs="Arial"/>
          <w:b/>
          <w:bCs/>
          <w:lang w:val="en-AU"/>
        </w:rPr>
      </w:pPr>
      <w:r w:rsidRPr="00A741B8">
        <w:rPr>
          <w:rFonts w:eastAsia="Calibri" w:cs="Arial"/>
          <w:b/>
          <w:bCs/>
          <w:lang w:val="en-AU"/>
        </w:rPr>
        <w:t>5.</w:t>
      </w:r>
      <w:r w:rsidRPr="00A741B8">
        <w:rPr>
          <w:rFonts w:eastAsia="Calibri" w:cs="Arial"/>
          <w:b/>
          <w:bCs/>
          <w:lang w:val="en-AU"/>
        </w:rPr>
        <w:tab/>
        <w:t>Statement of compatibility with human rights</w:t>
      </w:r>
    </w:p>
    <w:p w:rsidR="00A741B8" w:rsidRPr="00A741B8" w:rsidRDefault="00A741B8" w:rsidP="00A741B8">
      <w:pPr>
        <w:widowControl w:val="0"/>
        <w:rPr>
          <w:rFonts w:eastAsia="Calibri" w:cs="Times New Roman"/>
          <w:lang w:val="en-AU"/>
        </w:rPr>
      </w:pPr>
    </w:p>
    <w:p w:rsidR="00A741B8" w:rsidRPr="00A741B8" w:rsidRDefault="00A741B8" w:rsidP="00A741B8">
      <w:pPr>
        <w:widowControl w:val="0"/>
        <w:rPr>
          <w:rFonts w:eastAsia="Calibri" w:cs="Times New Roman"/>
          <w:lang w:val="en-AU"/>
        </w:rPr>
      </w:pPr>
      <w:r w:rsidRPr="00A741B8">
        <w:rPr>
          <w:rFonts w:eastAsia="Calibri" w:cs="Times New Roman"/>
          <w:lang w:val="en-AU"/>
        </w:rPr>
        <w:t>This instrument is exempt from the requirements for a statement of compatibility with human rights as it is a non-disallowable instrument under section 94 of the FSANZ Act.</w:t>
      </w:r>
    </w:p>
    <w:p w:rsidR="00A741B8" w:rsidRPr="00A741B8" w:rsidRDefault="00A741B8" w:rsidP="00A741B8">
      <w:pPr>
        <w:widowControl w:val="0"/>
        <w:rPr>
          <w:rFonts w:eastAsia="Times New Roman" w:cs="Times New Roman"/>
          <w:szCs w:val="24"/>
          <w:lang w:val="en-AU" w:eastAsia="en-GB"/>
        </w:rPr>
      </w:pPr>
    </w:p>
    <w:p w:rsidR="00A741B8" w:rsidRPr="00A741B8" w:rsidRDefault="00A741B8" w:rsidP="00A741B8">
      <w:pPr>
        <w:widowControl w:val="0"/>
        <w:rPr>
          <w:rFonts w:eastAsia="Times New Roman" w:cs="Times New Roman"/>
          <w:b/>
          <w:szCs w:val="24"/>
          <w:lang w:bidi="en-US"/>
        </w:rPr>
      </w:pPr>
      <w:r w:rsidRPr="00A741B8">
        <w:rPr>
          <w:rFonts w:eastAsia="Times New Roman" w:cs="Times New Roman"/>
          <w:b/>
          <w:szCs w:val="24"/>
          <w:lang w:bidi="en-US"/>
        </w:rPr>
        <w:t>6.</w:t>
      </w:r>
      <w:r w:rsidRPr="00A741B8">
        <w:rPr>
          <w:rFonts w:eastAsia="Times New Roman" w:cs="Times New Roman"/>
          <w:b/>
          <w:szCs w:val="24"/>
          <w:lang w:bidi="en-US"/>
        </w:rPr>
        <w:tab/>
        <w:t xml:space="preserve">Variations </w:t>
      </w:r>
    </w:p>
    <w:p w:rsidR="00A741B8" w:rsidRPr="00A741B8" w:rsidRDefault="00A741B8" w:rsidP="00A741B8">
      <w:pPr>
        <w:widowControl w:val="0"/>
        <w:rPr>
          <w:rFonts w:eastAsia="Times New Roman" w:cs="Times New Roman"/>
          <w:szCs w:val="24"/>
          <w:lang w:bidi="en-US"/>
        </w:rPr>
      </w:pPr>
    </w:p>
    <w:p w:rsidR="00A741B8" w:rsidRPr="00A741B8" w:rsidRDefault="00A741B8" w:rsidP="00A741B8">
      <w:pPr>
        <w:widowControl w:val="0"/>
        <w:rPr>
          <w:rFonts w:eastAsia="Times New Roman" w:cs="Times New Roman"/>
          <w:szCs w:val="24"/>
          <w:lang w:bidi="en-US"/>
        </w:rPr>
      </w:pPr>
      <w:r w:rsidRPr="00A741B8">
        <w:rPr>
          <w:rFonts w:eastAsia="Calibri" w:cs="Times New Roman"/>
          <w:iCs/>
          <w:szCs w:val="24"/>
          <w:lang w:val="en-AU"/>
        </w:rPr>
        <w:t xml:space="preserve">Item [1] </w:t>
      </w:r>
      <w:r w:rsidRPr="00A741B8">
        <w:rPr>
          <w:rFonts w:eastAsia="Calibri" w:cs="Times New Roman"/>
          <w:szCs w:val="24"/>
          <w:lang w:val="en-AU"/>
        </w:rPr>
        <w:t xml:space="preserve">inserts an entry for </w:t>
      </w:r>
      <w:r w:rsidRPr="00A741B8">
        <w:rPr>
          <w:rFonts w:eastAsia="Calibri" w:cs="Times New Roman"/>
          <w:i/>
          <w:szCs w:val="24"/>
          <w:lang w:val="en-AU"/>
        </w:rPr>
        <w:t>Listeria</w:t>
      </w:r>
      <w:r w:rsidRPr="00A741B8">
        <w:rPr>
          <w:rFonts w:eastAsia="Calibri" w:cs="Times New Roman"/>
          <w:szCs w:val="24"/>
          <w:lang w:val="en-AU"/>
        </w:rPr>
        <w:t xml:space="preserve"> phage P100 into the Table to clause 14 of Standard 1.3.3 to permit the use of P100 as a processing aid to surface treat specified solid ready-to-eat foods </w:t>
      </w:r>
      <w:r w:rsidRPr="00A741B8">
        <w:rPr>
          <w:rFonts w:eastAsia="Calibri" w:cs="Times New Roman"/>
          <w:iCs/>
          <w:szCs w:val="24"/>
          <w:lang w:val="en-AU"/>
        </w:rPr>
        <w:t>(meat and meat products, fish and fish products, fruit and fruit products, vegetables and vegetable products and cheese)</w:t>
      </w:r>
      <w:r w:rsidRPr="00A741B8">
        <w:rPr>
          <w:rFonts w:eastAsia="Calibri" w:cs="Times New Roman"/>
          <w:szCs w:val="24"/>
          <w:lang w:val="en-AU"/>
        </w:rPr>
        <w:t xml:space="preserve">. P100 can be used at Good Manufacturing Practice (GMP) </w:t>
      </w:r>
      <w:r w:rsidRPr="00A741B8">
        <w:rPr>
          <w:rFonts w:eastAsia="Times New Roman" w:cs="Times New Roman"/>
          <w:szCs w:val="24"/>
          <w:lang w:bidi="en-US"/>
        </w:rPr>
        <w:t>as there is no maximum usage level proposed, and the level of use is as appropriate following GMP.</w:t>
      </w:r>
    </w:p>
    <w:p w:rsidR="00A741B8" w:rsidRPr="00A741B8" w:rsidRDefault="00A741B8" w:rsidP="00A741B8">
      <w:pPr>
        <w:ind w:left="567" w:hanging="567"/>
        <w:rPr>
          <w:rFonts w:eastAsia="Calibri" w:cs="Arial"/>
          <w:bCs/>
          <w:lang w:val="en-AU"/>
        </w:rPr>
      </w:pPr>
    </w:p>
    <w:p w:rsidR="00A741B8" w:rsidRPr="00A741B8" w:rsidRDefault="00A741B8" w:rsidP="00A741B8">
      <w:pPr>
        <w:widowControl w:val="0"/>
        <w:rPr>
          <w:rFonts w:eastAsia="Times New Roman" w:cs="Times New Roman"/>
          <w:szCs w:val="24"/>
          <w:lang w:bidi="en-US"/>
        </w:rPr>
      </w:pPr>
      <w:r w:rsidRPr="00A741B8">
        <w:rPr>
          <w:rFonts w:eastAsia="Calibri" w:cs="Times New Roman"/>
          <w:szCs w:val="24"/>
          <w:lang w:val="en-AU"/>
        </w:rPr>
        <w:t xml:space="preserve">The permission does not apply to whole </w:t>
      </w:r>
      <w:r w:rsidRPr="00A741B8">
        <w:rPr>
          <w:rFonts w:eastAsia="Times New Roman" w:cs="Times New Roman"/>
          <w:szCs w:val="24"/>
          <w:lang w:bidi="en-US"/>
        </w:rPr>
        <w:t>nuts in the shell and raw fruits and vegetables that are intended for hulling, peeling or washing by the consumer, which is part of the existing definition of ready-to-eat foods in Standard 3.2.2.</w:t>
      </w:r>
    </w:p>
    <w:p w:rsidR="00A741B8" w:rsidRPr="00A741B8" w:rsidRDefault="00A741B8" w:rsidP="00A741B8">
      <w:pPr>
        <w:widowControl w:val="0"/>
        <w:rPr>
          <w:rFonts w:eastAsia="Times New Roman" w:cs="Times New Roman"/>
          <w:szCs w:val="24"/>
          <w:lang w:bidi="en-US"/>
        </w:rPr>
      </w:pPr>
    </w:p>
    <w:p w:rsidR="00A741B8" w:rsidRPr="00A741B8" w:rsidRDefault="00A741B8" w:rsidP="00A741B8">
      <w:pPr>
        <w:widowControl w:val="0"/>
        <w:rPr>
          <w:rFonts w:eastAsia="Calibri" w:cs="Times New Roman"/>
          <w:szCs w:val="24"/>
          <w:lang w:val="en-AU"/>
        </w:rPr>
      </w:pPr>
      <w:r w:rsidRPr="00A741B8">
        <w:rPr>
          <w:rFonts w:eastAsia="Calibri" w:cs="Times New Roman"/>
          <w:szCs w:val="24"/>
          <w:lang w:val="en-AU"/>
        </w:rPr>
        <w:t xml:space="preserve">As </w:t>
      </w:r>
      <w:r w:rsidRPr="00A741B8">
        <w:rPr>
          <w:rFonts w:eastAsia="Calibri" w:cs="Times New Roman"/>
          <w:i/>
          <w:iCs/>
          <w:szCs w:val="24"/>
          <w:lang w:val="en-AU"/>
        </w:rPr>
        <w:t>Listeria</w:t>
      </w:r>
      <w:r w:rsidRPr="00A741B8">
        <w:rPr>
          <w:rFonts w:eastAsia="Calibri" w:cs="Times New Roman"/>
          <w:szCs w:val="24"/>
          <w:lang w:val="en-AU"/>
        </w:rPr>
        <w:t xml:space="preserve"> phage P100 may have an ongoing technological function when introduced to liquids, an editorial note has been added after the Table to clause 14 to highlight this property.  An ongoing technological function is a characteristic of food additives and not processing aids.  </w:t>
      </w:r>
      <w:r w:rsidRPr="00A741B8">
        <w:rPr>
          <w:rFonts w:eastAsia="Calibri" w:cs="Times New Roman"/>
          <w:i/>
          <w:szCs w:val="24"/>
          <w:lang w:val="en-AU"/>
        </w:rPr>
        <w:t>Listeria</w:t>
      </w:r>
      <w:r w:rsidRPr="00A741B8">
        <w:rPr>
          <w:rFonts w:eastAsia="Calibri" w:cs="Times New Roman"/>
          <w:szCs w:val="24"/>
          <w:lang w:val="en-AU"/>
        </w:rPr>
        <w:t xml:space="preserve"> phage P100 is not permitted for use as a food additive under Standard 1.3.1.</w:t>
      </w:r>
    </w:p>
    <w:p w:rsidR="00A741B8" w:rsidRPr="00A741B8" w:rsidRDefault="00A741B8" w:rsidP="00A741B8">
      <w:pPr>
        <w:rPr>
          <w:rFonts w:eastAsia="Calibri" w:cs="Arial"/>
          <w:lang w:val="en-AU"/>
        </w:rPr>
      </w:pPr>
    </w:p>
    <w:p w:rsidR="00A741B8" w:rsidRPr="00A741B8" w:rsidRDefault="00A741B8" w:rsidP="00A741B8">
      <w:pPr>
        <w:widowControl w:val="0"/>
        <w:rPr>
          <w:rFonts w:eastAsia="Calibri" w:cs="Times New Roman"/>
          <w:szCs w:val="24"/>
          <w:lang w:val="en-AU"/>
        </w:rPr>
      </w:pPr>
      <w:r w:rsidRPr="00A741B8">
        <w:rPr>
          <w:rFonts w:eastAsia="Calibri" w:cs="Times New Roman"/>
          <w:iCs/>
          <w:szCs w:val="24"/>
          <w:lang w:val="en-AU"/>
        </w:rPr>
        <w:t xml:space="preserve">Item [2] </w:t>
      </w:r>
      <w:r w:rsidRPr="00A741B8">
        <w:rPr>
          <w:rFonts w:eastAsia="Calibri" w:cs="Times New Roman"/>
          <w:szCs w:val="24"/>
          <w:lang w:val="en-AU"/>
        </w:rPr>
        <w:t xml:space="preserve">inserts a specification for </w:t>
      </w:r>
      <w:r w:rsidRPr="00A741B8">
        <w:rPr>
          <w:rFonts w:eastAsia="Calibri" w:cs="Times New Roman"/>
          <w:i/>
          <w:szCs w:val="24"/>
          <w:lang w:val="en-AU"/>
        </w:rPr>
        <w:t>Listeria</w:t>
      </w:r>
      <w:r w:rsidRPr="00A741B8">
        <w:rPr>
          <w:rFonts w:eastAsia="Calibri" w:cs="Times New Roman"/>
          <w:szCs w:val="24"/>
          <w:lang w:val="en-AU"/>
        </w:rPr>
        <w:t xml:space="preserve"> phage P100 into the Schedule to Standard 1.3.4.</w:t>
      </w:r>
    </w:p>
    <w:p w:rsidR="00041643" w:rsidRDefault="00041643"/>
    <w:sectPr w:rsidR="00041643" w:rsidSect="002E5DF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B8" w:rsidRDefault="00A741B8" w:rsidP="00A741B8">
      <w:r>
        <w:separator/>
      </w:r>
    </w:p>
  </w:endnote>
  <w:endnote w:type="continuationSeparator" w:id="0">
    <w:p w:rsidR="00A741B8" w:rsidRDefault="00A741B8" w:rsidP="00A7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2" w:rsidRDefault="002E5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05198"/>
      <w:docPartObj>
        <w:docPartGallery w:val="Page Numbers (Bottom of Page)"/>
        <w:docPartUnique/>
      </w:docPartObj>
    </w:sdtPr>
    <w:sdtEndPr>
      <w:rPr>
        <w:noProof/>
      </w:rPr>
    </w:sdtEndPr>
    <w:sdtContent>
      <w:p w:rsidR="002E5DF2" w:rsidRDefault="002E5DF2" w:rsidP="002E5DF2">
        <w:pPr>
          <w:pStyle w:val="Footer"/>
          <w:jc w:val="center"/>
        </w:pPr>
        <w:r>
          <w:fldChar w:fldCharType="begin"/>
        </w:r>
        <w:r>
          <w:instrText xml:space="preserve"> PAGE   \* MERGEFORMAT </w:instrText>
        </w:r>
        <w:r>
          <w:fldChar w:fldCharType="separate"/>
        </w:r>
        <w:r w:rsidR="008B71B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2" w:rsidRDefault="002E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B8" w:rsidRDefault="00A741B8" w:rsidP="00A741B8">
      <w:r>
        <w:separator/>
      </w:r>
    </w:p>
  </w:footnote>
  <w:footnote w:type="continuationSeparator" w:id="0">
    <w:p w:rsidR="00A741B8" w:rsidRDefault="00A741B8" w:rsidP="00A741B8">
      <w:r>
        <w:continuationSeparator/>
      </w:r>
    </w:p>
  </w:footnote>
  <w:footnote w:id="1">
    <w:p w:rsidR="00A741B8" w:rsidRPr="002C4C5E" w:rsidRDefault="00A741B8" w:rsidP="00A741B8">
      <w:pPr>
        <w:pStyle w:val="FootnoteText"/>
        <w:rPr>
          <w:szCs w:val="18"/>
          <w:lang w:val="en-AU"/>
        </w:rPr>
      </w:pPr>
      <w:r w:rsidRPr="002C4C5E">
        <w:rPr>
          <w:rStyle w:val="FootnoteReference"/>
          <w:szCs w:val="18"/>
        </w:rPr>
        <w:footnoteRef/>
      </w:r>
      <w:r w:rsidRPr="002C4C5E">
        <w:rPr>
          <w:szCs w:val="18"/>
        </w:rPr>
        <w:t xml:space="preserve"> </w:t>
      </w:r>
      <w:r w:rsidRPr="002C4C5E">
        <w:rPr>
          <w:szCs w:val="18"/>
          <w:lang w:val="en-AU"/>
        </w:rPr>
        <w:t>Previously known as the Australia and New Zealand Food Regulation Ministerial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2" w:rsidRDefault="002E5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2" w:rsidRDefault="002E5D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2" w:rsidRDefault="002E5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B8"/>
    <w:rsid w:val="00041643"/>
    <w:rsid w:val="001E696B"/>
    <w:rsid w:val="002E5DF2"/>
    <w:rsid w:val="0054036E"/>
    <w:rsid w:val="008931F6"/>
    <w:rsid w:val="008B71BE"/>
    <w:rsid w:val="00A741B8"/>
    <w:rsid w:val="00BD4180"/>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styleId="FootnoteReference">
    <w:name w:val="footnote reference"/>
    <w:basedOn w:val="DefaultParagraphFont"/>
    <w:uiPriority w:val="99"/>
    <w:rsid w:val="00A741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styleId="FootnoteReference">
    <w:name w:val="footnote reference"/>
    <w:basedOn w:val="DefaultParagraphFont"/>
    <w:uiPriority w:val="99"/>
    <w:rsid w:val="00A74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Seamons, Colleen</dc:creator>
  <cp:lastModifiedBy>Humphries, Cathie</cp:lastModifiedBy>
  <cp:revision>4</cp:revision>
  <dcterms:created xsi:type="dcterms:W3CDTF">2012-08-10T04:46:00Z</dcterms:created>
  <dcterms:modified xsi:type="dcterms:W3CDTF">2012-09-13T06:36:00Z</dcterms:modified>
</cp:coreProperties>
</file>