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10" w:rsidRPr="00A94C87" w:rsidRDefault="0085704F" w:rsidP="00F74683">
      <w:pPr>
        <w:spacing w:before="120" w:after="120"/>
        <w:jc w:val="center"/>
        <w:rPr>
          <w:rFonts w:cs="Arial"/>
          <w:b/>
          <w:i/>
        </w:rPr>
      </w:pPr>
      <w:r w:rsidRPr="00A94C87">
        <w:rPr>
          <w:rFonts w:cs="Arial"/>
          <w:b/>
          <w:i/>
        </w:rPr>
        <w:t>Legislative Instruments Act 2003</w:t>
      </w:r>
    </w:p>
    <w:p w:rsidR="00F74683" w:rsidRDefault="00F04010" w:rsidP="00F74683">
      <w:pPr>
        <w:spacing w:before="120" w:after="120"/>
        <w:jc w:val="center"/>
        <w:rPr>
          <w:rFonts w:cs="Arial"/>
          <w:b/>
        </w:rPr>
      </w:pPr>
      <w:r w:rsidRPr="00A94C87">
        <w:rPr>
          <w:rFonts w:cs="Arial"/>
          <w:b/>
        </w:rPr>
        <w:t xml:space="preserve">Section 26 </w:t>
      </w:r>
      <w:r w:rsidR="00E66F7A">
        <w:rPr>
          <w:rFonts w:cs="Arial"/>
          <w:b/>
        </w:rPr>
        <w:t>–</w:t>
      </w:r>
      <w:r w:rsidRPr="00A94C87">
        <w:rPr>
          <w:rFonts w:cs="Arial"/>
          <w:b/>
        </w:rPr>
        <w:t xml:space="preserve"> </w:t>
      </w:r>
      <w:r w:rsidR="00F74683" w:rsidRPr="00A94C87">
        <w:rPr>
          <w:rFonts w:cs="Arial"/>
          <w:b/>
        </w:rPr>
        <w:t>Explanatory Statement</w:t>
      </w:r>
    </w:p>
    <w:p w:rsidR="00397E21" w:rsidRPr="00A94C87" w:rsidRDefault="00397E21" w:rsidP="00F74683">
      <w:pPr>
        <w:spacing w:before="120" w:after="120"/>
        <w:jc w:val="center"/>
        <w:rPr>
          <w:rFonts w:cs="Arial"/>
          <w:b/>
        </w:rPr>
      </w:pPr>
    </w:p>
    <w:p w:rsidR="00F74683" w:rsidRPr="00A94C87" w:rsidRDefault="008459CC" w:rsidP="00F74683">
      <w:pPr>
        <w:spacing w:before="120" w:after="120"/>
        <w:jc w:val="center"/>
        <w:rPr>
          <w:rFonts w:cs="Arial"/>
          <w:b/>
          <w:i/>
        </w:rPr>
      </w:pPr>
      <w:r w:rsidRPr="00C36F68">
        <w:rPr>
          <w:rFonts w:cs="Arial"/>
          <w:b/>
          <w:i/>
        </w:rPr>
        <w:t>Br</w:t>
      </w:r>
      <w:r w:rsidR="00A92E42" w:rsidRPr="00C36F68">
        <w:rPr>
          <w:rFonts w:cs="Arial"/>
          <w:b/>
          <w:i/>
        </w:rPr>
        <w:t xml:space="preserve">oadcasting Services </w:t>
      </w:r>
      <w:r w:rsidR="00C36F68" w:rsidRPr="00C36F68">
        <w:rPr>
          <w:rFonts w:cs="Arial"/>
          <w:b/>
          <w:i/>
        </w:rPr>
        <w:t>(Regional Commercial Radio</w:t>
      </w:r>
      <w:r w:rsidR="00A15D18">
        <w:rPr>
          <w:rFonts w:cs="Arial"/>
          <w:b/>
          <w:i/>
        </w:rPr>
        <w:t xml:space="preserve"> </w:t>
      </w:r>
      <w:r w:rsidR="00C36F68" w:rsidRPr="00C36F68">
        <w:rPr>
          <w:rFonts w:cs="Arial"/>
          <w:b/>
          <w:i/>
        </w:rPr>
        <w:t xml:space="preserve">– Material of Local Significance) </w:t>
      </w:r>
      <w:r w:rsidR="00A15D18">
        <w:rPr>
          <w:rFonts w:cs="Arial"/>
          <w:b/>
          <w:i/>
        </w:rPr>
        <w:t xml:space="preserve">Licence Condition </w:t>
      </w:r>
      <w:r w:rsidRPr="00A15D18">
        <w:rPr>
          <w:rFonts w:cs="Arial"/>
          <w:b/>
          <w:i/>
        </w:rPr>
        <w:t>2012</w:t>
      </w:r>
      <w:r w:rsidRPr="00A94C87">
        <w:rPr>
          <w:rFonts w:cs="Arial"/>
          <w:b/>
          <w:i/>
        </w:rPr>
        <w:t xml:space="preserve"> </w:t>
      </w:r>
      <w:r w:rsidR="00F74683" w:rsidRPr="00A94C87">
        <w:rPr>
          <w:rFonts w:cs="Arial"/>
          <w:b/>
        </w:rPr>
        <w:t xml:space="preserve">made under the </w:t>
      </w:r>
      <w:r w:rsidR="00F74683" w:rsidRPr="00A94C87">
        <w:rPr>
          <w:rFonts w:cs="Arial"/>
          <w:b/>
          <w:i/>
        </w:rPr>
        <w:t>Broadcasting Services Act 1992</w:t>
      </w:r>
    </w:p>
    <w:p w:rsidR="00F74683" w:rsidRPr="00A94C87" w:rsidRDefault="00F74683" w:rsidP="00F74683">
      <w:pPr>
        <w:spacing w:before="120" w:after="120"/>
        <w:jc w:val="center"/>
        <w:rPr>
          <w:rFonts w:cs="Arial"/>
          <w:b/>
        </w:rPr>
      </w:pPr>
    </w:p>
    <w:p w:rsidR="00F74683" w:rsidRPr="00A94C87" w:rsidRDefault="00F74683" w:rsidP="00625363">
      <w:pPr>
        <w:spacing w:before="120" w:after="120"/>
        <w:jc w:val="center"/>
        <w:rPr>
          <w:rFonts w:cs="Arial"/>
          <w:b/>
        </w:rPr>
      </w:pPr>
      <w:r w:rsidRPr="00A94C87">
        <w:rPr>
          <w:rFonts w:cs="Arial"/>
          <w:b/>
        </w:rPr>
        <w:t>Issued by the Australian Communications and Media Authority</w:t>
      </w:r>
    </w:p>
    <w:p w:rsidR="00F04010" w:rsidRPr="00625363" w:rsidRDefault="00625363" w:rsidP="00625363">
      <w:pPr>
        <w:spacing w:before="240" w:after="120" w:line="240" w:lineRule="atLeast"/>
        <w:jc w:val="both"/>
        <w:rPr>
          <w:rFonts w:cs="Arial"/>
          <w:b/>
        </w:rPr>
      </w:pPr>
      <w:r w:rsidRPr="00625363">
        <w:rPr>
          <w:b/>
        </w:rPr>
        <w:t>Purpose</w:t>
      </w:r>
      <w:r>
        <w:rPr>
          <w:b/>
        </w:rPr>
        <w:t xml:space="preserve"> and legislative basis</w:t>
      </w:r>
    </w:p>
    <w:p w:rsidR="0031542D" w:rsidRDefault="00F04010" w:rsidP="0085704F">
      <w:pPr>
        <w:spacing w:before="120" w:after="120" w:line="240" w:lineRule="atLeast"/>
        <w:jc w:val="both"/>
        <w:rPr>
          <w:rFonts w:cs="Arial"/>
        </w:rPr>
      </w:pPr>
      <w:r w:rsidRPr="005E2BAE">
        <w:rPr>
          <w:rFonts w:cs="Arial"/>
        </w:rPr>
        <w:t xml:space="preserve">On </w:t>
      </w:r>
      <w:r w:rsidR="00ED1158">
        <w:rPr>
          <w:rFonts w:cs="Arial"/>
        </w:rPr>
        <w:t>2</w:t>
      </w:r>
      <w:r w:rsidR="00B40C9E">
        <w:rPr>
          <w:rFonts w:cs="Arial"/>
        </w:rPr>
        <w:t>1</w:t>
      </w:r>
      <w:r w:rsidR="00ED1158">
        <w:rPr>
          <w:rFonts w:cs="Arial"/>
        </w:rPr>
        <w:t xml:space="preserve"> September 2012,</w:t>
      </w:r>
      <w:r w:rsidR="0085704F" w:rsidRPr="005E2BAE">
        <w:rPr>
          <w:rFonts w:cs="Arial"/>
          <w:b/>
        </w:rPr>
        <w:t xml:space="preserve"> </w:t>
      </w:r>
      <w:r w:rsidRPr="005E2BAE">
        <w:rPr>
          <w:rFonts w:cs="Arial"/>
        </w:rPr>
        <w:t xml:space="preserve">the Australian Communications and Media Authority (the </w:t>
      </w:r>
      <w:r w:rsidR="008975D7" w:rsidRPr="005E2BAE">
        <w:rPr>
          <w:rFonts w:cs="Arial"/>
          <w:b/>
        </w:rPr>
        <w:t>ACMA</w:t>
      </w:r>
      <w:r w:rsidRPr="005E2BAE">
        <w:rPr>
          <w:rFonts w:cs="Arial"/>
        </w:rPr>
        <w:t>) determined t</w:t>
      </w:r>
      <w:r w:rsidR="00F74683" w:rsidRPr="005E2BAE">
        <w:rPr>
          <w:rFonts w:cs="Arial"/>
        </w:rPr>
        <w:t>he</w:t>
      </w:r>
      <w:r w:rsidR="00F74683" w:rsidRPr="00A94C87">
        <w:rPr>
          <w:rFonts w:cs="Arial"/>
        </w:rPr>
        <w:t xml:space="preserve"> </w:t>
      </w:r>
      <w:r w:rsidR="00A92E42" w:rsidRPr="000437A8">
        <w:rPr>
          <w:rFonts w:cs="Arial"/>
          <w:i/>
        </w:rPr>
        <w:t xml:space="preserve">Broadcasting Services </w:t>
      </w:r>
      <w:r w:rsidR="00C36F68" w:rsidRPr="000437A8">
        <w:rPr>
          <w:rFonts w:cs="Arial"/>
          <w:i/>
        </w:rPr>
        <w:t>(Regional Commercial Radio</w:t>
      </w:r>
      <w:r w:rsidR="00A15D18">
        <w:rPr>
          <w:rFonts w:cs="Arial"/>
          <w:i/>
        </w:rPr>
        <w:t xml:space="preserve"> </w:t>
      </w:r>
      <w:r w:rsidR="00C36F68" w:rsidRPr="000437A8">
        <w:rPr>
          <w:rFonts w:cs="Arial"/>
          <w:i/>
        </w:rPr>
        <w:t xml:space="preserve">– Material of Local </w:t>
      </w:r>
      <w:r w:rsidR="00C36F68" w:rsidRPr="00A15D18">
        <w:rPr>
          <w:rFonts w:cs="Arial"/>
          <w:i/>
        </w:rPr>
        <w:t xml:space="preserve">Significance) </w:t>
      </w:r>
      <w:r w:rsidR="00A15D18" w:rsidRPr="00A15D18">
        <w:rPr>
          <w:rFonts w:cs="Arial"/>
          <w:i/>
        </w:rPr>
        <w:t xml:space="preserve">Licence Condition </w:t>
      </w:r>
      <w:r w:rsidR="0085704F" w:rsidRPr="00A15D18">
        <w:rPr>
          <w:rFonts w:cs="Arial"/>
          <w:i/>
        </w:rPr>
        <w:t>2012</w:t>
      </w:r>
      <w:r w:rsidR="008459CC" w:rsidRPr="00A15D18">
        <w:rPr>
          <w:rFonts w:cs="Arial"/>
        </w:rPr>
        <w:t xml:space="preserve"> </w:t>
      </w:r>
      <w:r w:rsidR="00F74683" w:rsidRPr="00A15D18">
        <w:rPr>
          <w:rFonts w:cs="Arial"/>
        </w:rPr>
        <w:t>(</w:t>
      </w:r>
      <w:r w:rsidR="00F74683" w:rsidRPr="000437A8">
        <w:rPr>
          <w:rFonts w:cs="Arial"/>
        </w:rPr>
        <w:t xml:space="preserve">the </w:t>
      </w:r>
      <w:r w:rsidR="008975D7" w:rsidRPr="008975D7">
        <w:rPr>
          <w:rFonts w:cs="Arial"/>
          <w:b/>
        </w:rPr>
        <w:t>Instrument</w:t>
      </w:r>
      <w:r w:rsidR="00F74683" w:rsidRPr="000437A8">
        <w:rPr>
          <w:rFonts w:cs="Arial"/>
        </w:rPr>
        <w:t>)</w:t>
      </w:r>
      <w:r w:rsidRPr="000437A8">
        <w:rPr>
          <w:rFonts w:cs="Arial"/>
        </w:rPr>
        <w:t>.</w:t>
      </w:r>
      <w:r w:rsidR="00F74683" w:rsidRPr="00A94C87">
        <w:rPr>
          <w:rFonts w:cs="Arial"/>
        </w:rPr>
        <w:t xml:space="preserve"> </w:t>
      </w:r>
    </w:p>
    <w:p w:rsidR="0085704F" w:rsidRPr="00C36F68" w:rsidRDefault="00497120" w:rsidP="0085704F">
      <w:pPr>
        <w:spacing w:before="120" w:after="120" w:line="240" w:lineRule="atLeast"/>
        <w:jc w:val="both"/>
        <w:rPr>
          <w:rFonts w:cs="Arial"/>
          <w:i/>
          <w:highlight w:val="yellow"/>
        </w:rPr>
      </w:pPr>
      <w:r w:rsidRPr="00A94C87">
        <w:rPr>
          <w:rFonts w:cs="Arial"/>
        </w:rPr>
        <w:t xml:space="preserve">The </w:t>
      </w:r>
      <w:r>
        <w:rPr>
          <w:rFonts w:cs="Arial"/>
        </w:rPr>
        <w:t>Instrument</w:t>
      </w:r>
      <w:r w:rsidRPr="000437A8">
        <w:rPr>
          <w:rFonts w:cs="Arial"/>
        </w:rPr>
        <w:t xml:space="preserve"> </w:t>
      </w:r>
      <w:r w:rsidRPr="00A94C87">
        <w:rPr>
          <w:rFonts w:cs="Arial"/>
        </w:rPr>
        <w:t xml:space="preserve">replaces the </w:t>
      </w:r>
      <w:r w:rsidRPr="000437A8">
        <w:rPr>
          <w:rFonts w:cs="Arial"/>
          <w:i/>
        </w:rPr>
        <w:t xml:space="preserve">Broadcasting Services (Additional Regional Commercial Radio Licence Condition – Material of Local Significance) Notice 19 December 2007 </w:t>
      </w:r>
      <w:r w:rsidRPr="000437A8">
        <w:rPr>
          <w:rFonts w:cs="Arial"/>
        </w:rPr>
        <w:t>(the</w:t>
      </w:r>
      <w:r w:rsidRPr="00A94C87">
        <w:rPr>
          <w:rFonts w:cs="Arial"/>
        </w:rPr>
        <w:t xml:space="preserve"> </w:t>
      </w:r>
      <w:r w:rsidR="008975D7" w:rsidRPr="008975D7">
        <w:rPr>
          <w:rFonts w:cs="Arial"/>
          <w:b/>
        </w:rPr>
        <w:t xml:space="preserve">2007 </w:t>
      </w:r>
      <w:r w:rsidR="006B543D">
        <w:rPr>
          <w:rFonts w:cs="Arial"/>
          <w:b/>
        </w:rPr>
        <w:t>L</w:t>
      </w:r>
      <w:r w:rsidR="008975D7" w:rsidRPr="008975D7">
        <w:rPr>
          <w:rFonts w:cs="Arial"/>
          <w:b/>
        </w:rPr>
        <w:t xml:space="preserve">icence </w:t>
      </w:r>
      <w:r w:rsidR="006B543D">
        <w:rPr>
          <w:rFonts w:cs="Arial"/>
          <w:b/>
        </w:rPr>
        <w:t>C</w:t>
      </w:r>
      <w:r w:rsidR="008975D7" w:rsidRPr="008975D7">
        <w:rPr>
          <w:rFonts w:cs="Arial"/>
          <w:b/>
        </w:rPr>
        <w:t>ondition</w:t>
      </w:r>
      <w:r w:rsidRPr="00A94C87">
        <w:rPr>
          <w:rFonts w:cs="Arial"/>
        </w:rPr>
        <w:t xml:space="preserve">). </w:t>
      </w:r>
    </w:p>
    <w:p w:rsidR="00F74683" w:rsidRPr="00A94C87" w:rsidRDefault="00497120" w:rsidP="00F74683">
      <w:pPr>
        <w:spacing w:after="80"/>
        <w:rPr>
          <w:rFonts w:cs="Arial"/>
        </w:rPr>
      </w:pPr>
      <w:r w:rsidRPr="00A94C87">
        <w:rPr>
          <w:rFonts w:cs="Arial"/>
        </w:rPr>
        <w:t xml:space="preserve">The ACMA determined the </w:t>
      </w:r>
      <w:r>
        <w:rPr>
          <w:rFonts w:cs="Arial"/>
        </w:rPr>
        <w:t>Instrument</w:t>
      </w:r>
      <w:r w:rsidRPr="00A92E42">
        <w:rPr>
          <w:rFonts w:cs="Arial"/>
        </w:rPr>
        <w:t xml:space="preserve"> </w:t>
      </w:r>
      <w:r w:rsidRPr="00A94C87">
        <w:rPr>
          <w:rFonts w:cs="Arial"/>
        </w:rPr>
        <w:t xml:space="preserve">under </w:t>
      </w:r>
      <w:r w:rsidRPr="000437A8">
        <w:rPr>
          <w:rFonts w:cs="Arial"/>
        </w:rPr>
        <w:t xml:space="preserve">subsection 43(1) of the </w:t>
      </w:r>
      <w:r w:rsidRPr="000437A8">
        <w:rPr>
          <w:rFonts w:cs="Arial"/>
          <w:i/>
        </w:rPr>
        <w:t>Broadcasting Services Act 1992</w:t>
      </w:r>
      <w:r w:rsidRPr="000437A8">
        <w:rPr>
          <w:rFonts w:cs="Arial"/>
        </w:rPr>
        <w:t xml:space="preserve"> (the </w:t>
      </w:r>
      <w:r w:rsidR="008975D7" w:rsidRPr="008975D7">
        <w:rPr>
          <w:rFonts w:cs="Arial"/>
          <w:b/>
        </w:rPr>
        <w:t>BSA</w:t>
      </w:r>
      <w:r w:rsidRPr="000437A8">
        <w:rPr>
          <w:rFonts w:cs="Arial"/>
        </w:rPr>
        <w:t>)</w:t>
      </w:r>
      <w:r>
        <w:rPr>
          <w:rFonts w:cs="Arial"/>
        </w:rPr>
        <w:t xml:space="preserve"> which</w:t>
      </w:r>
      <w:r w:rsidRPr="00A94C87">
        <w:rPr>
          <w:rFonts w:cs="Arial"/>
        </w:rPr>
        <w:t xml:space="preserve"> provides that: </w:t>
      </w:r>
    </w:p>
    <w:p w:rsidR="00E44114" w:rsidRPr="00A94C87" w:rsidRDefault="000437A8" w:rsidP="008F35BD">
      <w:pPr>
        <w:spacing w:before="120" w:after="120" w:line="240" w:lineRule="atLeast"/>
        <w:ind w:left="567"/>
        <w:rPr>
          <w:rFonts w:cs="Arial"/>
        </w:rPr>
      </w:pPr>
      <w:r w:rsidRPr="008F35BD">
        <w:rPr>
          <w:rFonts w:cs="Arial"/>
        </w:rPr>
        <w:t xml:space="preserve">The ACMA may, by notice in writing given to a commercial television broadcasting licensee or a commercial </w:t>
      </w:r>
      <w:r w:rsidR="008F35BD" w:rsidRPr="008F35BD">
        <w:rPr>
          <w:rFonts w:cs="Arial"/>
        </w:rPr>
        <w:t>radio</w:t>
      </w:r>
      <w:r w:rsidRPr="008F35BD">
        <w:rPr>
          <w:rFonts w:cs="Arial"/>
        </w:rPr>
        <w:t xml:space="preserve"> broadcasting licensee, vary or revoke a condition of</w:t>
      </w:r>
      <w:r w:rsidR="008F35BD" w:rsidRPr="008F35BD">
        <w:rPr>
          <w:rFonts w:cs="Arial"/>
        </w:rPr>
        <w:t xml:space="preserve"> </w:t>
      </w:r>
      <w:r w:rsidRPr="008F35BD">
        <w:rPr>
          <w:rFonts w:cs="Arial"/>
        </w:rPr>
        <w:t>the licence or impose an additional condition on the licence</w:t>
      </w:r>
      <w:r w:rsidR="00E44114" w:rsidRPr="008F35BD">
        <w:rPr>
          <w:rFonts w:cs="Arial"/>
        </w:rPr>
        <w:t>.</w:t>
      </w:r>
    </w:p>
    <w:p w:rsidR="00F74683" w:rsidRPr="00A94C87" w:rsidRDefault="00F74683" w:rsidP="00F74683">
      <w:pPr>
        <w:spacing w:before="120" w:after="120" w:line="240" w:lineRule="atLeast"/>
        <w:jc w:val="both"/>
        <w:rPr>
          <w:rFonts w:cs="Arial"/>
          <w:b/>
        </w:rPr>
      </w:pPr>
      <w:r w:rsidRPr="00A94C87">
        <w:rPr>
          <w:rFonts w:cs="Arial"/>
          <w:b/>
        </w:rPr>
        <w:t>Background</w:t>
      </w:r>
    </w:p>
    <w:p w:rsidR="008F35BD" w:rsidRDefault="008F35BD" w:rsidP="00F74683">
      <w:pPr>
        <w:spacing w:before="120" w:after="120" w:line="240" w:lineRule="atLeast"/>
        <w:jc w:val="both"/>
        <w:rPr>
          <w:rFonts w:cs="Arial"/>
        </w:rPr>
      </w:pPr>
      <w:r>
        <w:rPr>
          <w:rFonts w:cs="Arial"/>
        </w:rPr>
        <w:t xml:space="preserve">Since 2008, </w:t>
      </w:r>
      <w:r w:rsidRPr="008F35BD">
        <w:rPr>
          <w:rFonts w:cs="Arial"/>
        </w:rPr>
        <w:t xml:space="preserve">section 43C of the BSA </w:t>
      </w:r>
      <w:r>
        <w:rPr>
          <w:rFonts w:cs="Arial"/>
        </w:rPr>
        <w:t xml:space="preserve">has </w:t>
      </w:r>
      <w:r w:rsidRPr="008F35BD">
        <w:rPr>
          <w:rFonts w:cs="Arial"/>
        </w:rPr>
        <w:t>require</w:t>
      </w:r>
      <w:r>
        <w:rPr>
          <w:rFonts w:cs="Arial"/>
        </w:rPr>
        <w:t>d</w:t>
      </w:r>
      <w:r w:rsidRPr="008F35BD">
        <w:rPr>
          <w:rFonts w:cs="Arial"/>
        </w:rPr>
        <w:t xml:space="preserve"> the ACMA to ensure that there is in force under section 43 of the BSA a condition that has the effect of requiring the licensee of a regional commercial radio broadcasting licence to broadcast</w:t>
      </w:r>
      <w:r w:rsidR="0008051E">
        <w:rPr>
          <w:rFonts w:cs="Arial"/>
        </w:rPr>
        <w:t>,</w:t>
      </w:r>
      <w:r w:rsidRPr="008F35BD">
        <w:rPr>
          <w:rFonts w:cs="Arial"/>
        </w:rPr>
        <w:t xml:space="preserve"> during daytime hours each business day, at least the applicable numbers of hours of material of local significance</w:t>
      </w:r>
      <w:r w:rsidR="00D964EB">
        <w:rPr>
          <w:rFonts w:cs="Arial"/>
        </w:rPr>
        <w:t xml:space="preserve"> (the </w:t>
      </w:r>
      <w:r w:rsidR="008975D7" w:rsidRPr="008975D7">
        <w:rPr>
          <w:rFonts w:cs="Arial"/>
          <w:b/>
        </w:rPr>
        <w:t>local content obligation</w:t>
      </w:r>
      <w:r w:rsidR="00D964EB">
        <w:rPr>
          <w:rFonts w:cs="Arial"/>
        </w:rPr>
        <w:t>)</w:t>
      </w:r>
      <w:r>
        <w:rPr>
          <w:rFonts w:cs="Arial"/>
        </w:rPr>
        <w:t>.</w:t>
      </w:r>
    </w:p>
    <w:p w:rsidR="008F35BD" w:rsidRDefault="00D964EB" w:rsidP="00F74683">
      <w:pPr>
        <w:spacing w:before="120" w:after="120" w:line="240" w:lineRule="atLeast"/>
        <w:jc w:val="both"/>
        <w:rPr>
          <w:rFonts w:cs="Arial"/>
        </w:rPr>
      </w:pPr>
      <w:r>
        <w:rPr>
          <w:rFonts w:cs="Arial"/>
        </w:rPr>
        <w:t>T</w:t>
      </w:r>
      <w:r w:rsidR="00A84FA8">
        <w:rPr>
          <w:rFonts w:cs="Arial"/>
        </w:rPr>
        <w:t>he</w:t>
      </w:r>
      <w:r w:rsidR="00A15D18">
        <w:rPr>
          <w:rFonts w:cs="Arial"/>
        </w:rPr>
        <w:t xml:space="preserve"> </w:t>
      </w:r>
      <w:r w:rsidR="00A15D18" w:rsidRPr="005E2BAE">
        <w:rPr>
          <w:rFonts w:cs="Arial"/>
          <w:i/>
        </w:rPr>
        <w:t>Broadcasting Services Amendment (Regional Commercial Radio) Act 2012</w:t>
      </w:r>
      <w:r w:rsidR="00A84FA8" w:rsidRPr="005E2BAE">
        <w:rPr>
          <w:rFonts w:cs="Arial"/>
          <w:i/>
        </w:rPr>
        <w:t xml:space="preserve"> </w:t>
      </w:r>
      <w:r w:rsidR="008975D7" w:rsidRPr="005E2BAE">
        <w:rPr>
          <w:rFonts w:cs="Arial"/>
          <w:i/>
        </w:rPr>
        <w:t>(</w:t>
      </w:r>
      <w:r w:rsidR="008975D7" w:rsidRPr="005E2BAE">
        <w:rPr>
          <w:rFonts w:cs="Arial"/>
        </w:rPr>
        <w:t xml:space="preserve">the </w:t>
      </w:r>
      <w:r w:rsidR="008975D7" w:rsidRPr="005E2BAE">
        <w:rPr>
          <w:rFonts w:cs="Arial"/>
          <w:b/>
        </w:rPr>
        <w:t>Amending Act</w:t>
      </w:r>
      <w:r w:rsidR="008975D7" w:rsidRPr="005E2BAE">
        <w:rPr>
          <w:rFonts w:cs="Arial"/>
          <w:i/>
        </w:rPr>
        <w:t>)</w:t>
      </w:r>
      <w:r w:rsidR="004A0CE2" w:rsidRPr="005E2BAE">
        <w:rPr>
          <w:rFonts w:cs="Arial"/>
          <w:i/>
        </w:rPr>
        <w:t xml:space="preserve"> </w:t>
      </w:r>
      <w:r w:rsidRPr="005E2BAE">
        <w:rPr>
          <w:rFonts w:cs="Arial"/>
        </w:rPr>
        <w:t xml:space="preserve">made some changes to the local content obligation, </w:t>
      </w:r>
      <w:r w:rsidR="004B2A8D" w:rsidRPr="005E2BAE">
        <w:rPr>
          <w:rFonts w:cs="Arial"/>
        </w:rPr>
        <w:t xml:space="preserve">including exempting certain types of regional commercial radio </w:t>
      </w:r>
      <w:r w:rsidR="0008051E" w:rsidRPr="005E2BAE">
        <w:rPr>
          <w:rFonts w:cs="Arial"/>
        </w:rPr>
        <w:t xml:space="preserve">broadcasting </w:t>
      </w:r>
      <w:r w:rsidR="004B2A8D" w:rsidRPr="005E2BAE">
        <w:rPr>
          <w:rFonts w:cs="Arial"/>
        </w:rPr>
        <w:t xml:space="preserve">licences from the </w:t>
      </w:r>
      <w:r w:rsidRPr="005E2BAE">
        <w:rPr>
          <w:rFonts w:cs="Arial"/>
        </w:rPr>
        <w:t xml:space="preserve">local content </w:t>
      </w:r>
      <w:r w:rsidR="004B2A8D" w:rsidRPr="005E2BAE">
        <w:rPr>
          <w:rFonts w:cs="Arial"/>
        </w:rPr>
        <w:t>obligation</w:t>
      </w:r>
      <w:r w:rsidR="0008051E" w:rsidRPr="005E2BAE">
        <w:rPr>
          <w:rFonts w:cs="Arial"/>
        </w:rPr>
        <w:t xml:space="preserve"> and providing licensees with a</w:t>
      </w:r>
      <w:r w:rsidR="004A0CE2" w:rsidRPr="005E2BAE">
        <w:rPr>
          <w:rFonts w:cs="Arial"/>
        </w:rPr>
        <w:t xml:space="preserve">n </w:t>
      </w:r>
      <w:r w:rsidR="008975D7" w:rsidRPr="005E2BAE">
        <w:rPr>
          <w:rFonts w:cs="Arial"/>
        </w:rPr>
        <w:t>annual</w:t>
      </w:r>
      <w:r w:rsidR="0008051E" w:rsidRPr="005E2BAE">
        <w:rPr>
          <w:rFonts w:cs="Arial"/>
        </w:rPr>
        <w:t xml:space="preserve"> five week ‘holiday’ from the local content obligation</w:t>
      </w:r>
      <w:r w:rsidR="003F1988" w:rsidRPr="005E2BAE">
        <w:rPr>
          <w:rFonts w:cs="Arial"/>
        </w:rPr>
        <w:t xml:space="preserve">. </w:t>
      </w:r>
      <w:r w:rsidRPr="005E2BAE">
        <w:rPr>
          <w:rFonts w:cs="Arial"/>
        </w:rPr>
        <w:t>T</w:t>
      </w:r>
      <w:r w:rsidR="003F1988" w:rsidRPr="005E2BAE">
        <w:rPr>
          <w:rFonts w:cs="Arial"/>
        </w:rPr>
        <w:t xml:space="preserve">o ensure that </w:t>
      </w:r>
      <w:r w:rsidR="004B2A8D" w:rsidRPr="005E2BAE">
        <w:rPr>
          <w:rFonts w:cs="Arial"/>
        </w:rPr>
        <w:t xml:space="preserve">the licence condition </w:t>
      </w:r>
      <w:r w:rsidR="00E66F7A" w:rsidRPr="005E2BAE">
        <w:rPr>
          <w:rFonts w:cs="Arial"/>
        </w:rPr>
        <w:t>required under</w:t>
      </w:r>
      <w:r w:rsidR="00E66F7A">
        <w:rPr>
          <w:rFonts w:cs="Arial"/>
        </w:rPr>
        <w:t xml:space="preserve"> section 43C </w:t>
      </w:r>
      <w:r>
        <w:rPr>
          <w:rFonts w:cs="Arial"/>
        </w:rPr>
        <w:t xml:space="preserve">remains </w:t>
      </w:r>
      <w:r w:rsidR="003F1988">
        <w:rPr>
          <w:rFonts w:cs="Arial"/>
        </w:rPr>
        <w:t>consisten</w:t>
      </w:r>
      <w:r w:rsidR="004B2A8D">
        <w:rPr>
          <w:rFonts w:cs="Arial"/>
        </w:rPr>
        <w:t>t</w:t>
      </w:r>
      <w:r w:rsidR="003F1988">
        <w:rPr>
          <w:rFonts w:cs="Arial"/>
        </w:rPr>
        <w:t xml:space="preserve"> </w:t>
      </w:r>
      <w:r w:rsidR="004B2A8D">
        <w:rPr>
          <w:rFonts w:cs="Arial"/>
        </w:rPr>
        <w:t>with</w:t>
      </w:r>
      <w:r w:rsidR="003F1988">
        <w:rPr>
          <w:rFonts w:cs="Arial"/>
        </w:rPr>
        <w:t xml:space="preserve"> the provisions of the BSA</w:t>
      </w:r>
      <w:r w:rsidR="00902128">
        <w:rPr>
          <w:rFonts w:cs="Arial"/>
        </w:rPr>
        <w:t>, the</w:t>
      </w:r>
      <w:r w:rsidR="003F1988">
        <w:rPr>
          <w:rFonts w:cs="Arial"/>
        </w:rPr>
        <w:t xml:space="preserve"> ACMA decided to determine the </w:t>
      </w:r>
      <w:r>
        <w:rPr>
          <w:rFonts w:cs="Arial"/>
        </w:rPr>
        <w:t>Instrument</w:t>
      </w:r>
      <w:r w:rsidR="008F35BD">
        <w:rPr>
          <w:rFonts w:cs="Arial"/>
        </w:rPr>
        <w:t>.</w:t>
      </w:r>
    </w:p>
    <w:p w:rsidR="00F74683" w:rsidRPr="00A94C87" w:rsidRDefault="00F04010" w:rsidP="00F74683">
      <w:pPr>
        <w:spacing w:before="120" w:after="120" w:line="240" w:lineRule="atLeast"/>
        <w:jc w:val="both"/>
        <w:rPr>
          <w:rFonts w:cs="Arial"/>
          <w:b/>
        </w:rPr>
      </w:pPr>
      <w:r w:rsidRPr="00A94C87">
        <w:rPr>
          <w:rFonts w:cs="Arial"/>
          <w:b/>
        </w:rPr>
        <w:t xml:space="preserve">Intended impact and effect of the </w:t>
      </w:r>
      <w:r w:rsidR="00497120">
        <w:rPr>
          <w:rFonts w:cs="Arial"/>
          <w:b/>
        </w:rPr>
        <w:t>Instrument</w:t>
      </w:r>
    </w:p>
    <w:p w:rsidR="0085704F" w:rsidRPr="00A94C87" w:rsidRDefault="0085704F" w:rsidP="0085704F">
      <w:pPr>
        <w:pStyle w:val="Default"/>
        <w:spacing w:after="120"/>
        <w:rPr>
          <w:sz w:val="20"/>
          <w:szCs w:val="20"/>
        </w:rPr>
      </w:pPr>
      <w:r w:rsidRPr="00A94C87">
        <w:rPr>
          <w:sz w:val="20"/>
          <w:szCs w:val="20"/>
        </w:rPr>
        <w:t xml:space="preserve">The ACMA intends that the </w:t>
      </w:r>
      <w:r w:rsidR="00497120">
        <w:rPr>
          <w:sz w:val="20"/>
          <w:szCs w:val="20"/>
        </w:rPr>
        <w:t>Instrument</w:t>
      </w:r>
      <w:r w:rsidR="003F1988">
        <w:rPr>
          <w:sz w:val="20"/>
          <w:szCs w:val="20"/>
        </w:rPr>
        <w:t xml:space="preserve"> is consistent with the local </w:t>
      </w:r>
      <w:r w:rsidR="00D964EB">
        <w:rPr>
          <w:sz w:val="20"/>
          <w:szCs w:val="20"/>
        </w:rPr>
        <w:t xml:space="preserve">content </w:t>
      </w:r>
      <w:r w:rsidR="003F1988">
        <w:rPr>
          <w:sz w:val="20"/>
          <w:szCs w:val="20"/>
        </w:rPr>
        <w:t>obligation under the BSA</w:t>
      </w:r>
      <w:r w:rsidR="002B7820">
        <w:rPr>
          <w:sz w:val="20"/>
          <w:szCs w:val="20"/>
        </w:rPr>
        <w:t xml:space="preserve">. </w:t>
      </w:r>
      <w:r w:rsidR="00FF516C">
        <w:rPr>
          <w:sz w:val="20"/>
          <w:szCs w:val="20"/>
        </w:rPr>
        <w:t xml:space="preserve"> </w:t>
      </w:r>
      <w:r w:rsidR="008975D7" w:rsidRPr="008975D7">
        <w:rPr>
          <w:sz w:val="20"/>
          <w:szCs w:val="20"/>
        </w:rPr>
        <w:t>In other respects, the Instrument is substantially the same as the 2007 Licence Condition, other than the removal of the non-operative note to section 6 of the 2007 Licence Condition.</w:t>
      </w:r>
    </w:p>
    <w:p w:rsidR="00F74683" w:rsidRPr="00A94C87" w:rsidRDefault="00F74683" w:rsidP="00F74683">
      <w:pPr>
        <w:autoSpaceDE w:val="0"/>
        <w:autoSpaceDN w:val="0"/>
        <w:adjustRightInd w:val="0"/>
        <w:spacing w:before="120" w:after="120" w:line="240" w:lineRule="atLeast"/>
        <w:rPr>
          <w:rFonts w:cs="Arial"/>
          <w:b/>
        </w:rPr>
      </w:pPr>
      <w:bookmarkStart w:id="0" w:name="OLE_LINK23"/>
      <w:r w:rsidRPr="00A94C87">
        <w:rPr>
          <w:rFonts w:cs="Arial"/>
          <w:b/>
        </w:rPr>
        <w:t>Consultation</w:t>
      </w:r>
    </w:p>
    <w:p w:rsidR="00902128" w:rsidRDefault="00F74683">
      <w:pPr>
        <w:spacing w:before="120" w:after="120" w:line="240" w:lineRule="atLeast"/>
        <w:jc w:val="both"/>
        <w:rPr>
          <w:rFonts w:cs="Arial"/>
        </w:rPr>
      </w:pPr>
      <w:r w:rsidRPr="00A94C87">
        <w:rPr>
          <w:rFonts w:cs="Arial"/>
        </w:rPr>
        <w:t xml:space="preserve">On </w:t>
      </w:r>
      <w:r w:rsidR="0031542D">
        <w:rPr>
          <w:rFonts w:cs="Arial"/>
        </w:rPr>
        <w:t>4 July 2012,</w:t>
      </w:r>
      <w:r w:rsidRPr="00A94C87">
        <w:rPr>
          <w:rFonts w:cs="Arial"/>
        </w:rPr>
        <w:t xml:space="preserve"> the ACMA </w:t>
      </w:r>
      <w:r w:rsidR="00D964EB">
        <w:rPr>
          <w:rFonts w:cs="Arial"/>
        </w:rPr>
        <w:t>released a draft of the Instrument, seeking stakeholder and public comment on the proposed changes</w:t>
      </w:r>
      <w:r w:rsidR="00E251C6">
        <w:rPr>
          <w:rFonts w:cs="Arial"/>
        </w:rPr>
        <w:t>.</w:t>
      </w:r>
      <w:r w:rsidR="00D964EB">
        <w:rPr>
          <w:rFonts w:cs="Arial"/>
        </w:rPr>
        <w:t xml:space="preserve"> </w:t>
      </w:r>
    </w:p>
    <w:p w:rsidR="004B2A8D" w:rsidRDefault="00617B56" w:rsidP="00617B56">
      <w:pPr>
        <w:pStyle w:val="ListParagraph"/>
        <w:spacing w:before="120" w:after="120" w:line="240" w:lineRule="atLeast"/>
        <w:ind w:left="0"/>
        <w:jc w:val="both"/>
        <w:rPr>
          <w:rFonts w:cs="Arial"/>
        </w:rPr>
      </w:pPr>
      <w:r w:rsidRPr="004B2A8D">
        <w:rPr>
          <w:rFonts w:cs="Arial"/>
        </w:rPr>
        <w:t xml:space="preserve">The ACMA also </w:t>
      </w:r>
      <w:r w:rsidR="0031542D">
        <w:rPr>
          <w:rFonts w:cs="Arial"/>
        </w:rPr>
        <w:t>published the proposed changes in the Gazette</w:t>
      </w:r>
      <w:r w:rsidR="002B7820" w:rsidRPr="00617B56">
        <w:rPr>
          <w:rFonts w:cs="Arial"/>
        </w:rPr>
        <w:t>.</w:t>
      </w:r>
      <w:r w:rsidR="00603B9F">
        <w:rPr>
          <w:rFonts w:cs="Arial"/>
        </w:rPr>
        <w:t xml:space="preserve"> </w:t>
      </w:r>
    </w:p>
    <w:p w:rsidR="00D964EB" w:rsidRDefault="00D964EB" w:rsidP="00617B56">
      <w:pPr>
        <w:pStyle w:val="ListParagraph"/>
        <w:spacing w:before="120" w:after="120" w:line="240" w:lineRule="atLeast"/>
        <w:ind w:left="0"/>
        <w:jc w:val="both"/>
        <w:rPr>
          <w:rFonts w:cs="Arial"/>
        </w:rPr>
      </w:pPr>
    </w:p>
    <w:p w:rsidR="004B2A8D" w:rsidRDefault="00D964EB" w:rsidP="00617B56">
      <w:pPr>
        <w:pStyle w:val="ListParagraph"/>
        <w:spacing w:before="120" w:after="120" w:line="240" w:lineRule="atLeast"/>
        <w:ind w:left="0"/>
        <w:jc w:val="both"/>
        <w:rPr>
          <w:rFonts w:cs="Arial"/>
        </w:rPr>
      </w:pPr>
      <w:r>
        <w:rPr>
          <w:rFonts w:cs="Arial"/>
        </w:rPr>
        <w:t>Consultation on the draft closed on 3 August 2012.</w:t>
      </w:r>
    </w:p>
    <w:p w:rsidR="00F74683" w:rsidRPr="00A94C87" w:rsidRDefault="00F74683" w:rsidP="00F74683">
      <w:pPr>
        <w:spacing w:before="120" w:after="120" w:line="240" w:lineRule="atLeast"/>
        <w:jc w:val="both"/>
        <w:rPr>
          <w:rFonts w:cs="Arial"/>
        </w:rPr>
      </w:pPr>
      <w:r w:rsidRPr="00A94C87">
        <w:rPr>
          <w:rFonts w:cs="Arial"/>
        </w:rPr>
        <w:t>The ACMA is satisfied that this consultation meet</w:t>
      </w:r>
      <w:r w:rsidR="00DF7E4F" w:rsidRPr="00A94C87">
        <w:rPr>
          <w:rFonts w:cs="Arial"/>
        </w:rPr>
        <w:t>s</w:t>
      </w:r>
      <w:r w:rsidRPr="00A94C87">
        <w:rPr>
          <w:rFonts w:cs="Arial"/>
        </w:rPr>
        <w:t xml:space="preserve"> the requirements of </w:t>
      </w:r>
      <w:r w:rsidR="00D964EB">
        <w:rPr>
          <w:rFonts w:cs="Arial"/>
        </w:rPr>
        <w:t xml:space="preserve">both </w:t>
      </w:r>
      <w:r w:rsidR="00E251C6">
        <w:rPr>
          <w:rFonts w:cs="Arial"/>
        </w:rPr>
        <w:t>sub</w:t>
      </w:r>
      <w:r w:rsidRPr="00A94C87">
        <w:rPr>
          <w:rFonts w:cs="Arial"/>
        </w:rPr>
        <w:t xml:space="preserve">section </w:t>
      </w:r>
      <w:r w:rsidR="00617B56">
        <w:rPr>
          <w:rFonts w:cs="Arial"/>
        </w:rPr>
        <w:t>43</w:t>
      </w:r>
      <w:r w:rsidR="003E5131">
        <w:rPr>
          <w:rFonts w:cs="Arial"/>
        </w:rPr>
        <w:t>(2)</w:t>
      </w:r>
      <w:r w:rsidRPr="00A94C87">
        <w:rPr>
          <w:rFonts w:cs="Arial"/>
        </w:rPr>
        <w:t xml:space="preserve"> of the BSA and section 17 of the </w:t>
      </w:r>
      <w:r w:rsidRPr="00A94C87">
        <w:rPr>
          <w:rFonts w:cs="Arial"/>
          <w:i/>
        </w:rPr>
        <w:t>Legislative Instruments Act 2003</w:t>
      </w:r>
      <w:r w:rsidRPr="00A94C87">
        <w:rPr>
          <w:rFonts w:cs="Arial"/>
        </w:rPr>
        <w:t>.</w:t>
      </w:r>
    </w:p>
    <w:p w:rsidR="00F74683" w:rsidRPr="00A94C87" w:rsidRDefault="00F74683" w:rsidP="00F74683">
      <w:pPr>
        <w:autoSpaceDE w:val="0"/>
        <w:autoSpaceDN w:val="0"/>
        <w:adjustRightInd w:val="0"/>
        <w:spacing w:before="120" w:after="120" w:line="240" w:lineRule="atLeast"/>
        <w:rPr>
          <w:rFonts w:cs="Arial"/>
          <w:b/>
        </w:rPr>
      </w:pPr>
      <w:bookmarkStart w:id="1" w:name="OLE_LINK34"/>
      <w:r w:rsidRPr="00A94C87">
        <w:rPr>
          <w:rFonts w:cs="Arial"/>
          <w:b/>
        </w:rPr>
        <w:t>Regulatory Impact</w:t>
      </w:r>
    </w:p>
    <w:bookmarkEnd w:id="0"/>
    <w:bookmarkEnd w:id="1"/>
    <w:p w:rsidR="00F74683" w:rsidRPr="00625363" w:rsidRDefault="00F74683" w:rsidP="00F74683">
      <w:pPr>
        <w:autoSpaceDE w:val="0"/>
        <w:autoSpaceDN w:val="0"/>
        <w:adjustRightInd w:val="0"/>
        <w:spacing w:before="120" w:after="120" w:line="240" w:lineRule="atLeast"/>
        <w:jc w:val="both"/>
        <w:rPr>
          <w:rFonts w:cs="Arial"/>
        </w:rPr>
      </w:pPr>
      <w:r w:rsidRPr="00625363">
        <w:rPr>
          <w:rFonts w:cs="Arial"/>
        </w:rPr>
        <w:t>A regulatio</w:t>
      </w:r>
      <w:r w:rsidR="00617B56" w:rsidRPr="00625363">
        <w:rPr>
          <w:rFonts w:cs="Arial"/>
        </w:rPr>
        <w:t>n impact statement</w:t>
      </w:r>
      <w:r w:rsidRPr="00625363">
        <w:rPr>
          <w:rFonts w:cs="Arial"/>
        </w:rPr>
        <w:t xml:space="preserve"> titled </w:t>
      </w:r>
      <w:r w:rsidRPr="00625363">
        <w:rPr>
          <w:rFonts w:cs="Arial"/>
          <w:i/>
        </w:rPr>
        <w:t xml:space="preserve">Regulation Impact Statement – </w:t>
      </w:r>
      <w:r w:rsidR="00625363" w:rsidRPr="00625363">
        <w:rPr>
          <w:rFonts w:cs="Arial"/>
          <w:i/>
        </w:rPr>
        <w:t xml:space="preserve">Amendments to Local Content and Local Presence Requirements for Regional Commercial Radio </w:t>
      </w:r>
      <w:r w:rsidRPr="00625363">
        <w:rPr>
          <w:rFonts w:cs="Arial"/>
        </w:rPr>
        <w:t xml:space="preserve">was prepared by the </w:t>
      </w:r>
      <w:r w:rsidR="00617B56" w:rsidRPr="00625363">
        <w:rPr>
          <w:rFonts w:cs="Arial"/>
        </w:rPr>
        <w:t xml:space="preserve">DBCDE for the </w:t>
      </w:r>
      <w:r w:rsidR="00331129" w:rsidRPr="00625363">
        <w:rPr>
          <w:rFonts w:cs="Arial"/>
        </w:rPr>
        <w:t>Review of the Local Content Requirements for Regional Commercial Radio</w:t>
      </w:r>
      <w:r w:rsidRPr="00625363">
        <w:rPr>
          <w:rFonts w:cs="Arial"/>
        </w:rPr>
        <w:t xml:space="preserve">. The Office of Best Practice Regulation (the OBPR) reviewed the </w:t>
      </w:r>
      <w:r w:rsidR="00617B56" w:rsidRPr="00625363">
        <w:rPr>
          <w:rFonts w:cs="Arial"/>
        </w:rPr>
        <w:t>regulation impact statement</w:t>
      </w:r>
      <w:r w:rsidRPr="00625363">
        <w:rPr>
          <w:rFonts w:cs="Arial"/>
        </w:rPr>
        <w:t xml:space="preserve"> and assessed it as </w:t>
      </w:r>
      <w:r w:rsidRPr="00625363">
        <w:rPr>
          <w:rFonts w:cs="Arial"/>
        </w:rPr>
        <w:lastRenderedPageBreak/>
        <w:t>adequate under the Australian Government best pr</w:t>
      </w:r>
      <w:r w:rsidR="00544E0A">
        <w:rPr>
          <w:rFonts w:cs="Arial"/>
        </w:rPr>
        <w:t xml:space="preserve">actice regulation requirements - </w:t>
      </w:r>
      <w:r w:rsidR="00544E0A" w:rsidRPr="00544E0A">
        <w:rPr>
          <w:rFonts w:cs="Arial"/>
        </w:rPr>
        <w:t>OBPR reference number</w:t>
      </w:r>
      <w:r w:rsidR="00544E0A">
        <w:rPr>
          <w:rFonts w:cs="Arial"/>
        </w:rPr>
        <w:t xml:space="preserve"> </w:t>
      </w:r>
      <w:r w:rsidR="00544E0A" w:rsidRPr="00544E0A">
        <w:rPr>
          <w:rFonts w:cs="Arial"/>
        </w:rPr>
        <w:t>10943</w:t>
      </w:r>
      <w:r w:rsidR="00544E0A">
        <w:rPr>
          <w:rFonts w:cs="Arial"/>
        </w:rPr>
        <w:t>.</w:t>
      </w:r>
    </w:p>
    <w:p w:rsidR="00544E0A" w:rsidRPr="00544E0A" w:rsidRDefault="00902128" w:rsidP="00F74683">
      <w:pPr>
        <w:autoSpaceDE w:val="0"/>
        <w:autoSpaceDN w:val="0"/>
        <w:adjustRightInd w:val="0"/>
        <w:spacing w:before="120" w:after="120" w:line="240" w:lineRule="atLeast"/>
        <w:jc w:val="both"/>
        <w:rPr>
          <w:rFonts w:cs="Arial"/>
        </w:rPr>
      </w:pPr>
      <w:r>
        <w:rPr>
          <w:rFonts w:cs="Arial"/>
        </w:rPr>
        <w:t>T</w:t>
      </w:r>
      <w:r w:rsidRPr="00544E0A">
        <w:rPr>
          <w:rFonts w:cs="Arial"/>
        </w:rPr>
        <w:t xml:space="preserve">he OBPR </w:t>
      </w:r>
      <w:r>
        <w:rPr>
          <w:rFonts w:cs="Arial"/>
        </w:rPr>
        <w:t>advised</w:t>
      </w:r>
      <w:r w:rsidRPr="00544E0A">
        <w:rPr>
          <w:rFonts w:cs="Arial"/>
        </w:rPr>
        <w:t xml:space="preserve"> that a separate Regulation Impact Statement </w:t>
      </w:r>
      <w:r>
        <w:rPr>
          <w:rFonts w:cs="Arial"/>
        </w:rPr>
        <w:t>on the Instrument</w:t>
      </w:r>
      <w:r w:rsidRPr="00544E0A">
        <w:rPr>
          <w:rFonts w:cs="Arial"/>
        </w:rPr>
        <w:t xml:space="preserve"> was not required – OBPR reference number 13945.</w:t>
      </w:r>
    </w:p>
    <w:p w:rsidR="005B4C90" w:rsidRPr="00A94C87" w:rsidRDefault="005B4C90" w:rsidP="005B4C90">
      <w:pPr>
        <w:autoSpaceDE w:val="0"/>
        <w:autoSpaceDN w:val="0"/>
        <w:adjustRightInd w:val="0"/>
        <w:spacing w:before="120" w:after="120" w:line="240" w:lineRule="atLeast"/>
        <w:jc w:val="both"/>
        <w:rPr>
          <w:rFonts w:cs="Arial"/>
        </w:rPr>
      </w:pPr>
      <w:r w:rsidRPr="00617B56">
        <w:rPr>
          <w:rFonts w:cs="Arial"/>
        </w:rPr>
        <w:t xml:space="preserve">As required under the </w:t>
      </w:r>
      <w:r w:rsidRPr="00617B56">
        <w:rPr>
          <w:rFonts w:cs="Arial"/>
          <w:i/>
        </w:rPr>
        <w:t>Human Rights (Parliamentary Scrutiny) Act 2011</w:t>
      </w:r>
      <w:r w:rsidR="00DF7E4F" w:rsidRPr="00617B56">
        <w:rPr>
          <w:rFonts w:cs="Arial"/>
          <w:i/>
        </w:rPr>
        <w:t>,</w:t>
      </w:r>
      <w:r w:rsidRPr="00617B56">
        <w:rPr>
          <w:rFonts w:cs="Arial"/>
        </w:rPr>
        <w:t xml:space="preserve"> a </w:t>
      </w:r>
      <w:r w:rsidR="00CF258F">
        <w:rPr>
          <w:rFonts w:cs="Arial"/>
        </w:rPr>
        <w:t>Statement of Compatibility with H</w:t>
      </w:r>
      <w:r w:rsidRPr="00617B56">
        <w:rPr>
          <w:rFonts w:cs="Arial"/>
        </w:rPr>
        <w:t xml:space="preserve">uman </w:t>
      </w:r>
      <w:r w:rsidR="00CF258F">
        <w:rPr>
          <w:rFonts w:cs="Arial"/>
        </w:rPr>
        <w:t>R</w:t>
      </w:r>
      <w:r w:rsidRPr="00617B56">
        <w:rPr>
          <w:rFonts w:cs="Arial"/>
        </w:rPr>
        <w:t>ights has been prepared</w:t>
      </w:r>
      <w:r w:rsidR="00625363">
        <w:rPr>
          <w:rFonts w:cs="Arial"/>
        </w:rPr>
        <w:t xml:space="preserve"> by the ACMA</w:t>
      </w:r>
      <w:r w:rsidRPr="00617B56">
        <w:rPr>
          <w:rFonts w:cs="Arial"/>
        </w:rPr>
        <w:t xml:space="preserve"> </w:t>
      </w:r>
      <w:r w:rsidR="00DF7E4F" w:rsidRPr="00617B56">
        <w:rPr>
          <w:rFonts w:cs="Arial"/>
        </w:rPr>
        <w:t>and is attached.</w:t>
      </w:r>
      <w:r w:rsidRPr="00A94C87">
        <w:rPr>
          <w:rFonts w:cs="Arial"/>
        </w:rPr>
        <w:t xml:space="preserve"> </w:t>
      </w:r>
    </w:p>
    <w:p w:rsidR="00F74683" w:rsidRPr="00A94C87" w:rsidRDefault="00F74683" w:rsidP="003F034D">
      <w:pPr>
        <w:spacing w:after="200" w:line="276" w:lineRule="auto"/>
        <w:rPr>
          <w:rFonts w:cs="Arial"/>
          <w:b/>
        </w:rPr>
      </w:pPr>
      <w:r w:rsidRPr="00A94C87">
        <w:rPr>
          <w:rFonts w:cs="Arial"/>
          <w:b/>
        </w:rPr>
        <w:t>NOTES ON INSTRUMENT</w:t>
      </w:r>
    </w:p>
    <w:p w:rsidR="00F74683" w:rsidRPr="00A15D18" w:rsidRDefault="00F74683" w:rsidP="00F74683">
      <w:pPr>
        <w:autoSpaceDE w:val="0"/>
        <w:autoSpaceDN w:val="0"/>
        <w:adjustRightInd w:val="0"/>
        <w:spacing w:before="120" w:after="120" w:line="240" w:lineRule="atLeast"/>
        <w:jc w:val="both"/>
        <w:rPr>
          <w:rFonts w:cs="Arial"/>
          <w:b/>
          <w:bCs/>
        </w:rPr>
      </w:pPr>
      <w:bookmarkStart w:id="2" w:name="OLE_LINK1"/>
      <w:bookmarkStart w:id="3" w:name="OLE_LINK2"/>
      <w:r w:rsidRPr="00A15D18">
        <w:rPr>
          <w:rFonts w:cs="Arial"/>
          <w:b/>
          <w:bCs/>
        </w:rPr>
        <w:t xml:space="preserve">Section 1 – </w:t>
      </w:r>
      <w:r w:rsidR="00A161F8">
        <w:rPr>
          <w:rFonts w:cs="Arial"/>
          <w:b/>
          <w:bCs/>
        </w:rPr>
        <w:t>Name of i</w:t>
      </w:r>
      <w:r w:rsidR="00A15D18" w:rsidRPr="00A15D18">
        <w:rPr>
          <w:rFonts w:cs="Arial"/>
          <w:b/>
          <w:bCs/>
        </w:rPr>
        <w:t>nstrument</w:t>
      </w:r>
    </w:p>
    <w:p w:rsidR="00F74683" w:rsidRPr="00A15D18" w:rsidRDefault="00F74683" w:rsidP="00F74683">
      <w:pPr>
        <w:spacing w:before="120" w:after="120" w:line="240" w:lineRule="atLeast"/>
        <w:jc w:val="both"/>
        <w:rPr>
          <w:rFonts w:cs="Arial"/>
          <w:bCs/>
        </w:rPr>
      </w:pPr>
      <w:r w:rsidRPr="00A15D18">
        <w:rPr>
          <w:rFonts w:cs="Arial"/>
        </w:rPr>
        <w:t xml:space="preserve">Section 1 provides that </w:t>
      </w:r>
      <w:r w:rsidR="00A15D18" w:rsidRPr="00A15D18">
        <w:rPr>
          <w:rFonts w:cs="Arial"/>
        </w:rPr>
        <w:t xml:space="preserve">the name of </w:t>
      </w:r>
      <w:r w:rsidR="008F3C93">
        <w:rPr>
          <w:rFonts w:cs="Arial"/>
        </w:rPr>
        <w:t>the Instrument</w:t>
      </w:r>
      <w:r w:rsidR="00A15D18" w:rsidRPr="00A15D18">
        <w:rPr>
          <w:rFonts w:cs="Arial"/>
        </w:rPr>
        <w:t xml:space="preserve"> is the </w:t>
      </w:r>
      <w:r w:rsidR="00A15D18" w:rsidRPr="00A15D18">
        <w:rPr>
          <w:rFonts w:cs="Arial"/>
          <w:i/>
        </w:rPr>
        <w:t>Broadcasting Services (Regional Commercial Radio – Material of Local Significance) Licence Condition 2012</w:t>
      </w:r>
      <w:r w:rsidRPr="00A15D18">
        <w:rPr>
          <w:rFonts w:cs="Arial"/>
        </w:rPr>
        <w:t>.</w:t>
      </w:r>
    </w:p>
    <w:p w:rsidR="00F74683" w:rsidRPr="00A15D18" w:rsidRDefault="00F74683" w:rsidP="00F74683">
      <w:pPr>
        <w:spacing w:before="120" w:after="120" w:line="240" w:lineRule="atLeast"/>
        <w:jc w:val="both"/>
        <w:rPr>
          <w:rFonts w:cs="Arial"/>
          <w:b/>
          <w:bCs/>
        </w:rPr>
      </w:pPr>
      <w:r w:rsidRPr="00A15D18">
        <w:rPr>
          <w:rFonts w:cs="Arial"/>
          <w:b/>
          <w:bCs/>
        </w:rPr>
        <w:t xml:space="preserve">Section 2 – </w:t>
      </w:r>
      <w:r w:rsidR="00A15D18" w:rsidRPr="00A15D18">
        <w:rPr>
          <w:rFonts w:cs="Arial"/>
          <w:b/>
          <w:bCs/>
        </w:rPr>
        <w:t>Commencement</w:t>
      </w:r>
    </w:p>
    <w:p w:rsidR="00F74683" w:rsidRPr="00A84FA8" w:rsidRDefault="00B54BF9" w:rsidP="00F74683">
      <w:pPr>
        <w:spacing w:before="120" w:after="120" w:line="240" w:lineRule="atLeast"/>
        <w:jc w:val="both"/>
        <w:rPr>
          <w:rFonts w:cs="Arial"/>
        </w:rPr>
      </w:pPr>
      <w:r>
        <w:rPr>
          <w:rFonts w:cs="Arial"/>
        </w:rPr>
        <w:t>S</w:t>
      </w:r>
      <w:r w:rsidR="00F74683" w:rsidRPr="00A15D18">
        <w:rPr>
          <w:rFonts w:cs="Arial"/>
        </w:rPr>
        <w:t xml:space="preserve">ection </w:t>
      </w:r>
      <w:r>
        <w:rPr>
          <w:rFonts w:cs="Arial"/>
        </w:rPr>
        <w:t xml:space="preserve">2 states </w:t>
      </w:r>
      <w:r w:rsidR="00F74683" w:rsidRPr="00A15D18">
        <w:rPr>
          <w:rFonts w:cs="Arial"/>
        </w:rPr>
        <w:t xml:space="preserve">that </w:t>
      </w:r>
      <w:r w:rsidR="008F3C93">
        <w:rPr>
          <w:rFonts w:cs="Arial"/>
        </w:rPr>
        <w:t>the Instrument</w:t>
      </w:r>
      <w:r w:rsidR="00A15D18" w:rsidRPr="00A15D18">
        <w:rPr>
          <w:rFonts w:cs="Arial"/>
        </w:rPr>
        <w:t xml:space="preserve"> commences on the day </w:t>
      </w:r>
      <w:r w:rsidR="00D964EB">
        <w:rPr>
          <w:rFonts w:cs="Arial"/>
        </w:rPr>
        <w:t>after it is registered on the Federal Register of Legislative Instruments.</w:t>
      </w:r>
    </w:p>
    <w:p w:rsidR="00F74683" w:rsidRPr="00A84FA8" w:rsidRDefault="00F74683" w:rsidP="00F74683">
      <w:pPr>
        <w:autoSpaceDE w:val="0"/>
        <w:autoSpaceDN w:val="0"/>
        <w:adjustRightInd w:val="0"/>
        <w:spacing w:before="120" w:after="120" w:line="240" w:lineRule="atLeast"/>
        <w:jc w:val="both"/>
        <w:rPr>
          <w:rFonts w:cs="Arial"/>
        </w:rPr>
      </w:pPr>
      <w:r w:rsidRPr="00A84FA8">
        <w:rPr>
          <w:rFonts w:cs="Arial"/>
          <w:b/>
          <w:bCs/>
        </w:rPr>
        <w:t xml:space="preserve">Section 3 – </w:t>
      </w:r>
      <w:r w:rsidR="00A84FA8" w:rsidRPr="00A84FA8">
        <w:rPr>
          <w:rFonts w:cs="Arial"/>
          <w:b/>
          <w:bCs/>
        </w:rPr>
        <w:t>Revocation</w:t>
      </w:r>
      <w:r w:rsidR="00B36A8A" w:rsidRPr="00A84FA8">
        <w:rPr>
          <w:rFonts w:cs="Arial"/>
          <w:b/>
          <w:bCs/>
        </w:rPr>
        <w:t xml:space="preserve"> </w:t>
      </w:r>
    </w:p>
    <w:p w:rsidR="00F74683" w:rsidRPr="00A84FA8" w:rsidRDefault="00F74683" w:rsidP="00F74683">
      <w:pPr>
        <w:spacing w:before="120" w:after="120" w:line="240" w:lineRule="atLeast"/>
        <w:jc w:val="both"/>
        <w:rPr>
          <w:rFonts w:cs="Arial"/>
        </w:rPr>
      </w:pPr>
      <w:r w:rsidRPr="00A84FA8">
        <w:rPr>
          <w:rFonts w:cs="Arial"/>
        </w:rPr>
        <w:t xml:space="preserve">This section </w:t>
      </w:r>
      <w:r w:rsidR="00A84FA8" w:rsidRPr="00A84FA8">
        <w:rPr>
          <w:rFonts w:cs="Arial"/>
        </w:rPr>
        <w:t xml:space="preserve">revokes the </w:t>
      </w:r>
      <w:r w:rsidR="00A84FA8" w:rsidRPr="00A84FA8">
        <w:rPr>
          <w:rFonts w:cs="Arial"/>
          <w:i/>
        </w:rPr>
        <w:t>Broadcasting Services (Additional Regional Commercial Radio Licence Condition – Material of Local Significance) Notice 19 December 2007.</w:t>
      </w:r>
    </w:p>
    <w:bookmarkEnd w:id="2"/>
    <w:bookmarkEnd w:id="3"/>
    <w:p w:rsidR="00005139" w:rsidRPr="00A84FA8" w:rsidRDefault="00451EBA" w:rsidP="00005139">
      <w:pPr>
        <w:autoSpaceDE w:val="0"/>
        <w:autoSpaceDN w:val="0"/>
        <w:adjustRightInd w:val="0"/>
        <w:spacing w:before="120" w:after="120" w:line="240" w:lineRule="atLeast"/>
        <w:jc w:val="both"/>
        <w:rPr>
          <w:rFonts w:cs="Arial"/>
          <w:b/>
          <w:bCs/>
        </w:rPr>
      </w:pPr>
      <w:r w:rsidRPr="00A84FA8">
        <w:rPr>
          <w:rFonts w:cs="Arial"/>
          <w:b/>
          <w:bCs/>
        </w:rPr>
        <w:t>Section 4</w:t>
      </w:r>
      <w:r w:rsidR="00005139" w:rsidRPr="00A84FA8">
        <w:rPr>
          <w:rFonts w:cs="Arial"/>
          <w:b/>
          <w:bCs/>
        </w:rPr>
        <w:t xml:space="preserve"> – </w:t>
      </w:r>
      <w:r w:rsidR="00A161F8">
        <w:rPr>
          <w:rFonts w:cs="Arial"/>
          <w:b/>
          <w:bCs/>
        </w:rPr>
        <w:t>Purpose and a</w:t>
      </w:r>
      <w:r w:rsidR="00A84FA8" w:rsidRPr="00A84FA8">
        <w:rPr>
          <w:rFonts w:cs="Arial"/>
          <w:b/>
          <w:bCs/>
        </w:rPr>
        <w:t>pplication</w:t>
      </w:r>
    </w:p>
    <w:p w:rsidR="00A84FA8" w:rsidRPr="00A84FA8" w:rsidRDefault="00B54BF9" w:rsidP="00005139">
      <w:pPr>
        <w:autoSpaceDE w:val="0"/>
        <w:autoSpaceDN w:val="0"/>
        <w:adjustRightInd w:val="0"/>
        <w:spacing w:before="120" w:after="120" w:line="240" w:lineRule="atLeast"/>
        <w:jc w:val="both"/>
        <w:rPr>
          <w:rFonts w:cs="Arial"/>
          <w:b/>
        </w:rPr>
      </w:pPr>
      <w:r>
        <w:rPr>
          <w:rFonts w:cs="Arial"/>
        </w:rPr>
        <w:t>S</w:t>
      </w:r>
      <w:r w:rsidR="00A84FA8" w:rsidRPr="00A84FA8">
        <w:rPr>
          <w:rFonts w:cs="Arial"/>
        </w:rPr>
        <w:t xml:space="preserve">ection </w:t>
      </w:r>
      <w:r>
        <w:rPr>
          <w:rFonts w:cs="Arial"/>
        </w:rPr>
        <w:t xml:space="preserve">4 reflects amendments to the BSA by specifying </w:t>
      </w:r>
      <w:r w:rsidR="00A84FA8">
        <w:rPr>
          <w:rFonts w:cs="Arial"/>
        </w:rPr>
        <w:t xml:space="preserve">that </w:t>
      </w:r>
      <w:r w:rsidR="008F3C93">
        <w:rPr>
          <w:rFonts w:cs="Arial"/>
        </w:rPr>
        <w:t>the Instrument</w:t>
      </w:r>
      <w:r w:rsidR="00A84FA8">
        <w:rPr>
          <w:rFonts w:cs="Arial"/>
        </w:rPr>
        <w:t xml:space="preserve"> does not apply to remote area service radio licences, regional racing service radio licences</w:t>
      </w:r>
      <w:r w:rsidR="00CF258F">
        <w:rPr>
          <w:rFonts w:cs="Arial"/>
        </w:rPr>
        <w:t>,</w:t>
      </w:r>
      <w:r w:rsidR="00A84FA8">
        <w:rPr>
          <w:rFonts w:cs="Arial"/>
        </w:rPr>
        <w:t xml:space="preserve"> or licences allocated under subsection 40(1) of the </w:t>
      </w:r>
      <w:r w:rsidR="00D964EB">
        <w:rPr>
          <w:rFonts w:cs="Arial"/>
        </w:rPr>
        <w:t>BSA</w:t>
      </w:r>
      <w:r w:rsidR="00A84FA8">
        <w:rPr>
          <w:rFonts w:cs="Arial"/>
        </w:rPr>
        <w:t>.</w:t>
      </w:r>
    </w:p>
    <w:p w:rsidR="00005139" w:rsidRPr="00A84FA8" w:rsidRDefault="00005139" w:rsidP="00005139">
      <w:pPr>
        <w:autoSpaceDE w:val="0"/>
        <w:autoSpaceDN w:val="0"/>
        <w:adjustRightInd w:val="0"/>
        <w:spacing w:before="120" w:after="120" w:line="240" w:lineRule="atLeast"/>
        <w:jc w:val="both"/>
        <w:rPr>
          <w:rFonts w:cs="Arial"/>
          <w:b/>
          <w:bCs/>
        </w:rPr>
      </w:pPr>
      <w:r w:rsidRPr="00A84FA8">
        <w:rPr>
          <w:rFonts w:cs="Arial"/>
          <w:b/>
        </w:rPr>
        <w:t xml:space="preserve">Section </w:t>
      </w:r>
      <w:r w:rsidR="00451EBA" w:rsidRPr="00A84FA8">
        <w:rPr>
          <w:rFonts w:cs="Arial"/>
          <w:b/>
          <w:bCs/>
        </w:rPr>
        <w:t>5</w:t>
      </w:r>
      <w:r w:rsidRPr="00A84FA8">
        <w:rPr>
          <w:rFonts w:cs="Arial"/>
          <w:b/>
          <w:bCs/>
        </w:rPr>
        <w:t xml:space="preserve"> – </w:t>
      </w:r>
      <w:r w:rsidR="00A84FA8" w:rsidRPr="00A84FA8">
        <w:rPr>
          <w:rFonts w:cs="Arial"/>
          <w:b/>
          <w:bCs/>
        </w:rPr>
        <w:t>Definitions</w:t>
      </w:r>
    </w:p>
    <w:p w:rsidR="0065356F" w:rsidRDefault="008975D7" w:rsidP="00A84FA8">
      <w:pPr>
        <w:autoSpaceDE w:val="0"/>
        <w:autoSpaceDN w:val="0"/>
        <w:adjustRightInd w:val="0"/>
        <w:spacing w:before="120" w:after="120" w:line="240" w:lineRule="atLeast"/>
        <w:jc w:val="both"/>
        <w:rPr>
          <w:rFonts w:cs="Arial"/>
          <w:bCs/>
        </w:rPr>
      </w:pPr>
      <w:r w:rsidRPr="005E2BAE">
        <w:rPr>
          <w:rFonts w:cs="Arial"/>
          <w:bCs/>
        </w:rPr>
        <w:t xml:space="preserve">This section defines terms used throughout the Instrument. </w:t>
      </w:r>
    </w:p>
    <w:p w:rsidR="004A0CE2" w:rsidRPr="005E2BAE" w:rsidRDefault="008975D7" w:rsidP="00A84FA8">
      <w:pPr>
        <w:autoSpaceDE w:val="0"/>
        <w:autoSpaceDN w:val="0"/>
        <w:adjustRightInd w:val="0"/>
        <w:spacing w:before="120" w:after="120" w:line="240" w:lineRule="atLeast"/>
        <w:jc w:val="both"/>
        <w:rPr>
          <w:rFonts w:cs="Arial"/>
          <w:bCs/>
        </w:rPr>
      </w:pPr>
      <w:r w:rsidRPr="005E2BAE">
        <w:rPr>
          <w:rFonts w:cs="Arial"/>
          <w:bCs/>
        </w:rPr>
        <w:t xml:space="preserve">The </w:t>
      </w:r>
      <w:r w:rsidR="008C4094" w:rsidRPr="005E2BAE">
        <w:rPr>
          <w:rFonts w:cs="Arial"/>
          <w:bCs/>
        </w:rPr>
        <w:t>definition of</w:t>
      </w:r>
      <w:r w:rsidRPr="005E2BAE">
        <w:rPr>
          <w:rFonts w:cs="Arial"/>
          <w:bCs/>
        </w:rPr>
        <w:t xml:space="preserve"> ‘relevant business day’ takes into account the effect of subsection 43C(1A) of the BSA which was inserted into the BSA by the Amending Act.  A ‘relevant business day’ on which a licensee must broadcast material of local significance is any business day other than a business day which falls during the period when a licensee is not required to broadcast material as a result of subsection 43C(1A) of the BSA.  </w:t>
      </w:r>
    </w:p>
    <w:p w:rsidR="0065356F" w:rsidRDefault="008975D7" w:rsidP="00A84FA8">
      <w:pPr>
        <w:autoSpaceDE w:val="0"/>
        <w:autoSpaceDN w:val="0"/>
        <w:adjustRightInd w:val="0"/>
        <w:spacing w:before="120" w:after="120" w:line="240" w:lineRule="atLeast"/>
        <w:jc w:val="both"/>
        <w:rPr>
          <w:rFonts w:cs="Arial"/>
          <w:bCs/>
        </w:rPr>
      </w:pPr>
      <w:r w:rsidRPr="005E2BAE">
        <w:rPr>
          <w:rFonts w:cs="Arial"/>
          <w:bCs/>
        </w:rPr>
        <w:t xml:space="preserve">That subsection provides an annual 5 week ‘holiday’ from the obligation to broadcast material of local significance.  </w:t>
      </w:r>
    </w:p>
    <w:p w:rsidR="006C74EF" w:rsidRPr="00A84FA8" w:rsidRDefault="006B28F8" w:rsidP="00A84FA8">
      <w:pPr>
        <w:autoSpaceDE w:val="0"/>
        <w:autoSpaceDN w:val="0"/>
        <w:adjustRightInd w:val="0"/>
        <w:spacing w:before="120" w:after="120" w:line="240" w:lineRule="atLeast"/>
        <w:jc w:val="both"/>
        <w:rPr>
          <w:rFonts w:cs="Arial"/>
          <w:bCs/>
        </w:rPr>
      </w:pPr>
      <w:r>
        <w:rPr>
          <w:rFonts w:cs="Arial"/>
          <w:bCs/>
        </w:rPr>
        <w:t xml:space="preserve">Other terms </w:t>
      </w:r>
      <w:r w:rsidR="006C74EF">
        <w:rPr>
          <w:rFonts w:cs="Arial"/>
          <w:bCs/>
        </w:rPr>
        <w:t xml:space="preserve">used in </w:t>
      </w:r>
      <w:r w:rsidR="008F3C93">
        <w:rPr>
          <w:rFonts w:cs="Arial"/>
          <w:bCs/>
        </w:rPr>
        <w:t>the Instrument</w:t>
      </w:r>
      <w:r w:rsidR="006C74EF">
        <w:rPr>
          <w:rFonts w:cs="Arial"/>
          <w:bCs/>
        </w:rPr>
        <w:t xml:space="preserve"> are defined in the BSA and have the same meaning as in the BSA.</w:t>
      </w:r>
    </w:p>
    <w:p w:rsidR="00451EBA" w:rsidRPr="00A84FA8" w:rsidRDefault="00451EBA" w:rsidP="00451EBA">
      <w:pPr>
        <w:autoSpaceDE w:val="0"/>
        <w:autoSpaceDN w:val="0"/>
        <w:adjustRightInd w:val="0"/>
        <w:spacing w:before="120" w:after="120" w:line="240" w:lineRule="atLeast"/>
        <w:jc w:val="both"/>
        <w:rPr>
          <w:rFonts w:cs="Arial"/>
          <w:b/>
        </w:rPr>
      </w:pPr>
      <w:r w:rsidRPr="00A84FA8">
        <w:rPr>
          <w:rFonts w:cs="Arial"/>
          <w:b/>
        </w:rPr>
        <w:t xml:space="preserve">Section </w:t>
      </w:r>
      <w:r w:rsidRPr="00A84FA8">
        <w:rPr>
          <w:rFonts w:cs="Arial"/>
          <w:b/>
          <w:bCs/>
        </w:rPr>
        <w:t xml:space="preserve">6 – </w:t>
      </w:r>
      <w:r w:rsidR="00A84FA8" w:rsidRPr="00A84FA8">
        <w:rPr>
          <w:rFonts w:cs="Arial"/>
          <w:b/>
          <w:bCs/>
        </w:rPr>
        <w:t xml:space="preserve">Meaning of </w:t>
      </w:r>
      <w:r w:rsidR="00A84FA8" w:rsidRPr="00A84FA8">
        <w:rPr>
          <w:rFonts w:cs="Arial"/>
          <w:b/>
          <w:bCs/>
          <w:i/>
        </w:rPr>
        <w:t>material of local significance</w:t>
      </w:r>
    </w:p>
    <w:p w:rsidR="0085704F" w:rsidRDefault="00B54BF9" w:rsidP="0085704F">
      <w:pPr>
        <w:rPr>
          <w:rFonts w:cs="Arial"/>
        </w:rPr>
      </w:pPr>
      <w:r>
        <w:rPr>
          <w:rFonts w:cs="Arial"/>
        </w:rPr>
        <w:t>S</w:t>
      </w:r>
      <w:r w:rsidR="00A84FA8" w:rsidRPr="00A84FA8">
        <w:rPr>
          <w:rFonts w:cs="Arial"/>
        </w:rPr>
        <w:t xml:space="preserve">ection </w:t>
      </w:r>
      <w:r>
        <w:rPr>
          <w:rFonts w:cs="Arial"/>
        </w:rPr>
        <w:t xml:space="preserve">6 </w:t>
      </w:r>
      <w:r w:rsidR="00A84FA8" w:rsidRPr="00A84FA8">
        <w:rPr>
          <w:rFonts w:cs="Arial"/>
        </w:rPr>
        <w:t>sets out the meaning of 'material of local significance'</w:t>
      </w:r>
      <w:r w:rsidR="0085704F" w:rsidRPr="00A84FA8">
        <w:rPr>
          <w:rFonts w:cs="Arial"/>
        </w:rPr>
        <w:t xml:space="preserve">. </w:t>
      </w:r>
      <w:r w:rsidR="00A84FA8" w:rsidRPr="00A84FA8">
        <w:rPr>
          <w:rFonts w:cs="Arial"/>
        </w:rPr>
        <w:t xml:space="preserve"> </w:t>
      </w:r>
      <w:r w:rsidR="006B28F8">
        <w:rPr>
          <w:rFonts w:cs="Arial"/>
        </w:rPr>
        <w:t>The three ways in which a licensee may meet the obligation to broadcast material of local significance are unchanged from</w:t>
      </w:r>
      <w:r w:rsidR="00497120">
        <w:rPr>
          <w:rFonts w:cs="Arial"/>
        </w:rPr>
        <w:t xml:space="preserve"> </w:t>
      </w:r>
      <w:r w:rsidR="00497120" w:rsidRPr="00A84FA8">
        <w:rPr>
          <w:rFonts w:cs="Arial"/>
        </w:rPr>
        <w:t xml:space="preserve">the </w:t>
      </w:r>
      <w:r w:rsidR="00497120">
        <w:rPr>
          <w:rFonts w:cs="Arial"/>
        </w:rPr>
        <w:t xml:space="preserve">2007 </w:t>
      </w:r>
      <w:r w:rsidR="006B28F8">
        <w:rPr>
          <w:rFonts w:cs="Arial"/>
        </w:rPr>
        <w:t>L</w:t>
      </w:r>
      <w:r w:rsidR="00497120">
        <w:rPr>
          <w:rFonts w:cs="Arial"/>
        </w:rPr>
        <w:t xml:space="preserve">icence </w:t>
      </w:r>
      <w:r w:rsidR="006B28F8">
        <w:rPr>
          <w:rFonts w:cs="Arial"/>
        </w:rPr>
        <w:t>C</w:t>
      </w:r>
      <w:r w:rsidR="00497120">
        <w:rPr>
          <w:rFonts w:cs="Arial"/>
        </w:rPr>
        <w:t>ondition</w:t>
      </w:r>
      <w:r w:rsidR="00497120" w:rsidRPr="00A84FA8">
        <w:rPr>
          <w:rFonts w:cs="Arial"/>
        </w:rPr>
        <w:t>.</w:t>
      </w:r>
    </w:p>
    <w:p w:rsidR="00A84FA8" w:rsidRPr="00A161F8" w:rsidRDefault="00A84FA8" w:rsidP="00A84FA8">
      <w:pPr>
        <w:autoSpaceDE w:val="0"/>
        <w:autoSpaceDN w:val="0"/>
        <w:adjustRightInd w:val="0"/>
        <w:spacing w:before="120" w:after="120" w:line="240" w:lineRule="atLeast"/>
        <w:jc w:val="both"/>
        <w:rPr>
          <w:rFonts w:cs="Arial"/>
          <w:b/>
        </w:rPr>
      </w:pPr>
      <w:r w:rsidRPr="00A161F8">
        <w:rPr>
          <w:rFonts w:cs="Arial"/>
          <w:b/>
        </w:rPr>
        <w:t xml:space="preserve">Section </w:t>
      </w:r>
      <w:r w:rsidRPr="00A161F8">
        <w:rPr>
          <w:rFonts w:cs="Arial"/>
          <w:b/>
          <w:bCs/>
        </w:rPr>
        <w:t xml:space="preserve">7 – </w:t>
      </w:r>
      <w:r w:rsidR="00A161F8" w:rsidRPr="00A161F8">
        <w:rPr>
          <w:rFonts w:cs="Arial"/>
          <w:b/>
          <w:bCs/>
        </w:rPr>
        <w:t>Definitions relating to material of local significance</w:t>
      </w:r>
    </w:p>
    <w:p w:rsidR="00A84FA8" w:rsidRPr="00A161F8" w:rsidRDefault="006B28F8" w:rsidP="00A84FA8">
      <w:pPr>
        <w:rPr>
          <w:rFonts w:cs="Arial"/>
        </w:rPr>
      </w:pPr>
      <w:r>
        <w:rPr>
          <w:rFonts w:cs="Arial"/>
        </w:rPr>
        <w:t xml:space="preserve">A licensee may meet the obligation to broadcast material of local significance in one of, or </w:t>
      </w:r>
      <w:r w:rsidR="0065356F">
        <w:rPr>
          <w:rFonts w:cs="Arial"/>
        </w:rPr>
        <w:t xml:space="preserve">in </w:t>
      </w:r>
      <w:r>
        <w:rPr>
          <w:rFonts w:cs="Arial"/>
        </w:rPr>
        <w:t xml:space="preserve">a combination of, three ways – by broadcasting material that is </w:t>
      </w:r>
      <w:r w:rsidR="00A84FA8" w:rsidRPr="00A161F8">
        <w:rPr>
          <w:rFonts w:cs="Arial"/>
        </w:rPr>
        <w:t>'</w:t>
      </w:r>
      <w:r w:rsidR="00A161F8" w:rsidRPr="00A161F8">
        <w:rPr>
          <w:rFonts w:cs="Arial"/>
        </w:rPr>
        <w:t xml:space="preserve">produced in the licence area', 'hosted in the licence area' </w:t>
      </w:r>
      <w:r>
        <w:rPr>
          <w:rFonts w:cs="Arial"/>
        </w:rPr>
        <w:t>or which</w:t>
      </w:r>
      <w:r w:rsidRPr="00A161F8">
        <w:rPr>
          <w:rFonts w:cs="Arial"/>
        </w:rPr>
        <w:t xml:space="preserve"> </w:t>
      </w:r>
      <w:r w:rsidR="00A161F8" w:rsidRPr="00A161F8">
        <w:rPr>
          <w:rFonts w:cs="Arial"/>
        </w:rPr>
        <w:t>'relates to the licence area'.</w:t>
      </w:r>
      <w:r w:rsidR="00A84FA8" w:rsidRPr="00A161F8">
        <w:rPr>
          <w:rFonts w:cs="Arial"/>
        </w:rPr>
        <w:t xml:space="preserve">  </w:t>
      </w:r>
      <w:r w:rsidR="00497120">
        <w:rPr>
          <w:rFonts w:cs="Arial"/>
        </w:rPr>
        <w:t>The</w:t>
      </w:r>
      <w:r>
        <w:rPr>
          <w:rFonts w:cs="Arial"/>
        </w:rPr>
        <w:t xml:space="preserve"> meaning of each of those terms is set out in section 7 and is unchanged from </w:t>
      </w:r>
      <w:r w:rsidR="00497120" w:rsidRPr="00A161F8">
        <w:rPr>
          <w:rFonts w:cs="Arial"/>
        </w:rPr>
        <w:t xml:space="preserve">the </w:t>
      </w:r>
      <w:r w:rsidR="00497120">
        <w:rPr>
          <w:rFonts w:cs="Arial"/>
        </w:rPr>
        <w:t xml:space="preserve">2007 </w:t>
      </w:r>
      <w:r>
        <w:rPr>
          <w:rFonts w:cs="Arial"/>
        </w:rPr>
        <w:t>L</w:t>
      </w:r>
      <w:r w:rsidR="00497120">
        <w:rPr>
          <w:rFonts w:cs="Arial"/>
        </w:rPr>
        <w:t xml:space="preserve">icence </w:t>
      </w:r>
      <w:r>
        <w:rPr>
          <w:rFonts w:cs="Arial"/>
        </w:rPr>
        <w:t>C</w:t>
      </w:r>
      <w:r w:rsidR="00497120">
        <w:rPr>
          <w:rFonts w:cs="Arial"/>
        </w:rPr>
        <w:t>ondition</w:t>
      </w:r>
      <w:r w:rsidR="00497120" w:rsidRPr="00A161F8">
        <w:rPr>
          <w:rFonts w:cs="Arial"/>
        </w:rPr>
        <w:t>.</w:t>
      </w:r>
    </w:p>
    <w:p w:rsidR="00A84FA8" w:rsidRPr="00A161F8" w:rsidRDefault="00A84FA8" w:rsidP="00A84FA8">
      <w:pPr>
        <w:autoSpaceDE w:val="0"/>
        <w:autoSpaceDN w:val="0"/>
        <w:adjustRightInd w:val="0"/>
        <w:spacing w:before="120" w:after="120" w:line="240" w:lineRule="atLeast"/>
        <w:jc w:val="both"/>
        <w:rPr>
          <w:rFonts w:cs="Arial"/>
          <w:b/>
        </w:rPr>
      </w:pPr>
      <w:r w:rsidRPr="00A161F8">
        <w:rPr>
          <w:rFonts w:cs="Arial"/>
          <w:b/>
        </w:rPr>
        <w:t xml:space="preserve">Section </w:t>
      </w:r>
      <w:r w:rsidRPr="00A161F8">
        <w:rPr>
          <w:rFonts w:cs="Arial"/>
          <w:b/>
          <w:bCs/>
        </w:rPr>
        <w:t xml:space="preserve">8 – </w:t>
      </w:r>
      <w:r w:rsidR="00A161F8" w:rsidRPr="00A161F8">
        <w:rPr>
          <w:rFonts w:cs="Arial"/>
          <w:b/>
          <w:bCs/>
        </w:rPr>
        <w:t>Licensee must broadcast material of local significance</w:t>
      </w:r>
    </w:p>
    <w:p w:rsidR="006B28F8" w:rsidRDefault="00A84FA8" w:rsidP="00A84FA8">
      <w:pPr>
        <w:rPr>
          <w:rFonts w:cs="Arial"/>
        </w:rPr>
      </w:pPr>
      <w:r w:rsidRPr="00A161F8">
        <w:rPr>
          <w:rFonts w:cs="Arial"/>
        </w:rPr>
        <w:t xml:space="preserve">This section sets out the </w:t>
      </w:r>
      <w:r w:rsidR="006B28F8">
        <w:rPr>
          <w:rFonts w:cs="Arial"/>
        </w:rPr>
        <w:t xml:space="preserve">substantive </w:t>
      </w:r>
      <w:r w:rsidR="00A161F8" w:rsidRPr="00A161F8">
        <w:rPr>
          <w:rFonts w:cs="Arial"/>
        </w:rPr>
        <w:t>requirement on licensees to broadcast the applicable number of hours of</w:t>
      </w:r>
      <w:r w:rsidRPr="00A161F8">
        <w:rPr>
          <w:rFonts w:cs="Arial"/>
        </w:rPr>
        <w:t xml:space="preserve"> material of local significance</w:t>
      </w:r>
      <w:r w:rsidR="00A161F8" w:rsidRPr="00A161F8">
        <w:rPr>
          <w:rFonts w:cs="Arial"/>
        </w:rPr>
        <w:t xml:space="preserve"> during daytime hours on a </w:t>
      </w:r>
      <w:r w:rsidR="00D075EC">
        <w:rPr>
          <w:rFonts w:cs="Arial"/>
        </w:rPr>
        <w:t xml:space="preserve">relevant </w:t>
      </w:r>
      <w:r w:rsidR="00A161F8" w:rsidRPr="00A161F8">
        <w:rPr>
          <w:rFonts w:cs="Arial"/>
        </w:rPr>
        <w:t xml:space="preserve">business day. </w:t>
      </w:r>
      <w:r w:rsidR="006B28F8">
        <w:rPr>
          <w:rFonts w:cs="Arial"/>
        </w:rPr>
        <w:t xml:space="preserve"> </w:t>
      </w:r>
      <w:r w:rsidR="00D075EC">
        <w:rPr>
          <w:rFonts w:cs="Arial"/>
        </w:rPr>
        <w:t>(</w:t>
      </w:r>
      <w:r w:rsidR="006B28F8">
        <w:rPr>
          <w:rFonts w:cs="Arial"/>
        </w:rPr>
        <w:t xml:space="preserve">The applicable number of hours </w:t>
      </w:r>
      <w:r w:rsidR="00D075EC">
        <w:rPr>
          <w:rFonts w:cs="Arial"/>
        </w:rPr>
        <w:t xml:space="preserve">for licensees </w:t>
      </w:r>
      <w:r w:rsidR="006B28F8">
        <w:rPr>
          <w:rFonts w:cs="Arial"/>
        </w:rPr>
        <w:t>is set out in section 4 o</w:t>
      </w:r>
      <w:r w:rsidR="009B4F7F">
        <w:rPr>
          <w:rFonts w:cs="Arial"/>
        </w:rPr>
        <w:t xml:space="preserve">f the </w:t>
      </w:r>
      <w:r w:rsidR="008975D7" w:rsidRPr="008975D7">
        <w:rPr>
          <w:rFonts w:cs="Arial"/>
          <w:i/>
        </w:rPr>
        <w:t>Broadcasting (Hours of Local Content) Declaration No 1 of 2007</w:t>
      </w:r>
      <w:r w:rsidR="009B4F7F">
        <w:rPr>
          <w:rFonts w:cs="Arial"/>
        </w:rPr>
        <w:t>.</w:t>
      </w:r>
      <w:r w:rsidR="00D075EC">
        <w:rPr>
          <w:rFonts w:cs="Arial"/>
        </w:rPr>
        <w:t>)</w:t>
      </w:r>
    </w:p>
    <w:p w:rsidR="006B28F8" w:rsidRDefault="006B28F8" w:rsidP="00A84FA8">
      <w:pPr>
        <w:rPr>
          <w:rFonts w:cs="Arial"/>
        </w:rPr>
      </w:pPr>
    </w:p>
    <w:p w:rsidR="00A84FA8" w:rsidRPr="00A161F8" w:rsidRDefault="00A84FA8" w:rsidP="00A84FA8">
      <w:pPr>
        <w:autoSpaceDE w:val="0"/>
        <w:autoSpaceDN w:val="0"/>
        <w:adjustRightInd w:val="0"/>
        <w:spacing w:before="120" w:after="120" w:line="240" w:lineRule="atLeast"/>
        <w:jc w:val="both"/>
        <w:rPr>
          <w:rFonts w:cs="Arial"/>
          <w:b/>
        </w:rPr>
      </w:pPr>
      <w:r w:rsidRPr="00A161F8">
        <w:rPr>
          <w:rFonts w:cs="Arial"/>
          <w:b/>
        </w:rPr>
        <w:lastRenderedPageBreak/>
        <w:t xml:space="preserve">Section </w:t>
      </w:r>
      <w:r w:rsidRPr="00A161F8">
        <w:rPr>
          <w:rFonts w:cs="Arial"/>
          <w:b/>
          <w:bCs/>
        </w:rPr>
        <w:t xml:space="preserve">9 – </w:t>
      </w:r>
      <w:r w:rsidR="00A161F8" w:rsidRPr="00A161F8">
        <w:rPr>
          <w:rFonts w:cs="Arial"/>
          <w:b/>
          <w:bCs/>
        </w:rPr>
        <w:t>Annual reporting to the ACMA</w:t>
      </w:r>
    </w:p>
    <w:p w:rsidR="00A84FA8" w:rsidRDefault="00A84FA8" w:rsidP="00A84FA8">
      <w:pPr>
        <w:rPr>
          <w:rFonts w:cs="Arial"/>
        </w:rPr>
      </w:pPr>
      <w:r w:rsidRPr="00A161F8">
        <w:rPr>
          <w:rFonts w:cs="Arial"/>
        </w:rPr>
        <w:t xml:space="preserve">This section </w:t>
      </w:r>
      <w:r w:rsidR="00A161F8" w:rsidRPr="00A161F8">
        <w:rPr>
          <w:rFonts w:cs="Arial"/>
        </w:rPr>
        <w:t>require</w:t>
      </w:r>
      <w:r w:rsidR="00D075EC">
        <w:rPr>
          <w:rFonts w:cs="Arial"/>
        </w:rPr>
        <w:t>s</w:t>
      </w:r>
      <w:r w:rsidR="00A161F8" w:rsidRPr="00A161F8">
        <w:rPr>
          <w:rFonts w:cs="Arial"/>
        </w:rPr>
        <w:t xml:space="preserve"> licensees to give to the ACMA a report each year about the licensee's compliance with the licence condition</w:t>
      </w:r>
      <w:r w:rsidR="00B54BF9">
        <w:rPr>
          <w:rFonts w:cs="Arial"/>
        </w:rPr>
        <w:t xml:space="preserve"> (subsection 9(1)) and </w:t>
      </w:r>
      <w:r w:rsidR="008975D7" w:rsidRPr="005E2BAE">
        <w:rPr>
          <w:rFonts w:cs="Arial"/>
        </w:rPr>
        <w:t>requires that they</w:t>
      </w:r>
      <w:r w:rsidR="00734D7E" w:rsidRPr="005E2BAE">
        <w:rPr>
          <w:rFonts w:cs="Arial"/>
        </w:rPr>
        <w:t xml:space="preserve"> </w:t>
      </w:r>
      <w:r w:rsidR="00B54BF9" w:rsidRPr="005E2BAE">
        <w:rPr>
          <w:rFonts w:cs="Arial"/>
        </w:rPr>
        <w:t>must, if directed by the ACMA, publish records made for the purposes of section 9 (subsection 9(2))</w:t>
      </w:r>
      <w:r w:rsidR="00A161F8" w:rsidRPr="005E2BAE">
        <w:rPr>
          <w:rFonts w:cs="Arial"/>
        </w:rPr>
        <w:t xml:space="preserve">. </w:t>
      </w:r>
      <w:r w:rsidR="00497120" w:rsidRPr="005E2BAE">
        <w:rPr>
          <w:rFonts w:cs="Arial"/>
        </w:rPr>
        <w:t>The</w:t>
      </w:r>
      <w:r w:rsidR="00497120" w:rsidRPr="00A161F8">
        <w:rPr>
          <w:rFonts w:cs="Arial"/>
        </w:rPr>
        <w:t xml:space="preserve"> </w:t>
      </w:r>
      <w:r w:rsidR="00497120">
        <w:rPr>
          <w:rFonts w:cs="Arial"/>
        </w:rPr>
        <w:t>requirement is unchanged</w:t>
      </w:r>
      <w:r w:rsidR="00497120" w:rsidRPr="00A161F8">
        <w:rPr>
          <w:rFonts w:cs="Arial"/>
        </w:rPr>
        <w:t xml:space="preserve"> from the </w:t>
      </w:r>
      <w:r w:rsidR="00497120">
        <w:rPr>
          <w:rFonts w:cs="Arial"/>
        </w:rPr>
        <w:t xml:space="preserve">2007 </w:t>
      </w:r>
      <w:r w:rsidR="00D075EC">
        <w:rPr>
          <w:rFonts w:cs="Arial"/>
        </w:rPr>
        <w:t>L</w:t>
      </w:r>
      <w:r w:rsidR="00497120">
        <w:rPr>
          <w:rFonts w:cs="Arial"/>
        </w:rPr>
        <w:t xml:space="preserve">icence </w:t>
      </w:r>
      <w:r w:rsidR="00D075EC">
        <w:rPr>
          <w:rFonts w:cs="Arial"/>
        </w:rPr>
        <w:t>C</w:t>
      </w:r>
      <w:r w:rsidR="00497120">
        <w:rPr>
          <w:rFonts w:cs="Arial"/>
        </w:rPr>
        <w:t>ondition</w:t>
      </w:r>
      <w:r w:rsidR="00497120" w:rsidRPr="00A161F8">
        <w:rPr>
          <w:rFonts w:cs="Arial"/>
        </w:rPr>
        <w:t>.</w:t>
      </w:r>
    </w:p>
    <w:p w:rsidR="00330A6B" w:rsidRDefault="00330A6B" w:rsidP="00330A6B">
      <w:pPr>
        <w:spacing w:before="120" w:after="120"/>
        <w:rPr>
          <w:rFonts w:cs="Arial"/>
          <w:b/>
        </w:rPr>
      </w:pPr>
    </w:p>
    <w:p w:rsidR="00A84FA8" w:rsidRPr="00A161F8" w:rsidRDefault="00A84FA8" w:rsidP="00330A6B">
      <w:pPr>
        <w:spacing w:before="120" w:after="120"/>
        <w:rPr>
          <w:rFonts w:cs="Arial"/>
          <w:b/>
        </w:rPr>
      </w:pPr>
      <w:r w:rsidRPr="00A161F8">
        <w:rPr>
          <w:rFonts w:cs="Arial"/>
          <w:b/>
        </w:rPr>
        <w:t xml:space="preserve">Section </w:t>
      </w:r>
      <w:r w:rsidRPr="00330A6B">
        <w:rPr>
          <w:rFonts w:cs="Arial"/>
          <w:b/>
        </w:rPr>
        <w:t xml:space="preserve">10 – </w:t>
      </w:r>
      <w:r w:rsidR="00A161F8" w:rsidRPr="00330A6B">
        <w:rPr>
          <w:rFonts w:cs="Arial"/>
          <w:b/>
        </w:rPr>
        <w:t>Records</w:t>
      </w:r>
    </w:p>
    <w:p w:rsidR="009B7DA9" w:rsidRDefault="00D075EC" w:rsidP="009B26F5">
      <w:pPr>
        <w:rPr>
          <w:rFonts w:cs="Arial"/>
        </w:rPr>
      </w:pPr>
      <w:r>
        <w:rPr>
          <w:rFonts w:cs="Arial"/>
        </w:rPr>
        <w:t>S</w:t>
      </w:r>
      <w:r w:rsidR="00A84FA8" w:rsidRPr="009B26F5">
        <w:rPr>
          <w:rFonts w:cs="Arial"/>
        </w:rPr>
        <w:t xml:space="preserve">ection </w:t>
      </w:r>
      <w:r>
        <w:rPr>
          <w:rFonts w:cs="Arial"/>
        </w:rPr>
        <w:t xml:space="preserve">10 </w:t>
      </w:r>
      <w:r w:rsidR="00A84FA8" w:rsidRPr="009B26F5">
        <w:rPr>
          <w:rFonts w:cs="Arial"/>
        </w:rPr>
        <w:t xml:space="preserve">sets out the </w:t>
      </w:r>
      <w:r w:rsidR="00A161F8" w:rsidRPr="009B26F5">
        <w:rPr>
          <w:rFonts w:cs="Arial"/>
        </w:rPr>
        <w:t xml:space="preserve">requirement </w:t>
      </w:r>
      <w:r w:rsidR="00B54BF9">
        <w:rPr>
          <w:rFonts w:cs="Arial"/>
        </w:rPr>
        <w:t>that</w:t>
      </w:r>
      <w:r w:rsidR="00B54BF9" w:rsidRPr="009B26F5">
        <w:rPr>
          <w:rFonts w:cs="Arial"/>
        </w:rPr>
        <w:t xml:space="preserve"> </w:t>
      </w:r>
      <w:r w:rsidR="00B54BF9">
        <w:rPr>
          <w:rFonts w:cs="Arial"/>
        </w:rPr>
        <w:t xml:space="preserve">a </w:t>
      </w:r>
      <w:r w:rsidR="00A161F8" w:rsidRPr="009B26F5">
        <w:rPr>
          <w:rFonts w:cs="Arial"/>
        </w:rPr>
        <w:t>licensee make a</w:t>
      </w:r>
      <w:r w:rsidR="009B26F5" w:rsidRPr="009B26F5">
        <w:rPr>
          <w:rFonts w:cs="Arial"/>
        </w:rPr>
        <w:t>n audio</w:t>
      </w:r>
      <w:r w:rsidR="00A161F8" w:rsidRPr="009B26F5">
        <w:rPr>
          <w:rFonts w:cs="Arial"/>
        </w:rPr>
        <w:t xml:space="preserve"> record of the </w:t>
      </w:r>
      <w:r w:rsidR="009B26F5" w:rsidRPr="009B26F5">
        <w:rPr>
          <w:rFonts w:cs="Arial"/>
        </w:rPr>
        <w:t>applicable</w:t>
      </w:r>
      <w:r w:rsidR="00A161F8" w:rsidRPr="009B26F5">
        <w:rPr>
          <w:rFonts w:cs="Arial"/>
        </w:rPr>
        <w:t xml:space="preserve"> number of hours of material of local significance that </w:t>
      </w:r>
      <w:r w:rsidR="009B7DA9">
        <w:rPr>
          <w:rFonts w:cs="Arial"/>
        </w:rPr>
        <w:t>it has</w:t>
      </w:r>
      <w:r w:rsidR="00A161F8" w:rsidRPr="009B26F5">
        <w:rPr>
          <w:rFonts w:cs="Arial"/>
        </w:rPr>
        <w:t xml:space="preserve"> </w:t>
      </w:r>
      <w:r w:rsidR="009B26F5" w:rsidRPr="009B26F5">
        <w:rPr>
          <w:rFonts w:cs="Arial"/>
        </w:rPr>
        <w:t xml:space="preserve">broadcast in the licence area during daytime hours on a </w:t>
      </w:r>
      <w:r w:rsidR="006C74EF">
        <w:rPr>
          <w:rFonts w:cs="Arial"/>
        </w:rPr>
        <w:t xml:space="preserve">relevant </w:t>
      </w:r>
      <w:r w:rsidR="009B26F5" w:rsidRPr="009B26F5">
        <w:rPr>
          <w:rFonts w:cs="Arial"/>
        </w:rPr>
        <w:t>business day.</w:t>
      </w:r>
      <w:r w:rsidR="00497120">
        <w:rPr>
          <w:rFonts w:cs="Arial"/>
        </w:rPr>
        <w:t xml:space="preserve"> Th</w:t>
      </w:r>
      <w:r>
        <w:rPr>
          <w:rFonts w:cs="Arial"/>
        </w:rPr>
        <w:t>e</w:t>
      </w:r>
      <w:r w:rsidR="00497120">
        <w:rPr>
          <w:rFonts w:cs="Arial"/>
        </w:rPr>
        <w:t xml:space="preserve"> requirement does not apply during the period specified in section 43C(1A) of the BSA. </w:t>
      </w:r>
      <w:r w:rsidR="009B26F5" w:rsidRPr="009B26F5">
        <w:rPr>
          <w:rFonts w:cs="Arial"/>
        </w:rPr>
        <w:t xml:space="preserve"> </w:t>
      </w:r>
      <w:r>
        <w:rPr>
          <w:rFonts w:cs="Arial"/>
        </w:rPr>
        <w:t xml:space="preserve">Licensees must retain records made under section 10 for </w:t>
      </w:r>
      <w:r w:rsidR="009B7DA9">
        <w:rPr>
          <w:rFonts w:cs="Arial"/>
        </w:rPr>
        <w:t xml:space="preserve">up to 60 days from the date of broadcast unless the ACMA specifies a longer period </w:t>
      </w:r>
      <w:r w:rsidR="00B54BF9">
        <w:rPr>
          <w:rFonts w:cs="Arial"/>
        </w:rPr>
        <w:t>(subsection 10(</w:t>
      </w:r>
      <w:r w:rsidR="00B54BF9" w:rsidRPr="005E2BAE">
        <w:rPr>
          <w:rFonts w:cs="Arial"/>
        </w:rPr>
        <w:t>2)</w:t>
      </w:r>
      <w:r w:rsidR="008975D7" w:rsidRPr="005E2BAE">
        <w:rPr>
          <w:rFonts w:cs="Arial"/>
        </w:rPr>
        <w:t>)</w:t>
      </w:r>
      <w:r w:rsidR="00B54BF9">
        <w:rPr>
          <w:rFonts w:cs="Arial"/>
        </w:rPr>
        <w:t xml:space="preserve"> </w:t>
      </w:r>
      <w:r w:rsidR="009B7DA9">
        <w:rPr>
          <w:rFonts w:cs="Arial"/>
        </w:rPr>
        <w:t>and must provide the audio record to the ACMA if requested to do so</w:t>
      </w:r>
      <w:r w:rsidR="00B54BF9">
        <w:rPr>
          <w:rFonts w:cs="Arial"/>
        </w:rPr>
        <w:t xml:space="preserve"> (subsection 10(3))</w:t>
      </w:r>
      <w:r w:rsidR="009B7DA9">
        <w:rPr>
          <w:rFonts w:cs="Arial"/>
        </w:rPr>
        <w:t xml:space="preserve">. </w:t>
      </w:r>
    </w:p>
    <w:p w:rsidR="00B54BF9" w:rsidRDefault="00B54BF9" w:rsidP="009B26F5">
      <w:pPr>
        <w:rPr>
          <w:rFonts w:cs="Arial"/>
        </w:rPr>
      </w:pPr>
    </w:p>
    <w:p w:rsidR="00B54BF9" w:rsidRDefault="00B54BF9" w:rsidP="009B26F5">
      <w:pPr>
        <w:rPr>
          <w:rFonts w:cs="Arial"/>
        </w:rPr>
      </w:pPr>
      <w:r>
        <w:rPr>
          <w:rFonts w:cs="Arial"/>
        </w:rPr>
        <w:t>Subsection 10(4) is a transitional provision and provides that a licensee who was required under the 2007 Licence Condition to make a record must continue to comply with that requirement as though the 2007 Licence Condition wa</w:t>
      </w:r>
      <w:r w:rsidR="00567ADC">
        <w:rPr>
          <w:rFonts w:cs="Arial"/>
        </w:rPr>
        <w:t>s still in force</w:t>
      </w:r>
      <w:r>
        <w:rPr>
          <w:rFonts w:cs="Arial"/>
        </w:rPr>
        <w:t>.</w:t>
      </w:r>
    </w:p>
    <w:p w:rsidR="009B7DA9" w:rsidRDefault="009B7DA9" w:rsidP="009B26F5">
      <w:pPr>
        <w:rPr>
          <w:rFonts w:cs="Arial"/>
        </w:rPr>
      </w:pPr>
    </w:p>
    <w:p w:rsidR="009B26F5" w:rsidRPr="009B26F5" w:rsidRDefault="00A84FA8" w:rsidP="009B26F5">
      <w:pPr>
        <w:spacing w:before="120" w:after="120"/>
        <w:rPr>
          <w:rFonts w:cs="Arial"/>
          <w:b/>
          <w:bCs/>
        </w:rPr>
      </w:pPr>
      <w:r w:rsidRPr="009B26F5">
        <w:rPr>
          <w:rFonts w:cs="Arial"/>
          <w:b/>
        </w:rPr>
        <w:t>Section 11</w:t>
      </w:r>
      <w:r w:rsidRPr="009B26F5">
        <w:rPr>
          <w:rFonts w:cs="Arial"/>
          <w:b/>
          <w:bCs/>
        </w:rPr>
        <w:t xml:space="preserve"> – </w:t>
      </w:r>
      <w:r w:rsidR="009B26F5" w:rsidRPr="009B26F5">
        <w:rPr>
          <w:rFonts w:cs="Arial"/>
          <w:b/>
          <w:bCs/>
        </w:rPr>
        <w:t>M</w:t>
      </w:r>
      <w:r w:rsidRPr="009B26F5">
        <w:rPr>
          <w:rFonts w:cs="Arial"/>
          <w:b/>
          <w:bCs/>
        </w:rPr>
        <w:t>aterial of local significance</w:t>
      </w:r>
      <w:r w:rsidR="009B26F5" w:rsidRPr="009B26F5">
        <w:rPr>
          <w:rFonts w:cs="Arial"/>
          <w:b/>
          <w:bCs/>
        </w:rPr>
        <w:t xml:space="preserve"> – local content statements</w:t>
      </w:r>
    </w:p>
    <w:p w:rsidR="009B7DA9" w:rsidRDefault="00A84FA8" w:rsidP="00A84FA8">
      <w:pPr>
        <w:rPr>
          <w:rFonts w:cs="Arial"/>
        </w:rPr>
      </w:pPr>
      <w:r w:rsidRPr="009B26F5">
        <w:rPr>
          <w:rFonts w:cs="Arial"/>
        </w:rPr>
        <w:t xml:space="preserve">This section </w:t>
      </w:r>
      <w:r w:rsidR="009B26F5" w:rsidRPr="005E2BAE">
        <w:rPr>
          <w:rFonts w:cs="Arial"/>
        </w:rPr>
        <w:t>require</w:t>
      </w:r>
      <w:r w:rsidR="009B7DA9" w:rsidRPr="005E2BAE">
        <w:rPr>
          <w:rFonts w:cs="Arial"/>
        </w:rPr>
        <w:t>s</w:t>
      </w:r>
      <w:r w:rsidR="009B26F5" w:rsidRPr="005E2BAE">
        <w:rPr>
          <w:rFonts w:cs="Arial"/>
        </w:rPr>
        <w:t xml:space="preserve"> </w:t>
      </w:r>
      <w:r w:rsidR="008975D7" w:rsidRPr="005E2BAE">
        <w:rPr>
          <w:rFonts w:cs="Arial"/>
        </w:rPr>
        <w:t>a licensee</w:t>
      </w:r>
      <w:r w:rsidR="009B26F5" w:rsidRPr="005E2BAE">
        <w:rPr>
          <w:rFonts w:cs="Arial"/>
        </w:rPr>
        <w:t xml:space="preserve"> to compile</w:t>
      </w:r>
      <w:r w:rsidR="009B26F5" w:rsidRPr="009B26F5">
        <w:rPr>
          <w:rFonts w:cs="Arial"/>
        </w:rPr>
        <w:t xml:space="preserve"> a 'local content statement' in relation to the material of local significance that</w:t>
      </w:r>
      <w:r w:rsidR="009B7DA9">
        <w:rPr>
          <w:rFonts w:cs="Arial"/>
        </w:rPr>
        <w:t xml:space="preserve"> it</w:t>
      </w:r>
      <w:r w:rsidR="009B26F5" w:rsidRPr="009B26F5">
        <w:rPr>
          <w:rFonts w:cs="Arial"/>
        </w:rPr>
        <w:t xml:space="preserve"> </w:t>
      </w:r>
      <w:r w:rsidR="009B7DA9">
        <w:rPr>
          <w:rFonts w:cs="Arial"/>
        </w:rPr>
        <w:t>ha</w:t>
      </w:r>
      <w:r w:rsidR="009B26F5" w:rsidRPr="009B26F5">
        <w:rPr>
          <w:rFonts w:cs="Arial"/>
        </w:rPr>
        <w:t xml:space="preserve">s broadcast </w:t>
      </w:r>
      <w:r w:rsidR="009B7DA9">
        <w:rPr>
          <w:rFonts w:cs="Arial"/>
        </w:rPr>
        <w:t xml:space="preserve">in its licence areas </w:t>
      </w:r>
      <w:r w:rsidR="00497120" w:rsidRPr="00497120">
        <w:rPr>
          <w:rFonts w:cs="Arial"/>
        </w:rPr>
        <w:t>during daytime hours on a</w:t>
      </w:r>
      <w:r w:rsidR="009B7DA9">
        <w:rPr>
          <w:rFonts w:cs="Arial"/>
        </w:rPr>
        <w:t xml:space="preserve"> relevant</w:t>
      </w:r>
      <w:r w:rsidR="00497120" w:rsidRPr="00497120">
        <w:rPr>
          <w:rFonts w:cs="Arial"/>
        </w:rPr>
        <w:t xml:space="preserve"> business day</w:t>
      </w:r>
      <w:r w:rsidR="009B26F5" w:rsidRPr="009B26F5">
        <w:rPr>
          <w:rFonts w:cs="Arial"/>
        </w:rPr>
        <w:t>.</w:t>
      </w:r>
    </w:p>
    <w:p w:rsidR="009B7DA9" w:rsidRDefault="009B7DA9" w:rsidP="00A84FA8">
      <w:pPr>
        <w:rPr>
          <w:rFonts w:cs="Arial"/>
        </w:rPr>
      </w:pPr>
    </w:p>
    <w:p w:rsidR="009B26F5" w:rsidRDefault="009B7DA9" w:rsidP="00A84FA8">
      <w:pPr>
        <w:rPr>
          <w:rFonts w:cs="Arial"/>
        </w:rPr>
      </w:pPr>
      <w:r>
        <w:rPr>
          <w:rFonts w:cs="Arial"/>
        </w:rPr>
        <w:t>Licensees can comply with the obligation to compile a local content statement by either setting out the regular program schedule for each day of the week or by listing programs (or parts of programs) broadcast on each relevant business day that are material of local significance</w:t>
      </w:r>
      <w:r w:rsidR="009B26F5" w:rsidRPr="009B26F5">
        <w:rPr>
          <w:rFonts w:cs="Arial"/>
        </w:rPr>
        <w:t xml:space="preserve"> </w:t>
      </w:r>
      <w:r>
        <w:rPr>
          <w:rFonts w:cs="Arial"/>
        </w:rPr>
        <w:t xml:space="preserve">(subsection 11(2)).   </w:t>
      </w:r>
      <w:r w:rsidR="00512975">
        <w:rPr>
          <w:rFonts w:cs="Arial"/>
        </w:rPr>
        <w:t xml:space="preserve">Subsections 11(3) and 11(4) </w:t>
      </w:r>
      <w:r w:rsidR="009B26F5" w:rsidRPr="009B26F5">
        <w:rPr>
          <w:rFonts w:cs="Arial"/>
        </w:rPr>
        <w:t xml:space="preserve">set out what matters must be recorded in </w:t>
      </w:r>
      <w:r w:rsidR="00512975">
        <w:rPr>
          <w:rFonts w:cs="Arial"/>
        </w:rPr>
        <w:t>each type of</w:t>
      </w:r>
      <w:r w:rsidR="00512975" w:rsidRPr="009B26F5">
        <w:rPr>
          <w:rFonts w:cs="Arial"/>
        </w:rPr>
        <w:t xml:space="preserve"> </w:t>
      </w:r>
      <w:r w:rsidR="009B26F5" w:rsidRPr="009B26F5">
        <w:rPr>
          <w:rFonts w:cs="Arial"/>
        </w:rPr>
        <w:t xml:space="preserve">local content statement. </w:t>
      </w:r>
      <w:r w:rsidR="00512975">
        <w:rPr>
          <w:rFonts w:cs="Arial"/>
        </w:rPr>
        <w:t xml:space="preserve"> </w:t>
      </w:r>
    </w:p>
    <w:p w:rsidR="00512975" w:rsidRDefault="00512975" w:rsidP="00A84FA8">
      <w:pPr>
        <w:rPr>
          <w:rFonts w:cs="Arial"/>
        </w:rPr>
      </w:pPr>
    </w:p>
    <w:p w:rsidR="00512975" w:rsidRDefault="00512975" w:rsidP="00A84FA8">
      <w:pPr>
        <w:rPr>
          <w:rFonts w:cs="Arial"/>
        </w:rPr>
      </w:pPr>
      <w:r>
        <w:rPr>
          <w:rFonts w:cs="Arial"/>
        </w:rPr>
        <w:t>Licensees must also ensure that their local content statements are available to the public by either publishing the statement on their website or by giving a copy to a person on request (subsection 11(5)).  The Licensee must also give the ACMA a copy of the local content statement on request (subsection 11(6)). Licensees must keep a copy of a local content stat</w:t>
      </w:r>
      <w:r w:rsidR="00B54BF9">
        <w:rPr>
          <w:rFonts w:cs="Arial"/>
        </w:rPr>
        <w:t xml:space="preserve">ement for either 18 months or </w:t>
      </w:r>
      <w:r>
        <w:rPr>
          <w:rFonts w:cs="Arial"/>
        </w:rPr>
        <w:t>another period specified by the ACMA in writing (subsection 11(7)).</w:t>
      </w:r>
    </w:p>
    <w:p w:rsidR="00B54BF9" w:rsidRDefault="00B54BF9" w:rsidP="00A84FA8">
      <w:pPr>
        <w:rPr>
          <w:rFonts w:cs="Arial"/>
        </w:rPr>
      </w:pPr>
    </w:p>
    <w:p w:rsidR="00B54BF9" w:rsidRPr="009B26F5" w:rsidRDefault="00B54BF9" w:rsidP="00B54BF9">
      <w:pPr>
        <w:rPr>
          <w:rFonts w:cs="Arial"/>
        </w:rPr>
      </w:pPr>
      <w:r>
        <w:rPr>
          <w:rFonts w:cs="Arial"/>
        </w:rPr>
        <w:t>Subsection 11(8) is a transitional provision and provides that a licensee who was required under the 2007 Licence Condition to make, keep and publish a local content statement must continue to comply with that requirement as though the 2007 Licence Condition was still in force.</w:t>
      </w:r>
    </w:p>
    <w:p w:rsidR="00B54BF9" w:rsidRPr="009B26F5" w:rsidRDefault="00B54BF9" w:rsidP="00A84FA8">
      <w:pPr>
        <w:rPr>
          <w:rFonts w:cs="Arial"/>
        </w:rPr>
      </w:pPr>
    </w:p>
    <w:p w:rsidR="00A161F8" w:rsidRPr="009B26F5" w:rsidRDefault="00A161F8" w:rsidP="00A161F8">
      <w:pPr>
        <w:autoSpaceDE w:val="0"/>
        <w:autoSpaceDN w:val="0"/>
        <w:adjustRightInd w:val="0"/>
        <w:spacing w:before="120" w:after="120" w:line="240" w:lineRule="atLeast"/>
        <w:jc w:val="both"/>
        <w:rPr>
          <w:rFonts w:cs="Arial"/>
          <w:b/>
        </w:rPr>
      </w:pPr>
      <w:r w:rsidRPr="009B26F5">
        <w:rPr>
          <w:rFonts w:cs="Arial"/>
          <w:b/>
        </w:rPr>
        <w:t xml:space="preserve">Section </w:t>
      </w:r>
      <w:r w:rsidRPr="009B26F5">
        <w:rPr>
          <w:rFonts w:cs="Arial"/>
          <w:b/>
          <w:bCs/>
        </w:rPr>
        <w:t xml:space="preserve">12 – </w:t>
      </w:r>
      <w:r w:rsidR="009B26F5" w:rsidRPr="009B26F5">
        <w:rPr>
          <w:rFonts w:cs="Arial"/>
          <w:b/>
          <w:bCs/>
        </w:rPr>
        <w:t>The ACMA may conduct a review at any time</w:t>
      </w:r>
    </w:p>
    <w:p w:rsidR="00A161F8" w:rsidRPr="00A84FA8" w:rsidRDefault="009B7DA9" w:rsidP="00A161F8">
      <w:pPr>
        <w:rPr>
          <w:rFonts w:cs="Arial"/>
        </w:rPr>
      </w:pPr>
      <w:r>
        <w:rPr>
          <w:rFonts w:cs="Arial"/>
        </w:rPr>
        <w:t>S</w:t>
      </w:r>
      <w:r w:rsidR="00A161F8" w:rsidRPr="009B26F5">
        <w:rPr>
          <w:rFonts w:cs="Arial"/>
        </w:rPr>
        <w:t xml:space="preserve">ection </w:t>
      </w:r>
      <w:r>
        <w:rPr>
          <w:rFonts w:cs="Arial"/>
        </w:rPr>
        <w:t xml:space="preserve">12 </w:t>
      </w:r>
      <w:r w:rsidR="006C74EF">
        <w:rPr>
          <w:rFonts w:cs="Arial"/>
        </w:rPr>
        <w:t>states</w:t>
      </w:r>
      <w:r w:rsidR="00A161F8" w:rsidRPr="009B26F5">
        <w:rPr>
          <w:rFonts w:cs="Arial"/>
        </w:rPr>
        <w:t xml:space="preserve"> </w:t>
      </w:r>
      <w:r w:rsidR="009B26F5" w:rsidRPr="009B26F5">
        <w:rPr>
          <w:rFonts w:cs="Arial"/>
        </w:rPr>
        <w:t>that the ACMA may review the operati</w:t>
      </w:r>
      <w:r w:rsidR="009B26F5">
        <w:rPr>
          <w:rFonts w:cs="Arial"/>
        </w:rPr>
        <w:t>o</w:t>
      </w:r>
      <w:r w:rsidR="009B26F5" w:rsidRPr="009B26F5">
        <w:rPr>
          <w:rFonts w:cs="Arial"/>
        </w:rPr>
        <w:t xml:space="preserve">n and scope of the conditions specified in </w:t>
      </w:r>
      <w:r w:rsidR="008F3C93">
        <w:rPr>
          <w:rFonts w:cs="Arial"/>
        </w:rPr>
        <w:t>the Instrument</w:t>
      </w:r>
      <w:r w:rsidR="009B26F5" w:rsidRPr="009B26F5">
        <w:rPr>
          <w:rFonts w:cs="Arial"/>
        </w:rPr>
        <w:t xml:space="preserve"> at any time. </w:t>
      </w:r>
      <w:r w:rsidR="00512975">
        <w:rPr>
          <w:rFonts w:cs="Arial"/>
        </w:rPr>
        <w:t xml:space="preserve">It may do so at the request of the Minister or a licensee, at the request of any other person affected by the Instrument or on its own initiative (subsection 12(2)).  </w:t>
      </w:r>
      <w:r w:rsidR="00497120" w:rsidRPr="009B26F5">
        <w:rPr>
          <w:rFonts w:cs="Arial"/>
        </w:rPr>
        <w:t xml:space="preserve">This provision </w:t>
      </w:r>
      <w:r w:rsidR="00512975">
        <w:rPr>
          <w:rFonts w:cs="Arial"/>
        </w:rPr>
        <w:t>is unchanged from the</w:t>
      </w:r>
      <w:r w:rsidR="00497120" w:rsidRPr="009B26F5">
        <w:rPr>
          <w:rFonts w:cs="Arial"/>
        </w:rPr>
        <w:t xml:space="preserve"> </w:t>
      </w:r>
      <w:r w:rsidR="00497120">
        <w:rPr>
          <w:rFonts w:cs="Arial"/>
        </w:rPr>
        <w:t xml:space="preserve">2007 </w:t>
      </w:r>
      <w:r w:rsidR="00512975">
        <w:rPr>
          <w:rFonts w:cs="Arial"/>
        </w:rPr>
        <w:t>L</w:t>
      </w:r>
      <w:r w:rsidR="00497120">
        <w:rPr>
          <w:rFonts w:cs="Arial"/>
        </w:rPr>
        <w:t xml:space="preserve">icence </w:t>
      </w:r>
      <w:r w:rsidR="00512975">
        <w:rPr>
          <w:rFonts w:cs="Arial"/>
        </w:rPr>
        <w:t>C</w:t>
      </w:r>
      <w:r w:rsidR="00497120">
        <w:rPr>
          <w:rFonts w:cs="Arial"/>
        </w:rPr>
        <w:t>ondition</w:t>
      </w:r>
      <w:r w:rsidR="00497120" w:rsidRPr="009B26F5">
        <w:rPr>
          <w:rFonts w:cs="Arial"/>
        </w:rPr>
        <w:t>.</w:t>
      </w:r>
    </w:p>
    <w:p w:rsidR="00A161F8" w:rsidRPr="00A84FA8" w:rsidRDefault="00A161F8" w:rsidP="00A84FA8">
      <w:pPr>
        <w:rPr>
          <w:rFonts w:cs="Arial"/>
        </w:rPr>
      </w:pPr>
    </w:p>
    <w:p w:rsidR="00A84FA8" w:rsidRPr="00A84FA8" w:rsidRDefault="00A84FA8" w:rsidP="00A84FA8">
      <w:pPr>
        <w:rPr>
          <w:rFonts w:cs="Arial"/>
        </w:rPr>
      </w:pPr>
    </w:p>
    <w:p w:rsidR="00A84FA8" w:rsidRPr="00A84FA8" w:rsidRDefault="00A84FA8" w:rsidP="00A84FA8">
      <w:pPr>
        <w:rPr>
          <w:rFonts w:cs="Arial"/>
        </w:rPr>
      </w:pPr>
    </w:p>
    <w:p w:rsidR="00A84FA8" w:rsidRPr="00A84FA8" w:rsidRDefault="00A84FA8" w:rsidP="0085704F">
      <w:pPr>
        <w:rPr>
          <w:rFonts w:cs="Arial"/>
        </w:rPr>
      </w:pPr>
    </w:p>
    <w:p w:rsidR="009052F3" w:rsidRPr="00A94C87" w:rsidRDefault="009052F3">
      <w:pPr>
        <w:spacing w:after="200" w:line="276" w:lineRule="auto"/>
        <w:rPr>
          <w:rFonts w:cs="Arial"/>
        </w:rPr>
      </w:pPr>
      <w:r w:rsidRPr="00A94C87">
        <w:rPr>
          <w:rFonts w:cs="Arial"/>
        </w:rPr>
        <w:br w:type="page"/>
      </w:r>
    </w:p>
    <w:p w:rsidR="009052F3" w:rsidRPr="00A94C87" w:rsidRDefault="009052F3" w:rsidP="009052F3">
      <w:pPr>
        <w:pStyle w:val="Default"/>
        <w:spacing w:before="120" w:after="120"/>
        <w:jc w:val="center"/>
        <w:rPr>
          <w:sz w:val="20"/>
          <w:szCs w:val="20"/>
        </w:rPr>
      </w:pPr>
      <w:bookmarkStart w:id="4" w:name="_Toc290210739"/>
      <w:r w:rsidRPr="00A94C87">
        <w:rPr>
          <w:b/>
          <w:bCs/>
          <w:sz w:val="20"/>
          <w:szCs w:val="20"/>
        </w:rPr>
        <w:lastRenderedPageBreak/>
        <w:t>Statement of Compatibility with Human Rights</w:t>
      </w:r>
    </w:p>
    <w:p w:rsidR="009052F3" w:rsidRPr="00A94C87" w:rsidRDefault="009052F3" w:rsidP="009052F3">
      <w:pPr>
        <w:pStyle w:val="Default"/>
        <w:spacing w:before="120" w:after="120"/>
        <w:jc w:val="center"/>
        <w:rPr>
          <w:sz w:val="20"/>
          <w:szCs w:val="20"/>
        </w:rPr>
      </w:pPr>
      <w:r w:rsidRPr="00A94C87">
        <w:rPr>
          <w:i/>
          <w:iCs/>
          <w:sz w:val="20"/>
          <w:szCs w:val="20"/>
        </w:rPr>
        <w:t>Prepared in accordance with Part 3 of the Human Rights (Parliamentary Scrutiny) Act 2011</w:t>
      </w:r>
    </w:p>
    <w:p w:rsidR="009052F3" w:rsidRPr="00A94C87" w:rsidRDefault="009052F3" w:rsidP="009052F3">
      <w:pPr>
        <w:pStyle w:val="Default"/>
        <w:spacing w:before="120" w:after="120"/>
        <w:rPr>
          <w:b/>
          <w:bCs/>
          <w:sz w:val="20"/>
          <w:szCs w:val="20"/>
        </w:rPr>
      </w:pPr>
    </w:p>
    <w:p w:rsidR="009052F3" w:rsidRPr="00A94C87" w:rsidRDefault="009052F3" w:rsidP="009052F3">
      <w:pPr>
        <w:pStyle w:val="Default"/>
        <w:spacing w:before="120" w:after="120"/>
        <w:jc w:val="center"/>
        <w:rPr>
          <w:b/>
          <w:bCs/>
          <w:i/>
          <w:sz w:val="20"/>
          <w:szCs w:val="20"/>
        </w:rPr>
      </w:pPr>
      <w:r w:rsidRPr="00A94C87">
        <w:rPr>
          <w:b/>
          <w:bCs/>
          <w:i/>
          <w:sz w:val="20"/>
          <w:szCs w:val="20"/>
        </w:rPr>
        <w:t xml:space="preserve">Broadcasting Services </w:t>
      </w:r>
      <w:r w:rsidR="006D25B9" w:rsidRPr="006D25B9">
        <w:rPr>
          <w:b/>
          <w:bCs/>
          <w:i/>
          <w:sz w:val="20"/>
          <w:szCs w:val="20"/>
        </w:rPr>
        <w:t>(Regional Commercial Radio</w:t>
      </w:r>
      <w:r w:rsidR="00A15D18">
        <w:rPr>
          <w:b/>
          <w:bCs/>
          <w:i/>
          <w:sz w:val="20"/>
          <w:szCs w:val="20"/>
        </w:rPr>
        <w:t xml:space="preserve"> </w:t>
      </w:r>
      <w:r w:rsidR="006D25B9" w:rsidRPr="006D25B9">
        <w:rPr>
          <w:b/>
          <w:bCs/>
          <w:i/>
          <w:sz w:val="20"/>
          <w:szCs w:val="20"/>
        </w:rPr>
        <w:t xml:space="preserve">– Material of Local Significance) </w:t>
      </w:r>
      <w:r w:rsidR="00A15D18">
        <w:rPr>
          <w:b/>
          <w:bCs/>
          <w:i/>
          <w:sz w:val="20"/>
          <w:szCs w:val="20"/>
        </w:rPr>
        <w:t xml:space="preserve">Licence Condition </w:t>
      </w:r>
      <w:r w:rsidRPr="00A15D18">
        <w:rPr>
          <w:b/>
          <w:bCs/>
          <w:i/>
          <w:sz w:val="20"/>
          <w:szCs w:val="20"/>
        </w:rPr>
        <w:t>2012</w:t>
      </w:r>
    </w:p>
    <w:p w:rsidR="009052F3" w:rsidRPr="00A94C87" w:rsidRDefault="004769FA" w:rsidP="009052F3">
      <w:pPr>
        <w:pStyle w:val="Default"/>
        <w:spacing w:before="120" w:after="120"/>
        <w:rPr>
          <w:sz w:val="20"/>
          <w:szCs w:val="20"/>
        </w:rPr>
      </w:pPr>
      <w:r>
        <w:rPr>
          <w:sz w:val="20"/>
          <w:szCs w:val="20"/>
        </w:rPr>
        <w:t>This L</w:t>
      </w:r>
      <w:r w:rsidR="00A15D18">
        <w:rPr>
          <w:sz w:val="20"/>
          <w:szCs w:val="20"/>
        </w:rPr>
        <w:t xml:space="preserve">egislative </w:t>
      </w:r>
      <w:r>
        <w:rPr>
          <w:sz w:val="20"/>
          <w:szCs w:val="20"/>
        </w:rPr>
        <w:t>I</w:t>
      </w:r>
      <w:r w:rsidR="009052F3" w:rsidRPr="00A94C87">
        <w:rPr>
          <w:sz w:val="20"/>
          <w:szCs w:val="20"/>
        </w:rPr>
        <w:t xml:space="preserve">nstrument is compatible with the human rights and freedoms recognised or declared in the international instruments listed in section 3 of the </w:t>
      </w:r>
      <w:r w:rsidR="009052F3" w:rsidRPr="00A94C87">
        <w:rPr>
          <w:i/>
          <w:iCs/>
          <w:sz w:val="20"/>
          <w:szCs w:val="20"/>
        </w:rPr>
        <w:t>Human Rights (Parliamentary Scrutiny) Act 2011</w:t>
      </w:r>
      <w:r w:rsidR="009052F3" w:rsidRPr="00A94C87">
        <w:rPr>
          <w:sz w:val="20"/>
          <w:szCs w:val="20"/>
        </w:rPr>
        <w:t xml:space="preserve">. </w:t>
      </w:r>
    </w:p>
    <w:p w:rsidR="009052F3" w:rsidRPr="00A94C87" w:rsidRDefault="009052F3" w:rsidP="00A94C87">
      <w:pPr>
        <w:pStyle w:val="Default"/>
        <w:spacing w:before="240" w:after="120"/>
        <w:rPr>
          <w:sz w:val="20"/>
          <w:szCs w:val="20"/>
        </w:rPr>
      </w:pPr>
      <w:r w:rsidRPr="00A94C87">
        <w:rPr>
          <w:b/>
          <w:bCs/>
          <w:sz w:val="20"/>
          <w:szCs w:val="20"/>
        </w:rPr>
        <w:t xml:space="preserve">Overview of the Legislative Instrument </w:t>
      </w:r>
    </w:p>
    <w:p w:rsidR="009052F3" w:rsidRDefault="007650CD" w:rsidP="009052F3">
      <w:pPr>
        <w:pStyle w:val="Default"/>
        <w:spacing w:before="120" w:after="120"/>
        <w:rPr>
          <w:sz w:val="20"/>
          <w:szCs w:val="20"/>
        </w:rPr>
      </w:pPr>
      <w:r>
        <w:rPr>
          <w:sz w:val="20"/>
          <w:szCs w:val="20"/>
        </w:rPr>
        <w:t>L</w:t>
      </w:r>
      <w:r w:rsidR="00B8178B">
        <w:rPr>
          <w:sz w:val="20"/>
          <w:szCs w:val="20"/>
        </w:rPr>
        <w:t>icensee</w:t>
      </w:r>
      <w:r>
        <w:rPr>
          <w:sz w:val="20"/>
          <w:szCs w:val="20"/>
        </w:rPr>
        <w:t>s</w:t>
      </w:r>
      <w:r w:rsidR="00B8178B">
        <w:rPr>
          <w:sz w:val="20"/>
          <w:szCs w:val="20"/>
        </w:rPr>
        <w:t xml:space="preserve"> of </w:t>
      </w:r>
      <w:r w:rsidR="00497120">
        <w:rPr>
          <w:sz w:val="20"/>
          <w:szCs w:val="20"/>
        </w:rPr>
        <w:t xml:space="preserve">regional </w:t>
      </w:r>
      <w:r w:rsidR="00497120" w:rsidRPr="00A94C87">
        <w:rPr>
          <w:sz w:val="20"/>
          <w:szCs w:val="20"/>
        </w:rPr>
        <w:t xml:space="preserve">commercial radio </w:t>
      </w:r>
      <w:r w:rsidR="00497120">
        <w:rPr>
          <w:sz w:val="20"/>
          <w:szCs w:val="20"/>
        </w:rPr>
        <w:t xml:space="preserve">broadcasting </w:t>
      </w:r>
      <w:r w:rsidR="00B8178B">
        <w:rPr>
          <w:sz w:val="20"/>
          <w:szCs w:val="20"/>
        </w:rPr>
        <w:t>licence</w:t>
      </w:r>
      <w:r>
        <w:rPr>
          <w:sz w:val="20"/>
          <w:szCs w:val="20"/>
        </w:rPr>
        <w:t>s</w:t>
      </w:r>
      <w:r w:rsidR="00497120" w:rsidRPr="00A94C87">
        <w:rPr>
          <w:sz w:val="20"/>
          <w:szCs w:val="20"/>
        </w:rPr>
        <w:t xml:space="preserve"> must </w:t>
      </w:r>
      <w:r w:rsidR="00497120">
        <w:rPr>
          <w:sz w:val="20"/>
          <w:szCs w:val="20"/>
        </w:rPr>
        <w:t xml:space="preserve">broadcast </w:t>
      </w:r>
      <w:r w:rsidR="00E960FE">
        <w:rPr>
          <w:sz w:val="20"/>
          <w:szCs w:val="20"/>
        </w:rPr>
        <w:t xml:space="preserve">a </w:t>
      </w:r>
      <w:r w:rsidR="00497120">
        <w:rPr>
          <w:sz w:val="20"/>
          <w:szCs w:val="20"/>
        </w:rPr>
        <w:t xml:space="preserve">prescribed </w:t>
      </w:r>
      <w:r w:rsidR="00E960FE">
        <w:rPr>
          <w:sz w:val="20"/>
          <w:szCs w:val="20"/>
        </w:rPr>
        <w:t>number of hours</w:t>
      </w:r>
      <w:r w:rsidR="00497120">
        <w:rPr>
          <w:sz w:val="20"/>
          <w:szCs w:val="20"/>
        </w:rPr>
        <w:t xml:space="preserve"> of material of local significance</w:t>
      </w:r>
      <w:r>
        <w:rPr>
          <w:sz w:val="20"/>
          <w:szCs w:val="20"/>
        </w:rPr>
        <w:t xml:space="preserve"> (sections 43 and 43C of the </w:t>
      </w:r>
      <w:r w:rsidRPr="00B8178B">
        <w:rPr>
          <w:i/>
          <w:sz w:val="20"/>
          <w:szCs w:val="20"/>
        </w:rPr>
        <w:t>Broadcasting Services Act 1992</w:t>
      </w:r>
      <w:r>
        <w:rPr>
          <w:sz w:val="20"/>
          <w:szCs w:val="20"/>
        </w:rPr>
        <w:t xml:space="preserve"> (the </w:t>
      </w:r>
      <w:r w:rsidRPr="00B8178B">
        <w:rPr>
          <w:b/>
          <w:sz w:val="20"/>
          <w:szCs w:val="20"/>
        </w:rPr>
        <w:t>BSA</w:t>
      </w:r>
      <w:r>
        <w:rPr>
          <w:sz w:val="20"/>
          <w:szCs w:val="20"/>
        </w:rPr>
        <w:t xml:space="preserve">)). </w:t>
      </w:r>
      <w:r w:rsidR="00E960FE">
        <w:rPr>
          <w:sz w:val="20"/>
          <w:szCs w:val="20"/>
        </w:rPr>
        <w:t xml:space="preserve"> The </w:t>
      </w:r>
      <w:r w:rsidR="00AC715C">
        <w:rPr>
          <w:sz w:val="20"/>
          <w:szCs w:val="20"/>
        </w:rPr>
        <w:t xml:space="preserve">ACMA has set out the </w:t>
      </w:r>
      <w:r w:rsidR="00E960FE">
        <w:rPr>
          <w:sz w:val="20"/>
          <w:szCs w:val="20"/>
        </w:rPr>
        <w:t xml:space="preserve">ways in which a licensee can meet that obligation </w:t>
      </w:r>
      <w:r w:rsidR="00AC715C">
        <w:rPr>
          <w:sz w:val="20"/>
          <w:szCs w:val="20"/>
        </w:rPr>
        <w:t>in a legislative instrument</w:t>
      </w:r>
      <w:r w:rsidR="00E960FE">
        <w:rPr>
          <w:sz w:val="20"/>
          <w:szCs w:val="20"/>
        </w:rPr>
        <w:t>.</w:t>
      </w:r>
    </w:p>
    <w:p w:rsidR="007650CD" w:rsidRDefault="007650CD" w:rsidP="007650CD">
      <w:pPr>
        <w:pStyle w:val="Default"/>
        <w:spacing w:before="120" w:after="120"/>
        <w:rPr>
          <w:sz w:val="20"/>
          <w:szCs w:val="20"/>
        </w:rPr>
      </w:pPr>
      <w:r w:rsidRPr="00FB2934">
        <w:rPr>
          <w:sz w:val="20"/>
          <w:szCs w:val="20"/>
        </w:rPr>
        <w:t xml:space="preserve">The </w:t>
      </w:r>
      <w:r w:rsidRPr="00FB2934">
        <w:rPr>
          <w:bCs/>
          <w:i/>
          <w:sz w:val="20"/>
          <w:szCs w:val="20"/>
        </w:rPr>
        <w:t>Broadcasting Services (Regional Commercial Radio</w:t>
      </w:r>
      <w:r>
        <w:rPr>
          <w:bCs/>
          <w:i/>
          <w:sz w:val="20"/>
          <w:szCs w:val="20"/>
        </w:rPr>
        <w:t xml:space="preserve"> </w:t>
      </w:r>
      <w:r w:rsidRPr="00FB2934">
        <w:rPr>
          <w:bCs/>
          <w:i/>
          <w:sz w:val="20"/>
          <w:szCs w:val="20"/>
        </w:rPr>
        <w:t xml:space="preserve">– Material of Local Significance) </w:t>
      </w:r>
      <w:r>
        <w:rPr>
          <w:bCs/>
          <w:i/>
          <w:sz w:val="20"/>
          <w:szCs w:val="20"/>
        </w:rPr>
        <w:t xml:space="preserve">Licence Condition </w:t>
      </w:r>
      <w:r w:rsidRPr="00FB2934">
        <w:rPr>
          <w:bCs/>
          <w:i/>
          <w:sz w:val="20"/>
          <w:szCs w:val="20"/>
        </w:rPr>
        <w:t xml:space="preserve">2012 </w:t>
      </w:r>
      <w:r w:rsidRPr="00FB2934">
        <w:rPr>
          <w:bCs/>
          <w:sz w:val="20"/>
          <w:szCs w:val="20"/>
        </w:rPr>
        <w:t xml:space="preserve">(the </w:t>
      </w:r>
      <w:r w:rsidRPr="004769FA">
        <w:rPr>
          <w:b/>
          <w:bCs/>
          <w:sz w:val="20"/>
          <w:szCs w:val="20"/>
        </w:rPr>
        <w:t>Instrument</w:t>
      </w:r>
      <w:r w:rsidRPr="00663178">
        <w:rPr>
          <w:bCs/>
          <w:sz w:val="20"/>
          <w:szCs w:val="20"/>
        </w:rPr>
        <w:t>)</w:t>
      </w:r>
      <w:r w:rsidRPr="00663178">
        <w:rPr>
          <w:bCs/>
          <w:i/>
          <w:sz w:val="20"/>
          <w:szCs w:val="20"/>
        </w:rPr>
        <w:t xml:space="preserve"> </w:t>
      </w:r>
      <w:r w:rsidRPr="00663178">
        <w:rPr>
          <w:sz w:val="20"/>
          <w:szCs w:val="20"/>
        </w:rPr>
        <w:t xml:space="preserve">replaces the </w:t>
      </w:r>
      <w:r w:rsidRPr="00663178">
        <w:rPr>
          <w:bCs/>
          <w:i/>
          <w:sz w:val="20"/>
          <w:szCs w:val="20"/>
        </w:rPr>
        <w:t>Broadcasting Services (Additional Regional Commercial Radio Licence Condition – Material of Local Significance) Notice 19 December 2007</w:t>
      </w:r>
      <w:r w:rsidRPr="00663178">
        <w:rPr>
          <w:bCs/>
          <w:sz w:val="20"/>
          <w:szCs w:val="20"/>
        </w:rPr>
        <w:t xml:space="preserve"> (the </w:t>
      </w:r>
      <w:r w:rsidR="008975D7" w:rsidRPr="008975D7">
        <w:rPr>
          <w:b/>
          <w:bCs/>
          <w:sz w:val="20"/>
          <w:szCs w:val="20"/>
        </w:rPr>
        <w:t>2007 Licence Condition</w:t>
      </w:r>
      <w:r w:rsidRPr="00663178">
        <w:rPr>
          <w:bCs/>
          <w:sz w:val="20"/>
          <w:szCs w:val="20"/>
        </w:rPr>
        <w:t>)</w:t>
      </w:r>
      <w:r w:rsidRPr="00663178">
        <w:rPr>
          <w:sz w:val="20"/>
          <w:szCs w:val="20"/>
        </w:rPr>
        <w:t>.</w:t>
      </w:r>
      <w:r w:rsidRPr="00A94C87">
        <w:rPr>
          <w:sz w:val="20"/>
          <w:szCs w:val="20"/>
        </w:rPr>
        <w:t xml:space="preserve"> </w:t>
      </w:r>
    </w:p>
    <w:p w:rsidR="009052F3" w:rsidRPr="00A94C87" w:rsidRDefault="00497120" w:rsidP="009052F3">
      <w:pPr>
        <w:pStyle w:val="Default"/>
        <w:spacing w:after="120"/>
        <w:rPr>
          <w:sz w:val="20"/>
          <w:szCs w:val="20"/>
        </w:rPr>
      </w:pPr>
      <w:r>
        <w:rPr>
          <w:sz w:val="20"/>
          <w:szCs w:val="20"/>
        </w:rPr>
        <w:t>The Instrument</w:t>
      </w:r>
      <w:r w:rsidR="004769FA">
        <w:rPr>
          <w:sz w:val="20"/>
          <w:szCs w:val="20"/>
        </w:rPr>
        <w:t xml:space="preserve"> </w:t>
      </w:r>
      <w:r w:rsidR="00B8178B">
        <w:rPr>
          <w:sz w:val="20"/>
          <w:szCs w:val="20"/>
        </w:rPr>
        <w:t xml:space="preserve">defines ‘material of local significance’ and </w:t>
      </w:r>
      <w:r w:rsidR="00880D1A">
        <w:rPr>
          <w:sz w:val="20"/>
          <w:szCs w:val="20"/>
        </w:rPr>
        <w:t>specifies, in accordance with the BSA,</w:t>
      </w:r>
      <w:r w:rsidR="004769FA">
        <w:rPr>
          <w:sz w:val="20"/>
          <w:szCs w:val="20"/>
        </w:rPr>
        <w:t xml:space="preserve"> that the obligation to broadcast prescribed levels of material of local significance </w:t>
      </w:r>
      <w:r w:rsidR="006C74EF">
        <w:rPr>
          <w:sz w:val="20"/>
          <w:szCs w:val="20"/>
        </w:rPr>
        <w:t xml:space="preserve">does not apply to </w:t>
      </w:r>
      <w:r w:rsidR="00603B9F">
        <w:rPr>
          <w:sz w:val="20"/>
          <w:szCs w:val="20"/>
        </w:rPr>
        <w:t xml:space="preserve"> </w:t>
      </w:r>
      <w:r w:rsidR="006C74EF">
        <w:rPr>
          <w:sz w:val="20"/>
          <w:szCs w:val="20"/>
        </w:rPr>
        <w:t xml:space="preserve">regional </w:t>
      </w:r>
      <w:r w:rsidR="00FE3BE5">
        <w:rPr>
          <w:sz w:val="20"/>
          <w:szCs w:val="20"/>
        </w:rPr>
        <w:t>racing service</w:t>
      </w:r>
      <w:r w:rsidR="004769FA">
        <w:rPr>
          <w:sz w:val="20"/>
          <w:szCs w:val="20"/>
        </w:rPr>
        <w:t xml:space="preserve"> radio</w:t>
      </w:r>
      <w:r w:rsidR="006C74EF">
        <w:rPr>
          <w:sz w:val="20"/>
          <w:szCs w:val="20"/>
        </w:rPr>
        <w:t xml:space="preserve"> licences</w:t>
      </w:r>
      <w:r w:rsidR="00FE3BE5">
        <w:rPr>
          <w:sz w:val="20"/>
          <w:szCs w:val="20"/>
        </w:rPr>
        <w:t>, remote area service</w:t>
      </w:r>
      <w:r w:rsidR="00A34FB3">
        <w:rPr>
          <w:sz w:val="20"/>
          <w:szCs w:val="20"/>
        </w:rPr>
        <w:t xml:space="preserve"> radio licences</w:t>
      </w:r>
      <w:r w:rsidR="00FE3BE5">
        <w:rPr>
          <w:sz w:val="20"/>
          <w:szCs w:val="20"/>
        </w:rPr>
        <w:t xml:space="preserve"> and </w:t>
      </w:r>
      <w:r w:rsidR="00A34FB3">
        <w:rPr>
          <w:sz w:val="20"/>
          <w:szCs w:val="20"/>
        </w:rPr>
        <w:t xml:space="preserve">licences </w:t>
      </w:r>
      <w:r>
        <w:rPr>
          <w:sz w:val="20"/>
          <w:szCs w:val="20"/>
        </w:rPr>
        <w:t>allocated</w:t>
      </w:r>
      <w:r w:rsidR="00A34FB3">
        <w:rPr>
          <w:sz w:val="20"/>
          <w:szCs w:val="20"/>
        </w:rPr>
        <w:t xml:space="preserve"> under </w:t>
      </w:r>
      <w:r w:rsidR="00FE3BE5">
        <w:rPr>
          <w:sz w:val="20"/>
          <w:szCs w:val="20"/>
        </w:rPr>
        <w:t>s</w:t>
      </w:r>
      <w:r w:rsidR="00A34FB3">
        <w:rPr>
          <w:sz w:val="20"/>
          <w:szCs w:val="20"/>
        </w:rPr>
        <w:t>ubsection</w:t>
      </w:r>
      <w:r w:rsidR="004769FA">
        <w:rPr>
          <w:sz w:val="20"/>
          <w:szCs w:val="20"/>
        </w:rPr>
        <w:t xml:space="preserve"> </w:t>
      </w:r>
      <w:r w:rsidR="00FE3BE5">
        <w:rPr>
          <w:sz w:val="20"/>
          <w:szCs w:val="20"/>
        </w:rPr>
        <w:t xml:space="preserve">40(1) </w:t>
      </w:r>
      <w:r w:rsidR="00A34FB3">
        <w:rPr>
          <w:sz w:val="20"/>
          <w:szCs w:val="20"/>
        </w:rPr>
        <w:t>of the BSA</w:t>
      </w:r>
      <w:r w:rsidR="00FE3BE5">
        <w:rPr>
          <w:sz w:val="20"/>
          <w:szCs w:val="20"/>
        </w:rPr>
        <w:t>.</w:t>
      </w:r>
      <w:r w:rsidR="002B7820">
        <w:rPr>
          <w:sz w:val="20"/>
          <w:szCs w:val="20"/>
        </w:rPr>
        <w:t xml:space="preserve"> </w:t>
      </w:r>
      <w:r w:rsidR="00B8178B">
        <w:rPr>
          <w:sz w:val="20"/>
          <w:szCs w:val="20"/>
        </w:rPr>
        <w:t xml:space="preserve"> The Instrument also reflects Parliament’s intention that</w:t>
      </w:r>
      <w:r w:rsidR="00A34FB3">
        <w:rPr>
          <w:sz w:val="20"/>
          <w:szCs w:val="20"/>
        </w:rPr>
        <w:t xml:space="preserve"> the obligation </w:t>
      </w:r>
      <w:r w:rsidR="00880D1A">
        <w:rPr>
          <w:sz w:val="20"/>
          <w:szCs w:val="20"/>
        </w:rPr>
        <w:t xml:space="preserve">to </w:t>
      </w:r>
      <w:r w:rsidR="00880D1A" w:rsidRPr="005E2BAE">
        <w:rPr>
          <w:sz w:val="20"/>
          <w:szCs w:val="20"/>
        </w:rPr>
        <w:t xml:space="preserve">broadcast material of local significance </w:t>
      </w:r>
      <w:r w:rsidR="00A34FB3" w:rsidRPr="005E2BAE">
        <w:rPr>
          <w:sz w:val="20"/>
          <w:szCs w:val="20"/>
        </w:rPr>
        <w:t>do</w:t>
      </w:r>
      <w:r w:rsidR="00880D1A" w:rsidRPr="005E2BAE">
        <w:rPr>
          <w:sz w:val="20"/>
          <w:szCs w:val="20"/>
        </w:rPr>
        <w:t>es</w:t>
      </w:r>
      <w:r w:rsidR="00A34FB3" w:rsidRPr="005E2BAE">
        <w:rPr>
          <w:sz w:val="20"/>
          <w:szCs w:val="20"/>
        </w:rPr>
        <w:t xml:space="preserve"> not apply for </w:t>
      </w:r>
      <w:r w:rsidR="005D6166" w:rsidRPr="005E2BAE">
        <w:rPr>
          <w:sz w:val="20"/>
          <w:szCs w:val="20"/>
        </w:rPr>
        <w:t>the</w:t>
      </w:r>
      <w:r w:rsidR="00891CB7" w:rsidRPr="005E2BAE">
        <w:rPr>
          <w:sz w:val="20"/>
          <w:szCs w:val="20"/>
        </w:rPr>
        <w:t xml:space="preserve"> five week </w:t>
      </w:r>
      <w:r w:rsidR="00A34FB3" w:rsidRPr="005E2BAE">
        <w:rPr>
          <w:sz w:val="20"/>
          <w:szCs w:val="20"/>
        </w:rPr>
        <w:t xml:space="preserve">period </w:t>
      </w:r>
      <w:r w:rsidR="008975D7" w:rsidRPr="005E2BAE">
        <w:rPr>
          <w:sz w:val="20"/>
          <w:szCs w:val="20"/>
        </w:rPr>
        <w:t>per annum</w:t>
      </w:r>
      <w:r w:rsidR="00734D7E" w:rsidRPr="005E2BAE">
        <w:rPr>
          <w:sz w:val="20"/>
          <w:szCs w:val="20"/>
        </w:rPr>
        <w:t xml:space="preserve"> </w:t>
      </w:r>
      <w:r w:rsidR="00A34FB3" w:rsidRPr="005E2BAE">
        <w:rPr>
          <w:sz w:val="20"/>
          <w:szCs w:val="20"/>
        </w:rPr>
        <w:t>specified</w:t>
      </w:r>
      <w:r w:rsidR="00A34FB3">
        <w:rPr>
          <w:sz w:val="20"/>
          <w:szCs w:val="20"/>
        </w:rPr>
        <w:t xml:space="preserve"> in subsection 43C(1A) of the BSA.</w:t>
      </w:r>
    </w:p>
    <w:p w:rsidR="009052F3" w:rsidRPr="00A94C87" w:rsidRDefault="00497120" w:rsidP="009052F3">
      <w:pPr>
        <w:pStyle w:val="Default"/>
        <w:spacing w:before="120" w:after="120"/>
        <w:rPr>
          <w:sz w:val="20"/>
          <w:szCs w:val="20"/>
        </w:rPr>
      </w:pPr>
      <w:r w:rsidRPr="00A94C87">
        <w:rPr>
          <w:sz w:val="20"/>
          <w:szCs w:val="20"/>
        </w:rPr>
        <w:t xml:space="preserve">The </w:t>
      </w:r>
      <w:r>
        <w:rPr>
          <w:sz w:val="20"/>
          <w:szCs w:val="20"/>
        </w:rPr>
        <w:t>Instrument</w:t>
      </w:r>
      <w:r w:rsidRPr="00603B9F">
        <w:rPr>
          <w:sz w:val="20"/>
          <w:szCs w:val="20"/>
        </w:rPr>
        <w:t xml:space="preserve">, </w:t>
      </w:r>
      <w:r>
        <w:rPr>
          <w:sz w:val="20"/>
          <w:szCs w:val="20"/>
        </w:rPr>
        <w:t>like the</w:t>
      </w:r>
      <w:r w:rsidRPr="00603B9F">
        <w:rPr>
          <w:sz w:val="20"/>
          <w:szCs w:val="20"/>
        </w:rPr>
        <w:t xml:space="preserve"> </w:t>
      </w:r>
      <w:r>
        <w:rPr>
          <w:sz w:val="20"/>
          <w:szCs w:val="20"/>
        </w:rPr>
        <w:t xml:space="preserve">2007 </w:t>
      </w:r>
      <w:r w:rsidR="005D6166">
        <w:rPr>
          <w:sz w:val="20"/>
          <w:szCs w:val="20"/>
        </w:rPr>
        <w:t>L</w:t>
      </w:r>
      <w:r>
        <w:rPr>
          <w:sz w:val="20"/>
          <w:szCs w:val="20"/>
        </w:rPr>
        <w:t xml:space="preserve">icence </w:t>
      </w:r>
      <w:r w:rsidR="005D6166">
        <w:rPr>
          <w:sz w:val="20"/>
          <w:szCs w:val="20"/>
        </w:rPr>
        <w:t>C</w:t>
      </w:r>
      <w:r>
        <w:rPr>
          <w:sz w:val="20"/>
          <w:szCs w:val="20"/>
        </w:rPr>
        <w:t>ondition</w:t>
      </w:r>
      <w:r w:rsidR="005D6166">
        <w:rPr>
          <w:sz w:val="20"/>
          <w:szCs w:val="20"/>
        </w:rPr>
        <w:t>,</w:t>
      </w:r>
      <w:r w:rsidRPr="00603B9F">
        <w:rPr>
          <w:sz w:val="20"/>
          <w:szCs w:val="20"/>
        </w:rPr>
        <w:t xml:space="preserve"> </w:t>
      </w:r>
      <w:r w:rsidRPr="00A94C87">
        <w:rPr>
          <w:sz w:val="20"/>
          <w:szCs w:val="20"/>
        </w:rPr>
        <w:t xml:space="preserve">requires </w:t>
      </w:r>
      <w:r>
        <w:rPr>
          <w:sz w:val="20"/>
          <w:szCs w:val="20"/>
        </w:rPr>
        <w:t xml:space="preserve">licensees to </w:t>
      </w:r>
      <w:r w:rsidR="00880D1A">
        <w:rPr>
          <w:sz w:val="20"/>
          <w:szCs w:val="20"/>
        </w:rPr>
        <w:t xml:space="preserve">report to the ACMA on the licensee’s compliance with the Instrument and to </w:t>
      </w:r>
      <w:r>
        <w:rPr>
          <w:sz w:val="20"/>
          <w:szCs w:val="20"/>
        </w:rPr>
        <w:t xml:space="preserve">place on </w:t>
      </w:r>
      <w:r w:rsidR="00880D1A">
        <w:rPr>
          <w:sz w:val="20"/>
          <w:szCs w:val="20"/>
        </w:rPr>
        <w:t xml:space="preserve">the licensee’s </w:t>
      </w:r>
      <w:r>
        <w:rPr>
          <w:sz w:val="20"/>
          <w:szCs w:val="20"/>
        </w:rPr>
        <w:t xml:space="preserve">website </w:t>
      </w:r>
      <w:r w:rsidR="00880D1A">
        <w:rPr>
          <w:sz w:val="20"/>
          <w:szCs w:val="20"/>
        </w:rPr>
        <w:t xml:space="preserve">a </w:t>
      </w:r>
      <w:r>
        <w:rPr>
          <w:sz w:val="20"/>
          <w:szCs w:val="20"/>
        </w:rPr>
        <w:t xml:space="preserve">local content </w:t>
      </w:r>
      <w:r w:rsidR="00880D1A">
        <w:rPr>
          <w:sz w:val="20"/>
          <w:szCs w:val="20"/>
        </w:rPr>
        <w:t>statement recording the material of local significance it has broadcast</w:t>
      </w:r>
      <w:r w:rsidR="005E00B8">
        <w:rPr>
          <w:sz w:val="20"/>
          <w:szCs w:val="20"/>
        </w:rPr>
        <w:t>,</w:t>
      </w:r>
      <w:r w:rsidR="00880D1A">
        <w:rPr>
          <w:sz w:val="20"/>
          <w:szCs w:val="20"/>
        </w:rPr>
        <w:t xml:space="preserve"> and</w:t>
      </w:r>
      <w:r w:rsidR="007650CD">
        <w:rPr>
          <w:sz w:val="20"/>
          <w:szCs w:val="20"/>
        </w:rPr>
        <w:t xml:space="preserve"> to</w:t>
      </w:r>
      <w:r w:rsidR="005E00B8">
        <w:rPr>
          <w:sz w:val="20"/>
          <w:szCs w:val="20"/>
        </w:rPr>
        <w:t>,</w:t>
      </w:r>
      <w:r w:rsidR="00880D1A">
        <w:rPr>
          <w:sz w:val="20"/>
          <w:szCs w:val="20"/>
        </w:rPr>
        <w:t xml:space="preserve"> where requested</w:t>
      </w:r>
      <w:r>
        <w:rPr>
          <w:sz w:val="20"/>
          <w:szCs w:val="20"/>
        </w:rPr>
        <w:t xml:space="preserve">, </w:t>
      </w:r>
      <w:r w:rsidR="00880D1A">
        <w:rPr>
          <w:sz w:val="20"/>
          <w:szCs w:val="20"/>
        </w:rPr>
        <w:t xml:space="preserve">make that statement </w:t>
      </w:r>
      <w:r w:rsidRPr="00A94C87">
        <w:rPr>
          <w:sz w:val="20"/>
          <w:szCs w:val="20"/>
        </w:rPr>
        <w:t xml:space="preserve">available </w:t>
      </w:r>
      <w:r w:rsidR="00880D1A">
        <w:rPr>
          <w:sz w:val="20"/>
          <w:szCs w:val="20"/>
        </w:rPr>
        <w:t>to a person on request</w:t>
      </w:r>
      <w:r w:rsidRPr="00A94C87">
        <w:rPr>
          <w:sz w:val="20"/>
          <w:szCs w:val="20"/>
        </w:rPr>
        <w:t>.</w:t>
      </w:r>
    </w:p>
    <w:p w:rsidR="009052F3" w:rsidRPr="00A94C87" w:rsidRDefault="00497120" w:rsidP="009052F3">
      <w:pPr>
        <w:pStyle w:val="Default"/>
        <w:spacing w:before="120" w:after="120"/>
        <w:rPr>
          <w:sz w:val="20"/>
          <w:szCs w:val="20"/>
        </w:rPr>
      </w:pPr>
      <w:r w:rsidRPr="00A94C87">
        <w:rPr>
          <w:sz w:val="20"/>
          <w:szCs w:val="20"/>
        </w:rPr>
        <w:t xml:space="preserve">Other changes </w:t>
      </w:r>
      <w:r w:rsidR="00AC715C">
        <w:rPr>
          <w:sz w:val="20"/>
          <w:szCs w:val="20"/>
        </w:rPr>
        <w:t>from</w:t>
      </w:r>
      <w:r w:rsidRPr="00A94C87">
        <w:rPr>
          <w:sz w:val="20"/>
          <w:szCs w:val="20"/>
        </w:rPr>
        <w:t xml:space="preserve"> the </w:t>
      </w:r>
      <w:r>
        <w:rPr>
          <w:sz w:val="20"/>
          <w:szCs w:val="20"/>
        </w:rPr>
        <w:t>2007</w:t>
      </w:r>
      <w:r w:rsidR="00880D1A">
        <w:rPr>
          <w:sz w:val="20"/>
          <w:szCs w:val="20"/>
        </w:rPr>
        <w:t xml:space="preserve"> L</w:t>
      </w:r>
      <w:r>
        <w:rPr>
          <w:sz w:val="20"/>
          <w:szCs w:val="20"/>
        </w:rPr>
        <w:t xml:space="preserve">icence </w:t>
      </w:r>
      <w:r w:rsidR="00880D1A">
        <w:rPr>
          <w:sz w:val="20"/>
          <w:szCs w:val="20"/>
        </w:rPr>
        <w:t>C</w:t>
      </w:r>
      <w:r>
        <w:rPr>
          <w:sz w:val="20"/>
          <w:szCs w:val="20"/>
        </w:rPr>
        <w:t>ondition</w:t>
      </w:r>
      <w:r w:rsidRPr="00A94C87">
        <w:rPr>
          <w:sz w:val="20"/>
          <w:szCs w:val="20"/>
        </w:rPr>
        <w:t xml:space="preserve"> </w:t>
      </w:r>
      <w:r w:rsidR="00880D1A">
        <w:rPr>
          <w:sz w:val="20"/>
          <w:szCs w:val="20"/>
        </w:rPr>
        <w:t>e</w:t>
      </w:r>
      <w:r w:rsidRPr="00A94C87">
        <w:rPr>
          <w:sz w:val="20"/>
          <w:szCs w:val="20"/>
        </w:rPr>
        <w:t xml:space="preserve">ffected by the </w:t>
      </w:r>
      <w:r>
        <w:rPr>
          <w:sz w:val="20"/>
          <w:szCs w:val="20"/>
        </w:rPr>
        <w:t>Instrument</w:t>
      </w:r>
      <w:r w:rsidRPr="00276312">
        <w:rPr>
          <w:sz w:val="20"/>
          <w:szCs w:val="20"/>
        </w:rPr>
        <w:t xml:space="preserve"> </w:t>
      </w:r>
      <w:r w:rsidRPr="00A94C87">
        <w:rPr>
          <w:sz w:val="20"/>
          <w:szCs w:val="20"/>
        </w:rPr>
        <w:t xml:space="preserve">are of a minor nature and are largely directed at reducing the compliance burden on licensees. </w:t>
      </w:r>
    </w:p>
    <w:p w:rsidR="009052F3" w:rsidRPr="00A94C87" w:rsidRDefault="009052F3" w:rsidP="00A94C87">
      <w:pPr>
        <w:pStyle w:val="Default"/>
        <w:spacing w:before="240" w:after="120"/>
        <w:rPr>
          <w:b/>
          <w:bCs/>
          <w:sz w:val="20"/>
          <w:szCs w:val="20"/>
        </w:rPr>
      </w:pPr>
      <w:r w:rsidRPr="00A94C87">
        <w:rPr>
          <w:b/>
          <w:bCs/>
          <w:sz w:val="20"/>
          <w:szCs w:val="20"/>
        </w:rPr>
        <w:t xml:space="preserve">Human Rights Implications </w:t>
      </w:r>
    </w:p>
    <w:p w:rsidR="009052F3" w:rsidRPr="00A94C87" w:rsidRDefault="00497120" w:rsidP="009052F3">
      <w:pPr>
        <w:pStyle w:val="Default"/>
        <w:spacing w:before="120" w:after="120"/>
        <w:rPr>
          <w:sz w:val="20"/>
          <w:szCs w:val="20"/>
        </w:rPr>
      </w:pPr>
      <w:r w:rsidRPr="00A94C87">
        <w:rPr>
          <w:sz w:val="20"/>
          <w:szCs w:val="20"/>
        </w:rPr>
        <w:t xml:space="preserve">The </w:t>
      </w:r>
      <w:r>
        <w:rPr>
          <w:sz w:val="20"/>
          <w:szCs w:val="20"/>
        </w:rPr>
        <w:t>Instrument</w:t>
      </w:r>
      <w:r w:rsidRPr="00276312">
        <w:rPr>
          <w:sz w:val="20"/>
          <w:szCs w:val="20"/>
        </w:rPr>
        <w:t xml:space="preserve"> </w:t>
      </w:r>
      <w:r w:rsidRPr="00A94C87">
        <w:rPr>
          <w:sz w:val="20"/>
          <w:szCs w:val="20"/>
        </w:rPr>
        <w:t xml:space="preserve">engages the following human rights: </w:t>
      </w:r>
    </w:p>
    <w:p w:rsidR="009052F3" w:rsidRPr="00276312" w:rsidRDefault="009052F3" w:rsidP="009052F3">
      <w:pPr>
        <w:pStyle w:val="Default"/>
        <w:spacing w:before="120" w:after="120"/>
        <w:rPr>
          <w:i/>
          <w:iCs/>
          <w:sz w:val="20"/>
          <w:szCs w:val="20"/>
        </w:rPr>
      </w:pPr>
      <w:r w:rsidRPr="00276312">
        <w:rPr>
          <w:i/>
          <w:iCs/>
          <w:sz w:val="20"/>
          <w:szCs w:val="20"/>
        </w:rPr>
        <w:t xml:space="preserve">Freedom of expression </w:t>
      </w:r>
    </w:p>
    <w:p w:rsidR="009052F3" w:rsidRPr="00276312" w:rsidRDefault="009052F3" w:rsidP="009052F3">
      <w:pPr>
        <w:pStyle w:val="Default"/>
        <w:spacing w:before="120" w:after="120"/>
        <w:rPr>
          <w:sz w:val="20"/>
          <w:szCs w:val="20"/>
        </w:rPr>
      </w:pPr>
      <w:r w:rsidRPr="00276312">
        <w:rPr>
          <w:sz w:val="20"/>
          <w:szCs w:val="20"/>
        </w:rPr>
        <w:t xml:space="preserve">Under the </w:t>
      </w:r>
      <w:r w:rsidR="008975D7" w:rsidRPr="008975D7">
        <w:rPr>
          <w:i/>
          <w:sz w:val="20"/>
          <w:szCs w:val="20"/>
        </w:rPr>
        <w:t>International Covenant on Civil and Political Rights</w:t>
      </w:r>
      <w:r w:rsidRPr="00276312">
        <w:rPr>
          <w:sz w:val="20"/>
          <w:szCs w:val="20"/>
        </w:rPr>
        <w:t xml:space="preserve"> (</w:t>
      </w:r>
      <w:r w:rsidRPr="005E2BAE">
        <w:rPr>
          <w:sz w:val="20"/>
          <w:szCs w:val="20"/>
        </w:rPr>
        <w:t xml:space="preserve">the </w:t>
      </w:r>
      <w:r w:rsidR="008975D7" w:rsidRPr="0065356F">
        <w:rPr>
          <w:b/>
          <w:sz w:val="20"/>
          <w:szCs w:val="20"/>
          <w:lang w:eastAsia="en-AU"/>
        </w:rPr>
        <w:t>ICCPR</w:t>
      </w:r>
      <w:r w:rsidRPr="005E2BAE">
        <w:rPr>
          <w:sz w:val="20"/>
          <w:szCs w:val="20"/>
        </w:rPr>
        <w:t>), any</w:t>
      </w:r>
      <w:r w:rsidRPr="00276312">
        <w:rPr>
          <w:sz w:val="20"/>
          <w:szCs w:val="20"/>
        </w:rPr>
        <w:t xml:space="preserve"> measures that restrict freedom of expression must be necessary and proportionate to the legitimate aims being sought.</w:t>
      </w:r>
    </w:p>
    <w:p w:rsidR="009052F3" w:rsidRPr="00FE3BE5" w:rsidRDefault="00497120" w:rsidP="00FE3BE5">
      <w:pPr>
        <w:pStyle w:val="Default"/>
        <w:spacing w:before="120" w:after="120"/>
        <w:rPr>
          <w:sz w:val="20"/>
          <w:szCs w:val="20"/>
          <w:highlight w:val="yellow"/>
        </w:rPr>
      </w:pPr>
      <w:r w:rsidRPr="00FB2934">
        <w:rPr>
          <w:sz w:val="20"/>
          <w:szCs w:val="20"/>
        </w:rPr>
        <w:t xml:space="preserve">The </w:t>
      </w:r>
      <w:r>
        <w:rPr>
          <w:sz w:val="20"/>
          <w:szCs w:val="20"/>
        </w:rPr>
        <w:t>Instrument</w:t>
      </w:r>
      <w:r w:rsidRPr="00FB2934">
        <w:rPr>
          <w:sz w:val="20"/>
          <w:szCs w:val="20"/>
        </w:rPr>
        <w:t xml:space="preserve"> engage</w:t>
      </w:r>
      <w:r w:rsidR="00AF66C4">
        <w:rPr>
          <w:sz w:val="20"/>
          <w:szCs w:val="20"/>
        </w:rPr>
        <w:t>s</w:t>
      </w:r>
      <w:r w:rsidRPr="00FB2934">
        <w:rPr>
          <w:sz w:val="20"/>
          <w:szCs w:val="20"/>
        </w:rPr>
        <w:t xml:space="preserve"> the right to freedom of expression </w:t>
      </w:r>
      <w:r w:rsidR="00AF66C4">
        <w:rPr>
          <w:sz w:val="20"/>
          <w:szCs w:val="20"/>
        </w:rPr>
        <w:t>in only a limited way.  I</w:t>
      </w:r>
      <w:r w:rsidRPr="00FB2934">
        <w:rPr>
          <w:sz w:val="20"/>
          <w:szCs w:val="20"/>
        </w:rPr>
        <w:t xml:space="preserve">t requires </w:t>
      </w:r>
      <w:r w:rsidR="00891CB7">
        <w:rPr>
          <w:sz w:val="20"/>
          <w:szCs w:val="20"/>
        </w:rPr>
        <w:t>affected</w:t>
      </w:r>
      <w:r w:rsidR="00891CB7" w:rsidRPr="00FB2934">
        <w:rPr>
          <w:sz w:val="20"/>
          <w:szCs w:val="20"/>
        </w:rPr>
        <w:t xml:space="preserve"> </w:t>
      </w:r>
      <w:r w:rsidRPr="00FB2934">
        <w:rPr>
          <w:sz w:val="20"/>
          <w:szCs w:val="20"/>
        </w:rPr>
        <w:t>regional commercial radio</w:t>
      </w:r>
      <w:r w:rsidR="00891CB7">
        <w:rPr>
          <w:sz w:val="20"/>
          <w:szCs w:val="20"/>
        </w:rPr>
        <w:t xml:space="preserve"> broadcasting</w:t>
      </w:r>
      <w:r w:rsidRPr="00FB2934">
        <w:rPr>
          <w:sz w:val="20"/>
          <w:szCs w:val="20"/>
        </w:rPr>
        <w:t xml:space="preserve"> licensees to broadcast </w:t>
      </w:r>
      <w:r>
        <w:rPr>
          <w:sz w:val="20"/>
          <w:szCs w:val="20"/>
        </w:rPr>
        <w:t xml:space="preserve">the applicable number of hours of material of local significance </w:t>
      </w:r>
      <w:r w:rsidRPr="00FB2934">
        <w:rPr>
          <w:sz w:val="20"/>
          <w:szCs w:val="20"/>
        </w:rPr>
        <w:t>during daytime hours</w:t>
      </w:r>
      <w:r>
        <w:rPr>
          <w:sz w:val="20"/>
          <w:szCs w:val="20"/>
        </w:rPr>
        <w:t xml:space="preserve"> on</w:t>
      </w:r>
      <w:r w:rsidRPr="00FB2934">
        <w:rPr>
          <w:sz w:val="20"/>
          <w:szCs w:val="20"/>
        </w:rPr>
        <w:t xml:space="preserve"> each </w:t>
      </w:r>
      <w:r>
        <w:rPr>
          <w:sz w:val="20"/>
          <w:szCs w:val="20"/>
        </w:rPr>
        <w:t xml:space="preserve">relevant </w:t>
      </w:r>
      <w:r w:rsidRPr="00FB2934">
        <w:rPr>
          <w:sz w:val="20"/>
          <w:szCs w:val="20"/>
        </w:rPr>
        <w:t xml:space="preserve">business day. Material of local significance </w:t>
      </w:r>
      <w:r w:rsidRPr="00DE228C">
        <w:rPr>
          <w:sz w:val="20"/>
          <w:szCs w:val="20"/>
        </w:rPr>
        <w:t xml:space="preserve">is </w:t>
      </w:r>
      <w:r>
        <w:rPr>
          <w:sz w:val="20"/>
          <w:szCs w:val="20"/>
        </w:rPr>
        <w:t>defined in the Instrument</w:t>
      </w:r>
      <w:r w:rsidRPr="00DE228C">
        <w:rPr>
          <w:sz w:val="20"/>
          <w:szCs w:val="20"/>
        </w:rPr>
        <w:t xml:space="preserve"> as material that is hosted in, produced in or relates to</w:t>
      </w:r>
      <w:r w:rsidR="00891CB7">
        <w:rPr>
          <w:sz w:val="20"/>
          <w:szCs w:val="20"/>
        </w:rPr>
        <w:t>,</w:t>
      </w:r>
      <w:r w:rsidRPr="00DE228C">
        <w:rPr>
          <w:sz w:val="20"/>
          <w:szCs w:val="20"/>
        </w:rPr>
        <w:t xml:space="preserve"> the licence area of the regional commercial radio broadcasting licence.</w:t>
      </w:r>
    </w:p>
    <w:p w:rsidR="00AF66C4" w:rsidRPr="00B35E72" w:rsidRDefault="00AF66C4" w:rsidP="00AF66C4">
      <w:pPr>
        <w:pStyle w:val="Default"/>
        <w:spacing w:before="120" w:after="120"/>
        <w:rPr>
          <w:sz w:val="20"/>
          <w:szCs w:val="20"/>
        </w:rPr>
      </w:pPr>
      <w:r>
        <w:rPr>
          <w:sz w:val="20"/>
          <w:szCs w:val="20"/>
        </w:rPr>
        <w:t xml:space="preserve">Licensees of commercial radio broadcasting licences have a responsibility to ensure </w:t>
      </w:r>
      <w:r w:rsidRPr="00B35E72">
        <w:rPr>
          <w:sz w:val="20"/>
          <w:szCs w:val="20"/>
        </w:rPr>
        <w:t>that commercial radio services in regional areas continue to provide local content to</w:t>
      </w:r>
      <w:r>
        <w:rPr>
          <w:sz w:val="20"/>
          <w:szCs w:val="20"/>
        </w:rPr>
        <w:t xml:space="preserve"> regional radio listeners in</w:t>
      </w:r>
      <w:r w:rsidRPr="00B35E72">
        <w:rPr>
          <w:sz w:val="20"/>
          <w:szCs w:val="20"/>
        </w:rPr>
        <w:t xml:space="preserve"> th</w:t>
      </w:r>
      <w:r w:rsidR="005D6166">
        <w:rPr>
          <w:sz w:val="20"/>
          <w:szCs w:val="20"/>
        </w:rPr>
        <w:t xml:space="preserve">ose </w:t>
      </w:r>
      <w:r w:rsidRPr="00B35E72">
        <w:rPr>
          <w:sz w:val="20"/>
          <w:szCs w:val="20"/>
        </w:rPr>
        <w:t>licence areas.</w:t>
      </w:r>
    </w:p>
    <w:p w:rsidR="009052F3" w:rsidRPr="00FB2934" w:rsidRDefault="009052F3" w:rsidP="009052F3">
      <w:pPr>
        <w:pStyle w:val="Default"/>
        <w:spacing w:before="120" w:after="120"/>
        <w:rPr>
          <w:sz w:val="20"/>
          <w:szCs w:val="20"/>
        </w:rPr>
      </w:pPr>
      <w:r w:rsidRPr="00FB2934">
        <w:rPr>
          <w:sz w:val="20"/>
          <w:szCs w:val="20"/>
        </w:rPr>
        <w:t xml:space="preserve">Imposing these </w:t>
      </w:r>
      <w:r w:rsidR="00D219A3">
        <w:rPr>
          <w:sz w:val="20"/>
          <w:szCs w:val="20"/>
        </w:rPr>
        <w:t>obligation</w:t>
      </w:r>
      <w:r w:rsidR="00D219A3" w:rsidRPr="00FB2934">
        <w:rPr>
          <w:sz w:val="20"/>
          <w:szCs w:val="20"/>
        </w:rPr>
        <w:t xml:space="preserve">s </w:t>
      </w:r>
      <w:r w:rsidRPr="00FB2934">
        <w:rPr>
          <w:sz w:val="20"/>
          <w:szCs w:val="20"/>
        </w:rPr>
        <w:t xml:space="preserve">on </w:t>
      </w:r>
      <w:r w:rsidR="00FE3BE5" w:rsidRPr="00FB2934">
        <w:rPr>
          <w:sz w:val="20"/>
          <w:szCs w:val="20"/>
        </w:rPr>
        <w:t xml:space="preserve">regional </w:t>
      </w:r>
      <w:r w:rsidRPr="00FB2934">
        <w:rPr>
          <w:sz w:val="20"/>
          <w:szCs w:val="20"/>
        </w:rPr>
        <w:t>commercial radio licensees is proportionate and reasonable as it does not place restrictions on the</w:t>
      </w:r>
      <w:r w:rsidR="00C42D88">
        <w:rPr>
          <w:sz w:val="20"/>
          <w:szCs w:val="20"/>
        </w:rPr>
        <w:t xml:space="preserve"> kinds of</w:t>
      </w:r>
      <w:r w:rsidRPr="00FB2934">
        <w:rPr>
          <w:sz w:val="20"/>
          <w:szCs w:val="20"/>
        </w:rPr>
        <w:t xml:space="preserve"> information or ideas licensees disseminate</w:t>
      </w:r>
      <w:r w:rsidR="00AF66C4">
        <w:rPr>
          <w:sz w:val="20"/>
          <w:szCs w:val="20"/>
        </w:rPr>
        <w:t xml:space="preserve"> </w:t>
      </w:r>
      <w:r w:rsidR="00497120" w:rsidRPr="00FB2934">
        <w:rPr>
          <w:sz w:val="20"/>
          <w:szCs w:val="20"/>
        </w:rPr>
        <w:t xml:space="preserve">The </w:t>
      </w:r>
      <w:r w:rsidR="00497120">
        <w:rPr>
          <w:sz w:val="20"/>
          <w:szCs w:val="20"/>
        </w:rPr>
        <w:t>Instrument</w:t>
      </w:r>
      <w:r w:rsidR="00497120" w:rsidRPr="00FB2934">
        <w:rPr>
          <w:sz w:val="20"/>
          <w:szCs w:val="20"/>
        </w:rPr>
        <w:t xml:space="preserve"> is therefore consistent with Article 19 of the ICCPR in that the </w:t>
      </w:r>
      <w:r w:rsidR="00C42D88">
        <w:rPr>
          <w:sz w:val="20"/>
          <w:szCs w:val="20"/>
        </w:rPr>
        <w:t>obligations</w:t>
      </w:r>
      <w:r w:rsidR="00C42D88" w:rsidRPr="00FB2934">
        <w:rPr>
          <w:sz w:val="20"/>
          <w:szCs w:val="20"/>
        </w:rPr>
        <w:t xml:space="preserve"> </w:t>
      </w:r>
      <w:r w:rsidR="00497120" w:rsidRPr="00FB2934">
        <w:rPr>
          <w:sz w:val="20"/>
          <w:szCs w:val="20"/>
        </w:rPr>
        <w:t xml:space="preserve">imposed by </w:t>
      </w:r>
      <w:r w:rsidR="008F3C93">
        <w:rPr>
          <w:sz w:val="20"/>
          <w:szCs w:val="20"/>
        </w:rPr>
        <w:t>the Instrument</w:t>
      </w:r>
      <w:r w:rsidR="00AF66C4">
        <w:rPr>
          <w:sz w:val="20"/>
          <w:szCs w:val="20"/>
        </w:rPr>
        <w:t xml:space="preserve"> </w:t>
      </w:r>
      <w:r w:rsidR="00C42D88">
        <w:rPr>
          <w:sz w:val="20"/>
          <w:szCs w:val="20"/>
        </w:rPr>
        <w:t xml:space="preserve">insofar as they </w:t>
      </w:r>
      <w:r w:rsidR="006C640C">
        <w:rPr>
          <w:sz w:val="20"/>
          <w:szCs w:val="20"/>
        </w:rPr>
        <w:t xml:space="preserve">may </w:t>
      </w:r>
      <w:r w:rsidR="00C42D88">
        <w:rPr>
          <w:sz w:val="20"/>
          <w:szCs w:val="20"/>
        </w:rPr>
        <w:t xml:space="preserve">restrict freedom of expression reflect Parliament’s intention </w:t>
      </w:r>
      <w:r w:rsidR="00AF66C4">
        <w:rPr>
          <w:sz w:val="20"/>
          <w:szCs w:val="20"/>
        </w:rPr>
        <w:t xml:space="preserve">and are necessary to ensure that the </w:t>
      </w:r>
      <w:r w:rsidR="00497120" w:rsidRPr="00FB2934">
        <w:rPr>
          <w:sz w:val="20"/>
          <w:szCs w:val="20"/>
        </w:rPr>
        <w:t xml:space="preserve">rights of </w:t>
      </w:r>
      <w:r w:rsidR="00AF66C4">
        <w:rPr>
          <w:sz w:val="20"/>
          <w:szCs w:val="20"/>
        </w:rPr>
        <w:t>regional radio listeners</w:t>
      </w:r>
      <w:r w:rsidR="00AF66C4" w:rsidRPr="00FB2934">
        <w:rPr>
          <w:sz w:val="20"/>
          <w:szCs w:val="20"/>
        </w:rPr>
        <w:t xml:space="preserve"> </w:t>
      </w:r>
      <w:r w:rsidR="00497120" w:rsidRPr="00FB2934">
        <w:rPr>
          <w:sz w:val="20"/>
          <w:szCs w:val="20"/>
        </w:rPr>
        <w:t xml:space="preserve">are respected. </w:t>
      </w:r>
    </w:p>
    <w:p w:rsidR="00891CB7" w:rsidRDefault="00891CB7" w:rsidP="009052F3">
      <w:pPr>
        <w:pStyle w:val="Default"/>
        <w:spacing w:before="120" w:after="120"/>
        <w:rPr>
          <w:i/>
          <w:iCs/>
          <w:sz w:val="20"/>
          <w:szCs w:val="20"/>
        </w:rPr>
      </w:pPr>
    </w:p>
    <w:p w:rsidR="00891CB7" w:rsidRDefault="00891CB7" w:rsidP="009052F3">
      <w:pPr>
        <w:pStyle w:val="Default"/>
        <w:spacing w:before="120" w:after="120"/>
        <w:rPr>
          <w:i/>
          <w:iCs/>
          <w:sz w:val="20"/>
          <w:szCs w:val="20"/>
        </w:rPr>
      </w:pPr>
    </w:p>
    <w:p w:rsidR="009052F3" w:rsidRPr="00A94C87" w:rsidRDefault="009052F3" w:rsidP="00A94C87">
      <w:pPr>
        <w:pStyle w:val="Default"/>
        <w:spacing w:before="240" w:after="120"/>
        <w:rPr>
          <w:b/>
          <w:bCs/>
          <w:sz w:val="20"/>
          <w:szCs w:val="20"/>
        </w:rPr>
      </w:pPr>
      <w:r w:rsidRPr="00A94C87">
        <w:rPr>
          <w:b/>
          <w:bCs/>
          <w:sz w:val="20"/>
          <w:szCs w:val="20"/>
        </w:rPr>
        <w:lastRenderedPageBreak/>
        <w:t xml:space="preserve">Conclusion </w:t>
      </w:r>
    </w:p>
    <w:p w:rsidR="009052F3" w:rsidRPr="00A94C87" w:rsidRDefault="00497120" w:rsidP="009052F3">
      <w:pPr>
        <w:pStyle w:val="Default"/>
        <w:spacing w:before="120" w:after="120"/>
        <w:rPr>
          <w:sz w:val="20"/>
          <w:szCs w:val="20"/>
        </w:rPr>
      </w:pPr>
      <w:r w:rsidRPr="00A94C87">
        <w:rPr>
          <w:sz w:val="20"/>
          <w:szCs w:val="20"/>
        </w:rPr>
        <w:t xml:space="preserve">The </w:t>
      </w:r>
      <w:r>
        <w:rPr>
          <w:sz w:val="20"/>
          <w:szCs w:val="20"/>
        </w:rPr>
        <w:t>Instrument</w:t>
      </w:r>
      <w:r w:rsidRPr="00F62684">
        <w:rPr>
          <w:sz w:val="20"/>
          <w:szCs w:val="20"/>
        </w:rPr>
        <w:t xml:space="preserve"> </w:t>
      </w:r>
      <w:r w:rsidRPr="00A94C87">
        <w:rPr>
          <w:sz w:val="20"/>
          <w:szCs w:val="20"/>
        </w:rPr>
        <w:t xml:space="preserve">is compatible with human rights and to the extent that it may limit human rights those limitations are reasonable, necessary and proportionate. </w:t>
      </w:r>
      <w:bookmarkEnd w:id="4"/>
    </w:p>
    <w:p w:rsidR="009052F3" w:rsidRPr="00A94C87" w:rsidRDefault="009052F3" w:rsidP="009238CA">
      <w:pPr>
        <w:spacing w:before="120" w:after="120" w:line="240" w:lineRule="atLeast"/>
        <w:jc w:val="both"/>
        <w:rPr>
          <w:rFonts w:cs="Arial"/>
        </w:rPr>
      </w:pPr>
    </w:p>
    <w:sectPr w:rsidR="009052F3" w:rsidRPr="00A94C87" w:rsidSect="00711C89">
      <w:footerReference w:type="default" r:id="rId9"/>
      <w:pgSz w:w="11906" w:h="16838"/>
      <w:pgMar w:top="1440" w:right="1440" w:bottom="1440" w:left="1440" w:header="45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CE2" w:rsidRDefault="004A0CE2" w:rsidP="009238CA">
      <w:r>
        <w:separator/>
      </w:r>
    </w:p>
  </w:endnote>
  <w:endnote w:type="continuationSeparator" w:id="0">
    <w:p w:rsidR="004A0CE2" w:rsidRDefault="004A0CE2" w:rsidP="009238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1387"/>
      <w:docPartObj>
        <w:docPartGallery w:val="Page Numbers (Bottom of Page)"/>
        <w:docPartUnique/>
      </w:docPartObj>
    </w:sdtPr>
    <w:sdtContent>
      <w:p w:rsidR="004A0CE2" w:rsidRDefault="008D7EEB">
        <w:pPr>
          <w:pStyle w:val="Footer"/>
          <w:jc w:val="right"/>
        </w:pPr>
        <w:fldSimple w:instr=" PAGE   \* MERGEFORMAT ">
          <w:r w:rsidR="00B40C9E">
            <w:rPr>
              <w:noProof/>
            </w:rPr>
            <w:t>1</w:t>
          </w:r>
        </w:fldSimple>
      </w:p>
    </w:sdtContent>
  </w:sdt>
  <w:p w:rsidR="004A0CE2" w:rsidRDefault="004A0C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CE2" w:rsidRDefault="004A0CE2" w:rsidP="009238CA">
      <w:r>
        <w:separator/>
      </w:r>
    </w:p>
  </w:footnote>
  <w:footnote w:type="continuationSeparator" w:id="0">
    <w:p w:rsidR="004A0CE2" w:rsidRDefault="004A0CE2" w:rsidP="00923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22C"/>
    <w:multiLevelType w:val="hybridMultilevel"/>
    <w:tmpl w:val="B63C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9E06AB"/>
    <w:multiLevelType w:val="hybridMultilevel"/>
    <w:tmpl w:val="F092CDA0"/>
    <w:lvl w:ilvl="0" w:tplc="62B67F5C">
      <w:start w:val="1"/>
      <w:numFmt w:val="lowerLetter"/>
      <w:lvlText w:val="(%1)"/>
      <w:lvlJc w:val="left"/>
      <w:pPr>
        <w:ind w:left="720" w:hanging="360"/>
      </w:pPr>
      <w:rPr>
        <w:rFonts w:hint="default"/>
      </w:rPr>
    </w:lvl>
    <w:lvl w:ilvl="1" w:tplc="948E8DD4" w:tentative="1">
      <w:start w:val="1"/>
      <w:numFmt w:val="bullet"/>
      <w:lvlText w:val="o"/>
      <w:lvlJc w:val="left"/>
      <w:pPr>
        <w:ind w:left="1440" w:hanging="360"/>
      </w:pPr>
      <w:rPr>
        <w:rFonts w:ascii="Courier New" w:hAnsi="Courier New" w:cs="Courier New" w:hint="default"/>
      </w:rPr>
    </w:lvl>
    <w:lvl w:ilvl="2" w:tplc="9A2CF14E" w:tentative="1">
      <w:start w:val="1"/>
      <w:numFmt w:val="bullet"/>
      <w:lvlText w:val=""/>
      <w:lvlJc w:val="left"/>
      <w:pPr>
        <w:ind w:left="2160" w:hanging="360"/>
      </w:pPr>
      <w:rPr>
        <w:rFonts w:ascii="Wingdings" w:hAnsi="Wingdings" w:hint="default"/>
      </w:rPr>
    </w:lvl>
    <w:lvl w:ilvl="3" w:tplc="FFBA1D48" w:tentative="1">
      <w:start w:val="1"/>
      <w:numFmt w:val="bullet"/>
      <w:lvlText w:val=""/>
      <w:lvlJc w:val="left"/>
      <w:pPr>
        <w:ind w:left="2880" w:hanging="360"/>
      </w:pPr>
      <w:rPr>
        <w:rFonts w:ascii="Symbol" w:hAnsi="Symbol" w:hint="default"/>
      </w:rPr>
    </w:lvl>
    <w:lvl w:ilvl="4" w:tplc="A8181454" w:tentative="1">
      <w:start w:val="1"/>
      <w:numFmt w:val="bullet"/>
      <w:lvlText w:val="o"/>
      <w:lvlJc w:val="left"/>
      <w:pPr>
        <w:ind w:left="3600" w:hanging="360"/>
      </w:pPr>
      <w:rPr>
        <w:rFonts w:ascii="Courier New" w:hAnsi="Courier New" w:cs="Courier New" w:hint="default"/>
      </w:rPr>
    </w:lvl>
    <w:lvl w:ilvl="5" w:tplc="351CC866" w:tentative="1">
      <w:start w:val="1"/>
      <w:numFmt w:val="bullet"/>
      <w:lvlText w:val=""/>
      <w:lvlJc w:val="left"/>
      <w:pPr>
        <w:ind w:left="4320" w:hanging="360"/>
      </w:pPr>
      <w:rPr>
        <w:rFonts w:ascii="Wingdings" w:hAnsi="Wingdings" w:hint="default"/>
      </w:rPr>
    </w:lvl>
    <w:lvl w:ilvl="6" w:tplc="8A00B03C" w:tentative="1">
      <w:start w:val="1"/>
      <w:numFmt w:val="bullet"/>
      <w:lvlText w:val=""/>
      <w:lvlJc w:val="left"/>
      <w:pPr>
        <w:ind w:left="5040" w:hanging="360"/>
      </w:pPr>
      <w:rPr>
        <w:rFonts w:ascii="Symbol" w:hAnsi="Symbol" w:hint="default"/>
      </w:rPr>
    </w:lvl>
    <w:lvl w:ilvl="7" w:tplc="9DAE8F4E" w:tentative="1">
      <w:start w:val="1"/>
      <w:numFmt w:val="bullet"/>
      <w:lvlText w:val="o"/>
      <w:lvlJc w:val="left"/>
      <w:pPr>
        <w:ind w:left="5760" w:hanging="360"/>
      </w:pPr>
      <w:rPr>
        <w:rFonts w:ascii="Courier New" w:hAnsi="Courier New" w:cs="Courier New" w:hint="default"/>
      </w:rPr>
    </w:lvl>
    <w:lvl w:ilvl="8" w:tplc="46D01728" w:tentative="1">
      <w:start w:val="1"/>
      <w:numFmt w:val="bullet"/>
      <w:lvlText w:val=""/>
      <w:lvlJc w:val="left"/>
      <w:pPr>
        <w:ind w:left="6480" w:hanging="360"/>
      </w:pPr>
      <w:rPr>
        <w:rFonts w:ascii="Wingdings" w:hAnsi="Wingdings" w:hint="default"/>
      </w:rPr>
    </w:lvl>
  </w:abstractNum>
  <w:abstractNum w:abstractNumId="2">
    <w:nsid w:val="14B62D5B"/>
    <w:multiLevelType w:val="hybridMultilevel"/>
    <w:tmpl w:val="920A1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8F1758"/>
    <w:multiLevelType w:val="hybridMultilevel"/>
    <w:tmpl w:val="782A72C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4">
    <w:nsid w:val="3EDE145E"/>
    <w:multiLevelType w:val="hybridMultilevel"/>
    <w:tmpl w:val="3CBA1E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nsid w:val="44B34EEE"/>
    <w:multiLevelType w:val="hybridMultilevel"/>
    <w:tmpl w:val="98DE28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4EE3242D"/>
    <w:multiLevelType w:val="hybridMultilevel"/>
    <w:tmpl w:val="2ACC2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8458A7"/>
    <w:multiLevelType w:val="hybridMultilevel"/>
    <w:tmpl w:val="AA2E5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A287DF4"/>
    <w:multiLevelType w:val="hybridMultilevel"/>
    <w:tmpl w:val="8632A0D0"/>
    <w:lvl w:ilvl="0" w:tplc="1C5C52DE">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9">
    <w:nsid w:val="687D5D95"/>
    <w:multiLevelType w:val="hybridMultilevel"/>
    <w:tmpl w:val="08C2417A"/>
    <w:lvl w:ilvl="0" w:tplc="62B67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88B71FA"/>
    <w:multiLevelType w:val="hybridMultilevel"/>
    <w:tmpl w:val="5B901B00"/>
    <w:lvl w:ilvl="0" w:tplc="DA045E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6590F38"/>
    <w:multiLevelType w:val="hybridMultilevel"/>
    <w:tmpl w:val="9B0CB798"/>
    <w:lvl w:ilvl="0" w:tplc="1C5C52DE">
      <w:start w:val="1"/>
      <w:numFmt w:val="bullet"/>
      <w:lvlText w:val=""/>
      <w:lvlJc w:val="left"/>
      <w:pPr>
        <w:ind w:left="720" w:hanging="360"/>
      </w:pPr>
      <w:rPr>
        <w:rFonts w:ascii="Symbol" w:hAnsi="Symbol" w:hint="default"/>
      </w:rPr>
    </w:lvl>
    <w:lvl w:ilvl="1" w:tplc="948E8DD4" w:tentative="1">
      <w:start w:val="1"/>
      <w:numFmt w:val="bullet"/>
      <w:lvlText w:val="o"/>
      <w:lvlJc w:val="left"/>
      <w:pPr>
        <w:ind w:left="1440" w:hanging="360"/>
      </w:pPr>
      <w:rPr>
        <w:rFonts w:ascii="Courier New" w:hAnsi="Courier New" w:cs="Courier New" w:hint="default"/>
      </w:rPr>
    </w:lvl>
    <w:lvl w:ilvl="2" w:tplc="9A2CF14E" w:tentative="1">
      <w:start w:val="1"/>
      <w:numFmt w:val="bullet"/>
      <w:lvlText w:val=""/>
      <w:lvlJc w:val="left"/>
      <w:pPr>
        <w:ind w:left="2160" w:hanging="360"/>
      </w:pPr>
      <w:rPr>
        <w:rFonts w:ascii="Wingdings" w:hAnsi="Wingdings" w:hint="default"/>
      </w:rPr>
    </w:lvl>
    <w:lvl w:ilvl="3" w:tplc="FFBA1D48" w:tentative="1">
      <w:start w:val="1"/>
      <w:numFmt w:val="bullet"/>
      <w:lvlText w:val=""/>
      <w:lvlJc w:val="left"/>
      <w:pPr>
        <w:ind w:left="2880" w:hanging="360"/>
      </w:pPr>
      <w:rPr>
        <w:rFonts w:ascii="Symbol" w:hAnsi="Symbol" w:hint="default"/>
      </w:rPr>
    </w:lvl>
    <w:lvl w:ilvl="4" w:tplc="A8181454" w:tentative="1">
      <w:start w:val="1"/>
      <w:numFmt w:val="bullet"/>
      <w:lvlText w:val="o"/>
      <w:lvlJc w:val="left"/>
      <w:pPr>
        <w:ind w:left="3600" w:hanging="360"/>
      </w:pPr>
      <w:rPr>
        <w:rFonts w:ascii="Courier New" w:hAnsi="Courier New" w:cs="Courier New" w:hint="default"/>
      </w:rPr>
    </w:lvl>
    <w:lvl w:ilvl="5" w:tplc="351CC866" w:tentative="1">
      <w:start w:val="1"/>
      <w:numFmt w:val="bullet"/>
      <w:lvlText w:val=""/>
      <w:lvlJc w:val="left"/>
      <w:pPr>
        <w:ind w:left="4320" w:hanging="360"/>
      </w:pPr>
      <w:rPr>
        <w:rFonts w:ascii="Wingdings" w:hAnsi="Wingdings" w:hint="default"/>
      </w:rPr>
    </w:lvl>
    <w:lvl w:ilvl="6" w:tplc="8A00B03C" w:tentative="1">
      <w:start w:val="1"/>
      <w:numFmt w:val="bullet"/>
      <w:lvlText w:val=""/>
      <w:lvlJc w:val="left"/>
      <w:pPr>
        <w:ind w:left="5040" w:hanging="360"/>
      </w:pPr>
      <w:rPr>
        <w:rFonts w:ascii="Symbol" w:hAnsi="Symbol" w:hint="default"/>
      </w:rPr>
    </w:lvl>
    <w:lvl w:ilvl="7" w:tplc="9DAE8F4E" w:tentative="1">
      <w:start w:val="1"/>
      <w:numFmt w:val="bullet"/>
      <w:lvlText w:val="o"/>
      <w:lvlJc w:val="left"/>
      <w:pPr>
        <w:ind w:left="5760" w:hanging="360"/>
      </w:pPr>
      <w:rPr>
        <w:rFonts w:ascii="Courier New" w:hAnsi="Courier New" w:cs="Courier New" w:hint="default"/>
      </w:rPr>
    </w:lvl>
    <w:lvl w:ilvl="8" w:tplc="46D01728"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4"/>
  </w:num>
  <w:num w:numId="5">
    <w:abstractNumId w:val="2"/>
  </w:num>
  <w:num w:numId="6">
    <w:abstractNumId w:val="6"/>
  </w:num>
  <w:num w:numId="7">
    <w:abstractNumId w:val="7"/>
  </w:num>
  <w:num w:numId="8">
    <w:abstractNumId w:val="0"/>
  </w:num>
  <w:num w:numId="9">
    <w:abstractNumId w:val="3"/>
  </w:num>
  <w:num w:numId="10">
    <w:abstractNumId w:val="9"/>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238CA"/>
    <w:rsid w:val="00004866"/>
    <w:rsid w:val="00005139"/>
    <w:rsid w:val="00015326"/>
    <w:rsid w:val="00040D3A"/>
    <w:rsid w:val="000437A8"/>
    <w:rsid w:val="0005193C"/>
    <w:rsid w:val="000551E3"/>
    <w:rsid w:val="0008051E"/>
    <w:rsid w:val="00092F64"/>
    <w:rsid w:val="000B1AB0"/>
    <w:rsid w:val="000B4AF6"/>
    <w:rsid w:val="000B6CBE"/>
    <w:rsid w:val="000C42A0"/>
    <w:rsid w:val="000C6521"/>
    <w:rsid w:val="000C6980"/>
    <w:rsid w:val="000E4122"/>
    <w:rsid w:val="000F51F6"/>
    <w:rsid w:val="000F7F21"/>
    <w:rsid w:val="00102100"/>
    <w:rsid w:val="001074E6"/>
    <w:rsid w:val="00115AE9"/>
    <w:rsid w:val="00121967"/>
    <w:rsid w:val="001223A8"/>
    <w:rsid w:val="001247A9"/>
    <w:rsid w:val="00124A96"/>
    <w:rsid w:val="00130FB0"/>
    <w:rsid w:val="001372E0"/>
    <w:rsid w:val="00142579"/>
    <w:rsid w:val="00152351"/>
    <w:rsid w:val="00155B0E"/>
    <w:rsid w:val="00156B82"/>
    <w:rsid w:val="00163260"/>
    <w:rsid w:val="001634FB"/>
    <w:rsid w:val="0017709F"/>
    <w:rsid w:val="00177EC8"/>
    <w:rsid w:val="00183FD6"/>
    <w:rsid w:val="00190BD2"/>
    <w:rsid w:val="001A1C22"/>
    <w:rsid w:val="001A65D9"/>
    <w:rsid w:val="001B51B8"/>
    <w:rsid w:val="001C62DD"/>
    <w:rsid w:val="001D54B7"/>
    <w:rsid w:val="001E3D1A"/>
    <w:rsid w:val="001F5960"/>
    <w:rsid w:val="001F5D6B"/>
    <w:rsid w:val="00206B53"/>
    <w:rsid w:val="00207E3E"/>
    <w:rsid w:val="00223680"/>
    <w:rsid w:val="00227803"/>
    <w:rsid w:val="00227F1F"/>
    <w:rsid w:val="00231590"/>
    <w:rsid w:val="002319CF"/>
    <w:rsid w:val="00232F15"/>
    <w:rsid w:val="00233086"/>
    <w:rsid w:val="00234DCC"/>
    <w:rsid w:val="002362FD"/>
    <w:rsid w:val="0023700A"/>
    <w:rsid w:val="00241B46"/>
    <w:rsid w:val="00251808"/>
    <w:rsid w:val="00264DE1"/>
    <w:rsid w:val="00267718"/>
    <w:rsid w:val="00275907"/>
    <w:rsid w:val="00276312"/>
    <w:rsid w:val="00284553"/>
    <w:rsid w:val="002874D8"/>
    <w:rsid w:val="002A0CCA"/>
    <w:rsid w:val="002A7C4E"/>
    <w:rsid w:val="002B1B84"/>
    <w:rsid w:val="002B298B"/>
    <w:rsid w:val="002B7820"/>
    <w:rsid w:val="002C0720"/>
    <w:rsid w:val="002D5CD2"/>
    <w:rsid w:val="002E524A"/>
    <w:rsid w:val="002F4AF1"/>
    <w:rsid w:val="002F689D"/>
    <w:rsid w:val="003041FD"/>
    <w:rsid w:val="00304287"/>
    <w:rsid w:val="0031542D"/>
    <w:rsid w:val="00315BEB"/>
    <w:rsid w:val="00323B2F"/>
    <w:rsid w:val="00324C63"/>
    <w:rsid w:val="00325000"/>
    <w:rsid w:val="003277FA"/>
    <w:rsid w:val="00330A6B"/>
    <w:rsid w:val="00331129"/>
    <w:rsid w:val="0033769A"/>
    <w:rsid w:val="00345EF4"/>
    <w:rsid w:val="00346432"/>
    <w:rsid w:val="003466C9"/>
    <w:rsid w:val="00350547"/>
    <w:rsid w:val="00353A5E"/>
    <w:rsid w:val="003622FD"/>
    <w:rsid w:val="00377A0B"/>
    <w:rsid w:val="00381E7A"/>
    <w:rsid w:val="00382EE0"/>
    <w:rsid w:val="00390508"/>
    <w:rsid w:val="00391D24"/>
    <w:rsid w:val="00396CC0"/>
    <w:rsid w:val="00397E21"/>
    <w:rsid w:val="003A1E3F"/>
    <w:rsid w:val="003A2C4D"/>
    <w:rsid w:val="003B1400"/>
    <w:rsid w:val="003B2C2D"/>
    <w:rsid w:val="003B62A7"/>
    <w:rsid w:val="003C28C5"/>
    <w:rsid w:val="003C2CBB"/>
    <w:rsid w:val="003D0129"/>
    <w:rsid w:val="003D1F32"/>
    <w:rsid w:val="003D5CCB"/>
    <w:rsid w:val="003D65A3"/>
    <w:rsid w:val="003D6A50"/>
    <w:rsid w:val="003E1C97"/>
    <w:rsid w:val="003E1DB4"/>
    <w:rsid w:val="003E3CB6"/>
    <w:rsid w:val="003E5131"/>
    <w:rsid w:val="003F034D"/>
    <w:rsid w:val="003F1988"/>
    <w:rsid w:val="003F34FB"/>
    <w:rsid w:val="003F3A9F"/>
    <w:rsid w:val="003F4A44"/>
    <w:rsid w:val="003F6AEC"/>
    <w:rsid w:val="00402347"/>
    <w:rsid w:val="00411753"/>
    <w:rsid w:val="00411FC8"/>
    <w:rsid w:val="00412A07"/>
    <w:rsid w:val="00412B4B"/>
    <w:rsid w:val="00432CC3"/>
    <w:rsid w:val="004353E3"/>
    <w:rsid w:val="00437BCD"/>
    <w:rsid w:val="00446A36"/>
    <w:rsid w:val="00451EBA"/>
    <w:rsid w:val="004538CA"/>
    <w:rsid w:val="00453BB9"/>
    <w:rsid w:val="004543C7"/>
    <w:rsid w:val="004637F6"/>
    <w:rsid w:val="00467839"/>
    <w:rsid w:val="0047334B"/>
    <w:rsid w:val="004769FA"/>
    <w:rsid w:val="00477EA0"/>
    <w:rsid w:val="00497120"/>
    <w:rsid w:val="004974A1"/>
    <w:rsid w:val="004979EE"/>
    <w:rsid w:val="004A0CE2"/>
    <w:rsid w:val="004A1848"/>
    <w:rsid w:val="004B2A8D"/>
    <w:rsid w:val="004B4CF2"/>
    <w:rsid w:val="004B714D"/>
    <w:rsid w:val="004C6F04"/>
    <w:rsid w:val="004D0D35"/>
    <w:rsid w:val="004D57C6"/>
    <w:rsid w:val="004E09C5"/>
    <w:rsid w:val="004F039A"/>
    <w:rsid w:val="004F5FC2"/>
    <w:rsid w:val="005111C6"/>
    <w:rsid w:val="00512975"/>
    <w:rsid w:val="0052182D"/>
    <w:rsid w:val="0052525C"/>
    <w:rsid w:val="00530569"/>
    <w:rsid w:val="00534396"/>
    <w:rsid w:val="005409BA"/>
    <w:rsid w:val="00541FD9"/>
    <w:rsid w:val="00542B56"/>
    <w:rsid w:val="0054456A"/>
    <w:rsid w:val="00544E0A"/>
    <w:rsid w:val="005515EA"/>
    <w:rsid w:val="00552965"/>
    <w:rsid w:val="00564582"/>
    <w:rsid w:val="00565256"/>
    <w:rsid w:val="00567ADC"/>
    <w:rsid w:val="005744E2"/>
    <w:rsid w:val="00574DB1"/>
    <w:rsid w:val="005774E5"/>
    <w:rsid w:val="00580712"/>
    <w:rsid w:val="00582483"/>
    <w:rsid w:val="005846B2"/>
    <w:rsid w:val="00587F76"/>
    <w:rsid w:val="00590DC2"/>
    <w:rsid w:val="00590EB9"/>
    <w:rsid w:val="00594450"/>
    <w:rsid w:val="005A39FC"/>
    <w:rsid w:val="005A504C"/>
    <w:rsid w:val="005B295C"/>
    <w:rsid w:val="005B4726"/>
    <w:rsid w:val="005B4AC5"/>
    <w:rsid w:val="005B4C90"/>
    <w:rsid w:val="005D25F7"/>
    <w:rsid w:val="005D5214"/>
    <w:rsid w:val="005D5BEA"/>
    <w:rsid w:val="005D6166"/>
    <w:rsid w:val="005E00B8"/>
    <w:rsid w:val="005E2BAE"/>
    <w:rsid w:val="005E3320"/>
    <w:rsid w:val="005E4372"/>
    <w:rsid w:val="005E7B8D"/>
    <w:rsid w:val="005F1AC6"/>
    <w:rsid w:val="005F2DB1"/>
    <w:rsid w:val="00600715"/>
    <w:rsid w:val="00601D85"/>
    <w:rsid w:val="006030E2"/>
    <w:rsid w:val="00603B9F"/>
    <w:rsid w:val="0060433E"/>
    <w:rsid w:val="00606260"/>
    <w:rsid w:val="006153DF"/>
    <w:rsid w:val="00617B56"/>
    <w:rsid w:val="00623371"/>
    <w:rsid w:val="00625363"/>
    <w:rsid w:val="00626F70"/>
    <w:rsid w:val="00627F8C"/>
    <w:rsid w:val="00637A2E"/>
    <w:rsid w:val="00640D5B"/>
    <w:rsid w:val="0064516C"/>
    <w:rsid w:val="00645F12"/>
    <w:rsid w:val="0064676A"/>
    <w:rsid w:val="0065356F"/>
    <w:rsid w:val="006567EC"/>
    <w:rsid w:val="0065754F"/>
    <w:rsid w:val="00660AAB"/>
    <w:rsid w:val="0066104D"/>
    <w:rsid w:val="006613F6"/>
    <w:rsid w:val="00663178"/>
    <w:rsid w:val="006651F8"/>
    <w:rsid w:val="00667CCF"/>
    <w:rsid w:val="00671765"/>
    <w:rsid w:val="0067550B"/>
    <w:rsid w:val="00676449"/>
    <w:rsid w:val="0067663A"/>
    <w:rsid w:val="00677A7E"/>
    <w:rsid w:val="00681DE9"/>
    <w:rsid w:val="00683893"/>
    <w:rsid w:val="006962F0"/>
    <w:rsid w:val="006B0826"/>
    <w:rsid w:val="006B1735"/>
    <w:rsid w:val="006B28F8"/>
    <w:rsid w:val="006B543D"/>
    <w:rsid w:val="006B6B93"/>
    <w:rsid w:val="006B6FB5"/>
    <w:rsid w:val="006C0020"/>
    <w:rsid w:val="006C14E1"/>
    <w:rsid w:val="006C19C7"/>
    <w:rsid w:val="006C640C"/>
    <w:rsid w:val="006C74EF"/>
    <w:rsid w:val="006D25B9"/>
    <w:rsid w:val="006D361B"/>
    <w:rsid w:val="006D5377"/>
    <w:rsid w:val="006E7AC2"/>
    <w:rsid w:val="006F19D0"/>
    <w:rsid w:val="007051D5"/>
    <w:rsid w:val="00711C89"/>
    <w:rsid w:val="00714E05"/>
    <w:rsid w:val="007205C5"/>
    <w:rsid w:val="00730295"/>
    <w:rsid w:val="00731872"/>
    <w:rsid w:val="00734D7E"/>
    <w:rsid w:val="00736F76"/>
    <w:rsid w:val="007403C3"/>
    <w:rsid w:val="00743969"/>
    <w:rsid w:val="0075492C"/>
    <w:rsid w:val="00760695"/>
    <w:rsid w:val="00760799"/>
    <w:rsid w:val="007609A0"/>
    <w:rsid w:val="007650CD"/>
    <w:rsid w:val="00772E9C"/>
    <w:rsid w:val="00780018"/>
    <w:rsid w:val="00781C86"/>
    <w:rsid w:val="00796444"/>
    <w:rsid w:val="00796BC2"/>
    <w:rsid w:val="00797481"/>
    <w:rsid w:val="007A371B"/>
    <w:rsid w:val="007B3132"/>
    <w:rsid w:val="007B57C0"/>
    <w:rsid w:val="007B66D7"/>
    <w:rsid w:val="007B70A4"/>
    <w:rsid w:val="007D71BA"/>
    <w:rsid w:val="007D740E"/>
    <w:rsid w:val="007E3862"/>
    <w:rsid w:val="00811362"/>
    <w:rsid w:val="0081624B"/>
    <w:rsid w:val="00817020"/>
    <w:rsid w:val="008228A4"/>
    <w:rsid w:val="00835BDD"/>
    <w:rsid w:val="00841360"/>
    <w:rsid w:val="00843395"/>
    <w:rsid w:val="008459CC"/>
    <w:rsid w:val="00854A4F"/>
    <w:rsid w:val="0085704F"/>
    <w:rsid w:val="00865959"/>
    <w:rsid w:val="008722AE"/>
    <w:rsid w:val="00880D1A"/>
    <w:rsid w:val="00885084"/>
    <w:rsid w:val="00891CB7"/>
    <w:rsid w:val="00893AB7"/>
    <w:rsid w:val="008975D7"/>
    <w:rsid w:val="008A01A0"/>
    <w:rsid w:val="008A1A57"/>
    <w:rsid w:val="008A280E"/>
    <w:rsid w:val="008A43A0"/>
    <w:rsid w:val="008A5A1E"/>
    <w:rsid w:val="008A5B67"/>
    <w:rsid w:val="008B10C0"/>
    <w:rsid w:val="008B430D"/>
    <w:rsid w:val="008B4C1F"/>
    <w:rsid w:val="008C1C7B"/>
    <w:rsid w:val="008C4094"/>
    <w:rsid w:val="008C474A"/>
    <w:rsid w:val="008C6508"/>
    <w:rsid w:val="008D384E"/>
    <w:rsid w:val="008D4459"/>
    <w:rsid w:val="008D6455"/>
    <w:rsid w:val="008D7EEB"/>
    <w:rsid w:val="008E27A2"/>
    <w:rsid w:val="008F35BD"/>
    <w:rsid w:val="008F3C93"/>
    <w:rsid w:val="00902128"/>
    <w:rsid w:val="009026CA"/>
    <w:rsid w:val="009052F3"/>
    <w:rsid w:val="00911617"/>
    <w:rsid w:val="00911DA5"/>
    <w:rsid w:val="009129D6"/>
    <w:rsid w:val="00917EEC"/>
    <w:rsid w:val="009238CA"/>
    <w:rsid w:val="00924C90"/>
    <w:rsid w:val="00935EB6"/>
    <w:rsid w:val="00936C38"/>
    <w:rsid w:val="009401B3"/>
    <w:rsid w:val="00945404"/>
    <w:rsid w:val="00945F17"/>
    <w:rsid w:val="009473A6"/>
    <w:rsid w:val="00957F5D"/>
    <w:rsid w:val="00965CCB"/>
    <w:rsid w:val="00980528"/>
    <w:rsid w:val="00984432"/>
    <w:rsid w:val="00987955"/>
    <w:rsid w:val="009A237F"/>
    <w:rsid w:val="009B22B9"/>
    <w:rsid w:val="009B26F5"/>
    <w:rsid w:val="009B4F7F"/>
    <w:rsid w:val="009B5994"/>
    <w:rsid w:val="009B687E"/>
    <w:rsid w:val="009B789B"/>
    <w:rsid w:val="009B7DA9"/>
    <w:rsid w:val="009C0541"/>
    <w:rsid w:val="009D07AC"/>
    <w:rsid w:val="009D7A6A"/>
    <w:rsid w:val="00A02D51"/>
    <w:rsid w:val="00A03A23"/>
    <w:rsid w:val="00A05772"/>
    <w:rsid w:val="00A15D18"/>
    <w:rsid w:val="00A161F8"/>
    <w:rsid w:val="00A17AD7"/>
    <w:rsid w:val="00A221D1"/>
    <w:rsid w:val="00A245DC"/>
    <w:rsid w:val="00A26AA6"/>
    <w:rsid w:val="00A3006E"/>
    <w:rsid w:val="00A30EBD"/>
    <w:rsid w:val="00A34FB3"/>
    <w:rsid w:val="00A37540"/>
    <w:rsid w:val="00A41C08"/>
    <w:rsid w:val="00A43755"/>
    <w:rsid w:val="00A475B6"/>
    <w:rsid w:val="00A476AD"/>
    <w:rsid w:val="00A67BF1"/>
    <w:rsid w:val="00A67FE3"/>
    <w:rsid w:val="00A723FC"/>
    <w:rsid w:val="00A80F70"/>
    <w:rsid w:val="00A82601"/>
    <w:rsid w:val="00A84070"/>
    <w:rsid w:val="00A84FA8"/>
    <w:rsid w:val="00A92E42"/>
    <w:rsid w:val="00A94C87"/>
    <w:rsid w:val="00A95595"/>
    <w:rsid w:val="00A958D3"/>
    <w:rsid w:val="00A970B9"/>
    <w:rsid w:val="00AB79D0"/>
    <w:rsid w:val="00AC09DB"/>
    <w:rsid w:val="00AC3537"/>
    <w:rsid w:val="00AC715C"/>
    <w:rsid w:val="00AD10D0"/>
    <w:rsid w:val="00AD3A6E"/>
    <w:rsid w:val="00AE4D9C"/>
    <w:rsid w:val="00AE5800"/>
    <w:rsid w:val="00AE73D7"/>
    <w:rsid w:val="00AF21C1"/>
    <w:rsid w:val="00AF5C1A"/>
    <w:rsid w:val="00AF62B2"/>
    <w:rsid w:val="00AF66C4"/>
    <w:rsid w:val="00B0099A"/>
    <w:rsid w:val="00B07631"/>
    <w:rsid w:val="00B11911"/>
    <w:rsid w:val="00B23C48"/>
    <w:rsid w:val="00B35A23"/>
    <w:rsid w:val="00B35E72"/>
    <w:rsid w:val="00B36A8A"/>
    <w:rsid w:val="00B40C9E"/>
    <w:rsid w:val="00B43633"/>
    <w:rsid w:val="00B50266"/>
    <w:rsid w:val="00B54BF9"/>
    <w:rsid w:val="00B65B61"/>
    <w:rsid w:val="00B70CFB"/>
    <w:rsid w:val="00B71FF2"/>
    <w:rsid w:val="00B73484"/>
    <w:rsid w:val="00B8178B"/>
    <w:rsid w:val="00B87B63"/>
    <w:rsid w:val="00BB1EE3"/>
    <w:rsid w:val="00BB2C81"/>
    <w:rsid w:val="00BB6FB5"/>
    <w:rsid w:val="00BC093F"/>
    <w:rsid w:val="00BC3843"/>
    <w:rsid w:val="00BC42E4"/>
    <w:rsid w:val="00BD1332"/>
    <w:rsid w:val="00BD1E58"/>
    <w:rsid w:val="00BD4C80"/>
    <w:rsid w:val="00BE1E6F"/>
    <w:rsid w:val="00BF1509"/>
    <w:rsid w:val="00BF461C"/>
    <w:rsid w:val="00C04F53"/>
    <w:rsid w:val="00C11478"/>
    <w:rsid w:val="00C117B2"/>
    <w:rsid w:val="00C11F3B"/>
    <w:rsid w:val="00C14662"/>
    <w:rsid w:val="00C2076D"/>
    <w:rsid w:val="00C24A76"/>
    <w:rsid w:val="00C27801"/>
    <w:rsid w:val="00C27BD2"/>
    <w:rsid w:val="00C34E4E"/>
    <w:rsid w:val="00C36F68"/>
    <w:rsid w:val="00C41E2F"/>
    <w:rsid w:val="00C42D88"/>
    <w:rsid w:val="00C45D03"/>
    <w:rsid w:val="00C50867"/>
    <w:rsid w:val="00C52B1B"/>
    <w:rsid w:val="00C60CA9"/>
    <w:rsid w:val="00C63BF1"/>
    <w:rsid w:val="00C65A4B"/>
    <w:rsid w:val="00C71FA8"/>
    <w:rsid w:val="00C766EA"/>
    <w:rsid w:val="00C80474"/>
    <w:rsid w:val="00C80B8B"/>
    <w:rsid w:val="00C851DB"/>
    <w:rsid w:val="00C954E3"/>
    <w:rsid w:val="00CB7741"/>
    <w:rsid w:val="00CC2EF2"/>
    <w:rsid w:val="00CC4416"/>
    <w:rsid w:val="00CC6742"/>
    <w:rsid w:val="00CC6768"/>
    <w:rsid w:val="00CC710C"/>
    <w:rsid w:val="00CD2D78"/>
    <w:rsid w:val="00CE2CEC"/>
    <w:rsid w:val="00CE6F47"/>
    <w:rsid w:val="00CF258F"/>
    <w:rsid w:val="00CF2F7F"/>
    <w:rsid w:val="00D075EC"/>
    <w:rsid w:val="00D13140"/>
    <w:rsid w:val="00D1524A"/>
    <w:rsid w:val="00D219A3"/>
    <w:rsid w:val="00D2714C"/>
    <w:rsid w:val="00D31517"/>
    <w:rsid w:val="00D341CE"/>
    <w:rsid w:val="00D370DD"/>
    <w:rsid w:val="00D44DE3"/>
    <w:rsid w:val="00D50CF4"/>
    <w:rsid w:val="00D51060"/>
    <w:rsid w:val="00D534A1"/>
    <w:rsid w:val="00D53A71"/>
    <w:rsid w:val="00D54DDC"/>
    <w:rsid w:val="00D61826"/>
    <w:rsid w:val="00D61BAF"/>
    <w:rsid w:val="00D6775B"/>
    <w:rsid w:val="00D73F5F"/>
    <w:rsid w:val="00D85B6B"/>
    <w:rsid w:val="00D87670"/>
    <w:rsid w:val="00D90754"/>
    <w:rsid w:val="00D93AAC"/>
    <w:rsid w:val="00D964EB"/>
    <w:rsid w:val="00D968F7"/>
    <w:rsid w:val="00DA23DD"/>
    <w:rsid w:val="00DA4DC6"/>
    <w:rsid w:val="00DB3EE0"/>
    <w:rsid w:val="00DB6D71"/>
    <w:rsid w:val="00DC157C"/>
    <w:rsid w:val="00DC2B11"/>
    <w:rsid w:val="00DC2D31"/>
    <w:rsid w:val="00DC4549"/>
    <w:rsid w:val="00DC4F10"/>
    <w:rsid w:val="00DD3567"/>
    <w:rsid w:val="00DD4782"/>
    <w:rsid w:val="00DD512D"/>
    <w:rsid w:val="00DD5E73"/>
    <w:rsid w:val="00DE178C"/>
    <w:rsid w:val="00DE228C"/>
    <w:rsid w:val="00DF65F4"/>
    <w:rsid w:val="00DF7E4F"/>
    <w:rsid w:val="00E10F60"/>
    <w:rsid w:val="00E10F86"/>
    <w:rsid w:val="00E148E6"/>
    <w:rsid w:val="00E17912"/>
    <w:rsid w:val="00E209B7"/>
    <w:rsid w:val="00E251C6"/>
    <w:rsid w:val="00E3129E"/>
    <w:rsid w:val="00E44114"/>
    <w:rsid w:val="00E45F8D"/>
    <w:rsid w:val="00E47CC3"/>
    <w:rsid w:val="00E51E14"/>
    <w:rsid w:val="00E60DD7"/>
    <w:rsid w:val="00E64C6E"/>
    <w:rsid w:val="00E66F7A"/>
    <w:rsid w:val="00E73319"/>
    <w:rsid w:val="00E75378"/>
    <w:rsid w:val="00E84F5F"/>
    <w:rsid w:val="00E8509E"/>
    <w:rsid w:val="00E960FE"/>
    <w:rsid w:val="00E97563"/>
    <w:rsid w:val="00EA7CFC"/>
    <w:rsid w:val="00EC065B"/>
    <w:rsid w:val="00ED1158"/>
    <w:rsid w:val="00ED54AD"/>
    <w:rsid w:val="00ED785D"/>
    <w:rsid w:val="00EF4B8E"/>
    <w:rsid w:val="00F04010"/>
    <w:rsid w:val="00F05006"/>
    <w:rsid w:val="00F05010"/>
    <w:rsid w:val="00F15E74"/>
    <w:rsid w:val="00F22C3D"/>
    <w:rsid w:val="00F23C3A"/>
    <w:rsid w:val="00F23CA2"/>
    <w:rsid w:val="00F34595"/>
    <w:rsid w:val="00F43A5D"/>
    <w:rsid w:val="00F62684"/>
    <w:rsid w:val="00F6335D"/>
    <w:rsid w:val="00F66351"/>
    <w:rsid w:val="00F66DDA"/>
    <w:rsid w:val="00F7014F"/>
    <w:rsid w:val="00F72071"/>
    <w:rsid w:val="00F72FB1"/>
    <w:rsid w:val="00F74683"/>
    <w:rsid w:val="00F87565"/>
    <w:rsid w:val="00F87FA6"/>
    <w:rsid w:val="00F96C26"/>
    <w:rsid w:val="00FA6FE4"/>
    <w:rsid w:val="00FB2934"/>
    <w:rsid w:val="00FC0876"/>
    <w:rsid w:val="00FC4B2C"/>
    <w:rsid w:val="00FD04CE"/>
    <w:rsid w:val="00FD4671"/>
    <w:rsid w:val="00FE3BE5"/>
    <w:rsid w:val="00FF238C"/>
    <w:rsid w:val="00FF516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CA"/>
    <w:pPr>
      <w:spacing w:after="0" w:line="240" w:lineRule="auto"/>
    </w:pPr>
    <w:rPr>
      <w:rFonts w:ascii="Arial" w:eastAsia="Times New Roman" w:hAnsi="Arial" w:cs="Times New Roman"/>
      <w:sz w:val="20"/>
      <w:szCs w:val="20"/>
      <w:lang w:bidi="he-IL"/>
    </w:rPr>
  </w:style>
  <w:style w:type="paragraph" w:styleId="Heading1">
    <w:name w:val="heading 1"/>
    <w:basedOn w:val="Normal"/>
    <w:next w:val="Normal"/>
    <w:link w:val="Heading1Char"/>
    <w:qFormat/>
    <w:rsid w:val="009238CA"/>
    <w:pPr>
      <w:keepNext/>
      <w:suppressAutoHyphens/>
      <w:spacing w:before="320"/>
      <w:outlineLvl w:val="0"/>
    </w:pPr>
    <w:rPr>
      <w:rFonts w:cs="Arial"/>
      <w:b/>
      <w:bCs/>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8CA"/>
    <w:rPr>
      <w:rFonts w:ascii="Arial" w:eastAsia="Times New Roman" w:hAnsi="Arial" w:cs="Arial"/>
      <w:b/>
      <w:bCs/>
      <w:sz w:val="32"/>
      <w:szCs w:val="32"/>
      <w:lang w:val="en-US"/>
    </w:rPr>
  </w:style>
  <w:style w:type="character" w:styleId="FootnoteReference">
    <w:name w:val="footnote reference"/>
    <w:aliases w:val="(NECG) Footnote Reference,(NECG) Footnote Reference1,(NECG) Footnote Reference2,o"/>
    <w:basedOn w:val="DefaultParagraphFont"/>
    <w:rsid w:val="009238CA"/>
    <w:rPr>
      <w:rFonts w:ascii="Arial" w:hAnsi="Arial"/>
      <w:vertAlign w:val="superscript"/>
    </w:rPr>
  </w:style>
  <w:style w:type="paragraph" w:styleId="FootnoteText">
    <w:name w:val="footnote text"/>
    <w:aliases w:val="ACMA Footnote Text,ABA Footnote Text,ALTS FOOTNOTE,(NECG) Footnote Text,Footnote text,AR Footnote Text,AR Footnote Text Char Char Char Char Char,Footnote Text Char1 Char Char,Footnote Text Char Char Char Char Char Char,footnote text"/>
    <w:basedOn w:val="Normal"/>
    <w:link w:val="FootnoteTextChar"/>
    <w:rsid w:val="009238CA"/>
    <w:pPr>
      <w:spacing w:line="240" w:lineRule="atLeast"/>
    </w:pPr>
    <w:rPr>
      <w:rFonts w:ascii="HelveticaNeueLT Std Lt" w:hAnsi="HelveticaNeueLT Std Lt"/>
      <w:sz w:val="16"/>
      <w:szCs w:val="16"/>
      <w:lang w:eastAsia="en-AU" w:bidi="ar-SA"/>
    </w:rPr>
  </w:style>
  <w:style w:type="character" w:customStyle="1" w:styleId="FootnoteTextChar">
    <w:name w:val="Footnote Text Char"/>
    <w:aliases w:val="ACMA Footnote Text Char,ABA Footnote Text Char,ALTS FOOTNOTE Char,(NECG) Footnote Text Char,Footnote text Char,AR Footnote Text Char,AR Footnote Text Char Char Char Char Char Char,Footnote Text Char1 Char Char Char,footnote text Char"/>
    <w:basedOn w:val="DefaultParagraphFont"/>
    <w:link w:val="FootnoteText"/>
    <w:rsid w:val="009238CA"/>
    <w:rPr>
      <w:rFonts w:ascii="HelveticaNeueLT Std Lt" w:eastAsia="Times New Roman" w:hAnsi="HelveticaNeueLT Std Lt" w:cs="Times New Roman"/>
      <w:sz w:val="16"/>
      <w:szCs w:val="16"/>
      <w:lang w:eastAsia="en-AU"/>
    </w:rPr>
  </w:style>
  <w:style w:type="paragraph" w:styleId="BalloonText">
    <w:name w:val="Balloon Text"/>
    <w:basedOn w:val="Normal"/>
    <w:link w:val="BalloonTextChar"/>
    <w:uiPriority w:val="99"/>
    <w:semiHidden/>
    <w:unhideWhenUsed/>
    <w:rsid w:val="00EA7CFC"/>
    <w:rPr>
      <w:rFonts w:ascii="Tahoma" w:hAnsi="Tahoma" w:cs="Tahoma"/>
      <w:sz w:val="16"/>
      <w:szCs w:val="16"/>
    </w:rPr>
  </w:style>
  <w:style w:type="character" w:customStyle="1" w:styleId="BalloonTextChar">
    <w:name w:val="Balloon Text Char"/>
    <w:basedOn w:val="DefaultParagraphFont"/>
    <w:link w:val="BalloonText"/>
    <w:uiPriority w:val="99"/>
    <w:semiHidden/>
    <w:rsid w:val="00EA7CFC"/>
    <w:rPr>
      <w:rFonts w:ascii="Tahoma" w:eastAsia="Times New Roman" w:hAnsi="Tahoma" w:cs="Tahoma"/>
      <w:sz w:val="16"/>
      <w:szCs w:val="16"/>
      <w:lang w:bidi="he-IL"/>
    </w:rPr>
  </w:style>
  <w:style w:type="character" w:styleId="Hyperlink">
    <w:name w:val="Hyperlink"/>
    <w:basedOn w:val="DefaultParagraphFont"/>
    <w:uiPriority w:val="99"/>
    <w:unhideWhenUsed/>
    <w:rsid w:val="0065754F"/>
    <w:rPr>
      <w:color w:val="0000FF" w:themeColor="hyperlink"/>
      <w:u w:val="single"/>
    </w:rPr>
  </w:style>
  <w:style w:type="character" w:styleId="CommentReference">
    <w:name w:val="annotation reference"/>
    <w:basedOn w:val="DefaultParagraphFont"/>
    <w:uiPriority w:val="99"/>
    <w:semiHidden/>
    <w:unhideWhenUsed/>
    <w:rsid w:val="0065754F"/>
    <w:rPr>
      <w:sz w:val="16"/>
      <w:szCs w:val="16"/>
    </w:rPr>
  </w:style>
  <w:style w:type="paragraph" w:styleId="CommentText">
    <w:name w:val="annotation text"/>
    <w:basedOn w:val="Normal"/>
    <w:link w:val="CommentTextChar"/>
    <w:uiPriority w:val="99"/>
    <w:semiHidden/>
    <w:unhideWhenUsed/>
    <w:rsid w:val="0065754F"/>
  </w:style>
  <w:style w:type="character" w:customStyle="1" w:styleId="CommentTextChar">
    <w:name w:val="Comment Text Char"/>
    <w:basedOn w:val="DefaultParagraphFont"/>
    <w:link w:val="CommentText"/>
    <w:uiPriority w:val="99"/>
    <w:semiHidden/>
    <w:rsid w:val="0065754F"/>
    <w:rPr>
      <w:rFonts w:ascii="Arial" w:eastAsia="Times New Roman" w:hAnsi="Arial"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65754F"/>
    <w:rPr>
      <w:b/>
      <w:bCs/>
    </w:rPr>
  </w:style>
  <w:style w:type="character" w:customStyle="1" w:styleId="CommentSubjectChar">
    <w:name w:val="Comment Subject Char"/>
    <w:basedOn w:val="CommentTextChar"/>
    <w:link w:val="CommentSubject"/>
    <w:uiPriority w:val="99"/>
    <w:semiHidden/>
    <w:rsid w:val="0065754F"/>
    <w:rPr>
      <w:b/>
      <w:bCs/>
    </w:rPr>
  </w:style>
  <w:style w:type="paragraph" w:customStyle="1" w:styleId="Default">
    <w:name w:val="Default"/>
    <w:rsid w:val="006651F8"/>
    <w:pPr>
      <w:autoSpaceDE w:val="0"/>
      <w:autoSpaceDN w:val="0"/>
      <w:adjustRightInd w:val="0"/>
      <w:spacing w:after="0" w:line="240" w:lineRule="auto"/>
    </w:pPr>
    <w:rPr>
      <w:rFonts w:ascii="Arial" w:hAnsi="Arial" w:cs="Arial"/>
      <w:color w:val="000000"/>
      <w:sz w:val="24"/>
      <w:szCs w:val="24"/>
    </w:rPr>
  </w:style>
  <w:style w:type="paragraph" w:customStyle="1" w:styleId="definition">
    <w:name w:val="definition"/>
    <w:basedOn w:val="Normal"/>
    <w:rsid w:val="00F96C26"/>
    <w:pPr>
      <w:spacing w:before="80" w:line="260" w:lineRule="exact"/>
      <w:ind w:left="964"/>
      <w:jc w:val="both"/>
    </w:pPr>
    <w:rPr>
      <w:rFonts w:ascii="Times New Roman" w:hAnsi="Times New Roman"/>
      <w:sz w:val="24"/>
      <w:szCs w:val="24"/>
      <w:lang w:bidi="ar-SA"/>
    </w:rPr>
  </w:style>
  <w:style w:type="paragraph" w:customStyle="1" w:styleId="P1">
    <w:name w:val="P1"/>
    <w:aliases w:val="(a)"/>
    <w:basedOn w:val="Normal"/>
    <w:rsid w:val="00F96C26"/>
    <w:pPr>
      <w:tabs>
        <w:tab w:val="right" w:pos="1191"/>
      </w:tabs>
      <w:spacing w:before="60" w:line="260" w:lineRule="exact"/>
      <w:ind w:left="1418" w:hanging="1418"/>
      <w:jc w:val="both"/>
    </w:pPr>
    <w:rPr>
      <w:rFonts w:ascii="Times New Roman" w:hAnsi="Times New Roman"/>
      <w:sz w:val="24"/>
      <w:szCs w:val="24"/>
      <w:lang w:bidi="ar-SA"/>
    </w:rPr>
  </w:style>
  <w:style w:type="paragraph" w:styleId="ListParagraph">
    <w:name w:val="List Paragraph"/>
    <w:basedOn w:val="Normal"/>
    <w:uiPriority w:val="34"/>
    <w:qFormat/>
    <w:rsid w:val="00F96C26"/>
    <w:pPr>
      <w:ind w:left="720"/>
      <w:contextualSpacing/>
    </w:pPr>
  </w:style>
  <w:style w:type="paragraph" w:styleId="Header">
    <w:name w:val="header"/>
    <w:basedOn w:val="Normal"/>
    <w:link w:val="HeaderChar"/>
    <w:uiPriority w:val="99"/>
    <w:semiHidden/>
    <w:unhideWhenUsed/>
    <w:rsid w:val="005B4AC5"/>
    <w:pPr>
      <w:tabs>
        <w:tab w:val="center" w:pos="4513"/>
        <w:tab w:val="right" w:pos="9026"/>
      </w:tabs>
    </w:pPr>
  </w:style>
  <w:style w:type="character" w:customStyle="1" w:styleId="HeaderChar">
    <w:name w:val="Header Char"/>
    <w:basedOn w:val="DefaultParagraphFont"/>
    <w:link w:val="Header"/>
    <w:uiPriority w:val="99"/>
    <w:semiHidden/>
    <w:rsid w:val="005B4AC5"/>
    <w:rPr>
      <w:rFonts w:ascii="Arial" w:eastAsia="Times New Roman" w:hAnsi="Arial" w:cs="Times New Roman"/>
      <w:sz w:val="20"/>
      <w:szCs w:val="20"/>
      <w:lang w:bidi="he-IL"/>
    </w:rPr>
  </w:style>
  <w:style w:type="paragraph" w:styleId="Footer">
    <w:name w:val="footer"/>
    <w:basedOn w:val="Normal"/>
    <w:link w:val="FooterChar"/>
    <w:uiPriority w:val="99"/>
    <w:unhideWhenUsed/>
    <w:rsid w:val="005B4AC5"/>
    <w:pPr>
      <w:tabs>
        <w:tab w:val="center" w:pos="4513"/>
        <w:tab w:val="right" w:pos="9026"/>
      </w:tabs>
    </w:pPr>
  </w:style>
  <w:style w:type="character" w:customStyle="1" w:styleId="FooterChar">
    <w:name w:val="Footer Char"/>
    <w:basedOn w:val="DefaultParagraphFont"/>
    <w:link w:val="Footer"/>
    <w:uiPriority w:val="99"/>
    <w:rsid w:val="005B4AC5"/>
    <w:rPr>
      <w:rFonts w:ascii="Arial" w:eastAsia="Times New Roman" w:hAnsi="Arial" w:cs="Times New Roman"/>
      <w:sz w:val="20"/>
      <w:szCs w:val="20"/>
      <w:lang w:bidi="he-IL"/>
    </w:rPr>
  </w:style>
  <w:style w:type="paragraph" w:customStyle="1" w:styleId="Normalspace">
    <w:name w:val="Normal + space"/>
    <w:basedOn w:val="Normal"/>
    <w:uiPriority w:val="99"/>
    <w:rsid w:val="00660AAB"/>
    <w:pPr>
      <w:autoSpaceDE w:val="0"/>
      <w:autoSpaceDN w:val="0"/>
      <w:spacing w:after="240"/>
      <w:ind w:right="288"/>
    </w:pPr>
    <w:rPr>
      <w:rFonts w:ascii="CG Times (W1)" w:eastAsiaTheme="minorEastAsia" w:hAnsi="CG Times (W1)" w:cs="CG Times (W1)"/>
      <w:sz w:val="24"/>
      <w:szCs w:val="24"/>
      <w:lang w:bidi="ar-SA"/>
    </w:rPr>
  </w:style>
  <w:style w:type="paragraph" w:styleId="Revision">
    <w:name w:val="Revision"/>
    <w:hidden/>
    <w:uiPriority w:val="99"/>
    <w:semiHidden/>
    <w:rsid w:val="00660AAB"/>
    <w:pPr>
      <w:spacing w:after="0" w:line="240" w:lineRule="auto"/>
    </w:pPr>
    <w:rPr>
      <w:rFonts w:ascii="Arial" w:eastAsia="Times New Roman" w:hAnsi="Arial" w:cs="Times New Roman"/>
      <w:sz w:val="20"/>
      <w:szCs w:val="20"/>
      <w:lang w:bidi="he-IL"/>
    </w:rPr>
  </w:style>
</w:styles>
</file>

<file path=word/webSettings.xml><?xml version="1.0" encoding="utf-8"?>
<w:webSettings xmlns:r="http://schemas.openxmlformats.org/officeDocument/2006/relationships" xmlns:w="http://schemas.openxmlformats.org/wordprocessingml/2006/main">
  <w:divs>
    <w:div w:id="353843262">
      <w:bodyDiv w:val="1"/>
      <w:marLeft w:val="0"/>
      <w:marRight w:val="0"/>
      <w:marTop w:val="0"/>
      <w:marBottom w:val="0"/>
      <w:divBdr>
        <w:top w:val="none" w:sz="0" w:space="0" w:color="auto"/>
        <w:left w:val="none" w:sz="0" w:space="0" w:color="auto"/>
        <w:bottom w:val="none" w:sz="0" w:space="0" w:color="auto"/>
        <w:right w:val="none" w:sz="0" w:space="0" w:color="auto"/>
      </w:divBdr>
      <w:divsChild>
        <w:div w:id="873545606">
          <w:marLeft w:val="0"/>
          <w:marRight w:val="0"/>
          <w:marTop w:val="0"/>
          <w:marBottom w:val="0"/>
          <w:divBdr>
            <w:top w:val="none" w:sz="0" w:space="0" w:color="auto"/>
            <w:left w:val="none" w:sz="0" w:space="0" w:color="auto"/>
            <w:bottom w:val="none" w:sz="0" w:space="0" w:color="auto"/>
            <w:right w:val="none" w:sz="0" w:space="0" w:color="auto"/>
          </w:divBdr>
          <w:divsChild>
            <w:div w:id="1262296267">
              <w:marLeft w:val="0"/>
              <w:marRight w:val="0"/>
              <w:marTop w:val="0"/>
              <w:marBottom w:val="0"/>
              <w:divBdr>
                <w:top w:val="none" w:sz="0" w:space="0" w:color="auto"/>
                <w:left w:val="none" w:sz="0" w:space="0" w:color="auto"/>
                <w:bottom w:val="none" w:sz="0" w:space="0" w:color="auto"/>
                <w:right w:val="none" w:sz="0" w:space="0" w:color="auto"/>
              </w:divBdr>
              <w:divsChild>
                <w:div w:id="1296571102">
                  <w:marLeft w:val="0"/>
                  <w:marRight w:val="0"/>
                  <w:marTop w:val="0"/>
                  <w:marBottom w:val="0"/>
                  <w:divBdr>
                    <w:top w:val="none" w:sz="0" w:space="0" w:color="auto"/>
                    <w:left w:val="none" w:sz="0" w:space="0" w:color="auto"/>
                    <w:bottom w:val="none" w:sz="0" w:space="0" w:color="auto"/>
                    <w:right w:val="none" w:sz="0" w:space="0" w:color="auto"/>
                  </w:divBdr>
                  <w:divsChild>
                    <w:div w:id="2083870374">
                      <w:marLeft w:val="0"/>
                      <w:marRight w:val="0"/>
                      <w:marTop w:val="0"/>
                      <w:marBottom w:val="0"/>
                      <w:divBdr>
                        <w:top w:val="none" w:sz="0" w:space="0" w:color="auto"/>
                        <w:left w:val="none" w:sz="0" w:space="0" w:color="auto"/>
                        <w:bottom w:val="none" w:sz="0" w:space="0" w:color="auto"/>
                        <w:right w:val="none" w:sz="0" w:space="0" w:color="auto"/>
                      </w:divBdr>
                      <w:divsChild>
                        <w:div w:id="376662270">
                          <w:marLeft w:val="0"/>
                          <w:marRight w:val="0"/>
                          <w:marTop w:val="0"/>
                          <w:marBottom w:val="0"/>
                          <w:divBdr>
                            <w:top w:val="single" w:sz="6" w:space="0" w:color="828282"/>
                            <w:left w:val="single" w:sz="6" w:space="0" w:color="828282"/>
                            <w:bottom w:val="single" w:sz="6" w:space="0" w:color="828282"/>
                            <w:right w:val="single" w:sz="6" w:space="0" w:color="828282"/>
                          </w:divBdr>
                          <w:divsChild>
                            <w:div w:id="725492475">
                              <w:marLeft w:val="0"/>
                              <w:marRight w:val="0"/>
                              <w:marTop w:val="0"/>
                              <w:marBottom w:val="0"/>
                              <w:divBdr>
                                <w:top w:val="none" w:sz="0" w:space="0" w:color="auto"/>
                                <w:left w:val="none" w:sz="0" w:space="0" w:color="auto"/>
                                <w:bottom w:val="none" w:sz="0" w:space="0" w:color="auto"/>
                                <w:right w:val="none" w:sz="0" w:space="0" w:color="auto"/>
                              </w:divBdr>
                              <w:divsChild>
                                <w:div w:id="988633082">
                                  <w:marLeft w:val="0"/>
                                  <w:marRight w:val="0"/>
                                  <w:marTop w:val="0"/>
                                  <w:marBottom w:val="0"/>
                                  <w:divBdr>
                                    <w:top w:val="none" w:sz="0" w:space="0" w:color="auto"/>
                                    <w:left w:val="none" w:sz="0" w:space="0" w:color="auto"/>
                                    <w:bottom w:val="none" w:sz="0" w:space="0" w:color="auto"/>
                                    <w:right w:val="none" w:sz="0" w:space="0" w:color="auto"/>
                                  </w:divBdr>
                                  <w:divsChild>
                                    <w:div w:id="1583837273">
                                      <w:marLeft w:val="0"/>
                                      <w:marRight w:val="0"/>
                                      <w:marTop w:val="0"/>
                                      <w:marBottom w:val="0"/>
                                      <w:divBdr>
                                        <w:top w:val="none" w:sz="0" w:space="0" w:color="auto"/>
                                        <w:left w:val="none" w:sz="0" w:space="0" w:color="auto"/>
                                        <w:bottom w:val="none" w:sz="0" w:space="0" w:color="auto"/>
                                        <w:right w:val="none" w:sz="0" w:space="0" w:color="auto"/>
                                      </w:divBdr>
                                      <w:divsChild>
                                        <w:div w:id="1164055739">
                                          <w:marLeft w:val="0"/>
                                          <w:marRight w:val="0"/>
                                          <w:marTop w:val="0"/>
                                          <w:marBottom w:val="0"/>
                                          <w:divBdr>
                                            <w:top w:val="none" w:sz="0" w:space="0" w:color="auto"/>
                                            <w:left w:val="none" w:sz="0" w:space="0" w:color="auto"/>
                                            <w:bottom w:val="none" w:sz="0" w:space="0" w:color="auto"/>
                                            <w:right w:val="none" w:sz="0" w:space="0" w:color="auto"/>
                                          </w:divBdr>
                                          <w:divsChild>
                                            <w:div w:id="1179275668">
                                              <w:marLeft w:val="0"/>
                                              <w:marRight w:val="0"/>
                                              <w:marTop w:val="0"/>
                                              <w:marBottom w:val="0"/>
                                              <w:divBdr>
                                                <w:top w:val="none" w:sz="0" w:space="0" w:color="auto"/>
                                                <w:left w:val="none" w:sz="0" w:space="0" w:color="auto"/>
                                                <w:bottom w:val="none" w:sz="0" w:space="0" w:color="auto"/>
                                                <w:right w:val="none" w:sz="0" w:space="0" w:color="auto"/>
                                              </w:divBdr>
                                              <w:divsChild>
                                                <w:div w:id="3415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5D822-CE45-43D1-89B8-8EA332B69B95}">
  <ds:schemaRefs>
    <ds:schemaRef ds:uri="http://schemas.openxmlformats.org/officeDocument/2006/bibliography"/>
  </ds:schemaRefs>
</ds:datastoreItem>
</file>

<file path=customXml/itemProps2.xml><?xml version="1.0" encoding="utf-8"?>
<ds:datastoreItem xmlns:ds="http://schemas.openxmlformats.org/officeDocument/2006/customXml" ds:itemID="{2919FD00-2535-4142-A981-D2194BB0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5</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sgabor</dc:creator>
  <cp:lastModifiedBy>Katherine Anstee</cp:lastModifiedBy>
  <cp:revision>9</cp:revision>
  <cp:lastPrinted>2012-09-18T07:16:00Z</cp:lastPrinted>
  <dcterms:created xsi:type="dcterms:W3CDTF">2012-09-18T07:05:00Z</dcterms:created>
  <dcterms:modified xsi:type="dcterms:W3CDTF">2012-09-24T06:14:00Z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