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2A1" w:rsidRPr="00CA2162" w:rsidRDefault="00E062A1" w:rsidP="00180F1D">
      <w:pPr>
        <w:ind w:right="91"/>
        <w:jc w:val="center"/>
        <w:rPr>
          <w:u w:val="single"/>
        </w:rPr>
      </w:pPr>
      <w:r w:rsidRPr="00CA2162">
        <w:rPr>
          <w:b/>
          <w:u w:val="single"/>
        </w:rPr>
        <w:t>EXPLANATORY STATEMENT</w:t>
      </w:r>
    </w:p>
    <w:p w:rsidR="00E062A1" w:rsidRPr="00CA2162" w:rsidRDefault="00E062A1" w:rsidP="00180F1D">
      <w:pPr>
        <w:ind w:right="91"/>
        <w:jc w:val="center"/>
        <w:rPr>
          <w:u w:val="single"/>
        </w:rPr>
      </w:pPr>
    </w:p>
    <w:p w:rsidR="00E062A1" w:rsidRPr="00CA2162" w:rsidRDefault="00E062A1" w:rsidP="00180F1D">
      <w:pPr>
        <w:ind w:right="91"/>
        <w:jc w:val="center"/>
        <w:rPr>
          <w:b/>
          <w:u w:val="single"/>
        </w:rPr>
      </w:pPr>
      <w:r w:rsidRPr="00CA2162">
        <w:rPr>
          <w:b/>
          <w:u w:val="single"/>
        </w:rPr>
        <w:t xml:space="preserve">Select Legislative Instrument </w:t>
      </w:r>
      <w:r w:rsidR="006D1900">
        <w:rPr>
          <w:b/>
          <w:u w:val="single"/>
        </w:rPr>
        <w:t>2012</w:t>
      </w:r>
      <w:r w:rsidRPr="00CA2162">
        <w:rPr>
          <w:b/>
          <w:u w:val="single"/>
        </w:rPr>
        <w:t xml:space="preserve"> No.</w:t>
      </w:r>
      <w:r w:rsidR="002D79F8">
        <w:rPr>
          <w:b/>
          <w:u w:val="single"/>
        </w:rPr>
        <w:t xml:space="preserve"> 235</w:t>
      </w:r>
    </w:p>
    <w:p w:rsidR="00E062A1" w:rsidRPr="00CA2162" w:rsidRDefault="00E062A1" w:rsidP="00180F1D">
      <w:pPr>
        <w:ind w:right="91"/>
        <w:jc w:val="center"/>
        <w:rPr>
          <w:u w:val="single"/>
        </w:rPr>
      </w:pPr>
    </w:p>
    <w:p w:rsidR="00E062A1" w:rsidRPr="00180F1D" w:rsidRDefault="00E062A1" w:rsidP="00180F1D">
      <w:pPr>
        <w:ind w:right="91"/>
        <w:jc w:val="center"/>
      </w:pPr>
      <w:r w:rsidRPr="00180F1D">
        <w:t xml:space="preserve">Issued by the authority of the Minister for </w:t>
      </w:r>
      <w:r w:rsidR="00C7797C">
        <w:t>Employment</w:t>
      </w:r>
      <w:r w:rsidRPr="00180F1D">
        <w:t xml:space="preserve"> and Workplace Relations</w:t>
      </w:r>
    </w:p>
    <w:p w:rsidR="00E062A1" w:rsidRPr="00CA2162" w:rsidRDefault="00E062A1" w:rsidP="00180F1D">
      <w:pPr>
        <w:ind w:right="91"/>
        <w:jc w:val="center"/>
      </w:pPr>
    </w:p>
    <w:p w:rsidR="00C7797C" w:rsidRPr="00E1739A" w:rsidRDefault="00C7797C" w:rsidP="00C7797C">
      <w:pPr>
        <w:tabs>
          <w:tab w:val="left" w:pos="993"/>
        </w:tabs>
        <w:ind w:left="1440" w:right="91" w:hanging="1440"/>
        <w:rPr>
          <w:i/>
        </w:rPr>
      </w:pPr>
      <w:r w:rsidRPr="00BC214C">
        <w:t>Subject –</w:t>
      </w:r>
      <w:r w:rsidRPr="00BC214C">
        <w:tab/>
      </w:r>
      <w:r w:rsidRPr="00BC214C">
        <w:tab/>
      </w:r>
      <w:r w:rsidRPr="00BC214C">
        <w:rPr>
          <w:i/>
        </w:rPr>
        <w:t>Fair Work (Building Industry) Act 2012</w:t>
      </w:r>
    </w:p>
    <w:p w:rsidR="00C7797C" w:rsidRPr="00E1739A" w:rsidRDefault="00C7797C" w:rsidP="00C7797C">
      <w:pPr>
        <w:tabs>
          <w:tab w:val="left" w:pos="993"/>
        </w:tabs>
        <w:ind w:left="1440" w:right="91" w:hanging="1440"/>
        <w:rPr>
          <w:i/>
        </w:rPr>
      </w:pPr>
      <w:r w:rsidRPr="00E1739A">
        <w:rPr>
          <w:i/>
        </w:rPr>
        <w:tab/>
      </w:r>
      <w:r w:rsidRPr="00E1739A">
        <w:rPr>
          <w:i/>
        </w:rPr>
        <w:tab/>
      </w:r>
      <w:r w:rsidRPr="00E1739A">
        <w:rPr>
          <w:i/>
        </w:rPr>
        <w:tab/>
      </w:r>
    </w:p>
    <w:p w:rsidR="00C7797C" w:rsidRPr="00E1739A" w:rsidRDefault="00C7797C" w:rsidP="000B19AB">
      <w:pPr>
        <w:tabs>
          <w:tab w:val="left" w:pos="993"/>
        </w:tabs>
        <w:ind w:right="91"/>
        <w:rPr>
          <w:i/>
        </w:rPr>
      </w:pPr>
      <w:r>
        <w:rPr>
          <w:i/>
        </w:rPr>
        <w:t xml:space="preserve">Fair Work (Building Industry - </w:t>
      </w:r>
      <w:r w:rsidRPr="00E1739A">
        <w:rPr>
          <w:i/>
        </w:rPr>
        <w:t>Accreditation Sch</w:t>
      </w:r>
      <w:r>
        <w:rPr>
          <w:i/>
        </w:rPr>
        <w:t>eme) Amendment Regulation</w:t>
      </w:r>
      <w:r w:rsidRPr="00E1739A">
        <w:rPr>
          <w:i/>
        </w:rPr>
        <w:t xml:space="preserve"> 201</w:t>
      </w:r>
      <w:r>
        <w:rPr>
          <w:i/>
        </w:rPr>
        <w:t>2</w:t>
      </w:r>
      <w:r w:rsidRPr="00E1739A">
        <w:rPr>
          <w:i/>
        </w:rPr>
        <w:t xml:space="preserve"> (No. </w:t>
      </w:r>
      <w:r w:rsidR="002D79F8">
        <w:rPr>
          <w:i/>
        </w:rPr>
        <w:t>1</w:t>
      </w:r>
      <w:r w:rsidRPr="00E1739A">
        <w:rPr>
          <w:i/>
        </w:rPr>
        <w:t>)</w:t>
      </w:r>
    </w:p>
    <w:p w:rsidR="00C7797C" w:rsidRDefault="00C7797C" w:rsidP="00C7797C">
      <w:pPr>
        <w:tabs>
          <w:tab w:val="left" w:pos="993"/>
        </w:tabs>
        <w:ind w:left="1440" w:right="91" w:hanging="1440"/>
      </w:pPr>
    </w:p>
    <w:p w:rsidR="00C7797C" w:rsidRDefault="00C7797C" w:rsidP="00C7797C">
      <w:r>
        <w:t xml:space="preserve">The </w:t>
      </w:r>
      <w:r w:rsidRPr="0084482D">
        <w:rPr>
          <w:i/>
        </w:rPr>
        <w:t>Fair Work</w:t>
      </w:r>
      <w:r>
        <w:t xml:space="preserve"> (</w:t>
      </w:r>
      <w:r w:rsidRPr="004C4391">
        <w:rPr>
          <w:i/>
        </w:rPr>
        <w:t>Building Industry</w:t>
      </w:r>
      <w:r>
        <w:rPr>
          <w:i/>
        </w:rPr>
        <w:t>)</w:t>
      </w:r>
      <w:r w:rsidRPr="004C4391">
        <w:rPr>
          <w:i/>
        </w:rPr>
        <w:t xml:space="preserve"> Act 20</w:t>
      </w:r>
      <w:r>
        <w:rPr>
          <w:i/>
        </w:rPr>
        <w:t>12</w:t>
      </w:r>
      <w:r>
        <w:t xml:space="preserve"> (the Act) and the </w:t>
      </w:r>
      <w:r>
        <w:rPr>
          <w:i/>
        </w:rPr>
        <w:t xml:space="preserve">Fair Work (Building Industry - </w:t>
      </w:r>
      <w:r w:rsidRPr="00E1739A">
        <w:rPr>
          <w:i/>
        </w:rPr>
        <w:t xml:space="preserve">Accreditation Scheme) </w:t>
      </w:r>
      <w:r>
        <w:rPr>
          <w:i/>
        </w:rPr>
        <w:t>Regulations 2005</w:t>
      </w:r>
      <w:r>
        <w:t xml:space="preserve"> (the Accreditation Scheme Regulations) establish the Australian Government Building and Construction Occupational Health and Safety Accreditation Scheme (the Accreditation Scheme). The Accreditation Scheme is administered by the Federal Safety Commissioner, and imposes obligations on certain persons who wish to enter into building contracts funded by the Commonwealth or Commonwealth authorities.</w:t>
      </w:r>
    </w:p>
    <w:p w:rsidR="00C7797C" w:rsidRDefault="00C7797C" w:rsidP="00C7797C"/>
    <w:p w:rsidR="00C7797C" w:rsidRDefault="00C7797C" w:rsidP="00C7797C">
      <w:r>
        <w:t>Section 78 of the Act provides, in part, that the Governor-General may make regulations prescribing matters required or permitted by the Act to be prescribed.</w:t>
      </w:r>
    </w:p>
    <w:p w:rsidR="00180F1D" w:rsidRDefault="00180F1D" w:rsidP="00E062A1"/>
    <w:p w:rsidR="00D55E37" w:rsidRDefault="00D55E37" w:rsidP="00D55E37">
      <w:r>
        <w:t>The Regulation</w:t>
      </w:r>
      <w:r w:rsidRPr="009E2648">
        <w:t xml:space="preserve"> amend</w:t>
      </w:r>
      <w:r>
        <w:t>s</w:t>
      </w:r>
      <w:r w:rsidRPr="009E2648">
        <w:t xml:space="preserve"> the </w:t>
      </w:r>
      <w:r>
        <w:t>Accreditation Scheme Regulations</w:t>
      </w:r>
      <w:r w:rsidRPr="009E2648">
        <w:t xml:space="preserve"> to exempt the Commonwealth and Commonwealth authorities from the requirement under the Act to engage builders accredited under the Accreditation Scheme</w:t>
      </w:r>
      <w:r>
        <w:t>,</w:t>
      </w:r>
      <w:r w:rsidRPr="009E2648">
        <w:t xml:space="preserve"> </w:t>
      </w:r>
      <w:r>
        <w:t xml:space="preserve">when </w:t>
      </w:r>
      <w:r w:rsidRPr="009E2648">
        <w:t>enter</w:t>
      </w:r>
      <w:r>
        <w:t>ing</w:t>
      </w:r>
      <w:r w:rsidRPr="009E2648">
        <w:t xml:space="preserve"> into contracts for building work with a joint venture </w:t>
      </w:r>
      <w:r>
        <w:t xml:space="preserve">in certain circumstances. This would be where the joint </w:t>
      </w:r>
      <w:r w:rsidRPr="00034601">
        <w:t xml:space="preserve">venture includes at least one accredited person </w:t>
      </w:r>
      <w:r>
        <w:t>and an unaccredited person who has applied for accreditation, but has been unable to provide a Work Health and Safety Management System for the purposes of an on-site audit by the Federal Safety Commissioner</w:t>
      </w:r>
      <w:r w:rsidRPr="00034601">
        <w:t>.</w:t>
      </w:r>
      <w:r>
        <w:t xml:space="preserve"> Builders who have never operated in Australia as a head contractor are unlikely to be able to meet this requirement, even though they are well established outside Australia as a builder.</w:t>
      </w:r>
    </w:p>
    <w:p w:rsidR="00E062A1" w:rsidRDefault="00E062A1" w:rsidP="00E062A1"/>
    <w:p w:rsidR="00180F1D" w:rsidRPr="00FC2337" w:rsidRDefault="00F21AD9" w:rsidP="00E062A1">
      <w:r>
        <w:t xml:space="preserve">The Regulation also makes some minor technical amendments, for example, changing references from ‘OH&amp;S’ (occupational health and safety) to ‘WHS’ (work health and safety), as the latter is </w:t>
      </w:r>
      <w:r w:rsidRPr="00FC2337">
        <w:t>now the preferred term.</w:t>
      </w:r>
      <w:r w:rsidR="000B19AB" w:rsidRPr="00FC2337">
        <w:t xml:space="preserve"> </w:t>
      </w:r>
      <w:r w:rsidR="00180F1D" w:rsidRPr="00FC2337">
        <w:t xml:space="preserve">Details of </w:t>
      </w:r>
      <w:r w:rsidRPr="00FC2337">
        <w:t>this Regulation</w:t>
      </w:r>
      <w:r w:rsidR="00180F1D" w:rsidRPr="00FC2337">
        <w:t xml:space="preserve"> are set out in </w:t>
      </w:r>
      <w:r w:rsidR="00180F1D" w:rsidRPr="00FC2337">
        <w:rPr>
          <w:u w:val="single"/>
        </w:rPr>
        <w:t>Attachment</w:t>
      </w:r>
      <w:r w:rsidR="00C7797C" w:rsidRPr="00FC2337">
        <w:rPr>
          <w:u w:val="single"/>
        </w:rPr>
        <w:t xml:space="preserve"> A</w:t>
      </w:r>
      <w:r w:rsidR="00180F1D" w:rsidRPr="00FC2337">
        <w:t>.</w:t>
      </w:r>
    </w:p>
    <w:p w:rsidR="00180F1D" w:rsidRPr="00FC2337" w:rsidRDefault="00180F1D" w:rsidP="00E062A1"/>
    <w:p w:rsidR="00C7797C" w:rsidRPr="00FC2337" w:rsidRDefault="00C7797C" w:rsidP="00C7797C">
      <w:pPr>
        <w:autoSpaceDE w:val="0"/>
        <w:autoSpaceDN w:val="0"/>
        <w:adjustRightInd w:val="0"/>
        <w:rPr>
          <w:rFonts w:eastAsia="Calibri"/>
        </w:rPr>
      </w:pPr>
      <w:r w:rsidRPr="00FC2337">
        <w:rPr>
          <w:rFonts w:eastAsia="Calibri"/>
        </w:rPr>
        <w:t xml:space="preserve">A Statement of Compatibility with Human Rights has been completed for the Regulation, in accordance with the </w:t>
      </w:r>
      <w:r w:rsidRPr="00FC2337">
        <w:rPr>
          <w:rFonts w:eastAsia="Calibri"/>
          <w:i/>
          <w:iCs/>
        </w:rPr>
        <w:t>Human Rights (Parliamentary Scrutiny) Act 2011</w:t>
      </w:r>
      <w:r w:rsidRPr="00FC2337">
        <w:rPr>
          <w:rFonts w:eastAsia="Calibri"/>
        </w:rPr>
        <w:t xml:space="preserve">. The Statement’s assessment is that the measures in the Regulation are compatible with human rights. A copy of the Statement is at </w:t>
      </w:r>
      <w:r w:rsidRPr="00FC2337">
        <w:rPr>
          <w:rFonts w:eastAsia="Calibri"/>
          <w:u w:val="single"/>
        </w:rPr>
        <w:t>Attachment B</w:t>
      </w:r>
      <w:r w:rsidRPr="00FC2337">
        <w:rPr>
          <w:rFonts w:eastAsia="Calibri"/>
        </w:rPr>
        <w:t>.</w:t>
      </w:r>
    </w:p>
    <w:p w:rsidR="00C7797C" w:rsidRPr="00FC2337" w:rsidRDefault="00C7797C" w:rsidP="00E062A1"/>
    <w:p w:rsidR="00180F1D" w:rsidRPr="00FC2337" w:rsidRDefault="00F21AD9" w:rsidP="00E062A1">
      <w:r w:rsidRPr="00FC2337">
        <w:t>The Regulation</w:t>
      </w:r>
      <w:r w:rsidR="00180F1D" w:rsidRPr="00FC2337">
        <w:t xml:space="preserve"> </w:t>
      </w:r>
      <w:r w:rsidRPr="00FC2337">
        <w:t>is</w:t>
      </w:r>
      <w:r w:rsidR="00180F1D" w:rsidRPr="00FC2337">
        <w:t xml:space="preserve"> a legislative instrument for the purposes of the </w:t>
      </w:r>
      <w:r w:rsidR="00180F1D" w:rsidRPr="00FC2337">
        <w:rPr>
          <w:i/>
        </w:rPr>
        <w:t>Legislative Instruments Act 2003</w:t>
      </w:r>
      <w:r w:rsidR="00180F1D" w:rsidRPr="00FC2337">
        <w:t xml:space="preserve">. </w:t>
      </w:r>
      <w:r w:rsidRPr="00FC2337">
        <w:t>It</w:t>
      </w:r>
      <w:r w:rsidR="00180F1D" w:rsidRPr="00FC2337">
        <w:t xml:space="preserve"> commence</w:t>
      </w:r>
      <w:r w:rsidRPr="00FC2337">
        <w:t>s</w:t>
      </w:r>
      <w:r w:rsidR="00180F1D" w:rsidRPr="00FC2337">
        <w:t xml:space="preserve"> on the day after </w:t>
      </w:r>
      <w:r w:rsidRPr="00FC2337">
        <w:t>it is</w:t>
      </w:r>
      <w:r w:rsidR="00180F1D" w:rsidRPr="00FC2337">
        <w:t xml:space="preserve"> registered on the Federal Register of Legislative Instruments.</w:t>
      </w:r>
    </w:p>
    <w:p w:rsidR="00180F1D" w:rsidRPr="00FC2337" w:rsidRDefault="00180F1D" w:rsidP="00E062A1"/>
    <w:p w:rsidR="00180F1D" w:rsidRPr="00FC2337" w:rsidRDefault="00FC2337" w:rsidP="005122A0">
      <w:r w:rsidRPr="00FC2337">
        <w:t xml:space="preserve">The Office of Best Practice Regulation </w:t>
      </w:r>
      <w:r w:rsidR="005122A0" w:rsidRPr="00FC2337">
        <w:t>agreed that the Regulation is likely to have</w:t>
      </w:r>
      <w:r w:rsidR="000C3BC0" w:rsidRPr="00FC2337">
        <w:t xml:space="preserve"> only minor or machinery impact</w:t>
      </w:r>
      <w:r w:rsidR="005122A0" w:rsidRPr="00FC2337">
        <w:t xml:space="preserve"> on business and the not-for-profit sector. Therefore, a Regulation Impact Statement was not required in this case (OBPR reference: 11967).</w:t>
      </w:r>
    </w:p>
    <w:p w:rsidR="00180F1D" w:rsidRPr="00FC2337" w:rsidRDefault="00180F1D" w:rsidP="00E062A1"/>
    <w:p w:rsidR="000C3BC0" w:rsidRPr="003C4E99" w:rsidRDefault="00472C02" w:rsidP="000C3BC0">
      <w:pPr>
        <w:rPr>
          <w:color w:val="FF0000"/>
        </w:rPr>
      </w:pPr>
      <w:r w:rsidRPr="00FC2337">
        <w:t>Consultations were conducted in relation to the development of th</w:t>
      </w:r>
      <w:r w:rsidR="00D55E37" w:rsidRPr="00FC2337">
        <w:t xml:space="preserve">e </w:t>
      </w:r>
      <w:r w:rsidRPr="00FC2337">
        <w:t>Regulation with the Office of the Federal Safety Commissioner</w:t>
      </w:r>
      <w:r w:rsidR="000C3BC0" w:rsidRPr="00FC2337">
        <w:t>, the Departments of Finance and Deregulation and Foreign Affairs and Trade</w:t>
      </w:r>
      <w:r w:rsidRPr="00FC2337">
        <w:t xml:space="preserve">. It is expected that the impact of the Regulation on the building and </w:t>
      </w:r>
      <w:r w:rsidRPr="00FC2337">
        <w:lastRenderedPageBreak/>
        <w:t>construction industry will be minimal, however key affected industry stakeholders were also consulted.</w:t>
      </w:r>
      <w:r w:rsidR="000C3BC0" w:rsidRPr="000C3BC0">
        <w:t xml:space="preserve"> </w:t>
      </w:r>
    </w:p>
    <w:p w:rsidR="002C4BF6" w:rsidRDefault="002C4BF6" w:rsidP="00E062A1">
      <w:pPr>
        <w:sectPr w:rsidR="002C4BF6" w:rsidSect="00E062A1">
          <w:footerReference w:type="even" r:id="rId13"/>
          <w:footerReference w:type="default" r:id="rId14"/>
          <w:footerReference w:type="first" r:id="rId15"/>
          <w:pgSz w:w="11906" w:h="16838" w:code="9"/>
          <w:pgMar w:top="1418" w:right="1134" w:bottom="1418" w:left="1418" w:header="567" w:footer="567" w:gutter="0"/>
          <w:pgNumType w:start="1"/>
          <w:cols w:space="708"/>
          <w:titlePg/>
          <w:docGrid w:linePitch="360"/>
        </w:sectPr>
      </w:pPr>
    </w:p>
    <w:p w:rsidR="00E062A1" w:rsidRPr="00F21AD9" w:rsidRDefault="00E062A1" w:rsidP="00E062A1">
      <w:pPr>
        <w:tabs>
          <w:tab w:val="right" w:pos="4536"/>
        </w:tabs>
        <w:ind w:left="5760" w:right="91" w:hanging="5760"/>
        <w:jc w:val="right"/>
        <w:rPr>
          <w:b/>
          <w:u w:val="single"/>
        </w:rPr>
      </w:pPr>
      <w:r w:rsidRPr="00F21AD9">
        <w:rPr>
          <w:b/>
          <w:u w:val="single"/>
        </w:rPr>
        <w:lastRenderedPageBreak/>
        <w:t>ATTACHMENT</w:t>
      </w:r>
      <w:r w:rsidR="00C7797C" w:rsidRPr="00F21AD9">
        <w:rPr>
          <w:b/>
          <w:u w:val="single"/>
        </w:rPr>
        <w:t xml:space="preserve"> A</w:t>
      </w:r>
    </w:p>
    <w:p w:rsidR="00E062A1" w:rsidRPr="00CA2162" w:rsidRDefault="00E062A1" w:rsidP="000D1491">
      <w:pPr>
        <w:tabs>
          <w:tab w:val="right" w:pos="4536"/>
        </w:tabs>
        <w:ind w:right="91"/>
        <w:rPr>
          <w:b/>
        </w:rPr>
      </w:pPr>
    </w:p>
    <w:p w:rsidR="00C7797C" w:rsidRPr="0084482D" w:rsidRDefault="00C7797C" w:rsidP="00C7797C">
      <w:pPr>
        <w:tabs>
          <w:tab w:val="left" w:pos="993"/>
        </w:tabs>
        <w:ind w:right="91"/>
        <w:rPr>
          <w:b/>
          <w:i/>
          <w:u w:val="single"/>
        </w:rPr>
      </w:pPr>
      <w:r w:rsidRPr="0084482D">
        <w:rPr>
          <w:b/>
          <w:u w:val="single"/>
        </w:rPr>
        <w:t xml:space="preserve">Details of </w:t>
      </w:r>
      <w:r w:rsidRPr="0084482D">
        <w:rPr>
          <w:b/>
          <w:i/>
          <w:u w:val="single"/>
        </w:rPr>
        <w:t>Fair Work (Building Industry - Accreditation Sch</w:t>
      </w:r>
      <w:r>
        <w:rPr>
          <w:b/>
          <w:i/>
          <w:u w:val="single"/>
        </w:rPr>
        <w:t>eme) Amendment Regulation</w:t>
      </w:r>
      <w:r w:rsidRPr="0084482D">
        <w:rPr>
          <w:b/>
          <w:i/>
          <w:u w:val="single"/>
        </w:rPr>
        <w:t xml:space="preserve"> 2012 (No. </w:t>
      </w:r>
      <w:r w:rsidR="002D79F8">
        <w:rPr>
          <w:b/>
          <w:i/>
          <w:u w:val="single"/>
        </w:rPr>
        <w:t>1</w:t>
      </w:r>
      <w:r w:rsidRPr="0084482D">
        <w:rPr>
          <w:b/>
          <w:i/>
          <w:u w:val="single"/>
        </w:rPr>
        <w:t>)</w:t>
      </w:r>
    </w:p>
    <w:p w:rsidR="00C7797C" w:rsidRPr="00CA2162" w:rsidRDefault="00C7797C" w:rsidP="00C7797C">
      <w:pPr>
        <w:rPr>
          <w:b/>
        </w:rPr>
      </w:pPr>
    </w:p>
    <w:p w:rsidR="00C7797C" w:rsidRPr="00CA2162" w:rsidRDefault="00C7797C" w:rsidP="00C7797C">
      <w:pPr>
        <w:pStyle w:val="Heading4"/>
        <w:keepLines/>
        <w:rPr>
          <w:bCs/>
          <w:i w:val="0"/>
          <w:iCs w:val="0"/>
          <w:szCs w:val="24"/>
          <w:u w:val="single"/>
        </w:rPr>
      </w:pPr>
      <w:r>
        <w:rPr>
          <w:bCs/>
          <w:i w:val="0"/>
          <w:iCs w:val="0"/>
          <w:szCs w:val="24"/>
          <w:u w:val="single"/>
        </w:rPr>
        <w:t>Section</w:t>
      </w:r>
      <w:r w:rsidRPr="00CA2162">
        <w:rPr>
          <w:bCs/>
          <w:i w:val="0"/>
          <w:iCs w:val="0"/>
          <w:szCs w:val="24"/>
          <w:u w:val="single"/>
        </w:rPr>
        <w:t xml:space="preserve"> 1 – Name of </w:t>
      </w:r>
      <w:r>
        <w:rPr>
          <w:bCs/>
          <w:i w:val="0"/>
          <w:iCs w:val="0"/>
          <w:szCs w:val="24"/>
          <w:u w:val="single"/>
        </w:rPr>
        <w:t>Regulation</w:t>
      </w:r>
    </w:p>
    <w:p w:rsidR="00C7797C" w:rsidRPr="00CA2162" w:rsidRDefault="00C7797C" w:rsidP="00C7797C"/>
    <w:p w:rsidR="00C7797C" w:rsidRPr="00BB43C4" w:rsidRDefault="00C7797C" w:rsidP="00C7797C">
      <w:pPr>
        <w:tabs>
          <w:tab w:val="left" w:pos="993"/>
        </w:tabs>
        <w:ind w:right="91"/>
        <w:rPr>
          <w:i/>
        </w:rPr>
      </w:pPr>
      <w:r w:rsidRPr="00CA2162">
        <w:t xml:space="preserve">This </w:t>
      </w:r>
      <w:r>
        <w:t>section</w:t>
      </w:r>
      <w:r w:rsidRPr="00CA2162">
        <w:t xml:space="preserve"> </w:t>
      </w:r>
      <w:r>
        <w:t>provide</w:t>
      </w:r>
      <w:r w:rsidR="007D0D98">
        <w:t>s</w:t>
      </w:r>
      <w:r>
        <w:t xml:space="preserve"> that the Regulation is known as the </w:t>
      </w:r>
      <w:r w:rsidRPr="00BB43C4">
        <w:rPr>
          <w:i/>
        </w:rPr>
        <w:t xml:space="preserve">Fair Work (Building Industry - Accreditation Scheme) Amendment </w:t>
      </w:r>
      <w:r>
        <w:rPr>
          <w:i/>
        </w:rPr>
        <w:t>Regulation</w:t>
      </w:r>
      <w:r w:rsidRPr="00BB43C4">
        <w:rPr>
          <w:i/>
        </w:rPr>
        <w:t xml:space="preserve"> 2012 (No. </w:t>
      </w:r>
      <w:r w:rsidR="002D79F8">
        <w:rPr>
          <w:i/>
        </w:rPr>
        <w:t>1</w:t>
      </w:r>
      <w:r w:rsidRPr="00BB43C4">
        <w:rPr>
          <w:i/>
        </w:rPr>
        <w:t>)</w:t>
      </w:r>
      <w:r w:rsidR="002D79F8">
        <w:rPr>
          <w:i/>
        </w:rPr>
        <w:t>.</w:t>
      </w:r>
    </w:p>
    <w:p w:rsidR="00C7797C" w:rsidRPr="00CA2162" w:rsidRDefault="00C7797C" w:rsidP="00C7797C"/>
    <w:p w:rsidR="00C7797C" w:rsidRPr="00CA2162" w:rsidRDefault="00C7797C" w:rsidP="00C7797C">
      <w:pPr>
        <w:pStyle w:val="Heading4"/>
        <w:keepLines/>
        <w:rPr>
          <w:bCs/>
          <w:i w:val="0"/>
          <w:iCs w:val="0"/>
          <w:szCs w:val="24"/>
          <w:u w:val="single"/>
        </w:rPr>
      </w:pPr>
      <w:r>
        <w:rPr>
          <w:bCs/>
          <w:i w:val="0"/>
          <w:iCs w:val="0"/>
          <w:szCs w:val="24"/>
          <w:u w:val="single"/>
        </w:rPr>
        <w:t>Section</w:t>
      </w:r>
      <w:r w:rsidRPr="00CA2162">
        <w:rPr>
          <w:bCs/>
          <w:i w:val="0"/>
          <w:iCs w:val="0"/>
          <w:szCs w:val="24"/>
          <w:u w:val="single"/>
        </w:rPr>
        <w:t xml:space="preserve"> 2 – Commencement </w:t>
      </w:r>
    </w:p>
    <w:p w:rsidR="00C7797C" w:rsidRPr="00CA2162" w:rsidRDefault="00C7797C" w:rsidP="00C7797C"/>
    <w:p w:rsidR="00C7797C" w:rsidRPr="00CA2162" w:rsidRDefault="00C7797C" w:rsidP="00C7797C">
      <w:r w:rsidRPr="00AD0C12">
        <w:t>This section provide</w:t>
      </w:r>
      <w:r w:rsidR="007D0D98" w:rsidRPr="00AD0C12">
        <w:t>s</w:t>
      </w:r>
      <w:r w:rsidRPr="00AD0C12">
        <w:t xml:space="preserve"> that the Regulation commence</w:t>
      </w:r>
      <w:r w:rsidR="007D0D98" w:rsidRPr="00AD0C12">
        <w:t>s</w:t>
      </w:r>
      <w:r w:rsidRPr="00AD0C12">
        <w:t xml:space="preserve"> on the day after they it is registered on the Federal Register of Legislative Instruments.</w:t>
      </w:r>
      <w:r>
        <w:t xml:space="preserve"> </w:t>
      </w:r>
    </w:p>
    <w:p w:rsidR="00C7797C" w:rsidRPr="00CA2162" w:rsidRDefault="00C7797C" w:rsidP="00C7797C"/>
    <w:p w:rsidR="00C7797C" w:rsidRPr="00CA2162" w:rsidRDefault="00C7797C" w:rsidP="00C7797C">
      <w:pPr>
        <w:pStyle w:val="Heading4"/>
        <w:keepLines/>
        <w:rPr>
          <w:bCs/>
          <w:i w:val="0"/>
          <w:iCs w:val="0"/>
          <w:szCs w:val="24"/>
          <w:u w:val="single"/>
        </w:rPr>
      </w:pPr>
      <w:r>
        <w:rPr>
          <w:bCs/>
          <w:i w:val="0"/>
          <w:iCs w:val="0"/>
          <w:szCs w:val="24"/>
          <w:u w:val="single"/>
        </w:rPr>
        <w:t>Section</w:t>
      </w:r>
      <w:r w:rsidRPr="00CA2162">
        <w:rPr>
          <w:bCs/>
          <w:i w:val="0"/>
          <w:iCs w:val="0"/>
          <w:szCs w:val="24"/>
          <w:u w:val="single"/>
        </w:rPr>
        <w:t xml:space="preserve"> 3 – Amendment of </w:t>
      </w:r>
      <w:r w:rsidR="00C271AB" w:rsidRPr="00C271AB">
        <w:rPr>
          <w:bCs/>
          <w:iCs w:val="0"/>
          <w:szCs w:val="24"/>
          <w:u w:val="single"/>
        </w:rPr>
        <w:t>Fair Work (</w:t>
      </w:r>
      <w:r w:rsidRPr="00242B03">
        <w:rPr>
          <w:bCs/>
          <w:iCs w:val="0"/>
          <w:szCs w:val="24"/>
          <w:u w:val="single"/>
        </w:rPr>
        <w:t>Building</w:t>
      </w:r>
      <w:r w:rsidRPr="000D1491">
        <w:rPr>
          <w:bCs/>
          <w:iCs w:val="0"/>
          <w:szCs w:val="24"/>
          <w:u w:val="single"/>
        </w:rPr>
        <w:t xml:space="preserve"> Industry</w:t>
      </w:r>
      <w:r w:rsidR="00242B03">
        <w:rPr>
          <w:bCs/>
          <w:iCs w:val="0"/>
          <w:szCs w:val="24"/>
          <w:u w:val="single"/>
        </w:rPr>
        <w:t xml:space="preserve"> -</w:t>
      </w:r>
      <w:r w:rsidRPr="000D1491">
        <w:rPr>
          <w:bCs/>
          <w:iCs w:val="0"/>
          <w:szCs w:val="24"/>
          <w:u w:val="single"/>
        </w:rPr>
        <w:t xml:space="preserve"> Accreditation</w:t>
      </w:r>
      <w:r w:rsidR="002F13A8">
        <w:rPr>
          <w:bCs/>
          <w:iCs w:val="0"/>
          <w:szCs w:val="24"/>
          <w:u w:val="single"/>
        </w:rPr>
        <w:t xml:space="preserve"> </w:t>
      </w:r>
      <w:r w:rsidRPr="000D1491">
        <w:rPr>
          <w:bCs/>
          <w:iCs w:val="0"/>
          <w:szCs w:val="24"/>
          <w:u w:val="single"/>
        </w:rPr>
        <w:t xml:space="preserve">Scheme) </w:t>
      </w:r>
      <w:r w:rsidR="00AB191D">
        <w:rPr>
          <w:bCs/>
          <w:iCs w:val="0"/>
          <w:szCs w:val="24"/>
          <w:u w:val="single"/>
        </w:rPr>
        <w:br/>
      </w:r>
      <w:r>
        <w:rPr>
          <w:bCs/>
          <w:iCs w:val="0"/>
          <w:szCs w:val="24"/>
          <w:u w:val="single"/>
        </w:rPr>
        <w:t>Regulations</w:t>
      </w:r>
      <w:r w:rsidRPr="000D1491">
        <w:rPr>
          <w:bCs/>
          <w:iCs w:val="0"/>
          <w:szCs w:val="24"/>
          <w:u w:val="single"/>
        </w:rPr>
        <w:t xml:space="preserve"> 2005</w:t>
      </w:r>
    </w:p>
    <w:p w:rsidR="00C7797C" w:rsidRPr="00CA2162" w:rsidRDefault="00C7797C" w:rsidP="00C7797C"/>
    <w:p w:rsidR="00C7797C" w:rsidRPr="00CA2162" w:rsidRDefault="00C7797C" w:rsidP="00C7797C">
      <w:pPr>
        <w:rPr>
          <w:i/>
        </w:rPr>
      </w:pPr>
      <w:r w:rsidRPr="00CA2162">
        <w:t>This</w:t>
      </w:r>
      <w:r>
        <w:t xml:space="preserve"> section provide</w:t>
      </w:r>
      <w:r w:rsidR="007D0D98">
        <w:t>s</w:t>
      </w:r>
      <w:r w:rsidRPr="00CA2162">
        <w:t xml:space="preserve"> that the </w:t>
      </w:r>
      <w:r w:rsidR="00242B03">
        <w:rPr>
          <w:i/>
        </w:rPr>
        <w:t>Fair Work (</w:t>
      </w:r>
      <w:r w:rsidRPr="00E57FD9">
        <w:rPr>
          <w:bCs/>
          <w:i/>
        </w:rPr>
        <w:t>Building Indu</w:t>
      </w:r>
      <w:r w:rsidR="007D0D98">
        <w:rPr>
          <w:bCs/>
          <w:i/>
        </w:rPr>
        <w:t>stry</w:t>
      </w:r>
      <w:r w:rsidR="00242B03">
        <w:rPr>
          <w:bCs/>
          <w:i/>
        </w:rPr>
        <w:t xml:space="preserve"> -</w:t>
      </w:r>
      <w:r w:rsidR="007D0D98">
        <w:rPr>
          <w:bCs/>
          <w:i/>
        </w:rPr>
        <w:t xml:space="preserve"> Accreditation </w:t>
      </w:r>
      <w:r w:rsidRPr="00E57FD9">
        <w:rPr>
          <w:bCs/>
          <w:i/>
        </w:rPr>
        <w:t xml:space="preserve">Scheme) </w:t>
      </w:r>
      <w:r w:rsidR="00AB191D">
        <w:rPr>
          <w:bCs/>
          <w:i/>
        </w:rPr>
        <w:br/>
      </w:r>
      <w:r>
        <w:rPr>
          <w:bCs/>
          <w:i/>
        </w:rPr>
        <w:t>Regulations</w:t>
      </w:r>
      <w:r w:rsidRPr="00E57FD9">
        <w:rPr>
          <w:bCs/>
          <w:i/>
        </w:rPr>
        <w:t xml:space="preserve"> 2005 </w:t>
      </w:r>
      <w:r>
        <w:rPr>
          <w:bCs/>
        </w:rPr>
        <w:t>are amended in accordance with Schedule 1.</w:t>
      </w:r>
      <w:r w:rsidRPr="000D1491">
        <w:rPr>
          <w:bCs/>
        </w:rPr>
        <w:t xml:space="preserve"> </w:t>
      </w:r>
    </w:p>
    <w:p w:rsidR="00C7797C" w:rsidRDefault="00C7797C" w:rsidP="00C7797C"/>
    <w:p w:rsidR="00C7797C" w:rsidRPr="000D1491" w:rsidRDefault="00C7797C" w:rsidP="00C7797C">
      <w:pPr>
        <w:rPr>
          <w:u w:val="single"/>
        </w:rPr>
      </w:pPr>
      <w:r w:rsidRPr="000D1491">
        <w:rPr>
          <w:u w:val="single"/>
        </w:rPr>
        <w:t>Schedule 1 – Amendments</w:t>
      </w:r>
    </w:p>
    <w:p w:rsidR="00662B55" w:rsidRPr="00CA2162" w:rsidRDefault="00662B55" w:rsidP="00662B55">
      <w:pPr>
        <w:keepNext/>
        <w:rPr>
          <w:rFonts w:cs="Arial"/>
          <w:b/>
        </w:rPr>
      </w:pPr>
    </w:p>
    <w:p w:rsidR="00662B55" w:rsidRDefault="00662B55" w:rsidP="00662B55">
      <w:pPr>
        <w:keepNext/>
        <w:rPr>
          <w:rFonts w:cs="Arial"/>
          <w:b/>
        </w:rPr>
      </w:pPr>
      <w:r w:rsidRPr="00CA2162">
        <w:rPr>
          <w:rFonts w:cs="Arial"/>
          <w:b/>
        </w:rPr>
        <w:t xml:space="preserve">Item [1] – </w:t>
      </w:r>
      <w:r>
        <w:rPr>
          <w:rFonts w:cs="Arial"/>
          <w:b/>
        </w:rPr>
        <w:t>Section</w:t>
      </w:r>
      <w:r w:rsidRPr="00D004B9">
        <w:rPr>
          <w:rFonts w:cs="Arial"/>
          <w:b/>
        </w:rPr>
        <w:t xml:space="preserve"> 3, definition of </w:t>
      </w:r>
      <w:r w:rsidRPr="00462EA2">
        <w:rPr>
          <w:rFonts w:cs="Arial"/>
          <w:b/>
          <w:i/>
        </w:rPr>
        <w:t>AS 1885.1-1990</w:t>
      </w:r>
      <w:r>
        <w:rPr>
          <w:rFonts w:cs="Arial"/>
          <w:b/>
        </w:rPr>
        <w:t xml:space="preserve"> </w:t>
      </w:r>
    </w:p>
    <w:p w:rsidR="00662B55" w:rsidRDefault="00662B55" w:rsidP="00662B55">
      <w:pPr>
        <w:keepNext/>
        <w:rPr>
          <w:rFonts w:cs="Arial"/>
        </w:rPr>
      </w:pPr>
    </w:p>
    <w:p w:rsidR="00662B55" w:rsidRDefault="00662B55" w:rsidP="00662B55">
      <w:pPr>
        <w:keepNext/>
        <w:rPr>
          <w:rFonts w:cs="Arial"/>
        </w:rPr>
      </w:pPr>
      <w:r>
        <w:rPr>
          <w:rFonts w:cs="Arial"/>
        </w:rPr>
        <w:t xml:space="preserve">This item omits </w:t>
      </w:r>
      <w:r w:rsidRPr="00AF740D">
        <w:rPr>
          <w:rFonts w:cs="Arial"/>
        </w:rPr>
        <w:t xml:space="preserve">the definition of </w:t>
      </w:r>
      <w:r w:rsidRPr="00AF740D">
        <w:rPr>
          <w:rFonts w:cs="Arial"/>
          <w:i/>
        </w:rPr>
        <w:t>AS 1885.1-1990</w:t>
      </w:r>
      <w:r w:rsidRPr="00AF740D">
        <w:rPr>
          <w:rFonts w:cs="Arial"/>
        </w:rPr>
        <w:t xml:space="preserve"> in </w:t>
      </w:r>
      <w:r>
        <w:rPr>
          <w:rFonts w:cs="Arial"/>
        </w:rPr>
        <w:t>Section</w:t>
      </w:r>
      <w:r w:rsidRPr="00AF740D">
        <w:rPr>
          <w:rFonts w:cs="Arial"/>
        </w:rPr>
        <w:t xml:space="preserve"> 3</w:t>
      </w:r>
      <w:r>
        <w:rPr>
          <w:rFonts w:cs="Arial"/>
        </w:rPr>
        <w:t xml:space="preserve">. This is a consequential amendment to the removal of the definition of </w:t>
      </w:r>
      <w:r>
        <w:rPr>
          <w:rFonts w:cs="Arial"/>
          <w:i/>
        </w:rPr>
        <w:t xml:space="preserve">lost time injury frequency rate </w:t>
      </w:r>
      <w:r>
        <w:rPr>
          <w:rFonts w:cs="Arial"/>
        </w:rPr>
        <w:t xml:space="preserve">in Item 2 below. </w:t>
      </w:r>
    </w:p>
    <w:p w:rsidR="00662B55" w:rsidRPr="00462EA2" w:rsidRDefault="00662B55" w:rsidP="00662B55">
      <w:pPr>
        <w:keepNext/>
        <w:rPr>
          <w:rFonts w:cs="Arial"/>
        </w:rPr>
      </w:pPr>
    </w:p>
    <w:p w:rsidR="00662B55" w:rsidRPr="00C92D0F" w:rsidRDefault="00662B55" w:rsidP="00662B55">
      <w:pPr>
        <w:keepNext/>
        <w:rPr>
          <w:rFonts w:cs="Arial"/>
        </w:rPr>
      </w:pPr>
      <w:r>
        <w:rPr>
          <w:rFonts w:cs="Arial"/>
          <w:b/>
        </w:rPr>
        <w:t xml:space="preserve">Items [2], [3], [4] &amp; [5] – Section 3, definitions of </w:t>
      </w:r>
      <w:r w:rsidRPr="00462EA2">
        <w:rPr>
          <w:rFonts w:cs="Arial"/>
          <w:b/>
          <w:i/>
        </w:rPr>
        <w:t>claims incident rate</w:t>
      </w:r>
      <w:r>
        <w:rPr>
          <w:rFonts w:cs="Arial"/>
          <w:b/>
        </w:rPr>
        <w:t xml:space="preserve">, </w:t>
      </w:r>
      <w:r w:rsidRPr="00462EA2">
        <w:rPr>
          <w:rFonts w:cs="Arial"/>
          <w:b/>
          <w:i/>
        </w:rPr>
        <w:t>lost time injury frequency rate</w:t>
      </w:r>
      <w:r>
        <w:rPr>
          <w:rFonts w:cs="Arial"/>
          <w:b/>
        </w:rPr>
        <w:t xml:space="preserve">, </w:t>
      </w:r>
      <w:r w:rsidRPr="00C92D0F">
        <w:rPr>
          <w:rFonts w:cs="Arial"/>
          <w:b/>
          <w:i/>
        </w:rPr>
        <w:t>Occupational Health and Safety Management</w:t>
      </w:r>
      <w:r>
        <w:rPr>
          <w:rFonts w:cs="Arial"/>
          <w:b/>
        </w:rPr>
        <w:t xml:space="preserve"> </w:t>
      </w:r>
      <w:r w:rsidRPr="00FC2337">
        <w:rPr>
          <w:rFonts w:cs="Arial"/>
          <w:b/>
        </w:rPr>
        <w:t>and</w:t>
      </w:r>
      <w:r>
        <w:rPr>
          <w:rFonts w:cs="Arial"/>
        </w:rPr>
        <w:t xml:space="preserve"> </w:t>
      </w:r>
      <w:r w:rsidRPr="00C92D0F">
        <w:rPr>
          <w:rFonts w:cs="Arial"/>
          <w:b/>
          <w:i/>
        </w:rPr>
        <w:t>OH&amp;S</w:t>
      </w:r>
    </w:p>
    <w:p w:rsidR="00662B55" w:rsidRDefault="00662B55" w:rsidP="00662B55">
      <w:pPr>
        <w:rPr>
          <w:rFonts w:cs="Arial"/>
        </w:rPr>
      </w:pPr>
    </w:p>
    <w:p w:rsidR="002C4BF6" w:rsidRDefault="002C4BF6" w:rsidP="002C4BF6">
      <w:pPr>
        <w:keepNext/>
        <w:rPr>
          <w:rFonts w:cs="Arial"/>
        </w:rPr>
      </w:pPr>
      <w:r>
        <w:rPr>
          <w:rFonts w:cs="Arial"/>
        </w:rPr>
        <w:t>These</w:t>
      </w:r>
      <w:r w:rsidRPr="00AF740D">
        <w:rPr>
          <w:rFonts w:cs="Arial"/>
        </w:rPr>
        <w:t xml:space="preserve"> item</w:t>
      </w:r>
      <w:r>
        <w:rPr>
          <w:rFonts w:cs="Arial"/>
        </w:rPr>
        <w:t>s</w:t>
      </w:r>
      <w:r w:rsidRPr="00AF740D">
        <w:rPr>
          <w:rFonts w:cs="Arial"/>
        </w:rPr>
        <w:t xml:space="preserve"> </w:t>
      </w:r>
      <w:r>
        <w:rPr>
          <w:rFonts w:cs="Arial"/>
        </w:rPr>
        <w:t>omit</w:t>
      </w:r>
      <w:r w:rsidRPr="00AF740D">
        <w:rPr>
          <w:rFonts w:cs="Arial"/>
        </w:rPr>
        <w:t xml:space="preserve"> the definitions of </w:t>
      </w:r>
      <w:r w:rsidRPr="00AF740D">
        <w:rPr>
          <w:rFonts w:cs="Arial"/>
          <w:i/>
        </w:rPr>
        <w:t>claims incident rate</w:t>
      </w:r>
      <w:r>
        <w:rPr>
          <w:rFonts w:cs="Arial"/>
        </w:rPr>
        <w:t xml:space="preserve">, </w:t>
      </w:r>
      <w:r w:rsidRPr="00AF740D">
        <w:rPr>
          <w:rFonts w:cs="Arial"/>
          <w:i/>
        </w:rPr>
        <w:t>lost time injury frequency rate</w:t>
      </w:r>
      <w:r>
        <w:rPr>
          <w:rFonts w:cs="Arial"/>
          <w:i/>
        </w:rPr>
        <w:t>,</w:t>
      </w:r>
      <w:r w:rsidRPr="00C92D0F">
        <w:rPr>
          <w:rFonts w:cs="Arial"/>
          <w:b/>
          <w:i/>
        </w:rPr>
        <w:t xml:space="preserve"> </w:t>
      </w:r>
      <w:r w:rsidRPr="00C92D0F">
        <w:rPr>
          <w:rFonts w:cs="Arial"/>
          <w:i/>
        </w:rPr>
        <w:t>Occupational Health and Safety Management</w:t>
      </w:r>
      <w:r w:rsidRPr="00C92D0F">
        <w:rPr>
          <w:rFonts w:cs="Arial"/>
        </w:rPr>
        <w:t xml:space="preserve"> and </w:t>
      </w:r>
      <w:r w:rsidRPr="00C92D0F">
        <w:rPr>
          <w:rFonts w:cs="Arial"/>
          <w:i/>
        </w:rPr>
        <w:t>OH&amp;S</w:t>
      </w:r>
      <w:r w:rsidRPr="00AF740D">
        <w:rPr>
          <w:rFonts w:cs="Arial"/>
        </w:rPr>
        <w:t xml:space="preserve"> in </w:t>
      </w:r>
      <w:r>
        <w:rPr>
          <w:rFonts w:cs="Arial"/>
        </w:rPr>
        <w:t>Section</w:t>
      </w:r>
      <w:r w:rsidRPr="00AF740D">
        <w:rPr>
          <w:rFonts w:cs="Arial"/>
        </w:rPr>
        <w:t xml:space="preserve"> 3</w:t>
      </w:r>
      <w:r>
        <w:rPr>
          <w:rFonts w:cs="Arial"/>
        </w:rPr>
        <w:t xml:space="preserve"> as they are not used in the Accreditation Scheme Sections</w:t>
      </w:r>
      <w:r w:rsidRPr="00AF740D">
        <w:rPr>
          <w:rFonts w:cs="Arial"/>
        </w:rPr>
        <w:t xml:space="preserve">. </w:t>
      </w:r>
    </w:p>
    <w:p w:rsidR="002C4BF6" w:rsidRDefault="002C4BF6" w:rsidP="002C4BF6">
      <w:pPr>
        <w:keepNext/>
        <w:rPr>
          <w:rFonts w:cs="Arial"/>
        </w:rPr>
      </w:pPr>
    </w:p>
    <w:p w:rsidR="002C4BF6" w:rsidRPr="00136B7C" w:rsidRDefault="002C4BF6" w:rsidP="002C4BF6">
      <w:pPr>
        <w:keepNext/>
        <w:rPr>
          <w:rFonts w:cs="Arial"/>
          <w:b/>
        </w:rPr>
      </w:pPr>
      <w:r>
        <w:rPr>
          <w:rFonts w:cs="Arial"/>
          <w:b/>
        </w:rPr>
        <w:t>Item [6] – section 3</w:t>
      </w:r>
    </w:p>
    <w:p w:rsidR="002C4BF6" w:rsidRDefault="002C4BF6" w:rsidP="002C4BF6">
      <w:pPr>
        <w:keepNext/>
        <w:rPr>
          <w:rFonts w:cs="Arial"/>
        </w:rPr>
      </w:pPr>
      <w:r>
        <w:rPr>
          <w:rFonts w:cs="Arial"/>
        </w:rPr>
        <w:t>This item inserts a number of new definitions.</w:t>
      </w:r>
    </w:p>
    <w:p w:rsidR="002C4BF6" w:rsidRDefault="002C4BF6" w:rsidP="002C4BF6">
      <w:pPr>
        <w:keepNext/>
        <w:rPr>
          <w:rFonts w:cs="Arial"/>
        </w:rPr>
      </w:pPr>
    </w:p>
    <w:p w:rsidR="002C4BF6" w:rsidRDefault="002C4BF6" w:rsidP="002C4BF6">
      <w:pPr>
        <w:keepNext/>
      </w:pPr>
      <w:r>
        <w:rPr>
          <w:rFonts w:cs="Arial"/>
        </w:rPr>
        <w:t xml:space="preserve"> </w:t>
      </w:r>
      <w:r w:rsidRPr="00136B7C">
        <w:rPr>
          <w:rFonts w:cs="Arial"/>
          <w:b/>
          <w:i/>
        </w:rPr>
        <w:t>Joint venture</w:t>
      </w:r>
      <w:r w:rsidRPr="00104522">
        <w:rPr>
          <w:rFonts w:cs="Arial"/>
        </w:rPr>
        <w:t xml:space="preserve"> </w:t>
      </w:r>
      <w:r>
        <w:rPr>
          <w:rFonts w:cs="Arial"/>
        </w:rPr>
        <w:t>means</w:t>
      </w:r>
      <w:r w:rsidRPr="0005525B">
        <w:rPr>
          <w:rFonts w:cs="Arial"/>
        </w:rPr>
        <w:t xml:space="preserve"> an unincorporated enterprise constituted </w:t>
      </w:r>
      <w:r>
        <w:rPr>
          <w:rFonts w:cs="Arial"/>
        </w:rPr>
        <w:t>by two</w:t>
      </w:r>
      <w:r w:rsidRPr="0005525B">
        <w:rPr>
          <w:rFonts w:cs="Arial"/>
        </w:rPr>
        <w:t xml:space="preserve"> or more persons in common, each of whom</w:t>
      </w:r>
      <w:r>
        <w:rPr>
          <w:rFonts w:cs="Arial"/>
        </w:rPr>
        <w:t xml:space="preserve"> is not an individual, and with at least one member being an accredited person and at least one member not being an accredited person.</w:t>
      </w:r>
      <w:r>
        <w:rPr>
          <w:rFonts w:cs="Arial"/>
          <w:color w:val="FF0000"/>
        </w:rPr>
        <w:t xml:space="preserve"> </w:t>
      </w:r>
      <w:r w:rsidRPr="009E1E39">
        <w:rPr>
          <w:rFonts w:cs="Arial"/>
        </w:rPr>
        <w:t>This item</w:t>
      </w:r>
      <w:r>
        <w:rPr>
          <w:rFonts w:cs="Arial"/>
        </w:rPr>
        <w:t xml:space="preserve"> </w:t>
      </w:r>
      <w:r w:rsidRPr="009E1E39">
        <w:rPr>
          <w:rFonts w:cs="Arial"/>
        </w:rPr>
        <w:t>facilitate</w:t>
      </w:r>
      <w:r>
        <w:rPr>
          <w:rFonts w:cs="Arial"/>
        </w:rPr>
        <w:t>s</w:t>
      </w:r>
      <w:r w:rsidRPr="009E1E39">
        <w:rPr>
          <w:rFonts w:cs="Arial"/>
        </w:rPr>
        <w:t xml:space="preserve"> the amendment inserted by </w:t>
      </w:r>
      <w:r w:rsidRPr="00157377">
        <w:rPr>
          <w:rFonts w:cs="Arial"/>
        </w:rPr>
        <w:t>item 12 below.</w:t>
      </w:r>
      <w:r w:rsidRPr="0005525B">
        <w:t xml:space="preserve"> </w:t>
      </w:r>
    </w:p>
    <w:p w:rsidR="002C4BF6" w:rsidRDefault="002C4BF6" w:rsidP="002C4BF6">
      <w:pPr>
        <w:keepNext/>
      </w:pPr>
    </w:p>
    <w:p w:rsidR="002C4BF6" w:rsidRDefault="002C4BF6" w:rsidP="002C4BF6">
      <w:pPr>
        <w:keepNext/>
      </w:pPr>
      <w:r>
        <w:rPr>
          <w:b/>
          <w:i/>
        </w:rPr>
        <w:t xml:space="preserve">OHSAS 18001:2007 </w:t>
      </w:r>
      <w:r w:rsidRPr="00BD1D15">
        <w:t>mean</w:t>
      </w:r>
      <w:r>
        <w:t>s</w:t>
      </w:r>
      <w:r>
        <w:rPr>
          <w:b/>
          <w:i/>
        </w:rPr>
        <w:t xml:space="preserve"> </w:t>
      </w:r>
      <w:r>
        <w:t>OHSAS 1800:2007 Occupational Health and Safety Management Systems – Specifications.</w:t>
      </w:r>
    </w:p>
    <w:p w:rsidR="002C4BF6" w:rsidRDefault="002C4BF6" w:rsidP="002C4BF6">
      <w:pPr>
        <w:keepNext/>
      </w:pPr>
    </w:p>
    <w:p w:rsidR="002C4BF6" w:rsidRDefault="002C4BF6" w:rsidP="002C4BF6">
      <w:pPr>
        <w:keepNext/>
      </w:pPr>
      <w:r w:rsidRPr="00BD1D15">
        <w:rPr>
          <w:b/>
          <w:i/>
        </w:rPr>
        <w:t>WHS</w:t>
      </w:r>
      <w:r>
        <w:t xml:space="preserve"> means workplace health and safety.</w:t>
      </w:r>
    </w:p>
    <w:p w:rsidR="002C4BF6" w:rsidRDefault="002C4BF6" w:rsidP="00662B55">
      <w:pPr>
        <w:rPr>
          <w:rFonts w:cs="Arial"/>
        </w:rPr>
      </w:pPr>
    </w:p>
    <w:p w:rsidR="009C2C28" w:rsidRDefault="009C2C28" w:rsidP="009C2C28">
      <w:pPr>
        <w:keepNext/>
      </w:pPr>
    </w:p>
    <w:p w:rsidR="009C2C28" w:rsidRDefault="009C2C28" w:rsidP="009C2C28">
      <w:pPr>
        <w:keepNext/>
      </w:pPr>
      <w:r>
        <w:rPr>
          <w:b/>
          <w:i/>
        </w:rPr>
        <w:t>Workplace Health and Safety Management System</w:t>
      </w:r>
      <w:r>
        <w:t xml:space="preserve">, </w:t>
      </w:r>
      <w:r w:rsidRPr="00FC2337">
        <w:rPr>
          <w:b/>
        </w:rPr>
        <w:t>or</w:t>
      </w:r>
      <w:r>
        <w:t xml:space="preserve"> </w:t>
      </w:r>
      <w:r>
        <w:rPr>
          <w:b/>
          <w:i/>
        </w:rPr>
        <w:t>WHSMS</w:t>
      </w:r>
      <w:r>
        <w:t>, means a system that complies with the requirements set out in AS/NZ 4801:2001.</w:t>
      </w:r>
    </w:p>
    <w:p w:rsidR="00662B55" w:rsidRDefault="00662B55" w:rsidP="00662B55">
      <w:pPr>
        <w:rPr>
          <w:rFonts w:cs="Arial"/>
        </w:rPr>
      </w:pPr>
    </w:p>
    <w:p w:rsidR="00C7797C" w:rsidRDefault="00662B55" w:rsidP="00C7797C">
      <w:pPr>
        <w:rPr>
          <w:rFonts w:cs="Arial"/>
          <w:b/>
        </w:rPr>
      </w:pPr>
      <w:r>
        <w:rPr>
          <w:rFonts w:cs="Arial"/>
          <w:b/>
        </w:rPr>
        <w:t>Item [7</w:t>
      </w:r>
      <w:r w:rsidR="00C7797C" w:rsidRPr="00CA2162">
        <w:rPr>
          <w:rFonts w:cs="Arial"/>
          <w:b/>
        </w:rPr>
        <w:t xml:space="preserve">] – </w:t>
      </w:r>
      <w:r w:rsidR="00C7797C">
        <w:rPr>
          <w:rFonts w:cs="Arial"/>
          <w:b/>
        </w:rPr>
        <w:t>Section 3, note</w:t>
      </w:r>
    </w:p>
    <w:p w:rsidR="00C7797C" w:rsidRDefault="00C7797C" w:rsidP="00C7797C">
      <w:pPr>
        <w:rPr>
          <w:rFonts w:cs="Arial"/>
          <w:b/>
        </w:rPr>
      </w:pPr>
    </w:p>
    <w:p w:rsidR="00C7797C" w:rsidRDefault="00C7797C" w:rsidP="00C7797C">
      <w:pPr>
        <w:rPr>
          <w:rFonts w:cs="Arial"/>
        </w:rPr>
      </w:pPr>
      <w:r>
        <w:rPr>
          <w:rFonts w:cs="Arial"/>
        </w:rPr>
        <w:t>This item substitute</w:t>
      </w:r>
      <w:r w:rsidR="00662B55">
        <w:rPr>
          <w:rFonts w:cs="Arial"/>
        </w:rPr>
        <w:t>s</w:t>
      </w:r>
      <w:r>
        <w:rPr>
          <w:rFonts w:cs="Arial"/>
        </w:rPr>
        <w:t xml:space="preserve"> the note that </w:t>
      </w:r>
      <w:r w:rsidRPr="00626D2A">
        <w:rPr>
          <w:rFonts w:cs="Arial"/>
          <w:i/>
        </w:rPr>
        <w:t>accredited person</w:t>
      </w:r>
      <w:r>
        <w:rPr>
          <w:rFonts w:cs="Arial"/>
        </w:rPr>
        <w:t xml:space="preserve"> has the meaning given by subsection 35 (7) of the Act with a note that </w:t>
      </w:r>
      <w:r w:rsidRPr="00626D2A">
        <w:rPr>
          <w:rFonts w:cs="Arial"/>
          <w:i/>
        </w:rPr>
        <w:t>accredited person</w:t>
      </w:r>
      <w:r>
        <w:rPr>
          <w:rFonts w:cs="Arial"/>
        </w:rPr>
        <w:t xml:space="preserve"> has the meaning given by subsection 35 (8) of the Act. This is a technical amendment.</w:t>
      </w:r>
    </w:p>
    <w:p w:rsidR="00C7797C" w:rsidRDefault="00C7797C" w:rsidP="00C7797C">
      <w:pPr>
        <w:rPr>
          <w:rFonts w:cs="Arial"/>
        </w:rPr>
      </w:pPr>
    </w:p>
    <w:p w:rsidR="00C7797C" w:rsidRDefault="00C7797C" w:rsidP="00C7797C">
      <w:pPr>
        <w:rPr>
          <w:rFonts w:cs="Arial"/>
        </w:rPr>
      </w:pPr>
      <w:r>
        <w:rPr>
          <w:rFonts w:cs="Arial"/>
        </w:rPr>
        <w:t>This item insert</w:t>
      </w:r>
      <w:r w:rsidR="00662B55">
        <w:rPr>
          <w:rFonts w:cs="Arial"/>
        </w:rPr>
        <w:t>s</w:t>
      </w:r>
      <w:r>
        <w:rPr>
          <w:rFonts w:cs="Arial"/>
        </w:rPr>
        <w:t xml:space="preserve"> a note that the use of </w:t>
      </w:r>
      <w:r w:rsidRPr="00104522">
        <w:rPr>
          <w:rFonts w:cs="Arial"/>
          <w:i/>
        </w:rPr>
        <w:t>builder</w:t>
      </w:r>
      <w:r>
        <w:rPr>
          <w:rFonts w:cs="Arial"/>
        </w:rPr>
        <w:t xml:space="preserve"> in the Accreditation Scheme Regulation has the same meaning as that given in subsection 35 (8) of the Act.</w:t>
      </w:r>
    </w:p>
    <w:p w:rsidR="00C7797C" w:rsidRDefault="00C7797C" w:rsidP="00C7797C">
      <w:pPr>
        <w:rPr>
          <w:rFonts w:cs="Arial"/>
        </w:rPr>
      </w:pPr>
    </w:p>
    <w:p w:rsidR="00C7797C" w:rsidRPr="00626D2A" w:rsidRDefault="00C7797C" w:rsidP="00C7797C">
      <w:pPr>
        <w:rPr>
          <w:rFonts w:cs="Arial"/>
          <w:b/>
        </w:rPr>
      </w:pPr>
      <w:r w:rsidRPr="00626D2A">
        <w:rPr>
          <w:rFonts w:cs="Arial"/>
          <w:b/>
        </w:rPr>
        <w:t>Item [</w:t>
      </w:r>
      <w:r w:rsidR="00662B55">
        <w:rPr>
          <w:rFonts w:cs="Arial"/>
          <w:b/>
        </w:rPr>
        <w:t>8</w:t>
      </w:r>
      <w:r w:rsidRPr="00626D2A">
        <w:rPr>
          <w:rFonts w:cs="Arial"/>
          <w:b/>
        </w:rPr>
        <w:t xml:space="preserve">] – </w:t>
      </w:r>
      <w:r>
        <w:rPr>
          <w:rFonts w:cs="Arial"/>
          <w:b/>
        </w:rPr>
        <w:t>Section</w:t>
      </w:r>
      <w:r w:rsidRPr="00626D2A">
        <w:rPr>
          <w:rFonts w:cs="Arial"/>
          <w:b/>
        </w:rPr>
        <w:t xml:space="preserve"> 3, note</w:t>
      </w:r>
    </w:p>
    <w:p w:rsidR="00C7797C" w:rsidRDefault="00C7797C" w:rsidP="00C7797C">
      <w:pPr>
        <w:rPr>
          <w:rFonts w:cs="Arial"/>
        </w:rPr>
      </w:pPr>
    </w:p>
    <w:p w:rsidR="00C7797C" w:rsidRPr="00104522" w:rsidRDefault="00C7797C" w:rsidP="00C7797C">
      <w:pPr>
        <w:rPr>
          <w:rFonts w:cs="Arial"/>
        </w:rPr>
      </w:pPr>
      <w:r>
        <w:rPr>
          <w:rFonts w:cs="Arial"/>
        </w:rPr>
        <w:t>This item omit</w:t>
      </w:r>
      <w:r w:rsidR="00662B55">
        <w:rPr>
          <w:rFonts w:cs="Arial"/>
        </w:rPr>
        <w:t>s</w:t>
      </w:r>
      <w:r>
        <w:rPr>
          <w:rFonts w:cs="Arial"/>
        </w:rPr>
        <w:t xml:space="preserve"> the note that </w:t>
      </w:r>
      <w:r w:rsidRPr="00626D2A">
        <w:rPr>
          <w:rFonts w:cs="Arial"/>
          <w:i/>
        </w:rPr>
        <w:t>Commonwealth building contract</w:t>
      </w:r>
      <w:r>
        <w:rPr>
          <w:rFonts w:cs="Arial"/>
        </w:rPr>
        <w:t xml:space="preserve"> has the meaning given by subsection 35 (7) of the Act as </w:t>
      </w:r>
      <w:r w:rsidRPr="009108B3">
        <w:rPr>
          <w:rFonts w:cs="Arial"/>
          <w:i/>
        </w:rPr>
        <w:t>Commonwealth building contract</w:t>
      </w:r>
      <w:r>
        <w:rPr>
          <w:rFonts w:cs="Arial"/>
        </w:rPr>
        <w:t xml:space="preserve"> is no longer defined in the Act.</w:t>
      </w:r>
    </w:p>
    <w:p w:rsidR="00C7797C" w:rsidRDefault="00C7797C" w:rsidP="00C7797C">
      <w:pPr>
        <w:rPr>
          <w:rFonts w:cs="Arial"/>
        </w:rPr>
      </w:pPr>
    </w:p>
    <w:p w:rsidR="00C7797C" w:rsidRDefault="00C7797C" w:rsidP="00C7797C">
      <w:pPr>
        <w:rPr>
          <w:rFonts w:cs="Arial"/>
        </w:rPr>
      </w:pPr>
      <w:r>
        <w:rPr>
          <w:rFonts w:cs="Arial"/>
        </w:rPr>
        <w:t>This item substitute</w:t>
      </w:r>
      <w:r w:rsidR="00662B55">
        <w:rPr>
          <w:rFonts w:cs="Arial"/>
        </w:rPr>
        <w:t>s</w:t>
      </w:r>
      <w:r>
        <w:rPr>
          <w:rFonts w:cs="Arial"/>
        </w:rPr>
        <w:t xml:space="preserve"> the note that </w:t>
      </w:r>
      <w:r>
        <w:rPr>
          <w:rFonts w:cs="Arial"/>
          <w:i/>
        </w:rPr>
        <w:t>Commonwealth authority</w:t>
      </w:r>
      <w:r>
        <w:rPr>
          <w:rFonts w:cs="Arial"/>
        </w:rPr>
        <w:t xml:space="preserve"> has the meaning given by subsection 35 (7) of the Act with a note that </w:t>
      </w:r>
      <w:r>
        <w:rPr>
          <w:rFonts w:cs="Arial"/>
          <w:i/>
        </w:rPr>
        <w:t>Commonwealth authority</w:t>
      </w:r>
      <w:r>
        <w:rPr>
          <w:rFonts w:cs="Arial"/>
        </w:rPr>
        <w:t xml:space="preserve"> has the meaning given by subsection 35 (8) of the Act. This is a technical amendment.</w:t>
      </w:r>
    </w:p>
    <w:p w:rsidR="00C7797C" w:rsidRDefault="00C7797C" w:rsidP="00C7797C">
      <w:pPr>
        <w:rPr>
          <w:rFonts w:cs="Arial"/>
          <w:b/>
        </w:rPr>
      </w:pPr>
    </w:p>
    <w:p w:rsidR="00C7797C" w:rsidRPr="009D2D47" w:rsidRDefault="00C42726" w:rsidP="00C7797C">
      <w:pPr>
        <w:rPr>
          <w:rFonts w:cs="Arial"/>
        </w:rPr>
      </w:pPr>
      <w:r>
        <w:rPr>
          <w:rFonts w:cs="Arial"/>
          <w:b/>
        </w:rPr>
        <w:t>Item [9</w:t>
      </w:r>
      <w:r w:rsidR="00C7797C">
        <w:rPr>
          <w:rFonts w:cs="Arial"/>
          <w:b/>
        </w:rPr>
        <w:t xml:space="preserve">] – </w:t>
      </w:r>
      <w:r w:rsidR="00C7797C" w:rsidRPr="00D004B9">
        <w:rPr>
          <w:rFonts w:cs="Arial"/>
          <w:b/>
        </w:rPr>
        <w:t>Paragraph 6 (2) (a)</w:t>
      </w:r>
    </w:p>
    <w:p w:rsidR="00C7797C" w:rsidRDefault="00C7797C" w:rsidP="00C7797C">
      <w:pPr>
        <w:keepNext/>
        <w:rPr>
          <w:rFonts w:cs="Arial"/>
          <w:b/>
        </w:rPr>
      </w:pPr>
    </w:p>
    <w:p w:rsidR="00C42726" w:rsidRPr="005C6F15" w:rsidRDefault="00C42726" w:rsidP="00C42726">
      <w:pPr>
        <w:keepNext/>
        <w:rPr>
          <w:rFonts w:cs="Arial"/>
        </w:rPr>
      </w:pPr>
      <w:r w:rsidRPr="006B4BB6">
        <w:rPr>
          <w:rFonts w:cs="Arial"/>
        </w:rPr>
        <w:t xml:space="preserve">This item </w:t>
      </w:r>
      <w:r>
        <w:rPr>
          <w:rFonts w:cs="Arial"/>
        </w:rPr>
        <w:t xml:space="preserve">clarifies that an applicant’s WHSMS (see item 6 above) must be certified to either AS/NZS 4801:2001 or OHSAS 18001:2007 as those standards are in force when this Regulation commenced.  </w:t>
      </w:r>
      <w:r w:rsidRPr="005C6F15">
        <w:rPr>
          <w:rFonts w:cs="Arial"/>
        </w:rPr>
        <w:t>The objective of these standards is to set auditable criteria for an</w:t>
      </w:r>
    </w:p>
    <w:p w:rsidR="00C42726" w:rsidRDefault="00C42726" w:rsidP="00C42726">
      <w:pPr>
        <w:keepNext/>
        <w:rPr>
          <w:rFonts w:cs="Arial"/>
        </w:rPr>
      </w:pPr>
      <w:r w:rsidRPr="005C6F15">
        <w:rPr>
          <w:rFonts w:cs="Arial"/>
        </w:rPr>
        <w:t>occupational health and safety management system.</w:t>
      </w:r>
    </w:p>
    <w:p w:rsidR="00C42726" w:rsidRDefault="00C42726" w:rsidP="00C42726">
      <w:pPr>
        <w:keepNext/>
        <w:rPr>
          <w:rFonts w:cs="Arial"/>
        </w:rPr>
      </w:pPr>
    </w:p>
    <w:p w:rsidR="00C42726" w:rsidRPr="006B4BB6" w:rsidRDefault="00C42726" w:rsidP="00C42726">
      <w:pPr>
        <w:keepNext/>
        <w:rPr>
          <w:rFonts w:cs="Arial"/>
        </w:rPr>
      </w:pPr>
      <w:r>
        <w:rPr>
          <w:rFonts w:cs="Arial"/>
        </w:rPr>
        <w:t>This item omits</w:t>
      </w:r>
      <w:r w:rsidRPr="006B4BB6">
        <w:rPr>
          <w:rFonts w:cs="Arial"/>
        </w:rPr>
        <w:t xml:space="preserve"> the reference to ‘the international OHSMS standard’ in subparagraph 6 (2) (a) (ii). This amendment is consequential to the amendment in item </w:t>
      </w:r>
      <w:r w:rsidR="00D106A3">
        <w:rPr>
          <w:rFonts w:cs="Arial"/>
        </w:rPr>
        <w:t>4</w:t>
      </w:r>
      <w:r w:rsidRPr="006B4BB6">
        <w:rPr>
          <w:rFonts w:cs="Arial"/>
        </w:rPr>
        <w:t xml:space="preserve"> above. </w:t>
      </w:r>
    </w:p>
    <w:p w:rsidR="00C7797C" w:rsidRDefault="00C7797C" w:rsidP="00C7797C">
      <w:pPr>
        <w:keepNext/>
        <w:rPr>
          <w:rFonts w:cs="Arial"/>
          <w:b/>
        </w:rPr>
      </w:pPr>
    </w:p>
    <w:p w:rsidR="00C7797C" w:rsidRPr="00CA2162" w:rsidRDefault="00C7797C" w:rsidP="00C7797C">
      <w:pPr>
        <w:keepNext/>
        <w:rPr>
          <w:rFonts w:cs="Arial"/>
        </w:rPr>
      </w:pPr>
      <w:r w:rsidRPr="00CA2162">
        <w:rPr>
          <w:rFonts w:cs="Arial"/>
          <w:b/>
        </w:rPr>
        <w:t>Item [</w:t>
      </w:r>
      <w:r w:rsidR="007A6AE3">
        <w:rPr>
          <w:rFonts w:cs="Arial"/>
          <w:b/>
        </w:rPr>
        <w:t>10</w:t>
      </w:r>
      <w:r w:rsidRPr="00CA2162">
        <w:rPr>
          <w:rFonts w:cs="Arial"/>
          <w:b/>
        </w:rPr>
        <w:t xml:space="preserve">] – </w:t>
      </w:r>
      <w:r w:rsidRPr="000119DD">
        <w:rPr>
          <w:rFonts w:cs="Arial"/>
          <w:b/>
        </w:rPr>
        <w:t>Subpara</w:t>
      </w:r>
      <w:r>
        <w:rPr>
          <w:rFonts w:cs="Arial"/>
          <w:b/>
        </w:rPr>
        <w:t>graph 16</w:t>
      </w:r>
      <w:r w:rsidRPr="000119DD">
        <w:rPr>
          <w:rFonts w:cs="Arial"/>
          <w:b/>
        </w:rPr>
        <w:t xml:space="preserve"> (b) (</w:t>
      </w:r>
      <w:proofErr w:type="spellStart"/>
      <w:r w:rsidRPr="000119DD">
        <w:rPr>
          <w:rFonts w:cs="Arial"/>
          <w:b/>
        </w:rPr>
        <w:t>i</w:t>
      </w:r>
      <w:proofErr w:type="spellEnd"/>
      <w:r w:rsidRPr="000119DD">
        <w:rPr>
          <w:rFonts w:cs="Arial"/>
          <w:b/>
        </w:rPr>
        <w:t>)</w:t>
      </w:r>
    </w:p>
    <w:p w:rsidR="00C7797C" w:rsidRDefault="00C7797C" w:rsidP="00C7797C">
      <w:pPr>
        <w:rPr>
          <w:rFonts w:cs="Arial"/>
        </w:rPr>
      </w:pPr>
    </w:p>
    <w:p w:rsidR="00C7797C" w:rsidRDefault="00C7797C" w:rsidP="00C7797C">
      <w:r>
        <w:rPr>
          <w:rFonts w:cs="Arial"/>
        </w:rPr>
        <w:t>This item substitute</w:t>
      </w:r>
      <w:r w:rsidR="007A6AE3">
        <w:rPr>
          <w:rFonts w:cs="Arial"/>
        </w:rPr>
        <w:t>s</w:t>
      </w:r>
      <w:r>
        <w:rPr>
          <w:rFonts w:cs="Arial"/>
        </w:rPr>
        <w:t xml:space="preserve"> the reference to </w:t>
      </w:r>
      <w:r w:rsidRPr="00B27052">
        <w:rPr>
          <w:rFonts w:cs="Arial"/>
          <w:i/>
        </w:rPr>
        <w:t>the applicant</w:t>
      </w:r>
      <w:r>
        <w:rPr>
          <w:rFonts w:cs="Arial"/>
        </w:rPr>
        <w:t xml:space="preserve"> with a reference to </w:t>
      </w:r>
      <w:r w:rsidRPr="00B27052">
        <w:rPr>
          <w:rFonts w:cs="Arial"/>
          <w:i/>
        </w:rPr>
        <w:t>the accredited person</w:t>
      </w:r>
      <w:r>
        <w:rPr>
          <w:rFonts w:cs="Arial"/>
        </w:rPr>
        <w:t>. This is a technical amendment.</w:t>
      </w:r>
      <w:r w:rsidRPr="00AF740D">
        <w:t xml:space="preserve"> </w:t>
      </w:r>
    </w:p>
    <w:p w:rsidR="00C7797C" w:rsidRDefault="00C7797C" w:rsidP="00C7797C">
      <w:pPr>
        <w:rPr>
          <w:rFonts w:cs="Arial"/>
          <w:b/>
        </w:rPr>
      </w:pPr>
    </w:p>
    <w:p w:rsidR="00C7797C" w:rsidRPr="000D1491" w:rsidRDefault="007A6AE3" w:rsidP="00C7797C">
      <w:pPr>
        <w:rPr>
          <w:rFonts w:cs="Arial"/>
          <w:b/>
        </w:rPr>
      </w:pPr>
      <w:r>
        <w:rPr>
          <w:rFonts w:cs="Arial"/>
          <w:b/>
        </w:rPr>
        <w:t>Item [11</w:t>
      </w:r>
      <w:r w:rsidR="00C7797C">
        <w:rPr>
          <w:rFonts w:cs="Arial"/>
          <w:b/>
        </w:rPr>
        <w:t xml:space="preserve">] – </w:t>
      </w:r>
      <w:r w:rsidR="00C7797C" w:rsidRPr="000D1491">
        <w:rPr>
          <w:rFonts w:cs="Arial"/>
          <w:b/>
        </w:rPr>
        <w:t>Subparagraph 24 (1) (g) (ii)</w:t>
      </w:r>
    </w:p>
    <w:p w:rsidR="00C7797C" w:rsidRDefault="00C7797C" w:rsidP="00C7797C">
      <w:pPr>
        <w:rPr>
          <w:rFonts w:cs="Arial"/>
        </w:rPr>
      </w:pPr>
    </w:p>
    <w:p w:rsidR="00C7797C" w:rsidRDefault="00C7797C" w:rsidP="00C7797C">
      <w:pPr>
        <w:rPr>
          <w:rFonts w:cs="Arial"/>
        </w:rPr>
      </w:pPr>
      <w:r>
        <w:rPr>
          <w:rFonts w:cs="Arial"/>
        </w:rPr>
        <w:t>This item amend</w:t>
      </w:r>
      <w:r w:rsidR="007A6AE3">
        <w:rPr>
          <w:rFonts w:cs="Arial"/>
        </w:rPr>
        <w:t>s</w:t>
      </w:r>
      <w:r>
        <w:rPr>
          <w:rFonts w:cs="Arial"/>
        </w:rPr>
        <w:t xml:space="preserve"> the punctuation in subparagraph 24 (1) (g) (ii) and is consequential to </w:t>
      </w:r>
      <w:r w:rsidR="007A6AE3">
        <w:rPr>
          <w:rFonts w:cs="Arial"/>
        </w:rPr>
        <w:t>the amendment inserted by item 12</w:t>
      </w:r>
      <w:r>
        <w:rPr>
          <w:rFonts w:cs="Arial"/>
        </w:rPr>
        <w:t xml:space="preserve"> below.</w:t>
      </w:r>
    </w:p>
    <w:p w:rsidR="002C4BF6" w:rsidRDefault="002C4BF6">
      <w:pPr>
        <w:rPr>
          <w:rFonts w:cs="Arial"/>
        </w:rPr>
      </w:pPr>
      <w:r>
        <w:rPr>
          <w:rFonts w:cs="Arial"/>
        </w:rPr>
        <w:br w:type="page"/>
      </w:r>
    </w:p>
    <w:p w:rsidR="00C7797C" w:rsidRPr="000119DD" w:rsidRDefault="00C7797C" w:rsidP="00C7797C">
      <w:pPr>
        <w:rPr>
          <w:b/>
        </w:rPr>
      </w:pPr>
      <w:r w:rsidRPr="00E70CAE">
        <w:rPr>
          <w:b/>
        </w:rPr>
        <w:lastRenderedPageBreak/>
        <w:t>Item [</w:t>
      </w:r>
      <w:r w:rsidR="007A6AE3" w:rsidRPr="00E70CAE">
        <w:rPr>
          <w:b/>
        </w:rPr>
        <w:t>12</w:t>
      </w:r>
      <w:r w:rsidRPr="00E70CAE">
        <w:rPr>
          <w:b/>
        </w:rPr>
        <w:t>] – After paragraph 24 (1) (g)</w:t>
      </w:r>
    </w:p>
    <w:p w:rsidR="00C7797C" w:rsidRDefault="00C7797C" w:rsidP="00C7797C"/>
    <w:p w:rsidR="00C7797C" w:rsidRDefault="00C7797C" w:rsidP="00C7797C">
      <w:r>
        <w:t>This item insert</w:t>
      </w:r>
      <w:r w:rsidR="007A6AE3">
        <w:t>s</w:t>
      </w:r>
      <w:r>
        <w:t xml:space="preserve"> new paragraph 24 (1) (h) in subsection 24 (1).</w:t>
      </w:r>
    </w:p>
    <w:p w:rsidR="00C7797C" w:rsidRDefault="00C7797C" w:rsidP="00C7797C"/>
    <w:p w:rsidR="00C7797C" w:rsidRPr="00E8632B" w:rsidRDefault="00C7797C" w:rsidP="00C7797C">
      <w:r w:rsidRPr="00E8632B">
        <w:t xml:space="preserve">The </w:t>
      </w:r>
      <w:r w:rsidRPr="0084482D">
        <w:rPr>
          <w:i/>
        </w:rPr>
        <w:t>Fair Work</w:t>
      </w:r>
      <w:r>
        <w:t xml:space="preserve"> (</w:t>
      </w:r>
      <w:r w:rsidRPr="004C4391">
        <w:rPr>
          <w:i/>
        </w:rPr>
        <w:t>Building Industry Act</w:t>
      </w:r>
      <w:r>
        <w:rPr>
          <w:i/>
        </w:rPr>
        <w:t>)</w:t>
      </w:r>
      <w:r w:rsidRPr="004C4391">
        <w:rPr>
          <w:i/>
        </w:rPr>
        <w:t xml:space="preserve"> 2005</w:t>
      </w:r>
      <w:r>
        <w:t xml:space="preserve"> </w:t>
      </w:r>
      <w:r w:rsidRPr="00E8632B">
        <w:t xml:space="preserve">(the Act) requires that certain building work funded by the Commonwealth or a Commonwealth authority must only be performed by builders accredited under the Accreditation Scheme, unless the building work is prescribed by </w:t>
      </w:r>
      <w:r w:rsidR="00896308">
        <w:t>the regulations</w:t>
      </w:r>
      <w:r w:rsidR="00896308" w:rsidRPr="00E8632B">
        <w:t xml:space="preserve"> </w:t>
      </w:r>
      <w:r w:rsidRPr="00E8632B">
        <w:t>(subsection 35 (4)</w:t>
      </w:r>
      <w:r w:rsidR="00B4348A">
        <w:t xml:space="preserve"> of the Act</w:t>
      </w:r>
      <w:r w:rsidRPr="00E8632B">
        <w:t xml:space="preserve">).  </w:t>
      </w:r>
      <w:r>
        <w:t>Section</w:t>
      </w:r>
      <w:r w:rsidRPr="00E8632B">
        <w:t xml:space="preserve"> 24 of the Accreditation Scheme </w:t>
      </w:r>
      <w:r>
        <w:t>Regulation</w:t>
      </w:r>
      <w:r w:rsidRPr="00E8632B">
        <w:t xml:space="preserve"> sets out </w:t>
      </w:r>
      <w:r w:rsidR="00896308">
        <w:t xml:space="preserve">the </w:t>
      </w:r>
      <w:r w:rsidRPr="00E8632B">
        <w:t>building work that is prescribed for these purposes.</w:t>
      </w:r>
    </w:p>
    <w:p w:rsidR="00C7797C" w:rsidRPr="00E8632B" w:rsidRDefault="00C7797C" w:rsidP="00C7797C">
      <w:r w:rsidRPr="00E8632B">
        <w:t> </w:t>
      </w:r>
    </w:p>
    <w:p w:rsidR="00C7797C" w:rsidRPr="00E629F3" w:rsidRDefault="00C7797C" w:rsidP="00C7797C">
      <w:r>
        <w:t>Paragraph 24 (1) (h</w:t>
      </w:r>
      <w:r w:rsidRPr="00E8632B">
        <w:t>)</w:t>
      </w:r>
      <w:r>
        <w:t xml:space="preserve"> add</w:t>
      </w:r>
      <w:r w:rsidR="00896308">
        <w:t>s</w:t>
      </w:r>
      <w:r w:rsidRPr="00E8632B">
        <w:t xml:space="preserve"> to the circumstances listed in </w:t>
      </w:r>
      <w:r>
        <w:t>Section</w:t>
      </w:r>
      <w:r w:rsidRPr="00E8632B">
        <w:t xml:space="preserve"> 24.  The item </w:t>
      </w:r>
      <w:r>
        <w:t>provide</w:t>
      </w:r>
      <w:r w:rsidR="00896308">
        <w:t>s</w:t>
      </w:r>
      <w:r w:rsidRPr="00E8632B">
        <w:t xml:space="preserve"> that where building work </w:t>
      </w:r>
      <w:r>
        <w:t xml:space="preserve">is undertaken by </w:t>
      </w:r>
      <w:r w:rsidRPr="00E629F3">
        <w:t>a joint venture that includes an unaccredited person,</w:t>
      </w:r>
      <w:r w:rsidR="00896308">
        <w:t xml:space="preserve"> and the conditions below are met,</w:t>
      </w:r>
      <w:r w:rsidRPr="00E629F3">
        <w:t xml:space="preserve"> </w:t>
      </w:r>
      <w:r>
        <w:t xml:space="preserve">the building work is prescribed for the purposes of subsection </w:t>
      </w:r>
      <w:r w:rsidR="00B4348A">
        <w:br/>
      </w:r>
      <w:r>
        <w:t>35 (4) of the Act and is therefore not work to which the Accreditation Scheme applies. </w:t>
      </w:r>
      <w:r w:rsidRPr="00E629F3">
        <w:t xml:space="preserve"> </w:t>
      </w:r>
    </w:p>
    <w:p w:rsidR="00C7797C" w:rsidRDefault="00C7797C" w:rsidP="00C7797C"/>
    <w:p w:rsidR="00C7797C" w:rsidRDefault="00C7797C" w:rsidP="00C7797C">
      <w:r>
        <w:t xml:space="preserve">This item </w:t>
      </w:r>
      <w:r w:rsidR="00F10B11">
        <w:t>specifies</w:t>
      </w:r>
      <w:r>
        <w:t xml:space="preserve"> the circumstances in which building work may be prescribed under this item. The following conditions must be met: </w:t>
      </w:r>
    </w:p>
    <w:p w:rsidR="00C7797C" w:rsidRDefault="00C7797C" w:rsidP="00C7797C"/>
    <w:p w:rsidR="00C7797C" w:rsidRDefault="00C7797C" w:rsidP="00C7797C">
      <w:pPr>
        <w:numPr>
          <w:ilvl w:val="0"/>
          <w:numId w:val="5"/>
        </w:numPr>
      </w:pPr>
      <w:r>
        <w:t>the project must be undertaken by a joint venture;</w:t>
      </w:r>
    </w:p>
    <w:p w:rsidR="00D55E37" w:rsidRDefault="00D55E37" w:rsidP="00D55E37">
      <w:pPr>
        <w:numPr>
          <w:ilvl w:val="0"/>
          <w:numId w:val="5"/>
        </w:numPr>
      </w:pPr>
      <w:r>
        <w:t>if a builder is not an accredited builder, the builder must be well established outside Australia, have never operated in Australia as a head contractor, have applied for accreditation, and have been unable to provide a WHSMS for the purposes of an on-site audit;</w:t>
      </w:r>
    </w:p>
    <w:p w:rsidR="00C7797C" w:rsidRDefault="00C7797C" w:rsidP="00C7797C">
      <w:pPr>
        <w:numPr>
          <w:ilvl w:val="0"/>
          <w:numId w:val="5"/>
        </w:numPr>
      </w:pPr>
      <w:r>
        <w:t xml:space="preserve">an accredited person in the joint venture must give a written undertaking to take full responsibility for </w:t>
      </w:r>
      <w:r w:rsidR="00B52368">
        <w:t xml:space="preserve">WHS </w:t>
      </w:r>
      <w:r>
        <w:t xml:space="preserve">for the </w:t>
      </w:r>
      <w:r w:rsidR="00B52368">
        <w:t xml:space="preserve">duration </w:t>
      </w:r>
      <w:r>
        <w:t xml:space="preserve">of the project and a written undertaking that the building work will be carried out in accordance with its </w:t>
      </w:r>
      <w:r w:rsidR="00B52368">
        <w:t xml:space="preserve">WHSMS </w:t>
      </w:r>
      <w:r>
        <w:t xml:space="preserve">for the </w:t>
      </w:r>
      <w:r w:rsidR="00B52368">
        <w:t xml:space="preserve">duration </w:t>
      </w:r>
      <w:r>
        <w:t>of the project;</w:t>
      </w:r>
    </w:p>
    <w:p w:rsidR="00C7797C" w:rsidRDefault="00C7797C" w:rsidP="00C7797C">
      <w:pPr>
        <w:numPr>
          <w:ilvl w:val="0"/>
          <w:numId w:val="5"/>
        </w:numPr>
      </w:pPr>
      <w:r>
        <w:t xml:space="preserve">each builder who carries out the building work must give a written undertaking that it will carry out the building work in accordance with the accredited member’s </w:t>
      </w:r>
      <w:r w:rsidR="00B52368">
        <w:t xml:space="preserve">WHSMS </w:t>
      </w:r>
      <w:r>
        <w:t xml:space="preserve">for the </w:t>
      </w:r>
      <w:r w:rsidR="00B52368">
        <w:t xml:space="preserve">duration </w:t>
      </w:r>
      <w:r>
        <w:t>of the project; and</w:t>
      </w:r>
    </w:p>
    <w:p w:rsidR="00C7797C" w:rsidRPr="00826897" w:rsidRDefault="00B52368" w:rsidP="00C7797C">
      <w:pPr>
        <w:numPr>
          <w:ilvl w:val="0"/>
          <w:numId w:val="5"/>
        </w:numPr>
      </w:pPr>
      <w:r>
        <w:t>a builder or an accredited person</w:t>
      </w:r>
      <w:r w:rsidR="00C7797C">
        <w:t xml:space="preserve"> must supply </w:t>
      </w:r>
      <w:r w:rsidR="00C7797C" w:rsidRPr="00826897">
        <w:t>evidence</w:t>
      </w:r>
      <w:r w:rsidR="00C7797C">
        <w:t xml:space="preserve"> to the Federal Safety Commissioner</w:t>
      </w:r>
      <w:r w:rsidR="00C7797C" w:rsidRPr="00826897">
        <w:t xml:space="preserve"> that the above criteria are met prior to entering into a contract for building work </w:t>
      </w:r>
      <w:r w:rsidR="00C7797C">
        <w:t>on behalf of the joint venture.</w:t>
      </w:r>
    </w:p>
    <w:p w:rsidR="00B52368" w:rsidRDefault="00B52368" w:rsidP="00C7797C"/>
    <w:p w:rsidR="00C7797C" w:rsidRDefault="00943251" w:rsidP="00C7797C">
      <w:pPr>
        <w:rPr>
          <w:b/>
        </w:rPr>
      </w:pPr>
      <w:r>
        <w:rPr>
          <w:b/>
        </w:rPr>
        <w:t>Item [13</w:t>
      </w:r>
      <w:r w:rsidR="00C7797C" w:rsidRPr="000119DD">
        <w:rPr>
          <w:b/>
        </w:rPr>
        <w:t xml:space="preserve">] – </w:t>
      </w:r>
      <w:r w:rsidR="00C7797C">
        <w:rPr>
          <w:b/>
        </w:rPr>
        <w:t xml:space="preserve">Subsection 24 (2), definition of </w:t>
      </w:r>
      <w:r w:rsidR="00C7797C" w:rsidRPr="00B47937">
        <w:rPr>
          <w:b/>
          <w:i/>
        </w:rPr>
        <w:t>subcontractor</w:t>
      </w:r>
    </w:p>
    <w:p w:rsidR="00C7797C" w:rsidRDefault="00C7797C" w:rsidP="00C7797C"/>
    <w:p w:rsidR="00B52368" w:rsidRDefault="00C7797C" w:rsidP="00C7797C">
      <w:r>
        <w:t>This item amend</w:t>
      </w:r>
      <w:r w:rsidR="00943251">
        <w:t>s</w:t>
      </w:r>
      <w:r>
        <w:t xml:space="preserve"> the definition of </w:t>
      </w:r>
      <w:r w:rsidRPr="00B27052">
        <w:rPr>
          <w:i/>
        </w:rPr>
        <w:t>subcontractor</w:t>
      </w:r>
      <w:r>
        <w:t xml:space="preserve"> in Section 24 (2) to ensure that it uses the term </w:t>
      </w:r>
      <w:r w:rsidRPr="009108B3">
        <w:rPr>
          <w:i/>
        </w:rPr>
        <w:t>builder</w:t>
      </w:r>
      <w:r>
        <w:t xml:space="preserve"> consistently with the definition of the term in Section 35 (8) of the Act. </w:t>
      </w:r>
    </w:p>
    <w:p w:rsidR="00C7797C" w:rsidRDefault="00C7797C" w:rsidP="00C7797C">
      <w:pPr>
        <w:rPr>
          <w:b/>
        </w:rPr>
      </w:pPr>
    </w:p>
    <w:p w:rsidR="00C7797C" w:rsidRDefault="00943251" w:rsidP="00C7797C">
      <w:pPr>
        <w:rPr>
          <w:b/>
        </w:rPr>
      </w:pPr>
      <w:r>
        <w:rPr>
          <w:b/>
        </w:rPr>
        <w:t>Item [14</w:t>
      </w:r>
      <w:r w:rsidR="00C7797C">
        <w:rPr>
          <w:b/>
        </w:rPr>
        <w:t xml:space="preserve">] – </w:t>
      </w:r>
      <w:r w:rsidR="00C7797C" w:rsidRPr="000119DD">
        <w:rPr>
          <w:b/>
        </w:rPr>
        <w:t>Further amendments</w:t>
      </w:r>
    </w:p>
    <w:p w:rsidR="00C7797C" w:rsidRDefault="00C7797C" w:rsidP="00C7797C">
      <w:pPr>
        <w:rPr>
          <w:b/>
        </w:rPr>
      </w:pPr>
    </w:p>
    <w:p w:rsidR="00C7797C" w:rsidRDefault="00C7797C" w:rsidP="00C7797C">
      <w:r>
        <w:t>This item substitute</w:t>
      </w:r>
      <w:r w:rsidR="00943251">
        <w:t>s</w:t>
      </w:r>
      <w:r>
        <w:t xml:space="preserve"> all references to </w:t>
      </w:r>
      <w:r w:rsidRPr="00B27052">
        <w:rPr>
          <w:i/>
        </w:rPr>
        <w:t>OH&amp;S</w:t>
      </w:r>
      <w:r>
        <w:t xml:space="preserve"> in the Accreditation Scheme Sections with </w:t>
      </w:r>
      <w:r>
        <w:rPr>
          <w:i/>
        </w:rPr>
        <w:t>WHS</w:t>
      </w:r>
      <w:r w:rsidR="00943251">
        <w:t xml:space="preserve"> in line with item 5</w:t>
      </w:r>
      <w:r>
        <w:t xml:space="preserve"> above.</w:t>
      </w:r>
    </w:p>
    <w:p w:rsidR="002C4BF6" w:rsidRDefault="002C4BF6" w:rsidP="00C7797C">
      <w:pPr>
        <w:sectPr w:rsidR="002C4BF6" w:rsidSect="00E062A1">
          <w:footerReference w:type="first" r:id="rId16"/>
          <w:pgSz w:w="11906" w:h="16838" w:code="9"/>
          <w:pgMar w:top="1418" w:right="1134" w:bottom="1418" w:left="1418" w:header="567" w:footer="567" w:gutter="0"/>
          <w:pgNumType w:start="1"/>
          <w:cols w:space="708"/>
          <w:titlePg/>
          <w:docGrid w:linePitch="360"/>
        </w:sectPr>
      </w:pPr>
    </w:p>
    <w:p w:rsidR="009C1C29" w:rsidRPr="00F21AD9" w:rsidRDefault="009C1C29" w:rsidP="009C1C29">
      <w:pPr>
        <w:spacing w:before="360" w:after="120"/>
        <w:jc w:val="right"/>
        <w:rPr>
          <w:b/>
          <w:u w:val="single"/>
        </w:rPr>
      </w:pPr>
      <w:r w:rsidRPr="00F21AD9">
        <w:rPr>
          <w:b/>
          <w:u w:val="single"/>
        </w:rPr>
        <w:lastRenderedPageBreak/>
        <w:t>ATTACHMENT B</w:t>
      </w:r>
    </w:p>
    <w:p w:rsidR="009C1C29" w:rsidRPr="00E4135E" w:rsidRDefault="009C1C29" w:rsidP="009C1C29">
      <w:pPr>
        <w:spacing w:before="360" w:after="120"/>
        <w:jc w:val="center"/>
        <w:rPr>
          <w:b/>
          <w:sz w:val="28"/>
          <w:szCs w:val="28"/>
        </w:rPr>
      </w:pPr>
      <w:r w:rsidRPr="00E4135E">
        <w:rPr>
          <w:b/>
          <w:sz w:val="28"/>
          <w:szCs w:val="28"/>
        </w:rPr>
        <w:t>Statement of Compatibility with Human Rights</w:t>
      </w:r>
    </w:p>
    <w:p w:rsidR="009C1C29" w:rsidRPr="00E4135E" w:rsidRDefault="009C1C29" w:rsidP="009C1C29">
      <w:pPr>
        <w:spacing w:before="120" w:after="120"/>
        <w:jc w:val="center"/>
      </w:pPr>
      <w:r w:rsidRPr="00E4135E">
        <w:rPr>
          <w:i/>
        </w:rPr>
        <w:t>Prepared in accordance with Part 3 of the Human Rights (Parliamentary Scrutiny) Act 2011</w:t>
      </w:r>
    </w:p>
    <w:p w:rsidR="009C1C29" w:rsidRPr="00E4135E" w:rsidRDefault="009C1C29" w:rsidP="009C1C29">
      <w:pPr>
        <w:spacing w:before="120" w:after="120"/>
        <w:jc w:val="center"/>
      </w:pPr>
    </w:p>
    <w:p w:rsidR="009C1C29" w:rsidRPr="009C1C29" w:rsidRDefault="00943251" w:rsidP="009C1C29">
      <w:pPr>
        <w:tabs>
          <w:tab w:val="left" w:pos="993"/>
        </w:tabs>
        <w:ind w:left="1440" w:right="91"/>
        <w:jc w:val="center"/>
        <w:rPr>
          <w:b/>
        </w:rPr>
      </w:pPr>
      <w:r>
        <w:rPr>
          <w:b/>
        </w:rPr>
        <w:t>Fair Work (Building Industry-</w:t>
      </w:r>
      <w:r w:rsidR="009C1C29" w:rsidRPr="009C1C29">
        <w:rPr>
          <w:b/>
        </w:rPr>
        <w:t xml:space="preserve">Accreditation Scheme) Amendment Regulation 2012 (No. </w:t>
      </w:r>
      <w:r w:rsidR="002D79F8">
        <w:rPr>
          <w:b/>
        </w:rPr>
        <w:t>1</w:t>
      </w:r>
      <w:r w:rsidR="009C1C29" w:rsidRPr="009C1C29">
        <w:rPr>
          <w:b/>
        </w:rPr>
        <w:t>)</w:t>
      </w:r>
    </w:p>
    <w:p w:rsidR="009C1C29" w:rsidRPr="00E4135E" w:rsidRDefault="009C1C29" w:rsidP="009C1C29">
      <w:pPr>
        <w:spacing w:before="120" w:after="120"/>
        <w:jc w:val="center"/>
      </w:pPr>
    </w:p>
    <w:p w:rsidR="009C1C29" w:rsidRPr="00E4135E" w:rsidRDefault="009C1C29" w:rsidP="009C1C29">
      <w:pPr>
        <w:spacing w:before="120" w:after="120"/>
        <w:jc w:val="center"/>
      </w:pPr>
      <w:r w:rsidRPr="00E4135E">
        <w:t xml:space="preserve">This Legislative Instrument is compatible with the human rights and freedoms recognised or declared in the international instruments listed in section 3 of the </w:t>
      </w:r>
      <w:r w:rsidR="001C2592">
        <w:br/>
      </w:r>
      <w:r w:rsidRPr="00E4135E">
        <w:rPr>
          <w:i/>
        </w:rPr>
        <w:t>Human Rights (Parliamentary Scrutiny) Act 2011</w:t>
      </w:r>
      <w:r w:rsidRPr="00E4135E">
        <w:t>.</w:t>
      </w:r>
    </w:p>
    <w:p w:rsidR="009C1C29" w:rsidRPr="00E4135E" w:rsidRDefault="009C1C29" w:rsidP="009C1C29">
      <w:pPr>
        <w:spacing w:before="120" w:after="120"/>
        <w:jc w:val="center"/>
      </w:pPr>
    </w:p>
    <w:p w:rsidR="009C1C29" w:rsidRPr="00E4135E" w:rsidRDefault="009C1C29" w:rsidP="009C1C29">
      <w:pPr>
        <w:spacing w:before="120" w:after="120"/>
        <w:jc w:val="center"/>
      </w:pPr>
    </w:p>
    <w:p w:rsidR="009C1C29" w:rsidRPr="00E4135E" w:rsidRDefault="009C1C29" w:rsidP="009C1C29">
      <w:pPr>
        <w:spacing w:before="120" w:after="120"/>
        <w:jc w:val="both"/>
        <w:rPr>
          <w:b/>
        </w:rPr>
      </w:pPr>
      <w:r w:rsidRPr="00E4135E">
        <w:rPr>
          <w:b/>
        </w:rPr>
        <w:t>Overview of the Legislative Instrument</w:t>
      </w:r>
    </w:p>
    <w:p w:rsidR="006D1900" w:rsidRDefault="006D1900" w:rsidP="006D1900">
      <w:r>
        <w:t xml:space="preserve">The </w:t>
      </w:r>
      <w:r w:rsidRPr="0084482D">
        <w:rPr>
          <w:i/>
        </w:rPr>
        <w:t>Fair Work</w:t>
      </w:r>
      <w:r>
        <w:t xml:space="preserve"> (</w:t>
      </w:r>
      <w:r w:rsidRPr="004C4391">
        <w:rPr>
          <w:i/>
        </w:rPr>
        <w:t>Building Industry</w:t>
      </w:r>
      <w:r>
        <w:rPr>
          <w:i/>
        </w:rPr>
        <w:t>)</w:t>
      </w:r>
      <w:r w:rsidRPr="004C4391">
        <w:rPr>
          <w:i/>
        </w:rPr>
        <w:t xml:space="preserve"> Act 20</w:t>
      </w:r>
      <w:r>
        <w:rPr>
          <w:i/>
        </w:rPr>
        <w:t>12</w:t>
      </w:r>
      <w:r>
        <w:t xml:space="preserve"> (the Act) and the </w:t>
      </w:r>
      <w:r>
        <w:rPr>
          <w:i/>
        </w:rPr>
        <w:t xml:space="preserve">Fair Work (Building Industry - </w:t>
      </w:r>
      <w:r w:rsidRPr="00E1739A">
        <w:rPr>
          <w:i/>
        </w:rPr>
        <w:t xml:space="preserve">Accreditation Scheme) </w:t>
      </w:r>
      <w:r>
        <w:rPr>
          <w:i/>
        </w:rPr>
        <w:t>Regulations 2005</w:t>
      </w:r>
      <w:r>
        <w:t xml:space="preserve"> (the Accreditation Scheme Regulations) establish the Australian Government Building and Construction Occupational Health and Safety Accreditation Scheme (the Accreditation Scheme). The Accreditation Scheme is administered by the Federal Safety Commissioner, and imposes obligations on certain persons who wish to enter into building contracts funded by the Commonwealth or Commonwealth authorities.</w:t>
      </w:r>
    </w:p>
    <w:p w:rsidR="006D1900" w:rsidRDefault="006D1900" w:rsidP="006D1900"/>
    <w:p w:rsidR="006D1900" w:rsidRDefault="006D1900" w:rsidP="006D1900">
      <w:r w:rsidRPr="001C2592">
        <w:t>The Regulation amends the Accreditation Scheme Regulations to exempt the Commonwealth and Commonwealth authorities from the requirement under the Act to engage builders accredited under the Accreditation Scheme to allow the Commonwealth or a Commonwealth authority to enter into contracts for building work with a joint venture that includes an unaccredited person.</w:t>
      </w:r>
    </w:p>
    <w:p w:rsidR="009C1C29" w:rsidRDefault="009C1C29" w:rsidP="009C1C29">
      <w:pPr>
        <w:spacing w:before="120" w:after="120"/>
      </w:pPr>
      <w:r>
        <w:t xml:space="preserve">Importantly, the exemption is subject to certain safeguards such as the requirement that the builder without accreditation must give an undertaking in writing that it will carry out building work in accordance with the accredited builder’s safety standards. As such, safety standards </w:t>
      </w:r>
      <w:r w:rsidR="006D1900">
        <w:t xml:space="preserve">in Australian workplaces </w:t>
      </w:r>
      <w:r>
        <w:t>will not be affected by the regulation.</w:t>
      </w:r>
    </w:p>
    <w:p w:rsidR="001C2592" w:rsidRPr="00E4135E" w:rsidRDefault="001C2592" w:rsidP="009C1C29">
      <w:pPr>
        <w:spacing w:before="120" w:after="120"/>
      </w:pPr>
    </w:p>
    <w:p w:rsidR="009C1C29" w:rsidRPr="00E4135E" w:rsidRDefault="009C1C29" w:rsidP="009C1C29">
      <w:pPr>
        <w:spacing w:before="120" w:after="120"/>
        <w:rPr>
          <w:b/>
        </w:rPr>
      </w:pPr>
      <w:r w:rsidRPr="00E4135E">
        <w:rPr>
          <w:b/>
        </w:rPr>
        <w:t>Human rights implications</w:t>
      </w:r>
    </w:p>
    <w:p w:rsidR="009C1C29" w:rsidRPr="00E4135E" w:rsidRDefault="009C1C29" w:rsidP="009C1C29">
      <w:pPr>
        <w:spacing w:before="120" w:after="120"/>
      </w:pPr>
      <w:r w:rsidRPr="00E4135E">
        <w:t>This Legislative Instrument does not engage any of the applicable rights or freedoms.</w:t>
      </w:r>
    </w:p>
    <w:p w:rsidR="009C1C29" w:rsidRPr="00E4135E" w:rsidRDefault="009C1C29" w:rsidP="009C1C29">
      <w:pPr>
        <w:spacing w:before="120" w:after="120"/>
      </w:pPr>
    </w:p>
    <w:p w:rsidR="009C1C29" w:rsidRPr="00E4135E" w:rsidRDefault="009C1C29" w:rsidP="009C1C29">
      <w:pPr>
        <w:spacing w:before="120" w:after="120"/>
        <w:rPr>
          <w:b/>
        </w:rPr>
      </w:pPr>
      <w:r w:rsidRPr="00E4135E">
        <w:rPr>
          <w:b/>
        </w:rPr>
        <w:t>Conclusion</w:t>
      </w:r>
    </w:p>
    <w:p w:rsidR="009C1C29" w:rsidRPr="00E4135E" w:rsidRDefault="009C1C29" w:rsidP="009C1C29">
      <w:pPr>
        <w:spacing w:before="120" w:after="120"/>
      </w:pPr>
      <w:r w:rsidRPr="00E4135E">
        <w:t>This Legislative Instrument is compatible with human rights as it does not raise any human rights issues.</w:t>
      </w:r>
    </w:p>
    <w:p w:rsidR="009C1C29" w:rsidRPr="00E4135E" w:rsidRDefault="009C1C29" w:rsidP="009C1C29">
      <w:pPr>
        <w:spacing w:before="120" w:after="120"/>
        <w:jc w:val="center"/>
      </w:pPr>
    </w:p>
    <w:p w:rsidR="009C1C29" w:rsidRPr="00E4135E" w:rsidRDefault="009C1C29" w:rsidP="009C1C29">
      <w:pPr>
        <w:spacing w:before="120" w:after="120"/>
        <w:jc w:val="center"/>
      </w:pPr>
    </w:p>
    <w:p w:rsidR="009C1C29" w:rsidRPr="0052557C" w:rsidRDefault="009C1C29" w:rsidP="009C1C29">
      <w:pPr>
        <w:spacing w:before="120" w:after="120" w:line="300" w:lineRule="exact"/>
      </w:pPr>
      <w:r w:rsidRPr="0052557C">
        <w:rPr>
          <w:b/>
          <w:bCs/>
        </w:rPr>
        <w:t xml:space="preserve">Minister for Employment and Workplace Relations, </w:t>
      </w:r>
      <w:r w:rsidRPr="0052557C">
        <w:rPr>
          <w:b/>
        </w:rPr>
        <w:t>the Honourable Bill Shorten MP</w:t>
      </w:r>
    </w:p>
    <w:p w:rsidR="001B71A9" w:rsidRPr="009B0866" w:rsidRDefault="001B71A9"/>
    <w:sectPr w:rsidR="001B71A9" w:rsidRPr="009B0866" w:rsidSect="00E062A1">
      <w:footerReference w:type="first" r:id="rId17"/>
      <w:pgSz w:w="11906" w:h="16838" w:code="9"/>
      <w:pgMar w:top="1418" w:right="1134" w:bottom="1418" w:left="1418"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BF6" w:rsidRDefault="002C4BF6">
      <w:r>
        <w:separator/>
      </w:r>
    </w:p>
  </w:endnote>
  <w:endnote w:type="continuationSeparator" w:id="0">
    <w:p w:rsidR="002C4BF6" w:rsidRDefault="002C4B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F6" w:rsidRDefault="00EB70F4" w:rsidP="00E062A1">
    <w:pPr>
      <w:pStyle w:val="Footer"/>
      <w:framePr w:wrap="around" w:vAnchor="text" w:hAnchor="margin" w:xAlign="center" w:y="1"/>
      <w:rPr>
        <w:rStyle w:val="PageNumber"/>
      </w:rPr>
    </w:pPr>
    <w:r>
      <w:rPr>
        <w:rStyle w:val="PageNumber"/>
      </w:rPr>
      <w:fldChar w:fldCharType="begin"/>
    </w:r>
    <w:r w:rsidR="002C4BF6">
      <w:rPr>
        <w:rStyle w:val="PageNumber"/>
      </w:rPr>
      <w:instrText xml:space="preserve">PAGE  </w:instrText>
    </w:r>
    <w:r>
      <w:rPr>
        <w:rStyle w:val="PageNumber"/>
      </w:rPr>
      <w:fldChar w:fldCharType="end"/>
    </w:r>
  </w:p>
  <w:p w:rsidR="002C4BF6" w:rsidRDefault="002C4B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F6" w:rsidRDefault="00EB70F4" w:rsidP="00E062A1">
    <w:pPr>
      <w:pStyle w:val="Footer"/>
      <w:framePr w:wrap="around" w:vAnchor="text" w:hAnchor="margin" w:xAlign="center" w:y="1"/>
      <w:rPr>
        <w:rStyle w:val="PageNumber"/>
      </w:rPr>
    </w:pPr>
    <w:r>
      <w:rPr>
        <w:rStyle w:val="PageNumber"/>
      </w:rPr>
      <w:fldChar w:fldCharType="begin"/>
    </w:r>
    <w:r w:rsidR="002C4BF6">
      <w:rPr>
        <w:rStyle w:val="PageNumber"/>
      </w:rPr>
      <w:instrText xml:space="preserve">PAGE  </w:instrText>
    </w:r>
    <w:r>
      <w:rPr>
        <w:rStyle w:val="PageNumber"/>
      </w:rPr>
      <w:fldChar w:fldCharType="separate"/>
    </w:r>
    <w:r w:rsidR="002D79F8">
      <w:rPr>
        <w:rStyle w:val="PageNumber"/>
        <w:noProof/>
      </w:rPr>
      <w:t>3</w:t>
    </w:r>
    <w:r>
      <w:rPr>
        <w:rStyle w:val="PageNumber"/>
      </w:rPr>
      <w:fldChar w:fldCharType="end"/>
    </w:r>
  </w:p>
  <w:p w:rsidR="002C4BF6" w:rsidRDefault="002C4BF6" w:rsidP="00E062A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085563"/>
      <w:docPartObj>
        <w:docPartGallery w:val="Page Numbers (Bottom of Page)"/>
        <w:docPartUnique/>
      </w:docPartObj>
    </w:sdtPr>
    <w:sdtContent>
      <w:p w:rsidR="00D72524" w:rsidRDefault="00EB70F4">
        <w:pPr>
          <w:pStyle w:val="Footer"/>
          <w:jc w:val="center"/>
        </w:pPr>
      </w:p>
    </w:sdtContent>
  </w:sdt>
  <w:p w:rsidR="00D72524" w:rsidRDefault="00D725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085564"/>
      <w:docPartObj>
        <w:docPartGallery w:val="Page Numbers (Bottom of Page)"/>
        <w:docPartUnique/>
      </w:docPartObj>
    </w:sdtPr>
    <w:sdtContent>
      <w:p w:rsidR="00D72524" w:rsidRDefault="00EB70F4">
        <w:pPr>
          <w:pStyle w:val="Footer"/>
          <w:jc w:val="center"/>
        </w:pPr>
        <w:fldSimple w:instr=" PAGE   \* MERGEFORMAT ">
          <w:r w:rsidR="002D79F8">
            <w:rPr>
              <w:noProof/>
            </w:rPr>
            <w:t>1</w:t>
          </w:r>
        </w:fldSimple>
      </w:p>
    </w:sdtContent>
  </w:sdt>
  <w:p w:rsidR="00D72524" w:rsidRDefault="00D7252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524" w:rsidRDefault="00D72524">
    <w:pPr>
      <w:pStyle w:val="Footer"/>
      <w:jc w:val="center"/>
    </w:pPr>
  </w:p>
  <w:p w:rsidR="00D72524" w:rsidRDefault="00D725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BF6" w:rsidRDefault="002C4BF6">
      <w:r>
        <w:separator/>
      </w:r>
    </w:p>
  </w:footnote>
  <w:footnote w:type="continuationSeparator" w:id="0">
    <w:p w:rsidR="002C4BF6" w:rsidRDefault="002C4B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617B"/>
    <w:multiLevelType w:val="hybridMultilevel"/>
    <w:tmpl w:val="0F2C6A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1DF03C0C"/>
    <w:multiLevelType w:val="hybridMultilevel"/>
    <w:tmpl w:val="7B3652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7AF0E94"/>
    <w:multiLevelType w:val="hybridMultilevel"/>
    <w:tmpl w:val="75DAA22C"/>
    <w:lvl w:ilvl="0" w:tplc="A24252D8">
      <w:start w:val="1"/>
      <w:numFmt w:val="decimal"/>
      <w:lvlText w:val="%1."/>
      <w:lvlJc w:val="left"/>
      <w:pPr>
        <w:tabs>
          <w:tab w:val="num" w:pos="1080"/>
        </w:tabs>
        <w:ind w:left="1080" w:hanging="360"/>
      </w:pPr>
      <w:rPr>
        <w:rFonts w:hint="default"/>
        <w:b w:val="0"/>
        <w:color w:val="auto"/>
      </w:rPr>
    </w:lvl>
    <w:lvl w:ilvl="1" w:tplc="91EED3CA">
      <w:start w:val="19"/>
      <w:numFmt w:val="bullet"/>
      <w:lvlText w:val=""/>
      <w:lvlJc w:val="left"/>
      <w:pPr>
        <w:tabs>
          <w:tab w:val="num" w:pos="1440"/>
        </w:tabs>
        <w:ind w:left="1440" w:hanging="360"/>
      </w:pPr>
      <w:rPr>
        <w:rFonts w:ascii="Symbol" w:eastAsia="Times New Roman" w:hAnsi="Symbol" w:cs="Times New Roman" w:hint="default"/>
      </w:rPr>
    </w:lvl>
    <w:lvl w:ilvl="2" w:tplc="0C090003">
      <w:start w:val="1"/>
      <w:numFmt w:val="bullet"/>
      <w:lvlText w:val="o"/>
      <w:lvlJc w:val="left"/>
      <w:pPr>
        <w:tabs>
          <w:tab w:val="num" w:pos="2340"/>
        </w:tabs>
        <w:ind w:left="2340" w:hanging="360"/>
      </w:pPr>
      <w:rPr>
        <w:rFonts w:ascii="Courier New" w:hAnsi="Courier New" w:cs="Courier New" w:hint="default"/>
        <w:b w:val="0"/>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334F1817"/>
    <w:multiLevelType w:val="hybridMultilevel"/>
    <w:tmpl w:val="D77EA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1AE5FDB"/>
    <w:multiLevelType w:val="hybridMultilevel"/>
    <w:tmpl w:val="DB9EE07E"/>
    <w:lvl w:ilvl="0" w:tplc="29DC28C6">
      <w:start w:val="1"/>
      <w:numFmt w:val="lowerLetter"/>
      <w:lvlText w:val="(%1)"/>
      <w:lvlJc w:val="left"/>
      <w:pPr>
        <w:tabs>
          <w:tab w:val="num" w:pos="1080"/>
        </w:tabs>
        <w:ind w:left="1080" w:hanging="360"/>
      </w:pPr>
      <w:rPr>
        <w:rFonts w:hint="default"/>
      </w:rPr>
    </w:lvl>
    <w:lvl w:ilvl="1" w:tplc="A24252D8">
      <w:start w:val="1"/>
      <w:numFmt w:val="decimal"/>
      <w:lvlText w:val="%2."/>
      <w:lvlJc w:val="left"/>
      <w:pPr>
        <w:tabs>
          <w:tab w:val="num" w:pos="1800"/>
        </w:tabs>
        <w:ind w:left="1800" w:hanging="360"/>
      </w:pPr>
      <w:rPr>
        <w:rFonts w:hint="default"/>
        <w:color w:val="auto"/>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E062A1"/>
    <w:rsid w:val="000119DD"/>
    <w:rsid w:val="00012DFA"/>
    <w:rsid w:val="00013093"/>
    <w:rsid w:val="0002292B"/>
    <w:rsid w:val="0004493E"/>
    <w:rsid w:val="0005573A"/>
    <w:rsid w:val="00055A84"/>
    <w:rsid w:val="000A1D71"/>
    <w:rsid w:val="000A7E26"/>
    <w:rsid w:val="000B19AB"/>
    <w:rsid w:val="000B5135"/>
    <w:rsid w:val="000C3BC0"/>
    <w:rsid w:val="000D1491"/>
    <w:rsid w:val="000F6693"/>
    <w:rsid w:val="00101EC1"/>
    <w:rsid w:val="0012191B"/>
    <w:rsid w:val="001314DB"/>
    <w:rsid w:val="00180F1D"/>
    <w:rsid w:val="00186280"/>
    <w:rsid w:val="00191EA6"/>
    <w:rsid w:val="00195D4E"/>
    <w:rsid w:val="001B71A9"/>
    <w:rsid w:val="001C2592"/>
    <w:rsid w:val="00210221"/>
    <w:rsid w:val="0022181A"/>
    <w:rsid w:val="00242B03"/>
    <w:rsid w:val="0024394D"/>
    <w:rsid w:val="00254F70"/>
    <w:rsid w:val="00265B27"/>
    <w:rsid w:val="002C4BF6"/>
    <w:rsid w:val="002D621C"/>
    <w:rsid w:val="002D79F8"/>
    <w:rsid w:val="002F13A8"/>
    <w:rsid w:val="00314AAD"/>
    <w:rsid w:val="00317097"/>
    <w:rsid w:val="00345630"/>
    <w:rsid w:val="00346F93"/>
    <w:rsid w:val="00350DA5"/>
    <w:rsid w:val="0038285E"/>
    <w:rsid w:val="00387312"/>
    <w:rsid w:val="003C34FC"/>
    <w:rsid w:val="003C70B8"/>
    <w:rsid w:val="003F51A4"/>
    <w:rsid w:val="0044203F"/>
    <w:rsid w:val="0044429B"/>
    <w:rsid w:val="004572C6"/>
    <w:rsid w:val="00462EA2"/>
    <w:rsid w:val="00465E5D"/>
    <w:rsid w:val="00472BF1"/>
    <w:rsid w:val="00472C02"/>
    <w:rsid w:val="0048475C"/>
    <w:rsid w:val="004C4391"/>
    <w:rsid w:val="004F4611"/>
    <w:rsid w:val="005122A0"/>
    <w:rsid w:val="00542064"/>
    <w:rsid w:val="00543D09"/>
    <w:rsid w:val="00555369"/>
    <w:rsid w:val="0056282F"/>
    <w:rsid w:val="00583BF0"/>
    <w:rsid w:val="00596AFF"/>
    <w:rsid w:val="005D69BF"/>
    <w:rsid w:val="005F26C2"/>
    <w:rsid w:val="006326AF"/>
    <w:rsid w:val="00632CAC"/>
    <w:rsid w:val="00662B55"/>
    <w:rsid w:val="0069732D"/>
    <w:rsid w:val="006B4BB6"/>
    <w:rsid w:val="006D1900"/>
    <w:rsid w:val="006F61DC"/>
    <w:rsid w:val="00704CBE"/>
    <w:rsid w:val="00706219"/>
    <w:rsid w:val="0076056F"/>
    <w:rsid w:val="007A6AE3"/>
    <w:rsid w:val="007C326D"/>
    <w:rsid w:val="007D0D98"/>
    <w:rsid w:val="008142DB"/>
    <w:rsid w:val="00826897"/>
    <w:rsid w:val="00896308"/>
    <w:rsid w:val="008E1092"/>
    <w:rsid w:val="00943251"/>
    <w:rsid w:val="009B0866"/>
    <w:rsid w:val="009B6322"/>
    <w:rsid w:val="009C1C29"/>
    <w:rsid w:val="009C2C28"/>
    <w:rsid w:val="009D2D47"/>
    <w:rsid w:val="009D34DC"/>
    <w:rsid w:val="009E1E39"/>
    <w:rsid w:val="009E2648"/>
    <w:rsid w:val="00A002DE"/>
    <w:rsid w:val="00A31ED1"/>
    <w:rsid w:val="00A34036"/>
    <w:rsid w:val="00A66A11"/>
    <w:rsid w:val="00AB191D"/>
    <w:rsid w:val="00AB2B52"/>
    <w:rsid w:val="00AC7AC8"/>
    <w:rsid w:val="00AD0C12"/>
    <w:rsid w:val="00AE4A7A"/>
    <w:rsid w:val="00AF740D"/>
    <w:rsid w:val="00B40DA6"/>
    <w:rsid w:val="00B4348A"/>
    <w:rsid w:val="00B47937"/>
    <w:rsid w:val="00B52368"/>
    <w:rsid w:val="00B836CB"/>
    <w:rsid w:val="00BB76B6"/>
    <w:rsid w:val="00BC214C"/>
    <w:rsid w:val="00C12092"/>
    <w:rsid w:val="00C23D18"/>
    <w:rsid w:val="00C271AB"/>
    <w:rsid w:val="00C347C8"/>
    <w:rsid w:val="00C42726"/>
    <w:rsid w:val="00C65CBA"/>
    <w:rsid w:val="00C7797C"/>
    <w:rsid w:val="00CA39CE"/>
    <w:rsid w:val="00CE38E2"/>
    <w:rsid w:val="00D004B9"/>
    <w:rsid w:val="00D106A3"/>
    <w:rsid w:val="00D16FCF"/>
    <w:rsid w:val="00D55E37"/>
    <w:rsid w:val="00D612EC"/>
    <w:rsid w:val="00D72524"/>
    <w:rsid w:val="00DC0455"/>
    <w:rsid w:val="00DC069E"/>
    <w:rsid w:val="00E062A1"/>
    <w:rsid w:val="00E320D4"/>
    <w:rsid w:val="00E5754F"/>
    <w:rsid w:val="00E62554"/>
    <w:rsid w:val="00E629F3"/>
    <w:rsid w:val="00E70CAE"/>
    <w:rsid w:val="00E73E32"/>
    <w:rsid w:val="00E8632B"/>
    <w:rsid w:val="00E977C1"/>
    <w:rsid w:val="00EB70F4"/>
    <w:rsid w:val="00F10B11"/>
    <w:rsid w:val="00F21AD9"/>
    <w:rsid w:val="00F31422"/>
    <w:rsid w:val="00F33FF6"/>
    <w:rsid w:val="00F5071D"/>
    <w:rsid w:val="00F61252"/>
    <w:rsid w:val="00F6353D"/>
    <w:rsid w:val="00F84710"/>
    <w:rsid w:val="00FC2337"/>
    <w:rsid w:val="00FC544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2A1"/>
    <w:rPr>
      <w:sz w:val="24"/>
      <w:szCs w:val="24"/>
    </w:rPr>
  </w:style>
  <w:style w:type="paragraph" w:styleId="Heading4">
    <w:name w:val="heading 4"/>
    <w:basedOn w:val="Normal"/>
    <w:next w:val="Normal"/>
    <w:qFormat/>
    <w:rsid w:val="00E062A1"/>
    <w:pPr>
      <w:keepNext/>
      <w:widowControl w:val="0"/>
      <w:autoSpaceDE w:val="0"/>
      <w:autoSpaceDN w:val="0"/>
      <w:outlineLvl w:val="3"/>
    </w:pPr>
    <w:rPr>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62A1"/>
    <w:pPr>
      <w:tabs>
        <w:tab w:val="center" w:pos="4153"/>
        <w:tab w:val="right" w:pos="8306"/>
      </w:tabs>
    </w:pPr>
  </w:style>
  <w:style w:type="character" w:styleId="PageNumber">
    <w:name w:val="page number"/>
    <w:basedOn w:val="DefaultParagraphFont"/>
    <w:rsid w:val="00E062A1"/>
  </w:style>
  <w:style w:type="table" w:styleId="TableGrid">
    <w:name w:val="Table Grid"/>
    <w:basedOn w:val="TableNormal"/>
    <w:rsid w:val="00E06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6353D"/>
    <w:rPr>
      <w:sz w:val="16"/>
      <w:szCs w:val="16"/>
    </w:rPr>
  </w:style>
  <w:style w:type="paragraph" w:styleId="CommentText">
    <w:name w:val="annotation text"/>
    <w:basedOn w:val="Normal"/>
    <w:link w:val="CommentTextChar"/>
    <w:rsid w:val="00F6353D"/>
    <w:rPr>
      <w:sz w:val="20"/>
      <w:szCs w:val="20"/>
    </w:rPr>
  </w:style>
  <w:style w:type="character" w:customStyle="1" w:styleId="CommentTextChar">
    <w:name w:val="Comment Text Char"/>
    <w:basedOn w:val="DefaultParagraphFont"/>
    <w:link w:val="CommentText"/>
    <w:rsid w:val="00F6353D"/>
  </w:style>
  <w:style w:type="paragraph" w:styleId="BalloonText">
    <w:name w:val="Balloon Text"/>
    <w:basedOn w:val="Normal"/>
    <w:link w:val="BalloonTextChar"/>
    <w:rsid w:val="00F6353D"/>
    <w:rPr>
      <w:rFonts w:ascii="Tahoma" w:hAnsi="Tahoma" w:cs="Tahoma"/>
      <w:sz w:val="16"/>
      <w:szCs w:val="16"/>
    </w:rPr>
  </w:style>
  <w:style w:type="character" w:customStyle="1" w:styleId="BalloonTextChar">
    <w:name w:val="Balloon Text Char"/>
    <w:basedOn w:val="DefaultParagraphFont"/>
    <w:link w:val="BalloonText"/>
    <w:rsid w:val="00F6353D"/>
    <w:rPr>
      <w:rFonts w:ascii="Tahoma" w:hAnsi="Tahoma" w:cs="Tahoma"/>
      <w:sz w:val="16"/>
      <w:szCs w:val="16"/>
    </w:rPr>
  </w:style>
  <w:style w:type="paragraph" w:styleId="CommentSubject">
    <w:name w:val="annotation subject"/>
    <w:basedOn w:val="CommentText"/>
    <w:next w:val="CommentText"/>
    <w:link w:val="CommentSubjectChar"/>
    <w:rsid w:val="00BB76B6"/>
    <w:rPr>
      <w:b/>
      <w:bCs/>
    </w:rPr>
  </w:style>
  <w:style w:type="character" w:customStyle="1" w:styleId="CommentSubjectChar">
    <w:name w:val="Comment Subject Char"/>
    <w:basedOn w:val="CommentTextChar"/>
    <w:link w:val="CommentSubject"/>
    <w:rsid w:val="00BB76B6"/>
    <w:rPr>
      <w:b/>
      <w:bCs/>
    </w:rPr>
  </w:style>
  <w:style w:type="paragraph" w:styleId="Header">
    <w:name w:val="header"/>
    <w:basedOn w:val="Normal"/>
    <w:link w:val="HeaderChar"/>
    <w:rsid w:val="00D72524"/>
    <w:pPr>
      <w:tabs>
        <w:tab w:val="center" w:pos="4513"/>
        <w:tab w:val="right" w:pos="9026"/>
      </w:tabs>
    </w:pPr>
  </w:style>
  <w:style w:type="character" w:customStyle="1" w:styleId="HeaderChar">
    <w:name w:val="Header Char"/>
    <w:basedOn w:val="DefaultParagraphFont"/>
    <w:link w:val="Header"/>
    <w:rsid w:val="00D72524"/>
    <w:rPr>
      <w:sz w:val="24"/>
      <w:szCs w:val="24"/>
    </w:rPr>
  </w:style>
  <w:style w:type="character" w:customStyle="1" w:styleId="FooterChar">
    <w:name w:val="Footer Char"/>
    <w:basedOn w:val="DefaultParagraphFont"/>
    <w:link w:val="Footer"/>
    <w:uiPriority w:val="99"/>
    <w:rsid w:val="00D72524"/>
    <w:rPr>
      <w:sz w:val="24"/>
      <w:szCs w:val="24"/>
    </w:rPr>
  </w:style>
</w:styles>
</file>

<file path=word/webSettings.xml><?xml version="1.0" encoding="utf-8"?>
<w:webSettings xmlns:r="http://schemas.openxmlformats.org/officeDocument/2006/relationships" xmlns:w="http://schemas.openxmlformats.org/wordprocessingml/2006/main">
  <w:divs>
    <w:div w:id="338314837">
      <w:bodyDiv w:val="1"/>
      <w:marLeft w:val="0"/>
      <w:marRight w:val="0"/>
      <w:marTop w:val="0"/>
      <w:marBottom w:val="0"/>
      <w:divBdr>
        <w:top w:val="none" w:sz="0" w:space="0" w:color="auto"/>
        <w:left w:val="none" w:sz="0" w:space="0" w:color="auto"/>
        <w:bottom w:val="none" w:sz="0" w:space="0" w:color="auto"/>
        <w:right w:val="none" w:sz="0" w:space="0" w:color="auto"/>
      </w:divBdr>
    </w:div>
    <w:div w:id="3792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C99851850DBED5479E3993248FB8F88C" ma:contentTypeVersion="8" ma:contentTypeDescription="Ddocs' Word Content Type" ma:contentTypeScope="" ma:versionID="793a7a22477a239c553a583959da4cf0">
  <xsd:schema xmlns:xsd="http://www.w3.org/2001/XMLSchema" xmlns:p="http://schemas.microsoft.com/office/2006/metadata/properties" xmlns:ns2="http://schemas.microsoft.com/sharepoint/v3/fields" xmlns:ns3="aa4207c7-5642-493f-9786-e265201cbb14" targetNamespace="http://schemas.microsoft.com/office/2006/metadata/properties" ma:root="true" ma:fieldsID="da3708b4646010876a46c632f3dab662"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ternalName="DNetUniqueId" ma:readOnly="true">
      <xsd:simpleType>
        <xsd:restriction base="dms:Text"/>
      </xsd:simpleType>
    </xsd:element>
  </xsd:schema>
  <xsd:schema xmlns:xsd="http://www.w3.org/2001/XMLSchema" xmlns:dms="http://schemas.microsoft.com/office/2006/documentManagement/types" targetNamespace="aa4207c7-5642-493f-9786-e265201cbb14" elementFormDefault="qualified">
    <xsd:import namespace="http://schemas.microsoft.com/office/2006/documentManagement/type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4.xml><?xml version="1.0" encoding="utf-8"?>
<p:properties xmlns:p="http://schemas.microsoft.com/office/2006/metadata/properties" xmlns:xsi="http://www.w3.org/2001/XMLSchema-instance">
  <documentManagement>
    <DdocsSearchTerms xmlns="http://schemas.microsoft.com/sharepoint/v3/fields"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95025-8A9A-43EE-BA0E-5FAE55E29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A081314-65C1-4661-91CC-E1D3325D96C1}">
  <ds:schemaRefs>
    <ds:schemaRef ds:uri="http://schemas.microsoft.com/sharepoint/events"/>
  </ds:schemaRefs>
</ds:datastoreItem>
</file>

<file path=customXml/itemProps3.xml><?xml version="1.0" encoding="utf-8"?>
<ds:datastoreItem xmlns:ds="http://schemas.openxmlformats.org/officeDocument/2006/customXml" ds:itemID="{77832E01-4C30-4949-A13D-EF9961672F39}">
  <ds:schemaRefs>
    <ds:schemaRef ds:uri="office.server.policy"/>
  </ds:schemaRefs>
</ds:datastoreItem>
</file>

<file path=customXml/itemProps4.xml><?xml version="1.0" encoding="utf-8"?>
<ds:datastoreItem xmlns:ds="http://schemas.openxmlformats.org/officeDocument/2006/customXml" ds:itemID="{51CD968C-0BDD-45F7-92C0-DF8A422AB15A}">
  <ds:schemaRefs>
    <ds:schemaRef ds:uri="http://schemas.microsoft.com/office/2006/metadata/properties"/>
    <ds:schemaRef ds:uri="http://schemas.microsoft.com/sharepoint/v3/fields"/>
  </ds:schemaRefs>
</ds:datastoreItem>
</file>

<file path=customXml/itemProps5.xml><?xml version="1.0" encoding="utf-8"?>
<ds:datastoreItem xmlns:ds="http://schemas.openxmlformats.org/officeDocument/2006/customXml" ds:itemID="{B5E0793A-B647-437E-A05B-220F4972FBC8}">
  <ds:schemaRefs>
    <ds:schemaRef ds:uri="http://schemas.microsoft.com/office/2006/metadata/longProperties"/>
  </ds:schemaRefs>
</ds:datastoreItem>
</file>

<file path=customXml/itemProps6.xml><?xml version="1.0" encoding="utf-8"?>
<ds:datastoreItem xmlns:ds="http://schemas.openxmlformats.org/officeDocument/2006/customXml" ds:itemID="{8D0ED011-F428-4A69-8B2B-415154374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Company>
  <LinksUpToDate>false</LinksUpToDate>
  <CharactersWithSpaces>11362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David McLaren</dc:creator>
  <cp:lastModifiedBy>gobbid</cp:lastModifiedBy>
  <cp:revision>3</cp:revision>
  <cp:lastPrinted>2012-08-02T04:44:00Z</cp:lastPrinted>
  <dcterms:created xsi:type="dcterms:W3CDTF">2012-09-26T04:17:00Z</dcterms:created>
  <dcterms:modified xsi:type="dcterms:W3CDTF">2012-09-26T22:43:00Z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2016-06-14T10:49:50Z</vt:lpwstr>
  </property>
  <property fmtid="{D5CDD505-2E9C-101B-9397-08002B2CF9AE}" pid="3" name="ContentType">
    <vt:lpwstr>Ddocs Word Document</vt:lpwstr>
  </property>
  <property fmtid="{D5CDD505-2E9C-101B-9397-08002B2CF9AE}" pid="4" name="DNetUniqueId">
    <vt:lpwstr>D08-10706380</vt:lpwstr>
  </property>
</Properties>
</file>