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EB" w:rsidRDefault="005700EB" w:rsidP="00B76F80">
      <w:pPr>
        <w:pStyle w:val="Title"/>
      </w:pPr>
      <w:r>
        <w:t>MINISTERIAL DETERMINATION</w:t>
      </w:r>
    </w:p>
    <w:p w:rsidR="005700EB" w:rsidRDefault="005700EB" w:rsidP="00B76F80">
      <w:pPr>
        <w:pStyle w:val="Title"/>
      </w:pPr>
      <w:r>
        <w:t xml:space="preserve">TRUSTEE COMPANY TRANSFER OF ESTATE ASSETS </w:t>
      </w:r>
    </w:p>
    <w:p w:rsidR="005700EB" w:rsidRDefault="005700EB" w:rsidP="00B76F80">
      <w:pPr>
        <w:pStyle w:val="Title"/>
      </w:pPr>
      <w:r>
        <w:t>AND LIABILITIES</w:t>
      </w:r>
    </w:p>
    <w:p w:rsidR="00B76F80" w:rsidRDefault="005700EB" w:rsidP="00B76F80">
      <w:pPr>
        <w:pStyle w:val="Title"/>
      </w:pPr>
      <w:r>
        <w:t>CH 5D CORPORATIONS ACT 2001</w:t>
      </w:r>
    </w:p>
    <w:p w:rsidR="00B76F80" w:rsidRDefault="00B76F80" w:rsidP="00B76F80">
      <w:pPr>
        <w:pStyle w:val="Title"/>
      </w:pPr>
    </w:p>
    <w:p w:rsidR="00B76F80" w:rsidRDefault="00B76F80" w:rsidP="00B76F80">
      <w:pPr>
        <w:pStyle w:val="Title"/>
      </w:pPr>
      <w:r>
        <w:t>EXPLANATORY STATEMENT</w:t>
      </w:r>
    </w:p>
    <w:p w:rsidR="00B76F80" w:rsidRDefault="00B76F80" w:rsidP="00B76F80">
      <w:pPr>
        <w:ind w:right="-311"/>
        <w:jc w:val="center"/>
      </w:pPr>
    </w:p>
    <w:p w:rsidR="00B76F80" w:rsidRDefault="00B76F80" w:rsidP="00B76F80">
      <w:pPr>
        <w:pStyle w:val="BodyTextcentred"/>
      </w:pPr>
      <w:r>
        <w:t>Prepared by the Australian Securities and Investments Commission</w:t>
      </w:r>
    </w:p>
    <w:p w:rsidR="00B76F80" w:rsidRDefault="00B76F80" w:rsidP="00B76F80">
      <w:pPr>
        <w:pStyle w:val="BodyTextcentreditals"/>
      </w:pPr>
      <w:r>
        <w:t>Corporations Act 2001</w:t>
      </w:r>
    </w:p>
    <w:p w:rsidR="00B76F80" w:rsidRDefault="00B76F80" w:rsidP="00B76F80">
      <w:pPr>
        <w:pStyle w:val="BodyText"/>
      </w:pPr>
      <w:r>
        <w:t xml:space="preserve">The </w:t>
      </w:r>
      <w:r w:rsidR="00314A05">
        <w:t xml:space="preserve">Hon Bill Shorten MP, Minister for Employment and Workplace Relations and Minister for Financial Services and Superannuation </w:t>
      </w:r>
      <w:r>
        <w:t xml:space="preserve">makes </w:t>
      </w:r>
      <w:r w:rsidR="00E82968">
        <w:t xml:space="preserve">this </w:t>
      </w:r>
      <w:r w:rsidR="00314A05">
        <w:t xml:space="preserve">determination </w:t>
      </w:r>
      <w:r w:rsidR="004A3025">
        <w:t>dated 6 August 2</w:t>
      </w:r>
      <w:r w:rsidR="002E33AF">
        <w:t>01</w:t>
      </w:r>
      <w:r w:rsidR="004A3025">
        <w:t xml:space="preserve">2 </w:t>
      </w:r>
      <w:r w:rsidR="00314A05">
        <w:t>under</w:t>
      </w:r>
      <w:r>
        <w:t xml:space="preserve"> </w:t>
      </w:r>
      <w:r w:rsidR="00314A05">
        <w:t>paragraph</w:t>
      </w:r>
      <w:r w:rsidRPr="00E20A1B">
        <w:t xml:space="preserve"> 601</w:t>
      </w:r>
      <w:r w:rsidR="00314A05">
        <w:t>WBD(1)(b)</w:t>
      </w:r>
      <w:r>
        <w:t xml:space="preserve"> of the </w:t>
      </w:r>
      <w:r>
        <w:rPr>
          <w:i/>
          <w:iCs/>
        </w:rPr>
        <w:t>Corporations Act 2001</w:t>
      </w:r>
      <w:r>
        <w:t xml:space="preserve"> (the </w:t>
      </w:r>
      <w:r w:rsidRPr="00BC3D08">
        <w:rPr>
          <w:b/>
          <w:i/>
        </w:rPr>
        <w:t>Act</w:t>
      </w:r>
      <w:r>
        <w:t xml:space="preserve">). </w:t>
      </w:r>
    </w:p>
    <w:p w:rsidR="00B76F80" w:rsidRPr="00E20A1B" w:rsidRDefault="00CE7A97" w:rsidP="00B76F80">
      <w:pPr>
        <w:pStyle w:val="BodyText"/>
        <w:rPr>
          <w:lang w:val="en-US"/>
        </w:rPr>
      </w:pPr>
      <w:r>
        <w:t>P</w:t>
      </w:r>
      <w:r w:rsidR="00314A05">
        <w:t xml:space="preserve">aragraph 601WBD(1)(b) </w:t>
      </w:r>
      <w:r w:rsidR="008D72EF">
        <w:t>of the Act</w:t>
      </w:r>
      <w:r w:rsidR="00B76F80">
        <w:t xml:space="preserve"> provides that </w:t>
      </w:r>
      <w:r w:rsidR="00314A05">
        <w:t>the Minister's consent to the transfer of estate assets and liabilities is not required if the Minister has, in writing, determined that his or her consent is not required in relation to a class of transfers.</w:t>
      </w:r>
      <w:r w:rsidR="00257D80">
        <w:t xml:space="preserve"> </w:t>
      </w:r>
      <w:r w:rsidR="004A3025">
        <w:t xml:space="preserve">If the Ministerial determination is expressed to apply to a class of transfers, </w:t>
      </w:r>
      <w:r w:rsidR="00C5382E">
        <w:t xml:space="preserve">it </w:t>
      </w:r>
      <w:r w:rsidR="00257D80">
        <w:t>is a legislative instrument under subsection 601WBD(3) of the Act.</w:t>
      </w:r>
    </w:p>
    <w:p w:rsidR="00B76F80" w:rsidRDefault="00B76F80" w:rsidP="00B76F80">
      <w:pPr>
        <w:pStyle w:val="Heading1"/>
        <w:tabs>
          <w:tab w:val="clear" w:pos="879"/>
        </w:tabs>
        <w:overflowPunct/>
        <w:autoSpaceDE/>
        <w:autoSpaceDN/>
        <w:adjustRightInd/>
        <w:spacing w:after="60" w:line="240" w:lineRule="auto"/>
        <w:textAlignment w:val="auto"/>
        <w:rPr>
          <w:rFonts w:cs="Arial"/>
          <w:bCs/>
          <w:kern w:val="32"/>
          <w:sz w:val="24"/>
          <w:szCs w:val="32"/>
        </w:rPr>
      </w:pPr>
      <w:bookmarkStart w:id="0" w:name="_Toc158699036"/>
      <w:r>
        <w:rPr>
          <w:rFonts w:cs="Arial"/>
          <w:bCs/>
          <w:kern w:val="32"/>
          <w:sz w:val="24"/>
          <w:szCs w:val="32"/>
        </w:rPr>
        <w:t>1.</w:t>
      </w:r>
      <w:r>
        <w:rPr>
          <w:rFonts w:cs="Arial"/>
          <w:bCs/>
          <w:kern w:val="32"/>
          <w:sz w:val="24"/>
          <w:szCs w:val="32"/>
        </w:rPr>
        <w:tab/>
        <w:t>Background</w:t>
      </w:r>
      <w:bookmarkEnd w:id="0"/>
    </w:p>
    <w:p w:rsidR="00B76F80" w:rsidRDefault="00B76F80" w:rsidP="00B95A62">
      <w:pPr>
        <w:pStyle w:val="BodyText"/>
        <w:tabs>
          <w:tab w:val="clear" w:pos="567"/>
          <w:tab w:val="clear" w:pos="680"/>
        </w:tabs>
        <w:rPr>
          <w:iCs/>
          <w:lang w:val="en-US"/>
        </w:rPr>
      </w:pPr>
      <w:r w:rsidRPr="00647AFB">
        <w:rPr>
          <w:iCs/>
          <w:lang w:val="en-US"/>
        </w:rPr>
        <w:t xml:space="preserve">Chapter 5D of the Act </w:t>
      </w:r>
      <w:r w:rsidRPr="008F01BC">
        <w:rPr>
          <w:iCs/>
        </w:rPr>
        <w:t xml:space="preserve">implements the transfer of certain regulatory responsibilities from the </w:t>
      </w:r>
      <w:r>
        <w:rPr>
          <w:iCs/>
        </w:rPr>
        <w:t>S</w:t>
      </w:r>
      <w:r w:rsidRPr="008F01BC">
        <w:rPr>
          <w:iCs/>
        </w:rPr>
        <w:t xml:space="preserve">tates and </w:t>
      </w:r>
      <w:r>
        <w:rPr>
          <w:iCs/>
        </w:rPr>
        <w:t>T</w:t>
      </w:r>
      <w:r w:rsidRPr="008F01BC">
        <w:rPr>
          <w:iCs/>
        </w:rPr>
        <w:t>erritories to the Commonwealth</w:t>
      </w:r>
      <w:r w:rsidRPr="008F01BC">
        <w:rPr>
          <w:iCs/>
          <w:lang w:val="en-US"/>
        </w:rPr>
        <w:t xml:space="preserve"> </w:t>
      </w:r>
      <w:r>
        <w:rPr>
          <w:iCs/>
          <w:lang w:val="en-US"/>
        </w:rPr>
        <w:t xml:space="preserve">in relation to trustee companies that </w:t>
      </w:r>
      <w:r w:rsidRPr="008F01BC">
        <w:rPr>
          <w:iCs/>
          <w:lang w:val="en-US"/>
        </w:rPr>
        <w:t>provide “traditional trustee company services”, including performing estate management functions, preparing wills, applying for probate of a will and establishing and operating common funds.</w:t>
      </w:r>
      <w:r>
        <w:rPr>
          <w:iCs/>
          <w:lang w:val="en-US"/>
        </w:rPr>
        <w:t xml:space="preserve"> </w:t>
      </w:r>
    </w:p>
    <w:p w:rsidR="00040CFC" w:rsidRDefault="00B76F80" w:rsidP="00040CFC">
      <w:pPr>
        <w:pStyle w:val="BodyText"/>
        <w:rPr>
          <w:iCs/>
          <w:lang w:val="en-US"/>
        </w:rPr>
      </w:pPr>
      <w:r>
        <w:rPr>
          <w:iCs/>
          <w:lang w:val="en-US"/>
        </w:rPr>
        <w:t xml:space="preserve">The Chapter </w:t>
      </w:r>
      <w:r w:rsidRPr="008F01BC">
        <w:rPr>
          <w:iCs/>
        </w:rPr>
        <w:t>create</w:t>
      </w:r>
      <w:r>
        <w:rPr>
          <w:iCs/>
        </w:rPr>
        <w:t>d</w:t>
      </w:r>
      <w:r w:rsidRPr="008F01BC">
        <w:rPr>
          <w:iCs/>
        </w:rPr>
        <w:t xml:space="preserve"> a national licensing system for trustee companies</w:t>
      </w:r>
      <w:r w:rsidR="008D72EF">
        <w:rPr>
          <w:iCs/>
        </w:rPr>
        <w:t>. These trustee companies</w:t>
      </w:r>
      <w:r w:rsidRPr="008F01BC">
        <w:rPr>
          <w:iCs/>
        </w:rPr>
        <w:t xml:space="preserve"> </w:t>
      </w:r>
      <w:r>
        <w:rPr>
          <w:iCs/>
        </w:rPr>
        <w:t xml:space="preserve">are </w:t>
      </w:r>
      <w:r w:rsidRPr="008F01BC">
        <w:rPr>
          <w:iCs/>
        </w:rPr>
        <w:t>required to hold an Australian financial services licence covering the provision of traditional trustee company services</w:t>
      </w:r>
      <w:r>
        <w:rPr>
          <w:iCs/>
        </w:rPr>
        <w:t>.</w:t>
      </w:r>
      <w:r w:rsidR="00542F23">
        <w:rPr>
          <w:iCs/>
        </w:rPr>
        <w:t xml:space="preserve"> </w:t>
      </w:r>
      <w:r w:rsidR="00040CFC" w:rsidRPr="00040CFC">
        <w:rPr>
          <w:iCs/>
        </w:rPr>
        <w:t xml:space="preserve"> </w:t>
      </w:r>
      <w:r w:rsidR="00040CFC">
        <w:rPr>
          <w:iCs/>
        </w:rPr>
        <w:t>The trustee companies to which Chapter 5D of the Act applies are those companies</w:t>
      </w:r>
      <w:r w:rsidR="00040CFC" w:rsidRPr="00647AFB">
        <w:rPr>
          <w:iCs/>
          <w:lang w:val="en-US"/>
        </w:rPr>
        <w:t xml:space="preserve"> listed in Schedule</w:t>
      </w:r>
      <w:r w:rsidR="00040CFC">
        <w:rPr>
          <w:iCs/>
          <w:lang w:val="en-US"/>
        </w:rPr>
        <w:t> </w:t>
      </w:r>
      <w:r w:rsidR="00040CFC" w:rsidRPr="00647AFB">
        <w:rPr>
          <w:iCs/>
          <w:lang w:val="en-US"/>
        </w:rPr>
        <w:t xml:space="preserve">8AA to the </w:t>
      </w:r>
      <w:r w:rsidR="00040CFC" w:rsidRPr="0091498B">
        <w:rPr>
          <w:iCs/>
          <w:lang w:val="en-US"/>
        </w:rPr>
        <w:t>Corporations Regulations 2001</w:t>
      </w:r>
      <w:r w:rsidR="00040CFC">
        <w:rPr>
          <w:iCs/>
          <w:lang w:val="en-US"/>
        </w:rPr>
        <w:t xml:space="preserve">.  </w:t>
      </w:r>
    </w:p>
    <w:p w:rsidR="008D72EF" w:rsidRDefault="00040CFC" w:rsidP="00B76F80">
      <w:pPr>
        <w:pStyle w:val="BodyText"/>
        <w:rPr>
          <w:iCs/>
        </w:rPr>
      </w:pPr>
      <w:r w:rsidRPr="00040CFC">
        <w:rPr>
          <w:iCs/>
        </w:rPr>
        <w:t xml:space="preserve">Under the former </w:t>
      </w:r>
      <w:r>
        <w:rPr>
          <w:iCs/>
        </w:rPr>
        <w:t>S</w:t>
      </w:r>
      <w:r w:rsidRPr="00040CFC">
        <w:rPr>
          <w:iCs/>
        </w:rPr>
        <w:t xml:space="preserve">tate and </w:t>
      </w:r>
      <w:r>
        <w:rPr>
          <w:iCs/>
        </w:rPr>
        <w:t>T</w:t>
      </w:r>
      <w:r w:rsidRPr="00040CFC">
        <w:rPr>
          <w:iCs/>
        </w:rPr>
        <w:t xml:space="preserve">erritory regulatory regimes for trustee companies, many corporate groups operated subsidiaries </w:t>
      </w:r>
      <w:r>
        <w:rPr>
          <w:iCs/>
        </w:rPr>
        <w:t xml:space="preserve">in the States and Territories. </w:t>
      </w:r>
      <w:r w:rsidRPr="00040CFC">
        <w:rPr>
          <w:iCs/>
        </w:rPr>
        <w:t>The function of the subsidiaries was to hold the relevant trustee company authorisation in that jur</w:t>
      </w:r>
      <w:r>
        <w:rPr>
          <w:iCs/>
        </w:rPr>
        <w:t xml:space="preserve">isdiction. </w:t>
      </w:r>
      <w:r w:rsidRPr="00040CFC">
        <w:rPr>
          <w:iCs/>
        </w:rPr>
        <w:t>Following the introduction of the national regulatory framework for trustee companies, many corporate groups want to consolidate their traditional service business and transfer that business to a single Australian financial service licensee.</w:t>
      </w:r>
    </w:p>
    <w:p w:rsidR="00065887" w:rsidRDefault="00101126" w:rsidP="00B76F80">
      <w:pPr>
        <w:pStyle w:val="BodyText"/>
        <w:rPr>
          <w:iCs/>
          <w:lang w:val="en-US"/>
        </w:rPr>
      </w:pPr>
      <w:r w:rsidRPr="00101126">
        <w:rPr>
          <w:iCs/>
          <w:lang w:val="en-US"/>
        </w:rPr>
        <w:t>Part 5D.6 of the Act governs ASIC-approved transfers of estate assets and liabilities from one licensed trustee company to another</w:t>
      </w:r>
      <w:r>
        <w:rPr>
          <w:iCs/>
          <w:lang w:val="en-US"/>
        </w:rPr>
        <w:t>.</w:t>
      </w:r>
      <w:r w:rsidR="00040CFC">
        <w:rPr>
          <w:iCs/>
          <w:lang w:val="en-US"/>
        </w:rPr>
        <w:t xml:space="preserve"> </w:t>
      </w:r>
      <w:r w:rsidR="00CE7A97">
        <w:rPr>
          <w:iCs/>
          <w:lang w:val="en-US"/>
        </w:rPr>
        <w:t>Under subsection 601WBA(1)</w:t>
      </w:r>
      <w:r w:rsidR="00BB1DBC">
        <w:rPr>
          <w:iCs/>
          <w:lang w:val="en-US"/>
        </w:rPr>
        <w:t xml:space="preserve"> of the Act</w:t>
      </w:r>
      <w:r w:rsidR="00CE7A97">
        <w:rPr>
          <w:iCs/>
          <w:lang w:val="en-US"/>
        </w:rPr>
        <w:t xml:space="preserve">, ASIC may, in writing, make a determination (a </w:t>
      </w:r>
      <w:r w:rsidR="00CE7A97">
        <w:rPr>
          <w:b/>
          <w:i/>
          <w:iCs/>
          <w:lang w:val="en-US"/>
        </w:rPr>
        <w:t>transfer determination</w:t>
      </w:r>
      <w:r w:rsidR="00002BD3">
        <w:rPr>
          <w:iCs/>
          <w:lang w:val="en-US"/>
        </w:rPr>
        <w:t>)</w:t>
      </w:r>
      <w:r w:rsidR="00002BD3">
        <w:rPr>
          <w:b/>
          <w:i/>
          <w:iCs/>
          <w:lang w:val="en-US"/>
        </w:rPr>
        <w:t xml:space="preserve"> </w:t>
      </w:r>
      <w:r w:rsidR="00002BD3">
        <w:rPr>
          <w:iCs/>
          <w:lang w:val="en-US"/>
        </w:rPr>
        <w:t>that</w:t>
      </w:r>
      <w:r w:rsidR="00CE7A97">
        <w:rPr>
          <w:iCs/>
          <w:lang w:val="en-US"/>
        </w:rPr>
        <w:t xml:space="preserve"> there is to be a transfer of estate assets and liabilities from a specified </w:t>
      </w:r>
      <w:r w:rsidR="00C5382E">
        <w:rPr>
          <w:iCs/>
          <w:lang w:val="en-US"/>
        </w:rPr>
        <w:t xml:space="preserve">trustee </w:t>
      </w:r>
      <w:r w:rsidR="00CE7A97">
        <w:rPr>
          <w:iCs/>
          <w:lang w:val="en-US"/>
        </w:rPr>
        <w:t xml:space="preserve">company to another specified </w:t>
      </w:r>
      <w:r w:rsidR="00C5382E">
        <w:rPr>
          <w:iCs/>
          <w:lang w:val="en-US"/>
        </w:rPr>
        <w:t xml:space="preserve">trustee </w:t>
      </w:r>
      <w:r w:rsidR="00CE7A97">
        <w:rPr>
          <w:iCs/>
          <w:lang w:val="en-US"/>
        </w:rPr>
        <w:t xml:space="preserve">company. </w:t>
      </w:r>
      <w:r>
        <w:rPr>
          <w:iCs/>
          <w:lang w:val="en-US"/>
        </w:rPr>
        <w:t xml:space="preserve"> </w:t>
      </w:r>
      <w:r w:rsidR="00CE7A97">
        <w:rPr>
          <w:iCs/>
          <w:lang w:val="en-US"/>
        </w:rPr>
        <w:t xml:space="preserve">ASIC may make the transfer determination </w:t>
      </w:r>
      <w:r w:rsidR="00CE7A97">
        <w:rPr>
          <w:iCs/>
          <w:lang w:val="en-US"/>
        </w:rPr>
        <w:lastRenderedPageBreak/>
        <w:t xml:space="preserve">only if the Minister has consented to the transfer or if the Minister's consent to the transfer is not required </w:t>
      </w:r>
      <w:r w:rsidR="001A342B">
        <w:rPr>
          <w:iCs/>
          <w:lang w:val="en-US"/>
        </w:rPr>
        <w:t>(see</w:t>
      </w:r>
      <w:r w:rsidR="00CE7A97">
        <w:rPr>
          <w:iCs/>
          <w:lang w:val="en-US"/>
        </w:rPr>
        <w:t xml:space="preserve"> section 601WBD</w:t>
      </w:r>
      <w:r w:rsidR="001A342B">
        <w:rPr>
          <w:iCs/>
          <w:lang w:val="en-US"/>
        </w:rPr>
        <w:t>)</w:t>
      </w:r>
      <w:r w:rsidR="00CE7A97">
        <w:rPr>
          <w:iCs/>
          <w:lang w:val="en-US"/>
        </w:rPr>
        <w:t>.</w:t>
      </w:r>
    </w:p>
    <w:p w:rsidR="00B76F80" w:rsidRDefault="00B76F80" w:rsidP="00B76F80">
      <w:pPr>
        <w:pStyle w:val="Heading1"/>
        <w:tabs>
          <w:tab w:val="clear" w:pos="879"/>
        </w:tabs>
        <w:overflowPunct/>
        <w:autoSpaceDE/>
        <w:autoSpaceDN/>
        <w:adjustRightInd/>
        <w:spacing w:after="60" w:line="240" w:lineRule="auto"/>
        <w:textAlignment w:val="auto"/>
        <w:rPr>
          <w:rFonts w:cs="Arial"/>
          <w:bCs/>
          <w:kern w:val="32"/>
          <w:sz w:val="24"/>
          <w:szCs w:val="32"/>
        </w:rPr>
      </w:pPr>
      <w:bookmarkStart w:id="1" w:name="_Toc158699037"/>
      <w:r>
        <w:rPr>
          <w:rFonts w:cs="Arial"/>
          <w:bCs/>
          <w:kern w:val="32"/>
          <w:sz w:val="24"/>
          <w:szCs w:val="32"/>
        </w:rPr>
        <w:t>2.</w:t>
      </w:r>
      <w:r>
        <w:rPr>
          <w:rFonts w:cs="Arial"/>
          <w:bCs/>
          <w:kern w:val="32"/>
          <w:sz w:val="24"/>
          <w:szCs w:val="32"/>
        </w:rPr>
        <w:tab/>
        <w:t xml:space="preserve">Purpose of the </w:t>
      </w:r>
      <w:bookmarkEnd w:id="1"/>
      <w:r w:rsidR="00101126">
        <w:rPr>
          <w:rFonts w:cs="Arial"/>
          <w:bCs/>
          <w:kern w:val="32"/>
          <w:sz w:val="24"/>
          <w:szCs w:val="32"/>
        </w:rPr>
        <w:t>M</w:t>
      </w:r>
      <w:r w:rsidR="00065887">
        <w:rPr>
          <w:rFonts w:cs="Arial"/>
          <w:bCs/>
          <w:kern w:val="32"/>
          <w:sz w:val="24"/>
          <w:szCs w:val="32"/>
        </w:rPr>
        <w:t>inisterial determination</w:t>
      </w:r>
    </w:p>
    <w:p w:rsidR="00797B16" w:rsidRDefault="00806F2E" w:rsidP="0090725E">
      <w:pPr>
        <w:pStyle w:val="BodyText"/>
        <w:tabs>
          <w:tab w:val="clear" w:pos="567"/>
          <w:tab w:val="clear" w:pos="680"/>
        </w:tabs>
        <w:rPr>
          <w:lang w:val="en-US"/>
        </w:rPr>
      </w:pPr>
      <w:r>
        <w:rPr>
          <w:lang w:val="en-US"/>
        </w:rPr>
        <w:t>The purpose of this</w:t>
      </w:r>
      <w:r w:rsidR="00797B16">
        <w:rPr>
          <w:lang w:val="en-US"/>
        </w:rPr>
        <w:t xml:space="preserve"> </w:t>
      </w:r>
      <w:r w:rsidR="00BB1DBC">
        <w:rPr>
          <w:lang w:val="en-US"/>
        </w:rPr>
        <w:t>M</w:t>
      </w:r>
      <w:r w:rsidR="00D65831">
        <w:rPr>
          <w:lang w:val="en-US"/>
        </w:rPr>
        <w:t xml:space="preserve">inisterial determination is to </w:t>
      </w:r>
      <w:r w:rsidR="00915983">
        <w:rPr>
          <w:lang w:val="en-US"/>
        </w:rPr>
        <w:t>remove the requirement for the Minister’s</w:t>
      </w:r>
      <w:r w:rsidR="00D65831">
        <w:rPr>
          <w:lang w:val="en-US"/>
        </w:rPr>
        <w:t xml:space="preserve"> consent to the transfer of estate assets and liabilities for a particular class of transfers under paragraph 601WBD(1)(b)</w:t>
      </w:r>
      <w:r w:rsidR="00BB1DBC">
        <w:rPr>
          <w:lang w:val="en-US"/>
        </w:rPr>
        <w:t xml:space="preserve"> of the Act</w:t>
      </w:r>
      <w:r w:rsidR="00D65831">
        <w:rPr>
          <w:lang w:val="en-US"/>
        </w:rPr>
        <w:t>.</w:t>
      </w:r>
      <w:r w:rsidR="001F4363">
        <w:rPr>
          <w:lang w:val="en-US"/>
        </w:rPr>
        <w:t xml:space="preserve"> </w:t>
      </w:r>
    </w:p>
    <w:p w:rsidR="00B76F80" w:rsidRDefault="00B76F80" w:rsidP="00B76F80">
      <w:pPr>
        <w:pStyle w:val="Heading1"/>
        <w:tabs>
          <w:tab w:val="clear" w:pos="879"/>
        </w:tabs>
        <w:overflowPunct/>
        <w:autoSpaceDE/>
        <w:autoSpaceDN/>
        <w:adjustRightInd/>
        <w:spacing w:after="60" w:line="240" w:lineRule="auto"/>
        <w:textAlignment w:val="auto"/>
        <w:rPr>
          <w:rFonts w:cs="Arial"/>
          <w:bCs/>
          <w:kern w:val="32"/>
          <w:sz w:val="24"/>
          <w:szCs w:val="32"/>
        </w:rPr>
      </w:pPr>
      <w:bookmarkStart w:id="2" w:name="_Toc158699040"/>
      <w:r>
        <w:rPr>
          <w:rFonts w:cs="Arial"/>
          <w:bCs/>
          <w:kern w:val="32"/>
          <w:sz w:val="24"/>
          <w:szCs w:val="32"/>
        </w:rPr>
        <w:t>3.</w:t>
      </w:r>
      <w:r>
        <w:rPr>
          <w:rFonts w:cs="Arial"/>
          <w:bCs/>
          <w:kern w:val="32"/>
          <w:sz w:val="24"/>
          <w:szCs w:val="32"/>
        </w:rPr>
        <w:tab/>
        <w:t xml:space="preserve">Operation of the </w:t>
      </w:r>
      <w:bookmarkEnd w:id="2"/>
      <w:r w:rsidR="00BB1DBC">
        <w:rPr>
          <w:rFonts w:cs="Arial"/>
          <w:bCs/>
          <w:kern w:val="32"/>
          <w:sz w:val="24"/>
          <w:szCs w:val="32"/>
        </w:rPr>
        <w:t>M</w:t>
      </w:r>
      <w:r w:rsidR="00E82968">
        <w:rPr>
          <w:rFonts w:cs="Arial"/>
          <w:bCs/>
          <w:kern w:val="32"/>
          <w:sz w:val="24"/>
          <w:szCs w:val="32"/>
        </w:rPr>
        <w:t>inisterial determination</w:t>
      </w:r>
    </w:p>
    <w:p w:rsidR="002D1CA2" w:rsidRDefault="00B76F80" w:rsidP="00A75394">
      <w:pPr>
        <w:pStyle w:val="BodyText"/>
        <w:tabs>
          <w:tab w:val="clear" w:pos="567"/>
          <w:tab w:val="clear" w:pos="680"/>
        </w:tabs>
        <w:rPr>
          <w:lang w:val="en-US"/>
        </w:rPr>
      </w:pPr>
      <w:r w:rsidRPr="00927492">
        <w:rPr>
          <w:lang w:val="en-US"/>
        </w:rPr>
        <w:t xml:space="preserve">This </w:t>
      </w:r>
      <w:r w:rsidR="00BB1DBC">
        <w:rPr>
          <w:lang w:val="en-US"/>
        </w:rPr>
        <w:t>M</w:t>
      </w:r>
      <w:r w:rsidR="008E55BA">
        <w:rPr>
          <w:lang w:val="en-US"/>
        </w:rPr>
        <w:t xml:space="preserve">inisterial determination </w:t>
      </w:r>
      <w:r w:rsidR="00FC2339">
        <w:rPr>
          <w:lang w:val="en-US"/>
        </w:rPr>
        <w:t>under paragraph 601WBD(1)(b)</w:t>
      </w:r>
      <w:r w:rsidR="00BB1DBC">
        <w:rPr>
          <w:lang w:val="en-US"/>
        </w:rPr>
        <w:t xml:space="preserve"> of the Act</w:t>
      </w:r>
      <w:r w:rsidR="00FC2339">
        <w:rPr>
          <w:lang w:val="en-US"/>
        </w:rPr>
        <w:t xml:space="preserve"> </w:t>
      </w:r>
      <w:r w:rsidR="008E55BA">
        <w:rPr>
          <w:lang w:val="en-US"/>
        </w:rPr>
        <w:t>operates so that consent from the Minister</w:t>
      </w:r>
      <w:r w:rsidR="00FC2339">
        <w:rPr>
          <w:lang w:val="en-US"/>
        </w:rPr>
        <w:t xml:space="preserve"> under subparagraph 601WBA(2)(a)(i)</w:t>
      </w:r>
      <w:r w:rsidR="008E55BA">
        <w:rPr>
          <w:lang w:val="en-US"/>
        </w:rPr>
        <w:t xml:space="preserve"> is not required for:</w:t>
      </w:r>
    </w:p>
    <w:p w:rsidR="00A75394" w:rsidRPr="00A75394" w:rsidRDefault="008E55BA" w:rsidP="00E04C83">
      <w:pPr>
        <w:pStyle w:val="BodyText"/>
        <w:numPr>
          <w:ilvl w:val="0"/>
          <w:numId w:val="10"/>
        </w:numPr>
        <w:tabs>
          <w:tab w:val="clear" w:pos="567"/>
          <w:tab w:val="clear" w:pos="680"/>
        </w:tabs>
        <w:rPr>
          <w:lang w:val="en-US"/>
        </w:rPr>
      </w:pPr>
      <w:r>
        <w:rPr>
          <w:lang w:val="en-US"/>
        </w:rPr>
        <w:t xml:space="preserve">all voluntary transfers of estate assets and liabilities between companies within the same corporate group (an </w:t>
      </w:r>
      <w:r>
        <w:rPr>
          <w:b/>
          <w:i/>
          <w:lang w:val="en-US"/>
        </w:rPr>
        <w:t>intra-group transfer</w:t>
      </w:r>
      <w:r>
        <w:rPr>
          <w:lang w:val="en-US"/>
        </w:rPr>
        <w:t>)</w:t>
      </w:r>
      <w:r w:rsidR="00C5382E">
        <w:rPr>
          <w:lang w:val="en-US"/>
        </w:rPr>
        <w:t xml:space="preserve"> </w:t>
      </w:r>
      <w:r w:rsidR="00E201E3">
        <w:rPr>
          <w:lang w:val="en-US"/>
        </w:rPr>
        <w:t>; and</w:t>
      </w:r>
    </w:p>
    <w:p w:rsidR="002D1CA2" w:rsidRDefault="008E55BA" w:rsidP="00E04C83">
      <w:pPr>
        <w:pStyle w:val="BodyText"/>
        <w:numPr>
          <w:ilvl w:val="0"/>
          <w:numId w:val="10"/>
        </w:numPr>
        <w:tabs>
          <w:tab w:val="clear" w:pos="567"/>
          <w:tab w:val="clear" w:pos="680"/>
        </w:tabs>
        <w:rPr>
          <w:lang w:val="en-US"/>
        </w:rPr>
      </w:pPr>
      <w:r>
        <w:rPr>
          <w:lang w:val="en-US"/>
        </w:rPr>
        <w:t xml:space="preserve">voluntary transfers between unrelated companies (an </w:t>
      </w:r>
      <w:r>
        <w:rPr>
          <w:b/>
          <w:i/>
          <w:lang w:val="en-US"/>
        </w:rPr>
        <w:t>arm's length transfer</w:t>
      </w:r>
      <w:r>
        <w:rPr>
          <w:lang w:val="en-US"/>
        </w:rPr>
        <w:t>).</w:t>
      </w:r>
      <w:r w:rsidR="00FC4891">
        <w:rPr>
          <w:lang w:val="en-US"/>
        </w:rPr>
        <w:t xml:space="preserve"> </w:t>
      </w:r>
    </w:p>
    <w:p w:rsidR="00BB1DBC" w:rsidRDefault="00BB1DBC" w:rsidP="00BB1DBC">
      <w:pPr>
        <w:pStyle w:val="BodyText"/>
        <w:tabs>
          <w:tab w:val="clear" w:pos="567"/>
          <w:tab w:val="clear" w:pos="680"/>
        </w:tabs>
        <w:rPr>
          <w:lang w:val="en-US"/>
        </w:rPr>
      </w:pPr>
      <w:r>
        <w:rPr>
          <w:lang w:val="en-US"/>
        </w:rPr>
        <w:t>An intra-group transfer is a transfer between companies that are related bodies corporate by virtue of s50 of the Act.  A transfer that is between unrelated companies is a transfer between companies that are not related bodies corporate by virtue of s50 of the Act.</w:t>
      </w:r>
    </w:p>
    <w:p w:rsidR="00B37DEB" w:rsidRDefault="00B37DEB">
      <w:pPr>
        <w:pStyle w:val="BodyText"/>
        <w:rPr>
          <w:rFonts w:cs="Arial"/>
          <w:bCs/>
          <w:kern w:val="32"/>
          <w:szCs w:val="32"/>
        </w:rPr>
      </w:pPr>
      <w:bookmarkStart w:id="3" w:name="_Toc158699042"/>
    </w:p>
    <w:p w:rsidR="00B95A62" w:rsidRPr="00B95A62" w:rsidRDefault="008A116C" w:rsidP="00B95A62">
      <w:pPr>
        <w:jc w:val="both"/>
        <w:rPr>
          <w:rFonts w:ascii="Arial" w:hAnsi="Arial" w:cs="Arial"/>
          <w:b/>
          <w:bCs/>
        </w:rPr>
      </w:pPr>
      <w:r w:rsidRPr="008A116C">
        <w:rPr>
          <w:rFonts w:ascii="Arial" w:hAnsi="Arial" w:cs="Arial"/>
          <w:b/>
          <w:bCs/>
        </w:rPr>
        <w:t>4.</w:t>
      </w:r>
      <w:r w:rsidRPr="008A116C">
        <w:rPr>
          <w:rFonts w:ascii="Arial" w:hAnsi="Arial" w:cs="Arial"/>
          <w:b/>
          <w:bCs/>
        </w:rPr>
        <w:tab/>
        <w:t xml:space="preserve">Statement of Compatibility with Human Rights </w:t>
      </w:r>
    </w:p>
    <w:p w:rsidR="00B95A62" w:rsidRDefault="00B95A62" w:rsidP="00B95A62">
      <w:pPr>
        <w:jc w:val="both"/>
        <w:rPr>
          <w:bCs/>
        </w:rPr>
      </w:pPr>
    </w:p>
    <w:p w:rsidR="00B95A62" w:rsidRDefault="00B95A62" w:rsidP="00B95A62">
      <w:pPr>
        <w:jc w:val="both"/>
        <w:rPr>
          <w:bCs/>
        </w:rPr>
      </w:pPr>
      <w:r>
        <w:rPr>
          <w:bCs/>
        </w:rPr>
        <w:t xml:space="preserve">This statement is prepared in accordance with Part 3 of the </w:t>
      </w:r>
      <w:r w:rsidRPr="00CB68B9">
        <w:rPr>
          <w:bCs/>
          <w:i/>
        </w:rPr>
        <w:t>Human Rights (Parliamentary Scrutiny) Act 2011</w:t>
      </w:r>
      <w:r>
        <w:rPr>
          <w:bCs/>
        </w:rPr>
        <w:t xml:space="preserve">. </w:t>
      </w:r>
    </w:p>
    <w:p w:rsidR="00B95A62" w:rsidRDefault="00B95A62" w:rsidP="00B95A62">
      <w:pPr>
        <w:jc w:val="both"/>
        <w:rPr>
          <w:bCs/>
        </w:rPr>
      </w:pPr>
    </w:p>
    <w:p w:rsidR="006107C0" w:rsidRDefault="00770935">
      <w:pPr>
        <w:keepNext/>
        <w:keepLines/>
        <w:jc w:val="both"/>
        <w:rPr>
          <w:bCs/>
          <w:u w:val="single"/>
        </w:rPr>
      </w:pPr>
      <w:r w:rsidRPr="00770935">
        <w:rPr>
          <w:bCs/>
          <w:u w:val="single"/>
        </w:rPr>
        <w:t>Overview of the Legislative Instrument</w:t>
      </w:r>
    </w:p>
    <w:p w:rsidR="006107C0" w:rsidRDefault="00746B13">
      <w:pPr>
        <w:keepNext/>
        <w:keepLines/>
        <w:jc w:val="both"/>
        <w:rPr>
          <w:bCs/>
        </w:rPr>
      </w:pPr>
      <w:r w:rsidRPr="00CF7D5D">
        <w:rPr>
          <w:bCs/>
        </w:rPr>
        <w:t>The purpose of the Legislative Instrument is to</w:t>
      </w:r>
      <w:r w:rsidR="00CF7D5D">
        <w:rPr>
          <w:bCs/>
        </w:rPr>
        <w:t xml:space="preserve"> </w:t>
      </w:r>
      <w:r w:rsidR="00CF7D5D" w:rsidRPr="00CF7D5D">
        <w:rPr>
          <w:bCs/>
        </w:rPr>
        <w:t>is to remove the requirement for the Minister’s consent to the transfer of estate assets and liabilities for a particular class of transfers under paragraph 601WBD(1)(b) of the Act</w:t>
      </w:r>
      <w:r w:rsidR="00CF7D5D">
        <w:rPr>
          <w:bCs/>
        </w:rPr>
        <w:t>.</w:t>
      </w:r>
    </w:p>
    <w:p w:rsidR="006107C0" w:rsidRDefault="006107C0">
      <w:pPr>
        <w:keepNext/>
        <w:keepLines/>
        <w:jc w:val="both"/>
        <w:rPr>
          <w:bCs/>
        </w:rPr>
      </w:pPr>
    </w:p>
    <w:p w:rsidR="00746B13" w:rsidRPr="00721B1C" w:rsidRDefault="00770935">
      <w:pPr>
        <w:jc w:val="both"/>
        <w:rPr>
          <w:bCs/>
          <w:u w:val="single"/>
        </w:rPr>
      </w:pPr>
      <w:bookmarkStart w:id="4" w:name="_GoBack"/>
      <w:r w:rsidRPr="00770935">
        <w:rPr>
          <w:bCs/>
          <w:u w:val="single"/>
        </w:rPr>
        <w:t>Human rights implications</w:t>
      </w:r>
    </w:p>
    <w:bookmarkEnd w:id="4"/>
    <w:p w:rsidR="00B37DEB" w:rsidRDefault="00B95A62">
      <w:pPr>
        <w:jc w:val="both"/>
        <w:rPr>
          <w:rFonts w:cs="Arial"/>
          <w:bCs/>
          <w:kern w:val="32"/>
          <w:szCs w:val="32"/>
        </w:rPr>
      </w:pPr>
      <w:r>
        <w:rPr>
          <w:bCs/>
        </w:rPr>
        <w:t xml:space="preserve">This </w:t>
      </w:r>
      <w:r w:rsidR="009D1DAA">
        <w:rPr>
          <w:bCs/>
        </w:rPr>
        <w:t>l</w:t>
      </w:r>
      <w:r>
        <w:rPr>
          <w:bCs/>
        </w:rPr>
        <w:t xml:space="preserve">egislative </w:t>
      </w:r>
      <w:r w:rsidR="009D1DAA">
        <w:rPr>
          <w:bCs/>
        </w:rPr>
        <w:t>i</w:t>
      </w:r>
      <w:r>
        <w:rPr>
          <w:bCs/>
        </w:rPr>
        <w:t xml:space="preserve">nstrument is compatible with the human rights and freedoms recognised or declared in the international instruments listed in section 3 of the </w:t>
      </w:r>
      <w:r w:rsidRPr="00765283">
        <w:rPr>
          <w:bCs/>
          <w:i/>
        </w:rPr>
        <w:t>Human Rights (Parliamentary Scrutiny) Act 2011</w:t>
      </w:r>
      <w:r>
        <w:rPr>
          <w:bCs/>
          <w:i/>
        </w:rPr>
        <w:t xml:space="preserve"> </w:t>
      </w:r>
      <w:r>
        <w:rPr>
          <w:bCs/>
        </w:rPr>
        <w:t>because it does not engage any of the applicable rights or freedoms.</w:t>
      </w:r>
    </w:p>
    <w:p w:rsidR="00B76F80" w:rsidRDefault="00B95A62" w:rsidP="00B76F80">
      <w:pPr>
        <w:pStyle w:val="Heading1"/>
        <w:tabs>
          <w:tab w:val="clear" w:pos="879"/>
        </w:tabs>
        <w:overflowPunct/>
        <w:autoSpaceDE/>
        <w:autoSpaceDN/>
        <w:adjustRightInd/>
        <w:spacing w:after="60" w:line="240" w:lineRule="auto"/>
        <w:textAlignment w:val="auto"/>
        <w:rPr>
          <w:rFonts w:cs="Arial"/>
          <w:bCs/>
          <w:kern w:val="32"/>
          <w:sz w:val="24"/>
          <w:szCs w:val="32"/>
        </w:rPr>
      </w:pPr>
      <w:r>
        <w:rPr>
          <w:rFonts w:cs="Arial"/>
          <w:bCs/>
          <w:kern w:val="32"/>
          <w:sz w:val="24"/>
          <w:szCs w:val="32"/>
        </w:rPr>
        <w:t>5</w:t>
      </w:r>
      <w:r w:rsidR="00B76F80">
        <w:rPr>
          <w:rFonts w:cs="Arial"/>
          <w:bCs/>
          <w:kern w:val="32"/>
          <w:sz w:val="24"/>
          <w:szCs w:val="32"/>
        </w:rPr>
        <w:t>.</w:t>
      </w:r>
      <w:r w:rsidR="00B76F80">
        <w:rPr>
          <w:rFonts w:cs="Arial"/>
          <w:bCs/>
          <w:kern w:val="32"/>
          <w:sz w:val="24"/>
          <w:szCs w:val="32"/>
        </w:rPr>
        <w:tab/>
        <w:t>Consultation</w:t>
      </w:r>
      <w:bookmarkEnd w:id="3"/>
    </w:p>
    <w:p w:rsidR="00B76F80" w:rsidRPr="00EE6B3D" w:rsidRDefault="00B76F80" w:rsidP="00B76F80">
      <w:pPr>
        <w:pStyle w:val="CommentText"/>
      </w:pPr>
    </w:p>
    <w:p w:rsidR="006107C0" w:rsidRDefault="003446F9">
      <w:pPr>
        <w:rPr>
          <w:lang w:val="en-US"/>
        </w:rPr>
      </w:pPr>
      <w:r>
        <w:rPr>
          <w:lang w:val="en-US"/>
        </w:rPr>
        <w:t>ASIC has consulted with t</w:t>
      </w:r>
      <w:r w:rsidR="00915983">
        <w:rPr>
          <w:lang w:val="en-US"/>
        </w:rPr>
        <w:t xml:space="preserve">he Treasury in relation to this determination.  No further consultation was undertaken as the </w:t>
      </w:r>
      <w:r w:rsidR="002D6341">
        <w:rPr>
          <w:lang w:val="en-US"/>
        </w:rPr>
        <w:t>determination</w:t>
      </w:r>
      <w:r w:rsidR="00915983">
        <w:rPr>
          <w:lang w:val="en-US"/>
        </w:rPr>
        <w:t xml:space="preserve"> is of a minor or machinery nature.</w:t>
      </w:r>
      <w:r w:rsidR="006B00C4">
        <w:rPr>
          <w:lang w:val="en-US"/>
        </w:rPr>
        <w:tab/>
      </w:r>
    </w:p>
    <w:sectPr w:rsidR="006107C0" w:rsidSect="00065887">
      <w:headerReference w:type="even" r:id="rId8"/>
      <w:headerReference w:type="default" r:id="rId9"/>
      <w:footerReference w:type="default" r:id="rId10"/>
      <w:headerReference w:type="first" r:id="rId11"/>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8CB" w:rsidRDefault="008E48CB" w:rsidP="00A4388C">
      <w:r>
        <w:separator/>
      </w:r>
    </w:p>
  </w:endnote>
  <w:endnote w:type="continuationSeparator" w:id="0">
    <w:p w:rsidR="008E48CB" w:rsidRDefault="008E48CB" w:rsidP="00A438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87" w:rsidRPr="002D10D6" w:rsidRDefault="00065887">
    <w:pPr>
      <w:pStyle w:val="Footer"/>
      <w:rPr>
        <w:sz w:val="22"/>
        <w:szCs w:val="22"/>
      </w:rPr>
    </w:pPr>
  </w:p>
  <w:p w:rsidR="00065887" w:rsidRDefault="00065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8CB" w:rsidRDefault="008E48CB" w:rsidP="00A4388C">
      <w:r>
        <w:separator/>
      </w:r>
    </w:p>
  </w:footnote>
  <w:footnote w:type="continuationSeparator" w:id="0">
    <w:p w:rsidR="008E48CB" w:rsidRDefault="008E48CB" w:rsidP="00A43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87" w:rsidRDefault="009F00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4" type="#_x0000_t136" style="position:absolute;margin-left:0;margin-top:0;width:418.5pt;height:16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87" w:rsidRDefault="009F0081">
    <w:pPr>
      <w:pStyle w:val="Header"/>
      <w:jc w:val="center"/>
    </w:pPr>
    <w:sdt>
      <w:sdtPr>
        <w:id w:val="-2064483217"/>
        <w:docPartObj>
          <w:docPartGallery w:val="Page Numbers (Top of Page)"/>
          <w:docPartUnique/>
        </w:docPartObj>
      </w:sdtPr>
      <w:sdtContent>
        <w:r>
          <w:fldChar w:fldCharType="begin"/>
        </w:r>
        <w:r w:rsidR="003446F9">
          <w:instrText xml:space="preserve"> PAGE   \* MERGEFORMAT </w:instrText>
        </w:r>
        <w:r>
          <w:fldChar w:fldCharType="separate"/>
        </w:r>
        <w:r w:rsidR="002E33AF">
          <w:rPr>
            <w:noProof/>
          </w:rPr>
          <w:t>1</w:t>
        </w:r>
        <w:r>
          <w:rPr>
            <w:noProof/>
          </w:rPr>
          <w:fldChar w:fldCharType="end"/>
        </w:r>
      </w:sdtContent>
    </w:sdt>
  </w:p>
  <w:p w:rsidR="00065887" w:rsidRDefault="000658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87" w:rsidRDefault="00065887">
    <w:pPr>
      <w:pStyle w:val="Header"/>
      <w:jc w:val="center"/>
    </w:pPr>
  </w:p>
  <w:sdt>
    <w:sdtPr>
      <w:id w:val="492372786"/>
      <w:docPartObj>
        <w:docPartGallery w:val="Page Numbers (Top of Page)"/>
        <w:docPartUnique/>
      </w:docPartObj>
    </w:sdtPr>
    <w:sdtContent>
      <w:p w:rsidR="00065887" w:rsidRDefault="00065887">
        <w:pPr>
          <w:pStyle w:val="Header"/>
          <w:jc w:val="center"/>
        </w:pPr>
      </w:p>
      <w:p w:rsidR="00065887" w:rsidRDefault="009F0081">
        <w:pPr>
          <w:pStyle w:val="Header"/>
          <w:jc w:val="center"/>
        </w:pPr>
      </w:p>
    </w:sdtContent>
  </w:sdt>
  <w:p w:rsidR="00065887" w:rsidRDefault="000658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65A"/>
    <w:multiLevelType w:val="hybridMultilevel"/>
    <w:tmpl w:val="73B2E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AC03BC"/>
    <w:multiLevelType w:val="hybridMultilevel"/>
    <w:tmpl w:val="BA9C7B34"/>
    <w:lvl w:ilvl="0" w:tplc="BCE4EA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B55A0A"/>
    <w:multiLevelType w:val="hybridMultilevel"/>
    <w:tmpl w:val="EEACF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9D5EBF"/>
    <w:multiLevelType w:val="hybridMultilevel"/>
    <w:tmpl w:val="02AE4EDA"/>
    <w:lvl w:ilvl="0" w:tplc="4DAE7A4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717EC8"/>
    <w:multiLevelType w:val="hybridMultilevel"/>
    <w:tmpl w:val="06C29FAC"/>
    <w:lvl w:ilvl="0" w:tplc="173489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184FDB"/>
    <w:multiLevelType w:val="hybridMultilevel"/>
    <w:tmpl w:val="B30AF8AE"/>
    <w:lvl w:ilvl="0" w:tplc="D8582876">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6">
    <w:nsid w:val="3A853836"/>
    <w:multiLevelType w:val="hybridMultilevel"/>
    <w:tmpl w:val="C9E272C2"/>
    <w:lvl w:ilvl="0" w:tplc="3CA2668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3A2B1A"/>
    <w:multiLevelType w:val="hybridMultilevel"/>
    <w:tmpl w:val="7B18A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E12992"/>
    <w:multiLevelType w:val="hybridMultilevel"/>
    <w:tmpl w:val="40046D04"/>
    <w:lvl w:ilvl="0" w:tplc="9D02CC36">
      <w:start w:val="1"/>
      <w:numFmt w:val="lowerRoman"/>
      <w:pStyle w:val="Subsubpara"/>
      <w:lvlText w:val="(%1)"/>
      <w:lvlJc w:val="left"/>
      <w:pPr>
        <w:tabs>
          <w:tab w:val="num" w:pos="1799"/>
        </w:tabs>
        <w:ind w:left="1259"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475031"/>
    <w:multiLevelType w:val="hybridMultilevel"/>
    <w:tmpl w:val="B30AF8AE"/>
    <w:lvl w:ilvl="0" w:tplc="D8582876">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0">
    <w:nsid w:val="77857696"/>
    <w:multiLevelType w:val="hybridMultilevel"/>
    <w:tmpl w:val="4E6618A8"/>
    <w:lvl w:ilvl="0" w:tplc="5726AC30">
      <w:start w:val="1"/>
      <w:numFmt w:val="lowerLetter"/>
      <w:pStyle w:val="Subpara"/>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8"/>
  </w:num>
  <w:num w:numId="4">
    <w:abstractNumId w:val="5"/>
  </w:num>
  <w:num w:numId="5">
    <w:abstractNumId w:val="9"/>
  </w:num>
  <w:num w:numId="6">
    <w:abstractNumId w:val="7"/>
  </w:num>
  <w:num w:numId="7">
    <w:abstractNumId w:val="6"/>
  </w:num>
  <w:num w:numId="8">
    <w:abstractNumId w:val="2"/>
  </w:num>
  <w:num w:numId="9">
    <w:abstractNumId w:val="4"/>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proofState w:spelling="clean" w:grammar="clean"/>
  <w:defaultTabStop w:val="720"/>
  <w:drawingGridHorizontalSpacing w:val="120"/>
  <w:displayHorizontalDrawingGridEvery w:val="2"/>
  <w:noPunctuationKerning/>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211188"/>
    <w:rsid w:val="00002BD3"/>
    <w:rsid w:val="00002CBA"/>
    <w:rsid w:val="0003546A"/>
    <w:rsid w:val="00040CFC"/>
    <w:rsid w:val="000654E9"/>
    <w:rsid w:val="00065887"/>
    <w:rsid w:val="000862C6"/>
    <w:rsid w:val="000912A9"/>
    <w:rsid w:val="000962D4"/>
    <w:rsid w:val="000B15BD"/>
    <w:rsid w:val="000B2ABA"/>
    <w:rsid w:val="000E7D6F"/>
    <w:rsid w:val="000F32A1"/>
    <w:rsid w:val="001003CA"/>
    <w:rsid w:val="00101126"/>
    <w:rsid w:val="00101FCA"/>
    <w:rsid w:val="00154D17"/>
    <w:rsid w:val="00160401"/>
    <w:rsid w:val="00165B1F"/>
    <w:rsid w:val="0017152B"/>
    <w:rsid w:val="001933D6"/>
    <w:rsid w:val="001A198E"/>
    <w:rsid w:val="001A342B"/>
    <w:rsid w:val="001B1EBE"/>
    <w:rsid w:val="001B3707"/>
    <w:rsid w:val="001C32A4"/>
    <w:rsid w:val="001C3F25"/>
    <w:rsid w:val="001D109C"/>
    <w:rsid w:val="001D4AF4"/>
    <w:rsid w:val="001F4363"/>
    <w:rsid w:val="0020102C"/>
    <w:rsid w:val="00211188"/>
    <w:rsid w:val="0023430B"/>
    <w:rsid w:val="00257D80"/>
    <w:rsid w:val="00281228"/>
    <w:rsid w:val="002A5786"/>
    <w:rsid w:val="002D10D6"/>
    <w:rsid w:val="002D1CA2"/>
    <w:rsid w:val="002D56A2"/>
    <w:rsid w:val="002D6341"/>
    <w:rsid w:val="002E0CD2"/>
    <w:rsid w:val="002E33AF"/>
    <w:rsid w:val="002E3DFB"/>
    <w:rsid w:val="002F3109"/>
    <w:rsid w:val="00314A05"/>
    <w:rsid w:val="003313FF"/>
    <w:rsid w:val="00336EC7"/>
    <w:rsid w:val="0033797F"/>
    <w:rsid w:val="003435F7"/>
    <w:rsid w:val="003446F9"/>
    <w:rsid w:val="00344E3C"/>
    <w:rsid w:val="00370516"/>
    <w:rsid w:val="00371D95"/>
    <w:rsid w:val="00377E04"/>
    <w:rsid w:val="003870BC"/>
    <w:rsid w:val="003A16B9"/>
    <w:rsid w:val="003A1F4B"/>
    <w:rsid w:val="003E1891"/>
    <w:rsid w:val="003E7C92"/>
    <w:rsid w:val="00422DC1"/>
    <w:rsid w:val="004466DA"/>
    <w:rsid w:val="00457C90"/>
    <w:rsid w:val="004A0545"/>
    <w:rsid w:val="004A3025"/>
    <w:rsid w:val="004A6513"/>
    <w:rsid w:val="004C1E98"/>
    <w:rsid w:val="00542F23"/>
    <w:rsid w:val="005700EB"/>
    <w:rsid w:val="00592695"/>
    <w:rsid w:val="00594479"/>
    <w:rsid w:val="005A69AC"/>
    <w:rsid w:val="005D0FCB"/>
    <w:rsid w:val="005D5AC5"/>
    <w:rsid w:val="005E269D"/>
    <w:rsid w:val="005F23C0"/>
    <w:rsid w:val="0060542C"/>
    <w:rsid w:val="006107C0"/>
    <w:rsid w:val="0063086E"/>
    <w:rsid w:val="00641789"/>
    <w:rsid w:val="00642E98"/>
    <w:rsid w:val="00643AB8"/>
    <w:rsid w:val="00647AFB"/>
    <w:rsid w:val="006B00C4"/>
    <w:rsid w:val="006B7F62"/>
    <w:rsid w:val="006D625E"/>
    <w:rsid w:val="007056E6"/>
    <w:rsid w:val="00711927"/>
    <w:rsid w:val="00721B1C"/>
    <w:rsid w:val="00726940"/>
    <w:rsid w:val="00746B13"/>
    <w:rsid w:val="00754E38"/>
    <w:rsid w:val="00767865"/>
    <w:rsid w:val="00770935"/>
    <w:rsid w:val="00777D84"/>
    <w:rsid w:val="00797B16"/>
    <w:rsid w:val="007B0F30"/>
    <w:rsid w:val="008011CC"/>
    <w:rsid w:val="00806F2E"/>
    <w:rsid w:val="00824773"/>
    <w:rsid w:val="0085373D"/>
    <w:rsid w:val="0086578A"/>
    <w:rsid w:val="008A116C"/>
    <w:rsid w:val="008B5C7E"/>
    <w:rsid w:val="008C1836"/>
    <w:rsid w:val="008D18B3"/>
    <w:rsid w:val="008D1AE2"/>
    <w:rsid w:val="008D72EF"/>
    <w:rsid w:val="008E391F"/>
    <w:rsid w:val="008E48CB"/>
    <w:rsid w:val="008E55BA"/>
    <w:rsid w:val="008F01BC"/>
    <w:rsid w:val="0090725E"/>
    <w:rsid w:val="009126AD"/>
    <w:rsid w:val="0091498B"/>
    <w:rsid w:val="00915983"/>
    <w:rsid w:val="00927492"/>
    <w:rsid w:val="009359F1"/>
    <w:rsid w:val="009419A0"/>
    <w:rsid w:val="00952B08"/>
    <w:rsid w:val="00963D95"/>
    <w:rsid w:val="009715BB"/>
    <w:rsid w:val="00972DFA"/>
    <w:rsid w:val="009B0698"/>
    <w:rsid w:val="009C6818"/>
    <w:rsid w:val="009D1DAA"/>
    <w:rsid w:val="009F0081"/>
    <w:rsid w:val="009F2DAB"/>
    <w:rsid w:val="00A12788"/>
    <w:rsid w:val="00A3164F"/>
    <w:rsid w:val="00A40A43"/>
    <w:rsid w:val="00A4388C"/>
    <w:rsid w:val="00A44BDC"/>
    <w:rsid w:val="00A51AFE"/>
    <w:rsid w:val="00A64B0F"/>
    <w:rsid w:val="00A664EB"/>
    <w:rsid w:val="00A67614"/>
    <w:rsid w:val="00A75394"/>
    <w:rsid w:val="00AA3206"/>
    <w:rsid w:val="00AB303D"/>
    <w:rsid w:val="00AD3EEC"/>
    <w:rsid w:val="00AE0E65"/>
    <w:rsid w:val="00AE7C64"/>
    <w:rsid w:val="00AF2F4E"/>
    <w:rsid w:val="00B01072"/>
    <w:rsid w:val="00B03D1B"/>
    <w:rsid w:val="00B228EB"/>
    <w:rsid w:val="00B37DEB"/>
    <w:rsid w:val="00B43C50"/>
    <w:rsid w:val="00B76F80"/>
    <w:rsid w:val="00B95A62"/>
    <w:rsid w:val="00BB1DBC"/>
    <w:rsid w:val="00BC15C8"/>
    <w:rsid w:val="00BC3D08"/>
    <w:rsid w:val="00BE22F8"/>
    <w:rsid w:val="00BE2D78"/>
    <w:rsid w:val="00BE2E1F"/>
    <w:rsid w:val="00BE5378"/>
    <w:rsid w:val="00BF0F2D"/>
    <w:rsid w:val="00BF76E0"/>
    <w:rsid w:val="00C15F34"/>
    <w:rsid w:val="00C17464"/>
    <w:rsid w:val="00C22360"/>
    <w:rsid w:val="00C2448E"/>
    <w:rsid w:val="00C33795"/>
    <w:rsid w:val="00C36AAB"/>
    <w:rsid w:val="00C400A8"/>
    <w:rsid w:val="00C40EE2"/>
    <w:rsid w:val="00C5382E"/>
    <w:rsid w:val="00C57683"/>
    <w:rsid w:val="00C90E5E"/>
    <w:rsid w:val="00C96063"/>
    <w:rsid w:val="00CC0F12"/>
    <w:rsid w:val="00CD03F1"/>
    <w:rsid w:val="00CD3DEC"/>
    <w:rsid w:val="00CE7A97"/>
    <w:rsid w:val="00CF7D5D"/>
    <w:rsid w:val="00D06A2C"/>
    <w:rsid w:val="00D3128B"/>
    <w:rsid w:val="00D52404"/>
    <w:rsid w:val="00D55DFC"/>
    <w:rsid w:val="00D65831"/>
    <w:rsid w:val="00D671D7"/>
    <w:rsid w:val="00D702CD"/>
    <w:rsid w:val="00D83997"/>
    <w:rsid w:val="00D972C3"/>
    <w:rsid w:val="00DB480D"/>
    <w:rsid w:val="00DC0D34"/>
    <w:rsid w:val="00DC4761"/>
    <w:rsid w:val="00DC53E0"/>
    <w:rsid w:val="00DC6494"/>
    <w:rsid w:val="00DE0D81"/>
    <w:rsid w:val="00E04C83"/>
    <w:rsid w:val="00E06B90"/>
    <w:rsid w:val="00E16862"/>
    <w:rsid w:val="00E1703B"/>
    <w:rsid w:val="00E201E3"/>
    <w:rsid w:val="00E20A1B"/>
    <w:rsid w:val="00E27C25"/>
    <w:rsid w:val="00E3301E"/>
    <w:rsid w:val="00E44FDB"/>
    <w:rsid w:val="00E534D5"/>
    <w:rsid w:val="00E82968"/>
    <w:rsid w:val="00EA6F0A"/>
    <w:rsid w:val="00EA7DBD"/>
    <w:rsid w:val="00EB2AC7"/>
    <w:rsid w:val="00EC1C11"/>
    <w:rsid w:val="00ED6031"/>
    <w:rsid w:val="00ED6BAC"/>
    <w:rsid w:val="00EE6B3D"/>
    <w:rsid w:val="00F4680C"/>
    <w:rsid w:val="00F52120"/>
    <w:rsid w:val="00F81F92"/>
    <w:rsid w:val="00F911FD"/>
    <w:rsid w:val="00FB63EA"/>
    <w:rsid w:val="00FC2339"/>
    <w:rsid w:val="00FC4891"/>
    <w:rsid w:val="00FD60A5"/>
    <w:rsid w:val="00FF49F3"/>
    <w:rsid w:val="00FF511D"/>
    <w:rsid w:val="00FF61F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62"/>
    <w:rPr>
      <w:sz w:val="24"/>
      <w:szCs w:val="24"/>
      <w:lang w:eastAsia="en-US"/>
    </w:rPr>
  </w:style>
  <w:style w:type="paragraph" w:styleId="Heading1">
    <w:name w:val="heading 1"/>
    <w:aliases w:val="h1,header 1"/>
    <w:next w:val="CommentText"/>
    <w:link w:val="Heading1Char"/>
    <w:qFormat/>
    <w:rsid w:val="00E16862"/>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rsid w:val="00E16862"/>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rsid w:val="00E16862"/>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rsid w:val="00E16862"/>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link w:val="TitleChar"/>
    <w:qFormat/>
    <w:rsid w:val="00E16862"/>
    <w:pPr>
      <w:overflowPunct w:val="0"/>
      <w:autoSpaceDE w:val="0"/>
      <w:autoSpaceDN w:val="0"/>
      <w:adjustRightInd w:val="0"/>
      <w:ind w:left="567" w:hanging="567"/>
      <w:jc w:val="center"/>
      <w:textAlignment w:val="baseline"/>
    </w:pPr>
    <w:rPr>
      <w:b/>
      <w:bCs/>
      <w:sz w:val="28"/>
      <w:szCs w:val="20"/>
    </w:rPr>
  </w:style>
  <w:style w:type="paragraph" w:customStyle="1" w:styleId="BodyTextcentreditals">
    <w:name w:val="Body Text centred itals"/>
    <w:basedOn w:val="BodyText"/>
    <w:rsid w:val="00E16862"/>
    <w:pPr>
      <w:jc w:val="center"/>
    </w:pPr>
    <w:rPr>
      <w:i/>
      <w:iCs/>
    </w:rPr>
  </w:style>
  <w:style w:type="paragraph" w:customStyle="1" w:styleId="BodyTextcentred">
    <w:name w:val="Body Text centred"/>
    <w:basedOn w:val="BodyText"/>
    <w:rsid w:val="00E16862"/>
    <w:pPr>
      <w:jc w:val="center"/>
    </w:pPr>
  </w:style>
  <w:style w:type="paragraph" w:customStyle="1" w:styleId="Subsubpara">
    <w:name w:val="Sub sub para"/>
    <w:basedOn w:val="Normal"/>
    <w:rsid w:val="00E16862"/>
    <w:pPr>
      <w:numPr>
        <w:numId w:val="3"/>
      </w:numPr>
      <w:tabs>
        <w:tab w:val="clear" w:pos="1799"/>
        <w:tab w:val="num" w:pos="360"/>
        <w:tab w:val="left" w:pos="540"/>
      </w:tabs>
      <w:spacing w:before="100" w:line="300" w:lineRule="exact"/>
      <w:ind w:left="0" w:firstLine="0"/>
    </w:pPr>
  </w:style>
  <w:style w:type="paragraph" w:customStyle="1" w:styleId="Subpara">
    <w:name w:val="Sub para"/>
    <w:basedOn w:val="BodyText"/>
    <w:rsid w:val="00E16862"/>
    <w:pPr>
      <w:numPr>
        <w:numId w:val="2"/>
      </w:numPr>
      <w:tabs>
        <w:tab w:val="clear" w:pos="567"/>
        <w:tab w:val="clear" w:pos="680"/>
        <w:tab w:val="clear" w:pos="1440"/>
        <w:tab w:val="num" w:pos="360"/>
        <w:tab w:val="num" w:pos="540"/>
      </w:tabs>
      <w:spacing w:before="100"/>
      <w:ind w:left="0" w:hanging="1440"/>
    </w:pPr>
  </w:style>
  <w:style w:type="paragraph" w:styleId="CommentText">
    <w:name w:val="annotation text"/>
    <w:basedOn w:val="Normal"/>
    <w:link w:val="CommentTextChar"/>
    <w:semiHidden/>
    <w:rsid w:val="00E16862"/>
    <w:rPr>
      <w:sz w:val="20"/>
      <w:szCs w:val="20"/>
    </w:rPr>
  </w:style>
  <w:style w:type="paragraph" w:styleId="Header">
    <w:name w:val="header"/>
    <w:basedOn w:val="Normal"/>
    <w:link w:val="HeaderChar"/>
    <w:uiPriority w:val="99"/>
    <w:unhideWhenUsed/>
    <w:rsid w:val="00A4388C"/>
    <w:pPr>
      <w:tabs>
        <w:tab w:val="center" w:pos="4513"/>
        <w:tab w:val="right" w:pos="9026"/>
      </w:tabs>
    </w:pPr>
  </w:style>
  <w:style w:type="character" w:customStyle="1" w:styleId="HeaderChar">
    <w:name w:val="Header Char"/>
    <w:basedOn w:val="DefaultParagraphFont"/>
    <w:link w:val="Header"/>
    <w:uiPriority w:val="99"/>
    <w:rsid w:val="00A4388C"/>
    <w:rPr>
      <w:sz w:val="24"/>
      <w:szCs w:val="24"/>
      <w:lang w:eastAsia="en-US"/>
    </w:rPr>
  </w:style>
  <w:style w:type="paragraph" w:styleId="Footer">
    <w:name w:val="footer"/>
    <w:basedOn w:val="Normal"/>
    <w:link w:val="FooterChar"/>
    <w:uiPriority w:val="99"/>
    <w:unhideWhenUsed/>
    <w:rsid w:val="00A4388C"/>
    <w:pPr>
      <w:tabs>
        <w:tab w:val="center" w:pos="4513"/>
        <w:tab w:val="right" w:pos="9026"/>
      </w:tabs>
    </w:pPr>
  </w:style>
  <w:style w:type="character" w:customStyle="1" w:styleId="FooterChar">
    <w:name w:val="Footer Char"/>
    <w:basedOn w:val="DefaultParagraphFont"/>
    <w:link w:val="Footer"/>
    <w:uiPriority w:val="99"/>
    <w:rsid w:val="00A4388C"/>
    <w:rPr>
      <w:sz w:val="24"/>
      <w:szCs w:val="24"/>
      <w:lang w:eastAsia="en-US"/>
    </w:rPr>
  </w:style>
  <w:style w:type="paragraph" w:styleId="BalloonText">
    <w:name w:val="Balloon Text"/>
    <w:basedOn w:val="Normal"/>
    <w:link w:val="BalloonTextChar"/>
    <w:uiPriority w:val="99"/>
    <w:semiHidden/>
    <w:unhideWhenUsed/>
    <w:rsid w:val="00A4388C"/>
    <w:rPr>
      <w:rFonts w:ascii="Tahoma" w:hAnsi="Tahoma" w:cs="Tahoma"/>
      <w:sz w:val="16"/>
      <w:szCs w:val="16"/>
    </w:rPr>
  </w:style>
  <w:style w:type="character" w:customStyle="1" w:styleId="BalloonTextChar">
    <w:name w:val="Balloon Text Char"/>
    <w:basedOn w:val="DefaultParagraphFont"/>
    <w:link w:val="BalloonText"/>
    <w:uiPriority w:val="99"/>
    <w:semiHidden/>
    <w:rsid w:val="00A4388C"/>
    <w:rPr>
      <w:rFonts w:ascii="Tahoma" w:hAnsi="Tahoma" w:cs="Tahoma"/>
      <w:sz w:val="16"/>
      <w:szCs w:val="16"/>
      <w:lang w:eastAsia="en-US"/>
    </w:rPr>
  </w:style>
  <w:style w:type="character" w:customStyle="1" w:styleId="Heading1Char">
    <w:name w:val="Heading 1 Char"/>
    <w:aliases w:val="h1 Char,header 1 Char"/>
    <w:basedOn w:val="DefaultParagraphFont"/>
    <w:link w:val="Heading1"/>
    <w:rsid w:val="009715BB"/>
    <w:rPr>
      <w:rFonts w:ascii="Arial" w:hAnsi="Arial"/>
      <w:b/>
      <w:kern w:val="28"/>
      <w:sz w:val="40"/>
      <w:lang w:eastAsia="en-US"/>
    </w:rPr>
  </w:style>
  <w:style w:type="character" w:customStyle="1" w:styleId="BodyTextChar">
    <w:name w:val="Body Text Char"/>
    <w:basedOn w:val="DefaultParagraphFont"/>
    <w:link w:val="BodyText"/>
    <w:semiHidden/>
    <w:rsid w:val="009715BB"/>
    <w:rPr>
      <w:sz w:val="24"/>
      <w:lang w:eastAsia="en-US"/>
    </w:rPr>
  </w:style>
  <w:style w:type="character" w:customStyle="1" w:styleId="TitleChar">
    <w:name w:val="Title Char"/>
    <w:basedOn w:val="DefaultParagraphFont"/>
    <w:link w:val="Title"/>
    <w:rsid w:val="009715BB"/>
    <w:rPr>
      <w:b/>
      <w:bCs/>
      <w:sz w:val="28"/>
      <w:lang w:eastAsia="en-US"/>
    </w:rPr>
  </w:style>
  <w:style w:type="character" w:customStyle="1" w:styleId="CommentTextChar">
    <w:name w:val="Comment Text Char"/>
    <w:basedOn w:val="DefaultParagraphFont"/>
    <w:link w:val="CommentText"/>
    <w:semiHidden/>
    <w:rsid w:val="009715B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5CD0-8BC2-40BD-83FF-CC310911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2012-09-12T01:42:00Z</dcterms:created>
  <dcterms:modified xsi:type="dcterms:W3CDTF">2012-09-20T03:53:00Z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A3506577</vt:lpwstr>
  </property>
  <property fmtid="{D5CDD505-2E9C-101B-9397-08002B2CF9AE}" pid="4" name="Objective-Title">
    <vt:lpwstr>ES for CO 12-340 2Apr2012</vt:lpwstr>
  </property>
  <property fmtid="{D5CDD505-2E9C-101B-9397-08002B2CF9AE}" pid="5" name="Objective-Comment">
    <vt:lpwstr/>
  </property>
  <property fmtid="{D5CDD505-2E9C-101B-9397-08002B2CF9AE}" pid="6" name="Objective-CreationStamp">
    <vt:filetime>2012-04-02T02:14:27Z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2012-04-02T03:55:34Z</vt:filetime>
  </property>
  <property fmtid="{D5CDD505-2E9C-101B-9397-08002B2CF9AE}" pid="11" name="Objective-Owner">
    <vt:lpwstr>Evelyn Ong</vt:lpwstr>
  </property>
  <property fmtid="{D5CDD505-2E9C-101B-9397-08002B2CF9AE}" pid="12" name="Objective-Path">
    <vt:lpwstr>ASIC BCS:REGULATION &amp; COMPLIANCE:Applications:Deposit Takers &amp; Insurers:Fiduciary Services Limited:</vt:lpwstr>
  </property>
  <property fmtid="{D5CDD505-2E9C-101B-9397-08002B2CF9AE}" pid="13" name="Objective-Parent">
    <vt:lpwstr>Fiduciary Services Limited</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i4>3</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IN-CONFIDENCE]</vt:lpwstr>
  </property>
  <property fmtid="{D5CDD505-2E9C-101B-9397-08002B2CF9AE}" pid="20" name="Objective-Caveats">
    <vt:lpwstr/>
  </property>
  <property fmtid="{D5CDD505-2E9C-101B-9397-08002B2CF9AE}" pid="21" name="Objective-Category [system]">
    <vt:lpwstr/>
  </property>
  <property fmtid="{D5CDD505-2E9C-101B-9397-08002B2CF9AE}" pid="22" name="_AdHocReviewCycleID">
    <vt:i4>-875957408</vt:i4>
  </property>
  <property fmtid="{D5CDD505-2E9C-101B-9397-08002B2CF9AE}" pid="23" name="_NewReviewCycle">
    <vt:lpwstr/>
  </property>
  <property fmtid="{D5CDD505-2E9C-101B-9397-08002B2CF9AE}" pid="24" name="_ReviewingToolsShownOnce">
    <vt:lpwstr/>
  </property>
</Properties>
</file>