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EC" w:rsidRPr="00D636EC" w:rsidRDefault="00D848B1" w:rsidP="00D636EC">
      <w:pPr>
        <w:spacing w:after="240"/>
        <w:jc w:val="center"/>
        <w:rPr>
          <w:b/>
          <w:lang w:val="en-US"/>
        </w:rPr>
      </w:pPr>
      <w:r>
        <w:rPr>
          <w:b/>
          <w:lang w:val="en-US"/>
        </w:rPr>
        <w:t xml:space="preserve">Class Rule Waiver </w:t>
      </w:r>
      <w:r w:rsidR="00216EB2">
        <w:rPr>
          <w:b/>
          <w:lang w:val="en-US"/>
        </w:rPr>
        <w:t>CW 12-1144</w:t>
      </w:r>
    </w:p>
    <w:p w:rsidR="00D636EC" w:rsidRPr="00D636EC" w:rsidRDefault="00D636EC" w:rsidP="00D636EC">
      <w:pPr>
        <w:spacing w:after="240"/>
        <w:jc w:val="center"/>
        <w:rPr>
          <w:b/>
          <w:lang w:val="en-US"/>
        </w:rPr>
      </w:pPr>
      <w:r w:rsidRPr="00D636EC">
        <w:rPr>
          <w:b/>
          <w:lang w:val="en-US"/>
        </w:rPr>
        <w:t>Explanatory Statement</w:t>
      </w:r>
    </w:p>
    <w:p w:rsidR="00D636EC" w:rsidRPr="00D636EC" w:rsidRDefault="00D636EC" w:rsidP="00D636EC">
      <w:pPr>
        <w:spacing w:after="240"/>
        <w:jc w:val="center"/>
        <w:rPr>
          <w:b/>
          <w:lang w:val="en-US"/>
        </w:rPr>
      </w:pPr>
      <w:r w:rsidRPr="00D636EC">
        <w:rPr>
          <w:b/>
          <w:lang w:val="en-US"/>
        </w:rPr>
        <w:t>Prepared by the Australian Securities and Investments Commission</w:t>
      </w:r>
    </w:p>
    <w:p w:rsidR="00D636EC" w:rsidRDefault="00D636EC" w:rsidP="00D636EC">
      <w:pPr>
        <w:spacing w:after="240"/>
        <w:jc w:val="center"/>
        <w:rPr>
          <w:b/>
          <w:lang w:val="en-US"/>
        </w:rPr>
      </w:pPr>
      <w:r w:rsidRPr="00D636EC">
        <w:rPr>
          <w:b/>
          <w:lang w:val="en-US"/>
        </w:rPr>
        <w:t>ASIC Market Integrity Rules (</w:t>
      </w:r>
      <w:r w:rsidR="006E54D8">
        <w:rPr>
          <w:b/>
          <w:lang w:val="en-US"/>
        </w:rPr>
        <w:t>Chi-X Australia Market) 2011</w:t>
      </w:r>
    </w:p>
    <w:p w:rsidR="00D636EC" w:rsidRPr="00D636EC" w:rsidRDefault="00D636EC" w:rsidP="00D636EC">
      <w:pPr>
        <w:spacing w:after="240"/>
        <w:rPr>
          <w:b/>
        </w:rPr>
      </w:pPr>
    </w:p>
    <w:p w:rsidR="00D636EC" w:rsidRPr="00D636EC" w:rsidRDefault="00D636EC" w:rsidP="00D636EC">
      <w:pPr>
        <w:spacing w:after="240"/>
      </w:pPr>
      <w:r w:rsidRPr="00D636EC">
        <w:t>The Australian Securities and Investments Commission (</w:t>
      </w:r>
      <w:r w:rsidRPr="00D636EC">
        <w:rPr>
          <w:b/>
          <w:bCs/>
          <w:iCs/>
        </w:rPr>
        <w:t>ASIC</w:t>
      </w:r>
      <w:r w:rsidRPr="00D636EC">
        <w:t xml:space="preserve">) makes this instrument under Rule 1.2.1(1) of the </w:t>
      </w:r>
      <w:r w:rsidRPr="00D636EC">
        <w:rPr>
          <w:i/>
          <w:iCs/>
        </w:rPr>
        <w:t xml:space="preserve">ASIC Market Integrity </w:t>
      </w:r>
      <w:r w:rsidRPr="006E54D8">
        <w:rPr>
          <w:i/>
          <w:iCs/>
        </w:rPr>
        <w:t>Rules (</w:t>
      </w:r>
      <w:r w:rsidR="006E54D8" w:rsidRPr="006E54D8">
        <w:rPr>
          <w:i/>
          <w:iCs/>
        </w:rPr>
        <w:t>Chi-X Australia Market) 2011</w:t>
      </w:r>
      <w:r w:rsidRPr="006E54D8">
        <w:rPr>
          <w:iCs/>
        </w:rPr>
        <w:t xml:space="preserve"> </w:t>
      </w:r>
      <w:r>
        <w:t>(</w:t>
      </w:r>
      <w:r w:rsidR="006E54D8">
        <w:rPr>
          <w:b/>
          <w:bCs/>
          <w:iCs/>
        </w:rPr>
        <w:t>Chi-X</w:t>
      </w:r>
      <w:r w:rsidRPr="00D636EC">
        <w:rPr>
          <w:b/>
          <w:bCs/>
          <w:iCs/>
        </w:rPr>
        <w:t xml:space="preserve"> Rules</w:t>
      </w:r>
      <w:r w:rsidRPr="00D636EC">
        <w:t xml:space="preserve">). </w:t>
      </w:r>
    </w:p>
    <w:p w:rsidR="00D636EC" w:rsidRDefault="00D636EC" w:rsidP="00D636EC">
      <w:pPr>
        <w:spacing w:after="240"/>
      </w:pPr>
      <w:r w:rsidRPr="00D636EC">
        <w:t>Under that rule, ASIC may relieve any person or class of persons from the obligation to comply</w:t>
      </w:r>
      <w:r>
        <w:t xml:space="preserve"> with a provision of the </w:t>
      </w:r>
      <w:r w:rsidR="006E54D8">
        <w:t>Chi-X</w:t>
      </w:r>
      <w:r>
        <w:t xml:space="preserve"> </w:t>
      </w:r>
      <w:r w:rsidRPr="00D636EC">
        <w:t>Rules</w:t>
      </w:r>
      <w:r w:rsidR="003C01D9">
        <w:t xml:space="preserve"> either generally or in a particular case or category, and either unconditionally or subject to such conditions as ASIC thinks fit</w:t>
      </w:r>
      <w:r w:rsidRPr="00D636EC">
        <w:t>.</w:t>
      </w:r>
    </w:p>
    <w:p w:rsidR="00D636EC" w:rsidRPr="00D636EC" w:rsidRDefault="00D636EC" w:rsidP="00D636EC">
      <w:pPr>
        <w:spacing w:after="240"/>
        <w:rPr>
          <w:b/>
        </w:rPr>
      </w:pPr>
      <w:r w:rsidRPr="00D636EC">
        <w:rPr>
          <w:b/>
        </w:rPr>
        <w:t>Background</w:t>
      </w:r>
    </w:p>
    <w:p w:rsidR="00D636EC" w:rsidRDefault="00D636EC" w:rsidP="00D636EC">
      <w:pPr>
        <w:spacing w:after="240"/>
      </w:pPr>
      <w:r>
        <w:rPr>
          <w:lang w:val="en-US"/>
        </w:rPr>
        <w:t xml:space="preserve">On </w:t>
      </w:r>
      <w:r w:rsidR="003C01D9">
        <w:rPr>
          <w:lang w:val="en-US"/>
        </w:rPr>
        <w:t xml:space="preserve">12 </w:t>
      </w:r>
      <w:r>
        <w:rPr>
          <w:lang w:val="en-US"/>
        </w:rPr>
        <w:t xml:space="preserve">July 2012, ASIC made the </w:t>
      </w:r>
      <w:r w:rsidRPr="00D636EC">
        <w:rPr>
          <w:i/>
        </w:rPr>
        <w:t xml:space="preserve">ASIC Market Integrity </w:t>
      </w:r>
      <w:r w:rsidRPr="006E54D8">
        <w:rPr>
          <w:i/>
        </w:rPr>
        <w:t>Rules (</w:t>
      </w:r>
      <w:r w:rsidR="006E54D8" w:rsidRPr="006E54D8">
        <w:rPr>
          <w:i/>
        </w:rPr>
        <w:t>Chi-X Australia</w:t>
      </w:r>
      <w:r w:rsidRPr="006E54D8">
        <w:rPr>
          <w:i/>
        </w:rPr>
        <w:t xml:space="preserve"> Market)</w:t>
      </w:r>
      <w:r w:rsidRPr="00D636EC">
        <w:rPr>
          <w:i/>
        </w:rPr>
        <w:t xml:space="preserve"> Amendment 2012 (No. 1)</w:t>
      </w:r>
      <w:r>
        <w:t xml:space="preserve"> which inserted Part 5.11 </w:t>
      </w:r>
      <w:r w:rsidR="003C01D9">
        <w:t xml:space="preserve">"Suspicious activity reporting" </w:t>
      </w:r>
      <w:r>
        <w:t xml:space="preserve">into the </w:t>
      </w:r>
      <w:r w:rsidR="006E54D8">
        <w:t>Chi-X</w:t>
      </w:r>
      <w:r>
        <w:t xml:space="preserve"> Rules.</w:t>
      </w:r>
    </w:p>
    <w:p w:rsidR="00D636EC" w:rsidRDefault="00D636EC" w:rsidP="00D636EC">
      <w:pPr>
        <w:spacing w:after="240"/>
      </w:pPr>
      <w:r>
        <w:t xml:space="preserve">Rule 5.11.1(1) </w:t>
      </w:r>
      <w:r w:rsidR="003C01D9">
        <w:t xml:space="preserve">provides that, subject to </w:t>
      </w:r>
      <w:proofErr w:type="spellStart"/>
      <w:r w:rsidR="003C01D9">
        <w:t>subrules</w:t>
      </w:r>
      <w:proofErr w:type="spellEnd"/>
      <w:r w:rsidR="003C01D9">
        <w:t xml:space="preserve"> (2) and (3), if </w:t>
      </w:r>
      <w:r>
        <w:t>a Market Participant has reasonable grounds to suspect that:</w:t>
      </w:r>
    </w:p>
    <w:p w:rsidR="00D636EC" w:rsidRPr="005D78F3" w:rsidRDefault="00D636EC" w:rsidP="00D636EC">
      <w:pPr>
        <w:pStyle w:val="MIRSubpara"/>
        <w:tabs>
          <w:tab w:val="clear" w:pos="1276"/>
          <w:tab w:val="num" w:pos="1134"/>
        </w:tabs>
        <w:ind w:left="1134" w:hanging="567"/>
      </w:pPr>
      <w:r w:rsidRPr="005D78F3">
        <w:t xml:space="preserve">a person </w:t>
      </w:r>
      <w:r>
        <w:t>(</w:t>
      </w:r>
      <w:r w:rsidRPr="003038CC">
        <w:rPr>
          <w:b/>
        </w:rPr>
        <w:t>the Insider</w:t>
      </w:r>
      <w:r>
        <w:t xml:space="preserve">) has placed an order into or entered into a transaction on the Market in relation to a financial product </w:t>
      </w:r>
      <w:r w:rsidRPr="005D78F3">
        <w:t>while in possession of inside information</w:t>
      </w:r>
      <w:r>
        <w:t xml:space="preserve"> (within the meaning of </w:t>
      </w:r>
      <w:r w:rsidRPr="005D78F3">
        <w:t>section 1042A of the</w:t>
      </w:r>
      <w:r>
        <w:t xml:space="preserve"> Corporations</w:t>
      </w:r>
      <w:r w:rsidRPr="005D78F3">
        <w:t xml:space="preserve"> Act</w:t>
      </w:r>
      <w:r>
        <w:t xml:space="preserve">), </w:t>
      </w:r>
      <w:r w:rsidRPr="005D78F3">
        <w:t xml:space="preserve">whether or not the </w:t>
      </w:r>
      <w:r>
        <w:t xml:space="preserve">Market </w:t>
      </w:r>
      <w:r w:rsidRPr="00815DB8">
        <w:t>Participant</w:t>
      </w:r>
      <w:r w:rsidRPr="005D78F3">
        <w:t xml:space="preserve"> is aware of:</w:t>
      </w:r>
    </w:p>
    <w:p w:rsidR="00D636EC" w:rsidRPr="005D78F3" w:rsidRDefault="00D636EC" w:rsidP="00D636EC">
      <w:pPr>
        <w:pStyle w:val="MIRSubsubpara"/>
        <w:ind w:hanging="1417"/>
      </w:pPr>
      <w:r w:rsidRPr="005D78F3">
        <w:t xml:space="preserve">the identity of the </w:t>
      </w:r>
      <w:r>
        <w:t>I</w:t>
      </w:r>
      <w:r w:rsidRPr="005D78F3">
        <w:t>nsider; or</w:t>
      </w:r>
    </w:p>
    <w:p w:rsidR="00D636EC" w:rsidRPr="005D78F3" w:rsidRDefault="00D636EC" w:rsidP="00D636EC">
      <w:pPr>
        <w:pStyle w:val="MIRSubsubpara"/>
        <w:ind w:hanging="1417"/>
      </w:pPr>
      <w:r w:rsidRPr="005D78F3">
        <w:t xml:space="preserve">all of the details of the </w:t>
      </w:r>
      <w:r>
        <w:t xml:space="preserve">order or </w:t>
      </w:r>
      <w:r w:rsidRPr="005D78F3">
        <w:t>transaction; or</w:t>
      </w:r>
    </w:p>
    <w:p w:rsidR="00D636EC" w:rsidRPr="005D78F3" w:rsidRDefault="00D636EC" w:rsidP="00D636EC">
      <w:pPr>
        <w:pStyle w:val="MIRSubpara"/>
        <w:tabs>
          <w:tab w:val="clear" w:pos="1276"/>
          <w:tab w:val="num" w:pos="1134"/>
        </w:tabs>
        <w:ind w:left="1134" w:hanging="567"/>
      </w:pPr>
      <w:r w:rsidRPr="005D78F3">
        <w:t xml:space="preserve">a transaction or an order transmitted to a </w:t>
      </w:r>
      <w:r>
        <w:t>T</w:t>
      </w:r>
      <w:r w:rsidRPr="005D78F3">
        <w:t xml:space="preserve">rading </w:t>
      </w:r>
      <w:r>
        <w:t>Platform</w:t>
      </w:r>
      <w:r w:rsidRPr="005D78F3">
        <w:t xml:space="preserve"> has or is likely to have the effect</w:t>
      </w:r>
      <w:r>
        <w:t xml:space="preserve"> of</w:t>
      </w:r>
      <w:r w:rsidRPr="005D78F3">
        <w:t>:</w:t>
      </w:r>
    </w:p>
    <w:p w:rsidR="00D636EC" w:rsidRDefault="00D636EC" w:rsidP="00D636EC">
      <w:pPr>
        <w:pStyle w:val="MIRSubsubpara"/>
        <w:ind w:hanging="1417"/>
      </w:pPr>
      <w:r>
        <w:t xml:space="preserve">creating an artificial price for trading in financial products on the Market; </w:t>
      </w:r>
    </w:p>
    <w:p w:rsidR="00D636EC" w:rsidRPr="005D78F3" w:rsidRDefault="00D636EC" w:rsidP="00D636EC">
      <w:pPr>
        <w:pStyle w:val="MIRSubsubpara"/>
        <w:ind w:hanging="1417"/>
      </w:pPr>
      <w:r>
        <w:t>maintaining at a level that is artificial (whether or not it was previously artificial) a price for trading in financial products on the Market;</w:t>
      </w:r>
    </w:p>
    <w:p w:rsidR="00D636EC" w:rsidRDefault="00D636EC" w:rsidP="00D636EC">
      <w:pPr>
        <w:pStyle w:val="MIRSubsubpara"/>
        <w:ind w:hanging="1417"/>
      </w:pPr>
      <w:r>
        <w:t>creating, or causing the creation of, a false or misleading appearance of active trading in financial products on the Market; or</w:t>
      </w:r>
    </w:p>
    <w:p w:rsidR="00D636EC" w:rsidRPr="005D78F3" w:rsidRDefault="00D636EC" w:rsidP="00D636EC">
      <w:pPr>
        <w:pStyle w:val="MIRSubsubpara"/>
        <w:ind w:hanging="1417"/>
      </w:pPr>
      <w:r>
        <w:t xml:space="preserve">creating, or causing the creation of, a false or misleading appearance with respect to the market for, or the price for trading in, financial products on the Market, </w:t>
      </w:r>
    </w:p>
    <w:p w:rsidR="00D636EC" w:rsidRPr="005D78F3" w:rsidRDefault="00D636EC" w:rsidP="00D636EC">
      <w:pPr>
        <w:pStyle w:val="MIRSubpara"/>
        <w:numPr>
          <w:ilvl w:val="0"/>
          <w:numId w:val="0"/>
        </w:numPr>
        <w:ind w:left="1134"/>
      </w:pPr>
      <w:proofErr w:type="gramStart"/>
      <w:r w:rsidRPr="005D78F3">
        <w:t>whether</w:t>
      </w:r>
      <w:proofErr w:type="gramEnd"/>
      <w:r w:rsidRPr="005D78F3">
        <w:t xml:space="preserve"> or not the </w:t>
      </w:r>
      <w:r>
        <w:t xml:space="preserve">Market </w:t>
      </w:r>
      <w:r w:rsidRPr="005D78F3">
        <w:t>Participant is aware of:</w:t>
      </w:r>
    </w:p>
    <w:p w:rsidR="00D636EC" w:rsidRPr="005D78F3" w:rsidRDefault="00D636EC" w:rsidP="00D636EC">
      <w:pPr>
        <w:pStyle w:val="MIRSubsubpara"/>
        <w:ind w:hanging="1417"/>
      </w:pPr>
      <w:r w:rsidRPr="005D78F3">
        <w:t>the intention of any party to the transaction or order;</w:t>
      </w:r>
      <w:r>
        <w:t xml:space="preserve"> or</w:t>
      </w:r>
    </w:p>
    <w:p w:rsidR="00D636EC" w:rsidRPr="005D78F3" w:rsidRDefault="00D636EC" w:rsidP="00D636EC">
      <w:pPr>
        <w:pStyle w:val="MIRSubsubpara"/>
        <w:ind w:hanging="1417"/>
      </w:pPr>
      <w:r w:rsidRPr="005D78F3">
        <w:t>all of the details of the transaction or order,</w:t>
      </w:r>
    </w:p>
    <w:p w:rsidR="00D636EC" w:rsidRDefault="003C01D9" w:rsidP="00D636EC">
      <w:pPr>
        <w:pStyle w:val="MIRBodyText"/>
        <w:tabs>
          <w:tab w:val="clear" w:pos="2205"/>
        </w:tabs>
        <w:ind w:left="142"/>
      </w:pPr>
      <w:r>
        <w:t xml:space="preserve">the Market Participant must, </w:t>
      </w:r>
      <w:r w:rsidR="00D636EC">
        <w:t xml:space="preserve">as soon as practicable, </w:t>
      </w:r>
      <w:r w:rsidR="00D636EC" w:rsidRPr="005D78F3">
        <w:t xml:space="preserve">notify ASIC in writing of the details of the transaction or order </w:t>
      </w:r>
      <w:r w:rsidR="00D636EC">
        <w:t>(to the extent known to</w:t>
      </w:r>
      <w:r w:rsidR="00D636EC" w:rsidRPr="005D78F3">
        <w:t xml:space="preserve"> the </w:t>
      </w:r>
      <w:r w:rsidR="00D636EC">
        <w:t xml:space="preserve">Market </w:t>
      </w:r>
      <w:r w:rsidR="00D636EC" w:rsidRPr="005D78F3">
        <w:t>Participant)</w:t>
      </w:r>
      <w:r w:rsidR="00D636EC">
        <w:t xml:space="preserve"> </w:t>
      </w:r>
      <w:r w:rsidR="00D636EC" w:rsidRPr="005D78F3">
        <w:t xml:space="preserve">and </w:t>
      </w:r>
      <w:r w:rsidR="00D636EC">
        <w:t>the reasons it suspects the matter set out in paragraphs (a) and/or (b)</w:t>
      </w:r>
      <w:r w:rsidR="00C42BBB">
        <w:t>.</w:t>
      </w:r>
    </w:p>
    <w:p w:rsidR="003C01D9" w:rsidRDefault="003C01D9" w:rsidP="00D636EC">
      <w:pPr>
        <w:pStyle w:val="MIRBodyText"/>
        <w:tabs>
          <w:tab w:val="clear" w:pos="2205"/>
        </w:tabs>
        <w:ind w:left="142"/>
      </w:pPr>
      <w:r>
        <w:t>Rule 5.11.1(2) provides that a Market Participant is not required to notify ASIC under Rule 5.11.1(1) if the Market Participant has reported the information that would otherwise be contained in the notification to ASIC, to AUSTRAC.</w:t>
      </w:r>
    </w:p>
    <w:p w:rsidR="003C01D9" w:rsidRDefault="003C01D9" w:rsidP="00D636EC">
      <w:pPr>
        <w:pStyle w:val="MIRBodyText"/>
        <w:tabs>
          <w:tab w:val="clear" w:pos="2205"/>
        </w:tabs>
        <w:ind w:left="142"/>
      </w:pPr>
      <w:r>
        <w:lastRenderedPageBreak/>
        <w:t>Rule 5.11.</w:t>
      </w:r>
      <w:r w:rsidR="002E2477">
        <w:t>1</w:t>
      </w:r>
      <w:r>
        <w:t xml:space="preserve">(3) provides that a Market Participant is not required to comply with </w:t>
      </w:r>
      <w:proofErr w:type="spellStart"/>
      <w:r>
        <w:t>subrule</w:t>
      </w:r>
      <w:proofErr w:type="spellEnd"/>
      <w:r>
        <w:t xml:space="preserve"> (1) until 1 November 2012.  </w:t>
      </w:r>
    </w:p>
    <w:p w:rsidR="002E2477" w:rsidRDefault="002E2477" w:rsidP="00D636EC">
      <w:pPr>
        <w:pStyle w:val="MIRBodyText"/>
        <w:tabs>
          <w:tab w:val="clear" w:pos="2205"/>
        </w:tabs>
        <w:ind w:left="142"/>
      </w:pPr>
      <w:r>
        <w:t>Rule 5.11.2 provides for confidentiality</w:t>
      </w:r>
      <w:r w:rsidR="005E2983">
        <w:t>.</w:t>
      </w:r>
    </w:p>
    <w:p w:rsidR="00C42BBB" w:rsidRPr="00C42BBB" w:rsidRDefault="00C42BBB" w:rsidP="00D636EC">
      <w:pPr>
        <w:pStyle w:val="MIRBodyText"/>
        <w:tabs>
          <w:tab w:val="clear" w:pos="2205"/>
        </w:tabs>
        <w:ind w:left="142"/>
        <w:rPr>
          <w:b/>
        </w:rPr>
      </w:pPr>
      <w:r w:rsidRPr="00C42BBB">
        <w:rPr>
          <w:b/>
        </w:rPr>
        <w:t xml:space="preserve">This </w:t>
      </w:r>
      <w:r>
        <w:rPr>
          <w:b/>
        </w:rPr>
        <w:t>class rule w</w:t>
      </w:r>
      <w:r w:rsidRPr="00C42BBB">
        <w:rPr>
          <w:b/>
        </w:rPr>
        <w:t>aiver</w:t>
      </w:r>
    </w:p>
    <w:p w:rsidR="003C01D9" w:rsidRDefault="002E2477" w:rsidP="00D636EC">
      <w:pPr>
        <w:pStyle w:val="MIRBodyText"/>
        <w:tabs>
          <w:tab w:val="clear" w:pos="2205"/>
        </w:tabs>
        <w:ind w:left="142"/>
      </w:pPr>
      <w:r>
        <w:t>As noted below, i</w:t>
      </w:r>
      <w:r w:rsidR="00C42BBB">
        <w:t xml:space="preserve">n consultation prior to the making of </w:t>
      </w:r>
      <w:r w:rsidR="003C01D9">
        <w:t xml:space="preserve">the </w:t>
      </w:r>
      <w:r w:rsidR="006B1429">
        <w:t>Chi-X</w:t>
      </w:r>
      <w:r>
        <w:t xml:space="preserve"> Rules</w:t>
      </w:r>
      <w:r w:rsidR="003C01D9">
        <w:t xml:space="preserve"> in Part 5.11 </w:t>
      </w:r>
      <w:r w:rsidR="00C42BBB">
        <w:t xml:space="preserve">ASIC indicated that it would allow Market Participants </w:t>
      </w:r>
      <w:r w:rsidR="003C01D9">
        <w:t xml:space="preserve">a period of approximately </w:t>
      </w:r>
      <w:r w:rsidR="00C42BBB">
        <w:t xml:space="preserve">six months </w:t>
      </w:r>
      <w:r w:rsidR="003C01D9">
        <w:t xml:space="preserve">from commencement </w:t>
      </w:r>
      <w:r>
        <w:t xml:space="preserve">of Part 5.11 of the </w:t>
      </w:r>
      <w:r w:rsidR="006B1429">
        <w:t>Chi-X</w:t>
      </w:r>
      <w:r>
        <w:t xml:space="preserve"> Rules </w:t>
      </w:r>
      <w:r w:rsidR="00C42BBB">
        <w:t xml:space="preserve">to </w:t>
      </w:r>
      <w:r>
        <w:t xml:space="preserve">allow Market Participants to </w:t>
      </w:r>
      <w:r w:rsidR="00C42BBB">
        <w:t xml:space="preserve">prepare for compliance with </w:t>
      </w:r>
      <w:r w:rsidR="005E2983">
        <w:t xml:space="preserve">Part </w:t>
      </w:r>
      <w:r>
        <w:t xml:space="preserve">5.11 </w:t>
      </w:r>
      <w:r w:rsidR="00C42BBB">
        <w:t>the Rule</w:t>
      </w:r>
      <w:r w:rsidR="00216EB2">
        <w:t>s</w:t>
      </w:r>
      <w:r w:rsidR="00C42BBB">
        <w:t xml:space="preserve">.  This would allow sufficient time to change their processes and procedures to ensure compliance with </w:t>
      </w:r>
      <w:r w:rsidR="003C01D9">
        <w:t xml:space="preserve">Part 5.11 of the </w:t>
      </w:r>
      <w:r w:rsidR="006B1429">
        <w:t>Chi-X</w:t>
      </w:r>
      <w:r>
        <w:t xml:space="preserve"> </w:t>
      </w:r>
      <w:r w:rsidR="003C01D9">
        <w:t xml:space="preserve">Rules.  </w:t>
      </w:r>
    </w:p>
    <w:p w:rsidR="00C42BBB" w:rsidRDefault="003C01D9" w:rsidP="002E2477">
      <w:pPr>
        <w:pStyle w:val="MIRBodyText"/>
        <w:tabs>
          <w:tab w:val="clear" w:pos="2205"/>
        </w:tabs>
        <w:ind w:left="142"/>
      </w:pPr>
      <w:r>
        <w:t xml:space="preserve">This </w:t>
      </w:r>
      <w:r w:rsidR="002E2477">
        <w:t xml:space="preserve">class rule waiver gives effect to that transitional implementation period for Market Participants by waiving the obligation to comply with Part 5.11 of the </w:t>
      </w:r>
      <w:r w:rsidR="006B1429">
        <w:t>Chi-X</w:t>
      </w:r>
      <w:r w:rsidR="002E2477">
        <w:t xml:space="preserve"> Rules until 20 January 2013</w:t>
      </w:r>
      <w:r w:rsidR="00A42470">
        <w:t>.</w:t>
      </w:r>
    </w:p>
    <w:p w:rsidR="00C42BBB" w:rsidRDefault="00C42BBB" w:rsidP="00D636EC">
      <w:pPr>
        <w:pStyle w:val="MIRBodyText"/>
        <w:tabs>
          <w:tab w:val="clear" w:pos="2205"/>
        </w:tabs>
        <w:ind w:left="142"/>
        <w:rPr>
          <w:b/>
        </w:rPr>
      </w:pPr>
      <w:r w:rsidRPr="00C42BBB">
        <w:rPr>
          <w:b/>
        </w:rPr>
        <w:t>Consultation</w:t>
      </w:r>
    </w:p>
    <w:p w:rsidR="00C42BBB" w:rsidRDefault="00C42BBB" w:rsidP="00D636EC">
      <w:pPr>
        <w:pStyle w:val="MIRBodyText"/>
        <w:tabs>
          <w:tab w:val="clear" w:pos="2205"/>
        </w:tabs>
        <w:ind w:left="142"/>
      </w:pPr>
      <w:r w:rsidRPr="00C42BBB">
        <w:t xml:space="preserve">ASIC </w:t>
      </w:r>
      <w:r>
        <w:t xml:space="preserve">did not consult specifically on the making of this class rule waiver.  However, </w:t>
      </w:r>
      <w:r w:rsidR="003028CA" w:rsidRPr="003028CA">
        <w:t xml:space="preserve">Consultation Paper 145 </w:t>
      </w:r>
      <w:r w:rsidR="003028CA" w:rsidRPr="003028CA">
        <w:rPr>
          <w:i/>
        </w:rPr>
        <w:t>Australian equity market structure: Proposals</w:t>
      </w:r>
      <w:r w:rsidR="003028CA" w:rsidRPr="003028CA">
        <w:t xml:space="preserve"> (</w:t>
      </w:r>
      <w:r w:rsidR="003028CA" w:rsidRPr="003028CA">
        <w:rPr>
          <w:b/>
        </w:rPr>
        <w:t>CP 145</w:t>
      </w:r>
      <w:r w:rsidR="003028CA" w:rsidRPr="003028CA">
        <w:t>)</w:t>
      </w:r>
      <w:r w:rsidR="003028CA">
        <w:t xml:space="preserve"> which included proposals about suspicious activity reporting, was released on 4 November 2010.  </w:t>
      </w:r>
      <w:r w:rsidR="003038CC">
        <w:t>As a result of ASIC's consideration of</w:t>
      </w:r>
      <w:r w:rsidR="003028CA">
        <w:t xml:space="preserve"> the submissions and feedback on CP145</w:t>
      </w:r>
      <w:r w:rsidR="003038CC">
        <w:t xml:space="preserve">, ASIC decided </w:t>
      </w:r>
      <w:r w:rsidR="003028CA">
        <w:t xml:space="preserve">to allow </w:t>
      </w:r>
      <w:r w:rsidR="002E2477">
        <w:t xml:space="preserve">an implementation period of approximately </w:t>
      </w:r>
      <w:r w:rsidR="003028CA">
        <w:t xml:space="preserve">6 months from the commencement of </w:t>
      </w:r>
      <w:r w:rsidR="002E2477">
        <w:t xml:space="preserve">Part 5.11 of the </w:t>
      </w:r>
      <w:r w:rsidR="006B1429">
        <w:t>Chi-X</w:t>
      </w:r>
      <w:r w:rsidR="002E2477">
        <w:t xml:space="preserve"> </w:t>
      </w:r>
      <w:r w:rsidR="003028CA">
        <w:t xml:space="preserve">Rules.  </w:t>
      </w:r>
    </w:p>
    <w:p w:rsidR="00825080" w:rsidRDefault="00825080" w:rsidP="00825080">
      <w:pPr>
        <w:pStyle w:val="MIRBodyText"/>
        <w:ind w:left="142"/>
        <w:rPr>
          <w:b/>
        </w:rPr>
      </w:pPr>
      <w:r w:rsidRPr="00825080">
        <w:rPr>
          <w:b/>
        </w:rPr>
        <w:t xml:space="preserve">Statement of Compatibility with Human Rights </w:t>
      </w:r>
    </w:p>
    <w:p w:rsidR="001A2A7C" w:rsidRDefault="001A2A7C" w:rsidP="00825080">
      <w:pPr>
        <w:pStyle w:val="MIRBodyText"/>
        <w:ind w:left="142"/>
      </w:pPr>
      <w:r>
        <w:t>This statement is p</w:t>
      </w:r>
      <w:r w:rsidRPr="00825080">
        <w:t xml:space="preserve">repared in accordance with Part 3 of the </w:t>
      </w:r>
      <w:r w:rsidRPr="00825080">
        <w:rPr>
          <w:i/>
        </w:rPr>
        <w:t>Human Rights (Parliamentary Scrutiny) Act 2011.</w:t>
      </w:r>
      <w:r w:rsidRPr="00825080">
        <w:t xml:space="preserve">  </w:t>
      </w:r>
    </w:p>
    <w:p w:rsidR="001A2A7C" w:rsidRPr="001A2A7C" w:rsidRDefault="001A2A7C" w:rsidP="001A2A7C">
      <w:pPr>
        <w:pStyle w:val="MIRBodyText"/>
        <w:ind w:left="142"/>
      </w:pPr>
      <w:r w:rsidRPr="001A2A7C">
        <w:t xml:space="preserve">This Legislative Instrument is compatible with the human rights and freedoms recognised or declared in the international instruments listed in section 3 of the </w:t>
      </w:r>
      <w:r w:rsidRPr="001A2A7C">
        <w:rPr>
          <w:i/>
          <w:iCs/>
        </w:rPr>
        <w:t>Human Rights (Parliamentary Scrutiny) Act 2011</w:t>
      </w:r>
      <w:r w:rsidRPr="001A2A7C">
        <w:t>.</w:t>
      </w:r>
    </w:p>
    <w:p w:rsidR="0070778A" w:rsidRDefault="001A2A7C" w:rsidP="001A2A7C">
      <w:pPr>
        <w:pStyle w:val="MIRBodyText"/>
        <w:ind w:left="142"/>
      </w:pPr>
      <w:r>
        <w:rPr>
          <w:lang w:val="en-US"/>
        </w:rPr>
        <w:t xml:space="preserve">Specifically, this Legislative Instrument affects, by extending to 20 January 2012, the time by which a Market Participant must comply with the obligations in Part 5.11 of the </w:t>
      </w:r>
      <w:r w:rsidR="006B1429">
        <w:rPr>
          <w:lang w:val="en-US"/>
        </w:rPr>
        <w:t>Chi-X</w:t>
      </w:r>
      <w:r>
        <w:rPr>
          <w:lang w:val="en-US"/>
        </w:rPr>
        <w:t xml:space="preserve"> Rules.  Part 5.11 of the </w:t>
      </w:r>
      <w:r w:rsidR="006B1429">
        <w:rPr>
          <w:lang w:val="en-US"/>
        </w:rPr>
        <w:t>Chi-X</w:t>
      </w:r>
      <w:r>
        <w:rPr>
          <w:lang w:val="en-US"/>
        </w:rPr>
        <w:t xml:space="preserve"> Rules was inserted into the </w:t>
      </w:r>
      <w:r w:rsidR="006B1429">
        <w:rPr>
          <w:lang w:val="en-US"/>
        </w:rPr>
        <w:t>Chi-X</w:t>
      </w:r>
      <w:r>
        <w:rPr>
          <w:lang w:val="en-US"/>
        </w:rPr>
        <w:t xml:space="preserve"> Rules by a Legislative Instrument – the </w:t>
      </w:r>
      <w:r w:rsidRPr="002E2477">
        <w:rPr>
          <w:i/>
        </w:rPr>
        <w:t xml:space="preserve">ASIC Market Integrity Rules </w:t>
      </w:r>
      <w:r w:rsidR="006B1429" w:rsidRPr="006B1429">
        <w:rPr>
          <w:i/>
        </w:rPr>
        <w:t>(Chi-X Australia</w:t>
      </w:r>
      <w:r w:rsidRPr="002E2477">
        <w:rPr>
          <w:i/>
        </w:rPr>
        <w:t xml:space="preserve"> Market) Amendment 2012 (No. 1)</w:t>
      </w:r>
      <w:r>
        <w:t xml:space="preserve"> (the Part 5.11 Amendment).  </w:t>
      </w:r>
    </w:p>
    <w:p w:rsidR="001A2A7C" w:rsidRDefault="0070778A" w:rsidP="001A2A7C">
      <w:pPr>
        <w:pStyle w:val="MIRBodyText"/>
        <w:ind w:left="142"/>
      </w:pPr>
      <w:r>
        <w:t xml:space="preserve">To the extent the Part 5.11 Amendment engages the right to privacy and reputation in Article 17 of the </w:t>
      </w:r>
      <w:r w:rsidRPr="0070778A">
        <w:t>International Covenant on Ci</w:t>
      </w:r>
      <w:r>
        <w:t>vil and Political Rights, this Legislative Instrument may have the same effect.  Accordingly, t</w:t>
      </w:r>
      <w:r w:rsidR="001A2A7C">
        <w:t xml:space="preserve">he </w:t>
      </w:r>
      <w:r w:rsidR="00D57507">
        <w:t xml:space="preserve">statements in the </w:t>
      </w:r>
      <w:r>
        <w:t xml:space="preserve">Statement of Compatibility with Human Rights contained in the Explanatory Statement for the Part 5.11 Amendment </w:t>
      </w:r>
      <w:r w:rsidR="006B1429">
        <w:t>(reproduced as Attachment A</w:t>
      </w:r>
      <w:r w:rsidR="00D57507">
        <w:t xml:space="preserve"> to this Explanatory Statement) also apply to this Legislative Instrument.  </w:t>
      </w:r>
      <w:r>
        <w:t xml:space="preserve">    </w:t>
      </w:r>
    </w:p>
    <w:p w:rsidR="006B1429" w:rsidRDefault="00D57507" w:rsidP="00D57507">
      <w:pPr>
        <w:spacing w:before="200" w:line="300" w:lineRule="atLeast"/>
        <w:jc w:val="center"/>
      </w:pPr>
      <w:r>
        <w:br w:type="page"/>
      </w:r>
      <w:r w:rsidR="00216EB2">
        <w:lastRenderedPageBreak/>
        <w:t>ATTACHMENT A</w:t>
      </w:r>
    </w:p>
    <w:p w:rsidR="00D636EC" w:rsidRDefault="00D636EC" w:rsidP="00C42BBB">
      <w:pPr>
        <w:spacing w:after="240"/>
        <w:ind w:left="142"/>
        <w:rPr>
          <w:lang w:val="en-US"/>
        </w:rPr>
      </w:pPr>
    </w:p>
    <w:p w:rsidR="006B1429" w:rsidRPr="006B1429" w:rsidRDefault="006B1429" w:rsidP="006B1429">
      <w:pPr>
        <w:spacing w:after="240"/>
        <w:ind w:left="142"/>
        <w:jc w:val="center"/>
      </w:pPr>
      <w:r w:rsidRPr="006B1429">
        <w:rPr>
          <w:b/>
          <w:bCs/>
        </w:rPr>
        <w:t>Statement of Compatibility with Human Rights</w:t>
      </w:r>
    </w:p>
    <w:p w:rsidR="006B1429" w:rsidRPr="006B1429" w:rsidRDefault="006B1429" w:rsidP="006B1429">
      <w:pPr>
        <w:spacing w:after="240"/>
        <w:ind w:left="142"/>
        <w:jc w:val="center"/>
      </w:pPr>
      <w:r w:rsidRPr="006B1429">
        <w:rPr>
          <w:i/>
          <w:iCs/>
        </w:rPr>
        <w:t>Prepared in accordance with Part 3 of the Human Rights (Parliamentary Scrutiny) Act 2011</w:t>
      </w:r>
    </w:p>
    <w:p w:rsidR="006B1429" w:rsidRPr="006B1429" w:rsidRDefault="006B1429" w:rsidP="006B1429">
      <w:pPr>
        <w:spacing w:after="240"/>
        <w:ind w:left="142"/>
        <w:jc w:val="center"/>
      </w:pPr>
      <w:r w:rsidRPr="006B1429">
        <w:rPr>
          <w:b/>
          <w:bCs/>
        </w:rPr>
        <w:t>ASIC Market Integrity Rules (Chi-X Australia Market) Amendment 2012 (No. 1)</w:t>
      </w:r>
    </w:p>
    <w:p w:rsidR="006B1429" w:rsidRPr="006B1429" w:rsidRDefault="006B1429" w:rsidP="006B1429">
      <w:pPr>
        <w:spacing w:after="240"/>
        <w:ind w:left="142"/>
      </w:pPr>
      <w:r w:rsidRPr="006B1429">
        <w:t xml:space="preserve">This Legislative Instrument is compatible with the human rights and freedoms recognised or declared in the international instruments listed in section 3 of the </w:t>
      </w:r>
      <w:r w:rsidRPr="006B1429">
        <w:rPr>
          <w:i/>
          <w:iCs/>
        </w:rPr>
        <w:t>Human Rights (Parliamentary Scrutiny) Act 2011</w:t>
      </w:r>
      <w:r w:rsidRPr="006B1429">
        <w:t>.</w:t>
      </w:r>
    </w:p>
    <w:p w:rsidR="006B1429" w:rsidRPr="006B1429" w:rsidRDefault="006B1429" w:rsidP="006B1429">
      <w:pPr>
        <w:spacing w:after="240"/>
        <w:ind w:left="142"/>
      </w:pPr>
      <w:r w:rsidRPr="006B1429">
        <w:rPr>
          <w:b/>
          <w:bCs/>
        </w:rPr>
        <w:t>Overview of the Legislative Instrument</w:t>
      </w:r>
    </w:p>
    <w:p w:rsidR="006B1429" w:rsidRPr="006B1429" w:rsidRDefault="006B1429" w:rsidP="006B1429">
      <w:pPr>
        <w:spacing w:after="240"/>
        <w:ind w:left="142"/>
      </w:pPr>
      <w:r w:rsidRPr="006B1429">
        <w:t xml:space="preserve">The Legislative Instrument amends the </w:t>
      </w:r>
      <w:r w:rsidRPr="006B1429">
        <w:rPr>
          <w:i/>
          <w:iCs/>
        </w:rPr>
        <w:t>ASIC Market Integrity Rules (Chi-X Australia Market) 2011</w:t>
      </w:r>
      <w:r w:rsidRPr="006B1429">
        <w:t xml:space="preserve"> to impose obligations on a Chi-X Market Participant to notify ASIC where the Chi-X Market Participant has reasonable grounds to suspect that a matter (“Reportable Matter”) referred to in paragraph Rule 5.11.1(1)(a) or (b) has arisen (referred to as “Suspicious Activity Reporting”). The purpose of these amendments is to enhance ASIC’s market surveillance capability by providing a further source of intelligence in respect of possible cases of market misconduct and in particular misconduct known in the market as insider trading, front-running or market manipulation. These amendments will bring ASIC further into line with international regulatory practice particularly in the UK, US, Germany and Canada.</w:t>
      </w:r>
    </w:p>
    <w:p w:rsidR="006B1429" w:rsidRPr="006B1429" w:rsidRDefault="006B1429" w:rsidP="006B1429">
      <w:pPr>
        <w:spacing w:after="240"/>
        <w:ind w:left="142"/>
      </w:pPr>
      <w:r w:rsidRPr="006B1429">
        <w:rPr>
          <w:b/>
          <w:bCs/>
        </w:rPr>
        <w:t>Human rights implications</w:t>
      </w:r>
    </w:p>
    <w:p w:rsidR="006B1429" w:rsidRPr="006B1429" w:rsidRDefault="006B1429" w:rsidP="006B1429">
      <w:pPr>
        <w:spacing w:after="240"/>
        <w:ind w:left="142"/>
      </w:pPr>
      <w:r w:rsidRPr="006B1429">
        <w:t>The Legislative Instrument engages the right to privacy and reputation in Article 17 of the International Covenant on Civil and Political Rights (“Article 17”). Article 17 prohibits unlawful or arbitrary interferences with a person's privacy, family, home (which the UN Human Rights Committee has interpreted as including a person’s workplace) and correspondence. It also prohibits unlawful attacks on a person’s reputation. It provides that persons have the right to the protection of the law against such interference or attacks. The UN Human Rights Committee has not defined ‘privacy’. The Commonwealth Attorney-General’s Department has provided guidance that privacy should be understood to comprise freedom from unwarranted and unreasonable intrusion into activities that society recognises as falling into the individual sphere of autonomy. To avoid being considered arbitrary, any interference with privacy must be in accordance with the provisions, aims and objectives of the ICCPR and should be reasonable in the particular circumstances</w:t>
      </w:r>
      <w:r w:rsidR="00CA0A3E">
        <w:rPr>
          <w:rStyle w:val="FootnoteReference"/>
        </w:rPr>
        <w:footnoteReference w:id="1"/>
      </w:r>
      <w:r w:rsidRPr="006B1429">
        <w:t>.</w:t>
      </w:r>
    </w:p>
    <w:p w:rsidR="006B1429" w:rsidRPr="006B1429" w:rsidRDefault="006B1429" w:rsidP="006B1429">
      <w:pPr>
        <w:spacing w:after="240"/>
        <w:ind w:left="142"/>
      </w:pPr>
      <w:r w:rsidRPr="006B1429">
        <w:t xml:space="preserve">A Suspicious Activity Report may contain ‘personal information’ as defined in the </w:t>
      </w:r>
      <w:r w:rsidRPr="006B1429">
        <w:rPr>
          <w:i/>
          <w:iCs/>
        </w:rPr>
        <w:t>Privacy Act 1988,</w:t>
      </w:r>
      <w:r w:rsidRPr="006B1429">
        <w:t xml:space="preserve"> being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rsidR="006B1429" w:rsidRPr="006B1429" w:rsidRDefault="006B1429" w:rsidP="006B1429">
      <w:pPr>
        <w:spacing w:after="240"/>
        <w:ind w:left="142"/>
      </w:pPr>
      <w:r w:rsidRPr="006B1429">
        <w:t>The right in Article 17 is engaged by the Legislative Instrument by reason that it:</w:t>
      </w:r>
    </w:p>
    <w:p w:rsidR="006B1429" w:rsidRPr="006B1429" w:rsidRDefault="006B1429" w:rsidP="006B1429">
      <w:pPr>
        <w:spacing w:after="240"/>
        <w:ind w:left="142"/>
      </w:pPr>
      <w:r w:rsidRPr="006B1429">
        <w:t>(</w:t>
      </w:r>
      <w:proofErr w:type="gramStart"/>
      <w:r w:rsidRPr="006B1429">
        <w:t>a</w:t>
      </w:r>
      <w:proofErr w:type="gramEnd"/>
      <w:r w:rsidRPr="006B1429">
        <w:t>)</w:t>
      </w:r>
      <w:r w:rsidR="00CA0A3E">
        <w:tab/>
        <w:t>involves</w:t>
      </w:r>
      <w:r w:rsidRPr="006B1429">
        <w:t xml:space="preserve"> the collection, storage, security, use or disclosure of personal information;</w:t>
      </w:r>
    </w:p>
    <w:p w:rsidR="006B1429" w:rsidRPr="006B1429" w:rsidRDefault="006B1429" w:rsidP="006B1429">
      <w:pPr>
        <w:spacing w:after="240"/>
        <w:ind w:left="142"/>
      </w:pPr>
      <w:r w:rsidRPr="006B1429">
        <w:lastRenderedPageBreak/>
        <w:t>(b)</w:t>
      </w:r>
      <w:r w:rsidR="00CA0A3E">
        <w:tab/>
      </w:r>
      <w:proofErr w:type="gramStart"/>
      <w:r w:rsidRPr="006B1429">
        <w:t>creates</w:t>
      </w:r>
      <w:proofErr w:type="gramEnd"/>
      <w:r w:rsidRPr="006B1429">
        <w:t xml:space="preserve"> confidentiality or secrecy provisions relating to personal information; and</w:t>
      </w:r>
    </w:p>
    <w:p w:rsidR="006B1429" w:rsidRPr="006B1429" w:rsidRDefault="006B1429" w:rsidP="006B1429">
      <w:pPr>
        <w:spacing w:after="240"/>
        <w:ind w:left="142"/>
      </w:pPr>
      <w:r w:rsidRPr="006B1429">
        <w:t>(c)</w:t>
      </w:r>
      <w:r w:rsidR="00CA0A3E">
        <w:tab/>
      </w:r>
      <w:proofErr w:type="gramStart"/>
      <w:r w:rsidRPr="006B1429">
        <w:t>provides</w:t>
      </w:r>
      <w:proofErr w:type="gramEnd"/>
      <w:r w:rsidRPr="006B1429">
        <w:t xml:space="preserve"> for mandatory disclosure or reporting of information.</w:t>
      </w:r>
    </w:p>
    <w:p w:rsidR="006B1429" w:rsidRPr="006B1429" w:rsidRDefault="006B1429" w:rsidP="006B1429">
      <w:pPr>
        <w:spacing w:after="240"/>
        <w:ind w:left="142"/>
      </w:pPr>
      <w:r w:rsidRPr="006B1429">
        <w:t>The Legislative Instrument is compatible with the rights recognised in Article 17 of the ICCPR by reason that any interference with a person's privacy or reputation resulting from compliance with the Suspicious Activity Reporting rule will be lawful and not arbitrary. In particular:</w:t>
      </w:r>
    </w:p>
    <w:p w:rsidR="006B1429" w:rsidRPr="006B1429" w:rsidRDefault="006B1429" w:rsidP="00CA0A3E">
      <w:pPr>
        <w:spacing w:after="240"/>
        <w:ind w:left="709" w:hanging="567"/>
      </w:pPr>
      <w:r w:rsidRPr="006B1429">
        <w:t>(a)</w:t>
      </w:r>
      <w:r w:rsidR="00CA0A3E">
        <w:tab/>
      </w:r>
      <w:r w:rsidRPr="006B1429">
        <w:t>The Suspicious Activity Reporting rule is made in accordance with ASIC’s power to make market integrity rules dealing with the activities or conduct of persons in relation to licensed markets and in relation to financial products traded on licensed markets (see subsection 798G(1) of the Act).</w:t>
      </w:r>
    </w:p>
    <w:p w:rsidR="006B1429" w:rsidRPr="006B1429" w:rsidRDefault="006B1429" w:rsidP="00CA0A3E">
      <w:pPr>
        <w:spacing w:after="240"/>
        <w:ind w:left="709" w:hanging="567"/>
      </w:pPr>
      <w:r w:rsidRPr="006B1429">
        <w:t>(b)</w:t>
      </w:r>
      <w:r w:rsidR="00CA0A3E">
        <w:tab/>
      </w:r>
      <w:r w:rsidRPr="006B1429">
        <w:t>The Suspicious Activity Reporting rule will assist ASIC to perform its function of supervising financial markets, the operators of which are licensed under subsection 795B(1) of the Act</w:t>
      </w:r>
      <w:r w:rsidR="00CA0A3E">
        <w:t xml:space="preserve"> (see section 798F of the Act).</w:t>
      </w:r>
      <w:r w:rsidRPr="006B1429">
        <w:t xml:space="preserve"> Supervision of the financial markets must include more than mere observation – it extends to detection and deterrence of misconduct.</w:t>
      </w:r>
    </w:p>
    <w:p w:rsidR="006B1429" w:rsidRPr="006B1429" w:rsidRDefault="006B1429" w:rsidP="00CA0A3E">
      <w:pPr>
        <w:spacing w:after="240"/>
        <w:ind w:left="709" w:hanging="567"/>
      </w:pPr>
      <w:r w:rsidRPr="006B1429">
        <w:t>(c)</w:t>
      </w:r>
      <w:r w:rsidR="00CA0A3E">
        <w:tab/>
      </w:r>
      <w:r w:rsidRPr="006B1429">
        <w:t xml:space="preserve">The Suspicious Activity Reporting rule will further the objects of Chapter 7 of the Act, including promoting fair, orderly and transparent markets for financial products (see paragraph 760A(c) of the Act). A fair, orderly and transparent market is one in which </w:t>
      </w:r>
      <w:r w:rsidR="00CA0A3E">
        <w:t>market misconduct is minimised.</w:t>
      </w:r>
      <w:r w:rsidRPr="006B1429">
        <w:t xml:space="preserve"> Detection and deterrence of market misconduct contribute to minimising that misconduct, and the Suspicious Activity Reporting rule will assist ASIC in detecting and deterring that misconduct.</w:t>
      </w:r>
    </w:p>
    <w:p w:rsidR="006B1429" w:rsidRPr="006B1429" w:rsidRDefault="006B1429" w:rsidP="006B1429">
      <w:pPr>
        <w:spacing w:after="240"/>
        <w:ind w:left="142"/>
      </w:pPr>
      <w:r w:rsidRPr="006B1429">
        <w:t>(d)</w:t>
      </w:r>
      <w:r w:rsidR="00CA0A3E">
        <w:tab/>
      </w:r>
      <w:r w:rsidRPr="006B1429">
        <w:t>The Suspicious Activity Reporting rule is subject to a number of safeguards, including:</w:t>
      </w:r>
    </w:p>
    <w:p w:rsidR="006B1429" w:rsidRPr="006B1429" w:rsidRDefault="006B1429" w:rsidP="00CA0A3E">
      <w:pPr>
        <w:spacing w:after="240"/>
        <w:ind w:left="1276" w:hanging="567"/>
      </w:pPr>
      <w:r w:rsidRPr="006B1429">
        <w:t>(</w:t>
      </w:r>
      <w:proofErr w:type="spellStart"/>
      <w:r w:rsidRPr="006B1429">
        <w:t>i</w:t>
      </w:r>
      <w:proofErr w:type="spellEnd"/>
      <w:r w:rsidRPr="006B1429">
        <w:t>)</w:t>
      </w:r>
      <w:r w:rsidR="00CA0A3E">
        <w:tab/>
      </w:r>
      <w:r w:rsidRPr="006B1429">
        <w:t>The obligation to notify ASIC under the rule is limited to matters that may indicate a person is engaging in, or may have engaged in, market misconduct of a kind known in the market as insider trading, front-running or market manipulation. Before notifying ASIC under the rule, the Chi-X Market Participant must have "reasonable grounds to suspect" (i.e. facts that would support the truth of the assertion) that a Reportable Matter has arisen;</w:t>
      </w:r>
    </w:p>
    <w:p w:rsidR="006B1429" w:rsidRPr="006B1429" w:rsidRDefault="006B1429" w:rsidP="00CA0A3E">
      <w:pPr>
        <w:spacing w:after="240"/>
        <w:ind w:left="1276" w:hanging="567"/>
      </w:pPr>
      <w:r w:rsidRPr="006B1429">
        <w:t>(ii)</w:t>
      </w:r>
      <w:r w:rsidR="00CA0A3E">
        <w:tab/>
      </w:r>
      <w:r w:rsidRPr="006B1429">
        <w:t xml:space="preserve">Information provided to ASIC under the rule will be protected in accordance with ASIC’s legislative obligations under s127 of the </w:t>
      </w:r>
      <w:r w:rsidRPr="006B1429">
        <w:rPr>
          <w:i/>
          <w:iCs/>
        </w:rPr>
        <w:t>Australian Securities and Investments Commission Act 2001</w:t>
      </w:r>
      <w:r w:rsidRPr="006B1429">
        <w:t xml:space="preserve">, and to, the extent the information is personal information, under the </w:t>
      </w:r>
      <w:r w:rsidRPr="006B1429">
        <w:rPr>
          <w:i/>
          <w:iCs/>
        </w:rPr>
        <w:t>Privacy Act 1988</w:t>
      </w:r>
      <w:r w:rsidRPr="006B1429">
        <w:t>; and</w:t>
      </w:r>
    </w:p>
    <w:p w:rsidR="006B1429" w:rsidRPr="006B1429" w:rsidRDefault="006B1429" w:rsidP="003C5642">
      <w:pPr>
        <w:spacing w:after="240"/>
        <w:ind w:left="1276" w:hanging="567"/>
      </w:pPr>
      <w:r w:rsidRPr="006B1429">
        <w:t>(iii)</w:t>
      </w:r>
      <w:r w:rsidR="009D1EAD">
        <w:tab/>
      </w:r>
      <w:r w:rsidRPr="006B1429">
        <w:t xml:space="preserve">Chi-X Market Participants will be required to maintain the confidentiality of the notification and the information contained in it in accordance with Rule 5.11.2. </w:t>
      </w:r>
    </w:p>
    <w:p w:rsidR="006B1429" w:rsidRPr="006B1429" w:rsidRDefault="006B1429" w:rsidP="006B1429">
      <w:pPr>
        <w:spacing w:after="240"/>
        <w:ind w:left="142"/>
      </w:pPr>
      <w:r w:rsidRPr="006B1429">
        <w:t>If the Legislative Instrument was considered to limit the right in Article 17 of the ICCPR, ASIC considers that the Legislative Instrument is nevertheless compatible with that right. The right in Article 17 is not absolute. As noted,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Any limitation imposed on the right by the Legislative Instrument has a clear legal basis, in that it:</w:t>
      </w:r>
    </w:p>
    <w:p w:rsidR="006B1429" w:rsidRPr="006B1429" w:rsidRDefault="006B1429" w:rsidP="006B1429">
      <w:pPr>
        <w:spacing w:after="240"/>
        <w:ind w:left="142"/>
      </w:pPr>
      <w:r w:rsidRPr="006B1429">
        <w:t xml:space="preserve">(a)   </w:t>
      </w:r>
      <w:r w:rsidRPr="006B1429">
        <w:rPr>
          <w:i/>
          <w:iCs/>
        </w:rPr>
        <w:t>Aims to achieve a legitimate objective</w:t>
      </w:r>
      <w:r w:rsidRPr="006B1429">
        <w:t xml:space="preserve">. The rule will assisting ASIC to perform its function of supervising financial markets under Part 7.2A of the Act, and to further the statutory objects of </w:t>
      </w:r>
      <w:r w:rsidRPr="006B1429">
        <w:lastRenderedPageBreak/>
        <w:t>Chapter 7 of the Act by promoting fair, orderly and transparent markets for all investors and participants.</w:t>
      </w:r>
    </w:p>
    <w:p w:rsidR="006B1429" w:rsidRPr="006B1429" w:rsidRDefault="006B1429" w:rsidP="006B1429">
      <w:pPr>
        <w:spacing w:after="240"/>
        <w:ind w:left="142"/>
      </w:pPr>
      <w:r w:rsidRPr="006B1429">
        <w:t xml:space="preserve">(b)   </w:t>
      </w:r>
      <w:r w:rsidRPr="006B1429">
        <w:rPr>
          <w:i/>
          <w:iCs/>
        </w:rPr>
        <w:t>Has a rational connection with the objective</w:t>
      </w:r>
      <w:r w:rsidRPr="006B1429">
        <w:t xml:space="preserve"> – By ensuring that suspicious activity is notified to ASIC, the rule will enhance ASIC’s ability to detect, pursue and deter misconduct which may have an impact on the fairness, orderliness and transparency of Australia’s markets.</w:t>
      </w:r>
    </w:p>
    <w:p w:rsidR="006B1429" w:rsidRPr="006B1429" w:rsidRDefault="006B1429" w:rsidP="006B1429">
      <w:pPr>
        <w:spacing w:after="240"/>
        <w:ind w:left="142"/>
      </w:pPr>
      <w:r w:rsidRPr="006B1429">
        <w:t xml:space="preserve">(c)   </w:t>
      </w:r>
      <w:r w:rsidRPr="006B1429">
        <w:rPr>
          <w:i/>
          <w:iCs/>
        </w:rPr>
        <w:t>Is reasonable, necessary and proportionate</w:t>
      </w:r>
      <w:r w:rsidRPr="006B1429">
        <w:t xml:space="preserve"> – The rule is necessary to achieve the legitimate objective described above because it provides ASIC with a significant additional source of market intelligence, recognised in overseas jurisdictions as imperative to market integrity.  The rule contains adequate safeguards by requiring an objective threshold to be met before a Suspicious Activity Reporting notification is made, and by requiring a Chi-X Market Participant to maintain the confidentiality of any such notification. Further safeguards are provided by ASIC’s statutory obligations to protect confidential and personal information contained in the notification.</w:t>
      </w:r>
    </w:p>
    <w:p w:rsidR="00825080" w:rsidRPr="00D636EC" w:rsidRDefault="00825080" w:rsidP="00C42BBB">
      <w:pPr>
        <w:spacing w:after="240"/>
        <w:ind w:left="142"/>
        <w:rPr>
          <w:lang w:val="en-US"/>
        </w:rPr>
      </w:pPr>
    </w:p>
    <w:sectPr w:rsidR="00825080" w:rsidRPr="00D636EC" w:rsidSect="00D848B1">
      <w:headerReference w:type="default" r:id="rId8"/>
      <w:pgSz w:w="11906" w:h="16838"/>
      <w:pgMar w:top="1134" w:right="1077" w:bottom="1134"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F9A" w:rsidRDefault="00B21F9A" w:rsidP="00D57507">
      <w:r>
        <w:separator/>
      </w:r>
    </w:p>
  </w:endnote>
  <w:endnote w:type="continuationSeparator" w:id="0">
    <w:p w:rsidR="00B21F9A" w:rsidRDefault="00B21F9A" w:rsidP="00D57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F9A" w:rsidRDefault="00B21F9A" w:rsidP="00D57507">
      <w:r>
        <w:separator/>
      </w:r>
    </w:p>
  </w:footnote>
  <w:footnote w:type="continuationSeparator" w:id="0">
    <w:p w:rsidR="00B21F9A" w:rsidRDefault="00B21F9A" w:rsidP="00D57507">
      <w:r>
        <w:continuationSeparator/>
      </w:r>
    </w:p>
  </w:footnote>
  <w:footnote w:id="1">
    <w:p w:rsidR="00CA0A3E" w:rsidRPr="00CA0A3E" w:rsidRDefault="00CA0A3E" w:rsidP="00CA0A3E">
      <w:pPr>
        <w:pStyle w:val="FootnoteText"/>
        <w:spacing w:after="100" w:afterAutospacing="1"/>
        <w:ind w:right="-171"/>
        <w:jc w:val="left"/>
      </w:pPr>
      <w:r>
        <w:rPr>
          <w:rStyle w:val="FootnoteReference"/>
        </w:rPr>
        <w:footnoteRef/>
      </w:r>
      <w:r>
        <w:t xml:space="preserve"> </w:t>
      </w:r>
      <w:r w:rsidRPr="00CA0A3E">
        <w:t xml:space="preserve">Australian Government Attorney-General’s Department : </w:t>
      </w:r>
      <w:r w:rsidRPr="00CA0A3E">
        <w:rPr>
          <w:i/>
          <w:iCs/>
        </w:rPr>
        <w:t>Privacy and Reputation</w:t>
      </w:r>
      <w:r w:rsidRPr="00CA0A3E">
        <w:t xml:space="preserve"> </w:t>
      </w:r>
      <w:r w:rsidRPr="00CA0A3E">
        <w:rPr>
          <w:sz w:val="16"/>
          <w:szCs w:val="16"/>
        </w:rPr>
        <w:t>http://www.ag.gov.au/Humanrightsandantidiscrimination/Humanrightsandthepublicsector/Humanrightsguidancesheets/Pages/Privacyandreputation.aspx</w:t>
      </w:r>
    </w:p>
    <w:p w:rsidR="00CA0A3E" w:rsidRPr="00CA0A3E" w:rsidRDefault="00CA0A3E">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27876"/>
      <w:docPartObj>
        <w:docPartGallery w:val="Page Numbers (Top of Page)"/>
        <w:docPartUnique/>
      </w:docPartObj>
    </w:sdtPr>
    <w:sdtContent>
      <w:p w:rsidR="00D848B1" w:rsidRDefault="00D848B1">
        <w:pPr>
          <w:pStyle w:val="Header"/>
          <w:jc w:val="center"/>
        </w:pPr>
        <w:fldSimple w:instr=" PAGE   \* MERGEFORMAT ">
          <w:r w:rsidR="00470EEA">
            <w:rPr>
              <w:noProof/>
            </w:rPr>
            <w:t>5</w:t>
          </w:r>
        </w:fldSimple>
      </w:p>
    </w:sdtContent>
  </w:sdt>
  <w:p w:rsidR="00D848B1" w:rsidRDefault="00D848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B7C17B4"/>
    <w:multiLevelType w:val="hybridMultilevel"/>
    <w:tmpl w:val="10C81760"/>
    <w:lvl w:ilvl="0" w:tplc="0C090001">
      <w:start w:val="1"/>
      <w:numFmt w:val="bullet"/>
      <w:lvlText w:val=""/>
      <w:lvlJc w:val="left"/>
      <w:pPr>
        <w:ind w:left="720" w:hanging="360"/>
      </w:pPr>
      <w:rPr>
        <w:rFonts w:ascii="Symbol" w:hAnsi="Symbol" w:hint="default"/>
      </w:rPr>
    </w:lvl>
    <w:lvl w:ilvl="1" w:tplc="CFA2019C">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8D31BE8"/>
    <w:multiLevelType w:val="hybridMultilevel"/>
    <w:tmpl w:val="70F27C96"/>
    <w:lvl w:ilvl="0" w:tplc="FD1CDF8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424257"/>
    <w:multiLevelType w:val="hybridMultilevel"/>
    <w:tmpl w:val="8B42004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49261F"/>
    <w:multiLevelType w:val="multilevel"/>
    <w:tmpl w:val="051A3656"/>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MIRSubpara"/>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5B5C20E3"/>
    <w:multiLevelType w:val="hybridMultilevel"/>
    <w:tmpl w:val="D6E0D91A"/>
    <w:lvl w:ilvl="0" w:tplc="FD1CDF8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36EC"/>
    <w:rsid w:val="001A2A7C"/>
    <w:rsid w:val="00216EB2"/>
    <w:rsid w:val="002E2477"/>
    <w:rsid w:val="003028CA"/>
    <w:rsid w:val="003038CC"/>
    <w:rsid w:val="003C01D9"/>
    <w:rsid w:val="003C5642"/>
    <w:rsid w:val="00470EEA"/>
    <w:rsid w:val="0054777F"/>
    <w:rsid w:val="005B555C"/>
    <w:rsid w:val="005E2983"/>
    <w:rsid w:val="006559D2"/>
    <w:rsid w:val="006B1429"/>
    <w:rsid w:val="006E54D8"/>
    <w:rsid w:val="0070778A"/>
    <w:rsid w:val="00785E35"/>
    <w:rsid w:val="00825080"/>
    <w:rsid w:val="009B2FF5"/>
    <w:rsid w:val="009D1EAD"/>
    <w:rsid w:val="00A42470"/>
    <w:rsid w:val="00B21F9A"/>
    <w:rsid w:val="00C42805"/>
    <w:rsid w:val="00C42BBB"/>
    <w:rsid w:val="00CA0A3E"/>
    <w:rsid w:val="00CD09A7"/>
    <w:rsid w:val="00D57507"/>
    <w:rsid w:val="00D636EC"/>
    <w:rsid w:val="00D848B1"/>
    <w:rsid w:val="00DE6D7F"/>
    <w:rsid w:val="00E603C3"/>
    <w:rsid w:val="00F246AA"/>
    <w:rsid w:val="00FD7A0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A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636EC"/>
    <w:pPr>
      <w:numPr>
        <w:numId w:val="1"/>
      </w:numPr>
      <w:spacing w:before="200" w:line="300" w:lineRule="atLeast"/>
    </w:pPr>
    <w:rPr>
      <w:sz w:val="22"/>
      <w:szCs w:val="22"/>
      <w:lang w:eastAsia="en-AU"/>
    </w:rPr>
  </w:style>
  <w:style w:type="character" w:customStyle="1" w:styleId="BodyTextChar">
    <w:name w:val="Body Text Char"/>
    <w:basedOn w:val="DefaultParagraphFont"/>
    <w:link w:val="BodyText"/>
    <w:semiHidden/>
    <w:rsid w:val="00D636EC"/>
    <w:rPr>
      <w:sz w:val="22"/>
      <w:szCs w:val="22"/>
    </w:rPr>
  </w:style>
  <w:style w:type="paragraph" w:customStyle="1" w:styleId="MIRSubpara">
    <w:name w:val="MIR Subpara"/>
    <w:basedOn w:val="Normal"/>
    <w:qFormat/>
    <w:rsid w:val="00D636EC"/>
    <w:pPr>
      <w:numPr>
        <w:ilvl w:val="1"/>
        <w:numId w:val="1"/>
      </w:numPr>
      <w:spacing w:before="100" w:line="300" w:lineRule="atLeast"/>
    </w:pPr>
    <w:rPr>
      <w:sz w:val="22"/>
      <w:szCs w:val="22"/>
      <w:lang w:eastAsia="en-AU"/>
    </w:rPr>
  </w:style>
  <w:style w:type="paragraph" w:customStyle="1" w:styleId="MIRBodyText">
    <w:name w:val="MIR Body Text"/>
    <w:basedOn w:val="Normal"/>
    <w:link w:val="MIRBodyTextChar1"/>
    <w:qFormat/>
    <w:rsid w:val="00D636EC"/>
    <w:pPr>
      <w:tabs>
        <w:tab w:val="left" w:pos="2205"/>
      </w:tabs>
      <w:spacing w:before="200" w:line="300" w:lineRule="atLeast"/>
      <w:ind w:left="1701"/>
    </w:pPr>
    <w:rPr>
      <w:sz w:val="22"/>
      <w:szCs w:val="22"/>
      <w:lang w:eastAsia="en-AU"/>
    </w:rPr>
  </w:style>
  <w:style w:type="paragraph" w:customStyle="1" w:styleId="MIRSubsubpara">
    <w:name w:val="MIR Subsubpara"/>
    <w:basedOn w:val="Normal"/>
    <w:link w:val="MIRSubsubparaChar"/>
    <w:qFormat/>
    <w:rsid w:val="00D636EC"/>
    <w:pPr>
      <w:numPr>
        <w:ilvl w:val="2"/>
        <w:numId w:val="1"/>
      </w:numPr>
      <w:tabs>
        <w:tab w:val="clear" w:pos="3119"/>
        <w:tab w:val="left" w:pos="2552"/>
      </w:tabs>
      <w:spacing w:before="100" w:line="300" w:lineRule="atLeast"/>
      <w:ind w:left="2551" w:hanging="425"/>
    </w:pPr>
    <w:rPr>
      <w:sz w:val="22"/>
      <w:szCs w:val="22"/>
      <w:lang w:eastAsia="en-AU"/>
    </w:rPr>
  </w:style>
  <w:style w:type="character" w:customStyle="1" w:styleId="MIRSubsubparaChar">
    <w:name w:val="MIR Subsubpara Char"/>
    <w:basedOn w:val="DefaultParagraphFont"/>
    <w:link w:val="MIRSubsubpara"/>
    <w:rsid w:val="00D636EC"/>
    <w:rPr>
      <w:sz w:val="22"/>
      <w:szCs w:val="22"/>
    </w:rPr>
  </w:style>
  <w:style w:type="character" w:customStyle="1" w:styleId="MIRBodyTextChar1">
    <w:name w:val="MIR Body Text Char1"/>
    <w:basedOn w:val="DefaultParagraphFont"/>
    <w:link w:val="MIRBodyText"/>
    <w:rsid w:val="00D636EC"/>
    <w:rPr>
      <w:sz w:val="22"/>
      <w:szCs w:val="22"/>
    </w:rPr>
  </w:style>
  <w:style w:type="paragraph" w:styleId="BalloonText">
    <w:name w:val="Balloon Text"/>
    <w:basedOn w:val="Normal"/>
    <w:link w:val="BalloonTextChar"/>
    <w:uiPriority w:val="99"/>
    <w:semiHidden/>
    <w:unhideWhenUsed/>
    <w:rsid w:val="001A2A7C"/>
    <w:rPr>
      <w:rFonts w:ascii="Tahoma" w:hAnsi="Tahoma" w:cs="Tahoma"/>
      <w:sz w:val="16"/>
      <w:szCs w:val="16"/>
    </w:rPr>
  </w:style>
  <w:style w:type="character" w:customStyle="1" w:styleId="BalloonTextChar">
    <w:name w:val="Balloon Text Char"/>
    <w:basedOn w:val="DefaultParagraphFont"/>
    <w:link w:val="BalloonText"/>
    <w:uiPriority w:val="99"/>
    <w:semiHidden/>
    <w:rsid w:val="001A2A7C"/>
    <w:rPr>
      <w:rFonts w:ascii="Tahoma" w:hAnsi="Tahoma" w:cs="Tahoma"/>
      <w:sz w:val="16"/>
      <w:szCs w:val="16"/>
      <w:lang w:eastAsia="en-US"/>
    </w:rPr>
  </w:style>
  <w:style w:type="paragraph" w:styleId="ListParagraph">
    <w:name w:val="List Paragraph"/>
    <w:basedOn w:val="Normal"/>
    <w:uiPriority w:val="34"/>
    <w:qFormat/>
    <w:rsid w:val="00D57507"/>
    <w:pPr>
      <w:widowControl w:val="0"/>
      <w:adjustRightInd w:val="0"/>
      <w:spacing w:line="360" w:lineRule="atLeast"/>
      <w:ind w:left="720"/>
      <w:contextualSpacing/>
      <w:jc w:val="both"/>
      <w:textAlignment w:val="baseline"/>
    </w:pPr>
  </w:style>
  <w:style w:type="paragraph" w:styleId="FootnoteText">
    <w:name w:val="footnote text"/>
    <w:basedOn w:val="Normal"/>
    <w:link w:val="FootnoteTextChar"/>
    <w:semiHidden/>
    <w:rsid w:val="00D57507"/>
    <w:pPr>
      <w:widowControl w:val="0"/>
      <w:adjustRightInd w:val="0"/>
      <w:spacing w:line="360" w:lineRule="atLeast"/>
      <w:jc w:val="both"/>
      <w:textAlignment w:val="baseline"/>
    </w:pPr>
    <w:rPr>
      <w:sz w:val="18"/>
      <w:szCs w:val="20"/>
    </w:rPr>
  </w:style>
  <w:style w:type="character" w:customStyle="1" w:styleId="FootnoteTextChar">
    <w:name w:val="Footnote Text Char"/>
    <w:basedOn w:val="DefaultParagraphFont"/>
    <w:link w:val="FootnoteText"/>
    <w:semiHidden/>
    <w:rsid w:val="00D57507"/>
    <w:rPr>
      <w:sz w:val="18"/>
      <w:lang w:eastAsia="en-US"/>
    </w:rPr>
  </w:style>
  <w:style w:type="character" w:styleId="FootnoteReference">
    <w:name w:val="footnote reference"/>
    <w:aliases w:val="(NECG) Footnote Reference"/>
    <w:rsid w:val="00D57507"/>
    <w:rPr>
      <w:vertAlign w:val="superscript"/>
    </w:rPr>
  </w:style>
  <w:style w:type="character" w:styleId="Hyperlink">
    <w:name w:val="Hyperlink"/>
    <w:basedOn w:val="DefaultParagraphFont"/>
    <w:uiPriority w:val="99"/>
    <w:unhideWhenUsed/>
    <w:rsid w:val="006B1429"/>
    <w:rPr>
      <w:color w:val="0000FF" w:themeColor="hyperlink"/>
      <w:u w:val="single"/>
    </w:rPr>
  </w:style>
  <w:style w:type="paragraph" w:styleId="EndnoteText">
    <w:name w:val="endnote text"/>
    <w:basedOn w:val="Normal"/>
    <w:link w:val="EndnoteTextChar"/>
    <w:uiPriority w:val="99"/>
    <w:semiHidden/>
    <w:unhideWhenUsed/>
    <w:rsid w:val="00CA0A3E"/>
    <w:rPr>
      <w:sz w:val="20"/>
      <w:szCs w:val="20"/>
    </w:rPr>
  </w:style>
  <w:style w:type="character" w:customStyle="1" w:styleId="EndnoteTextChar">
    <w:name w:val="Endnote Text Char"/>
    <w:basedOn w:val="DefaultParagraphFont"/>
    <w:link w:val="EndnoteText"/>
    <w:uiPriority w:val="99"/>
    <w:semiHidden/>
    <w:rsid w:val="00CA0A3E"/>
    <w:rPr>
      <w:lang w:eastAsia="en-US"/>
    </w:rPr>
  </w:style>
  <w:style w:type="character" w:styleId="EndnoteReference">
    <w:name w:val="endnote reference"/>
    <w:basedOn w:val="DefaultParagraphFont"/>
    <w:uiPriority w:val="99"/>
    <w:semiHidden/>
    <w:unhideWhenUsed/>
    <w:rsid w:val="00CA0A3E"/>
    <w:rPr>
      <w:vertAlign w:val="superscript"/>
    </w:rPr>
  </w:style>
  <w:style w:type="paragraph" w:styleId="Header">
    <w:name w:val="header"/>
    <w:basedOn w:val="Normal"/>
    <w:link w:val="HeaderChar"/>
    <w:uiPriority w:val="99"/>
    <w:unhideWhenUsed/>
    <w:rsid w:val="00D848B1"/>
    <w:pPr>
      <w:tabs>
        <w:tab w:val="center" w:pos="4513"/>
        <w:tab w:val="right" w:pos="9026"/>
      </w:tabs>
    </w:pPr>
  </w:style>
  <w:style w:type="character" w:customStyle="1" w:styleId="HeaderChar">
    <w:name w:val="Header Char"/>
    <w:basedOn w:val="DefaultParagraphFont"/>
    <w:link w:val="Header"/>
    <w:uiPriority w:val="99"/>
    <w:rsid w:val="00D848B1"/>
    <w:rPr>
      <w:sz w:val="24"/>
      <w:szCs w:val="24"/>
      <w:lang w:eastAsia="en-US"/>
    </w:rPr>
  </w:style>
  <w:style w:type="paragraph" w:styleId="Footer">
    <w:name w:val="footer"/>
    <w:basedOn w:val="Normal"/>
    <w:link w:val="FooterChar"/>
    <w:uiPriority w:val="99"/>
    <w:semiHidden/>
    <w:unhideWhenUsed/>
    <w:rsid w:val="00D848B1"/>
    <w:pPr>
      <w:tabs>
        <w:tab w:val="center" w:pos="4513"/>
        <w:tab w:val="right" w:pos="9026"/>
      </w:tabs>
    </w:pPr>
  </w:style>
  <w:style w:type="character" w:customStyle="1" w:styleId="FooterChar">
    <w:name w:val="Footer Char"/>
    <w:basedOn w:val="DefaultParagraphFont"/>
    <w:link w:val="Footer"/>
    <w:uiPriority w:val="99"/>
    <w:semiHidden/>
    <w:rsid w:val="00D848B1"/>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1731369">
      <w:bodyDiv w:val="1"/>
      <w:marLeft w:val="0"/>
      <w:marRight w:val="0"/>
      <w:marTop w:val="0"/>
      <w:marBottom w:val="0"/>
      <w:divBdr>
        <w:top w:val="none" w:sz="0" w:space="0" w:color="auto"/>
        <w:left w:val="none" w:sz="0" w:space="0" w:color="auto"/>
        <w:bottom w:val="none" w:sz="0" w:space="0" w:color="auto"/>
        <w:right w:val="none" w:sz="0" w:space="0" w:color="auto"/>
      </w:divBdr>
      <w:divsChild>
        <w:div w:id="1510288837">
          <w:marLeft w:val="0"/>
          <w:marRight w:val="0"/>
          <w:marTop w:val="0"/>
          <w:marBottom w:val="0"/>
          <w:divBdr>
            <w:top w:val="none" w:sz="0" w:space="0" w:color="auto"/>
            <w:left w:val="none" w:sz="0" w:space="0" w:color="auto"/>
            <w:bottom w:val="none" w:sz="0" w:space="0" w:color="auto"/>
            <w:right w:val="none" w:sz="0" w:space="0" w:color="auto"/>
          </w:divBdr>
          <w:divsChild>
            <w:div w:id="1465853497">
              <w:marLeft w:val="0"/>
              <w:marRight w:val="0"/>
              <w:marTop w:val="0"/>
              <w:marBottom w:val="0"/>
              <w:divBdr>
                <w:top w:val="none" w:sz="0" w:space="0" w:color="auto"/>
                <w:left w:val="none" w:sz="0" w:space="0" w:color="auto"/>
                <w:bottom w:val="none" w:sz="0" w:space="0" w:color="auto"/>
                <w:right w:val="none" w:sz="0" w:space="0" w:color="auto"/>
              </w:divBdr>
              <w:divsChild>
                <w:div w:id="503982892">
                  <w:marLeft w:val="0"/>
                  <w:marRight w:val="0"/>
                  <w:marTop w:val="0"/>
                  <w:marBottom w:val="0"/>
                  <w:divBdr>
                    <w:top w:val="none" w:sz="0" w:space="0" w:color="auto"/>
                    <w:left w:val="none" w:sz="0" w:space="0" w:color="auto"/>
                    <w:bottom w:val="none" w:sz="0" w:space="0" w:color="auto"/>
                    <w:right w:val="none" w:sz="0" w:space="0" w:color="auto"/>
                  </w:divBdr>
                  <w:divsChild>
                    <w:div w:id="309789954">
                      <w:marLeft w:val="0"/>
                      <w:marRight w:val="0"/>
                      <w:marTop w:val="0"/>
                      <w:marBottom w:val="0"/>
                      <w:divBdr>
                        <w:top w:val="none" w:sz="0" w:space="0" w:color="auto"/>
                        <w:left w:val="none" w:sz="0" w:space="0" w:color="auto"/>
                        <w:bottom w:val="none" w:sz="0" w:space="0" w:color="auto"/>
                        <w:right w:val="none" w:sz="0" w:space="0" w:color="auto"/>
                      </w:divBdr>
                      <w:divsChild>
                        <w:div w:id="194198002">
                          <w:marLeft w:val="0"/>
                          <w:marRight w:val="0"/>
                          <w:marTop w:val="0"/>
                          <w:marBottom w:val="0"/>
                          <w:divBdr>
                            <w:top w:val="single" w:sz="6" w:space="0" w:color="828282"/>
                            <w:left w:val="single" w:sz="6" w:space="0" w:color="828282"/>
                            <w:bottom w:val="single" w:sz="6" w:space="0" w:color="828282"/>
                            <w:right w:val="single" w:sz="6" w:space="0" w:color="828282"/>
                          </w:divBdr>
                          <w:divsChild>
                            <w:div w:id="1120535199">
                              <w:marLeft w:val="0"/>
                              <w:marRight w:val="0"/>
                              <w:marTop w:val="0"/>
                              <w:marBottom w:val="0"/>
                              <w:divBdr>
                                <w:top w:val="none" w:sz="0" w:space="0" w:color="auto"/>
                                <w:left w:val="none" w:sz="0" w:space="0" w:color="auto"/>
                                <w:bottom w:val="none" w:sz="0" w:space="0" w:color="auto"/>
                                <w:right w:val="none" w:sz="0" w:space="0" w:color="auto"/>
                              </w:divBdr>
                              <w:divsChild>
                                <w:div w:id="1136875568">
                                  <w:marLeft w:val="0"/>
                                  <w:marRight w:val="0"/>
                                  <w:marTop w:val="0"/>
                                  <w:marBottom w:val="0"/>
                                  <w:divBdr>
                                    <w:top w:val="none" w:sz="0" w:space="0" w:color="auto"/>
                                    <w:left w:val="none" w:sz="0" w:space="0" w:color="auto"/>
                                    <w:bottom w:val="none" w:sz="0" w:space="0" w:color="auto"/>
                                    <w:right w:val="none" w:sz="0" w:space="0" w:color="auto"/>
                                  </w:divBdr>
                                  <w:divsChild>
                                    <w:div w:id="304240901">
                                      <w:marLeft w:val="0"/>
                                      <w:marRight w:val="0"/>
                                      <w:marTop w:val="0"/>
                                      <w:marBottom w:val="0"/>
                                      <w:divBdr>
                                        <w:top w:val="none" w:sz="0" w:space="0" w:color="auto"/>
                                        <w:left w:val="none" w:sz="0" w:space="0" w:color="auto"/>
                                        <w:bottom w:val="none" w:sz="0" w:space="0" w:color="auto"/>
                                        <w:right w:val="none" w:sz="0" w:space="0" w:color="auto"/>
                                      </w:divBdr>
                                      <w:divsChild>
                                        <w:div w:id="1142383390">
                                          <w:marLeft w:val="0"/>
                                          <w:marRight w:val="0"/>
                                          <w:marTop w:val="0"/>
                                          <w:marBottom w:val="0"/>
                                          <w:divBdr>
                                            <w:top w:val="none" w:sz="0" w:space="0" w:color="auto"/>
                                            <w:left w:val="none" w:sz="0" w:space="0" w:color="auto"/>
                                            <w:bottom w:val="none" w:sz="0" w:space="0" w:color="auto"/>
                                            <w:right w:val="none" w:sz="0" w:space="0" w:color="auto"/>
                                          </w:divBdr>
                                          <w:divsChild>
                                            <w:div w:id="679743331">
                                              <w:marLeft w:val="0"/>
                                              <w:marRight w:val="0"/>
                                              <w:marTop w:val="0"/>
                                              <w:marBottom w:val="0"/>
                                              <w:divBdr>
                                                <w:top w:val="none" w:sz="0" w:space="0" w:color="auto"/>
                                                <w:left w:val="none" w:sz="0" w:space="0" w:color="auto"/>
                                                <w:bottom w:val="none" w:sz="0" w:space="0" w:color="auto"/>
                                                <w:right w:val="none" w:sz="0" w:space="0" w:color="auto"/>
                                              </w:divBdr>
                                              <w:divsChild>
                                                <w:div w:id="6368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470996">
      <w:bodyDiv w:val="1"/>
      <w:marLeft w:val="0"/>
      <w:marRight w:val="0"/>
      <w:marTop w:val="0"/>
      <w:marBottom w:val="0"/>
      <w:divBdr>
        <w:top w:val="none" w:sz="0" w:space="0" w:color="auto"/>
        <w:left w:val="none" w:sz="0" w:space="0" w:color="auto"/>
        <w:bottom w:val="none" w:sz="0" w:space="0" w:color="auto"/>
        <w:right w:val="none" w:sz="0" w:space="0" w:color="auto"/>
      </w:divBdr>
      <w:divsChild>
        <w:div w:id="1592160204">
          <w:marLeft w:val="0"/>
          <w:marRight w:val="0"/>
          <w:marTop w:val="0"/>
          <w:marBottom w:val="0"/>
          <w:divBdr>
            <w:top w:val="none" w:sz="0" w:space="0" w:color="auto"/>
            <w:left w:val="none" w:sz="0" w:space="0" w:color="auto"/>
            <w:bottom w:val="none" w:sz="0" w:space="0" w:color="auto"/>
            <w:right w:val="none" w:sz="0" w:space="0" w:color="auto"/>
          </w:divBdr>
          <w:divsChild>
            <w:div w:id="1589383278">
              <w:marLeft w:val="0"/>
              <w:marRight w:val="0"/>
              <w:marTop w:val="0"/>
              <w:marBottom w:val="0"/>
              <w:divBdr>
                <w:top w:val="none" w:sz="0" w:space="0" w:color="auto"/>
                <w:left w:val="none" w:sz="0" w:space="0" w:color="auto"/>
                <w:bottom w:val="none" w:sz="0" w:space="0" w:color="auto"/>
                <w:right w:val="none" w:sz="0" w:space="0" w:color="auto"/>
              </w:divBdr>
              <w:divsChild>
                <w:div w:id="849874464">
                  <w:marLeft w:val="0"/>
                  <w:marRight w:val="0"/>
                  <w:marTop w:val="0"/>
                  <w:marBottom w:val="0"/>
                  <w:divBdr>
                    <w:top w:val="none" w:sz="0" w:space="0" w:color="auto"/>
                    <w:left w:val="none" w:sz="0" w:space="0" w:color="auto"/>
                    <w:bottom w:val="none" w:sz="0" w:space="0" w:color="auto"/>
                    <w:right w:val="none" w:sz="0" w:space="0" w:color="auto"/>
                  </w:divBdr>
                  <w:divsChild>
                    <w:div w:id="1726756866">
                      <w:marLeft w:val="0"/>
                      <w:marRight w:val="0"/>
                      <w:marTop w:val="0"/>
                      <w:marBottom w:val="0"/>
                      <w:divBdr>
                        <w:top w:val="none" w:sz="0" w:space="0" w:color="auto"/>
                        <w:left w:val="none" w:sz="0" w:space="0" w:color="auto"/>
                        <w:bottom w:val="none" w:sz="0" w:space="0" w:color="auto"/>
                        <w:right w:val="none" w:sz="0" w:space="0" w:color="auto"/>
                      </w:divBdr>
                      <w:divsChild>
                        <w:div w:id="1381630175">
                          <w:marLeft w:val="0"/>
                          <w:marRight w:val="0"/>
                          <w:marTop w:val="0"/>
                          <w:marBottom w:val="0"/>
                          <w:divBdr>
                            <w:top w:val="single" w:sz="6" w:space="0" w:color="828282"/>
                            <w:left w:val="single" w:sz="6" w:space="0" w:color="828282"/>
                            <w:bottom w:val="single" w:sz="6" w:space="0" w:color="828282"/>
                            <w:right w:val="single" w:sz="6" w:space="0" w:color="828282"/>
                          </w:divBdr>
                          <w:divsChild>
                            <w:div w:id="1681663501">
                              <w:marLeft w:val="0"/>
                              <w:marRight w:val="0"/>
                              <w:marTop w:val="0"/>
                              <w:marBottom w:val="0"/>
                              <w:divBdr>
                                <w:top w:val="none" w:sz="0" w:space="0" w:color="auto"/>
                                <w:left w:val="none" w:sz="0" w:space="0" w:color="auto"/>
                                <w:bottom w:val="none" w:sz="0" w:space="0" w:color="auto"/>
                                <w:right w:val="none" w:sz="0" w:space="0" w:color="auto"/>
                              </w:divBdr>
                              <w:divsChild>
                                <w:div w:id="357194431">
                                  <w:marLeft w:val="0"/>
                                  <w:marRight w:val="0"/>
                                  <w:marTop w:val="0"/>
                                  <w:marBottom w:val="0"/>
                                  <w:divBdr>
                                    <w:top w:val="none" w:sz="0" w:space="0" w:color="auto"/>
                                    <w:left w:val="none" w:sz="0" w:space="0" w:color="auto"/>
                                    <w:bottom w:val="none" w:sz="0" w:space="0" w:color="auto"/>
                                    <w:right w:val="none" w:sz="0" w:space="0" w:color="auto"/>
                                  </w:divBdr>
                                  <w:divsChild>
                                    <w:div w:id="551844162">
                                      <w:marLeft w:val="0"/>
                                      <w:marRight w:val="0"/>
                                      <w:marTop w:val="0"/>
                                      <w:marBottom w:val="0"/>
                                      <w:divBdr>
                                        <w:top w:val="none" w:sz="0" w:space="0" w:color="auto"/>
                                        <w:left w:val="none" w:sz="0" w:space="0" w:color="auto"/>
                                        <w:bottom w:val="none" w:sz="0" w:space="0" w:color="auto"/>
                                        <w:right w:val="none" w:sz="0" w:space="0" w:color="auto"/>
                                      </w:divBdr>
                                      <w:divsChild>
                                        <w:div w:id="974679739">
                                          <w:marLeft w:val="0"/>
                                          <w:marRight w:val="0"/>
                                          <w:marTop w:val="0"/>
                                          <w:marBottom w:val="0"/>
                                          <w:divBdr>
                                            <w:top w:val="none" w:sz="0" w:space="0" w:color="auto"/>
                                            <w:left w:val="none" w:sz="0" w:space="0" w:color="auto"/>
                                            <w:bottom w:val="none" w:sz="0" w:space="0" w:color="auto"/>
                                            <w:right w:val="none" w:sz="0" w:space="0" w:color="auto"/>
                                          </w:divBdr>
                                          <w:divsChild>
                                            <w:div w:id="1907299478">
                                              <w:marLeft w:val="0"/>
                                              <w:marRight w:val="0"/>
                                              <w:marTop w:val="0"/>
                                              <w:marBottom w:val="0"/>
                                              <w:divBdr>
                                                <w:top w:val="none" w:sz="0" w:space="0" w:color="auto"/>
                                                <w:left w:val="none" w:sz="0" w:space="0" w:color="auto"/>
                                                <w:bottom w:val="none" w:sz="0" w:space="0" w:color="auto"/>
                                                <w:right w:val="none" w:sz="0" w:space="0" w:color="auto"/>
                                              </w:divBdr>
                                              <w:divsChild>
                                                <w:div w:id="980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179560">
      <w:bodyDiv w:val="1"/>
      <w:marLeft w:val="0"/>
      <w:marRight w:val="0"/>
      <w:marTop w:val="0"/>
      <w:marBottom w:val="0"/>
      <w:divBdr>
        <w:top w:val="none" w:sz="0" w:space="0" w:color="auto"/>
        <w:left w:val="none" w:sz="0" w:space="0" w:color="auto"/>
        <w:bottom w:val="none" w:sz="0" w:space="0" w:color="auto"/>
        <w:right w:val="none" w:sz="0" w:space="0" w:color="auto"/>
      </w:divBdr>
      <w:divsChild>
        <w:div w:id="1274895741">
          <w:marLeft w:val="0"/>
          <w:marRight w:val="0"/>
          <w:marTop w:val="0"/>
          <w:marBottom w:val="0"/>
          <w:divBdr>
            <w:top w:val="none" w:sz="0" w:space="0" w:color="auto"/>
            <w:left w:val="none" w:sz="0" w:space="0" w:color="auto"/>
            <w:bottom w:val="none" w:sz="0" w:space="0" w:color="auto"/>
            <w:right w:val="none" w:sz="0" w:space="0" w:color="auto"/>
          </w:divBdr>
          <w:divsChild>
            <w:div w:id="30762467">
              <w:marLeft w:val="0"/>
              <w:marRight w:val="0"/>
              <w:marTop w:val="0"/>
              <w:marBottom w:val="0"/>
              <w:divBdr>
                <w:top w:val="none" w:sz="0" w:space="0" w:color="auto"/>
                <w:left w:val="none" w:sz="0" w:space="0" w:color="auto"/>
                <w:bottom w:val="none" w:sz="0" w:space="0" w:color="auto"/>
                <w:right w:val="none" w:sz="0" w:space="0" w:color="auto"/>
              </w:divBdr>
              <w:divsChild>
                <w:div w:id="1454714086">
                  <w:marLeft w:val="0"/>
                  <w:marRight w:val="0"/>
                  <w:marTop w:val="0"/>
                  <w:marBottom w:val="0"/>
                  <w:divBdr>
                    <w:top w:val="none" w:sz="0" w:space="0" w:color="auto"/>
                    <w:left w:val="none" w:sz="0" w:space="0" w:color="auto"/>
                    <w:bottom w:val="none" w:sz="0" w:space="0" w:color="auto"/>
                    <w:right w:val="none" w:sz="0" w:space="0" w:color="auto"/>
                  </w:divBdr>
                  <w:divsChild>
                    <w:div w:id="628170473">
                      <w:marLeft w:val="0"/>
                      <w:marRight w:val="0"/>
                      <w:marTop w:val="0"/>
                      <w:marBottom w:val="0"/>
                      <w:divBdr>
                        <w:top w:val="none" w:sz="0" w:space="0" w:color="auto"/>
                        <w:left w:val="none" w:sz="0" w:space="0" w:color="auto"/>
                        <w:bottom w:val="none" w:sz="0" w:space="0" w:color="auto"/>
                        <w:right w:val="none" w:sz="0" w:space="0" w:color="auto"/>
                      </w:divBdr>
                      <w:divsChild>
                        <w:div w:id="184827669">
                          <w:marLeft w:val="0"/>
                          <w:marRight w:val="0"/>
                          <w:marTop w:val="0"/>
                          <w:marBottom w:val="0"/>
                          <w:divBdr>
                            <w:top w:val="single" w:sz="6" w:space="0" w:color="828282"/>
                            <w:left w:val="single" w:sz="6" w:space="0" w:color="828282"/>
                            <w:bottom w:val="single" w:sz="6" w:space="0" w:color="828282"/>
                            <w:right w:val="single" w:sz="6" w:space="0" w:color="828282"/>
                          </w:divBdr>
                          <w:divsChild>
                            <w:div w:id="774055205">
                              <w:marLeft w:val="0"/>
                              <w:marRight w:val="0"/>
                              <w:marTop w:val="0"/>
                              <w:marBottom w:val="0"/>
                              <w:divBdr>
                                <w:top w:val="none" w:sz="0" w:space="0" w:color="auto"/>
                                <w:left w:val="none" w:sz="0" w:space="0" w:color="auto"/>
                                <w:bottom w:val="none" w:sz="0" w:space="0" w:color="auto"/>
                                <w:right w:val="none" w:sz="0" w:space="0" w:color="auto"/>
                              </w:divBdr>
                              <w:divsChild>
                                <w:div w:id="805512476">
                                  <w:marLeft w:val="0"/>
                                  <w:marRight w:val="0"/>
                                  <w:marTop w:val="0"/>
                                  <w:marBottom w:val="0"/>
                                  <w:divBdr>
                                    <w:top w:val="none" w:sz="0" w:space="0" w:color="auto"/>
                                    <w:left w:val="none" w:sz="0" w:space="0" w:color="auto"/>
                                    <w:bottom w:val="none" w:sz="0" w:space="0" w:color="auto"/>
                                    <w:right w:val="none" w:sz="0" w:space="0" w:color="auto"/>
                                  </w:divBdr>
                                  <w:divsChild>
                                    <w:div w:id="806316664">
                                      <w:marLeft w:val="0"/>
                                      <w:marRight w:val="0"/>
                                      <w:marTop w:val="0"/>
                                      <w:marBottom w:val="0"/>
                                      <w:divBdr>
                                        <w:top w:val="none" w:sz="0" w:space="0" w:color="auto"/>
                                        <w:left w:val="none" w:sz="0" w:space="0" w:color="auto"/>
                                        <w:bottom w:val="none" w:sz="0" w:space="0" w:color="auto"/>
                                        <w:right w:val="none" w:sz="0" w:space="0" w:color="auto"/>
                                      </w:divBdr>
                                      <w:divsChild>
                                        <w:div w:id="2027323269">
                                          <w:marLeft w:val="0"/>
                                          <w:marRight w:val="0"/>
                                          <w:marTop w:val="0"/>
                                          <w:marBottom w:val="0"/>
                                          <w:divBdr>
                                            <w:top w:val="none" w:sz="0" w:space="0" w:color="auto"/>
                                            <w:left w:val="none" w:sz="0" w:space="0" w:color="auto"/>
                                            <w:bottom w:val="none" w:sz="0" w:space="0" w:color="auto"/>
                                            <w:right w:val="none" w:sz="0" w:space="0" w:color="auto"/>
                                          </w:divBdr>
                                          <w:divsChild>
                                            <w:div w:id="422141995">
                                              <w:marLeft w:val="0"/>
                                              <w:marRight w:val="0"/>
                                              <w:marTop w:val="0"/>
                                              <w:marBottom w:val="0"/>
                                              <w:divBdr>
                                                <w:top w:val="none" w:sz="0" w:space="0" w:color="auto"/>
                                                <w:left w:val="none" w:sz="0" w:space="0" w:color="auto"/>
                                                <w:bottom w:val="none" w:sz="0" w:space="0" w:color="auto"/>
                                                <w:right w:val="none" w:sz="0" w:space="0" w:color="auto"/>
                                              </w:divBdr>
                                              <w:divsChild>
                                                <w:div w:id="400760338">
                                                  <w:marLeft w:val="0"/>
                                                  <w:marRight w:val="0"/>
                                                  <w:marTop w:val="0"/>
                                                  <w:marBottom w:val="0"/>
                                                  <w:divBdr>
                                                    <w:top w:val="none" w:sz="0" w:space="0" w:color="auto"/>
                                                    <w:left w:val="none" w:sz="0" w:space="0" w:color="auto"/>
                                                    <w:bottom w:val="none" w:sz="0" w:space="0" w:color="auto"/>
                                                    <w:right w:val="none" w:sz="0" w:space="0" w:color="auto"/>
                                                  </w:divBdr>
                                                  <w:divsChild>
                                                    <w:div w:id="7453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755177">
      <w:bodyDiv w:val="1"/>
      <w:marLeft w:val="0"/>
      <w:marRight w:val="0"/>
      <w:marTop w:val="0"/>
      <w:marBottom w:val="0"/>
      <w:divBdr>
        <w:top w:val="none" w:sz="0" w:space="0" w:color="auto"/>
        <w:left w:val="none" w:sz="0" w:space="0" w:color="auto"/>
        <w:bottom w:val="none" w:sz="0" w:space="0" w:color="auto"/>
        <w:right w:val="none" w:sz="0" w:space="0" w:color="auto"/>
      </w:divBdr>
      <w:divsChild>
        <w:div w:id="1842230381">
          <w:marLeft w:val="0"/>
          <w:marRight w:val="0"/>
          <w:marTop w:val="0"/>
          <w:marBottom w:val="0"/>
          <w:divBdr>
            <w:top w:val="none" w:sz="0" w:space="0" w:color="auto"/>
            <w:left w:val="none" w:sz="0" w:space="0" w:color="auto"/>
            <w:bottom w:val="none" w:sz="0" w:space="0" w:color="auto"/>
            <w:right w:val="none" w:sz="0" w:space="0" w:color="auto"/>
          </w:divBdr>
          <w:divsChild>
            <w:div w:id="302856055">
              <w:marLeft w:val="0"/>
              <w:marRight w:val="0"/>
              <w:marTop w:val="0"/>
              <w:marBottom w:val="0"/>
              <w:divBdr>
                <w:top w:val="none" w:sz="0" w:space="0" w:color="auto"/>
                <w:left w:val="none" w:sz="0" w:space="0" w:color="auto"/>
                <w:bottom w:val="none" w:sz="0" w:space="0" w:color="auto"/>
                <w:right w:val="none" w:sz="0" w:space="0" w:color="auto"/>
              </w:divBdr>
              <w:divsChild>
                <w:div w:id="1930389849">
                  <w:marLeft w:val="0"/>
                  <w:marRight w:val="0"/>
                  <w:marTop w:val="0"/>
                  <w:marBottom w:val="0"/>
                  <w:divBdr>
                    <w:top w:val="none" w:sz="0" w:space="0" w:color="auto"/>
                    <w:left w:val="none" w:sz="0" w:space="0" w:color="auto"/>
                    <w:bottom w:val="none" w:sz="0" w:space="0" w:color="auto"/>
                    <w:right w:val="none" w:sz="0" w:space="0" w:color="auto"/>
                  </w:divBdr>
                  <w:divsChild>
                    <w:div w:id="685907119">
                      <w:marLeft w:val="0"/>
                      <w:marRight w:val="0"/>
                      <w:marTop w:val="0"/>
                      <w:marBottom w:val="0"/>
                      <w:divBdr>
                        <w:top w:val="none" w:sz="0" w:space="0" w:color="auto"/>
                        <w:left w:val="none" w:sz="0" w:space="0" w:color="auto"/>
                        <w:bottom w:val="none" w:sz="0" w:space="0" w:color="auto"/>
                        <w:right w:val="none" w:sz="0" w:space="0" w:color="auto"/>
                      </w:divBdr>
                      <w:divsChild>
                        <w:div w:id="939918124">
                          <w:marLeft w:val="0"/>
                          <w:marRight w:val="0"/>
                          <w:marTop w:val="0"/>
                          <w:marBottom w:val="0"/>
                          <w:divBdr>
                            <w:top w:val="single" w:sz="6" w:space="0" w:color="828282"/>
                            <w:left w:val="single" w:sz="6" w:space="0" w:color="828282"/>
                            <w:bottom w:val="single" w:sz="6" w:space="0" w:color="828282"/>
                            <w:right w:val="single" w:sz="6" w:space="0" w:color="828282"/>
                          </w:divBdr>
                          <w:divsChild>
                            <w:div w:id="2029983870">
                              <w:marLeft w:val="0"/>
                              <w:marRight w:val="0"/>
                              <w:marTop w:val="0"/>
                              <w:marBottom w:val="0"/>
                              <w:divBdr>
                                <w:top w:val="none" w:sz="0" w:space="0" w:color="auto"/>
                                <w:left w:val="none" w:sz="0" w:space="0" w:color="auto"/>
                                <w:bottom w:val="none" w:sz="0" w:space="0" w:color="auto"/>
                                <w:right w:val="none" w:sz="0" w:space="0" w:color="auto"/>
                              </w:divBdr>
                              <w:divsChild>
                                <w:div w:id="730153631">
                                  <w:marLeft w:val="0"/>
                                  <w:marRight w:val="0"/>
                                  <w:marTop w:val="0"/>
                                  <w:marBottom w:val="0"/>
                                  <w:divBdr>
                                    <w:top w:val="none" w:sz="0" w:space="0" w:color="auto"/>
                                    <w:left w:val="none" w:sz="0" w:space="0" w:color="auto"/>
                                    <w:bottom w:val="none" w:sz="0" w:space="0" w:color="auto"/>
                                    <w:right w:val="none" w:sz="0" w:space="0" w:color="auto"/>
                                  </w:divBdr>
                                  <w:divsChild>
                                    <w:div w:id="1077442463">
                                      <w:marLeft w:val="0"/>
                                      <w:marRight w:val="0"/>
                                      <w:marTop w:val="0"/>
                                      <w:marBottom w:val="0"/>
                                      <w:divBdr>
                                        <w:top w:val="none" w:sz="0" w:space="0" w:color="auto"/>
                                        <w:left w:val="none" w:sz="0" w:space="0" w:color="auto"/>
                                        <w:bottom w:val="none" w:sz="0" w:space="0" w:color="auto"/>
                                        <w:right w:val="none" w:sz="0" w:space="0" w:color="auto"/>
                                      </w:divBdr>
                                      <w:divsChild>
                                        <w:div w:id="1927879336">
                                          <w:marLeft w:val="0"/>
                                          <w:marRight w:val="0"/>
                                          <w:marTop w:val="0"/>
                                          <w:marBottom w:val="0"/>
                                          <w:divBdr>
                                            <w:top w:val="none" w:sz="0" w:space="0" w:color="auto"/>
                                            <w:left w:val="none" w:sz="0" w:space="0" w:color="auto"/>
                                            <w:bottom w:val="none" w:sz="0" w:space="0" w:color="auto"/>
                                            <w:right w:val="none" w:sz="0" w:space="0" w:color="auto"/>
                                          </w:divBdr>
                                          <w:divsChild>
                                            <w:div w:id="2041468653">
                                              <w:marLeft w:val="0"/>
                                              <w:marRight w:val="0"/>
                                              <w:marTop w:val="0"/>
                                              <w:marBottom w:val="0"/>
                                              <w:divBdr>
                                                <w:top w:val="none" w:sz="0" w:space="0" w:color="auto"/>
                                                <w:left w:val="none" w:sz="0" w:space="0" w:color="auto"/>
                                                <w:bottom w:val="none" w:sz="0" w:space="0" w:color="auto"/>
                                                <w:right w:val="none" w:sz="0" w:space="0" w:color="auto"/>
                                              </w:divBdr>
                                              <w:divsChild>
                                                <w:div w:id="19389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215786">
      <w:bodyDiv w:val="1"/>
      <w:marLeft w:val="0"/>
      <w:marRight w:val="0"/>
      <w:marTop w:val="0"/>
      <w:marBottom w:val="0"/>
      <w:divBdr>
        <w:top w:val="none" w:sz="0" w:space="0" w:color="auto"/>
        <w:left w:val="none" w:sz="0" w:space="0" w:color="auto"/>
        <w:bottom w:val="none" w:sz="0" w:space="0" w:color="auto"/>
        <w:right w:val="none" w:sz="0" w:space="0" w:color="auto"/>
      </w:divBdr>
      <w:divsChild>
        <w:div w:id="178933547">
          <w:marLeft w:val="0"/>
          <w:marRight w:val="0"/>
          <w:marTop w:val="0"/>
          <w:marBottom w:val="0"/>
          <w:divBdr>
            <w:top w:val="none" w:sz="0" w:space="0" w:color="auto"/>
            <w:left w:val="none" w:sz="0" w:space="0" w:color="auto"/>
            <w:bottom w:val="none" w:sz="0" w:space="0" w:color="auto"/>
            <w:right w:val="none" w:sz="0" w:space="0" w:color="auto"/>
          </w:divBdr>
          <w:divsChild>
            <w:div w:id="2093159799">
              <w:marLeft w:val="0"/>
              <w:marRight w:val="0"/>
              <w:marTop w:val="0"/>
              <w:marBottom w:val="0"/>
              <w:divBdr>
                <w:top w:val="none" w:sz="0" w:space="0" w:color="auto"/>
                <w:left w:val="none" w:sz="0" w:space="0" w:color="auto"/>
                <w:bottom w:val="none" w:sz="0" w:space="0" w:color="auto"/>
                <w:right w:val="none" w:sz="0" w:space="0" w:color="auto"/>
              </w:divBdr>
              <w:divsChild>
                <w:div w:id="1631591326">
                  <w:marLeft w:val="0"/>
                  <w:marRight w:val="0"/>
                  <w:marTop w:val="0"/>
                  <w:marBottom w:val="0"/>
                  <w:divBdr>
                    <w:top w:val="none" w:sz="0" w:space="0" w:color="auto"/>
                    <w:left w:val="none" w:sz="0" w:space="0" w:color="auto"/>
                    <w:bottom w:val="none" w:sz="0" w:space="0" w:color="auto"/>
                    <w:right w:val="none" w:sz="0" w:space="0" w:color="auto"/>
                  </w:divBdr>
                  <w:divsChild>
                    <w:div w:id="1294798001">
                      <w:marLeft w:val="0"/>
                      <w:marRight w:val="0"/>
                      <w:marTop w:val="0"/>
                      <w:marBottom w:val="0"/>
                      <w:divBdr>
                        <w:top w:val="none" w:sz="0" w:space="0" w:color="auto"/>
                        <w:left w:val="none" w:sz="0" w:space="0" w:color="auto"/>
                        <w:bottom w:val="none" w:sz="0" w:space="0" w:color="auto"/>
                        <w:right w:val="none" w:sz="0" w:space="0" w:color="auto"/>
                      </w:divBdr>
                      <w:divsChild>
                        <w:div w:id="1449197633">
                          <w:marLeft w:val="0"/>
                          <w:marRight w:val="0"/>
                          <w:marTop w:val="0"/>
                          <w:marBottom w:val="0"/>
                          <w:divBdr>
                            <w:top w:val="single" w:sz="6" w:space="0" w:color="828282"/>
                            <w:left w:val="single" w:sz="6" w:space="0" w:color="828282"/>
                            <w:bottom w:val="single" w:sz="6" w:space="0" w:color="828282"/>
                            <w:right w:val="single" w:sz="6" w:space="0" w:color="828282"/>
                          </w:divBdr>
                          <w:divsChild>
                            <w:div w:id="446851225">
                              <w:marLeft w:val="0"/>
                              <w:marRight w:val="0"/>
                              <w:marTop w:val="0"/>
                              <w:marBottom w:val="0"/>
                              <w:divBdr>
                                <w:top w:val="none" w:sz="0" w:space="0" w:color="auto"/>
                                <w:left w:val="none" w:sz="0" w:space="0" w:color="auto"/>
                                <w:bottom w:val="none" w:sz="0" w:space="0" w:color="auto"/>
                                <w:right w:val="none" w:sz="0" w:space="0" w:color="auto"/>
                              </w:divBdr>
                              <w:divsChild>
                                <w:div w:id="991982094">
                                  <w:marLeft w:val="0"/>
                                  <w:marRight w:val="0"/>
                                  <w:marTop w:val="0"/>
                                  <w:marBottom w:val="0"/>
                                  <w:divBdr>
                                    <w:top w:val="none" w:sz="0" w:space="0" w:color="auto"/>
                                    <w:left w:val="none" w:sz="0" w:space="0" w:color="auto"/>
                                    <w:bottom w:val="none" w:sz="0" w:space="0" w:color="auto"/>
                                    <w:right w:val="none" w:sz="0" w:space="0" w:color="auto"/>
                                  </w:divBdr>
                                  <w:divsChild>
                                    <w:div w:id="103422239">
                                      <w:marLeft w:val="0"/>
                                      <w:marRight w:val="0"/>
                                      <w:marTop w:val="0"/>
                                      <w:marBottom w:val="0"/>
                                      <w:divBdr>
                                        <w:top w:val="none" w:sz="0" w:space="0" w:color="auto"/>
                                        <w:left w:val="none" w:sz="0" w:space="0" w:color="auto"/>
                                        <w:bottom w:val="none" w:sz="0" w:space="0" w:color="auto"/>
                                        <w:right w:val="none" w:sz="0" w:space="0" w:color="auto"/>
                                      </w:divBdr>
                                      <w:divsChild>
                                        <w:div w:id="966593480">
                                          <w:marLeft w:val="0"/>
                                          <w:marRight w:val="0"/>
                                          <w:marTop w:val="0"/>
                                          <w:marBottom w:val="0"/>
                                          <w:divBdr>
                                            <w:top w:val="none" w:sz="0" w:space="0" w:color="auto"/>
                                            <w:left w:val="none" w:sz="0" w:space="0" w:color="auto"/>
                                            <w:bottom w:val="none" w:sz="0" w:space="0" w:color="auto"/>
                                            <w:right w:val="none" w:sz="0" w:space="0" w:color="auto"/>
                                          </w:divBdr>
                                          <w:divsChild>
                                            <w:div w:id="660737763">
                                              <w:marLeft w:val="0"/>
                                              <w:marRight w:val="0"/>
                                              <w:marTop w:val="0"/>
                                              <w:marBottom w:val="0"/>
                                              <w:divBdr>
                                                <w:top w:val="none" w:sz="0" w:space="0" w:color="auto"/>
                                                <w:left w:val="none" w:sz="0" w:space="0" w:color="auto"/>
                                                <w:bottom w:val="none" w:sz="0" w:space="0" w:color="auto"/>
                                                <w:right w:val="none" w:sz="0" w:space="0" w:color="auto"/>
                                              </w:divBdr>
                                              <w:divsChild>
                                                <w:div w:id="250434577">
                                                  <w:marLeft w:val="0"/>
                                                  <w:marRight w:val="0"/>
                                                  <w:marTop w:val="0"/>
                                                  <w:marBottom w:val="0"/>
                                                  <w:divBdr>
                                                    <w:top w:val="none" w:sz="0" w:space="0" w:color="auto"/>
                                                    <w:left w:val="none" w:sz="0" w:space="0" w:color="auto"/>
                                                    <w:bottom w:val="none" w:sz="0" w:space="0" w:color="auto"/>
                                                    <w:right w:val="none" w:sz="0" w:space="0" w:color="auto"/>
                                                  </w:divBdr>
                                                  <w:divsChild>
                                                    <w:div w:id="13619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50611">
      <w:bodyDiv w:val="1"/>
      <w:marLeft w:val="0"/>
      <w:marRight w:val="0"/>
      <w:marTop w:val="0"/>
      <w:marBottom w:val="0"/>
      <w:divBdr>
        <w:top w:val="none" w:sz="0" w:space="0" w:color="auto"/>
        <w:left w:val="none" w:sz="0" w:space="0" w:color="auto"/>
        <w:bottom w:val="none" w:sz="0" w:space="0" w:color="auto"/>
        <w:right w:val="none" w:sz="0" w:space="0" w:color="auto"/>
      </w:divBdr>
      <w:divsChild>
        <w:div w:id="522134450">
          <w:marLeft w:val="0"/>
          <w:marRight w:val="0"/>
          <w:marTop w:val="0"/>
          <w:marBottom w:val="0"/>
          <w:divBdr>
            <w:top w:val="none" w:sz="0" w:space="0" w:color="auto"/>
            <w:left w:val="none" w:sz="0" w:space="0" w:color="auto"/>
            <w:bottom w:val="none" w:sz="0" w:space="0" w:color="auto"/>
            <w:right w:val="none" w:sz="0" w:space="0" w:color="auto"/>
          </w:divBdr>
          <w:divsChild>
            <w:div w:id="568031505">
              <w:marLeft w:val="0"/>
              <w:marRight w:val="0"/>
              <w:marTop w:val="0"/>
              <w:marBottom w:val="0"/>
              <w:divBdr>
                <w:top w:val="none" w:sz="0" w:space="0" w:color="auto"/>
                <w:left w:val="none" w:sz="0" w:space="0" w:color="auto"/>
                <w:bottom w:val="none" w:sz="0" w:space="0" w:color="auto"/>
                <w:right w:val="none" w:sz="0" w:space="0" w:color="auto"/>
              </w:divBdr>
              <w:divsChild>
                <w:div w:id="1939748789">
                  <w:marLeft w:val="0"/>
                  <w:marRight w:val="0"/>
                  <w:marTop w:val="0"/>
                  <w:marBottom w:val="0"/>
                  <w:divBdr>
                    <w:top w:val="none" w:sz="0" w:space="0" w:color="auto"/>
                    <w:left w:val="none" w:sz="0" w:space="0" w:color="auto"/>
                    <w:bottom w:val="none" w:sz="0" w:space="0" w:color="auto"/>
                    <w:right w:val="none" w:sz="0" w:space="0" w:color="auto"/>
                  </w:divBdr>
                  <w:divsChild>
                    <w:div w:id="1824422129">
                      <w:marLeft w:val="0"/>
                      <w:marRight w:val="0"/>
                      <w:marTop w:val="0"/>
                      <w:marBottom w:val="0"/>
                      <w:divBdr>
                        <w:top w:val="none" w:sz="0" w:space="0" w:color="auto"/>
                        <w:left w:val="none" w:sz="0" w:space="0" w:color="auto"/>
                        <w:bottom w:val="none" w:sz="0" w:space="0" w:color="auto"/>
                        <w:right w:val="none" w:sz="0" w:space="0" w:color="auto"/>
                      </w:divBdr>
                      <w:divsChild>
                        <w:div w:id="1834637781">
                          <w:marLeft w:val="0"/>
                          <w:marRight w:val="0"/>
                          <w:marTop w:val="0"/>
                          <w:marBottom w:val="0"/>
                          <w:divBdr>
                            <w:top w:val="single" w:sz="6" w:space="0" w:color="828282"/>
                            <w:left w:val="single" w:sz="6" w:space="0" w:color="828282"/>
                            <w:bottom w:val="single" w:sz="6" w:space="0" w:color="828282"/>
                            <w:right w:val="single" w:sz="6" w:space="0" w:color="828282"/>
                          </w:divBdr>
                          <w:divsChild>
                            <w:div w:id="1088574940">
                              <w:marLeft w:val="0"/>
                              <w:marRight w:val="0"/>
                              <w:marTop w:val="0"/>
                              <w:marBottom w:val="0"/>
                              <w:divBdr>
                                <w:top w:val="none" w:sz="0" w:space="0" w:color="auto"/>
                                <w:left w:val="none" w:sz="0" w:space="0" w:color="auto"/>
                                <w:bottom w:val="none" w:sz="0" w:space="0" w:color="auto"/>
                                <w:right w:val="none" w:sz="0" w:space="0" w:color="auto"/>
                              </w:divBdr>
                              <w:divsChild>
                                <w:div w:id="1486236256">
                                  <w:marLeft w:val="0"/>
                                  <w:marRight w:val="0"/>
                                  <w:marTop w:val="0"/>
                                  <w:marBottom w:val="0"/>
                                  <w:divBdr>
                                    <w:top w:val="none" w:sz="0" w:space="0" w:color="auto"/>
                                    <w:left w:val="none" w:sz="0" w:space="0" w:color="auto"/>
                                    <w:bottom w:val="none" w:sz="0" w:space="0" w:color="auto"/>
                                    <w:right w:val="none" w:sz="0" w:space="0" w:color="auto"/>
                                  </w:divBdr>
                                  <w:divsChild>
                                    <w:div w:id="662701622">
                                      <w:marLeft w:val="0"/>
                                      <w:marRight w:val="0"/>
                                      <w:marTop w:val="0"/>
                                      <w:marBottom w:val="0"/>
                                      <w:divBdr>
                                        <w:top w:val="none" w:sz="0" w:space="0" w:color="auto"/>
                                        <w:left w:val="none" w:sz="0" w:space="0" w:color="auto"/>
                                        <w:bottom w:val="none" w:sz="0" w:space="0" w:color="auto"/>
                                        <w:right w:val="none" w:sz="0" w:space="0" w:color="auto"/>
                                      </w:divBdr>
                                      <w:divsChild>
                                        <w:div w:id="563570112">
                                          <w:marLeft w:val="0"/>
                                          <w:marRight w:val="0"/>
                                          <w:marTop w:val="0"/>
                                          <w:marBottom w:val="0"/>
                                          <w:divBdr>
                                            <w:top w:val="none" w:sz="0" w:space="0" w:color="auto"/>
                                            <w:left w:val="none" w:sz="0" w:space="0" w:color="auto"/>
                                            <w:bottom w:val="none" w:sz="0" w:space="0" w:color="auto"/>
                                            <w:right w:val="none" w:sz="0" w:space="0" w:color="auto"/>
                                          </w:divBdr>
                                          <w:divsChild>
                                            <w:div w:id="1267930424">
                                              <w:marLeft w:val="0"/>
                                              <w:marRight w:val="0"/>
                                              <w:marTop w:val="0"/>
                                              <w:marBottom w:val="0"/>
                                              <w:divBdr>
                                                <w:top w:val="none" w:sz="0" w:space="0" w:color="auto"/>
                                                <w:left w:val="none" w:sz="0" w:space="0" w:color="auto"/>
                                                <w:bottom w:val="none" w:sz="0" w:space="0" w:color="auto"/>
                                                <w:right w:val="none" w:sz="0" w:space="0" w:color="auto"/>
                                              </w:divBdr>
                                              <w:divsChild>
                                                <w:div w:id="17563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A43C-3C67-4AEB-8A4C-016186B1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5</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Pyner</dc:creator>
  <cp:keywords/>
  <dc:description/>
  <cp:lastModifiedBy>Nicole Pyner</cp:lastModifiedBy>
  <cp:revision>5</cp:revision>
  <dcterms:created xsi:type="dcterms:W3CDTF">2012-07-19T11:29:00Z</dcterms:created>
  <dcterms:modified xsi:type="dcterms:W3CDTF">2012-09-04T07:18:00Z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A3598842</vt:lpwstr>
  </property>
  <property fmtid="{D5CDD505-2E9C-101B-9397-08002B2CF9AE}" pid="3" name="Objective-Title">
    <vt:lpwstr>Explanatory Statement - Class Waiver - Chi-X</vt:lpwstr>
  </property>
  <property fmtid="{D5CDD505-2E9C-101B-9397-08002B2CF9AE}" pid="4" name="Objective-Comment">
    <vt:lpwstr/>
  </property>
  <property fmtid="{D5CDD505-2E9C-101B-9397-08002B2CF9AE}" pid="5" name="Objective-CreationStamp">
    <vt:filetime>2012-07-19T11:30:02Z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2012-09-04T07:18:58Z</vt:filetime>
  </property>
  <property fmtid="{D5CDD505-2E9C-101B-9397-08002B2CF9AE}" pid="9" name="Objective-ModificationStamp">
    <vt:filetime>2012-09-04T07:18:58Z</vt:filetime>
  </property>
  <property fmtid="{D5CDD505-2E9C-101B-9397-08002B2CF9AE}" pid="10" name="Objective-Owner">
    <vt:lpwstr>Nicole Pyner</vt:lpwstr>
  </property>
  <property fmtid="{D5CDD505-2E9C-101B-9397-08002B2CF9AE}" pid="11" name="Objective-Path">
    <vt:lpwstr>ASIC BCS:REGULATION &amp; COMPLIANCE:Assessments, Surveillance &amp; Supervision:Market &amp; Participant Supervision:Legal &amp; Policy:Proposed New MIR - Suspicious Conduct Reporting:</vt:lpwstr>
  </property>
  <property fmtid="{D5CDD505-2E9C-101B-9397-08002B2CF9AE}" pid="12" name="Objective-Parent">
    <vt:lpwstr>Proposed New MIR - Suspicious Conduct Reporting</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2011 - 004897</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