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B8" w:rsidRPr="00651F58" w:rsidRDefault="001A1EB8" w:rsidP="001A1EB8">
      <w:pPr>
        <w:pStyle w:val="Title"/>
        <w:rPr>
          <w:sz w:val="24"/>
          <w:szCs w:val="24"/>
        </w:rPr>
      </w:pPr>
      <w:bookmarkStart w:id="0" w:name="_GoBack"/>
      <w:bookmarkEnd w:id="0"/>
      <w:r w:rsidRPr="00651F58">
        <w:rPr>
          <w:sz w:val="24"/>
          <w:szCs w:val="24"/>
        </w:rPr>
        <w:t>Explanatory Statement</w:t>
      </w:r>
    </w:p>
    <w:p w:rsidR="001A1EB8" w:rsidRPr="00651F58" w:rsidRDefault="001A1EB8" w:rsidP="001A1EB8">
      <w:pPr>
        <w:pStyle w:val="Subtitle"/>
        <w:rPr>
          <w:sz w:val="24"/>
          <w:szCs w:val="24"/>
        </w:rPr>
      </w:pPr>
    </w:p>
    <w:p w:rsidR="001A1EB8" w:rsidRPr="00651F58" w:rsidRDefault="001A1EB8" w:rsidP="001A1EB8">
      <w:pPr>
        <w:pStyle w:val="Subtitle"/>
        <w:rPr>
          <w:sz w:val="24"/>
          <w:szCs w:val="24"/>
        </w:rPr>
      </w:pPr>
      <w:r w:rsidRPr="00651F58">
        <w:rPr>
          <w:sz w:val="24"/>
          <w:szCs w:val="24"/>
        </w:rPr>
        <w:t>Currency Act 1965</w:t>
      </w:r>
    </w:p>
    <w:p w:rsidR="001A1EB8" w:rsidRPr="00651F58" w:rsidRDefault="001A1EB8" w:rsidP="001A1EB8">
      <w:pPr>
        <w:pStyle w:val="Subtitle"/>
        <w:rPr>
          <w:sz w:val="24"/>
          <w:szCs w:val="24"/>
        </w:rPr>
      </w:pPr>
    </w:p>
    <w:p w:rsidR="001A1EB8" w:rsidRPr="00651F58" w:rsidRDefault="001A1EB8" w:rsidP="001A1EB8">
      <w:pPr>
        <w:jc w:val="center"/>
        <w:rPr>
          <w:b/>
          <w:sz w:val="24"/>
          <w:szCs w:val="24"/>
        </w:rPr>
      </w:pPr>
      <w:r w:rsidRPr="00651F58">
        <w:rPr>
          <w:b/>
          <w:sz w:val="24"/>
          <w:szCs w:val="24"/>
        </w:rPr>
        <w:t>Currency (Royal Australian Mint) Determination 2012 (No. 5)</w:t>
      </w:r>
    </w:p>
    <w:p w:rsidR="001A1EB8" w:rsidRPr="00651F58" w:rsidRDefault="001A1EB8" w:rsidP="001A1EB8">
      <w:pPr>
        <w:jc w:val="center"/>
        <w:rPr>
          <w:b/>
          <w:sz w:val="24"/>
          <w:szCs w:val="24"/>
        </w:rPr>
      </w:pPr>
    </w:p>
    <w:p w:rsidR="001A1EB8" w:rsidRPr="00651F58" w:rsidRDefault="001A1EB8" w:rsidP="001A1EB8">
      <w:pPr>
        <w:spacing w:after="240"/>
        <w:rPr>
          <w:b/>
          <w:sz w:val="24"/>
          <w:szCs w:val="24"/>
        </w:rPr>
      </w:pPr>
      <w:r w:rsidRPr="00651F58">
        <w:rPr>
          <w:sz w:val="24"/>
          <w:szCs w:val="24"/>
        </w:rPr>
        <w:t xml:space="preserve">Under subsection 13A (1) of the </w:t>
      </w:r>
      <w:r w:rsidRPr="00651F58">
        <w:rPr>
          <w:i/>
          <w:sz w:val="24"/>
          <w:szCs w:val="24"/>
        </w:rPr>
        <w:t>Currency Act 1965</w:t>
      </w:r>
      <w:r w:rsidRPr="00651F58">
        <w:rPr>
          <w:sz w:val="24"/>
          <w:szCs w:val="24"/>
        </w:rPr>
        <w:t>, the Parliamentary Secretary to the Treasurer, Bernie Ripoll, has made a determination regarding the specification of coins proposed to be issued by the Royal Australian Mint (RAM).</w:t>
      </w:r>
    </w:p>
    <w:p w:rsidR="001A1EB8" w:rsidRPr="00651F58" w:rsidRDefault="001A1EB8" w:rsidP="001A1EB8">
      <w:pPr>
        <w:spacing w:after="240"/>
        <w:rPr>
          <w:sz w:val="24"/>
          <w:szCs w:val="24"/>
        </w:rPr>
      </w:pPr>
      <w:r w:rsidRPr="00651F58">
        <w:rPr>
          <w:sz w:val="24"/>
          <w:szCs w:val="24"/>
        </w:rPr>
        <w:t xml:space="preserve">Subsection 13A (1) of the </w:t>
      </w:r>
      <w:r w:rsidRPr="00651F58">
        <w:rPr>
          <w:i/>
          <w:sz w:val="24"/>
          <w:szCs w:val="24"/>
        </w:rPr>
        <w:t>Currency Act 1965</w:t>
      </w:r>
      <w:r w:rsidRPr="00651F58">
        <w:rPr>
          <w:sz w:val="24"/>
          <w:szCs w:val="24"/>
        </w:rPr>
        <w:t xml:space="preserve"> requires that the determination provides details of the coins’ characteristics, including standard composition, standard weight, allowable variation from standard weight, design and dimensions.</w:t>
      </w:r>
    </w:p>
    <w:p w:rsidR="001A1EB8" w:rsidRPr="00651F58" w:rsidRDefault="001A1EB8" w:rsidP="001A1EB8">
      <w:pPr>
        <w:spacing w:after="240"/>
        <w:rPr>
          <w:sz w:val="24"/>
          <w:szCs w:val="24"/>
        </w:rPr>
      </w:pPr>
      <w:r w:rsidRPr="00651F58">
        <w:rPr>
          <w:sz w:val="24"/>
          <w:szCs w:val="24"/>
        </w:rPr>
        <w:t xml:space="preserve">This determination is a disallowable instrument for the purposes of section 42 of the </w:t>
      </w:r>
      <w:r w:rsidRPr="00651F58">
        <w:rPr>
          <w:i/>
          <w:sz w:val="24"/>
          <w:szCs w:val="24"/>
        </w:rPr>
        <w:t>Legislative Instruments Act 2003.</w:t>
      </w:r>
      <w:r w:rsidRPr="00651F58">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101"/>
        <w:gridCol w:w="7421"/>
      </w:tblGrid>
      <w:tr w:rsidR="00977A19" w:rsidRPr="00674847" w:rsidTr="00720FC6">
        <w:trPr>
          <w:cantSplit/>
        </w:trPr>
        <w:tc>
          <w:tcPr>
            <w:tcW w:w="1101" w:type="dxa"/>
          </w:tcPr>
          <w:p w:rsidR="00977A19" w:rsidRPr="00651F58" w:rsidRDefault="00977A19" w:rsidP="00720FC6">
            <w:pPr>
              <w:rPr>
                <w:b/>
                <w:sz w:val="18"/>
                <w:szCs w:val="18"/>
              </w:rPr>
            </w:pPr>
            <w:r w:rsidRPr="00651F58">
              <w:rPr>
                <w:b/>
                <w:sz w:val="18"/>
                <w:szCs w:val="18"/>
              </w:rPr>
              <w:t>Item 1</w:t>
            </w:r>
          </w:p>
        </w:tc>
        <w:tc>
          <w:tcPr>
            <w:tcW w:w="7421" w:type="dxa"/>
          </w:tcPr>
          <w:p w:rsidR="00977A19" w:rsidRPr="00651F58" w:rsidRDefault="00977A19" w:rsidP="00720FC6">
            <w:pPr>
              <w:rPr>
                <w:b/>
                <w:sz w:val="18"/>
                <w:szCs w:val="18"/>
              </w:rPr>
            </w:pPr>
            <w:r w:rsidRPr="00651F58">
              <w:rPr>
                <w:b/>
                <w:sz w:val="18"/>
                <w:szCs w:val="18"/>
              </w:rPr>
              <w:t>2012 Remembrance Day $2 Copper Aluminium and Nickel Coin</w:t>
            </w:r>
          </w:p>
          <w:p w:rsidR="00977A19" w:rsidRPr="00651F58" w:rsidRDefault="00977A19" w:rsidP="00720FC6">
            <w:pPr>
              <w:rPr>
                <w:b/>
                <w:sz w:val="18"/>
                <w:szCs w:val="18"/>
              </w:rPr>
            </w:pPr>
          </w:p>
          <w:p w:rsidR="00977A19" w:rsidRPr="00651F58" w:rsidRDefault="00977A19" w:rsidP="00720FC6">
            <w:pPr>
              <w:rPr>
                <w:b/>
                <w:sz w:val="18"/>
                <w:szCs w:val="18"/>
              </w:rPr>
            </w:pPr>
            <w:r w:rsidRPr="00651F58">
              <w:rPr>
                <w:b/>
                <w:sz w:val="18"/>
                <w:szCs w:val="18"/>
              </w:rPr>
              <w:t>Reverse</w:t>
            </w:r>
          </w:p>
          <w:p w:rsidR="00977A19" w:rsidRPr="00651F58" w:rsidRDefault="00977A19" w:rsidP="00720FC6">
            <w:pPr>
              <w:pStyle w:val="TableText"/>
              <w:spacing w:before="0"/>
              <w:rPr>
                <w:sz w:val="18"/>
                <w:szCs w:val="18"/>
              </w:rPr>
            </w:pPr>
            <w:r w:rsidRPr="00651F58">
              <w:rPr>
                <w:sz w:val="18"/>
                <w:szCs w:val="18"/>
              </w:rPr>
              <w:t>A central circle containing</w:t>
            </w:r>
            <w:r>
              <w:rPr>
                <w:sz w:val="18"/>
                <w:szCs w:val="18"/>
              </w:rPr>
              <w:t xml:space="preserve"> a </w:t>
            </w:r>
            <w:r w:rsidRPr="00651F58">
              <w:rPr>
                <w:sz w:val="18"/>
                <w:szCs w:val="18"/>
              </w:rPr>
              <w:t xml:space="preserve">representation of a poppy flower </w:t>
            </w:r>
            <w:r>
              <w:rPr>
                <w:sz w:val="18"/>
                <w:szCs w:val="18"/>
              </w:rPr>
              <w:t>superimposed on</w:t>
            </w:r>
            <w:r w:rsidRPr="00651F58">
              <w:rPr>
                <w:sz w:val="18"/>
                <w:szCs w:val="18"/>
              </w:rPr>
              <w:t xml:space="preserve"> the words ‘REMEMBRANCE</w:t>
            </w:r>
            <w:r>
              <w:rPr>
                <w:sz w:val="18"/>
                <w:szCs w:val="18"/>
              </w:rPr>
              <w:t xml:space="preserve"> </w:t>
            </w:r>
            <w:r w:rsidRPr="00651F58">
              <w:rPr>
                <w:sz w:val="18"/>
                <w:szCs w:val="18"/>
              </w:rPr>
              <w:t>DAY’ repeated and presented in 1</w:t>
            </w:r>
            <w:r>
              <w:rPr>
                <w:sz w:val="18"/>
                <w:szCs w:val="18"/>
              </w:rPr>
              <w:t>1</w:t>
            </w:r>
            <w:r w:rsidRPr="00651F58">
              <w:rPr>
                <w:sz w:val="18"/>
                <w:szCs w:val="18"/>
              </w:rPr>
              <w:t xml:space="preserve"> rows as well as the words ‘LEST WE FORGET’ in inverse ord</w:t>
            </w:r>
            <w:r>
              <w:rPr>
                <w:sz w:val="18"/>
                <w:szCs w:val="18"/>
              </w:rPr>
              <w:t>er, repeated and presented in 11</w:t>
            </w:r>
            <w:r w:rsidRPr="00651F58">
              <w:rPr>
                <w:sz w:val="18"/>
                <w:szCs w:val="18"/>
              </w:rPr>
              <w:t xml:space="preserve"> rows.</w:t>
            </w:r>
            <w:r>
              <w:rPr>
                <w:sz w:val="18"/>
                <w:szCs w:val="18"/>
              </w:rPr>
              <w:t xml:space="preserve"> The design includes </w:t>
            </w:r>
            <w:r w:rsidRPr="00651F58">
              <w:rPr>
                <w:sz w:val="18"/>
                <w:szCs w:val="18"/>
              </w:rPr>
              <w:t>two representations of a poppy flower</w:t>
            </w:r>
            <w:r>
              <w:rPr>
                <w:sz w:val="18"/>
                <w:szCs w:val="18"/>
              </w:rPr>
              <w:t xml:space="preserve"> and </w:t>
            </w:r>
            <w:r w:rsidRPr="00651F58">
              <w:rPr>
                <w:sz w:val="18"/>
                <w:szCs w:val="18"/>
              </w:rPr>
              <w:t xml:space="preserve">the inscriptions ‘TWO DOLLARS’ and ‘REMEMBRANCE’. </w:t>
            </w:r>
          </w:p>
          <w:p w:rsidR="00977A19" w:rsidRPr="00651F58" w:rsidRDefault="00977A19" w:rsidP="00720FC6">
            <w:pPr>
              <w:rPr>
                <w:b/>
                <w:sz w:val="18"/>
                <w:szCs w:val="18"/>
              </w:rPr>
            </w:pPr>
          </w:p>
          <w:p w:rsidR="00977A19" w:rsidRPr="00651F58" w:rsidRDefault="00977A19" w:rsidP="00720FC6">
            <w:pPr>
              <w:rPr>
                <w:b/>
                <w:sz w:val="18"/>
                <w:szCs w:val="18"/>
              </w:rPr>
            </w:pPr>
            <w:r w:rsidRPr="00651F58">
              <w:rPr>
                <w:b/>
                <w:sz w:val="18"/>
                <w:szCs w:val="18"/>
              </w:rPr>
              <w:t>Obverse</w:t>
            </w:r>
          </w:p>
          <w:p w:rsidR="00977A19" w:rsidRPr="00651F58" w:rsidRDefault="00977A19" w:rsidP="00720FC6">
            <w:pPr>
              <w:rPr>
                <w:sz w:val="18"/>
                <w:szCs w:val="18"/>
                <w:lang w:val="en-GB"/>
              </w:rPr>
            </w:pPr>
            <w:r w:rsidRPr="00651F58">
              <w:rPr>
                <w:sz w:val="18"/>
                <w:szCs w:val="18"/>
              </w:rPr>
              <w:t>Consistent with all Australian legal tender coinage, an effigy of Her Majesty Queen Elizabeth II will appear on the obverse side of the coin together with the inscriptions ‘ELIZABETH II’, ‘AUSTRALIA 2012’ and the initials of the designer Ian Rank-Broadley ‘IRB’.</w:t>
            </w:r>
          </w:p>
        </w:tc>
      </w:tr>
      <w:tr w:rsidR="00977A19" w:rsidRPr="00674847" w:rsidTr="00720FC6">
        <w:trPr>
          <w:cantSplit/>
        </w:trPr>
        <w:tc>
          <w:tcPr>
            <w:tcW w:w="1101" w:type="dxa"/>
          </w:tcPr>
          <w:p w:rsidR="00977A19" w:rsidRPr="00651F58" w:rsidRDefault="00977A19" w:rsidP="00720FC6">
            <w:pPr>
              <w:rPr>
                <w:b/>
                <w:sz w:val="18"/>
                <w:szCs w:val="18"/>
              </w:rPr>
            </w:pPr>
            <w:r>
              <w:rPr>
                <w:b/>
                <w:sz w:val="18"/>
                <w:szCs w:val="18"/>
              </w:rPr>
              <w:t>Item 2</w:t>
            </w:r>
          </w:p>
        </w:tc>
        <w:tc>
          <w:tcPr>
            <w:tcW w:w="7421" w:type="dxa"/>
          </w:tcPr>
          <w:p w:rsidR="00977A19" w:rsidRPr="0036348C" w:rsidRDefault="00977A19" w:rsidP="00720FC6">
            <w:pPr>
              <w:rPr>
                <w:b/>
                <w:sz w:val="18"/>
                <w:szCs w:val="24"/>
              </w:rPr>
            </w:pPr>
            <w:r w:rsidRPr="0036348C">
              <w:rPr>
                <w:b/>
                <w:sz w:val="18"/>
                <w:szCs w:val="24"/>
              </w:rPr>
              <w:t>201</w:t>
            </w:r>
            <w:r>
              <w:rPr>
                <w:b/>
                <w:sz w:val="18"/>
                <w:szCs w:val="24"/>
              </w:rPr>
              <w:t>3</w:t>
            </w:r>
            <w:r w:rsidRPr="0036348C">
              <w:rPr>
                <w:b/>
                <w:sz w:val="18"/>
                <w:szCs w:val="24"/>
              </w:rPr>
              <w:t xml:space="preserve"> Eastern Grey Kangaroo $1 Silver Colour Printed Coin</w:t>
            </w:r>
          </w:p>
          <w:p w:rsidR="00977A19" w:rsidRPr="0036348C" w:rsidRDefault="00977A19" w:rsidP="00720FC6">
            <w:pPr>
              <w:rPr>
                <w:b/>
                <w:sz w:val="18"/>
                <w:szCs w:val="24"/>
              </w:rPr>
            </w:pPr>
          </w:p>
          <w:p w:rsidR="00977A19" w:rsidRPr="0036348C" w:rsidRDefault="00977A19" w:rsidP="00720FC6">
            <w:pPr>
              <w:rPr>
                <w:b/>
                <w:sz w:val="18"/>
                <w:szCs w:val="24"/>
              </w:rPr>
            </w:pPr>
            <w:r w:rsidRPr="0036348C">
              <w:rPr>
                <w:b/>
                <w:sz w:val="18"/>
                <w:szCs w:val="24"/>
              </w:rPr>
              <w:t>Reverse</w:t>
            </w:r>
          </w:p>
          <w:p w:rsidR="00977A19" w:rsidRPr="0036348C" w:rsidRDefault="00977A19" w:rsidP="00720FC6">
            <w:pPr>
              <w:rPr>
                <w:sz w:val="18"/>
                <w:szCs w:val="24"/>
              </w:rPr>
            </w:pPr>
            <w:r w:rsidRPr="0036348C">
              <w:rPr>
                <w:sz w:val="18"/>
                <w:szCs w:val="24"/>
              </w:rPr>
              <w:t xml:space="preserve">A coloured image of a patch of grass and a kangaroo with a joey in its pouch. The design includes a representation of a hilly landscape with trees.  The design includes </w:t>
            </w:r>
            <w:r w:rsidR="00BD5E0C">
              <w:rPr>
                <w:sz w:val="18"/>
                <w:szCs w:val="24"/>
              </w:rPr>
              <w:t xml:space="preserve">the artist’s </w:t>
            </w:r>
            <w:r w:rsidR="00BD5E0C" w:rsidRPr="0036348C">
              <w:rPr>
                <w:sz w:val="18"/>
                <w:szCs w:val="24"/>
              </w:rPr>
              <w:t>impression of leaves</w:t>
            </w:r>
            <w:r w:rsidR="00BD5E0C">
              <w:rPr>
                <w:sz w:val="18"/>
                <w:szCs w:val="24"/>
              </w:rPr>
              <w:t>, a r</w:t>
            </w:r>
            <w:r w:rsidR="00BD5E0C" w:rsidRPr="0036348C">
              <w:rPr>
                <w:sz w:val="18"/>
                <w:szCs w:val="24"/>
              </w:rPr>
              <w:t>epresentation of the contour of leaves</w:t>
            </w:r>
            <w:r w:rsidR="00BD5E0C">
              <w:rPr>
                <w:sz w:val="18"/>
                <w:szCs w:val="24"/>
              </w:rPr>
              <w:t xml:space="preserve">, </w:t>
            </w:r>
            <w:r w:rsidRPr="0036348C">
              <w:rPr>
                <w:sz w:val="18"/>
                <w:szCs w:val="24"/>
              </w:rPr>
              <w:t>a stylised representation of the initials of the designer Aaron Baggio ‘AB’ and a circular border containing the inscriptions ‘EASTERN GREY KANGAROO’ and ‘1</w:t>
            </w:r>
            <w:r w:rsidR="00594EFB">
              <w:rPr>
                <w:sz w:val="18"/>
                <w:szCs w:val="24"/>
              </w:rPr>
              <w:t xml:space="preserve"> </w:t>
            </w:r>
            <w:r w:rsidRPr="0036348C">
              <w:rPr>
                <w:sz w:val="18"/>
                <w:szCs w:val="24"/>
              </w:rPr>
              <w:t>oz .999 Ag’.</w:t>
            </w:r>
          </w:p>
          <w:p w:rsidR="00977A19" w:rsidRPr="0036348C" w:rsidRDefault="00977A19" w:rsidP="00720FC6">
            <w:pPr>
              <w:pStyle w:val="TableText"/>
              <w:spacing w:before="0"/>
              <w:rPr>
                <w:sz w:val="18"/>
              </w:rPr>
            </w:pPr>
          </w:p>
          <w:p w:rsidR="00977A19" w:rsidRPr="0036348C" w:rsidRDefault="00977A19" w:rsidP="00720FC6">
            <w:pPr>
              <w:rPr>
                <w:b/>
                <w:sz w:val="18"/>
                <w:szCs w:val="24"/>
              </w:rPr>
            </w:pPr>
            <w:r w:rsidRPr="0036348C">
              <w:rPr>
                <w:b/>
                <w:sz w:val="18"/>
                <w:szCs w:val="24"/>
              </w:rPr>
              <w:t>Obverse</w:t>
            </w:r>
          </w:p>
          <w:p w:rsidR="00977A19" w:rsidRPr="00651F58" w:rsidRDefault="00977A19" w:rsidP="00720FC6">
            <w:pPr>
              <w:rPr>
                <w:b/>
                <w:sz w:val="18"/>
                <w:szCs w:val="18"/>
              </w:rPr>
            </w:pPr>
            <w:r w:rsidRPr="0036348C">
              <w:rPr>
                <w:sz w:val="18"/>
                <w:szCs w:val="24"/>
              </w:rPr>
              <w:t>Consistent with all Australian legal tender coinage, an effigy of Her Majesty Queen Elizabeth II will appear on the obverse side of the coin together with the inscriptions ‘ELIZABETH II’, ‘AUSTRALIA 201</w:t>
            </w:r>
            <w:r>
              <w:rPr>
                <w:sz w:val="18"/>
                <w:szCs w:val="24"/>
              </w:rPr>
              <w:t>3</w:t>
            </w:r>
            <w:r w:rsidRPr="0036348C">
              <w:rPr>
                <w:sz w:val="18"/>
                <w:szCs w:val="24"/>
              </w:rPr>
              <w:t>’, ‘</w:t>
            </w:r>
            <w:r w:rsidRPr="0036348C">
              <w:rPr>
                <w:sz w:val="18"/>
                <w:szCs w:val="24"/>
                <w:vertAlign w:val="superscript"/>
              </w:rPr>
              <w:t>.</w:t>
            </w:r>
            <w:r w:rsidRPr="0036348C">
              <w:rPr>
                <w:sz w:val="18"/>
                <w:szCs w:val="24"/>
              </w:rPr>
              <w:t xml:space="preserve"> 1 DOLLAR </w:t>
            </w:r>
            <w:r w:rsidRPr="0036348C">
              <w:rPr>
                <w:sz w:val="18"/>
                <w:szCs w:val="24"/>
                <w:vertAlign w:val="superscript"/>
              </w:rPr>
              <w:t>.</w:t>
            </w:r>
            <w:r w:rsidRPr="0036348C">
              <w:rPr>
                <w:sz w:val="18"/>
                <w:szCs w:val="24"/>
              </w:rPr>
              <w:t>’ and the initials of the designer Ian Rank-Broadley ‘IRB’.</w:t>
            </w:r>
          </w:p>
        </w:tc>
      </w:tr>
    </w:tbl>
    <w:p w:rsidR="00977A19" w:rsidRDefault="00977A19" w:rsidP="00B6251A">
      <w:pPr>
        <w:outlineLvl w:val="0"/>
        <w:rPr>
          <w:b/>
          <w:bCs/>
          <w:sz w:val="24"/>
          <w:szCs w:val="24"/>
        </w:rPr>
      </w:pPr>
    </w:p>
    <w:p w:rsidR="001A1EB8" w:rsidRPr="00651F58" w:rsidRDefault="001A1EB8" w:rsidP="00B6251A">
      <w:pPr>
        <w:outlineLvl w:val="0"/>
        <w:rPr>
          <w:b/>
          <w:bCs/>
          <w:sz w:val="24"/>
          <w:szCs w:val="24"/>
        </w:rPr>
      </w:pPr>
      <w:r w:rsidRPr="00651F58">
        <w:rPr>
          <w:b/>
          <w:bCs/>
          <w:sz w:val="24"/>
          <w:szCs w:val="24"/>
        </w:rPr>
        <w:t>Consultation</w:t>
      </w:r>
    </w:p>
    <w:p w:rsidR="001A1EB8" w:rsidRPr="00651F58" w:rsidRDefault="00B6251A" w:rsidP="00B6251A">
      <w:pPr>
        <w:rPr>
          <w:sz w:val="24"/>
          <w:szCs w:val="24"/>
        </w:rPr>
      </w:pPr>
      <w:r>
        <w:rPr>
          <w:sz w:val="24"/>
          <w:szCs w:val="24"/>
        </w:rPr>
        <w:br/>
      </w:r>
      <w:r w:rsidR="001A1EB8" w:rsidRPr="00651F58">
        <w:rPr>
          <w:sz w:val="24"/>
          <w:szCs w:val="24"/>
        </w:rPr>
        <w:t xml:space="preserve">No public consultation was undertaken in relation to the currency determination. The effect of this instrument is to determine the weight, design and dimension of coins to enable the Royal Australian Mint to continue its production of circulating and numismatic coins. The Mint receives public submissions on coin designs and determines appropriate designs in accordance with its Coin Design Policy. The Mint used market based tools to identify interested parties and gauge interest in coin themes. </w:t>
      </w:r>
    </w:p>
    <w:p w:rsidR="001A1EB8" w:rsidRPr="00651F58" w:rsidRDefault="001A1EB8" w:rsidP="00B6251A">
      <w:pPr>
        <w:rPr>
          <w:sz w:val="24"/>
          <w:szCs w:val="24"/>
        </w:rPr>
      </w:pPr>
    </w:p>
    <w:p w:rsidR="001A1EB8" w:rsidRPr="00651F58" w:rsidRDefault="001A1EB8" w:rsidP="00B6251A">
      <w:pPr>
        <w:outlineLvl w:val="0"/>
        <w:rPr>
          <w:b/>
          <w:sz w:val="24"/>
          <w:szCs w:val="24"/>
        </w:rPr>
      </w:pPr>
      <w:r w:rsidRPr="00651F58">
        <w:rPr>
          <w:b/>
          <w:sz w:val="24"/>
          <w:szCs w:val="24"/>
        </w:rPr>
        <w:lastRenderedPageBreak/>
        <w:t>Commencement</w:t>
      </w:r>
    </w:p>
    <w:p w:rsidR="001A1EB8" w:rsidRPr="00651F58" w:rsidRDefault="00B6251A" w:rsidP="00B6251A">
      <w:pPr>
        <w:outlineLvl w:val="0"/>
        <w:rPr>
          <w:b/>
          <w:sz w:val="24"/>
          <w:szCs w:val="24"/>
        </w:rPr>
      </w:pPr>
      <w:r>
        <w:rPr>
          <w:sz w:val="24"/>
          <w:szCs w:val="24"/>
        </w:rPr>
        <w:br/>
      </w:r>
      <w:r w:rsidR="001A1EB8" w:rsidRPr="00651F58">
        <w:rPr>
          <w:sz w:val="24"/>
          <w:szCs w:val="24"/>
        </w:rPr>
        <w:t>The determination commences on the day after it is registered.</w:t>
      </w:r>
      <w:r w:rsidR="001A1EB8" w:rsidRPr="00651F58">
        <w:rPr>
          <w:b/>
          <w:sz w:val="24"/>
          <w:szCs w:val="24"/>
        </w:rPr>
        <w:t xml:space="preserve"> </w:t>
      </w:r>
    </w:p>
    <w:p w:rsidR="001A1EB8" w:rsidRPr="00651F58" w:rsidRDefault="00B6251A" w:rsidP="00B6251A">
      <w:pPr>
        <w:rPr>
          <w:b/>
          <w:sz w:val="24"/>
          <w:szCs w:val="24"/>
        </w:rPr>
      </w:pPr>
      <w:r>
        <w:rPr>
          <w:b/>
          <w:sz w:val="24"/>
          <w:szCs w:val="24"/>
        </w:rPr>
        <w:br/>
      </w:r>
      <w:r w:rsidR="001A1EB8" w:rsidRPr="00651F58">
        <w:rPr>
          <w:b/>
          <w:sz w:val="24"/>
          <w:szCs w:val="24"/>
        </w:rPr>
        <w:t>Statement of Compatibility with Human Rights</w:t>
      </w:r>
    </w:p>
    <w:p w:rsidR="001A1EB8" w:rsidRPr="00651F58" w:rsidRDefault="00B6251A" w:rsidP="00B6251A">
      <w:pPr>
        <w:rPr>
          <w:b/>
          <w:sz w:val="24"/>
          <w:szCs w:val="24"/>
        </w:rPr>
      </w:pPr>
      <w:r>
        <w:rPr>
          <w:sz w:val="24"/>
          <w:szCs w:val="24"/>
        </w:rPr>
        <w:br/>
      </w:r>
      <w:r w:rsidR="001A1EB8" w:rsidRPr="00651F58">
        <w:rPr>
          <w:sz w:val="24"/>
          <w:szCs w:val="24"/>
        </w:rPr>
        <w:t xml:space="preserve">This instrument is compatible with the human rights and freedoms recognised or declared in the international instruments listed in section 3 of the </w:t>
      </w:r>
      <w:r w:rsidR="001A1EB8" w:rsidRPr="00651F58">
        <w:rPr>
          <w:i/>
          <w:sz w:val="24"/>
          <w:szCs w:val="24"/>
        </w:rPr>
        <w:t>Human Rights (Parliamentary Scrutiny) Act 2011</w:t>
      </w:r>
      <w:r w:rsidR="001A1EB8" w:rsidRPr="00651F58">
        <w:rPr>
          <w:sz w:val="24"/>
          <w:szCs w:val="24"/>
        </w:rPr>
        <w:t xml:space="preserve">. The purpose of the Currency (Royal Australian Mint) Determination 2012 (No.5) is to determine the weight, design and dimension of circulating and numismatic coins. This instrument does not engage any of the applicable rights or freedoms. This instrument is compatible with human rights as it does not raise any human rights issues. This determination has been made by the Parliamentary Secretary to the Treasurer, Bernie Ripoll, in accordance with subsection 13A (1) of the </w:t>
      </w:r>
      <w:r w:rsidR="001A1EB8" w:rsidRPr="00651F58">
        <w:rPr>
          <w:i/>
          <w:sz w:val="24"/>
          <w:szCs w:val="24"/>
        </w:rPr>
        <w:t>Currency Act 1965.</w:t>
      </w:r>
    </w:p>
    <w:p w:rsidR="00402857" w:rsidRPr="00651F58" w:rsidRDefault="00402857" w:rsidP="001A1EB8">
      <w:pPr>
        <w:rPr>
          <w:sz w:val="24"/>
          <w:szCs w:val="24"/>
        </w:rPr>
      </w:pPr>
    </w:p>
    <w:sectPr w:rsidR="00402857" w:rsidRPr="00651F58" w:rsidSect="00B9515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CA" w:rsidRDefault="002C5ACA">
      <w:r>
        <w:separator/>
      </w:r>
    </w:p>
  </w:endnote>
  <w:endnote w:type="continuationSeparator" w:id="0">
    <w:p w:rsidR="002C5ACA" w:rsidRDefault="002C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47" w:rsidRDefault="00511DAD" w:rsidP="00CA4223">
    <w:pPr>
      <w:pStyle w:val="Subtitle"/>
      <w:spacing w:before="20"/>
      <w:rPr>
        <w:rFonts w:ascii="Arial" w:hAnsi="Arial" w:cs="Arial"/>
        <w:b w:val="0"/>
        <w:i/>
        <w:sz w:val="18"/>
        <w:szCs w:val="18"/>
      </w:rPr>
    </w:pPr>
    <w:r w:rsidRPr="00CA4223">
      <w:rPr>
        <w:rFonts w:ascii="Arial" w:hAnsi="Arial" w:cs="Arial"/>
        <w:b w:val="0"/>
        <w:i/>
        <w:sz w:val="18"/>
        <w:szCs w:val="18"/>
      </w:rPr>
      <w:tab/>
    </w:r>
  </w:p>
  <w:p w:rsidR="00CA4223" w:rsidRPr="00CA4223" w:rsidRDefault="0020400B" w:rsidP="00CA4223">
    <w:pPr>
      <w:pStyle w:val="Subtitle"/>
      <w:spacing w:before="20"/>
      <w:rPr>
        <w:rFonts w:ascii="Arial" w:hAnsi="Arial" w:cs="Arial"/>
        <w:i/>
        <w:sz w:val="18"/>
        <w:szCs w:val="18"/>
      </w:rPr>
    </w:pPr>
    <w:r w:rsidRPr="00CA4223">
      <w:rPr>
        <w:rFonts w:ascii="Arial" w:hAnsi="Arial" w:cs="Arial"/>
        <w:i/>
        <w:sz w:val="18"/>
        <w:szCs w:val="18"/>
      </w:rPr>
      <w:t>Explanatory Statement</w:t>
    </w:r>
  </w:p>
  <w:p w:rsidR="0020400B" w:rsidRPr="00CA4223" w:rsidRDefault="0020400B" w:rsidP="00CA4223">
    <w:pPr>
      <w:pStyle w:val="Subtitle"/>
      <w:spacing w:before="20"/>
      <w:rPr>
        <w:rFonts w:ascii="Arial" w:hAnsi="Arial" w:cs="Arial"/>
        <w:b w:val="0"/>
        <w:i/>
        <w:sz w:val="18"/>
        <w:szCs w:val="18"/>
      </w:rPr>
    </w:pPr>
    <w:r w:rsidRPr="00CA4223">
      <w:rPr>
        <w:rFonts w:ascii="Arial" w:hAnsi="Arial" w:cs="Arial"/>
        <w:i/>
        <w:sz w:val="18"/>
        <w:szCs w:val="18"/>
      </w:rPr>
      <w:t xml:space="preserve">Currency Act 1965 - Currency (Royal Australian Mint) Determination 2012 </w:t>
    </w:r>
    <w:r w:rsidR="004606E0">
      <w:rPr>
        <w:rFonts w:ascii="Arial" w:hAnsi="Arial" w:cs="Arial"/>
        <w:i/>
        <w:sz w:val="18"/>
        <w:szCs w:val="18"/>
      </w:rPr>
      <w:t>(No. 5</w:t>
    </w:r>
    <w:r w:rsidRPr="0028769D">
      <w:rPr>
        <w:rFonts w:ascii="Arial" w:hAnsi="Arial" w:cs="Arial"/>
        <w:i/>
        <w:sz w:val="18"/>
        <w:szCs w:val="18"/>
      </w:rPr>
      <w:t>)</w:t>
    </w:r>
  </w:p>
  <w:p w:rsidR="00511DAD" w:rsidRDefault="00511DAD" w:rsidP="0020400B">
    <w:pPr>
      <w:pStyle w:val="Footer"/>
      <w:jc w:val="right"/>
    </w:pPr>
    <w:r>
      <w:rPr>
        <w:rStyle w:val="PageNumber"/>
      </w:rPr>
      <w:fldChar w:fldCharType="begin"/>
    </w:r>
    <w:r>
      <w:rPr>
        <w:rStyle w:val="PageNumber"/>
      </w:rPr>
      <w:instrText xml:space="preserve"> PAGE </w:instrText>
    </w:r>
    <w:r>
      <w:rPr>
        <w:rStyle w:val="PageNumber"/>
      </w:rPr>
      <w:fldChar w:fldCharType="separate"/>
    </w:r>
    <w:r w:rsidR="00EF110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CA" w:rsidRDefault="002C5ACA">
      <w:r>
        <w:separator/>
      </w:r>
    </w:p>
  </w:footnote>
  <w:footnote w:type="continuationSeparator" w:id="0">
    <w:p w:rsidR="002C5ACA" w:rsidRDefault="002C5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AD" w:rsidRPr="002D62CE" w:rsidRDefault="00511DAD" w:rsidP="002D62CE">
    <w:pPr>
      <w:pStyle w:val="Title"/>
      <w:jc w:val="right"/>
    </w:pPr>
    <w:r w:rsidRPr="002D62CE">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951597"/>
    <w:multiLevelType w:val="hybridMultilevel"/>
    <w:tmpl w:val="F8A4601A"/>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8249C2"/>
    <w:multiLevelType w:val="hybridMultilevel"/>
    <w:tmpl w:val="76DC43B6"/>
    <w:lvl w:ilvl="0" w:tplc="5BB24AB4">
      <w:start w:val="1"/>
      <w:numFmt w:val="lowerLetter"/>
      <w:lvlText w:val="(%1)"/>
      <w:lvlJc w:val="left"/>
      <w:pPr>
        <w:ind w:left="394" w:hanging="360"/>
      </w:pPr>
      <w:rPr>
        <w:rFonts w:hint="default"/>
      </w:rPr>
    </w:lvl>
    <w:lvl w:ilvl="1" w:tplc="0C090019">
      <w:start w:val="1"/>
      <w:numFmt w:val="lowerLetter"/>
      <w:lvlText w:val="%2."/>
      <w:lvlJc w:val="left"/>
      <w:pPr>
        <w:ind w:left="1114" w:hanging="360"/>
      </w:pPr>
    </w:lvl>
    <w:lvl w:ilvl="2" w:tplc="0C09001B">
      <w:start w:val="1"/>
      <w:numFmt w:val="lowerRoman"/>
      <w:lvlText w:val="%3."/>
      <w:lvlJc w:val="right"/>
      <w:pPr>
        <w:ind w:left="1834" w:hanging="180"/>
      </w:pPr>
    </w:lvl>
    <w:lvl w:ilvl="3" w:tplc="0C09000F">
      <w:start w:val="1"/>
      <w:numFmt w:val="decimal"/>
      <w:lvlText w:val="%4."/>
      <w:lvlJc w:val="left"/>
      <w:pPr>
        <w:ind w:left="2554" w:hanging="360"/>
      </w:pPr>
    </w:lvl>
    <w:lvl w:ilvl="4" w:tplc="0C090019">
      <w:start w:val="1"/>
      <w:numFmt w:val="lowerLetter"/>
      <w:lvlText w:val="%5."/>
      <w:lvlJc w:val="left"/>
      <w:pPr>
        <w:ind w:left="3274" w:hanging="360"/>
      </w:pPr>
    </w:lvl>
    <w:lvl w:ilvl="5" w:tplc="0C09001B">
      <w:start w:val="1"/>
      <w:numFmt w:val="lowerRoman"/>
      <w:lvlText w:val="%6."/>
      <w:lvlJc w:val="right"/>
      <w:pPr>
        <w:ind w:left="3994" w:hanging="180"/>
      </w:pPr>
    </w:lvl>
    <w:lvl w:ilvl="6" w:tplc="0C09000F">
      <w:start w:val="1"/>
      <w:numFmt w:val="decimal"/>
      <w:lvlText w:val="%7."/>
      <w:lvlJc w:val="left"/>
      <w:pPr>
        <w:ind w:left="4714" w:hanging="360"/>
      </w:pPr>
    </w:lvl>
    <w:lvl w:ilvl="7" w:tplc="0C090019">
      <w:start w:val="1"/>
      <w:numFmt w:val="lowerLetter"/>
      <w:lvlText w:val="%8."/>
      <w:lvlJc w:val="left"/>
      <w:pPr>
        <w:ind w:left="5434" w:hanging="360"/>
      </w:pPr>
    </w:lvl>
    <w:lvl w:ilvl="8" w:tplc="0C09001B">
      <w:start w:val="1"/>
      <w:numFmt w:val="lowerRoman"/>
      <w:lvlText w:val="%9."/>
      <w:lvlJc w:val="right"/>
      <w:pPr>
        <w:ind w:left="6154" w:hanging="180"/>
      </w:pPr>
    </w:lvl>
  </w:abstractNum>
  <w:abstractNum w:abstractNumId="3">
    <w:nsid w:val="078B1396"/>
    <w:multiLevelType w:val="hybridMultilevel"/>
    <w:tmpl w:val="A8FA051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150FC0"/>
    <w:multiLevelType w:val="hybridMultilevel"/>
    <w:tmpl w:val="D1925D3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A71454F"/>
    <w:multiLevelType w:val="hybridMultilevel"/>
    <w:tmpl w:val="3000BDCE"/>
    <w:lvl w:ilvl="0" w:tplc="D710FC04">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0A964057"/>
    <w:multiLevelType w:val="hybridMultilevel"/>
    <w:tmpl w:val="F1422AE4"/>
    <w:lvl w:ilvl="0" w:tplc="D710FC04">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25159D6"/>
    <w:multiLevelType w:val="hybridMultilevel"/>
    <w:tmpl w:val="4374224A"/>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001FBE"/>
    <w:multiLevelType w:val="hybridMultilevel"/>
    <w:tmpl w:val="FB1031E2"/>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E35869"/>
    <w:multiLevelType w:val="hybridMultilevel"/>
    <w:tmpl w:val="0B0AEEAE"/>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4654CF"/>
    <w:multiLevelType w:val="hybridMultilevel"/>
    <w:tmpl w:val="D1925D3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8A0C13"/>
    <w:multiLevelType w:val="hybridMultilevel"/>
    <w:tmpl w:val="BA0839BA"/>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8D6F64"/>
    <w:multiLevelType w:val="hybridMultilevel"/>
    <w:tmpl w:val="6118466C"/>
    <w:lvl w:ilvl="0" w:tplc="BDC00970">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4">
    <w:nsid w:val="1F32060D"/>
    <w:multiLevelType w:val="hybridMultilevel"/>
    <w:tmpl w:val="C12C4E90"/>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13E7DC2"/>
    <w:multiLevelType w:val="hybridMultilevel"/>
    <w:tmpl w:val="A8FA051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2345EB6"/>
    <w:multiLevelType w:val="hybridMultilevel"/>
    <w:tmpl w:val="E572EAF6"/>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2A6FCD"/>
    <w:multiLevelType w:val="hybridMultilevel"/>
    <w:tmpl w:val="A8FA051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9D5E3E"/>
    <w:multiLevelType w:val="hybridMultilevel"/>
    <w:tmpl w:val="6A4C6BF2"/>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EEF43DF"/>
    <w:multiLevelType w:val="hybridMultilevel"/>
    <w:tmpl w:val="A8FA051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0240938"/>
    <w:multiLevelType w:val="hybridMultilevel"/>
    <w:tmpl w:val="E572EAF6"/>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0BA7E2D"/>
    <w:multiLevelType w:val="hybridMultilevel"/>
    <w:tmpl w:val="DB3AC4FA"/>
    <w:lvl w:ilvl="0" w:tplc="2C6A5B8E">
      <w:start w:val="1"/>
      <w:numFmt w:val="lowerLetter"/>
      <w:lvlText w:val="(%1)"/>
      <w:lvlJc w:val="left"/>
      <w:pPr>
        <w:ind w:left="720" w:hanging="360"/>
      </w:pPr>
      <w:rPr>
        <w:rFonts w:ascii="Times New Roman" w:eastAsia="Times New Roman" w:hAnsi="Times New Roman" w:cs="Times New Roman"/>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2397B0C"/>
    <w:multiLevelType w:val="hybridMultilevel"/>
    <w:tmpl w:val="BC8CF1E8"/>
    <w:lvl w:ilvl="0" w:tplc="D710FC0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3C83D6C"/>
    <w:multiLevelType w:val="hybridMultilevel"/>
    <w:tmpl w:val="76DC43B6"/>
    <w:lvl w:ilvl="0" w:tplc="5BB24AB4">
      <w:start w:val="1"/>
      <w:numFmt w:val="lowerLetter"/>
      <w:lvlText w:val="(%1)"/>
      <w:lvlJc w:val="left"/>
      <w:pPr>
        <w:ind w:left="394" w:hanging="360"/>
      </w:pPr>
      <w:rPr>
        <w:rFonts w:hint="default"/>
      </w:rPr>
    </w:lvl>
    <w:lvl w:ilvl="1" w:tplc="0C090019">
      <w:start w:val="1"/>
      <w:numFmt w:val="lowerLetter"/>
      <w:lvlText w:val="%2."/>
      <w:lvlJc w:val="left"/>
      <w:pPr>
        <w:ind w:left="1114" w:hanging="360"/>
      </w:pPr>
    </w:lvl>
    <w:lvl w:ilvl="2" w:tplc="0C09001B">
      <w:start w:val="1"/>
      <w:numFmt w:val="lowerRoman"/>
      <w:lvlText w:val="%3."/>
      <w:lvlJc w:val="right"/>
      <w:pPr>
        <w:ind w:left="1834" w:hanging="180"/>
      </w:pPr>
    </w:lvl>
    <w:lvl w:ilvl="3" w:tplc="0C09000F">
      <w:start w:val="1"/>
      <w:numFmt w:val="decimal"/>
      <w:lvlText w:val="%4."/>
      <w:lvlJc w:val="left"/>
      <w:pPr>
        <w:ind w:left="2554" w:hanging="360"/>
      </w:pPr>
    </w:lvl>
    <w:lvl w:ilvl="4" w:tplc="0C090019">
      <w:start w:val="1"/>
      <w:numFmt w:val="lowerLetter"/>
      <w:lvlText w:val="%5."/>
      <w:lvlJc w:val="left"/>
      <w:pPr>
        <w:ind w:left="3274" w:hanging="360"/>
      </w:pPr>
    </w:lvl>
    <w:lvl w:ilvl="5" w:tplc="0C09001B">
      <w:start w:val="1"/>
      <w:numFmt w:val="lowerRoman"/>
      <w:lvlText w:val="%6."/>
      <w:lvlJc w:val="right"/>
      <w:pPr>
        <w:ind w:left="3994" w:hanging="180"/>
      </w:pPr>
    </w:lvl>
    <w:lvl w:ilvl="6" w:tplc="0C09000F">
      <w:start w:val="1"/>
      <w:numFmt w:val="decimal"/>
      <w:lvlText w:val="%7."/>
      <w:lvlJc w:val="left"/>
      <w:pPr>
        <w:ind w:left="4714" w:hanging="360"/>
      </w:pPr>
    </w:lvl>
    <w:lvl w:ilvl="7" w:tplc="0C090019">
      <w:start w:val="1"/>
      <w:numFmt w:val="lowerLetter"/>
      <w:lvlText w:val="%8."/>
      <w:lvlJc w:val="left"/>
      <w:pPr>
        <w:ind w:left="5434" w:hanging="360"/>
      </w:pPr>
    </w:lvl>
    <w:lvl w:ilvl="8" w:tplc="0C09001B">
      <w:start w:val="1"/>
      <w:numFmt w:val="lowerRoman"/>
      <w:lvlText w:val="%9."/>
      <w:lvlJc w:val="right"/>
      <w:pPr>
        <w:ind w:left="6154" w:hanging="180"/>
      </w:pPr>
    </w:lvl>
  </w:abstractNum>
  <w:abstractNum w:abstractNumId="24">
    <w:nsid w:val="3740548F"/>
    <w:multiLevelType w:val="hybridMultilevel"/>
    <w:tmpl w:val="787A3B98"/>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3782145"/>
    <w:multiLevelType w:val="hybridMultilevel"/>
    <w:tmpl w:val="011E3472"/>
    <w:lvl w:ilvl="0" w:tplc="2C6A5B8E">
      <w:start w:val="1"/>
      <w:numFmt w:val="lowerLetter"/>
      <w:lvlText w:val="(%1)"/>
      <w:lvlJc w:val="left"/>
      <w:pPr>
        <w:ind w:left="720" w:hanging="360"/>
      </w:pPr>
      <w:rPr>
        <w:rFonts w:ascii="Times New Roman" w:eastAsia="Times New Roman" w:hAnsi="Times New Roman" w:cs="Times New Roman"/>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6E50B31"/>
    <w:multiLevelType w:val="hybridMultilevel"/>
    <w:tmpl w:val="3E7C794E"/>
    <w:name w:val="StandardBulletedList2"/>
    <w:lvl w:ilvl="0" w:tplc="BE9011EA">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080"/>
        </w:tabs>
        <w:ind w:left="1080" w:hanging="360"/>
      </w:pPr>
      <w:rPr>
        <w:rFonts w:ascii="Symbol" w:hAnsi="Symbol" w:hint="default"/>
        <w:sz w:val="16"/>
        <w:szCs w:val="16"/>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4BB47094"/>
    <w:multiLevelType w:val="hybridMultilevel"/>
    <w:tmpl w:val="75662C3E"/>
    <w:lvl w:ilvl="0" w:tplc="D710FC04">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1C65D26"/>
    <w:multiLevelType w:val="hybridMultilevel"/>
    <w:tmpl w:val="A8FA051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24D1E30"/>
    <w:multiLevelType w:val="hybridMultilevel"/>
    <w:tmpl w:val="FBF4687A"/>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7632A64"/>
    <w:multiLevelType w:val="hybridMultilevel"/>
    <w:tmpl w:val="E572EAF6"/>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9DF11CF"/>
    <w:multiLevelType w:val="hybridMultilevel"/>
    <w:tmpl w:val="A8FA051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ABF26F1"/>
    <w:multiLevelType w:val="hybridMultilevel"/>
    <w:tmpl w:val="6B4CC05C"/>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432F16"/>
    <w:multiLevelType w:val="hybridMultilevel"/>
    <w:tmpl w:val="A8FA051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EEB30E6"/>
    <w:multiLevelType w:val="hybridMultilevel"/>
    <w:tmpl w:val="6CD20E34"/>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2797E22"/>
    <w:multiLevelType w:val="hybridMultilevel"/>
    <w:tmpl w:val="E572EAF6"/>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8F52B1"/>
    <w:multiLevelType w:val="hybridMultilevel"/>
    <w:tmpl w:val="47784AB0"/>
    <w:lvl w:ilvl="0" w:tplc="2C6A5B8E">
      <w:start w:val="1"/>
      <w:numFmt w:val="lowerLetter"/>
      <w:lvlText w:val="(%1)"/>
      <w:lvlJc w:val="left"/>
      <w:pPr>
        <w:ind w:left="720" w:hanging="360"/>
      </w:pPr>
      <w:rPr>
        <w:rFonts w:ascii="Times New Roman" w:eastAsia="Times New Roman" w:hAnsi="Times New Roman" w:cs="Times New Roman"/>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6F064EE"/>
    <w:multiLevelType w:val="hybridMultilevel"/>
    <w:tmpl w:val="A84CFF74"/>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8666ECE"/>
    <w:multiLevelType w:val="hybridMultilevel"/>
    <w:tmpl w:val="52504D0A"/>
    <w:lvl w:ilvl="0" w:tplc="D710FC04">
      <w:start w:val="1"/>
      <w:numFmt w:val="lowerRoman"/>
      <w:lvlText w:val="(%1)"/>
      <w:lvlJc w:val="right"/>
      <w:pPr>
        <w:ind w:left="1321" w:hanging="720"/>
      </w:pPr>
      <w:rPr>
        <w:rFonts w:hint="default"/>
      </w:rPr>
    </w:lvl>
    <w:lvl w:ilvl="1" w:tplc="0C090019">
      <w:start w:val="1"/>
      <w:numFmt w:val="lowerLetter"/>
      <w:lvlText w:val="%2."/>
      <w:lvlJc w:val="left"/>
      <w:pPr>
        <w:ind w:left="1681" w:hanging="360"/>
      </w:pPr>
    </w:lvl>
    <w:lvl w:ilvl="2" w:tplc="0C09001B">
      <w:start w:val="1"/>
      <w:numFmt w:val="lowerRoman"/>
      <w:lvlText w:val="%3."/>
      <w:lvlJc w:val="right"/>
      <w:pPr>
        <w:ind w:left="2401" w:hanging="180"/>
      </w:pPr>
    </w:lvl>
    <w:lvl w:ilvl="3" w:tplc="0C09000F">
      <w:start w:val="1"/>
      <w:numFmt w:val="decimal"/>
      <w:lvlText w:val="%4."/>
      <w:lvlJc w:val="left"/>
      <w:pPr>
        <w:ind w:left="3121" w:hanging="360"/>
      </w:pPr>
    </w:lvl>
    <w:lvl w:ilvl="4" w:tplc="0C090019">
      <w:start w:val="1"/>
      <w:numFmt w:val="lowerLetter"/>
      <w:lvlText w:val="%5."/>
      <w:lvlJc w:val="left"/>
      <w:pPr>
        <w:ind w:left="3841" w:hanging="360"/>
      </w:pPr>
    </w:lvl>
    <w:lvl w:ilvl="5" w:tplc="0C09001B">
      <w:start w:val="1"/>
      <w:numFmt w:val="lowerRoman"/>
      <w:lvlText w:val="%6."/>
      <w:lvlJc w:val="right"/>
      <w:pPr>
        <w:ind w:left="4561" w:hanging="180"/>
      </w:pPr>
    </w:lvl>
    <w:lvl w:ilvl="6" w:tplc="0C09000F">
      <w:start w:val="1"/>
      <w:numFmt w:val="decimal"/>
      <w:lvlText w:val="%7."/>
      <w:lvlJc w:val="left"/>
      <w:pPr>
        <w:ind w:left="5281" w:hanging="360"/>
      </w:pPr>
    </w:lvl>
    <w:lvl w:ilvl="7" w:tplc="0C090019">
      <w:start w:val="1"/>
      <w:numFmt w:val="lowerLetter"/>
      <w:lvlText w:val="%8."/>
      <w:lvlJc w:val="left"/>
      <w:pPr>
        <w:ind w:left="6001" w:hanging="360"/>
      </w:pPr>
    </w:lvl>
    <w:lvl w:ilvl="8" w:tplc="0C09001B">
      <w:start w:val="1"/>
      <w:numFmt w:val="lowerRoman"/>
      <w:lvlText w:val="%9."/>
      <w:lvlJc w:val="right"/>
      <w:pPr>
        <w:ind w:left="6721" w:hanging="180"/>
      </w:pPr>
    </w:lvl>
  </w:abstractNum>
  <w:abstractNum w:abstractNumId="40">
    <w:nsid w:val="69327D0E"/>
    <w:multiLevelType w:val="hybridMultilevel"/>
    <w:tmpl w:val="A8FA051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A614F27"/>
    <w:multiLevelType w:val="hybridMultilevel"/>
    <w:tmpl w:val="1F1CEC28"/>
    <w:lvl w:ilvl="0" w:tplc="5BB24AB4">
      <w:start w:val="1"/>
      <w:numFmt w:val="lowerLetter"/>
      <w:lvlText w:val="(%1)"/>
      <w:lvlJc w:val="left"/>
      <w:pPr>
        <w:ind w:left="1321" w:hanging="720"/>
      </w:pPr>
      <w:rPr>
        <w:rFonts w:hint="default"/>
      </w:rPr>
    </w:lvl>
    <w:lvl w:ilvl="1" w:tplc="0C090019">
      <w:start w:val="1"/>
      <w:numFmt w:val="lowerLetter"/>
      <w:lvlText w:val="%2."/>
      <w:lvlJc w:val="left"/>
      <w:pPr>
        <w:ind w:left="1681" w:hanging="360"/>
      </w:pPr>
    </w:lvl>
    <w:lvl w:ilvl="2" w:tplc="0C09001B">
      <w:start w:val="1"/>
      <w:numFmt w:val="lowerRoman"/>
      <w:lvlText w:val="%3."/>
      <w:lvlJc w:val="right"/>
      <w:pPr>
        <w:ind w:left="2401" w:hanging="180"/>
      </w:pPr>
    </w:lvl>
    <w:lvl w:ilvl="3" w:tplc="0C09000F">
      <w:start w:val="1"/>
      <w:numFmt w:val="decimal"/>
      <w:lvlText w:val="%4."/>
      <w:lvlJc w:val="left"/>
      <w:pPr>
        <w:ind w:left="3121" w:hanging="360"/>
      </w:pPr>
    </w:lvl>
    <w:lvl w:ilvl="4" w:tplc="0C090019">
      <w:start w:val="1"/>
      <w:numFmt w:val="lowerLetter"/>
      <w:lvlText w:val="%5."/>
      <w:lvlJc w:val="left"/>
      <w:pPr>
        <w:ind w:left="3841" w:hanging="360"/>
      </w:pPr>
    </w:lvl>
    <w:lvl w:ilvl="5" w:tplc="0C09001B">
      <w:start w:val="1"/>
      <w:numFmt w:val="lowerRoman"/>
      <w:lvlText w:val="%6."/>
      <w:lvlJc w:val="right"/>
      <w:pPr>
        <w:ind w:left="4561" w:hanging="180"/>
      </w:pPr>
    </w:lvl>
    <w:lvl w:ilvl="6" w:tplc="0C09000F">
      <w:start w:val="1"/>
      <w:numFmt w:val="decimal"/>
      <w:lvlText w:val="%7."/>
      <w:lvlJc w:val="left"/>
      <w:pPr>
        <w:ind w:left="5281" w:hanging="360"/>
      </w:pPr>
    </w:lvl>
    <w:lvl w:ilvl="7" w:tplc="0C090019">
      <w:start w:val="1"/>
      <w:numFmt w:val="lowerLetter"/>
      <w:lvlText w:val="%8."/>
      <w:lvlJc w:val="left"/>
      <w:pPr>
        <w:ind w:left="6001" w:hanging="360"/>
      </w:pPr>
    </w:lvl>
    <w:lvl w:ilvl="8" w:tplc="0C09001B">
      <w:start w:val="1"/>
      <w:numFmt w:val="lowerRoman"/>
      <w:lvlText w:val="%9."/>
      <w:lvlJc w:val="right"/>
      <w:pPr>
        <w:ind w:left="6721" w:hanging="180"/>
      </w:pPr>
    </w:lvl>
  </w:abstractNum>
  <w:abstractNum w:abstractNumId="42">
    <w:nsid w:val="6C182A68"/>
    <w:multiLevelType w:val="hybridMultilevel"/>
    <w:tmpl w:val="A8FA0516"/>
    <w:lvl w:ilvl="0" w:tplc="5BB24AB4">
      <w:start w:val="1"/>
      <w:numFmt w:val="lowerLetter"/>
      <w:lvlText w:val="(%1)"/>
      <w:lvlJc w:val="left"/>
      <w:pPr>
        <w:ind w:left="720" w:hanging="360"/>
      </w:pPr>
      <w:rPr>
        <w:rFonts w:hint="default"/>
      </w:rPr>
    </w:lvl>
    <w:lvl w:ilvl="1" w:tplc="796E16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8A106B0"/>
    <w:multiLevelType w:val="hybridMultilevel"/>
    <w:tmpl w:val="52504D0A"/>
    <w:lvl w:ilvl="0" w:tplc="D710FC04">
      <w:start w:val="1"/>
      <w:numFmt w:val="lowerRoman"/>
      <w:lvlText w:val="(%1)"/>
      <w:lvlJc w:val="right"/>
      <w:pPr>
        <w:ind w:left="1321" w:hanging="720"/>
      </w:pPr>
      <w:rPr>
        <w:rFonts w:hint="default"/>
      </w:rPr>
    </w:lvl>
    <w:lvl w:ilvl="1" w:tplc="0C090019">
      <w:start w:val="1"/>
      <w:numFmt w:val="lowerLetter"/>
      <w:lvlText w:val="%2."/>
      <w:lvlJc w:val="left"/>
      <w:pPr>
        <w:ind w:left="1681" w:hanging="360"/>
      </w:pPr>
    </w:lvl>
    <w:lvl w:ilvl="2" w:tplc="0C09001B">
      <w:start w:val="1"/>
      <w:numFmt w:val="lowerRoman"/>
      <w:lvlText w:val="%3."/>
      <w:lvlJc w:val="right"/>
      <w:pPr>
        <w:ind w:left="2401" w:hanging="180"/>
      </w:pPr>
    </w:lvl>
    <w:lvl w:ilvl="3" w:tplc="0C09000F">
      <w:start w:val="1"/>
      <w:numFmt w:val="decimal"/>
      <w:lvlText w:val="%4."/>
      <w:lvlJc w:val="left"/>
      <w:pPr>
        <w:ind w:left="3121" w:hanging="360"/>
      </w:pPr>
    </w:lvl>
    <w:lvl w:ilvl="4" w:tplc="0C090019">
      <w:start w:val="1"/>
      <w:numFmt w:val="lowerLetter"/>
      <w:lvlText w:val="%5."/>
      <w:lvlJc w:val="left"/>
      <w:pPr>
        <w:ind w:left="3841" w:hanging="360"/>
      </w:pPr>
    </w:lvl>
    <w:lvl w:ilvl="5" w:tplc="0C09001B">
      <w:start w:val="1"/>
      <w:numFmt w:val="lowerRoman"/>
      <w:lvlText w:val="%6."/>
      <w:lvlJc w:val="right"/>
      <w:pPr>
        <w:ind w:left="4561" w:hanging="180"/>
      </w:pPr>
    </w:lvl>
    <w:lvl w:ilvl="6" w:tplc="0C09000F">
      <w:start w:val="1"/>
      <w:numFmt w:val="decimal"/>
      <w:lvlText w:val="%7."/>
      <w:lvlJc w:val="left"/>
      <w:pPr>
        <w:ind w:left="5281" w:hanging="360"/>
      </w:pPr>
    </w:lvl>
    <w:lvl w:ilvl="7" w:tplc="0C090019">
      <w:start w:val="1"/>
      <w:numFmt w:val="lowerLetter"/>
      <w:lvlText w:val="%8."/>
      <w:lvlJc w:val="left"/>
      <w:pPr>
        <w:ind w:left="6001" w:hanging="360"/>
      </w:pPr>
    </w:lvl>
    <w:lvl w:ilvl="8" w:tplc="0C09001B">
      <w:start w:val="1"/>
      <w:numFmt w:val="lowerRoman"/>
      <w:lvlText w:val="%9."/>
      <w:lvlJc w:val="right"/>
      <w:pPr>
        <w:ind w:left="6721" w:hanging="180"/>
      </w:pPr>
    </w:lvl>
  </w:abstractNum>
  <w:abstractNum w:abstractNumId="44">
    <w:nsid w:val="79E93A93"/>
    <w:multiLevelType w:val="hybridMultilevel"/>
    <w:tmpl w:val="A72CECFE"/>
    <w:lvl w:ilvl="0" w:tplc="2C6A5B8E">
      <w:start w:val="1"/>
      <w:numFmt w:val="lowerLetter"/>
      <w:lvlText w:val="(%1)"/>
      <w:lvlJc w:val="left"/>
      <w:pPr>
        <w:ind w:left="720" w:hanging="360"/>
      </w:pPr>
      <w:rPr>
        <w:rFonts w:ascii="Times New Roman" w:eastAsia="Times New Roman" w:hAnsi="Times New Roman" w:cs="Times New Roman"/>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A816A2D"/>
    <w:multiLevelType w:val="hybridMultilevel"/>
    <w:tmpl w:val="2886FBB8"/>
    <w:lvl w:ilvl="0" w:tplc="D710FC04">
      <w:start w:val="1"/>
      <w:numFmt w:val="lowerRoman"/>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6">
    <w:nsid w:val="7C837A5C"/>
    <w:multiLevelType w:val="hybridMultilevel"/>
    <w:tmpl w:val="C6DCA206"/>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5"/>
  </w:num>
  <w:num w:numId="3">
    <w:abstractNumId w:val="5"/>
  </w:num>
  <w:num w:numId="4">
    <w:abstractNumId w:val="32"/>
  </w:num>
  <w:num w:numId="5">
    <w:abstractNumId w:val="38"/>
  </w:num>
  <w:num w:numId="6">
    <w:abstractNumId w:val="40"/>
  </w:num>
  <w:num w:numId="7">
    <w:abstractNumId w:val="33"/>
  </w:num>
  <w:num w:numId="8">
    <w:abstractNumId w:val="29"/>
  </w:num>
  <w:num w:numId="9">
    <w:abstractNumId w:val="8"/>
  </w:num>
  <w:num w:numId="10">
    <w:abstractNumId w:val="19"/>
  </w:num>
  <w:num w:numId="11">
    <w:abstractNumId w:val="1"/>
  </w:num>
  <w:num w:numId="12">
    <w:abstractNumId w:val="9"/>
  </w:num>
  <w:num w:numId="13">
    <w:abstractNumId w:val="12"/>
  </w:num>
  <w:num w:numId="14">
    <w:abstractNumId w:val="36"/>
  </w:num>
  <w:num w:numId="15">
    <w:abstractNumId w:val="21"/>
  </w:num>
  <w:num w:numId="16">
    <w:abstractNumId w:val="44"/>
  </w:num>
  <w:num w:numId="17">
    <w:abstractNumId w:val="37"/>
  </w:num>
  <w:num w:numId="18">
    <w:abstractNumId w:val="26"/>
  </w:num>
  <w:num w:numId="19">
    <w:abstractNumId w:val="31"/>
  </w:num>
  <w:num w:numId="20">
    <w:abstractNumId w:val="3"/>
  </w:num>
  <w:num w:numId="21">
    <w:abstractNumId w:val="46"/>
  </w:num>
  <w:num w:numId="22">
    <w:abstractNumId w:val="7"/>
  </w:num>
  <w:num w:numId="23">
    <w:abstractNumId w:val="6"/>
  </w:num>
  <w:num w:numId="24">
    <w:abstractNumId w:val="30"/>
  </w:num>
  <w:num w:numId="25">
    <w:abstractNumId w:val="34"/>
  </w:num>
  <w:num w:numId="26">
    <w:abstractNumId w:val="45"/>
  </w:num>
  <w:num w:numId="27">
    <w:abstractNumId w:val="22"/>
  </w:num>
  <w:num w:numId="28">
    <w:abstractNumId w:val="16"/>
  </w:num>
  <w:num w:numId="29">
    <w:abstractNumId w:val="42"/>
  </w:num>
  <w:num w:numId="30">
    <w:abstractNumId w:val="24"/>
  </w:num>
  <w:num w:numId="31">
    <w:abstractNumId w:val="15"/>
  </w:num>
  <w:num w:numId="32">
    <w:abstractNumId w:val="35"/>
  </w:num>
  <w:num w:numId="33">
    <w:abstractNumId w:val="17"/>
  </w:num>
  <w:num w:numId="34">
    <w:abstractNumId w:val="10"/>
  </w:num>
  <w:num w:numId="35">
    <w:abstractNumId w:val="11"/>
  </w:num>
  <w:num w:numId="36">
    <w:abstractNumId w:val="18"/>
  </w:num>
  <w:num w:numId="37">
    <w:abstractNumId w:val="4"/>
  </w:num>
  <w:num w:numId="38">
    <w:abstractNumId w:val="14"/>
  </w:num>
  <w:num w:numId="39">
    <w:abstractNumId w:val="13"/>
  </w:num>
  <w:num w:numId="40">
    <w:abstractNumId w:val="28"/>
  </w:num>
  <w:num w:numId="41">
    <w:abstractNumId w:val="20"/>
  </w:num>
  <w:num w:numId="42">
    <w:abstractNumId w:val="39"/>
  </w:num>
  <w:num w:numId="43">
    <w:abstractNumId w:val="23"/>
  </w:num>
  <w:num w:numId="44">
    <w:abstractNumId w:val="2"/>
  </w:num>
  <w:num w:numId="45">
    <w:abstractNumId w:val="43"/>
  </w:num>
  <w:num w:numId="46">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64D2FC1-D3B4-4E0C-B30A-32B2E8D49469}"/>
    <w:docVar w:name="dgnword-eventsink" w:val="20838384"/>
  </w:docVars>
  <w:rsids>
    <w:rsidRoot w:val="009A2CCB"/>
    <w:rsid w:val="000008C6"/>
    <w:rsid w:val="00003890"/>
    <w:rsid w:val="00006FAE"/>
    <w:rsid w:val="00016755"/>
    <w:rsid w:val="00017C8A"/>
    <w:rsid w:val="0002612F"/>
    <w:rsid w:val="00027EE5"/>
    <w:rsid w:val="000305F0"/>
    <w:rsid w:val="00030888"/>
    <w:rsid w:val="00030ABE"/>
    <w:rsid w:val="000319D5"/>
    <w:rsid w:val="00040AD4"/>
    <w:rsid w:val="00041176"/>
    <w:rsid w:val="0004288E"/>
    <w:rsid w:val="00043142"/>
    <w:rsid w:val="00045F6E"/>
    <w:rsid w:val="00047482"/>
    <w:rsid w:val="00052FBC"/>
    <w:rsid w:val="00061B9C"/>
    <w:rsid w:val="00062C06"/>
    <w:rsid w:val="00066C35"/>
    <w:rsid w:val="00067D0F"/>
    <w:rsid w:val="00067D9D"/>
    <w:rsid w:val="00070116"/>
    <w:rsid w:val="0007069F"/>
    <w:rsid w:val="00073307"/>
    <w:rsid w:val="00080FF3"/>
    <w:rsid w:val="000859B5"/>
    <w:rsid w:val="00085C90"/>
    <w:rsid w:val="000903B8"/>
    <w:rsid w:val="00092628"/>
    <w:rsid w:val="00093654"/>
    <w:rsid w:val="00094955"/>
    <w:rsid w:val="00094E7B"/>
    <w:rsid w:val="000A15F5"/>
    <w:rsid w:val="000A224E"/>
    <w:rsid w:val="000A3774"/>
    <w:rsid w:val="000A6E71"/>
    <w:rsid w:val="000B451D"/>
    <w:rsid w:val="000B6B4E"/>
    <w:rsid w:val="000C10DF"/>
    <w:rsid w:val="000D008D"/>
    <w:rsid w:val="000D321F"/>
    <w:rsid w:val="000D377C"/>
    <w:rsid w:val="000D3A5E"/>
    <w:rsid w:val="000D4131"/>
    <w:rsid w:val="000D696F"/>
    <w:rsid w:val="000D7463"/>
    <w:rsid w:val="000E25F5"/>
    <w:rsid w:val="000E32F1"/>
    <w:rsid w:val="000E6BD9"/>
    <w:rsid w:val="000E73DE"/>
    <w:rsid w:val="000E76B2"/>
    <w:rsid w:val="000E7C48"/>
    <w:rsid w:val="000E7F1D"/>
    <w:rsid w:val="000F10A5"/>
    <w:rsid w:val="000F1A5A"/>
    <w:rsid w:val="000F6FC2"/>
    <w:rsid w:val="00100AD5"/>
    <w:rsid w:val="001016F3"/>
    <w:rsid w:val="00101E12"/>
    <w:rsid w:val="00102FA4"/>
    <w:rsid w:val="0010529E"/>
    <w:rsid w:val="001060C3"/>
    <w:rsid w:val="001118CD"/>
    <w:rsid w:val="00112705"/>
    <w:rsid w:val="00112856"/>
    <w:rsid w:val="001137EE"/>
    <w:rsid w:val="001143BC"/>
    <w:rsid w:val="00114A66"/>
    <w:rsid w:val="00116A7B"/>
    <w:rsid w:val="00121024"/>
    <w:rsid w:val="0012230C"/>
    <w:rsid w:val="00124704"/>
    <w:rsid w:val="0012483A"/>
    <w:rsid w:val="00127C3C"/>
    <w:rsid w:val="001319FE"/>
    <w:rsid w:val="0013467A"/>
    <w:rsid w:val="001500A7"/>
    <w:rsid w:val="00151A46"/>
    <w:rsid w:val="00151B4D"/>
    <w:rsid w:val="001534A1"/>
    <w:rsid w:val="0015389E"/>
    <w:rsid w:val="0015397F"/>
    <w:rsid w:val="00153C01"/>
    <w:rsid w:val="001613FB"/>
    <w:rsid w:val="00161CAE"/>
    <w:rsid w:val="00161D58"/>
    <w:rsid w:val="00161FEA"/>
    <w:rsid w:val="00163F52"/>
    <w:rsid w:val="00165084"/>
    <w:rsid w:val="00165B67"/>
    <w:rsid w:val="00167769"/>
    <w:rsid w:val="00173DAA"/>
    <w:rsid w:val="00174E6C"/>
    <w:rsid w:val="00176C1D"/>
    <w:rsid w:val="00183FAF"/>
    <w:rsid w:val="001840F8"/>
    <w:rsid w:val="00184BB9"/>
    <w:rsid w:val="00185772"/>
    <w:rsid w:val="001921B5"/>
    <w:rsid w:val="00195DCE"/>
    <w:rsid w:val="00196BF4"/>
    <w:rsid w:val="001A1EB8"/>
    <w:rsid w:val="001B01A1"/>
    <w:rsid w:val="001B1692"/>
    <w:rsid w:val="001B32A7"/>
    <w:rsid w:val="001B4A20"/>
    <w:rsid w:val="001B5550"/>
    <w:rsid w:val="001B654D"/>
    <w:rsid w:val="001B76EB"/>
    <w:rsid w:val="001B794C"/>
    <w:rsid w:val="001C1D40"/>
    <w:rsid w:val="001C32E4"/>
    <w:rsid w:val="001C4DD8"/>
    <w:rsid w:val="001C7B1D"/>
    <w:rsid w:val="001D4569"/>
    <w:rsid w:val="001D52C5"/>
    <w:rsid w:val="001D7AB4"/>
    <w:rsid w:val="001E0F61"/>
    <w:rsid w:val="001E1BC9"/>
    <w:rsid w:val="001E298D"/>
    <w:rsid w:val="001E6946"/>
    <w:rsid w:val="001F09D4"/>
    <w:rsid w:val="001F0F94"/>
    <w:rsid w:val="00200488"/>
    <w:rsid w:val="0020400B"/>
    <w:rsid w:val="00206C94"/>
    <w:rsid w:val="00211C90"/>
    <w:rsid w:val="00220DD4"/>
    <w:rsid w:val="00222678"/>
    <w:rsid w:val="002240C2"/>
    <w:rsid w:val="00230194"/>
    <w:rsid w:val="00235BC2"/>
    <w:rsid w:val="00241C44"/>
    <w:rsid w:val="00245900"/>
    <w:rsid w:val="00245A68"/>
    <w:rsid w:val="00256269"/>
    <w:rsid w:val="00260228"/>
    <w:rsid w:val="00262D9C"/>
    <w:rsid w:val="00265B18"/>
    <w:rsid w:val="00266C3F"/>
    <w:rsid w:val="00266E89"/>
    <w:rsid w:val="00270FAF"/>
    <w:rsid w:val="00271E1C"/>
    <w:rsid w:val="00273082"/>
    <w:rsid w:val="002750CC"/>
    <w:rsid w:val="0027523A"/>
    <w:rsid w:val="00276576"/>
    <w:rsid w:val="002810C5"/>
    <w:rsid w:val="00282610"/>
    <w:rsid w:val="0028336C"/>
    <w:rsid w:val="002833E5"/>
    <w:rsid w:val="00283711"/>
    <w:rsid w:val="00285457"/>
    <w:rsid w:val="002863C1"/>
    <w:rsid w:val="0028769D"/>
    <w:rsid w:val="0029110C"/>
    <w:rsid w:val="002927B6"/>
    <w:rsid w:val="00293022"/>
    <w:rsid w:val="00293EBF"/>
    <w:rsid w:val="00294262"/>
    <w:rsid w:val="00294E19"/>
    <w:rsid w:val="002954C3"/>
    <w:rsid w:val="002A3E59"/>
    <w:rsid w:val="002A4022"/>
    <w:rsid w:val="002A4AB3"/>
    <w:rsid w:val="002A6B36"/>
    <w:rsid w:val="002B010C"/>
    <w:rsid w:val="002B2C2B"/>
    <w:rsid w:val="002B50DA"/>
    <w:rsid w:val="002B54F9"/>
    <w:rsid w:val="002B7304"/>
    <w:rsid w:val="002C0934"/>
    <w:rsid w:val="002C34B7"/>
    <w:rsid w:val="002C3622"/>
    <w:rsid w:val="002C45F8"/>
    <w:rsid w:val="002C4A5B"/>
    <w:rsid w:val="002C4B74"/>
    <w:rsid w:val="002C5ACA"/>
    <w:rsid w:val="002C6D66"/>
    <w:rsid w:val="002C706B"/>
    <w:rsid w:val="002C799F"/>
    <w:rsid w:val="002D18B2"/>
    <w:rsid w:val="002D4141"/>
    <w:rsid w:val="002D62CE"/>
    <w:rsid w:val="002E0CE8"/>
    <w:rsid w:val="002E2F24"/>
    <w:rsid w:val="002E3495"/>
    <w:rsid w:val="002E4D9F"/>
    <w:rsid w:val="002E61A3"/>
    <w:rsid w:val="002F36B3"/>
    <w:rsid w:val="002F4174"/>
    <w:rsid w:val="002F4363"/>
    <w:rsid w:val="002F5662"/>
    <w:rsid w:val="002F57AA"/>
    <w:rsid w:val="002F5A3F"/>
    <w:rsid w:val="002F7F0C"/>
    <w:rsid w:val="00306D03"/>
    <w:rsid w:val="003121B1"/>
    <w:rsid w:val="00312CC4"/>
    <w:rsid w:val="0031519A"/>
    <w:rsid w:val="00315E2D"/>
    <w:rsid w:val="00320FB2"/>
    <w:rsid w:val="003210F3"/>
    <w:rsid w:val="00322982"/>
    <w:rsid w:val="00323F0E"/>
    <w:rsid w:val="00331423"/>
    <w:rsid w:val="00334A89"/>
    <w:rsid w:val="0033779D"/>
    <w:rsid w:val="00340FAB"/>
    <w:rsid w:val="00344B20"/>
    <w:rsid w:val="00346CC1"/>
    <w:rsid w:val="0035312F"/>
    <w:rsid w:val="00360936"/>
    <w:rsid w:val="00361D40"/>
    <w:rsid w:val="0036348C"/>
    <w:rsid w:val="003642E3"/>
    <w:rsid w:val="00370C17"/>
    <w:rsid w:val="003739FE"/>
    <w:rsid w:val="00377BEB"/>
    <w:rsid w:val="00377FF2"/>
    <w:rsid w:val="003811B4"/>
    <w:rsid w:val="003865D8"/>
    <w:rsid w:val="00390EDD"/>
    <w:rsid w:val="00395A8F"/>
    <w:rsid w:val="003A0728"/>
    <w:rsid w:val="003A1168"/>
    <w:rsid w:val="003A1F1B"/>
    <w:rsid w:val="003A2F95"/>
    <w:rsid w:val="003B443D"/>
    <w:rsid w:val="003B493E"/>
    <w:rsid w:val="003B4F4B"/>
    <w:rsid w:val="003B573E"/>
    <w:rsid w:val="003B632D"/>
    <w:rsid w:val="003C234B"/>
    <w:rsid w:val="003C2DEF"/>
    <w:rsid w:val="003C355B"/>
    <w:rsid w:val="003C441F"/>
    <w:rsid w:val="003C5C2E"/>
    <w:rsid w:val="003D1138"/>
    <w:rsid w:val="003D748D"/>
    <w:rsid w:val="003E0677"/>
    <w:rsid w:val="003E67D7"/>
    <w:rsid w:val="003E7FB7"/>
    <w:rsid w:val="003F4C31"/>
    <w:rsid w:val="004004C2"/>
    <w:rsid w:val="00400CA4"/>
    <w:rsid w:val="0040251C"/>
    <w:rsid w:val="00402818"/>
    <w:rsid w:val="00402857"/>
    <w:rsid w:val="00402F68"/>
    <w:rsid w:val="0040600E"/>
    <w:rsid w:val="00406613"/>
    <w:rsid w:val="00411BBD"/>
    <w:rsid w:val="004203EF"/>
    <w:rsid w:val="00430B3B"/>
    <w:rsid w:val="004321AF"/>
    <w:rsid w:val="004347B5"/>
    <w:rsid w:val="0043662D"/>
    <w:rsid w:val="00437DDD"/>
    <w:rsid w:val="00440C0F"/>
    <w:rsid w:val="004475DF"/>
    <w:rsid w:val="00454A94"/>
    <w:rsid w:val="00454BF3"/>
    <w:rsid w:val="0045773F"/>
    <w:rsid w:val="00457CCD"/>
    <w:rsid w:val="004606E0"/>
    <w:rsid w:val="004618D2"/>
    <w:rsid w:val="00465BF7"/>
    <w:rsid w:val="004729FE"/>
    <w:rsid w:val="004737AC"/>
    <w:rsid w:val="004745FC"/>
    <w:rsid w:val="00475522"/>
    <w:rsid w:val="0047653E"/>
    <w:rsid w:val="004869DD"/>
    <w:rsid w:val="0048734E"/>
    <w:rsid w:val="00494069"/>
    <w:rsid w:val="004A05A9"/>
    <w:rsid w:val="004A1D83"/>
    <w:rsid w:val="004A676C"/>
    <w:rsid w:val="004A6AA3"/>
    <w:rsid w:val="004B47AD"/>
    <w:rsid w:val="004B5713"/>
    <w:rsid w:val="004C0885"/>
    <w:rsid w:val="004C0C91"/>
    <w:rsid w:val="004C29B1"/>
    <w:rsid w:val="004C2ED9"/>
    <w:rsid w:val="004C7FF4"/>
    <w:rsid w:val="004D0D52"/>
    <w:rsid w:val="004D17C1"/>
    <w:rsid w:val="004D300E"/>
    <w:rsid w:val="004D3440"/>
    <w:rsid w:val="004E039C"/>
    <w:rsid w:val="004E23BC"/>
    <w:rsid w:val="004E7B0F"/>
    <w:rsid w:val="004E7B8D"/>
    <w:rsid w:val="004F3308"/>
    <w:rsid w:val="004F6D79"/>
    <w:rsid w:val="004F78DE"/>
    <w:rsid w:val="004F7CAE"/>
    <w:rsid w:val="00503D4E"/>
    <w:rsid w:val="00505F15"/>
    <w:rsid w:val="005100F3"/>
    <w:rsid w:val="00511DAD"/>
    <w:rsid w:val="00512637"/>
    <w:rsid w:val="00514A38"/>
    <w:rsid w:val="0052207F"/>
    <w:rsid w:val="00523395"/>
    <w:rsid w:val="00530D83"/>
    <w:rsid w:val="00533A55"/>
    <w:rsid w:val="00534A5C"/>
    <w:rsid w:val="00536227"/>
    <w:rsid w:val="0053719E"/>
    <w:rsid w:val="00542375"/>
    <w:rsid w:val="00544409"/>
    <w:rsid w:val="005455BF"/>
    <w:rsid w:val="00546851"/>
    <w:rsid w:val="00547799"/>
    <w:rsid w:val="00551AAC"/>
    <w:rsid w:val="00551ACC"/>
    <w:rsid w:val="00552C28"/>
    <w:rsid w:val="00553CE8"/>
    <w:rsid w:val="00556E96"/>
    <w:rsid w:val="005642B6"/>
    <w:rsid w:val="00564AE8"/>
    <w:rsid w:val="00566BA5"/>
    <w:rsid w:val="00572832"/>
    <w:rsid w:val="00573474"/>
    <w:rsid w:val="00577387"/>
    <w:rsid w:val="00577B78"/>
    <w:rsid w:val="00584000"/>
    <w:rsid w:val="00584F3B"/>
    <w:rsid w:val="00587717"/>
    <w:rsid w:val="00593BB4"/>
    <w:rsid w:val="00594253"/>
    <w:rsid w:val="00594786"/>
    <w:rsid w:val="00594B4E"/>
    <w:rsid w:val="00594EFB"/>
    <w:rsid w:val="005A317F"/>
    <w:rsid w:val="005A5526"/>
    <w:rsid w:val="005B0740"/>
    <w:rsid w:val="005B1669"/>
    <w:rsid w:val="005B2148"/>
    <w:rsid w:val="005B7ADE"/>
    <w:rsid w:val="005C37D6"/>
    <w:rsid w:val="005C3BED"/>
    <w:rsid w:val="005C461B"/>
    <w:rsid w:val="005C5893"/>
    <w:rsid w:val="005C74E4"/>
    <w:rsid w:val="005C7A6F"/>
    <w:rsid w:val="005D1D81"/>
    <w:rsid w:val="005D359B"/>
    <w:rsid w:val="005D42E0"/>
    <w:rsid w:val="005D68E1"/>
    <w:rsid w:val="005E02FB"/>
    <w:rsid w:val="005E0430"/>
    <w:rsid w:val="005E0571"/>
    <w:rsid w:val="005E28EC"/>
    <w:rsid w:val="005E31AB"/>
    <w:rsid w:val="005E5CE5"/>
    <w:rsid w:val="005E7449"/>
    <w:rsid w:val="005E7FDD"/>
    <w:rsid w:val="005F1713"/>
    <w:rsid w:val="005F19BA"/>
    <w:rsid w:val="005F1C54"/>
    <w:rsid w:val="005F562C"/>
    <w:rsid w:val="005F6BFC"/>
    <w:rsid w:val="005F759A"/>
    <w:rsid w:val="005F7969"/>
    <w:rsid w:val="00602CCC"/>
    <w:rsid w:val="00605141"/>
    <w:rsid w:val="00606D61"/>
    <w:rsid w:val="00607EF6"/>
    <w:rsid w:val="00611F4D"/>
    <w:rsid w:val="00614AB0"/>
    <w:rsid w:val="00616B9E"/>
    <w:rsid w:val="00620BF8"/>
    <w:rsid w:val="00621E89"/>
    <w:rsid w:val="006221BA"/>
    <w:rsid w:val="0063050A"/>
    <w:rsid w:val="00630D9B"/>
    <w:rsid w:val="006320A9"/>
    <w:rsid w:val="006321B5"/>
    <w:rsid w:val="0063311A"/>
    <w:rsid w:val="00633F19"/>
    <w:rsid w:val="00640749"/>
    <w:rsid w:val="00641C5E"/>
    <w:rsid w:val="0064336C"/>
    <w:rsid w:val="00646241"/>
    <w:rsid w:val="00647D08"/>
    <w:rsid w:val="00651049"/>
    <w:rsid w:val="00651F58"/>
    <w:rsid w:val="00655E93"/>
    <w:rsid w:val="006716A6"/>
    <w:rsid w:val="00672684"/>
    <w:rsid w:val="00672DC2"/>
    <w:rsid w:val="00674847"/>
    <w:rsid w:val="006842CD"/>
    <w:rsid w:val="00684C58"/>
    <w:rsid w:val="00687628"/>
    <w:rsid w:val="00690FA7"/>
    <w:rsid w:val="006911CA"/>
    <w:rsid w:val="00692892"/>
    <w:rsid w:val="006A3BEB"/>
    <w:rsid w:val="006A42CA"/>
    <w:rsid w:val="006A4F5D"/>
    <w:rsid w:val="006B1FEF"/>
    <w:rsid w:val="006B2E05"/>
    <w:rsid w:val="006B4BEF"/>
    <w:rsid w:val="006B7521"/>
    <w:rsid w:val="006C4EC1"/>
    <w:rsid w:val="006C51DE"/>
    <w:rsid w:val="006C686F"/>
    <w:rsid w:val="006C6CF5"/>
    <w:rsid w:val="006D1D56"/>
    <w:rsid w:val="006D4833"/>
    <w:rsid w:val="006D6083"/>
    <w:rsid w:val="006E1EE2"/>
    <w:rsid w:val="006E3BF0"/>
    <w:rsid w:val="006E7B0C"/>
    <w:rsid w:val="006F2F26"/>
    <w:rsid w:val="00700183"/>
    <w:rsid w:val="007051CA"/>
    <w:rsid w:val="007074BA"/>
    <w:rsid w:val="00710F84"/>
    <w:rsid w:val="00715BD5"/>
    <w:rsid w:val="00715F37"/>
    <w:rsid w:val="00716A3C"/>
    <w:rsid w:val="00717072"/>
    <w:rsid w:val="00717A68"/>
    <w:rsid w:val="00717D01"/>
    <w:rsid w:val="00721E8B"/>
    <w:rsid w:val="00725EF9"/>
    <w:rsid w:val="00726133"/>
    <w:rsid w:val="00726ED4"/>
    <w:rsid w:val="00727A3D"/>
    <w:rsid w:val="00730770"/>
    <w:rsid w:val="007325E9"/>
    <w:rsid w:val="00735521"/>
    <w:rsid w:val="00740409"/>
    <w:rsid w:val="00742502"/>
    <w:rsid w:val="007448EE"/>
    <w:rsid w:val="00745B37"/>
    <w:rsid w:val="00747302"/>
    <w:rsid w:val="007538A1"/>
    <w:rsid w:val="00762A8C"/>
    <w:rsid w:val="00771082"/>
    <w:rsid w:val="007730B2"/>
    <w:rsid w:val="00777949"/>
    <w:rsid w:val="00780158"/>
    <w:rsid w:val="0078248B"/>
    <w:rsid w:val="00782B22"/>
    <w:rsid w:val="00785FCA"/>
    <w:rsid w:val="0079065F"/>
    <w:rsid w:val="00797522"/>
    <w:rsid w:val="00797DC2"/>
    <w:rsid w:val="007A1011"/>
    <w:rsid w:val="007A314F"/>
    <w:rsid w:val="007A5886"/>
    <w:rsid w:val="007B322D"/>
    <w:rsid w:val="007B32DF"/>
    <w:rsid w:val="007B599B"/>
    <w:rsid w:val="007C6CA3"/>
    <w:rsid w:val="007D581D"/>
    <w:rsid w:val="007D5F15"/>
    <w:rsid w:val="007D628B"/>
    <w:rsid w:val="007D64B6"/>
    <w:rsid w:val="007E04B4"/>
    <w:rsid w:val="007E221F"/>
    <w:rsid w:val="007E3413"/>
    <w:rsid w:val="007E4549"/>
    <w:rsid w:val="007E4BBF"/>
    <w:rsid w:val="007E7AA0"/>
    <w:rsid w:val="007F2E3D"/>
    <w:rsid w:val="007F3E55"/>
    <w:rsid w:val="007F6AC0"/>
    <w:rsid w:val="0080439F"/>
    <w:rsid w:val="00810931"/>
    <w:rsid w:val="00810A83"/>
    <w:rsid w:val="00810A86"/>
    <w:rsid w:val="008114CE"/>
    <w:rsid w:val="008117E2"/>
    <w:rsid w:val="00812031"/>
    <w:rsid w:val="00812421"/>
    <w:rsid w:val="00812568"/>
    <w:rsid w:val="00813374"/>
    <w:rsid w:val="00816103"/>
    <w:rsid w:val="00827AC3"/>
    <w:rsid w:val="008308F7"/>
    <w:rsid w:val="00831028"/>
    <w:rsid w:val="008339D6"/>
    <w:rsid w:val="00833A53"/>
    <w:rsid w:val="008368E2"/>
    <w:rsid w:val="00837535"/>
    <w:rsid w:val="00837BB4"/>
    <w:rsid w:val="00840F3C"/>
    <w:rsid w:val="0084295C"/>
    <w:rsid w:val="00844319"/>
    <w:rsid w:val="008446E4"/>
    <w:rsid w:val="00846D8A"/>
    <w:rsid w:val="00850091"/>
    <w:rsid w:val="00851A9F"/>
    <w:rsid w:val="00851AA2"/>
    <w:rsid w:val="00852561"/>
    <w:rsid w:val="00852EAB"/>
    <w:rsid w:val="00853CE0"/>
    <w:rsid w:val="0085777E"/>
    <w:rsid w:val="008577CA"/>
    <w:rsid w:val="0086537A"/>
    <w:rsid w:val="00871399"/>
    <w:rsid w:val="00873589"/>
    <w:rsid w:val="00875253"/>
    <w:rsid w:val="0088382B"/>
    <w:rsid w:val="00883C53"/>
    <w:rsid w:val="008841D4"/>
    <w:rsid w:val="008855D0"/>
    <w:rsid w:val="00885D70"/>
    <w:rsid w:val="00887B64"/>
    <w:rsid w:val="0089135D"/>
    <w:rsid w:val="00891374"/>
    <w:rsid w:val="00891C53"/>
    <w:rsid w:val="00894FD3"/>
    <w:rsid w:val="00896E07"/>
    <w:rsid w:val="00896E24"/>
    <w:rsid w:val="008A117F"/>
    <w:rsid w:val="008A1864"/>
    <w:rsid w:val="008A3455"/>
    <w:rsid w:val="008A37EB"/>
    <w:rsid w:val="008A4AC5"/>
    <w:rsid w:val="008A5071"/>
    <w:rsid w:val="008B2A79"/>
    <w:rsid w:val="008C0099"/>
    <w:rsid w:val="008C33B4"/>
    <w:rsid w:val="008C4369"/>
    <w:rsid w:val="008D07A5"/>
    <w:rsid w:val="008D0BB8"/>
    <w:rsid w:val="008D1B64"/>
    <w:rsid w:val="008D39AC"/>
    <w:rsid w:val="008D3C68"/>
    <w:rsid w:val="008D4774"/>
    <w:rsid w:val="008D4E0B"/>
    <w:rsid w:val="008E49E5"/>
    <w:rsid w:val="008E71C9"/>
    <w:rsid w:val="008F011F"/>
    <w:rsid w:val="008F0FFB"/>
    <w:rsid w:val="008F1001"/>
    <w:rsid w:val="008F29DA"/>
    <w:rsid w:val="008F55AA"/>
    <w:rsid w:val="008F5B75"/>
    <w:rsid w:val="008F6B50"/>
    <w:rsid w:val="00905843"/>
    <w:rsid w:val="009058C1"/>
    <w:rsid w:val="00906749"/>
    <w:rsid w:val="00906A08"/>
    <w:rsid w:val="00906D1F"/>
    <w:rsid w:val="00907A6C"/>
    <w:rsid w:val="00907F86"/>
    <w:rsid w:val="009104B6"/>
    <w:rsid w:val="009145AC"/>
    <w:rsid w:val="00914DAB"/>
    <w:rsid w:val="00917641"/>
    <w:rsid w:val="0092051E"/>
    <w:rsid w:val="00921519"/>
    <w:rsid w:val="00921996"/>
    <w:rsid w:val="00921BE0"/>
    <w:rsid w:val="00921CAA"/>
    <w:rsid w:val="00927037"/>
    <w:rsid w:val="009272D7"/>
    <w:rsid w:val="00934230"/>
    <w:rsid w:val="00935561"/>
    <w:rsid w:val="0093753D"/>
    <w:rsid w:val="00941546"/>
    <w:rsid w:val="00941B13"/>
    <w:rsid w:val="009430D4"/>
    <w:rsid w:val="0094422E"/>
    <w:rsid w:val="00944989"/>
    <w:rsid w:val="00947E7C"/>
    <w:rsid w:val="00952EFF"/>
    <w:rsid w:val="0095456D"/>
    <w:rsid w:val="009558BA"/>
    <w:rsid w:val="009561CE"/>
    <w:rsid w:val="0095779B"/>
    <w:rsid w:val="009623FC"/>
    <w:rsid w:val="00963093"/>
    <w:rsid w:val="009666D4"/>
    <w:rsid w:val="00970AF1"/>
    <w:rsid w:val="00970F13"/>
    <w:rsid w:val="00973D09"/>
    <w:rsid w:val="009775D1"/>
    <w:rsid w:val="00977A19"/>
    <w:rsid w:val="0098024C"/>
    <w:rsid w:val="009830E4"/>
    <w:rsid w:val="009858BC"/>
    <w:rsid w:val="009948FA"/>
    <w:rsid w:val="009960F2"/>
    <w:rsid w:val="009A2111"/>
    <w:rsid w:val="009A2CCB"/>
    <w:rsid w:val="009A41D5"/>
    <w:rsid w:val="009A4764"/>
    <w:rsid w:val="009A596A"/>
    <w:rsid w:val="009B2916"/>
    <w:rsid w:val="009B44CC"/>
    <w:rsid w:val="009B6478"/>
    <w:rsid w:val="009B6549"/>
    <w:rsid w:val="009C10C4"/>
    <w:rsid w:val="009C1EF1"/>
    <w:rsid w:val="009C348F"/>
    <w:rsid w:val="009D40EC"/>
    <w:rsid w:val="009D685B"/>
    <w:rsid w:val="009E37E3"/>
    <w:rsid w:val="009E3AA5"/>
    <w:rsid w:val="009E7DB4"/>
    <w:rsid w:val="009F15B0"/>
    <w:rsid w:val="009F6CB1"/>
    <w:rsid w:val="009F79B9"/>
    <w:rsid w:val="009F7CFD"/>
    <w:rsid w:val="00A01583"/>
    <w:rsid w:val="00A02A27"/>
    <w:rsid w:val="00A038CA"/>
    <w:rsid w:val="00A0419F"/>
    <w:rsid w:val="00A04A17"/>
    <w:rsid w:val="00A06F3F"/>
    <w:rsid w:val="00A1049F"/>
    <w:rsid w:val="00A22DBA"/>
    <w:rsid w:val="00A24FFE"/>
    <w:rsid w:val="00A27A74"/>
    <w:rsid w:val="00A3221A"/>
    <w:rsid w:val="00A42FC6"/>
    <w:rsid w:val="00A46487"/>
    <w:rsid w:val="00A50E61"/>
    <w:rsid w:val="00A51EDB"/>
    <w:rsid w:val="00A5301A"/>
    <w:rsid w:val="00A5432C"/>
    <w:rsid w:val="00A54C91"/>
    <w:rsid w:val="00A572EA"/>
    <w:rsid w:val="00A57E98"/>
    <w:rsid w:val="00A6172D"/>
    <w:rsid w:val="00A61800"/>
    <w:rsid w:val="00A70923"/>
    <w:rsid w:val="00A70F57"/>
    <w:rsid w:val="00A72785"/>
    <w:rsid w:val="00A729D1"/>
    <w:rsid w:val="00A73234"/>
    <w:rsid w:val="00A74D00"/>
    <w:rsid w:val="00A75B48"/>
    <w:rsid w:val="00A7647A"/>
    <w:rsid w:val="00A81B37"/>
    <w:rsid w:val="00A8235B"/>
    <w:rsid w:val="00A84C55"/>
    <w:rsid w:val="00A84FAC"/>
    <w:rsid w:val="00A86B6B"/>
    <w:rsid w:val="00A8734F"/>
    <w:rsid w:val="00A87A51"/>
    <w:rsid w:val="00A9042E"/>
    <w:rsid w:val="00A90AC0"/>
    <w:rsid w:val="00A915BE"/>
    <w:rsid w:val="00A97AB6"/>
    <w:rsid w:val="00AA4FD7"/>
    <w:rsid w:val="00AA5B76"/>
    <w:rsid w:val="00AA7109"/>
    <w:rsid w:val="00AA7B6F"/>
    <w:rsid w:val="00AA7C64"/>
    <w:rsid w:val="00AB25F3"/>
    <w:rsid w:val="00AB2987"/>
    <w:rsid w:val="00AB2DD7"/>
    <w:rsid w:val="00AB35B7"/>
    <w:rsid w:val="00AC2ADC"/>
    <w:rsid w:val="00AC6161"/>
    <w:rsid w:val="00AD24AB"/>
    <w:rsid w:val="00AD2617"/>
    <w:rsid w:val="00AD26C0"/>
    <w:rsid w:val="00AD37EA"/>
    <w:rsid w:val="00AD451D"/>
    <w:rsid w:val="00AD467F"/>
    <w:rsid w:val="00AE786A"/>
    <w:rsid w:val="00AF2EC5"/>
    <w:rsid w:val="00AF5010"/>
    <w:rsid w:val="00AF6E64"/>
    <w:rsid w:val="00B017E5"/>
    <w:rsid w:val="00B01B43"/>
    <w:rsid w:val="00B071D0"/>
    <w:rsid w:val="00B125C8"/>
    <w:rsid w:val="00B130C2"/>
    <w:rsid w:val="00B14206"/>
    <w:rsid w:val="00B1439B"/>
    <w:rsid w:val="00B146B7"/>
    <w:rsid w:val="00B1482A"/>
    <w:rsid w:val="00B1485C"/>
    <w:rsid w:val="00B178F3"/>
    <w:rsid w:val="00B24144"/>
    <w:rsid w:val="00B24BC1"/>
    <w:rsid w:val="00B25009"/>
    <w:rsid w:val="00B25EED"/>
    <w:rsid w:val="00B349DD"/>
    <w:rsid w:val="00B34F5A"/>
    <w:rsid w:val="00B36AEF"/>
    <w:rsid w:val="00B37EDF"/>
    <w:rsid w:val="00B37EE7"/>
    <w:rsid w:val="00B40639"/>
    <w:rsid w:val="00B42CB2"/>
    <w:rsid w:val="00B4725F"/>
    <w:rsid w:val="00B54274"/>
    <w:rsid w:val="00B552DF"/>
    <w:rsid w:val="00B6175F"/>
    <w:rsid w:val="00B6251A"/>
    <w:rsid w:val="00B66D8E"/>
    <w:rsid w:val="00B673AE"/>
    <w:rsid w:val="00B67FBC"/>
    <w:rsid w:val="00B7211F"/>
    <w:rsid w:val="00B746E0"/>
    <w:rsid w:val="00B75813"/>
    <w:rsid w:val="00B80728"/>
    <w:rsid w:val="00B84642"/>
    <w:rsid w:val="00B86E42"/>
    <w:rsid w:val="00B87236"/>
    <w:rsid w:val="00B919E2"/>
    <w:rsid w:val="00B91F75"/>
    <w:rsid w:val="00B93663"/>
    <w:rsid w:val="00B942D6"/>
    <w:rsid w:val="00B95154"/>
    <w:rsid w:val="00B955C7"/>
    <w:rsid w:val="00B96FC9"/>
    <w:rsid w:val="00B97AE8"/>
    <w:rsid w:val="00B97FD0"/>
    <w:rsid w:val="00BA045D"/>
    <w:rsid w:val="00BA1D6A"/>
    <w:rsid w:val="00BA472D"/>
    <w:rsid w:val="00BA619E"/>
    <w:rsid w:val="00BB36DB"/>
    <w:rsid w:val="00BB53BD"/>
    <w:rsid w:val="00BB5FC4"/>
    <w:rsid w:val="00BB6A04"/>
    <w:rsid w:val="00BB6DC4"/>
    <w:rsid w:val="00BB77E0"/>
    <w:rsid w:val="00BC02C9"/>
    <w:rsid w:val="00BC08CA"/>
    <w:rsid w:val="00BC1E6D"/>
    <w:rsid w:val="00BC2CC8"/>
    <w:rsid w:val="00BC376F"/>
    <w:rsid w:val="00BC3A52"/>
    <w:rsid w:val="00BC5BC2"/>
    <w:rsid w:val="00BC6907"/>
    <w:rsid w:val="00BD2699"/>
    <w:rsid w:val="00BD2933"/>
    <w:rsid w:val="00BD3D90"/>
    <w:rsid w:val="00BD4AEA"/>
    <w:rsid w:val="00BD5478"/>
    <w:rsid w:val="00BD5E0C"/>
    <w:rsid w:val="00BD7FD3"/>
    <w:rsid w:val="00BE0B13"/>
    <w:rsid w:val="00BE2B9D"/>
    <w:rsid w:val="00BE3D83"/>
    <w:rsid w:val="00BE5428"/>
    <w:rsid w:val="00BE5F37"/>
    <w:rsid w:val="00BE6EC0"/>
    <w:rsid w:val="00BF11F7"/>
    <w:rsid w:val="00BF1756"/>
    <w:rsid w:val="00BF21D9"/>
    <w:rsid w:val="00C019FB"/>
    <w:rsid w:val="00C038EB"/>
    <w:rsid w:val="00C04164"/>
    <w:rsid w:val="00C072B3"/>
    <w:rsid w:val="00C07513"/>
    <w:rsid w:val="00C121E0"/>
    <w:rsid w:val="00C137E6"/>
    <w:rsid w:val="00C141D8"/>
    <w:rsid w:val="00C16ADC"/>
    <w:rsid w:val="00C205EA"/>
    <w:rsid w:val="00C24A01"/>
    <w:rsid w:val="00C2510A"/>
    <w:rsid w:val="00C3324C"/>
    <w:rsid w:val="00C34048"/>
    <w:rsid w:val="00C3411F"/>
    <w:rsid w:val="00C367E8"/>
    <w:rsid w:val="00C413C4"/>
    <w:rsid w:val="00C417D6"/>
    <w:rsid w:val="00C423FB"/>
    <w:rsid w:val="00C4733D"/>
    <w:rsid w:val="00C5129B"/>
    <w:rsid w:val="00C54168"/>
    <w:rsid w:val="00C54486"/>
    <w:rsid w:val="00C55E64"/>
    <w:rsid w:val="00C56A93"/>
    <w:rsid w:val="00C579E5"/>
    <w:rsid w:val="00C60E66"/>
    <w:rsid w:val="00C66AB1"/>
    <w:rsid w:val="00C73636"/>
    <w:rsid w:val="00C8067F"/>
    <w:rsid w:val="00C8247C"/>
    <w:rsid w:val="00C84734"/>
    <w:rsid w:val="00C90926"/>
    <w:rsid w:val="00C96BD3"/>
    <w:rsid w:val="00CA2C89"/>
    <w:rsid w:val="00CA40F4"/>
    <w:rsid w:val="00CA4223"/>
    <w:rsid w:val="00CA5DC3"/>
    <w:rsid w:val="00CA673C"/>
    <w:rsid w:val="00CB424F"/>
    <w:rsid w:val="00CB48D3"/>
    <w:rsid w:val="00CB4A38"/>
    <w:rsid w:val="00CB77D7"/>
    <w:rsid w:val="00CC19D2"/>
    <w:rsid w:val="00CD20A9"/>
    <w:rsid w:val="00CD3A08"/>
    <w:rsid w:val="00CD3EC6"/>
    <w:rsid w:val="00CD5C76"/>
    <w:rsid w:val="00CD7703"/>
    <w:rsid w:val="00CE045B"/>
    <w:rsid w:val="00CE267B"/>
    <w:rsid w:val="00CE38D4"/>
    <w:rsid w:val="00CE6EA6"/>
    <w:rsid w:val="00CF0056"/>
    <w:rsid w:val="00CF01AC"/>
    <w:rsid w:val="00CF0DDE"/>
    <w:rsid w:val="00CF1014"/>
    <w:rsid w:val="00CF1F5C"/>
    <w:rsid w:val="00CF4FC2"/>
    <w:rsid w:val="00CF7CF0"/>
    <w:rsid w:val="00D011A4"/>
    <w:rsid w:val="00D0192A"/>
    <w:rsid w:val="00D03FEC"/>
    <w:rsid w:val="00D07273"/>
    <w:rsid w:val="00D11D33"/>
    <w:rsid w:val="00D14428"/>
    <w:rsid w:val="00D1486D"/>
    <w:rsid w:val="00D16CFB"/>
    <w:rsid w:val="00D2011D"/>
    <w:rsid w:val="00D22B10"/>
    <w:rsid w:val="00D24BDF"/>
    <w:rsid w:val="00D2693D"/>
    <w:rsid w:val="00D27134"/>
    <w:rsid w:val="00D2765D"/>
    <w:rsid w:val="00D32884"/>
    <w:rsid w:val="00D32BDC"/>
    <w:rsid w:val="00D3369E"/>
    <w:rsid w:val="00D375C4"/>
    <w:rsid w:val="00D37714"/>
    <w:rsid w:val="00D37827"/>
    <w:rsid w:val="00D40121"/>
    <w:rsid w:val="00D40FAF"/>
    <w:rsid w:val="00D41601"/>
    <w:rsid w:val="00D42094"/>
    <w:rsid w:val="00D438CA"/>
    <w:rsid w:val="00D45675"/>
    <w:rsid w:val="00D45861"/>
    <w:rsid w:val="00D46302"/>
    <w:rsid w:val="00D4725C"/>
    <w:rsid w:val="00D47D5D"/>
    <w:rsid w:val="00D50FC7"/>
    <w:rsid w:val="00D51C9D"/>
    <w:rsid w:val="00D55198"/>
    <w:rsid w:val="00D5610F"/>
    <w:rsid w:val="00D56137"/>
    <w:rsid w:val="00D56E53"/>
    <w:rsid w:val="00D57067"/>
    <w:rsid w:val="00D57F13"/>
    <w:rsid w:val="00D6040A"/>
    <w:rsid w:val="00D61546"/>
    <w:rsid w:val="00D656F6"/>
    <w:rsid w:val="00D66512"/>
    <w:rsid w:val="00D67BA3"/>
    <w:rsid w:val="00D71901"/>
    <w:rsid w:val="00D719B0"/>
    <w:rsid w:val="00D72F26"/>
    <w:rsid w:val="00D75191"/>
    <w:rsid w:val="00D77C77"/>
    <w:rsid w:val="00D82213"/>
    <w:rsid w:val="00D85D79"/>
    <w:rsid w:val="00D86888"/>
    <w:rsid w:val="00D908A8"/>
    <w:rsid w:val="00D936C1"/>
    <w:rsid w:val="00D93ABA"/>
    <w:rsid w:val="00DA0EAE"/>
    <w:rsid w:val="00DA1146"/>
    <w:rsid w:val="00DA153E"/>
    <w:rsid w:val="00DA32EF"/>
    <w:rsid w:val="00DA5B6C"/>
    <w:rsid w:val="00DA6676"/>
    <w:rsid w:val="00DA6952"/>
    <w:rsid w:val="00DB1FEC"/>
    <w:rsid w:val="00DB4A53"/>
    <w:rsid w:val="00DB7ACD"/>
    <w:rsid w:val="00DC0203"/>
    <w:rsid w:val="00DD09EA"/>
    <w:rsid w:val="00DD2930"/>
    <w:rsid w:val="00DD3435"/>
    <w:rsid w:val="00DD383E"/>
    <w:rsid w:val="00DD4D74"/>
    <w:rsid w:val="00DD5070"/>
    <w:rsid w:val="00DD5586"/>
    <w:rsid w:val="00DD5DE0"/>
    <w:rsid w:val="00DE09F3"/>
    <w:rsid w:val="00DE1290"/>
    <w:rsid w:val="00DE161D"/>
    <w:rsid w:val="00DE1944"/>
    <w:rsid w:val="00DE1D98"/>
    <w:rsid w:val="00DE4FC1"/>
    <w:rsid w:val="00DE6909"/>
    <w:rsid w:val="00DF269E"/>
    <w:rsid w:val="00DF3005"/>
    <w:rsid w:val="00E00262"/>
    <w:rsid w:val="00E01092"/>
    <w:rsid w:val="00E0404C"/>
    <w:rsid w:val="00E06A68"/>
    <w:rsid w:val="00E078D8"/>
    <w:rsid w:val="00E12C2F"/>
    <w:rsid w:val="00E143CD"/>
    <w:rsid w:val="00E14A36"/>
    <w:rsid w:val="00E14F72"/>
    <w:rsid w:val="00E15897"/>
    <w:rsid w:val="00E15C37"/>
    <w:rsid w:val="00E17026"/>
    <w:rsid w:val="00E238F7"/>
    <w:rsid w:val="00E25DD0"/>
    <w:rsid w:val="00E323A9"/>
    <w:rsid w:val="00E333A0"/>
    <w:rsid w:val="00E34ACA"/>
    <w:rsid w:val="00E34DA2"/>
    <w:rsid w:val="00E352CB"/>
    <w:rsid w:val="00E367E8"/>
    <w:rsid w:val="00E42F4A"/>
    <w:rsid w:val="00E47F85"/>
    <w:rsid w:val="00E5083A"/>
    <w:rsid w:val="00E55959"/>
    <w:rsid w:val="00E60257"/>
    <w:rsid w:val="00E6037A"/>
    <w:rsid w:val="00E60AB0"/>
    <w:rsid w:val="00E64ED0"/>
    <w:rsid w:val="00E665EA"/>
    <w:rsid w:val="00E706B5"/>
    <w:rsid w:val="00E71D63"/>
    <w:rsid w:val="00E71DAF"/>
    <w:rsid w:val="00E727D7"/>
    <w:rsid w:val="00E734A7"/>
    <w:rsid w:val="00E758B6"/>
    <w:rsid w:val="00E76B4A"/>
    <w:rsid w:val="00E772C1"/>
    <w:rsid w:val="00E77D9F"/>
    <w:rsid w:val="00E80E58"/>
    <w:rsid w:val="00E822DE"/>
    <w:rsid w:val="00E84016"/>
    <w:rsid w:val="00E91939"/>
    <w:rsid w:val="00E9221D"/>
    <w:rsid w:val="00E93384"/>
    <w:rsid w:val="00E95C04"/>
    <w:rsid w:val="00E95D68"/>
    <w:rsid w:val="00EA1269"/>
    <w:rsid w:val="00EA31D1"/>
    <w:rsid w:val="00EA4B4B"/>
    <w:rsid w:val="00EA51C3"/>
    <w:rsid w:val="00EA629A"/>
    <w:rsid w:val="00EB126D"/>
    <w:rsid w:val="00EB2C12"/>
    <w:rsid w:val="00EC1109"/>
    <w:rsid w:val="00EC1795"/>
    <w:rsid w:val="00ED77DA"/>
    <w:rsid w:val="00EE2DDD"/>
    <w:rsid w:val="00EE3434"/>
    <w:rsid w:val="00EF0468"/>
    <w:rsid w:val="00EF1103"/>
    <w:rsid w:val="00EF150B"/>
    <w:rsid w:val="00EF5B5C"/>
    <w:rsid w:val="00EF6BC1"/>
    <w:rsid w:val="00F0226C"/>
    <w:rsid w:val="00F03E77"/>
    <w:rsid w:val="00F04844"/>
    <w:rsid w:val="00F048FE"/>
    <w:rsid w:val="00F05B14"/>
    <w:rsid w:val="00F10482"/>
    <w:rsid w:val="00F121E9"/>
    <w:rsid w:val="00F136BA"/>
    <w:rsid w:val="00F15C5B"/>
    <w:rsid w:val="00F17C25"/>
    <w:rsid w:val="00F21647"/>
    <w:rsid w:val="00F21C5A"/>
    <w:rsid w:val="00F22A6E"/>
    <w:rsid w:val="00F2472F"/>
    <w:rsid w:val="00F24DD0"/>
    <w:rsid w:val="00F24F29"/>
    <w:rsid w:val="00F27190"/>
    <w:rsid w:val="00F27561"/>
    <w:rsid w:val="00F3040C"/>
    <w:rsid w:val="00F31209"/>
    <w:rsid w:val="00F330BD"/>
    <w:rsid w:val="00F33EC6"/>
    <w:rsid w:val="00F33EF7"/>
    <w:rsid w:val="00F402F0"/>
    <w:rsid w:val="00F40500"/>
    <w:rsid w:val="00F40609"/>
    <w:rsid w:val="00F45222"/>
    <w:rsid w:val="00F45CBD"/>
    <w:rsid w:val="00F46113"/>
    <w:rsid w:val="00F46741"/>
    <w:rsid w:val="00F46C75"/>
    <w:rsid w:val="00F46F53"/>
    <w:rsid w:val="00F4769B"/>
    <w:rsid w:val="00F50AAE"/>
    <w:rsid w:val="00F52D48"/>
    <w:rsid w:val="00F538D6"/>
    <w:rsid w:val="00F5477A"/>
    <w:rsid w:val="00F55898"/>
    <w:rsid w:val="00F60DB3"/>
    <w:rsid w:val="00F623B5"/>
    <w:rsid w:val="00F6434A"/>
    <w:rsid w:val="00F66C63"/>
    <w:rsid w:val="00F67EBD"/>
    <w:rsid w:val="00F70FC5"/>
    <w:rsid w:val="00F769AB"/>
    <w:rsid w:val="00F8147F"/>
    <w:rsid w:val="00F83706"/>
    <w:rsid w:val="00F83A94"/>
    <w:rsid w:val="00F8645B"/>
    <w:rsid w:val="00F87951"/>
    <w:rsid w:val="00F902A5"/>
    <w:rsid w:val="00F926DB"/>
    <w:rsid w:val="00FA0CFA"/>
    <w:rsid w:val="00FA3207"/>
    <w:rsid w:val="00FA35BD"/>
    <w:rsid w:val="00FA514A"/>
    <w:rsid w:val="00FA674D"/>
    <w:rsid w:val="00FB5A4D"/>
    <w:rsid w:val="00FB5BC9"/>
    <w:rsid w:val="00FB5CA0"/>
    <w:rsid w:val="00FC3439"/>
    <w:rsid w:val="00FC40C8"/>
    <w:rsid w:val="00FC4E2E"/>
    <w:rsid w:val="00FC7BEE"/>
    <w:rsid w:val="00FD07C2"/>
    <w:rsid w:val="00FD315B"/>
    <w:rsid w:val="00FE1951"/>
    <w:rsid w:val="00FE7FEF"/>
    <w:rsid w:val="00FF5156"/>
    <w:rsid w:val="00FF7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48F"/>
  </w:style>
  <w:style w:type="paragraph" w:styleId="Heading1">
    <w:name w:val="heading 1"/>
    <w:basedOn w:val="Normal"/>
    <w:next w:val="Normal"/>
    <w:qFormat/>
    <w:rsid w:val="005D1D81"/>
    <w:pPr>
      <w:keepNext/>
      <w:spacing w:before="240" w:after="360"/>
      <w:outlineLvl w:val="0"/>
    </w:pPr>
    <w:rPr>
      <w:b/>
      <w:caps/>
      <w:sz w:val="28"/>
      <w:szCs w:val="28"/>
    </w:rPr>
  </w:style>
  <w:style w:type="paragraph" w:styleId="Heading2">
    <w:name w:val="heading 2"/>
    <w:basedOn w:val="Normal"/>
    <w:next w:val="Normal"/>
    <w:link w:val="Heading2Char"/>
    <w:qFormat/>
    <w:rsid w:val="001C32E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C32E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1C32E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1C32E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C32E4"/>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1C32E4"/>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1C32E4"/>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1C32E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2CCB"/>
    <w:pPr>
      <w:tabs>
        <w:tab w:val="center" w:pos="4153"/>
        <w:tab w:val="right" w:pos="8306"/>
      </w:tabs>
      <w:spacing w:before="60" w:after="60"/>
    </w:pPr>
    <w:rPr>
      <w:sz w:val="24"/>
      <w:lang w:eastAsia="en-US"/>
    </w:rPr>
  </w:style>
  <w:style w:type="paragraph" w:styleId="Title">
    <w:name w:val="Title"/>
    <w:basedOn w:val="Normal"/>
    <w:link w:val="TitleChar"/>
    <w:qFormat/>
    <w:rsid w:val="009A2CCB"/>
    <w:pPr>
      <w:jc w:val="center"/>
    </w:pPr>
    <w:rPr>
      <w:b/>
    </w:rPr>
  </w:style>
  <w:style w:type="paragraph" w:styleId="Subtitle">
    <w:name w:val="Subtitle"/>
    <w:basedOn w:val="Normal"/>
    <w:link w:val="SubtitleChar"/>
    <w:qFormat/>
    <w:rsid w:val="009A2CCB"/>
    <w:pPr>
      <w:jc w:val="center"/>
    </w:pPr>
    <w:rPr>
      <w:b/>
    </w:rPr>
  </w:style>
  <w:style w:type="paragraph" w:styleId="BodyText">
    <w:name w:val="Body Text"/>
    <w:basedOn w:val="Normal"/>
    <w:rsid w:val="009A2CCB"/>
    <w:rPr>
      <w:sz w:val="24"/>
    </w:rPr>
  </w:style>
  <w:style w:type="paragraph" w:styleId="Header">
    <w:name w:val="header"/>
    <w:basedOn w:val="Normal"/>
    <w:rsid w:val="00C5129B"/>
    <w:pPr>
      <w:tabs>
        <w:tab w:val="center" w:pos="4153"/>
        <w:tab w:val="right" w:pos="8306"/>
      </w:tabs>
    </w:pPr>
  </w:style>
  <w:style w:type="table" w:styleId="TableGrid">
    <w:name w:val="Table Grid"/>
    <w:basedOn w:val="TableNormal"/>
    <w:rsid w:val="00684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F2E3D"/>
  </w:style>
  <w:style w:type="paragraph" w:styleId="DocumentMap">
    <w:name w:val="Document Map"/>
    <w:basedOn w:val="Normal"/>
    <w:semiHidden/>
    <w:rsid w:val="006B7521"/>
    <w:pPr>
      <w:shd w:val="clear" w:color="auto" w:fill="000080"/>
    </w:pPr>
    <w:rPr>
      <w:rFonts w:ascii="Tahoma" w:hAnsi="Tahoma" w:cs="Tahoma"/>
    </w:rPr>
  </w:style>
  <w:style w:type="paragraph" w:customStyle="1" w:styleId="TableP2i">
    <w:name w:val="TableP2(i)"/>
    <w:basedOn w:val="Normal"/>
    <w:rsid w:val="00CA40F4"/>
    <w:pPr>
      <w:tabs>
        <w:tab w:val="right" w:pos="726"/>
      </w:tabs>
      <w:spacing w:after="60" w:line="240" w:lineRule="exact"/>
      <w:ind w:left="868" w:hanging="868"/>
    </w:pPr>
    <w:rPr>
      <w:sz w:val="22"/>
      <w:szCs w:val="24"/>
    </w:rPr>
  </w:style>
  <w:style w:type="paragraph" w:customStyle="1" w:styleId="TableP1a">
    <w:name w:val="TableP1(a)"/>
    <w:basedOn w:val="Normal"/>
    <w:rsid w:val="007E04B4"/>
    <w:pPr>
      <w:tabs>
        <w:tab w:val="right" w:pos="408"/>
      </w:tabs>
      <w:spacing w:after="60" w:line="240" w:lineRule="exact"/>
      <w:ind w:left="533" w:hanging="533"/>
    </w:pPr>
    <w:rPr>
      <w:sz w:val="22"/>
      <w:szCs w:val="24"/>
    </w:rPr>
  </w:style>
  <w:style w:type="paragraph" w:customStyle="1" w:styleId="TableText">
    <w:name w:val="TableText"/>
    <w:basedOn w:val="Normal"/>
    <w:rsid w:val="00EF0468"/>
    <w:pPr>
      <w:spacing w:before="60" w:after="60" w:line="240" w:lineRule="exact"/>
    </w:pPr>
    <w:rPr>
      <w:sz w:val="22"/>
      <w:szCs w:val="24"/>
    </w:rPr>
  </w:style>
  <w:style w:type="paragraph" w:customStyle="1" w:styleId="Bullet">
    <w:name w:val="Bullet"/>
    <w:basedOn w:val="Normal"/>
    <w:rsid w:val="005D1D81"/>
    <w:pPr>
      <w:numPr>
        <w:numId w:val="1"/>
      </w:numPr>
      <w:spacing w:after="240"/>
    </w:pPr>
    <w:rPr>
      <w:sz w:val="24"/>
    </w:rPr>
  </w:style>
  <w:style w:type="paragraph" w:customStyle="1" w:styleId="Dash">
    <w:name w:val="Dash"/>
    <w:basedOn w:val="Normal"/>
    <w:rsid w:val="005D1D81"/>
    <w:pPr>
      <w:numPr>
        <w:ilvl w:val="1"/>
        <w:numId w:val="1"/>
      </w:numPr>
      <w:spacing w:after="240"/>
    </w:pPr>
    <w:rPr>
      <w:sz w:val="24"/>
    </w:rPr>
  </w:style>
  <w:style w:type="paragraph" w:customStyle="1" w:styleId="DoubleDot">
    <w:name w:val="Double Dot"/>
    <w:basedOn w:val="Normal"/>
    <w:rsid w:val="005D1D81"/>
    <w:pPr>
      <w:numPr>
        <w:ilvl w:val="2"/>
        <w:numId w:val="1"/>
      </w:numPr>
      <w:spacing w:after="240"/>
    </w:pPr>
    <w:rPr>
      <w:sz w:val="24"/>
    </w:rPr>
  </w:style>
  <w:style w:type="paragraph" w:customStyle="1" w:styleId="KeyPoints">
    <w:name w:val="Key Points"/>
    <w:basedOn w:val="Normal"/>
    <w:next w:val="Bullet"/>
    <w:rsid w:val="005D1D81"/>
    <w:pPr>
      <w:spacing w:before="120" w:after="240"/>
    </w:pPr>
    <w:rPr>
      <w:b/>
      <w:caps/>
      <w:sz w:val="24"/>
      <w:szCs w:val="24"/>
    </w:rPr>
  </w:style>
  <w:style w:type="paragraph" w:customStyle="1" w:styleId="TableColHead">
    <w:name w:val="TableColHead"/>
    <w:basedOn w:val="Normal"/>
    <w:rsid w:val="005D1D81"/>
    <w:pPr>
      <w:keepNext/>
      <w:spacing w:before="120" w:after="60" w:line="200" w:lineRule="exact"/>
    </w:pPr>
    <w:rPr>
      <w:rFonts w:ascii="Arial" w:hAnsi="Arial"/>
      <w:b/>
      <w:sz w:val="18"/>
      <w:szCs w:val="24"/>
    </w:rPr>
  </w:style>
  <w:style w:type="paragraph" w:styleId="BodyTextFirstIndent">
    <w:name w:val="Body Text First Indent"/>
    <w:basedOn w:val="BodyText"/>
    <w:rsid w:val="005D1D81"/>
    <w:pPr>
      <w:spacing w:after="120"/>
      <w:ind w:firstLine="210"/>
    </w:pPr>
    <w:rPr>
      <w:szCs w:val="24"/>
    </w:rPr>
  </w:style>
  <w:style w:type="paragraph" w:styleId="BodyTextIndent">
    <w:name w:val="Body Text Indent"/>
    <w:basedOn w:val="Normal"/>
    <w:rsid w:val="005D1D81"/>
    <w:pPr>
      <w:spacing w:after="120"/>
      <w:ind w:left="283"/>
    </w:pPr>
    <w:rPr>
      <w:sz w:val="24"/>
      <w:szCs w:val="24"/>
    </w:rPr>
  </w:style>
  <w:style w:type="paragraph" w:styleId="BodyTextFirstIndent2">
    <w:name w:val="Body Text First Indent 2"/>
    <w:basedOn w:val="BodyTextIndent"/>
    <w:rsid w:val="005D1D81"/>
    <w:pPr>
      <w:ind w:firstLine="210"/>
    </w:pPr>
  </w:style>
  <w:style w:type="paragraph" w:styleId="BodyTextIndent2">
    <w:name w:val="Body Text Indent 2"/>
    <w:basedOn w:val="Normal"/>
    <w:rsid w:val="005D1D81"/>
    <w:pPr>
      <w:spacing w:after="120" w:line="480" w:lineRule="auto"/>
      <w:ind w:left="283"/>
    </w:pPr>
    <w:rPr>
      <w:sz w:val="24"/>
      <w:szCs w:val="24"/>
    </w:rPr>
  </w:style>
  <w:style w:type="paragraph" w:styleId="BodyTextIndent3">
    <w:name w:val="Body Text Indent 3"/>
    <w:basedOn w:val="Normal"/>
    <w:rsid w:val="005D1D81"/>
    <w:pPr>
      <w:spacing w:after="120"/>
      <w:ind w:left="283"/>
    </w:pPr>
    <w:rPr>
      <w:sz w:val="16"/>
      <w:szCs w:val="16"/>
    </w:rPr>
  </w:style>
  <w:style w:type="paragraph" w:styleId="Closing">
    <w:name w:val="Closing"/>
    <w:basedOn w:val="Normal"/>
    <w:rsid w:val="005D1D81"/>
    <w:pPr>
      <w:ind w:left="4252"/>
    </w:pPr>
    <w:rPr>
      <w:sz w:val="24"/>
      <w:szCs w:val="24"/>
    </w:rPr>
  </w:style>
  <w:style w:type="paragraph" w:styleId="Date">
    <w:name w:val="Date"/>
    <w:basedOn w:val="Normal"/>
    <w:next w:val="Normal"/>
    <w:rsid w:val="005D1D81"/>
    <w:rPr>
      <w:sz w:val="24"/>
      <w:szCs w:val="24"/>
    </w:rPr>
  </w:style>
  <w:style w:type="paragraph" w:styleId="E-mailSignature">
    <w:name w:val="E-mail Signature"/>
    <w:basedOn w:val="Normal"/>
    <w:rsid w:val="005D1D81"/>
    <w:rPr>
      <w:sz w:val="24"/>
      <w:szCs w:val="24"/>
    </w:rPr>
  </w:style>
  <w:style w:type="character" w:styleId="Emphasis">
    <w:name w:val="Emphasis"/>
    <w:qFormat/>
    <w:rsid w:val="005D1D81"/>
    <w:rPr>
      <w:i/>
      <w:iCs/>
    </w:rPr>
  </w:style>
  <w:style w:type="paragraph" w:styleId="BodyText3">
    <w:name w:val="Body Text 3"/>
    <w:basedOn w:val="Normal"/>
    <w:rsid w:val="00891C53"/>
    <w:pPr>
      <w:spacing w:after="120"/>
    </w:pPr>
    <w:rPr>
      <w:sz w:val="16"/>
      <w:szCs w:val="16"/>
    </w:rPr>
  </w:style>
  <w:style w:type="paragraph" w:customStyle="1" w:styleId="greybodytext">
    <w:name w:val="grey body text"/>
    <w:basedOn w:val="Normal"/>
    <w:rsid w:val="00E238F7"/>
    <w:pPr>
      <w:spacing w:before="180" w:line="320" w:lineRule="exact"/>
      <w:ind w:left="993"/>
    </w:pPr>
    <w:rPr>
      <w:rFonts w:ascii="Palatino" w:hAnsi="Palatino"/>
      <w:lang w:eastAsia="en-US"/>
    </w:rPr>
  </w:style>
  <w:style w:type="character" w:styleId="Hyperlink">
    <w:name w:val="Hyperlink"/>
    <w:rsid w:val="00E238F7"/>
    <w:rPr>
      <w:color w:val="0000FF"/>
      <w:u w:val="single"/>
    </w:rPr>
  </w:style>
  <w:style w:type="numbering" w:styleId="1ai">
    <w:name w:val="Outline List 1"/>
    <w:basedOn w:val="NoList"/>
    <w:rsid w:val="00851AA2"/>
    <w:pPr>
      <w:numPr>
        <w:numId w:val="2"/>
      </w:numPr>
    </w:pPr>
  </w:style>
  <w:style w:type="paragraph" w:customStyle="1" w:styleId="Char">
    <w:name w:val="Char"/>
    <w:basedOn w:val="Normal"/>
    <w:rsid w:val="000E76B2"/>
    <w:pPr>
      <w:spacing w:after="160" w:line="240" w:lineRule="exact"/>
    </w:pPr>
  </w:style>
  <w:style w:type="character" w:customStyle="1" w:styleId="Heading2Char">
    <w:name w:val="Heading 2 Char"/>
    <w:link w:val="Heading2"/>
    <w:semiHidden/>
    <w:rsid w:val="001C32E4"/>
    <w:rPr>
      <w:rFonts w:ascii="Cambria" w:eastAsia="Times New Roman" w:hAnsi="Cambria" w:cs="Times New Roman"/>
      <w:b/>
      <w:bCs/>
      <w:i/>
      <w:iCs/>
      <w:sz w:val="28"/>
      <w:szCs w:val="28"/>
    </w:rPr>
  </w:style>
  <w:style w:type="character" w:customStyle="1" w:styleId="Heading3Char">
    <w:name w:val="Heading 3 Char"/>
    <w:link w:val="Heading3"/>
    <w:semiHidden/>
    <w:rsid w:val="001C32E4"/>
    <w:rPr>
      <w:rFonts w:ascii="Cambria" w:eastAsia="Times New Roman" w:hAnsi="Cambria" w:cs="Times New Roman"/>
      <w:b/>
      <w:bCs/>
      <w:sz w:val="26"/>
      <w:szCs w:val="26"/>
    </w:rPr>
  </w:style>
  <w:style w:type="character" w:customStyle="1" w:styleId="Heading4Char">
    <w:name w:val="Heading 4 Char"/>
    <w:link w:val="Heading4"/>
    <w:semiHidden/>
    <w:rsid w:val="001C32E4"/>
    <w:rPr>
      <w:rFonts w:ascii="Calibri" w:eastAsia="Times New Roman" w:hAnsi="Calibri" w:cs="Times New Roman"/>
      <w:b/>
      <w:bCs/>
      <w:sz w:val="28"/>
      <w:szCs w:val="28"/>
    </w:rPr>
  </w:style>
  <w:style w:type="character" w:customStyle="1" w:styleId="Heading5Char">
    <w:name w:val="Heading 5 Char"/>
    <w:link w:val="Heading5"/>
    <w:semiHidden/>
    <w:rsid w:val="001C32E4"/>
    <w:rPr>
      <w:rFonts w:ascii="Calibri" w:eastAsia="Times New Roman" w:hAnsi="Calibri" w:cs="Times New Roman"/>
      <w:b/>
      <w:bCs/>
      <w:i/>
      <w:iCs/>
      <w:sz w:val="26"/>
      <w:szCs w:val="26"/>
    </w:rPr>
  </w:style>
  <w:style w:type="character" w:customStyle="1" w:styleId="Heading6Char">
    <w:name w:val="Heading 6 Char"/>
    <w:link w:val="Heading6"/>
    <w:semiHidden/>
    <w:rsid w:val="001C32E4"/>
    <w:rPr>
      <w:rFonts w:ascii="Calibri" w:eastAsia="Times New Roman" w:hAnsi="Calibri" w:cs="Times New Roman"/>
      <w:b/>
      <w:bCs/>
      <w:sz w:val="22"/>
      <w:szCs w:val="22"/>
    </w:rPr>
  </w:style>
  <w:style w:type="character" w:customStyle="1" w:styleId="Heading7Char">
    <w:name w:val="Heading 7 Char"/>
    <w:link w:val="Heading7"/>
    <w:semiHidden/>
    <w:rsid w:val="001C32E4"/>
    <w:rPr>
      <w:rFonts w:ascii="Calibri" w:eastAsia="Times New Roman" w:hAnsi="Calibri" w:cs="Times New Roman"/>
      <w:sz w:val="24"/>
      <w:szCs w:val="24"/>
    </w:rPr>
  </w:style>
  <w:style w:type="character" w:customStyle="1" w:styleId="Heading8Char">
    <w:name w:val="Heading 8 Char"/>
    <w:link w:val="Heading8"/>
    <w:semiHidden/>
    <w:rsid w:val="001C32E4"/>
    <w:rPr>
      <w:rFonts w:ascii="Calibri" w:eastAsia="Times New Roman" w:hAnsi="Calibri" w:cs="Times New Roman"/>
      <w:i/>
      <w:iCs/>
      <w:sz w:val="24"/>
      <w:szCs w:val="24"/>
    </w:rPr>
  </w:style>
  <w:style w:type="character" w:customStyle="1" w:styleId="Heading9Char">
    <w:name w:val="Heading 9 Char"/>
    <w:link w:val="Heading9"/>
    <w:semiHidden/>
    <w:rsid w:val="001C32E4"/>
    <w:rPr>
      <w:rFonts w:ascii="Cambria" w:eastAsia="Times New Roman" w:hAnsi="Cambria" w:cs="Times New Roman"/>
      <w:sz w:val="22"/>
      <w:szCs w:val="22"/>
    </w:rPr>
  </w:style>
  <w:style w:type="numbering" w:styleId="ArticleSection">
    <w:name w:val="Outline List 3"/>
    <w:basedOn w:val="NoList"/>
    <w:rsid w:val="001C32E4"/>
    <w:pPr>
      <w:numPr>
        <w:numId w:val="3"/>
      </w:numPr>
    </w:pPr>
  </w:style>
  <w:style w:type="paragraph" w:customStyle="1" w:styleId="Default">
    <w:name w:val="Default"/>
    <w:rsid w:val="00C8247C"/>
    <w:pPr>
      <w:autoSpaceDE w:val="0"/>
      <w:autoSpaceDN w:val="0"/>
      <w:adjustRightInd w:val="0"/>
    </w:pPr>
    <w:rPr>
      <w:color w:val="000000"/>
      <w:sz w:val="24"/>
      <w:szCs w:val="24"/>
    </w:rPr>
  </w:style>
  <w:style w:type="paragraph" w:styleId="BalloonText">
    <w:name w:val="Balloon Text"/>
    <w:basedOn w:val="Normal"/>
    <w:semiHidden/>
    <w:rsid w:val="00AD467F"/>
    <w:rPr>
      <w:rFonts w:ascii="Tahoma" w:hAnsi="Tahoma" w:cs="Tahoma"/>
      <w:sz w:val="16"/>
      <w:szCs w:val="16"/>
    </w:rPr>
  </w:style>
  <w:style w:type="paragraph" w:styleId="Revision">
    <w:name w:val="Revision"/>
    <w:hidden/>
    <w:uiPriority w:val="99"/>
    <w:semiHidden/>
    <w:rsid w:val="00F27561"/>
  </w:style>
  <w:style w:type="character" w:styleId="CommentReference">
    <w:name w:val="annotation reference"/>
    <w:rsid w:val="000E25F5"/>
    <w:rPr>
      <w:sz w:val="16"/>
      <w:szCs w:val="16"/>
    </w:rPr>
  </w:style>
  <w:style w:type="paragraph" w:styleId="CommentText">
    <w:name w:val="annotation text"/>
    <w:basedOn w:val="Normal"/>
    <w:link w:val="CommentTextChar"/>
    <w:rsid w:val="000E25F5"/>
  </w:style>
  <w:style w:type="character" w:customStyle="1" w:styleId="CommentTextChar">
    <w:name w:val="Comment Text Char"/>
    <w:basedOn w:val="DefaultParagraphFont"/>
    <w:link w:val="CommentText"/>
    <w:rsid w:val="000E25F5"/>
  </w:style>
  <w:style w:type="paragraph" w:styleId="CommentSubject">
    <w:name w:val="annotation subject"/>
    <w:basedOn w:val="CommentText"/>
    <w:next w:val="CommentText"/>
    <w:link w:val="CommentSubjectChar"/>
    <w:rsid w:val="000E25F5"/>
    <w:rPr>
      <w:b/>
      <w:bCs/>
      <w:lang w:val="x-none" w:eastAsia="x-none"/>
    </w:rPr>
  </w:style>
  <w:style w:type="character" w:customStyle="1" w:styleId="CommentSubjectChar">
    <w:name w:val="Comment Subject Char"/>
    <w:link w:val="CommentSubject"/>
    <w:rsid w:val="000E25F5"/>
    <w:rPr>
      <w:b/>
      <w:bCs/>
    </w:rPr>
  </w:style>
  <w:style w:type="character" w:styleId="LineNumber">
    <w:name w:val="line number"/>
    <w:rsid w:val="00716A3C"/>
  </w:style>
  <w:style w:type="paragraph" w:customStyle="1" w:styleId="default0">
    <w:name w:val="default"/>
    <w:basedOn w:val="Normal"/>
    <w:rsid w:val="00593BB4"/>
    <w:pPr>
      <w:spacing w:before="100" w:beforeAutospacing="1" w:after="100" w:afterAutospacing="1"/>
    </w:pPr>
    <w:rPr>
      <w:sz w:val="24"/>
      <w:szCs w:val="24"/>
    </w:rPr>
  </w:style>
  <w:style w:type="paragraph" w:customStyle="1" w:styleId="tablecolhead0">
    <w:name w:val="tablecolhead"/>
    <w:basedOn w:val="Normal"/>
    <w:rsid w:val="00BD5478"/>
    <w:pPr>
      <w:spacing w:before="100" w:beforeAutospacing="1" w:after="100" w:afterAutospacing="1"/>
    </w:pPr>
    <w:rPr>
      <w:sz w:val="24"/>
      <w:szCs w:val="24"/>
    </w:rPr>
  </w:style>
  <w:style w:type="paragraph" w:styleId="ListParagraph">
    <w:name w:val="List Paragraph"/>
    <w:basedOn w:val="Normal"/>
    <w:uiPriority w:val="34"/>
    <w:qFormat/>
    <w:rsid w:val="00D61546"/>
    <w:pPr>
      <w:ind w:left="720"/>
    </w:pPr>
    <w:rPr>
      <w:rFonts w:ascii="Calibri" w:eastAsia="Calibri" w:hAnsi="Calibri" w:cs="Calibri"/>
      <w:sz w:val="22"/>
      <w:szCs w:val="22"/>
      <w:lang w:val="en-US" w:eastAsia="en-US"/>
    </w:rPr>
  </w:style>
  <w:style w:type="character" w:styleId="Strong">
    <w:name w:val="Strong"/>
    <w:uiPriority w:val="22"/>
    <w:qFormat/>
    <w:rsid w:val="007F3E55"/>
    <w:rPr>
      <w:b/>
      <w:bCs/>
    </w:rPr>
  </w:style>
  <w:style w:type="character" w:customStyle="1" w:styleId="st1">
    <w:name w:val="st1"/>
    <w:rsid w:val="00E77D9F"/>
  </w:style>
  <w:style w:type="character" w:customStyle="1" w:styleId="TitleChar">
    <w:name w:val="Title Char"/>
    <w:link w:val="Title"/>
    <w:rsid w:val="001A1EB8"/>
    <w:rPr>
      <w:b/>
    </w:rPr>
  </w:style>
  <w:style w:type="character" w:customStyle="1" w:styleId="SubtitleChar">
    <w:name w:val="Subtitle Char"/>
    <w:link w:val="Subtitle"/>
    <w:rsid w:val="001A1EB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48F"/>
  </w:style>
  <w:style w:type="paragraph" w:styleId="Heading1">
    <w:name w:val="heading 1"/>
    <w:basedOn w:val="Normal"/>
    <w:next w:val="Normal"/>
    <w:qFormat/>
    <w:rsid w:val="005D1D81"/>
    <w:pPr>
      <w:keepNext/>
      <w:spacing w:before="240" w:after="360"/>
      <w:outlineLvl w:val="0"/>
    </w:pPr>
    <w:rPr>
      <w:b/>
      <w:caps/>
      <w:sz w:val="28"/>
      <w:szCs w:val="28"/>
    </w:rPr>
  </w:style>
  <w:style w:type="paragraph" w:styleId="Heading2">
    <w:name w:val="heading 2"/>
    <w:basedOn w:val="Normal"/>
    <w:next w:val="Normal"/>
    <w:link w:val="Heading2Char"/>
    <w:qFormat/>
    <w:rsid w:val="001C32E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C32E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1C32E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1C32E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C32E4"/>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1C32E4"/>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1C32E4"/>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1C32E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2CCB"/>
    <w:pPr>
      <w:tabs>
        <w:tab w:val="center" w:pos="4153"/>
        <w:tab w:val="right" w:pos="8306"/>
      </w:tabs>
      <w:spacing w:before="60" w:after="60"/>
    </w:pPr>
    <w:rPr>
      <w:sz w:val="24"/>
      <w:lang w:eastAsia="en-US"/>
    </w:rPr>
  </w:style>
  <w:style w:type="paragraph" w:styleId="Title">
    <w:name w:val="Title"/>
    <w:basedOn w:val="Normal"/>
    <w:link w:val="TitleChar"/>
    <w:qFormat/>
    <w:rsid w:val="009A2CCB"/>
    <w:pPr>
      <w:jc w:val="center"/>
    </w:pPr>
    <w:rPr>
      <w:b/>
    </w:rPr>
  </w:style>
  <w:style w:type="paragraph" w:styleId="Subtitle">
    <w:name w:val="Subtitle"/>
    <w:basedOn w:val="Normal"/>
    <w:link w:val="SubtitleChar"/>
    <w:qFormat/>
    <w:rsid w:val="009A2CCB"/>
    <w:pPr>
      <w:jc w:val="center"/>
    </w:pPr>
    <w:rPr>
      <w:b/>
    </w:rPr>
  </w:style>
  <w:style w:type="paragraph" w:styleId="BodyText">
    <w:name w:val="Body Text"/>
    <w:basedOn w:val="Normal"/>
    <w:rsid w:val="009A2CCB"/>
    <w:rPr>
      <w:sz w:val="24"/>
    </w:rPr>
  </w:style>
  <w:style w:type="paragraph" w:styleId="Header">
    <w:name w:val="header"/>
    <w:basedOn w:val="Normal"/>
    <w:rsid w:val="00C5129B"/>
    <w:pPr>
      <w:tabs>
        <w:tab w:val="center" w:pos="4153"/>
        <w:tab w:val="right" w:pos="8306"/>
      </w:tabs>
    </w:pPr>
  </w:style>
  <w:style w:type="table" w:styleId="TableGrid">
    <w:name w:val="Table Grid"/>
    <w:basedOn w:val="TableNormal"/>
    <w:rsid w:val="00684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F2E3D"/>
  </w:style>
  <w:style w:type="paragraph" w:styleId="DocumentMap">
    <w:name w:val="Document Map"/>
    <w:basedOn w:val="Normal"/>
    <w:semiHidden/>
    <w:rsid w:val="006B7521"/>
    <w:pPr>
      <w:shd w:val="clear" w:color="auto" w:fill="000080"/>
    </w:pPr>
    <w:rPr>
      <w:rFonts w:ascii="Tahoma" w:hAnsi="Tahoma" w:cs="Tahoma"/>
    </w:rPr>
  </w:style>
  <w:style w:type="paragraph" w:customStyle="1" w:styleId="TableP2i">
    <w:name w:val="TableP2(i)"/>
    <w:basedOn w:val="Normal"/>
    <w:rsid w:val="00CA40F4"/>
    <w:pPr>
      <w:tabs>
        <w:tab w:val="right" w:pos="726"/>
      </w:tabs>
      <w:spacing w:after="60" w:line="240" w:lineRule="exact"/>
      <w:ind w:left="868" w:hanging="868"/>
    </w:pPr>
    <w:rPr>
      <w:sz w:val="22"/>
      <w:szCs w:val="24"/>
    </w:rPr>
  </w:style>
  <w:style w:type="paragraph" w:customStyle="1" w:styleId="TableP1a">
    <w:name w:val="TableP1(a)"/>
    <w:basedOn w:val="Normal"/>
    <w:rsid w:val="007E04B4"/>
    <w:pPr>
      <w:tabs>
        <w:tab w:val="right" w:pos="408"/>
      </w:tabs>
      <w:spacing w:after="60" w:line="240" w:lineRule="exact"/>
      <w:ind w:left="533" w:hanging="533"/>
    </w:pPr>
    <w:rPr>
      <w:sz w:val="22"/>
      <w:szCs w:val="24"/>
    </w:rPr>
  </w:style>
  <w:style w:type="paragraph" w:customStyle="1" w:styleId="TableText">
    <w:name w:val="TableText"/>
    <w:basedOn w:val="Normal"/>
    <w:rsid w:val="00EF0468"/>
    <w:pPr>
      <w:spacing w:before="60" w:after="60" w:line="240" w:lineRule="exact"/>
    </w:pPr>
    <w:rPr>
      <w:sz w:val="22"/>
      <w:szCs w:val="24"/>
    </w:rPr>
  </w:style>
  <w:style w:type="paragraph" w:customStyle="1" w:styleId="Bullet">
    <w:name w:val="Bullet"/>
    <w:basedOn w:val="Normal"/>
    <w:rsid w:val="005D1D81"/>
    <w:pPr>
      <w:numPr>
        <w:numId w:val="1"/>
      </w:numPr>
      <w:spacing w:after="240"/>
    </w:pPr>
    <w:rPr>
      <w:sz w:val="24"/>
    </w:rPr>
  </w:style>
  <w:style w:type="paragraph" w:customStyle="1" w:styleId="Dash">
    <w:name w:val="Dash"/>
    <w:basedOn w:val="Normal"/>
    <w:rsid w:val="005D1D81"/>
    <w:pPr>
      <w:numPr>
        <w:ilvl w:val="1"/>
        <w:numId w:val="1"/>
      </w:numPr>
      <w:spacing w:after="240"/>
    </w:pPr>
    <w:rPr>
      <w:sz w:val="24"/>
    </w:rPr>
  </w:style>
  <w:style w:type="paragraph" w:customStyle="1" w:styleId="DoubleDot">
    <w:name w:val="Double Dot"/>
    <w:basedOn w:val="Normal"/>
    <w:rsid w:val="005D1D81"/>
    <w:pPr>
      <w:numPr>
        <w:ilvl w:val="2"/>
        <w:numId w:val="1"/>
      </w:numPr>
      <w:spacing w:after="240"/>
    </w:pPr>
    <w:rPr>
      <w:sz w:val="24"/>
    </w:rPr>
  </w:style>
  <w:style w:type="paragraph" w:customStyle="1" w:styleId="KeyPoints">
    <w:name w:val="Key Points"/>
    <w:basedOn w:val="Normal"/>
    <w:next w:val="Bullet"/>
    <w:rsid w:val="005D1D81"/>
    <w:pPr>
      <w:spacing w:before="120" w:after="240"/>
    </w:pPr>
    <w:rPr>
      <w:b/>
      <w:caps/>
      <w:sz w:val="24"/>
      <w:szCs w:val="24"/>
    </w:rPr>
  </w:style>
  <w:style w:type="paragraph" w:customStyle="1" w:styleId="TableColHead">
    <w:name w:val="TableColHead"/>
    <w:basedOn w:val="Normal"/>
    <w:rsid w:val="005D1D81"/>
    <w:pPr>
      <w:keepNext/>
      <w:spacing w:before="120" w:after="60" w:line="200" w:lineRule="exact"/>
    </w:pPr>
    <w:rPr>
      <w:rFonts w:ascii="Arial" w:hAnsi="Arial"/>
      <w:b/>
      <w:sz w:val="18"/>
      <w:szCs w:val="24"/>
    </w:rPr>
  </w:style>
  <w:style w:type="paragraph" w:styleId="BodyTextFirstIndent">
    <w:name w:val="Body Text First Indent"/>
    <w:basedOn w:val="BodyText"/>
    <w:rsid w:val="005D1D81"/>
    <w:pPr>
      <w:spacing w:after="120"/>
      <w:ind w:firstLine="210"/>
    </w:pPr>
    <w:rPr>
      <w:szCs w:val="24"/>
    </w:rPr>
  </w:style>
  <w:style w:type="paragraph" w:styleId="BodyTextIndent">
    <w:name w:val="Body Text Indent"/>
    <w:basedOn w:val="Normal"/>
    <w:rsid w:val="005D1D81"/>
    <w:pPr>
      <w:spacing w:after="120"/>
      <w:ind w:left="283"/>
    </w:pPr>
    <w:rPr>
      <w:sz w:val="24"/>
      <w:szCs w:val="24"/>
    </w:rPr>
  </w:style>
  <w:style w:type="paragraph" w:styleId="BodyTextFirstIndent2">
    <w:name w:val="Body Text First Indent 2"/>
    <w:basedOn w:val="BodyTextIndent"/>
    <w:rsid w:val="005D1D81"/>
    <w:pPr>
      <w:ind w:firstLine="210"/>
    </w:pPr>
  </w:style>
  <w:style w:type="paragraph" w:styleId="BodyTextIndent2">
    <w:name w:val="Body Text Indent 2"/>
    <w:basedOn w:val="Normal"/>
    <w:rsid w:val="005D1D81"/>
    <w:pPr>
      <w:spacing w:after="120" w:line="480" w:lineRule="auto"/>
      <w:ind w:left="283"/>
    </w:pPr>
    <w:rPr>
      <w:sz w:val="24"/>
      <w:szCs w:val="24"/>
    </w:rPr>
  </w:style>
  <w:style w:type="paragraph" w:styleId="BodyTextIndent3">
    <w:name w:val="Body Text Indent 3"/>
    <w:basedOn w:val="Normal"/>
    <w:rsid w:val="005D1D81"/>
    <w:pPr>
      <w:spacing w:after="120"/>
      <w:ind w:left="283"/>
    </w:pPr>
    <w:rPr>
      <w:sz w:val="16"/>
      <w:szCs w:val="16"/>
    </w:rPr>
  </w:style>
  <w:style w:type="paragraph" w:styleId="Closing">
    <w:name w:val="Closing"/>
    <w:basedOn w:val="Normal"/>
    <w:rsid w:val="005D1D81"/>
    <w:pPr>
      <w:ind w:left="4252"/>
    </w:pPr>
    <w:rPr>
      <w:sz w:val="24"/>
      <w:szCs w:val="24"/>
    </w:rPr>
  </w:style>
  <w:style w:type="paragraph" w:styleId="Date">
    <w:name w:val="Date"/>
    <w:basedOn w:val="Normal"/>
    <w:next w:val="Normal"/>
    <w:rsid w:val="005D1D81"/>
    <w:rPr>
      <w:sz w:val="24"/>
      <w:szCs w:val="24"/>
    </w:rPr>
  </w:style>
  <w:style w:type="paragraph" w:styleId="E-mailSignature">
    <w:name w:val="E-mail Signature"/>
    <w:basedOn w:val="Normal"/>
    <w:rsid w:val="005D1D81"/>
    <w:rPr>
      <w:sz w:val="24"/>
      <w:szCs w:val="24"/>
    </w:rPr>
  </w:style>
  <w:style w:type="character" w:styleId="Emphasis">
    <w:name w:val="Emphasis"/>
    <w:qFormat/>
    <w:rsid w:val="005D1D81"/>
    <w:rPr>
      <w:i/>
      <w:iCs/>
    </w:rPr>
  </w:style>
  <w:style w:type="paragraph" w:styleId="BodyText3">
    <w:name w:val="Body Text 3"/>
    <w:basedOn w:val="Normal"/>
    <w:rsid w:val="00891C53"/>
    <w:pPr>
      <w:spacing w:after="120"/>
    </w:pPr>
    <w:rPr>
      <w:sz w:val="16"/>
      <w:szCs w:val="16"/>
    </w:rPr>
  </w:style>
  <w:style w:type="paragraph" w:customStyle="1" w:styleId="greybodytext">
    <w:name w:val="grey body text"/>
    <w:basedOn w:val="Normal"/>
    <w:rsid w:val="00E238F7"/>
    <w:pPr>
      <w:spacing w:before="180" w:line="320" w:lineRule="exact"/>
      <w:ind w:left="993"/>
    </w:pPr>
    <w:rPr>
      <w:rFonts w:ascii="Palatino" w:hAnsi="Palatino"/>
      <w:lang w:eastAsia="en-US"/>
    </w:rPr>
  </w:style>
  <w:style w:type="character" w:styleId="Hyperlink">
    <w:name w:val="Hyperlink"/>
    <w:rsid w:val="00E238F7"/>
    <w:rPr>
      <w:color w:val="0000FF"/>
      <w:u w:val="single"/>
    </w:rPr>
  </w:style>
  <w:style w:type="numbering" w:styleId="1ai">
    <w:name w:val="Outline List 1"/>
    <w:basedOn w:val="NoList"/>
    <w:rsid w:val="00851AA2"/>
    <w:pPr>
      <w:numPr>
        <w:numId w:val="2"/>
      </w:numPr>
    </w:pPr>
  </w:style>
  <w:style w:type="paragraph" w:customStyle="1" w:styleId="Char">
    <w:name w:val="Char"/>
    <w:basedOn w:val="Normal"/>
    <w:rsid w:val="000E76B2"/>
    <w:pPr>
      <w:spacing w:after="160" w:line="240" w:lineRule="exact"/>
    </w:pPr>
  </w:style>
  <w:style w:type="character" w:customStyle="1" w:styleId="Heading2Char">
    <w:name w:val="Heading 2 Char"/>
    <w:link w:val="Heading2"/>
    <w:semiHidden/>
    <w:rsid w:val="001C32E4"/>
    <w:rPr>
      <w:rFonts w:ascii="Cambria" w:eastAsia="Times New Roman" w:hAnsi="Cambria" w:cs="Times New Roman"/>
      <w:b/>
      <w:bCs/>
      <w:i/>
      <w:iCs/>
      <w:sz w:val="28"/>
      <w:szCs w:val="28"/>
    </w:rPr>
  </w:style>
  <w:style w:type="character" w:customStyle="1" w:styleId="Heading3Char">
    <w:name w:val="Heading 3 Char"/>
    <w:link w:val="Heading3"/>
    <w:semiHidden/>
    <w:rsid w:val="001C32E4"/>
    <w:rPr>
      <w:rFonts w:ascii="Cambria" w:eastAsia="Times New Roman" w:hAnsi="Cambria" w:cs="Times New Roman"/>
      <w:b/>
      <w:bCs/>
      <w:sz w:val="26"/>
      <w:szCs w:val="26"/>
    </w:rPr>
  </w:style>
  <w:style w:type="character" w:customStyle="1" w:styleId="Heading4Char">
    <w:name w:val="Heading 4 Char"/>
    <w:link w:val="Heading4"/>
    <w:semiHidden/>
    <w:rsid w:val="001C32E4"/>
    <w:rPr>
      <w:rFonts w:ascii="Calibri" w:eastAsia="Times New Roman" w:hAnsi="Calibri" w:cs="Times New Roman"/>
      <w:b/>
      <w:bCs/>
      <w:sz w:val="28"/>
      <w:szCs w:val="28"/>
    </w:rPr>
  </w:style>
  <w:style w:type="character" w:customStyle="1" w:styleId="Heading5Char">
    <w:name w:val="Heading 5 Char"/>
    <w:link w:val="Heading5"/>
    <w:semiHidden/>
    <w:rsid w:val="001C32E4"/>
    <w:rPr>
      <w:rFonts w:ascii="Calibri" w:eastAsia="Times New Roman" w:hAnsi="Calibri" w:cs="Times New Roman"/>
      <w:b/>
      <w:bCs/>
      <w:i/>
      <w:iCs/>
      <w:sz w:val="26"/>
      <w:szCs w:val="26"/>
    </w:rPr>
  </w:style>
  <w:style w:type="character" w:customStyle="1" w:styleId="Heading6Char">
    <w:name w:val="Heading 6 Char"/>
    <w:link w:val="Heading6"/>
    <w:semiHidden/>
    <w:rsid w:val="001C32E4"/>
    <w:rPr>
      <w:rFonts w:ascii="Calibri" w:eastAsia="Times New Roman" w:hAnsi="Calibri" w:cs="Times New Roman"/>
      <w:b/>
      <w:bCs/>
      <w:sz w:val="22"/>
      <w:szCs w:val="22"/>
    </w:rPr>
  </w:style>
  <w:style w:type="character" w:customStyle="1" w:styleId="Heading7Char">
    <w:name w:val="Heading 7 Char"/>
    <w:link w:val="Heading7"/>
    <w:semiHidden/>
    <w:rsid w:val="001C32E4"/>
    <w:rPr>
      <w:rFonts w:ascii="Calibri" w:eastAsia="Times New Roman" w:hAnsi="Calibri" w:cs="Times New Roman"/>
      <w:sz w:val="24"/>
      <w:szCs w:val="24"/>
    </w:rPr>
  </w:style>
  <w:style w:type="character" w:customStyle="1" w:styleId="Heading8Char">
    <w:name w:val="Heading 8 Char"/>
    <w:link w:val="Heading8"/>
    <w:semiHidden/>
    <w:rsid w:val="001C32E4"/>
    <w:rPr>
      <w:rFonts w:ascii="Calibri" w:eastAsia="Times New Roman" w:hAnsi="Calibri" w:cs="Times New Roman"/>
      <w:i/>
      <w:iCs/>
      <w:sz w:val="24"/>
      <w:szCs w:val="24"/>
    </w:rPr>
  </w:style>
  <w:style w:type="character" w:customStyle="1" w:styleId="Heading9Char">
    <w:name w:val="Heading 9 Char"/>
    <w:link w:val="Heading9"/>
    <w:semiHidden/>
    <w:rsid w:val="001C32E4"/>
    <w:rPr>
      <w:rFonts w:ascii="Cambria" w:eastAsia="Times New Roman" w:hAnsi="Cambria" w:cs="Times New Roman"/>
      <w:sz w:val="22"/>
      <w:szCs w:val="22"/>
    </w:rPr>
  </w:style>
  <w:style w:type="numbering" w:styleId="ArticleSection">
    <w:name w:val="Outline List 3"/>
    <w:basedOn w:val="NoList"/>
    <w:rsid w:val="001C32E4"/>
    <w:pPr>
      <w:numPr>
        <w:numId w:val="3"/>
      </w:numPr>
    </w:pPr>
  </w:style>
  <w:style w:type="paragraph" w:customStyle="1" w:styleId="Default">
    <w:name w:val="Default"/>
    <w:rsid w:val="00C8247C"/>
    <w:pPr>
      <w:autoSpaceDE w:val="0"/>
      <w:autoSpaceDN w:val="0"/>
      <w:adjustRightInd w:val="0"/>
    </w:pPr>
    <w:rPr>
      <w:color w:val="000000"/>
      <w:sz w:val="24"/>
      <w:szCs w:val="24"/>
    </w:rPr>
  </w:style>
  <w:style w:type="paragraph" w:styleId="BalloonText">
    <w:name w:val="Balloon Text"/>
    <w:basedOn w:val="Normal"/>
    <w:semiHidden/>
    <w:rsid w:val="00AD467F"/>
    <w:rPr>
      <w:rFonts w:ascii="Tahoma" w:hAnsi="Tahoma" w:cs="Tahoma"/>
      <w:sz w:val="16"/>
      <w:szCs w:val="16"/>
    </w:rPr>
  </w:style>
  <w:style w:type="paragraph" w:styleId="Revision">
    <w:name w:val="Revision"/>
    <w:hidden/>
    <w:uiPriority w:val="99"/>
    <w:semiHidden/>
    <w:rsid w:val="00F27561"/>
  </w:style>
  <w:style w:type="character" w:styleId="CommentReference">
    <w:name w:val="annotation reference"/>
    <w:rsid w:val="000E25F5"/>
    <w:rPr>
      <w:sz w:val="16"/>
      <w:szCs w:val="16"/>
    </w:rPr>
  </w:style>
  <w:style w:type="paragraph" w:styleId="CommentText">
    <w:name w:val="annotation text"/>
    <w:basedOn w:val="Normal"/>
    <w:link w:val="CommentTextChar"/>
    <w:rsid w:val="000E25F5"/>
  </w:style>
  <w:style w:type="character" w:customStyle="1" w:styleId="CommentTextChar">
    <w:name w:val="Comment Text Char"/>
    <w:basedOn w:val="DefaultParagraphFont"/>
    <w:link w:val="CommentText"/>
    <w:rsid w:val="000E25F5"/>
  </w:style>
  <w:style w:type="paragraph" w:styleId="CommentSubject">
    <w:name w:val="annotation subject"/>
    <w:basedOn w:val="CommentText"/>
    <w:next w:val="CommentText"/>
    <w:link w:val="CommentSubjectChar"/>
    <w:rsid w:val="000E25F5"/>
    <w:rPr>
      <w:b/>
      <w:bCs/>
      <w:lang w:val="x-none" w:eastAsia="x-none"/>
    </w:rPr>
  </w:style>
  <w:style w:type="character" w:customStyle="1" w:styleId="CommentSubjectChar">
    <w:name w:val="Comment Subject Char"/>
    <w:link w:val="CommentSubject"/>
    <w:rsid w:val="000E25F5"/>
    <w:rPr>
      <w:b/>
      <w:bCs/>
    </w:rPr>
  </w:style>
  <w:style w:type="character" w:styleId="LineNumber">
    <w:name w:val="line number"/>
    <w:rsid w:val="00716A3C"/>
  </w:style>
  <w:style w:type="paragraph" w:customStyle="1" w:styleId="default0">
    <w:name w:val="default"/>
    <w:basedOn w:val="Normal"/>
    <w:rsid w:val="00593BB4"/>
    <w:pPr>
      <w:spacing w:before="100" w:beforeAutospacing="1" w:after="100" w:afterAutospacing="1"/>
    </w:pPr>
    <w:rPr>
      <w:sz w:val="24"/>
      <w:szCs w:val="24"/>
    </w:rPr>
  </w:style>
  <w:style w:type="paragraph" w:customStyle="1" w:styleId="tablecolhead0">
    <w:name w:val="tablecolhead"/>
    <w:basedOn w:val="Normal"/>
    <w:rsid w:val="00BD5478"/>
    <w:pPr>
      <w:spacing w:before="100" w:beforeAutospacing="1" w:after="100" w:afterAutospacing="1"/>
    </w:pPr>
    <w:rPr>
      <w:sz w:val="24"/>
      <w:szCs w:val="24"/>
    </w:rPr>
  </w:style>
  <w:style w:type="paragraph" w:styleId="ListParagraph">
    <w:name w:val="List Paragraph"/>
    <w:basedOn w:val="Normal"/>
    <w:uiPriority w:val="34"/>
    <w:qFormat/>
    <w:rsid w:val="00D61546"/>
    <w:pPr>
      <w:ind w:left="720"/>
    </w:pPr>
    <w:rPr>
      <w:rFonts w:ascii="Calibri" w:eastAsia="Calibri" w:hAnsi="Calibri" w:cs="Calibri"/>
      <w:sz w:val="22"/>
      <w:szCs w:val="22"/>
      <w:lang w:val="en-US" w:eastAsia="en-US"/>
    </w:rPr>
  </w:style>
  <w:style w:type="character" w:styleId="Strong">
    <w:name w:val="Strong"/>
    <w:uiPriority w:val="22"/>
    <w:qFormat/>
    <w:rsid w:val="007F3E55"/>
    <w:rPr>
      <w:b/>
      <w:bCs/>
    </w:rPr>
  </w:style>
  <w:style w:type="character" w:customStyle="1" w:styleId="st1">
    <w:name w:val="st1"/>
    <w:rsid w:val="00E77D9F"/>
  </w:style>
  <w:style w:type="character" w:customStyle="1" w:styleId="TitleChar">
    <w:name w:val="Title Char"/>
    <w:link w:val="Title"/>
    <w:rsid w:val="001A1EB8"/>
    <w:rPr>
      <w:b/>
    </w:rPr>
  </w:style>
  <w:style w:type="character" w:customStyle="1" w:styleId="SubtitleChar">
    <w:name w:val="Subtitle Char"/>
    <w:link w:val="Subtitle"/>
    <w:rsid w:val="001A1E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721">
      <w:bodyDiv w:val="1"/>
      <w:marLeft w:val="0"/>
      <w:marRight w:val="0"/>
      <w:marTop w:val="0"/>
      <w:marBottom w:val="0"/>
      <w:divBdr>
        <w:top w:val="none" w:sz="0" w:space="0" w:color="auto"/>
        <w:left w:val="none" w:sz="0" w:space="0" w:color="auto"/>
        <w:bottom w:val="none" w:sz="0" w:space="0" w:color="auto"/>
        <w:right w:val="none" w:sz="0" w:space="0" w:color="auto"/>
      </w:divBdr>
    </w:div>
    <w:div w:id="152722383">
      <w:bodyDiv w:val="1"/>
      <w:marLeft w:val="0"/>
      <w:marRight w:val="0"/>
      <w:marTop w:val="0"/>
      <w:marBottom w:val="0"/>
      <w:divBdr>
        <w:top w:val="none" w:sz="0" w:space="0" w:color="auto"/>
        <w:left w:val="none" w:sz="0" w:space="0" w:color="auto"/>
        <w:bottom w:val="none" w:sz="0" w:space="0" w:color="auto"/>
        <w:right w:val="none" w:sz="0" w:space="0" w:color="auto"/>
      </w:divBdr>
    </w:div>
    <w:div w:id="539367397">
      <w:bodyDiv w:val="1"/>
      <w:marLeft w:val="0"/>
      <w:marRight w:val="0"/>
      <w:marTop w:val="0"/>
      <w:marBottom w:val="0"/>
      <w:divBdr>
        <w:top w:val="none" w:sz="0" w:space="0" w:color="auto"/>
        <w:left w:val="none" w:sz="0" w:space="0" w:color="auto"/>
        <w:bottom w:val="none" w:sz="0" w:space="0" w:color="auto"/>
        <w:right w:val="none" w:sz="0" w:space="0" w:color="auto"/>
      </w:divBdr>
      <w:divsChild>
        <w:div w:id="1266769624">
          <w:marLeft w:val="0"/>
          <w:marRight w:val="0"/>
          <w:marTop w:val="0"/>
          <w:marBottom w:val="0"/>
          <w:divBdr>
            <w:top w:val="none" w:sz="0" w:space="0" w:color="auto"/>
            <w:left w:val="none" w:sz="0" w:space="0" w:color="auto"/>
            <w:bottom w:val="none" w:sz="0" w:space="0" w:color="auto"/>
            <w:right w:val="none" w:sz="0" w:space="0" w:color="auto"/>
          </w:divBdr>
          <w:divsChild>
            <w:div w:id="566648240">
              <w:marLeft w:val="0"/>
              <w:marRight w:val="0"/>
              <w:marTop w:val="0"/>
              <w:marBottom w:val="0"/>
              <w:divBdr>
                <w:top w:val="none" w:sz="0" w:space="0" w:color="auto"/>
                <w:left w:val="none" w:sz="0" w:space="0" w:color="auto"/>
                <w:bottom w:val="none" w:sz="0" w:space="0" w:color="auto"/>
                <w:right w:val="none" w:sz="0" w:space="0" w:color="auto"/>
              </w:divBdr>
              <w:divsChild>
                <w:div w:id="600334450">
                  <w:marLeft w:val="0"/>
                  <w:marRight w:val="0"/>
                  <w:marTop w:val="0"/>
                  <w:marBottom w:val="0"/>
                  <w:divBdr>
                    <w:top w:val="none" w:sz="0" w:space="0" w:color="auto"/>
                    <w:left w:val="none" w:sz="0" w:space="0" w:color="auto"/>
                    <w:bottom w:val="none" w:sz="0" w:space="0" w:color="auto"/>
                    <w:right w:val="none" w:sz="0" w:space="0" w:color="auto"/>
                  </w:divBdr>
                  <w:divsChild>
                    <w:div w:id="1230120109">
                      <w:marLeft w:val="0"/>
                      <w:marRight w:val="0"/>
                      <w:marTop w:val="0"/>
                      <w:marBottom w:val="0"/>
                      <w:divBdr>
                        <w:top w:val="none" w:sz="0" w:space="0" w:color="auto"/>
                        <w:left w:val="none" w:sz="0" w:space="0" w:color="auto"/>
                        <w:bottom w:val="none" w:sz="0" w:space="0" w:color="auto"/>
                        <w:right w:val="none" w:sz="0" w:space="0" w:color="auto"/>
                      </w:divBdr>
                      <w:divsChild>
                        <w:div w:id="1724062463">
                          <w:marLeft w:val="0"/>
                          <w:marRight w:val="0"/>
                          <w:marTop w:val="0"/>
                          <w:marBottom w:val="0"/>
                          <w:divBdr>
                            <w:top w:val="single" w:sz="6" w:space="0" w:color="828282"/>
                            <w:left w:val="single" w:sz="6" w:space="0" w:color="828282"/>
                            <w:bottom w:val="single" w:sz="6" w:space="0" w:color="828282"/>
                            <w:right w:val="single" w:sz="6" w:space="0" w:color="828282"/>
                          </w:divBdr>
                          <w:divsChild>
                            <w:div w:id="346031330">
                              <w:marLeft w:val="0"/>
                              <w:marRight w:val="0"/>
                              <w:marTop w:val="0"/>
                              <w:marBottom w:val="0"/>
                              <w:divBdr>
                                <w:top w:val="none" w:sz="0" w:space="0" w:color="auto"/>
                                <w:left w:val="none" w:sz="0" w:space="0" w:color="auto"/>
                                <w:bottom w:val="none" w:sz="0" w:space="0" w:color="auto"/>
                                <w:right w:val="none" w:sz="0" w:space="0" w:color="auto"/>
                              </w:divBdr>
                              <w:divsChild>
                                <w:div w:id="671185272">
                                  <w:marLeft w:val="0"/>
                                  <w:marRight w:val="0"/>
                                  <w:marTop w:val="0"/>
                                  <w:marBottom w:val="0"/>
                                  <w:divBdr>
                                    <w:top w:val="none" w:sz="0" w:space="0" w:color="auto"/>
                                    <w:left w:val="none" w:sz="0" w:space="0" w:color="auto"/>
                                    <w:bottom w:val="none" w:sz="0" w:space="0" w:color="auto"/>
                                    <w:right w:val="none" w:sz="0" w:space="0" w:color="auto"/>
                                  </w:divBdr>
                                  <w:divsChild>
                                    <w:div w:id="1612936391">
                                      <w:marLeft w:val="0"/>
                                      <w:marRight w:val="0"/>
                                      <w:marTop w:val="0"/>
                                      <w:marBottom w:val="0"/>
                                      <w:divBdr>
                                        <w:top w:val="none" w:sz="0" w:space="0" w:color="auto"/>
                                        <w:left w:val="none" w:sz="0" w:space="0" w:color="auto"/>
                                        <w:bottom w:val="none" w:sz="0" w:space="0" w:color="auto"/>
                                        <w:right w:val="none" w:sz="0" w:space="0" w:color="auto"/>
                                      </w:divBdr>
                                      <w:divsChild>
                                        <w:div w:id="1815221665">
                                          <w:marLeft w:val="0"/>
                                          <w:marRight w:val="0"/>
                                          <w:marTop w:val="0"/>
                                          <w:marBottom w:val="0"/>
                                          <w:divBdr>
                                            <w:top w:val="none" w:sz="0" w:space="0" w:color="auto"/>
                                            <w:left w:val="none" w:sz="0" w:space="0" w:color="auto"/>
                                            <w:bottom w:val="none" w:sz="0" w:space="0" w:color="auto"/>
                                            <w:right w:val="none" w:sz="0" w:space="0" w:color="auto"/>
                                          </w:divBdr>
                                          <w:divsChild>
                                            <w:div w:id="1037118633">
                                              <w:marLeft w:val="0"/>
                                              <w:marRight w:val="0"/>
                                              <w:marTop w:val="0"/>
                                              <w:marBottom w:val="0"/>
                                              <w:divBdr>
                                                <w:top w:val="none" w:sz="0" w:space="0" w:color="auto"/>
                                                <w:left w:val="none" w:sz="0" w:space="0" w:color="auto"/>
                                                <w:bottom w:val="none" w:sz="0" w:space="0" w:color="auto"/>
                                                <w:right w:val="none" w:sz="0" w:space="0" w:color="auto"/>
                                              </w:divBdr>
                                              <w:divsChild>
                                                <w:div w:id="559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723499">
      <w:bodyDiv w:val="1"/>
      <w:marLeft w:val="0"/>
      <w:marRight w:val="0"/>
      <w:marTop w:val="0"/>
      <w:marBottom w:val="0"/>
      <w:divBdr>
        <w:top w:val="none" w:sz="0" w:space="0" w:color="auto"/>
        <w:left w:val="none" w:sz="0" w:space="0" w:color="auto"/>
        <w:bottom w:val="none" w:sz="0" w:space="0" w:color="auto"/>
        <w:right w:val="none" w:sz="0" w:space="0" w:color="auto"/>
      </w:divBdr>
    </w:div>
    <w:div w:id="1496677859">
      <w:bodyDiv w:val="1"/>
      <w:marLeft w:val="0"/>
      <w:marRight w:val="0"/>
      <w:marTop w:val="0"/>
      <w:marBottom w:val="0"/>
      <w:divBdr>
        <w:top w:val="none" w:sz="0" w:space="0" w:color="auto"/>
        <w:left w:val="none" w:sz="0" w:space="0" w:color="auto"/>
        <w:bottom w:val="none" w:sz="0" w:space="0" w:color="auto"/>
        <w:right w:val="none" w:sz="0" w:space="0" w:color="auto"/>
      </w:divBdr>
    </w:div>
    <w:div w:id="1708721465">
      <w:bodyDiv w:val="1"/>
      <w:marLeft w:val="0"/>
      <w:marRight w:val="0"/>
      <w:marTop w:val="0"/>
      <w:marBottom w:val="0"/>
      <w:divBdr>
        <w:top w:val="none" w:sz="0" w:space="0" w:color="auto"/>
        <w:left w:val="none" w:sz="0" w:space="0" w:color="auto"/>
        <w:bottom w:val="none" w:sz="0" w:space="0" w:color="auto"/>
        <w:right w:val="none" w:sz="0" w:space="0" w:color="auto"/>
      </w:divBdr>
    </w:div>
    <w:div w:id="21431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9819-3288-41F4-8862-5CCD7115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Royal Australian Mint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Currency Determination 2006 ( No 2)</dc:subject>
  <dc:creator>nclement</dc:creator>
  <cp:lastModifiedBy>Dion Buck</cp:lastModifiedBy>
  <cp:revision>2</cp:revision>
  <cp:lastPrinted>2012-06-26T02:33:00Z</cp:lastPrinted>
  <dcterms:created xsi:type="dcterms:W3CDTF">2012-08-29T01:26:00Z</dcterms:created>
  <dcterms:modified xsi:type="dcterms:W3CDTF">2012-08-29T01:26:00Z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Close">
    <vt:lpwstr>�</vt:lpwstr>
  </property>
  <property fmtid="{D5CDD505-2E9C-101B-9397-08002B2CF9AE}" pid="3" name="_NewReviewCycle">
    <vt:lpwstr/>
  </property>
  <property fmtid="{D5CDD505-2E9C-101B-9397-08002B2CF9AE}" pid="4" name="_AdHocReviewCycleID">
    <vt:i4>431933408</vt:i4>
  </property>
  <property fmtid="{D5CDD505-2E9C-101B-9397-08002B2CF9AE}" pid="5" name="_EmailSubject">
    <vt:lpwstr>Marketing and Sales - Legal - Currency Determination (Royal Australian Mint) 2012 (No 2) - Attachment B (2).DOC</vt:lpwstr>
  </property>
  <property fmtid="{D5CDD505-2E9C-101B-9397-08002B2CF9AE}" pid="6" name="_AuthorEmail">
    <vt:lpwstr>Marcus.McKillop@TREASURY.GOV.AU</vt:lpwstr>
  </property>
  <property fmtid="{D5CDD505-2E9C-101B-9397-08002B2CF9AE}" pid="7" name="_AuthorEmailDisplayName">
    <vt:lpwstr>McKillop, Marcus</vt:lpwstr>
  </property>
  <property fmtid="{D5CDD505-2E9C-101B-9397-08002B2CF9AE}" pid="8" name="_ReviewingToolsShownOnce">
    <vt:lpwstr/>
  </property>
</Properties>
</file>