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73" w:rsidRPr="003F2B22" w:rsidRDefault="00222E73" w:rsidP="00222E73">
      <w:pPr>
        <w:pStyle w:val="HP"/>
        <w:keepNext w:val="0"/>
        <w:spacing w:before="0" w:line="276" w:lineRule="auto"/>
        <w:rPr>
          <w:rFonts w:ascii="Times New Roman" w:hAnsi="Times New Roman" w:cs="Times New Roman"/>
        </w:rPr>
      </w:pPr>
      <w:r w:rsidRPr="003F2B22">
        <w:rPr>
          <w:rFonts w:ascii="Times New Roman" w:hAnsi="Times New Roman" w:cs="Times New Roman"/>
        </w:rPr>
        <w:t>Commonwealth of Australia</w:t>
      </w:r>
    </w:p>
    <w:p w:rsidR="00222E73" w:rsidRPr="00C43E9D" w:rsidRDefault="00222E73" w:rsidP="00222E73">
      <w:pPr>
        <w:pStyle w:val="Heading6"/>
        <w:spacing w:line="276" w:lineRule="auto"/>
        <w:jc w:val="center"/>
        <w:rPr>
          <w:b w:val="0"/>
          <w:i/>
          <w:sz w:val="24"/>
          <w:szCs w:val="24"/>
        </w:rPr>
      </w:pPr>
      <w:r w:rsidRPr="00C43E9D">
        <w:rPr>
          <w:b w:val="0"/>
          <w:i/>
          <w:sz w:val="24"/>
          <w:szCs w:val="24"/>
        </w:rPr>
        <w:t>Telecommunications Act 1997</w:t>
      </w:r>
    </w:p>
    <w:p w:rsidR="00222E73" w:rsidRPr="003F2B22" w:rsidRDefault="00222E73" w:rsidP="00222E73">
      <w:pPr>
        <w:pStyle w:val="Title"/>
        <w:spacing w:before="0" w:line="276" w:lineRule="auto"/>
        <w:rPr>
          <w:rFonts w:ascii="Times New Roman" w:hAnsi="Times New Roman" w:cs="Times New Roman"/>
        </w:rPr>
      </w:pPr>
      <w:bookmarkStart w:id="0" w:name="year"/>
    </w:p>
    <w:p w:rsidR="00222E73" w:rsidRPr="003F2B22" w:rsidRDefault="001950C9" w:rsidP="00222E73">
      <w:pPr>
        <w:pStyle w:val="Title"/>
        <w:spacing w:before="0" w:line="276" w:lineRule="auto"/>
        <w:rPr>
          <w:rFonts w:ascii="Times New Roman" w:hAnsi="Times New Roman" w:cs="Times New Roman"/>
        </w:rPr>
      </w:pPr>
      <w:bookmarkStart w:id="1" w:name="OLE_LINK1"/>
      <w:bookmarkStart w:id="2" w:name="OLE_LINK2"/>
      <w:bookmarkEnd w:id="0"/>
      <w:r>
        <w:rPr>
          <w:rFonts w:ascii="Times New Roman" w:hAnsi="Times New Roman" w:cs="Times New Roman"/>
        </w:rPr>
        <w:t>Australian Communications and Media Authority</w:t>
      </w:r>
      <w:r w:rsidR="00222E73">
        <w:rPr>
          <w:rFonts w:ascii="Times New Roman" w:hAnsi="Times New Roman" w:cs="Times New Roman"/>
        </w:rPr>
        <w:t xml:space="preserve"> (</w:t>
      </w:r>
      <w:r w:rsidR="00490DD8">
        <w:rPr>
          <w:rFonts w:ascii="Times New Roman" w:hAnsi="Times New Roman" w:cs="Times New Roman"/>
        </w:rPr>
        <w:t>International Mobile Roaming</w:t>
      </w:r>
      <w:r>
        <w:rPr>
          <w:rFonts w:ascii="Times New Roman" w:hAnsi="Times New Roman" w:cs="Times New Roman"/>
        </w:rPr>
        <w:t xml:space="preserve"> </w:t>
      </w:r>
      <w:r w:rsidR="00453B79">
        <w:rPr>
          <w:rFonts w:ascii="Times New Roman" w:hAnsi="Times New Roman" w:cs="Times New Roman"/>
        </w:rPr>
        <w:t>I</w:t>
      </w:r>
      <w:r>
        <w:rPr>
          <w:rFonts w:ascii="Times New Roman" w:hAnsi="Times New Roman" w:cs="Times New Roman"/>
        </w:rPr>
        <w:t>ndustry Standard</w:t>
      </w:r>
      <w:r w:rsidR="00222E73">
        <w:rPr>
          <w:rFonts w:ascii="Times New Roman" w:hAnsi="Times New Roman" w:cs="Times New Roman"/>
        </w:rPr>
        <w:t>) D</w:t>
      </w:r>
      <w:r w:rsidR="00EF7D4F">
        <w:rPr>
          <w:rFonts w:ascii="Times New Roman" w:hAnsi="Times New Roman" w:cs="Times New Roman"/>
        </w:rPr>
        <w:t>irection</w:t>
      </w:r>
      <w:r w:rsidR="00222E73">
        <w:rPr>
          <w:rFonts w:ascii="Times New Roman" w:hAnsi="Times New Roman" w:cs="Times New Roman"/>
        </w:rPr>
        <w:t xml:space="preserve"> (No. </w:t>
      </w:r>
      <w:r>
        <w:rPr>
          <w:rFonts w:ascii="Times New Roman" w:hAnsi="Times New Roman" w:cs="Times New Roman"/>
        </w:rPr>
        <w:t>1</w:t>
      </w:r>
      <w:r w:rsidR="00222E73">
        <w:rPr>
          <w:rFonts w:ascii="Times New Roman" w:hAnsi="Times New Roman" w:cs="Times New Roman"/>
        </w:rPr>
        <w:t>)</w:t>
      </w:r>
      <w:r w:rsidR="00222E73" w:rsidRPr="003F2B22">
        <w:rPr>
          <w:rFonts w:ascii="Times New Roman" w:hAnsi="Times New Roman" w:cs="Times New Roman"/>
        </w:rPr>
        <w:t xml:space="preserve"> 201</w:t>
      </w:r>
      <w:r w:rsidR="00490DD8">
        <w:rPr>
          <w:rFonts w:ascii="Times New Roman" w:hAnsi="Times New Roman" w:cs="Times New Roman"/>
        </w:rPr>
        <w:t>2</w:t>
      </w:r>
    </w:p>
    <w:bookmarkEnd w:id="1"/>
    <w:bookmarkEnd w:id="2"/>
    <w:p w:rsidR="00222E73" w:rsidRPr="003F2B22" w:rsidRDefault="00222E73" w:rsidP="00222E73">
      <w:pPr>
        <w:spacing w:line="276" w:lineRule="auto"/>
      </w:pPr>
    </w:p>
    <w:p w:rsidR="00222E73" w:rsidRPr="004D342B" w:rsidRDefault="00222E73" w:rsidP="00222E73">
      <w:pPr>
        <w:spacing w:before="400" w:line="276" w:lineRule="auto"/>
      </w:pPr>
      <w:r w:rsidRPr="003F2B22">
        <w:t>I,</w:t>
      </w:r>
      <w:r w:rsidRPr="003F2B22">
        <w:rPr>
          <w:caps/>
        </w:rPr>
        <w:t xml:space="preserve"> STEPHEN michael CONROY</w:t>
      </w:r>
      <w:r w:rsidRPr="003F2B22">
        <w:t xml:space="preserve">, Minister for Broadband, Communications and the Digital Economy, </w:t>
      </w:r>
      <w:r w:rsidR="00C558B5">
        <w:t xml:space="preserve">give the following </w:t>
      </w:r>
      <w:r w:rsidR="004D342B">
        <w:t>direct</w:t>
      </w:r>
      <w:r w:rsidR="00C558B5">
        <w:t>ion</w:t>
      </w:r>
      <w:r w:rsidR="004D342B">
        <w:t xml:space="preserve"> </w:t>
      </w:r>
      <w:r w:rsidRPr="003F2B22">
        <w:t xml:space="preserve">under </w:t>
      </w:r>
      <w:r>
        <w:t>sub</w:t>
      </w:r>
      <w:r w:rsidR="00C558B5">
        <w:t>section</w:t>
      </w:r>
      <w:r>
        <w:t xml:space="preserve"> </w:t>
      </w:r>
      <w:proofErr w:type="gramStart"/>
      <w:r w:rsidR="00490DD8">
        <w:t>125AA</w:t>
      </w:r>
      <w:r>
        <w:t>(</w:t>
      </w:r>
      <w:proofErr w:type="gramEnd"/>
      <w:r>
        <w:t>4)</w:t>
      </w:r>
      <w:r w:rsidRPr="003F2B22">
        <w:t xml:space="preserve"> </w:t>
      </w:r>
      <w:r>
        <w:t xml:space="preserve">of </w:t>
      </w:r>
      <w:r w:rsidRPr="003F2B22">
        <w:t xml:space="preserve">the </w:t>
      </w:r>
      <w:r w:rsidRPr="003F2B22">
        <w:rPr>
          <w:i/>
          <w:iCs/>
        </w:rPr>
        <w:t>Telecommunications Act 199</w:t>
      </w:r>
      <w:r>
        <w:rPr>
          <w:i/>
          <w:iCs/>
        </w:rPr>
        <w:t>7</w:t>
      </w:r>
      <w:r w:rsidR="00C558B5" w:rsidRPr="00C558B5">
        <w:rPr>
          <w:iCs/>
        </w:rPr>
        <w:t>.</w:t>
      </w:r>
      <w:r w:rsidR="004D342B" w:rsidRPr="004D342B">
        <w:rPr>
          <w:iCs/>
        </w:rPr>
        <w:t xml:space="preserve"> </w:t>
      </w:r>
    </w:p>
    <w:p w:rsidR="00222E73" w:rsidRPr="003F2B22" w:rsidRDefault="0042240D" w:rsidP="00222E73">
      <w:pPr>
        <w:tabs>
          <w:tab w:val="center" w:pos="3119"/>
        </w:tabs>
        <w:spacing w:before="300" w:after="600" w:line="276" w:lineRule="auto"/>
      </w:pPr>
      <w:r>
        <w:t>Dated 23 August</w:t>
      </w:r>
      <w:r w:rsidR="00490DD8">
        <w:t xml:space="preserve"> </w:t>
      </w:r>
      <w:r w:rsidR="00222E73" w:rsidRPr="003F2B22">
        <w:t>201</w:t>
      </w:r>
      <w:r w:rsidR="00490DD8">
        <w:t>2</w:t>
      </w:r>
    </w:p>
    <w:p w:rsidR="00222E73" w:rsidRPr="003F2B22" w:rsidRDefault="00222E73" w:rsidP="00222E73">
      <w:pPr>
        <w:pStyle w:val="HP"/>
        <w:keepNext w:val="0"/>
        <w:spacing w:before="0" w:line="276" w:lineRule="auto"/>
        <w:rPr>
          <w:rFonts w:ascii="Times New Roman" w:hAnsi="Times New Roman" w:cs="Times New Roman"/>
          <w:b w:val="0"/>
          <w:bCs w:val="0"/>
        </w:rPr>
      </w:pPr>
      <w:r w:rsidRPr="003F2B22">
        <w:rPr>
          <w:rFonts w:ascii="Times New Roman" w:hAnsi="Times New Roman" w:cs="Times New Roman"/>
          <w:b w:val="0"/>
          <w:bCs w:val="0"/>
        </w:rPr>
        <w:t xml:space="preserve">STEPHEN </w:t>
      </w:r>
      <w:r w:rsidR="00C558B5">
        <w:rPr>
          <w:rFonts w:ascii="Times New Roman" w:hAnsi="Times New Roman" w:cs="Times New Roman"/>
          <w:b w:val="0"/>
          <w:bCs w:val="0"/>
        </w:rPr>
        <w:t xml:space="preserve">MICHAEL </w:t>
      </w:r>
      <w:r w:rsidRPr="003F2B22">
        <w:rPr>
          <w:rFonts w:ascii="Times New Roman" w:hAnsi="Times New Roman" w:cs="Times New Roman"/>
          <w:b w:val="0"/>
          <w:bCs w:val="0"/>
        </w:rPr>
        <w:t>CONROY</w:t>
      </w:r>
    </w:p>
    <w:p w:rsidR="00222E73" w:rsidRPr="003F2B22" w:rsidRDefault="00222E73" w:rsidP="00222E73">
      <w:pPr>
        <w:spacing w:line="276" w:lineRule="auto"/>
        <w:jc w:val="center"/>
      </w:pPr>
      <w:r w:rsidRPr="003F2B22">
        <w:t>Minister for Broadband, Communications and the Digital Economy _________________________________________________________________</w:t>
      </w:r>
    </w:p>
    <w:p w:rsidR="00222E73" w:rsidRPr="003F2B22" w:rsidRDefault="00222E73" w:rsidP="00222E73">
      <w:pPr>
        <w:pStyle w:val="HR"/>
        <w:numPr>
          <w:ilvl w:val="0"/>
          <w:numId w:val="1"/>
        </w:numPr>
        <w:tabs>
          <w:tab w:val="clear" w:pos="540"/>
        </w:tabs>
        <w:spacing w:before="400" w:line="276" w:lineRule="auto"/>
        <w:jc w:val="left"/>
        <w:rPr>
          <w:rFonts w:ascii="Times New Roman" w:hAnsi="Times New Roman" w:cs="Times New Roman"/>
        </w:rPr>
      </w:pPr>
      <w:r w:rsidRPr="003F2B22">
        <w:rPr>
          <w:rFonts w:ascii="Times New Roman" w:hAnsi="Times New Roman" w:cs="Times New Roman"/>
        </w:rPr>
        <w:t xml:space="preserve">Name of </w:t>
      </w:r>
      <w:r>
        <w:rPr>
          <w:rFonts w:ascii="Times New Roman" w:hAnsi="Times New Roman" w:cs="Times New Roman"/>
        </w:rPr>
        <w:t>D</w:t>
      </w:r>
      <w:r w:rsidR="00121542">
        <w:rPr>
          <w:rFonts w:ascii="Times New Roman" w:hAnsi="Times New Roman" w:cs="Times New Roman"/>
        </w:rPr>
        <w:t>irection</w:t>
      </w:r>
    </w:p>
    <w:p w:rsidR="00222E73" w:rsidRPr="003F2B22" w:rsidRDefault="00222E73" w:rsidP="00222E73">
      <w:pPr>
        <w:spacing w:before="120" w:after="120" w:line="276" w:lineRule="auto"/>
        <w:ind w:left="567"/>
        <w:rPr>
          <w:b/>
          <w:bCs/>
        </w:rPr>
      </w:pPr>
      <w:r w:rsidRPr="003F2B22">
        <w:t xml:space="preserve">This </w:t>
      </w:r>
      <w:r>
        <w:t>D</w:t>
      </w:r>
      <w:r w:rsidR="008A3286">
        <w:t>irection</w:t>
      </w:r>
      <w:r w:rsidRPr="003F2B22">
        <w:t xml:space="preserve"> is the </w:t>
      </w:r>
      <w:r w:rsidR="00C558B5" w:rsidRPr="00C558B5">
        <w:rPr>
          <w:i/>
        </w:rPr>
        <w:t xml:space="preserve">Australian Communications and Media Authority </w:t>
      </w:r>
      <w:r w:rsidRPr="00A3348A">
        <w:rPr>
          <w:i/>
        </w:rPr>
        <w:t>(</w:t>
      </w:r>
      <w:r w:rsidR="00490DD8">
        <w:rPr>
          <w:i/>
        </w:rPr>
        <w:t>International Mobile Roaming</w:t>
      </w:r>
      <w:r w:rsidR="00C558B5">
        <w:rPr>
          <w:i/>
        </w:rPr>
        <w:t xml:space="preserve"> Industry Standard</w:t>
      </w:r>
      <w:r w:rsidRPr="00A3348A">
        <w:rPr>
          <w:i/>
        </w:rPr>
        <w:t>) D</w:t>
      </w:r>
      <w:r w:rsidR="00C558B5">
        <w:rPr>
          <w:i/>
        </w:rPr>
        <w:t xml:space="preserve">irection </w:t>
      </w:r>
      <w:r w:rsidRPr="00A3348A">
        <w:rPr>
          <w:i/>
        </w:rPr>
        <w:t>(No.</w:t>
      </w:r>
      <w:r w:rsidR="00C558B5">
        <w:rPr>
          <w:i/>
        </w:rPr>
        <w:t xml:space="preserve"> 1)</w:t>
      </w:r>
      <w:r w:rsidRPr="00A3348A">
        <w:rPr>
          <w:i/>
        </w:rPr>
        <w:t xml:space="preserve"> 201</w:t>
      </w:r>
      <w:r w:rsidR="00490DD8">
        <w:rPr>
          <w:i/>
        </w:rPr>
        <w:t>2</w:t>
      </w:r>
      <w:r w:rsidRPr="003F2B22">
        <w:rPr>
          <w:i/>
          <w:iCs/>
        </w:rPr>
        <w:t xml:space="preserve">. </w:t>
      </w:r>
    </w:p>
    <w:p w:rsidR="00222E73" w:rsidRPr="003F2B22" w:rsidRDefault="00222E73" w:rsidP="00222E73">
      <w:pPr>
        <w:pStyle w:val="HR"/>
        <w:numPr>
          <w:ilvl w:val="0"/>
          <w:numId w:val="1"/>
        </w:numPr>
        <w:tabs>
          <w:tab w:val="clear" w:pos="540"/>
        </w:tabs>
        <w:spacing w:line="276" w:lineRule="auto"/>
        <w:ind w:left="357" w:hanging="357"/>
        <w:jc w:val="left"/>
        <w:rPr>
          <w:rFonts w:ascii="Times New Roman" w:hAnsi="Times New Roman" w:cs="Times New Roman"/>
        </w:rPr>
      </w:pPr>
      <w:r w:rsidRPr="003F2B22">
        <w:rPr>
          <w:rFonts w:ascii="Times New Roman" w:hAnsi="Times New Roman" w:cs="Times New Roman"/>
        </w:rPr>
        <w:t>Commencement</w:t>
      </w:r>
    </w:p>
    <w:p w:rsidR="00222E73" w:rsidRDefault="00222E73" w:rsidP="00222E73">
      <w:pPr>
        <w:spacing w:before="120" w:after="120" w:line="276" w:lineRule="auto"/>
        <w:ind w:left="567"/>
        <w:rPr>
          <w:i/>
          <w:color w:val="000000"/>
          <w:spacing w:val="-3"/>
          <w:szCs w:val="24"/>
          <w:lang w:val="en-US"/>
        </w:rPr>
      </w:pPr>
      <w:r w:rsidRPr="003F2B22">
        <w:t xml:space="preserve">This </w:t>
      </w:r>
      <w:r w:rsidR="008A3286">
        <w:t xml:space="preserve">Direction </w:t>
      </w:r>
      <w:r w:rsidRPr="003F2B22">
        <w:t>commences</w:t>
      </w:r>
      <w:r>
        <w:rPr>
          <w:color w:val="000000"/>
          <w:spacing w:val="-3"/>
          <w:szCs w:val="24"/>
          <w:lang w:val="en-US"/>
        </w:rPr>
        <w:t xml:space="preserve"> the day after it is registered on the Federal Register of Legislative Instruments</w:t>
      </w:r>
      <w:r w:rsidRPr="003F2B22">
        <w:rPr>
          <w:i/>
          <w:color w:val="000000"/>
          <w:spacing w:val="-3"/>
          <w:szCs w:val="24"/>
          <w:lang w:val="en-US"/>
        </w:rPr>
        <w:t>.</w:t>
      </w:r>
    </w:p>
    <w:p w:rsidR="00351FA0" w:rsidRPr="003F2B22" w:rsidRDefault="00351FA0" w:rsidP="00351FA0">
      <w:pPr>
        <w:pStyle w:val="HR"/>
        <w:numPr>
          <w:ilvl w:val="0"/>
          <w:numId w:val="1"/>
        </w:numPr>
        <w:tabs>
          <w:tab w:val="clear" w:pos="540"/>
        </w:tabs>
        <w:spacing w:line="276" w:lineRule="auto"/>
        <w:ind w:left="357" w:hanging="357"/>
        <w:jc w:val="left"/>
        <w:rPr>
          <w:rFonts w:ascii="Times New Roman" w:hAnsi="Times New Roman" w:cs="Times New Roman"/>
        </w:rPr>
      </w:pPr>
      <w:r w:rsidRPr="003F2B22">
        <w:rPr>
          <w:rFonts w:ascii="Times New Roman" w:hAnsi="Times New Roman" w:cs="Times New Roman"/>
        </w:rPr>
        <w:t>C</w:t>
      </w:r>
      <w:r>
        <w:rPr>
          <w:rFonts w:ascii="Times New Roman" w:hAnsi="Times New Roman" w:cs="Times New Roman"/>
        </w:rPr>
        <w:t>essation</w:t>
      </w:r>
    </w:p>
    <w:p w:rsidR="00351FA0" w:rsidRDefault="00351FA0" w:rsidP="00351FA0">
      <w:pPr>
        <w:spacing w:before="120" w:after="120" w:line="276" w:lineRule="auto"/>
        <w:ind w:left="567"/>
        <w:rPr>
          <w:i/>
          <w:color w:val="000000"/>
          <w:spacing w:val="-3"/>
          <w:szCs w:val="24"/>
          <w:lang w:val="en-US"/>
        </w:rPr>
      </w:pPr>
      <w:r w:rsidRPr="003F2B22">
        <w:t xml:space="preserve">This </w:t>
      </w:r>
      <w:r>
        <w:t xml:space="preserve">Direction </w:t>
      </w:r>
      <w:r w:rsidRPr="003F2B22">
        <w:t>c</w:t>
      </w:r>
      <w:r>
        <w:t xml:space="preserve">eases one day after the </w:t>
      </w:r>
      <w:r w:rsidR="00473D16">
        <w:t xml:space="preserve">industry standard to be made in accordance with subclause 5(1) comes </w:t>
      </w:r>
      <w:r>
        <w:t>into operation.</w:t>
      </w:r>
    </w:p>
    <w:p w:rsidR="00222E73" w:rsidRPr="003F2B22" w:rsidRDefault="00222E73" w:rsidP="00222E73">
      <w:pPr>
        <w:pStyle w:val="HR"/>
        <w:numPr>
          <w:ilvl w:val="0"/>
          <w:numId w:val="1"/>
        </w:numPr>
        <w:tabs>
          <w:tab w:val="clear" w:pos="540"/>
        </w:tabs>
        <w:spacing w:line="276" w:lineRule="auto"/>
        <w:ind w:left="357" w:hanging="357"/>
        <w:jc w:val="left"/>
        <w:rPr>
          <w:rFonts w:ascii="Times New Roman" w:hAnsi="Times New Roman" w:cs="Times New Roman"/>
        </w:rPr>
      </w:pPr>
      <w:r w:rsidRPr="003F2B22">
        <w:rPr>
          <w:rFonts w:ascii="Times New Roman" w:hAnsi="Times New Roman" w:cs="Times New Roman"/>
        </w:rPr>
        <w:t>Definitions</w:t>
      </w:r>
    </w:p>
    <w:p w:rsidR="00222E73" w:rsidRPr="003F2B22" w:rsidRDefault="00222E73" w:rsidP="00222E73">
      <w:pPr>
        <w:spacing w:before="120" w:after="120" w:line="276" w:lineRule="auto"/>
        <w:ind w:left="567"/>
      </w:pPr>
      <w:r w:rsidRPr="003F2B22">
        <w:t xml:space="preserve">In this </w:t>
      </w:r>
      <w:r>
        <w:t>D</w:t>
      </w:r>
      <w:r w:rsidR="008A3286">
        <w:t>irection</w:t>
      </w:r>
      <w:r w:rsidRPr="003F2B22">
        <w:t>:</w:t>
      </w:r>
    </w:p>
    <w:p w:rsidR="00351FA0" w:rsidRDefault="00351FA0" w:rsidP="00281B1D">
      <w:pPr>
        <w:spacing w:before="120" w:after="120" w:line="276" w:lineRule="auto"/>
        <w:ind w:left="567"/>
      </w:pPr>
      <w:r w:rsidRPr="00180CE6">
        <w:rPr>
          <w:b/>
          <w:i/>
        </w:rPr>
        <w:t>ACMA</w:t>
      </w:r>
      <w:r w:rsidRPr="00351FA0">
        <w:t xml:space="preserve"> means the Australian Communications and </w:t>
      </w:r>
      <w:r w:rsidR="003C6C2E">
        <w:t>M</w:t>
      </w:r>
      <w:r w:rsidRPr="00351FA0">
        <w:t>edia Authority.</w:t>
      </w:r>
    </w:p>
    <w:p w:rsidR="00351FA0" w:rsidRPr="00351FA0" w:rsidRDefault="00351FA0" w:rsidP="00281B1D">
      <w:pPr>
        <w:spacing w:before="120" w:after="120" w:line="276" w:lineRule="auto"/>
        <w:ind w:left="567"/>
      </w:pPr>
      <w:r w:rsidRPr="00180CE6">
        <w:rPr>
          <w:b/>
          <w:i/>
        </w:rPr>
        <w:t>Act</w:t>
      </w:r>
      <w:r w:rsidRPr="00351FA0">
        <w:t xml:space="preserve"> means the </w:t>
      </w:r>
      <w:r w:rsidRPr="00351FA0">
        <w:rPr>
          <w:i/>
        </w:rPr>
        <w:t>Telecommunications Act 1997.</w:t>
      </w:r>
    </w:p>
    <w:p w:rsidR="00281B1D" w:rsidRDefault="00490DD8" w:rsidP="00281B1D">
      <w:pPr>
        <w:spacing w:before="120" w:after="120" w:line="276" w:lineRule="auto"/>
        <w:ind w:left="567"/>
      </w:pPr>
      <w:r w:rsidRPr="00445B9E">
        <w:rPr>
          <w:b/>
          <w:i/>
        </w:rPr>
        <w:t>International mobile roaming</w:t>
      </w:r>
      <w:r w:rsidR="00B23E83" w:rsidRPr="00445B9E">
        <w:rPr>
          <w:b/>
          <w:i/>
        </w:rPr>
        <w:t xml:space="preserve"> service</w:t>
      </w:r>
      <w:r w:rsidR="00281B1D" w:rsidRPr="00445B9E">
        <w:t xml:space="preserve"> </w:t>
      </w:r>
      <w:r w:rsidR="00B23E83" w:rsidRPr="00445B9E">
        <w:t xml:space="preserve">means a carriage </w:t>
      </w:r>
      <w:r w:rsidR="00760B07" w:rsidRPr="00445B9E">
        <w:t>service that enables a mobile subscriber to automatically and seamlessly make</w:t>
      </w:r>
      <w:r w:rsidR="00632D0A">
        <w:t>,</w:t>
      </w:r>
      <w:r w:rsidR="00760B07" w:rsidRPr="00445B9E">
        <w:t xml:space="preserve"> send</w:t>
      </w:r>
      <w:r w:rsidR="00632D0A">
        <w:t>,</w:t>
      </w:r>
      <w:r w:rsidR="00760B07" w:rsidRPr="00445B9E">
        <w:t xml:space="preserve"> access </w:t>
      </w:r>
      <w:r w:rsidR="00445B9E" w:rsidRPr="00445B9E">
        <w:t>or</w:t>
      </w:r>
      <w:r w:rsidR="00760B07" w:rsidRPr="00445B9E">
        <w:t xml:space="preserve"> receive </w:t>
      </w:r>
      <w:r w:rsidR="00760B07" w:rsidRPr="00445B9E">
        <w:lastRenderedPageBreak/>
        <w:t>voice calls</w:t>
      </w:r>
      <w:r w:rsidR="00632D0A">
        <w:t xml:space="preserve"> and</w:t>
      </w:r>
      <w:r w:rsidR="00760B07" w:rsidRPr="00445B9E">
        <w:t xml:space="preserve"> SMS and </w:t>
      </w:r>
      <w:r w:rsidR="00445B9E" w:rsidRPr="00445B9E">
        <w:t>to download and upload data</w:t>
      </w:r>
      <w:r w:rsidR="00760B07" w:rsidRPr="00445B9E">
        <w:t xml:space="preserve"> when travelling abroad </w:t>
      </w:r>
      <w:r w:rsidR="00445B9E" w:rsidRPr="00445B9E">
        <w:t xml:space="preserve">outside the normal coverage area </w:t>
      </w:r>
      <w:r w:rsidR="00760B07" w:rsidRPr="00445B9E">
        <w:t>without losing the connection.</w:t>
      </w:r>
    </w:p>
    <w:p w:rsidR="00445B9E" w:rsidRPr="00445B9E" w:rsidRDefault="00445B9E" w:rsidP="00281B1D">
      <w:pPr>
        <w:spacing w:before="120" w:after="120" w:line="276" w:lineRule="auto"/>
        <w:ind w:left="567"/>
      </w:pPr>
      <w:r>
        <w:rPr>
          <w:b/>
          <w:i/>
        </w:rPr>
        <w:t>SMS</w:t>
      </w:r>
      <w:r w:rsidRPr="00445B9E">
        <w:t xml:space="preserve"> means short message service.</w:t>
      </w:r>
    </w:p>
    <w:p w:rsidR="002D36F7" w:rsidRPr="008F3DC5" w:rsidRDefault="002D36F7" w:rsidP="002D36F7">
      <w:pPr>
        <w:pStyle w:val="definition"/>
        <w:tabs>
          <w:tab w:val="clear" w:pos="1260"/>
          <w:tab w:val="left" w:pos="851"/>
        </w:tabs>
        <w:spacing w:before="120" w:after="120"/>
        <w:ind w:left="567"/>
        <w:jc w:val="left"/>
        <w:rPr>
          <w:rFonts w:ascii="Times New Roman" w:hAnsi="Times New Roman" w:cs="Times New Roman"/>
          <w:bCs/>
          <w:iCs/>
          <w:color w:val="000000" w:themeColor="text1"/>
          <w:sz w:val="20"/>
          <w:szCs w:val="20"/>
        </w:rPr>
      </w:pPr>
      <w:r w:rsidRPr="008F3DC5">
        <w:rPr>
          <w:rFonts w:ascii="Times New Roman" w:hAnsi="Times New Roman" w:cs="Times New Roman"/>
          <w:b/>
          <w:bCs/>
          <w:i/>
          <w:iCs/>
          <w:color w:val="000000" w:themeColor="text1"/>
          <w:sz w:val="20"/>
          <w:szCs w:val="20"/>
        </w:rPr>
        <w:t>Note</w:t>
      </w:r>
      <w:r w:rsidRPr="008F3DC5">
        <w:rPr>
          <w:rFonts w:ascii="Times New Roman" w:hAnsi="Times New Roman" w:cs="Times New Roman"/>
          <w:bCs/>
          <w:i/>
          <w:iCs/>
          <w:color w:val="000000" w:themeColor="text1"/>
          <w:sz w:val="20"/>
          <w:szCs w:val="20"/>
        </w:rPr>
        <w:tab/>
      </w:r>
      <w:r w:rsidR="009F2BA5">
        <w:rPr>
          <w:rFonts w:ascii="Times New Roman" w:hAnsi="Times New Roman" w:cs="Times New Roman"/>
          <w:bCs/>
          <w:i/>
          <w:iCs/>
          <w:color w:val="000000" w:themeColor="text1"/>
          <w:sz w:val="20"/>
          <w:szCs w:val="20"/>
        </w:rPr>
        <w:t xml:space="preserve"> </w:t>
      </w:r>
      <w:r w:rsidRPr="008F3DC5">
        <w:rPr>
          <w:rFonts w:ascii="Times New Roman" w:hAnsi="Times New Roman" w:cs="Times New Roman"/>
          <w:bCs/>
          <w:iCs/>
          <w:color w:val="000000" w:themeColor="text1"/>
          <w:sz w:val="20"/>
          <w:szCs w:val="20"/>
        </w:rPr>
        <w:t xml:space="preserve">By virtue of </w:t>
      </w:r>
      <w:r w:rsidR="00180CE6">
        <w:rPr>
          <w:rFonts w:ascii="Times New Roman" w:hAnsi="Times New Roman" w:cs="Times New Roman"/>
          <w:bCs/>
          <w:iCs/>
          <w:color w:val="000000" w:themeColor="text1"/>
          <w:sz w:val="20"/>
          <w:szCs w:val="20"/>
        </w:rPr>
        <w:t>paragraph</w:t>
      </w:r>
      <w:r w:rsidRPr="008F3DC5">
        <w:rPr>
          <w:rFonts w:ascii="Times New Roman" w:hAnsi="Times New Roman" w:cs="Times New Roman"/>
          <w:bCs/>
          <w:iCs/>
          <w:color w:val="000000" w:themeColor="text1"/>
          <w:sz w:val="20"/>
          <w:szCs w:val="20"/>
        </w:rPr>
        <w:t xml:space="preserve"> 13(1</w:t>
      </w:r>
      <w:proofErr w:type="gramStart"/>
      <w:r>
        <w:rPr>
          <w:rFonts w:ascii="Times New Roman" w:hAnsi="Times New Roman" w:cs="Times New Roman"/>
          <w:bCs/>
          <w:iCs/>
          <w:color w:val="000000" w:themeColor="text1"/>
          <w:sz w:val="20"/>
          <w:szCs w:val="20"/>
        </w:rPr>
        <w:t>)</w:t>
      </w:r>
      <w:r w:rsidRPr="008F3DC5">
        <w:rPr>
          <w:rFonts w:ascii="Times New Roman" w:hAnsi="Times New Roman" w:cs="Times New Roman"/>
          <w:bCs/>
          <w:iCs/>
          <w:color w:val="000000" w:themeColor="text1"/>
          <w:sz w:val="20"/>
          <w:szCs w:val="20"/>
        </w:rPr>
        <w:t>(</w:t>
      </w:r>
      <w:proofErr w:type="gramEnd"/>
      <w:r w:rsidRPr="008F3DC5">
        <w:rPr>
          <w:rFonts w:ascii="Times New Roman" w:hAnsi="Times New Roman" w:cs="Times New Roman"/>
          <w:bCs/>
          <w:iCs/>
          <w:color w:val="000000" w:themeColor="text1"/>
          <w:sz w:val="20"/>
          <w:szCs w:val="20"/>
        </w:rPr>
        <w:t xml:space="preserve">b) of the </w:t>
      </w:r>
      <w:r w:rsidRPr="008F3DC5">
        <w:rPr>
          <w:rFonts w:ascii="Times New Roman" w:hAnsi="Times New Roman" w:cs="Times New Roman"/>
          <w:bCs/>
          <w:i/>
          <w:iCs/>
          <w:color w:val="000000" w:themeColor="text1"/>
          <w:sz w:val="20"/>
          <w:szCs w:val="20"/>
        </w:rPr>
        <w:t>Legislative Instruments Act 2003</w:t>
      </w:r>
      <w:r w:rsidRPr="008F3DC5">
        <w:rPr>
          <w:rFonts w:ascii="Times New Roman" w:hAnsi="Times New Roman" w:cs="Times New Roman"/>
          <w:bCs/>
          <w:iCs/>
          <w:color w:val="000000" w:themeColor="text1"/>
          <w:sz w:val="20"/>
          <w:szCs w:val="20"/>
        </w:rPr>
        <w:t>, the following expressions have the same meaning as in the Act:</w:t>
      </w:r>
    </w:p>
    <w:p w:rsidR="002D36F7" w:rsidRDefault="002D36F7" w:rsidP="002D36F7">
      <w:pPr>
        <w:pStyle w:val="definition"/>
        <w:numPr>
          <w:ilvl w:val="0"/>
          <w:numId w:val="7"/>
        </w:numPr>
        <w:tabs>
          <w:tab w:val="clear" w:pos="1260"/>
          <w:tab w:val="left" w:pos="851"/>
        </w:tabs>
        <w:spacing w:before="120" w:after="120"/>
        <w:ind w:left="1287"/>
        <w:jc w:val="left"/>
        <w:rPr>
          <w:rFonts w:ascii="Times New Roman" w:hAnsi="Times New Roman" w:cs="Times New Roman"/>
          <w:bCs/>
          <w:iCs/>
          <w:color w:val="000000" w:themeColor="text1"/>
          <w:sz w:val="20"/>
          <w:szCs w:val="20"/>
        </w:rPr>
      </w:pPr>
      <w:r w:rsidRPr="008F3DC5">
        <w:rPr>
          <w:rFonts w:ascii="Times New Roman" w:hAnsi="Times New Roman" w:cs="Times New Roman"/>
          <w:bCs/>
          <w:iCs/>
          <w:color w:val="000000" w:themeColor="text1"/>
          <w:sz w:val="20"/>
          <w:szCs w:val="20"/>
        </w:rPr>
        <w:t>carriage service</w:t>
      </w:r>
    </w:p>
    <w:p w:rsidR="00180CE6" w:rsidRPr="008F3DC5" w:rsidRDefault="00180CE6" w:rsidP="0042240D">
      <w:pPr>
        <w:pStyle w:val="definition"/>
        <w:numPr>
          <w:ilvl w:val="0"/>
          <w:numId w:val="7"/>
        </w:numPr>
        <w:tabs>
          <w:tab w:val="clear" w:pos="1260"/>
          <w:tab w:val="left" w:pos="851"/>
        </w:tabs>
        <w:spacing w:before="120" w:after="80"/>
        <w:ind w:left="1281" w:hanging="357"/>
        <w:jc w:val="left"/>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carriage service provider</w:t>
      </w:r>
    </w:p>
    <w:p w:rsidR="00CF613F" w:rsidRPr="003F2B22" w:rsidRDefault="009F2BA5" w:rsidP="0042240D">
      <w:pPr>
        <w:pStyle w:val="HR"/>
        <w:numPr>
          <w:ilvl w:val="0"/>
          <w:numId w:val="1"/>
        </w:numPr>
        <w:tabs>
          <w:tab w:val="clear" w:pos="540"/>
        </w:tabs>
        <w:spacing w:before="160" w:line="276" w:lineRule="auto"/>
        <w:ind w:left="357" w:hanging="357"/>
        <w:jc w:val="left"/>
        <w:rPr>
          <w:rFonts w:ascii="Times New Roman" w:hAnsi="Times New Roman" w:cs="Times New Roman"/>
        </w:rPr>
      </w:pPr>
      <w:r>
        <w:rPr>
          <w:rFonts w:ascii="Times New Roman" w:hAnsi="Times New Roman" w:cs="Times New Roman"/>
        </w:rPr>
        <w:t>Direction</w:t>
      </w:r>
    </w:p>
    <w:p w:rsidR="009F2BA5" w:rsidRDefault="009F2BA5" w:rsidP="009F2BA5">
      <w:pPr>
        <w:pStyle w:val="ListParagraph"/>
        <w:numPr>
          <w:ilvl w:val="0"/>
          <w:numId w:val="8"/>
        </w:numPr>
        <w:tabs>
          <w:tab w:val="left" w:pos="851"/>
        </w:tabs>
        <w:spacing w:before="120" w:after="120" w:line="276" w:lineRule="auto"/>
      </w:pPr>
      <w:r>
        <w:t xml:space="preserve"> I direct the ACMA to </w:t>
      </w:r>
      <w:r w:rsidRPr="00D21B63">
        <w:t>make a</w:t>
      </w:r>
      <w:r>
        <w:t>n</w:t>
      </w:r>
      <w:r w:rsidRPr="00D21B63">
        <w:t xml:space="preserve"> </w:t>
      </w:r>
      <w:r>
        <w:t xml:space="preserve">industry </w:t>
      </w:r>
      <w:r w:rsidRPr="00D21B63">
        <w:t xml:space="preserve">standard under section </w:t>
      </w:r>
      <w:r>
        <w:t xml:space="preserve">125AA(1) </w:t>
      </w:r>
      <w:r w:rsidRPr="00D21B63">
        <w:t>of the Act</w:t>
      </w:r>
      <w:r>
        <w:t>:</w:t>
      </w:r>
    </w:p>
    <w:p w:rsidR="009F2BA5" w:rsidRDefault="00510C98" w:rsidP="00006124">
      <w:pPr>
        <w:spacing w:before="120" w:after="120" w:line="276" w:lineRule="auto"/>
        <w:ind w:left="1134" w:hanging="284"/>
      </w:pPr>
      <w:r>
        <w:t xml:space="preserve">(a) </w:t>
      </w:r>
      <w:proofErr w:type="gramStart"/>
      <w:r w:rsidR="009F2BA5" w:rsidRPr="00E11305">
        <w:t>apply</w:t>
      </w:r>
      <w:r w:rsidR="009F2BA5">
        <w:t>ing</w:t>
      </w:r>
      <w:proofErr w:type="gramEnd"/>
      <w:r w:rsidR="009F2BA5" w:rsidRPr="00E11305">
        <w:t xml:space="preserve"> to all </w:t>
      </w:r>
      <w:r w:rsidR="00180CE6">
        <w:t xml:space="preserve">carriage service </w:t>
      </w:r>
      <w:r w:rsidR="009F2BA5">
        <w:t xml:space="preserve">providers </w:t>
      </w:r>
      <w:r w:rsidR="00180CE6">
        <w:t>supplying</w:t>
      </w:r>
      <w:r w:rsidR="009F2BA5">
        <w:t xml:space="preserve"> </w:t>
      </w:r>
      <w:r w:rsidR="009F2BA5" w:rsidRPr="00E11305">
        <w:t>international mobile roaming services</w:t>
      </w:r>
      <w:r w:rsidR="00663AB4">
        <w:t xml:space="preserve"> (‘Providers’)</w:t>
      </w:r>
      <w:r w:rsidR="009F2BA5">
        <w:t>; and</w:t>
      </w:r>
    </w:p>
    <w:p w:rsidR="009F2BA5" w:rsidRDefault="00510C98" w:rsidP="00006124">
      <w:pPr>
        <w:spacing w:before="120" w:after="120" w:line="276" w:lineRule="auto"/>
        <w:ind w:left="1134" w:hanging="284"/>
      </w:pPr>
      <w:r>
        <w:t xml:space="preserve">(b) </w:t>
      </w:r>
      <w:proofErr w:type="gramStart"/>
      <w:r w:rsidR="009F2BA5">
        <w:t>complying</w:t>
      </w:r>
      <w:proofErr w:type="gramEnd"/>
      <w:r w:rsidR="009F2BA5">
        <w:t xml:space="preserve"> with clause 6 of this D</w:t>
      </w:r>
      <w:r w:rsidR="00121542">
        <w:t>irection</w:t>
      </w:r>
      <w:r w:rsidR="009F2BA5">
        <w:t>.</w:t>
      </w:r>
    </w:p>
    <w:p w:rsidR="00C43E9D" w:rsidRDefault="00473D16" w:rsidP="00473D16">
      <w:pPr>
        <w:pStyle w:val="ListParagraph"/>
        <w:numPr>
          <w:ilvl w:val="0"/>
          <w:numId w:val="8"/>
        </w:numPr>
        <w:tabs>
          <w:tab w:val="left" w:pos="851"/>
        </w:tabs>
        <w:spacing w:before="120" w:after="120" w:line="276" w:lineRule="auto"/>
      </w:pPr>
      <w:r>
        <w:t xml:space="preserve"> </w:t>
      </w:r>
      <w:r w:rsidR="00C43E9D">
        <w:t>The industry standard is to be made no later than nine months after the commencement of this Direction.</w:t>
      </w:r>
    </w:p>
    <w:p w:rsidR="00473D16" w:rsidRDefault="00473D16" w:rsidP="00473D16">
      <w:pPr>
        <w:pStyle w:val="ListParagraph"/>
        <w:numPr>
          <w:ilvl w:val="0"/>
          <w:numId w:val="8"/>
        </w:numPr>
        <w:tabs>
          <w:tab w:val="left" w:pos="851"/>
        </w:tabs>
        <w:spacing w:before="120" w:after="120" w:line="276" w:lineRule="auto"/>
      </w:pPr>
      <w:r>
        <w:t>The industry standard is to commence in whole or in part no later than three months after it is made.</w:t>
      </w:r>
    </w:p>
    <w:p w:rsidR="00473D16" w:rsidRDefault="00473D16" w:rsidP="00473D16">
      <w:pPr>
        <w:pStyle w:val="ListParagraph"/>
        <w:numPr>
          <w:ilvl w:val="0"/>
          <w:numId w:val="8"/>
        </w:numPr>
        <w:tabs>
          <w:tab w:val="left" w:pos="851"/>
        </w:tabs>
        <w:spacing w:before="120" w:after="120" w:line="276" w:lineRule="auto"/>
      </w:pPr>
      <w:r>
        <w:t xml:space="preserve"> The operation of the industry standard with respect to different locations or different services may commence at different times.</w:t>
      </w:r>
    </w:p>
    <w:p w:rsidR="004A024C" w:rsidRPr="003F2B22" w:rsidRDefault="009A10A9" w:rsidP="0042240D">
      <w:pPr>
        <w:pStyle w:val="HR"/>
        <w:numPr>
          <w:ilvl w:val="0"/>
          <w:numId w:val="1"/>
        </w:numPr>
        <w:tabs>
          <w:tab w:val="clear" w:pos="540"/>
        </w:tabs>
        <w:spacing w:before="160" w:line="276" w:lineRule="auto"/>
        <w:ind w:left="357" w:hanging="357"/>
        <w:jc w:val="left"/>
        <w:rPr>
          <w:rFonts w:ascii="Times New Roman" w:hAnsi="Times New Roman" w:cs="Times New Roman"/>
        </w:rPr>
      </w:pPr>
      <w:r>
        <w:rPr>
          <w:rFonts w:ascii="Times New Roman" w:hAnsi="Times New Roman" w:cs="Times New Roman"/>
        </w:rPr>
        <w:t>Matters to be covered by the Standard</w:t>
      </w:r>
    </w:p>
    <w:p w:rsidR="00663AB4" w:rsidRPr="00663AB4" w:rsidRDefault="00663AB4" w:rsidP="00006124">
      <w:pPr>
        <w:spacing w:before="120" w:after="120" w:line="276" w:lineRule="auto"/>
        <w:ind w:left="567"/>
        <w:rPr>
          <w:szCs w:val="24"/>
        </w:rPr>
      </w:pPr>
      <w:r w:rsidRPr="00663AB4">
        <w:rPr>
          <w:szCs w:val="24"/>
        </w:rPr>
        <w:t>(1) The industry standard must set minimum requirements for all Providers to:</w:t>
      </w:r>
    </w:p>
    <w:p w:rsidR="00663AB4" w:rsidRPr="00663AB4" w:rsidRDefault="00663AB4" w:rsidP="00006124">
      <w:pPr>
        <w:spacing w:before="120" w:after="120" w:line="276" w:lineRule="auto"/>
        <w:ind w:left="1134" w:hanging="284"/>
        <w:rPr>
          <w:color w:val="000000"/>
          <w:spacing w:val="-3"/>
          <w:szCs w:val="24"/>
          <w:lang w:val="en-US"/>
        </w:rPr>
      </w:pPr>
      <w:r w:rsidRPr="00663AB4">
        <w:rPr>
          <w:color w:val="000000"/>
          <w:spacing w:val="-3"/>
          <w:szCs w:val="24"/>
          <w:lang w:val="en-US"/>
        </w:rPr>
        <w:t xml:space="preserve">(a) </w:t>
      </w:r>
      <w:proofErr w:type="gramStart"/>
      <w:r w:rsidR="00801709">
        <w:rPr>
          <w:color w:val="000000"/>
          <w:spacing w:val="-3"/>
          <w:szCs w:val="24"/>
          <w:lang w:val="en-US"/>
        </w:rPr>
        <w:t>g</w:t>
      </w:r>
      <w:r w:rsidRPr="00663AB4">
        <w:rPr>
          <w:color w:val="000000"/>
          <w:spacing w:val="-3"/>
          <w:szCs w:val="24"/>
          <w:lang w:val="en-US"/>
        </w:rPr>
        <w:t>ive</w:t>
      </w:r>
      <w:proofErr w:type="gramEnd"/>
      <w:r w:rsidRPr="00663AB4">
        <w:rPr>
          <w:color w:val="000000"/>
          <w:spacing w:val="-3"/>
          <w:szCs w:val="24"/>
          <w:lang w:val="en-US"/>
        </w:rPr>
        <w:t xml:space="preserve"> consumers information, on arrival at an overseas destination, about the charges applicable for the Providers’ international roaming services at that destination; and</w:t>
      </w:r>
    </w:p>
    <w:p w:rsidR="00663AB4" w:rsidRPr="00663AB4" w:rsidRDefault="00663AB4" w:rsidP="00006124">
      <w:pPr>
        <w:spacing w:before="120" w:after="120" w:line="276" w:lineRule="auto"/>
        <w:ind w:left="1134" w:hanging="284"/>
        <w:rPr>
          <w:color w:val="000000"/>
          <w:spacing w:val="-3"/>
          <w:szCs w:val="24"/>
          <w:lang w:val="en-US"/>
        </w:rPr>
      </w:pPr>
      <w:r w:rsidRPr="00663AB4">
        <w:rPr>
          <w:color w:val="000000"/>
          <w:spacing w:val="-3"/>
          <w:szCs w:val="24"/>
          <w:lang w:val="en-US"/>
        </w:rPr>
        <w:t xml:space="preserve">(b) </w:t>
      </w:r>
      <w:proofErr w:type="gramStart"/>
      <w:r w:rsidR="00801709">
        <w:rPr>
          <w:color w:val="000000"/>
          <w:spacing w:val="-3"/>
          <w:szCs w:val="24"/>
          <w:lang w:val="en-US"/>
        </w:rPr>
        <w:t>p</w:t>
      </w:r>
      <w:r w:rsidRPr="00663AB4">
        <w:rPr>
          <w:color w:val="000000"/>
          <w:spacing w:val="-3"/>
          <w:szCs w:val="24"/>
          <w:lang w:val="en-US"/>
        </w:rPr>
        <w:t>ermit</w:t>
      </w:r>
      <w:proofErr w:type="gramEnd"/>
      <w:r w:rsidRPr="00663AB4">
        <w:rPr>
          <w:color w:val="000000"/>
          <w:spacing w:val="-3"/>
          <w:szCs w:val="24"/>
          <w:lang w:val="en-US"/>
        </w:rPr>
        <w:t xml:space="preserve"> consumers to decline continued provision of those international roaming services, at any time, while at that overseas destination;</w:t>
      </w:r>
    </w:p>
    <w:p w:rsidR="00663AB4" w:rsidRPr="00663AB4" w:rsidRDefault="00663AB4" w:rsidP="00006124">
      <w:pPr>
        <w:spacing w:before="120" w:after="120" w:line="276" w:lineRule="auto"/>
        <w:ind w:left="567"/>
        <w:rPr>
          <w:color w:val="000000"/>
          <w:spacing w:val="-3"/>
          <w:szCs w:val="24"/>
          <w:lang w:val="en-US"/>
        </w:rPr>
      </w:pPr>
      <w:r w:rsidRPr="00663AB4">
        <w:rPr>
          <w:color w:val="000000"/>
          <w:spacing w:val="-3"/>
          <w:szCs w:val="24"/>
          <w:lang w:val="en-US"/>
        </w:rPr>
        <w:t>(2) The industry standard may deal with any other matter:</w:t>
      </w:r>
    </w:p>
    <w:p w:rsidR="00663AB4" w:rsidRPr="00663AB4" w:rsidRDefault="00663AB4" w:rsidP="00006124">
      <w:pPr>
        <w:tabs>
          <w:tab w:val="left" w:pos="2977"/>
        </w:tabs>
        <w:spacing w:before="120" w:after="120" w:line="276" w:lineRule="auto"/>
        <w:ind w:left="1134" w:hanging="284"/>
        <w:rPr>
          <w:color w:val="000000"/>
          <w:spacing w:val="-3"/>
          <w:szCs w:val="24"/>
          <w:lang w:val="en-US"/>
        </w:rPr>
      </w:pPr>
      <w:r w:rsidRPr="00663AB4">
        <w:rPr>
          <w:color w:val="000000"/>
          <w:spacing w:val="-3"/>
          <w:szCs w:val="24"/>
          <w:lang w:val="en-US"/>
        </w:rPr>
        <w:t>(a) related to international mobile roaming services that the ACMA regards as appropriate including, without limitation, measures which will enable consumers to monitor and manage the cost and their use of international roaming services; or</w:t>
      </w:r>
    </w:p>
    <w:p w:rsidR="00663AB4" w:rsidRPr="00663AB4" w:rsidRDefault="00663AB4" w:rsidP="00006124">
      <w:pPr>
        <w:tabs>
          <w:tab w:val="left" w:pos="2977"/>
        </w:tabs>
        <w:spacing w:before="120" w:after="120" w:line="276" w:lineRule="auto"/>
        <w:ind w:left="1134" w:hanging="284"/>
        <w:rPr>
          <w:color w:val="000000"/>
          <w:spacing w:val="-3"/>
          <w:szCs w:val="24"/>
          <w:lang w:val="en-US"/>
        </w:rPr>
      </w:pPr>
      <w:r w:rsidRPr="00663AB4">
        <w:rPr>
          <w:color w:val="000000"/>
          <w:spacing w:val="-3"/>
          <w:szCs w:val="24"/>
          <w:lang w:val="en-US"/>
        </w:rPr>
        <w:t xml:space="preserve">(b) </w:t>
      </w:r>
      <w:proofErr w:type="gramStart"/>
      <w:r w:rsidRPr="00663AB4">
        <w:rPr>
          <w:color w:val="000000"/>
          <w:spacing w:val="-3"/>
          <w:szCs w:val="24"/>
          <w:lang w:val="en-US"/>
        </w:rPr>
        <w:t>that</w:t>
      </w:r>
      <w:proofErr w:type="gramEnd"/>
      <w:r w:rsidRPr="00663AB4">
        <w:rPr>
          <w:color w:val="000000"/>
          <w:spacing w:val="-3"/>
          <w:szCs w:val="24"/>
          <w:lang w:val="en-US"/>
        </w:rPr>
        <w:t xml:space="preserve"> the ACMA considers ancillary or incidental to a matter specified in clause 6(1) above.</w:t>
      </w:r>
    </w:p>
    <w:p w:rsidR="00663AB4" w:rsidRPr="00663AB4" w:rsidRDefault="00663AB4" w:rsidP="00006124">
      <w:pPr>
        <w:spacing w:before="120" w:after="120" w:line="276" w:lineRule="auto"/>
        <w:ind w:left="567"/>
        <w:rPr>
          <w:color w:val="000000"/>
          <w:spacing w:val="-3"/>
          <w:szCs w:val="24"/>
          <w:lang w:val="en-US"/>
        </w:rPr>
      </w:pPr>
      <w:r w:rsidRPr="00663AB4">
        <w:rPr>
          <w:color w:val="000000"/>
          <w:spacing w:val="-3"/>
          <w:szCs w:val="24"/>
          <w:lang w:val="en-US"/>
        </w:rPr>
        <w:t>(3) Where the ACMA considers it appropriate the industry standard may override a provision in an industry code.</w:t>
      </w:r>
    </w:p>
    <w:p w:rsidR="00D60F51" w:rsidRPr="0042240D" w:rsidRDefault="00D60F51" w:rsidP="0042240D">
      <w:pPr>
        <w:pStyle w:val="definition"/>
        <w:tabs>
          <w:tab w:val="clear" w:pos="1260"/>
          <w:tab w:val="left" w:pos="851"/>
        </w:tabs>
        <w:spacing w:before="120" w:after="120"/>
        <w:ind w:left="567"/>
        <w:jc w:val="left"/>
        <w:rPr>
          <w:rFonts w:ascii="Times New Roman" w:hAnsi="Times New Roman" w:cs="Times New Roman"/>
          <w:bCs/>
          <w:iCs/>
          <w:color w:val="000000" w:themeColor="text1"/>
          <w:sz w:val="20"/>
          <w:szCs w:val="20"/>
        </w:rPr>
      </w:pPr>
      <w:r w:rsidRPr="008F3DC5">
        <w:rPr>
          <w:rFonts w:ascii="Times New Roman" w:hAnsi="Times New Roman" w:cs="Times New Roman"/>
          <w:b/>
          <w:bCs/>
          <w:i/>
          <w:iCs/>
          <w:color w:val="000000" w:themeColor="text1"/>
          <w:sz w:val="20"/>
          <w:szCs w:val="20"/>
        </w:rPr>
        <w:t>Note</w:t>
      </w:r>
      <w:r w:rsidRPr="008F3DC5">
        <w:rPr>
          <w:rFonts w:ascii="Times New Roman" w:hAnsi="Times New Roman" w:cs="Times New Roman"/>
          <w:bCs/>
          <w:i/>
          <w:iCs/>
          <w:color w:val="000000" w:themeColor="text1"/>
          <w:sz w:val="20"/>
          <w:szCs w:val="20"/>
        </w:rPr>
        <w:tab/>
      </w:r>
      <w:r w:rsidRPr="008F3DC5">
        <w:rPr>
          <w:rFonts w:ascii="Times New Roman" w:hAnsi="Times New Roman" w:cs="Times New Roman"/>
          <w:bCs/>
          <w:iCs/>
          <w:color w:val="000000" w:themeColor="text1"/>
          <w:sz w:val="20"/>
          <w:szCs w:val="20"/>
        </w:rPr>
        <w:t xml:space="preserve"> </w:t>
      </w:r>
      <w:r w:rsidRPr="00D60F51">
        <w:rPr>
          <w:color w:val="000000"/>
          <w:spacing w:val="-3"/>
          <w:sz w:val="20"/>
          <w:szCs w:val="20"/>
          <w:lang w:val="en-US"/>
        </w:rPr>
        <w:t>Examples of possible measures are provided in the Explanatory Statement that accompanies this Direction.</w:t>
      </w:r>
    </w:p>
    <w:sectPr w:rsidR="00D60F51" w:rsidRPr="0042240D" w:rsidSect="007073A5">
      <w:headerReference w:type="default" r:id="rId8"/>
      <w:pgSz w:w="11906" w:h="16838"/>
      <w:pgMar w:top="1440" w:right="1800" w:bottom="1440" w:left="180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CE6" w:rsidRPr="00101FBE" w:rsidRDefault="00180CE6" w:rsidP="00222E73">
      <w:pPr>
        <w:rPr>
          <w:sz w:val="16"/>
        </w:rPr>
      </w:pPr>
      <w:r>
        <w:separator/>
      </w:r>
    </w:p>
  </w:endnote>
  <w:endnote w:type="continuationSeparator" w:id="0">
    <w:p w:rsidR="00180CE6" w:rsidRPr="00101FBE" w:rsidRDefault="00180CE6" w:rsidP="00222E73">
      <w:pPr>
        <w:rPr>
          <w:sz w:val="16"/>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CE6" w:rsidRPr="00101FBE" w:rsidRDefault="00180CE6" w:rsidP="00222E73">
      <w:pPr>
        <w:rPr>
          <w:sz w:val="16"/>
        </w:rPr>
      </w:pPr>
      <w:r>
        <w:separator/>
      </w:r>
    </w:p>
  </w:footnote>
  <w:footnote w:type="continuationSeparator" w:id="0">
    <w:p w:rsidR="00180CE6" w:rsidRPr="00101FBE" w:rsidRDefault="00180CE6" w:rsidP="00222E73">
      <w:pPr>
        <w:rPr>
          <w:sz w:val="16"/>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E6" w:rsidRDefault="00180CE6" w:rsidP="007073A5">
    <w:pPr>
      <w:pStyle w:val="Header"/>
      <w:jc w:val="center"/>
      <w:rPr>
        <w:i/>
      </w:rPr>
    </w:pPr>
    <w:r>
      <w:rPr>
        <w:i/>
      </w:rPr>
      <w:t>Australian Communications and Media Authority</w:t>
    </w:r>
  </w:p>
  <w:p w:rsidR="00180CE6" w:rsidRPr="00A3348A" w:rsidRDefault="00180CE6" w:rsidP="007073A5">
    <w:pPr>
      <w:pStyle w:val="Header"/>
      <w:jc w:val="center"/>
      <w:rPr>
        <w:i/>
        <w:iCs/>
      </w:rPr>
    </w:pPr>
    <w:r w:rsidRPr="00A3348A">
      <w:rPr>
        <w:i/>
      </w:rPr>
      <w:t>(</w:t>
    </w:r>
    <w:r>
      <w:rPr>
        <w:i/>
      </w:rPr>
      <w:t>International Mobile Services Industry Standard</w:t>
    </w:r>
    <w:r w:rsidRPr="00A3348A">
      <w:rPr>
        <w:i/>
      </w:rPr>
      <w:t>) D</w:t>
    </w:r>
    <w:r>
      <w:rPr>
        <w:i/>
      </w:rPr>
      <w:t>irection</w:t>
    </w:r>
    <w:r w:rsidRPr="00A3348A">
      <w:rPr>
        <w:i/>
      </w:rPr>
      <w:t xml:space="preserve"> (No.</w:t>
    </w:r>
    <w:r>
      <w:rPr>
        <w:i/>
      </w:rPr>
      <w:t>1</w:t>
    </w:r>
    <w:r w:rsidRPr="00A3348A">
      <w:rPr>
        <w:i/>
      </w:rPr>
      <w:t>) 201</w:t>
    </w:r>
    <w:r>
      <w:rPr>
        <w:i/>
      </w:rPr>
      <w:t>2</w:t>
    </w:r>
  </w:p>
  <w:p w:rsidR="00180CE6" w:rsidRDefault="00180CE6" w:rsidP="007073A5">
    <w:pPr>
      <w:pStyle w:val="Header"/>
      <w:jc w:val="center"/>
      <w:rPr>
        <w:rStyle w:val="PageNumber"/>
      </w:rPr>
    </w:pPr>
    <w:r>
      <w:rPr>
        <w:i/>
        <w:iCs/>
      </w:rPr>
      <w:tab/>
    </w:r>
    <w:r>
      <w:rPr>
        <w:i/>
        <w:iCs/>
      </w:rPr>
      <w:tab/>
    </w:r>
    <w:r w:rsidR="00430C76">
      <w:rPr>
        <w:rStyle w:val="PageNumber"/>
      </w:rPr>
      <w:fldChar w:fldCharType="begin"/>
    </w:r>
    <w:r>
      <w:rPr>
        <w:rStyle w:val="PageNumber"/>
      </w:rPr>
      <w:instrText xml:space="preserve">PAGE  </w:instrText>
    </w:r>
    <w:r w:rsidR="00430C76">
      <w:rPr>
        <w:rStyle w:val="PageNumber"/>
      </w:rPr>
      <w:fldChar w:fldCharType="separate"/>
    </w:r>
    <w:r w:rsidR="0042240D">
      <w:rPr>
        <w:rStyle w:val="PageNumber"/>
        <w:noProof/>
      </w:rPr>
      <w:t>2</w:t>
    </w:r>
    <w:r w:rsidR="00430C76">
      <w:rPr>
        <w:rStyle w:val="PageNumber"/>
      </w:rPr>
      <w:fldChar w:fldCharType="end"/>
    </w:r>
  </w:p>
  <w:p w:rsidR="00180CE6" w:rsidRDefault="00180C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0CD"/>
    <w:multiLevelType w:val="hybridMultilevel"/>
    <w:tmpl w:val="BC546DCC"/>
    <w:lvl w:ilvl="0" w:tplc="856AA3D0">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7D1883"/>
    <w:multiLevelType w:val="multilevel"/>
    <w:tmpl w:val="9DE613D2"/>
    <w:numStyleLink w:val="Style1"/>
  </w:abstractNum>
  <w:abstractNum w:abstractNumId="2">
    <w:nsid w:val="19CD7A5B"/>
    <w:multiLevelType w:val="hybridMultilevel"/>
    <w:tmpl w:val="7E5ACB62"/>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
    <w:nsid w:val="1F2F128A"/>
    <w:multiLevelType w:val="multilevel"/>
    <w:tmpl w:val="9DE613D2"/>
    <w:styleLink w:val="Style1"/>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203"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2AEE3916"/>
    <w:multiLevelType w:val="hybridMultilevel"/>
    <w:tmpl w:val="7A06D98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2F8D5E81"/>
    <w:multiLevelType w:val="hybridMultilevel"/>
    <w:tmpl w:val="7F5C6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AA6D9D"/>
    <w:multiLevelType w:val="hybridMultilevel"/>
    <w:tmpl w:val="3BE42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6C50E86"/>
    <w:multiLevelType w:val="hybridMultilevel"/>
    <w:tmpl w:val="819EF91C"/>
    <w:lvl w:ilvl="0" w:tplc="4F76F7FC">
      <w:start w:val="1"/>
      <w:numFmt w:val="decimal"/>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8">
    <w:nsid w:val="57F634D0"/>
    <w:multiLevelType w:val="hybridMultilevel"/>
    <w:tmpl w:val="BBFC5D0A"/>
    <w:lvl w:ilvl="0" w:tplc="0C090019">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9">
    <w:nsid w:val="680720BD"/>
    <w:multiLevelType w:val="hybridMultilevel"/>
    <w:tmpl w:val="BA5ABFB8"/>
    <w:lvl w:ilvl="0" w:tplc="0C090019">
      <w:start w:val="1"/>
      <w:numFmt w:val="lowerLetter"/>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nsid w:val="7C8974F6"/>
    <w:multiLevelType w:val="hybridMultilevel"/>
    <w:tmpl w:val="BA5ABFB8"/>
    <w:lvl w:ilvl="0" w:tplc="0C090019">
      <w:start w:val="1"/>
      <w:numFmt w:val="lowerLetter"/>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 w:numId="8">
    <w:abstractNumId w:val="7"/>
  </w:num>
  <w:num w:numId="9">
    <w:abstractNumId w:val="1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rsids>
    <w:rsidRoot w:val="00222E73"/>
    <w:rsid w:val="00006124"/>
    <w:rsid w:val="00007EF7"/>
    <w:rsid w:val="0001233A"/>
    <w:rsid w:val="0001280E"/>
    <w:rsid w:val="0004132A"/>
    <w:rsid w:val="00071D39"/>
    <w:rsid w:val="0007632B"/>
    <w:rsid w:val="00092E51"/>
    <w:rsid w:val="0009775F"/>
    <w:rsid w:val="000C48F5"/>
    <w:rsid w:val="00101FBE"/>
    <w:rsid w:val="00121542"/>
    <w:rsid w:val="00180CE6"/>
    <w:rsid w:val="0018730F"/>
    <w:rsid w:val="00193EF6"/>
    <w:rsid w:val="001950C9"/>
    <w:rsid w:val="001C3DFD"/>
    <w:rsid w:val="001F4CDA"/>
    <w:rsid w:val="00202DC4"/>
    <w:rsid w:val="00222E73"/>
    <w:rsid w:val="00224C61"/>
    <w:rsid w:val="00254BAF"/>
    <w:rsid w:val="00263451"/>
    <w:rsid w:val="00275A38"/>
    <w:rsid w:val="00281B1D"/>
    <w:rsid w:val="002901B1"/>
    <w:rsid w:val="002B48F7"/>
    <w:rsid w:val="002D36F7"/>
    <w:rsid w:val="002D6541"/>
    <w:rsid w:val="002E0FAD"/>
    <w:rsid w:val="003027D8"/>
    <w:rsid w:val="0030486F"/>
    <w:rsid w:val="0034608B"/>
    <w:rsid w:val="00351FA0"/>
    <w:rsid w:val="00385B37"/>
    <w:rsid w:val="003871B7"/>
    <w:rsid w:val="003972FB"/>
    <w:rsid w:val="003A298F"/>
    <w:rsid w:val="003C6C2E"/>
    <w:rsid w:val="003D452F"/>
    <w:rsid w:val="003F16F0"/>
    <w:rsid w:val="003F2B22"/>
    <w:rsid w:val="0040649B"/>
    <w:rsid w:val="0042240D"/>
    <w:rsid w:val="00423380"/>
    <w:rsid w:val="00430C76"/>
    <w:rsid w:val="0043628B"/>
    <w:rsid w:val="004368CE"/>
    <w:rsid w:val="00445B9E"/>
    <w:rsid w:val="00453B79"/>
    <w:rsid w:val="004651D1"/>
    <w:rsid w:val="0047078A"/>
    <w:rsid w:val="00473008"/>
    <w:rsid w:val="00473D16"/>
    <w:rsid w:val="00486E0E"/>
    <w:rsid w:val="00490DD8"/>
    <w:rsid w:val="004938E6"/>
    <w:rsid w:val="004A024C"/>
    <w:rsid w:val="004D342B"/>
    <w:rsid w:val="0050449B"/>
    <w:rsid w:val="00510C98"/>
    <w:rsid w:val="00524ED6"/>
    <w:rsid w:val="00535889"/>
    <w:rsid w:val="00540C83"/>
    <w:rsid w:val="00576C3E"/>
    <w:rsid w:val="00577B09"/>
    <w:rsid w:val="00585346"/>
    <w:rsid w:val="00595D86"/>
    <w:rsid w:val="005A4FD6"/>
    <w:rsid w:val="005D7730"/>
    <w:rsid w:val="005E1AB3"/>
    <w:rsid w:val="00601761"/>
    <w:rsid w:val="00626A5D"/>
    <w:rsid w:val="00632D0A"/>
    <w:rsid w:val="00663AB4"/>
    <w:rsid w:val="00681E2F"/>
    <w:rsid w:val="006C0278"/>
    <w:rsid w:val="006C6B5B"/>
    <w:rsid w:val="006D77D8"/>
    <w:rsid w:val="00701BE3"/>
    <w:rsid w:val="007073A5"/>
    <w:rsid w:val="00707BCE"/>
    <w:rsid w:val="00736751"/>
    <w:rsid w:val="00740A47"/>
    <w:rsid w:val="00747EEE"/>
    <w:rsid w:val="00760B07"/>
    <w:rsid w:val="007721FA"/>
    <w:rsid w:val="007B1862"/>
    <w:rsid w:val="007D70CA"/>
    <w:rsid w:val="007E0825"/>
    <w:rsid w:val="007F5E89"/>
    <w:rsid w:val="00801709"/>
    <w:rsid w:val="00805050"/>
    <w:rsid w:val="00840206"/>
    <w:rsid w:val="00856AC1"/>
    <w:rsid w:val="00880B26"/>
    <w:rsid w:val="0088758C"/>
    <w:rsid w:val="008A3286"/>
    <w:rsid w:val="008A330E"/>
    <w:rsid w:val="008D1E0D"/>
    <w:rsid w:val="008E6A74"/>
    <w:rsid w:val="008F3DC5"/>
    <w:rsid w:val="008F6F88"/>
    <w:rsid w:val="00901051"/>
    <w:rsid w:val="0093709F"/>
    <w:rsid w:val="009406C0"/>
    <w:rsid w:val="00951C60"/>
    <w:rsid w:val="009524BA"/>
    <w:rsid w:val="00974AAE"/>
    <w:rsid w:val="009A10A9"/>
    <w:rsid w:val="009F121D"/>
    <w:rsid w:val="009F2BA5"/>
    <w:rsid w:val="00A10ECC"/>
    <w:rsid w:val="00A24A95"/>
    <w:rsid w:val="00A3348A"/>
    <w:rsid w:val="00A56134"/>
    <w:rsid w:val="00A66117"/>
    <w:rsid w:val="00A86C7B"/>
    <w:rsid w:val="00A9495B"/>
    <w:rsid w:val="00AE67B1"/>
    <w:rsid w:val="00B0540F"/>
    <w:rsid w:val="00B23E83"/>
    <w:rsid w:val="00B25580"/>
    <w:rsid w:val="00B573CB"/>
    <w:rsid w:val="00B63461"/>
    <w:rsid w:val="00B645B2"/>
    <w:rsid w:val="00B66C3E"/>
    <w:rsid w:val="00B81941"/>
    <w:rsid w:val="00BB6808"/>
    <w:rsid w:val="00BD2030"/>
    <w:rsid w:val="00BD6F81"/>
    <w:rsid w:val="00C12273"/>
    <w:rsid w:val="00C15B91"/>
    <w:rsid w:val="00C3545C"/>
    <w:rsid w:val="00C43E9D"/>
    <w:rsid w:val="00C52C5B"/>
    <w:rsid w:val="00C558B5"/>
    <w:rsid w:val="00C930F4"/>
    <w:rsid w:val="00CB6B99"/>
    <w:rsid w:val="00CB7E7E"/>
    <w:rsid w:val="00CE229E"/>
    <w:rsid w:val="00CE4520"/>
    <w:rsid w:val="00CF613F"/>
    <w:rsid w:val="00D21B63"/>
    <w:rsid w:val="00D60F51"/>
    <w:rsid w:val="00DA087C"/>
    <w:rsid w:val="00E11305"/>
    <w:rsid w:val="00E16087"/>
    <w:rsid w:val="00E27E5A"/>
    <w:rsid w:val="00E45426"/>
    <w:rsid w:val="00E507F7"/>
    <w:rsid w:val="00E5528E"/>
    <w:rsid w:val="00E84B74"/>
    <w:rsid w:val="00EA0D32"/>
    <w:rsid w:val="00EA5432"/>
    <w:rsid w:val="00EE351B"/>
    <w:rsid w:val="00EF7D4F"/>
    <w:rsid w:val="00F15481"/>
    <w:rsid w:val="00F211B4"/>
    <w:rsid w:val="00F6212B"/>
    <w:rsid w:val="00F80C6A"/>
    <w:rsid w:val="00F8687F"/>
    <w:rsid w:val="00FC49B6"/>
    <w:rsid w:val="00FD18FD"/>
    <w:rsid w:val="00FF4C4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73"/>
    <w:pPr>
      <w:spacing w:after="0" w:line="240" w:lineRule="auto"/>
    </w:pPr>
    <w:rPr>
      <w:rFonts w:ascii="Times New Roman" w:hAnsi="Times New Roman" w:cs="Times New Roman"/>
      <w:sz w:val="24"/>
      <w:szCs w:val="20"/>
    </w:rPr>
  </w:style>
  <w:style w:type="paragraph" w:styleId="Heading6">
    <w:name w:val="heading 6"/>
    <w:basedOn w:val="Normal"/>
    <w:next w:val="Normal"/>
    <w:link w:val="Heading6Char"/>
    <w:uiPriority w:val="99"/>
    <w:qFormat/>
    <w:rsid w:val="00222E7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222E73"/>
    <w:rPr>
      <w:rFonts w:ascii="Times New Roman" w:hAnsi="Times New Roman" w:cs="Times New Roman"/>
      <w:b/>
      <w:bCs/>
    </w:rPr>
  </w:style>
  <w:style w:type="paragraph" w:customStyle="1" w:styleId="HR">
    <w:name w:val="HR"/>
    <w:aliases w:val="Regulation Heading"/>
    <w:basedOn w:val="Normal"/>
    <w:next w:val="Normal"/>
    <w:uiPriority w:val="99"/>
    <w:rsid w:val="00222E73"/>
    <w:pPr>
      <w:keepNext/>
      <w:tabs>
        <w:tab w:val="left" w:pos="540"/>
      </w:tabs>
      <w:autoSpaceDE w:val="0"/>
      <w:autoSpaceDN w:val="0"/>
      <w:spacing w:before="240" w:after="120"/>
      <w:jc w:val="both"/>
    </w:pPr>
    <w:rPr>
      <w:rFonts w:ascii="Times" w:hAnsi="Times" w:cs="Times"/>
      <w:b/>
      <w:bCs/>
      <w:sz w:val="26"/>
      <w:szCs w:val="26"/>
      <w:lang w:eastAsia="en-AU"/>
    </w:rPr>
  </w:style>
  <w:style w:type="paragraph" w:styleId="Title">
    <w:name w:val="Title"/>
    <w:basedOn w:val="Normal"/>
    <w:next w:val="Normal"/>
    <w:link w:val="TitleChar"/>
    <w:uiPriority w:val="99"/>
    <w:qFormat/>
    <w:rsid w:val="00222E73"/>
    <w:pPr>
      <w:autoSpaceDE w:val="0"/>
      <w:autoSpaceDN w:val="0"/>
      <w:spacing w:before="480"/>
      <w:jc w:val="center"/>
    </w:pPr>
    <w:rPr>
      <w:rFonts w:ascii="Times" w:hAnsi="Times" w:cs="Times"/>
      <w:b/>
      <w:bCs/>
      <w:sz w:val="36"/>
      <w:szCs w:val="36"/>
      <w:lang w:eastAsia="en-AU"/>
    </w:rPr>
  </w:style>
  <w:style w:type="character" w:customStyle="1" w:styleId="TitleChar">
    <w:name w:val="Title Char"/>
    <w:basedOn w:val="DefaultParagraphFont"/>
    <w:link w:val="Title"/>
    <w:uiPriority w:val="99"/>
    <w:locked/>
    <w:rsid w:val="00222E73"/>
    <w:rPr>
      <w:rFonts w:ascii="Times" w:hAnsi="Times" w:cs="Times"/>
      <w:b/>
      <w:bCs/>
      <w:sz w:val="36"/>
      <w:szCs w:val="36"/>
      <w:lang w:eastAsia="en-AU"/>
    </w:rPr>
  </w:style>
  <w:style w:type="paragraph" w:customStyle="1" w:styleId="HP">
    <w:name w:val="HP"/>
    <w:aliases w:val="Part Heading"/>
    <w:basedOn w:val="Normal"/>
    <w:next w:val="Normal"/>
    <w:uiPriority w:val="99"/>
    <w:rsid w:val="00222E73"/>
    <w:pPr>
      <w:keepNext/>
      <w:autoSpaceDE w:val="0"/>
      <w:autoSpaceDN w:val="0"/>
      <w:spacing w:before="480"/>
      <w:jc w:val="center"/>
    </w:pPr>
    <w:rPr>
      <w:rFonts w:ascii="Times" w:hAnsi="Times" w:cs="Times"/>
      <w:b/>
      <w:bCs/>
      <w:sz w:val="26"/>
      <w:szCs w:val="26"/>
      <w:lang w:eastAsia="en-AU"/>
    </w:rPr>
  </w:style>
  <w:style w:type="paragraph" w:customStyle="1" w:styleId="definition">
    <w:name w:val="definition"/>
    <w:basedOn w:val="Normal"/>
    <w:rsid w:val="00222E73"/>
    <w:pPr>
      <w:tabs>
        <w:tab w:val="right" w:pos="1080"/>
        <w:tab w:val="left" w:pos="1260"/>
        <w:tab w:val="left" w:pos="1800"/>
      </w:tabs>
      <w:autoSpaceDE w:val="0"/>
      <w:autoSpaceDN w:val="0"/>
      <w:spacing w:before="40"/>
      <w:jc w:val="both"/>
    </w:pPr>
    <w:rPr>
      <w:rFonts w:ascii="Times" w:hAnsi="Times" w:cs="Times"/>
      <w:sz w:val="26"/>
      <w:szCs w:val="26"/>
      <w:lang w:eastAsia="en-AU"/>
    </w:rPr>
  </w:style>
  <w:style w:type="character" w:styleId="CommentReference">
    <w:name w:val="annotation reference"/>
    <w:basedOn w:val="DefaultParagraphFont"/>
    <w:uiPriority w:val="99"/>
    <w:semiHidden/>
    <w:rsid w:val="00222E73"/>
    <w:rPr>
      <w:rFonts w:cs="Times New Roman"/>
      <w:sz w:val="16"/>
      <w:szCs w:val="16"/>
    </w:rPr>
  </w:style>
  <w:style w:type="paragraph" w:styleId="CommentText">
    <w:name w:val="annotation text"/>
    <w:basedOn w:val="Normal"/>
    <w:link w:val="CommentTextChar"/>
    <w:uiPriority w:val="99"/>
    <w:semiHidden/>
    <w:rsid w:val="00222E73"/>
    <w:rPr>
      <w:sz w:val="20"/>
    </w:rPr>
  </w:style>
  <w:style w:type="character" w:customStyle="1" w:styleId="CommentTextChar">
    <w:name w:val="Comment Text Char"/>
    <w:basedOn w:val="DefaultParagraphFont"/>
    <w:link w:val="CommentText"/>
    <w:uiPriority w:val="99"/>
    <w:semiHidden/>
    <w:locked/>
    <w:rsid w:val="00222E73"/>
    <w:rPr>
      <w:rFonts w:ascii="Times New Roman" w:hAnsi="Times New Roman" w:cs="Times New Roman"/>
      <w:sz w:val="20"/>
      <w:szCs w:val="20"/>
    </w:rPr>
  </w:style>
  <w:style w:type="paragraph" w:styleId="Header">
    <w:name w:val="header"/>
    <w:basedOn w:val="Normal"/>
    <w:link w:val="HeaderChar"/>
    <w:uiPriority w:val="99"/>
    <w:rsid w:val="00222E73"/>
    <w:pPr>
      <w:tabs>
        <w:tab w:val="center" w:pos="4153"/>
        <w:tab w:val="right" w:pos="8306"/>
      </w:tabs>
    </w:pPr>
  </w:style>
  <w:style w:type="character" w:customStyle="1" w:styleId="HeaderChar">
    <w:name w:val="Header Char"/>
    <w:basedOn w:val="DefaultParagraphFont"/>
    <w:link w:val="Header"/>
    <w:uiPriority w:val="99"/>
    <w:locked/>
    <w:rsid w:val="00222E73"/>
    <w:rPr>
      <w:rFonts w:ascii="Times New Roman" w:hAnsi="Times New Roman" w:cs="Times New Roman"/>
      <w:sz w:val="20"/>
      <w:szCs w:val="20"/>
    </w:rPr>
  </w:style>
  <w:style w:type="paragraph" w:styleId="Footer">
    <w:name w:val="footer"/>
    <w:basedOn w:val="Normal"/>
    <w:link w:val="FooterChar"/>
    <w:uiPriority w:val="99"/>
    <w:rsid w:val="00222E73"/>
    <w:pPr>
      <w:tabs>
        <w:tab w:val="center" w:pos="4153"/>
        <w:tab w:val="right" w:pos="8306"/>
      </w:tabs>
    </w:pPr>
  </w:style>
  <w:style w:type="character" w:customStyle="1" w:styleId="FooterChar">
    <w:name w:val="Footer Char"/>
    <w:basedOn w:val="DefaultParagraphFont"/>
    <w:link w:val="Footer"/>
    <w:uiPriority w:val="99"/>
    <w:locked/>
    <w:rsid w:val="00222E73"/>
    <w:rPr>
      <w:rFonts w:ascii="Times New Roman" w:hAnsi="Times New Roman" w:cs="Times New Roman"/>
      <w:sz w:val="20"/>
      <w:szCs w:val="20"/>
    </w:rPr>
  </w:style>
  <w:style w:type="character" w:styleId="PageNumber">
    <w:name w:val="page number"/>
    <w:basedOn w:val="DefaultParagraphFont"/>
    <w:uiPriority w:val="99"/>
    <w:rsid w:val="00222E73"/>
    <w:rPr>
      <w:rFonts w:cs="Times New Roman"/>
    </w:rPr>
  </w:style>
  <w:style w:type="paragraph" w:styleId="BalloonText">
    <w:name w:val="Balloon Text"/>
    <w:basedOn w:val="Normal"/>
    <w:link w:val="BalloonTextChar"/>
    <w:uiPriority w:val="99"/>
    <w:semiHidden/>
    <w:unhideWhenUsed/>
    <w:rsid w:val="00222E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2E73"/>
    <w:rPr>
      <w:rFonts w:ascii="Tahoma" w:hAnsi="Tahoma" w:cs="Tahoma"/>
      <w:sz w:val="16"/>
      <w:szCs w:val="16"/>
    </w:rPr>
  </w:style>
  <w:style w:type="paragraph" w:styleId="ListParagraph">
    <w:name w:val="List Paragraph"/>
    <w:basedOn w:val="Normal"/>
    <w:uiPriority w:val="34"/>
    <w:qFormat/>
    <w:rsid w:val="007073A5"/>
    <w:pPr>
      <w:ind w:left="720"/>
      <w:contextualSpacing/>
    </w:pPr>
  </w:style>
  <w:style w:type="paragraph" w:styleId="CommentSubject">
    <w:name w:val="annotation subject"/>
    <w:basedOn w:val="CommentText"/>
    <w:next w:val="CommentText"/>
    <w:link w:val="CommentSubjectChar"/>
    <w:uiPriority w:val="99"/>
    <w:semiHidden/>
    <w:unhideWhenUsed/>
    <w:rsid w:val="00281B1D"/>
    <w:rPr>
      <w:b/>
      <w:bCs/>
    </w:rPr>
  </w:style>
  <w:style w:type="character" w:customStyle="1" w:styleId="CommentSubjectChar">
    <w:name w:val="Comment Subject Char"/>
    <w:basedOn w:val="CommentTextChar"/>
    <w:link w:val="CommentSubject"/>
    <w:uiPriority w:val="99"/>
    <w:semiHidden/>
    <w:locked/>
    <w:rsid w:val="00281B1D"/>
    <w:rPr>
      <w:b/>
      <w:bCs/>
    </w:rPr>
  </w:style>
  <w:style w:type="table" w:styleId="TableGrid">
    <w:name w:val="Table Grid"/>
    <w:basedOn w:val="TableNormal"/>
    <w:uiPriority w:val="59"/>
    <w:rsid w:val="004A0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rsid w:val="00430C76"/>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FA0E2-4551-417C-ACDB-8467AA62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2761</Characters>
  <Application>Microsoft Office Word</Application>
  <DocSecurity>0</DocSecurity>
  <Lines>23</Lines>
  <Paragraphs>6</Paragraphs>
  <ScaleCrop>false</ScaleCrop>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2012-08-22T22:20:00Z</dcterms:created>
  <dcterms:modified xsi:type="dcterms:W3CDTF">2012-08-23T00:15:00Z</dcterms:modified>
</cp:coreProperties>
</file>