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57" w:rsidRPr="00270F12" w:rsidRDefault="004A6A57" w:rsidP="004A6A57">
      <w:pPr>
        <w:jc w:val="center"/>
        <w:rPr>
          <w:b/>
          <w:bCs/>
          <w:sz w:val="30"/>
          <w:szCs w:val="30"/>
        </w:rPr>
      </w:pPr>
      <w:r w:rsidRPr="00270F12">
        <w:rPr>
          <w:b/>
          <w:bCs/>
          <w:sz w:val="30"/>
          <w:szCs w:val="30"/>
        </w:rPr>
        <w:t>ASIC CLASS ORDER [CO</w:t>
      </w:r>
      <w:r>
        <w:rPr>
          <w:b/>
          <w:bCs/>
          <w:sz w:val="30"/>
          <w:szCs w:val="30"/>
        </w:rPr>
        <w:t xml:space="preserve"> 12/</w:t>
      </w:r>
      <w:r w:rsidR="004A7AAA">
        <w:rPr>
          <w:b/>
          <w:bCs/>
          <w:sz w:val="30"/>
          <w:szCs w:val="30"/>
        </w:rPr>
        <w:t>1110</w:t>
      </w:r>
      <w:r w:rsidRPr="00270F12">
        <w:rPr>
          <w:b/>
          <w:bCs/>
          <w:sz w:val="30"/>
          <w:szCs w:val="30"/>
        </w:rPr>
        <w:t>]</w:t>
      </w:r>
    </w:p>
    <w:p w:rsidR="004A6A57" w:rsidRPr="00270F12" w:rsidRDefault="004A6A57" w:rsidP="004A6A57">
      <w:pPr>
        <w:jc w:val="center"/>
        <w:rPr>
          <w:b/>
          <w:bCs/>
          <w:sz w:val="30"/>
          <w:szCs w:val="30"/>
        </w:rPr>
      </w:pPr>
      <w:r w:rsidRPr="00270F12">
        <w:rPr>
          <w:b/>
          <w:bCs/>
          <w:sz w:val="30"/>
          <w:szCs w:val="30"/>
        </w:rPr>
        <w:t xml:space="preserve"> </w:t>
      </w:r>
    </w:p>
    <w:p w:rsidR="004A6A57" w:rsidRPr="00270F12" w:rsidRDefault="004A6A57" w:rsidP="004A6A57">
      <w:pPr>
        <w:jc w:val="center"/>
        <w:rPr>
          <w:b/>
          <w:bCs/>
          <w:sz w:val="30"/>
          <w:szCs w:val="30"/>
        </w:rPr>
      </w:pPr>
      <w:r w:rsidRPr="00270F12">
        <w:rPr>
          <w:b/>
          <w:bCs/>
          <w:sz w:val="30"/>
          <w:szCs w:val="30"/>
        </w:rPr>
        <w:t>EXPLANATORY STATEMENT</w:t>
      </w:r>
    </w:p>
    <w:p w:rsidR="004A6A57" w:rsidRDefault="004A6A57" w:rsidP="004A6A57">
      <w:pPr>
        <w:jc w:val="center"/>
        <w:rPr>
          <w:b/>
          <w:bCs/>
        </w:rPr>
      </w:pPr>
    </w:p>
    <w:p w:rsidR="004A6A57" w:rsidRPr="00270F12" w:rsidRDefault="004A6A57" w:rsidP="004A6A57">
      <w:pPr>
        <w:jc w:val="center"/>
        <w:rPr>
          <w:b/>
          <w:bCs/>
        </w:rPr>
      </w:pPr>
    </w:p>
    <w:p w:rsidR="004A6A57" w:rsidRPr="00270F12" w:rsidRDefault="004A6A57" w:rsidP="004A6A57">
      <w:pPr>
        <w:jc w:val="center"/>
      </w:pPr>
      <w:r w:rsidRPr="00270F12">
        <w:t>Prepared by the Australian Securities and Investments Commission</w:t>
      </w:r>
    </w:p>
    <w:p w:rsidR="004A6A57" w:rsidRDefault="004A6A57" w:rsidP="004A6A57">
      <w:pPr>
        <w:jc w:val="center"/>
        <w:rPr>
          <w:i/>
          <w:iCs/>
        </w:rPr>
      </w:pPr>
    </w:p>
    <w:p w:rsidR="004A6A57" w:rsidRDefault="004A6A57" w:rsidP="004A6A57">
      <w:pPr>
        <w:jc w:val="center"/>
        <w:rPr>
          <w:i/>
          <w:iCs/>
        </w:rPr>
      </w:pPr>
      <w:r w:rsidRPr="00270F12">
        <w:rPr>
          <w:i/>
          <w:iCs/>
        </w:rPr>
        <w:t>Corporations Act 2001</w:t>
      </w:r>
    </w:p>
    <w:p w:rsidR="004A6A57" w:rsidRDefault="004A6A57" w:rsidP="004A6A57">
      <w:pPr>
        <w:rPr>
          <w:i/>
          <w:iCs/>
        </w:rPr>
      </w:pPr>
    </w:p>
    <w:p w:rsidR="004A6A57" w:rsidRDefault="004A6A57" w:rsidP="004A6A57">
      <w:r w:rsidRPr="00270F12">
        <w:t>The Australian Securities and Investments Commission (</w:t>
      </w:r>
      <w:r w:rsidRPr="00F16096">
        <w:rPr>
          <w:b/>
          <w:i/>
        </w:rPr>
        <w:t>ASIC</w:t>
      </w:r>
      <w:r w:rsidRPr="00270F12">
        <w:t xml:space="preserve">) makes </w:t>
      </w:r>
      <w:r w:rsidR="002C1E5A">
        <w:t xml:space="preserve">ASIC </w:t>
      </w:r>
      <w:r w:rsidRPr="00270F12">
        <w:t>Class</w:t>
      </w:r>
      <w:r w:rsidR="002C1E5A">
        <w:t> </w:t>
      </w:r>
      <w:r w:rsidR="00FA224C">
        <w:t>Order [CO</w:t>
      </w:r>
      <w:r w:rsidR="002C1E5A">
        <w:t> </w:t>
      </w:r>
      <w:r w:rsidR="00FA224C">
        <w:t>12/</w:t>
      </w:r>
      <w:r w:rsidR="002C1E5A">
        <w:t>1110</w:t>
      </w:r>
      <w:r w:rsidRPr="00270F12">
        <w:t>]</w:t>
      </w:r>
      <w:r>
        <w:t xml:space="preserve"> under</w:t>
      </w:r>
      <w:r w:rsidR="00086783">
        <w:t xml:space="preserve"> </w:t>
      </w:r>
      <w:r w:rsidR="005D6818">
        <w:t xml:space="preserve">paragraph </w:t>
      </w:r>
      <w:r w:rsidR="00086783">
        <w:t>911A(2)(l)</w:t>
      </w:r>
      <w:r>
        <w:t xml:space="preserve"> of the </w:t>
      </w:r>
      <w:r w:rsidRPr="00270F12">
        <w:rPr>
          <w:i/>
        </w:rPr>
        <w:t xml:space="preserve">Corporations Act </w:t>
      </w:r>
      <w:r w:rsidR="005D6818">
        <w:rPr>
          <w:i/>
        </w:rPr>
        <w:t>2001</w:t>
      </w:r>
      <w:r w:rsidRPr="00270F12">
        <w:rPr>
          <w:i/>
        </w:rPr>
        <w:t xml:space="preserve"> </w:t>
      </w:r>
      <w:r>
        <w:t>(</w:t>
      </w:r>
      <w:r w:rsidRPr="002C1E5A">
        <w:t>the</w:t>
      </w:r>
      <w:r w:rsidRPr="00F16096">
        <w:rPr>
          <w:b/>
          <w:i/>
        </w:rPr>
        <w:t xml:space="preserve"> Act</w:t>
      </w:r>
      <w:r>
        <w:t xml:space="preserve">). </w:t>
      </w:r>
      <w:r w:rsidRPr="00270F12">
        <w:t xml:space="preserve"> </w:t>
      </w:r>
    </w:p>
    <w:p w:rsidR="00086783" w:rsidRDefault="00086783" w:rsidP="004A6A57"/>
    <w:p w:rsidR="004A6A57" w:rsidRDefault="005D6818" w:rsidP="00086783">
      <w:pPr>
        <w:autoSpaceDE w:val="0"/>
        <w:autoSpaceDN w:val="0"/>
        <w:adjustRightInd w:val="0"/>
      </w:pPr>
      <w:r>
        <w:rPr>
          <w:rFonts w:eastAsiaTheme="minorHAnsi"/>
        </w:rPr>
        <w:t>Paragraph</w:t>
      </w:r>
      <w:r w:rsidR="00086783" w:rsidRPr="00931881">
        <w:rPr>
          <w:rFonts w:eastAsiaTheme="minorHAnsi"/>
        </w:rPr>
        <w:t xml:space="preserve"> 911A(2)(l) provides </w:t>
      </w:r>
      <w:r w:rsidR="00086783">
        <w:rPr>
          <w:rFonts w:eastAsiaTheme="minorHAnsi"/>
        </w:rPr>
        <w:t xml:space="preserve">that </w:t>
      </w:r>
      <w:r>
        <w:rPr>
          <w:rFonts w:eastAsiaTheme="minorHAnsi"/>
        </w:rPr>
        <w:t>a</w:t>
      </w:r>
      <w:r w:rsidR="00086783">
        <w:rPr>
          <w:rFonts w:eastAsiaTheme="minorHAnsi"/>
        </w:rPr>
        <w:t xml:space="preserve"> </w:t>
      </w:r>
      <w:r w:rsidR="00086783" w:rsidRPr="00931881">
        <w:rPr>
          <w:rFonts w:eastAsiaTheme="minorHAnsi"/>
        </w:rPr>
        <w:t xml:space="preserve">person </w:t>
      </w:r>
      <w:r>
        <w:rPr>
          <w:rFonts w:eastAsiaTheme="minorHAnsi"/>
        </w:rPr>
        <w:t xml:space="preserve">is exempt </w:t>
      </w:r>
      <w:r w:rsidR="00086783" w:rsidRPr="00931881">
        <w:rPr>
          <w:rFonts w:eastAsiaTheme="minorHAnsi"/>
        </w:rPr>
        <w:t>from the req</w:t>
      </w:r>
      <w:r w:rsidR="00086783">
        <w:rPr>
          <w:rFonts w:eastAsiaTheme="minorHAnsi"/>
        </w:rPr>
        <w:t>uirement to hold an Australian financial s</w:t>
      </w:r>
      <w:r w:rsidR="00086783" w:rsidRPr="00931881">
        <w:rPr>
          <w:rFonts w:eastAsiaTheme="minorHAnsi"/>
        </w:rPr>
        <w:t>ervices</w:t>
      </w:r>
      <w:r w:rsidR="00086783">
        <w:rPr>
          <w:rFonts w:eastAsiaTheme="minorHAnsi"/>
        </w:rPr>
        <w:t xml:space="preserve"> licence</w:t>
      </w:r>
      <w:r>
        <w:rPr>
          <w:rFonts w:eastAsiaTheme="minorHAnsi"/>
        </w:rPr>
        <w:t xml:space="preserve"> for a financial service they provide if the provision of the service is covered by an exemption specified by ASIC and published in the Gazette</w:t>
      </w:r>
      <w:r w:rsidR="00086783" w:rsidRPr="00931881">
        <w:rPr>
          <w:rFonts w:eastAsiaTheme="minorHAnsi"/>
        </w:rPr>
        <w:t>.</w:t>
      </w:r>
    </w:p>
    <w:p w:rsidR="004A6A57" w:rsidRPr="00270F12" w:rsidRDefault="004A6A57" w:rsidP="004A6A57"/>
    <w:p w:rsidR="004A6A57" w:rsidRPr="00270F12" w:rsidRDefault="004A6A57" w:rsidP="004A6A57">
      <w:pPr>
        <w:rPr>
          <w:rFonts w:ascii="Arial" w:hAnsi="Arial" w:cs="Arial"/>
          <w:b/>
          <w:bCs/>
        </w:rPr>
      </w:pPr>
      <w:r w:rsidRPr="00270F12">
        <w:rPr>
          <w:rFonts w:ascii="Arial" w:hAnsi="Arial" w:cs="Arial"/>
          <w:b/>
          <w:bCs/>
        </w:rPr>
        <w:t>1.</w:t>
      </w:r>
      <w:r w:rsidRPr="00270F12">
        <w:rPr>
          <w:rFonts w:ascii="Arial" w:hAnsi="Arial" w:cs="Arial"/>
          <w:b/>
          <w:bCs/>
        </w:rPr>
        <w:tab/>
        <w:t>Background</w:t>
      </w:r>
    </w:p>
    <w:p w:rsidR="004A6A57" w:rsidRDefault="004A6A57" w:rsidP="004A6A57">
      <w:pPr>
        <w:rPr>
          <w:b/>
          <w:bCs/>
        </w:rPr>
      </w:pPr>
    </w:p>
    <w:p w:rsidR="00B06BB5" w:rsidRDefault="002C1E5A" w:rsidP="004A6A57">
      <w:pPr>
        <w:rPr>
          <w:iCs/>
          <w:color w:val="000000"/>
        </w:rPr>
      </w:pPr>
      <w:r w:rsidRPr="002C1E5A">
        <w:rPr>
          <w:bCs/>
        </w:rPr>
        <w:t xml:space="preserve">ASIC </w:t>
      </w:r>
      <w:r w:rsidR="00B06BB5" w:rsidRPr="002C1E5A">
        <w:rPr>
          <w:bCs/>
        </w:rPr>
        <w:t>Class Order</w:t>
      </w:r>
      <w:r w:rsidR="00812BEA" w:rsidRPr="002C1E5A">
        <w:rPr>
          <w:bCs/>
        </w:rPr>
        <w:t xml:space="preserve"> [CO 04/1570] </w:t>
      </w:r>
      <w:r w:rsidR="00B06BB5" w:rsidRPr="002C1E5A">
        <w:rPr>
          <w:iCs/>
          <w:color w:val="000000"/>
        </w:rPr>
        <w:t>exempts foreign companies from the need to hold an A</w:t>
      </w:r>
      <w:r w:rsidRPr="002C1E5A">
        <w:rPr>
          <w:iCs/>
          <w:color w:val="000000"/>
        </w:rPr>
        <w:t xml:space="preserve">ustralian financial services licence </w:t>
      </w:r>
      <w:r w:rsidR="00B06BB5" w:rsidRPr="002C1E5A">
        <w:rPr>
          <w:iCs/>
          <w:color w:val="000000"/>
        </w:rPr>
        <w:t xml:space="preserve">where they are dealing in foreign exchange contracts on similar terms to the exemption in </w:t>
      </w:r>
      <w:r w:rsidR="000A1759" w:rsidRPr="002C1E5A">
        <w:rPr>
          <w:iCs/>
          <w:color w:val="000000"/>
        </w:rPr>
        <w:t xml:space="preserve">former </w:t>
      </w:r>
      <w:r w:rsidR="00B06BB5" w:rsidRPr="002C1E5A">
        <w:rPr>
          <w:iCs/>
          <w:color w:val="000000"/>
        </w:rPr>
        <w:t>reg</w:t>
      </w:r>
      <w:r w:rsidR="000A1759" w:rsidRPr="002C1E5A">
        <w:rPr>
          <w:iCs/>
          <w:color w:val="000000"/>
        </w:rPr>
        <w:t>ulation</w:t>
      </w:r>
      <w:r w:rsidR="00B06BB5" w:rsidRPr="002C1E5A">
        <w:rPr>
          <w:iCs/>
          <w:color w:val="000000"/>
        </w:rPr>
        <w:t xml:space="preserve"> 7.6.01(1)(ma)</w:t>
      </w:r>
      <w:r w:rsidR="005D6818" w:rsidRPr="002C1E5A">
        <w:rPr>
          <w:iCs/>
          <w:color w:val="000000"/>
        </w:rPr>
        <w:t xml:space="preserve"> of the </w:t>
      </w:r>
      <w:r w:rsidR="00A83075" w:rsidRPr="002C1E5A">
        <w:rPr>
          <w:i/>
          <w:iCs/>
          <w:color w:val="000000"/>
        </w:rPr>
        <w:t>Corporations Regulations 2001</w:t>
      </w:r>
      <w:r w:rsidR="00557BFE" w:rsidRPr="002C1E5A">
        <w:rPr>
          <w:i/>
          <w:iCs/>
          <w:color w:val="000000"/>
        </w:rPr>
        <w:t xml:space="preserve"> </w:t>
      </w:r>
      <w:r w:rsidR="00A83075" w:rsidRPr="002C1E5A">
        <w:rPr>
          <w:iCs/>
          <w:color w:val="000000"/>
        </w:rPr>
        <w:t xml:space="preserve">(the </w:t>
      </w:r>
      <w:r w:rsidR="00A83075" w:rsidRPr="002C1E5A">
        <w:rPr>
          <w:b/>
          <w:i/>
          <w:iCs/>
          <w:color w:val="000000"/>
        </w:rPr>
        <w:t>Regulations</w:t>
      </w:r>
      <w:r w:rsidR="00A83075" w:rsidRPr="002C1E5A">
        <w:rPr>
          <w:iCs/>
          <w:color w:val="000000"/>
        </w:rPr>
        <w:t>)</w:t>
      </w:r>
      <w:r w:rsidR="00B06BB5" w:rsidRPr="002C1E5A">
        <w:rPr>
          <w:iCs/>
          <w:color w:val="000000"/>
        </w:rPr>
        <w:t xml:space="preserve">. </w:t>
      </w:r>
    </w:p>
    <w:p w:rsidR="002C1E5A" w:rsidRDefault="002C1E5A" w:rsidP="004A6A57">
      <w:pPr>
        <w:rPr>
          <w:iCs/>
          <w:color w:val="000000"/>
        </w:rPr>
      </w:pPr>
    </w:p>
    <w:p w:rsidR="0013742C" w:rsidRDefault="002C1E5A" w:rsidP="004A6A57">
      <w:pPr>
        <w:rPr>
          <w:iCs/>
          <w:color w:val="000000"/>
        </w:rPr>
      </w:pPr>
      <w:r>
        <w:rPr>
          <w:iCs/>
          <w:color w:val="000000"/>
        </w:rPr>
        <w:t xml:space="preserve">ASIC Class Order [CO 12/574], which took effect on 3 July 2012, purported to revoke Class Order [CO 04/1570]. However, there is doubt about whether that purported revocation had full </w:t>
      </w:r>
      <w:r w:rsidR="0013742C">
        <w:rPr>
          <w:iCs/>
          <w:color w:val="000000"/>
        </w:rPr>
        <w:t xml:space="preserve">legal </w:t>
      </w:r>
      <w:r>
        <w:rPr>
          <w:iCs/>
          <w:color w:val="000000"/>
        </w:rPr>
        <w:t xml:space="preserve">effect because the terms of </w:t>
      </w:r>
      <w:r w:rsidR="0013742C">
        <w:rPr>
          <w:iCs/>
          <w:color w:val="000000"/>
        </w:rPr>
        <w:t xml:space="preserve">the relief in </w:t>
      </w:r>
      <w:r>
        <w:rPr>
          <w:iCs/>
          <w:color w:val="000000"/>
        </w:rPr>
        <w:t>Class Order [CO 04/1570</w:t>
      </w:r>
      <w:r w:rsidR="0013742C">
        <w:rPr>
          <w:iCs/>
          <w:color w:val="000000"/>
        </w:rPr>
        <w:t xml:space="preserve">] may </w:t>
      </w:r>
      <w:r w:rsidR="003C1E7A">
        <w:rPr>
          <w:iCs/>
          <w:color w:val="000000"/>
        </w:rPr>
        <w:t xml:space="preserve">have </w:t>
      </w:r>
      <w:r w:rsidR="0013742C">
        <w:rPr>
          <w:iCs/>
          <w:color w:val="000000"/>
        </w:rPr>
        <w:t>continue</w:t>
      </w:r>
      <w:r w:rsidR="003C1E7A">
        <w:rPr>
          <w:iCs/>
          <w:color w:val="000000"/>
        </w:rPr>
        <w:t>d</w:t>
      </w:r>
      <w:r w:rsidR="0013742C">
        <w:rPr>
          <w:iCs/>
          <w:color w:val="000000"/>
        </w:rPr>
        <w:t xml:space="preserve"> to have effect because of Class Order [CO 05/1270]. </w:t>
      </w:r>
    </w:p>
    <w:p w:rsidR="0013742C" w:rsidRDefault="0013742C" w:rsidP="004A6A57">
      <w:pPr>
        <w:rPr>
          <w:iCs/>
          <w:color w:val="000000"/>
        </w:rPr>
      </w:pPr>
    </w:p>
    <w:p w:rsidR="0013742C" w:rsidRPr="0013742C" w:rsidRDefault="0013742C" w:rsidP="0013742C">
      <w:pPr>
        <w:rPr>
          <w:iCs/>
          <w:color w:val="000000"/>
        </w:rPr>
      </w:pPr>
      <w:r>
        <w:rPr>
          <w:iCs/>
          <w:color w:val="000000"/>
        </w:rPr>
        <w:t xml:space="preserve">Class Order [CO 05/1270] was made by ASIC to remove doubt about </w:t>
      </w:r>
      <w:r w:rsidRPr="0013742C">
        <w:rPr>
          <w:iCs/>
          <w:color w:val="000000"/>
        </w:rPr>
        <w:t>the operation</w:t>
      </w:r>
    </w:p>
    <w:p w:rsidR="0013742C" w:rsidRPr="0013742C" w:rsidRDefault="0013742C" w:rsidP="00075318">
      <w:pPr>
        <w:rPr>
          <w:iCs/>
          <w:color w:val="000000"/>
        </w:rPr>
      </w:pPr>
      <w:proofErr w:type="gramStart"/>
      <w:r w:rsidRPr="0013742C">
        <w:rPr>
          <w:iCs/>
          <w:color w:val="000000"/>
        </w:rPr>
        <w:t>of</w:t>
      </w:r>
      <w:proofErr w:type="gramEnd"/>
      <w:r w:rsidRPr="0013742C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a series of </w:t>
      </w:r>
      <w:r w:rsidRPr="0013742C">
        <w:rPr>
          <w:iCs/>
          <w:color w:val="000000"/>
        </w:rPr>
        <w:t xml:space="preserve">relevant </w:t>
      </w:r>
      <w:r w:rsidR="00075318">
        <w:rPr>
          <w:iCs/>
          <w:color w:val="000000"/>
        </w:rPr>
        <w:t>class orders, including Class Order [CO 04/1570], made in December 2004</w:t>
      </w:r>
      <w:r w:rsidRPr="0013742C">
        <w:rPr>
          <w:iCs/>
          <w:color w:val="000000"/>
        </w:rPr>
        <w:t>.</w:t>
      </w:r>
      <w:r w:rsidR="00075318">
        <w:rPr>
          <w:iCs/>
          <w:color w:val="000000"/>
        </w:rPr>
        <w:t xml:space="preserve"> </w:t>
      </w:r>
      <w:r w:rsidR="003C1E7A">
        <w:rPr>
          <w:iCs/>
          <w:color w:val="000000"/>
        </w:rPr>
        <w:t>Class Order [CO 05/1270] refers to these class orders as “eligible instruments”. As t</w:t>
      </w:r>
      <w:r w:rsidR="00075318">
        <w:rPr>
          <w:iCs/>
          <w:color w:val="000000"/>
        </w:rPr>
        <w:t>h</w:t>
      </w:r>
      <w:r w:rsidR="003C1E7A">
        <w:rPr>
          <w:iCs/>
          <w:color w:val="000000"/>
        </w:rPr>
        <w:t xml:space="preserve">ese eligible instruments </w:t>
      </w:r>
      <w:r w:rsidR="00075318" w:rsidRPr="00075318">
        <w:rPr>
          <w:iCs/>
          <w:color w:val="000000"/>
        </w:rPr>
        <w:t>were not gazetted before 1 January 2005</w:t>
      </w:r>
      <w:r w:rsidR="003C1E7A">
        <w:rPr>
          <w:iCs/>
          <w:color w:val="000000"/>
        </w:rPr>
        <w:t xml:space="preserve">, there was some doubt about whether </w:t>
      </w:r>
      <w:r w:rsidR="00075318" w:rsidRPr="00075318">
        <w:rPr>
          <w:iCs/>
          <w:color w:val="000000"/>
        </w:rPr>
        <w:t xml:space="preserve">the </w:t>
      </w:r>
      <w:r w:rsidR="00075318" w:rsidRPr="00075318">
        <w:rPr>
          <w:i/>
          <w:iCs/>
          <w:color w:val="000000"/>
        </w:rPr>
        <w:t xml:space="preserve">Legislative Instruments Act 2003 </w:t>
      </w:r>
      <w:r w:rsidR="00075318" w:rsidRPr="00075318">
        <w:rPr>
          <w:iCs/>
          <w:color w:val="000000"/>
        </w:rPr>
        <w:t>in effect ha</w:t>
      </w:r>
      <w:r w:rsidR="003C1E7A">
        <w:rPr>
          <w:iCs/>
          <w:color w:val="000000"/>
        </w:rPr>
        <w:t>d</w:t>
      </w:r>
      <w:r w:rsidR="00075318" w:rsidRPr="00075318">
        <w:rPr>
          <w:iCs/>
          <w:color w:val="000000"/>
        </w:rPr>
        <w:t xml:space="preserve"> rendered them inoperative from that</w:t>
      </w:r>
      <w:r w:rsidR="003C1E7A">
        <w:rPr>
          <w:iCs/>
          <w:color w:val="000000"/>
        </w:rPr>
        <w:t xml:space="preserve"> </w:t>
      </w:r>
      <w:r w:rsidR="00075318" w:rsidRPr="00075318">
        <w:rPr>
          <w:iCs/>
          <w:color w:val="000000"/>
        </w:rPr>
        <w:t>date</w:t>
      </w:r>
      <w:r w:rsidR="003C1E7A">
        <w:rPr>
          <w:iCs/>
          <w:color w:val="000000"/>
        </w:rPr>
        <w:t xml:space="preserve">. </w:t>
      </w:r>
    </w:p>
    <w:p w:rsidR="00B06BB5" w:rsidRDefault="00B06BB5" w:rsidP="004A6A57"/>
    <w:p w:rsidR="004A6A57" w:rsidRPr="007B1A05" w:rsidRDefault="004A6A57" w:rsidP="004A6A57">
      <w:pPr>
        <w:rPr>
          <w:rFonts w:ascii="Arial" w:hAnsi="Arial" w:cs="Arial"/>
          <w:b/>
        </w:rPr>
      </w:pPr>
      <w:r w:rsidRPr="007B1A05">
        <w:rPr>
          <w:rFonts w:ascii="Arial" w:hAnsi="Arial" w:cs="Arial"/>
          <w:b/>
        </w:rPr>
        <w:t>2.</w:t>
      </w:r>
      <w:r w:rsidRPr="007B1A05">
        <w:rPr>
          <w:rFonts w:ascii="Arial" w:hAnsi="Arial" w:cs="Arial"/>
          <w:b/>
        </w:rPr>
        <w:tab/>
        <w:t>Purpose of the class order</w:t>
      </w:r>
    </w:p>
    <w:p w:rsidR="004A6A57" w:rsidRDefault="004A6A57" w:rsidP="004A6A57"/>
    <w:p w:rsidR="00302488" w:rsidRDefault="00557BFE">
      <w:r>
        <w:t>The purpose of this class order is</w:t>
      </w:r>
      <w:r w:rsidR="00C64984">
        <w:t xml:space="preserve"> to </w:t>
      </w:r>
      <w:r w:rsidR="0013742C">
        <w:t xml:space="preserve">perfect the </w:t>
      </w:r>
      <w:r w:rsidR="00C64984">
        <w:t>revo</w:t>
      </w:r>
      <w:r w:rsidR="0013742C">
        <w:t>cation</w:t>
      </w:r>
      <w:r w:rsidR="003C1E7A">
        <w:t xml:space="preserve"> of [CO 04/1570]. </w:t>
      </w:r>
    </w:p>
    <w:p w:rsidR="00302488" w:rsidRDefault="00302488"/>
    <w:p w:rsidR="00F35ADD" w:rsidRDefault="00557BFE">
      <w:r>
        <w:t xml:space="preserve">The relief contained in </w:t>
      </w:r>
      <w:r w:rsidR="001E0ADD">
        <w:t xml:space="preserve">Class Order </w:t>
      </w:r>
      <w:r w:rsidR="00812BEA">
        <w:t xml:space="preserve">[CO 04/1570] operated in addition to a related exemption in </w:t>
      </w:r>
      <w:r>
        <w:t xml:space="preserve">former </w:t>
      </w:r>
      <w:r w:rsidR="00812BEA">
        <w:t xml:space="preserve">regulation 7.6.01(ma) of the </w:t>
      </w:r>
      <w:r>
        <w:t>Regulations</w:t>
      </w:r>
      <w:r w:rsidR="00812BEA">
        <w:t xml:space="preserve"> and was made on similar terms.  Regulation 7.6.01(1</w:t>
      </w:r>
      <w:proofErr w:type="gramStart"/>
      <w:r w:rsidR="00812BEA">
        <w:t>)(</w:t>
      </w:r>
      <w:proofErr w:type="gramEnd"/>
      <w:r w:rsidR="00812BEA">
        <w:t>ma) has since been repealed</w:t>
      </w:r>
      <w:r>
        <w:t xml:space="preserve"> and </w:t>
      </w:r>
      <w:r w:rsidR="002B1358">
        <w:t xml:space="preserve">it </w:t>
      </w:r>
      <w:r>
        <w:t>is considered no longer appropriate to continue the existence of the relief in the class order</w:t>
      </w:r>
      <w:r w:rsidR="00812BEA">
        <w:t xml:space="preserve">. </w:t>
      </w:r>
    </w:p>
    <w:p w:rsidR="00C64984" w:rsidRDefault="00C64984" w:rsidP="004A6A57"/>
    <w:p w:rsidR="006611B0" w:rsidRPr="007B1A05" w:rsidRDefault="006611B0" w:rsidP="006611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B1A05">
        <w:rPr>
          <w:rFonts w:ascii="Arial" w:hAnsi="Arial" w:cs="Arial"/>
          <w:b/>
        </w:rPr>
        <w:t>.</w:t>
      </w:r>
      <w:r w:rsidRPr="007B1A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Operation of the class order</w:t>
      </w:r>
    </w:p>
    <w:p w:rsidR="006611B0" w:rsidRDefault="006611B0" w:rsidP="004A6A57"/>
    <w:p w:rsidR="006611B0" w:rsidRDefault="005D6818" w:rsidP="004A6A57">
      <w:r w:rsidRPr="002C1E5A">
        <w:t xml:space="preserve">This class </w:t>
      </w:r>
      <w:r w:rsidR="008C0D68">
        <w:t>o</w:t>
      </w:r>
      <w:r w:rsidRPr="002C1E5A">
        <w:t xml:space="preserve">rder </w:t>
      </w:r>
      <w:r w:rsidR="003C1E7A">
        <w:t xml:space="preserve">perfects the </w:t>
      </w:r>
      <w:r w:rsidR="00836CF1" w:rsidRPr="002C1E5A">
        <w:t>revo</w:t>
      </w:r>
      <w:r w:rsidR="003C1E7A">
        <w:t>cation</w:t>
      </w:r>
      <w:r w:rsidR="00836CF1" w:rsidRPr="002C1E5A">
        <w:t xml:space="preserve"> </w:t>
      </w:r>
      <w:r w:rsidR="003C1E7A">
        <w:t xml:space="preserve">of </w:t>
      </w:r>
      <w:r w:rsidR="001E0ADD" w:rsidRPr="002C1E5A">
        <w:t xml:space="preserve">Class Order </w:t>
      </w:r>
      <w:r w:rsidR="00836CF1" w:rsidRPr="002C1E5A">
        <w:t>[CO 04/1570]</w:t>
      </w:r>
      <w:r w:rsidR="003C1E7A">
        <w:t xml:space="preserve"> by </w:t>
      </w:r>
      <w:r w:rsidR="008C0D68">
        <w:t xml:space="preserve">amending </w:t>
      </w:r>
      <w:proofErr w:type="gramStart"/>
      <w:r w:rsidR="008C0D68">
        <w:t>the  definition</w:t>
      </w:r>
      <w:proofErr w:type="gramEnd"/>
      <w:r w:rsidR="008C0D68">
        <w:t xml:space="preserve"> </w:t>
      </w:r>
      <w:r w:rsidR="003C1E7A">
        <w:t>of “eligible instrument”</w:t>
      </w:r>
      <w:r w:rsidR="008C0D68">
        <w:t xml:space="preserve"> in Class Order [CO 05/1270] </w:t>
      </w:r>
      <w:r w:rsidR="003C1E7A">
        <w:t xml:space="preserve"> </w:t>
      </w:r>
      <w:r w:rsidR="008C0D68">
        <w:t xml:space="preserve">so as to remove </w:t>
      </w:r>
      <w:r w:rsidR="003C1E7A">
        <w:t>the reference to Class Order</w:t>
      </w:r>
      <w:r w:rsidR="008C0D68">
        <w:t xml:space="preserve"> [CO 04/1570]</w:t>
      </w:r>
      <w:r w:rsidR="00836CF1" w:rsidRPr="002C1E5A">
        <w:t>.</w:t>
      </w:r>
    </w:p>
    <w:p w:rsidR="002C1E5A" w:rsidRPr="002C1E5A" w:rsidRDefault="002C1E5A" w:rsidP="004A6A57"/>
    <w:p w:rsidR="006611B0" w:rsidRDefault="006611B0" w:rsidP="004A6A57"/>
    <w:p w:rsidR="004A6A57" w:rsidRPr="007B1A05" w:rsidRDefault="006611B0" w:rsidP="004A6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A6A57" w:rsidRPr="007B1A05">
        <w:rPr>
          <w:rFonts w:ascii="Arial" w:hAnsi="Arial" w:cs="Arial"/>
          <w:b/>
        </w:rPr>
        <w:t>.</w:t>
      </w:r>
      <w:r w:rsidR="004A6A57" w:rsidRPr="007B1A05">
        <w:rPr>
          <w:rFonts w:ascii="Arial" w:hAnsi="Arial" w:cs="Arial"/>
          <w:b/>
        </w:rPr>
        <w:tab/>
      </w:r>
      <w:r w:rsidR="004A6A57">
        <w:rPr>
          <w:rFonts w:ascii="Arial" w:hAnsi="Arial" w:cs="Arial"/>
          <w:b/>
        </w:rPr>
        <w:t>Statement of Compatibility with Human Rights</w:t>
      </w:r>
    </w:p>
    <w:p w:rsidR="004A6A57" w:rsidRDefault="004A6A57" w:rsidP="004A6A57"/>
    <w:p w:rsidR="004A6A57" w:rsidRDefault="004A6A57" w:rsidP="004A6A57">
      <w:r>
        <w:t xml:space="preserve">This statement is prepared in accordance with Part 3 of the </w:t>
      </w:r>
      <w:r w:rsidRPr="00AC7F41">
        <w:rPr>
          <w:i/>
        </w:rPr>
        <w:t>Human Rights (Parliamentary Scrutiny) Act 2011</w:t>
      </w:r>
      <w:r>
        <w:t xml:space="preserve">. This </w:t>
      </w:r>
      <w:r w:rsidR="00557BFE">
        <w:t>class order</w:t>
      </w:r>
      <w:r>
        <w:t xml:space="preserve"> is compatible with the human rights and freedoms recognised or declared in the international instruments listed in section 3 of the </w:t>
      </w:r>
      <w:r w:rsidRPr="00AC7F41">
        <w:rPr>
          <w:i/>
        </w:rPr>
        <w:t>Human Rights (Parliamentary Scrutiny) Act 2011</w:t>
      </w:r>
      <w:r>
        <w:t xml:space="preserve"> because it does not engage any of the applicable rights or freedoms. </w:t>
      </w:r>
    </w:p>
    <w:p w:rsidR="006611B0" w:rsidRDefault="006611B0" w:rsidP="004A6A57"/>
    <w:p w:rsidR="00836CF1" w:rsidRDefault="00836CF1" w:rsidP="004A6A57"/>
    <w:p w:rsidR="004A6A57" w:rsidRPr="00AC7F41" w:rsidRDefault="006611B0" w:rsidP="004A6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A6A57" w:rsidRPr="00AC7F41">
        <w:rPr>
          <w:rFonts w:ascii="Arial" w:hAnsi="Arial" w:cs="Arial"/>
          <w:b/>
        </w:rPr>
        <w:t xml:space="preserve">. </w:t>
      </w:r>
      <w:r w:rsidR="004A6A57" w:rsidRPr="00AC7F41">
        <w:rPr>
          <w:rFonts w:ascii="Arial" w:hAnsi="Arial" w:cs="Arial"/>
          <w:b/>
        </w:rPr>
        <w:tab/>
        <w:t xml:space="preserve">Consultation </w:t>
      </w:r>
    </w:p>
    <w:p w:rsidR="004A6A57" w:rsidRDefault="004A6A57" w:rsidP="004A6A57">
      <w:pPr>
        <w:rPr>
          <w:i/>
        </w:rPr>
      </w:pPr>
    </w:p>
    <w:p w:rsidR="000064CC" w:rsidRDefault="00836CF1">
      <w:r>
        <w:t xml:space="preserve">ASIC did not undertake any specific consultation before </w:t>
      </w:r>
      <w:r w:rsidR="00557BFE">
        <w:t>making this class order</w:t>
      </w:r>
      <w:r>
        <w:t xml:space="preserve"> because it is of a minor and machinery nature. </w:t>
      </w:r>
      <w:r w:rsidR="006376CA">
        <w:t xml:space="preserve"> </w:t>
      </w:r>
    </w:p>
    <w:sectPr w:rsidR="000064CC" w:rsidSect="0000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CD7E4"/>
    <w:lvl w:ilvl="0">
      <w:numFmt w:val="bullet"/>
      <w:lvlText w:val="*"/>
      <w:lvlJc w:val="left"/>
    </w:lvl>
  </w:abstractNum>
  <w:abstractNum w:abstractNumId="1">
    <w:nsid w:val="302C3B3C"/>
    <w:multiLevelType w:val="hybridMultilevel"/>
    <w:tmpl w:val="97CA8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C0A66"/>
    <w:multiLevelType w:val="hybridMultilevel"/>
    <w:tmpl w:val="2EF6E1B6"/>
    <w:lvl w:ilvl="0" w:tplc="67B4FB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387E38"/>
    <w:multiLevelType w:val="hybridMultilevel"/>
    <w:tmpl w:val="6586403C"/>
    <w:lvl w:ilvl="0" w:tplc="03E4BC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37F2"/>
    <w:multiLevelType w:val="hybridMultilevel"/>
    <w:tmpl w:val="F05E0C20"/>
    <w:lvl w:ilvl="0" w:tplc="59BC1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7ECE"/>
    <w:multiLevelType w:val="hybridMultilevel"/>
    <w:tmpl w:val="D674CAA8"/>
    <w:lvl w:ilvl="0" w:tplc="BF9A13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42D69"/>
    <w:multiLevelType w:val="hybridMultilevel"/>
    <w:tmpl w:val="138A08BE"/>
    <w:lvl w:ilvl="0" w:tplc="D29EAE6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A57"/>
    <w:rsid w:val="000064CC"/>
    <w:rsid w:val="00022931"/>
    <w:rsid w:val="00075318"/>
    <w:rsid w:val="00086783"/>
    <w:rsid w:val="000A1759"/>
    <w:rsid w:val="000E257F"/>
    <w:rsid w:val="0013742C"/>
    <w:rsid w:val="001D0E4E"/>
    <w:rsid w:val="001E0ADD"/>
    <w:rsid w:val="002B1358"/>
    <w:rsid w:val="002C1E5A"/>
    <w:rsid w:val="00302488"/>
    <w:rsid w:val="003209A6"/>
    <w:rsid w:val="003218B6"/>
    <w:rsid w:val="003748B1"/>
    <w:rsid w:val="003C1E7A"/>
    <w:rsid w:val="003C77D8"/>
    <w:rsid w:val="004335CD"/>
    <w:rsid w:val="004A6A57"/>
    <w:rsid w:val="004A7AAA"/>
    <w:rsid w:val="004B0C0A"/>
    <w:rsid w:val="00557BFE"/>
    <w:rsid w:val="00564F65"/>
    <w:rsid w:val="005936D4"/>
    <w:rsid w:val="005A309A"/>
    <w:rsid w:val="005D6818"/>
    <w:rsid w:val="006376CA"/>
    <w:rsid w:val="006611B0"/>
    <w:rsid w:val="00696D32"/>
    <w:rsid w:val="00700B35"/>
    <w:rsid w:val="00747319"/>
    <w:rsid w:val="00787BA5"/>
    <w:rsid w:val="007A2789"/>
    <w:rsid w:val="007C110D"/>
    <w:rsid w:val="00812BEA"/>
    <w:rsid w:val="00836CF1"/>
    <w:rsid w:val="00882A2C"/>
    <w:rsid w:val="008C0D68"/>
    <w:rsid w:val="008D4D41"/>
    <w:rsid w:val="008F5645"/>
    <w:rsid w:val="009F6499"/>
    <w:rsid w:val="00A21CB9"/>
    <w:rsid w:val="00A83075"/>
    <w:rsid w:val="00AF6650"/>
    <w:rsid w:val="00B06BB5"/>
    <w:rsid w:val="00B97807"/>
    <w:rsid w:val="00BA7D14"/>
    <w:rsid w:val="00BC2DE4"/>
    <w:rsid w:val="00BC6299"/>
    <w:rsid w:val="00C64984"/>
    <w:rsid w:val="00DE41BD"/>
    <w:rsid w:val="00E73FBD"/>
    <w:rsid w:val="00EA6ABA"/>
    <w:rsid w:val="00F35ADD"/>
    <w:rsid w:val="00F836F5"/>
    <w:rsid w:val="00FA224C"/>
    <w:rsid w:val="00FC0302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57"/>
    <w:pPr>
      <w:ind w:left="720"/>
    </w:pPr>
  </w:style>
  <w:style w:type="paragraph" w:customStyle="1" w:styleId="Default">
    <w:name w:val="Default"/>
    <w:rsid w:val="00812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headnote">
    <w:name w:val="aheadnote"/>
    <w:basedOn w:val="Default"/>
    <w:next w:val="Default"/>
    <w:uiPriority w:val="99"/>
    <w:rsid w:val="00B06BB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Oombas</dc:creator>
  <cp:lastModifiedBy>Ruki Weerasinghe</cp:lastModifiedBy>
  <cp:revision>2</cp:revision>
  <dcterms:created xsi:type="dcterms:W3CDTF">2012-08-14T22:46:00Z</dcterms:created>
  <dcterms:modified xsi:type="dcterms:W3CDTF">2012-08-14T22:46:00Z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A3615057</vt:lpwstr>
  </property>
  <property fmtid="{D5CDD505-2E9C-101B-9397-08002B2CF9AE}" pid="4" name="Objective-Title">
    <vt:lpwstr>Class Order CO 12-1110 (Explanatory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2012-08-13T22:49:49Z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2012-08-14T06:29:45Z</vt:filetime>
  </property>
  <property fmtid="{D5CDD505-2E9C-101B-9397-08002B2CF9AE}" pid="10" name="Objective-ModificationStamp">
    <vt:filetime>2012-08-14T06:29:46Z</vt:filetime>
  </property>
  <property fmtid="{D5CDD505-2E9C-101B-9397-08002B2CF9AE}" pid="11" name="Objective-Owner">
    <vt:lpwstr>Grant Moodie</vt:lpwstr>
  </property>
  <property fmtid="{D5CDD505-2E9C-101B-9397-08002B2CF9AE}" pid="12" name="Objective-Path">
    <vt:lpwstr>ASIC BCS:LEGAL SERVICES:Advice:Class Orders:Class Orders 2012:</vt:lpwstr>
  </property>
  <property fmtid="{D5CDD505-2E9C-101B-9397-08002B2CF9AE}" pid="13" name="Objective-Parent">
    <vt:lpwstr>Class Orders 2012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3</vt:i4>
  </property>
  <property fmtid="{D5CDD505-2E9C-101B-9397-08002B2CF9AE}" pid="17" name="Objective-VersionComment">
    <vt:lpwstr/>
  </property>
  <property fmtid="{D5CDD505-2E9C-101B-9397-08002B2CF9AE}" pid="18" name="Objective-FileNumber">
    <vt:lpwstr>2012 - 000142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