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8" w:rsidRDefault="00A20E63" w:rsidP="00A20E63">
      <w:pPr>
        <w:pStyle w:val="Title"/>
        <w:pBdr>
          <w:bottom w:val="single" w:sz="4" w:space="3" w:color="auto"/>
        </w:pBdr>
      </w:pPr>
      <w:r w:rsidRPr="00A20E63"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itation"/>
    </w:p>
    <w:p w:rsidR="00A20E63" w:rsidRPr="002E3189" w:rsidRDefault="00A20E63" w:rsidP="00A20E63">
      <w:pPr>
        <w:pStyle w:val="Title"/>
        <w:pBdr>
          <w:bottom w:val="single" w:sz="4" w:space="3" w:color="auto"/>
        </w:pBdr>
      </w:pPr>
      <w:r w:rsidRPr="002E3189">
        <w:t>Radiocommunications (</w:t>
      </w:r>
      <w:r>
        <w:t>Spectrum Licence Tax</w:t>
      </w:r>
      <w:r w:rsidRPr="002E3189">
        <w:t xml:space="preserve">) </w:t>
      </w:r>
      <w:r>
        <w:t xml:space="preserve">Amendment </w:t>
      </w:r>
      <w:r w:rsidRPr="002E3189">
        <w:t xml:space="preserve">Determination </w:t>
      </w:r>
      <w:r>
        <w:t>2012</w:t>
      </w:r>
      <w:bookmarkEnd w:id="0"/>
      <w:r>
        <w:t xml:space="preserve"> (No.1)</w:t>
      </w:r>
    </w:p>
    <w:p w:rsidR="00A20E63" w:rsidRPr="002E3189" w:rsidRDefault="00A20E63" w:rsidP="00A20E63">
      <w:pPr>
        <w:pBdr>
          <w:bottom w:val="single" w:sz="4" w:space="3" w:color="auto"/>
        </w:pBdr>
        <w:spacing w:before="480"/>
        <w:outlineLvl w:val="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(Spectrum Licence Tax) Act 1997</w:t>
      </w:r>
    </w:p>
    <w:p w:rsidR="00A20E63" w:rsidRPr="00EC4371" w:rsidRDefault="00A20E63" w:rsidP="00A20E63">
      <w:pPr>
        <w:spacing w:before="360"/>
        <w:jc w:val="both"/>
        <w:rPr>
          <w:rFonts w:ascii="Times New Roman" w:hAnsi="Times New Roman"/>
          <w:sz w:val="24"/>
        </w:rPr>
      </w:pPr>
      <w:r w:rsidRPr="00EC4371">
        <w:rPr>
          <w:rFonts w:ascii="Times New Roman" w:hAnsi="Times New Roman"/>
          <w:sz w:val="24"/>
        </w:rPr>
        <w:t xml:space="preserve">The AUSTRALIAN COMMUNICATIONS AND MEDIA AUTHORITY </w:t>
      </w:r>
      <w:r w:rsidRPr="00EC4371">
        <w:rPr>
          <w:rFonts w:ascii="Times New Roman" w:hAnsi="Times New Roman" w:cs="Times New Roman"/>
          <w:sz w:val="24"/>
          <w:szCs w:val="24"/>
        </w:rPr>
        <w:t>makes this Determination</w:t>
      </w:r>
      <w:r w:rsidRPr="00EC4371">
        <w:rPr>
          <w:rFonts w:ascii="Times New Roman" w:hAnsi="Times New Roman"/>
          <w:sz w:val="24"/>
        </w:rPr>
        <w:t xml:space="preserve"> under subsection </w:t>
      </w:r>
      <w:r>
        <w:rPr>
          <w:rFonts w:ascii="Times New Roman" w:hAnsi="Times New Roman"/>
          <w:sz w:val="24"/>
        </w:rPr>
        <w:t>7</w:t>
      </w:r>
      <w:r w:rsidR="007B38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(1)</w:t>
      </w:r>
      <w:r w:rsidRPr="00EC4371">
        <w:rPr>
          <w:rFonts w:ascii="Times New Roman" w:hAnsi="Times New Roman"/>
          <w:sz w:val="24"/>
        </w:rPr>
        <w:t xml:space="preserve"> of the </w:t>
      </w:r>
      <w:r w:rsidRPr="00EC4371">
        <w:rPr>
          <w:rFonts w:ascii="Times New Roman" w:hAnsi="Times New Roman"/>
          <w:i/>
          <w:sz w:val="24"/>
        </w:rPr>
        <w:t xml:space="preserve">Radiocommunications </w:t>
      </w:r>
      <w:r>
        <w:rPr>
          <w:rFonts w:ascii="Times New Roman" w:hAnsi="Times New Roman"/>
          <w:i/>
          <w:sz w:val="24"/>
        </w:rPr>
        <w:t xml:space="preserve">(Spectrum Licence Tax) </w:t>
      </w:r>
      <w:r w:rsidRPr="00EC4371">
        <w:rPr>
          <w:rFonts w:ascii="Times New Roman" w:hAnsi="Times New Roman"/>
          <w:i/>
          <w:sz w:val="24"/>
        </w:rPr>
        <w:t>Act 199</w:t>
      </w:r>
      <w:r>
        <w:rPr>
          <w:rFonts w:ascii="Times New Roman" w:hAnsi="Times New Roman"/>
          <w:i/>
          <w:sz w:val="24"/>
        </w:rPr>
        <w:t>7</w:t>
      </w:r>
      <w:r w:rsidRPr="00EC4371">
        <w:rPr>
          <w:rFonts w:ascii="Times New Roman" w:hAnsi="Times New Roman"/>
          <w:sz w:val="24"/>
        </w:rPr>
        <w:t>.</w:t>
      </w:r>
    </w:p>
    <w:p w:rsidR="00A20E63" w:rsidRPr="00EC4371" w:rsidRDefault="00A20E63" w:rsidP="00A20E63">
      <w:pPr>
        <w:tabs>
          <w:tab w:val="left" w:pos="3119"/>
        </w:tabs>
        <w:spacing w:before="300" w:after="600" w:line="300" w:lineRule="atLeast"/>
        <w:rPr>
          <w:rFonts w:ascii="Times New Roman" w:hAnsi="Times New Roman"/>
          <w:sz w:val="24"/>
        </w:rPr>
      </w:pPr>
      <w:r w:rsidRPr="00EC4371">
        <w:rPr>
          <w:rFonts w:ascii="Times New Roman" w:hAnsi="Times New Roman"/>
          <w:sz w:val="24"/>
        </w:rPr>
        <w:t>Dated</w:t>
      </w:r>
      <w:r w:rsidRPr="00F16BB6">
        <w:rPr>
          <w:rFonts w:ascii="Times New Roman" w:hAnsi="Times New Roman" w:cs="Times New Roman"/>
          <w:sz w:val="24"/>
          <w:szCs w:val="24"/>
        </w:rPr>
        <w:tab/>
      </w:r>
      <w:bookmarkStart w:id="1" w:name="Year"/>
      <w:r w:rsidR="001836BE">
        <w:rPr>
          <w:rFonts w:ascii="Times New Roman" w:hAnsi="Times New Roman" w:cs="Times New Roman"/>
          <w:sz w:val="24"/>
          <w:szCs w:val="24"/>
        </w:rPr>
        <w:t xml:space="preserve">15 August </w:t>
      </w:r>
      <w:r w:rsidRPr="00F16BB6">
        <w:rPr>
          <w:rFonts w:ascii="Times New Roman" w:hAnsi="Times New Roman"/>
          <w:sz w:val="24"/>
        </w:rPr>
        <w:t>20</w:t>
      </w:r>
      <w:bookmarkEnd w:id="1"/>
      <w:r w:rsidRPr="00F16BB6">
        <w:rPr>
          <w:rFonts w:ascii="Times New Roman" w:hAnsi="Times New Roman"/>
          <w:sz w:val="24"/>
        </w:rPr>
        <w:t>12</w:t>
      </w: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Chapman</w:t>
      </w: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[signed]</w:t>
      </w:r>
    </w:p>
    <w:p w:rsidR="00A20E63" w:rsidRPr="00EC4371" w:rsidRDefault="00A20E63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71">
        <w:rPr>
          <w:rFonts w:ascii="Times New Roman" w:hAnsi="Times New Roman" w:cs="Times New Roman"/>
          <w:sz w:val="24"/>
          <w:szCs w:val="24"/>
        </w:rPr>
        <w:t>Member</w:t>
      </w: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Bean</w:t>
      </w:r>
    </w:p>
    <w:p w:rsidR="001836BE" w:rsidRDefault="001836BE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[signed]</w:t>
      </w:r>
    </w:p>
    <w:p w:rsidR="00A20E63" w:rsidRPr="00EC4371" w:rsidRDefault="00A20E63" w:rsidP="001836BE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71">
        <w:rPr>
          <w:rFonts w:ascii="Times New Roman" w:hAnsi="Times New Roman" w:cs="Times New Roman"/>
          <w:sz w:val="24"/>
          <w:szCs w:val="24"/>
        </w:rPr>
        <w:t>Member/</w:t>
      </w:r>
      <w:r w:rsidRPr="001836BE">
        <w:rPr>
          <w:rFonts w:ascii="Times New Roman" w:hAnsi="Times New Roman" w:cs="Times New Roman"/>
          <w:strike/>
          <w:sz w:val="24"/>
          <w:szCs w:val="24"/>
        </w:rPr>
        <w:t>General Manager</w:t>
      </w:r>
    </w:p>
    <w:p w:rsidR="00A20E63" w:rsidRPr="00EC4371" w:rsidRDefault="00A20E63" w:rsidP="00A20E63">
      <w:pPr>
        <w:tabs>
          <w:tab w:val="left" w:pos="3969"/>
        </w:tabs>
        <w:spacing w:before="600" w:line="300" w:lineRule="atLeast"/>
        <w:rPr>
          <w:rFonts w:ascii="Times New Roman" w:hAnsi="Times New Roman"/>
          <w:sz w:val="24"/>
        </w:rPr>
      </w:pPr>
    </w:p>
    <w:p w:rsidR="00A20E63" w:rsidRPr="007E1A14" w:rsidRDefault="00A20E63" w:rsidP="00A20E6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outlineLvl w:val="0"/>
        <w:rPr>
          <w:rFonts w:ascii="Times New Roman" w:hAnsi="Times New Roman"/>
          <w:b/>
          <w:sz w:val="24"/>
        </w:rPr>
      </w:pPr>
      <w:bookmarkStart w:id="2" w:name="Minister"/>
      <w:r w:rsidRPr="00EC4371">
        <w:rPr>
          <w:rFonts w:ascii="Times New Roman" w:hAnsi="Times New Roman"/>
          <w:sz w:val="24"/>
        </w:rPr>
        <w:t>Australian Communications and Media Authority</w:t>
      </w:r>
      <w:bookmarkEnd w:id="2"/>
    </w:p>
    <w:p w:rsidR="008D0309" w:rsidRDefault="008D03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D0309" w:rsidRPr="007E1A14" w:rsidRDefault="008D0309" w:rsidP="008D030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outlineLvl w:val="0"/>
        <w:rPr>
          <w:rFonts w:ascii="Times New Roman" w:hAnsi="Times New Roman"/>
          <w:b/>
          <w:sz w:val="24"/>
        </w:rPr>
      </w:pPr>
    </w:p>
    <w:p w:rsidR="008D0309" w:rsidRPr="008D0309" w:rsidRDefault="008D0309" w:rsidP="008D03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A5359" w:rsidRPr="00FA5359" w:rsidRDefault="00A20E63" w:rsidP="009A216B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A20E63">
        <w:rPr>
          <w:rFonts w:ascii="Arial" w:hAnsi="Arial" w:cs="Arial"/>
          <w:b/>
          <w:sz w:val="24"/>
          <w:szCs w:val="24"/>
        </w:rPr>
        <w:t>Name of Determination</w:t>
      </w:r>
    </w:p>
    <w:p w:rsidR="00A20E63" w:rsidRPr="009A216B" w:rsidRDefault="00A20E63" w:rsidP="009A216B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A5359">
        <w:rPr>
          <w:rFonts w:ascii="Times New Roman" w:hAnsi="Times New Roman" w:cs="Times New Roman"/>
          <w:sz w:val="24"/>
          <w:szCs w:val="24"/>
        </w:rPr>
        <w:t xml:space="preserve">This Determination is the </w:t>
      </w:r>
      <w:r w:rsidRPr="00FA5359">
        <w:rPr>
          <w:rFonts w:ascii="Times New Roman" w:hAnsi="Times New Roman" w:cs="Times New Roman"/>
          <w:i/>
          <w:sz w:val="24"/>
          <w:szCs w:val="24"/>
        </w:rPr>
        <w:t>Radiocommunications (Spectrum Licence Tax) Amendment Determination 2012 (No.1)</w:t>
      </w:r>
      <w:r w:rsidRPr="00FA5359">
        <w:rPr>
          <w:rFonts w:ascii="Times New Roman" w:hAnsi="Times New Roman" w:cs="Times New Roman"/>
          <w:sz w:val="24"/>
          <w:szCs w:val="24"/>
        </w:rPr>
        <w:t>.</w:t>
      </w:r>
    </w:p>
    <w:p w:rsidR="00A20E63" w:rsidRDefault="00A20E63" w:rsidP="009A216B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Commencement</w:t>
      </w:r>
    </w:p>
    <w:p w:rsidR="00FA5359" w:rsidRDefault="00A20E63" w:rsidP="00AF60F2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359">
        <w:rPr>
          <w:rFonts w:ascii="Times New Roman" w:hAnsi="Times New Roman" w:cs="Times New Roman"/>
          <w:sz w:val="24"/>
          <w:szCs w:val="24"/>
        </w:rPr>
        <w:t>This Determination commences on the day after it is registered.</w:t>
      </w:r>
    </w:p>
    <w:p w:rsidR="009A216B" w:rsidRPr="009A216B" w:rsidRDefault="005274A1" w:rsidP="009A216B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FA53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</w:t>
      </w:r>
      <w:r w:rsidRPr="00FA5359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All legislative instruments and compilations are registered on the Federal Register of Legislative Instruments kept under the Legislative Instruments Act 2003. See </w:t>
      </w:r>
      <w:hyperlink r:id="rId9" w:history="1">
        <w:r w:rsidRPr="00FA5359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http://www.frli.gov.au</w:t>
        </w:r>
      </w:hyperlink>
      <w:r w:rsidRPr="00FA5359">
        <w:rPr>
          <w:rFonts w:ascii="Times New Roman" w:hAnsi="Times New Roman" w:cs="Times New Roman"/>
        </w:rPr>
        <w:t>.</w:t>
      </w:r>
    </w:p>
    <w:p w:rsidR="005274A1" w:rsidRDefault="00FA5359" w:rsidP="009A216B">
      <w:pPr>
        <w:pStyle w:val="ListParagraph"/>
        <w:numPr>
          <w:ilvl w:val="0"/>
          <w:numId w:val="1"/>
        </w:numPr>
        <w:spacing w:after="12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</w:t>
      </w:r>
    </w:p>
    <w:p w:rsidR="00FA5359" w:rsidRPr="009A216B" w:rsidRDefault="00FA5359" w:rsidP="009A216B">
      <w:pPr>
        <w:ind w:left="709"/>
        <w:rPr>
          <w:rFonts w:ascii="Times New Roman" w:hAnsi="Times New Roman" w:cs="Times New Roman"/>
          <w:sz w:val="24"/>
          <w:szCs w:val="24"/>
        </w:rPr>
      </w:pPr>
      <w:r w:rsidRPr="009A216B">
        <w:rPr>
          <w:rFonts w:ascii="Times New Roman" w:hAnsi="Times New Roman" w:cs="Times New Roman"/>
          <w:sz w:val="24"/>
          <w:szCs w:val="24"/>
        </w:rPr>
        <w:t xml:space="preserve">Schedule 1 amends the </w:t>
      </w:r>
      <w:r w:rsidRPr="009A216B">
        <w:rPr>
          <w:rFonts w:ascii="Times New Roman" w:hAnsi="Times New Roman" w:cs="Times New Roman"/>
          <w:i/>
          <w:sz w:val="24"/>
          <w:szCs w:val="24"/>
        </w:rPr>
        <w:t>Radiocommunications (Spectrum Licence Tax) Determination 1999</w:t>
      </w:r>
      <w:r w:rsidRPr="009A2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4A1" w:rsidRDefault="00D75B51" w:rsidP="00D75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1</w:t>
      </w:r>
      <w:r>
        <w:rPr>
          <w:rFonts w:ascii="Arial" w:hAnsi="Arial" w:cs="Arial"/>
          <w:b/>
          <w:sz w:val="24"/>
          <w:szCs w:val="24"/>
        </w:rPr>
        <w:tab/>
        <w:t>Amendments</w:t>
      </w:r>
    </w:p>
    <w:p w:rsidR="00D75B51" w:rsidRDefault="00D75B51" w:rsidP="00D7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(section 3)</w:t>
      </w:r>
    </w:p>
    <w:p w:rsidR="00D75B51" w:rsidRDefault="00D75B51" w:rsidP="00D75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[1]</w:t>
      </w:r>
      <w:r>
        <w:rPr>
          <w:rFonts w:ascii="Arial" w:hAnsi="Arial" w:cs="Arial"/>
          <w:b/>
          <w:sz w:val="24"/>
          <w:szCs w:val="24"/>
        </w:rPr>
        <w:tab/>
      </w:r>
      <w:r w:rsidR="00E34CCD">
        <w:rPr>
          <w:rFonts w:ascii="Arial" w:hAnsi="Arial" w:cs="Arial"/>
          <w:b/>
          <w:sz w:val="24"/>
          <w:szCs w:val="24"/>
        </w:rPr>
        <w:t>Schedule 1, Part 1, Table 1</w:t>
      </w:r>
      <w:r w:rsidR="007D174F">
        <w:rPr>
          <w:rFonts w:ascii="Arial" w:hAnsi="Arial" w:cs="Arial"/>
          <w:b/>
          <w:sz w:val="24"/>
          <w:szCs w:val="24"/>
        </w:rPr>
        <w:t>, excluding the notes</w:t>
      </w:r>
    </w:p>
    <w:p w:rsidR="00E34CCD" w:rsidRDefault="00E34CCD" w:rsidP="00E34CC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substitute</w:t>
      </w:r>
    </w:p>
    <w:p w:rsidR="00D538CB" w:rsidRDefault="00305CDF" w:rsidP="00305CDF">
      <w:pPr>
        <w:pStyle w:val="R2"/>
        <w:spacing w:after="120"/>
        <w:ind w:left="709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538CB">
        <w:rPr>
          <w:rFonts w:ascii="Arial" w:hAnsi="Arial" w:cs="Arial"/>
          <w:b/>
          <w:bCs/>
        </w:rPr>
        <w:t>Table 1</w:t>
      </w:r>
    </w:p>
    <w:tbl>
      <w:tblPr>
        <w:tblW w:w="0" w:type="auto"/>
        <w:tblInd w:w="817" w:type="dxa"/>
        <w:tblLayout w:type="fixed"/>
        <w:tblLook w:val="0000"/>
      </w:tblPr>
      <w:tblGrid>
        <w:gridCol w:w="688"/>
        <w:gridCol w:w="2900"/>
        <w:gridCol w:w="1843"/>
        <w:gridCol w:w="1757"/>
      </w:tblGrid>
      <w:tr w:rsidR="00D538C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Default="00D538CB" w:rsidP="00756DAD">
            <w:pPr>
              <w:pStyle w:val="TableColHead"/>
              <w:tabs>
                <w:tab w:val="left" w:pos="709"/>
                <w:tab w:val="left" w:pos="2835"/>
              </w:tabs>
              <w:ind w:left="-108" w:firstLine="108"/>
              <w:jc w:val="center"/>
            </w:pPr>
            <w:r>
              <w:t>Item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Default="00D538CB" w:rsidP="00756DAD">
            <w:pPr>
              <w:pStyle w:val="TableColHead"/>
              <w:tabs>
                <w:tab w:val="left" w:pos="709"/>
                <w:tab w:val="left" w:pos="2835"/>
              </w:tabs>
              <w:jc w:val="center"/>
            </w:pPr>
            <w:r>
              <w:t>Frequency 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Default="00D538CB" w:rsidP="00756DAD">
            <w:pPr>
              <w:pStyle w:val="TableColHead"/>
              <w:tabs>
                <w:tab w:val="left" w:pos="709"/>
                <w:tab w:val="left" w:pos="2835"/>
              </w:tabs>
              <w:jc w:val="center"/>
            </w:pPr>
            <w:r>
              <w:t>Total specified spectrum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Default="00D538CB" w:rsidP="00756DAD">
            <w:pPr>
              <w:pStyle w:val="TableColHead"/>
              <w:tabs>
                <w:tab w:val="left" w:pos="709"/>
                <w:tab w:val="left" w:pos="2835"/>
              </w:tabs>
              <w:jc w:val="center"/>
            </w:pPr>
            <w:r>
              <w:t>Base amount ($)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825–845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40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20,320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870–890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1710–1755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90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45,653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1805–1850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1755–1785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60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30,435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1850–1880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</w:t>
            </w:r>
            <w:r w:rsidR="00305CDF" w:rsidRPr="0069004B">
              <w:rPr>
                <w:szCs w:val="22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1900–1980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155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78,624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2010–2025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2110–2170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3425–3492.5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50,670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3542.5–3575 MHz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26.5–27.5 GHz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1 000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188,511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305CDF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27.5–28.35 GHz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szCs w:val="22"/>
              </w:rPr>
              <w:t>1 150 MHz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538CB" w:rsidRPr="0069004B" w:rsidRDefault="00B36619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  <w:r w:rsidRPr="0069004B">
              <w:rPr>
                <w:color w:val="000000"/>
                <w:szCs w:val="22"/>
              </w:rPr>
              <w:t>48,753</w:t>
            </w:r>
          </w:p>
        </w:tc>
      </w:tr>
      <w:tr w:rsidR="00D538CB" w:rsidRPr="0069004B" w:rsidTr="00756DAD">
        <w:trPr>
          <w:cantSplit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ind w:left="588"/>
              <w:rPr>
                <w:szCs w:val="22"/>
              </w:rPr>
            </w:pPr>
            <w:r w:rsidRPr="0069004B">
              <w:rPr>
                <w:szCs w:val="22"/>
              </w:rPr>
              <w:t>31–31.3 GHz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8CB" w:rsidRPr="0069004B" w:rsidRDefault="00D538CB" w:rsidP="00756DAD">
            <w:pPr>
              <w:pStyle w:val="TableText"/>
              <w:tabs>
                <w:tab w:val="left" w:pos="709"/>
                <w:tab w:val="left" w:pos="2835"/>
              </w:tabs>
              <w:jc w:val="center"/>
              <w:rPr>
                <w:szCs w:val="22"/>
              </w:rPr>
            </w:pPr>
          </w:p>
        </w:tc>
      </w:tr>
    </w:tbl>
    <w:p w:rsidR="00102262" w:rsidRDefault="00102262" w:rsidP="00756DAD">
      <w:pPr>
        <w:tabs>
          <w:tab w:val="left" w:pos="709"/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6E2" w:rsidRDefault="0031248E" w:rsidP="006456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[2]</w:t>
      </w:r>
      <w:r>
        <w:rPr>
          <w:rFonts w:ascii="Arial" w:hAnsi="Arial" w:cs="Arial"/>
          <w:b/>
          <w:sz w:val="24"/>
          <w:szCs w:val="24"/>
        </w:rPr>
        <w:tab/>
      </w:r>
      <w:r w:rsidR="00A41A6B">
        <w:rPr>
          <w:rFonts w:ascii="Arial" w:hAnsi="Arial" w:cs="Arial"/>
          <w:b/>
          <w:sz w:val="24"/>
          <w:szCs w:val="24"/>
        </w:rPr>
        <w:t xml:space="preserve">Schedule 1, </w:t>
      </w:r>
      <w:r>
        <w:rPr>
          <w:rFonts w:ascii="Arial" w:hAnsi="Arial" w:cs="Arial"/>
          <w:b/>
          <w:sz w:val="24"/>
          <w:szCs w:val="24"/>
        </w:rPr>
        <w:t xml:space="preserve">Part 3, definition of </w:t>
      </w:r>
      <w:r>
        <w:rPr>
          <w:rFonts w:ascii="Arial" w:hAnsi="Arial" w:cs="Arial"/>
          <w:b/>
          <w:i/>
          <w:sz w:val="24"/>
          <w:szCs w:val="24"/>
        </w:rPr>
        <w:t>area population</w:t>
      </w:r>
    </w:p>
    <w:p w:rsidR="0031248E" w:rsidRDefault="0031248E" w:rsidP="006456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A6B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mit</w:t>
      </w:r>
    </w:p>
    <w:p w:rsidR="0031248E" w:rsidRDefault="0031248E" w:rsidP="0064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‘2001’</w:t>
      </w:r>
    </w:p>
    <w:p w:rsidR="0031248E" w:rsidRDefault="0031248E" w:rsidP="006456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A6B">
        <w:rPr>
          <w:rFonts w:ascii="Times New Roman" w:hAnsi="Times New Roman" w:cs="Times New Roman"/>
          <w:i/>
          <w:sz w:val="24"/>
          <w:szCs w:val="24"/>
        </w:rPr>
        <w:t>insert</w:t>
      </w:r>
    </w:p>
    <w:p w:rsidR="0031248E" w:rsidRDefault="0031248E" w:rsidP="0064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‘20</w:t>
      </w:r>
      <w:r w:rsidR="00B871C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31248E" w:rsidRDefault="0031248E" w:rsidP="006456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[3]</w:t>
      </w:r>
      <w:r>
        <w:rPr>
          <w:rFonts w:ascii="Arial" w:hAnsi="Arial" w:cs="Arial"/>
          <w:b/>
          <w:sz w:val="24"/>
          <w:szCs w:val="24"/>
        </w:rPr>
        <w:tab/>
      </w:r>
      <w:r w:rsidR="00A41A6B">
        <w:rPr>
          <w:rFonts w:ascii="Arial" w:hAnsi="Arial" w:cs="Arial"/>
          <w:b/>
          <w:sz w:val="24"/>
          <w:szCs w:val="24"/>
        </w:rPr>
        <w:t xml:space="preserve">Schedule 1, </w:t>
      </w:r>
      <w:r>
        <w:rPr>
          <w:rFonts w:ascii="Arial" w:hAnsi="Arial" w:cs="Arial"/>
          <w:b/>
          <w:sz w:val="24"/>
          <w:szCs w:val="24"/>
        </w:rPr>
        <w:t xml:space="preserve">Part 3, definition of </w:t>
      </w:r>
      <w:r>
        <w:rPr>
          <w:rFonts w:ascii="Arial" w:hAnsi="Arial" w:cs="Arial"/>
          <w:b/>
          <w:i/>
          <w:sz w:val="24"/>
          <w:szCs w:val="24"/>
        </w:rPr>
        <w:t>Australian population</w:t>
      </w:r>
    </w:p>
    <w:p w:rsidR="00A41A6B" w:rsidRDefault="00A41A6B" w:rsidP="00A41A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omit</w:t>
      </w:r>
    </w:p>
    <w:p w:rsidR="00A41A6B" w:rsidRDefault="00A41A6B" w:rsidP="00A4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‘2001’</w:t>
      </w:r>
    </w:p>
    <w:p w:rsidR="00A41A6B" w:rsidRDefault="00A41A6B" w:rsidP="00A41A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insert</w:t>
      </w:r>
    </w:p>
    <w:p w:rsidR="00A41A6B" w:rsidRPr="00A41A6B" w:rsidRDefault="00A41A6B" w:rsidP="0064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‘20</w:t>
      </w:r>
      <w:r w:rsidR="00B871C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’</w:t>
      </w:r>
    </w:p>
    <w:sectPr w:rsidR="00A41A6B" w:rsidRPr="00A41A6B" w:rsidSect="00FA5359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03" w:rsidRDefault="00B42C03" w:rsidP="00A20E63">
      <w:pPr>
        <w:spacing w:after="0" w:line="240" w:lineRule="auto"/>
      </w:pPr>
      <w:r>
        <w:separator/>
      </w:r>
    </w:p>
  </w:endnote>
  <w:endnote w:type="continuationSeparator" w:id="0">
    <w:p w:rsidR="00B42C03" w:rsidRDefault="00B42C03" w:rsidP="00A2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93" w:rsidRDefault="00CE6893">
    <w:pPr>
      <w:pStyle w:val="Footer"/>
      <w:pBdr>
        <w:bottom w:val="single" w:sz="6" w:space="1" w:color="auto"/>
      </w:pBdr>
      <w:jc w:val="right"/>
    </w:pPr>
  </w:p>
  <w:p w:rsidR="00CE6893" w:rsidRDefault="00CE6893" w:rsidP="00FA5359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Radiocommunications (Spectrum Licence Tax) </w:t>
    </w:r>
  </w:p>
  <w:p w:rsidR="00CE6893" w:rsidRDefault="00CE6893" w:rsidP="00FA5359">
    <w:pPr>
      <w:pStyle w:val="Footer"/>
    </w:pPr>
    <w:r>
      <w:rPr>
        <w:rFonts w:ascii="Arial" w:hAnsi="Arial" w:cs="Arial"/>
        <w:i/>
        <w:sz w:val="18"/>
        <w:szCs w:val="18"/>
      </w:rPr>
      <w:tab/>
      <w:t>Amendment Determination 2012 (No.1)</w:t>
    </w:r>
    <w:r w:rsidRPr="00FA5359">
      <w:t xml:space="preserve"> </w:t>
    </w:r>
    <w:sdt>
      <w:sdtPr>
        <w:id w:val="15294307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fldSimple w:instr=" PAGE   \* MERGEFORMAT ">
          <w:r w:rsidR="001836BE">
            <w:rPr>
              <w:noProof/>
            </w:rPr>
            <w:t>2</w:t>
          </w:r>
        </w:fldSimple>
      </w:sdtContent>
    </w:sdt>
  </w:p>
  <w:p w:rsidR="00CE6893" w:rsidRPr="00FA5359" w:rsidRDefault="00CE6893" w:rsidP="00FA5359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03" w:rsidRDefault="00B42C03" w:rsidP="00A20E63">
      <w:pPr>
        <w:spacing w:after="0" w:line="240" w:lineRule="auto"/>
      </w:pPr>
      <w:r>
        <w:separator/>
      </w:r>
    </w:p>
  </w:footnote>
  <w:footnote w:type="continuationSeparator" w:id="0">
    <w:p w:rsidR="00B42C03" w:rsidRDefault="00B42C03" w:rsidP="00A2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93" w:rsidRDefault="00CE6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F29"/>
    <w:multiLevelType w:val="hybridMultilevel"/>
    <w:tmpl w:val="061E06DC"/>
    <w:lvl w:ilvl="0" w:tplc="1D92C9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0E63"/>
    <w:rsid w:val="000B20D9"/>
    <w:rsid w:val="00102262"/>
    <w:rsid w:val="00107722"/>
    <w:rsid w:val="001442B9"/>
    <w:rsid w:val="001836BE"/>
    <w:rsid w:val="002235B5"/>
    <w:rsid w:val="00290A3E"/>
    <w:rsid w:val="00291298"/>
    <w:rsid w:val="00305CDF"/>
    <w:rsid w:val="0031248E"/>
    <w:rsid w:val="00317B13"/>
    <w:rsid w:val="003D1A7E"/>
    <w:rsid w:val="003F269C"/>
    <w:rsid w:val="004739F8"/>
    <w:rsid w:val="005122EA"/>
    <w:rsid w:val="005274A1"/>
    <w:rsid w:val="006456E2"/>
    <w:rsid w:val="0064763F"/>
    <w:rsid w:val="006822A4"/>
    <w:rsid w:val="006860C6"/>
    <w:rsid w:val="0069004B"/>
    <w:rsid w:val="00756DAD"/>
    <w:rsid w:val="007B386C"/>
    <w:rsid w:val="007D174F"/>
    <w:rsid w:val="007E77A6"/>
    <w:rsid w:val="008C026B"/>
    <w:rsid w:val="008D0309"/>
    <w:rsid w:val="009250BB"/>
    <w:rsid w:val="00950D9C"/>
    <w:rsid w:val="00951D18"/>
    <w:rsid w:val="009A216B"/>
    <w:rsid w:val="00A20E63"/>
    <w:rsid w:val="00A241B9"/>
    <w:rsid w:val="00A37C07"/>
    <w:rsid w:val="00A41A6B"/>
    <w:rsid w:val="00AF60F2"/>
    <w:rsid w:val="00B36619"/>
    <w:rsid w:val="00B42C03"/>
    <w:rsid w:val="00B871C5"/>
    <w:rsid w:val="00C05534"/>
    <w:rsid w:val="00C2317A"/>
    <w:rsid w:val="00C57A00"/>
    <w:rsid w:val="00CE6893"/>
    <w:rsid w:val="00D538CB"/>
    <w:rsid w:val="00D75B51"/>
    <w:rsid w:val="00E34CCD"/>
    <w:rsid w:val="00F52B7C"/>
    <w:rsid w:val="00F626FF"/>
    <w:rsid w:val="00F75673"/>
    <w:rsid w:val="00FA5359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0E63"/>
    <w:pPr>
      <w:spacing w:before="480" w:after="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A20E63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A2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63"/>
  </w:style>
  <w:style w:type="paragraph" w:styleId="Footer">
    <w:name w:val="footer"/>
    <w:basedOn w:val="Normal"/>
    <w:link w:val="FooterChar"/>
    <w:uiPriority w:val="99"/>
    <w:unhideWhenUsed/>
    <w:rsid w:val="00A2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3"/>
  </w:style>
  <w:style w:type="paragraph" w:styleId="ListParagraph">
    <w:name w:val="List Paragraph"/>
    <w:basedOn w:val="Normal"/>
    <w:uiPriority w:val="34"/>
    <w:qFormat/>
    <w:rsid w:val="00A20E63"/>
    <w:pPr>
      <w:ind w:left="720"/>
      <w:contextualSpacing/>
    </w:pPr>
  </w:style>
  <w:style w:type="character" w:styleId="Hyperlink">
    <w:name w:val="Hyperlink"/>
    <w:basedOn w:val="DefaultParagraphFont"/>
    <w:rsid w:val="005274A1"/>
    <w:rPr>
      <w:color w:val="0000FF"/>
      <w:u w:val="single"/>
    </w:rPr>
  </w:style>
  <w:style w:type="table" w:styleId="TableGrid">
    <w:name w:val="Table Grid"/>
    <w:basedOn w:val="TableNormal"/>
    <w:uiPriority w:val="59"/>
    <w:rsid w:val="0064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B5"/>
    <w:rPr>
      <w:b/>
      <w:bCs/>
    </w:rPr>
  </w:style>
  <w:style w:type="paragraph" w:customStyle="1" w:styleId="R2">
    <w:name w:val="R2"/>
    <w:aliases w:val="(2)"/>
    <w:basedOn w:val="Normal"/>
    <w:rsid w:val="00D538CB"/>
    <w:pPr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ColHead">
    <w:name w:val="TableColHead"/>
    <w:basedOn w:val="Normal"/>
    <w:rsid w:val="00D538CB"/>
    <w:pPr>
      <w:keepNext/>
      <w:spacing w:before="120" w:after="60" w:line="200" w:lineRule="exact"/>
    </w:pPr>
    <w:rPr>
      <w:rFonts w:ascii="Arial" w:eastAsia="Times New Roman" w:hAnsi="Arial" w:cs="Times New Roman"/>
      <w:b/>
      <w:noProof/>
      <w:sz w:val="18"/>
      <w:szCs w:val="24"/>
    </w:rPr>
  </w:style>
  <w:style w:type="paragraph" w:customStyle="1" w:styleId="TableText">
    <w:name w:val="TableText"/>
    <w:basedOn w:val="Normal"/>
    <w:rsid w:val="00D538CB"/>
    <w:pPr>
      <w:spacing w:before="60" w:after="60" w:line="240" w:lineRule="exact"/>
    </w:pPr>
    <w:rPr>
      <w:rFonts w:ascii="Times New Roman" w:eastAsia="Times New Roman" w:hAnsi="Times New Roman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li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F658-BAC4-4BB4-93E6-CFC7F9A9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Dharshi Jeyaseelan</dc:creator>
  <cp:lastModifiedBy>Morgan Vaudrey</cp:lastModifiedBy>
  <cp:revision>4</cp:revision>
  <dcterms:created xsi:type="dcterms:W3CDTF">2012-08-01T04:11:00Z</dcterms:created>
  <dcterms:modified xsi:type="dcterms:W3CDTF">2012-08-16T01:37:00Z</dcterms:modified>
</cp:coreProperties>
</file>