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8A" w:rsidRPr="00843102" w:rsidRDefault="0039588A" w:rsidP="0039588A">
      <w:pPr>
        <w:spacing w:line="360" w:lineRule="auto"/>
        <w:jc w:val="center"/>
        <w:rPr>
          <w:rFonts w:ascii="Arial" w:hAnsi="Arial" w:cs="Arial"/>
          <w:b/>
          <w:sz w:val="22"/>
          <w:szCs w:val="22"/>
          <w:lang w:val="en-AU"/>
        </w:rPr>
      </w:pPr>
      <w:r w:rsidRPr="00843102">
        <w:rPr>
          <w:rFonts w:ascii="Arial" w:hAnsi="Arial" w:cs="Arial"/>
          <w:b/>
          <w:sz w:val="22"/>
          <w:szCs w:val="22"/>
          <w:lang w:val="en-AU"/>
        </w:rPr>
        <w:t>EXPLANATORY STATEMENT</w:t>
      </w:r>
    </w:p>
    <w:p w:rsidR="0039588A" w:rsidRPr="00843102" w:rsidRDefault="0039588A" w:rsidP="0039588A">
      <w:pPr>
        <w:spacing w:line="360" w:lineRule="auto"/>
        <w:jc w:val="center"/>
        <w:rPr>
          <w:rFonts w:ascii="Arial" w:hAnsi="Arial" w:cs="Arial"/>
          <w:i/>
          <w:sz w:val="22"/>
          <w:szCs w:val="22"/>
          <w:lang w:val="en-AU"/>
        </w:rPr>
      </w:pPr>
    </w:p>
    <w:p w:rsidR="0039588A" w:rsidRPr="00843102" w:rsidRDefault="0039588A" w:rsidP="0039588A">
      <w:pPr>
        <w:spacing w:line="360" w:lineRule="auto"/>
        <w:jc w:val="center"/>
        <w:rPr>
          <w:rFonts w:ascii="Arial" w:hAnsi="Arial" w:cs="Arial"/>
          <w:sz w:val="22"/>
          <w:szCs w:val="22"/>
          <w:lang w:val="en-AU"/>
        </w:rPr>
      </w:pPr>
      <w:r w:rsidRPr="00843102">
        <w:rPr>
          <w:rFonts w:ascii="Arial" w:hAnsi="Arial" w:cs="Arial"/>
          <w:sz w:val="22"/>
          <w:szCs w:val="22"/>
          <w:lang w:val="en-AU"/>
        </w:rPr>
        <w:t>Issued by the Australian Communications and Media Authority</w:t>
      </w:r>
    </w:p>
    <w:p w:rsidR="0039588A" w:rsidRPr="00843102" w:rsidRDefault="0039588A" w:rsidP="0039588A">
      <w:pPr>
        <w:spacing w:line="360" w:lineRule="auto"/>
        <w:jc w:val="center"/>
        <w:rPr>
          <w:rFonts w:ascii="Arial" w:hAnsi="Arial" w:cs="Arial"/>
          <w:i/>
          <w:sz w:val="22"/>
          <w:szCs w:val="22"/>
          <w:lang w:val="en-AU"/>
        </w:rPr>
      </w:pPr>
    </w:p>
    <w:p w:rsidR="0039588A" w:rsidRPr="00843102" w:rsidRDefault="0039588A" w:rsidP="0039588A">
      <w:pPr>
        <w:spacing w:line="360" w:lineRule="auto"/>
        <w:jc w:val="center"/>
        <w:rPr>
          <w:rFonts w:ascii="Arial" w:hAnsi="Arial" w:cs="Arial"/>
          <w:i/>
          <w:sz w:val="22"/>
          <w:szCs w:val="22"/>
          <w:lang w:val="en-AU"/>
        </w:rPr>
      </w:pPr>
      <w:r w:rsidRPr="00843102">
        <w:rPr>
          <w:rFonts w:ascii="Arial" w:hAnsi="Arial" w:cs="Arial"/>
          <w:i/>
          <w:sz w:val="22"/>
          <w:szCs w:val="22"/>
          <w:lang w:val="en-AU"/>
        </w:rPr>
        <w:t>Radiocommunications (</w:t>
      </w:r>
      <w:r w:rsidR="00D804BE" w:rsidRPr="00843102">
        <w:rPr>
          <w:rFonts w:ascii="Arial" w:hAnsi="Arial" w:cs="Arial"/>
          <w:i/>
          <w:sz w:val="22"/>
          <w:szCs w:val="22"/>
          <w:lang w:val="en-AU"/>
        </w:rPr>
        <w:t>Spectrum Licence Tax</w:t>
      </w:r>
      <w:r w:rsidRPr="00843102">
        <w:rPr>
          <w:rFonts w:ascii="Arial" w:hAnsi="Arial" w:cs="Arial"/>
          <w:i/>
          <w:sz w:val="22"/>
          <w:szCs w:val="22"/>
          <w:lang w:val="en-AU"/>
        </w:rPr>
        <w:t xml:space="preserve">) </w:t>
      </w:r>
      <w:r w:rsidR="00D804BE" w:rsidRPr="00843102">
        <w:rPr>
          <w:rFonts w:ascii="Arial" w:hAnsi="Arial" w:cs="Arial"/>
          <w:i/>
          <w:sz w:val="22"/>
          <w:szCs w:val="22"/>
          <w:lang w:val="en-AU"/>
        </w:rPr>
        <w:t xml:space="preserve">Amendment </w:t>
      </w:r>
      <w:r w:rsidRPr="00843102">
        <w:rPr>
          <w:rFonts w:ascii="Arial" w:hAnsi="Arial" w:cs="Arial"/>
          <w:i/>
          <w:sz w:val="22"/>
          <w:szCs w:val="22"/>
          <w:lang w:val="en-AU"/>
        </w:rPr>
        <w:t>Determination 2012</w:t>
      </w:r>
      <w:r w:rsidR="00D804BE" w:rsidRPr="00843102">
        <w:rPr>
          <w:rFonts w:ascii="Arial" w:hAnsi="Arial" w:cs="Arial"/>
          <w:i/>
          <w:sz w:val="22"/>
          <w:szCs w:val="22"/>
          <w:lang w:val="en-AU"/>
        </w:rPr>
        <w:t xml:space="preserve"> (No.1)</w:t>
      </w:r>
    </w:p>
    <w:p w:rsidR="0039588A" w:rsidRPr="00843102" w:rsidRDefault="0039588A" w:rsidP="0039588A">
      <w:pPr>
        <w:spacing w:line="360" w:lineRule="auto"/>
        <w:jc w:val="center"/>
        <w:rPr>
          <w:rFonts w:ascii="Arial" w:hAnsi="Arial" w:cs="Arial"/>
          <w:sz w:val="22"/>
          <w:szCs w:val="22"/>
          <w:lang w:val="en-AU"/>
        </w:rPr>
      </w:pPr>
    </w:p>
    <w:p w:rsidR="0039588A" w:rsidRPr="00843102" w:rsidRDefault="00B51BB8" w:rsidP="0039588A">
      <w:pPr>
        <w:spacing w:line="360" w:lineRule="auto"/>
        <w:jc w:val="center"/>
        <w:rPr>
          <w:rFonts w:ascii="Arial" w:hAnsi="Arial" w:cs="Arial"/>
          <w:sz w:val="22"/>
          <w:szCs w:val="22"/>
          <w:lang w:val="en-AU"/>
        </w:rPr>
      </w:pPr>
      <w:r w:rsidRPr="00843102">
        <w:rPr>
          <w:rFonts w:ascii="Arial" w:hAnsi="Arial" w:cs="Arial"/>
          <w:i/>
          <w:sz w:val="22"/>
          <w:szCs w:val="22"/>
          <w:lang w:val="en-AU"/>
        </w:rPr>
        <w:t>Radiocommunications (Spectrum Licence Tax) Act 1997</w:t>
      </w:r>
    </w:p>
    <w:p w:rsidR="0039588A" w:rsidRPr="00843102" w:rsidRDefault="0039588A" w:rsidP="0039588A">
      <w:pPr>
        <w:spacing w:line="360" w:lineRule="auto"/>
        <w:rPr>
          <w:rFonts w:ascii="Arial" w:hAnsi="Arial" w:cs="Arial"/>
          <w:b/>
          <w:sz w:val="22"/>
          <w:szCs w:val="22"/>
          <w:lang w:val="en-AU"/>
        </w:rPr>
      </w:pPr>
      <w:r w:rsidRPr="00843102">
        <w:rPr>
          <w:rFonts w:ascii="Arial" w:hAnsi="Arial" w:cs="Arial"/>
          <w:b/>
          <w:sz w:val="22"/>
          <w:szCs w:val="22"/>
          <w:lang w:val="en-AU"/>
        </w:rPr>
        <w:t>Purpose</w:t>
      </w:r>
    </w:p>
    <w:p w:rsidR="00D841E1" w:rsidRPr="00843102" w:rsidRDefault="00D841E1" w:rsidP="00D804BE">
      <w:pPr>
        <w:rPr>
          <w:rFonts w:ascii="Arial" w:hAnsi="Arial" w:cs="Arial"/>
          <w:sz w:val="22"/>
          <w:szCs w:val="22"/>
          <w:lang w:val="en-AU"/>
        </w:rPr>
      </w:pPr>
    </w:p>
    <w:p w:rsidR="00B64563" w:rsidRDefault="0039588A" w:rsidP="00D804BE">
      <w:pPr>
        <w:rPr>
          <w:rFonts w:ascii="Arial" w:hAnsi="Arial" w:cs="Arial"/>
          <w:sz w:val="22"/>
          <w:szCs w:val="22"/>
          <w:lang w:val="en-AU"/>
        </w:rPr>
      </w:pPr>
      <w:r w:rsidRPr="00843102">
        <w:rPr>
          <w:rFonts w:ascii="Arial" w:hAnsi="Arial" w:cs="Arial"/>
          <w:sz w:val="22"/>
          <w:szCs w:val="22"/>
          <w:lang w:val="en-AU"/>
        </w:rPr>
        <w:t xml:space="preserve">The purpose of the </w:t>
      </w:r>
      <w:r w:rsidR="00D804BE" w:rsidRPr="00843102">
        <w:rPr>
          <w:rFonts w:ascii="Arial" w:hAnsi="Arial" w:cs="Arial"/>
          <w:i/>
          <w:sz w:val="22"/>
          <w:szCs w:val="22"/>
          <w:lang w:val="en-AU"/>
        </w:rPr>
        <w:t>Radiocommunications (Spectrum Licence Tax) Amendment Determination 2012 (No.1)</w:t>
      </w:r>
      <w:r w:rsidR="006F2A0A" w:rsidRPr="00843102">
        <w:rPr>
          <w:rFonts w:ascii="Arial" w:hAnsi="Arial" w:cs="Arial"/>
          <w:i/>
          <w:sz w:val="22"/>
          <w:szCs w:val="22"/>
          <w:lang w:val="en-AU"/>
        </w:rPr>
        <w:t xml:space="preserve"> </w:t>
      </w:r>
      <w:r w:rsidRPr="00843102">
        <w:rPr>
          <w:rFonts w:ascii="Arial" w:hAnsi="Arial" w:cs="Arial"/>
          <w:sz w:val="22"/>
          <w:szCs w:val="22"/>
          <w:lang w:val="en-AU"/>
        </w:rPr>
        <w:t xml:space="preserve">(the </w:t>
      </w:r>
      <w:r w:rsidR="00B51BB8" w:rsidRPr="00843102">
        <w:rPr>
          <w:rFonts w:ascii="Arial" w:hAnsi="Arial" w:cs="Arial"/>
          <w:b/>
          <w:sz w:val="22"/>
          <w:szCs w:val="22"/>
          <w:lang w:val="en-AU"/>
        </w:rPr>
        <w:t>Ame</w:t>
      </w:r>
      <w:r w:rsidR="00590144" w:rsidRPr="00843102">
        <w:rPr>
          <w:rFonts w:ascii="Arial" w:hAnsi="Arial" w:cs="Arial"/>
          <w:b/>
          <w:sz w:val="22"/>
          <w:szCs w:val="22"/>
          <w:lang w:val="en-AU"/>
        </w:rPr>
        <w:t>ndment</w:t>
      </w:r>
      <w:r w:rsidR="00843102">
        <w:rPr>
          <w:rFonts w:ascii="Arial" w:hAnsi="Arial" w:cs="Arial"/>
          <w:b/>
          <w:sz w:val="22"/>
          <w:szCs w:val="22"/>
          <w:lang w:val="en-AU"/>
        </w:rPr>
        <w:t xml:space="preserve"> Determination</w:t>
      </w:r>
      <w:r w:rsidRPr="00843102">
        <w:rPr>
          <w:rFonts w:ascii="Arial" w:hAnsi="Arial" w:cs="Arial"/>
          <w:sz w:val="22"/>
          <w:szCs w:val="22"/>
          <w:lang w:val="en-AU"/>
        </w:rPr>
        <w:t xml:space="preserve">) is to </w:t>
      </w:r>
      <w:r w:rsidR="007D71D5" w:rsidRPr="00843102">
        <w:rPr>
          <w:rFonts w:ascii="Arial" w:hAnsi="Arial" w:cs="Arial"/>
          <w:sz w:val="22"/>
          <w:szCs w:val="22"/>
          <w:lang w:val="en-AU"/>
        </w:rPr>
        <w:t xml:space="preserve">amend the </w:t>
      </w:r>
      <w:r w:rsidR="007D71D5" w:rsidRPr="00843102">
        <w:rPr>
          <w:rFonts w:ascii="Arial" w:hAnsi="Arial" w:cs="Arial"/>
          <w:i/>
          <w:sz w:val="22"/>
          <w:szCs w:val="22"/>
          <w:lang w:val="en-AU"/>
        </w:rPr>
        <w:t xml:space="preserve">Radiocommunications (Spectrum Licence Tax) Determination 1999 </w:t>
      </w:r>
      <w:r w:rsidR="007D71D5" w:rsidRPr="00843102">
        <w:rPr>
          <w:rFonts w:ascii="Arial" w:hAnsi="Arial" w:cs="Arial"/>
          <w:sz w:val="22"/>
          <w:szCs w:val="22"/>
          <w:lang w:val="en-AU"/>
        </w:rPr>
        <w:t xml:space="preserve">(the </w:t>
      </w:r>
      <w:r w:rsidR="007D71D5" w:rsidRPr="00843102">
        <w:rPr>
          <w:rFonts w:ascii="Arial" w:hAnsi="Arial" w:cs="Arial"/>
          <w:b/>
          <w:sz w:val="22"/>
          <w:szCs w:val="22"/>
          <w:lang w:val="en-AU"/>
        </w:rPr>
        <w:t>Determination</w:t>
      </w:r>
      <w:r w:rsidR="007D71D5" w:rsidRPr="00843102">
        <w:rPr>
          <w:rFonts w:ascii="Arial" w:hAnsi="Arial" w:cs="Arial"/>
          <w:sz w:val="22"/>
          <w:szCs w:val="22"/>
          <w:lang w:val="en-AU"/>
        </w:rPr>
        <w:t>)</w:t>
      </w:r>
      <w:r w:rsidR="00B51BB8" w:rsidRPr="00843102">
        <w:rPr>
          <w:rFonts w:ascii="Arial" w:hAnsi="Arial" w:cs="Arial"/>
          <w:sz w:val="22"/>
          <w:szCs w:val="22"/>
          <w:lang w:val="en-AU"/>
        </w:rPr>
        <w:t xml:space="preserve"> in order to</w:t>
      </w:r>
      <w:r w:rsidR="00B64563">
        <w:rPr>
          <w:rFonts w:ascii="Arial" w:hAnsi="Arial" w:cs="Arial"/>
          <w:sz w:val="22"/>
          <w:szCs w:val="22"/>
          <w:lang w:val="en-AU"/>
        </w:rPr>
        <w:t>:</w:t>
      </w:r>
    </w:p>
    <w:p w:rsidR="00BD24A3" w:rsidRDefault="00B51BB8">
      <w:pPr>
        <w:numPr>
          <w:ilvl w:val="0"/>
          <w:numId w:val="26"/>
        </w:numPr>
        <w:ind w:left="567" w:hanging="141"/>
        <w:rPr>
          <w:rFonts w:ascii="Arial" w:hAnsi="Arial" w:cs="Arial"/>
          <w:sz w:val="22"/>
          <w:szCs w:val="22"/>
          <w:lang w:val="en-AU"/>
        </w:rPr>
      </w:pPr>
      <w:r w:rsidRPr="00843102">
        <w:rPr>
          <w:rFonts w:ascii="Arial" w:hAnsi="Arial" w:cs="Arial"/>
          <w:sz w:val="22"/>
          <w:szCs w:val="22"/>
          <w:lang w:val="en-AU"/>
        </w:rPr>
        <w:t>update the base amount of spectrum licence tax for each of the listed frequency</w:t>
      </w:r>
      <w:r w:rsidR="00590144" w:rsidRPr="00843102">
        <w:rPr>
          <w:rFonts w:ascii="Arial" w:hAnsi="Arial" w:cs="Arial"/>
          <w:sz w:val="22"/>
          <w:szCs w:val="22"/>
          <w:lang w:val="en-AU"/>
        </w:rPr>
        <w:t xml:space="preserve"> </w:t>
      </w:r>
      <w:r w:rsidR="00B64563">
        <w:rPr>
          <w:rFonts w:ascii="Arial" w:hAnsi="Arial" w:cs="Arial"/>
          <w:sz w:val="22"/>
          <w:szCs w:val="22"/>
          <w:lang w:val="en-AU"/>
        </w:rPr>
        <w:t>bands</w:t>
      </w:r>
      <w:r w:rsidR="00590144" w:rsidRPr="00843102">
        <w:rPr>
          <w:rFonts w:ascii="Arial" w:hAnsi="Arial" w:cs="Arial"/>
          <w:sz w:val="22"/>
          <w:szCs w:val="22"/>
          <w:lang w:val="en-AU"/>
        </w:rPr>
        <w:t xml:space="preserve">, </w:t>
      </w:r>
    </w:p>
    <w:p w:rsidR="00BD24A3" w:rsidRDefault="00590144">
      <w:pPr>
        <w:numPr>
          <w:ilvl w:val="0"/>
          <w:numId w:val="26"/>
        </w:numPr>
        <w:rPr>
          <w:rFonts w:ascii="Arial" w:hAnsi="Arial" w:cs="Arial"/>
          <w:sz w:val="22"/>
          <w:szCs w:val="22"/>
          <w:lang w:val="en-AU"/>
        </w:rPr>
      </w:pPr>
      <w:r w:rsidRPr="00843102">
        <w:rPr>
          <w:rFonts w:ascii="Arial" w:hAnsi="Arial" w:cs="Arial"/>
          <w:sz w:val="22"/>
          <w:szCs w:val="22"/>
          <w:lang w:val="en-AU"/>
        </w:rPr>
        <w:t>remove the tax on licences in the 500 MHz band</w:t>
      </w:r>
      <w:r w:rsidR="00B64563">
        <w:rPr>
          <w:rFonts w:ascii="Arial" w:hAnsi="Arial" w:cs="Arial"/>
          <w:sz w:val="22"/>
          <w:szCs w:val="22"/>
          <w:lang w:val="en-AU"/>
        </w:rPr>
        <w:t>,</w:t>
      </w:r>
      <w:r w:rsidRPr="00843102">
        <w:rPr>
          <w:rFonts w:ascii="Arial" w:hAnsi="Arial" w:cs="Arial"/>
          <w:sz w:val="22"/>
          <w:szCs w:val="22"/>
          <w:lang w:val="en-AU"/>
        </w:rPr>
        <w:t xml:space="preserve"> and </w:t>
      </w:r>
    </w:p>
    <w:p w:rsidR="00BD24A3" w:rsidRDefault="00590144">
      <w:pPr>
        <w:numPr>
          <w:ilvl w:val="0"/>
          <w:numId w:val="26"/>
        </w:numPr>
        <w:rPr>
          <w:rFonts w:ascii="Arial" w:hAnsi="Arial" w:cs="Arial"/>
          <w:sz w:val="22"/>
          <w:szCs w:val="22"/>
          <w:lang w:val="en-AU"/>
        </w:rPr>
      </w:pPr>
      <w:proofErr w:type="gramStart"/>
      <w:r w:rsidRPr="00843102">
        <w:rPr>
          <w:rFonts w:ascii="Arial" w:hAnsi="Arial" w:cs="Arial"/>
          <w:sz w:val="22"/>
          <w:szCs w:val="22"/>
          <w:lang w:val="en-AU"/>
        </w:rPr>
        <w:t>update</w:t>
      </w:r>
      <w:proofErr w:type="gramEnd"/>
      <w:r w:rsidRPr="00843102">
        <w:rPr>
          <w:rFonts w:ascii="Arial" w:hAnsi="Arial" w:cs="Arial"/>
          <w:sz w:val="22"/>
          <w:szCs w:val="22"/>
          <w:lang w:val="en-AU"/>
        </w:rPr>
        <w:t xml:space="preserve"> the references to the Australian census to the 2011 census</w:t>
      </w:r>
      <w:r w:rsidR="007D71D5" w:rsidRPr="00843102">
        <w:rPr>
          <w:rFonts w:ascii="Arial" w:hAnsi="Arial" w:cs="Arial"/>
          <w:sz w:val="22"/>
          <w:szCs w:val="22"/>
          <w:lang w:val="en-AU"/>
        </w:rPr>
        <w:t>.</w:t>
      </w:r>
    </w:p>
    <w:p w:rsidR="00D841E1" w:rsidRPr="00843102" w:rsidRDefault="00D841E1">
      <w:pPr>
        <w:jc w:val="both"/>
        <w:rPr>
          <w:rFonts w:ascii="Arial" w:hAnsi="Arial" w:cs="Arial"/>
          <w:sz w:val="22"/>
          <w:szCs w:val="22"/>
          <w:lang w:val="en-AU"/>
        </w:rPr>
      </w:pPr>
    </w:p>
    <w:p w:rsidR="00D841E1" w:rsidRPr="00843102" w:rsidRDefault="0039588A">
      <w:pPr>
        <w:jc w:val="both"/>
        <w:rPr>
          <w:rFonts w:ascii="Arial" w:hAnsi="Arial" w:cs="Arial"/>
          <w:b/>
          <w:sz w:val="22"/>
          <w:szCs w:val="22"/>
          <w:lang w:val="en-AU"/>
        </w:rPr>
      </w:pPr>
      <w:r w:rsidRPr="00843102">
        <w:rPr>
          <w:rFonts w:ascii="Arial" w:hAnsi="Arial" w:cs="Arial"/>
          <w:b/>
          <w:sz w:val="22"/>
          <w:szCs w:val="22"/>
          <w:lang w:val="en-AU"/>
        </w:rPr>
        <w:t>Legislative Provisions</w:t>
      </w:r>
    </w:p>
    <w:p w:rsidR="00D841E1" w:rsidRPr="00843102" w:rsidRDefault="00D841E1">
      <w:pPr>
        <w:jc w:val="both"/>
        <w:rPr>
          <w:rFonts w:ascii="Arial" w:hAnsi="Arial" w:cs="Arial"/>
          <w:sz w:val="22"/>
          <w:szCs w:val="22"/>
          <w:lang w:val="en-AU"/>
        </w:rPr>
      </w:pPr>
    </w:p>
    <w:p w:rsidR="00590144" w:rsidRDefault="009D27B5" w:rsidP="007D71D5">
      <w:pPr>
        <w:jc w:val="both"/>
        <w:rPr>
          <w:rFonts w:ascii="Arial" w:hAnsi="Arial" w:cs="Arial"/>
          <w:sz w:val="22"/>
          <w:szCs w:val="22"/>
          <w:lang w:val="en-AU"/>
        </w:rPr>
      </w:pPr>
      <w:r w:rsidRPr="00843102">
        <w:rPr>
          <w:rFonts w:ascii="Arial" w:hAnsi="Arial" w:cs="Arial"/>
          <w:sz w:val="22"/>
          <w:szCs w:val="22"/>
          <w:lang w:val="en-AU"/>
        </w:rPr>
        <w:t xml:space="preserve">The </w:t>
      </w:r>
      <w:r w:rsidR="00B64563">
        <w:rPr>
          <w:rFonts w:ascii="Arial" w:hAnsi="Arial" w:cs="Arial"/>
          <w:sz w:val="22"/>
          <w:szCs w:val="22"/>
          <w:lang w:val="en-AU"/>
        </w:rPr>
        <w:t xml:space="preserve">Amendment </w:t>
      </w:r>
      <w:r w:rsidRPr="00843102">
        <w:rPr>
          <w:rFonts w:ascii="Arial" w:hAnsi="Arial" w:cs="Arial"/>
          <w:sz w:val="22"/>
          <w:szCs w:val="22"/>
          <w:lang w:val="en-AU"/>
        </w:rPr>
        <w:t xml:space="preserve">Determination is made under </w:t>
      </w:r>
      <w:r w:rsidR="00B64563">
        <w:rPr>
          <w:rFonts w:ascii="Arial" w:hAnsi="Arial" w:cs="Arial"/>
          <w:sz w:val="22"/>
          <w:szCs w:val="22"/>
          <w:lang w:val="en-AU"/>
        </w:rPr>
        <w:t>sub</w:t>
      </w:r>
      <w:r w:rsidR="007D71D5" w:rsidRPr="00843102">
        <w:rPr>
          <w:rFonts w:ascii="Arial" w:hAnsi="Arial" w:cs="Arial"/>
          <w:sz w:val="22"/>
          <w:szCs w:val="22"/>
          <w:lang w:val="en-AU"/>
        </w:rPr>
        <w:t>section 7</w:t>
      </w:r>
      <w:r w:rsidR="00B64563">
        <w:rPr>
          <w:rFonts w:ascii="Arial" w:hAnsi="Arial" w:cs="Arial"/>
          <w:sz w:val="22"/>
          <w:szCs w:val="22"/>
          <w:lang w:val="en-AU"/>
        </w:rPr>
        <w:t xml:space="preserve"> </w:t>
      </w:r>
      <w:r w:rsidR="007D71D5" w:rsidRPr="00843102">
        <w:rPr>
          <w:rFonts w:ascii="Arial" w:hAnsi="Arial" w:cs="Arial"/>
          <w:sz w:val="22"/>
          <w:szCs w:val="22"/>
          <w:lang w:val="en-AU"/>
        </w:rPr>
        <w:t xml:space="preserve">(1) of the </w:t>
      </w:r>
      <w:r w:rsidR="007D71D5" w:rsidRPr="00843102">
        <w:rPr>
          <w:rFonts w:ascii="Arial" w:hAnsi="Arial" w:cs="Arial"/>
          <w:i/>
          <w:sz w:val="22"/>
          <w:szCs w:val="22"/>
          <w:lang w:val="en-AU"/>
        </w:rPr>
        <w:t xml:space="preserve">Radiocommunications (Spectrum Licence Tax) Act 1997 </w:t>
      </w:r>
      <w:r w:rsidR="007D71D5" w:rsidRPr="00843102">
        <w:rPr>
          <w:rFonts w:ascii="Arial" w:hAnsi="Arial" w:cs="Arial"/>
          <w:sz w:val="22"/>
          <w:szCs w:val="22"/>
          <w:lang w:val="en-AU"/>
        </w:rPr>
        <w:t>(the</w:t>
      </w:r>
      <w:r w:rsidR="007D71D5" w:rsidRPr="00843102">
        <w:rPr>
          <w:rFonts w:ascii="Arial" w:hAnsi="Arial" w:cs="Arial"/>
          <w:b/>
          <w:sz w:val="22"/>
          <w:szCs w:val="22"/>
          <w:lang w:val="en-AU"/>
        </w:rPr>
        <w:t xml:space="preserve"> Act</w:t>
      </w:r>
      <w:r w:rsidR="007D71D5" w:rsidRPr="00843102">
        <w:rPr>
          <w:rFonts w:ascii="Arial" w:hAnsi="Arial" w:cs="Arial"/>
          <w:sz w:val="22"/>
          <w:szCs w:val="22"/>
          <w:lang w:val="en-AU"/>
        </w:rPr>
        <w:t xml:space="preserve">) </w:t>
      </w:r>
      <w:r w:rsidR="00590144" w:rsidRPr="00843102">
        <w:rPr>
          <w:rFonts w:ascii="Arial" w:hAnsi="Arial" w:cs="Arial"/>
          <w:sz w:val="22"/>
          <w:szCs w:val="22"/>
          <w:lang w:val="en-AU"/>
        </w:rPr>
        <w:t xml:space="preserve">which </w:t>
      </w:r>
      <w:r w:rsidR="007D71D5" w:rsidRPr="00843102">
        <w:rPr>
          <w:rFonts w:ascii="Arial" w:hAnsi="Arial" w:cs="Arial"/>
          <w:sz w:val="22"/>
          <w:szCs w:val="22"/>
          <w:lang w:val="en-AU"/>
        </w:rPr>
        <w:t xml:space="preserve">provides </w:t>
      </w:r>
      <w:r w:rsidR="00590144" w:rsidRPr="00843102">
        <w:rPr>
          <w:rFonts w:ascii="Arial" w:hAnsi="Arial" w:cs="Arial"/>
          <w:sz w:val="22"/>
          <w:szCs w:val="22"/>
          <w:lang w:val="en-AU"/>
        </w:rPr>
        <w:t xml:space="preserve">for the Australian Communications and Media Authority (the </w:t>
      </w:r>
      <w:r w:rsidR="00590144" w:rsidRPr="00843102">
        <w:rPr>
          <w:rFonts w:ascii="Arial" w:hAnsi="Arial" w:cs="Arial"/>
          <w:b/>
          <w:sz w:val="22"/>
          <w:szCs w:val="22"/>
          <w:lang w:val="en-AU"/>
        </w:rPr>
        <w:t>ACMA</w:t>
      </w:r>
      <w:r w:rsidR="00590144" w:rsidRPr="00843102">
        <w:rPr>
          <w:rFonts w:ascii="Arial" w:hAnsi="Arial" w:cs="Arial"/>
          <w:sz w:val="22"/>
          <w:szCs w:val="22"/>
          <w:lang w:val="en-AU"/>
        </w:rPr>
        <w:t xml:space="preserve">) to specify in a written determination the basis for calculating </w:t>
      </w:r>
      <w:r w:rsidR="007D71D5" w:rsidRPr="00843102">
        <w:rPr>
          <w:rFonts w:ascii="Arial" w:hAnsi="Arial" w:cs="Arial"/>
          <w:sz w:val="22"/>
          <w:szCs w:val="22"/>
          <w:lang w:val="en-AU"/>
        </w:rPr>
        <w:t xml:space="preserve">the amount of </w:t>
      </w:r>
      <w:r w:rsidR="00590144" w:rsidRPr="00843102">
        <w:rPr>
          <w:rFonts w:ascii="Arial" w:hAnsi="Arial" w:cs="Arial"/>
          <w:sz w:val="22"/>
          <w:szCs w:val="22"/>
          <w:lang w:val="en-AU"/>
        </w:rPr>
        <w:t>spectrum licence tax payable by spectrum licensees.</w:t>
      </w:r>
    </w:p>
    <w:p w:rsidR="00B64563" w:rsidRDefault="00B64563" w:rsidP="007D71D5">
      <w:pPr>
        <w:jc w:val="both"/>
        <w:rPr>
          <w:rFonts w:ascii="Arial" w:hAnsi="Arial" w:cs="Arial"/>
          <w:sz w:val="22"/>
          <w:szCs w:val="22"/>
          <w:lang w:val="en-AU"/>
        </w:rPr>
      </w:pPr>
    </w:p>
    <w:p w:rsidR="00B64563" w:rsidRDefault="00B64563" w:rsidP="00B64563">
      <w:pPr>
        <w:rPr>
          <w:rFonts w:ascii="Arial" w:hAnsi="Arial" w:cs="Arial"/>
          <w:sz w:val="22"/>
          <w:szCs w:val="22"/>
          <w:lang w:val="en-AU"/>
        </w:rPr>
      </w:pPr>
      <w:r w:rsidRPr="00F97A7F">
        <w:rPr>
          <w:rFonts w:ascii="Arial" w:hAnsi="Arial" w:cs="Arial"/>
          <w:sz w:val="22"/>
          <w:szCs w:val="22"/>
          <w:lang w:val="en-AU"/>
        </w:rPr>
        <w:t>Subsection 33</w:t>
      </w:r>
      <w:r>
        <w:rPr>
          <w:rFonts w:ascii="Arial" w:hAnsi="Arial" w:cs="Arial"/>
          <w:sz w:val="22"/>
          <w:szCs w:val="22"/>
          <w:lang w:val="en-AU"/>
        </w:rPr>
        <w:t xml:space="preserve"> </w:t>
      </w:r>
      <w:r w:rsidRPr="00F97A7F">
        <w:rPr>
          <w:rFonts w:ascii="Arial" w:hAnsi="Arial" w:cs="Arial"/>
          <w:sz w:val="22"/>
          <w:szCs w:val="22"/>
          <w:lang w:val="en-AU"/>
        </w:rPr>
        <w:t xml:space="preserve">(3) of the </w:t>
      </w:r>
      <w:r w:rsidRPr="00F97A7F">
        <w:rPr>
          <w:rFonts w:ascii="Arial" w:hAnsi="Arial" w:cs="Arial"/>
          <w:i/>
          <w:sz w:val="22"/>
          <w:szCs w:val="22"/>
          <w:lang w:val="en-AU"/>
        </w:rPr>
        <w:t>Acts Interpretation Act 1901</w:t>
      </w:r>
      <w:r w:rsidRPr="00F97A7F">
        <w:rPr>
          <w:rFonts w:ascii="Arial" w:hAnsi="Arial" w:cs="Arial"/>
          <w:sz w:val="22"/>
          <w:szCs w:val="22"/>
          <w:lang w:val="en-AU"/>
        </w:rPr>
        <w:t xml:space="preserve"> provides that where an Act confers a power to make an instrument, that power shall, unless the contrary intention appears, be construed as including a power exercisable in a like manner and subject to like conditions, to </w:t>
      </w:r>
      <w:r>
        <w:rPr>
          <w:rFonts w:ascii="Arial" w:hAnsi="Arial" w:cs="Arial"/>
          <w:sz w:val="22"/>
          <w:szCs w:val="22"/>
          <w:lang w:val="en-AU"/>
        </w:rPr>
        <w:t>amend</w:t>
      </w:r>
      <w:r w:rsidRPr="00F97A7F">
        <w:rPr>
          <w:rFonts w:ascii="Arial" w:hAnsi="Arial" w:cs="Arial"/>
          <w:sz w:val="22"/>
          <w:szCs w:val="22"/>
          <w:lang w:val="en-AU"/>
        </w:rPr>
        <w:t xml:space="preserve"> that instrument.</w:t>
      </w:r>
    </w:p>
    <w:p w:rsidR="00D841E1" w:rsidRPr="00843102" w:rsidRDefault="00D841E1">
      <w:pPr>
        <w:jc w:val="both"/>
        <w:rPr>
          <w:rFonts w:ascii="Arial" w:hAnsi="Arial" w:cs="Arial"/>
          <w:sz w:val="22"/>
          <w:szCs w:val="22"/>
          <w:lang w:val="en-AU"/>
        </w:rPr>
      </w:pPr>
    </w:p>
    <w:p w:rsidR="00D841E1" w:rsidRPr="00843102" w:rsidRDefault="0039588A">
      <w:pPr>
        <w:jc w:val="both"/>
        <w:rPr>
          <w:rFonts w:ascii="Arial" w:hAnsi="Arial" w:cs="Arial"/>
          <w:sz w:val="22"/>
          <w:szCs w:val="22"/>
          <w:lang w:val="en-AU"/>
        </w:rPr>
      </w:pPr>
      <w:r w:rsidRPr="00843102">
        <w:rPr>
          <w:rFonts w:ascii="Arial" w:hAnsi="Arial" w:cs="Arial"/>
          <w:sz w:val="22"/>
          <w:szCs w:val="22"/>
          <w:lang w:val="en-AU"/>
        </w:rPr>
        <w:t xml:space="preserve">The </w:t>
      </w:r>
      <w:r w:rsidR="00B64563">
        <w:rPr>
          <w:rFonts w:ascii="Arial" w:hAnsi="Arial" w:cs="Arial"/>
          <w:sz w:val="22"/>
          <w:szCs w:val="22"/>
          <w:lang w:val="en-AU"/>
        </w:rPr>
        <w:t xml:space="preserve">Amendment </w:t>
      </w:r>
      <w:r w:rsidRPr="00843102">
        <w:rPr>
          <w:rFonts w:ascii="Arial" w:hAnsi="Arial" w:cs="Arial"/>
          <w:sz w:val="22"/>
          <w:szCs w:val="22"/>
          <w:lang w:val="en-AU"/>
        </w:rPr>
        <w:t xml:space="preserve">Determination is a legislative instrument for the purposes of the </w:t>
      </w:r>
      <w:r w:rsidRPr="00843102">
        <w:rPr>
          <w:rFonts w:ascii="Arial" w:hAnsi="Arial" w:cs="Arial"/>
          <w:i/>
          <w:sz w:val="22"/>
          <w:szCs w:val="22"/>
          <w:lang w:val="en-AU"/>
        </w:rPr>
        <w:t>Legislative Instruments Act 2003</w:t>
      </w:r>
      <w:r w:rsidR="009D27B5" w:rsidRPr="00843102">
        <w:rPr>
          <w:rFonts w:ascii="Arial" w:hAnsi="Arial" w:cs="Arial"/>
          <w:sz w:val="22"/>
          <w:szCs w:val="22"/>
          <w:lang w:val="en-AU"/>
        </w:rPr>
        <w:t xml:space="preserve">. </w:t>
      </w:r>
    </w:p>
    <w:p w:rsidR="00D841E1" w:rsidRPr="00843102" w:rsidRDefault="00D841E1">
      <w:pPr>
        <w:jc w:val="both"/>
        <w:rPr>
          <w:rFonts w:ascii="Arial" w:hAnsi="Arial" w:cs="Arial"/>
          <w:sz w:val="22"/>
          <w:szCs w:val="22"/>
          <w:lang w:val="en-AU"/>
        </w:rPr>
      </w:pPr>
    </w:p>
    <w:p w:rsidR="00843102" w:rsidRPr="00843102" w:rsidRDefault="00843102">
      <w:pPr>
        <w:jc w:val="both"/>
        <w:rPr>
          <w:rFonts w:ascii="Arial" w:hAnsi="Arial" w:cs="Arial"/>
          <w:b/>
          <w:sz w:val="22"/>
          <w:szCs w:val="22"/>
          <w:lang w:val="en-AU"/>
        </w:rPr>
      </w:pPr>
      <w:r w:rsidRPr="00843102">
        <w:rPr>
          <w:rFonts w:ascii="Arial" w:hAnsi="Arial" w:cs="Arial"/>
          <w:b/>
          <w:sz w:val="22"/>
          <w:szCs w:val="22"/>
          <w:lang w:val="en-AU"/>
        </w:rPr>
        <w:t>Background</w:t>
      </w:r>
    </w:p>
    <w:p w:rsidR="00843102" w:rsidRPr="00843102" w:rsidRDefault="00843102">
      <w:pPr>
        <w:jc w:val="both"/>
        <w:rPr>
          <w:rFonts w:ascii="Arial" w:hAnsi="Arial" w:cs="Arial"/>
          <w:sz w:val="22"/>
          <w:szCs w:val="22"/>
          <w:lang w:val="en-AU"/>
        </w:rPr>
      </w:pPr>
    </w:p>
    <w:p w:rsidR="006B06F3" w:rsidRPr="006B06F3" w:rsidRDefault="006B06F3" w:rsidP="00843102">
      <w:pPr>
        <w:keepNext/>
        <w:spacing w:after="120"/>
        <w:rPr>
          <w:rFonts w:ascii="Arial" w:hAnsi="Arial"/>
          <w:b/>
          <w:i/>
          <w:sz w:val="22"/>
          <w:szCs w:val="22"/>
        </w:rPr>
      </w:pPr>
      <w:r w:rsidRPr="006B06F3">
        <w:rPr>
          <w:rFonts w:ascii="Arial" w:hAnsi="Arial"/>
          <w:b/>
          <w:i/>
          <w:sz w:val="22"/>
          <w:szCs w:val="22"/>
        </w:rPr>
        <w:t>What is spectrum licence tax?</w:t>
      </w:r>
    </w:p>
    <w:p w:rsidR="00A25852" w:rsidRPr="00843102" w:rsidRDefault="00843102" w:rsidP="00A25852">
      <w:pPr>
        <w:tabs>
          <w:tab w:val="left" w:pos="567"/>
        </w:tabs>
        <w:spacing w:after="120"/>
        <w:rPr>
          <w:rFonts w:ascii="Arial" w:hAnsi="Arial"/>
          <w:sz w:val="22"/>
          <w:szCs w:val="22"/>
        </w:rPr>
      </w:pPr>
      <w:r w:rsidRPr="00843102">
        <w:rPr>
          <w:rFonts w:ascii="Arial" w:hAnsi="Arial"/>
          <w:sz w:val="22"/>
          <w:szCs w:val="22"/>
        </w:rPr>
        <w:t>The spectrum licence tax is an annual tax paid by spectrum licensees</w:t>
      </w:r>
      <w:r w:rsidR="00B64563">
        <w:rPr>
          <w:rFonts w:ascii="Arial" w:hAnsi="Arial"/>
          <w:sz w:val="22"/>
          <w:szCs w:val="22"/>
        </w:rPr>
        <w:t xml:space="preserve"> imposed under the Act</w:t>
      </w:r>
      <w:r w:rsidR="009651F8">
        <w:rPr>
          <w:rFonts w:ascii="Arial" w:hAnsi="Arial"/>
          <w:sz w:val="22"/>
          <w:szCs w:val="22"/>
        </w:rPr>
        <w:t xml:space="preserve"> on spectrum licence holders</w:t>
      </w:r>
      <w:r w:rsidRPr="00843102">
        <w:rPr>
          <w:rFonts w:ascii="Arial" w:hAnsi="Arial"/>
          <w:sz w:val="22"/>
          <w:szCs w:val="22"/>
        </w:rPr>
        <w:t xml:space="preserve">. </w:t>
      </w:r>
      <w:r w:rsidR="006B06F3">
        <w:rPr>
          <w:rFonts w:ascii="Arial" w:hAnsi="Arial"/>
          <w:sz w:val="22"/>
          <w:szCs w:val="22"/>
        </w:rPr>
        <w:t xml:space="preserve">The </w:t>
      </w:r>
      <w:r w:rsidRPr="00843102">
        <w:rPr>
          <w:rFonts w:ascii="Arial" w:hAnsi="Arial"/>
          <w:sz w:val="22"/>
          <w:szCs w:val="22"/>
        </w:rPr>
        <w:t xml:space="preserve">Act </w:t>
      </w:r>
      <w:r w:rsidR="00A25852">
        <w:rPr>
          <w:rFonts w:ascii="Arial" w:hAnsi="Arial"/>
          <w:sz w:val="22"/>
          <w:szCs w:val="22"/>
        </w:rPr>
        <w:t xml:space="preserve">provides that the amount of tax payable is ascertained in accordance with a written determination made by the ACMA under the Act. </w:t>
      </w:r>
    </w:p>
    <w:p w:rsidR="00843102" w:rsidRPr="00843102" w:rsidRDefault="00A25852" w:rsidP="00843102">
      <w:pPr>
        <w:keepNext/>
        <w:spacing w:after="120"/>
        <w:rPr>
          <w:rFonts w:ascii="Arial" w:hAnsi="Arial"/>
          <w:sz w:val="22"/>
          <w:szCs w:val="22"/>
        </w:rPr>
      </w:pPr>
      <w:r>
        <w:rPr>
          <w:rFonts w:ascii="Arial" w:hAnsi="Arial"/>
          <w:sz w:val="22"/>
          <w:szCs w:val="22"/>
        </w:rPr>
        <w:t xml:space="preserve">The tax allows </w:t>
      </w:r>
      <w:r w:rsidR="00843102" w:rsidRPr="00843102">
        <w:rPr>
          <w:rFonts w:ascii="Arial" w:hAnsi="Arial"/>
          <w:sz w:val="22"/>
          <w:szCs w:val="22"/>
        </w:rPr>
        <w:t xml:space="preserve">the ACMA to recover from spectrum licensees the indirect costs of spectrum management activities such as international coordination, domestic planning, interference investigation and policy development. The ACMA determines the amount of tax to be paid for each spectrum-licensed band. </w:t>
      </w:r>
      <w:r w:rsidR="006B06F3">
        <w:rPr>
          <w:rFonts w:ascii="Arial" w:hAnsi="Arial"/>
          <w:sz w:val="22"/>
          <w:szCs w:val="22"/>
        </w:rPr>
        <w:t>For each band, a</w:t>
      </w:r>
      <w:r w:rsidR="00843102" w:rsidRPr="00843102">
        <w:rPr>
          <w:rFonts w:ascii="Arial" w:hAnsi="Arial"/>
          <w:sz w:val="22"/>
          <w:szCs w:val="22"/>
        </w:rPr>
        <w:t xml:space="preserve"> base amount</w:t>
      </w:r>
      <w:r w:rsidR="00843102" w:rsidRPr="00843102">
        <w:rPr>
          <w:rFonts w:ascii="Arial" w:hAnsi="Arial"/>
          <w:i/>
          <w:sz w:val="22"/>
          <w:szCs w:val="22"/>
        </w:rPr>
        <w:t xml:space="preserve"> </w:t>
      </w:r>
      <w:r w:rsidR="00843102" w:rsidRPr="00843102">
        <w:rPr>
          <w:rFonts w:ascii="Arial" w:hAnsi="Arial"/>
          <w:sz w:val="22"/>
          <w:szCs w:val="22"/>
        </w:rPr>
        <w:t xml:space="preserve">is specified and applied to individual spectrum licences in the band on </w:t>
      </w:r>
      <w:proofErr w:type="gramStart"/>
      <w:r w:rsidR="00843102" w:rsidRPr="00843102">
        <w:rPr>
          <w:rFonts w:ascii="Arial" w:hAnsi="Arial"/>
          <w:sz w:val="22"/>
          <w:szCs w:val="22"/>
        </w:rPr>
        <w:t>a per</w:t>
      </w:r>
      <w:proofErr w:type="gramEnd"/>
      <w:r w:rsidR="00843102" w:rsidRPr="00843102">
        <w:rPr>
          <w:rFonts w:ascii="Arial" w:hAnsi="Arial"/>
          <w:sz w:val="22"/>
          <w:szCs w:val="22"/>
        </w:rPr>
        <w:t xml:space="preserve"> population, per MHz basis. The formula for calculating the tax applicable to each</w:t>
      </w:r>
      <w:r w:rsidR="006D7B40">
        <w:rPr>
          <w:rFonts w:ascii="Arial" w:hAnsi="Arial"/>
          <w:sz w:val="22"/>
          <w:szCs w:val="22"/>
        </w:rPr>
        <w:t xml:space="preserve"> spectrum</w:t>
      </w:r>
      <w:r w:rsidR="00843102" w:rsidRPr="00843102">
        <w:rPr>
          <w:rFonts w:ascii="Arial" w:hAnsi="Arial"/>
          <w:sz w:val="22"/>
          <w:szCs w:val="22"/>
        </w:rPr>
        <w:t xml:space="preserve"> licence is also set out in the </w:t>
      </w:r>
      <w:r w:rsidR="006D7B40">
        <w:rPr>
          <w:rFonts w:ascii="Arial" w:hAnsi="Arial"/>
          <w:sz w:val="22"/>
          <w:szCs w:val="22"/>
        </w:rPr>
        <w:t>D</w:t>
      </w:r>
      <w:r w:rsidR="006D7B40" w:rsidRPr="00843102">
        <w:rPr>
          <w:rFonts w:ascii="Arial" w:hAnsi="Arial"/>
          <w:sz w:val="22"/>
          <w:szCs w:val="22"/>
        </w:rPr>
        <w:t>etermination</w:t>
      </w:r>
      <w:r w:rsidR="00843102" w:rsidRPr="00843102">
        <w:rPr>
          <w:rFonts w:ascii="Arial" w:hAnsi="Arial"/>
          <w:sz w:val="22"/>
          <w:szCs w:val="22"/>
        </w:rPr>
        <w:t>.</w:t>
      </w:r>
    </w:p>
    <w:p w:rsidR="006B06F3" w:rsidRPr="006B06F3" w:rsidRDefault="003B5AFF" w:rsidP="00843102">
      <w:pPr>
        <w:tabs>
          <w:tab w:val="left" w:pos="5103"/>
        </w:tabs>
        <w:spacing w:after="120"/>
        <w:rPr>
          <w:rFonts w:ascii="Arial" w:hAnsi="Arial"/>
          <w:b/>
          <w:i/>
          <w:sz w:val="22"/>
          <w:szCs w:val="22"/>
        </w:rPr>
      </w:pPr>
      <w:r>
        <w:rPr>
          <w:rFonts w:ascii="Arial" w:hAnsi="Arial"/>
          <w:sz w:val="22"/>
          <w:szCs w:val="22"/>
        </w:rPr>
        <w:br w:type="page"/>
      </w:r>
      <w:r w:rsidR="006B06F3" w:rsidRPr="006B06F3">
        <w:rPr>
          <w:rFonts w:ascii="Arial" w:hAnsi="Arial"/>
          <w:b/>
          <w:i/>
          <w:sz w:val="22"/>
          <w:szCs w:val="22"/>
        </w:rPr>
        <w:lastRenderedPageBreak/>
        <w:t>Method of calculating base amounts</w:t>
      </w:r>
    </w:p>
    <w:p w:rsidR="00843102" w:rsidRPr="00843102" w:rsidRDefault="00843102" w:rsidP="00843102">
      <w:pPr>
        <w:tabs>
          <w:tab w:val="left" w:pos="5103"/>
        </w:tabs>
        <w:spacing w:after="120"/>
        <w:rPr>
          <w:rFonts w:ascii="Arial" w:hAnsi="Arial"/>
          <w:sz w:val="22"/>
          <w:szCs w:val="22"/>
          <w:u w:val="single"/>
        </w:rPr>
      </w:pPr>
      <w:r w:rsidRPr="00843102">
        <w:rPr>
          <w:rFonts w:ascii="Arial" w:hAnsi="Arial"/>
          <w:sz w:val="22"/>
          <w:szCs w:val="22"/>
        </w:rPr>
        <w:t xml:space="preserve">The method applied to determine the base amount first involves the calculation of the spectrum maintenance component (SMC). This is the component of an apparatus licence fee that is designed to recover the indirect costs of spectrum management. The SMC is the total indirect cost of spectrum management expressed as a percentage of total apparatus licence tax revenue. </w:t>
      </w:r>
    </w:p>
    <w:p w:rsidR="00843102" w:rsidRPr="00843102" w:rsidRDefault="00843102" w:rsidP="00843102">
      <w:pPr>
        <w:tabs>
          <w:tab w:val="left" w:pos="5103"/>
        </w:tabs>
        <w:spacing w:after="120"/>
        <w:rPr>
          <w:rFonts w:ascii="Arial" w:hAnsi="Arial"/>
          <w:sz w:val="22"/>
          <w:szCs w:val="22"/>
        </w:rPr>
      </w:pPr>
      <w:r w:rsidRPr="00843102">
        <w:rPr>
          <w:rFonts w:ascii="Arial" w:hAnsi="Arial"/>
          <w:sz w:val="22"/>
          <w:szCs w:val="22"/>
        </w:rPr>
        <w:t xml:space="preserve">The objective of applying the SMC as part of the calculation for the base amounts for spectrum licence tax is to create parity between the recovery of indirect costs for the two types of licensing (apparatus and spectrum). Consequently, even though the ACMA no longer calculates an annual SMC to be included in the breakdown of apparatus licence tax, an SMC percentage was calculated using 2010–11 cost and revenue figures for the purpose of updating the base amounts for spectrum licence tax. This current SMC percentage is 20.6 per cent. </w:t>
      </w:r>
    </w:p>
    <w:p w:rsidR="00843102" w:rsidRPr="00843102" w:rsidRDefault="00843102" w:rsidP="00843102">
      <w:pPr>
        <w:keepNext/>
        <w:spacing w:after="120"/>
        <w:rPr>
          <w:rFonts w:ascii="Arial" w:hAnsi="Arial"/>
          <w:sz w:val="22"/>
          <w:szCs w:val="22"/>
        </w:rPr>
      </w:pPr>
      <w:r w:rsidRPr="00843102">
        <w:rPr>
          <w:rFonts w:ascii="Arial" w:hAnsi="Arial"/>
          <w:sz w:val="22"/>
          <w:szCs w:val="22"/>
        </w:rPr>
        <w:t xml:space="preserve">The method used to calculate the base amounts for each band is as follows: using a general assigned apparatus licence type, an amount equivalent to the licence fee of an Australia-wide apparatus licence is calculated for the spectrum licensed band. That fee amount is then multiplied by the SMC percentage to produce a base amount of the total spectrum licence tax that applies to the whole band. </w:t>
      </w:r>
      <w:r w:rsidR="00F10F6E">
        <w:rPr>
          <w:rFonts w:ascii="Arial" w:hAnsi="Arial"/>
          <w:sz w:val="22"/>
          <w:szCs w:val="22"/>
        </w:rPr>
        <w:t>T</w:t>
      </w:r>
      <w:r w:rsidRPr="00843102">
        <w:rPr>
          <w:rFonts w:ascii="Arial" w:hAnsi="Arial"/>
          <w:sz w:val="22"/>
          <w:szCs w:val="22"/>
        </w:rPr>
        <w:t xml:space="preserve">he amount of spectrum licence tax paid on an individual spectrum licence is calculated as a share of that base amount on </w:t>
      </w:r>
      <w:proofErr w:type="gramStart"/>
      <w:r w:rsidRPr="00843102">
        <w:rPr>
          <w:rFonts w:ascii="Arial" w:hAnsi="Arial"/>
          <w:sz w:val="22"/>
          <w:szCs w:val="22"/>
        </w:rPr>
        <w:t>a per</w:t>
      </w:r>
      <w:proofErr w:type="gramEnd"/>
      <w:r w:rsidRPr="00843102">
        <w:rPr>
          <w:rFonts w:ascii="Arial" w:hAnsi="Arial"/>
          <w:sz w:val="22"/>
          <w:szCs w:val="22"/>
        </w:rPr>
        <w:t xml:space="preserve"> population, per MHz basis.</w:t>
      </w:r>
    </w:p>
    <w:p w:rsidR="00843102" w:rsidRPr="006B06F3" w:rsidRDefault="006B06F3" w:rsidP="00843102">
      <w:pPr>
        <w:keepNext/>
        <w:spacing w:after="120"/>
        <w:rPr>
          <w:rFonts w:ascii="Arial" w:hAnsi="Arial"/>
          <w:b/>
          <w:i/>
          <w:sz w:val="22"/>
          <w:szCs w:val="22"/>
        </w:rPr>
      </w:pPr>
      <w:r w:rsidRPr="006B06F3">
        <w:rPr>
          <w:rFonts w:ascii="Arial" w:hAnsi="Arial"/>
          <w:b/>
          <w:i/>
          <w:sz w:val="22"/>
          <w:szCs w:val="22"/>
        </w:rPr>
        <w:t>Review of spectrum licence tax</w:t>
      </w:r>
    </w:p>
    <w:p w:rsidR="00843102" w:rsidRPr="00843102" w:rsidRDefault="00843102" w:rsidP="00843102">
      <w:pPr>
        <w:spacing w:after="120"/>
        <w:rPr>
          <w:rFonts w:ascii="Arial" w:hAnsi="Arial"/>
          <w:sz w:val="22"/>
          <w:szCs w:val="22"/>
        </w:rPr>
      </w:pPr>
      <w:r w:rsidRPr="00843102">
        <w:rPr>
          <w:rFonts w:ascii="Arial" w:hAnsi="Arial"/>
          <w:sz w:val="22"/>
          <w:szCs w:val="22"/>
        </w:rPr>
        <w:t xml:space="preserve">One of the outcomes of </w:t>
      </w:r>
      <w:r w:rsidR="00FD58D7">
        <w:rPr>
          <w:rFonts w:ascii="Arial" w:hAnsi="Arial"/>
          <w:sz w:val="22"/>
          <w:szCs w:val="22"/>
        </w:rPr>
        <w:t>the</w:t>
      </w:r>
      <w:r w:rsidRPr="00843102">
        <w:rPr>
          <w:rFonts w:ascii="Arial" w:hAnsi="Arial"/>
          <w:sz w:val="22"/>
          <w:szCs w:val="22"/>
        </w:rPr>
        <w:t xml:space="preserve"> ACMA review of regulatory arrangements for spectrum licensing was identification of the need to update, prior to 11 October 2012</w:t>
      </w:r>
      <w:r w:rsidR="007B7F04">
        <w:rPr>
          <w:rFonts w:ascii="Arial" w:hAnsi="Arial"/>
          <w:sz w:val="22"/>
          <w:szCs w:val="22"/>
        </w:rPr>
        <w:t xml:space="preserve"> - </w:t>
      </w:r>
      <w:r w:rsidRPr="00843102">
        <w:rPr>
          <w:rFonts w:ascii="Arial" w:hAnsi="Arial"/>
          <w:sz w:val="22"/>
          <w:szCs w:val="22"/>
        </w:rPr>
        <w:t>the next date on which spectrum licence tax wil</w:t>
      </w:r>
      <w:r w:rsidR="00FD58D7">
        <w:rPr>
          <w:rFonts w:ascii="Arial" w:hAnsi="Arial"/>
          <w:sz w:val="22"/>
          <w:szCs w:val="22"/>
        </w:rPr>
        <w:t>l be charged</w:t>
      </w:r>
      <w:r w:rsidR="007B7F04">
        <w:rPr>
          <w:rFonts w:ascii="Arial" w:hAnsi="Arial"/>
          <w:sz w:val="22"/>
          <w:szCs w:val="22"/>
        </w:rPr>
        <w:t xml:space="preserve"> – the amount of spectrum licence tax imposed</w:t>
      </w:r>
      <w:r w:rsidR="00FD58D7">
        <w:rPr>
          <w:rFonts w:ascii="Arial" w:hAnsi="Arial"/>
          <w:sz w:val="22"/>
          <w:szCs w:val="22"/>
        </w:rPr>
        <w:t>. This required amendment to t</w:t>
      </w:r>
      <w:r w:rsidRPr="00843102">
        <w:rPr>
          <w:rFonts w:ascii="Arial" w:hAnsi="Arial"/>
          <w:sz w:val="22"/>
          <w:szCs w:val="22"/>
        </w:rPr>
        <w:t>hree elements of the Determination:</w:t>
      </w:r>
    </w:p>
    <w:p w:rsidR="00843102" w:rsidRPr="00843102" w:rsidRDefault="00843102" w:rsidP="00843102">
      <w:pPr>
        <w:pStyle w:val="ListParagraph"/>
        <w:numPr>
          <w:ilvl w:val="0"/>
          <w:numId w:val="25"/>
        </w:numPr>
        <w:tabs>
          <w:tab w:val="clear" w:pos="360"/>
          <w:tab w:val="num" w:pos="720"/>
        </w:tabs>
        <w:spacing w:after="120"/>
        <w:ind w:left="720"/>
        <w:rPr>
          <w:rFonts w:ascii="Arial" w:hAnsi="Arial"/>
          <w:sz w:val="22"/>
          <w:szCs w:val="22"/>
        </w:rPr>
      </w:pPr>
      <w:r w:rsidRPr="00843102">
        <w:rPr>
          <w:rFonts w:ascii="Arial" w:hAnsi="Arial"/>
          <w:sz w:val="22"/>
          <w:szCs w:val="22"/>
        </w:rPr>
        <w:t xml:space="preserve">the base amounts in the </w:t>
      </w:r>
      <w:r w:rsidR="007B7F04">
        <w:rPr>
          <w:rFonts w:ascii="Arial" w:hAnsi="Arial"/>
          <w:sz w:val="22"/>
          <w:szCs w:val="22"/>
        </w:rPr>
        <w:t>D</w:t>
      </w:r>
      <w:r w:rsidRPr="00843102">
        <w:rPr>
          <w:rFonts w:ascii="Arial" w:hAnsi="Arial"/>
          <w:sz w:val="22"/>
          <w:szCs w:val="22"/>
        </w:rPr>
        <w:t>etermination, which have not been updated since 2001</w:t>
      </w:r>
      <w:r w:rsidR="007B7F04">
        <w:rPr>
          <w:rFonts w:ascii="Arial" w:hAnsi="Arial"/>
          <w:sz w:val="22"/>
          <w:szCs w:val="22"/>
        </w:rPr>
        <w:t>;</w:t>
      </w:r>
      <w:r w:rsidRPr="00843102">
        <w:rPr>
          <w:rFonts w:ascii="Arial" w:hAnsi="Arial"/>
          <w:sz w:val="22"/>
          <w:szCs w:val="22"/>
        </w:rPr>
        <w:t xml:space="preserve"> </w:t>
      </w:r>
    </w:p>
    <w:p w:rsidR="00843102" w:rsidRPr="00843102" w:rsidRDefault="00843102" w:rsidP="00843102">
      <w:pPr>
        <w:pStyle w:val="ListParagraph"/>
        <w:numPr>
          <w:ilvl w:val="0"/>
          <w:numId w:val="25"/>
        </w:numPr>
        <w:tabs>
          <w:tab w:val="clear" w:pos="360"/>
          <w:tab w:val="num" w:pos="720"/>
        </w:tabs>
        <w:spacing w:after="120"/>
        <w:ind w:left="720"/>
        <w:rPr>
          <w:rFonts w:ascii="Arial" w:hAnsi="Arial"/>
          <w:sz w:val="22"/>
          <w:szCs w:val="22"/>
        </w:rPr>
      </w:pPr>
      <w:r w:rsidRPr="00843102">
        <w:rPr>
          <w:rFonts w:ascii="Arial" w:hAnsi="Arial"/>
          <w:sz w:val="22"/>
          <w:szCs w:val="22"/>
        </w:rPr>
        <w:t>the base amount for the 500 MHz band, which needed to be removed after that band reverted to apparatus licensing on 31 May 2012</w:t>
      </w:r>
      <w:r w:rsidR="007B7F04">
        <w:rPr>
          <w:rFonts w:ascii="Arial" w:hAnsi="Arial"/>
          <w:sz w:val="22"/>
          <w:szCs w:val="22"/>
        </w:rPr>
        <w:t>; and</w:t>
      </w:r>
    </w:p>
    <w:p w:rsidR="00843102" w:rsidRPr="00843102" w:rsidRDefault="00843102" w:rsidP="00843102">
      <w:pPr>
        <w:pStyle w:val="ListParagraph"/>
        <w:numPr>
          <w:ilvl w:val="0"/>
          <w:numId w:val="25"/>
        </w:numPr>
        <w:tabs>
          <w:tab w:val="clear" w:pos="360"/>
          <w:tab w:val="num" w:pos="720"/>
        </w:tabs>
        <w:spacing w:after="120"/>
        <w:ind w:left="720"/>
        <w:rPr>
          <w:rFonts w:ascii="Arial" w:hAnsi="Arial"/>
          <w:sz w:val="22"/>
          <w:szCs w:val="22"/>
        </w:rPr>
      </w:pPr>
      <w:proofErr w:type="gramStart"/>
      <w:r w:rsidRPr="00843102">
        <w:rPr>
          <w:rFonts w:ascii="Arial" w:hAnsi="Arial"/>
          <w:sz w:val="22"/>
          <w:szCs w:val="22"/>
        </w:rPr>
        <w:t>the</w:t>
      </w:r>
      <w:proofErr w:type="gramEnd"/>
      <w:r w:rsidRPr="00843102">
        <w:rPr>
          <w:rFonts w:ascii="Arial" w:hAnsi="Arial"/>
          <w:sz w:val="22"/>
          <w:szCs w:val="22"/>
        </w:rPr>
        <w:t xml:space="preserve"> references to census data, which have not been updated since 2004. </w:t>
      </w:r>
    </w:p>
    <w:p w:rsidR="00843102" w:rsidRPr="00843102" w:rsidRDefault="00843102" w:rsidP="00843102">
      <w:pPr>
        <w:spacing w:after="120"/>
        <w:rPr>
          <w:rFonts w:ascii="Arial" w:hAnsi="Arial"/>
          <w:sz w:val="22"/>
          <w:szCs w:val="22"/>
        </w:rPr>
      </w:pPr>
      <w:r w:rsidRPr="00843102">
        <w:rPr>
          <w:rFonts w:ascii="Arial" w:hAnsi="Arial"/>
          <w:sz w:val="22"/>
          <w:szCs w:val="22"/>
        </w:rPr>
        <w:t xml:space="preserve">As a result, the ACMA has recalculated each of the base amounts in the Determination. </w:t>
      </w:r>
      <w:r w:rsidR="00FD58D7">
        <w:rPr>
          <w:rFonts w:ascii="Arial" w:hAnsi="Arial"/>
          <w:sz w:val="22"/>
          <w:szCs w:val="22"/>
        </w:rPr>
        <w:t>These differences between the old and new amounts</w:t>
      </w:r>
      <w:r w:rsidRPr="00843102">
        <w:rPr>
          <w:rFonts w:ascii="Arial" w:hAnsi="Arial"/>
          <w:sz w:val="22"/>
          <w:szCs w:val="22"/>
        </w:rPr>
        <w:t xml:space="preserve"> are due to changes to the basis on which apparatus licences fees are calculated. Prior to 2003, the relevant transmitter licence tax determination provided a number of ranges of bandwidth amount. The amount charged for a general apparatus licence depended on which bandwidth range the amount of bandwidth in the licence fell into. This meant, for example, that a licence for 250 MHz of spectrum attracted the same annual fee as a licence for 1000 MHz of spectrum. The </w:t>
      </w:r>
      <w:r w:rsidR="00827C01" w:rsidRPr="00827C01">
        <w:rPr>
          <w:rFonts w:ascii="Arial" w:hAnsi="Arial"/>
          <w:i/>
          <w:sz w:val="22"/>
          <w:szCs w:val="22"/>
        </w:rPr>
        <w:t>Radiocommunications (Transmitter Licence Tax) Determination 2003</w:t>
      </w:r>
      <w:r w:rsidRPr="00843102">
        <w:rPr>
          <w:rFonts w:ascii="Arial" w:hAnsi="Arial"/>
          <w:sz w:val="22"/>
          <w:szCs w:val="22"/>
        </w:rPr>
        <w:t xml:space="preserve"> instead provides a $ per kHz amount which is then multiplied by the actual amount of bandwidth of the spectrum licence. </w:t>
      </w:r>
    </w:p>
    <w:p w:rsidR="00843102" w:rsidRPr="006B06F3" w:rsidRDefault="00843102" w:rsidP="006B06F3">
      <w:pPr>
        <w:spacing w:after="120"/>
        <w:rPr>
          <w:rFonts w:ascii="Arial" w:hAnsi="Arial"/>
          <w:b/>
          <w:i/>
          <w:sz w:val="22"/>
          <w:szCs w:val="22"/>
        </w:rPr>
      </w:pPr>
      <w:r w:rsidRPr="006B06F3">
        <w:rPr>
          <w:rFonts w:ascii="Arial" w:hAnsi="Arial"/>
          <w:b/>
          <w:i/>
          <w:sz w:val="22"/>
          <w:szCs w:val="22"/>
        </w:rPr>
        <w:t>Stages of application</w:t>
      </w:r>
    </w:p>
    <w:p w:rsidR="00843102" w:rsidRPr="00843102" w:rsidRDefault="00843102" w:rsidP="00843102">
      <w:pPr>
        <w:spacing w:after="120"/>
        <w:rPr>
          <w:rFonts w:ascii="Arial" w:hAnsi="Arial"/>
          <w:sz w:val="22"/>
          <w:szCs w:val="22"/>
        </w:rPr>
      </w:pPr>
      <w:r w:rsidRPr="00843102">
        <w:rPr>
          <w:rFonts w:ascii="Arial" w:hAnsi="Arial"/>
          <w:sz w:val="22"/>
          <w:szCs w:val="22"/>
        </w:rPr>
        <w:t xml:space="preserve">As described above, the ACMA has recalculated the base amounts set out in the Determination. </w:t>
      </w:r>
      <w:r w:rsidR="00FD58D7">
        <w:rPr>
          <w:rFonts w:ascii="Arial" w:hAnsi="Arial"/>
          <w:sz w:val="22"/>
          <w:szCs w:val="22"/>
        </w:rPr>
        <w:t>The</w:t>
      </w:r>
      <w:r w:rsidRPr="00843102">
        <w:rPr>
          <w:rFonts w:ascii="Arial" w:hAnsi="Arial"/>
          <w:sz w:val="22"/>
          <w:szCs w:val="22"/>
        </w:rPr>
        <w:t xml:space="preserve"> </w:t>
      </w:r>
      <w:r>
        <w:rPr>
          <w:rFonts w:ascii="Arial" w:hAnsi="Arial"/>
          <w:sz w:val="22"/>
          <w:szCs w:val="22"/>
        </w:rPr>
        <w:t>Amendment Determination</w:t>
      </w:r>
      <w:r w:rsidRPr="00843102">
        <w:rPr>
          <w:rFonts w:ascii="Arial" w:hAnsi="Arial"/>
          <w:sz w:val="22"/>
          <w:szCs w:val="22"/>
        </w:rPr>
        <w:t xml:space="preserve"> will update the base amounts for six bands (as set out in Part 1</w:t>
      </w:r>
      <w:r w:rsidR="000917D5">
        <w:rPr>
          <w:rFonts w:ascii="Arial" w:hAnsi="Arial"/>
          <w:sz w:val="22"/>
          <w:szCs w:val="22"/>
        </w:rPr>
        <w:t xml:space="preserve"> </w:t>
      </w:r>
      <w:r w:rsidRPr="00843102">
        <w:rPr>
          <w:rFonts w:ascii="Arial" w:hAnsi="Arial"/>
          <w:sz w:val="22"/>
          <w:szCs w:val="22"/>
        </w:rPr>
        <w:t xml:space="preserve">of Schedule 1 in the </w:t>
      </w:r>
      <w:r>
        <w:rPr>
          <w:rFonts w:ascii="Arial" w:hAnsi="Arial"/>
          <w:sz w:val="22"/>
          <w:szCs w:val="22"/>
        </w:rPr>
        <w:t>Amendment Determination</w:t>
      </w:r>
      <w:r w:rsidRPr="00843102">
        <w:rPr>
          <w:rFonts w:ascii="Arial" w:hAnsi="Arial"/>
          <w:sz w:val="22"/>
          <w:szCs w:val="22"/>
        </w:rPr>
        <w:t xml:space="preserve">) and the base amount for the 500 MHz band will be removed. It is intended that a future amendment will update the base amount for the </w:t>
      </w:r>
      <w:r w:rsidR="00FD58D7">
        <w:rPr>
          <w:rFonts w:ascii="Arial" w:hAnsi="Arial"/>
          <w:sz w:val="22"/>
          <w:szCs w:val="22"/>
        </w:rPr>
        <w:t xml:space="preserve">28 and </w:t>
      </w:r>
      <w:r>
        <w:rPr>
          <w:rFonts w:ascii="Arial" w:hAnsi="Arial"/>
          <w:sz w:val="22"/>
          <w:szCs w:val="22"/>
        </w:rPr>
        <w:t>31 GHz band</w:t>
      </w:r>
      <w:r w:rsidRPr="00843102">
        <w:rPr>
          <w:rFonts w:ascii="Arial" w:hAnsi="Arial"/>
          <w:sz w:val="22"/>
          <w:szCs w:val="22"/>
        </w:rPr>
        <w:t xml:space="preserve"> once consultation with spectrum licensees in that band is completed. (See Consultation below for more information</w:t>
      </w:r>
      <w:r w:rsidR="000917D5">
        <w:rPr>
          <w:rFonts w:ascii="Arial" w:hAnsi="Arial"/>
          <w:sz w:val="22"/>
          <w:szCs w:val="22"/>
        </w:rPr>
        <w:t>.)</w:t>
      </w:r>
    </w:p>
    <w:p w:rsidR="00644B62" w:rsidRPr="00843102" w:rsidRDefault="000917D5">
      <w:pPr>
        <w:jc w:val="both"/>
        <w:rPr>
          <w:rFonts w:ascii="Arial" w:hAnsi="Arial" w:cs="Arial"/>
          <w:b/>
          <w:sz w:val="22"/>
          <w:szCs w:val="22"/>
          <w:lang w:val="en-AU"/>
        </w:rPr>
      </w:pPr>
      <w:r>
        <w:rPr>
          <w:rFonts w:ascii="Arial" w:hAnsi="Arial" w:cs="Arial"/>
          <w:sz w:val="22"/>
          <w:szCs w:val="22"/>
          <w:lang w:val="en-AU"/>
        </w:rPr>
        <w:br w:type="page"/>
      </w:r>
      <w:r w:rsidR="0039588A" w:rsidRPr="00843102">
        <w:rPr>
          <w:rFonts w:ascii="Arial" w:hAnsi="Arial" w:cs="Arial"/>
          <w:b/>
          <w:sz w:val="22"/>
          <w:szCs w:val="22"/>
          <w:lang w:val="en-AU"/>
        </w:rPr>
        <w:lastRenderedPageBreak/>
        <w:t>Operation</w:t>
      </w:r>
    </w:p>
    <w:p w:rsidR="000917D5" w:rsidRDefault="000917D5" w:rsidP="00590144">
      <w:pPr>
        <w:jc w:val="both"/>
        <w:rPr>
          <w:rFonts w:ascii="Arial" w:hAnsi="Arial" w:cs="Arial"/>
          <w:sz w:val="22"/>
          <w:szCs w:val="22"/>
          <w:lang w:val="en-AU"/>
        </w:rPr>
      </w:pPr>
    </w:p>
    <w:p w:rsidR="00041682" w:rsidRPr="00843102" w:rsidRDefault="00644B62" w:rsidP="00590144">
      <w:pPr>
        <w:jc w:val="both"/>
        <w:rPr>
          <w:rFonts w:ascii="Arial" w:hAnsi="Arial" w:cs="Arial"/>
          <w:sz w:val="22"/>
          <w:szCs w:val="22"/>
          <w:lang w:val="en-AU"/>
        </w:rPr>
      </w:pPr>
      <w:r w:rsidRPr="00843102">
        <w:rPr>
          <w:rFonts w:ascii="Arial" w:hAnsi="Arial" w:cs="Arial"/>
          <w:sz w:val="22"/>
          <w:szCs w:val="22"/>
          <w:lang w:val="en-AU"/>
        </w:rPr>
        <w:t xml:space="preserve">The </w:t>
      </w:r>
      <w:r w:rsidR="00843102">
        <w:rPr>
          <w:rFonts w:ascii="Arial" w:hAnsi="Arial" w:cs="Arial"/>
          <w:sz w:val="22"/>
          <w:szCs w:val="22"/>
          <w:lang w:val="en-AU"/>
        </w:rPr>
        <w:t>Amendment Determination</w:t>
      </w:r>
      <w:r w:rsidRPr="00843102">
        <w:rPr>
          <w:rFonts w:ascii="Arial" w:hAnsi="Arial" w:cs="Arial"/>
          <w:sz w:val="22"/>
          <w:szCs w:val="22"/>
          <w:lang w:val="en-AU"/>
        </w:rPr>
        <w:t xml:space="preserve"> </w:t>
      </w:r>
      <w:r w:rsidR="00590144" w:rsidRPr="00843102">
        <w:rPr>
          <w:rFonts w:ascii="Arial" w:hAnsi="Arial" w:cs="Arial"/>
          <w:sz w:val="22"/>
          <w:szCs w:val="22"/>
          <w:lang w:val="en-AU"/>
        </w:rPr>
        <w:t xml:space="preserve">amends the </w:t>
      </w:r>
      <w:r w:rsidRPr="00843102">
        <w:rPr>
          <w:rFonts w:ascii="Arial" w:hAnsi="Arial" w:cs="Arial"/>
          <w:sz w:val="22"/>
          <w:szCs w:val="22"/>
          <w:lang w:val="en-AU"/>
        </w:rPr>
        <w:t>Determination in order to update the base amounts of spectrum licence tax for each of the listed frequency ranges.</w:t>
      </w:r>
    </w:p>
    <w:p w:rsidR="00041682" w:rsidRPr="00843102" w:rsidRDefault="00041682" w:rsidP="00590144">
      <w:pPr>
        <w:jc w:val="both"/>
        <w:rPr>
          <w:rFonts w:ascii="Arial" w:hAnsi="Arial" w:cs="Arial"/>
          <w:sz w:val="22"/>
          <w:szCs w:val="22"/>
          <w:lang w:val="en-AU"/>
        </w:rPr>
      </w:pPr>
    </w:p>
    <w:p w:rsidR="00590144" w:rsidRPr="00843102" w:rsidRDefault="00590144" w:rsidP="00590144">
      <w:pPr>
        <w:jc w:val="both"/>
        <w:rPr>
          <w:rFonts w:ascii="Arial" w:hAnsi="Arial"/>
          <w:sz w:val="22"/>
          <w:szCs w:val="22"/>
        </w:rPr>
      </w:pPr>
      <w:r w:rsidRPr="00843102">
        <w:rPr>
          <w:rFonts w:ascii="Arial" w:hAnsi="Arial"/>
          <w:sz w:val="22"/>
          <w:szCs w:val="22"/>
        </w:rPr>
        <w:t xml:space="preserve">The Determination sets out the amounts of tax to be charged for each specified spectrum-licensed band. The base amount for each band is divided amongst spectrum licensees in that band on </w:t>
      </w:r>
      <w:proofErr w:type="gramStart"/>
      <w:r w:rsidRPr="00843102">
        <w:rPr>
          <w:rFonts w:ascii="Arial" w:hAnsi="Arial"/>
          <w:sz w:val="22"/>
          <w:szCs w:val="22"/>
        </w:rPr>
        <w:t>a per</w:t>
      </w:r>
      <w:proofErr w:type="gramEnd"/>
      <w:r w:rsidRPr="00843102">
        <w:rPr>
          <w:rFonts w:ascii="Arial" w:hAnsi="Arial"/>
          <w:sz w:val="22"/>
          <w:szCs w:val="22"/>
        </w:rPr>
        <w:t xml:space="preserve"> MHz/per population basis.</w:t>
      </w:r>
    </w:p>
    <w:p w:rsidR="00590144" w:rsidRPr="00843102" w:rsidRDefault="00590144" w:rsidP="00590144">
      <w:pPr>
        <w:jc w:val="both"/>
        <w:rPr>
          <w:rFonts w:ascii="Arial" w:hAnsi="Arial"/>
          <w:sz w:val="22"/>
          <w:szCs w:val="22"/>
        </w:rPr>
      </w:pPr>
    </w:p>
    <w:p w:rsidR="00590144" w:rsidRPr="00843102" w:rsidRDefault="00041682" w:rsidP="00590144">
      <w:pPr>
        <w:jc w:val="both"/>
        <w:rPr>
          <w:rFonts w:ascii="Arial" w:hAnsi="Arial" w:cs="Arial"/>
          <w:sz w:val="22"/>
          <w:szCs w:val="22"/>
          <w:lang w:val="en-AU"/>
        </w:rPr>
      </w:pPr>
      <w:r w:rsidRPr="00843102">
        <w:rPr>
          <w:rFonts w:ascii="Arial" w:hAnsi="Arial"/>
          <w:sz w:val="22"/>
          <w:szCs w:val="22"/>
        </w:rPr>
        <w:t>The base amounts</w:t>
      </w:r>
      <w:r w:rsidR="00590144" w:rsidRPr="00843102">
        <w:rPr>
          <w:rFonts w:ascii="Arial" w:hAnsi="Arial"/>
          <w:sz w:val="22"/>
          <w:szCs w:val="22"/>
        </w:rPr>
        <w:t xml:space="preserve"> will next be applied on 11 October 2012, the anniversary date for charging spectrum licence tax as provided for in the Determination</w:t>
      </w:r>
      <w:r w:rsidR="007B7F04">
        <w:rPr>
          <w:rFonts w:ascii="Arial" w:hAnsi="Arial"/>
          <w:sz w:val="22"/>
          <w:szCs w:val="22"/>
        </w:rPr>
        <w:t xml:space="preserve"> and the Act</w:t>
      </w:r>
      <w:r w:rsidR="00590144" w:rsidRPr="00843102">
        <w:rPr>
          <w:rFonts w:ascii="Arial" w:hAnsi="Arial"/>
          <w:sz w:val="22"/>
          <w:szCs w:val="22"/>
        </w:rPr>
        <w:t>.</w:t>
      </w:r>
      <w:r w:rsidR="00590144" w:rsidRPr="00843102">
        <w:rPr>
          <w:rFonts w:ascii="Arial" w:hAnsi="Arial" w:cs="Arial"/>
          <w:sz w:val="22"/>
          <w:szCs w:val="22"/>
          <w:lang w:val="en-AU"/>
        </w:rPr>
        <w:t xml:space="preserve"> At that time, </w:t>
      </w:r>
      <w:proofErr w:type="spellStart"/>
      <w:r w:rsidR="00590144" w:rsidRPr="00843102">
        <w:rPr>
          <w:rFonts w:ascii="Arial" w:hAnsi="Arial" w:cs="Arial"/>
          <w:sz w:val="22"/>
          <w:szCs w:val="22"/>
          <w:lang w:val="en-AU"/>
        </w:rPr>
        <w:t>th</w:t>
      </w:r>
      <w:proofErr w:type="spellEnd"/>
      <w:r w:rsidR="00590144" w:rsidRPr="00843102">
        <w:rPr>
          <w:rFonts w:ascii="Arial" w:hAnsi="Arial"/>
          <w:sz w:val="22"/>
          <w:szCs w:val="22"/>
        </w:rPr>
        <w:t>e new 2011 Australian census data</w:t>
      </w:r>
      <w:r w:rsidRPr="00843102">
        <w:rPr>
          <w:rFonts w:ascii="Arial" w:hAnsi="Arial"/>
          <w:sz w:val="22"/>
          <w:szCs w:val="22"/>
        </w:rPr>
        <w:t xml:space="preserve"> (updated as a result of the amendment)</w:t>
      </w:r>
      <w:r w:rsidR="00590144" w:rsidRPr="00843102">
        <w:rPr>
          <w:rFonts w:ascii="Arial" w:hAnsi="Arial"/>
          <w:sz w:val="22"/>
          <w:szCs w:val="22"/>
        </w:rPr>
        <w:t xml:space="preserve"> will be applied to the calcula</w:t>
      </w:r>
      <w:r w:rsidRPr="00843102">
        <w:rPr>
          <w:rFonts w:ascii="Arial" w:hAnsi="Arial"/>
          <w:sz w:val="22"/>
          <w:szCs w:val="22"/>
        </w:rPr>
        <w:t>tion of spectrum licence tax for each specified band.</w:t>
      </w:r>
    </w:p>
    <w:p w:rsidR="00D841E1" w:rsidRPr="00843102" w:rsidRDefault="00D841E1" w:rsidP="00644B62">
      <w:pPr>
        <w:spacing w:line="360" w:lineRule="auto"/>
        <w:rPr>
          <w:rFonts w:ascii="Arial" w:hAnsi="Arial" w:cs="Arial"/>
          <w:b/>
          <w:sz w:val="22"/>
          <w:szCs w:val="22"/>
          <w:lang w:val="en-AU"/>
        </w:rPr>
      </w:pPr>
    </w:p>
    <w:p w:rsidR="00D841E1" w:rsidRPr="00843102" w:rsidRDefault="0039588A">
      <w:pPr>
        <w:jc w:val="both"/>
        <w:rPr>
          <w:rFonts w:ascii="Arial" w:hAnsi="Arial" w:cs="Arial"/>
          <w:b/>
          <w:sz w:val="22"/>
          <w:szCs w:val="22"/>
          <w:lang w:val="en-AU"/>
        </w:rPr>
      </w:pPr>
      <w:r w:rsidRPr="00843102">
        <w:rPr>
          <w:rFonts w:ascii="Arial" w:hAnsi="Arial" w:cs="Arial"/>
          <w:b/>
          <w:sz w:val="22"/>
          <w:szCs w:val="22"/>
          <w:lang w:val="en-AU"/>
        </w:rPr>
        <w:t>Consultation</w:t>
      </w:r>
    </w:p>
    <w:p w:rsidR="00D841E1" w:rsidRPr="00843102" w:rsidRDefault="00D841E1" w:rsidP="00513D88">
      <w:pPr>
        <w:rPr>
          <w:rFonts w:ascii="Arial" w:hAnsi="Arial" w:cs="Arial"/>
          <w:b/>
          <w:sz w:val="22"/>
          <w:szCs w:val="22"/>
          <w:lang w:val="en-AU"/>
        </w:rPr>
      </w:pPr>
    </w:p>
    <w:p w:rsidR="00D841E1" w:rsidRPr="00843102" w:rsidRDefault="0039588A" w:rsidP="00513D88">
      <w:pPr>
        <w:rPr>
          <w:rFonts w:ascii="Arial" w:hAnsi="Arial" w:cs="Arial"/>
          <w:sz w:val="22"/>
          <w:szCs w:val="22"/>
        </w:rPr>
      </w:pPr>
      <w:r w:rsidRPr="00843102">
        <w:rPr>
          <w:rFonts w:ascii="Arial" w:hAnsi="Arial" w:cs="Arial"/>
          <w:sz w:val="22"/>
          <w:szCs w:val="22"/>
          <w:lang w:val="en-AU"/>
        </w:rPr>
        <w:t xml:space="preserve">The ACMA has consulted widely about its plans to update the spectrum licence framework.  </w:t>
      </w:r>
      <w:r w:rsidRPr="00843102">
        <w:rPr>
          <w:rFonts w:ascii="Arial" w:hAnsi="Arial" w:cs="Arial"/>
          <w:sz w:val="22"/>
          <w:szCs w:val="22"/>
        </w:rPr>
        <w:t xml:space="preserve">In March 2012, the ACMA released a consultation paper, </w:t>
      </w:r>
      <w:hyperlink r:id="rId12" w:history="1">
        <w:proofErr w:type="gramStart"/>
        <w:r w:rsidRPr="00843102">
          <w:rPr>
            <w:rStyle w:val="Hyperlink"/>
            <w:rFonts w:ascii="Arial" w:hAnsi="Arial" w:cs="Arial"/>
            <w:i/>
            <w:color w:val="auto"/>
            <w:sz w:val="22"/>
            <w:szCs w:val="22"/>
            <w:u w:val="none"/>
          </w:rPr>
          <w:t>Proposed</w:t>
        </w:r>
        <w:proofErr w:type="gramEnd"/>
        <w:r w:rsidRPr="00843102">
          <w:rPr>
            <w:rStyle w:val="Hyperlink"/>
            <w:rFonts w:ascii="Arial" w:hAnsi="Arial" w:cs="Arial"/>
            <w:i/>
            <w:color w:val="auto"/>
            <w:sz w:val="22"/>
            <w:szCs w:val="22"/>
            <w:u w:val="none"/>
          </w:rPr>
          <w:t xml:space="preserve"> updates to the spectrum licence framework</w:t>
        </w:r>
      </w:hyperlink>
      <w:r w:rsidRPr="00843102">
        <w:rPr>
          <w:rFonts w:ascii="Arial" w:hAnsi="Arial" w:cs="Arial"/>
          <w:i/>
          <w:sz w:val="22"/>
          <w:szCs w:val="22"/>
        </w:rPr>
        <w:t xml:space="preserve">. </w:t>
      </w:r>
      <w:r w:rsidRPr="00843102">
        <w:rPr>
          <w:rFonts w:ascii="Arial" w:hAnsi="Arial" w:cs="Arial"/>
          <w:sz w:val="22"/>
          <w:szCs w:val="22"/>
        </w:rPr>
        <w:t xml:space="preserve">This </w:t>
      </w:r>
      <w:r w:rsidR="00811E1B" w:rsidRPr="00843102">
        <w:rPr>
          <w:rFonts w:ascii="Arial" w:hAnsi="Arial" w:cs="Arial"/>
          <w:sz w:val="22"/>
          <w:szCs w:val="22"/>
        </w:rPr>
        <w:t>paper</w:t>
      </w:r>
      <w:r w:rsidRPr="00843102">
        <w:rPr>
          <w:rFonts w:ascii="Arial" w:hAnsi="Arial" w:cs="Arial"/>
          <w:i/>
          <w:sz w:val="22"/>
          <w:szCs w:val="22"/>
        </w:rPr>
        <w:t xml:space="preserve"> </w:t>
      </w:r>
      <w:r w:rsidRPr="00843102">
        <w:rPr>
          <w:rFonts w:ascii="Arial" w:hAnsi="Arial" w:cs="Arial"/>
          <w:sz w:val="22"/>
          <w:szCs w:val="22"/>
        </w:rPr>
        <w:t>was the culmination of a comprehensive series of reviews of various components of the spectrum licensing technical and regulatory frameworks. The reviews were conducted in anticipation of forthcoming major spectrum allocations and processes to re-allocate or re-issue expiring spectrum licences.</w:t>
      </w:r>
      <w:r w:rsidR="007B7F04">
        <w:rPr>
          <w:rFonts w:ascii="Arial" w:hAnsi="Arial" w:cs="Arial"/>
          <w:sz w:val="22"/>
          <w:szCs w:val="22"/>
        </w:rPr>
        <w:t xml:space="preserve"> The paper included a discussion of the proposed changes to the Determination. </w:t>
      </w:r>
    </w:p>
    <w:p w:rsidR="00644B62" w:rsidRPr="00843102" w:rsidRDefault="00644B62" w:rsidP="00644B62">
      <w:pPr>
        <w:spacing w:line="360" w:lineRule="auto"/>
        <w:rPr>
          <w:rFonts w:ascii="Arial" w:hAnsi="Arial" w:cs="Arial"/>
          <w:sz w:val="22"/>
          <w:szCs w:val="22"/>
        </w:rPr>
      </w:pPr>
    </w:p>
    <w:p w:rsidR="00041682" w:rsidRPr="00843102" w:rsidRDefault="00644B62" w:rsidP="00644B62">
      <w:pPr>
        <w:rPr>
          <w:rFonts w:ascii="Arial" w:hAnsi="Arial" w:cs="Arial"/>
          <w:sz w:val="22"/>
          <w:szCs w:val="22"/>
        </w:rPr>
      </w:pPr>
      <w:r w:rsidRPr="00843102">
        <w:rPr>
          <w:rFonts w:ascii="Arial" w:hAnsi="Arial" w:cs="Arial"/>
          <w:sz w:val="22"/>
          <w:szCs w:val="22"/>
        </w:rPr>
        <w:t xml:space="preserve">Stakeholders were generally in </w:t>
      </w:r>
      <w:proofErr w:type="spellStart"/>
      <w:r w:rsidRPr="00843102">
        <w:rPr>
          <w:rFonts w:ascii="Arial" w:hAnsi="Arial" w:cs="Arial"/>
          <w:sz w:val="22"/>
          <w:szCs w:val="22"/>
        </w:rPr>
        <w:t>favour</w:t>
      </w:r>
      <w:proofErr w:type="spellEnd"/>
      <w:r w:rsidRPr="00843102">
        <w:rPr>
          <w:rFonts w:ascii="Arial" w:hAnsi="Arial" w:cs="Arial"/>
          <w:sz w:val="22"/>
          <w:szCs w:val="22"/>
        </w:rPr>
        <w:t xml:space="preserve"> of the </w:t>
      </w:r>
      <w:r w:rsidR="00041682" w:rsidRPr="00843102">
        <w:rPr>
          <w:rFonts w:ascii="Arial" w:hAnsi="Arial" w:cs="Arial"/>
          <w:sz w:val="22"/>
          <w:szCs w:val="22"/>
        </w:rPr>
        <w:t>updates</w:t>
      </w:r>
      <w:r w:rsidRPr="00843102">
        <w:rPr>
          <w:rFonts w:ascii="Arial" w:hAnsi="Arial" w:cs="Arial"/>
          <w:sz w:val="22"/>
          <w:szCs w:val="22"/>
        </w:rPr>
        <w:t xml:space="preserve"> to the </w:t>
      </w:r>
      <w:r w:rsidR="00041682" w:rsidRPr="00843102">
        <w:rPr>
          <w:rFonts w:ascii="Arial" w:hAnsi="Arial" w:cs="Arial"/>
          <w:sz w:val="22"/>
          <w:szCs w:val="22"/>
        </w:rPr>
        <w:t>base amounts of spectrum licence tax</w:t>
      </w:r>
      <w:r w:rsidR="00324D58" w:rsidRPr="00843102">
        <w:rPr>
          <w:rFonts w:ascii="Arial" w:hAnsi="Arial" w:cs="Arial"/>
          <w:sz w:val="22"/>
          <w:szCs w:val="22"/>
        </w:rPr>
        <w:t xml:space="preserve"> proposed in the consultation paper</w:t>
      </w:r>
      <w:r w:rsidR="00041682" w:rsidRPr="00843102">
        <w:rPr>
          <w:rFonts w:ascii="Arial" w:hAnsi="Arial" w:cs="Arial"/>
          <w:sz w:val="22"/>
          <w:szCs w:val="22"/>
        </w:rPr>
        <w:t>. However, they expressed concern about the application of the tax to the different</w:t>
      </w:r>
      <w:r w:rsidR="00324D58" w:rsidRPr="00843102">
        <w:rPr>
          <w:rFonts w:ascii="Arial" w:hAnsi="Arial" w:cs="Arial"/>
          <w:sz w:val="22"/>
          <w:szCs w:val="22"/>
        </w:rPr>
        <w:t xml:space="preserve"> bands. </w:t>
      </w:r>
      <w:r w:rsidR="000917D5">
        <w:rPr>
          <w:rFonts w:ascii="Arial" w:hAnsi="Arial" w:cs="Arial"/>
          <w:sz w:val="22"/>
          <w:szCs w:val="22"/>
        </w:rPr>
        <w:t xml:space="preserve">Queries were raised about </w:t>
      </w:r>
      <w:r w:rsidR="00041682" w:rsidRPr="00843102">
        <w:rPr>
          <w:rFonts w:ascii="Arial" w:hAnsi="Arial" w:cs="Arial"/>
          <w:sz w:val="22"/>
          <w:szCs w:val="22"/>
        </w:rPr>
        <w:t>the</w:t>
      </w:r>
      <w:r w:rsidR="00324D58" w:rsidRPr="00843102">
        <w:rPr>
          <w:rFonts w:ascii="Arial" w:hAnsi="Arial" w:cs="Arial"/>
          <w:sz w:val="22"/>
          <w:szCs w:val="22"/>
        </w:rPr>
        <w:t xml:space="preserve"> ACMA’s</w:t>
      </w:r>
      <w:r w:rsidR="00041682" w:rsidRPr="00843102">
        <w:rPr>
          <w:rFonts w:ascii="Arial" w:hAnsi="Arial" w:cs="Arial"/>
          <w:sz w:val="22"/>
          <w:szCs w:val="22"/>
        </w:rPr>
        <w:t xml:space="preserve"> policy of not applying</w:t>
      </w:r>
      <w:r w:rsidR="00324D58" w:rsidRPr="00843102">
        <w:rPr>
          <w:rFonts w:ascii="Arial" w:hAnsi="Arial" w:cs="Arial"/>
          <w:sz w:val="22"/>
          <w:szCs w:val="22"/>
        </w:rPr>
        <w:t xml:space="preserve"> the tax to licences in the 2.3 GHz band until existing licences are re-issued or re-allocated, not imposing tax in the 20GHz and 30GHz bands and the </w:t>
      </w:r>
      <w:r w:rsidR="00FD58D7">
        <w:rPr>
          <w:rFonts w:ascii="Arial" w:hAnsi="Arial" w:cs="Arial"/>
          <w:sz w:val="22"/>
          <w:szCs w:val="22"/>
        </w:rPr>
        <w:t xml:space="preserve">large </w:t>
      </w:r>
      <w:r w:rsidR="00324D58" w:rsidRPr="00843102">
        <w:rPr>
          <w:rFonts w:ascii="Arial" w:hAnsi="Arial" w:cs="Arial"/>
          <w:sz w:val="22"/>
          <w:szCs w:val="22"/>
        </w:rPr>
        <w:t xml:space="preserve">increase in the 28 GHz band.  There was also a request for further information about </w:t>
      </w:r>
      <w:r w:rsidR="00041682" w:rsidRPr="00843102">
        <w:rPr>
          <w:rFonts w:ascii="Arial" w:hAnsi="Arial" w:cs="Arial"/>
          <w:sz w:val="22"/>
          <w:szCs w:val="22"/>
        </w:rPr>
        <w:t xml:space="preserve">the </w:t>
      </w:r>
      <w:r w:rsidR="00324D58" w:rsidRPr="00843102">
        <w:rPr>
          <w:rFonts w:ascii="Arial" w:hAnsi="Arial" w:cs="Arial"/>
          <w:sz w:val="22"/>
          <w:szCs w:val="22"/>
        </w:rPr>
        <w:t xml:space="preserve">methodology for the </w:t>
      </w:r>
      <w:r w:rsidR="00041682" w:rsidRPr="00843102">
        <w:rPr>
          <w:rFonts w:ascii="Arial" w:hAnsi="Arial" w:cs="Arial"/>
          <w:sz w:val="22"/>
          <w:szCs w:val="22"/>
        </w:rPr>
        <w:t>calculation of the spectrum maintenance component and the Australia-wide apparatus licence charge.</w:t>
      </w:r>
    </w:p>
    <w:p w:rsidR="00041682" w:rsidRPr="00843102" w:rsidRDefault="00041682" w:rsidP="00644B62">
      <w:pPr>
        <w:rPr>
          <w:rFonts w:ascii="Arial" w:hAnsi="Arial" w:cs="Arial"/>
          <w:sz w:val="22"/>
          <w:szCs w:val="22"/>
        </w:rPr>
      </w:pPr>
    </w:p>
    <w:p w:rsidR="00644B62" w:rsidRPr="00843102" w:rsidRDefault="00644B62" w:rsidP="00644B62">
      <w:pPr>
        <w:rPr>
          <w:rFonts w:ascii="Arial" w:hAnsi="Arial" w:cs="Arial"/>
          <w:sz w:val="22"/>
          <w:szCs w:val="22"/>
          <w:lang w:val="en-AU"/>
        </w:rPr>
      </w:pPr>
      <w:r w:rsidRPr="00843102">
        <w:rPr>
          <w:rFonts w:ascii="Arial" w:hAnsi="Arial" w:cs="Arial"/>
          <w:sz w:val="22"/>
          <w:szCs w:val="22"/>
          <w:lang w:val="en-AU"/>
        </w:rPr>
        <w:t xml:space="preserve">All written submissions from this consultation process are available on the ACMA’s website at </w:t>
      </w:r>
      <w:hyperlink r:id="rId13" w:history="1">
        <w:r w:rsidRPr="00843102">
          <w:rPr>
            <w:rStyle w:val="Hyperlink"/>
            <w:rFonts w:ascii="Arial" w:hAnsi="Arial" w:cs="Arial"/>
            <w:sz w:val="22"/>
            <w:szCs w:val="22"/>
            <w:lang w:val="en-AU"/>
          </w:rPr>
          <w:t>www.acma.gov.au</w:t>
        </w:r>
      </w:hyperlink>
      <w:r w:rsidRPr="00843102">
        <w:rPr>
          <w:rFonts w:ascii="Arial" w:hAnsi="Arial" w:cs="Arial"/>
          <w:sz w:val="22"/>
          <w:szCs w:val="22"/>
          <w:lang w:val="en-AU"/>
        </w:rPr>
        <w:t>.</w:t>
      </w:r>
    </w:p>
    <w:p w:rsidR="00644B62" w:rsidRPr="00843102" w:rsidRDefault="00644B62" w:rsidP="00644B62">
      <w:pPr>
        <w:rPr>
          <w:rFonts w:ascii="Arial" w:hAnsi="Arial" w:cs="Arial"/>
          <w:sz w:val="22"/>
          <w:szCs w:val="22"/>
          <w:lang w:val="en-AU"/>
        </w:rPr>
      </w:pPr>
    </w:p>
    <w:p w:rsidR="00644B62" w:rsidRPr="00843102" w:rsidRDefault="00644B62" w:rsidP="00644B62">
      <w:pPr>
        <w:rPr>
          <w:rFonts w:ascii="Arial" w:hAnsi="Arial" w:cs="Arial"/>
          <w:sz w:val="22"/>
          <w:szCs w:val="22"/>
          <w:lang w:val="en-AU"/>
        </w:rPr>
      </w:pPr>
      <w:r w:rsidRPr="00843102">
        <w:rPr>
          <w:rFonts w:ascii="Arial" w:hAnsi="Arial" w:cs="Arial"/>
          <w:sz w:val="22"/>
          <w:szCs w:val="22"/>
          <w:lang w:val="en-AU"/>
        </w:rPr>
        <w:t xml:space="preserve">The ACMA had regard to </w:t>
      </w:r>
      <w:r w:rsidR="007B7F04">
        <w:rPr>
          <w:rFonts w:ascii="Arial" w:hAnsi="Arial" w:cs="Arial"/>
          <w:sz w:val="22"/>
          <w:szCs w:val="22"/>
          <w:lang w:val="en-AU"/>
        </w:rPr>
        <w:t xml:space="preserve">all of </w:t>
      </w:r>
      <w:r w:rsidRPr="00843102">
        <w:rPr>
          <w:rFonts w:ascii="Arial" w:hAnsi="Arial" w:cs="Arial"/>
          <w:sz w:val="22"/>
          <w:szCs w:val="22"/>
          <w:lang w:val="en-AU"/>
        </w:rPr>
        <w:t xml:space="preserve">the comments made in these submissions when </w:t>
      </w:r>
      <w:r w:rsidR="00214906" w:rsidRPr="00843102">
        <w:rPr>
          <w:rFonts w:ascii="Arial" w:hAnsi="Arial" w:cs="Arial"/>
          <w:sz w:val="22"/>
          <w:szCs w:val="22"/>
          <w:lang w:val="en-AU"/>
        </w:rPr>
        <w:t xml:space="preserve">finalising </w:t>
      </w:r>
      <w:r w:rsidRPr="00843102">
        <w:rPr>
          <w:rFonts w:ascii="Arial" w:hAnsi="Arial" w:cs="Arial"/>
          <w:sz w:val="22"/>
          <w:szCs w:val="22"/>
          <w:lang w:val="en-AU"/>
        </w:rPr>
        <w:t xml:space="preserve">the </w:t>
      </w:r>
      <w:r w:rsidR="00843102">
        <w:rPr>
          <w:rFonts w:ascii="Arial" w:hAnsi="Arial" w:cs="Arial"/>
          <w:sz w:val="22"/>
          <w:szCs w:val="22"/>
          <w:lang w:val="en-AU"/>
        </w:rPr>
        <w:t>Amendment Determination</w:t>
      </w:r>
      <w:r w:rsidRPr="00843102">
        <w:rPr>
          <w:rFonts w:ascii="Arial" w:hAnsi="Arial" w:cs="Arial"/>
          <w:sz w:val="22"/>
          <w:szCs w:val="22"/>
          <w:lang w:val="en-AU"/>
        </w:rPr>
        <w:t xml:space="preserve">. </w:t>
      </w:r>
      <w:r w:rsidR="00513D88">
        <w:rPr>
          <w:rFonts w:ascii="Arial" w:hAnsi="Arial" w:cs="Arial"/>
          <w:sz w:val="22"/>
          <w:szCs w:val="22"/>
          <w:lang w:val="en-AU"/>
        </w:rPr>
        <w:t xml:space="preserve">As a result of comments received, </w:t>
      </w:r>
      <w:r w:rsidR="00513D88">
        <w:rPr>
          <w:rFonts w:ascii="Arial" w:hAnsi="Arial" w:cs="Arial"/>
          <w:sz w:val="22"/>
          <w:szCs w:val="22"/>
        </w:rPr>
        <w:t>the</w:t>
      </w:r>
      <w:r w:rsidR="00513D88" w:rsidRPr="00843102">
        <w:rPr>
          <w:rFonts w:ascii="Arial" w:hAnsi="Arial" w:cs="Arial"/>
          <w:sz w:val="22"/>
          <w:szCs w:val="22"/>
        </w:rPr>
        <w:t xml:space="preserve"> </w:t>
      </w:r>
      <w:r w:rsidR="00214906" w:rsidRPr="00843102">
        <w:rPr>
          <w:rFonts w:ascii="Arial" w:hAnsi="Arial" w:cs="Arial"/>
          <w:sz w:val="22"/>
          <w:szCs w:val="22"/>
        </w:rPr>
        <w:t xml:space="preserve">ACMA has provided additional </w:t>
      </w:r>
      <w:r w:rsidR="00DF76F4" w:rsidRPr="00843102">
        <w:rPr>
          <w:rFonts w:ascii="Arial" w:hAnsi="Arial" w:cs="Arial"/>
          <w:sz w:val="22"/>
          <w:szCs w:val="22"/>
        </w:rPr>
        <w:t xml:space="preserve">information in </w:t>
      </w:r>
      <w:r w:rsidR="000917D5">
        <w:rPr>
          <w:rFonts w:ascii="Arial" w:hAnsi="Arial" w:cs="Arial"/>
          <w:sz w:val="22"/>
          <w:szCs w:val="22"/>
        </w:rPr>
        <w:t>its</w:t>
      </w:r>
      <w:r w:rsidR="00DF76F4" w:rsidRPr="00843102">
        <w:rPr>
          <w:rFonts w:ascii="Arial" w:hAnsi="Arial" w:cs="Arial"/>
          <w:sz w:val="22"/>
          <w:szCs w:val="22"/>
        </w:rPr>
        <w:t xml:space="preserve"> response paper</w:t>
      </w:r>
      <w:r w:rsidR="000917D5">
        <w:rPr>
          <w:rFonts w:ascii="Arial" w:hAnsi="Arial" w:cs="Arial"/>
          <w:sz w:val="22"/>
          <w:szCs w:val="22"/>
        </w:rPr>
        <w:t xml:space="preserve"> to the submissions</w:t>
      </w:r>
      <w:r w:rsidR="00DF76F4" w:rsidRPr="00843102">
        <w:rPr>
          <w:rFonts w:ascii="Arial" w:hAnsi="Arial" w:cs="Arial"/>
          <w:sz w:val="22"/>
          <w:szCs w:val="22"/>
        </w:rPr>
        <w:t xml:space="preserve"> </w:t>
      </w:r>
      <w:r w:rsidR="000917D5">
        <w:rPr>
          <w:rFonts w:ascii="Arial" w:hAnsi="Arial" w:cs="Arial"/>
          <w:sz w:val="22"/>
          <w:szCs w:val="22"/>
        </w:rPr>
        <w:t xml:space="preserve">(available on the ACMA website) </w:t>
      </w:r>
      <w:r w:rsidR="00DF76F4" w:rsidRPr="00843102">
        <w:rPr>
          <w:rFonts w:ascii="Arial" w:hAnsi="Arial" w:cs="Arial"/>
          <w:sz w:val="22"/>
          <w:szCs w:val="22"/>
        </w:rPr>
        <w:t>about h</w:t>
      </w:r>
      <w:r w:rsidR="00214906" w:rsidRPr="00843102">
        <w:rPr>
          <w:rFonts w:ascii="Arial" w:hAnsi="Arial" w:cs="Arial"/>
          <w:sz w:val="22"/>
          <w:szCs w:val="22"/>
        </w:rPr>
        <w:t>ow the provisions operate</w:t>
      </w:r>
      <w:r w:rsidR="000917D5">
        <w:rPr>
          <w:rFonts w:ascii="Arial" w:hAnsi="Arial" w:cs="Arial"/>
          <w:sz w:val="22"/>
          <w:szCs w:val="22"/>
        </w:rPr>
        <w:t xml:space="preserve"> and about </w:t>
      </w:r>
      <w:r w:rsidR="00041682" w:rsidRPr="00843102">
        <w:rPr>
          <w:rFonts w:ascii="Arial" w:hAnsi="Arial" w:cs="Arial"/>
          <w:sz w:val="22"/>
          <w:szCs w:val="22"/>
        </w:rPr>
        <w:t>the calculation</w:t>
      </w:r>
      <w:r w:rsidR="00DF76F4" w:rsidRPr="00843102">
        <w:rPr>
          <w:rFonts w:ascii="Arial" w:hAnsi="Arial" w:cs="Arial"/>
          <w:sz w:val="22"/>
          <w:szCs w:val="22"/>
        </w:rPr>
        <w:t xml:space="preserve"> </w:t>
      </w:r>
      <w:r w:rsidR="00041682" w:rsidRPr="00843102">
        <w:rPr>
          <w:rFonts w:ascii="Arial" w:hAnsi="Arial" w:cs="Arial"/>
          <w:sz w:val="22"/>
          <w:szCs w:val="22"/>
        </w:rPr>
        <w:t>of</w:t>
      </w:r>
      <w:r w:rsidR="00DF76F4" w:rsidRPr="00843102">
        <w:rPr>
          <w:rFonts w:ascii="Arial" w:hAnsi="Arial" w:cs="Arial"/>
          <w:sz w:val="22"/>
          <w:szCs w:val="22"/>
        </w:rPr>
        <w:t xml:space="preserve"> the spectrum maintenance component</w:t>
      </w:r>
      <w:r w:rsidR="000917D5">
        <w:rPr>
          <w:rFonts w:ascii="Arial" w:hAnsi="Arial" w:cs="Arial"/>
          <w:sz w:val="22"/>
          <w:szCs w:val="22"/>
        </w:rPr>
        <w:t xml:space="preserve"> </w:t>
      </w:r>
      <w:r w:rsidR="00DF76F4" w:rsidRPr="00843102">
        <w:rPr>
          <w:rFonts w:ascii="Arial" w:hAnsi="Arial" w:cs="Arial"/>
          <w:sz w:val="22"/>
          <w:szCs w:val="22"/>
        </w:rPr>
        <w:t>and the value of apparatus licence charges</w:t>
      </w:r>
      <w:r w:rsidR="00214906" w:rsidRPr="00843102">
        <w:rPr>
          <w:rFonts w:ascii="Arial" w:hAnsi="Arial" w:cs="Arial"/>
          <w:sz w:val="22"/>
          <w:szCs w:val="22"/>
        </w:rPr>
        <w:t xml:space="preserve">. </w:t>
      </w:r>
      <w:r w:rsidR="00843102">
        <w:rPr>
          <w:rFonts w:ascii="Arial" w:hAnsi="Arial" w:cs="Arial"/>
          <w:sz w:val="22"/>
          <w:szCs w:val="22"/>
        </w:rPr>
        <w:t xml:space="preserve"> The ACMA also provide</w:t>
      </w:r>
      <w:r w:rsidR="00055AE3">
        <w:rPr>
          <w:rFonts w:ascii="Arial" w:hAnsi="Arial" w:cs="Arial"/>
          <w:sz w:val="22"/>
          <w:szCs w:val="22"/>
        </w:rPr>
        <w:t>d</w:t>
      </w:r>
      <w:r w:rsidR="00843102">
        <w:rPr>
          <w:rFonts w:ascii="Arial" w:hAnsi="Arial" w:cs="Arial"/>
          <w:sz w:val="22"/>
          <w:szCs w:val="22"/>
        </w:rPr>
        <w:t xml:space="preserve"> further information about its policy </w:t>
      </w:r>
      <w:r w:rsidR="00843102" w:rsidRPr="00843102">
        <w:rPr>
          <w:rFonts w:ascii="Arial" w:hAnsi="Arial" w:cs="Arial"/>
          <w:sz w:val="22"/>
          <w:szCs w:val="22"/>
        </w:rPr>
        <w:t>regarding the application of spectrum licence tax to the 2.3 GHz</w:t>
      </w:r>
      <w:r w:rsidR="00055AE3">
        <w:rPr>
          <w:rFonts w:ascii="Arial" w:hAnsi="Arial" w:cs="Arial"/>
          <w:sz w:val="22"/>
          <w:szCs w:val="22"/>
        </w:rPr>
        <w:t xml:space="preserve">, 20 GHz </w:t>
      </w:r>
      <w:r w:rsidR="00843102" w:rsidRPr="00843102">
        <w:rPr>
          <w:rFonts w:ascii="Arial" w:hAnsi="Arial" w:cs="Arial"/>
          <w:sz w:val="22"/>
          <w:szCs w:val="22"/>
        </w:rPr>
        <w:t xml:space="preserve">and 30 GHz bands </w:t>
      </w:r>
      <w:r w:rsidR="00843102">
        <w:rPr>
          <w:rFonts w:ascii="Arial" w:hAnsi="Arial" w:cs="Arial"/>
          <w:sz w:val="22"/>
          <w:szCs w:val="22"/>
        </w:rPr>
        <w:t>in the response paper</w:t>
      </w:r>
      <w:r w:rsidR="00843102" w:rsidRPr="00843102">
        <w:rPr>
          <w:rFonts w:ascii="Arial" w:hAnsi="Arial" w:cs="Arial"/>
          <w:sz w:val="22"/>
          <w:szCs w:val="22"/>
        </w:rPr>
        <w:t xml:space="preserve">. </w:t>
      </w:r>
      <w:r w:rsidR="00214906" w:rsidRPr="00843102">
        <w:rPr>
          <w:rFonts w:ascii="Arial" w:hAnsi="Arial" w:cs="Arial"/>
          <w:sz w:val="22"/>
          <w:szCs w:val="22"/>
        </w:rPr>
        <w:t xml:space="preserve"> </w:t>
      </w:r>
      <w:r w:rsidR="00DF76F4" w:rsidRPr="00843102">
        <w:rPr>
          <w:rFonts w:ascii="Arial" w:hAnsi="Arial" w:cs="Arial"/>
          <w:sz w:val="22"/>
          <w:szCs w:val="22"/>
        </w:rPr>
        <w:t xml:space="preserve">In addition, the ACMA </w:t>
      </w:r>
      <w:r w:rsidR="00041682" w:rsidRPr="00843102">
        <w:rPr>
          <w:rFonts w:ascii="Arial" w:hAnsi="Arial" w:cs="Arial"/>
          <w:sz w:val="22"/>
          <w:szCs w:val="22"/>
        </w:rPr>
        <w:t xml:space="preserve">will </w:t>
      </w:r>
      <w:r w:rsidR="00DF76F4" w:rsidRPr="00843102">
        <w:rPr>
          <w:rFonts w:ascii="Arial" w:hAnsi="Arial" w:cs="Arial"/>
          <w:sz w:val="22"/>
          <w:szCs w:val="22"/>
        </w:rPr>
        <w:t>consult further with affected stakeholders in the 28</w:t>
      </w:r>
      <w:r w:rsidR="00FD58D7">
        <w:rPr>
          <w:rFonts w:ascii="Arial" w:hAnsi="Arial" w:cs="Arial"/>
          <w:sz w:val="22"/>
          <w:szCs w:val="22"/>
        </w:rPr>
        <w:t xml:space="preserve"> GHz and 31 GHz bands</w:t>
      </w:r>
      <w:r w:rsidR="00324D58" w:rsidRPr="00843102">
        <w:rPr>
          <w:rFonts w:ascii="Arial" w:hAnsi="Arial" w:cs="Arial"/>
          <w:sz w:val="22"/>
          <w:szCs w:val="22"/>
        </w:rPr>
        <w:t xml:space="preserve"> about </w:t>
      </w:r>
      <w:r w:rsidR="00DF76F4" w:rsidRPr="00843102">
        <w:rPr>
          <w:rFonts w:ascii="Arial" w:hAnsi="Arial" w:cs="Arial"/>
          <w:sz w:val="22"/>
          <w:szCs w:val="22"/>
        </w:rPr>
        <w:t>tax rates and future planning, before any changes are introduced</w:t>
      </w:r>
      <w:r w:rsidR="007B7F04">
        <w:rPr>
          <w:rFonts w:ascii="Arial" w:hAnsi="Arial" w:cs="Arial"/>
          <w:sz w:val="22"/>
          <w:szCs w:val="22"/>
        </w:rPr>
        <w:t xml:space="preserve"> in relation to those bands</w:t>
      </w:r>
      <w:r w:rsidR="00DF76F4" w:rsidRPr="00843102">
        <w:rPr>
          <w:rFonts w:ascii="Arial" w:hAnsi="Arial" w:cs="Arial"/>
          <w:sz w:val="22"/>
          <w:szCs w:val="22"/>
        </w:rPr>
        <w:t>.</w:t>
      </w:r>
    </w:p>
    <w:p w:rsidR="00D841E1" w:rsidRPr="00843102" w:rsidRDefault="00D841E1">
      <w:pPr>
        <w:jc w:val="both"/>
        <w:rPr>
          <w:rFonts w:ascii="Arial" w:hAnsi="Arial" w:cs="Arial"/>
          <w:sz w:val="22"/>
          <w:szCs w:val="22"/>
          <w:lang w:val="en-AU"/>
        </w:rPr>
      </w:pPr>
    </w:p>
    <w:p w:rsidR="006E1A8C" w:rsidRPr="00843102" w:rsidRDefault="006E1A8C">
      <w:pPr>
        <w:jc w:val="both"/>
        <w:rPr>
          <w:rFonts w:ascii="Arial" w:hAnsi="Arial" w:cs="Arial"/>
          <w:sz w:val="22"/>
          <w:szCs w:val="22"/>
          <w:lang w:val="en-AU"/>
        </w:rPr>
      </w:pPr>
    </w:p>
    <w:p w:rsidR="00D841E1" w:rsidRPr="00843102" w:rsidRDefault="0039588A">
      <w:pPr>
        <w:jc w:val="both"/>
        <w:rPr>
          <w:rFonts w:ascii="Arial" w:hAnsi="Arial" w:cs="Arial"/>
          <w:b/>
          <w:sz w:val="22"/>
          <w:szCs w:val="22"/>
          <w:lang w:val="en-AU"/>
        </w:rPr>
      </w:pPr>
      <w:r w:rsidRPr="00843102">
        <w:rPr>
          <w:rFonts w:ascii="Arial" w:hAnsi="Arial" w:cs="Arial"/>
          <w:b/>
          <w:sz w:val="22"/>
          <w:szCs w:val="22"/>
          <w:lang w:val="en-AU"/>
        </w:rPr>
        <w:t>Statement of compatibility with human rights</w:t>
      </w:r>
    </w:p>
    <w:p w:rsidR="00D841E1" w:rsidRPr="00843102" w:rsidRDefault="00D841E1">
      <w:pPr>
        <w:jc w:val="both"/>
        <w:rPr>
          <w:rFonts w:ascii="Arial" w:hAnsi="Arial" w:cs="Arial"/>
          <w:b/>
          <w:sz w:val="22"/>
          <w:szCs w:val="22"/>
          <w:lang w:val="en-AU"/>
        </w:rPr>
      </w:pPr>
    </w:p>
    <w:p w:rsidR="00D841E1" w:rsidRPr="00843102" w:rsidRDefault="0039588A" w:rsidP="00487258">
      <w:pPr>
        <w:jc w:val="both"/>
        <w:rPr>
          <w:rFonts w:ascii="Arial" w:hAnsi="Arial" w:cs="Arial"/>
          <w:sz w:val="22"/>
          <w:szCs w:val="22"/>
          <w:lang w:val="en-AU"/>
        </w:rPr>
      </w:pPr>
      <w:r w:rsidRPr="00843102">
        <w:rPr>
          <w:rFonts w:ascii="Arial" w:hAnsi="Arial" w:cs="Arial"/>
          <w:sz w:val="22"/>
          <w:szCs w:val="22"/>
          <w:lang w:val="en-AU"/>
        </w:rPr>
        <w:t>Subsection 9</w:t>
      </w:r>
      <w:r w:rsidR="007C504D" w:rsidRPr="00843102">
        <w:rPr>
          <w:rFonts w:ascii="Arial" w:hAnsi="Arial" w:cs="Arial"/>
          <w:sz w:val="22"/>
          <w:szCs w:val="22"/>
          <w:lang w:val="en-AU"/>
        </w:rPr>
        <w:t xml:space="preserve"> </w:t>
      </w:r>
      <w:r w:rsidRPr="00843102">
        <w:rPr>
          <w:rFonts w:ascii="Arial" w:hAnsi="Arial" w:cs="Arial"/>
          <w:sz w:val="22"/>
          <w:szCs w:val="22"/>
          <w:lang w:val="en-AU"/>
        </w:rPr>
        <w:t xml:space="preserve">(1) of the </w:t>
      </w:r>
      <w:r w:rsidRPr="00843102">
        <w:rPr>
          <w:rFonts w:ascii="Arial" w:hAnsi="Arial" w:cs="Arial"/>
          <w:i/>
          <w:sz w:val="22"/>
          <w:szCs w:val="22"/>
          <w:lang w:val="en-AU"/>
        </w:rPr>
        <w:t>Human Rights (Parliamentary Scrutiny) Act 2011</w:t>
      </w:r>
      <w:r w:rsidRPr="00843102">
        <w:rPr>
          <w:rFonts w:ascii="Arial" w:hAnsi="Arial" w:cs="Arial"/>
          <w:sz w:val="22"/>
          <w:szCs w:val="22"/>
          <w:lang w:val="en-AU"/>
        </w:rPr>
        <w:t xml:space="preserve"> requires the rule maker in relation to a legislative instrument to which section 42 (disallowance) of the </w:t>
      </w:r>
      <w:r w:rsidRPr="00843102">
        <w:rPr>
          <w:rFonts w:ascii="Arial" w:hAnsi="Arial" w:cs="Arial"/>
          <w:i/>
          <w:sz w:val="22"/>
          <w:szCs w:val="22"/>
          <w:lang w:val="en-AU"/>
        </w:rPr>
        <w:t>Legislative Instruments Act 2003</w:t>
      </w:r>
      <w:r w:rsidRPr="00843102">
        <w:rPr>
          <w:rFonts w:ascii="Arial" w:hAnsi="Arial" w:cs="Arial"/>
          <w:sz w:val="22"/>
          <w:szCs w:val="22"/>
          <w:lang w:val="en-AU"/>
        </w:rPr>
        <w:t xml:space="preserve"> applies, to cause a statement of compatibility to be prepared in respect of that legislative instrument. This statement is in </w:t>
      </w:r>
      <w:r w:rsidR="0050447A" w:rsidRPr="00843102">
        <w:rPr>
          <w:rFonts w:ascii="Arial" w:hAnsi="Arial" w:cs="Arial"/>
          <w:b/>
          <w:sz w:val="22"/>
          <w:szCs w:val="22"/>
          <w:lang w:val="en-AU"/>
        </w:rPr>
        <w:t>Attachment B</w:t>
      </w:r>
      <w:r w:rsidR="0050447A" w:rsidRPr="00843102">
        <w:rPr>
          <w:rFonts w:ascii="Arial" w:hAnsi="Arial" w:cs="Arial"/>
          <w:sz w:val="22"/>
          <w:szCs w:val="22"/>
          <w:lang w:val="en-AU"/>
        </w:rPr>
        <w:t>.</w:t>
      </w:r>
    </w:p>
    <w:p w:rsidR="00D841E1" w:rsidRPr="00843102" w:rsidRDefault="00D841E1">
      <w:pPr>
        <w:jc w:val="both"/>
        <w:rPr>
          <w:rFonts w:ascii="Arial" w:hAnsi="Arial" w:cs="Arial"/>
          <w:sz w:val="22"/>
          <w:szCs w:val="22"/>
          <w:lang w:val="en-AU"/>
        </w:rPr>
      </w:pPr>
    </w:p>
    <w:p w:rsidR="00D841E1" w:rsidRPr="00843102" w:rsidRDefault="0039588A">
      <w:pPr>
        <w:jc w:val="both"/>
        <w:rPr>
          <w:rFonts w:ascii="Arial" w:hAnsi="Arial" w:cs="Arial"/>
          <w:b/>
          <w:sz w:val="22"/>
          <w:szCs w:val="22"/>
          <w:lang w:val="en-AU"/>
        </w:rPr>
      </w:pPr>
      <w:r w:rsidRPr="00843102">
        <w:rPr>
          <w:rFonts w:ascii="Arial" w:hAnsi="Arial" w:cs="Arial"/>
          <w:b/>
          <w:sz w:val="22"/>
          <w:szCs w:val="22"/>
          <w:lang w:val="en-AU"/>
        </w:rPr>
        <w:t xml:space="preserve">Regulatory Impact </w:t>
      </w:r>
    </w:p>
    <w:p w:rsidR="00D841E1" w:rsidRPr="00843102" w:rsidRDefault="00D841E1">
      <w:pPr>
        <w:jc w:val="both"/>
        <w:rPr>
          <w:rFonts w:ascii="Arial" w:hAnsi="Arial" w:cs="Arial"/>
          <w:sz w:val="22"/>
          <w:szCs w:val="22"/>
          <w:lang w:val="en-AU"/>
        </w:rPr>
      </w:pPr>
    </w:p>
    <w:p w:rsidR="00D841E1" w:rsidRPr="00843102" w:rsidRDefault="0039588A">
      <w:pPr>
        <w:jc w:val="both"/>
        <w:rPr>
          <w:rFonts w:ascii="Arial" w:hAnsi="Arial" w:cs="Arial"/>
          <w:sz w:val="22"/>
          <w:szCs w:val="22"/>
          <w:lang w:val="en-AU"/>
        </w:rPr>
      </w:pPr>
      <w:r w:rsidRPr="00843102">
        <w:rPr>
          <w:rFonts w:ascii="Arial" w:hAnsi="Arial" w:cs="Arial"/>
          <w:sz w:val="22"/>
          <w:szCs w:val="22"/>
          <w:lang w:val="en-AU"/>
        </w:rPr>
        <w:t xml:space="preserve">Prior to releasing the draft </w:t>
      </w:r>
      <w:r w:rsidR="007B7F04">
        <w:rPr>
          <w:rFonts w:ascii="Arial" w:hAnsi="Arial" w:cs="Arial"/>
          <w:sz w:val="22"/>
          <w:szCs w:val="22"/>
          <w:lang w:val="en-AU"/>
        </w:rPr>
        <w:t xml:space="preserve">Amendment </w:t>
      </w:r>
      <w:r w:rsidRPr="00843102">
        <w:rPr>
          <w:rFonts w:ascii="Arial" w:hAnsi="Arial" w:cs="Arial"/>
          <w:sz w:val="22"/>
          <w:szCs w:val="22"/>
          <w:lang w:val="en-AU"/>
        </w:rPr>
        <w:t xml:space="preserve">Determination, the ACMA consulted with the Office of Best Practice Regulation (the </w:t>
      </w:r>
      <w:r w:rsidRPr="00843102">
        <w:rPr>
          <w:rFonts w:ascii="Arial" w:hAnsi="Arial" w:cs="Arial"/>
          <w:b/>
          <w:sz w:val="22"/>
          <w:szCs w:val="22"/>
          <w:lang w:val="en-AU"/>
        </w:rPr>
        <w:t>OBPR</w:t>
      </w:r>
      <w:r w:rsidRPr="00843102">
        <w:rPr>
          <w:rFonts w:ascii="Arial" w:hAnsi="Arial" w:cs="Arial"/>
          <w:sz w:val="22"/>
          <w:szCs w:val="22"/>
          <w:lang w:val="en-AU"/>
        </w:rPr>
        <w:t>) on the requirement for a Regulation Impact Statement (</w:t>
      </w:r>
      <w:r w:rsidRPr="00843102">
        <w:rPr>
          <w:rFonts w:ascii="Arial" w:hAnsi="Arial" w:cs="Arial"/>
          <w:b/>
          <w:sz w:val="22"/>
          <w:szCs w:val="22"/>
          <w:lang w:val="en-AU"/>
        </w:rPr>
        <w:t>RIS</w:t>
      </w:r>
      <w:r w:rsidRPr="00843102">
        <w:rPr>
          <w:rFonts w:ascii="Arial" w:hAnsi="Arial" w:cs="Arial"/>
          <w:sz w:val="22"/>
          <w:szCs w:val="22"/>
          <w:lang w:val="en-AU"/>
        </w:rPr>
        <w:t>) for this legislative instrument. The OBPR advised that this Determination did not warrant the preparation of a RIS</w:t>
      </w:r>
      <w:r w:rsidR="00487258" w:rsidRPr="00843102">
        <w:rPr>
          <w:rFonts w:ascii="Arial" w:hAnsi="Arial" w:cs="Arial"/>
          <w:sz w:val="22"/>
          <w:szCs w:val="22"/>
          <w:lang w:val="en-AU"/>
        </w:rPr>
        <w:t xml:space="preserve"> as the amendments are machinery in nature</w:t>
      </w:r>
      <w:r w:rsidR="00A74E52" w:rsidRPr="00843102">
        <w:rPr>
          <w:rFonts w:ascii="Arial" w:hAnsi="Arial" w:cs="Arial"/>
          <w:sz w:val="22"/>
          <w:szCs w:val="22"/>
          <w:lang w:val="en-AU"/>
        </w:rPr>
        <w:t>.</w:t>
      </w:r>
      <w:r w:rsidRPr="00843102">
        <w:rPr>
          <w:rFonts w:ascii="Arial" w:hAnsi="Arial" w:cs="Arial"/>
          <w:sz w:val="22"/>
          <w:szCs w:val="22"/>
          <w:lang w:val="en-AU"/>
        </w:rPr>
        <w:t xml:space="preserve"> </w:t>
      </w:r>
      <w:r w:rsidR="00E1572B" w:rsidRPr="00843102">
        <w:rPr>
          <w:rFonts w:ascii="Arial" w:hAnsi="Arial" w:cs="Arial"/>
          <w:sz w:val="22"/>
          <w:szCs w:val="22"/>
          <w:lang w:val="en-AU"/>
        </w:rPr>
        <w:t xml:space="preserve">[OBPR </w:t>
      </w:r>
      <w:r w:rsidR="003A1707" w:rsidRPr="00843102">
        <w:rPr>
          <w:rFonts w:ascii="Arial" w:hAnsi="Arial" w:cs="Arial"/>
          <w:sz w:val="22"/>
          <w:szCs w:val="22"/>
          <w:lang w:val="en-AU"/>
        </w:rPr>
        <w:t>ID</w:t>
      </w:r>
      <w:r w:rsidR="006D2204" w:rsidRPr="00843102">
        <w:rPr>
          <w:rFonts w:ascii="Arial" w:hAnsi="Arial" w:cs="Arial"/>
          <w:sz w:val="22"/>
          <w:szCs w:val="22"/>
          <w:lang w:val="en-AU"/>
        </w:rPr>
        <w:t xml:space="preserve"> </w:t>
      </w:r>
      <w:r w:rsidR="00487258" w:rsidRPr="00843102">
        <w:rPr>
          <w:rFonts w:ascii="Arial" w:hAnsi="Arial" w:cs="Arial"/>
          <w:sz w:val="22"/>
          <w:szCs w:val="22"/>
          <w:lang w:val="en-AU"/>
        </w:rPr>
        <w:t>2012/13483</w:t>
      </w:r>
      <w:r w:rsidRPr="00843102">
        <w:rPr>
          <w:rFonts w:ascii="Arial" w:hAnsi="Arial" w:cs="Arial"/>
          <w:sz w:val="22"/>
          <w:szCs w:val="22"/>
          <w:lang w:val="en-AU"/>
        </w:rPr>
        <w:t>]</w:t>
      </w:r>
    </w:p>
    <w:p w:rsidR="007C504D" w:rsidRPr="00843102" w:rsidRDefault="007C504D">
      <w:pPr>
        <w:pStyle w:val="ListParagraph"/>
        <w:ind w:left="0"/>
        <w:jc w:val="both"/>
        <w:rPr>
          <w:rFonts w:ascii="Arial" w:hAnsi="Arial" w:cs="Arial"/>
          <w:sz w:val="22"/>
          <w:szCs w:val="22"/>
          <w:lang w:val="en-AU"/>
        </w:rPr>
      </w:pPr>
    </w:p>
    <w:p w:rsidR="007C504D" w:rsidRPr="00843102" w:rsidRDefault="007C504D" w:rsidP="007C504D">
      <w:pPr>
        <w:rPr>
          <w:rFonts w:ascii="Arial" w:hAnsi="Arial" w:cs="Arial"/>
          <w:b/>
          <w:sz w:val="22"/>
          <w:szCs w:val="22"/>
          <w:lang w:val="en-AU"/>
        </w:rPr>
      </w:pPr>
      <w:r w:rsidRPr="00843102">
        <w:rPr>
          <w:rFonts w:ascii="Arial" w:hAnsi="Arial" w:cs="Arial"/>
          <w:b/>
          <w:sz w:val="22"/>
          <w:szCs w:val="22"/>
          <w:lang w:val="en-AU"/>
        </w:rPr>
        <w:t xml:space="preserve">Documents </w:t>
      </w:r>
      <w:r w:rsidR="00055AE3">
        <w:rPr>
          <w:rFonts w:ascii="Arial" w:hAnsi="Arial" w:cs="Arial"/>
          <w:b/>
          <w:sz w:val="22"/>
          <w:szCs w:val="22"/>
          <w:lang w:val="en-AU"/>
        </w:rPr>
        <w:t>i</w:t>
      </w:r>
      <w:r w:rsidRPr="00843102">
        <w:rPr>
          <w:rFonts w:ascii="Arial" w:hAnsi="Arial" w:cs="Arial"/>
          <w:b/>
          <w:sz w:val="22"/>
          <w:szCs w:val="22"/>
          <w:lang w:val="en-AU"/>
        </w:rPr>
        <w:t xml:space="preserve">ncorporated by </w:t>
      </w:r>
      <w:r w:rsidR="00055AE3">
        <w:rPr>
          <w:rFonts w:ascii="Arial" w:hAnsi="Arial" w:cs="Arial"/>
          <w:b/>
          <w:sz w:val="22"/>
          <w:szCs w:val="22"/>
          <w:lang w:val="en-AU"/>
        </w:rPr>
        <w:t>r</w:t>
      </w:r>
      <w:r w:rsidRPr="00843102">
        <w:rPr>
          <w:rFonts w:ascii="Arial" w:hAnsi="Arial" w:cs="Arial"/>
          <w:b/>
          <w:sz w:val="22"/>
          <w:szCs w:val="22"/>
          <w:lang w:val="en-AU"/>
        </w:rPr>
        <w:t>eference</w:t>
      </w:r>
    </w:p>
    <w:p w:rsidR="007C504D" w:rsidRPr="00843102" w:rsidRDefault="007C504D" w:rsidP="007C504D">
      <w:pPr>
        <w:pStyle w:val="ListParagraph"/>
        <w:ind w:left="0"/>
        <w:rPr>
          <w:rFonts w:ascii="Arial" w:hAnsi="Arial" w:cs="Arial"/>
          <w:sz w:val="22"/>
          <w:szCs w:val="22"/>
          <w:lang w:val="en-AU"/>
        </w:rPr>
      </w:pPr>
      <w:r w:rsidRPr="00843102">
        <w:rPr>
          <w:rFonts w:ascii="Arial" w:hAnsi="Arial" w:cs="Arial"/>
          <w:sz w:val="22"/>
          <w:szCs w:val="22"/>
          <w:lang w:val="en-AU"/>
        </w:rPr>
        <w:t>None</w:t>
      </w:r>
    </w:p>
    <w:p w:rsidR="00D841E1" w:rsidRPr="00843102" w:rsidRDefault="00D841E1">
      <w:pPr>
        <w:pStyle w:val="ListParagraph"/>
        <w:ind w:left="0"/>
        <w:jc w:val="both"/>
        <w:rPr>
          <w:rFonts w:ascii="Arial" w:hAnsi="Arial" w:cs="Arial"/>
          <w:sz w:val="22"/>
          <w:szCs w:val="22"/>
          <w:lang w:val="en-AU"/>
        </w:rPr>
      </w:pPr>
    </w:p>
    <w:p w:rsidR="00D841E1" w:rsidRPr="00843102" w:rsidRDefault="00D841E1">
      <w:pPr>
        <w:pStyle w:val="ListParagraph"/>
        <w:jc w:val="both"/>
        <w:rPr>
          <w:rFonts w:ascii="Arial" w:hAnsi="Arial" w:cs="Arial"/>
          <w:sz w:val="22"/>
          <w:szCs w:val="22"/>
          <w:lang w:val="en-AU"/>
        </w:rPr>
      </w:pPr>
    </w:p>
    <w:p w:rsidR="00D841E1" w:rsidRPr="00843102" w:rsidRDefault="0039588A">
      <w:pPr>
        <w:jc w:val="both"/>
        <w:rPr>
          <w:rFonts w:ascii="Arial" w:hAnsi="Arial" w:cs="Arial"/>
          <w:b/>
          <w:sz w:val="22"/>
          <w:szCs w:val="22"/>
          <w:lang w:val="en-AU"/>
        </w:rPr>
      </w:pPr>
      <w:r w:rsidRPr="00843102">
        <w:rPr>
          <w:rFonts w:ascii="Arial" w:hAnsi="Arial" w:cs="Arial"/>
          <w:b/>
          <w:sz w:val="22"/>
          <w:szCs w:val="22"/>
          <w:lang w:val="en-AU"/>
        </w:rPr>
        <w:t xml:space="preserve">Detailed Description of the </w:t>
      </w:r>
      <w:r w:rsidR="00240F21">
        <w:rPr>
          <w:rFonts w:ascii="Arial" w:hAnsi="Arial" w:cs="Arial"/>
          <w:b/>
          <w:sz w:val="22"/>
          <w:szCs w:val="22"/>
          <w:lang w:val="en-AU"/>
        </w:rPr>
        <w:t xml:space="preserve">Amendment </w:t>
      </w:r>
      <w:r w:rsidR="007C504D" w:rsidRPr="00843102">
        <w:rPr>
          <w:rFonts w:ascii="Arial" w:hAnsi="Arial" w:cs="Arial"/>
          <w:b/>
          <w:sz w:val="22"/>
          <w:szCs w:val="22"/>
          <w:lang w:val="en-AU"/>
        </w:rPr>
        <w:t>Determination</w:t>
      </w:r>
    </w:p>
    <w:p w:rsidR="00D841E1" w:rsidRPr="00843102" w:rsidRDefault="0039588A">
      <w:pPr>
        <w:jc w:val="both"/>
        <w:rPr>
          <w:rFonts w:ascii="Arial" w:hAnsi="Arial" w:cs="Arial"/>
          <w:sz w:val="22"/>
          <w:szCs w:val="22"/>
          <w:lang w:val="en-AU"/>
        </w:rPr>
      </w:pPr>
      <w:r w:rsidRPr="00843102">
        <w:rPr>
          <w:rFonts w:ascii="Arial" w:hAnsi="Arial" w:cs="Arial"/>
          <w:sz w:val="22"/>
          <w:szCs w:val="22"/>
          <w:lang w:val="en-AU"/>
        </w:rPr>
        <w:t xml:space="preserve">Details of the </w:t>
      </w:r>
      <w:r w:rsidR="00240F21">
        <w:rPr>
          <w:rFonts w:ascii="Arial" w:hAnsi="Arial" w:cs="Arial"/>
          <w:sz w:val="22"/>
          <w:szCs w:val="22"/>
          <w:lang w:val="en-AU"/>
        </w:rPr>
        <w:t xml:space="preserve">Amendment Determination </w:t>
      </w:r>
      <w:r w:rsidRPr="00843102">
        <w:rPr>
          <w:rFonts w:ascii="Arial" w:hAnsi="Arial" w:cs="Arial"/>
          <w:sz w:val="22"/>
          <w:szCs w:val="22"/>
          <w:lang w:val="en-AU"/>
        </w:rPr>
        <w:t xml:space="preserve">are set out in </w:t>
      </w:r>
      <w:r w:rsidRPr="00843102">
        <w:rPr>
          <w:rFonts w:ascii="Arial" w:hAnsi="Arial" w:cs="Arial"/>
          <w:b/>
          <w:sz w:val="22"/>
          <w:szCs w:val="22"/>
          <w:lang w:val="en-AU"/>
        </w:rPr>
        <w:t>Attachment A</w:t>
      </w:r>
      <w:r w:rsidRPr="00843102">
        <w:rPr>
          <w:rFonts w:ascii="Arial" w:hAnsi="Arial" w:cs="Arial"/>
          <w:sz w:val="22"/>
          <w:szCs w:val="22"/>
          <w:lang w:val="en-AU"/>
        </w:rPr>
        <w:t>.</w:t>
      </w:r>
    </w:p>
    <w:p w:rsidR="0039588A" w:rsidRPr="00843102" w:rsidRDefault="0039588A" w:rsidP="0039588A">
      <w:pPr>
        <w:spacing w:line="360" w:lineRule="auto"/>
        <w:ind w:left="6804"/>
        <w:rPr>
          <w:rFonts w:ascii="Arial" w:hAnsi="Arial" w:cs="Arial"/>
          <w:sz w:val="22"/>
          <w:szCs w:val="22"/>
          <w:lang w:val="en-AU"/>
        </w:rPr>
      </w:pPr>
    </w:p>
    <w:p w:rsidR="0039588A" w:rsidRPr="00843102" w:rsidRDefault="0039588A" w:rsidP="0039588A">
      <w:pPr>
        <w:spacing w:line="360" w:lineRule="auto"/>
        <w:ind w:left="6804"/>
        <w:rPr>
          <w:rFonts w:ascii="Arial" w:hAnsi="Arial" w:cs="Arial"/>
          <w:b/>
          <w:sz w:val="22"/>
          <w:szCs w:val="22"/>
          <w:lang w:val="en-AU"/>
        </w:rPr>
      </w:pPr>
      <w:r w:rsidRPr="00843102">
        <w:rPr>
          <w:rFonts w:ascii="Arial" w:hAnsi="Arial" w:cs="Arial"/>
          <w:sz w:val="22"/>
          <w:szCs w:val="22"/>
          <w:lang w:val="en-AU"/>
        </w:rPr>
        <w:br w:type="page"/>
      </w:r>
      <w:r w:rsidRPr="00843102">
        <w:rPr>
          <w:rFonts w:ascii="Arial" w:hAnsi="Arial" w:cs="Arial"/>
          <w:sz w:val="22"/>
          <w:szCs w:val="22"/>
          <w:lang w:val="en-AU"/>
        </w:rPr>
        <w:br/>
      </w:r>
      <w:r w:rsidRPr="00843102">
        <w:rPr>
          <w:rFonts w:ascii="Arial" w:hAnsi="Arial" w:cs="Arial"/>
          <w:b/>
          <w:sz w:val="22"/>
          <w:szCs w:val="22"/>
          <w:lang w:val="en-AU"/>
        </w:rPr>
        <w:t>ATTACHMENT A</w:t>
      </w:r>
    </w:p>
    <w:p w:rsidR="0039588A" w:rsidRPr="00843102" w:rsidRDefault="0039588A" w:rsidP="0039588A">
      <w:pPr>
        <w:spacing w:line="360" w:lineRule="auto"/>
        <w:rPr>
          <w:rFonts w:ascii="Arial" w:hAnsi="Arial" w:cs="Arial"/>
          <w:b/>
          <w:sz w:val="22"/>
          <w:szCs w:val="22"/>
          <w:lang w:val="en-AU"/>
        </w:rPr>
      </w:pPr>
    </w:p>
    <w:p w:rsidR="0039588A" w:rsidRPr="00843102" w:rsidRDefault="0039588A" w:rsidP="0039588A">
      <w:pPr>
        <w:spacing w:line="360" w:lineRule="auto"/>
        <w:rPr>
          <w:rFonts w:ascii="Arial" w:hAnsi="Arial" w:cs="Arial"/>
          <w:b/>
          <w:sz w:val="22"/>
          <w:szCs w:val="22"/>
          <w:lang w:val="en-AU"/>
        </w:rPr>
      </w:pPr>
    </w:p>
    <w:p w:rsidR="0039588A" w:rsidRPr="00843102" w:rsidRDefault="0039588A" w:rsidP="0039588A">
      <w:pPr>
        <w:spacing w:line="360" w:lineRule="auto"/>
        <w:jc w:val="center"/>
        <w:rPr>
          <w:rFonts w:ascii="Arial" w:hAnsi="Arial" w:cs="Arial"/>
          <w:i/>
          <w:sz w:val="22"/>
          <w:szCs w:val="22"/>
          <w:lang w:val="en-AU"/>
        </w:rPr>
      </w:pPr>
      <w:r w:rsidRPr="00843102">
        <w:rPr>
          <w:rFonts w:ascii="Arial" w:hAnsi="Arial" w:cs="Arial"/>
          <w:b/>
          <w:sz w:val="22"/>
          <w:szCs w:val="22"/>
          <w:lang w:val="en-AU"/>
        </w:rPr>
        <w:t>DETAILS OF THE</w:t>
      </w:r>
      <w:r w:rsidR="00A74E52" w:rsidRPr="00843102">
        <w:rPr>
          <w:rFonts w:ascii="Arial" w:hAnsi="Arial" w:cs="Arial"/>
          <w:b/>
          <w:sz w:val="22"/>
          <w:szCs w:val="22"/>
          <w:lang w:val="en-AU"/>
        </w:rPr>
        <w:t xml:space="preserve"> RADIOCOMMUNICATIONS</w:t>
      </w:r>
      <w:r w:rsidR="00E42DC1" w:rsidRPr="00843102">
        <w:rPr>
          <w:rFonts w:ascii="Arial" w:hAnsi="Arial" w:cs="Arial"/>
          <w:b/>
          <w:sz w:val="22"/>
          <w:szCs w:val="22"/>
          <w:lang w:val="en-AU"/>
        </w:rPr>
        <w:t xml:space="preserve"> </w:t>
      </w:r>
      <w:r w:rsidR="00EC19FB" w:rsidRPr="00843102">
        <w:rPr>
          <w:rFonts w:ascii="Arial" w:hAnsi="Arial" w:cs="Arial"/>
          <w:b/>
          <w:sz w:val="22"/>
          <w:szCs w:val="22"/>
          <w:lang w:val="en-AU"/>
        </w:rPr>
        <w:t>(</w:t>
      </w:r>
      <w:r w:rsidR="00C95CE6" w:rsidRPr="00843102">
        <w:rPr>
          <w:rFonts w:ascii="Arial" w:hAnsi="Arial" w:cs="Arial"/>
          <w:b/>
          <w:sz w:val="22"/>
          <w:szCs w:val="22"/>
          <w:lang w:val="en-AU"/>
        </w:rPr>
        <w:t>SPECTRUM LICENCE TAX</w:t>
      </w:r>
      <w:r w:rsidR="00E42DC1" w:rsidRPr="00843102">
        <w:rPr>
          <w:rFonts w:ascii="Arial" w:hAnsi="Arial" w:cs="Arial"/>
          <w:b/>
          <w:sz w:val="22"/>
          <w:szCs w:val="22"/>
          <w:lang w:val="en-AU"/>
        </w:rPr>
        <w:t xml:space="preserve">) </w:t>
      </w:r>
      <w:r w:rsidR="00C95CE6" w:rsidRPr="00843102">
        <w:rPr>
          <w:rFonts w:ascii="Arial" w:hAnsi="Arial" w:cs="Arial"/>
          <w:b/>
          <w:sz w:val="22"/>
          <w:szCs w:val="22"/>
          <w:lang w:val="en-AU"/>
        </w:rPr>
        <w:t xml:space="preserve">AMENDMENT </w:t>
      </w:r>
      <w:r w:rsidRPr="00843102">
        <w:rPr>
          <w:rFonts w:ascii="Arial" w:hAnsi="Arial" w:cs="Arial"/>
          <w:b/>
          <w:sz w:val="22"/>
          <w:szCs w:val="22"/>
          <w:lang w:val="en-AU"/>
        </w:rPr>
        <w:t xml:space="preserve">DETERMINATION 2012 </w:t>
      </w:r>
      <w:r w:rsidR="00C95CE6" w:rsidRPr="00843102">
        <w:rPr>
          <w:rFonts w:ascii="Arial" w:hAnsi="Arial" w:cs="Arial"/>
          <w:b/>
          <w:sz w:val="22"/>
          <w:szCs w:val="22"/>
          <w:lang w:val="en-AU"/>
        </w:rPr>
        <w:t>(NO.1)</w:t>
      </w:r>
    </w:p>
    <w:p w:rsidR="00D841E1" w:rsidRPr="00843102" w:rsidRDefault="00D841E1">
      <w:pPr>
        <w:rPr>
          <w:rFonts w:ascii="Arial" w:hAnsi="Arial" w:cs="Arial"/>
          <w:b/>
          <w:sz w:val="22"/>
          <w:szCs w:val="22"/>
          <w:lang w:val="en-AU"/>
        </w:rPr>
      </w:pPr>
    </w:p>
    <w:p w:rsidR="00D841E1" w:rsidRPr="00843102" w:rsidRDefault="00D841E1">
      <w:pPr>
        <w:rPr>
          <w:rFonts w:ascii="Arial" w:hAnsi="Arial" w:cs="Arial"/>
          <w:b/>
          <w:sz w:val="22"/>
          <w:szCs w:val="22"/>
          <w:lang w:val="en-AU"/>
        </w:rPr>
      </w:pPr>
    </w:p>
    <w:p w:rsidR="00811E1B" w:rsidRPr="00843102" w:rsidRDefault="0039588A" w:rsidP="00811E1B">
      <w:pPr>
        <w:spacing w:after="120"/>
        <w:rPr>
          <w:rFonts w:ascii="Arial" w:hAnsi="Arial" w:cs="Arial"/>
          <w:b/>
          <w:sz w:val="22"/>
          <w:szCs w:val="22"/>
          <w:lang w:val="en-AU"/>
        </w:rPr>
      </w:pPr>
      <w:r w:rsidRPr="00843102">
        <w:rPr>
          <w:rFonts w:ascii="Arial" w:hAnsi="Arial" w:cs="Arial"/>
          <w:b/>
          <w:sz w:val="22"/>
          <w:szCs w:val="22"/>
          <w:lang w:val="en-AU"/>
        </w:rPr>
        <w:t xml:space="preserve">Section 1 – </w:t>
      </w:r>
      <w:r w:rsidR="00C95CE6" w:rsidRPr="00843102">
        <w:rPr>
          <w:rFonts w:ascii="Arial" w:hAnsi="Arial" w:cs="Arial"/>
          <w:b/>
          <w:sz w:val="22"/>
          <w:szCs w:val="22"/>
          <w:lang w:val="en-AU"/>
        </w:rPr>
        <w:t>Name of Determination</w:t>
      </w:r>
    </w:p>
    <w:p w:rsidR="00C95CE6" w:rsidRPr="00240F21" w:rsidRDefault="0039588A" w:rsidP="00C95CE6">
      <w:pPr>
        <w:rPr>
          <w:rFonts w:ascii="Arial" w:hAnsi="Arial" w:cs="Arial"/>
          <w:sz w:val="22"/>
          <w:szCs w:val="22"/>
          <w:lang w:val="en-AU"/>
        </w:rPr>
      </w:pPr>
      <w:r w:rsidRPr="00843102">
        <w:rPr>
          <w:rFonts w:ascii="Arial" w:hAnsi="Arial" w:cs="Arial"/>
          <w:sz w:val="22"/>
          <w:szCs w:val="22"/>
          <w:lang w:val="en-AU"/>
        </w:rPr>
        <w:t xml:space="preserve">This section </w:t>
      </w:r>
      <w:r w:rsidR="001C369E" w:rsidRPr="00843102">
        <w:rPr>
          <w:rFonts w:ascii="Arial" w:hAnsi="Arial" w:cs="Arial"/>
          <w:sz w:val="22"/>
          <w:szCs w:val="22"/>
          <w:lang w:val="en-AU"/>
        </w:rPr>
        <w:t xml:space="preserve">provides that the title of the </w:t>
      </w:r>
      <w:r w:rsidR="00487258" w:rsidRPr="00843102">
        <w:rPr>
          <w:rFonts w:ascii="Arial" w:hAnsi="Arial" w:cs="Arial"/>
          <w:sz w:val="22"/>
          <w:szCs w:val="22"/>
          <w:lang w:val="en-AU"/>
        </w:rPr>
        <w:t xml:space="preserve">Amendment </w:t>
      </w:r>
      <w:r w:rsidRPr="00843102">
        <w:rPr>
          <w:rFonts w:ascii="Arial" w:hAnsi="Arial" w:cs="Arial"/>
          <w:sz w:val="22"/>
          <w:szCs w:val="22"/>
          <w:lang w:val="en-AU"/>
        </w:rPr>
        <w:t>Determination</w:t>
      </w:r>
      <w:r w:rsidR="001C369E" w:rsidRPr="00843102">
        <w:rPr>
          <w:rFonts w:ascii="Arial" w:hAnsi="Arial" w:cs="Arial"/>
          <w:sz w:val="22"/>
          <w:szCs w:val="22"/>
          <w:lang w:val="en-AU"/>
        </w:rPr>
        <w:t xml:space="preserve"> is </w:t>
      </w:r>
      <w:r w:rsidRPr="00843102">
        <w:rPr>
          <w:rFonts w:ascii="Arial" w:hAnsi="Arial" w:cs="Arial"/>
          <w:sz w:val="22"/>
          <w:szCs w:val="22"/>
          <w:lang w:val="en-AU"/>
        </w:rPr>
        <w:t xml:space="preserve">the </w:t>
      </w:r>
      <w:r w:rsidR="00C95CE6" w:rsidRPr="00843102">
        <w:rPr>
          <w:rFonts w:ascii="Arial" w:hAnsi="Arial" w:cs="Arial"/>
          <w:i/>
          <w:sz w:val="22"/>
          <w:szCs w:val="22"/>
          <w:lang w:val="en-AU"/>
        </w:rPr>
        <w:t>Radiocommunications (Spectrum Licence Tax) Amendment Determination 2012 (No.1)</w:t>
      </w:r>
      <w:r w:rsidR="00240F21">
        <w:rPr>
          <w:rFonts w:ascii="Arial" w:hAnsi="Arial" w:cs="Arial"/>
          <w:sz w:val="22"/>
          <w:szCs w:val="22"/>
          <w:lang w:val="en-AU"/>
        </w:rPr>
        <w:t>.</w:t>
      </w:r>
    </w:p>
    <w:p w:rsidR="00D841E1" w:rsidRPr="00843102" w:rsidRDefault="00D841E1" w:rsidP="00C95CE6">
      <w:pPr>
        <w:rPr>
          <w:rFonts w:ascii="Arial" w:hAnsi="Arial" w:cs="Arial"/>
          <w:i/>
          <w:sz w:val="22"/>
          <w:szCs w:val="22"/>
          <w:lang w:val="en-AU"/>
        </w:rPr>
      </w:pPr>
    </w:p>
    <w:p w:rsidR="00811E1B" w:rsidRPr="00843102" w:rsidRDefault="0039588A" w:rsidP="00811E1B">
      <w:pPr>
        <w:spacing w:after="120"/>
        <w:rPr>
          <w:rFonts w:ascii="Arial" w:hAnsi="Arial" w:cs="Arial"/>
          <w:b/>
          <w:sz w:val="22"/>
          <w:szCs w:val="22"/>
          <w:lang w:val="en-AU"/>
        </w:rPr>
      </w:pPr>
      <w:r w:rsidRPr="00843102">
        <w:rPr>
          <w:rFonts w:ascii="Arial" w:hAnsi="Arial" w:cs="Arial"/>
          <w:b/>
          <w:sz w:val="22"/>
          <w:szCs w:val="22"/>
          <w:lang w:val="en-AU"/>
        </w:rPr>
        <w:t xml:space="preserve">Section 2 - Commencement </w:t>
      </w:r>
    </w:p>
    <w:p w:rsidR="00D841E1" w:rsidRPr="00843102" w:rsidRDefault="0039588A">
      <w:pPr>
        <w:rPr>
          <w:rFonts w:ascii="Arial" w:hAnsi="Arial" w:cs="Arial"/>
          <w:sz w:val="22"/>
          <w:szCs w:val="22"/>
          <w:lang w:val="en-AU"/>
        </w:rPr>
      </w:pPr>
      <w:r w:rsidRPr="00843102">
        <w:rPr>
          <w:rFonts w:ascii="Arial" w:hAnsi="Arial" w:cs="Arial"/>
          <w:sz w:val="22"/>
          <w:szCs w:val="22"/>
          <w:lang w:val="en-AU"/>
        </w:rPr>
        <w:t xml:space="preserve">This section states that the </w:t>
      </w:r>
      <w:r w:rsidR="00487258" w:rsidRPr="00843102">
        <w:rPr>
          <w:rFonts w:ascii="Arial" w:hAnsi="Arial" w:cs="Arial"/>
          <w:sz w:val="22"/>
          <w:szCs w:val="22"/>
          <w:lang w:val="en-AU"/>
        </w:rPr>
        <w:t xml:space="preserve">Amendment </w:t>
      </w:r>
      <w:r w:rsidRPr="00843102">
        <w:rPr>
          <w:rFonts w:ascii="Arial" w:hAnsi="Arial" w:cs="Arial"/>
          <w:sz w:val="22"/>
          <w:szCs w:val="22"/>
          <w:lang w:val="en-AU"/>
        </w:rPr>
        <w:t>Determination will commence on the day after it is registered on the Federal Register of Legislative Instruments.</w:t>
      </w:r>
    </w:p>
    <w:p w:rsidR="00D841E1" w:rsidRPr="00843102" w:rsidRDefault="00D841E1">
      <w:pPr>
        <w:rPr>
          <w:rFonts w:ascii="Arial" w:hAnsi="Arial" w:cs="Arial"/>
          <w:b/>
          <w:sz w:val="22"/>
          <w:szCs w:val="22"/>
          <w:lang w:val="en-AU"/>
        </w:rPr>
      </w:pPr>
    </w:p>
    <w:p w:rsidR="00811E1B" w:rsidRPr="00843102" w:rsidRDefault="0039588A" w:rsidP="00811E1B">
      <w:pPr>
        <w:spacing w:after="120"/>
        <w:rPr>
          <w:rFonts w:ascii="Arial" w:hAnsi="Arial" w:cs="Arial"/>
          <w:b/>
          <w:i/>
          <w:sz w:val="22"/>
          <w:szCs w:val="22"/>
          <w:lang w:val="en-AU"/>
        </w:rPr>
      </w:pPr>
      <w:r w:rsidRPr="00843102">
        <w:rPr>
          <w:rFonts w:ascii="Arial" w:hAnsi="Arial" w:cs="Arial"/>
          <w:b/>
          <w:sz w:val="22"/>
          <w:szCs w:val="22"/>
          <w:lang w:val="en-AU"/>
        </w:rPr>
        <w:t xml:space="preserve">Section 3 – </w:t>
      </w:r>
      <w:r w:rsidR="00C95CE6" w:rsidRPr="00843102">
        <w:rPr>
          <w:rFonts w:ascii="Arial" w:hAnsi="Arial" w:cs="Arial"/>
          <w:b/>
          <w:sz w:val="22"/>
          <w:szCs w:val="22"/>
          <w:lang w:val="en-AU"/>
        </w:rPr>
        <w:t>Amendment</w:t>
      </w:r>
    </w:p>
    <w:p w:rsidR="00D841E1" w:rsidRPr="00843102" w:rsidRDefault="0039588A">
      <w:pPr>
        <w:rPr>
          <w:rFonts w:ascii="Arial" w:hAnsi="Arial" w:cs="Arial"/>
          <w:sz w:val="22"/>
          <w:szCs w:val="22"/>
          <w:lang w:val="en-AU"/>
        </w:rPr>
      </w:pPr>
      <w:r w:rsidRPr="00843102">
        <w:rPr>
          <w:rFonts w:ascii="Arial" w:hAnsi="Arial" w:cs="Arial"/>
          <w:sz w:val="22"/>
          <w:szCs w:val="22"/>
          <w:lang w:val="en-AU"/>
        </w:rPr>
        <w:t xml:space="preserve">This section </w:t>
      </w:r>
      <w:r w:rsidR="00487258" w:rsidRPr="00843102">
        <w:rPr>
          <w:rFonts w:ascii="Arial" w:hAnsi="Arial" w:cs="Arial"/>
          <w:sz w:val="22"/>
          <w:szCs w:val="22"/>
          <w:lang w:val="en-AU"/>
        </w:rPr>
        <w:t>explains that the amendments being made to</w:t>
      </w:r>
      <w:r w:rsidR="00C95CE6" w:rsidRPr="00843102">
        <w:rPr>
          <w:rFonts w:ascii="Arial" w:hAnsi="Arial" w:cs="Arial"/>
          <w:sz w:val="22"/>
          <w:szCs w:val="22"/>
          <w:lang w:val="en-AU"/>
        </w:rPr>
        <w:t xml:space="preserve"> the </w:t>
      </w:r>
      <w:r w:rsidR="00C95CE6" w:rsidRPr="00843102">
        <w:rPr>
          <w:rFonts w:ascii="Arial" w:hAnsi="Arial" w:cs="Arial"/>
          <w:i/>
          <w:sz w:val="22"/>
          <w:szCs w:val="22"/>
          <w:lang w:val="en-AU"/>
        </w:rPr>
        <w:t>Radiocommunications (Spectrum Licence Tax) Determination 1999</w:t>
      </w:r>
      <w:r w:rsidR="00487258" w:rsidRPr="00843102">
        <w:rPr>
          <w:rFonts w:ascii="Arial" w:hAnsi="Arial" w:cs="Arial"/>
          <w:i/>
          <w:sz w:val="22"/>
          <w:szCs w:val="22"/>
          <w:lang w:val="en-AU"/>
        </w:rPr>
        <w:t xml:space="preserve"> </w:t>
      </w:r>
      <w:r w:rsidR="00487258" w:rsidRPr="00843102">
        <w:rPr>
          <w:rFonts w:ascii="Arial" w:hAnsi="Arial" w:cs="Arial"/>
          <w:sz w:val="22"/>
          <w:szCs w:val="22"/>
          <w:lang w:val="en-AU"/>
        </w:rPr>
        <w:t>are set out in Schedule 1 of the</w:t>
      </w:r>
      <w:r w:rsidR="00487258" w:rsidRPr="00843102">
        <w:rPr>
          <w:rFonts w:ascii="Arial" w:hAnsi="Arial" w:cs="Arial"/>
          <w:i/>
          <w:sz w:val="22"/>
          <w:szCs w:val="22"/>
          <w:lang w:val="en-AU"/>
        </w:rPr>
        <w:t xml:space="preserve"> </w:t>
      </w:r>
      <w:r w:rsidR="00240F21">
        <w:rPr>
          <w:rFonts w:ascii="Arial" w:hAnsi="Arial" w:cs="Arial"/>
          <w:sz w:val="22"/>
          <w:szCs w:val="22"/>
          <w:lang w:val="en-AU"/>
        </w:rPr>
        <w:t xml:space="preserve">Amendment </w:t>
      </w:r>
      <w:r w:rsidR="00BE5F43" w:rsidRPr="00843102">
        <w:rPr>
          <w:rFonts w:ascii="Arial" w:hAnsi="Arial" w:cs="Arial"/>
          <w:sz w:val="22"/>
          <w:szCs w:val="22"/>
          <w:lang w:val="en-AU"/>
        </w:rPr>
        <w:t>Determination.</w:t>
      </w:r>
    </w:p>
    <w:p w:rsidR="00D841E1" w:rsidRPr="00843102" w:rsidRDefault="00D841E1">
      <w:pPr>
        <w:rPr>
          <w:rFonts w:ascii="Arial" w:hAnsi="Arial" w:cs="Arial"/>
          <w:sz w:val="22"/>
          <w:szCs w:val="22"/>
          <w:lang w:val="en-AU"/>
        </w:rPr>
      </w:pPr>
    </w:p>
    <w:p w:rsidR="00811E1B" w:rsidRPr="00843102" w:rsidRDefault="00C95CE6" w:rsidP="00811E1B">
      <w:pPr>
        <w:keepNext/>
        <w:keepLines/>
        <w:spacing w:after="120"/>
        <w:rPr>
          <w:rFonts w:ascii="Arial" w:hAnsi="Arial" w:cs="Arial"/>
          <w:b/>
          <w:i/>
          <w:sz w:val="22"/>
          <w:szCs w:val="22"/>
          <w:lang w:val="en-AU"/>
        </w:rPr>
      </w:pPr>
      <w:r w:rsidRPr="00843102">
        <w:rPr>
          <w:rFonts w:ascii="Arial" w:hAnsi="Arial" w:cs="Arial"/>
          <w:b/>
          <w:sz w:val="22"/>
          <w:szCs w:val="22"/>
          <w:lang w:val="en-AU"/>
        </w:rPr>
        <w:t>Schedule 1 - Amendments</w:t>
      </w:r>
      <w:r w:rsidR="00D93560" w:rsidRPr="00843102">
        <w:rPr>
          <w:rFonts w:ascii="Arial" w:hAnsi="Arial" w:cs="Arial"/>
          <w:b/>
          <w:sz w:val="22"/>
          <w:szCs w:val="22"/>
          <w:lang w:val="en-AU"/>
        </w:rPr>
        <w:t xml:space="preserve"> </w:t>
      </w:r>
    </w:p>
    <w:p w:rsidR="00C95CE6" w:rsidRPr="00843102" w:rsidRDefault="00240F21">
      <w:pPr>
        <w:rPr>
          <w:rFonts w:ascii="Arial" w:hAnsi="Arial" w:cs="Arial"/>
          <w:sz w:val="22"/>
          <w:szCs w:val="22"/>
          <w:lang w:val="en-AU"/>
        </w:rPr>
      </w:pPr>
      <w:r>
        <w:rPr>
          <w:rFonts w:ascii="Arial" w:hAnsi="Arial" w:cs="Arial"/>
          <w:sz w:val="22"/>
          <w:szCs w:val="22"/>
          <w:lang w:val="en-AU"/>
        </w:rPr>
        <w:t>Item [1] of Schedule 1 substitutes</w:t>
      </w:r>
      <w:r w:rsidR="00C95CE6" w:rsidRPr="00843102">
        <w:rPr>
          <w:rFonts w:ascii="Arial" w:hAnsi="Arial" w:cs="Arial"/>
          <w:sz w:val="22"/>
          <w:szCs w:val="22"/>
          <w:lang w:val="en-AU"/>
        </w:rPr>
        <w:t xml:space="preserve"> Table 1 </w:t>
      </w:r>
      <w:r>
        <w:rPr>
          <w:rFonts w:ascii="Arial" w:hAnsi="Arial" w:cs="Arial"/>
          <w:sz w:val="22"/>
          <w:szCs w:val="22"/>
          <w:lang w:val="en-AU"/>
        </w:rPr>
        <w:t>of Part 1 of Schedule 1 of the Determination with</w:t>
      </w:r>
      <w:r w:rsidR="00C95CE6" w:rsidRPr="00843102">
        <w:rPr>
          <w:rFonts w:ascii="Arial" w:hAnsi="Arial" w:cs="Arial"/>
          <w:sz w:val="22"/>
          <w:szCs w:val="22"/>
          <w:lang w:val="en-AU"/>
        </w:rPr>
        <w:t xml:space="preserve"> </w:t>
      </w:r>
      <w:r w:rsidR="00BE5F43" w:rsidRPr="00843102">
        <w:rPr>
          <w:rFonts w:ascii="Arial" w:hAnsi="Arial" w:cs="Arial"/>
          <w:sz w:val="22"/>
          <w:szCs w:val="22"/>
          <w:lang w:val="en-AU"/>
        </w:rPr>
        <w:t xml:space="preserve">a new Table 1, </w:t>
      </w:r>
      <w:r>
        <w:rPr>
          <w:rFonts w:ascii="Arial" w:hAnsi="Arial" w:cs="Arial"/>
          <w:sz w:val="22"/>
          <w:szCs w:val="22"/>
          <w:lang w:val="en-AU"/>
        </w:rPr>
        <w:t xml:space="preserve">which sets out the </w:t>
      </w:r>
      <w:r w:rsidR="00C95CE6" w:rsidRPr="00843102">
        <w:rPr>
          <w:rFonts w:ascii="Arial" w:hAnsi="Arial" w:cs="Arial"/>
          <w:sz w:val="22"/>
          <w:szCs w:val="22"/>
          <w:lang w:val="en-AU"/>
        </w:rPr>
        <w:t xml:space="preserve">new base amounts of spectrum licence tax for each of the </w:t>
      </w:r>
      <w:r w:rsidR="00BB68FD" w:rsidRPr="00843102">
        <w:rPr>
          <w:rFonts w:ascii="Arial" w:hAnsi="Arial" w:cs="Arial"/>
          <w:sz w:val="22"/>
          <w:szCs w:val="22"/>
          <w:lang w:val="en-AU"/>
        </w:rPr>
        <w:t xml:space="preserve">listed </w:t>
      </w:r>
      <w:r w:rsidR="00C95CE6" w:rsidRPr="00843102">
        <w:rPr>
          <w:rFonts w:ascii="Arial" w:hAnsi="Arial" w:cs="Arial"/>
          <w:sz w:val="22"/>
          <w:szCs w:val="22"/>
          <w:lang w:val="en-AU"/>
        </w:rPr>
        <w:t>frequency ranges.</w:t>
      </w:r>
      <w:r w:rsidR="00BB68FD" w:rsidRPr="00843102">
        <w:rPr>
          <w:rFonts w:ascii="Arial" w:hAnsi="Arial" w:cs="Arial"/>
          <w:sz w:val="22"/>
          <w:szCs w:val="22"/>
          <w:lang w:val="en-AU"/>
        </w:rPr>
        <w:t xml:space="preserve">  </w:t>
      </w:r>
      <w:r w:rsidR="0095349F">
        <w:rPr>
          <w:rFonts w:ascii="Arial" w:hAnsi="Arial" w:cs="Arial"/>
          <w:sz w:val="22"/>
          <w:szCs w:val="22"/>
          <w:lang w:val="en-AU"/>
        </w:rPr>
        <w:t xml:space="preserve">The base amounts for the 800 MHz, 2 GHz, and 27 GHz bands have increased by 4.1%, 29% and 115.9% respectively. The base amounts for the 1800 MHz and 3.4 GHz bands have decreased. The base amount for </w:t>
      </w:r>
      <w:r w:rsidR="00055AE3">
        <w:rPr>
          <w:rFonts w:ascii="Arial" w:hAnsi="Arial" w:cs="Arial"/>
          <w:sz w:val="22"/>
          <w:szCs w:val="22"/>
          <w:lang w:val="en-AU"/>
        </w:rPr>
        <w:t xml:space="preserve">the </w:t>
      </w:r>
      <w:r w:rsidR="0095349F">
        <w:rPr>
          <w:rFonts w:ascii="Arial" w:hAnsi="Arial" w:cs="Arial"/>
          <w:sz w:val="22"/>
          <w:szCs w:val="22"/>
          <w:lang w:val="en-AU"/>
        </w:rPr>
        <w:t>500 MHz band has been removed (the band is now apparatus licensed) and the base amount for the 28 GHz and 31 GHz bands remains the same.</w:t>
      </w:r>
    </w:p>
    <w:p w:rsidR="00C95CE6" w:rsidRPr="00843102" w:rsidRDefault="00C95CE6">
      <w:pPr>
        <w:rPr>
          <w:rFonts w:ascii="Arial" w:hAnsi="Arial" w:cs="Arial"/>
          <w:sz w:val="22"/>
          <w:szCs w:val="22"/>
          <w:lang w:val="en-AU"/>
        </w:rPr>
      </w:pPr>
    </w:p>
    <w:p w:rsidR="00C95CE6" w:rsidRPr="00843102" w:rsidRDefault="00240F21">
      <w:pPr>
        <w:rPr>
          <w:rFonts w:ascii="Arial" w:hAnsi="Arial" w:cs="Arial"/>
          <w:sz w:val="22"/>
          <w:szCs w:val="22"/>
          <w:lang w:val="en-AU"/>
        </w:rPr>
      </w:pPr>
      <w:r>
        <w:rPr>
          <w:rFonts w:ascii="Arial" w:hAnsi="Arial" w:cs="Arial"/>
          <w:sz w:val="22"/>
          <w:szCs w:val="22"/>
          <w:lang w:val="en-AU"/>
        </w:rPr>
        <w:t xml:space="preserve">Items [2] and [3] of Schedule 1 </w:t>
      </w:r>
      <w:r w:rsidR="00C95CE6" w:rsidRPr="00843102">
        <w:rPr>
          <w:rFonts w:ascii="Arial" w:hAnsi="Arial" w:cs="Arial"/>
          <w:sz w:val="22"/>
          <w:szCs w:val="22"/>
          <w:lang w:val="en-AU"/>
        </w:rPr>
        <w:t xml:space="preserve">update the definitions of </w:t>
      </w:r>
      <w:r>
        <w:rPr>
          <w:rFonts w:ascii="Arial" w:hAnsi="Arial" w:cs="Arial"/>
          <w:sz w:val="22"/>
          <w:szCs w:val="22"/>
          <w:lang w:val="en-AU"/>
        </w:rPr>
        <w:t>‘</w:t>
      </w:r>
      <w:r w:rsidR="00C95CE6" w:rsidRPr="00843102">
        <w:rPr>
          <w:rFonts w:ascii="Arial" w:hAnsi="Arial" w:cs="Arial"/>
          <w:i/>
          <w:sz w:val="22"/>
          <w:szCs w:val="22"/>
          <w:lang w:val="en-AU"/>
        </w:rPr>
        <w:t>area population</w:t>
      </w:r>
      <w:r>
        <w:rPr>
          <w:rFonts w:ascii="Arial" w:hAnsi="Arial" w:cs="Arial"/>
          <w:sz w:val="22"/>
          <w:szCs w:val="22"/>
          <w:lang w:val="en-AU"/>
        </w:rPr>
        <w:t>’</w:t>
      </w:r>
      <w:r w:rsidR="00C95CE6" w:rsidRPr="00843102">
        <w:rPr>
          <w:rFonts w:ascii="Arial" w:hAnsi="Arial" w:cs="Arial"/>
          <w:sz w:val="22"/>
          <w:szCs w:val="22"/>
          <w:lang w:val="en-AU"/>
        </w:rPr>
        <w:t xml:space="preserve"> and </w:t>
      </w:r>
      <w:r>
        <w:rPr>
          <w:rFonts w:ascii="Arial" w:hAnsi="Arial" w:cs="Arial"/>
          <w:sz w:val="22"/>
          <w:szCs w:val="22"/>
          <w:lang w:val="en-AU"/>
        </w:rPr>
        <w:t>‘</w:t>
      </w:r>
      <w:r w:rsidR="00C95CE6" w:rsidRPr="00843102">
        <w:rPr>
          <w:rFonts w:ascii="Arial" w:hAnsi="Arial" w:cs="Arial"/>
          <w:i/>
          <w:sz w:val="22"/>
          <w:szCs w:val="22"/>
          <w:lang w:val="en-AU"/>
        </w:rPr>
        <w:t xml:space="preserve">Australian </w:t>
      </w:r>
      <w:r w:rsidR="00C95CE6" w:rsidRPr="00240F21">
        <w:rPr>
          <w:rFonts w:ascii="Arial" w:hAnsi="Arial" w:cs="Arial"/>
          <w:i/>
          <w:sz w:val="22"/>
          <w:szCs w:val="22"/>
          <w:lang w:val="en-AU"/>
        </w:rPr>
        <w:t>populatio</w:t>
      </w:r>
      <w:r w:rsidRPr="00240F21">
        <w:rPr>
          <w:rFonts w:ascii="Arial" w:hAnsi="Arial" w:cs="Arial"/>
          <w:i/>
          <w:sz w:val="22"/>
          <w:szCs w:val="22"/>
          <w:lang w:val="en-AU"/>
        </w:rPr>
        <w:t>n</w:t>
      </w:r>
      <w:r>
        <w:rPr>
          <w:rFonts w:ascii="Arial" w:hAnsi="Arial" w:cs="Arial"/>
          <w:sz w:val="22"/>
          <w:szCs w:val="22"/>
          <w:lang w:val="en-AU"/>
        </w:rPr>
        <w:t>’</w:t>
      </w:r>
      <w:r w:rsidR="00C95CE6" w:rsidRPr="00843102">
        <w:rPr>
          <w:rFonts w:ascii="Arial" w:hAnsi="Arial" w:cs="Arial"/>
          <w:sz w:val="22"/>
          <w:szCs w:val="22"/>
          <w:lang w:val="en-AU"/>
        </w:rPr>
        <w:t xml:space="preserve"> </w:t>
      </w:r>
      <w:r>
        <w:rPr>
          <w:rFonts w:ascii="Arial" w:hAnsi="Arial" w:cs="Arial"/>
          <w:sz w:val="22"/>
          <w:szCs w:val="22"/>
          <w:lang w:val="en-AU"/>
        </w:rPr>
        <w:t>in Part 3 of Schedule 1 of the Determination by omitting</w:t>
      </w:r>
      <w:r w:rsidR="00BB68FD" w:rsidRPr="00843102">
        <w:rPr>
          <w:rFonts w:ascii="Arial" w:hAnsi="Arial" w:cs="Arial"/>
          <w:sz w:val="22"/>
          <w:szCs w:val="22"/>
          <w:lang w:val="en-AU"/>
        </w:rPr>
        <w:t xml:space="preserve"> references to the 2001 census </w:t>
      </w:r>
      <w:r>
        <w:rPr>
          <w:rFonts w:ascii="Arial" w:hAnsi="Arial" w:cs="Arial"/>
          <w:sz w:val="22"/>
          <w:szCs w:val="22"/>
          <w:lang w:val="en-AU"/>
        </w:rPr>
        <w:t xml:space="preserve">and inserting </w:t>
      </w:r>
      <w:r w:rsidR="00BB68FD" w:rsidRPr="00843102">
        <w:rPr>
          <w:rFonts w:ascii="Arial" w:hAnsi="Arial" w:cs="Arial"/>
          <w:sz w:val="22"/>
          <w:szCs w:val="22"/>
          <w:lang w:val="en-AU"/>
        </w:rPr>
        <w:t>references to</w:t>
      </w:r>
      <w:r w:rsidR="00C95CE6" w:rsidRPr="00843102">
        <w:rPr>
          <w:rFonts w:ascii="Arial" w:hAnsi="Arial" w:cs="Arial"/>
          <w:sz w:val="22"/>
          <w:szCs w:val="22"/>
          <w:lang w:val="en-AU"/>
        </w:rPr>
        <w:t xml:space="preserve"> the 2011 census</w:t>
      </w:r>
      <w:r>
        <w:rPr>
          <w:rFonts w:ascii="Arial" w:hAnsi="Arial" w:cs="Arial"/>
          <w:sz w:val="22"/>
          <w:szCs w:val="22"/>
          <w:lang w:val="en-AU"/>
        </w:rPr>
        <w:t xml:space="preserve">, which is the most recent Australian </w:t>
      </w:r>
      <w:r w:rsidR="00055AE3">
        <w:rPr>
          <w:rFonts w:ascii="Arial" w:hAnsi="Arial" w:cs="Arial"/>
          <w:sz w:val="22"/>
          <w:szCs w:val="22"/>
          <w:lang w:val="en-AU"/>
        </w:rPr>
        <w:t>c</w:t>
      </w:r>
      <w:r>
        <w:rPr>
          <w:rFonts w:ascii="Arial" w:hAnsi="Arial" w:cs="Arial"/>
          <w:sz w:val="22"/>
          <w:szCs w:val="22"/>
          <w:lang w:val="en-AU"/>
        </w:rPr>
        <w:t xml:space="preserve">ensus. </w:t>
      </w:r>
    </w:p>
    <w:p w:rsidR="00C95CE6" w:rsidRPr="00843102" w:rsidRDefault="00C95CE6">
      <w:pPr>
        <w:rPr>
          <w:rFonts w:ascii="Arial" w:hAnsi="Arial" w:cs="Arial"/>
          <w:sz w:val="22"/>
          <w:szCs w:val="22"/>
          <w:lang w:val="en-AU"/>
        </w:rPr>
      </w:pPr>
    </w:p>
    <w:p w:rsidR="00811E1B" w:rsidRPr="00843102" w:rsidRDefault="0039588A" w:rsidP="00811E1B">
      <w:pPr>
        <w:spacing w:line="360" w:lineRule="auto"/>
        <w:ind w:left="6237" w:firstLine="567"/>
        <w:rPr>
          <w:rFonts w:ascii="Arial" w:hAnsi="Arial" w:cs="Arial"/>
          <w:b/>
          <w:sz w:val="22"/>
          <w:szCs w:val="22"/>
          <w:lang w:val="en-AU"/>
        </w:rPr>
      </w:pPr>
      <w:r w:rsidRPr="00843102">
        <w:rPr>
          <w:rFonts w:ascii="Arial" w:hAnsi="Arial" w:cs="Arial"/>
          <w:b/>
          <w:color w:val="000000"/>
          <w:sz w:val="22"/>
          <w:szCs w:val="22"/>
        </w:rPr>
        <w:br w:type="page"/>
      </w:r>
      <w:r w:rsidRPr="00843102">
        <w:rPr>
          <w:rFonts w:ascii="Arial" w:hAnsi="Arial" w:cs="Arial"/>
          <w:b/>
          <w:sz w:val="22"/>
          <w:szCs w:val="22"/>
          <w:lang w:val="en-AU"/>
        </w:rPr>
        <w:t>ATTACHMENT B</w:t>
      </w:r>
    </w:p>
    <w:p w:rsidR="0039588A" w:rsidRPr="00843102" w:rsidRDefault="0039588A" w:rsidP="0039588A">
      <w:pPr>
        <w:jc w:val="center"/>
        <w:rPr>
          <w:rFonts w:ascii="Arial" w:hAnsi="Arial" w:cs="Arial"/>
          <w:sz w:val="22"/>
          <w:szCs w:val="22"/>
          <w:lang w:val="en-AU"/>
        </w:rPr>
      </w:pPr>
    </w:p>
    <w:p w:rsidR="0039588A" w:rsidRPr="00843102" w:rsidRDefault="0039588A" w:rsidP="0039588A">
      <w:pPr>
        <w:spacing w:line="360" w:lineRule="auto"/>
        <w:jc w:val="center"/>
        <w:rPr>
          <w:rFonts w:ascii="Arial" w:hAnsi="Arial" w:cs="Arial"/>
          <w:sz w:val="22"/>
          <w:szCs w:val="22"/>
          <w:lang w:val="en-AU"/>
        </w:rPr>
      </w:pPr>
    </w:p>
    <w:p w:rsidR="0039588A" w:rsidRPr="00843102" w:rsidRDefault="0039588A" w:rsidP="0039588A">
      <w:pPr>
        <w:spacing w:line="360" w:lineRule="auto"/>
        <w:jc w:val="center"/>
        <w:rPr>
          <w:rFonts w:ascii="Arial" w:hAnsi="Arial" w:cs="Arial"/>
          <w:b/>
          <w:sz w:val="22"/>
          <w:szCs w:val="22"/>
          <w:lang w:val="en-AU"/>
        </w:rPr>
      </w:pPr>
      <w:r w:rsidRPr="00843102">
        <w:rPr>
          <w:rFonts w:ascii="Arial" w:hAnsi="Arial" w:cs="Arial"/>
          <w:b/>
          <w:sz w:val="22"/>
          <w:szCs w:val="22"/>
          <w:lang w:val="en-AU"/>
        </w:rPr>
        <w:t>Statement of Compatibility with Human Rights</w:t>
      </w:r>
    </w:p>
    <w:p w:rsidR="0039588A" w:rsidRPr="00843102" w:rsidRDefault="0039588A" w:rsidP="0039588A">
      <w:pPr>
        <w:spacing w:line="360" w:lineRule="auto"/>
        <w:jc w:val="center"/>
        <w:rPr>
          <w:rFonts w:ascii="Arial" w:hAnsi="Arial" w:cs="Arial"/>
          <w:sz w:val="22"/>
          <w:szCs w:val="22"/>
          <w:lang w:val="en-AU"/>
        </w:rPr>
      </w:pPr>
      <w:r w:rsidRPr="00843102">
        <w:rPr>
          <w:rFonts w:ascii="Arial" w:hAnsi="Arial" w:cs="Arial"/>
          <w:sz w:val="22"/>
          <w:szCs w:val="22"/>
          <w:lang w:val="en-AU"/>
        </w:rPr>
        <w:t xml:space="preserve">Prepared in accordance with Part 3 of the </w:t>
      </w:r>
      <w:r w:rsidR="00CB73A7" w:rsidRPr="00843102">
        <w:rPr>
          <w:rFonts w:ascii="Arial" w:hAnsi="Arial" w:cs="Arial"/>
          <w:i/>
          <w:sz w:val="22"/>
          <w:szCs w:val="22"/>
          <w:lang w:val="en-AU"/>
        </w:rPr>
        <w:t>Human Rights (Parliamentary Scrutiny) Act 2011</w:t>
      </w:r>
    </w:p>
    <w:p w:rsidR="0039588A" w:rsidRPr="00843102" w:rsidRDefault="0039588A" w:rsidP="0039588A">
      <w:pPr>
        <w:rPr>
          <w:rFonts w:ascii="Arial" w:hAnsi="Arial" w:cs="Arial"/>
          <w:i/>
          <w:sz w:val="22"/>
          <w:szCs w:val="22"/>
        </w:rPr>
      </w:pPr>
    </w:p>
    <w:p w:rsidR="0039588A" w:rsidRPr="00843102" w:rsidRDefault="0039588A" w:rsidP="0039588A">
      <w:pPr>
        <w:jc w:val="center"/>
        <w:rPr>
          <w:rFonts w:ascii="Arial" w:hAnsi="Arial" w:cs="Arial"/>
          <w:b/>
          <w:sz w:val="22"/>
          <w:szCs w:val="22"/>
        </w:rPr>
      </w:pPr>
    </w:p>
    <w:p w:rsidR="0039588A" w:rsidRPr="00843102" w:rsidRDefault="00BB68FD" w:rsidP="0039588A">
      <w:pPr>
        <w:jc w:val="center"/>
        <w:rPr>
          <w:rFonts w:ascii="Arial" w:hAnsi="Arial" w:cs="Arial"/>
          <w:b/>
          <w:sz w:val="22"/>
          <w:szCs w:val="22"/>
        </w:rPr>
      </w:pPr>
      <w:r w:rsidRPr="00843102">
        <w:rPr>
          <w:rFonts w:ascii="Arial" w:hAnsi="Arial" w:cs="Arial"/>
          <w:i/>
          <w:sz w:val="22"/>
          <w:szCs w:val="22"/>
          <w:lang w:val="en-AU"/>
        </w:rPr>
        <w:t>Radiocommunications (Spectrum Licence Tax) Amendment Determination 2012 (No.1)</w:t>
      </w:r>
    </w:p>
    <w:p w:rsidR="0039588A" w:rsidRPr="00843102" w:rsidRDefault="0039588A" w:rsidP="0039588A">
      <w:pPr>
        <w:jc w:val="center"/>
        <w:rPr>
          <w:rFonts w:ascii="Arial" w:hAnsi="Arial" w:cs="Arial"/>
          <w:b/>
          <w:sz w:val="22"/>
          <w:szCs w:val="22"/>
        </w:rPr>
      </w:pPr>
    </w:p>
    <w:p w:rsidR="00D841E1" w:rsidRPr="00843102" w:rsidRDefault="0039588A">
      <w:pPr>
        <w:jc w:val="both"/>
        <w:rPr>
          <w:rFonts w:ascii="Arial" w:hAnsi="Arial" w:cs="Arial"/>
          <w:sz w:val="22"/>
          <w:szCs w:val="22"/>
        </w:rPr>
      </w:pPr>
      <w:r w:rsidRPr="00843102">
        <w:rPr>
          <w:rFonts w:ascii="Arial" w:hAnsi="Arial" w:cs="Arial"/>
          <w:sz w:val="22"/>
          <w:szCs w:val="22"/>
        </w:rPr>
        <w:t xml:space="preserve">This legislative instrument is compatible with the human rights and freedoms </w:t>
      </w:r>
      <w:proofErr w:type="spellStart"/>
      <w:r w:rsidRPr="00843102">
        <w:rPr>
          <w:rFonts w:ascii="Arial" w:hAnsi="Arial" w:cs="Arial"/>
          <w:sz w:val="22"/>
          <w:szCs w:val="22"/>
        </w:rPr>
        <w:t>recognised</w:t>
      </w:r>
      <w:proofErr w:type="spellEnd"/>
      <w:r w:rsidRPr="00843102">
        <w:rPr>
          <w:rFonts w:ascii="Arial" w:hAnsi="Arial" w:cs="Arial"/>
          <w:sz w:val="22"/>
          <w:szCs w:val="22"/>
        </w:rPr>
        <w:t xml:space="preserve"> or declared in the international instruments listed in section 3 of the </w:t>
      </w:r>
      <w:r w:rsidRPr="00843102">
        <w:rPr>
          <w:rFonts w:ascii="Arial" w:hAnsi="Arial" w:cs="Arial"/>
          <w:i/>
          <w:sz w:val="22"/>
          <w:szCs w:val="22"/>
        </w:rPr>
        <w:t>Human Rights (Parliamentary Scrutiny) Act 2011</w:t>
      </w:r>
      <w:r w:rsidRPr="00843102">
        <w:rPr>
          <w:rFonts w:ascii="Arial" w:hAnsi="Arial" w:cs="Arial"/>
          <w:sz w:val="22"/>
          <w:szCs w:val="22"/>
        </w:rPr>
        <w:t>.</w:t>
      </w:r>
    </w:p>
    <w:p w:rsidR="00D841E1" w:rsidRPr="00843102" w:rsidRDefault="00D841E1">
      <w:pPr>
        <w:jc w:val="both"/>
        <w:rPr>
          <w:rFonts w:ascii="Arial" w:hAnsi="Arial" w:cs="Arial"/>
          <w:sz w:val="22"/>
          <w:szCs w:val="22"/>
        </w:rPr>
      </w:pPr>
    </w:p>
    <w:p w:rsidR="00D841E1" w:rsidRPr="00843102" w:rsidRDefault="0039588A">
      <w:pPr>
        <w:jc w:val="both"/>
        <w:rPr>
          <w:rFonts w:ascii="Arial" w:hAnsi="Arial" w:cs="Arial"/>
          <w:b/>
          <w:sz w:val="22"/>
          <w:szCs w:val="22"/>
        </w:rPr>
      </w:pPr>
      <w:r w:rsidRPr="00843102">
        <w:rPr>
          <w:rFonts w:ascii="Arial" w:hAnsi="Arial" w:cs="Arial"/>
          <w:b/>
          <w:sz w:val="22"/>
          <w:szCs w:val="22"/>
        </w:rPr>
        <w:t>Overview of the Legislative Instrument</w:t>
      </w:r>
    </w:p>
    <w:p w:rsidR="00D841E1" w:rsidRPr="00843102" w:rsidRDefault="00D841E1">
      <w:pPr>
        <w:jc w:val="both"/>
        <w:rPr>
          <w:rFonts w:ascii="Arial" w:hAnsi="Arial" w:cs="Arial"/>
          <w:b/>
          <w:sz w:val="22"/>
          <w:szCs w:val="22"/>
        </w:rPr>
      </w:pPr>
    </w:p>
    <w:p w:rsidR="00843102" w:rsidRPr="00843102" w:rsidRDefault="00BE5F43" w:rsidP="00843102">
      <w:pPr>
        <w:tabs>
          <w:tab w:val="left" w:pos="567"/>
        </w:tabs>
        <w:spacing w:after="120"/>
        <w:rPr>
          <w:rFonts w:ascii="Arial" w:hAnsi="Arial"/>
          <w:sz w:val="22"/>
          <w:szCs w:val="22"/>
        </w:rPr>
      </w:pPr>
      <w:r w:rsidRPr="00843102">
        <w:rPr>
          <w:rFonts w:ascii="Arial" w:hAnsi="Arial"/>
          <w:color w:val="000000"/>
          <w:sz w:val="22"/>
          <w:szCs w:val="22"/>
        </w:rPr>
        <w:t xml:space="preserve">Spectrum licensing is administered under the </w:t>
      </w:r>
      <w:r w:rsidRPr="00843102">
        <w:rPr>
          <w:rFonts w:ascii="Arial" w:hAnsi="Arial"/>
          <w:i/>
          <w:color w:val="000000"/>
          <w:sz w:val="22"/>
          <w:szCs w:val="22"/>
        </w:rPr>
        <w:t>Radiocommunications Act 1992</w:t>
      </w:r>
      <w:r w:rsidRPr="00843102">
        <w:rPr>
          <w:rFonts w:ascii="Arial" w:hAnsi="Arial"/>
          <w:color w:val="000000"/>
          <w:sz w:val="22"/>
          <w:szCs w:val="22"/>
        </w:rPr>
        <w:t>.</w:t>
      </w:r>
      <w:r w:rsidR="00E10658">
        <w:rPr>
          <w:rFonts w:ascii="Arial" w:hAnsi="Arial"/>
          <w:sz w:val="22"/>
          <w:szCs w:val="22"/>
        </w:rPr>
        <w:t xml:space="preserve"> </w:t>
      </w:r>
      <w:r w:rsidRPr="00843102">
        <w:rPr>
          <w:rFonts w:ascii="Arial" w:hAnsi="Arial"/>
          <w:sz w:val="22"/>
          <w:szCs w:val="22"/>
        </w:rPr>
        <w:t xml:space="preserve">Spectrum licence tax is an annual tax paid by spectrum licensees and is </w:t>
      </w:r>
      <w:r w:rsidR="00E10658">
        <w:rPr>
          <w:rFonts w:ascii="Arial" w:hAnsi="Arial"/>
          <w:sz w:val="22"/>
          <w:szCs w:val="22"/>
        </w:rPr>
        <w:t>imposed</w:t>
      </w:r>
      <w:r w:rsidR="00E10658" w:rsidRPr="00843102">
        <w:rPr>
          <w:rFonts w:ascii="Arial" w:hAnsi="Arial"/>
          <w:sz w:val="22"/>
          <w:szCs w:val="22"/>
        </w:rPr>
        <w:t xml:space="preserve"> </w:t>
      </w:r>
      <w:r w:rsidRPr="00843102">
        <w:rPr>
          <w:rFonts w:ascii="Arial" w:hAnsi="Arial"/>
          <w:sz w:val="22"/>
          <w:szCs w:val="22"/>
        </w:rPr>
        <w:t xml:space="preserve">under the </w:t>
      </w:r>
      <w:r w:rsidRPr="00843102">
        <w:rPr>
          <w:rFonts w:ascii="Arial" w:hAnsi="Arial"/>
          <w:i/>
          <w:sz w:val="22"/>
          <w:szCs w:val="22"/>
        </w:rPr>
        <w:t>Radiocommunications (Spectrum Licence Tax) Act 1997</w:t>
      </w:r>
      <w:r w:rsidRPr="00843102">
        <w:rPr>
          <w:rFonts w:ascii="Arial" w:hAnsi="Arial"/>
          <w:sz w:val="22"/>
          <w:szCs w:val="22"/>
        </w:rPr>
        <w:t xml:space="preserve"> (the </w:t>
      </w:r>
      <w:r w:rsidR="00827C01" w:rsidRPr="00827C01">
        <w:rPr>
          <w:rFonts w:ascii="Arial" w:hAnsi="Arial"/>
          <w:b/>
          <w:sz w:val="22"/>
          <w:szCs w:val="22"/>
        </w:rPr>
        <w:t>Act</w:t>
      </w:r>
      <w:r w:rsidRPr="00843102">
        <w:rPr>
          <w:rFonts w:ascii="Arial" w:hAnsi="Arial"/>
          <w:sz w:val="22"/>
          <w:szCs w:val="22"/>
        </w:rPr>
        <w:t xml:space="preserve">). </w:t>
      </w:r>
      <w:r w:rsidR="00843102" w:rsidRPr="00843102">
        <w:rPr>
          <w:rFonts w:ascii="Arial" w:hAnsi="Arial"/>
          <w:sz w:val="22"/>
          <w:szCs w:val="22"/>
        </w:rPr>
        <w:t xml:space="preserve"> </w:t>
      </w:r>
      <w:r w:rsidR="005D16C3">
        <w:rPr>
          <w:rFonts w:ascii="Arial" w:hAnsi="Arial"/>
          <w:sz w:val="22"/>
          <w:szCs w:val="22"/>
        </w:rPr>
        <w:t>Sub</w:t>
      </w:r>
      <w:r w:rsidR="005D16C3">
        <w:rPr>
          <w:rFonts w:ascii="Arial" w:hAnsi="Arial"/>
          <w:color w:val="000000"/>
          <w:sz w:val="22"/>
          <w:szCs w:val="22"/>
        </w:rPr>
        <w:t>s</w:t>
      </w:r>
      <w:r w:rsidR="00843102" w:rsidRPr="00843102">
        <w:rPr>
          <w:rFonts w:ascii="Arial" w:hAnsi="Arial"/>
          <w:color w:val="000000"/>
          <w:sz w:val="22"/>
          <w:szCs w:val="22"/>
        </w:rPr>
        <w:t>ection 7</w:t>
      </w:r>
      <w:r w:rsidR="005D16C3">
        <w:rPr>
          <w:rFonts w:ascii="Arial" w:hAnsi="Arial"/>
          <w:color w:val="000000"/>
          <w:sz w:val="22"/>
          <w:szCs w:val="22"/>
        </w:rPr>
        <w:t>(1)</w:t>
      </w:r>
      <w:r w:rsidR="00843102" w:rsidRPr="00843102">
        <w:rPr>
          <w:rFonts w:ascii="Arial" w:hAnsi="Arial"/>
          <w:color w:val="000000"/>
          <w:sz w:val="22"/>
          <w:szCs w:val="22"/>
        </w:rPr>
        <w:t xml:space="preserve"> </w:t>
      </w:r>
      <w:r w:rsidR="00843102" w:rsidRPr="00843102">
        <w:rPr>
          <w:rFonts w:ascii="Arial" w:hAnsi="Arial"/>
          <w:sz w:val="22"/>
          <w:szCs w:val="22"/>
        </w:rPr>
        <w:t>of the Act provide</w:t>
      </w:r>
      <w:r w:rsidR="006D7B40">
        <w:rPr>
          <w:rFonts w:ascii="Arial" w:hAnsi="Arial"/>
          <w:sz w:val="22"/>
          <w:szCs w:val="22"/>
        </w:rPr>
        <w:t>s</w:t>
      </w:r>
      <w:r w:rsidR="00843102" w:rsidRPr="00843102">
        <w:rPr>
          <w:rFonts w:ascii="Arial" w:hAnsi="Arial"/>
          <w:sz w:val="22"/>
          <w:szCs w:val="22"/>
        </w:rPr>
        <w:t xml:space="preserve"> </w:t>
      </w:r>
      <w:r w:rsidR="006D7B40">
        <w:rPr>
          <w:rFonts w:ascii="Arial" w:hAnsi="Arial"/>
          <w:sz w:val="22"/>
          <w:szCs w:val="22"/>
        </w:rPr>
        <w:t xml:space="preserve">that the amount of tax to be paid is the amount ascertained in accordance with a written determination made by the </w:t>
      </w:r>
      <w:r w:rsidR="005D16C3" w:rsidRPr="00843102">
        <w:rPr>
          <w:rFonts w:ascii="Arial" w:hAnsi="Arial" w:cs="Arial"/>
          <w:sz w:val="22"/>
          <w:szCs w:val="22"/>
          <w:lang w:val="en-AU"/>
        </w:rPr>
        <w:t xml:space="preserve">Australian Communications and Media Authority (the </w:t>
      </w:r>
      <w:r w:rsidR="005D16C3" w:rsidRPr="00843102">
        <w:rPr>
          <w:rFonts w:ascii="Arial" w:hAnsi="Arial" w:cs="Arial"/>
          <w:b/>
          <w:sz w:val="22"/>
          <w:szCs w:val="22"/>
          <w:lang w:val="en-AU"/>
        </w:rPr>
        <w:t>ACMA</w:t>
      </w:r>
      <w:r w:rsidR="005D16C3" w:rsidRPr="00843102">
        <w:rPr>
          <w:rFonts w:ascii="Arial" w:hAnsi="Arial" w:cs="Arial"/>
          <w:sz w:val="22"/>
          <w:szCs w:val="22"/>
          <w:lang w:val="en-AU"/>
        </w:rPr>
        <w:t>)</w:t>
      </w:r>
      <w:r w:rsidR="00843102" w:rsidRPr="00843102">
        <w:rPr>
          <w:rFonts w:ascii="Arial" w:hAnsi="Arial"/>
          <w:sz w:val="22"/>
          <w:szCs w:val="22"/>
        </w:rPr>
        <w:t xml:space="preserve">.  </w:t>
      </w:r>
    </w:p>
    <w:p w:rsidR="00BE5F43" w:rsidRPr="00843102" w:rsidRDefault="00BE5F43" w:rsidP="00BE5F43">
      <w:pPr>
        <w:spacing w:after="120"/>
        <w:rPr>
          <w:rFonts w:ascii="Arial" w:hAnsi="Arial"/>
          <w:sz w:val="22"/>
          <w:szCs w:val="22"/>
        </w:rPr>
      </w:pPr>
      <w:proofErr w:type="gramStart"/>
      <w:r w:rsidRPr="00843102">
        <w:rPr>
          <w:rFonts w:ascii="Arial" w:hAnsi="Arial" w:cs="Arial"/>
          <w:sz w:val="22"/>
          <w:szCs w:val="22"/>
          <w:lang w:val="en-AU"/>
        </w:rPr>
        <w:t xml:space="preserve">The </w:t>
      </w:r>
      <w:r w:rsidRPr="00843102">
        <w:rPr>
          <w:rFonts w:ascii="Arial" w:hAnsi="Arial" w:cs="Arial"/>
          <w:i/>
          <w:sz w:val="22"/>
          <w:szCs w:val="22"/>
          <w:lang w:val="en-AU"/>
        </w:rPr>
        <w:t>Radiocommunications (Spectrum Licence Tax) Amendment Determination 2012 (No.1.)</w:t>
      </w:r>
      <w:proofErr w:type="gramEnd"/>
      <w:r w:rsidRPr="00843102">
        <w:rPr>
          <w:rFonts w:ascii="Arial" w:hAnsi="Arial" w:cs="Arial"/>
          <w:i/>
          <w:sz w:val="22"/>
          <w:szCs w:val="22"/>
          <w:lang w:val="en-AU"/>
        </w:rPr>
        <w:t xml:space="preserve"> </w:t>
      </w:r>
      <w:r w:rsidRPr="00843102">
        <w:rPr>
          <w:rFonts w:ascii="Arial" w:hAnsi="Arial" w:cs="Arial"/>
          <w:sz w:val="22"/>
          <w:szCs w:val="22"/>
          <w:lang w:val="en-AU"/>
        </w:rPr>
        <w:t>(</w:t>
      </w:r>
      <w:proofErr w:type="gramStart"/>
      <w:r w:rsidRPr="00843102">
        <w:rPr>
          <w:rFonts w:ascii="Arial" w:hAnsi="Arial" w:cs="Arial"/>
          <w:sz w:val="22"/>
          <w:szCs w:val="22"/>
          <w:lang w:val="en-AU"/>
        </w:rPr>
        <w:t>the</w:t>
      </w:r>
      <w:proofErr w:type="gramEnd"/>
      <w:r w:rsidRPr="00843102">
        <w:rPr>
          <w:rFonts w:ascii="Arial" w:hAnsi="Arial" w:cs="Arial"/>
          <w:b/>
          <w:sz w:val="22"/>
          <w:szCs w:val="22"/>
          <w:lang w:val="en-AU"/>
        </w:rPr>
        <w:t xml:space="preserve"> Amendment Determination</w:t>
      </w:r>
      <w:r w:rsidRPr="00843102">
        <w:rPr>
          <w:rFonts w:ascii="Arial" w:hAnsi="Arial" w:cs="Arial"/>
          <w:sz w:val="22"/>
          <w:szCs w:val="22"/>
          <w:lang w:val="en-AU"/>
        </w:rPr>
        <w:t xml:space="preserve">) is made under </w:t>
      </w:r>
      <w:r w:rsidR="006D7B40">
        <w:rPr>
          <w:rFonts w:ascii="Arial" w:hAnsi="Arial" w:cs="Arial"/>
          <w:sz w:val="22"/>
          <w:szCs w:val="22"/>
          <w:lang w:val="en-AU"/>
        </w:rPr>
        <w:t>sub</w:t>
      </w:r>
      <w:r w:rsidRPr="00843102">
        <w:rPr>
          <w:rFonts w:ascii="Arial" w:hAnsi="Arial" w:cs="Arial"/>
          <w:sz w:val="22"/>
          <w:szCs w:val="22"/>
          <w:lang w:val="en-AU"/>
        </w:rPr>
        <w:t>section 7</w:t>
      </w:r>
      <w:r w:rsidR="006D7B40">
        <w:rPr>
          <w:rFonts w:ascii="Arial" w:hAnsi="Arial" w:cs="Arial"/>
          <w:sz w:val="22"/>
          <w:szCs w:val="22"/>
          <w:lang w:val="en-AU"/>
        </w:rPr>
        <w:t xml:space="preserve"> </w:t>
      </w:r>
      <w:r w:rsidRPr="00843102">
        <w:rPr>
          <w:rFonts w:ascii="Arial" w:hAnsi="Arial" w:cs="Arial"/>
          <w:sz w:val="22"/>
          <w:szCs w:val="22"/>
          <w:lang w:val="en-AU"/>
        </w:rPr>
        <w:t xml:space="preserve">(1) of the Act. </w:t>
      </w:r>
      <w:r w:rsidRPr="00843102">
        <w:rPr>
          <w:rFonts w:ascii="Arial" w:hAnsi="Arial"/>
          <w:color w:val="000000"/>
          <w:sz w:val="22"/>
          <w:szCs w:val="22"/>
        </w:rPr>
        <w:t xml:space="preserve"> </w:t>
      </w:r>
      <w:r w:rsidR="005D16C3">
        <w:rPr>
          <w:rFonts w:ascii="Arial" w:hAnsi="Arial"/>
          <w:color w:val="000000"/>
          <w:sz w:val="22"/>
          <w:szCs w:val="22"/>
        </w:rPr>
        <w:t xml:space="preserve">The Amendment Determination amends the </w:t>
      </w:r>
      <w:r w:rsidR="005D16C3" w:rsidRPr="00843102">
        <w:rPr>
          <w:rFonts w:ascii="Arial" w:hAnsi="Arial"/>
          <w:i/>
          <w:sz w:val="22"/>
          <w:szCs w:val="22"/>
        </w:rPr>
        <w:t xml:space="preserve">Radiocommunications (Spectrum Licence Tax) Determination 1999 </w:t>
      </w:r>
      <w:r w:rsidR="005D16C3" w:rsidRPr="00843102">
        <w:rPr>
          <w:rFonts w:ascii="Arial" w:hAnsi="Arial"/>
          <w:sz w:val="22"/>
          <w:szCs w:val="22"/>
        </w:rPr>
        <w:t xml:space="preserve">(the </w:t>
      </w:r>
      <w:r w:rsidR="005D16C3" w:rsidRPr="00843102">
        <w:rPr>
          <w:rFonts w:ascii="Arial" w:hAnsi="Arial"/>
          <w:b/>
          <w:sz w:val="22"/>
          <w:szCs w:val="22"/>
        </w:rPr>
        <w:t>Determination</w:t>
      </w:r>
      <w:r w:rsidR="005D16C3" w:rsidRPr="00843102">
        <w:rPr>
          <w:rFonts w:ascii="Arial" w:hAnsi="Arial"/>
          <w:sz w:val="22"/>
          <w:szCs w:val="22"/>
        </w:rPr>
        <w:t>)</w:t>
      </w:r>
      <w:r w:rsidR="00055AE3">
        <w:rPr>
          <w:rFonts w:ascii="Arial" w:hAnsi="Arial"/>
          <w:sz w:val="22"/>
          <w:szCs w:val="22"/>
        </w:rPr>
        <w:t xml:space="preserve"> </w:t>
      </w:r>
      <w:r w:rsidRPr="00843102">
        <w:rPr>
          <w:rFonts w:ascii="Arial" w:hAnsi="Arial"/>
          <w:sz w:val="22"/>
          <w:szCs w:val="22"/>
        </w:rPr>
        <w:t>in order to:</w:t>
      </w:r>
    </w:p>
    <w:p w:rsidR="00BE5F43" w:rsidRPr="00843102" w:rsidRDefault="00BE5F43" w:rsidP="00BE5F43">
      <w:pPr>
        <w:numPr>
          <w:ilvl w:val="0"/>
          <w:numId w:val="24"/>
        </w:numPr>
        <w:tabs>
          <w:tab w:val="clear" w:pos="360"/>
          <w:tab w:val="num" w:pos="720"/>
        </w:tabs>
        <w:spacing w:after="120"/>
        <w:ind w:left="720"/>
        <w:rPr>
          <w:rFonts w:ascii="Arial" w:hAnsi="Arial"/>
          <w:sz w:val="22"/>
          <w:szCs w:val="22"/>
        </w:rPr>
      </w:pPr>
      <w:r w:rsidRPr="00843102">
        <w:rPr>
          <w:rFonts w:ascii="Arial" w:hAnsi="Arial"/>
          <w:sz w:val="22"/>
          <w:szCs w:val="22"/>
        </w:rPr>
        <w:t xml:space="preserve">update the base amounts for six specified </w:t>
      </w:r>
      <w:r w:rsidR="005D16C3">
        <w:rPr>
          <w:rFonts w:ascii="Arial" w:hAnsi="Arial"/>
          <w:sz w:val="22"/>
          <w:szCs w:val="22"/>
        </w:rPr>
        <w:t xml:space="preserve">frequency </w:t>
      </w:r>
      <w:r w:rsidRPr="00843102">
        <w:rPr>
          <w:rFonts w:ascii="Arial" w:hAnsi="Arial"/>
          <w:sz w:val="22"/>
          <w:szCs w:val="22"/>
        </w:rPr>
        <w:t>bands</w:t>
      </w:r>
      <w:r w:rsidR="005D16C3">
        <w:rPr>
          <w:rFonts w:ascii="Arial" w:hAnsi="Arial"/>
          <w:sz w:val="22"/>
          <w:szCs w:val="22"/>
        </w:rPr>
        <w:t xml:space="preserve"> (in Part 1 of Schedule 1 of the Determination);</w:t>
      </w:r>
    </w:p>
    <w:p w:rsidR="00BE5F43" w:rsidRPr="00843102" w:rsidRDefault="00BE5F43" w:rsidP="00BE5F43">
      <w:pPr>
        <w:numPr>
          <w:ilvl w:val="0"/>
          <w:numId w:val="24"/>
        </w:numPr>
        <w:tabs>
          <w:tab w:val="clear" w:pos="360"/>
          <w:tab w:val="num" w:pos="720"/>
        </w:tabs>
        <w:spacing w:after="120"/>
        <w:ind w:left="720"/>
        <w:rPr>
          <w:rFonts w:ascii="Arial" w:hAnsi="Arial"/>
          <w:sz w:val="22"/>
          <w:szCs w:val="22"/>
        </w:rPr>
      </w:pPr>
      <w:r w:rsidRPr="00843102">
        <w:rPr>
          <w:rFonts w:ascii="Arial" w:hAnsi="Arial"/>
          <w:sz w:val="22"/>
          <w:szCs w:val="22"/>
        </w:rPr>
        <w:t xml:space="preserve">remove the base amount for </w:t>
      </w:r>
      <w:r w:rsidR="005D16C3">
        <w:rPr>
          <w:rFonts w:ascii="Arial" w:hAnsi="Arial"/>
          <w:sz w:val="22"/>
          <w:szCs w:val="22"/>
        </w:rPr>
        <w:t xml:space="preserve">the 500 MHz band, </w:t>
      </w:r>
      <w:r w:rsidRPr="00843102">
        <w:rPr>
          <w:rFonts w:ascii="Arial" w:hAnsi="Arial"/>
          <w:sz w:val="22"/>
          <w:szCs w:val="22"/>
        </w:rPr>
        <w:t>which is no longer spectrum-licensed</w:t>
      </w:r>
      <w:r w:rsidR="005D16C3">
        <w:rPr>
          <w:rFonts w:ascii="Arial" w:hAnsi="Arial"/>
          <w:sz w:val="22"/>
          <w:szCs w:val="22"/>
        </w:rPr>
        <w:t xml:space="preserve">; </w:t>
      </w:r>
      <w:r w:rsidRPr="00843102">
        <w:rPr>
          <w:rFonts w:ascii="Arial" w:hAnsi="Arial"/>
          <w:sz w:val="22"/>
          <w:szCs w:val="22"/>
        </w:rPr>
        <w:t>and</w:t>
      </w:r>
    </w:p>
    <w:p w:rsidR="00BE5F43" w:rsidRPr="00843102" w:rsidRDefault="00BE5F43" w:rsidP="00BE5F43">
      <w:pPr>
        <w:numPr>
          <w:ilvl w:val="0"/>
          <w:numId w:val="24"/>
        </w:numPr>
        <w:tabs>
          <w:tab w:val="clear" w:pos="360"/>
          <w:tab w:val="num" w:pos="720"/>
        </w:tabs>
        <w:spacing w:after="120"/>
        <w:ind w:left="720"/>
        <w:rPr>
          <w:rFonts w:ascii="Arial" w:hAnsi="Arial"/>
          <w:sz w:val="22"/>
          <w:szCs w:val="22"/>
        </w:rPr>
      </w:pPr>
      <w:proofErr w:type="gramStart"/>
      <w:r w:rsidRPr="00843102">
        <w:rPr>
          <w:rFonts w:ascii="Arial" w:hAnsi="Arial"/>
          <w:sz w:val="22"/>
          <w:szCs w:val="22"/>
        </w:rPr>
        <w:t>replace</w:t>
      </w:r>
      <w:proofErr w:type="gramEnd"/>
      <w:r w:rsidRPr="00843102">
        <w:rPr>
          <w:rFonts w:ascii="Arial" w:hAnsi="Arial"/>
          <w:sz w:val="22"/>
          <w:szCs w:val="22"/>
        </w:rPr>
        <w:t xml:space="preserve"> two references to the 2001 census with references to the 2011 census</w:t>
      </w:r>
      <w:r w:rsidR="005D16C3">
        <w:rPr>
          <w:rFonts w:ascii="Arial" w:hAnsi="Arial"/>
          <w:sz w:val="22"/>
          <w:szCs w:val="22"/>
        </w:rPr>
        <w:t xml:space="preserve">, which is the most recent Australian </w:t>
      </w:r>
      <w:r w:rsidR="00055AE3">
        <w:rPr>
          <w:rFonts w:ascii="Arial" w:hAnsi="Arial"/>
          <w:sz w:val="22"/>
          <w:szCs w:val="22"/>
        </w:rPr>
        <w:t>c</w:t>
      </w:r>
      <w:r w:rsidR="005D16C3">
        <w:rPr>
          <w:rFonts w:ascii="Arial" w:hAnsi="Arial"/>
          <w:sz w:val="22"/>
          <w:szCs w:val="22"/>
        </w:rPr>
        <w:t>ensus</w:t>
      </w:r>
      <w:r w:rsidRPr="00843102">
        <w:rPr>
          <w:rFonts w:ascii="Arial" w:hAnsi="Arial"/>
          <w:sz w:val="22"/>
          <w:szCs w:val="22"/>
        </w:rPr>
        <w:t xml:space="preserve">. </w:t>
      </w:r>
    </w:p>
    <w:p w:rsidR="00BE5F43" w:rsidRPr="00843102" w:rsidRDefault="00BE5F43" w:rsidP="00BE5F43">
      <w:pPr>
        <w:spacing w:after="120"/>
        <w:rPr>
          <w:rFonts w:ascii="Arial" w:hAnsi="Arial"/>
          <w:sz w:val="22"/>
          <w:szCs w:val="22"/>
        </w:rPr>
      </w:pPr>
      <w:r w:rsidRPr="00843102">
        <w:rPr>
          <w:rFonts w:ascii="Arial" w:hAnsi="Arial"/>
          <w:sz w:val="22"/>
          <w:szCs w:val="22"/>
        </w:rPr>
        <w:t>The recalculated base amounts incorporate updated cost and revenue figures, as well as updated apparatus licence fees (all of which are used in the calculation of base amounts</w:t>
      </w:r>
      <w:r w:rsidR="00100FE7">
        <w:rPr>
          <w:rFonts w:ascii="Arial" w:hAnsi="Arial"/>
          <w:sz w:val="22"/>
          <w:szCs w:val="22"/>
        </w:rPr>
        <w:t xml:space="preserve"> for each spectrum licensed band</w:t>
      </w:r>
      <w:r w:rsidRPr="00843102">
        <w:rPr>
          <w:rFonts w:ascii="Arial" w:hAnsi="Arial"/>
          <w:sz w:val="22"/>
          <w:szCs w:val="22"/>
        </w:rPr>
        <w:t>).</w:t>
      </w:r>
    </w:p>
    <w:p w:rsidR="00BE5F43" w:rsidRPr="00843102" w:rsidRDefault="00BE5F43" w:rsidP="00BE5F43">
      <w:pPr>
        <w:spacing w:after="120"/>
        <w:rPr>
          <w:rFonts w:ascii="Arial" w:hAnsi="Arial"/>
          <w:sz w:val="22"/>
          <w:szCs w:val="22"/>
        </w:rPr>
      </w:pPr>
      <w:r w:rsidRPr="00843102">
        <w:rPr>
          <w:rFonts w:ascii="Arial" w:hAnsi="Arial"/>
          <w:sz w:val="22"/>
          <w:szCs w:val="22"/>
        </w:rPr>
        <w:t>Subsection 9</w:t>
      </w:r>
      <w:r w:rsidR="00100FE7">
        <w:rPr>
          <w:rFonts w:ascii="Arial" w:hAnsi="Arial"/>
          <w:sz w:val="22"/>
          <w:szCs w:val="22"/>
        </w:rPr>
        <w:t xml:space="preserve"> </w:t>
      </w:r>
      <w:r w:rsidRPr="00843102">
        <w:rPr>
          <w:rFonts w:ascii="Arial" w:hAnsi="Arial"/>
          <w:sz w:val="22"/>
          <w:szCs w:val="22"/>
        </w:rPr>
        <w:t xml:space="preserve">(1) of the </w:t>
      </w:r>
      <w:r w:rsidRPr="00843102">
        <w:rPr>
          <w:rFonts w:ascii="Arial" w:hAnsi="Arial"/>
          <w:i/>
          <w:sz w:val="22"/>
          <w:szCs w:val="22"/>
        </w:rPr>
        <w:t>Human Rights (Parliamentary Scrutiny) Act 2011</w:t>
      </w:r>
      <w:r w:rsidRPr="00843102">
        <w:rPr>
          <w:rFonts w:ascii="Arial" w:hAnsi="Arial"/>
          <w:sz w:val="22"/>
          <w:szCs w:val="22"/>
        </w:rPr>
        <w:t xml:space="preserve"> requires the rule</w:t>
      </w:r>
      <w:r w:rsidRPr="00843102">
        <w:rPr>
          <w:rFonts w:ascii="Arial" w:eastAsia="MS Mincho" w:hAnsi="Arial"/>
          <w:sz w:val="22"/>
          <w:szCs w:val="22"/>
        </w:rPr>
        <w:t>-</w:t>
      </w:r>
      <w:r w:rsidRPr="00843102">
        <w:rPr>
          <w:rFonts w:ascii="Arial" w:hAnsi="Arial"/>
          <w:sz w:val="22"/>
          <w:szCs w:val="22"/>
        </w:rPr>
        <w:t xml:space="preserve">maker in relation to a legislative instrument to which section 42 (disallowance) of the </w:t>
      </w:r>
      <w:r w:rsidRPr="00843102">
        <w:rPr>
          <w:rFonts w:ascii="Arial" w:hAnsi="Arial"/>
          <w:i/>
          <w:sz w:val="22"/>
          <w:szCs w:val="22"/>
        </w:rPr>
        <w:t>Legislative Instruments Act 2003</w:t>
      </w:r>
      <w:r w:rsidRPr="00843102">
        <w:rPr>
          <w:rFonts w:ascii="Arial" w:hAnsi="Arial"/>
          <w:sz w:val="22"/>
          <w:szCs w:val="22"/>
        </w:rPr>
        <w:t xml:space="preserve"> applies to cause a statement of compatibility to be prepared in respect of that legislative instrument.</w:t>
      </w:r>
    </w:p>
    <w:p w:rsidR="00BE5F43" w:rsidRPr="00843102" w:rsidRDefault="00BE5F43" w:rsidP="00BE5F43">
      <w:pPr>
        <w:spacing w:after="120"/>
        <w:rPr>
          <w:rFonts w:ascii="Arial" w:hAnsi="Arial"/>
          <w:sz w:val="22"/>
          <w:szCs w:val="22"/>
        </w:rPr>
      </w:pPr>
      <w:r w:rsidRPr="00843102">
        <w:rPr>
          <w:rFonts w:ascii="Arial" w:hAnsi="Arial"/>
          <w:sz w:val="22"/>
          <w:szCs w:val="22"/>
        </w:rPr>
        <w:t xml:space="preserve">The </w:t>
      </w:r>
      <w:r w:rsidR="00100FE7">
        <w:rPr>
          <w:rFonts w:ascii="Arial" w:hAnsi="Arial"/>
          <w:sz w:val="22"/>
          <w:szCs w:val="22"/>
        </w:rPr>
        <w:t xml:space="preserve">Amendment </w:t>
      </w:r>
      <w:r w:rsidRPr="00843102">
        <w:rPr>
          <w:rFonts w:ascii="Arial" w:hAnsi="Arial"/>
          <w:sz w:val="22"/>
          <w:szCs w:val="22"/>
        </w:rPr>
        <w:t xml:space="preserve">Determination is a legislative instrument that is subject to disallowance under section 42 of the </w:t>
      </w:r>
      <w:r w:rsidRPr="00843102">
        <w:rPr>
          <w:rFonts w:ascii="Arial" w:hAnsi="Arial"/>
          <w:i/>
          <w:sz w:val="22"/>
          <w:szCs w:val="22"/>
        </w:rPr>
        <w:t>Legislative Instruments Act 2003</w:t>
      </w:r>
      <w:r w:rsidRPr="00843102">
        <w:rPr>
          <w:rFonts w:ascii="Arial" w:hAnsi="Arial"/>
          <w:sz w:val="22"/>
          <w:szCs w:val="22"/>
        </w:rPr>
        <w:t>.</w:t>
      </w:r>
    </w:p>
    <w:p w:rsidR="00BB68FD" w:rsidRPr="00843102" w:rsidRDefault="00BB68FD" w:rsidP="00BB68FD">
      <w:pPr>
        <w:jc w:val="both"/>
        <w:rPr>
          <w:rFonts w:ascii="Arial" w:hAnsi="Arial" w:cs="Arial"/>
          <w:sz w:val="22"/>
          <w:szCs w:val="22"/>
          <w:lang w:val="en-AU"/>
        </w:rPr>
      </w:pPr>
    </w:p>
    <w:p w:rsidR="00D841E1" w:rsidRPr="00843102" w:rsidRDefault="0039588A">
      <w:pPr>
        <w:jc w:val="both"/>
        <w:rPr>
          <w:rFonts w:ascii="Arial" w:hAnsi="Arial" w:cs="Arial"/>
          <w:b/>
          <w:sz w:val="22"/>
          <w:szCs w:val="22"/>
        </w:rPr>
      </w:pPr>
      <w:r w:rsidRPr="00843102">
        <w:rPr>
          <w:rFonts w:ascii="Arial" w:hAnsi="Arial" w:cs="Arial"/>
          <w:b/>
          <w:sz w:val="22"/>
          <w:szCs w:val="22"/>
        </w:rPr>
        <w:t>Human Rights Implications</w:t>
      </w:r>
    </w:p>
    <w:p w:rsidR="00D841E1" w:rsidRPr="00843102" w:rsidRDefault="00D841E1">
      <w:pPr>
        <w:jc w:val="both"/>
        <w:rPr>
          <w:rFonts w:ascii="Arial" w:hAnsi="Arial" w:cs="Arial"/>
          <w:b/>
          <w:sz w:val="22"/>
          <w:szCs w:val="22"/>
        </w:rPr>
      </w:pPr>
    </w:p>
    <w:p w:rsidR="00D841E1" w:rsidRPr="00843102" w:rsidRDefault="0039588A">
      <w:pPr>
        <w:jc w:val="both"/>
        <w:rPr>
          <w:rFonts w:ascii="Arial" w:hAnsi="Arial" w:cs="Arial"/>
          <w:sz w:val="22"/>
          <w:szCs w:val="22"/>
        </w:rPr>
      </w:pPr>
      <w:r w:rsidRPr="00843102">
        <w:rPr>
          <w:rFonts w:ascii="Arial" w:hAnsi="Arial" w:cs="Arial"/>
          <w:sz w:val="22"/>
          <w:szCs w:val="22"/>
        </w:rPr>
        <w:t xml:space="preserve">The </w:t>
      </w:r>
      <w:r w:rsidR="00100FE7">
        <w:rPr>
          <w:rFonts w:ascii="Arial" w:hAnsi="Arial" w:cs="Arial"/>
          <w:sz w:val="22"/>
          <w:szCs w:val="22"/>
        </w:rPr>
        <w:t xml:space="preserve">Amendment </w:t>
      </w:r>
      <w:r w:rsidRPr="00843102">
        <w:rPr>
          <w:rFonts w:ascii="Arial" w:hAnsi="Arial" w:cs="Arial"/>
          <w:sz w:val="22"/>
          <w:szCs w:val="22"/>
        </w:rPr>
        <w:t>Determination does not engage any of the applicable rights or freedoms.</w:t>
      </w:r>
    </w:p>
    <w:p w:rsidR="00D841E1" w:rsidRPr="00843102" w:rsidRDefault="00D841E1">
      <w:pPr>
        <w:jc w:val="both"/>
        <w:rPr>
          <w:rFonts w:ascii="Arial" w:hAnsi="Arial" w:cs="Arial"/>
          <w:sz w:val="22"/>
          <w:szCs w:val="22"/>
        </w:rPr>
      </w:pPr>
    </w:p>
    <w:p w:rsidR="00D841E1" w:rsidRPr="00843102" w:rsidRDefault="0039588A">
      <w:pPr>
        <w:jc w:val="both"/>
        <w:rPr>
          <w:rFonts w:ascii="Arial" w:hAnsi="Arial" w:cs="Arial"/>
          <w:b/>
          <w:sz w:val="22"/>
          <w:szCs w:val="22"/>
        </w:rPr>
      </w:pPr>
      <w:r w:rsidRPr="00843102">
        <w:rPr>
          <w:rFonts w:ascii="Arial" w:hAnsi="Arial" w:cs="Arial"/>
          <w:b/>
          <w:sz w:val="22"/>
          <w:szCs w:val="22"/>
        </w:rPr>
        <w:t>Conclusion</w:t>
      </w:r>
    </w:p>
    <w:p w:rsidR="00055AE3" w:rsidRDefault="00055AE3">
      <w:pPr>
        <w:jc w:val="both"/>
        <w:rPr>
          <w:rFonts w:ascii="Arial" w:hAnsi="Arial" w:cs="Arial"/>
          <w:sz w:val="22"/>
          <w:szCs w:val="22"/>
        </w:rPr>
      </w:pPr>
    </w:p>
    <w:p w:rsidR="00000000" w:rsidRDefault="0039588A">
      <w:pPr>
        <w:jc w:val="both"/>
        <w:rPr>
          <w:rFonts w:ascii="Arial" w:hAnsi="Arial" w:cs="Arial"/>
          <w:sz w:val="22"/>
          <w:szCs w:val="22"/>
          <w:lang w:val="en-AU"/>
        </w:rPr>
      </w:pPr>
      <w:r w:rsidRPr="00843102">
        <w:rPr>
          <w:rFonts w:ascii="Arial" w:hAnsi="Arial" w:cs="Arial"/>
          <w:sz w:val="22"/>
          <w:szCs w:val="22"/>
        </w:rPr>
        <w:t xml:space="preserve">The </w:t>
      </w:r>
      <w:r w:rsidR="00100FE7">
        <w:rPr>
          <w:rFonts w:ascii="Arial" w:hAnsi="Arial" w:cs="Arial"/>
          <w:sz w:val="22"/>
          <w:szCs w:val="22"/>
        </w:rPr>
        <w:t xml:space="preserve">Amendment </w:t>
      </w:r>
      <w:r w:rsidRPr="00843102">
        <w:rPr>
          <w:rFonts w:ascii="Arial" w:hAnsi="Arial" w:cs="Arial"/>
          <w:sz w:val="22"/>
          <w:szCs w:val="22"/>
        </w:rPr>
        <w:t>Determination is compatible with human rights as it does not raise any human rights issues.</w:t>
      </w:r>
    </w:p>
    <w:sectPr w:rsidR="00000000" w:rsidSect="000907DE">
      <w:headerReference w:type="even" r:id="rId14"/>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D5" w:rsidRDefault="000917D5">
      <w:r>
        <w:separator/>
      </w:r>
    </w:p>
  </w:endnote>
  <w:endnote w:type="continuationSeparator" w:id="0">
    <w:p w:rsidR="000917D5" w:rsidRDefault="00091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5" w:rsidRDefault="000917D5" w:rsidP="0036213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5" w:rsidRDefault="000917D5" w:rsidP="00B32F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D5" w:rsidRDefault="000917D5">
      <w:r>
        <w:separator/>
      </w:r>
    </w:p>
  </w:footnote>
  <w:footnote w:type="continuationSeparator" w:id="0">
    <w:p w:rsidR="000917D5" w:rsidRDefault="00091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5" w:rsidRDefault="007D1102" w:rsidP="00A844EF">
    <w:pPr>
      <w:pStyle w:val="Header"/>
      <w:framePr w:wrap="around" w:vAnchor="text" w:hAnchor="margin" w:xAlign="center" w:y="1"/>
      <w:rPr>
        <w:rStyle w:val="PageNumber"/>
      </w:rPr>
    </w:pPr>
    <w:r>
      <w:rPr>
        <w:rStyle w:val="PageNumber"/>
      </w:rPr>
      <w:fldChar w:fldCharType="begin"/>
    </w:r>
    <w:r w:rsidR="000917D5">
      <w:rPr>
        <w:rStyle w:val="PageNumber"/>
      </w:rPr>
      <w:instrText xml:space="preserve">PAGE  </w:instrText>
    </w:r>
    <w:r>
      <w:rPr>
        <w:rStyle w:val="PageNumber"/>
      </w:rPr>
      <w:fldChar w:fldCharType="end"/>
    </w:r>
  </w:p>
  <w:p w:rsidR="000917D5" w:rsidRDefault="00091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5" w:rsidRDefault="007D1102" w:rsidP="00A13E1F">
    <w:pPr>
      <w:pStyle w:val="Header"/>
      <w:framePr w:wrap="around" w:vAnchor="text" w:hAnchor="margin" w:xAlign="center" w:y="1"/>
      <w:jc w:val="center"/>
      <w:rPr>
        <w:rStyle w:val="PageNumber"/>
      </w:rPr>
    </w:pPr>
    <w:r>
      <w:rPr>
        <w:rStyle w:val="PageNumber"/>
      </w:rPr>
      <w:fldChar w:fldCharType="begin"/>
    </w:r>
    <w:r w:rsidR="000917D5">
      <w:rPr>
        <w:rStyle w:val="PageNumber"/>
      </w:rPr>
      <w:instrText xml:space="preserve">PAGE  </w:instrText>
    </w:r>
    <w:r>
      <w:rPr>
        <w:rStyle w:val="PageNumber"/>
      </w:rPr>
      <w:fldChar w:fldCharType="separate"/>
    </w:r>
    <w:r w:rsidR="00927406">
      <w:rPr>
        <w:rStyle w:val="PageNumber"/>
        <w:noProof/>
      </w:rPr>
      <w:t>6</w:t>
    </w:r>
    <w:r>
      <w:rPr>
        <w:rStyle w:val="PageNumber"/>
      </w:rPr>
      <w:fldChar w:fldCharType="end"/>
    </w:r>
  </w:p>
  <w:p w:rsidR="000917D5" w:rsidRDefault="000917D5" w:rsidP="00362134">
    <w:pPr>
      <w:pStyle w:val="Header"/>
      <w:jc w:val="center"/>
      <w:rPr>
        <w:b/>
        <w:sz w:val="32"/>
        <w:szCs w:val="32"/>
        <w:lang w:val="en-AU"/>
      </w:rPr>
    </w:pPr>
  </w:p>
  <w:p w:rsidR="000917D5" w:rsidRDefault="000917D5" w:rsidP="00E72F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B85848"/>
    <w:lvl w:ilvl="0">
      <w:numFmt w:val="bullet"/>
      <w:lvlText w:val="*"/>
      <w:lvlJc w:val="left"/>
    </w:lvl>
  </w:abstractNum>
  <w:abstractNum w:abstractNumId="1">
    <w:nsid w:val="090D6789"/>
    <w:multiLevelType w:val="hybridMultilevel"/>
    <w:tmpl w:val="8B5A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65676"/>
    <w:multiLevelType w:val="hybridMultilevel"/>
    <w:tmpl w:val="60BA2F6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FE43E5"/>
    <w:multiLevelType w:val="hybridMultilevel"/>
    <w:tmpl w:val="1B8C26CA"/>
    <w:lvl w:ilvl="0" w:tplc="36E0A874">
      <w:start w:val="2"/>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333B0"/>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E4070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B76651"/>
    <w:multiLevelType w:val="hybridMultilevel"/>
    <w:tmpl w:val="0D2CB68C"/>
    <w:lvl w:ilvl="0" w:tplc="44D64128">
      <w:start w:val="1"/>
      <w:numFmt w:val="bullet"/>
      <w:lvlText w:val="˃"/>
      <w:lvlJc w:val="left"/>
      <w:pPr>
        <w:ind w:left="720" w:hanging="360"/>
      </w:pPr>
      <w:rPr>
        <w:rFonts w:ascii="Arial" w:hAnsi="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3B1455"/>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204A19"/>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2A1F7F"/>
    <w:multiLevelType w:val="hybridMultilevel"/>
    <w:tmpl w:val="CF92B71C"/>
    <w:lvl w:ilvl="0" w:tplc="F57650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6E34AE"/>
    <w:multiLevelType w:val="hybridMultilevel"/>
    <w:tmpl w:val="7B80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AD59F6"/>
    <w:multiLevelType w:val="hybridMultilevel"/>
    <w:tmpl w:val="E9E47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8831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EFA0A30"/>
    <w:multiLevelType w:val="hybridMultilevel"/>
    <w:tmpl w:val="13249442"/>
    <w:lvl w:ilvl="0" w:tplc="CCD47F66">
      <w:numFmt w:val="bullet"/>
      <w:lvlText w:val="•"/>
      <w:lvlJc w:val="left"/>
      <w:pPr>
        <w:ind w:left="930" w:hanging="57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2A1C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1DB7A66"/>
    <w:multiLevelType w:val="hybridMultilevel"/>
    <w:tmpl w:val="BDD2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373C8"/>
    <w:multiLevelType w:val="hybridMultilevel"/>
    <w:tmpl w:val="464C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73E1E"/>
    <w:multiLevelType w:val="hybridMultilevel"/>
    <w:tmpl w:val="FD96F448"/>
    <w:lvl w:ilvl="0" w:tplc="85E6281C">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8">
    <w:nsid w:val="55821BE7"/>
    <w:multiLevelType w:val="hybridMultilevel"/>
    <w:tmpl w:val="448C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705977"/>
    <w:multiLevelType w:val="hybridMultilevel"/>
    <w:tmpl w:val="ECFAEFF2"/>
    <w:lvl w:ilvl="0" w:tplc="44D6412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602317"/>
    <w:multiLevelType w:val="hybridMultilevel"/>
    <w:tmpl w:val="91CA8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DD4708"/>
    <w:multiLevelType w:val="hybridMultilevel"/>
    <w:tmpl w:val="7818CD1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582E89"/>
    <w:multiLevelType w:val="hybridMultilevel"/>
    <w:tmpl w:val="D4A09600"/>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6E60B8"/>
    <w:multiLevelType w:val="hybridMultilevel"/>
    <w:tmpl w:val="92E8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C82104"/>
    <w:multiLevelType w:val="hybridMultilevel"/>
    <w:tmpl w:val="29CE0F9E"/>
    <w:lvl w:ilvl="0" w:tplc="4254E7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201B9F"/>
    <w:multiLevelType w:val="hybridMultilevel"/>
    <w:tmpl w:val="B396FFF2"/>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
  </w:num>
  <w:num w:numId="5">
    <w:abstractNumId w:val="16"/>
  </w:num>
  <w:num w:numId="6">
    <w:abstractNumId w:val="0"/>
    <w:lvlOverride w:ilvl="0">
      <w:lvl w:ilvl="0">
        <w:numFmt w:val="bullet"/>
        <w:lvlText w:val="•"/>
        <w:legacy w:legacy="1" w:legacySpace="0" w:legacyIndent="0"/>
        <w:lvlJc w:val="left"/>
        <w:rPr>
          <w:rFonts w:ascii="Helv" w:hAnsi="Helv" w:hint="default"/>
        </w:rPr>
      </w:lvl>
    </w:lvlOverride>
  </w:num>
  <w:num w:numId="7">
    <w:abstractNumId w:val="21"/>
  </w:num>
  <w:num w:numId="8">
    <w:abstractNumId w:val="8"/>
  </w:num>
  <w:num w:numId="9">
    <w:abstractNumId w:val="9"/>
  </w:num>
  <w:num w:numId="10">
    <w:abstractNumId w:val="4"/>
  </w:num>
  <w:num w:numId="11">
    <w:abstractNumId w:val="7"/>
  </w:num>
  <w:num w:numId="12">
    <w:abstractNumId w:val="25"/>
  </w:num>
  <w:num w:numId="13">
    <w:abstractNumId w:val="13"/>
  </w:num>
  <w:num w:numId="14">
    <w:abstractNumId w:val="2"/>
  </w:num>
  <w:num w:numId="15">
    <w:abstractNumId w:val="5"/>
  </w:num>
  <w:num w:numId="16">
    <w:abstractNumId w:val="22"/>
  </w:num>
  <w:num w:numId="17">
    <w:abstractNumId w:val="3"/>
  </w:num>
  <w:num w:numId="18">
    <w:abstractNumId w:val="6"/>
  </w:num>
  <w:num w:numId="19">
    <w:abstractNumId w:val="11"/>
  </w:num>
  <w:num w:numId="20">
    <w:abstractNumId w:val="19"/>
  </w:num>
  <w:num w:numId="21">
    <w:abstractNumId w:val="24"/>
  </w:num>
  <w:num w:numId="22">
    <w:abstractNumId w:val="10"/>
  </w:num>
  <w:num w:numId="23">
    <w:abstractNumId w:val="17"/>
  </w:num>
  <w:num w:numId="24">
    <w:abstractNumId w:val="12"/>
  </w:num>
  <w:num w:numId="25">
    <w:abstractNumId w:val="1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trackRevisions/>
  <w:doNotTrackMoves/>
  <w:defaultTabStop w:val="567"/>
  <w:drawingGridHorizontalSpacing w:val="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022"/>
    <w:rsid w:val="00001FCD"/>
    <w:rsid w:val="0000300B"/>
    <w:rsid w:val="0000334E"/>
    <w:rsid w:val="00005643"/>
    <w:rsid w:val="00005C39"/>
    <w:rsid w:val="00007C8D"/>
    <w:rsid w:val="00016BA2"/>
    <w:rsid w:val="00023C08"/>
    <w:rsid w:val="00025D13"/>
    <w:rsid w:val="0003025D"/>
    <w:rsid w:val="00032B32"/>
    <w:rsid w:val="00036086"/>
    <w:rsid w:val="00040B05"/>
    <w:rsid w:val="00041682"/>
    <w:rsid w:val="0004274A"/>
    <w:rsid w:val="00051A91"/>
    <w:rsid w:val="00052DB6"/>
    <w:rsid w:val="0005491A"/>
    <w:rsid w:val="00055AE3"/>
    <w:rsid w:val="000609D9"/>
    <w:rsid w:val="00065340"/>
    <w:rsid w:val="00070A52"/>
    <w:rsid w:val="00072306"/>
    <w:rsid w:val="00072549"/>
    <w:rsid w:val="000727E2"/>
    <w:rsid w:val="00073B86"/>
    <w:rsid w:val="00083579"/>
    <w:rsid w:val="00084D8E"/>
    <w:rsid w:val="000907DE"/>
    <w:rsid w:val="000917D5"/>
    <w:rsid w:val="000954CB"/>
    <w:rsid w:val="00096FB8"/>
    <w:rsid w:val="000A0E4B"/>
    <w:rsid w:val="000A2AE5"/>
    <w:rsid w:val="000A3641"/>
    <w:rsid w:val="000A4D28"/>
    <w:rsid w:val="000A5293"/>
    <w:rsid w:val="000A6A9B"/>
    <w:rsid w:val="000A7A3F"/>
    <w:rsid w:val="000B0CC6"/>
    <w:rsid w:val="000B1051"/>
    <w:rsid w:val="000B193B"/>
    <w:rsid w:val="000B2131"/>
    <w:rsid w:val="000B3A34"/>
    <w:rsid w:val="000B3F4F"/>
    <w:rsid w:val="000C14FE"/>
    <w:rsid w:val="000C2BDB"/>
    <w:rsid w:val="000C3067"/>
    <w:rsid w:val="000C4F59"/>
    <w:rsid w:val="000C7244"/>
    <w:rsid w:val="000D02FC"/>
    <w:rsid w:val="000D1326"/>
    <w:rsid w:val="000D432B"/>
    <w:rsid w:val="000D4DC3"/>
    <w:rsid w:val="000D4FF8"/>
    <w:rsid w:val="000D68D5"/>
    <w:rsid w:val="000D797B"/>
    <w:rsid w:val="000E312C"/>
    <w:rsid w:val="000E3954"/>
    <w:rsid w:val="000E44D2"/>
    <w:rsid w:val="000E7688"/>
    <w:rsid w:val="000E7BC7"/>
    <w:rsid w:val="000F145B"/>
    <w:rsid w:val="000F1F80"/>
    <w:rsid w:val="000F66BE"/>
    <w:rsid w:val="000F6A00"/>
    <w:rsid w:val="000F702B"/>
    <w:rsid w:val="000F7B2C"/>
    <w:rsid w:val="000F7DDD"/>
    <w:rsid w:val="001002A8"/>
    <w:rsid w:val="00100FE7"/>
    <w:rsid w:val="001019FD"/>
    <w:rsid w:val="001037A5"/>
    <w:rsid w:val="001040ED"/>
    <w:rsid w:val="00105943"/>
    <w:rsid w:val="00107C9C"/>
    <w:rsid w:val="00110856"/>
    <w:rsid w:val="00110931"/>
    <w:rsid w:val="00111D3B"/>
    <w:rsid w:val="001127B6"/>
    <w:rsid w:val="001130BC"/>
    <w:rsid w:val="00113FC2"/>
    <w:rsid w:val="0011424C"/>
    <w:rsid w:val="00122FA0"/>
    <w:rsid w:val="0012342D"/>
    <w:rsid w:val="001240A3"/>
    <w:rsid w:val="001244AE"/>
    <w:rsid w:val="00124A67"/>
    <w:rsid w:val="00125A68"/>
    <w:rsid w:val="001264EA"/>
    <w:rsid w:val="00134A4B"/>
    <w:rsid w:val="001358C8"/>
    <w:rsid w:val="00137EBF"/>
    <w:rsid w:val="00147015"/>
    <w:rsid w:val="001522E5"/>
    <w:rsid w:val="00153F0C"/>
    <w:rsid w:val="0015739E"/>
    <w:rsid w:val="00157501"/>
    <w:rsid w:val="001611E0"/>
    <w:rsid w:val="00161DE7"/>
    <w:rsid w:val="001631C5"/>
    <w:rsid w:val="00165E54"/>
    <w:rsid w:val="00170D27"/>
    <w:rsid w:val="00171504"/>
    <w:rsid w:val="001716D9"/>
    <w:rsid w:val="00175B1D"/>
    <w:rsid w:val="00175F46"/>
    <w:rsid w:val="001767FA"/>
    <w:rsid w:val="00176E4D"/>
    <w:rsid w:val="00176F16"/>
    <w:rsid w:val="00177AFD"/>
    <w:rsid w:val="001802C0"/>
    <w:rsid w:val="0018129A"/>
    <w:rsid w:val="00181E1C"/>
    <w:rsid w:val="001847A6"/>
    <w:rsid w:val="00185301"/>
    <w:rsid w:val="00186525"/>
    <w:rsid w:val="001901D9"/>
    <w:rsid w:val="00191769"/>
    <w:rsid w:val="00191B3C"/>
    <w:rsid w:val="00193000"/>
    <w:rsid w:val="001939F0"/>
    <w:rsid w:val="00193CCB"/>
    <w:rsid w:val="00193EB6"/>
    <w:rsid w:val="001A0B8E"/>
    <w:rsid w:val="001A0C51"/>
    <w:rsid w:val="001A2609"/>
    <w:rsid w:val="001A412C"/>
    <w:rsid w:val="001A5D71"/>
    <w:rsid w:val="001A6F36"/>
    <w:rsid w:val="001A730C"/>
    <w:rsid w:val="001B30AB"/>
    <w:rsid w:val="001B466C"/>
    <w:rsid w:val="001B58E7"/>
    <w:rsid w:val="001B5A54"/>
    <w:rsid w:val="001B700D"/>
    <w:rsid w:val="001B79DD"/>
    <w:rsid w:val="001C0625"/>
    <w:rsid w:val="001C2D26"/>
    <w:rsid w:val="001C369E"/>
    <w:rsid w:val="001C6DF6"/>
    <w:rsid w:val="001C7822"/>
    <w:rsid w:val="001D0811"/>
    <w:rsid w:val="001D3D7B"/>
    <w:rsid w:val="001D6C0A"/>
    <w:rsid w:val="001E11A4"/>
    <w:rsid w:val="001E4C38"/>
    <w:rsid w:val="001E504A"/>
    <w:rsid w:val="001F0D48"/>
    <w:rsid w:val="001F18D0"/>
    <w:rsid w:val="001F1B3D"/>
    <w:rsid w:val="001F1D68"/>
    <w:rsid w:val="001F375E"/>
    <w:rsid w:val="001F645C"/>
    <w:rsid w:val="001F6F5B"/>
    <w:rsid w:val="0020308D"/>
    <w:rsid w:val="002036F3"/>
    <w:rsid w:val="00203DB1"/>
    <w:rsid w:val="002041C8"/>
    <w:rsid w:val="002104D9"/>
    <w:rsid w:val="002108C7"/>
    <w:rsid w:val="00212BDC"/>
    <w:rsid w:val="002137F6"/>
    <w:rsid w:val="00214906"/>
    <w:rsid w:val="00214F91"/>
    <w:rsid w:val="00215918"/>
    <w:rsid w:val="00217300"/>
    <w:rsid w:val="00221DD3"/>
    <w:rsid w:val="00223418"/>
    <w:rsid w:val="00224650"/>
    <w:rsid w:val="00224F56"/>
    <w:rsid w:val="00225E40"/>
    <w:rsid w:val="0023203E"/>
    <w:rsid w:val="00232983"/>
    <w:rsid w:val="00236BB5"/>
    <w:rsid w:val="00237298"/>
    <w:rsid w:val="002378FB"/>
    <w:rsid w:val="002406D2"/>
    <w:rsid w:val="00240F21"/>
    <w:rsid w:val="002419E7"/>
    <w:rsid w:val="00242450"/>
    <w:rsid w:val="00242911"/>
    <w:rsid w:val="00242A7B"/>
    <w:rsid w:val="00245D33"/>
    <w:rsid w:val="00246998"/>
    <w:rsid w:val="002520E1"/>
    <w:rsid w:val="002546FC"/>
    <w:rsid w:val="00257897"/>
    <w:rsid w:val="00260D08"/>
    <w:rsid w:val="00262777"/>
    <w:rsid w:val="002631B5"/>
    <w:rsid w:val="00265D0D"/>
    <w:rsid w:val="0026726C"/>
    <w:rsid w:val="00272394"/>
    <w:rsid w:val="00272903"/>
    <w:rsid w:val="00275CCC"/>
    <w:rsid w:val="00276EAE"/>
    <w:rsid w:val="00277A54"/>
    <w:rsid w:val="00277B95"/>
    <w:rsid w:val="002806E5"/>
    <w:rsid w:val="00280F33"/>
    <w:rsid w:val="002815AE"/>
    <w:rsid w:val="00281E6D"/>
    <w:rsid w:val="002840DE"/>
    <w:rsid w:val="0029141C"/>
    <w:rsid w:val="00293E33"/>
    <w:rsid w:val="00293EA0"/>
    <w:rsid w:val="0029459F"/>
    <w:rsid w:val="00294E1F"/>
    <w:rsid w:val="00296E82"/>
    <w:rsid w:val="002A23F8"/>
    <w:rsid w:val="002A4EDD"/>
    <w:rsid w:val="002A6D08"/>
    <w:rsid w:val="002B2544"/>
    <w:rsid w:val="002B33EF"/>
    <w:rsid w:val="002B3894"/>
    <w:rsid w:val="002B4583"/>
    <w:rsid w:val="002B543C"/>
    <w:rsid w:val="002B5972"/>
    <w:rsid w:val="002B79CE"/>
    <w:rsid w:val="002B7A07"/>
    <w:rsid w:val="002C0058"/>
    <w:rsid w:val="002C0956"/>
    <w:rsid w:val="002C1EB2"/>
    <w:rsid w:val="002C5DFB"/>
    <w:rsid w:val="002C675A"/>
    <w:rsid w:val="002D0747"/>
    <w:rsid w:val="002D26A9"/>
    <w:rsid w:val="002D3196"/>
    <w:rsid w:val="002D553B"/>
    <w:rsid w:val="002D6B3F"/>
    <w:rsid w:val="002E1DCA"/>
    <w:rsid w:val="002E1E61"/>
    <w:rsid w:val="002E37B6"/>
    <w:rsid w:val="002E4942"/>
    <w:rsid w:val="002E4BAD"/>
    <w:rsid w:val="002E77CA"/>
    <w:rsid w:val="002F0B29"/>
    <w:rsid w:val="002F3E36"/>
    <w:rsid w:val="002F482C"/>
    <w:rsid w:val="002F4D69"/>
    <w:rsid w:val="002F7391"/>
    <w:rsid w:val="00301425"/>
    <w:rsid w:val="003017BE"/>
    <w:rsid w:val="0030187D"/>
    <w:rsid w:val="00303130"/>
    <w:rsid w:val="00303DAD"/>
    <w:rsid w:val="003057AE"/>
    <w:rsid w:val="00305928"/>
    <w:rsid w:val="00311E45"/>
    <w:rsid w:val="0031334B"/>
    <w:rsid w:val="00322075"/>
    <w:rsid w:val="00324D58"/>
    <w:rsid w:val="00326BE5"/>
    <w:rsid w:val="003274A8"/>
    <w:rsid w:val="00327D8A"/>
    <w:rsid w:val="0033118F"/>
    <w:rsid w:val="0033639D"/>
    <w:rsid w:val="00337EE5"/>
    <w:rsid w:val="00340EA6"/>
    <w:rsid w:val="00340F08"/>
    <w:rsid w:val="00342B33"/>
    <w:rsid w:val="00343425"/>
    <w:rsid w:val="00343921"/>
    <w:rsid w:val="00344282"/>
    <w:rsid w:val="0034610D"/>
    <w:rsid w:val="0034741A"/>
    <w:rsid w:val="00351C52"/>
    <w:rsid w:val="003541E8"/>
    <w:rsid w:val="00354A22"/>
    <w:rsid w:val="0035509A"/>
    <w:rsid w:val="00357E8B"/>
    <w:rsid w:val="00362134"/>
    <w:rsid w:val="003634DD"/>
    <w:rsid w:val="00363579"/>
    <w:rsid w:val="00363C72"/>
    <w:rsid w:val="00367786"/>
    <w:rsid w:val="003678C4"/>
    <w:rsid w:val="00370DB5"/>
    <w:rsid w:val="0037141B"/>
    <w:rsid w:val="0037224D"/>
    <w:rsid w:val="00374AF5"/>
    <w:rsid w:val="00376093"/>
    <w:rsid w:val="00382D1E"/>
    <w:rsid w:val="0038369F"/>
    <w:rsid w:val="00383D7C"/>
    <w:rsid w:val="003879DF"/>
    <w:rsid w:val="00390D0A"/>
    <w:rsid w:val="003955FC"/>
    <w:rsid w:val="0039588A"/>
    <w:rsid w:val="00397C1B"/>
    <w:rsid w:val="003A0F7D"/>
    <w:rsid w:val="003A1707"/>
    <w:rsid w:val="003A346C"/>
    <w:rsid w:val="003A547B"/>
    <w:rsid w:val="003B0803"/>
    <w:rsid w:val="003B0A1E"/>
    <w:rsid w:val="003B0E76"/>
    <w:rsid w:val="003B125F"/>
    <w:rsid w:val="003B1A98"/>
    <w:rsid w:val="003B324C"/>
    <w:rsid w:val="003B3402"/>
    <w:rsid w:val="003B3D41"/>
    <w:rsid w:val="003B5AFF"/>
    <w:rsid w:val="003B61D0"/>
    <w:rsid w:val="003C0792"/>
    <w:rsid w:val="003C23DE"/>
    <w:rsid w:val="003C24D0"/>
    <w:rsid w:val="003D1955"/>
    <w:rsid w:val="003D4EA5"/>
    <w:rsid w:val="003D5948"/>
    <w:rsid w:val="003D629D"/>
    <w:rsid w:val="003D77BA"/>
    <w:rsid w:val="003D7D4A"/>
    <w:rsid w:val="003E0537"/>
    <w:rsid w:val="003E1E77"/>
    <w:rsid w:val="003E225E"/>
    <w:rsid w:val="003E22FC"/>
    <w:rsid w:val="003F14F0"/>
    <w:rsid w:val="003F2116"/>
    <w:rsid w:val="003F2600"/>
    <w:rsid w:val="003F2693"/>
    <w:rsid w:val="003F61DA"/>
    <w:rsid w:val="003F68EA"/>
    <w:rsid w:val="003F6C2D"/>
    <w:rsid w:val="0040129F"/>
    <w:rsid w:val="00402C1C"/>
    <w:rsid w:val="00402CED"/>
    <w:rsid w:val="00403F51"/>
    <w:rsid w:val="00404E95"/>
    <w:rsid w:val="00406A3E"/>
    <w:rsid w:val="00411188"/>
    <w:rsid w:val="0041165E"/>
    <w:rsid w:val="004229D8"/>
    <w:rsid w:val="004261DB"/>
    <w:rsid w:val="004273B8"/>
    <w:rsid w:val="00427D2E"/>
    <w:rsid w:val="0043191F"/>
    <w:rsid w:val="00437CBA"/>
    <w:rsid w:val="004437B3"/>
    <w:rsid w:val="004471CE"/>
    <w:rsid w:val="00450357"/>
    <w:rsid w:val="00452BEB"/>
    <w:rsid w:val="00453A54"/>
    <w:rsid w:val="00454284"/>
    <w:rsid w:val="0045517A"/>
    <w:rsid w:val="00456404"/>
    <w:rsid w:val="0045700F"/>
    <w:rsid w:val="00464707"/>
    <w:rsid w:val="0046505B"/>
    <w:rsid w:val="00465F26"/>
    <w:rsid w:val="00466743"/>
    <w:rsid w:val="00467644"/>
    <w:rsid w:val="00476F8B"/>
    <w:rsid w:val="0048134B"/>
    <w:rsid w:val="00481707"/>
    <w:rsid w:val="004829D0"/>
    <w:rsid w:val="00487258"/>
    <w:rsid w:val="0048765D"/>
    <w:rsid w:val="00491998"/>
    <w:rsid w:val="00493C8E"/>
    <w:rsid w:val="004A054B"/>
    <w:rsid w:val="004A0D98"/>
    <w:rsid w:val="004A19A3"/>
    <w:rsid w:val="004A59D9"/>
    <w:rsid w:val="004A69DF"/>
    <w:rsid w:val="004A7771"/>
    <w:rsid w:val="004A789E"/>
    <w:rsid w:val="004B0659"/>
    <w:rsid w:val="004B2D77"/>
    <w:rsid w:val="004C24D3"/>
    <w:rsid w:val="004C2506"/>
    <w:rsid w:val="004C3CE8"/>
    <w:rsid w:val="004C3FD6"/>
    <w:rsid w:val="004C4758"/>
    <w:rsid w:val="004C61EA"/>
    <w:rsid w:val="004D52E9"/>
    <w:rsid w:val="004D7F15"/>
    <w:rsid w:val="004E0192"/>
    <w:rsid w:val="004E025A"/>
    <w:rsid w:val="004E35A3"/>
    <w:rsid w:val="004E6C7A"/>
    <w:rsid w:val="004E6E14"/>
    <w:rsid w:val="004E7CA3"/>
    <w:rsid w:val="004F2FDE"/>
    <w:rsid w:val="004F3FEF"/>
    <w:rsid w:val="004F4155"/>
    <w:rsid w:val="004F5BAE"/>
    <w:rsid w:val="004F641F"/>
    <w:rsid w:val="004F6459"/>
    <w:rsid w:val="004F6A6B"/>
    <w:rsid w:val="004F72F7"/>
    <w:rsid w:val="00502443"/>
    <w:rsid w:val="00503BDE"/>
    <w:rsid w:val="00503F64"/>
    <w:rsid w:val="0050447A"/>
    <w:rsid w:val="00505C16"/>
    <w:rsid w:val="00507010"/>
    <w:rsid w:val="00511097"/>
    <w:rsid w:val="00511181"/>
    <w:rsid w:val="00513CDE"/>
    <w:rsid w:val="00513D88"/>
    <w:rsid w:val="0052206D"/>
    <w:rsid w:val="0052263F"/>
    <w:rsid w:val="00522C7C"/>
    <w:rsid w:val="00522DC5"/>
    <w:rsid w:val="0052325C"/>
    <w:rsid w:val="00524A35"/>
    <w:rsid w:val="00524A47"/>
    <w:rsid w:val="00525AF3"/>
    <w:rsid w:val="00531B55"/>
    <w:rsid w:val="0053278B"/>
    <w:rsid w:val="00536377"/>
    <w:rsid w:val="0054110B"/>
    <w:rsid w:val="00542251"/>
    <w:rsid w:val="0054415C"/>
    <w:rsid w:val="0054416C"/>
    <w:rsid w:val="00544701"/>
    <w:rsid w:val="00551EE5"/>
    <w:rsid w:val="00557A8F"/>
    <w:rsid w:val="005614D6"/>
    <w:rsid w:val="00562BBE"/>
    <w:rsid w:val="00562DAE"/>
    <w:rsid w:val="00570FC1"/>
    <w:rsid w:val="00573732"/>
    <w:rsid w:val="0057385A"/>
    <w:rsid w:val="00574E59"/>
    <w:rsid w:val="00576D51"/>
    <w:rsid w:val="00580AC1"/>
    <w:rsid w:val="00581992"/>
    <w:rsid w:val="005842A4"/>
    <w:rsid w:val="005855E7"/>
    <w:rsid w:val="005861E6"/>
    <w:rsid w:val="00590144"/>
    <w:rsid w:val="005908D2"/>
    <w:rsid w:val="00591C99"/>
    <w:rsid w:val="00592092"/>
    <w:rsid w:val="00593148"/>
    <w:rsid w:val="00593959"/>
    <w:rsid w:val="005939A7"/>
    <w:rsid w:val="00593AB5"/>
    <w:rsid w:val="005958C1"/>
    <w:rsid w:val="00595E64"/>
    <w:rsid w:val="0059736E"/>
    <w:rsid w:val="00597470"/>
    <w:rsid w:val="005A1292"/>
    <w:rsid w:val="005A1FF2"/>
    <w:rsid w:val="005A599B"/>
    <w:rsid w:val="005A64F7"/>
    <w:rsid w:val="005C3AB7"/>
    <w:rsid w:val="005C51F7"/>
    <w:rsid w:val="005D16C3"/>
    <w:rsid w:val="005D1812"/>
    <w:rsid w:val="005D206A"/>
    <w:rsid w:val="005D48CA"/>
    <w:rsid w:val="005D5A16"/>
    <w:rsid w:val="005E0661"/>
    <w:rsid w:val="005E09F7"/>
    <w:rsid w:val="005E306B"/>
    <w:rsid w:val="005E4329"/>
    <w:rsid w:val="005F0138"/>
    <w:rsid w:val="005F23D4"/>
    <w:rsid w:val="005F3083"/>
    <w:rsid w:val="005F4643"/>
    <w:rsid w:val="005F5D29"/>
    <w:rsid w:val="005F68AC"/>
    <w:rsid w:val="005F7F10"/>
    <w:rsid w:val="006009AE"/>
    <w:rsid w:val="00601D0E"/>
    <w:rsid w:val="006046F8"/>
    <w:rsid w:val="00604ECF"/>
    <w:rsid w:val="00605131"/>
    <w:rsid w:val="00605EEE"/>
    <w:rsid w:val="006065D3"/>
    <w:rsid w:val="00606889"/>
    <w:rsid w:val="00607B24"/>
    <w:rsid w:val="006103E3"/>
    <w:rsid w:val="0061493C"/>
    <w:rsid w:val="00615237"/>
    <w:rsid w:val="00617543"/>
    <w:rsid w:val="00621713"/>
    <w:rsid w:val="00625E5B"/>
    <w:rsid w:val="00626085"/>
    <w:rsid w:val="00626DE6"/>
    <w:rsid w:val="00627040"/>
    <w:rsid w:val="006300DE"/>
    <w:rsid w:val="00630242"/>
    <w:rsid w:val="0063048A"/>
    <w:rsid w:val="00631A55"/>
    <w:rsid w:val="00635547"/>
    <w:rsid w:val="0063614D"/>
    <w:rsid w:val="00640477"/>
    <w:rsid w:val="006445AD"/>
    <w:rsid w:val="00644B62"/>
    <w:rsid w:val="0064732F"/>
    <w:rsid w:val="00647418"/>
    <w:rsid w:val="0065257F"/>
    <w:rsid w:val="006534C6"/>
    <w:rsid w:val="00653865"/>
    <w:rsid w:val="006623F2"/>
    <w:rsid w:val="00662DD9"/>
    <w:rsid w:val="006636A6"/>
    <w:rsid w:val="00664DC3"/>
    <w:rsid w:val="00665959"/>
    <w:rsid w:val="00665C05"/>
    <w:rsid w:val="0066629F"/>
    <w:rsid w:val="00667ADE"/>
    <w:rsid w:val="006712D6"/>
    <w:rsid w:val="00675410"/>
    <w:rsid w:val="00681ADC"/>
    <w:rsid w:val="006846A9"/>
    <w:rsid w:val="00687704"/>
    <w:rsid w:val="006A1904"/>
    <w:rsid w:val="006A32AA"/>
    <w:rsid w:val="006A44C1"/>
    <w:rsid w:val="006A4999"/>
    <w:rsid w:val="006A4DBA"/>
    <w:rsid w:val="006A5F06"/>
    <w:rsid w:val="006A727F"/>
    <w:rsid w:val="006B06F3"/>
    <w:rsid w:val="006B28C4"/>
    <w:rsid w:val="006B2F38"/>
    <w:rsid w:val="006C60D1"/>
    <w:rsid w:val="006C6BE1"/>
    <w:rsid w:val="006C7D95"/>
    <w:rsid w:val="006D0B5D"/>
    <w:rsid w:val="006D2204"/>
    <w:rsid w:val="006D5E01"/>
    <w:rsid w:val="006D749A"/>
    <w:rsid w:val="006D7B40"/>
    <w:rsid w:val="006E00EA"/>
    <w:rsid w:val="006E0975"/>
    <w:rsid w:val="006E0AC6"/>
    <w:rsid w:val="006E1935"/>
    <w:rsid w:val="006E1A8C"/>
    <w:rsid w:val="006E39EC"/>
    <w:rsid w:val="006E7459"/>
    <w:rsid w:val="006F011A"/>
    <w:rsid w:val="006F2A0A"/>
    <w:rsid w:val="006F4C8C"/>
    <w:rsid w:val="006F4D67"/>
    <w:rsid w:val="006F778E"/>
    <w:rsid w:val="006F7A60"/>
    <w:rsid w:val="00700626"/>
    <w:rsid w:val="007022CD"/>
    <w:rsid w:val="007045F7"/>
    <w:rsid w:val="007055F7"/>
    <w:rsid w:val="00707DCF"/>
    <w:rsid w:val="00707FEF"/>
    <w:rsid w:val="00713A6E"/>
    <w:rsid w:val="00713B41"/>
    <w:rsid w:val="00717714"/>
    <w:rsid w:val="00725AA7"/>
    <w:rsid w:val="007273F0"/>
    <w:rsid w:val="00732357"/>
    <w:rsid w:val="00735B89"/>
    <w:rsid w:val="007424D8"/>
    <w:rsid w:val="00742EA5"/>
    <w:rsid w:val="00742F88"/>
    <w:rsid w:val="00744FCB"/>
    <w:rsid w:val="00745491"/>
    <w:rsid w:val="00745527"/>
    <w:rsid w:val="007460C3"/>
    <w:rsid w:val="00746205"/>
    <w:rsid w:val="007506D8"/>
    <w:rsid w:val="00750DB6"/>
    <w:rsid w:val="00755E64"/>
    <w:rsid w:val="00756BEE"/>
    <w:rsid w:val="00757531"/>
    <w:rsid w:val="00760F83"/>
    <w:rsid w:val="00761C8D"/>
    <w:rsid w:val="00764418"/>
    <w:rsid w:val="00765927"/>
    <w:rsid w:val="007745AD"/>
    <w:rsid w:val="00774617"/>
    <w:rsid w:val="00776FB8"/>
    <w:rsid w:val="00780E42"/>
    <w:rsid w:val="00781C8C"/>
    <w:rsid w:val="00784997"/>
    <w:rsid w:val="0078631E"/>
    <w:rsid w:val="0079221C"/>
    <w:rsid w:val="00796B12"/>
    <w:rsid w:val="007A0937"/>
    <w:rsid w:val="007A5674"/>
    <w:rsid w:val="007A6995"/>
    <w:rsid w:val="007A72F5"/>
    <w:rsid w:val="007B4CDE"/>
    <w:rsid w:val="007B7F04"/>
    <w:rsid w:val="007C03C6"/>
    <w:rsid w:val="007C08A7"/>
    <w:rsid w:val="007C213F"/>
    <w:rsid w:val="007C3D44"/>
    <w:rsid w:val="007C4108"/>
    <w:rsid w:val="007C504D"/>
    <w:rsid w:val="007C7864"/>
    <w:rsid w:val="007C79D1"/>
    <w:rsid w:val="007D0224"/>
    <w:rsid w:val="007D1102"/>
    <w:rsid w:val="007D71D5"/>
    <w:rsid w:val="007E2540"/>
    <w:rsid w:val="007E3301"/>
    <w:rsid w:val="007E42E6"/>
    <w:rsid w:val="007F0969"/>
    <w:rsid w:val="007F504F"/>
    <w:rsid w:val="007F5EC2"/>
    <w:rsid w:val="007F6C6C"/>
    <w:rsid w:val="00800903"/>
    <w:rsid w:val="0080190D"/>
    <w:rsid w:val="00803443"/>
    <w:rsid w:val="00810038"/>
    <w:rsid w:val="00811D64"/>
    <w:rsid w:val="00811E1B"/>
    <w:rsid w:val="00811EA3"/>
    <w:rsid w:val="0081505B"/>
    <w:rsid w:val="008160F0"/>
    <w:rsid w:val="0081664E"/>
    <w:rsid w:val="008207A6"/>
    <w:rsid w:val="00821D09"/>
    <w:rsid w:val="00822433"/>
    <w:rsid w:val="008243BB"/>
    <w:rsid w:val="0082440D"/>
    <w:rsid w:val="00825324"/>
    <w:rsid w:val="00827C01"/>
    <w:rsid w:val="0083265C"/>
    <w:rsid w:val="00833ACD"/>
    <w:rsid w:val="00834D8C"/>
    <w:rsid w:val="00840056"/>
    <w:rsid w:val="008424C7"/>
    <w:rsid w:val="00843102"/>
    <w:rsid w:val="0084448C"/>
    <w:rsid w:val="00846186"/>
    <w:rsid w:val="008503C1"/>
    <w:rsid w:val="00852E1F"/>
    <w:rsid w:val="00854A74"/>
    <w:rsid w:val="00855664"/>
    <w:rsid w:val="008565A7"/>
    <w:rsid w:val="008579AF"/>
    <w:rsid w:val="00860498"/>
    <w:rsid w:val="0086194A"/>
    <w:rsid w:val="00861FE4"/>
    <w:rsid w:val="0086440B"/>
    <w:rsid w:val="0086502F"/>
    <w:rsid w:val="008664BE"/>
    <w:rsid w:val="0087052C"/>
    <w:rsid w:val="00871088"/>
    <w:rsid w:val="008735CD"/>
    <w:rsid w:val="00875C69"/>
    <w:rsid w:val="00875E54"/>
    <w:rsid w:val="00875F47"/>
    <w:rsid w:val="00876233"/>
    <w:rsid w:val="00887248"/>
    <w:rsid w:val="00887CC1"/>
    <w:rsid w:val="00890895"/>
    <w:rsid w:val="00891DB4"/>
    <w:rsid w:val="00892E16"/>
    <w:rsid w:val="00893253"/>
    <w:rsid w:val="00894262"/>
    <w:rsid w:val="008965FB"/>
    <w:rsid w:val="00897680"/>
    <w:rsid w:val="008A0FB0"/>
    <w:rsid w:val="008A16B3"/>
    <w:rsid w:val="008A1D78"/>
    <w:rsid w:val="008A40F0"/>
    <w:rsid w:val="008A7A77"/>
    <w:rsid w:val="008B006E"/>
    <w:rsid w:val="008B20C9"/>
    <w:rsid w:val="008B608B"/>
    <w:rsid w:val="008C67AF"/>
    <w:rsid w:val="008D1340"/>
    <w:rsid w:val="008D1ED2"/>
    <w:rsid w:val="008D20E8"/>
    <w:rsid w:val="008D5101"/>
    <w:rsid w:val="008D70C8"/>
    <w:rsid w:val="008D7AC0"/>
    <w:rsid w:val="008E3968"/>
    <w:rsid w:val="008E49A5"/>
    <w:rsid w:val="008E658A"/>
    <w:rsid w:val="008F0A2F"/>
    <w:rsid w:val="008F0AA0"/>
    <w:rsid w:val="008F1A30"/>
    <w:rsid w:val="008F265A"/>
    <w:rsid w:val="008F268F"/>
    <w:rsid w:val="008F3515"/>
    <w:rsid w:val="008F3CE5"/>
    <w:rsid w:val="009003FF"/>
    <w:rsid w:val="009007A8"/>
    <w:rsid w:val="0090366E"/>
    <w:rsid w:val="00904EB8"/>
    <w:rsid w:val="009156BD"/>
    <w:rsid w:val="009175FE"/>
    <w:rsid w:val="009252EE"/>
    <w:rsid w:val="00926FB5"/>
    <w:rsid w:val="0092727E"/>
    <w:rsid w:val="00927406"/>
    <w:rsid w:val="009279BC"/>
    <w:rsid w:val="009319D8"/>
    <w:rsid w:val="009333A1"/>
    <w:rsid w:val="00933FDC"/>
    <w:rsid w:val="009345AD"/>
    <w:rsid w:val="009365B2"/>
    <w:rsid w:val="00944A58"/>
    <w:rsid w:val="00946709"/>
    <w:rsid w:val="00946CB6"/>
    <w:rsid w:val="00947063"/>
    <w:rsid w:val="00947BB2"/>
    <w:rsid w:val="00947EF9"/>
    <w:rsid w:val="00952071"/>
    <w:rsid w:val="0095349F"/>
    <w:rsid w:val="009551D2"/>
    <w:rsid w:val="00956080"/>
    <w:rsid w:val="00957BDA"/>
    <w:rsid w:val="00962D6A"/>
    <w:rsid w:val="009651F8"/>
    <w:rsid w:val="009660FA"/>
    <w:rsid w:val="00966614"/>
    <w:rsid w:val="00967803"/>
    <w:rsid w:val="00970DA6"/>
    <w:rsid w:val="009726DE"/>
    <w:rsid w:val="00975726"/>
    <w:rsid w:val="00980615"/>
    <w:rsid w:val="00982211"/>
    <w:rsid w:val="009824A5"/>
    <w:rsid w:val="0098262A"/>
    <w:rsid w:val="00983973"/>
    <w:rsid w:val="009861A4"/>
    <w:rsid w:val="00986FA1"/>
    <w:rsid w:val="00990EDA"/>
    <w:rsid w:val="0099442B"/>
    <w:rsid w:val="0099465D"/>
    <w:rsid w:val="0099662E"/>
    <w:rsid w:val="00997E2E"/>
    <w:rsid w:val="009A0C9C"/>
    <w:rsid w:val="009A3374"/>
    <w:rsid w:val="009A3E5C"/>
    <w:rsid w:val="009A7686"/>
    <w:rsid w:val="009A7F77"/>
    <w:rsid w:val="009B1E01"/>
    <w:rsid w:val="009B22ED"/>
    <w:rsid w:val="009B47B3"/>
    <w:rsid w:val="009C0ABD"/>
    <w:rsid w:val="009C0B38"/>
    <w:rsid w:val="009C3B95"/>
    <w:rsid w:val="009C6A28"/>
    <w:rsid w:val="009C6FF8"/>
    <w:rsid w:val="009D092A"/>
    <w:rsid w:val="009D27B5"/>
    <w:rsid w:val="009D31C6"/>
    <w:rsid w:val="009D3892"/>
    <w:rsid w:val="009D5A87"/>
    <w:rsid w:val="009D67B7"/>
    <w:rsid w:val="009E0547"/>
    <w:rsid w:val="009E0739"/>
    <w:rsid w:val="009E1DD5"/>
    <w:rsid w:val="009E2171"/>
    <w:rsid w:val="009E22CE"/>
    <w:rsid w:val="009E5237"/>
    <w:rsid w:val="009E6A92"/>
    <w:rsid w:val="009E7C58"/>
    <w:rsid w:val="009F016C"/>
    <w:rsid w:val="009F28F0"/>
    <w:rsid w:val="009F33FC"/>
    <w:rsid w:val="009F3690"/>
    <w:rsid w:val="009F4413"/>
    <w:rsid w:val="009F4A83"/>
    <w:rsid w:val="00A00FC6"/>
    <w:rsid w:val="00A03B39"/>
    <w:rsid w:val="00A067FA"/>
    <w:rsid w:val="00A11461"/>
    <w:rsid w:val="00A13E1F"/>
    <w:rsid w:val="00A14B5D"/>
    <w:rsid w:val="00A2098B"/>
    <w:rsid w:val="00A25216"/>
    <w:rsid w:val="00A25852"/>
    <w:rsid w:val="00A25DCA"/>
    <w:rsid w:val="00A36EA1"/>
    <w:rsid w:val="00A3737D"/>
    <w:rsid w:val="00A37D63"/>
    <w:rsid w:val="00A4198D"/>
    <w:rsid w:val="00A444FB"/>
    <w:rsid w:val="00A4495C"/>
    <w:rsid w:val="00A45F0C"/>
    <w:rsid w:val="00A50ABE"/>
    <w:rsid w:val="00A5181E"/>
    <w:rsid w:val="00A52CC1"/>
    <w:rsid w:val="00A552BE"/>
    <w:rsid w:val="00A577B8"/>
    <w:rsid w:val="00A60A15"/>
    <w:rsid w:val="00A620CC"/>
    <w:rsid w:val="00A658A9"/>
    <w:rsid w:val="00A66403"/>
    <w:rsid w:val="00A67531"/>
    <w:rsid w:val="00A67CE4"/>
    <w:rsid w:val="00A7100B"/>
    <w:rsid w:val="00A7120D"/>
    <w:rsid w:val="00A71AE7"/>
    <w:rsid w:val="00A749D9"/>
    <w:rsid w:val="00A74E52"/>
    <w:rsid w:val="00A806FE"/>
    <w:rsid w:val="00A81ABD"/>
    <w:rsid w:val="00A844EF"/>
    <w:rsid w:val="00A868CB"/>
    <w:rsid w:val="00A87974"/>
    <w:rsid w:val="00A91E45"/>
    <w:rsid w:val="00A94AEF"/>
    <w:rsid w:val="00A9565C"/>
    <w:rsid w:val="00AA09DF"/>
    <w:rsid w:val="00AA141F"/>
    <w:rsid w:val="00AA2FE2"/>
    <w:rsid w:val="00AA4283"/>
    <w:rsid w:val="00AA4E6A"/>
    <w:rsid w:val="00AA575B"/>
    <w:rsid w:val="00AA7BC0"/>
    <w:rsid w:val="00AA7FC8"/>
    <w:rsid w:val="00AB6870"/>
    <w:rsid w:val="00AB793D"/>
    <w:rsid w:val="00AC5241"/>
    <w:rsid w:val="00AC58A1"/>
    <w:rsid w:val="00AC6B3A"/>
    <w:rsid w:val="00AD0BBE"/>
    <w:rsid w:val="00AD17F1"/>
    <w:rsid w:val="00AD38E2"/>
    <w:rsid w:val="00AD55D6"/>
    <w:rsid w:val="00AD62F6"/>
    <w:rsid w:val="00AD7CEB"/>
    <w:rsid w:val="00AE09E2"/>
    <w:rsid w:val="00AE1898"/>
    <w:rsid w:val="00AE3CB2"/>
    <w:rsid w:val="00AE6F79"/>
    <w:rsid w:val="00AF0EF3"/>
    <w:rsid w:val="00AF38F4"/>
    <w:rsid w:val="00AF616A"/>
    <w:rsid w:val="00B014D6"/>
    <w:rsid w:val="00B017CE"/>
    <w:rsid w:val="00B028E2"/>
    <w:rsid w:val="00B109EF"/>
    <w:rsid w:val="00B1234C"/>
    <w:rsid w:val="00B127E3"/>
    <w:rsid w:val="00B13B74"/>
    <w:rsid w:val="00B1472D"/>
    <w:rsid w:val="00B15208"/>
    <w:rsid w:val="00B162D8"/>
    <w:rsid w:val="00B17A81"/>
    <w:rsid w:val="00B17E76"/>
    <w:rsid w:val="00B2214B"/>
    <w:rsid w:val="00B22411"/>
    <w:rsid w:val="00B30AB5"/>
    <w:rsid w:val="00B3119A"/>
    <w:rsid w:val="00B3186B"/>
    <w:rsid w:val="00B32862"/>
    <w:rsid w:val="00B32F28"/>
    <w:rsid w:val="00B3381D"/>
    <w:rsid w:val="00B341C6"/>
    <w:rsid w:val="00B35434"/>
    <w:rsid w:val="00B35C7A"/>
    <w:rsid w:val="00B36053"/>
    <w:rsid w:val="00B36865"/>
    <w:rsid w:val="00B37065"/>
    <w:rsid w:val="00B41958"/>
    <w:rsid w:val="00B42036"/>
    <w:rsid w:val="00B42282"/>
    <w:rsid w:val="00B435D9"/>
    <w:rsid w:val="00B4587E"/>
    <w:rsid w:val="00B473D3"/>
    <w:rsid w:val="00B51A0F"/>
    <w:rsid w:val="00B51BB8"/>
    <w:rsid w:val="00B52B94"/>
    <w:rsid w:val="00B52C7C"/>
    <w:rsid w:val="00B53CB9"/>
    <w:rsid w:val="00B5439B"/>
    <w:rsid w:val="00B6044D"/>
    <w:rsid w:val="00B61244"/>
    <w:rsid w:val="00B62EE0"/>
    <w:rsid w:val="00B63516"/>
    <w:rsid w:val="00B64563"/>
    <w:rsid w:val="00B64C3C"/>
    <w:rsid w:val="00B6650E"/>
    <w:rsid w:val="00B66D17"/>
    <w:rsid w:val="00B722BF"/>
    <w:rsid w:val="00B7383F"/>
    <w:rsid w:val="00B75132"/>
    <w:rsid w:val="00B756EB"/>
    <w:rsid w:val="00B76D62"/>
    <w:rsid w:val="00B84901"/>
    <w:rsid w:val="00B91A15"/>
    <w:rsid w:val="00B92274"/>
    <w:rsid w:val="00B946C1"/>
    <w:rsid w:val="00B97AC5"/>
    <w:rsid w:val="00BA4990"/>
    <w:rsid w:val="00BA5F93"/>
    <w:rsid w:val="00BB19EC"/>
    <w:rsid w:val="00BB68FD"/>
    <w:rsid w:val="00BC51E6"/>
    <w:rsid w:val="00BC557B"/>
    <w:rsid w:val="00BC5704"/>
    <w:rsid w:val="00BC5BB1"/>
    <w:rsid w:val="00BC6486"/>
    <w:rsid w:val="00BD0B5D"/>
    <w:rsid w:val="00BD1172"/>
    <w:rsid w:val="00BD11CB"/>
    <w:rsid w:val="00BD24A3"/>
    <w:rsid w:val="00BD24F6"/>
    <w:rsid w:val="00BD2F8F"/>
    <w:rsid w:val="00BD327C"/>
    <w:rsid w:val="00BE09E5"/>
    <w:rsid w:val="00BE1682"/>
    <w:rsid w:val="00BE22C8"/>
    <w:rsid w:val="00BE4635"/>
    <w:rsid w:val="00BE5729"/>
    <w:rsid w:val="00BE5F43"/>
    <w:rsid w:val="00BE6B53"/>
    <w:rsid w:val="00BF1852"/>
    <w:rsid w:val="00BF4E96"/>
    <w:rsid w:val="00BF5DF2"/>
    <w:rsid w:val="00BF7EB1"/>
    <w:rsid w:val="00C014C8"/>
    <w:rsid w:val="00C02081"/>
    <w:rsid w:val="00C03098"/>
    <w:rsid w:val="00C03E0E"/>
    <w:rsid w:val="00C04739"/>
    <w:rsid w:val="00C04BFF"/>
    <w:rsid w:val="00C06AFA"/>
    <w:rsid w:val="00C13808"/>
    <w:rsid w:val="00C17032"/>
    <w:rsid w:val="00C1716C"/>
    <w:rsid w:val="00C171D8"/>
    <w:rsid w:val="00C20C78"/>
    <w:rsid w:val="00C212C0"/>
    <w:rsid w:val="00C27FE8"/>
    <w:rsid w:val="00C309F5"/>
    <w:rsid w:val="00C33E7E"/>
    <w:rsid w:val="00C355E4"/>
    <w:rsid w:val="00C40793"/>
    <w:rsid w:val="00C419A2"/>
    <w:rsid w:val="00C4292C"/>
    <w:rsid w:val="00C51656"/>
    <w:rsid w:val="00C52C99"/>
    <w:rsid w:val="00C55818"/>
    <w:rsid w:val="00C57060"/>
    <w:rsid w:val="00C57FF2"/>
    <w:rsid w:val="00C60269"/>
    <w:rsid w:val="00C63213"/>
    <w:rsid w:val="00C63969"/>
    <w:rsid w:val="00C65394"/>
    <w:rsid w:val="00C65AB2"/>
    <w:rsid w:val="00C718DD"/>
    <w:rsid w:val="00C72A6C"/>
    <w:rsid w:val="00C72FA7"/>
    <w:rsid w:val="00C74101"/>
    <w:rsid w:val="00C76BC1"/>
    <w:rsid w:val="00C80BB4"/>
    <w:rsid w:val="00C911FE"/>
    <w:rsid w:val="00C92443"/>
    <w:rsid w:val="00C9554B"/>
    <w:rsid w:val="00C95CE6"/>
    <w:rsid w:val="00CA326E"/>
    <w:rsid w:val="00CA4725"/>
    <w:rsid w:val="00CA552C"/>
    <w:rsid w:val="00CB14CD"/>
    <w:rsid w:val="00CB1EA4"/>
    <w:rsid w:val="00CB3163"/>
    <w:rsid w:val="00CB433D"/>
    <w:rsid w:val="00CB4CA0"/>
    <w:rsid w:val="00CB4D46"/>
    <w:rsid w:val="00CB5D02"/>
    <w:rsid w:val="00CB5D88"/>
    <w:rsid w:val="00CB73A7"/>
    <w:rsid w:val="00CB79F9"/>
    <w:rsid w:val="00CC00E8"/>
    <w:rsid w:val="00CC0D17"/>
    <w:rsid w:val="00CC283F"/>
    <w:rsid w:val="00CC47D9"/>
    <w:rsid w:val="00CC7339"/>
    <w:rsid w:val="00CD2207"/>
    <w:rsid w:val="00CD2C75"/>
    <w:rsid w:val="00CD4446"/>
    <w:rsid w:val="00CE0E62"/>
    <w:rsid w:val="00CE3604"/>
    <w:rsid w:val="00CE3C7C"/>
    <w:rsid w:val="00CE4095"/>
    <w:rsid w:val="00CE6D23"/>
    <w:rsid w:val="00CE6F37"/>
    <w:rsid w:val="00CE7C33"/>
    <w:rsid w:val="00CF1494"/>
    <w:rsid w:val="00CF26D1"/>
    <w:rsid w:val="00CF4B43"/>
    <w:rsid w:val="00CF660B"/>
    <w:rsid w:val="00D01FCD"/>
    <w:rsid w:val="00D025DE"/>
    <w:rsid w:val="00D02F76"/>
    <w:rsid w:val="00D067E0"/>
    <w:rsid w:val="00D07ECD"/>
    <w:rsid w:val="00D12417"/>
    <w:rsid w:val="00D12A02"/>
    <w:rsid w:val="00D12B1B"/>
    <w:rsid w:val="00D13F71"/>
    <w:rsid w:val="00D16197"/>
    <w:rsid w:val="00D17517"/>
    <w:rsid w:val="00D20F1F"/>
    <w:rsid w:val="00D2106C"/>
    <w:rsid w:val="00D24557"/>
    <w:rsid w:val="00D314FA"/>
    <w:rsid w:val="00D32C33"/>
    <w:rsid w:val="00D33A91"/>
    <w:rsid w:val="00D35180"/>
    <w:rsid w:val="00D35DFF"/>
    <w:rsid w:val="00D36A0F"/>
    <w:rsid w:val="00D3729D"/>
    <w:rsid w:val="00D40F8C"/>
    <w:rsid w:val="00D43617"/>
    <w:rsid w:val="00D44663"/>
    <w:rsid w:val="00D474BB"/>
    <w:rsid w:val="00D532BE"/>
    <w:rsid w:val="00D570D8"/>
    <w:rsid w:val="00D61D65"/>
    <w:rsid w:val="00D66EA5"/>
    <w:rsid w:val="00D76247"/>
    <w:rsid w:val="00D7641B"/>
    <w:rsid w:val="00D804BE"/>
    <w:rsid w:val="00D806F1"/>
    <w:rsid w:val="00D8089E"/>
    <w:rsid w:val="00D80A44"/>
    <w:rsid w:val="00D80AAB"/>
    <w:rsid w:val="00D82EAF"/>
    <w:rsid w:val="00D84186"/>
    <w:rsid w:val="00D841E1"/>
    <w:rsid w:val="00D850C2"/>
    <w:rsid w:val="00D92603"/>
    <w:rsid w:val="00D93560"/>
    <w:rsid w:val="00D95309"/>
    <w:rsid w:val="00DA005B"/>
    <w:rsid w:val="00DA0381"/>
    <w:rsid w:val="00DA1022"/>
    <w:rsid w:val="00DA11FA"/>
    <w:rsid w:val="00DA2715"/>
    <w:rsid w:val="00DA2886"/>
    <w:rsid w:val="00DB0F56"/>
    <w:rsid w:val="00DB1BD2"/>
    <w:rsid w:val="00DB3913"/>
    <w:rsid w:val="00DB4593"/>
    <w:rsid w:val="00DB4BEF"/>
    <w:rsid w:val="00DB4D62"/>
    <w:rsid w:val="00DB4DB2"/>
    <w:rsid w:val="00DB5C77"/>
    <w:rsid w:val="00DB7543"/>
    <w:rsid w:val="00DC14B1"/>
    <w:rsid w:val="00DC219D"/>
    <w:rsid w:val="00DC6063"/>
    <w:rsid w:val="00DC6183"/>
    <w:rsid w:val="00DD0BE4"/>
    <w:rsid w:val="00DD24C5"/>
    <w:rsid w:val="00DD41C4"/>
    <w:rsid w:val="00DD4FD4"/>
    <w:rsid w:val="00DD6ACF"/>
    <w:rsid w:val="00DD7248"/>
    <w:rsid w:val="00DD7C0B"/>
    <w:rsid w:val="00DE0285"/>
    <w:rsid w:val="00DE15F8"/>
    <w:rsid w:val="00DE1E6E"/>
    <w:rsid w:val="00DE2CAB"/>
    <w:rsid w:val="00DE4570"/>
    <w:rsid w:val="00DE58D0"/>
    <w:rsid w:val="00DE5B5A"/>
    <w:rsid w:val="00DE5D6C"/>
    <w:rsid w:val="00DE72C3"/>
    <w:rsid w:val="00DE7BA3"/>
    <w:rsid w:val="00DF1BDF"/>
    <w:rsid w:val="00DF2BA6"/>
    <w:rsid w:val="00DF76F4"/>
    <w:rsid w:val="00E00BB4"/>
    <w:rsid w:val="00E0268C"/>
    <w:rsid w:val="00E04C55"/>
    <w:rsid w:val="00E04E2B"/>
    <w:rsid w:val="00E0791A"/>
    <w:rsid w:val="00E10658"/>
    <w:rsid w:val="00E10A07"/>
    <w:rsid w:val="00E1200C"/>
    <w:rsid w:val="00E12F94"/>
    <w:rsid w:val="00E1572B"/>
    <w:rsid w:val="00E15786"/>
    <w:rsid w:val="00E15ABE"/>
    <w:rsid w:val="00E21332"/>
    <w:rsid w:val="00E21770"/>
    <w:rsid w:val="00E22C97"/>
    <w:rsid w:val="00E230C0"/>
    <w:rsid w:val="00E26C5F"/>
    <w:rsid w:val="00E3280A"/>
    <w:rsid w:val="00E3413E"/>
    <w:rsid w:val="00E4020A"/>
    <w:rsid w:val="00E40E95"/>
    <w:rsid w:val="00E42DC1"/>
    <w:rsid w:val="00E4362F"/>
    <w:rsid w:val="00E47E91"/>
    <w:rsid w:val="00E52AFE"/>
    <w:rsid w:val="00E54BAA"/>
    <w:rsid w:val="00E54E24"/>
    <w:rsid w:val="00E5658A"/>
    <w:rsid w:val="00E565FF"/>
    <w:rsid w:val="00E576F5"/>
    <w:rsid w:val="00E60415"/>
    <w:rsid w:val="00E60527"/>
    <w:rsid w:val="00E6103C"/>
    <w:rsid w:val="00E662FB"/>
    <w:rsid w:val="00E67EA7"/>
    <w:rsid w:val="00E70E4E"/>
    <w:rsid w:val="00E72F2E"/>
    <w:rsid w:val="00E80629"/>
    <w:rsid w:val="00E81264"/>
    <w:rsid w:val="00E82C4E"/>
    <w:rsid w:val="00E83561"/>
    <w:rsid w:val="00E850E6"/>
    <w:rsid w:val="00E866AA"/>
    <w:rsid w:val="00E87A30"/>
    <w:rsid w:val="00E90100"/>
    <w:rsid w:val="00E905DC"/>
    <w:rsid w:val="00E9091D"/>
    <w:rsid w:val="00E956B9"/>
    <w:rsid w:val="00E9703B"/>
    <w:rsid w:val="00EA0D64"/>
    <w:rsid w:val="00EA0E31"/>
    <w:rsid w:val="00EA1919"/>
    <w:rsid w:val="00EA4397"/>
    <w:rsid w:val="00EB48A9"/>
    <w:rsid w:val="00EB5FEC"/>
    <w:rsid w:val="00EB6BA7"/>
    <w:rsid w:val="00EC19FB"/>
    <w:rsid w:val="00EC373A"/>
    <w:rsid w:val="00EC40C8"/>
    <w:rsid w:val="00EC4C90"/>
    <w:rsid w:val="00EC4D12"/>
    <w:rsid w:val="00ED481B"/>
    <w:rsid w:val="00ED567C"/>
    <w:rsid w:val="00ED6B7D"/>
    <w:rsid w:val="00ED77DC"/>
    <w:rsid w:val="00EE24FA"/>
    <w:rsid w:val="00EE3E5F"/>
    <w:rsid w:val="00EE4AAA"/>
    <w:rsid w:val="00EE7CF9"/>
    <w:rsid w:val="00EF03BC"/>
    <w:rsid w:val="00EF0A1D"/>
    <w:rsid w:val="00EF1399"/>
    <w:rsid w:val="00EF250F"/>
    <w:rsid w:val="00EF32C1"/>
    <w:rsid w:val="00F03AFB"/>
    <w:rsid w:val="00F04A9B"/>
    <w:rsid w:val="00F04B08"/>
    <w:rsid w:val="00F05F4C"/>
    <w:rsid w:val="00F06C13"/>
    <w:rsid w:val="00F06D31"/>
    <w:rsid w:val="00F10653"/>
    <w:rsid w:val="00F10801"/>
    <w:rsid w:val="00F10F6E"/>
    <w:rsid w:val="00F14961"/>
    <w:rsid w:val="00F22D72"/>
    <w:rsid w:val="00F2449E"/>
    <w:rsid w:val="00F24DF5"/>
    <w:rsid w:val="00F2642E"/>
    <w:rsid w:val="00F27F77"/>
    <w:rsid w:val="00F31BBD"/>
    <w:rsid w:val="00F328F7"/>
    <w:rsid w:val="00F3380E"/>
    <w:rsid w:val="00F35950"/>
    <w:rsid w:val="00F368EF"/>
    <w:rsid w:val="00F37D14"/>
    <w:rsid w:val="00F40B4E"/>
    <w:rsid w:val="00F440DE"/>
    <w:rsid w:val="00F47C44"/>
    <w:rsid w:val="00F47E98"/>
    <w:rsid w:val="00F50A85"/>
    <w:rsid w:val="00F55166"/>
    <w:rsid w:val="00F55365"/>
    <w:rsid w:val="00F57F95"/>
    <w:rsid w:val="00F64025"/>
    <w:rsid w:val="00F64C76"/>
    <w:rsid w:val="00F71AFC"/>
    <w:rsid w:val="00F736CD"/>
    <w:rsid w:val="00F73BD3"/>
    <w:rsid w:val="00F74E29"/>
    <w:rsid w:val="00F76034"/>
    <w:rsid w:val="00F8227B"/>
    <w:rsid w:val="00F83F5F"/>
    <w:rsid w:val="00F84074"/>
    <w:rsid w:val="00F847D4"/>
    <w:rsid w:val="00F86637"/>
    <w:rsid w:val="00F91121"/>
    <w:rsid w:val="00F9120B"/>
    <w:rsid w:val="00F91255"/>
    <w:rsid w:val="00F92C4E"/>
    <w:rsid w:val="00F936D9"/>
    <w:rsid w:val="00FA088B"/>
    <w:rsid w:val="00FA095E"/>
    <w:rsid w:val="00FA1EB3"/>
    <w:rsid w:val="00FA2CAC"/>
    <w:rsid w:val="00FA30AD"/>
    <w:rsid w:val="00FA5F1D"/>
    <w:rsid w:val="00FB3DD1"/>
    <w:rsid w:val="00FB50DC"/>
    <w:rsid w:val="00FB661B"/>
    <w:rsid w:val="00FB6EED"/>
    <w:rsid w:val="00FC1E04"/>
    <w:rsid w:val="00FC32CF"/>
    <w:rsid w:val="00FC344E"/>
    <w:rsid w:val="00FC72C2"/>
    <w:rsid w:val="00FD58D7"/>
    <w:rsid w:val="00FE0745"/>
    <w:rsid w:val="00FE11E2"/>
    <w:rsid w:val="00FE28FA"/>
    <w:rsid w:val="00FE2F4F"/>
    <w:rsid w:val="00FE4A1B"/>
    <w:rsid w:val="00FE6196"/>
    <w:rsid w:val="00FE756C"/>
    <w:rsid w:val="00FE7D07"/>
    <w:rsid w:val="00FF012B"/>
    <w:rsid w:val="00FF4A5E"/>
    <w:rsid w:val="00FF5FB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D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134"/>
    <w:pPr>
      <w:tabs>
        <w:tab w:val="center" w:pos="4153"/>
        <w:tab w:val="right" w:pos="8306"/>
      </w:tabs>
    </w:pPr>
  </w:style>
  <w:style w:type="paragraph" w:styleId="Footer">
    <w:name w:val="footer"/>
    <w:basedOn w:val="Normal"/>
    <w:link w:val="FooterChar"/>
    <w:rsid w:val="00362134"/>
    <w:pPr>
      <w:tabs>
        <w:tab w:val="center" w:pos="4153"/>
        <w:tab w:val="right" w:pos="8306"/>
      </w:tabs>
    </w:pPr>
  </w:style>
  <w:style w:type="character" w:styleId="PageNumber">
    <w:name w:val="page number"/>
    <w:basedOn w:val="DefaultParagraphFont"/>
    <w:rsid w:val="000907DE"/>
  </w:style>
  <w:style w:type="paragraph" w:styleId="FootnoteText">
    <w:name w:val="footnote text"/>
    <w:aliases w:val="ACMA Footnote Text,ABA Footnote Text,Footnote Text Char1,Footnote Text Char Char,Footnote Text Char1 Char Char,Footnote Text Char Char Char Char,Footnote Text Char1 Char Char Char Char,Footnote Text Char2 Char Char,f"/>
    <w:basedOn w:val="Normal"/>
    <w:semiHidden/>
    <w:rsid w:val="00D33A91"/>
    <w:rPr>
      <w:sz w:val="20"/>
      <w:szCs w:val="20"/>
    </w:rPr>
  </w:style>
  <w:style w:type="character" w:styleId="FootnoteReference">
    <w:name w:val="footnote reference"/>
    <w:aliases w:val="Appel note de bas de p,Appel note de bas de p + 11 pt,Italic,Footnote"/>
    <w:basedOn w:val="DefaultParagraphFont"/>
    <w:semiHidden/>
    <w:rsid w:val="00D33A91"/>
    <w:rPr>
      <w:vertAlign w:val="superscript"/>
    </w:rPr>
  </w:style>
  <w:style w:type="paragraph" w:styleId="BalloonText">
    <w:name w:val="Balloon Text"/>
    <w:basedOn w:val="Normal"/>
    <w:semiHidden/>
    <w:rsid w:val="00107C9C"/>
    <w:rPr>
      <w:rFonts w:ascii="Tahoma" w:hAnsi="Tahoma" w:cs="Tahoma"/>
      <w:sz w:val="16"/>
      <w:szCs w:val="16"/>
    </w:rPr>
  </w:style>
  <w:style w:type="paragraph" w:customStyle="1" w:styleId="Pa3">
    <w:name w:val="Pa3"/>
    <w:basedOn w:val="Normal"/>
    <w:next w:val="Normal"/>
    <w:rsid w:val="00153F0C"/>
    <w:pPr>
      <w:autoSpaceDE w:val="0"/>
      <w:autoSpaceDN w:val="0"/>
      <w:adjustRightInd w:val="0"/>
      <w:spacing w:line="221" w:lineRule="atLeast"/>
    </w:pPr>
    <w:rPr>
      <w:rFonts w:ascii="Myriad Pro Light" w:hAnsi="Myriad Pro Light"/>
    </w:rPr>
  </w:style>
  <w:style w:type="character" w:styleId="CommentReference">
    <w:name w:val="annotation reference"/>
    <w:basedOn w:val="DefaultParagraphFont"/>
    <w:rsid w:val="00E72F2E"/>
    <w:rPr>
      <w:sz w:val="16"/>
      <w:szCs w:val="16"/>
    </w:rPr>
  </w:style>
  <w:style w:type="paragraph" w:styleId="CommentText">
    <w:name w:val="annotation text"/>
    <w:basedOn w:val="Normal"/>
    <w:link w:val="CommentTextChar"/>
    <w:rsid w:val="00E72F2E"/>
    <w:rPr>
      <w:sz w:val="20"/>
      <w:szCs w:val="20"/>
    </w:rPr>
  </w:style>
  <w:style w:type="paragraph" w:styleId="CommentSubject">
    <w:name w:val="annotation subject"/>
    <w:basedOn w:val="CommentText"/>
    <w:next w:val="CommentText"/>
    <w:semiHidden/>
    <w:rsid w:val="00E72F2E"/>
    <w:rPr>
      <w:b/>
      <w:bCs/>
    </w:rPr>
  </w:style>
  <w:style w:type="character" w:customStyle="1" w:styleId="FooterChar">
    <w:name w:val="Footer Char"/>
    <w:basedOn w:val="DefaultParagraphFont"/>
    <w:link w:val="Footer"/>
    <w:rsid w:val="003C0792"/>
    <w:rPr>
      <w:sz w:val="24"/>
      <w:szCs w:val="24"/>
      <w:lang w:val="en-US" w:eastAsia="en-US" w:bidi="ar-SA"/>
    </w:rPr>
  </w:style>
  <w:style w:type="paragraph" w:customStyle="1" w:styleId="ACMAHeading3">
    <w:name w:val="ACMA Heading 3"/>
    <w:next w:val="Normal"/>
    <w:rsid w:val="001B79DD"/>
    <w:pPr>
      <w:keepNext/>
      <w:suppressAutoHyphens/>
      <w:spacing w:before="240"/>
      <w:outlineLvl w:val="3"/>
    </w:pPr>
    <w:rPr>
      <w:rFonts w:ascii="Arial" w:hAnsi="Arial"/>
      <w:b/>
      <w:sz w:val="24"/>
      <w:lang w:val="en-US" w:eastAsia="en-US"/>
    </w:rPr>
  </w:style>
  <w:style w:type="paragraph" w:customStyle="1" w:styleId="RGPara">
    <w:name w:val="RGPara"/>
    <w:aliases w:val="Readers Guide Para"/>
    <w:basedOn w:val="Normal"/>
    <w:rsid w:val="001B79DD"/>
    <w:pPr>
      <w:spacing w:before="120" w:line="260" w:lineRule="exact"/>
      <w:jc w:val="both"/>
    </w:pPr>
    <w:rPr>
      <w:lang w:val="en-AU" w:eastAsia="en-AU"/>
    </w:rPr>
  </w:style>
  <w:style w:type="paragraph" w:customStyle="1" w:styleId="R1">
    <w:name w:val="R1"/>
    <w:aliases w:val="1. or 1.(1)"/>
    <w:basedOn w:val="Normal"/>
    <w:next w:val="Normal"/>
    <w:rsid w:val="001B79DD"/>
    <w:pPr>
      <w:keepLines/>
      <w:tabs>
        <w:tab w:val="right" w:pos="794"/>
      </w:tabs>
      <w:spacing w:before="120" w:line="260" w:lineRule="exact"/>
      <w:ind w:left="964" w:hanging="964"/>
      <w:jc w:val="both"/>
    </w:pPr>
    <w:rPr>
      <w:lang w:val="en-AU" w:eastAsia="en-AU"/>
    </w:rPr>
  </w:style>
  <w:style w:type="paragraph" w:styleId="ListParagraph">
    <w:name w:val="List Paragraph"/>
    <w:basedOn w:val="Normal"/>
    <w:qFormat/>
    <w:rsid w:val="00DF1BDF"/>
    <w:pPr>
      <w:ind w:left="720"/>
    </w:pPr>
  </w:style>
  <w:style w:type="character" w:styleId="Hyperlink">
    <w:name w:val="Hyperlink"/>
    <w:basedOn w:val="DefaultParagraphFont"/>
    <w:uiPriority w:val="99"/>
    <w:unhideWhenUsed/>
    <w:rsid w:val="002E1E61"/>
    <w:rPr>
      <w:color w:val="0000FF"/>
      <w:u w:val="single"/>
    </w:rPr>
  </w:style>
  <w:style w:type="paragraph" w:customStyle="1" w:styleId="ACMABodyText">
    <w:name w:val="ACMA Body Text"/>
    <w:link w:val="ACMABodyTextChar1"/>
    <w:rsid w:val="00DA005B"/>
    <w:pPr>
      <w:suppressAutoHyphens/>
      <w:spacing w:before="80" w:after="120" w:line="280" w:lineRule="atLeast"/>
    </w:pPr>
    <w:rPr>
      <w:snapToGrid w:val="0"/>
      <w:sz w:val="24"/>
      <w:lang w:eastAsia="en-US"/>
    </w:rPr>
  </w:style>
  <w:style w:type="character" w:styleId="FollowedHyperlink">
    <w:name w:val="FollowedHyperlink"/>
    <w:basedOn w:val="DefaultParagraphFont"/>
    <w:uiPriority w:val="99"/>
    <w:semiHidden/>
    <w:unhideWhenUsed/>
    <w:rsid w:val="00AC5241"/>
    <w:rPr>
      <w:color w:val="800080"/>
      <w:u w:val="single"/>
    </w:rPr>
  </w:style>
  <w:style w:type="character" w:customStyle="1" w:styleId="ACMABodyTextChar1">
    <w:name w:val="ACMA Body Text Char1"/>
    <w:basedOn w:val="DefaultParagraphFont"/>
    <w:link w:val="ACMABodyText"/>
    <w:rsid w:val="00AA141F"/>
    <w:rPr>
      <w:snapToGrid w:val="0"/>
      <w:sz w:val="24"/>
      <w:lang w:val="en-AU" w:eastAsia="en-US" w:bidi="ar-SA"/>
    </w:rPr>
  </w:style>
  <w:style w:type="character" w:customStyle="1" w:styleId="CommentTextChar">
    <w:name w:val="Comment Text Char"/>
    <w:basedOn w:val="DefaultParagraphFont"/>
    <w:link w:val="CommentText"/>
    <w:rsid w:val="001A6F36"/>
    <w:rPr>
      <w:lang w:val="en-US" w:eastAsia="en-US"/>
    </w:rPr>
  </w:style>
  <w:style w:type="paragraph" w:styleId="Revision">
    <w:name w:val="Revision"/>
    <w:hidden/>
    <w:uiPriority w:val="99"/>
    <w:semiHidden/>
    <w:rsid w:val="00894262"/>
    <w:rPr>
      <w:sz w:val="24"/>
      <w:szCs w:val="24"/>
      <w:lang w:val="en-US" w:eastAsia="en-US"/>
    </w:rPr>
  </w:style>
  <w:style w:type="paragraph" w:customStyle="1" w:styleId="p1">
    <w:name w:val="p1"/>
    <w:basedOn w:val="Normal"/>
    <w:rsid w:val="00781C8C"/>
    <w:pPr>
      <w:spacing w:before="100" w:beforeAutospacing="1" w:after="100" w:afterAutospacing="1"/>
    </w:pPr>
    <w:rPr>
      <w:lang w:val="en-AU" w:eastAsia="en-AU"/>
    </w:rPr>
  </w:style>
  <w:style w:type="paragraph" w:customStyle="1" w:styleId="P10">
    <w:name w:val="P1"/>
    <w:aliases w:val="(a)"/>
    <w:basedOn w:val="Normal"/>
    <w:rsid w:val="002E4942"/>
    <w:pPr>
      <w:tabs>
        <w:tab w:val="right" w:pos="1191"/>
      </w:tabs>
      <w:spacing w:before="60" w:line="260" w:lineRule="exact"/>
      <w:ind w:left="1418" w:hanging="1418"/>
      <w:jc w:val="both"/>
    </w:pPr>
    <w:rPr>
      <w:lang w:val="en-AU"/>
    </w:rPr>
  </w:style>
</w:styles>
</file>

<file path=word/webSettings.xml><?xml version="1.0" encoding="utf-8"?>
<w:webSettings xmlns:r="http://schemas.openxmlformats.org/officeDocument/2006/relationships" xmlns:w="http://schemas.openxmlformats.org/wordprocessingml/2006/main">
  <w:divs>
    <w:div w:id="287012661">
      <w:bodyDiv w:val="1"/>
      <w:marLeft w:val="0"/>
      <w:marRight w:val="0"/>
      <w:marTop w:val="0"/>
      <w:marBottom w:val="0"/>
      <w:divBdr>
        <w:top w:val="none" w:sz="0" w:space="0" w:color="auto"/>
        <w:left w:val="none" w:sz="0" w:space="0" w:color="auto"/>
        <w:bottom w:val="none" w:sz="0" w:space="0" w:color="auto"/>
        <w:right w:val="none" w:sz="0" w:space="0" w:color="auto"/>
      </w:divBdr>
      <w:divsChild>
        <w:div w:id="1885634072">
          <w:marLeft w:val="0"/>
          <w:marRight w:val="0"/>
          <w:marTop w:val="0"/>
          <w:marBottom w:val="0"/>
          <w:divBdr>
            <w:top w:val="none" w:sz="0" w:space="0" w:color="auto"/>
            <w:left w:val="none" w:sz="0" w:space="0" w:color="auto"/>
            <w:bottom w:val="none" w:sz="0" w:space="0" w:color="auto"/>
            <w:right w:val="none" w:sz="0" w:space="0" w:color="auto"/>
          </w:divBdr>
          <w:divsChild>
            <w:div w:id="69353192">
              <w:marLeft w:val="0"/>
              <w:marRight w:val="0"/>
              <w:marTop w:val="0"/>
              <w:marBottom w:val="0"/>
              <w:divBdr>
                <w:top w:val="none" w:sz="0" w:space="0" w:color="auto"/>
                <w:left w:val="none" w:sz="0" w:space="0" w:color="auto"/>
                <w:bottom w:val="none" w:sz="0" w:space="0" w:color="auto"/>
                <w:right w:val="none" w:sz="0" w:space="0" w:color="auto"/>
              </w:divBdr>
              <w:divsChild>
                <w:div w:id="2027366886">
                  <w:marLeft w:val="0"/>
                  <w:marRight w:val="0"/>
                  <w:marTop w:val="0"/>
                  <w:marBottom w:val="0"/>
                  <w:divBdr>
                    <w:top w:val="none" w:sz="0" w:space="0" w:color="auto"/>
                    <w:left w:val="none" w:sz="0" w:space="0" w:color="auto"/>
                    <w:bottom w:val="none" w:sz="0" w:space="0" w:color="auto"/>
                    <w:right w:val="none" w:sz="0" w:space="0" w:color="auto"/>
                  </w:divBdr>
                  <w:divsChild>
                    <w:div w:id="667095701">
                      <w:marLeft w:val="0"/>
                      <w:marRight w:val="0"/>
                      <w:marTop w:val="0"/>
                      <w:marBottom w:val="0"/>
                      <w:divBdr>
                        <w:top w:val="none" w:sz="0" w:space="0" w:color="auto"/>
                        <w:left w:val="none" w:sz="0" w:space="0" w:color="auto"/>
                        <w:bottom w:val="none" w:sz="0" w:space="0" w:color="auto"/>
                        <w:right w:val="none" w:sz="0" w:space="0" w:color="auto"/>
                      </w:divBdr>
                      <w:divsChild>
                        <w:div w:id="1298803242">
                          <w:marLeft w:val="0"/>
                          <w:marRight w:val="0"/>
                          <w:marTop w:val="0"/>
                          <w:marBottom w:val="0"/>
                          <w:divBdr>
                            <w:top w:val="single" w:sz="6" w:space="0" w:color="828282"/>
                            <w:left w:val="single" w:sz="6" w:space="0" w:color="828282"/>
                            <w:bottom w:val="single" w:sz="6" w:space="0" w:color="828282"/>
                            <w:right w:val="single" w:sz="6" w:space="0" w:color="828282"/>
                          </w:divBdr>
                          <w:divsChild>
                            <w:div w:id="1421219517">
                              <w:marLeft w:val="0"/>
                              <w:marRight w:val="0"/>
                              <w:marTop w:val="0"/>
                              <w:marBottom w:val="0"/>
                              <w:divBdr>
                                <w:top w:val="none" w:sz="0" w:space="0" w:color="auto"/>
                                <w:left w:val="none" w:sz="0" w:space="0" w:color="auto"/>
                                <w:bottom w:val="none" w:sz="0" w:space="0" w:color="auto"/>
                                <w:right w:val="none" w:sz="0" w:space="0" w:color="auto"/>
                              </w:divBdr>
                              <w:divsChild>
                                <w:div w:id="1283222848">
                                  <w:marLeft w:val="0"/>
                                  <w:marRight w:val="0"/>
                                  <w:marTop w:val="0"/>
                                  <w:marBottom w:val="0"/>
                                  <w:divBdr>
                                    <w:top w:val="none" w:sz="0" w:space="0" w:color="auto"/>
                                    <w:left w:val="none" w:sz="0" w:space="0" w:color="auto"/>
                                    <w:bottom w:val="none" w:sz="0" w:space="0" w:color="auto"/>
                                    <w:right w:val="none" w:sz="0" w:space="0" w:color="auto"/>
                                  </w:divBdr>
                                  <w:divsChild>
                                    <w:div w:id="1926107593">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1321620043">
                                              <w:marLeft w:val="0"/>
                                              <w:marRight w:val="0"/>
                                              <w:marTop w:val="0"/>
                                              <w:marBottom w:val="0"/>
                                              <w:divBdr>
                                                <w:top w:val="none" w:sz="0" w:space="0" w:color="auto"/>
                                                <w:left w:val="none" w:sz="0" w:space="0" w:color="auto"/>
                                                <w:bottom w:val="none" w:sz="0" w:space="0" w:color="auto"/>
                                                <w:right w:val="none" w:sz="0" w:space="0" w:color="auto"/>
                                              </w:divBdr>
                                              <w:divsChild>
                                                <w:div w:id="1295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54193">
      <w:bodyDiv w:val="1"/>
      <w:marLeft w:val="0"/>
      <w:marRight w:val="0"/>
      <w:marTop w:val="0"/>
      <w:marBottom w:val="0"/>
      <w:divBdr>
        <w:top w:val="none" w:sz="0" w:space="0" w:color="auto"/>
        <w:left w:val="none" w:sz="0" w:space="0" w:color="auto"/>
        <w:bottom w:val="none" w:sz="0" w:space="0" w:color="auto"/>
        <w:right w:val="none" w:sz="0" w:space="0" w:color="auto"/>
      </w:divBdr>
      <w:divsChild>
        <w:div w:id="213740486">
          <w:marLeft w:val="0"/>
          <w:marRight w:val="0"/>
          <w:marTop w:val="0"/>
          <w:marBottom w:val="0"/>
          <w:divBdr>
            <w:top w:val="none" w:sz="0" w:space="0" w:color="auto"/>
            <w:left w:val="none" w:sz="0" w:space="0" w:color="auto"/>
            <w:bottom w:val="none" w:sz="0" w:space="0" w:color="auto"/>
            <w:right w:val="none" w:sz="0" w:space="0" w:color="auto"/>
          </w:divBdr>
          <w:divsChild>
            <w:div w:id="2059283039">
              <w:marLeft w:val="0"/>
              <w:marRight w:val="0"/>
              <w:marTop w:val="0"/>
              <w:marBottom w:val="0"/>
              <w:divBdr>
                <w:top w:val="none" w:sz="0" w:space="0" w:color="auto"/>
                <w:left w:val="none" w:sz="0" w:space="0" w:color="auto"/>
                <w:bottom w:val="none" w:sz="0" w:space="0" w:color="auto"/>
                <w:right w:val="none" w:sz="0" w:space="0" w:color="auto"/>
              </w:divBdr>
              <w:divsChild>
                <w:div w:id="530192135">
                  <w:marLeft w:val="0"/>
                  <w:marRight w:val="0"/>
                  <w:marTop w:val="0"/>
                  <w:marBottom w:val="0"/>
                  <w:divBdr>
                    <w:top w:val="none" w:sz="0" w:space="0" w:color="auto"/>
                    <w:left w:val="none" w:sz="0" w:space="0" w:color="auto"/>
                    <w:bottom w:val="none" w:sz="0" w:space="0" w:color="auto"/>
                    <w:right w:val="none" w:sz="0" w:space="0" w:color="auto"/>
                  </w:divBdr>
                  <w:divsChild>
                    <w:div w:id="1664164080">
                      <w:marLeft w:val="0"/>
                      <w:marRight w:val="0"/>
                      <w:marTop w:val="0"/>
                      <w:marBottom w:val="0"/>
                      <w:divBdr>
                        <w:top w:val="none" w:sz="0" w:space="0" w:color="auto"/>
                        <w:left w:val="none" w:sz="0" w:space="0" w:color="auto"/>
                        <w:bottom w:val="none" w:sz="0" w:space="0" w:color="auto"/>
                        <w:right w:val="none" w:sz="0" w:space="0" w:color="auto"/>
                      </w:divBdr>
                      <w:divsChild>
                        <w:div w:id="1800371154">
                          <w:marLeft w:val="0"/>
                          <w:marRight w:val="0"/>
                          <w:marTop w:val="0"/>
                          <w:marBottom w:val="0"/>
                          <w:divBdr>
                            <w:top w:val="single" w:sz="6" w:space="0" w:color="828282"/>
                            <w:left w:val="single" w:sz="6" w:space="0" w:color="828282"/>
                            <w:bottom w:val="single" w:sz="6" w:space="0" w:color="828282"/>
                            <w:right w:val="single" w:sz="6" w:space="0" w:color="828282"/>
                          </w:divBdr>
                          <w:divsChild>
                            <w:div w:id="2029670745">
                              <w:marLeft w:val="0"/>
                              <w:marRight w:val="0"/>
                              <w:marTop w:val="0"/>
                              <w:marBottom w:val="0"/>
                              <w:divBdr>
                                <w:top w:val="none" w:sz="0" w:space="0" w:color="auto"/>
                                <w:left w:val="none" w:sz="0" w:space="0" w:color="auto"/>
                                <w:bottom w:val="none" w:sz="0" w:space="0" w:color="auto"/>
                                <w:right w:val="none" w:sz="0" w:space="0" w:color="auto"/>
                              </w:divBdr>
                              <w:divsChild>
                                <w:div w:id="278880963">
                                  <w:marLeft w:val="0"/>
                                  <w:marRight w:val="0"/>
                                  <w:marTop w:val="0"/>
                                  <w:marBottom w:val="0"/>
                                  <w:divBdr>
                                    <w:top w:val="none" w:sz="0" w:space="0" w:color="auto"/>
                                    <w:left w:val="none" w:sz="0" w:space="0" w:color="auto"/>
                                    <w:bottom w:val="none" w:sz="0" w:space="0" w:color="auto"/>
                                    <w:right w:val="none" w:sz="0" w:space="0" w:color="auto"/>
                                  </w:divBdr>
                                  <w:divsChild>
                                    <w:div w:id="428158232">
                                      <w:marLeft w:val="0"/>
                                      <w:marRight w:val="0"/>
                                      <w:marTop w:val="0"/>
                                      <w:marBottom w:val="0"/>
                                      <w:divBdr>
                                        <w:top w:val="none" w:sz="0" w:space="0" w:color="auto"/>
                                        <w:left w:val="none" w:sz="0" w:space="0" w:color="auto"/>
                                        <w:bottom w:val="none" w:sz="0" w:space="0" w:color="auto"/>
                                        <w:right w:val="none" w:sz="0" w:space="0" w:color="auto"/>
                                      </w:divBdr>
                                      <w:divsChild>
                                        <w:div w:id="804201221">
                                          <w:marLeft w:val="0"/>
                                          <w:marRight w:val="0"/>
                                          <w:marTop w:val="0"/>
                                          <w:marBottom w:val="0"/>
                                          <w:divBdr>
                                            <w:top w:val="none" w:sz="0" w:space="0" w:color="auto"/>
                                            <w:left w:val="none" w:sz="0" w:space="0" w:color="auto"/>
                                            <w:bottom w:val="none" w:sz="0" w:space="0" w:color="auto"/>
                                            <w:right w:val="none" w:sz="0" w:space="0" w:color="auto"/>
                                          </w:divBdr>
                                          <w:divsChild>
                                            <w:div w:id="1329408524">
                                              <w:marLeft w:val="0"/>
                                              <w:marRight w:val="0"/>
                                              <w:marTop w:val="0"/>
                                              <w:marBottom w:val="0"/>
                                              <w:divBdr>
                                                <w:top w:val="none" w:sz="0" w:space="0" w:color="auto"/>
                                                <w:left w:val="none" w:sz="0" w:space="0" w:color="auto"/>
                                                <w:bottom w:val="none" w:sz="0" w:space="0" w:color="auto"/>
                                                <w:right w:val="none" w:sz="0" w:space="0" w:color="auto"/>
                                              </w:divBdr>
                                              <w:divsChild>
                                                <w:div w:id="765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299645">
      <w:bodyDiv w:val="1"/>
      <w:marLeft w:val="0"/>
      <w:marRight w:val="0"/>
      <w:marTop w:val="0"/>
      <w:marBottom w:val="0"/>
      <w:divBdr>
        <w:top w:val="none" w:sz="0" w:space="0" w:color="auto"/>
        <w:left w:val="none" w:sz="0" w:space="0" w:color="auto"/>
        <w:bottom w:val="none" w:sz="0" w:space="0" w:color="auto"/>
        <w:right w:val="none" w:sz="0" w:space="0" w:color="auto"/>
      </w:divBdr>
      <w:divsChild>
        <w:div w:id="2006592360">
          <w:marLeft w:val="0"/>
          <w:marRight w:val="0"/>
          <w:marTop w:val="0"/>
          <w:marBottom w:val="0"/>
          <w:divBdr>
            <w:top w:val="none" w:sz="0" w:space="0" w:color="auto"/>
            <w:left w:val="none" w:sz="0" w:space="0" w:color="auto"/>
            <w:bottom w:val="none" w:sz="0" w:space="0" w:color="auto"/>
            <w:right w:val="none" w:sz="0" w:space="0" w:color="auto"/>
          </w:divBdr>
          <w:divsChild>
            <w:div w:id="1188829666">
              <w:marLeft w:val="0"/>
              <w:marRight w:val="0"/>
              <w:marTop w:val="0"/>
              <w:marBottom w:val="0"/>
              <w:divBdr>
                <w:top w:val="none" w:sz="0" w:space="0" w:color="auto"/>
                <w:left w:val="none" w:sz="0" w:space="0" w:color="auto"/>
                <w:bottom w:val="none" w:sz="0" w:space="0" w:color="auto"/>
                <w:right w:val="none" w:sz="0" w:space="0" w:color="auto"/>
              </w:divBdr>
              <w:divsChild>
                <w:div w:id="532572346">
                  <w:marLeft w:val="0"/>
                  <w:marRight w:val="0"/>
                  <w:marTop w:val="0"/>
                  <w:marBottom w:val="0"/>
                  <w:divBdr>
                    <w:top w:val="none" w:sz="0" w:space="0" w:color="auto"/>
                    <w:left w:val="none" w:sz="0" w:space="0" w:color="auto"/>
                    <w:bottom w:val="none" w:sz="0" w:space="0" w:color="auto"/>
                    <w:right w:val="none" w:sz="0" w:space="0" w:color="auto"/>
                  </w:divBdr>
                  <w:divsChild>
                    <w:div w:id="676076376">
                      <w:marLeft w:val="0"/>
                      <w:marRight w:val="0"/>
                      <w:marTop w:val="0"/>
                      <w:marBottom w:val="0"/>
                      <w:divBdr>
                        <w:top w:val="none" w:sz="0" w:space="0" w:color="auto"/>
                        <w:left w:val="none" w:sz="0" w:space="0" w:color="auto"/>
                        <w:bottom w:val="none" w:sz="0" w:space="0" w:color="auto"/>
                        <w:right w:val="none" w:sz="0" w:space="0" w:color="auto"/>
                      </w:divBdr>
                      <w:divsChild>
                        <w:div w:id="1310209869">
                          <w:marLeft w:val="0"/>
                          <w:marRight w:val="0"/>
                          <w:marTop w:val="0"/>
                          <w:marBottom w:val="0"/>
                          <w:divBdr>
                            <w:top w:val="single" w:sz="6" w:space="0" w:color="828282"/>
                            <w:left w:val="single" w:sz="6" w:space="0" w:color="828282"/>
                            <w:bottom w:val="single" w:sz="6" w:space="0" w:color="828282"/>
                            <w:right w:val="single" w:sz="6" w:space="0" w:color="828282"/>
                          </w:divBdr>
                          <w:divsChild>
                            <w:div w:id="394817719">
                              <w:marLeft w:val="0"/>
                              <w:marRight w:val="0"/>
                              <w:marTop w:val="0"/>
                              <w:marBottom w:val="0"/>
                              <w:divBdr>
                                <w:top w:val="none" w:sz="0" w:space="0" w:color="auto"/>
                                <w:left w:val="none" w:sz="0" w:space="0" w:color="auto"/>
                                <w:bottom w:val="none" w:sz="0" w:space="0" w:color="auto"/>
                                <w:right w:val="none" w:sz="0" w:space="0" w:color="auto"/>
                              </w:divBdr>
                              <w:divsChild>
                                <w:div w:id="1009721944">
                                  <w:marLeft w:val="0"/>
                                  <w:marRight w:val="0"/>
                                  <w:marTop w:val="0"/>
                                  <w:marBottom w:val="0"/>
                                  <w:divBdr>
                                    <w:top w:val="none" w:sz="0" w:space="0" w:color="auto"/>
                                    <w:left w:val="none" w:sz="0" w:space="0" w:color="auto"/>
                                    <w:bottom w:val="none" w:sz="0" w:space="0" w:color="auto"/>
                                    <w:right w:val="none" w:sz="0" w:space="0" w:color="auto"/>
                                  </w:divBdr>
                                  <w:divsChild>
                                    <w:div w:id="19782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21168">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4">
          <w:marLeft w:val="0"/>
          <w:marRight w:val="0"/>
          <w:marTop w:val="0"/>
          <w:marBottom w:val="0"/>
          <w:divBdr>
            <w:top w:val="none" w:sz="0" w:space="0" w:color="auto"/>
            <w:left w:val="none" w:sz="0" w:space="0" w:color="auto"/>
            <w:bottom w:val="none" w:sz="0" w:space="0" w:color="auto"/>
            <w:right w:val="none" w:sz="0" w:space="0" w:color="auto"/>
          </w:divBdr>
          <w:divsChild>
            <w:div w:id="1882983007">
              <w:marLeft w:val="0"/>
              <w:marRight w:val="0"/>
              <w:marTop w:val="0"/>
              <w:marBottom w:val="0"/>
              <w:divBdr>
                <w:top w:val="none" w:sz="0" w:space="0" w:color="auto"/>
                <w:left w:val="none" w:sz="0" w:space="0" w:color="auto"/>
                <w:bottom w:val="none" w:sz="0" w:space="0" w:color="auto"/>
                <w:right w:val="none" w:sz="0" w:space="0" w:color="auto"/>
              </w:divBdr>
              <w:divsChild>
                <w:div w:id="1180657971">
                  <w:marLeft w:val="0"/>
                  <w:marRight w:val="0"/>
                  <w:marTop w:val="0"/>
                  <w:marBottom w:val="0"/>
                  <w:divBdr>
                    <w:top w:val="none" w:sz="0" w:space="0" w:color="auto"/>
                    <w:left w:val="none" w:sz="0" w:space="0" w:color="auto"/>
                    <w:bottom w:val="none" w:sz="0" w:space="0" w:color="auto"/>
                    <w:right w:val="none" w:sz="0" w:space="0" w:color="auto"/>
                  </w:divBdr>
                  <w:divsChild>
                    <w:div w:id="705520425">
                      <w:marLeft w:val="0"/>
                      <w:marRight w:val="0"/>
                      <w:marTop w:val="0"/>
                      <w:marBottom w:val="0"/>
                      <w:divBdr>
                        <w:top w:val="none" w:sz="0" w:space="0" w:color="auto"/>
                        <w:left w:val="none" w:sz="0" w:space="0" w:color="auto"/>
                        <w:bottom w:val="none" w:sz="0" w:space="0" w:color="auto"/>
                        <w:right w:val="none" w:sz="0" w:space="0" w:color="auto"/>
                      </w:divBdr>
                      <w:divsChild>
                        <w:div w:id="2136681840">
                          <w:marLeft w:val="0"/>
                          <w:marRight w:val="0"/>
                          <w:marTop w:val="0"/>
                          <w:marBottom w:val="0"/>
                          <w:divBdr>
                            <w:top w:val="single" w:sz="6" w:space="0" w:color="828282"/>
                            <w:left w:val="single" w:sz="6" w:space="0" w:color="828282"/>
                            <w:bottom w:val="single" w:sz="6" w:space="0" w:color="828282"/>
                            <w:right w:val="single" w:sz="6" w:space="0" w:color="828282"/>
                          </w:divBdr>
                          <w:divsChild>
                            <w:div w:id="519785420">
                              <w:marLeft w:val="0"/>
                              <w:marRight w:val="0"/>
                              <w:marTop w:val="0"/>
                              <w:marBottom w:val="0"/>
                              <w:divBdr>
                                <w:top w:val="none" w:sz="0" w:space="0" w:color="auto"/>
                                <w:left w:val="none" w:sz="0" w:space="0" w:color="auto"/>
                                <w:bottom w:val="none" w:sz="0" w:space="0" w:color="auto"/>
                                <w:right w:val="none" w:sz="0" w:space="0" w:color="auto"/>
                              </w:divBdr>
                              <w:divsChild>
                                <w:div w:id="1589970835">
                                  <w:marLeft w:val="0"/>
                                  <w:marRight w:val="0"/>
                                  <w:marTop w:val="0"/>
                                  <w:marBottom w:val="0"/>
                                  <w:divBdr>
                                    <w:top w:val="none" w:sz="0" w:space="0" w:color="auto"/>
                                    <w:left w:val="none" w:sz="0" w:space="0" w:color="auto"/>
                                    <w:bottom w:val="none" w:sz="0" w:space="0" w:color="auto"/>
                                    <w:right w:val="none" w:sz="0" w:space="0" w:color="auto"/>
                                  </w:divBdr>
                                  <w:divsChild>
                                    <w:div w:id="270816765">
                                      <w:marLeft w:val="0"/>
                                      <w:marRight w:val="0"/>
                                      <w:marTop w:val="0"/>
                                      <w:marBottom w:val="0"/>
                                      <w:divBdr>
                                        <w:top w:val="none" w:sz="0" w:space="0" w:color="auto"/>
                                        <w:left w:val="none" w:sz="0" w:space="0" w:color="auto"/>
                                        <w:bottom w:val="none" w:sz="0" w:space="0" w:color="auto"/>
                                        <w:right w:val="none" w:sz="0" w:space="0" w:color="auto"/>
                                      </w:divBdr>
                                      <w:divsChild>
                                        <w:div w:id="500970343">
                                          <w:marLeft w:val="0"/>
                                          <w:marRight w:val="0"/>
                                          <w:marTop w:val="0"/>
                                          <w:marBottom w:val="0"/>
                                          <w:divBdr>
                                            <w:top w:val="none" w:sz="0" w:space="0" w:color="auto"/>
                                            <w:left w:val="none" w:sz="0" w:space="0" w:color="auto"/>
                                            <w:bottom w:val="none" w:sz="0" w:space="0" w:color="auto"/>
                                            <w:right w:val="none" w:sz="0" w:space="0" w:color="auto"/>
                                          </w:divBdr>
                                          <w:divsChild>
                                            <w:div w:id="1880387245">
                                              <w:marLeft w:val="0"/>
                                              <w:marRight w:val="0"/>
                                              <w:marTop w:val="0"/>
                                              <w:marBottom w:val="0"/>
                                              <w:divBdr>
                                                <w:top w:val="none" w:sz="0" w:space="0" w:color="auto"/>
                                                <w:left w:val="none" w:sz="0" w:space="0" w:color="auto"/>
                                                <w:bottom w:val="none" w:sz="0" w:space="0" w:color="auto"/>
                                                <w:right w:val="none" w:sz="0" w:space="0" w:color="auto"/>
                                              </w:divBdr>
                                              <w:divsChild>
                                                <w:div w:id="1237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m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ma.gov.au/WEB/STANDARD/pc=PC_4103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87CF1831231499AB06102660F5006" ma:contentTypeVersion="0" ma:contentTypeDescription="Create a new document." ma:contentTypeScope="" ma:versionID="7c9fac8a034485a9a283bf1d2873c2a3">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6db8f3c6-01a1-4322-b043-a3b2a190f7a8">KNAH4PPFC442-1229-397</_dlc_DocId>
    <_dlc_DocIdUrl xmlns="6db8f3c6-01a1-4322-b043-a3b2a190f7a8">
      <Url>http://collaboration/organisation/CID/IRB/SORS/_layouts/DocIdRedir.aspx?ID=KNAH4PPFC442-1229-397</Url>
      <Description>KNAH4PPFC442-1229-397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B36F-711C-4F49-82DA-29BD3B5100E5}">
  <ds:schemaRefs>
    <ds:schemaRef ds:uri="http://schemas.microsoft.com/sharepoint/v3/contenttype/forms"/>
  </ds:schemaRefs>
</ds:datastoreItem>
</file>

<file path=customXml/itemProps2.xml><?xml version="1.0" encoding="utf-8"?>
<ds:datastoreItem xmlns:ds="http://schemas.openxmlformats.org/officeDocument/2006/customXml" ds:itemID="{4BBCB347-A8F3-4CAF-8F8B-6ABDB4F4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9608D-5358-4F2C-9F43-95E6094076B5}">
  <ds:schemaRefs>
    <ds:schemaRef ds:uri="http://schemas.microsoft.com/sharepoint/events"/>
  </ds:schemaRefs>
</ds:datastoreItem>
</file>

<file path=customXml/itemProps4.xml><?xml version="1.0" encoding="utf-8"?>
<ds:datastoreItem xmlns:ds="http://schemas.openxmlformats.org/officeDocument/2006/customXml" ds:itemID="{9DDD8598-2D72-4182-9CFF-124C536AF65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db8f3c6-01a1-4322-b043-a3b2a190f7a8"/>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CAC824B3-90B6-4C2A-B8D7-066846B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13611</CharactersWithSpaces>
  <SharedDoc>false</SharedDoc>
  <HLinks>
    <vt:vector size="66" baseType="variant">
      <vt:variant>
        <vt:i4>1769548</vt:i4>
      </vt:variant>
      <vt:variant>
        <vt:i4>30</vt:i4>
      </vt:variant>
      <vt:variant>
        <vt:i4>0</vt:i4>
      </vt:variant>
      <vt:variant>
        <vt:i4>5</vt:i4>
      </vt:variant>
      <vt:variant>
        <vt:lpwstr>http://www.3gpp.org/ftp/Specs/html-info/45005.htm</vt:lpwstr>
      </vt:variant>
      <vt:variant>
        <vt:lpwstr/>
      </vt:variant>
      <vt:variant>
        <vt:i4>3997730</vt:i4>
      </vt:variant>
      <vt:variant>
        <vt:i4>27</vt:i4>
      </vt:variant>
      <vt:variant>
        <vt:i4>0</vt:i4>
      </vt:variant>
      <vt:variant>
        <vt:i4>5</vt:i4>
      </vt:variant>
      <vt:variant>
        <vt:lpwstr>http://www.acma.gov.au/</vt:lpwstr>
      </vt:variant>
      <vt:variant>
        <vt:lpwstr/>
      </vt:variant>
      <vt:variant>
        <vt:i4>6160468</vt:i4>
      </vt:variant>
      <vt:variant>
        <vt:i4>24</vt:i4>
      </vt:variant>
      <vt:variant>
        <vt:i4>0</vt:i4>
      </vt:variant>
      <vt:variant>
        <vt:i4>5</vt:i4>
      </vt:variant>
      <vt:variant>
        <vt:lpwstr>http://www.comlaw.gov.au/</vt:lpwstr>
      </vt:variant>
      <vt:variant>
        <vt:lpwstr/>
      </vt:variant>
      <vt:variant>
        <vt:i4>6160468</vt:i4>
      </vt:variant>
      <vt:variant>
        <vt:i4>21</vt:i4>
      </vt:variant>
      <vt:variant>
        <vt:i4>0</vt:i4>
      </vt:variant>
      <vt:variant>
        <vt:i4>5</vt:i4>
      </vt:variant>
      <vt:variant>
        <vt:lpwstr>http://www.comlaw.gov.au/</vt:lpwstr>
      </vt:variant>
      <vt:variant>
        <vt:lpwstr/>
      </vt:variant>
      <vt:variant>
        <vt:i4>2752612</vt:i4>
      </vt:variant>
      <vt:variant>
        <vt:i4>18</vt:i4>
      </vt:variant>
      <vt:variant>
        <vt:i4>0</vt:i4>
      </vt:variant>
      <vt:variant>
        <vt:i4>5</vt:i4>
      </vt:variant>
      <vt:variant>
        <vt:lpwstr>http://www.itu.int/</vt:lpwstr>
      </vt:variant>
      <vt:variant>
        <vt:lpwstr/>
      </vt:variant>
      <vt:variant>
        <vt:i4>4194420</vt:i4>
      </vt:variant>
      <vt:variant>
        <vt:i4>15</vt:i4>
      </vt:variant>
      <vt:variant>
        <vt:i4>0</vt:i4>
      </vt:variant>
      <vt:variant>
        <vt:i4>5</vt:i4>
      </vt:variant>
      <vt:variant>
        <vt:lpwstr>http://www.acma.gov.au/WEB/STANDARD/pc=PC_2708</vt:lpwstr>
      </vt:variant>
      <vt:variant>
        <vt:lpwstr/>
      </vt:variant>
      <vt:variant>
        <vt:i4>4194420</vt:i4>
      </vt:variant>
      <vt:variant>
        <vt:i4>12</vt:i4>
      </vt:variant>
      <vt:variant>
        <vt:i4>0</vt:i4>
      </vt:variant>
      <vt:variant>
        <vt:i4>5</vt:i4>
      </vt:variant>
      <vt:variant>
        <vt:lpwstr>http://www.acma.gov.au/WEB/STANDARD/pc=PC_2708</vt:lpwstr>
      </vt:variant>
      <vt:variant>
        <vt:lpwstr/>
      </vt:variant>
      <vt:variant>
        <vt:i4>7864390</vt:i4>
      </vt:variant>
      <vt:variant>
        <vt:i4>9</vt:i4>
      </vt:variant>
      <vt:variant>
        <vt:i4>0</vt:i4>
      </vt:variant>
      <vt:variant>
        <vt:i4>5</vt:i4>
      </vt:variant>
      <vt:variant>
        <vt:lpwstr>http://www.acma.gov.au/WEB/STANDARD/pc=PC_410046</vt:lpwstr>
      </vt:variant>
      <vt:variant>
        <vt:lpwstr/>
      </vt:variant>
      <vt:variant>
        <vt:i4>262235</vt:i4>
      </vt:variant>
      <vt:variant>
        <vt:i4>6</vt:i4>
      </vt:variant>
      <vt:variant>
        <vt:i4>0</vt:i4>
      </vt:variant>
      <vt:variant>
        <vt:i4>5</vt:i4>
      </vt:variant>
      <vt:variant>
        <vt:lpwstr>http://www.comlaw.gov.au/Details/F2005B00477</vt:lpwstr>
      </vt:variant>
      <vt:variant>
        <vt:lpwstr/>
      </vt:variant>
      <vt:variant>
        <vt:i4>327771</vt:i4>
      </vt:variant>
      <vt:variant>
        <vt:i4>3</vt:i4>
      </vt:variant>
      <vt:variant>
        <vt:i4>0</vt:i4>
      </vt:variant>
      <vt:variant>
        <vt:i4>5</vt:i4>
      </vt:variant>
      <vt:variant>
        <vt:lpwstr>http://www.comlaw.gov.au/Details/F2005B00476</vt:lpwstr>
      </vt:variant>
      <vt:variant>
        <vt:lpwstr/>
      </vt:variant>
      <vt:variant>
        <vt:i4>393309</vt:i4>
      </vt:variant>
      <vt:variant>
        <vt:i4>0</vt:i4>
      </vt:variant>
      <vt:variant>
        <vt:i4>0</vt:i4>
      </vt:variant>
      <vt:variant>
        <vt:i4>5</vt:i4>
      </vt:variant>
      <vt:variant>
        <vt:lpwstr>http://www.comlaw.gov.au/Details/F2005C00809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2010-06-25T01:30:00Z</cp:lastPrinted>
  <dcterms:created xsi:type="dcterms:W3CDTF">2012-08-09T03:36:00Z</dcterms:created>
  <dcterms:modified xsi:type="dcterms:W3CDTF">2012-08-16T00:23:00Z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dlc_DocIdItemGuid">
    <vt:lpwstr>dd38133f-b998-4277-9c13-cb8f5bbb9079</vt:lpwstr>
  </property>
  <property fmtid="{D5CDD505-2E9C-101B-9397-08002B2CF9AE}" pid="4" name="ContentTypeId">
    <vt:lpwstr>0x010100F3B87CF1831231499AB06102660F5006</vt:lpwstr>
  </property>
</Properties>
</file>